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F92D58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F16BA37" w14:textId="77777777">
      <w:pPr>
        <w:pStyle w:val="StyleBoldCentered"/>
      </w:pPr>
      <w:r>
        <w:t>F</w:t>
      </w:r>
      <w:r>
        <w:rPr>
          <w:caps w:val="0"/>
        </w:rPr>
        <w:t>ederal Communications Commission</w:t>
      </w:r>
    </w:p>
    <w:p w:rsidR="004C2EE3" w:rsidP="00096D8C" w14:paraId="25F2BAD5" w14:textId="77777777">
      <w:pPr>
        <w:pStyle w:val="StyleBoldCentered"/>
      </w:pPr>
      <w:r>
        <w:rPr>
          <w:caps w:val="0"/>
        </w:rPr>
        <w:t>Washington, D.C. 20554</w:t>
      </w:r>
    </w:p>
    <w:p w:rsidR="004C2EE3" w:rsidP="0070224F" w14:paraId="6BF631C0" w14:textId="77777777"/>
    <w:p w:rsidR="004C2EE3" w:rsidP="0070224F" w14:paraId="5EDF91AD" w14:textId="77777777"/>
    <w:tbl>
      <w:tblPr>
        <w:tblW w:w="0" w:type="auto"/>
        <w:tblLayout w:type="fixed"/>
        <w:tblLook w:val="0000"/>
      </w:tblPr>
      <w:tblGrid>
        <w:gridCol w:w="4698"/>
        <w:gridCol w:w="630"/>
        <w:gridCol w:w="4248"/>
      </w:tblGrid>
      <w:tr w14:paraId="0AE3AF95" w14:textId="77777777">
        <w:tblPrEx>
          <w:tblW w:w="0" w:type="auto"/>
          <w:tblLayout w:type="fixed"/>
          <w:tblLook w:val="0000"/>
        </w:tblPrEx>
        <w:tc>
          <w:tcPr>
            <w:tcW w:w="4698" w:type="dxa"/>
          </w:tcPr>
          <w:p w:rsidR="004C2EE3" w14:paraId="41E48EA9" w14:textId="77777777">
            <w:pPr>
              <w:tabs>
                <w:tab w:val="center" w:pos="4680"/>
              </w:tabs>
              <w:suppressAutoHyphens/>
              <w:rPr>
                <w:spacing w:val="-2"/>
              </w:rPr>
            </w:pPr>
            <w:r>
              <w:rPr>
                <w:spacing w:val="-2"/>
              </w:rPr>
              <w:t>In the Matter of</w:t>
            </w:r>
          </w:p>
          <w:p w:rsidR="004C2EE3" w14:paraId="7841CA0D" w14:textId="77777777">
            <w:pPr>
              <w:tabs>
                <w:tab w:val="center" w:pos="4680"/>
              </w:tabs>
              <w:suppressAutoHyphens/>
              <w:rPr>
                <w:spacing w:val="-2"/>
              </w:rPr>
            </w:pPr>
          </w:p>
          <w:p w:rsidR="006807AE" w:rsidRPr="006807AE" w:rsidP="006807AE" w14:paraId="43EB30D1" w14:textId="77777777">
            <w:pPr>
              <w:tabs>
                <w:tab w:val="center" w:pos="4680"/>
              </w:tabs>
              <w:suppressAutoHyphens/>
              <w:rPr>
                <w:spacing w:val="-2"/>
              </w:rPr>
            </w:pPr>
            <w:r w:rsidRPr="006807AE">
              <w:rPr>
                <w:spacing w:val="-2"/>
              </w:rPr>
              <w:t>Numbering Policies for Modern Communications</w:t>
            </w:r>
          </w:p>
          <w:p w:rsidR="006807AE" w:rsidRPr="006807AE" w:rsidP="006807AE" w14:paraId="30BCA7C1" w14:textId="77777777">
            <w:pPr>
              <w:tabs>
                <w:tab w:val="center" w:pos="4680"/>
              </w:tabs>
              <w:suppressAutoHyphens/>
              <w:rPr>
                <w:spacing w:val="-2"/>
              </w:rPr>
            </w:pPr>
          </w:p>
          <w:p w:rsidR="006807AE" w:rsidRPr="006807AE" w:rsidP="006807AE" w14:paraId="507C76A5" w14:textId="77777777">
            <w:pPr>
              <w:tabs>
                <w:tab w:val="center" w:pos="4680"/>
              </w:tabs>
              <w:suppressAutoHyphens/>
              <w:rPr>
                <w:spacing w:val="-2"/>
              </w:rPr>
            </w:pPr>
            <w:r w:rsidRPr="006807AE">
              <w:rPr>
                <w:spacing w:val="-2"/>
              </w:rPr>
              <w:t>Telephone Number Requirements for IP-Enabled Service Providers</w:t>
            </w:r>
          </w:p>
          <w:p w:rsidR="006807AE" w:rsidRPr="006807AE" w:rsidP="006807AE" w14:paraId="51E0887C" w14:textId="77777777">
            <w:pPr>
              <w:tabs>
                <w:tab w:val="center" w:pos="4680"/>
              </w:tabs>
              <w:suppressAutoHyphens/>
              <w:rPr>
                <w:spacing w:val="-2"/>
              </w:rPr>
            </w:pPr>
          </w:p>
          <w:p w:rsidR="006807AE" w:rsidRPr="006807AE" w:rsidP="006807AE" w14:paraId="2DE0D025" w14:textId="77777777">
            <w:pPr>
              <w:tabs>
                <w:tab w:val="center" w:pos="4680"/>
              </w:tabs>
              <w:suppressAutoHyphens/>
              <w:rPr>
                <w:spacing w:val="-2"/>
              </w:rPr>
            </w:pPr>
            <w:r w:rsidRPr="006807AE">
              <w:rPr>
                <w:spacing w:val="-2"/>
              </w:rPr>
              <w:t xml:space="preserve">Implementation of TRACED Act Section 6(a) </w:t>
            </w:r>
            <w:r w:rsidRPr="006807AE">
              <w:rPr>
                <w:spacing w:val="-2"/>
              </w:rPr>
              <w:t>—Knowledge of Customers by Entities with Access to Numbering Resources</w:t>
            </w:r>
          </w:p>
          <w:p w:rsidR="006807AE" w:rsidRPr="006807AE" w:rsidP="006807AE" w14:paraId="249DDFC7" w14:textId="77777777">
            <w:pPr>
              <w:tabs>
                <w:tab w:val="center" w:pos="4680"/>
              </w:tabs>
              <w:suppressAutoHyphens/>
              <w:rPr>
                <w:spacing w:val="-2"/>
              </w:rPr>
            </w:pPr>
          </w:p>
          <w:p w:rsidR="004C2EE3" w:rsidRPr="007115F7" w:rsidP="006807AE" w14:paraId="0EF13AB4" w14:textId="579EA1F2">
            <w:pPr>
              <w:tabs>
                <w:tab w:val="center" w:pos="4680"/>
              </w:tabs>
              <w:suppressAutoHyphens/>
              <w:rPr>
                <w:spacing w:val="-2"/>
              </w:rPr>
            </w:pPr>
            <w:r w:rsidRPr="006807AE">
              <w:rPr>
                <w:spacing w:val="-2"/>
              </w:rPr>
              <w:t>Process Reform for Executive Branch Review of Certain FCC Applications and Petitions Involving Foreign Ownership</w:t>
            </w:r>
          </w:p>
        </w:tc>
        <w:tc>
          <w:tcPr>
            <w:tcW w:w="630" w:type="dxa"/>
          </w:tcPr>
          <w:p w:rsidR="004C2EE3" w14:paraId="5765C71B" w14:textId="77777777">
            <w:pPr>
              <w:tabs>
                <w:tab w:val="center" w:pos="4680"/>
              </w:tabs>
              <w:suppressAutoHyphens/>
              <w:rPr>
                <w:b/>
                <w:spacing w:val="-2"/>
              </w:rPr>
            </w:pPr>
            <w:r>
              <w:rPr>
                <w:b/>
                <w:spacing w:val="-2"/>
              </w:rPr>
              <w:t>)</w:t>
            </w:r>
          </w:p>
          <w:p w:rsidR="004C2EE3" w14:paraId="76944E17" w14:textId="77777777">
            <w:pPr>
              <w:tabs>
                <w:tab w:val="center" w:pos="4680"/>
              </w:tabs>
              <w:suppressAutoHyphens/>
              <w:rPr>
                <w:b/>
                <w:spacing w:val="-2"/>
              </w:rPr>
            </w:pPr>
            <w:r>
              <w:rPr>
                <w:b/>
                <w:spacing w:val="-2"/>
              </w:rPr>
              <w:t>)</w:t>
            </w:r>
          </w:p>
          <w:p w:rsidR="004C2EE3" w14:paraId="3284CF27" w14:textId="77777777">
            <w:pPr>
              <w:tabs>
                <w:tab w:val="center" w:pos="4680"/>
              </w:tabs>
              <w:suppressAutoHyphens/>
              <w:rPr>
                <w:b/>
                <w:spacing w:val="-2"/>
              </w:rPr>
            </w:pPr>
            <w:r>
              <w:rPr>
                <w:b/>
                <w:spacing w:val="-2"/>
              </w:rPr>
              <w:t>)</w:t>
            </w:r>
          </w:p>
          <w:p w:rsidR="004C2EE3" w14:paraId="2C0BDC51" w14:textId="77777777">
            <w:pPr>
              <w:tabs>
                <w:tab w:val="center" w:pos="4680"/>
              </w:tabs>
              <w:suppressAutoHyphens/>
              <w:rPr>
                <w:b/>
                <w:spacing w:val="-2"/>
              </w:rPr>
            </w:pPr>
            <w:r>
              <w:rPr>
                <w:b/>
                <w:spacing w:val="-2"/>
              </w:rPr>
              <w:t>)</w:t>
            </w:r>
          </w:p>
          <w:p w:rsidR="004C2EE3" w14:paraId="5E0FDE66" w14:textId="77777777">
            <w:pPr>
              <w:tabs>
                <w:tab w:val="center" w:pos="4680"/>
              </w:tabs>
              <w:suppressAutoHyphens/>
              <w:rPr>
                <w:b/>
                <w:spacing w:val="-2"/>
              </w:rPr>
            </w:pPr>
            <w:r>
              <w:rPr>
                <w:b/>
                <w:spacing w:val="-2"/>
              </w:rPr>
              <w:t>)</w:t>
            </w:r>
          </w:p>
          <w:p w:rsidR="004C2EE3" w14:paraId="21D3DA21" w14:textId="77777777">
            <w:pPr>
              <w:tabs>
                <w:tab w:val="center" w:pos="4680"/>
              </w:tabs>
              <w:suppressAutoHyphens/>
              <w:rPr>
                <w:b/>
                <w:spacing w:val="-2"/>
              </w:rPr>
            </w:pPr>
            <w:r>
              <w:rPr>
                <w:b/>
                <w:spacing w:val="-2"/>
              </w:rPr>
              <w:t>)</w:t>
            </w:r>
          </w:p>
          <w:p w:rsidR="004C2EE3" w14:paraId="5763ED1E" w14:textId="77777777">
            <w:pPr>
              <w:tabs>
                <w:tab w:val="center" w:pos="4680"/>
              </w:tabs>
              <w:suppressAutoHyphens/>
              <w:rPr>
                <w:b/>
                <w:spacing w:val="-2"/>
              </w:rPr>
            </w:pPr>
            <w:r>
              <w:rPr>
                <w:b/>
                <w:spacing w:val="-2"/>
              </w:rPr>
              <w:t>)</w:t>
            </w:r>
          </w:p>
          <w:p w:rsidR="004C2EE3" w14:paraId="2F8C7C87" w14:textId="77777777">
            <w:pPr>
              <w:tabs>
                <w:tab w:val="center" w:pos="4680"/>
              </w:tabs>
              <w:suppressAutoHyphens/>
              <w:rPr>
                <w:b/>
                <w:spacing w:val="-2"/>
              </w:rPr>
            </w:pPr>
            <w:r>
              <w:rPr>
                <w:b/>
                <w:spacing w:val="-2"/>
              </w:rPr>
              <w:t>)</w:t>
            </w:r>
          </w:p>
          <w:p w:rsidR="004C2EE3" w14:paraId="66ED6BCB" w14:textId="77777777">
            <w:pPr>
              <w:tabs>
                <w:tab w:val="center" w:pos="4680"/>
              </w:tabs>
              <w:suppressAutoHyphens/>
              <w:rPr>
                <w:b/>
                <w:spacing w:val="-2"/>
              </w:rPr>
            </w:pPr>
            <w:r>
              <w:rPr>
                <w:b/>
                <w:spacing w:val="-2"/>
              </w:rPr>
              <w:t>)</w:t>
            </w:r>
          </w:p>
          <w:p w:rsidR="00D15773" w14:paraId="12DEBFE6" w14:textId="77777777">
            <w:pPr>
              <w:tabs>
                <w:tab w:val="center" w:pos="4680"/>
              </w:tabs>
              <w:suppressAutoHyphens/>
              <w:rPr>
                <w:b/>
                <w:spacing w:val="-2"/>
              </w:rPr>
            </w:pPr>
            <w:r>
              <w:rPr>
                <w:b/>
                <w:spacing w:val="-2"/>
              </w:rPr>
              <w:t>)</w:t>
            </w:r>
          </w:p>
          <w:p w:rsidR="00D15773" w14:paraId="4CC92C4A" w14:textId="77777777">
            <w:pPr>
              <w:tabs>
                <w:tab w:val="center" w:pos="4680"/>
              </w:tabs>
              <w:suppressAutoHyphens/>
              <w:rPr>
                <w:b/>
                <w:spacing w:val="-2"/>
              </w:rPr>
            </w:pPr>
            <w:r>
              <w:rPr>
                <w:b/>
                <w:spacing w:val="-2"/>
              </w:rPr>
              <w:t>)</w:t>
            </w:r>
          </w:p>
          <w:p w:rsidR="00D15773" w14:paraId="2A7651B6" w14:textId="77777777">
            <w:pPr>
              <w:tabs>
                <w:tab w:val="center" w:pos="4680"/>
              </w:tabs>
              <w:suppressAutoHyphens/>
              <w:rPr>
                <w:b/>
                <w:spacing w:val="-2"/>
              </w:rPr>
            </w:pPr>
            <w:r>
              <w:rPr>
                <w:b/>
                <w:spacing w:val="-2"/>
              </w:rPr>
              <w:t>)</w:t>
            </w:r>
          </w:p>
          <w:p w:rsidR="00D15773" w14:paraId="4DC3D215" w14:textId="77777777">
            <w:pPr>
              <w:tabs>
                <w:tab w:val="center" w:pos="4680"/>
              </w:tabs>
              <w:suppressAutoHyphens/>
              <w:rPr>
                <w:b/>
                <w:spacing w:val="-2"/>
              </w:rPr>
            </w:pPr>
            <w:r>
              <w:rPr>
                <w:b/>
                <w:spacing w:val="-2"/>
              </w:rPr>
              <w:t>)</w:t>
            </w:r>
          </w:p>
          <w:p w:rsidR="00D15773" w14:paraId="020B4E58" w14:textId="77777777">
            <w:pPr>
              <w:tabs>
                <w:tab w:val="center" w:pos="4680"/>
              </w:tabs>
              <w:suppressAutoHyphens/>
              <w:rPr>
                <w:b/>
                <w:spacing w:val="-2"/>
              </w:rPr>
            </w:pPr>
            <w:r>
              <w:rPr>
                <w:b/>
                <w:spacing w:val="-2"/>
              </w:rPr>
              <w:t>)</w:t>
            </w:r>
          </w:p>
          <w:p w:rsidR="00D15773" w14:paraId="3B921EB6" w14:textId="6C5F4C17">
            <w:pPr>
              <w:tabs>
                <w:tab w:val="center" w:pos="4680"/>
              </w:tabs>
              <w:suppressAutoHyphens/>
              <w:rPr>
                <w:spacing w:val="-2"/>
              </w:rPr>
            </w:pPr>
          </w:p>
        </w:tc>
        <w:tc>
          <w:tcPr>
            <w:tcW w:w="4248" w:type="dxa"/>
          </w:tcPr>
          <w:p w:rsidR="004C2EE3" w14:paraId="6FB0F385" w14:textId="77777777">
            <w:pPr>
              <w:tabs>
                <w:tab w:val="center" w:pos="4680"/>
              </w:tabs>
              <w:suppressAutoHyphens/>
              <w:rPr>
                <w:spacing w:val="-2"/>
              </w:rPr>
            </w:pPr>
          </w:p>
          <w:p w:rsidR="004C2EE3" w14:paraId="727B397D" w14:textId="77777777">
            <w:pPr>
              <w:pStyle w:val="TOAHeading"/>
              <w:tabs>
                <w:tab w:val="center" w:pos="4680"/>
                <w:tab w:val="clear" w:pos="9360"/>
              </w:tabs>
              <w:rPr>
                <w:spacing w:val="-2"/>
              </w:rPr>
            </w:pPr>
          </w:p>
          <w:p w:rsidR="006807AE" w:rsidRPr="006807AE" w:rsidP="006807AE" w14:paraId="2027B8B5" w14:textId="77777777">
            <w:pPr>
              <w:pStyle w:val="TOAHeading"/>
              <w:tabs>
                <w:tab w:val="center" w:pos="4680"/>
                <w:tab w:val="clear" w:pos="9360"/>
              </w:tabs>
              <w:rPr>
                <w:spacing w:val="-2"/>
              </w:rPr>
            </w:pPr>
            <w:r w:rsidRPr="006807AE">
              <w:rPr>
                <w:spacing w:val="-2"/>
              </w:rPr>
              <w:t>WC Docket No. 13-97</w:t>
            </w:r>
          </w:p>
          <w:p w:rsidR="006807AE" w:rsidRPr="006807AE" w:rsidP="006807AE" w14:paraId="2EE5C635" w14:textId="77777777">
            <w:pPr>
              <w:pStyle w:val="TOAHeading"/>
              <w:tabs>
                <w:tab w:val="center" w:pos="4680"/>
                <w:tab w:val="clear" w:pos="9360"/>
              </w:tabs>
              <w:rPr>
                <w:spacing w:val="-2"/>
              </w:rPr>
            </w:pPr>
          </w:p>
          <w:p w:rsidR="006807AE" w:rsidRPr="006807AE" w:rsidP="006807AE" w14:paraId="3FF1998C" w14:textId="77777777">
            <w:pPr>
              <w:pStyle w:val="TOAHeading"/>
              <w:tabs>
                <w:tab w:val="center" w:pos="4680"/>
                <w:tab w:val="clear" w:pos="9360"/>
              </w:tabs>
              <w:rPr>
                <w:spacing w:val="-2"/>
              </w:rPr>
            </w:pPr>
            <w:r w:rsidRPr="006807AE">
              <w:rPr>
                <w:spacing w:val="-2"/>
              </w:rPr>
              <w:t xml:space="preserve">WC Docket No. </w:t>
            </w:r>
            <w:r w:rsidRPr="006807AE">
              <w:rPr>
                <w:spacing w:val="-2"/>
              </w:rPr>
              <w:t>07-243</w:t>
            </w:r>
          </w:p>
          <w:p w:rsidR="006807AE" w:rsidRPr="006807AE" w:rsidP="006807AE" w14:paraId="329C75D7" w14:textId="77777777">
            <w:pPr>
              <w:pStyle w:val="TOAHeading"/>
              <w:tabs>
                <w:tab w:val="center" w:pos="4680"/>
                <w:tab w:val="clear" w:pos="9360"/>
              </w:tabs>
              <w:rPr>
                <w:spacing w:val="-2"/>
              </w:rPr>
            </w:pPr>
          </w:p>
          <w:p w:rsidR="006807AE" w:rsidRPr="006807AE" w:rsidP="006807AE" w14:paraId="376174C0" w14:textId="77777777">
            <w:pPr>
              <w:pStyle w:val="TOAHeading"/>
              <w:tabs>
                <w:tab w:val="center" w:pos="4680"/>
                <w:tab w:val="clear" w:pos="9360"/>
              </w:tabs>
              <w:rPr>
                <w:spacing w:val="-2"/>
              </w:rPr>
            </w:pPr>
          </w:p>
          <w:p w:rsidR="006807AE" w:rsidRPr="006807AE" w:rsidP="006807AE" w14:paraId="30C8B3B5" w14:textId="77777777">
            <w:pPr>
              <w:pStyle w:val="TOAHeading"/>
              <w:tabs>
                <w:tab w:val="center" w:pos="4680"/>
                <w:tab w:val="clear" w:pos="9360"/>
              </w:tabs>
              <w:rPr>
                <w:spacing w:val="-2"/>
              </w:rPr>
            </w:pPr>
            <w:r w:rsidRPr="006807AE">
              <w:rPr>
                <w:spacing w:val="-2"/>
              </w:rPr>
              <w:t>WC Docket No. 20-67</w:t>
            </w:r>
          </w:p>
          <w:p w:rsidR="006807AE" w:rsidRPr="006807AE" w:rsidP="006807AE" w14:paraId="1EA2E4F2" w14:textId="77777777">
            <w:pPr>
              <w:pStyle w:val="TOAHeading"/>
              <w:tabs>
                <w:tab w:val="center" w:pos="4680"/>
                <w:tab w:val="clear" w:pos="9360"/>
              </w:tabs>
              <w:rPr>
                <w:spacing w:val="-2"/>
              </w:rPr>
            </w:pPr>
          </w:p>
          <w:p w:rsidR="006807AE" w:rsidRPr="006807AE" w:rsidP="006807AE" w14:paraId="6A35E89C" w14:textId="77777777">
            <w:pPr>
              <w:pStyle w:val="TOAHeading"/>
              <w:tabs>
                <w:tab w:val="center" w:pos="4680"/>
                <w:tab w:val="clear" w:pos="9360"/>
              </w:tabs>
              <w:rPr>
                <w:spacing w:val="-2"/>
              </w:rPr>
            </w:pPr>
          </w:p>
          <w:p w:rsidR="006807AE" w:rsidRPr="006807AE" w:rsidP="006807AE" w14:paraId="31299A90" w14:textId="77777777">
            <w:pPr>
              <w:pStyle w:val="TOAHeading"/>
              <w:tabs>
                <w:tab w:val="center" w:pos="4680"/>
                <w:tab w:val="clear" w:pos="9360"/>
              </w:tabs>
              <w:rPr>
                <w:spacing w:val="-2"/>
              </w:rPr>
            </w:pPr>
          </w:p>
          <w:p w:rsidR="004C2EE3" w:rsidP="006807AE" w14:paraId="7C595A21" w14:textId="241B63C0">
            <w:pPr>
              <w:tabs>
                <w:tab w:val="center" w:pos="4680"/>
              </w:tabs>
              <w:suppressAutoHyphens/>
              <w:rPr>
                <w:spacing w:val="-2"/>
              </w:rPr>
            </w:pPr>
            <w:r w:rsidRPr="006807AE">
              <w:rPr>
                <w:spacing w:val="-2"/>
              </w:rPr>
              <w:t>IB Docket No. 16-155</w:t>
            </w:r>
          </w:p>
        </w:tc>
      </w:tr>
    </w:tbl>
    <w:p w:rsidR="004C2EE3" w:rsidP="0070224F" w14:paraId="5BD3A9E3" w14:textId="77777777"/>
    <w:p w:rsidR="00841AB1" w:rsidP="00F021FA" w14:paraId="62296399" w14:textId="5B5E8E82">
      <w:pPr>
        <w:pStyle w:val="StyleBoldCentered"/>
      </w:pPr>
      <w:r>
        <w:t>Second Report and Order AND</w:t>
      </w:r>
    </w:p>
    <w:p w:rsidR="006807AE" w:rsidP="00F021FA" w14:paraId="40D5F8F8" w14:textId="50569631">
      <w:pPr>
        <w:pStyle w:val="StyleBoldCentered"/>
      </w:pPr>
      <w:r>
        <w:t>Second Further Notice of proposed rulemaking</w:t>
      </w:r>
    </w:p>
    <w:p w:rsidR="004C2EE3" w14:paraId="68DEC144" w14:textId="77777777">
      <w:pPr>
        <w:tabs>
          <w:tab w:val="left" w:pos="-720"/>
        </w:tabs>
        <w:suppressAutoHyphens/>
        <w:spacing w:line="227" w:lineRule="auto"/>
        <w:rPr>
          <w:spacing w:val="-2"/>
        </w:rPr>
      </w:pPr>
    </w:p>
    <w:p w:rsidR="004C2EE3" w:rsidP="00133F79" w14:paraId="44A941FE" w14:textId="4C84D116">
      <w:pPr>
        <w:tabs>
          <w:tab w:val="left" w:pos="720"/>
          <w:tab w:val="right" w:pos="9360"/>
        </w:tabs>
        <w:suppressAutoHyphens/>
        <w:spacing w:line="227" w:lineRule="auto"/>
        <w:rPr>
          <w:spacing w:val="-2"/>
        </w:rPr>
      </w:pPr>
      <w:r>
        <w:rPr>
          <w:b/>
          <w:spacing w:val="-2"/>
        </w:rPr>
        <w:t xml:space="preserve">Adopted:  </w:t>
      </w:r>
      <w:r w:rsidR="006807AE">
        <w:rPr>
          <w:b/>
          <w:spacing w:val="-2"/>
        </w:rPr>
        <w:t>September 21,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807AE">
        <w:rPr>
          <w:b/>
          <w:spacing w:val="-2"/>
        </w:rPr>
        <w:t>September 22, 2023</w:t>
      </w:r>
    </w:p>
    <w:p w:rsidR="00822CE0" w14:paraId="2C558384" w14:textId="77777777"/>
    <w:p w:rsidR="006807AE" w:rsidRPr="006807AE" w14:paraId="76C870EC" w14:textId="6F68852B">
      <w:pPr>
        <w:rPr>
          <w:b/>
          <w:bCs/>
        </w:rPr>
      </w:pPr>
      <w:r w:rsidRPr="006807AE">
        <w:rPr>
          <w:b/>
          <w:bCs/>
        </w:rPr>
        <w:t xml:space="preserve">Comment Date:  (30 days after date of publication in the </w:t>
      </w:r>
      <w:r w:rsidRPr="006807AE">
        <w:rPr>
          <w:b/>
          <w:bCs/>
        </w:rPr>
        <w:t>Federal Register)</w:t>
      </w:r>
    </w:p>
    <w:p w:rsidR="006807AE" w:rsidRPr="006807AE" w14:paraId="2F83AA29" w14:textId="4BD6AC1F">
      <w:pPr>
        <w:rPr>
          <w:b/>
          <w:bCs/>
        </w:rPr>
      </w:pPr>
      <w:r w:rsidRPr="006807AE">
        <w:rPr>
          <w:b/>
          <w:bCs/>
        </w:rPr>
        <w:t>Reply Comment Date:  (60 days after date of publication in the Federal Register)</w:t>
      </w:r>
    </w:p>
    <w:p w:rsidR="006807AE" w14:paraId="7872586A" w14:textId="77777777"/>
    <w:p w:rsidR="007F1C09" w14:paraId="0E611B69" w14:textId="22EB1085">
      <w:pPr>
        <w:rPr>
          <w:spacing w:val="-2"/>
        </w:rPr>
      </w:pPr>
      <w:r>
        <w:t xml:space="preserve">By </w:t>
      </w:r>
      <w:r w:rsidR="004E4A22">
        <w:t>the</w:t>
      </w:r>
      <w:r w:rsidR="002A2D2E">
        <w:t xml:space="preserve"> </w:t>
      </w:r>
      <w:r w:rsidR="006807AE">
        <w:rPr>
          <w:spacing w:val="-2"/>
        </w:rPr>
        <w:t>Commission</w:t>
      </w:r>
      <w:r>
        <w:rPr>
          <w:spacing w:val="-2"/>
        </w:rPr>
        <w:t>:</w:t>
      </w:r>
      <w:r w:rsidR="003C22BC">
        <w:rPr>
          <w:spacing w:val="-2"/>
        </w:rPr>
        <w:t xml:space="preserve"> </w:t>
      </w:r>
      <w:r w:rsidRPr="00DF0BCF" w:rsidR="00DF0BCF">
        <w:rPr>
          <w:spacing w:val="-2"/>
        </w:rPr>
        <w:t>Chairwoman Rosenworcel issuing a statement.</w:t>
      </w:r>
    </w:p>
    <w:p w:rsidR="00822CE0" w:rsidP="00027787" w14:paraId="7C2B30E3" w14:textId="17762D62">
      <w:pPr>
        <w:pStyle w:val="TOCTitle"/>
      </w:pPr>
      <w:bookmarkStart w:id="0" w:name="TOChere"/>
      <w:r>
        <w:t>Table of Contents</w:t>
      </w:r>
    </w:p>
    <w:p w:rsidR="00027787" w:rsidP="00027787" w14:paraId="1C013069" w14:textId="74B1CC82">
      <w:pPr>
        <w:pStyle w:val="TOC1"/>
        <w:rPr>
          <w:rFonts w:ascii="Calibri" w:hAnsi="Calibri"/>
          <w:caps w:val="0"/>
          <w:snapToGrid/>
          <w:kern w:val="2"/>
          <w:szCs w:val="22"/>
        </w:rPr>
      </w:pPr>
      <w:r>
        <w:t>I.</w:t>
      </w:r>
      <w:r>
        <w:rPr>
          <w:rFonts w:ascii="Calibri" w:hAnsi="Calibri"/>
          <w:caps w:val="0"/>
          <w:snapToGrid/>
          <w:kern w:val="2"/>
          <w:szCs w:val="22"/>
        </w:rPr>
        <w:tab/>
      </w:r>
      <w:r>
        <w:t>introduction</w:t>
      </w:r>
      <w:r>
        <w:tab/>
        <w:t>1</w:t>
      </w:r>
    </w:p>
    <w:p w:rsidR="00027787" w:rsidP="00027787" w14:paraId="74AAE683" w14:textId="5E86B289">
      <w:pPr>
        <w:pStyle w:val="TOC1"/>
        <w:rPr>
          <w:rFonts w:ascii="Calibri" w:hAnsi="Calibri"/>
          <w:caps w:val="0"/>
          <w:snapToGrid/>
          <w:kern w:val="2"/>
          <w:szCs w:val="22"/>
        </w:rPr>
      </w:pPr>
      <w:r>
        <w:t>II.</w:t>
      </w:r>
      <w:r>
        <w:rPr>
          <w:rFonts w:ascii="Calibri" w:hAnsi="Calibri"/>
          <w:caps w:val="0"/>
          <w:snapToGrid/>
          <w:kern w:val="2"/>
          <w:szCs w:val="22"/>
        </w:rPr>
        <w:tab/>
      </w:r>
      <w:r>
        <w:t>background</w:t>
      </w:r>
      <w:r>
        <w:tab/>
        <w:t>5</w:t>
      </w:r>
    </w:p>
    <w:p w:rsidR="00027787" w:rsidP="00027787" w14:paraId="5B5A1C89" w14:textId="63C1BB3A">
      <w:pPr>
        <w:pStyle w:val="TOC1"/>
        <w:rPr>
          <w:rFonts w:ascii="Calibri" w:hAnsi="Calibri"/>
          <w:caps w:val="0"/>
          <w:snapToGrid/>
          <w:kern w:val="2"/>
          <w:szCs w:val="22"/>
        </w:rPr>
      </w:pPr>
      <w:r>
        <w:t>III.</w:t>
      </w:r>
      <w:r>
        <w:rPr>
          <w:rFonts w:ascii="Calibri" w:hAnsi="Calibri"/>
          <w:caps w:val="0"/>
          <w:snapToGrid/>
          <w:kern w:val="2"/>
          <w:szCs w:val="22"/>
        </w:rPr>
        <w:tab/>
      </w:r>
      <w:r>
        <w:t>discussion</w:t>
      </w:r>
      <w:r>
        <w:tab/>
        <w:t>11</w:t>
      </w:r>
    </w:p>
    <w:p w:rsidR="00027787" w:rsidP="00027787" w14:paraId="2B0591CE" w14:textId="073BC832">
      <w:pPr>
        <w:pStyle w:val="TOC2"/>
        <w:tabs>
          <w:tab w:val="left" w:pos="360"/>
        </w:tabs>
        <w:rPr>
          <w:rFonts w:ascii="Calibri" w:hAnsi="Calibri"/>
          <w:snapToGrid/>
          <w:kern w:val="2"/>
          <w:szCs w:val="22"/>
        </w:rPr>
      </w:pPr>
      <w:r>
        <w:t>A.</w:t>
      </w:r>
      <w:r>
        <w:rPr>
          <w:rFonts w:ascii="Calibri" w:hAnsi="Calibri"/>
          <w:snapToGrid/>
          <w:kern w:val="2"/>
          <w:szCs w:val="22"/>
        </w:rPr>
        <w:tab/>
      </w:r>
      <w:r>
        <w:t>Ensuring that Auth</w:t>
      </w:r>
      <w:r>
        <w:t>orization Approvals Serve the Public Interest</w:t>
      </w:r>
      <w:r>
        <w:tab/>
        <w:t>12</w:t>
      </w:r>
    </w:p>
    <w:p w:rsidR="00027787" w:rsidP="00027787" w14:paraId="0FB7641B" w14:textId="785C45A1">
      <w:pPr>
        <w:pStyle w:val="TOC3"/>
        <w:tabs>
          <w:tab w:val="left" w:pos="360"/>
        </w:tabs>
        <w:rPr>
          <w:rFonts w:ascii="Calibri" w:hAnsi="Calibri"/>
          <w:snapToGrid/>
          <w:kern w:val="2"/>
          <w:szCs w:val="22"/>
        </w:rPr>
      </w:pPr>
      <w:r>
        <w:t>1.</w:t>
      </w:r>
      <w:r>
        <w:rPr>
          <w:rFonts w:ascii="Calibri" w:hAnsi="Calibri"/>
          <w:snapToGrid/>
          <w:kern w:val="2"/>
          <w:szCs w:val="22"/>
        </w:rPr>
        <w:tab/>
      </w:r>
      <w:r>
        <w:t>Certifying Compliance with Robocall-Related Rules</w:t>
      </w:r>
      <w:r>
        <w:tab/>
        <w:t>13</w:t>
      </w:r>
    </w:p>
    <w:p w:rsidR="00027787" w:rsidP="00027787" w14:paraId="0988123D" w14:textId="11910A0A">
      <w:pPr>
        <w:pStyle w:val="TOC3"/>
        <w:tabs>
          <w:tab w:val="left" w:pos="360"/>
        </w:tabs>
        <w:rPr>
          <w:rFonts w:ascii="Calibri" w:hAnsi="Calibri"/>
          <w:snapToGrid/>
          <w:kern w:val="2"/>
          <w:szCs w:val="22"/>
        </w:rPr>
      </w:pPr>
      <w:r>
        <w:t>2.</w:t>
      </w:r>
      <w:r>
        <w:rPr>
          <w:rFonts w:ascii="Calibri" w:hAnsi="Calibri"/>
          <w:snapToGrid/>
          <w:kern w:val="2"/>
          <w:szCs w:val="22"/>
        </w:rPr>
        <w:tab/>
      </w:r>
      <w:r>
        <w:t>Enhanced Disclosure and Review of Ownership and Control of Applicants</w:t>
      </w:r>
      <w:r>
        <w:tab/>
        <w:t>19</w:t>
      </w:r>
    </w:p>
    <w:p w:rsidR="00027787" w:rsidP="00027787" w14:paraId="44306B01" w14:textId="5F704BF4">
      <w:pPr>
        <w:pStyle w:val="TOC3"/>
        <w:tabs>
          <w:tab w:val="left" w:pos="360"/>
        </w:tabs>
        <w:rPr>
          <w:rFonts w:ascii="Calibri" w:hAnsi="Calibri"/>
          <w:snapToGrid/>
          <w:kern w:val="2"/>
          <w:szCs w:val="22"/>
        </w:rPr>
      </w:pPr>
      <w:r>
        <w:t>3.</w:t>
      </w:r>
      <w:r>
        <w:rPr>
          <w:rFonts w:ascii="Calibri" w:hAnsi="Calibri"/>
          <w:snapToGrid/>
          <w:kern w:val="2"/>
          <w:szCs w:val="22"/>
        </w:rPr>
        <w:tab/>
      </w:r>
      <w:r>
        <w:t>Certifying Compliance with Other Commission Rules</w:t>
      </w:r>
      <w:r>
        <w:tab/>
        <w:t>36</w:t>
      </w:r>
    </w:p>
    <w:p w:rsidR="00027787" w:rsidP="00027787" w14:paraId="1085CBB9" w14:textId="228009FF">
      <w:pPr>
        <w:pStyle w:val="TOC3"/>
        <w:tabs>
          <w:tab w:val="left" w:pos="360"/>
        </w:tabs>
        <w:rPr>
          <w:rFonts w:ascii="Calibri" w:hAnsi="Calibri"/>
          <w:snapToGrid/>
          <w:kern w:val="2"/>
          <w:szCs w:val="22"/>
        </w:rPr>
      </w:pPr>
      <w:r>
        <w:t>4.</w:t>
      </w:r>
      <w:r>
        <w:rPr>
          <w:rFonts w:ascii="Calibri" w:hAnsi="Calibri"/>
          <w:snapToGrid/>
          <w:kern w:val="2"/>
          <w:szCs w:val="22"/>
        </w:rPr>
        <w:tab/>
      </w:r>
      <w:r>
        <w:t>Compliance with State Laws</w:t>
      </w:r>
      <w:r>
        <w:tab/>
        <w:t>45</w:t>
      </w:r>
    </w:p>
    <w:p w:rsidR="00027787" w:rsidP="00027787" w14:paraId="77E5412F" w14:textId="63664FF1">
      <w:pPr>
        <w:pStyle w:val="TOC3"/>
        <w:tabs>
          <w:tab w:val="left" w:pos="360"/>
        </w:tabs>
        <w:rPr>
          <w:rFonts w:ascii="Calibri" w:hAnsi="Calibri"/>
          <w:snapToGrid/>
          <w:kern w:val="2"/>
          <w:szCs w:val="22"/>
        </w:rPr>
      </w:pPr>
      <w:r>
        <w:t>5.</w:t>
      </w:r>
      <w:r>
        <w:rPr>
          <w:rFonts w:ascii="Calibri" w:hAnsi="Calibri"/>
          <w:snapToGrid/>
          <w:kern w:val="2"/>
          <w:szCs w:val="22"/>
        </w:rPr>
        <w:tab/>
      </w:r>
      <w:r>
        <w:t>Ensuring the Accuracy of Application Contents</w:t>
      </w:r>
      <w:r>
        <w:tab/>
        <w:t>54</w:t>
      </w:r>
    </w:p>
    <w:p w:rsidR="00027787" w:rsidP="00027787" w14:paraId="3102A521" w14:textId="47757622">
      <w:pPr>
        <w:pStyle w:val="TOC3"/>
        <w:tabs>
          <w:tab w:val="left" w:pos="360"/>
        </w:tabs>
        <w:rPr>
          <w:rFonts w:ascii="Calibri" w:hAnsi="Calibri"/>
          <w:snapToGrid/>
          <w:kern w:val="2"/>
          <w:szCs w:val="22"/>
        </w:rPr>
      </w:pPr>
      <w:r>
        <w:t>6.</w:t>
      </w:r>
      <w:r>
        <w:rPr>
          <w:rFonts w:ascii="Calibri" w:hAnsi="Calibri"/>
          <w:snapToGrid/>
          <w:kern w:val="2"/>
          <w:szCs w:val="22"/>
        </w:rPr>
        <w:tab/>
      </w:r>
      <w:r>
        <w:t>Other Issues</w:t>
      </w:r>
      <w:r>
        <w:tab/>
        <w:t>56</w:t>
      </w:r>
    </w:p>
    <w:p w:rsidR="00027787" w:rsidP="00027787" w14:paraId="4D85C2F9" w14:textId="7AC2581A">
      <w:pPr>
        <w:pStyle w:val="TOC2"/>
        <w:tabs>
          <w:tab w:val="left" w:pos="360"/>
        </w:tabs>
        <w:rPr>
          <w:rFonts w:ascii="Calibri" w:hAnsi="Calibri"/>
          <w:snapToGrid/>
          <w:kern w:val="2"/>
          <w:szCs w:val="22"/>
        </w:rPr>
      </w:pPr>
      <w:r>
        <w:t>B.</w:t>
      </w:r>
      <w:r>
        <w:rPr>
          <w:rFonts w:ascii="Calibri" w:hAnsi="Calibri"/>
          <w:snapToGrid/>
          <w:kern w:val="2"/>
          <w:szCs w:val="22"/>
        </w:rPr>
        <w:tab/>
      </w:r>
      <w:r>
        <w:t>Application Review and Authorization Oversight</w:t>
      </w:r>
      <w:r>
        <w:tab/>
        <w:t>59</w:t>
      </w:r>
    </w:p>
    <w:p w:rsidR="00027787" w:rsidP="00027787" w14:paraId="1F959816" w14:textId="79687754">
      <w:pPr>
        <w:pStyle w:val="TOC3"/>
        <w:tabs>
          <w:tab w:val="left" w:pos="360"/>
        </w:tabs>
        <w:rPr>
          <w:rFonts w:ascii="Calibri" w:hAnsi="Calibri"/>
          <w:snapToGrid/>
          <w:kern w:val="2"/>
          <w:szCs w:val="22"/>
        </w:rPr>
      </w:pPr>
      <w:r>
        <w:t>1.</w:t>
      </w:r>
      <w:r>
        <w:rPr>
          <w:rFonts w:ascii="Calibri" w:hAnsi="Calibri"/>
          <w:snapToGrid/>
          <w:kern w:val="2"/>
          <w:szCs w:val="22"/>
        </w:rPr>
        <w:tab/>
      </w:r>
      <w:r>
        <w:t>Codifying the Process for Reviewing Direct Access Applications</w:t>
      </w:r>
      <w:r>
        <w:tab/>
        <w:t>60</w:t>
      </w:r>
    </w:p>
    <w:p w:rsidR="00027787" w:rsidP="00027787" w14:paraId="48F83E5C" w14:textId="7BA0F146">
      <w:pPr>
        <w:pStyle w:val="TOC3"/>
        <w:tabs>
          <w:tab w:val="left" w:pos="360"/>
        </w:tabs>
        <w:rPr>
          <w:rFonts w:ascii="Calibri" w:hAnsi="Calibri"/>
          <w:snapToGrid/>
          <w:kern w:val="2"/>
          <w:szCs w:val="22"/>
        </w:rPr>
      </w:pPr>
      <w:r>
        <w:t>2.</w:t>
      </w:r>
      <w:r>
        <w:rPr>
          <w:rFonts w:ascii="Calibri" w:hAnsi="Calibri"/>
          <w:snapToGrid/>
          <w:kern w:val="2"/>
          <w:szCs w:val="22"/>
        </w:rPr>
        <w:tab/>
      </w:r>
      <w:r>
        <w:t>Codifying the Processes for Re</w:t>
      </w:r>
      <w:r>
        <w:t>jecting Direct Access Applications</w:t>
      </w:r>
      <w:r>
        <w:tab/>
        <w:t>62</w:t>
      </w:r>
    </w:p>
    <w:p w:rsidR="00027787" w:rsidP="00027787" w14:paraId="767D3C5D" w14:textId="21B0D8BC">
      <w:pPr>
        <w:pStyle w:val="TOC3"/>
        <w:tabs>
          <w:tab w:val="left" w:pos="360"/>
        </w:tabs>
        <w:rPr>
          <w:rFonts w:ascii="Calibri" w:hAnsi="Calibri"/>
          <w:snapToGrid/>
          <w:kern w:val="2"/>
          <w:szCs w:val="22"/>
        </w:rPr>
      </w:pPr>
      <w:r>
        <w:t>3.</w:t>
      </w:r>
      <w:r>
        <w:rPr>
          <w:rFonts w:ascii="Calibri" w:hAnsi="Calibri"/>
          <w:snapToGrid/>
          <w:kern w:val="2"/>
          <w:szCs w:val="22"/>
        </w:rPr>
        <w:tab/>
      </w:r>
      <w:r>
        <w:t>Revocation of Authorization</w:t>
      </w:r>
      <w:r>
        <w:tab/>
        <w:t>63</w:t>
      </w:r>
    </w:p>
    <w:p w:rsidR="00027787" w:rsidP="00027787" w14:paraId="3D81C009" w14:textId="39B08796">
      <w:pPr>
        <w:pStyle w:val="TOC2"/>
        <w:tabs>
          <w:tab w:val="left" w:pos="360"/>
        </w:tabs>
        <w:rPr>
          <w:rFonts w:ascii="Calibri" w:hAnsi="Calibri"/>
          <w:snapToGrid/>
          <w:kern w:val="2"/>
          <w:szCs w:val="22"/>
        </w:rPr>
      </w:pPr>
      <w:r>
        <w:t>C.</w:t>
      </w:r>
      <w:r>
        <w:rPr>
          <w:rFonts w:ascii="Calibri" w:hAnsi="Calibri"/>
          <w:snapToGrid/>
          <w:kern w:val="2"/>
          <w:szCs w:val="22"/>
        </w:rPr>
        <w:tab/>
      </w:r>
      <w:r>
        <w:t>North American Numbering Council Referrals</w:t>
      </w:r>
      <w:r>
        <w:tab/>
        <w:t>68</w:t>
      </w:r>
    </w:p>
    <w:p w:rsidR="00027787" w:rsidP="00027787" w14:paraId="35B0E3AD" w14:textId="0F415F52">
      <w:pPr>
        <w:pStyle w:val="TOC2"/>
        <w:tabs>
          <w:tab w:val="left" w:pos="360"/>
        </w:tabs>
        <w:rPr>
          <w:rFonts w:ascii="Calibri" w:hAnsi="Calibri"/>
          <w:snapToGrid/>
          <w:kern w:val="2"/>
          <w:szCs w:val="22"/>
        </w:rPr>
      </w:pPr>
      <w:r>
        <w:t>D.</w:t>
      </w:r>
      <w:r>
        <w:rPr>
          <w:rFonts w:ascii="Calibri" w:hAnsi="Calibri"/>
          <w:snapToGrid/>
          <w:kern w:val="2"/>
          <w:szCs w:val="22"/>
        </w:rPr>
        <w:tab/>
      </w:r>
      <w:r>
        <w:t>Cost-Benefit Analysis</w:t>
      </w:r>
      <w:r>
        <w:tab/>
        <w:t>74</w:t>
      </w:r>
    </w:p>
    <w:p w:rsidR="00027787" w:rsidP="00027787" w14:paraId="5E1B257C" w14:textId="4646ACDA">
      <w:pPr>
        <w:pStyle w:val="TOC2"/>
        <w:tabs>
          <w:tab w:val="left" w:pos="360"/>
        </w:tabs>
        <w:rPr>
          <w:rFonts w:ascii="Calibri" w:hAnsi="Calibri"/>
          <w:snapToGrid/>
          <w:kern w:val="2"/>
          <w:szCs w:val="22"/>
        </w:rPr>
      </w:pPr>
      <w:r>
        <w:t>E.</w:t>
      </w:r>
      <w:r>
        <w:rPr>
          <w:rFonts w:ascii="Calibri" w:hAnsi="Calibri"/>
          <w:snapToGrid/>
          <w:kern w:val="2"/>
          <w:szCs w:val="22"/>
        </w:rPr>
        <w:tab/>
      </w:r>
      <w:r>
        <w:t>Legal Authority</w:t>
      </w:r>
      <w:r>
        <w:tab/>
        <w:t>75</w:t>
      </w:r>
    </w:p>
    <w:p w:rsidR="00027787" w:rsidP="00027787" w14:paraId="5279E461" w14:textId="69057C81">
      <w:pPr>
        <w:pStyle w:val="TOC1"/>
        <w:rPr>
          <w:rFonts w:ascii="Calibri" w:hAnsi="Calibri"/>
          <w:caps w:val="0"/>
          <w:snapToGrid/>
          <w:kern w:val="2"/>
          <w:szCs w:val="22"/>
        </w:rPr>
      </w:pPr>
      <w:r>
        <w:t>IV.</w:t>
      </w:r>
      <w:r>
        <w:rPr>
          <w:rFonts w:ascii="Calibri" w:hAnsi="Calibri"/>
          <w:caps w:val="0"/>
          <w:snapToGrid/>
          <w:kern w:val="2"/>
          <w:szCs w:val="22"/>
        </w:rPr>
        <w:tab/>
      </w:r>
      <w:r>
        <w:t>Second further notice of proposed rulemaking</w:t>
      </w:r>
      <w:r>
        <w:tab/>
        <w:t>79</w:t>
      </w:r>
    </w:p>
    <w:p w:rsidR="00027787" w:rsidP="00027787" w14:paraId="293B5161" w14:textId="42EB7889">
      <w:pPr>
        <w:pStyle w:val="TOC2"/>
        <w:tabs>
          <w:tab w:val="left" w:pos="360"/>
        </w:tabs>
        <w:rPr>
          <w:rFonts w:ascii="Calibri" w:hAnsi="Calibri"/>
          <w:snapToGrid/>
          <w:kern w:val="2"/>
          <w:szCs w:val="22"/>
        </w:rPr>
      </w:pPr>
      <w:r>
        <w:t>A.</w:t>
      </w:r>
      <w:r>
        <w:rPr>
          <w:rFonts w:ascii="Calibri" w:hAnsi="Calibri"/>
          <w:snapToGrid/>
          <w:kern w:val="2"/>
          <w:szCs w:val="22"/>
        </w:rPr>
        <w:tab/>
      </w:r>
      <w:r>
        <w:t>Updating the Duties of Existin</w:t>
      </w:r>
      <w:r>
        <w:t>g Authorization Holders</w:t>
      </w:r>
      <w:r>
        <w:tab/>
        <w:t>80</w:t>
      </w:r>
    </w:p>
    <w:p w:rsidR="00027787" w:rsidP="00027787" w14:paraId="63ADBE8B" w14:textId="5673F836">
      <w:pPr>
        <w:pStyle w:val="TOC2"/>
        <w:tabs>
          <w:tab w:val="left" w:pos="360"/>
        </w:tabs>
        <w:rPr>
          <w:rFonts w:ascii="Calibri" w:hAnsi="Calibri"/>
          <w:snapToGrid/>
          <w:kern w:val="2"/>
          <w:szCs w:val="22"/>
        </w:rPr>
      </w:pPr>
      <w:r>
        <w:t>B.</w:t>
      </w:r>
      <w:r>
        <w:rPr>
          <w:rFonts w:ascii="Calibri" w:hAnsi="Calibri"/>
          <w:snapToGrid/>
          <w:kern w:val="2"/>
          <w:szCs w:val="22"/>
        </w:rPr>
        <w:tab/>
      </w:r>
      <w:r>
        <w:t>Disclosure of Initial Service Area in Direct Access Applications</w:t>
      </w:r>
      <w:r>
        <w:tab/>
        <w:t>86</w:t>
      </w:r>
    </w:p>
    <w:p w:rsidR="00027787" w:rsidP="00027787" w14:paraId="1B73BF34" w14:textId="170FA360">
      <w:pPr>
        <w:pStyle w:val="TOC2"/>
        <w:tabs>
          <w:tab w:val="left" w:pos="360"/>
        </w:tabs>
        <w:rPr>
          <w:rFonts w:ascii="Calibri" w:hAnsi="Calibri"/>
          <w:snapToGrid/>
          <w:kern w:val="2"/>
          <w:szCs w:val="22"/>
        </w:rPr>
      </w:pPr>
      <w:r>
        <w:t>C.</w:t>
      </w:r>
      <w:r>
        <w:rPr>
          <w:rFonts w:ascii="Calibri" w:hAnsi="Calibri"/>
          <w:snapToGrid/>
          <w:kern w:val="2"/>
          <w:szCs w:val="22"/>
        </w:rPr>
        <w:tab/>
      </w:r>
      <w:r>
        <w:t>Ensuring that Indirect Access Serves the Public Interest</w:t>
      </w:r>
      <w:r>
        <w:tab/>
        <w:t>87</w:t>
      </w:r>
    </w:p>
    <w:p w:rsidR="00027787" w:rsidP="00027787" w14:paraId="427AE629" w14:textId="3C352E7B">
      <w:pPr>
        <w:pStyle w:val="TOC2"/>
        <w:tabs>
          <w:tab w:val="left" w:pos="360"/>
        </w:tabs>
        <w:rPr>
          <w:rFonts w:ascii="Calibri" w:hAnsi="Calibri"/>
          <w:snapToGrid/>
          <w:kern w:val="2"/>
          <w:szCs w:val="22"/>
        </w:rPr>
      </w:pPr>
      <w:r>
        <w:t>D.</w:t>
      </w:r>
      <w:r>
        <w:rPr>
          <w:rFonts w:ascii="Calibri" w:hAnsi="Calibri"/>
          <w:snapToGrid/>
          <w:kern w:val="2"/>
          <w:szCs w:val="22"/>
        </w:rPr>
        <w:tab/>
      </w:r>
      <w:r>
        <w:t>Legal Authority</w:t>
      </w:r>
      <w:r>
        <w:tab/>
        <w:t>93</w:t>
      </w:r>
    </w:p>
    <w:p w:rsidR="00027787" w:rsidP="00027787" w14:paraId="7FDC9C8A" w14:textId="744CD334">
      <w:pPr>
        <w:pStyle w:val="TOC2"/>
        <w:tabs>
          <w:tab w:val="left" w:pos="360"/>
        </w:tabs>
        <w:rPr>
          <w:rFonts w:ascii="Calibri" w:hAnsi="Calibri"/>
          <w:snapToGrid/>
          <w:kern w:val="2"/>
          <w:szCs w:val="22"/>
        </w:rPr>
      </w:pPr>
      <w:r>
        <w:t>E.</w:t>
      </w:r>
      <w:r>
        <w:rPr>
          <w:rFonts w:ascii="Calibri" w:hAnsi="Calibri"/>
          <w:snapToGrid/>
          <w:kern w:val="2"/>
          <w:szCs w:val="22"/>
        </w:rPr>
        <w:tab/>
      </w:r>
      <w:r>
        <w:t>Promoting Digital Equity and Inclusion</w:t>
      </w:r>
      <w:r>
        <w:tab/>
        <w:t>95</w:t>
      </w:r>
    </w:p>
    <w:p w:rsidR="00027787" w:rsidP="00027787" w14:paraId="4D6E5EAE" w14:textId="7B044978">
      <w:pPr>
        <w:pStyle w:val="TOC1"/>
        <w:rPr>
          <w:rFonts w:ascii="Calibri" w:hAnsi="Calibri"/>
          <w:caps w:val="0"/>
          <w:snapToGrid/>
          <w:kern w:val="2"/>
          <w:szCs w:val="22"/>
        </w:rPr>
      </w:pPr>
      <w:r>
        <w:t>V.</w:t>
      </w:r>
      <w:r>
        <w:rPr>
          <w:rFonts w:ascii="Calibri" w:hAnsi="Calibri"/>
          <w:caps w:val="0"/>
          <w:snapToGrid/>
          <w:kern w:val="2"/>
          <w:szCs w:val="22"/>
        </w:rPr>
        <w:tab/>
      </w:r>
      <w:r>
        <w:t>procedural matters</w:t>
      </w:r>
      <w:r>
        <w:tab/>
        <w:t>96</w:t>
      </w:r>
    </w:p>
    <w:p w:rsidR="00027787" w:rsidP="00027787" w14:paraId="1E331F7E" w14:textId="430E252B">
      <w:pPr>
        <w:pStyle w:val="TOC1"/>
        <w:rPr>
          <w:rFonts w:ascii="Calibri" w:hAnsi="Calibri"/>
          <w:caps w:val="0"/>
          <w:snapToGrid/>
          <w:kern w:val="2"/>
          <w:szCs w:val="22"/>
        </w:rPr>
      </w:pPr>
      <w:r>
        <w:t>VI.</w:t>
      </w:r>
      <w:r>
        <w:rPr>
          <w:rFonts w:ascii="Calibri" w:hAnsi="Calibri"/>
          <w:caps w:val="0"/>
          <w:snapToGrid/>
          <w:kern w:val="2"/>
          <w:szCs w:val="22"/>
        </w:rPr>
        <w:tab/>
      </w:r>
      <w:r>
        <w:t>ordering clauses</w:t>
      </w:r>
      <w:r>
        <w:tab/>
        <w:t>105</w:t>
      </w:r>
    </w:p>
    <w:p w:rsidR="00027787" w:rsidP="00027787" w14:paraId="2A4BD5EE" w14:textId="7D41ECF0">
      <w:pPr>
        <w:pStyle w:val="TOC1"/>
        <w:rPr>
          <w:rFonts w:ascii="Calibri" w:hAnsi="Calibri"/>
          <w:caps w:val="0"/>
          <w:snapToGrid/>
          <w:kern w:val="2"/>
          <w:szCs w:val="22"/>
        </w:rPr>
      </w:pPr>
      <w:r>
        <w:t>APPENDIX A</w:t>
      </w:r>
      <w:r w:rsidR="00F81458">
        <w:t xml:space="preserve"> – Final rules</w:t>
      </w:r>
    </w:p>
    <w:p w:rsidR="00027787" w:rsidP="00027787" w14:paraId="3A5AC4EE" w14:textId="08934F04">
      <w:pPr>
        <w:pStyle w:val="TOC1"/>
        <w:rPr>
          <w:rFonts w:ascii="Calibri" w:hAnsi="Calibri"/>
          <w:caps w:val="0"/>
          <w:snapToGrid/>
          <w:kern w:val="2"/>
          <w:szCs w:val="22"/>
        </w:rPr>
      </w:pPr>
      <w:r>
        <w:t>Appendix B</w:t>
      </w:r>
      <w:r w:rsidR="00F81458">
        <w:t xml:space="preserve"> – final regulatory flexibility analysis</w:t>
      </w:r>
    </w:p>
    <w:p w:rsidR="00027787" w:rsidP="00027787" w14:paraId="40AF2931" w14:textId="73EE7F7A">
      <w:pPr>
        <w:pStyle w:val="TOC1"/>
        <w:rPr>
          <w:rFonts w:ascii="Calibri" w:hAnsi="Calibri"/>
          <w:caps w:val="0"/>
          <w:snapToGrid/>
          <w:kern w:val="2"/>
          <w:szCs w:val="22"/>
        </w:rPr>
      </w:pPr>
      <w:r>
        <w:t>appendix c</w:t>
      </w:r>
      <w:r w:rsidR="002C48A7">
        <w:t xml:space="preserve"> </w:t>
      </w:r>
      <w:r w:rsidR="00F81458">
        <w:t>–</w:t>
      </w:r>
      <w:r w:rsidR="002C48A7">
        <w:t xml:space="preserve"> </w:t>
      </w:r>
      <w:r w:rsidR="00F81458">
        <w:t>Initial regulatory flexibility analysis</w:t>
      </w:r>
    </w:p>
    <w:bookmarkEnd w:id="0"/>
    <w:p w:rsidR="00027787" w14:paraId="15E1FFD4" w14:textId="77777777">
      <w:pPr>
        <w:rPr>
          <w:spacing w:val="-2"/>
        </w:rPr>
      </w:pPr>
    </w:p>
    <w:p w:rsidR="00412FC5" w:rsidP="00C36B4C" w14:paraId="1FFF7D70" w14:textId="04755279">
      <w:pPr>
        <w:pStyle w:val="Heading1"/>
      </w:pPr>
      <w:bookmarkStart w:id="1" w:name="_Toc146047054"/>
      <w:bookmarkStart w:id="2" w:name="_Toc146179046"/>
      <w:r>
        <w:t>introduction</w:t>
      </w:r>
      <w:bookmarkEnd w:id="1"/>
      <w:bookmarkEnd w:id="2"/>
    </w:p>
    <w:p w:rsidR="006807AE" w:rsidP="006807AE" w14:paraId="7F30EC0D" w14:textId="77777777">
      <w:pPr>
        <w:pStyle w:val="ParaNum"/>
      </w:pPr>
      <w:r>
        <w:t>While t</w:t>
      </w:r>
      <w:r w:rsidRPr="00D303B6">
        <w:t xml:space="preserve">echnological </w:t>
      </w:r>
      <w:r>
        <w:t xml:space="preserve">innovations such as VoIP calling capabilities have brought advanced </w:t>
      </w:r>
      <w:r w:rsidRPr="00D303B6">
        <w:t>communications services to the marketplace</w:t>
      </w:r>
      <w:r>
        <w:t xml:space="preserve"> to the benefit of consumers, the proliferation of interconnected VoIP providers and entities originating calls today has resulted in the voice ne</w:t>
      </w:r>
      <w:r>
        <w:t>twork becoming more vulnerable to bad actors</w:t>
      </w:r>
      <w:r w:rsidRPr="00D303B6">
        <w:t>.</w:t>
      </w:r>
      <w:r>
        <w:rPr>
          <w:rStyle w:val="FootnoteReference"/>
        </w:rPr>
        <w:footnoteReference w:id="3"/>
      </w:r>
      <w:r w:rsidRPr="00D303B6">
        <w:t xml:space="preserve">  </w:t>
      </w:r>
      <w:r>
        <w:t>I</w:t>
      </w:r>
      <w:r w:rsidRPr="008870C3">
        <w:t xml:space="preserve">llegal robocalls continue to expose millions of consumers to harmful risks.  </w:t>
      </w:r>
      <w:r>
        <w:t>Today, we</w:t>
      </w:r>
      <w:r w:rsidRPr="00DE2C91">
        <w:t xml:space="preserve"> </w:t>
      </w:r>
      <w:r w:rsidRPr="00D303B6">
        <w:t xml:space="preserve">modify </w:t>
      </w:r>
      <w:r>
        <w:t xml:space="preserve">and strengthen our rules </w:t>
      </w:r>
      <w:r w:rsidRPr="00D303B6">
        <w:t xml:space="preserve">to reduce access to </w:t>
      </w:r>
      <w:r>
        <w:t xml:space="preserve">telephone </w:t>
      </w:r>
      <w:r w:rsidRPr="00D303B6">
        <w:t xml:space="preserve">numbers by potential perpetrators </w:t>
      </w:r>
      <w:r w:rsidRPr="00E74984">
        <w:t>of</w:t>
      </w:r>
      <w:r w:rsidRPr="00D303B6">
        <w:t xml:space="preserve"> illegal</w:t>
      </w:r>
      <w:r>
        <w:t xml:space="preserve"> robocalls.  </w:t>
      </w:r>
      <w:r>
        <w:t xml:space="preserve">We take this action in furtherance of </w:t>
      </w:r>
      <w:r w:rsidRPr="00D303B6">
        <w:t>Congress</w:t>
      </w:r>
      <w:r>
        <w:t>’ directive in</w:t>
      </w:r>
      <w:r w:rsidRPr="00D303B6">
        <w:t xml:space="preserve"> the Pallone-Thune Telephone Robocall Abuse Criminal Enforcement and Deterrence (TRACED) Act</w:t>
      </w:r>
      <w:r>
        <w:t xml:space="preserve"> t</w:t>
      </w:r>
      <w:r w:rsidRPr="00D303B6">
        <w:t xml:space="preserve">o </w:t>
      </w:r>
      <w:r>
        <w:t>examine how to modify the Commission’s rules and policies regarding direct access to numbers by prov</w:t>
      </w:r>
      <w:r>
        <w:t>iders of interconnected Voice over Internet Protocol (VoIP) services.</w:t>
      </w:r>
      <w:r>
        <w:rPr>
          <w:rStyle w:val="FootnoteReference"/>
          <w:sz w:val="22"/>
        </w:rPr>
        <w:footnoteReference w:id="4"/>
      </w:r>
      <w:r w:rsidRPr="00777813">
        <w:rPr>
          <w:vertAlign w:val="superscript"/>
        </w:rPr>
        <w:t xml:space="preserve"> </w:t>
      </w:r>
      <w:r>
        <w:t xml:space="preserve"> We also adopt important</w:t>
      </w:r>
      <w:r w:rsidRPr="00CB6C32">
        <w:t xml:space="preserve"> guardrails to protect</w:t>
      </w:r>
      <w:r>
        <w:t xml:space="preserve"> </w:t>
      </w:r>
      <w:r w:rsidRPr="00CB6C32">
        <w:t>national security</w:t>
      </w:r>
      <w:r>
        <w:t xml:space="preserve"> and law enforcement</w:t>
      </w:r>
      <w:r w:rsidRPr="00CB6C32">
        <w:t>, safeguard the nation’s</w:t>
      </w:r>
      <w:r>
        <w:t xml:space="preserve"> </w:t>
      </w:r>
      <w:r w:rsidRPr="00CB6C32">
        <w:t>finite numbering resources, reduce the opportunity for regulatory arbitrage</w:t>
      </w:r>
      <w:r w:rsidRPr="00CB6C32">
        <w:t>, and further promote public safety.</w:t>
      </w:r>
      <w:r>
        <w:t xml:space="preserve">  </w:t>
      </w:r>
    </w:p>
    <w:p w:rsidR="006807AE" w:rsidP="006807AE" w14:paraId="12DCB05A" w14:textId="77777777">
      <w:pPr>
        <w:pStyle w:val="ParaNum"/>
      </w:pPr>
      <w:r>
        <w:t>The Commission has worked diligently to encourage innovation and technology transition in the voice marketplace while striving to protect consumers from any negative effects of such new technologies.</w:t>
      </w:r>
      <w:r w:rsidRPr="00AD6BB8">
        <w:t xml:space="preserve">  </w:t>
      </w:r>
      <w:r w:rsidRPr="04657605">
        <w:t>Over the last th</w:t>
      </w:r>
      <w:r w:rsidRPr="04657605">
        <w:t xml:space="preserve">ree years, we have strengthened and expanded </w:t>
      </w:r>
      <w:r>
        <w:t xml:space="preserve">the </w:t>
      </w:r>
      <w:r w:rsidRPr="04657605">
        <w:t>STIR/SHAKEN caller ID au</w:t>
      </w:r>
      <w:r>
        <w:t>thentication framework, which protects consumers from illegally spoofed robocalls by verifying that the caller ID information transmitted with a particular call matches the caller’s t</w:t>
      </w:r>
      <w:r>
        <w:t>elephone number.</w:t>
      </w:r>
      <w:r>
        <w:rPr>
          <w:rStyle w:val="FootnoteReference"/>
        </w:rPr>
        <w:footnoteReference w:id="5"/>
      </w:r>
      <w:r>
        <w:t xml:space="preserve">  We have also expanded robocall mitigation requirements for all providers,</w:t>
      </w:r>
      <w:r w:rsidRPr="00AD6BB8">
        <w:t xml:space="preserve"> </w:t>
      </w:r>
      <w:r w:rsidRPr="04657605">
        <w:t>and taken major enforcement action against bad actors.</w:t>
      </w:r>
      <w:r>
        <w:rPr>
          <w:rStyle w:val="FootnoteReference"/>
          <w:sz w:val="22"/>
          <w:szCs w:val="22"/>
        </w:rPr>
        <w:footnoteReference w:id="6"/>
      </w:r>
      <w:r w:rsidRPr="04657605">
        <w:t xml:space="preserve">  </w:t>
      </w:r>
    </w:p>
    <w:p w:rsidR="006807AE" w:rsidP="006807AE" w14:paraId="37662977" w14:textId="77777777">
      <w:pPr>
        <w:pStyle w:val="ParaNum"/>
      </w:pPr>
      <w:r>
        <w:t xml:space="preserve">We adopt this </w:t>
      </w:r>
      <w:r w:rsidRPr="0008471E">
        <w:rPr>
          <w:i/>
        </w:rPr>
        <w:t>Second Report and Order</w:t>
      </w:r>
      <w:r w:rsidRPr="000D684C">
        <w:rPr>
          <w:i/>
        </w:rPr>
        <w:t xml:space="preserve"> </w:t>
      </w:r>
      <w:r w:rsidRPr="000D684C">
        <w:rPr>
          <w:iCs/>
        </w:rPr>
        <w:t xml:space="preserve">to </w:t>
      </w:r>
      <w:r>
        <w:t>further stem the tide of illegal robocalls perpetrated by interconnected VoIP providers, to protect the nation’s numbering resources from abuse by foreign bad actors, and to advance other important public policy objectives tied to the use of our nation’s l</w:t>
      </w:r>
      <w:r>
        <w:t xml:space="preserve">imited numbering resources.  To that end, we strategically update the Commission’s direct access to numbering process.  </w:t>
      </w:r>
      <w:r w:rsidRPr="3A63744E">
        <w:rPr>
          <w:rFonts w:eastAsia="Yu Mincho"/>
          <w:noProof/>
        </w:rPr>
        <w:t xml:space="preserve">First, we require applicants </w:t>
      </w:r>
      <w:r>
        <w:rPr>
          <w:rFonts w:eastAsia="Yu Mincho"/>
          <w:noProof/>
        </w:rPr>
        <w:t xml:space="preserve">seeking direct access to numbering resources </w:t>
      </w:r>
      <w:r w:rsidRPr="3A63744E">
        <w:rPr>
          <w:rFonts w:eastAsia="Yu Mincho"/>
          <w:noProof/>
        </w:rPr>
        <w:t>to make robocall-related certifications to help ensure complia</w:t>
      </w:r>
      <w:r w:rsidRPr="3A63744E">
        <w:rPr>
          <w:rFonts w:eastAsia="Yu Mincho"/>
          <w:noProof/>
        </w:rPr>
        <w:t>nce with</w:t>
      </w:r>
      <w:r w:rsidRPr="3A63744E">
        <w:rPr>
          <w:rFonts w:eastAsia="Yu Mincho"/>
        </w:rPr>
        <w:t xml:space="preserve"> our rules targeting illegal robocalls</w:t>
      </w:r>
      <w:r w:rsidRPr="3A63744E">
        <w:rPr>
          <w:rFonts w:eastAsia="Yu Mincho"/>
          <w:noProof/>
        </w:rPr>
        <w:t>.  Second, we require applicants to disclose and keep current information about their ownership, including foreign ownership, to mitigate the risk of providing bad actors abroad with access to our numbering res</w:t>
      </w:r>
      <w:r w:rsidRPr="3A63744E">
        <w:rPr>
          <w:rFonts w:eastAsia="Yu Mincho"/>
          <w:noProof/>
        </w:rPr>
        <w:t>ources.  Third, we require applicants to certify to their compliance with other Commission rules applicable to interconnected VoIP providers to bolster awareness and compliance with such rules.  Fourth</w:t>
      </w:r>
      <w:r w:rsidRPr="3A63744E">
        <w:rPr>
          <w:rFonts w:eastAsia="Yu Mincho"/>
        </w:rPr>
        <w:t xml:space="preserve">, we require </w:t>
      </w:r>
      <w:r>
        <w:rPr>
          <w:rFonts w:eastAsia="Yu Mincho"/>
        </w:rPr>
        <w:t>applicants</w:t>
      </w:r>
      <w:r w:rsidRPr="3A63744E">
        <w:rPr>
          <w:rFonts w:eastAsia="Yu Mincho"/>
        </w:rPr>
        <w:t xml:space="preserve"> to comply with state laws and r</w:t>
      </w:r>
      <w:r w:rsidRPr="3A63744E">
        <w:rPr>
          <w:rFonts w:eastAsia="Yu Mincho"/>
        </w:rPr>
        <w:t xml:space="preserve">egistration requirements that are applicable to businesses in each state in which numbers are requested.  </w:t>
      </w:r>
      <w:r w:rsidRPr="3A63744E">
        <w:rPr>
          <w:rFonts w:eastAsia="Yu Mincho"/>
          <w:noProof/>
        </w:rPr>
        <w:t>Fifth, we require applicants to include a signed declaration that their applications are true and accurate.  Sixth,</w:t>
      </w:r>
      <w:r w:rsidRPr="3A63744E">
        <w:rPr>
          <w:rFonts w:eastAsia="Yu Mincho"/>
        </w:rPr>
        <w:t xml:space="preserve"> and finally, we </w:t>
      </w:r>
      <w:r>
        <w:rPr>
          <w:rFonts w:eastAsia="Yu Mincho"/>
        </w:rPr>
        <w:t>codify</w:t>
      </w:r>
      <w:r w:rsidRPr="3A63744E">
        <w:rPr>
          <w:rFonts w:eastAsia="Yu Mincho"/>
        </w:rPr>
        <w:t xml:space="preserve"> the Wirelin</w:t>
      </w:r>
      <w:r w:rsidRPr="3A63744E">
        <w:rPr>
          <w:rFonts w:eastAsia="Yu Mincho"/>
        </w:rPr>
        <w:t>e Competition Bureau’s (Bureau) application review, application rejection, and authorization revocation processes.</w:t>
      </w:r>
      <w:r>
        <w:t xml:space="preserve"> </w:t>
      </w:r>
    </w:p>
    <w:p w:rsidR="006807AE" w:rsidP="006807AE" w14:paraId="6551799E" w14:textId="77777777">
      <w:pPr>
        <w:pStyle w:val="ParaNum"/>
      </w:pPr>
      <w:r>
        <w:t xml:space="preserve">In the accompanying </w:t>
      </w:r>
      <w:r w:rsidRPr="3A63744E">
        <w:rPr>
          <w:i/>
          <w:iCs/>
        </w:rPr>
        <w:t xml:space="preserve">Second Further Notice of Proposed Rulemaking </w:t>
      </w:r>
      <w:r>
        <w:t>(</w:t>
      </w:r>
      <w:r w:rsidRPr="3A63744E">
        <w:rPr>
          <w:i/>
          <w:iCs/>
        </w:rPr>
        <w:t>Second Further Notice</w:t>
      </w:r>
      <w:r>
        <w:t>), we seek comment on the duties of existing direct a</w:t>
      </w:r>
      <w:r>
        <w:t>ccess authorization holders whose authorizations predate the new application requirements we adopt today.  We also seek comment on whether direct access applicants should disclose a list of states in which they seek to provide initial service.  Finally, we</w:t>
      </w:r>
      <w:r>
        <w:t xml:space="preserve"> seek comment on a proposal to minimize harms that may arise from bad actors that access numbering resources indirectly by holding their direct access authorization holder “partners” accountable for their actions.</w:t>
      </w:r>
    </w:p>
    <w:p w:rsidR="006807AE" w:rsidP="006807AE" w14:paraId="5639E41D" w14:textId="1A36B64B">
      <w:pPr>
        <w:pStyle w:val="Heading1"/>
      </w:pPr>
      <w:bookmarkStart w:id="3" w:name="_Toc146047055"/>
      <w:bookmarkStart w:id="4" w:name="_Toc146179047"/>
      <w:r>
        <w:t>background</w:t>
      </w:r>
      <w:bookmarkEnd w:id="3"/>
      <w:bookmarkEnd w:id="4"/>
    </w:p>
    <w:p w:rsidR="006807AE" w:rsidRPr="00D303B6" w:rsidP="006807AE" w14:paraId="271666E1" w14:textId="77777777">
      <w:pPr>
        <w:pStyle w:val="ParaNum"/>
      </w:pPr>
      <w:r w:rsidRPr="00D303B6">
        <w:t>Section 52.15(g)(2) of the Comm</w:t>
      </w:r>
      <w:r w:rsidRPr="00D303B6">
        <w:t xml:space="preserve">ission’s rules </w:t>
      </w:r>
      <w:r>
        <w:t>governs</w:t>
      </w:r>
      <w:r w:rsidRPr="00D303B6">
        <w:t xml:space="preserve"> the application process for numbering resources.</w:t>
      </w:r>
      <w:r>
        <w:rPr>
          <w:rStyle w:val="FootnoteReference"/>
          <w:rFonts w:eastAsia="Yu Mincho"/>
          <w:noProof/>
          <w:sz w:val="22"/>
          <w:szCs w:val="22"/>
        </w:rPr>
        <w:footnoteReference w:id="7"/>
      </w:r>
      <w:r w:rsidRPr="00D303B6">
        <w:t xml:space="preserve">  It limits access to telephone numbers to entities that demonstrate they are authorized to provide service in the area for which they are requesting numbers.</w:t>
      </w:r>
      <w:r>
        <w:rPr>
          <w:rStyle w:val="FootnoteReference"/>
        </w:rPr>
        <w:footnoteReference w:id="8"/>
      </w:r>
      <w:r w:rsidRPr="00D303B6">
        <w:t xml:space="preserve">  The Commission has in</w:t>
      </w:r>
      <w:r w:rsidRPr="00D303B6">
        <w:t xml:space="preserve">terpreted section 52.15(g)(2) to require evidence of either a state certificate of public convenience and </w:t>
      </w:r>
      <w:r w:rsidRPr="00D303B6">
        <w:t>necessity (CPCN) or a Commission license</w:t>
      </w:r>
      <w:r>
        <w:t xml:space="preserve"> or authorization</w:t>
      </w:r>
      <w:r w:rsidRPr="00D303B6">
        <w:t>.</w:t>
      </w:r>
      <w:r>
        <w:rPr>
          <w:rStyle w:val="FootnoteReference"/>
          <w:rFonts w:eastAsia="Yu Mincho"/>
          <w:noProof/>
          <w:sz w:val="22"/>
          <w:szCs w:val="22"/>
        </w:rPr>
        <w:footnoteReference w:id="9"/>
      </w:r>
      <w:r w:rsidRPr="00D303B6">
        <w:t xml:space="preserve">  </w:t>
      </w:r>
      <w:r>
        <w:t>Because</w:t>
      </w:r>
      <w:r w:rsidRPr="00D303B6">
        <w:t xml:space="preserve"> only telecommunications carriers were able to provide th</w:t>
      </w:r>
      <w:r>
        <w:t>is</w:t>
      </w:r>
      <w:r w:rsidRPr="00D303B6">
        <w:t xml:space="preserve"> proof of authorizatio</w:t>
      </w:r>
      <w:r w:rsidRPr="00D303B6">
        <w:t>n</w:t>
      </w:r>
      <w:r>
        <w:t xml:space="preserve">, in 2015, the Commission revised its numbering rules and adopted a process by which </w:t>
      </w:r>
      <w:r w:rsidRPr="00877D44">
        <w:t>interconnected VoIP providers could satisfy this authorization requirement</w:t>
      </w:r>
      <w:r>
        <w:t xml:space="preserve"> and thus</w:t>
      </w:r>
      <w:r w:rsidRPr="00877D44">
        <w:t xml:space="preserve"> obtain numbers directly from the Numbering Administrator.</w:t>
      </w:r>
      <w:r>
        <w:rPr>
          <w:rStyle w:val="FootnoteReference"/>
          <w:rFonts w:eastAsia="Yu Mincho"/>
          <w:noProof/>
          <w:sz w:val="22"/>
          <w:szCs w:val="22"/>
        </w:rPr>
        <w:footnoteReference w:id="10"/>
      </w:r>
      <w:r w:rsidRPr="00877D44">
        <w:t xml:space="preserve"> </w:t>
      </w:r>
      <w:r w:rsidRPr="009B74F9">
        <w:t xml:space="preserve"> </w:t>
      </w:r>
      <w:r w:rsidRPr="00F309F7">
        <w:t>The Commission found that</w:t>
      </w:r>
      <w:r w:rsidRPr="00F309F7">
        <w:t xml:space="preserve"> permitting interconnected VoIP providers to obtain telephone numbers directly from the Numbering Administrator would improve responsiveness in the number porting process and improve the visibility and accuracy of number utilization, which would in turn en</w:t>
      </w:r>
      <w:r w:rsidRPr="00F309F7">
        <w:t>able the Commission to more effectively protect our nation’s limited numbering resources.</w:t>
      </w:r>
      <w:r>
        <w:rPr>
          <w:rStyle w:val="FootnoteReference"/>
        </w:rPr>
        <w:footnoteReference w:id="11"/>
      </w:r>
      <w:r w:rsidRPr="00877D44">
        <w:t xml:space="preserve">  Moreover</w:t>
      </w:r>
      <w:r w:rsidRPr="00876922">
        <w:t>, the Commission found that this change to its authorization process would enhance its ability to enforce rules governing interconnected VoIP providers, an</w:t>
      </w:r>
      <w:r w:rsidRPr="00876922">
        <w:t>d help stakeholders and the Commission identify the source of routing problems and take corrective actions</w:t>
      </w:r>
      <w:r>
        <w:t>.</w:t>
      </w:r>
      <w:r>
        <w:rPr>
          <w:rStyle w:val="FootnoteReference"/>
        </w:rPr>
        <w:footnoteReference w:id="12"/>
      </w:r>
      <w:r>
        <w:t xml:space="preserve">  </w:t>
      </w:r>
    </w:p>
    <w:p w:rsidR="006807AE" w:rsidRPr="00D303B6" w:rsidP="006807AE" w14:paraId="21759E15" w14:textId="77777777">
      <w:pPr>
        <w:pStyle w:val="ParaNum"/>
      </w:pPr>
      <w:r w:rsidRPr="00D303B6">
        <w:t>The Commission</w:t>
      </w:r>
      <w:r>
        <w:t>’</w:t>
      </w:r>
      <w:r w:rsidRPr="00D303B6">
        <w:t>s rules</w:t>
      </w:r>
      <w:r>
        <w:t xml:space="preserve"> now</w:t>
      </w:r>
      <w:r w:rsidRPr="00D303B6">
        <w:t xml:space="preserve"> require interconnected VoIP providers obtaining number</w:t>
      </w:r>
      <w:r>
        <w:t>ing resources</w:t>
      </w:r>
      <w:r w:rsidRPr="00D303B6">
        <w:t xml:space="preserve"> to comply with</w:t>
      </w:r>
      <w:r>
        <w:t xml:space="preserve"> both</w:t>
      </w:r>
      <w:r w:rsidRPr="00D303B6">
        <w:t xml:space="preserve"> the requirements applicable to </w:t>
      </w:r>
      <w:r>
        <w:t xml:space="preserve">telecommunications </w:t>
      </w:r>
      <w:r w:rsidRPr="00D303B6">
        <w:t>carriers seeking to obtain number</w:t>
      </w:r>
      <w:r>
        <w:t>ing resources</w:t>
      </w:r>
      <w:r>
        <w:rPr>
          <w:rStyle w:val="FootnoteReference"/>
        </w:rPr>
        <w:footnoteReference w:id="13"/>
      </w:r>
      <w:r w:rsidRPr="00D303B6">
        <w:t xml:space="preserve"> and </w:t>
      </w:r>
      <w:r>
        <w:t xml:space="preserve">certain interconnected VoIP-specific </w:t>
      </w:r>
      <w:r w:rsidRPr="00D303B6">
        <w:t>requirements</w:t>
      </w:r>
      <w:r>
        <w:t xml:space="preserve"> </w:t>
      </w:r>
      <w:r w:rsidRPr="00D303B6">
        <w:t>for applying for, and maintaining, a Commission authorization for direct access to number</w:t>
      </w:r>
      <w:r>
        <w:t>ing resources</w:t>
      </w:r>
      <w:r w:rsidRPr="00D303B6">
        <w:t>.</w:t>
      </w:r>
      <w:r>
        <w:rPr>
          <w:rStyle w:val="FootnoteReference"/>
        </w:rPr>
        <w:footnoteReference w:id="14"/>
      </w:r>
      <w:r>
        <w:t xml:space="preserve"> </w:t>
      </w:r>
      <w:r w:rsidRPr="00D303B6">
        <w:t xml:space="preserve"> </w:t>
      </w:r>
      <w:r>
        <w:t>Section 52.15(g) currently requires an interconnected VoIP applicant for direct access to numbering resources to</w:t>
      </w:r>
      <w:r w:rsidRPr="00D303B6">
        <w:t>:</w:t>
      </w:r>
    </w:p>
    <w:p w:rsidR="006807AE" w:rsidRPr="00AD6BB8" w:rsidP="006807AE" w14:paraId="51D95E38"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provide its company name, headquarters address, Operating Company Number (OCN), parent company’s OCN(s), and the primary type of business</w:t>
      </w:r>
      <w:r w:rsidRPr="00AD6BB8">
        <w:rPr>
          <w:rFonts w:ascii="Times New Roman" w:hAnsi="Times New Roman"/>
        </w:rPr>
        <w:t xml:space="preserve"> in which the numbering resources will be used;</w:t>
      </w:r>
      <w:r>
        <w:rPr>
          <w:rStyle w:val="FootnoteReference"/>
        </w:rPr>
        <w:footnoteReference w:id="15"/>
      </w:r>
    </w:p>
    <w:p w:rsidR="006807AE" w:rsidRPr="00AD6BB8" w:rsidP="006807AE" w14:paraId="1B0060E3"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provide contact information for personnel qualified to address issues relating to regulatory requirements, numbering, compliance, 911, and law enforcement;</w:t>
      </w:r>
      <w:r>
        <w:rPr>
          <w:rStyle w:val="FootnoteReference"/>
          <w:sz w:val="22"/>
        </w:rPr>
        <w:footnoteReference w:id="16"/>
      </w:r>
    </w:p>
    <w:p w:rsidR="006807AE" w:rsidRPr="00AD6BB8" w:rsidP="006807AE" w14:paraId="7891B66F"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 xml:space="preserve">comply with applicable Commission rules related </w:t>
      </w:r>
      <w:r w:rsidRPr="00AD6BB8">
        <w:rPr>
          <w:rFonts w:ascii="Times New Roman" w:hAnsi="Times New Roman"/>
        </w:rPr>
        <w:t>to numbering, including, among others, numbering utilization and optimization requirements (in particular, filing Numbering Resource Utilization and Forecast (NRUF) Reports); comply with guidelines and procedures adopted pursuant to numbering authority del</w:t>
      </w:r>
      <w:r w:rsidRPr="00AD6BB8">
        <w:rPr>
          <w:rFonts w:ascii="Times New Roman" w:hAnsi="Times New Roman"/>
        </w:rPr>
        <w:t>egated to the states; and comply with industry guidelines and practices applicable to telecommunications carriers with regard to numbering;</w:t>
      </w:r>
      <w:r>
        <w:rPr>
          <w:rStyle w:val="FootnoteReference"/>
          <w:sz w:val="22"/>
        </w:rPr>
        <w:footnoteReference w:id="17"/>
      </w:r>
    </w:p>
    <w:p w:rsidR="006807AE" w:rsidRPr="00AD6BB8" w:rsidP="006807AE" w14:paraId="0910B597"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file requests for numbers with the relevant state commission(s) at least 30 days before requesting numbers from th</w:t>
      </w:r>
      <w:r w:rsidRPr="00AD6BB8">
        <w:rPr>
          <w:rFonts w:ascii="Times New Roman" w:hAnsi="Times New Roman"/>
        </w:rPr>
        <w:t>e Numbering Administrator;</w:t>
      </w:r>
      <w:r>
        <w:rPr>
          <w:rStyle w:val="FootnoteReference"/>
          <w:sz w:val="22"/>
        </w:rPr>
        <w:footnoteReference w:id="18"/>
      </w:r>
    </w:p>
    <w:p w:rsidR="006807AE" w:rsidRPr="00AD6BB8" w:rsidP="006807AE" w14:paraId="61131FAB"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provide proof it is or will be capable of providing service within sixty (60) days of the numbering resources activation date in accordance with 47 CFR § 52.15(g)(2), i.e., “facilities readiness”;</w:t>
      </w:r>
      <w:r>
        <w:rPr>
          <w:rStyle w:val="FootnoteReference"/>
          <w:sz w:val="22"/>
        </w:rPr>
        <w:footnoteReference w:id="19"/>
      </w:r>
    </w:p>
    <w:p w:rsidR="006807AE" w:rsidRPr="00AD6BB8" w:rsidP="006807AE" w14:paraId="35B2DDB4"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 xml:space="preserve">certify that it </w:t>
      </w:r>
      <w:r w:rsidRPr="00AD6BB8">
        <w:rPr>
          <w:rFonts w:ascii="Times New Roman" w:hAnsi="Times New Roman"/>
        </w:rPr>
        <w:t>complies with its Universal Service Fund contribution obligations, its Telecommunications Relay Service contribution obligations, its NANP and local number portability administration contribution obligations, its obligations to pay regulatory fees, and its</w:t>
      </w:r>
      <w:r w:rsidRPr="00AD6BB8">
        <w:rPr>
          <w:rFonts w:ascii="Times New Roman" w:hAnsi="Times New Roman"/>
        </w:rPr>
        <w:t xml:space="preserve"> 911 obligations;</w:t>
      </w:r>
      <w:r>
        <w:rPr>
          <w:rStyle w:val="FootnoteReference"/>
        </w:rPr>
        <w:footnoteReference w:id="20"/>
      </w:r>
    </w:p>
    <w:p w:rsidR="006807AE" w:rsidRPr="00AD6BB8" w:rsidP="006807AE" w14:paraId="29F02286"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certify that it has the requisite technical, managerial, and financial capacity to provide service; include the name of its key management and technical personnel, such as the Chief Operating Officer and the Chief Technology Officer, or</w:t>
      </w:r>
      <w:r w:rsidRPr="00AD6BB8">
        <w:rPr>
          <w:rFonts w:ascii="Times New Roman" w:hAnsi="Times New Roman"/>
        </w:rPr>
        <w:t xml:space="preserve"> equivalent; and state that none of the identified personnel are being or have been investigated by the Commission or any law enforcement or regulatory agency for failure to comply with any law, rule, or order;</w:t>
      </w:r>
      <w:r>
        <w:rPr>
          <w:rStyle w:val="FootnoteReference"/>
          <w:sz w:val="22"/>
        </w:rPr>
        <w:footnoteReference w:id="21"/>
      </w:r>
      <w:r w:rsidRPr="00AD6BB8">
        <w:rPr>
          <w:rFonts w:ascii="Times New Roman" w:hAnsi="Times New Roman"/>
        </w:rPr>
        <w:t xml:space="preserve"> and</w:t>
      </w:r>
    </w:p>
    <w:p w:rsidR="006807AE" w:rsidRPr="00AD6BB8" w:rsidP="006807AE" w14:paraId="7C694A3D" w14:textId="77777777">
      <w:pPr>
        <w:pStyle w:val="ListParagraph"/>
        <w:numPr>
          <w:ilvl w:val="0"/>
          <w:numId w:val="7"/>
        </w:numPr>
        <w:tabs>
          <w:tab w:val="left" w:pos="440"/>
        </w:tabs>
        <w:spacing w:after="120"/>
        <w:ind w:left="1440"/>
        <w:contextualSpacing w:val="0"/>
        <w:rPr>
          <w:rFonts w:ascii="Times New Roman" w:hAnsi="Times New Roman"/>
          <w:i/>
        </w:rPr>
      </w:pPr>
      <w:r w:rsidRPr="00AD6BB8">
        <w:rPr>
          <w:rFonts w:ascii="Times New Roman" w:hAnsi="Times New Roman"/>
        </w:rPr>
        <w:t>certify that no party to the applicatio</w:t>
      </w:r>
      <w:r w:rsidRPr="00AD6BB8">
        <w:rPr>
          <w:rFonts w:ascii="Times New Roman" w:hAnsi="Times New Roman"/>
        </w:rPr>
        <w:t>n is subject to a denial of Federal benefits pursuant to section 5301 of the Anti-Drug Abuse Act of 1988.</w:t>
      </w:r>
      <w:r>
        <w:rPr>
          <w:rStyle w:val="FootnoteReference"/>
          <w:sz w:val="22"/>
        </w:rPr>
        <w:footnoteReference w:id="22"/>
      </w:r>
    </w:p>
    <w:p w:rsidR="006807AE" w:rsidRPr="00D303B6" w:rsidP="006807AE" w14:paraId="63D01662" w14:textId="77777777">
      <w:pPr>
        <w:pStyle w:val="ParaNum"/>
        <w:widowControl/>
      </w:pPr>
      <w:r>
        <w:t>The Commission directed and delegated authority to the Bureau to “implement and maintain the authorization process.”</w:t>
      </w:r>
      <w:r>
        <w:rPr>
          <w:rStyle w:val="FootnoteReference"/>
          <w:rFonts w:eastAsia="Yu Mincho"/>
          <w:sz w:val="22"/>
        </w:rPr>
        <w:footnoteReference w:id="23"/>
      </w:r>
      <w:r>
        <w:t xml:space="preserve">  </w:t>
      </w:r>
      <w:r w:rsidRPr="00D303B6">
        <w:t>Bureau staff review applicat</w:t>
      </w:r>
      <w:r w:rsidRPr="00D303B6">
        <w:t xml:space="preserve">ions for conformance with procedural rules, and if </w:t>
      </w:r>
      <w:r>
        <w:t xml:space="preserve">the rule requirements are </w:t>
      </w:r>
      <w:r w:rsidRPr="00D303B6">
        <w:t>satisfied, release an “Accepted-for</w:t>
      </w:r>
      <w:r>
        <w:t>-</w:t>
      </w:r>
      <w:r w:rsidRPr="00D303B6">
        <w:t>Filing Public Notice” seeking comment on the application.</w:t>
      </w:r>
      <w:r>
        <w:rPr>
          <w:rStyle w:val="FootnoteReference"/>
          <w:rFonts w:eastAsia="Yu Mincho"/>
          <w:noProof/>
          <w:sz w:val="22"/>
          <w:szCs w:val="22"/>
        </w:rPr>
        <w:footnoteReference w:id="24"/>
      </w:r>
      <w:r w:rsidRPr="00D303B6">
        <w:t xml:space="preserve"> </w:t>
      </w:r>
      <w:r>
        <w:t xml:space="preserve"> </w:t>
      </w:r>
      <w:r w:rsidRPr="00D303B6">
        <w:t>Applications are deemed granted by the Commission on the 31</w:t>
      </w:r>
      <w:r>
        <w:t>st</w:t>
      </w:r>
      <w:r w:rsidRPr="00D303B6">
        <w:t xml:space="preserve"> day after the</w:t>
      </w:r>
      <w:r>
        <w:t xml:space="preserve"> release of the public notice</w:t>
      </w:r>
      <w:r w:rsidRPr="00D303B6">
        <w:t>, unless the Bureau notifies the applicant that the grant will not be automatically effective.</w:t>
      </w:r>
      <w:r>
        <w:rPr>
          <w:rStyle w:val="FootnoteReference"/>
          <w:rFonts w:eastAsia="Yu Mincho"/>
          <w:noProof/>
          <w:sz w:val="22"/>
          <w:szCs w:val="22"/>
        </w:rPr>
        <w:footnoteReference w:id="25"/>
      </w:r>
      <w:r w:rsidRPr="00D303B6">
        <w:t xml:space="preserve">  The Bureau may halt the auto-grant process if (1) an applicant fails to respond promptly to Commission inquiries, (</w:t>
      </w:r>
      <w:r w:rsidRPr="00D303B6">
        <w:t>2) an application is associated with a non-routine request for waiver of the Commission</w:t>
      </w:r>
      <w:r>
        <w:t>’</w:t>
      </w:r>
      <w:r w:rsidRPr="00D303B6">
        <w:t>s rules, (3) timely</w:t>
      </w:r>
      <w:r>
        <w:t xml:space="preserve"> </w:t>
      </w:r>
      <w:r w:rsidRPr="00D303B6">
        <w:t xml:space="preserve">filed comments on the application raise public interest concerns that </w:t>
      </w:r>
      <w:r w:rsidRPr="00D303B6">
        <w:t>require further Commission review, or (4) the Bureau determines that the reque</w:t>
      </w:r>
      <w:r w:rsidRPr="00D303B6">
        <w:t xml:space="preserve">st requires further analysis to determine whether </w:t>
      </w:r>
      <w:r>
        <w:t>the application serves</w:t>
      </w:r>
      <w:r w:rsidRPr="00D303B6">
        <w:t xml:space="preserve"> the public interest.</w:t>
      </w:r>
      <w:r>
        <w:rPr>
          <w:rStyle w:val="FootnoteReference"/>
          <w:rFonts w:eastAsia="Yu Mincho"/>
          <w:noProof/>
          <w:sz w:val="22"/>
          <w:szCs w:val="22"/>
        </w:rPr>
        <w:footnoteReference w:id="26"/>
      </w:r>
    </w:p>
    <w:p w:rsidR="006807AE" w:rsidP="006807AE" w14:paraId="40F7996C" w14:textId="77777777">
      <w:pPr>
        <w:pStyle w:val="ParaNum"/>
      </w:pPr>
      <w:r w:rsidRPr="00D303B6">
        <w:t>Once an interconnected VoIP provider has Commission authorization to obtain number</w:t>
      </w:r>
      <w:r>
        <w:t>ing resources</w:t>
      </w:r>
      <w:r w:rsidRPr="00D303B6">
        <w:t>, it may request numbers directly from the Numbering Administrato</w:t>
      </w:r>
      <w:r w:rsidRPr="00D303B6">
        <w:t>r.</w:t>
      </w:r>
      <w:r>
        <w:rPr>
          <w:rStyle w:val="FootnoteReference"/>
          <w:rFonts w:eastAsia="Yu Mincho"/>
          <w:noProof/>
          <w:sz w:val="22"/>
          <w:szCs w:val="22"/>
        </w:rPr>
        <w:footnoteReference w:id="27"/>
      </w:r>
      <w:r w:rsidRPr="00D303B6">
        <w:t xml:space="preserve">  Interconnected VoIP providers that apply for and receive Commission authorization for direct access to number</w:t>
      </w:r>
      <w:r>
        <w:t>ing resources</w:t>
      </w:r>
      <w:r w:rsidRPr="00D303B6">
        <w:t xml:space="preserve"> “are subject to, and acknowledge, Commission enforcement authority.”</w:t>
      </w:r>
      <w:r>
        <w:rPr>
          <w:rStyle w:val="FootnoteReference"/>
          <w:rFonts w:eastAsia="Yu Mincho"/>
          <w:noProof/>
          <w:sz w:val="22"/>
          <w:szCs w:val="22"/>
        </w:rPr>
        <w:footnoteReference w:id="28"/>
      </w:r>
      <w:r w:rsidRPr="00D303B6">
        <w:t xml:space="preserve">  Failure to comply with the obligations set out by the C</w:t>
      </w:r>
      <w:r w:rsidRPr="00D303B6">
        <w:t>ommission “could result in revocation of the Commission’s authorization, the inability to obtain additional numbers pending that revocation, reclamation of unassigned numbers already obtained directly from the Numbering Administrators, or enforcement actio</w:t>
      </w:r>
      <w:r w:rsidRPr="00D303B6">
        <w:t>n.”</w:t>
      </w:r>
      <w:r>
        <w:rPr>
          <w:rStyle w:val="FootnoteReference"/>
          <w:rFonts w:eastAsia="Yu Mincho"/>
          <w:noProof/>
          <w:sz w:val="22"/>
          <w:szCs w:val="22"/>
        </w:rPr>
        <w:footnoteReference w:id="29"/>
      </w:r>
      <w:r w:rsidRPr="00F537A9">
        <w:t xml:space="preserve"> </w:t>
      </w:r>
      <w:r>
        <w:t xml:space="preserve"> </w:t>
      </w:r>
      <w:r w:rsidRPr="00D303B6">
        <w:t xml:space="preserve">The Commission delegated authority to </w:t>
      </w:r>
      <w:r>
        <w:t xml:space="preserve">both </w:t>
      </w:r>
      <w:r w:rsidRPr="00D303B6">
        <w:t xml:space="preserve">the </w:t>
      </w:r>
      <w:r>
        <w:t xml:space="preserve">Bureau </w:t>
      </w:r>
      <w:r w:rsidRPr="00D303B6">
        <w:t xml:space="preserve">and </w:t>
      </w:r>
      <w:r>
        <w:t xml:space="preserve">the </w:t>
      </w:r>
      <w:r w:rsidRPr="00D303B6">
        <w:t>Enforcement Bureau to order the revocation of authorization and to direct the Numbering Administrator to reclaim any of the service provider</w:t>
      </w:r>
      <w:r>
        <w:t>’</w:t>
      </w:r>
      <w:r w:rsidRPr="00D303B6">
        <w:t>s unassigned numbers.</w:t>
      </w:r>
      <w:r>
        <w:rPr>
          <w:rStyle w:val="FootnoteReference"/>
          <w:rFonts w:eastAsia="Yu Mincho"/>
          <w:noProof/>
          <w:sz w:val="22"/>
          <w:szCs w:val="22"/>
        </w:rPr>
        <w:footnoteReference w:id="30"/>
      </w:r>
      <w:r w:rsidRPr="00D303B6">
        <w:t xml:space="preserve"> </w:t>
      </w:r>
    </w:p>
    <w:p w:rsidR="006807AE" w:rsidRPr="00D303B6" w:rsidP="006807AE" w14:paraId="75C5ACAE" w14:textId="77777777">
      <w:pPr>
        <w:pStyle w:val="ParaNum"/>
        <w:widowControl/>
      </w:pPr>
      <w:r>
        <w:t>Based on lessons lear</w:t>
      </w:r>
      <w:r>
        <w:t xml:space="preserve">ned from reviewing scores of </w:t>
      </w:r>
      <w:r w:rsidRPr="001F0E75">
        <w:t>direct access applications</w:t>
      </w:r>
      <w:r>
        <w:rPr>
          <w:rStyle w:val="FootnoteReference"/>
        </w:rPr>
        <w:footnoteReference w:id="31"/>
      </w:r>
      <w:r w:rsidRPr="001F0E75">
        <w:t xml:space="preserve"> since the </w:t>
      </w:r>
      <w:r>
        <w:t xml:space="preserve">2015 </w:t>
      </w:r>
      <w:r w:rsidRPr="001F0E75">
        <w:rPr>
          <w:i/>
        </w:rPr>
        <w:t>VoIP Direct Access Order</w:t>
      </w:r>
      <w:r>
        <w:t>,</w:t>
      </w:r>
      <w:r w:rsidRPr="001F0E75">
        <w:t xml:space="preserve"> </w:t>
      </w:r>
      <w:r>
        <w:t xml:space="preserve">the Commission began to consider ways to update </w:t>
      </w:r>
      <w:r w:rsidRPr="001F0E75">
        <w:t>the</w:t>
      </w:r>
      <w:r>
        <w:t xml:space="preserve"> interconnected</w:t>
      </w:r>
      <w:r w:rsidRPr="001F0E75">
        <w:t xml:space="preserve"> </w:t>
      </w:r>
      <w:r>
        <w:t xml:space="preserve">VoIP provider </w:t>
      </w:r>
      <w:r w:rsidRPr="00754C98">
        <w:t>application</w:t>
      </w:r>
      <w:r>
        <w:t xml:space="preserve"> requirements to add important </w:t>
      </w:r>
      <w:r w:rsidRPr="001F0E75">
        <w:t xml:space="preserve">information that </w:t>
      </w:r>
      <w:r>
        <w:t xml:space="preserve">is </w:t>
      </w:r>
      <w:r w:rsidRPr="001F0E75">
        <w:t xml:space="preserve">useful </w:t>
      </w:r>
      <w:r>
        <w:t>or nece</w:t>
      </w:r>
      <w:r>
        <w:t xml:space="preserve">ssary </w:t>
      </w:r>
      <w:r w:rsidRPr="001F0E75">
        <w:t>to the Bureau</w:t>
      </w:r>
      <w:r>
        <w:t xml:space="preserve">’s public interest </w:t>
      </w:r>
      <w:r w:rsidRPr="001F0E75">
        <w:t>review</w:t>
      </w:r>
      <w:r>
        <w:t>.</w:t>
      </w:r>
      <w:r>
        <w:rPr>
          <w:rStyle w:val="FootnoteReference"/>
        </w:rPr>
        <w:footnoteReference w:id="32"/>
      </w:r>
      <w:r>
        <w:t xml:space="preserve">  To date, t</w:t>
      </w:r>
      <w:r w:rsidRPr="001F0E75">
        <w:t xml:space="preserve">he </w:t>
      </w:r>
      <w:r>
        <w:t>B</w:t>
      </w:r>
      <w:r w:rsidRPr="001F0E75">
        <w:t xml:space="preserve">ureau has </w:t>
      </w:r>
      <w:r>
        <w:t>requested such information from</w:t>
      </w:r>
      <w:r w:rsidRPr="001F0E75">
        <w:t xml:space="preserve"> applicants </w:t>
      </w:r>
      <w:r>
        <w:t xml:space="preserve">on a case-by-case basis </w:t>
      </w:r>
      <w:r w:rsidRPr="001F0E75">
        <w:t>where appropriate.</w:t>
      </w:r>
      <w:r>
        <w:rPr>
          <w:rStyle w:val="FootnoteReference"/>
        </w:rPr>
        <w:footnoteReference w:id="33"/>
      </w:r>
      <w:r w:rsidRPr="001F0E75">
        <w:t xml:space="preserve"> </w:t>
      </w:r>
      <w:r>
        <w:t xml:space="preserve"> For example, certain applications with significant foreign ownership that raise potential national security and/or law enforcement issues have been filed.</w:t>
      </w:r>
      <w:r>
        <w:rPr>
          <w:rStyle w:val="FootnoteReference"/>
        </w:rPr>
        <w:footnoteReference w:id="34"/>
      </w:r>
      <w:r>
        <w:t xml:space="preserve">  </w:t>
      </w:r>
      <w:r>
        <w:t>Additionally, direct access applications have been challenged by commenters raising concerns abou</w:t>
      </w:r>
      <w:r>
        <w:t>t intercarrier compensation and call routing or call blocking practices.</w:t>
      </w:r>
      <w:r>
        <w:rPr>
          <w:rStyle w:val="FootnoteReference"/>
        </w:rPr>
        <w:footnoteReference w:id="35"/>
      </w:r>
      <w:r>
        <w:t xml:space="preserve"> </w:t>
      </w:r>
    </w:p>
    <w:p w:rsidR="006807AE" w:rsidRPr="00080FB3" w:rsidP="006807AE" w14:paraId="3B7E975B" w14:textId="77777777">
      <w:pPr>
        <w:pStyle w:val="ParaNum"/>
      </w:pPr>
      <w:r>
        <w:t>I</w:t>
      </w:r>
      <w:r w:rsidRPr="00D303B6">
        <w:t xml:space="preserve">n August 2021, the Commission </w:t>
      </w:r>
      <w:r w:rsidRPr="2FC37315">
        <w:t xml:space="preserve">adopted a </w:t>
      </w:r>
      <w:r w:rsidRPr="2FC37315">
        <w:rPr>
          <w:i/>
        </w:rPr>
        <w:t>Further Notice of Proposed Rulemaking</w:t>
      </w:r>
      <w:r w:rsidRPr="2FC37315">
        <w:t xml:space="preserve"> seeking comment on how to improve the </w:t>
      </w:r>
      <w:r>
        <w:t xml:space="preserve">interconnected </w:t>
      </w:r>
      <w:r w:rsidRPr="2FC37315">
        <w:t xml:space="preserve">VoIP direct access </w:t>
      </w:r>
      <w:r>
        <w:t xml:space="preserve">application </w:t>
      </w:r>
      <w:r w:rsidRPr="2FC37315">
        <w:t>process</w:t>
      </w:r>
      <w:r>
        <w:t xml:space="preserve"> to addres</w:t>
      </w:r>
      <w:r>
        <w:t>s the identified gaps in the direct access application process, the continued scourge of illegal robocalls, national security, and number resource exhaust</w:t>
      </w:r>
      <w:r w:rsidRPr="2FC37315">
        <w:t>.</w:t>
      </w:r>
      <w:r>
        <w:rPr>
          <w:rStyle w:val="FootnoteReference"/>
          <w:sz w:val="22"/>
          <w:szCs w:val="22"/>
        </w:rPr>
        <w:footnoteReference w:id="36"/>
      </w:r>
      <w:r w:rsidRPr="00080FB3">
        <w:rPr>
          <w:szCs w:val="22"/>
        </w:rPr>
        <w:t xml:space="preserve"> </w:t>
      </w:r>
      <w:r w:rsidRPr="2FC37315">
        <w:t xml:space="preserve"> We received comments from a wide range of stakeholders, including state public utility commissions, interconnected VoIP providers, industry standards groups and trade associations</w:t>
      </w:r>
      <w:r>
        <w:rPr>
          <w:szCs w:val="22"/>
        </w:rPr>
        <w:t xml:space="preserve">, </w:t>
      </w:r>
      <w:r w:rsidRPr="2FC37315">
        <w:t>and consumer advocates</w:t>
      </w:r>
      <w:r>
        <w:rPr>
          <w:szCs w:val="22"/>
        </w:rPr>
        <w:t>.</w:t>
      </w:r>
      <w:r>
        <w:rPr>
          <w:rStyle w:val="FootnoteReference"/>
        </w:rPr>
        <w:footnoteReference w:id="37"/>
      </w:r>
    </w:p>
    <w:p w:rsidR="006807AE" w:rsidP="006807AE" w14:paraId="4596AC51" w14:textId="21983819">
      <w:pPr>
        <w:pStyle w:val="Heading1"/>
      </w:pPr>
      <w:bookmarkStart w:id="6" w:name="_Toc146047056"/>
      <w:bookmarkStart w:id="7" w:name="_Toc146179048"/>
      <w:r>
        <w:t>discussion</w:t>
      </w:r>
      <w:bookmarkEnd w:id="6"/>
      <w:bookmarkEnd w:id="7"/>
    </w:p>
    <w:p w:rsidR="006807AE" w:rsidRPr="00A30951" w:rsidP="006807AE" w14:paraId="01048588" w14:textId="77777777">
      <w:pPr>
        <w:pStyle w:val="ParaNum"/>
      </w:pPr>
      <w:r>
        <w:t>The application process for interconn</w:t>
      </w:r>
      <w:r>
        <w:t xml:space="preserve">ected </w:t>
      </w:r>
      <w:r w:rsidRPr="00C00FB9">
        <w:t>VoIP providers</w:t>
      </w:r>
      <w:r>
        <w:t>’</w:t>
      </w:r>
      <w:r w:rsidRPr="00C00FB9">
        <w:t xml:space="preserve"> direct access to numbering </w:t>
      </w:r>
      <w:r>
        <w:t xml:space="preserve">is the first line of defense in </w:t>
      </w:r>
      <w:r w:rsidRPr="00C00FB9">
        <w:rPr>
          <w:rFonts w:eastAsia="Yu Mincho"/>
          <w:noProof/>
        </w:rPr>
        <w:t>mitigat</w:t>
      </w:r>
      <w:r>
        <w:rPr>
          <w:rFonts w:eastAsia="Yu Mincho"/>
          <w:noProof/>
        </w:rPr>
        <w:t xml:space="preserve">ing </w:t>
      </w:r>
      <w:r w:rsidRPr="00C00FB9">
        <w:t xml:space="preserve">the risk of providing </w:t>
      </w:r>
      <w:r>
        <w:t>scarce numbering resources</w:t>
      </w:r>
      <w:r w:rsidRPr="00C00FB9">
        <w:t xml:space="preserve"> to bad actors.</w:t>
      </w:r>
      <w:r>
        <w:rPr>
          <w:rStyle w:val="FootnoteReference"/>
          <w:sz w:val="22"/>
          <w:szCs w:val="22"/>
        </w:rPr>
        <w:footnoteReference w:id="38"/>
      </w:r>
      <w:r w:rsidRPr="00C00FB9">
        <w:t xml:space="preserve">  It is </w:t>
      </w:r>
      <w:r>
        <w:t xml:space="preserve">thus </w:t>
      </w:r>
      <w:r w:rsidRPr="00C00FB9">
        <w:t xml:space="preserve">critically important that the rules governing </w:t>
      </w:r>
      <w:r>
        <w:t xml:space="preserve">this process </w:t>
      </w:r>
      <w:r w:rsidRPr="00C00FB9">
        <w:rPr>
          <w:rFonts w:eastAsia="Yu Mincho"/>
          <w:noProof/>
        </w:rPr>
        <w:t>prevent</w:t>
      </w:r>
      <w:r>
        <w:rPr>
          <w:rFonts w:eastAsia="Yu Mincho"/>
          <w:noProof/>
        </w:rPr>
        <w:t>, to the greatest ex</w:t>
      </w:r>
      <w:r>
        <w:rPr>
          <w:rFonts w:eastAsia="Yu Mincho"/>
          <w:noProof/>
        </w:rPr>
        <w:t>tent possible,</w:t>
      </w:r>
      <w:r w:rsidRPr="00C00FB9">
        <w:rPr>
          <w:rFonts w:eastAsia="Yu Mincho"/>
          <w:noProof/>
        </w:rPr>
        <w:t xml:space="preserve"> interconnected VoIP</w:t>
      </w:r>
      <w:r>
        <w:rPr>
          <w:rFonts w:eastAsia="Yu Mincho"/>
          <w:noProof/>
        </w:rPr>
        <w:t xml:space="preserve"> providers</w:t>
      </w:r>
      <w:r w:rsidRPr="00C00FB9">
        <w:rPr>
          <w:rFonts w:eastAsia="Yu Mincho"/>
          <w:noProof/>
        </w:rPr>
        <w:t xml:space="preserve"> that engage in unlawful robocalling </w:t>
      </w:r>
      <w:r>
        <w:rPr>
          <w:rFonts w:eastAsia="Yu Mincho"/>
          <w:noProof/>
        </w:rPr>
        <w:t xml:space="preserve">or spoofing, or otherwise threaten the national security and law enforcement interests of the United States, </w:t>
      </w:r>
      <w:r w:rsidRPr="00C00FB9">
        <w:rPr>
          <w:rFonts w:eastAsia="Yu Mincho"/>
          <w:noProof/>
        </w:rPr>
        <w:t xml:space="preserve">from accessing </w:t>
      </w:r>
      <w:r>
        <w:rPr>
          <w:rFonts w:eastAsia="Yu Mincho"/>
          <w:noProof/>
        </w:rPr>
        <w:t xml:space="preserve">or retaining </w:t>
      </w:r>
      <w:r w:rsidRPr="00C00FB9">
        <w:rPr>
          <w:rFonts w:eastAsia="Yu Mincho"/>
          <w:noProof/>
        </w:rPr>
        <w:t>our nation’s numbering resources</w:t>
      </w:r>
      <w:r>
        <w:rPr>
          <w:rFonts w:eastAsia="Yu Mincho"/>
          <w:noProof/>
        </w:rPr>
        <w:t>.</w:t>
      </w:r>
      <w:r>
        <w:rPr>
          <w:rStyle w:val="FootnoteReference"/>
          <w:rFonts w:eastAsia="Yu Mincho"/>
          <w:noProof/>
          <w:sz w:val="22"/>
          <w:szCs w:val="22"/>
        </w:rPr>
        <w:footnoteReference w:id="39"/>
      </w:r>
      <w:r w:rsidRPr="00C00FB9">
        <w:rPr>
          <w:rFonts w:eastAsia="Yu Mincho"/>
          <w:noProof/>
        </w:rPr>
        <w:t xml:space="preserve">  </w:t>
      </w:r>
      <w:r w:rsidRPr="2FC37315">
        <w:rPr>
          <w:rFonts w:eastAsia="Yu Mincho"/>
          <w:noProof/>
        </w:rPr>
        <w:t>W</w:t>
      </w:r>
      <w:r w:rsidRPr="2FC37315">
        <w:rPr>
          <w:rFonts w:eastAsia="Yu Mincho"/>
          <w:noProof/>
        </w:rPr>
        <w:t xml:space="preserve">hile our direct access rules </w:t>
      </w:r>
      <w:r>
        <w:rPr>
          <w:rFonts w:eastAsia="Yu Mincho"/>
          <w:noProof/>
        </w:rPr>
        <w:t xml:space="preserve">currently </w:t>
      </w:r>
      <w:r w:rsidRPr="2FC37315">
        <w:rPr>
          <w:rFonts w:eastAsia="Yu Mincho"/>
          <w:noProof/>
        </w:rPr>
        <w:t>contemplate that the Bureau may request supplemental information as necessary to conduct a thorough public interest review,</w:t>
      </w:r>
      <w:r>
        <w:rPr>
          <w:rStyle w:val="FootnoteReference"/>
          <w:rFonts w:eastAsia="Yu Mincho"/>
          <w:noProof/>
        </w:rPr>
        <w:footnoteReference w:id="40"/>
      </w:r>
      <w:r w:rsidRPr="2FC37315">
        <w:rPr>
          <w:rFonts w:eastAsia="Yu Mincho"/>
          <w:noProof/>
        </w:rPr>
        <w:t xml:space="preserve"> the rule changes we adopt today </w:t>
      </w:r>
      <w:r>
        <w:rPr>
          <w:rFonts w:eastAsia="Yu Mincho"/>
          <w:noProof/>
        </w:rPr>
        <w:t xml:space="preserve">make certain previously supplemental showings a mandatory prerequisite before </w:t>
      </w:r>
      <w:r w:rsidRPr="2FC37315">
        <w:rPr>
          <w:rFonts w:eastAsia="Yu Mincho"/>
          <w:noProof/>
        </w:rPr>
        <w:t>the Bureau accept</w:t>
      </w:r>
      <w:r>
        <w:rPr>
          <w:rFonts w:eastAsia="Yu Mincho"/>
          <w:noProof/>
        </w:rPr>
        <w:t>s</w:t>
      </w:r>
      <w:r w:rsidRPr="2FC37315">
        <w:rPr>
          <w:rFonts w:eastAsia="Yu Mincho"/>
          <w:noProof/>
        </w:rPr>
        <w:t xml:space="preserve"> </w:t>
      </w:r>
      <w:r>
        <w:rPr>
          <w:rFonts w:eastAsia="Yu Mincho"/>
          <w:noProof/>
        </w:rPr>
        <w:t xml:space="preserve">new </w:t>
      </w:r>
      <w:r w:rsidRPr="2FC37315">
        <w:rPr>
          <w:rFonts w:eastAsia="Yu Mincho"/>
          <w:noProof/>
        </w:rPr>
        <w:t>application</w:t>
      </w:r>
      <w:r>
        <w:rPr>
          <w:rFonts w:eastAsia="Yu Mincho"/>
          <w:noProof/>
        </w:rPr>
        <w:t>s</w:t>
      </w:r>
      <w:r w:rsidRPr="2FC37315">
        <w:rPr>
          <w:rFonts w:eastAsia="Yu Mincho"/>
          <w:noProof/>
        </w:rPr>
        <w:t xml:space="preserve"> for filing</w:t>
      </w:r>
      <w:r>
        <w:rPr>
          <w:rFonts w:eastAsia="Yu Mincho"/>
          <w:noProof/>
        </w:rPr>
        <w:t xml:space="preserve"> </w:t>
      </w:r>
      <w:r w:rsidRPr="2FC37315">
        <w:rPr>
          <w:rFonts w:eastAsia="Yu Mincho"/>
          <w:noProof/>
        </w:rPr>
        <w:t>and grant</w:t>
      </w:r>
      <w:r>
        <w:rPr>
          <w:rFonts w:eastAsia="Yu Mincho"/>
          <w:noProof/>
        </w:rPr>
        <w:t>s</w:t>
      </w:r>
      <w:r w:rsidRPr="2FC37315">
        <w:rPr>
          <w:rFonts w:eastAsia="Yu Mincho"/>
          <w:noProof/>
        </w:rPr>
        <w:t xml:space="preserve"> </w:t>
      </w:r>
      <w:r>
        <w:rPr>
          <w:rFonts w:eastAsia="Yu Mincho"/>
          <w:noProof/>
        </w:rPr>
        <w:t>such</w:t>
      </w:r>
      <w:r w:rsidRPr="2FC37315">
        <w:rPr>
          <w:rFonts w:eastAsia="Yu Mincho"/>
          <w:noProof/>
        </w:rPr>
        <w:t xml:space="preserve"> application</w:t>
      </w:r>
      <w:r>
        <w:rPr>
          <w:rFonts w:eastAsia="Yu Mincho"/>
          <w:noProof/>
        </w:rPr>
        <w:t>s</w:t>
      </w:r>
      <w:r w:rsidRPr="2FC37315">
        <w:rPr>
          <w:rFonts w:eastAsia="Yu Mincho"/>
          <w:noProof/>
        </w:rPr>
        <w:t xml:space="preserve"> in the public interest.  </w:t>
      </w:r>
      <w:r>
        <w:rPr>
          <w:rFonts w:eastAsia="Yu Mincho"/>
          <w:noProof/>
        </w:rPr>
        <w:t>T</w:t>
      </w:r>
      <w:r w:rsidRPr="00C00FB9">
        <w:rPr>
          <w:rFonts w:eastAsia="Yu Mincho"/>
          <w:noProof/>
        </w:rPr>
        <w:t xml:space="preserve">he rules we adopt today strike an appropriate balance between </w:t>
      </w:r>
      <w:r>
        <w:rPr>
          <w:rFonts w:eastAsia="Yu Mincho"/>
          <w:noProof/>
        </w:rPr>
        <w:t>establishing</w:t>
      </w:r>
      <w:r w:rsidRPr="00C00FB9">
        <w:rPr>
          <w:rFonts w:eastAsia="Yu Mincho"/>
          <w:noProof/>
        </w:rPr>
        <w:t xml:space="preserve"> n</w:t>
      </w:r>
      <w:r w:rsidRPr="00C00FB9">
        <w:rPr>
          <w:rFonts w:eastAsia="Yu Mincho"/>
          <w:noProof/>
        </w:rPr>
        <w:t xml:space="preserve">ecessary checks on </w:t>
      </w:r>
      <w:r>
        <w:rPr>
          <w:rFonts w:eastAsia="Yu Mincho"/>
          <w:noProof/>
        </w:rPr>
        <w:t xml:space="preserve">interconnected VoIP direct access </w:t>
      </w:r>
      <w:r w:rsidRPr="00C00FB9">
        <w:rPr>
          <w:rFonts w:eastAsia="Yu Mincho"/>
          <w:noProof/>
        </w:rPr>
        <w:t>applica</w:t>
      </w:r>
      <w:r>
        <w:rPr>
          <w:rFonts w:eastAsia="Yu Mincho"/>
          <w:noProof/>
        </w:rPr>
        <w:t>nts and authorization holders and</w:t>
      </w:r>
      <w:r w:rsidRPr="00C00FB9">
        <w:rPr>
          <w:rFonts w:eastAsia="Yu Mincho"/>
          <w:noProof/>
        </w:rPr>
        <w:t xml:space="preserve"> foster</w:t>
      </w:r>
      <w:r>
        <w:rPr>
          <w:rFonts w:eastAsia="Yu Mincho"/>
          <w:noProof/>
        </w:rPr>
        <w:t>ing</w:t>
      </w:r>
      <w:r w:rsidRPr="00C00FB9">
        <w:rPr>
          <w:rFonts w:eastAsia="Yu Mincho"/>
          <w:noProof/>
        </w:rPr>
        <w:t xml:space="preserve"> an e</w:t>
      </w:r>
      <w:r>
        <w:rPr>
          <w:rFonts w:eastAsia="Yu Mincho"/>
          <w:noProof/>
        </w:rPr>
        <w:t>ffic</w:t>
      </w:r>
      <w:r w:rsidRPr="00C00FB9">
        <w:rPr>
          <w:rFonts w:eastAsia="Yu Mincho"/>
          <w:noProof/>
        </w:rPr>
        <w:t>ient direct access pro</w:t>
      </w:r>
      <w:r>
        <w:rPr>
          <w:rFonts w:eastAsia="Yu Mincho"/>
          <w:noProof/>
        </w:rPr>
        <w:t>cess</w:t>
      </w:r>
      <w:r w:rsidRPr="00C00FB9">
        <w:rPr>
          <w:rFonts w:eastAsia="Yu Mincho"/>
          <w:noProof/>
        </w:rPr>
        <w:t xml:space="preserve"> that has, in part, </w:t>
      </w:r>
      <w:r>
        <w:rPr>
          <w:rFonts w:eastAsia="Yu Mincho"/>
          <w:noProof/>
        </w:rPr>
        <w:t xml:space="preserve">facilitated </w:t>
      </w:r>
      <w:r w:rsidRPr="00C00FB9">
        <w:rPr>
          <w:rFonts w:eastAsia="Yu Mincho"/>
          <w:noProof/>
        </w:rPr>
        <w:t xml:space="preserve">the </w:t>
      </w:r>
      <w:r>
        <w:rPr>
          <w:rFonts w:eastAsia="Yu Mincho"/>
          <w:noProof/>
        </w:rPr>
        <w:t xml:space="preserve">ongoing </w:t>
      </w:r>
      <w:r w:rsidRPr="00C00FB9">
        <w:rPr>
          <w:rFonts w:eastAsia="Yu Mincho"/>
          <w:noProof/>
        </w:rPr>
        <w:t xml:space="preserve">technological transition to </w:t>
      </w:r>
      <w:r>
        <w:rPr>
          <w:rFonts w:eastAsia="Yu Mincho"/>
          <w:noProof/>
        </w:rPr>
        <w:t xml:space="preserve">advanced </w:t>
      </w:r>
      <w:r w:rsidRPr="00C00FB9">
        <w:rPr>
          <w:rFonts w:eastAsia="Yu Mincho"/>
          <w:noProof/>
        </w:rPr>
        <w:t xml:space="preserve">IP </w:t>
      </w:r>
      <w:r>
        <w:rPr>
          <w:rFonts w:eastAsia="Yu Mincho"/>
          <w:noProof/>
        </w:rPr>
        <w:t>communications</w:t>
      </w:r>
      <w:r w:rsidRPr="00C00FB9">
        <w:rPr>
          <w:rFonts w:eastAsia="Yu Mincho"/>
          <w:noProof/>
        </w:rPr>
        <w:t xml:space="preserve"> networks</w:t>
      </w:r>
      <w:r w:rsidRPr="3A63744E">
        <w:rPr>
          <w:rFonts w:eastAsia="Yu Mincho"/>
          <w:i/>
          <w:iCs/>
          <w:noProof/>
        </w:rPr>
        <w:t>.</w:t>
      </w:r>
    </w:p>
    <w:p w:rsidR="006807AE" w:rsidP="00887C6A" w14:paraId="6CEBEA36" w14:textId="1D973BEE">
      <w:pPr>
        <w:pStyle w:val="Heading2"/>
      </w:pPr>
      <w:bookmarkStart w:id="9" w:name="_Toc146047057"/>
      <w:bookmarkStart w:id="10" w:name="_Toc146179049"/>
      <w:r>
        <w:t xml:space="preserve">Ensuring </w:t>
      </w:r>
      <w:r>
        <w:t>that Authorization Approvals Serve the Public Interest</w:t>
      </w:r>
      <w:bookmarkEnd w:id="9"/>
      <w:bookmarkEnd w:id="10"/>
    </w:p>
    <w:p w:rsidR="006807AE" w:rsidRPr="00C01E68" w:rsidP="006807AE" w14:paraId="3BC8EB5E" w14:textId="77777777">
      <w:pPr>
        <w:pStyle w:val="ParaNum"/>
      </w:pPr>
      <w:r>
        <w:t>First, we tighten our application requirements to ensure that the Bureau receives sufficient detail from interconnected VoIP applicants to make informed, public-interest-driven decisions about their di</w:t>
      </w:r>
      <w:r>
        <w:t>rect access applications and thereby protect the public from bad actors.  These new requirements will also increase our enforcement capabilities should we find that providers are skirting our rules.  Upon the effective date of these rules, we require expli</w:t>
      </w:r>
      <w:r>
        <w:t xml:space="preserve">cit acknowledgment of compliance with all robocall regulations; implement disclosure and update requirements regarding ownership and control; require certification of compliance with other applicable Commission regulations and certain state law; and add a </w:t>
      </w:r>
      <w:r>
        <w:t xml:space="preserve">declaration requirement to hold applicants accountable for the truthfulness and accuracy of their direct access applications.  </w:t>
      </w:r>
    </w:p>
    <w:p w:rsidR="006807AE" w:rsidP="006807AE" w14:paraId="153DF26D" w14:textId="6E576C0E">
      <w:pPr>
        <w:pStyle w:val="Heading3"/>
      </w:pPr>
      <w:bookmarkStart w:id="11" w:name="_Toc146047058"/>
      <w:bookmarkStart w:id="12" w:name="_Toc146179050"/>
      <w:r>
        <w:t>Certifying Compliance with Robocall-Related Rules</w:t>
      </w:r>
      <w:bookmarkEnd w:id="11"/>
      <w:bookmarkEnd w:id="12"/>
    </w:p>
    <w:p w:rsidR="006807AE" w:rsidP="006807AE" w14:paraId="23AFA795" w14:textId="77777777">
      <w:pPr>
        <w:pStyle w:val="ParaNum"/>
        <w:rPr>
          <w:noProof/>
        </w:rPr>
      </w:pPr>
      <w:r w:rsidRPr="00AD6BB8">
        <w:t xml:space="preserve">We adopt our proposal to require a direct access applicant to certify that it </w:t>
      </w:r>
      <w:r w:rsidRPr="00AD6BB8">
        <w:t>will use numbering resources lawfully and will not encourage</w:t>
      </w:r>
      <w:r>
        <w:t xml:space="preserve">, </w:t>
      </w:r>
      <w:r w:rsidRPr="00AD6BB8">
        <w:t>assist</w:t>
      </w:r>
      <w:r>
        <w:t>, or</w:t>
      </w:r>
      <w:r w:rsidRPr="00AD6BB8">
        <w:t xml:space="preserve"> facilitate illegal robocalls, illegal </w:t>
      </w:r>
      <w:r w:rsidRPr="00AD6BB8">
        <w:t>spoofing, or fraud.</w:t>
      </w:r>
      <w:r>
        <w:rPr>
          <w:rStyle w:val="FootnoteReference"/>
          <w:sz w:val="22"/>
          <w:szCs w:val="22"/>
          <w:shd w:val="clear" w:color="auto" w:fill="FFFFFF"/>
        </w:rPr>
        <w:footnoteReference w:id="41"/>
      </w:r>
      <w:r w:rsidRPr="00AD6BB8">
        <w:t xml:space="preserve">  </w:t>
      </w:r>
      <w:r w:rsidRPr="00F14F08">
        <w:t xml:space="preserve">Protecting Americans from the harmful effects of unwanted and illegal robocalls remains the Commission’s top </w:t>
      </w:r>
      <w:r>
        <w:t>consumer prot</w:t>
      </w:r>
      <w:r>
        <w:t xml:space="preserve">ection </w:t>
      </w:r>
      <w:r w:rsidRPr="00F14F08">
        <w:t>priority.  More than just a nuisance, illegal robocalls continue to expose millions of American consumers to harmful risks.</w:t>
      </w:r>
      <w:r>
        <w:rPr>
          <w:vertAlign w:val="superscript"/>
        </w:rPr>
        <w:footnoteReference w:id="42"/>
      </w:r>
      <w:r w:rsidRPr="00F14F08">
        <w:t xml:space="preserve">  The Commission receives more complaints about such unwanted calls than about anything else—approximately </w:t>
      </w:r>
      <w:r>
        <w:t>1</w:t>
      </w:r>
      <w:r w:rsidRPr="00F14F08">
        <w:t>19,000 last year</w:t>
      </w:r>
      <w:r w:rsidRPr="00F14F08">
        <w:t xml:space="preserve"> alone.</w:t>
      </w:r>
      <w:r>
        <w:rPr>
          <w:vertAlign w:val="superscript"/>
        </w:rPr>
        <w:footnoteReference w:id="43"/>
      </w:r>
      <w:r w:rsidRPr="00F14F08">
        <w:t xml:space="preserve">  </w:t>
      </w:r>
    </w:p>
    <w:p w:rsidR="006807AE" w:rsidRPr="00D303B6" w:rsidP="006807AE" w14:paraId="24BCBC33" w14:textId="77777777">
      <w:pPr>
        <w:pStyle w:val="ParaNum"/>
        <w:rPr>
          <w:noProof/>
        </w:rPr>
      </w:pPr>
      <w:r>
        <w:t xml:space="preserve">To help curb illegal robocalls and enhance the Bureau staff’s ability to protect the public interest from such calls, the </w:t>
      </w:r>
      <w:r w:rsidRPr="3A63744E">
        <w:rPr>
          <w:i/>
          <w:iCs/>
        </w:rPr>
        <w:t>VoIP Direct Access Further Notice</w:t>
      </w:r>
      <w:r>
        <w:t xml:space="preserve"> proposed requiring applicants to certify in their direct access applications to numerous statements regarding illegal robocalls and the Robocall Mitigation Database and to disclose whether they are subject to a robocall-related action, investigation, or i</w:t>
      </w:r>
      <w:r>
        <w:t>nquiry from various enforcement entities.</w:t>
      </w:r>
      <w:r>
        <w:rPr>
          <w:rStyle w:val="FootnoteReference"/>
        </w:rPr>
        <w:footnoteReference w:id="44"/>
      </w:r>
      <w:r>
        <w:t xml:space="preserve">  We received substantial opposition from a wide range of commenters in response to these proposals.</w:t>
      </w:r>
      <w:r>
        <w:rPr>
          <w:rStyle w:val="FootnoteReference"/>
        </w:rPr>
        <w:footnoteReference w:id="45"/>
      </w:r>
      <w:r>
        <w:t xml:space="preserve">  Many commenters argued that our proposed approach would risk creating redundancies and cause confusion becaus</w:t>
      </w:r>
      <w:r>
        <w:t>e interconnected VoIP providers are already subject to the Commission’s comprehensive framework to combat illegal robocalls.</w:t>
      </w:r>
      <w:r>
        <w:rPr>
          <w:rStyle w:val="FootnoteReference"/>
        </w:rPr>
        <w:footnoteReference w:id="46"/>
      </w:r>
      <w:r>
        <w:t xml:space="preserve">  Some commenters also argued that our proposals would not effectively reduce the origination of illegal robocalls,</w:t>
      </w:r>
      <w:r>
        <w:rPr>
          <w:rStyle w:val="FootnoteReference"/>
        </w:rPr>
        <w:footnoteReference w:id="47"/>
      </w:r>
      <w:r>
        <w:t xml:space="preserve"> or would </w:t>
      </w:r>
      <w:r>
        <w:t>imp</w:t>
      </w:r>
      <w:r>
        <w:t>act interconnected VoIP providers’ competitiveness with other types of providers by imposing on them unique burdens.</w:t>
      </w:r>
      <w:r>
        <w:rPr>
          <w:rStyle w:val="FootnoteReference"/>
        </w:rPr>
        <w:footnoteReference w:id="48"/>
      </w:r>
      <w:r>
        <w:t xml:space="preserve">  Upon consideration of the record, we adopt a more straightforward approach that avoids these concerns and instead cross-references the r</w:t>
      </w:r>
      <w:r>
        <w:t xml:space="preserve">elevant Commission rules targeting illegal robocalls in our new certifications.  </w:t>
      </w:r>
    </w:p>
    <w:p w:rsidR="006807AE" w:rsidP="006807AE" w14:paraId="778CA56C" w14:textId="77777777">
      <w:pPr>
        <w:pStyle w:val="ParaNum"/>
        <w:rPr>
          <w:noProof/>
        </w:rPr>
      </w:pPr>
      <w:r w:rsidRPr="00AD6BB8">
        <w:rPr>
          <w:i/>
        </w:rPr>
        <w:t>Robocall-related certifications</w:t>
      </w:r>
      <w:r w:rsidRPr="00AD6BB8">
        <w:t xml:space="preserve">.  </w:t>
      </w:r>
      <w:r>
        <w:t>We</w:t>
      </w:r>
      <w:r w:rsidRPr="00D303B6">
        <w:t xml:space="preserve"> revise section 52.15(g)(3) </w:t>
      </w:r>
      <w:r w:rsidRPr="00D303B6">
        <w:rPr>
          <w:rFonts w:eastAsia="Yu Mincho"/>
        </w:rPr>
        <w:t>of</w:t>
      </w:r>
      <w:r w:rsidRPr="00D303B6">
        <w:t xml:space="preserve"> the </w:t>
      </w:r>
      <w:r>
        <w:t xml:space="preserve">Commission’s </w:t>
      </w:r>
      <w:r w:rsidRPr="00D303B6">
        <w:t>rules</w:t>
      </w:r>
      <w:r>
        <w:rPr>
          <w:rStyle w:val="FootnoteReference"/>
        </w:rPr>
        <w:footnoteReference w:id="49"/>
      </w:r>
      <w:r w:rsidRPr="00D303B6">
        <w:t xml:space="preserve"> to require</w:t>
      </w:r>
      <w:r>
        <w:t xml:space="preserve"> an</w:t>
      </w:r>
      <w:r w:rsidRPr="00D303B6">
        <w:t xml:space="preserve"> </w:t>
      </w:r>
      <w:r>
        <w:t>interconnected VoIP provider seeking direct access to numbering reso</w:t>
      </w:r>
      <w:r>
        <w:t xml:space="preserve">urces </w:t>
      </w:r>
      <w:r w:rsidRPr="00D303B6">
        <w:t>to</w:t>
      </w:r>
      <w:r>
        <w:t xml:space="preserve"> certify that:  </w:t>
      </w:r>
    </w:p>
    <w:p w:rsidR="006807AE" w:rsidRPr="004F5711" w:rsidP="006807AE" w14:paraId="1E27769A" w14:textId="77777777">
      <w:pPr>
        <w:pStyle w:val="ListParagraph"/>
        <w:numPr>
          <w:ilvl w:val="0"/>
          <w:numId w:val="8"/>
        </w:numPr>
        <w:spacing w:after="120"/>
        <w:ind w:left="1440"/>
        <w:contextualSpacing w:val="0"/>
        <w:rPr>
          <w:rFonts w:ascii="Times New Roman" w:hAnsi="Times New Roman"/>
          <w:noProof/>
        </w:rPr>
      </w:pPr>
      <w:r w:rsidRPr="004F5711">
        <w:rPr>
          <w:rFonts w:ascii="Times New Roman" w:hAnsi="Times New Roman"/>
        </w:rPr>
        <w:t>the applicant</w:t>
      </w:r>
      <w:r>
        <w:rPr>
          <w:rFonts w:ascii="Times New Roman" w:hAnsi="Times New Roman"/>
        </w:rPr>
        <w:t xml:space="preserve"> will not use the numbers obtained pursuant to an interconnected VoIP provider numbering authorization to knowingly transmit, encourage, assist, or facilitate illegal robocalls, illegal spoofing, or fraud, in violation</w:t>
      </w:r>
      <w:r>
        <w:rPr>
          <w:rFonts w:ascii="Times New Roman" w:hAnsi="Times New Roman"/>
        </w:rPr>
        <w:t xml:space="preserve"> of robocall, spoofing, and deceptive telemarketing </w:t>
      </w:r>
      <w:r w:rsidRPr="004F5711">
        <w:rPr>
          <w:rFonts w:ascii="Times New Roman" w:hAnsi="Times New Roman"/>
        </w:rPr>
        <w:t>obligations</w:t>
      </w:r>
      <w:r>
        <w:rPr>
          <w:rFonts w:ascii="Times New Roman" w:hAnsi="Times New Roman"/>
        </w:rPr>
        <w:t xml:space="preserve"> </w:t>
      </w:r>
      <w:r w:rsidRPr="004F5711">
        <w:rPr>
          <w:rFonts w:ascii="Times New Roman" w:hAnsi="Times New Roman"/>
        </w:rPr>
        <w:t xml:space="preserve">under </w:t>
      </w:r>
      <w:r w:rsidRPr="0050308E">
        <w:rPr>
          <w:rFonts w:ascii="Times New Roman" w:hAnsi="Times New Roman"/>
        </w:rPr>
        <w:t xml:space="preserve">47 CFR §§ 64.1200, 64.1604, </w:t>
      </w:r>
      <w:bookmarkStart w:id="13" w:name="_Hlk139895239"/>
      <w:r w:rsidRPr="0050308E">
        <w:rPr>
          <w:rFonts w:ascii="Times New Roman" w:hAnsi="Times New Roman"/>
        </w:rPr>
        <w:t xml:space="preserve">64.6300 </w:t>
      </w:r>
      <w:r w:rsidRPr="0050308E">
        <w:rPr>
          <w:rFonts w:ascii="Times New Roman" w:hAnsi="Times New Roman"/>
          <w:i/>
          <w:iCs/>
        </w:rPr>
        <w:t>et seq</w:t>
      </w:r>
      <w:bookmarkEnd w:id="13"/>
      <w:r w:rsidRPr="0050308E">
        <w:rPr>
          <w:rFonts w:ascii="Times New Roman" w:hAnsi="Times New Roman"/>
          <w:i/>
          <w:iCs/>
        </w:rPr>
        <w:t>.</w:t>
      </w:r>
      <w:r w:rsidRPr="0050308E">
        <w:rPr>
          <w:rFonts w:ascii="Times New Roman" w:hAnsi="Times New Roman"/>
        </w:rPr>
        <w:t>, and 16 CFR § 310.3(b);</w:t>
      </w:r>
      <w:r w:rsidRPr="001517E3">
        <w:rPr>
          <w:rStyle w:val="EndnoteReference"/>
        </w:rPr>
        <w:t xml:space="preserve"> </w:t>
      </w:r>
      <w:r>
        <w:rPr>
          <w:rStyle w:val="FootnoteReference"/>
        </w:rPr>
        <w:footnoteReference w:id="50"/>
      </w:r>
    </w:p>
    <w:p w:rsidR="006807AE" w:rsidP="006807AE" w14:paraId="6AFDA113" w14:textId="77777777">
      <w:pPr>
        <w:pStyle w:val="ListParagraph"/>
        <w:numPr>
          <w:ilvl w:val="0"/>
          <w:numId w:val="8"/>
        </w:numPr>
        <w:spacing w:after="120"/>
        <w:ind w:left="1440"/>
        <w:contextualSpacing w:val="0"/>
        <w:rPr>
          <w:rFonts w:ascii="Times New Roman" w:hAnsi="Times New Roman"/>
          <w:noProof/>
        </w:rPr>
      </w:pPr>
      <w:r w:rsidRPr="004F5711">
        <w:rPr>
          <w:rFonts w:ascii="Times New Roman" w:hAnsi="Times New Roman"/>
        </w:rPr>
        <w:t xml:space="preserve">the applicant has </w:t>
      </w:r>
      <w:r w:rsidRPr="2FC37315">
        <w:rPr>
          <w:rFonts w:ascii="Times New Roman" w:hAnsi="Times New Roman"/>
        </w:rPr>
        <w:t xml:space="preserve">fully </w:t>
      </w:r>
      <w:r>
        <w:rPr>
          <w:rFonts w:ascii="Times New Roman" w:hAnsi="Times New Roman"/>
        </w:rPr>
        <w:t>complied with</w:t>
      </w:r>
      <w:r w:rsidRPr="2FC37315">
        <w:rPr>
          <w:rFonts w:ascii="Times New Roman" w:hAnsi="Times New Roman"/>
        </w:rPr>
        <w:t xml:space="preserve"> all applicable STIR/SHAKEN caller ID</w:t>
      </w:r>
      <w:r>
        <w:rPr>
          <w:rFonts w:ascii="Times New Roman" w:hAnsi="Times New Roman"/>
        </w:rPr>
        <w:t xml:space="preserve"> authentication</w:t>
      </w:r>
      <w:r w:rsidRPr="2FC37315">
        <w:rPr>
          <w:rFonts w:ascii="Times New Roman" w:hAnsi="Times New Roman"/>
        </w:rPr>
        <w:t xml:space="preserve"> and </w:t>
      </w:r>
      <w:r w:rsidRPr="00F0718E">
        <w:rPr>
          <w:rFonts w:ascii="Times New Roman" w:hAnsi="Times New Roman"/>
        </w:rPr>
        <w:t>robocall mitigation p</w:t>
      </w:r>
      <w:r w:rsidRPr="00F0718E">
        <w:rPr>
          <w:rFonts w:ascii="Times New Roman" w:hAnsi="Times New Roman"/>
        </w:rPr>
        <w:t>rogram</w:t>
      </w:r>
      <w:r>
        <w:rPr>
          <w:rFonts w:ascii="Times New Roman" w:hAnsi="Times New Roman"/>
        </w:rPr>
        <w:t xml:space="preserve"> requirements and</w:t>
      </w:r>
      <w:r w:rsidRPr="00F0718E">
        <w:rPr>
          <w:rFonts w:ascii="Times New Roman" w:hAnsi="Times New Roman"/>
        </w:rPr>
        <w:t xml:space="preserve"> </w:t>
      </w:r>
      <w:r w:rsidRPr="004F5711">
        <w:rPr>
          <w:rFonts w:ascii="Times New Roman" w:hAnsi="Times New Roman"/>
        </w:rPr>
        <w:t xml:space="preserve">filed a certification in the Robocall Mitigation Database </w:t>
      </w:r>
      <w:r>
        <w:rPr>
          <w:rFonts w:ascii="Times New Roman" w:hAnsi="Times New Roman"/>
        </w:rPr>
        <w:t>as required by</w:t>
      </w:r>
      <w:r w:rsidRPr="004F5711">
        <w:rPr>
          <w:rFonts w:ascii="Times New Roman" w:hAnsi="Times New Roman"/>
        </w:rPr>
        <w:t xml:space="preserve"> 47 CFR §</w:t>
      </w:r>
      <w:r>
        <w:rPr>
          <w:rFonts w:ascii="Times New Roman" w:hAnsi="Times New Roman"/>
        </w:rPr>
        <w:t>§</w:t>
      </w:r>
      <w:r w:rsidRPr="004F5711">
        <w:rPr>
          <w:rFonts w:ascii="Times New Roman" w:hAnsi="Times New Roman"/>
        </w:rPr>
        <w:t xml:space="preserve"> </w:t>
      </w:r>
      <w:r w:rsidRPr="00FE1AD4">
        <w:rPr>
          <w:rFonts w:ascii="Times New Roman" w:hAnsi="Times New Roman"/>
        </w:rPr>
        <w:t>64.6301-</w:t>
      </w:r>
      <w:r>
        <w:rPr>
          <w:rFonts w:ascii="Times New Roman" w:hAnsi="Times New Roman"/>
        </w:rPr>
        <w:t>64.63</w:t>
      </w:r>
      <w:r w:rsidRPr="00FE1AD4">
        <w:rPr>
          <w:rFonts w:ascii="Times New Roman" w:hAnsi="Times New Roman"/>
        </w:rPr>
        <w:t>05</w:t>
      </w:r>
      <w:r w:rsidRPr="004F5711">
        <w:rPr>
          <w:rFonts w:ascii="Times New Roman" w:hAnsi="Times New Roman"/>
        </w:rPr>
        <w:t>;</w:t>
      </w:r>
      <w:r>
        <w:rPr>
          <w:rStyle w:val="FootnoteReference"/>
          <w:noProof/>
          <w:sz w:val="22"/>
        </w:rPr>
        <w:footnoteReference w:id="51"/>
      </w:r>
      <w:r>
        <w:rPr>
          <w:rFonts w:ascii="Times New Roman" w:hAnsi="Times New Roman"/>
        </w:rPr>
        <w:t xml:space="preserve"> and</w:t>
      </w:r>
    </w:p>
    <w:p w:rsidR="006807AE" w:rsidRPr="006D5796" w:rsidP="006807AE" w14:paraId="1F193969" w14:textId="77777777">
      <w:pPr>
        <w:pStyle w:val="ListParagraph"/>
        <w:numPr>
          <w:ilvl w:val="0"/>
          <w:numId w:val="8"/>
        </w:numPr>
        <w:spacing w:after="120"/>
        <w:ind w:left="1440"/>
        <w:contextualSpacing w:val="0"/>
        <w:rPr>
          <w:rFonts w:ascii="Times New Roman" w:hAnsi="Times New Roman"/>
          <w:noProof/>
        </w:rPr>
      </w:pPr>
      <w:r>
        <w:rPr>
          <w:rFonts w:ascii="Times New Roman" w:hAnsi="Times New Roman"/>
        </w:rPr>
        <w:t xml:space="preserve">neither </w:t>
      </w:r>
      <w:r w:rsidRPr="004F5711">
        <w:rPr>
          <w:rFonts w:ascii="Times New Roman" w:hAnsi="Times New Roman"/>
        </w:rPr>
        <w:t xml:space="preserve">the applicant </w:t>
      </w:r>
      <w:r>
        <w:rPr>
          <w:rFonts w:ascii="Times New Roman" w:hAnsi="Times New Roman"/>
        </w:rPr>
        <w:t>nor</w:t>
      </w:r>
      <w:r w:rsidRPr="004F5711">
        <w:rPr>
          <w:rFonts w:ascii="Times New Roman" w:hAnsi="Times New Roman"/>
        </w:rPr>
        <w:t xml:space="preserve"> </w:t>
      </w:r>
      <w:r>
        <w:rPr>
          <w:rFonts w:ascii="Times New Roman" w:hAnsi="Times New Roman"/>
        </w:rPr>
        <w:t xml:space="preserve">any of </w:t>
      </w:r>
      <w:r w:rsidRPr="004F5711">
        <w:rPr>
          <w:rFonts w:ascii="Times New Roman" w:hAnsi="Times New Roman"/>
        </w:rPr>
        <w:t xml:space="preserve">its key personnel </w:t>
      </w:r>
      <w:r>
        <w:rPr>
          <w:rFonts w:ascii="Times New Roman" w:hAnsi="Times New Roman"/>
        </w:rPr>
        <w:t xml:space="preserve">identified in the application </w:t>
      </w:r>
      <w:r w:rsidRPr="004F5711">
        <w:rPr>
          <w:rFonts w:ascii="Times New Roman" w:hAnsi="Times New Roman"/>
        </w:rPr>
        <w:t>are</w:t>
      </w:r>
      <w:r>
        <w:rPr>
          <w:rFonts w:ascii="Times New Roman" w:hAnsi="Times New Roman"/>
        </w:rPr>
        <w:t xml:space="preserve"> or have been</w:t>
      </w:r>
      <w:r w:rsidRPr="004F5711">
        <w:rPr>
          <w:rFonts w:ascii="Times New Roman" w:hAnsi="Times New Roman"/>
        </w:rPr>
        <w:t xml:space="preserve"> subject to a Commission, law enforcement, or </w:t>
      </w:r>
      <w:r>
        <w:rPr>
          <w:rFonts w:ascii="Times New Roman" w:hAnsi="Times New Roman"/>
        </w:rPr>
        <w:t>any</w:t>
      </w:r>
      <w:r w:rsidRPr="004F5711">
        <w:rPr>
          <w:rFonts w:ascii="Times New Roman" w:hAnsi="Times New Roman"/>
        </w:rPr>
        <w:t xml:space="preserve"> regulatory agency investigation </w:t>
      </w:r>
      <w:r>
        <w:rPr>
          <w:rFonts w:ascii="Times New Roman" w:hAnsi="Times New Roman"/>
        </w:rPr>
        <w:t>for failure to comply with any law, rule, or order, including the Commission’s rules applicable to unlawful robocalls or unlawful spoofing.</w:t>
      </w:r>
      <w:r>
        <w:rPr>
          <w:rStyle w:val="FootnoteReference"/>
        </w:rPr>
        <w:footnoteReference w:id="52"/>
      </w:r>
    </w:p>
    <w:p w:rsidR="006807AE" w:rsidP="006807AE" w14:paraId="52ADEC8E" w14:textId="77777777">
      <w:pPr>
        <w:pStyle w:val="ParaNum"/>
        <w:rPr>
          <w:noProof/>
        </w:rPr>
      </w:pPr>
      <w:r>
        <w:t>The</w:t>
      </w:r>
      <w:r w:rsidRPr="762A295A">
        <w:t xml:space="preserve"> </w:t>
      </w:r>
      <w:r>
        <w:t xml:space="preserve">additional </w:t>
      </w:r>
      <w:r w:rsidRPr="762A295A">
        <w:t>certification</w:t>
      </w:r>
      <w:r>
        <w:t>s we</w:t>
      </w:r>
      <w:r>
        <w:t xml:space="preserve"> adopt today strike a balance between acknowledging interconnected VoIP providers’ disproportionate role in the facilitation of illegal robocalls,</w:t>
      </w:r>
      <w:r>
        <w:rPr>
          <w:rStyle w:val="FootnoteReference"/>
        </w:rPr>
        <w:footnoteReference w:id="53"/>
      </w:r>
      <w:r>
        <w:t xml:space="preserve"> and ensuring that our approach is minimally burdensome and competitively neutral.</w:t>
      </w:r>
      <w:r>
        <w:rPr>
          <w:rStyle w:val="FootnoteReference"/>
        </w:rPr>
        <w:footnoteReference w:id="54"/>
      </w:r>
      <w:r>
        <w:t xml:space="preserve">  Consistent with the re</w:t>
      </w:r>
      <w:r>
        <w:t>cord here,</w:t>
      </w:r>
      <w:r>
        <w:rPr>
          <w:rStyle w:val="FootnoteReference"/>
        </w:rPr>
        <w:footnoteReference w:id="55"/>
      </w:r>
      <w:r>
        <w:t xml:space="preserve"> we do not adopt new obligations regarding STIR/SHAKEN caller ID authentication or robocall mitigation specifically for interconnected VoIP providers, but instead merely require those providers to certify that they will comply, or have complied</w:t>
      </w:r>
      <w:r>
        <w:t>, with certain preexisting requirements.</w:t>
      </w:r>
      <w:r>
        <w:rPr>
          <w:rStyle w:val="FootnoteReference"/>
        </w:rPr>
        <w:footnoteReference w:id="56"/>
      </w:r>
      <w:r>
        <w:t xml:space="preserve">  These </w:t>
      </w:r>
      <w:r w:rsidRPr="00AA4EF7">
        <w:t xml:space="preserve">certifications are not redundant </w:t>
      </w:r>
      <w:r>
        <w:t>and</w:t>
      </w:r>
      <w:r w:rsidRPr="00AA4EF7">
        <w:t xml:space="preserve"> serve an important proactive educational function</w:t>
      </w:r>
      <w:r>
        <w:t xml:space="preserve">—alerting interconnected </w:t>
      </w:r>
      <w:r w:rsidRPr="00AA4EF7">
        <w:t xml:space="preserve">VoIP providers at the </w:t>
      </w:r>
      <w:r>
        <w:t>outset of the direct access application process</w:t>
      </w:r>
      <w:r w:rsidRPr="00AA4EF7">
        <w:t xml:space="preserve"> of important obligations,</w:t>
      </w:r>
      <w:r w:rsidRPr="00AA4EF7">
        <w:t xml:space="preserve"> thereby helping to ensure robust compliance and foster a more trustful numbering ecosystem</w:t>
      </w:r>
      <w:r>
        <w:t xml:space="preserve">.  </w:t>
      </w:r>
      <w:r>
        <w:t>As explained below, the certifications carry the weight of the Commission’s requirement that an officer or responsible official of the company attests under penal</w:t>
      </w:r>
      <w:r>
        <w:t>ty of perjury, pursuant to section 1.16 of the Commission’s rules,</w:t>
      </w:r>
      <w:r>
        <w:rPr>
          <w:rStyle w:val="FootnoteReference"/>
        </w:rPr>
        <w:footnoteReference w:id="57"/>
      </w:r>
      <w:r>
        <w:t xml:space="preserve"> that all statements in the application are true and accurate.</w:t>
      </w:r>
      <w:r>
        <w:rPr>
          <w:rStyle w:val="FootnoteReference"/>
          <w:sz w:val="22"/>
          <w:szCs w:val="22"/>
        </w:rPr>
        <w:footnoteReference w:id="58"/>
      </w:r>
      <w:r>
        <w:t xml:space="preserve">  These certifications</w:t>
      </w:r>
      <w:r w:rsidRPr="762A295A">
        <w:t xml:space="preserve"> will</w:t>
      </w:r>
      <w:r>
        <w:t xml:space="preserve"> thus serve the public interest by</w:t>
      </w:r>
      <w:r w:rsidRPr="762A295A">
        <w:t xml:space="preserve"> further dete</w:t>
      </w:r>
      <w:r>
        <w:t>r</w:t>
      </w:r>
      <w:r w:rsidRPr="762A295A">
        <w:t>r</w:t>
      </w:r>
      <w:r>
        <w:t>ing</w:t>
      </w:r>
      <w:r w:rsidRPr="762A295A">
        <w:t xml:space="preserve"> direct access applicants from engaging in un</w:t>
      </w:r>
      <w:r w:rsidRPr="762A295A">
        <w:t>lawful robocalling or spoofing</w:t>
      </w:r>
      <w:r>
        <w:t xml:space="preserve">, and by </w:t>
      </w:r>
      <w:r w:rsidRPr="006017B9">
        <w:t>giv</w:t>
      </w:r>
      <w:r>
        <w:t>ing</w:t>
      </w:r>
      <w:r w:rsidRPr="006017B9">
        <w:t xml:space="preserve"> the Commission another enforcement mechanism </w:t>
      </w:r>
      <w:r>
        <w:t xml:space="preserve">to use </w:t>
      </w:r>
      <w:r w:rsidRPr="006017B9">
        <w:t>against bad actors</w:t>
      </w:r>
      <w:r w:rsidRPr="762A295A">
        <w:t>.</w:t>
      </w:r>
      <w:r>
        <w:rPr>
          <w:noProof/>
        </w:rPr>
        <w:t xml:space="preserve">  Our requirement that applicants certify that they are not subject to an investigation, including a robocall-related investigation, paired with our preexisting rule that authorization holders must maintain the accuracy of their certifications,</w:t>
      </w:r>
      <w:r>
        <w:rPr>
          <w:rStyle w:val="FootnoteReference"/>
          <w:noProof/>
        </w:rPr>
        <w:footnoteReference w:id="59"/>
      </w:r>
      <w:r>
        <w:rPr>
          <w:noProof/>
        </w:rPr>
        <w:t xml:space="preserve"> will keep</w:t>
      </w:r>
      <w:r>
        <w:rPr>
          <w:noProof/>
        </w:rPr>
        <w:t xml:space="preserve"> us informed of such investigations as they arise.</w:t>
      </w:r>
      <w:r>
        <w:rPr>
          <w:rStyle w:val="FootnoteReference"/>
          <w:noProof/>
        </w:rPr>
        <w:footnoteReference w:id="60"/>
      </w:r>
      <w:r>
        <w:rPr>
          <w:noProof/>
        </w:rPr>
        <w:t xml:space="preserve">  </w:t>
      </w:r>
      <w:r w:rsidRPr="008E6F46">
        <w:t xml:space="preserve">Due to the </w:t>
      </w:r>
      <w:r>
        <w:t xml:space="preserve">persistence </w:t>
      </w:r>
      <w:r w:rsidRPr="008E6F46">
        <w:t xml:space="preserve">of robocalls and associated complaints nationwide, we unsurprisingly received broad support </w:t>
      </w:r>
      <w:r>
        <w:t>for adding robocall-specific certifications</w:t>
      </w:r>
      <w:r w:rsidRPr="008E6F46">
        <w:t xml:space="preserve"> </w:t>
      </w:r>
      <w:r>
        <w:t xml:space="preserve">to direct access applications </w:t>
      </w:r>
      <w:r w:rsidRPr="008E6F46">
        <w:t>from governme</w:t>
      </w:r>
      <w:r w:rsidRPr="008E6F46">
        <w:t>ntal entities.</w:t>
      </w:r>
      <w:r>
        <w:rPr>
          <w:rStyle w:val="FootnoteReference"/>
          <w:noProof/>
          <w:sz w:val="22"/>
          <w:szCs w:val="22"/>
        </w:rPr>
        <w:footnoteReference w:id="61"/>
      </w:r>
      <w:r>
        <w:t xml:space="preserve">  RingCentral additionally supports our approach of strengthening our enforcement of already existing requirements.</w:t>
      </w:r>
      <w:r>
        <w:rPr>
          <w:rStyle w:val="FootnoteReference"/>
        </w:rPr>
        <w:footnoteReference w:id="62"/>
      </w:r>
      <w:r>
        <w:t xml:space="preserve">  </w:t>
      </w:r>
    </w:p>
    <w:p w:rsidR="006807AE" w:rsidP="0011211D" w14:paraId="7558ECB5" w14:textId="77777777">
      <w:pPr>
        <w:pStyle w:val="ParaNum"/>
        <w:widowControl/>
        <w:rPr>
          <w:noProof/>
        </w:rPr>
      </w:pPr>
      <w:r w:rsidRPr="65F21CF3">
        <w:t xml:space="preserve">Some commenters contend that these </w:t>
      </w:r>
      <w:r>
        <w:t xml:space="preserve">new </w:t>
      </w:r>
      <w:r w:rsidRPr="65F21CF3">
        <w:t>certification</w:t>
      </w:r>
      <w:r>
        <w:t>s</w:t>
      </w:r>
      <w:r w:rsidRPr="65F21CF3">
        <w:t xml:space="preserve"> could</w:t>
      </w:r>
      <w:r>
        <w:t xml:space="preserve"> incentivize interconnected VoIP providers to obtain numbers </w:t>
      </w:r>
      <w:r>
        <w:t>from the secondary market, rather than by applying for direct access.</w:t>
      </w:r>
      <w:r>
        <w:rPr>
          <w:rStyle w:val="FootnoteReference"/>
        </w:rPr>
        <w:footnoteReference w:id="63"/>
      </w:r>
      <w:r w:rsidRPr="65F21CF3">
        <w:t xml:space="preserve">  This, they posit, would be a negative outcome because direct access to numbers </w:t>
      </w:r>
      <w:r>
        <w:t xml:space="preserve">facilitates traceback requests and </w:t>
      </w:r>
      <w:r w:rsidRPr="65F21CF3">
        <w:t>give</w:t>
      </w:r>
      <w:r>
        <w:t>s</w:t>
      </w:r>
      <w:r w:rsidRPr="65F21CF3">
        <w:t xml:space="preserve"> regulators better visibility into number utilization.</w:t>
      </w:r>
      <w:r>
        <w:rPr>
          <w:rStyle w:val="FootnoteReference"/>
          <w:noProof/>
          <w:sz w:val="22"/>
          <w:szCs w:val="22"/>
        </w:rPr>
        <w:footnoteReference w:id="64"/>
      </w:r>
      <w:r w:rsidRPr="65F21CF3">
        <w:t xml:space="preserve">  </w:t>
      </w:r>
      <w:r>
        <w:t xml:space="preserve">While </w:t>
      </w:r>
      <w:r>
        <w:t>we agree with commenters regarding the benefits of direct access, we disagree that our new certifications will push interconnected VoIP providers into the secondary market.  T</w:t>
      </w:r>
      <w:r w:rsidRPr="00D303B6">
        <w:t>he additional certifications</w:t>
      </w:r>
      <w:r>
        <w:t xml:space="preserve"> we adopt today</w:t>
      </w:r>
      <w:r w:rsidRPr="00D303B6">
        <w:t xml:space="preserve"> are minimally burdensome</w:t>
      </w:r>
      <w:r>
        <w:t xml:space="preserve"> as they do n</w:t>
      </w:r>
      <w:r>
        <w:t>ot add any new substantive obligations,</w:t>
      </w:r>
      <w:r w:rsidRPr="00D303B6">
        <w:t xml:space="preserve"> and </w:t>
      </w:r>
      <w:r>
        <w:t xml:space="preserve">are </w:t>
      </w:r>
      <w:r w:rsidRPr="00D303B6">
        <w:t>only incremental to the existing certifications required by the Commission’s rules.</w:t>
      </w:r>
      <w:r>
        <w:t xml:space="preserve"> </w:t>
      </w:r>
      <w:r w:rsidRPr="00D303B6">
        <w:t xml:space="preserve"> </w:t>
      </w:r>
      <w:r>
        <w:t xml:space="preserve">We are therefore confident that the incremental cost of </w:t>
      </w:r>
      <w:r>
        <w:t>filing such certifications will not materially impact an interconne</w:t>
      </w:r>
      <w:r>
        <w:t>cted VoIP provider’s decision regarding numbering resource acquisition.</w:t>
      </w:r>
      <w:r>
        <w:rPr>
          <w:rStyle w:val="FootnoteReference"/>
        </w:rPr>
        <w:footnoteReference w:id="65"/>
      </w:r>
    </w:p>
    <w:p w:rsidR="006807AE" w:rsidRPr="002B6BD8" w:rsidP="006807AE" w14:paraId="6F7DD5E2" w14:textId="77777777">
      <w:pPr>
        <w:pStyle w:val="ParaNum"/>
        <w:rPr>
          <w:noProof/>
        </w:rPr>
      </w:pPr>
      <w:r w:rsidRPr="3A63744E">
        <w:rPr>
          <w:i/>
          <w:iCs/>
        </w:rPr>
        <w:t>Notification of investigations post-grant</w:t>
      </w:r>
      <w:r>
        <w:t xml:space="preserve">. </w:t>
      </w:r>
      <w:r w:rsidRPr="3A63744E">
        <w:rPr>
          <w:i/>
          <w:iCs/>
        </w:rPr>
        <w:t xml:space="preserve"> </w:t>
      </w:r>
      <w:r>
        <w:t xml:space="preserve">In the </w:t>
      </w:r>
      <w:r w:rsidRPr="3A63744E">
        <w:rPr>
          <w:i/>
          <w:iCs/>
        </w:rPr>
        <w:t>VoIP Direct Access Further Notice</w:t>
      </w:r>
      <w:r>
        <w:t>, we proposed requiring direct access authorization holders to inform the Commission if the author</w:t>
      </w:r>
      <w:r>
        <w:t>ization holder is subject—either at the time of its application or after its filing or its grant—to a Commission, law enforcement, or regulatory agency action, investigation, or inquiry due to its robocall mitigation plan being deemed insufficient or probl</w:t>
      </w:r>
      <w:r>
        <w:t>ematic, or due to suspected unlawful robocalling or spoofing.</w:t>
      </w:r>
      <w:r>
        <w:rPr>
          <w:rStyle w:val="FootnoteReference"/>
        </w:rPr>
        <w:footnoteReference w:id="66"/>
      </w:r>
      <w:r>
        <w:t xml:space="preserve">  We decline to adopt our proposal at this time.  Because we adopt a new certification in this regard (as explained above), and because the Commission’s rules already contain a requirement that</w:t>
      </w:r>
      <w:r>
        <w:t xml:space="preserve"> an authorization holder “[m]aintain the accuracy of all . . . certifications in its application,” and “file a correction with the Commission . . . within thirty (30) days” of any changes, adopting this proposal is unnecessary.</w:t>
      </w:r>
      <w:r>
        <w:rPr>
          <w:rStyle w:val="FootnoteReference"/>
        </w:rPr>
        <w:footnoteReference w:id="67"/>
      </w:r>
      <w:r>
        <w:t xml:space="preserve">  By taking this approach, </w:t>
      </w:r>
      <w:r>
        <w:t>we address RingCentral’s concern regarding adding a potentially confusing additional layer of reporting requirements beyond what is already required by the current rule.</w:t>
      </w:r>
      <w:r>
        <w:rPr>
          <w:rStyle w:val="FootnoteReference"/>
        </w:rPr>
        <w:footnoteReference w:id="68"/>
      </w:r>
      <w:r>
        <w:t xml:space="preserve">  We are satisfied that our current requirement to keep all certifications up-to-date</w:t>
      </w:r>
      <w:r>
        <w:t xml:space="preserve"> will capture our new robocall-related certifications, and will keep us apprised of any new investigations involving interconnected VoIP direct access authorization holders.</w:t>
      </w:r>
    </w:p>
    <w:p w:rsidR="006807AE" w:rsidP="006807AE" w14:paraId="6AE3F515" w14:textId="5C4CF578">
      <w:pPr>
        <w:pStyle w:val="Heading3"/>
      </w:pPr>
      <w:bookmarkStart w:id="15" w:name="_Toc146047059"/>
      <w:bookmarkStart w:id="16" w:name="_Toc146179051"/>
      <w:r>
        <w:t>Enhanced Disclosure and Review of Ownership and Control of Applicants</w:t>
      </w:r>
      <w:bookmarkEnd w:id="15"/>
      <w:bookmarkEnd w:id="16"/>
    </w:p>
    <w:p w:rsidR="006807AE" w:rsidP="006807AE" w14:paraId="51E6BFE4" w14:textId="77777777">
      <w:pPr>
        <w:pStyle w:val="ParaNum"/>
      </w:pPr>
      <w:r>
        <w:t>We adopt rul</w:t>
      </w:r>
      <w:r>
        <w:t>es to require the disclosure and review of foreign ownership and control of interconnected VoIP direct access applicants.  The Commission has recognized that “[i]</w:t>
      </w:r>
      <w:r w:rsidRPr="002D756C">
        <w:t>llegal robocalling often originates from sources outside the United States</w:t>
      </w:r>
      <w:r>
        <w:t>,</w:t>
      </w:r>
      <w:r w:rsidRPr="002D756C">
        <w:t>”</w:t>
      </w:r>
      <w:r>
        <w:rPr>
          <w:rStyle w:val="FootnoteReference"/>
        </w:rPr>
        <w:footnoteReference w:id="69"/>
      </w:r>
      <w:r>
        <w:t xml:space="preserve"> </w:t>
      </w:r>
      <w:r>
        <w:rPr>
          <w:color w:val="000000"/>
          <w:kern w:val="1"/>
        </w:rPr>
        <w:t>and</w:t>
      </w:r>
      <w:r w:rsidRPr="00686578">
        <w:rPr>
          <w:color w:val="000000"/>
          <w:kern w:val="1"/>
        </w:rPr>
        <w:t xml:space="preserve"> “</w:t>
      </w:r>
      <w:r>
        <w:t>[t]</w:t>
      </w:r>
      <w:r w:rsidRPr="00686578">
        <w:t xml:space="preserve">he </w:t>
      </w:r>
      <w:r w:rsidRPr="00686578">
        <w:t>Commission and Congress have long acknowledged that illegal robocalls that originate abroad are a significant part of the robocall problem.”</w:t>
      </w:r>
      <w:r>
        <w:rPr>
          <w:rStyle w:val="FootnoteReference"/>
        </w:rPr>
        <w:footnoteReference w:id="70"/>
      </w:r>
      <w:r w:rsidRPr="00686578">
        <w:t xml:space="preserve">  </w:t>
      </w:r>
      <w:r>
        <w:t>Indeed</w:t>
      </w:r>
      <w:r w:rsidRPr="00686578">
        <w:t xml:space="preserve">, in 2020, the </w:t>
      </w:r>
      <w:r>
        <w:t>North American Numbering Council (</w:t>
      </w:r>
      <w:r w:rsidRPr="00686578">
        <w:t>NANC</w:t>
      </w:r>
      <w:r>
        <w:t>)</w:t>
      </w:r>
      <w:r w:rsidRPr="00686578">
        <w:t>, the Commission’s advisory committee of outside exp</w:t>
      </w:r>
      <w:r w:rsidRPr="00686578">
        <w:t xml:space="preserve">erts on telephone numbering matters, stated that “it is a long-standing </w:t>
      </w:r>
      <w:r w:rsidRPr="00686578">
        <w:t>problem that international gateway traffic is a significant source of fraudulent traffic.”</w:t>
      </w:r>
      <w:r>
        <w:rPr>
          <w:rStyle w:val="FootnoteReference"/>
        </w:rPr>
        <w:footnoteReference w:id="71"/>
      </w:r>
      <w:r w:rsidRPr="00686578">
        <w:t xml:space="preserve">  The Commission accordingly strives to stay abreast of foreign companies using U.S</w:t>
      </w:r>
      <w:r>
        <w:t>.</w:t>
      </w:r>
      <w:r w:rsidRPr="00686578">
        <w:t xml:space="preserve"> telephone numbers.  For example, it has </w:t>
      </w:r>
      <w:r>
        <w:t>stressed</w:t>
      </w:r>
      <w:r w:rsidRPr="00686578">
        <w:t xml:space="preserve"> that “[e]nsuring that foreign voice service providers using U.S. telephone numbers comply with the certification requireme</w:t>
      </w:r>
      <w:r w:rsidRPr="00686578">
        <w:t>nts prior to being listed in the database is especially important in light of the prevalence of foreign-originated illegal ro</w:t>
      </w:r>
      <w:r w:rsidRPr="00664CC4">
        <w:rPr>
          <w:szCs w:val="22"/>
        </w:rPr>
        <w:t>bocalls aimed at U.S. consumers and the difficulty in eliminating such calls.”</w:t>
      </w:r>
      <w:r>
        <w:rPr>
          <w:rStyle w:val="FootnoteReference"/>
          <w:sz w:val="22"/>
          <w:szCs w:val="22"/>
        </w:rPr>
        <w:footnoteReference w:id="72"/>
      </w:r>
      <w:r w:rsidRPr="00664CC4">
        <w:rPr>
          <w:szCs w:val="22"/>
        </w:rPr>
        <w:t xml:space="preserve">  VoIP providers require particular scrutiny </w:t>
      </w:r>
      <w:r>
        <w:t>in the</w:t>
      </w:r>
      <w:r>
        <w:t xml:space="preserve"> robocall area </w:t>
      </w:r>
      <w:r w:rsidRPr="00664CC4">
        <w:rPr>
          <w:szCs w:val="22"/>
        </w:rPr>
        <w:t xml:space="preserve">as well, given that </w:t>
      </w:r>
      <w:r w:rsidRPr="00664CC4">
        <w:rPr>
          <w:color w:val="000000"/>
          <w:szCs w:val="22"/>
        </w:rPr>
        <w:t>“[t]</w:t>
      </w:r>
      <w:r w:rsidRPr="00664CC4">
        <w:rPr>
          <w:color w:val="000000"/>
          <w:kern w:val="0"/>
          <w:szCs w:val="22"/>
        </w:rPr>
        <w:t>he rising tide of robocalls and the emergence of VoIP go hand in hand.</w:t>
      </w:r>
      <w:r w:rsidRPr="00664CC4">
        <w:rPr>
          <w:color w:val="000000"/>
          <w:szCs w:val="22"/>
        </w:rPr>
        <w:t>”</w:t>
      </w:r>
      <w:r>
        <w:rPr>
          <w:rStyle w:val="FootnoteReference"/>
          <w:color w:val="000000"/>
          <w:sz w:val="22"/>
          <w:szCs w:val="22"/>
        </w:rPr>
        <w:footnoteReference w:id="73"/>
      </w:r>
      <w:r w:rsidRPr="00664CC4">
        <w:rPr>
          <w:color w:val="000000"/>
          <w:szCs w:val="22"/>
        </w:rPr>
        <w:t xml:space="preserve">  </w:t>
      </w:r>
      <w:r>
        <w:rPr>
          <w:szCs w:val="22"/>
        </w:rPr>
        <w:t>In fact</w:t>
      </w:r>
      <w:r w:rsidRPr="00664CC4">
        <w:rPr>
          <w:szCs w:val="22"/>
        </w:rPr>
        <w:t xml:space="preserve">, </w:t>
      </w:r>
      <w:r w:rsidRPr="00664CC4">
        <w:rPr>
          <w:color w:val="000000"/>
          <w:szCs w:val="22"/>
        </w:rPr>
        <w:t>“[t]</w:t>
      </w:r>
      <w:r w:rsidRPr="00664CC4">
        <w:rPr>
          <w:color w:val="000000"/>
          <w:kern w:val="0"/>
          <w:szCs w:val="22"/>
        </w:rPr>
        <w:t>oday, widely available VoIP software can allow bad actors with malicious intent to make spoofed calls with minimal technical expe</w:t>
      </w:r>
      <w:r w:rsidRPr="00664CC4">
        <w:rPr>
          <w:color w:val="000000"/>
          <w:kern w:val="0"/>
          <w:szCs w:val="22"/>
        </w:rPr>
        <w:t>rience and cost.</w:t>
      </w:r>
      <w:r>
        <w:rPr>
          <w:color w:val="000000"/>
          <w:kern w:val="0"/>
          <w:szCs w:val="22"/>
        </w:rPr>
        <w:t>”</w:t>
      </w:r>
      <w:r>
        <w:rPr>
          <w:rStyle w:val="FootnoteReference"/>
          <w:color w:val="000000"/>
          <w:sz w:val="22"/>
          <w:szCs w:val="22"/>
        </w:rPr>
        <w:footnoteReference w:id="74"/>
      </w:r>
      <w:r>
        <w:rPr>
          <w:color w:val="000000"/>
        </w:rPr>
        <w:t xml:space="preserve">  As a result,</w:t>
      </w:r>
      <w:r>
        <w:t xml:space="preserve"> </w:t>
      </w:r>
      <w:r w:rsidRPr="00664CC4">
        <w:rPr>
          <w:color w:val="000000"/>
          <w:szCs w:val="22"/>
        </w:rPr>
        <w:t>“</w:t>
      </w:r>
      <w:r>
        <w:rPr>
          <w:color w:val="000000"/>
        </w:rPr>
        <w:t>[a]</w:t>
      </w:r>
      <w:r w:rsidRPr="00664CC4">
        <w:rPr>
          <w:color w:val="000000"/>
          <w:kern w:val="0"/>
          <w:szCs w:val="22"/>
        </w:rPr>
        <w:t>llowing</w:t>
      </w:r>
      <w:r w:rsidRPr="00664CC4">
        <w:rPr>
          <w:color w:val="000000"/>
          <w:szCs w:val="22"/>
        </w:rPr>
        <w:t xml:space="preserve"> [VoIP providers with foreign ownership or control]</w:t>
      </w:r>
      <w:r w:rsidRPr="00664CC4">
        <w:rPr>
          <w:color w:val="000000"/>
          <w:kern w:val="0"/>
          <w:szCs w:val="22"/>
        </w:rPr>
        <w:t xml:space="preserve"> direct access to numbers and critical numbering databases raises a number of potential risks, including the impact to number conservation requirements; questio</w:t>
      </w:r>
      <w:r w:rsidRPr="00664CC4">
        <w:rPr>
          <w:color w:val="000000"/>
          <w:kern w:val="0"/>
          <w:szCs w:val="22"/>
        </w:rPr>
        <w:t>ns related to jurisdiction, oversight, and enforcement of numbering rules; consideration of assessment of taxes and fees upon foreign-owned entities; and potential national security and law enforcement risks with access to U.S. telecommunications network o</w:t>
      </w:r>
      <w:r w:rsidRPr="00664CC4">
        <w:rPr>
          <w:color w:val="000000"/>
          <w:kern w:val="0"/>
          <w:szCs w:val="22"/>
        </w:rPr>
        <w:t>perations.</w:t>
      </w:r>
      <w:bookmarkStart w:id="17" w:name="co_fnRef_FN_F73_ID0EZYAE_1"/>
      <w:bookmarkEnd w:id="17"/>
      <w:r w:rsidRPr="00664CC4">
        <w:rPr>
          <w:color w:val="000000"/>
          <w:szCs w:val="22"/>
        </w:rPr>
        <w:t>”</w:t>
      </w:r>
      <w:r>
        <w:rPr>
          <w:rStyle w:val="FootnoteReference"/>
          <w:color w:val="000000"/>
        </w:rPr>
        <w:footnoteReference w:id="75"/>
      </w:r>
      <w:r>
        <w:t xml:space="preserve">  These factors make it important for the Commission to know about foreign ownership of interconnected VoIP providers seeking direct access to our nation’s finite numbering resources, especially because a number of providers with substantial f</w:t>
      </w:r>
      <w:r>
        <w:t xml:space="preserve">oreign ownership have applied to obtain direct access to numbering resources since the 2015 </w:t>
      </w:r>
      <w:r w:rsidRPr="3A63744E">
        <w:rPr>
          <w:i/>
        </w:rPr>
        <w:t>VoIP Direct Access Order</w:t>
      </w:r>
      <w:r>
        <w:t>.</w:t>
      </w:r>
      <w:r>
        <w:rPr>
          <w:rStyle w:val="FootnoteReference"/>
        </w:rPr>
        <w:footnoteReference w:id="76"/>
      </w:r>
    </w:p>
    <w:p w:rsidR="006807AE" w:rsidRPr="00E00FF6" w:rsidP="006807AE" w14:paraId="1C5C7FB9" w14:textId="77777777">
      <w:pPr>
        <w:pStyle w:val="ParaNum"/>
      </w:pPr>
      <w:r>
        <w:t xml:space="preserve">The current rules on direct access applications, however, do not require interconnected VoIP providers to disclose any </w:t>
      </w:r>
      <w:r>
        <w:t>information about their ownership or affiliation, nor do they specify a process to evaluate applications with substantial foreign ownership.  T</w:t>
      </w:r>
      <w:r w:rsidRPr="00D303B6">
        <w:t xml:space="preserve">he </w:t>
      </w:r>
      <w:r w:rsidRPr="00D303B6">
        <w:rPr>
          <w:i/>
        </w:rPr>
        <w:t>VoIP Direct Access F</w:t>
      </w:r>
      <w:r>
        <w:rPr>
          <w:i/>
        </w:rPr>
        <w:t>urther Notice</w:t>
      </w:r>
      <w:r>
        <w:t xml:space="preserve"> therefore </w:t>
      </w:r>
      <w:r w:rsidRPr="00D303B6">
        <w:t xml:space="preserve">proposed requirements aimed at ascertaining the foreign ownership </w:t>
      </w:r>
      <w:r>
        <w:t xml:space="preserve">and control </w:t>
      </w:r>
      <w:r w:rsidRPr="00D303B6">
        <w:t xml:space="preserve">of </w:t>
      </w:r>
      <w:r>
        <w:t xml:space="preserve">interconnected VoIP </w:t>
      </w:r>
      <w:r w:rsidRPr="00D303B6">
        <w:t>applicants</w:t>
      </w:r>
      <w:r>
        <w:t xml:space="preserve"> and </w:t>
      </w:r>
      <w:r w:rsidRPr="00D303B6">
        <w:t xml:space="preserve">tentatively concluded </w:t>
      </w:r>
      <w:r>
        <w:t>that applicants</w:t>
      </w:r>
      <w:r w:rsidRPr="00D303B6">
        <w:t xml:space="preserve"> </w:t>
      </w:r>
      <w:r>
        <w:t>should</w:t>
      </w:r>
      <w:r w:rsidRPr="00D303B6">
        <w:t xml:space="preserve"> disclose any </w:t>
      </w:r>
      <w:r>
        <w:t xml:space="preserve">10% </w:t>
      </w:r>
      <w:r w:rsidRPr="00D303B6">
        <w:t xml:space="preserve">or greater </w:t>
      </w:r>
      <w:r>
        <w:t>“equity and/or voting interest, or a controlling interest.”</w:t>
      </w:r>
      <w:r>
        <w:rPr>
          <w:rStyle w:val="FootnoteReference"/>
          <w:rFonts w:eastAsia="Yu Mincho"/>
          <w:noProof/>
        </w:rPr>
        <w:footnoteReference w:id="77"/>
      </w:r>
      <w:r>
        <w:t xml:space="preserve">  It</w:t>
      </w:r>
      <w:r w:rsidRPr="00D303B6">
        <w:t xml:space="preserve"> also proposed requiring </w:t>
      </w:r>
      <w:r>
        <w:t xml:space="preserve">such </w:t>
      </w:r>
      <w:r w:rsidRPr="00D303B6">
        <w:t xml:space="preserve">applicants </w:t>
      </w:r>
      <w:r>
        <w:t xml:space="preserve">to </w:t>
      </w:r>
      <w:r w:rsidRPr="00D303B6">
        <w:t>identify any interlockin</w:t>
      </w:r>
      <w:r w:rsidRPr="00D303B6">
        <w:t>g directorates with a foreign carrier</w:t>
      </w:r>
      <w:r>
        <w:t>, as well as any affiliation with a foreign carrier.</w:t>
      </w:r>
      <w:r>
        <w:rPr>
          <w:rStyle w:val="FootnoteReference"/>
          <w:rFonts w:eastAsia="Yu Mincho"/>
          <w:noProof/>
        </w:rPr>
        <w:footnoteReference w:id="78"/>
      </w:r>
      <w:r w:rsidRPr="00D303B6">
        <w:t xml:space="preserve">  </w:t>
      </w:r>
      <w:r>
        <w:t xml:space="preserve">As discussed below, we now adopt ownership disclosure requirements for interconnected VoIP direct access applicants, and relatedly conclude that applications from </w:t>
      </w:r>
      <w:r>
        <w:t>such providers will be placed on a “non-streamlined” processing track if the applicant has a foreign owner whose interest exceeds the reporting threshold set forth in section 63.18(h) of the Commission’s rules, which we incorporate for purposes of ownershi</w:t>
      </w:r>
      <w:r>
        <w:t>p reporting here.</w:t>
      </w:r>
      <w:r>
        <w:rPr>
          <w:rStyle w:val="FootnoteReference"/>
        </w:rPr>
        <w:footnoteReference w:id="79"/>
      </w:r>
    </w:p>
    <w:p w:rsidR="006807AE" w:rsidRPr="00D303B6" w:rsidP="006807AE" w14:paraId="239C9348" w14:textId="77777777">
      <w:pPr>
        <w:pStyle w:val="ParaNum"/>
      </w:pPr>
      <w:r w:rsidRPr="00D303B6">
        <w:rPr>
          <w:i/>
        </w:rPr>
        <w:t xml:space="preserve">Ownership </w:t>
      </w:r>
      <w:r>
        <w:rPr>
          <w:i/>
        </w:rPr>
        <w:t>d</w:t>
      </w:r>
      <w:r w:rsidRPr="00D303B6">
        <w:rPr>
          <w:i/>
        </w:rPr>
        <w:t xml:space="preserve">isclosure </w:t>
      </w:r>
      <w:r>
        <w:rPr>
          <w:i/>
        </w:rPr>
        <w:t>r</w:t>
      </w:r>
      <w:r w:rsidRPr="00D303B6">
        <w:rPr>
          <w:i/>
        </w:rPr>
        <w:t>equirements</w:t>
      </w:r>
      <w:r>
        <w:t xml:space="preserve">.  We adopt a rule to require interconnected VoIP applicants for a Commission direct access authorization to provide all of the information, disclosures, and certifications required by sections 63.18(h) </w:t>
      </w:r>
      <w:r>
        <w:t>and (i) of the Commission’s rules.</w:t>
      </w:r>
      <w:r>
        <w:rPr>
          <w:rStyle w:val="FootnoteReference"/>
        </w:rPr>
        <w:footnoteReference w:id="80"/>
      </w:r>
      <w:r>
        <w:t xml:space="preserve">  If the applicant does not have information required to be provided under sections 63.18(h) and (i), </w:t>
      </w:r>
      <w:r w:rsidRPr="00AD6BB8">
        <w:t>the application must include a statement to that effect.</w:t>
      </w:r>
      <w:r>
        <w:t xml:space="preserve">  This approach ensures the requirements for interconnected Vo</w:t>
      </w:r>
      <w:r>
        <w:t>IP direct access applicants match the requirements for international section 214 applications, as well as applications for submarine cable landing licenses (which likewise cross-reference section 63.18(h)).</w:t>
      </w:r>
      <w:r>
        <w:rPr>
          <w:rStyle w:val="FootnoteReference"/>
        </w:rPr>
        <w:footnoteReference w:id="81"/>
      </w:r>
      <w:r>
        <w:t xml:space="preserve">  It also ensures the requirements for interconn</w:t>
      </w:r>
      <w:r>
        <w:t>ected VoIP direct access applicants will remain consistent with the requirements for international section 214 applicants regardless of any modifications to sections 63.18(h) or (i).</w:t>
      </w:r>
      <w:r>
        <w:rPr>
          <w:rStyle w:val="FootnoteReference"/>
        </w:rPr>
        <w:footnoteReference w:id="82"/>
      </w:r>
      <w:r>
        <w:t xml:space="preserve">  We find that adopting a reporting threshold consistent with that used </w:t>
      </w:r>
      <w:r>
        <w:t xml:space="preserve">in other Commission </w:t>
      </w:r>
      <w:r>
        <w:t>application processing regimes promotes certainty and transparency.</w:t>
      </w:r>
      <w:r>
        <w:rPr>
          <w:rStyle w:val="FootnoteReference"/>
        </w:rPr>
        <w:footnoteReference w:id="83"/>
      </w:r>
      <w:r>
        <w:t xml:space="preserve">  This approach also ensures there is no undue burden on direct access applicants, since many companies already provide the same or similar information to the Commissi</w:t>
      </w:r>
      <w:r>
        <w:t xml:space="preserve">on in other contexts. </w:t>
      </w:r>
      <w:r w:rsidRPr="00D303B6">
        <w:t xml:space="preserve"> </w:t>
      </w:r>
      <w:r>
        <w:t xml:space="preserve">   </w:t>
      </w:r>
    </w:p>
    <w:p w:rsidR="006807AE" w:rsidRPr="00A34690" w:rsidP="006807AE" w14:paraId="48CAF80A" w14:textId="77777777">
      <w:pPr>
        <w:pStyle w:val="ParaNum"/>
      </w:pPr>
      <w:r w:rsidRPr="00CB6427">
        <w:t>Adopting the same standard</w:t>
      </w:r>
      <w:r>
        <w:t>s</w:t>
      </w:r>
      <w:r w:rsidRPr="00CB6427">
        <w:t xml:space="preserve"> </w:t>
      </w:r>
      <w:r>
        <w:t xml:space="preserve">that will be </w:t>
      </w:r>
      <w:r w:rsidRPr="00CB6427">
        <w:t>used for international section 214 applications</w:t>
      </w:r>
      <w:r>
        <w:t>,</w:t>
      </w:r>
      <w:r>
        <w:rPr>
          <w:rStyle w:val="FootnoteReference"/>
        </w:rPr>
        <w:footnoteReference w:id="84"/>
      </w:r>
      <w:r>
        <w:t xml:space="preserve"> in particular,</w:t>
      </w:r>
      <w:r w:rsidRPr="00CB6427">
        <w:t xml:space="preserve"> is appropriate given our focus on national security </w:t>
      </w:r>
      <w:r>
        <w:t>and law enforcement concerns and reducing</w:t>
      </w:r>
      <w:r w:rsidRPr="00CB6427">
        <w:t xml:space="preserve"> risks of illegal robocalling</w:t>
      </w:r>
      <w:r w:rsidRPr="00CB6427">
        <w:t xml:space="preserve"> facilitated by </w:t>
      </w:r>
      <w:r>
        <w:t xml:space="preserve">potential </w:t>
      </w:r>
      <w:r w:rsidRPr="00CB6427">
        <w:t>bad actors abroad.</w:t>
      </w:r>
      <w:r>
        <w:rPr>
          <w:rStyle w:val="FootnoteReference"/>
        </w:rPr>
        <w:footnoteReference w:id="85"/>
      </w:r>
      <w:r w:rsidRPr="00CB6427">
        <w:t xml:space="preserve">  </w:t>
      </w:r>
      <w:r>
        <w:t>Requiring</w:t>
      </w:r>
      <w:r w:rsidRPr="00CB6427">
        <w:t xml:space="preserve"> </w:t>
      </w:r>
      <w:r w:rsidRPr="00D303B6">
        <w:t xml:space="preserve">ownership </w:t>
      </w:r>
      <w:r>
        <w:t>information, from a U.S.- or foreign-owned applicant,</w:t>
      </w:r>
      <w:r w:rsidRPr="00D303B6">
        <w:t xml:space="preserve"> </w:t>
      </w:r>
      <w:r>
        <w:t xml:space="preserve">will assist </w:t>
      </w:r>
      <w:r w:rsidRPr="00D303B6">
        <w:t>Bureau staff</w:t>
      </w:r>
      <w:r>
        <w:t xml:space="preserve"> in their existing practice of identifying</w:t>
      </w:r>
      <w:r w:rsidRPr="00D303B6">
        <w:t xml:space="preserve"> applications </w:t>
      </w:r>
      <w:r>
        <w:t xml:space="preserve">that </w:t>
      </w:r>
      <w:r w:rsidRPr="00D303B6">
        <w:t>requir</w:t>
      </w:r>
      <w:r>
        <w:t>e</w:t>
      </w:r>
      <w:r w:rsidRPr="00D303B6">
        <w:t xml:space="preserve"> further review to determine whether the direct access applicant’s ownership</w:t>
      </w:r>
      <w:r>
        <w:t xml:space="preserve">, </w:t>
      </w:r>
      <w:r w:rsidRPr="00D303B6">
        <w:t>control</w:t>
      </w:r>
      <w:r>
        <w:t>, or affiliation</w:t>
      </w:r>
      <w:r w:rsidRPr="00D303B6">
        <w:t xml:space="preserve"> </w:t>
      </w:r>
      <w:r>
        <w:t>raises</w:t>
      </w:r>
      <w:r w:rsidRPr="00D303B6">
        <w:t xml:space="preserve"> national security </w:t>
      </w:r>
      <w:r>
        <w:t>and/or law enforcement</w:t>
      </w:r>
      <w:r w:rsidRPr="00D303B6">
        <w:t xml:space="preserve"> concerns.</w:t>
      </w:r>
      <w:r>
        <w:rPr>
          <w:rStyle w:val="FootnoteReference"/>
          <w:rFonts w:eastAsia="Yu Mincho"/>
        </w:rPr>
        <w:footnoteReference w:id="86"/>
      </w:r>
      <w:r w:rsidRPr="00D303B6">
        <w:t xml:space="preserve">  </w:t>
      </w:r>
      <w:r>
        <w:t xml:space="preserve">Indeed, </w:t>
      </w:r>
      <w:r w:rsidRPr="00686578">
        <w:t>“</w:t>
      </w:r>
      <w:r>
        <w:t>[i]</w:t>
      </w:r>
      <w:r w:rsidRPr="00686578">
        <w:t>t is axiomatic that the Commission needs accurate information in order to carry o</w:t>
      </w:r>
      <w:r w:rsidRPr="00686578">
        <w:t xml:space="preserve">ut its work, and this is especially true with regard to compliance with foreign ownership disclosures. </w:t>
      </w:r>
      <w:r>
        <w:t xml:space="preserve"> </w:t>
      </w:r>
      <w:r w:rsidRPr="00686578">
        <w:t>In several recent cases the Commission has found that foreign ownership of telecommunications companies providing services in the United States may pose</w:t>
      </w:r>
      <w:r w:rsidRPr="00686578">
        <w:t xml:space="preserve"> a risk to national security, law enforcement interests, or the safety of U.S. persons.”</w:t>
      </w:r>
      <w:r>
        <w:rPr>
          <w:rStyle w:val="FootnoteReference"/>
        </w:rPr>
        <w:footnoteReference w:id="87"/>
      </w:r>
      <w:r>
        <w:t xml:space="preserve">  As noted above, s</w:t>
      </w:r>
      <w:r w:rsidRPr="00D303B6">
        <w:t xml:space="preserve">everal providers with substantial foreign ownership have applied to obtain </w:t>
      </w:r>
      <w:r w:rsidRPr="00D303B6">
        <w:t xml:space="preserve">direct access to numbering resources since adoption of the 2015 </w:t>
      </w:r>
      <w:r w:rsidRPr="00D303B6">
        <w:rPr>
          <w:i/>
        </w:rPr>
        <w:t>VoIP Dir</w:t>
      </w:r>
      <w:r w:rsidRPr="00D303B6">
        <w:rPr>
          <w:i/>
        </w:rPr>
        <w:t>ect Access Order</w:t>
      </w:r>
      <w:r>
        <w:t>, making the initial review process especially important to address the risk of providing access to our numbering resources to potential bad actors abroad.</w:t>
      </w:r>
      <w:r>
        <w:rPr>
          <w:rStyle w:val="FootnoteReference"/>
        </w:rPr>
        <w:footnoteReference w:id="88"/>
      </w:r>
      <w:r w:rsidRPr="00D303B6">
        <w:t xml:space="preserve">  </w:t>
      </w:r>
      <w:r>
        <w:t>This requirement also will cause applicants to conduct robust due diligence, thus</w:t>
      </w:r>
      <w:r>
        <w:t xml:space="preserve"> increasing the reliability of their information.  </w:t>
      </w:r>
    </w:p>
    <w:p w:rsidR="006807AE" w:rsidP="006807AE" w14:paraId="2D9A6B08" w14:textId="77777777">
      <w:pPr>
        <w:pStyle w:val="ParaNum"/>
      </w:pPr>
      <w:r w:rsidRPr="00D303B6">
        <w:t xml:space="preserve">The record </w:t>
      </w:r>
      <w:r>
        <w:t xml:space="preserve">largely </w:t>
      </w:r>
      <w:r w:rsidRPr="00D303B6">
        <w:t xml:space="preserve">supports instituting some form of ownership </w:t>
      </w:r>
      <w:r>
        <w:t>disclosure</w:t>
      </w:r>
      <w:r w:rsidRPr="00D303B6">
        <w:t xml:space="preserve"> for direct access applicants.</w:t>
      </w:r>
      <w:r>
        <w:rPr>
          <w:rStyle w:val="FootnoteReference"/>
          <w:rFonts w:eastAsia="Yu Mincho"/>
          <w:noProof/>
        </w:rPr>
        <w:footnoteReference w:id="89"/>
      </w:r>
      <w:r w:rsidRPr="00D303B6">
        <w:t xml:space="preserve">  </w:t>
      </w:r>
      <w:r>
        <w:t>VON and Microsoft, however, argue</w:t>
      </w:r>
      <w:r w:rsidRPr="00DC5E18">
        <w:t xml:space="preserve"> that </w:t>
      </w:r>
      <w:r>
        <w:t>a foreign ownership reporting requirement</w:t>
      </w:r>
      <w:r w:rsidRPr="00DC5E18">
        <w:t xml:space="preserve"> “will add unnece</w:t>
      </w:r>
      <w:r w:rsidRPr="00DC5E18">
        <w:t>ssary time and expense to the review process without any obvious purpose or anticipated reduction in illegal robocalls.”</w:t>
      </w:r>
      <w:r>
        <w:rPr>
          <w:rStyle w:val="FootnoteReference"/>
          <w:rFonts w:eastAsia="Yu Mincho"/>
          <w:noProof/>
        </w:rPr>
        <w:footnoteReference w:id="90"/>
      </w:r>
      <w:r>
        <w:t xml:space="preserve">  W</w:t>
      </w:r>
      <w:r w:rsidRPr="00DC5E18">
        <w:t xml:space="preserve">hile we recognize that </w:t>
      </w:r>
      <w:r>
        <w:t>an</w:t>
      </w:r>
      <w:r w:rsidRPr="00DC5E18">
        <w:t xml:space="preserve"> ownership </w:t>
      </w:r>
      <w:r>
        <w:t>disclosure requirement</w:t>
      </w:r>
      <w:r w:rsidRPr="00DC5E18">
        <w:t xml:space="preserve"> constitutes an additional step in the direct access application process </w:t>
      </w:r>
      <w:r w:rsidRPr="00DC5E18">
        <w:t>for interconnected VoIP</w:t>
      </w:r>
      <w:r>
        <w:t xml:space="preserve"> providers</w:t>
      </w:r>
      <w:r w:rsidRPr="00DC5E18">
        <w:t xml:space="preserve">, we conclude that the public interest in </w:t>
      </w:r>
      <w:r>
        <w:t xml:space="preserve">receiving </w:t>
      </w:r>
      <w:r w:rsidRPr="00DC5E18">
        <w:t xml:space="preserve">this information outweighs any incremental </w:t>
      </w:r>
      <w:r>
        <w:t>cost</w:t>
      </w:r>
      <w:r w:rsidRPr="00DC5E18">
        <w:t xml:space="preserve"> on applicants.  </w:t>
      </w:r>
      <w:r>
        <w:t>Interconnected VoIP providers that seek access to telephone numbers on a permanent basis acquire both the r</w:t>
      </w:r>
      <w:r>
        <w:t>ights and obligations associated with using that access in the public interest,</w:t>
      </w:r>
      <w:r>
        <w:rPr>
          <w:rStyle w:val="FootnoteReference"/>
        </w:rPr>
        <w:footnoteReference w:id="91"/>
      </w:r>
      <w:r>
        <w:t xml:space="preserve"> and we must ensure that access does not result in illegal practices that harm consumers.  As noted above, </w:t>
      </w:r>
      <w:r w:rsidRPr="00DC5E18">
        <w:t xml:space="preserve">the ownership disclosures </w:t>
      </w:r>
      <w:r>
        <w:t>we adopt are like</w:t>
      </w:r>
      <w:r w:rsidRPr="00DC5E18">
        <w:t xml:space="preserve"> those required in severa</w:t>
      </w:r>
      <w:r w:rsidRPr="00DC5E18">
        <w:t xml:space="preserve">l other </w:t>
      </w:r>
      <w:r>
        <w:t xml:space="preserve">Commission </w:t>
      </w:r>
      <w:r w:rsidRPr="00DC5E18">
        <w:t>application</w:t>
      </w:r>
      <w:r>
        <w:t xml:space="preserve"> processe</w:t>
      </w:r>
      <w:r w:rsidRPr="00DC5E18">
        <w:t xml:space="preserve">s, </w:t>
      </w:r>
      <w:r>
        <w:t>so</w:t>
      </w:r>
      <w:r w:rsidRPr="00DC5E18">
        <w:t xml:space="preserve"> requiring </w:t>
      </w:r>
      <w:r>
        <w:t xml:space="preserve">the same kind of </w:t>
      </w:r>
      <w:r w:rsidRPr="00DC5E18">
        <w:t xml:space="preserve">disclosure </w:t>
      </w:r>
      <w:r>
        <w:t>here is not</w:t>
      </w:r>
      <w:r w:rsidRPr="00DC5E18">
        <w:t xml:space="preserve"> unduly onerous.</w:t>
      </w:r>
      <w:r>
        <w:rPr>
          <w:rStyle w:val="FootnoteReference"/>
          <w:rFonts w:eastAsia="Yu Mincho"/>
        </w:rPr>
        <w:footnoteReference w:id="92"/>
      </w:r>
      <w:r>
        <w:t xml:space="preserve">  Moreover, an</w:t>
      </w:r>
      <w:r w:rsidRPr="002B69C9">
        <w:t xml:space="preserve"> </w:t>
      </w:r>
      <w:r>
        <w:t xml:space="preserve">applicant that is a privately held entity should know its investors and maintain records of their significant </w:t>
      </w:r>
      <w:r w:rsidRPr="002B403D">
        <w:t xml:space="preserve">direct or indirect </w:t>
      </w:r>
      <w:r>
        <w:t xml:space="preserve">equity and/or voting </w:t>
      </w:r>
      <w:r w:rsidRPr="002B403D">
        <w:t>interest</w:t>
      </w:r>
      <w:r>
        <w:t xml:space="preserve"> holder</w:t>
      </w:r>
      <w:r w:rsidRPr="002B403D">
        <w:t>s</w:t>
      </w:r>
      <w:r w:rsidRPr="00BF5C3E">
        <w:t xml:space="preserve"> </w:t>
      </w:r>
      <w:r>
        <w:t xml:space="preserve">in the ordinary course of business.  An applicant that is a publicly held company is also required to identify its interest holders in requisite </w:t>
      </w:r>
      <w:r w:rsidRPr="002B69C9">
        <w:t>filings</w:t>
      </w:r>
      <w:r>
        <w:t xml:space="preserve"> with the U.S. Securities and Exchange Commission (SEC).</w:t>
      </w:r>
      <w:r>
        <w:rPr>
          <w:rStyle w:val="FootnoteReference"/>
        </w:rPr>
        <w:footnoteReference w:id="93"/>
      </w:r>
      <w:r>
        <w:t xml:space="preserve">  As in other contexts requiring the same kind of ownership disclosure, the relatively minor burden of disclosing ownership information in a direct access application is outweighed by the public int</w:t>
      </w:r>
      <w:r>
        <w:t>erest benefit of the Commission having the information when the application is filed, in time to address potential issues raised by foreign ownership before granting an applicant rights or privileges.</w:t>
      </w:r>
      <w:r>
        <w:rPr>
          <w:rStyle w:val="FootnoteReference"/>
        </w:rPr>
        <w:footnoteReference w:id="94"/>
      </w:r>
      <w:r>
        <w:t xml:space="preserve"> </w:t>
      </w:r>
    </w:p>
    <w:p w:rsidR="006807AE" w:rsidP="006807AE" w14:paraId="1808CBC1" w14:textId="77777777">
      <w:pPr>
        <w:pStyle w:val="ParaNum"/>
      </w:pPr>
      <w:r w:rsidRPr="00D303B6">
        <w:rPr>
          <w:i/>
        </w:rPr>
        <w:t>Non-</w:t>
      </w:r>
      <w:r>
        <w:rPr>
          <w:i/>
        </w:rPr>
        <w:t>s</w:t>
      </w:r>
      <w:r w:rsidRPr="00D303B6">
        <w:rPr>
          <w:i/>
        </w:rPr>
        <w:t xml:space="preserve">treamlined </w:t>
      </w:r>
      <w:r>
        <w:rPr>
          <w:i/>
        </w:rPr>
        <w:t>p</w:t>
      </w:r>
      <w:r w:rsidRPr="00D303B6">
        <w:rPr>
          <w:i/>
        </w:rPr>
        <w:t xml:space="preserve">leading </w:t>
      </w:r>
      <w:r>
        <w:rPr>
          <w:i/>
        </w:rPr>
        <w:t>c</w:t>
      </w:r>
      <w:r w:rsidRPr="00D303B6">
        <w:rPr>
          <w:i/>
        </w:rPr>
        <w:t xml:space="preserve">ycle for </w:t>
      </w:r>
      <w:r>
        <w:rPr>
          <w:i/>
        </w:rPr>
        <w:t>d</w:t>
      </w:r>
      <w:r w:rsidRPr="00D303B6">
        <w:rPr>
          <w:i/>
        </w:rPr>
        <w:t xml:space="preserve">irect </w:t>
      </w:r>
      <w:r>
        <w:rPr>
          <w:i/>
        </w:rPr>
        <w:t>a</w:t>
      </w:r>
      <w:r w:rsidRPr="00D303B6">
        <w:rPr>
          <w:i/>
        </w:rPr>
        <w:t xml:space="preserve">ccess </w:t>
      </w:r>
      <w:r>
        <w:rPr>
          <w:i/>
        </w:rPr>
        <w:t>a</w:t>
      </w:r>
      <w:r w:rsidRPr="00D303B6">
        <w:rPr>
          <w:i/>
        </w:rPr>
        <w:t>pp</w:t>
      </w:r>
      <w:r w:rsidRPr="00D303B6">
        <w:rPr>
          <w:i/>
        </w:rPr>
        <w:t xml:space="preserve">licants with </w:t>
      </w:r>
      <w:r>
        <w:rPr>
          <w:i/>
        </w:rPr>
        <w:t>r</w:t>
      </w:r>
      <w:r w:rsidRPr="00D303B6">
        <w:rPr>
          <w:i/>
        </w:rPr>
        <w:t xml:space="preserve">eportable </w:t>
      </w:r>
      <w:r>
        <w:rPr>
          <w:i/>
        </w:rPr>
        <w:t>f</w:t>
      </w:r>
      <w:r w:rsidRPr="00D303B6">
        <w:rPr>
          <w:i/>
        </w:rPr>
        <w:t xml:space="preserve">oreign </w:t>
      </w:r>
      <w:r>
        <w:rPr>
          <w:i/>
        </w:rPr>
        <w:t>o</w:t>
      </w:r>
      <w:r w:rsidRPr="00D303B6">
        <w:rPr>
          <w:i/>
        </w:rPr>
        <w:t>wnership</w:t>
      </w:r>
      <w:r w:rsidRPr="00D303B6">
        <w:t xml:space="preserve">.  </w:t>
      </w:r>
      <w:r>
        <w:t xml:space="preserve">As proposed in the </w:t>
      </w:r>
      <w:r w:rsidRPr="3A63744E">
        <w:rPr>
          <w:i/>
          <w:iCs/>
        </w:rPr>
        <w:t>VoIP Direct Access Further Notice</w:t>
      </w:r>
      <w:r>
        <w:t>,</w:t>
      </w:r>
      <w:r w:rsidRPr="0055116D">
        <w:t xml:space="preserve"> </w:t>
      </w:r>
      <w:r>
        <w:t>we</w:t>
      </w:r>
      <w:r w:rsidRPr="0055116D">
        <w:t xml:space="preserve"> amend our rules to state that the Bureau will </w:t>
      </w:r>
      <w:r>
        <w:t>remove</w:t>
      </w:r>
      <w:r w:rsidRPr="0055116D">
        <w:t xml:space="preserve"> applications </w:t>
      </w:r>
      <w:r>
        <w:t xml:space="preserve">from </w:t>
      </w:r>
      <w:r w:rsidRPr="0055116D">
        <w:t>streamlined p</w:t>
      </w:r>
      <w:r>
        <w:t xml:space="preserve">rocessing </w:t>
      </w:r>
      <w:r w:rsidRPr="0055116D">
        <w:t>whenever the applicant has reportable for</w:t>
      </w:r>
      <w:r>
        <w:t>eign</w:t>
      </w:r>
      <w:r w:rsidRPr="0055116D">
        <w:t xml:space="preserve"> ownership</w:t>
      </w:r>
      <w:r>
        <w:t>, mean</w:t>
      </w:r>
      <w:r>
        <w:t>ing ownership or control by a foreign entity that meets or exceeds the threshold for disclosure under section 63.18(h) of the Commission’s rules, as now incorporated in section 52.15(g)(3)</w:t>
      </w:r>
      <w:r w:rsidRPr="0055116D">
        <w:t>.</w:t>
      </w:r>
      <w:r>
        <w:rPr>
          <w:rStyle w:val="FootnoteReference"/>
        </w:rPr>
        <w:footnoteReference w:id="95"/>
      </w:r>
      <w:r>
        <w:t xml:space="preserve">  The rule formalizes the current practice of taking applications with substantial foreign ownership off the streamlined processing cycle.</w:t>
      </w:r>
      <w:r>
        <w:rPr>
          <w:rStyle w:val="FootnoteReference"/>
        </w:rPr>
        <w:footnoteReference w:id="96"/>
      </w:r>
    </w:p>
    <w:p w:rsidR="006807AE" w:rsidRPr="008C296F" w:rsidP="006807AE" w14:paraId="247D6748" w14:textId="77777777">
      <w:pPr>
        <w:pStyle w:val="ParaNum"/>
      </w:pPr>
      <w:r>
        <w:t>Allowing sufficient</w:t>
      </w:r>
      <w:r w:rsidRPr="003D1E85">
        <w:t xml:space="preserve"> time for review of applications with reportable foreign ownership will help the Bureau identify</w:t>
      </w:r>
      <w:r w:rsidRPr="003D1E85">
        <w:t xml:space="preserve"> and assess</w:t>
      </w:r>
      <w:r>
        <w:t xml:space="preserve"> potential </w:t>
      </w:r>
      <w:r w:rsidRPr="003D1E85">
        <w:t>national security</w:t>
      </w:r>
      <w:r>
        <w:t xml:space="preserve"> and law enforcement risks r</w:t>
      </w:r>
      <w:r w:rsidRPr="003D1E85">
        <w:t>aised by such applications, and provide transparency to applicants regarding the timeframe for processing their application</w:t>
      </w:r>
      <w:r>
        <w:t>s</w:t>
      </w:r>
      <w:r w:rsidRPr="003D1E85">
        <w:t>.</w:t>
      </w:r>
      <w:r>
        <w:t xml:space="preserve">  Twilio supported this proposal, and no commenter opposed it.</w:t>
      </w:r>
      <w:r>
        <w:rPr>
          <w:rStyle w:val="FootnoteReference"/>
          <w:rFonts w:eastAsia="Yu Mincho"/>
        </w:rPr>
        <w:footnoteReference w:id="97"/>
      </w:r>
    </w:p>
    <w:p w:rsidR="006807AE" w:rsidP="006807AE" w14:paraId="79F00986" w14:textId="77777777">
      <w:pPr>
        <w:pStyle w:val="ParaNum"/>
      </w:pPr>
      <w:r w:rsidRPr="3A63744E">
        <w:rPr>
          <w:i/>
          <w:iCs/>
        </w:rPr>
        <w:t>Referral of applications with reportable foreign ownership to Executive Branch agencies</w:t>
      </w:r>
      <w:r>
        <w:t>.  We decline to automatically refer to the Executive Branch agencies interconnected VoIP providers’ direct access applications that have reportable foreign ownership o</w:t>
      </w:r>
      <w:r>
        <w:t>r control.</w:t>
      </w:r>
      <w:r>
        <w:rPr>
          <w:rStyle w:val="FootnoteReference"/>
        </w:rPr>
        <w:footnoteReference w:id="98"/>
      </w:r>
      <w:r>
        <w:t xml:space="preserve">  There was a lack of strong record support for automatic referrals.  Moreover, </w:t>
      </w:r>
      <w:r w:rsidRPr="002F7E75">
        <w:t>given the limited number of referrals to date</w:t>
      </w:r>
      <w:r>
        <w:t>,</w:t>
      </w:r>
      <w:r w:rsidRPr="002F7E75">
        <w:t xml:space="preserve"> </w:t>
      </w:r>
      <w:r>
        <w:t>it is more prudent and efficient</w:t>
      </w:r>
      <w:r w:rsidRPr="002F7E75">
        <w:t xml:space="preserve"> </w:t>
      </w:r>
      <w:r>
        <w:t>to continue the current practice under 1.40001(a) of the rules, where</w:t>
      </w:r>
      <w:r w:rsidRPr="002F7E75">
        <w:t xml:space="preserve"> </w:t>
      </w:r>
      <w:r>
        <w:t>the Commission</w:t>
      </w:r>
      <w:r>
        <w:t>, in its discretion, makes case-by-case referrals</w:t>
      </w:r>
      <w:r w:rsidRPr="002F7E75">
        <w:t xml:space="preserve"> </w:t>
      </w:r>
      <w:r>
        <w:t xml:space="preserve">of direct access applications if it finds that “the specific circumstances of an application require the input of the Executive Branch as part of [the Commission’s] public interest determination of whether </w:t>
      </w:r>
      <w:r w:rsidRPr="002F7E75">
        <w:t xml:space="preserve">an application </w:t>
      </w:r>
      <w:r>
        <w:t>raises national security, law enforcement, foreign policy, and/or trade policy concerns.”</w:t>
      </w:r>
      <w:r>
        <w:rPr>
          <w:rStyle w:val="FootnoteReference"/>
        </w:rPr>
        <w:footnoteReference w:id="99"/>
      </w:r>
    </w:p>
    <w:p w:rsidR="006807AE" w:rsidRPr="00801DD5" w:rsidP="006807AE" w14:paraId="08AA47C1" w14:textId="77777777">
      <w:pPr>
        <w:pStyle w:val="ParaNum"/>
      </w:pPr>
      <w:r w:rsidRPr="00255F6A">
        <w:rPr>
          <w:i/>
        </w:rPr>
        <w:t xml:space="preserve">Development of </w:t>
      </w:r>
      <w:r>
        <w:rPr>
          <w:i/>
        </w:rPr>
        <w:t>s</w:t>
      </w:r>
      <w:r w:rsidRPr="00255F6A">
        <w:rPr>
          <w:i/>
        </w:rPr>
        <w:t xml:space="preserve">tandard </w:t>
      </w:r>
      <w:r>
        <w:rPr>
          <w:i/>
        </w:rPr>
        <w:t>q</w:t>
      </w:r>
      <w:r w:rsidRPr="00255F6A">
        <w:rPr>
          <w:i/>
        </w:rPr>
        <w:t>uestions</w:t>
      </w:r>
      <w:r w:rsidRPr="002F7E75">
        <w:t xml:space="preserve">.  </w:t>
      </w:r>
      <w:r>
        <w:t xml:space="preserve">We also decline to develop a list of “Standard Questions” for interconnected VoIP applicants with </w:t>
      </w:r>
      <w:r>
        <w:t>reportable foreign ownership or control.</w:t>
      </w:r>
      <w:r w:rsidRPr="002F7E75">
        <w:t xml:space="preserve"> </w:t>
      </w:r>
      <w:r>
        <w:t xml:space="preserve"> While t</w:t>
      </w:r>
      <w:r w:rsidRPr="002F7E75">
        <w:t xml:space="preserve">he </w:t>
      </w:r>
      <w:r>
        <w:t xml:space="preserve">Commission </w:t>
      </w:r>
      <w:r w:rsidRPr="00D303B6">
        <w:t xml:space="preserve">has adopted “a standardized set of national security and law enforcement questions (Standard Questions) that certain applicants and petitioners </w:t>
      </w:r>
      <w:r>
        <w:t>. . .</w:t>
      </w:r>
      <w:r w:rsidRPr="00D303B6">
        <w:t xml:space="preserve"> with reportable foreign ownership will be r</w:t>
      </w:r>
      <w:r w:rsidRPr="00D303B6">
        <w:t>equired to answer as part of the Executive Branch review process</w:t>
      </w:r>
      <w:r>
        <w:t>,</w:t>
      </w:r>
      <w:r w:rsidRPr="00D303B6">
        <w:t>”</w:t>
      </w:r>
      <w:r>
        <w:rPr>
          <w:rStyle w:val="FootnoteReference"/>
        </w:rPr>
        <w:footnoteReference w:id="100"/>
      </w:r>
      <w:r w:rsidRPr="00D303B6">
        <w:t xml:space="preserve"> </w:t>
      </w:r>
      <w:r>
        <w:t>there was no strong record support for developing such questions for all interconnected VoIP direct access applicants with reportable foreign ownership.</w:t>
      </w:r>
      <w:r w:rsidRPr="00D303B6">
        <w:t xml:space="preserve"> </w:t>
      </w:r>
      <w:r>
        <w:t xml:space="preserve"> </w:t>
      </w:r>
      <w:r w:rsidRPr="002F7E75">
        <w:t>Given the lack of a developed rec</w:t>
      </w:r>
      <w:r w:rsidRPr="002F7E75">
        <w:t>ord and our decision not to automatically refer applications to the Executive Branch agencies when an interconnected VoIP provider has reportable foreign ownership,</w:t>
      </w:r>
      <w:r>
        <w:t xml:space="preserve"> we find it appropriate to rely on the current practice, under which Commission staff and th</w:t>
      </w:r>
      <w:r>
        <w:t>e Executive Branch agencies can request additional information from applicants on a case-by-case basis.</w:t>
      </w:r>
      <w:r>
        <w:rPr>
          <w:rStyle w:val="FootnoteReference"/>
        </w:rPr>
        <w:footnoteReference w:id="101"/>
      </w:r>
    </w:p>
    <w:p w:rsidR="006807AE" w:rsidRPr="00D0745E" w:rsidP="006807AE" w14:paraId="078F6426" w14:textId="77777777">
      <w:pPr>
        <w:pStyle w:val="ParaNum"/>
      </w:pPr>
      <w:r w:rsidRPr="2FC37315">
        <w:rPr>
          <w:i/>
        </w:rPr>
        <w:t>Duty to update ownership information</w:t>
      </w:r>
      <w:r w:rsidRPr="3A63744E">
        <w:rPr>
          <w:i/>
          <w:iCs/>
        </w:rPr>
        <w:t xml:space="preserve">.  </w:t>
      </w:r>
      <w:r>
        <w:t>To ensure ownership information remains up to date, w</w:t>
      </w:r>
      <w:r w:rsidRPr="48457549">
        <w:t>e</w:t>
      </w:r>
      <w:r w:rsidRPr="7B0082BE">
        <w:t xml:space="preserve"> </w:t>
      </w:r>
      <w:r w:rsidRPr="48457549">
        <w:t>revise section 52.15(g)(3) to require interconnected VoI</w:t>
      </w:r>
      <w:r w:rsidRPr="48457549">
        <w:t xml:space="preserve">P </w:t>
      </w:r>
      <w:r>
        <w:t xml:space="preserve">providers that obtain </w:t>
      </w:r>
      <w:r w:rsidRPr="7B0082BE">
        <w:t xml:space="preserve">direct access </w:t>
      </w:r>
      <w:r w:rsidRPr="48457549">
        <w:t xml:space="preserve">authorization </w:t>
      </w:r>
      <w:r>
        <w:t xml:space="preserve">under the revised rules </w:t>
      </w:r>
      <w:r w:rsidRPr="48457549">
        <w:t xml:space="preserve">to submit an update to the Commission and each applicable state </w:t>
      </w:r>
      <w:r>
        <w:t>(i.e., each state where the provider has acquired or applied to receive numbers from the state at the time of the ow</w:t>
      </w:r>
      <w:r>
        <w:t>nership change)</w:t>
      </w:r>
      <w:r w:rsidRPr="48457549">
        <w:t xml:space="preserve"> within 30</w:t>
      </w:r>
      <w:r>
        <w:t xml:space="preserve"> </w:t>
      </w:r>
      <w:r w:rsidRPr="48457549">
        <w:t>days of any change to the</w:t>
      </w:r>
      <w:r>
        <w:t xml:space="preserve"> reportable</w:t>
      </w:r>
      <w:r w:rsidRPr="48457549">
        <w:t xml:space="preserve"> </w:t>
      </w:r>
      <w:r>
        <w:t>o</w:t>
      </w:r>
      <w:r w:rsidRPr="48457549">
        <w:t xml:space="preserve">wnership information </w:t>
      </w:r>
      <w:r>
        <w:t>disclosed in their direct access applications, or if a provider that previously did not have reportable ownership information comes to have reportable foreign ownership in</w:t>
      </w:r>
      <w:r>
        <w:t>formation.</w:t>
      </w:r>
      <w:r>
        <w:rPr>
          <w:rStyle w:val="FootnoteReference"/>
        </w:rPr>
        <w:footnoteReference w:id="102"/>
      </w:r>
      <w:r>
        <w:t xml:space="preserve">  Alternatively</w:t>
      </w:r>
      <w:r w:rsidRPr="48457549">
        <w:t>,</w:t>
      </w:r>
      <w:r>
        <w:t xml:space="preserve"> if the provider that obtained direct access authorization under our revised rules did not have reportable ownership percentages and information (whether on domestic or foreign owners) at the time of its original application, bu</w:t>
      </w:r>
      <w:r>
        <w:t>t subsequently has reportable information, we require it to provide the information as an update to its authorization within a 30-day timeframe.</w:t>
      </w:r>
      <w:r>
        <w:rPr>
          <w:rStyle w:val="FootnoteReference"/>
        </w:rPr>
        <w:footnoteReference w:id="103"/>
      </w:r>
      <w:r>
        <w:t xml:space="preserve">  We also delegate authority to the Bureau to direct the Numbering Administrator to suspend number requests if</w:t>
      </w:r>
      <w:r>
        <w:t xml:space="preserve"> the Bureau determines, based on updated information, that further review of the direct access authorization is necessary.</w:t>
      </w:r>
      <w:r w:rsidRPr="0028159C">
        <w:rPr>
          <w:szCs w:val="22"/>
        </w:rPr>
        <w:t xml:space="preserve">  </w:t>
      </w:r>
    </w:p>
    <w:p w:rsidR="006807AE" w:rsidRPr="00D303B6" w:rsidP="006807AE" w14:paraId="2301BFA7" w14:textId="77777777">
      <w:pPr>
        <w:pStyle w:val="ParaNum"/>
      </w:pPr>
      <w:r>
        <w:t xml:space="preserve">This requirement builds upon the current rules, which </w:t>
      </w:r>
      <w:r w:rsidRPr="3AEA72FA">
        <w:t xml:space="preserve">require each interconnected VoIP provider </w:t>
      </w:r>
      <w:r>
        <w:t>with</w:t>
      </w:r>
      <w:r w:rsidRPr="3AEA72FA">
        <w:t xml:space="preserve"> direct access to number</w:t>
      </w:r>
      <w:r>
        <w:t>ing res</w:t>
      </w:r>
      <w:r>
        <w:t>ources</w:t>
      </w:r>
      <w:r w:rsidRPr="3AEA72FA">
        <w:t xml:space="preserve"> to maintain the accuracy of all </w:t>
      </w:r>
      <w:r>
        <w:t xml:space="preserve">the </w:t>
      </w:r>
      <w:r w:rsidRPr="3AEA72FA">
        <w:t xml:space="preserve">contact information and certifications </w:t>
      </w:r>
      <w:r>
        <w:t xml:space="preserve">submitted </w:t>
      </w:r>
      <w:r w:rsidRPr="3AEA72FA">
        <w:t>in its application</w:t>
      </w:r>
      <w:r>
        <w:t>,</w:t>
      </w:r>
      <w:r w:rsidRPr="3AEA72FA">
        <w:t xml:space="preserve"> and </w:t>
      </w:r>
      <w:r>
        <w:t xml:space="preserve">to </w:t>
      </w:r>
      <w:r w:rsidRPr="3AEA72FA">
        <w:t xml:space="preserve">file a correction with the Commission and each applicable state within 30 days of </w:t>
      </w:r>
      <w:r>
        <w:t>any</w:t>
      </w:r>
      <w:r w:rsidRPr="3AEA72FA">
        <w:t xml:space="preserve"> change </w:t>
      </w:r>
      <w:r w:rsidRPr="79387DAB">
        <w:t>to the</w:t>
      </w:r>
      <w:r w:rsidRPr="3AEA72FA">
        <w:t xml:space="preserve"> contact information or certifications.</w:t>
      </w:r>
      <w:r>
        <w:rPr>
          <w:rStyle w:val="FootnoteReference"/>
        </w:rPr>
        <w:footnoteReference w:id="104"/>
      </w:r>
      <w:r>
        <w:t xml:space="preserve">  Going forward, o</w:t>
      </w:r>
      <w:r w:rsidRPr="48457549">
        <w:t xml:space="preserve">btaining such updates </w:t>
      </w:r>
      <w:r>
        <w:t>regarding changes to ownership information</w:t>
      </w:r>
      <w:r w:rsidRPr="48457549">
        <w:t xml:space="preserve"> will help us ensure that </w:t>
      </w:r>
      <w:r>
        <w:t>direct access authorization holders’</w:t>
      </w:r>
      <w:r w:rsidRPr="48457549">
        <w:t xml:space="preserve"> ownership does not change post-authorization in a manner </w:t>
      </w:r>
      <w:r>
        <w:t>contrary to t</w:t>
      </w:r>
      <w:r>
        <w:t>he public interest</w:t>
      </w:r>
      <w:r w:rsidRPr="48457549">
        <w:t xml:space="preserve">, </w:t>
      </w:r>
      <w:r>
        <w:t>such as</w:t>
      </w:r>
      <w:r w:rsidRPr="48457549">
        <w:t xml:space="preserve"> introducing a </w:t>
      </w:r>
      <w:r>
        <w:t xml:space="preserve">potential </w:t>
      </w:r>
      <w:r w:rsidRPr="48457549">
        <w:t xml:space="preserve">bad actor-owner that facilitates </w:t>
      </w:r>
      <w:r>
        <w:t>illegal</w:t>
      </w:r>
      <w:r w:rsidRPr="48457549">
        <w:t xml:space="preserve"> robocalling, poses a threat to </w:t>
      </w:r>
      <w:r>
        <w:t xml:space="preserve">the </w:t>
      </w:r>
      <w:r w:rsidRPr="48457549">
        <w:t>national security</w:t>
      </w:r>
      <w:r>
        <w:t xml:space="preserve"> and law enforcement interests of the United States</w:t>
      </w:r>
      <w:r w:rsidRPr="48457549">
        <w:t xml:space="preserve">, or otherwise engages in conduct detrimental to the public </w:t>
      </w:r>
      <w:r w:rsidRPr="48457549">
        <w:t>interest.  Under the current rules, bad actors c</w:t>
      </w:r>
      <w:r>
        <w:t>ould</w:t>
      </w:r>
      <w:r w:rsidRPr="48457549">
        <w:t xml:space="preserve"> surreptitiously strengthen their influence on authorization holders by increasing their ownership after the Commission grants </w:t>
      </w:r>
      <w:r>
        <w:t xml:space="preserve">the initial </w:t>
      </w:r>
      <w:r w:rsidRPr="48457549">
        <w:t xml:space="preserve">authorization, </w:t>
      </w:r>
      <w:r>
        <w:t xml:space="preserve">thereby </w:t>
      </w:r>
      <w:r w:rsidRPr="48457549">
        <w:t>evading Commission oversight and undermini</w:t>
      </w:r>
      <w:r w:rsidRPr="48457549">
        <w:t>ng enforcement efforts</w:t>
      </w:r>
      <w:r>
        <w:t xml:space="preserve"> if that change in ownership levels did not have to be reported</w:t>
      </w:r>
      <w:r w:rsidRPr="48457549">
        <w:t>.  By requiring all ownership information to be updated within 30 days of a change</w:t>
      </w:r>
      <w:r w:rsidRPr="00D303B6">
        <w:rPr>
          <w:szCs w:val="22"/>
        </w:rPr>
        <w:t xml:space="preserve">, </w:t>
      </w:r>
      <w:r w:rsidRPr="48457549">
        <w:t xml:space="preserve">potential bad actors can no longer </w:t>
      </w:r>
      <w:r w:rsidRPr="48457549">
        <w:t xml:space="preserve">remain hidden from view.  </w:t>
      </w:r>
      <w:r>
        <w:t xml:space="preserve">In fact, such information </w:t>
      </w:r>
      <w:r>
        <w:t>can be used to determine whether a change in authorization is warranted (e.g., making the authorization be conditioned on a mitigation agreement, or even revoking the authorization).</w:t>
      </w:r>
      <w:r>
        <w:rPr>
          <w:rStyle w:val="FootnoteReference"/>
        </w:rPr>
        <w:footnoteReference w:id="105"/>
      </w:r>
      <w:r>
        <w:t xml:space="preserve">  </w:t>
      </w:r>
    </w:p>
    <w:p w:rsidR="006807AE" w:rsidRPr="008979E4" w:rsidP="006807AE" w14:paraId="152225D7" w14:textId="77777777">
      <w:pPr>
        <w:pStyle w:val="ParaNum"/>
      </w:pPr>
      <w:r w:rsidRPr="652B3F24">
        <w:t>T</w:t>
      </w:r>
      <w:r>
        <w:t>he National Association of Attorneys General</w:t>
      </w:r>
      <w:r w:rsidRPr="652B3F24">
        <w:t xml:space="preserve"> support</w:t>
      </w:r>
      <w:r>
        <w:t>s</w:t>
      </w:r>
      <w:r w:rsidRPr="652B3F24">
        <w:t xml:space="preserve"> requir</w:t>
      </w:r>
      <w:r>
        <w:t>ing</w:t>
      </w:r>
      <w:r w:rsidRPr="652B3F24">
        <w:t xml:space="preserve"> </w:t>
      </w:r>
      <w:r>
        <w:t>inte</w:t>
      </w:r>
      <w:r>
        <w:t xml:space="preserve">rconnected VoIP authorization </w:t>
      </w:r>
      <w:r w:rsidRPr="652B3F24">
        <w:t>grantees to update their ownership information</w:t>
      </w:r>
      <w:r>
        <w:t xml:space="preserve"> after a change</w:t>
      </w:r>
      <w:r w:rsidRPr="00D303B6">
        <w:rPr>
          <w:szCs w:val="22"/>
        </w:rPr>
        <w:t>.</w:t>
      </w:r>
      <w:r>
        <w:rPr>
          <w:rStyle w:val="FootnoteReference"/>
        </w:rPr>
        <w:footnoteReference w:id="106"/>
      </w:r>
      <w:r w:rsidRPr="652B3F24">
        <w:t xml:space="preserve">  </w:t>
      </w:r>
      <w:r>
        <w:t>Some commenters</w:t>
      </w:r>
      <w:r w:rsidRPr="00D303B6">
        <w:rPr>
          <w:szCs w:val="22"/>
        </w:rPr>
        <w:t xml:space="preserve"> </w:t>
      </w:r>
      <w:r w:rsidRPr="652B3F24">
        <w:t xml:space="preserve">oppose </w:t>
      </w:r>
      <w:r>
        <w:t>it</w:t>
      </w:r>
      <w:r>
        <w:rPr>
          <w:szCs w:val="22"/>
        </w:rPr>
        <w:t>,</w:t>
      </w:r>
      <w:r>
        <w:rPr>
          <w:rStyle w:val="FootnoteReference"/>
        </w:rPr>
        <w:footnoteReference w:id="107"/>
      </w:r>
      <w:r>
        <w:rPr>
          <w:szCs w:val="22"/>
        </w:rPr>
        <w:t xml:space="preserve"> however,</w:t>
      </w:r>
      <w:r w:rsidRPr="00D303B6">
        <w:rPr>
          <w:szCs w:val="22"/>
        </w:rPr>
        <w:t xml:space="preserve"> </w:t>
      </w:r>
      <w:r w:rsidRPr="652B3F24">
        <w:t>argu</w:t>
      </w:r>
      <w:r>
        <w:t>ing</w:t>
      </w:r>
      <w:r w:rsidRPr="652B3F24">
        <w:t xml:space="preserve"> </w:t>
      </w:r>
      <w:r>
        <w:t>that such a requirement</w:t>
      </w:r>
      <w:r w:rsidRPr="652B3F24">
        <w:t xml:space="preserve"> would be onerous and unnecessary, especially with regard to information that has no bearin</w:t>
      </w:r>
      <w:r w:rsidRPr="652B3F24">
        <w:t>g on the Commission’s objective to prevent foreign bad actors from gaining direct access to U.S. numbers</w:t>
      </w:r>
      <w:r>
        <w:t>, and is not competitively neutral because non-VoIP providers would not have to provide it.</w:t>
      </w:r>
      <w:r>
        <w:rPr>
          <w:rStyle w:val="FootnoteReference"/>
        </w:rPr>
        <w:footnoteReference w:id="108"/>
      </w:r>
      <w:r w:rsidRPr="652B3F24">
        <w:t xml:space="preserve">  Twilio also questions whether the 30-day deadline is trul</w:t>
      </w:r>
      <w:r w:rsidRPr="652B3F24">
        <w:t>y necessary</w:t>
      </w:r>
      <w:r w:rsidRPr="00D303B6">
        <w:rPr>
          <w:szCs w:val="22"/>
        </w:rPr>
        <w:t xml:space="preserve"> </w:t>
      </w:r>
      <w:r w:rsidRPr="652B3F24">
        <w:t xml:space="preserve">to </w:t>
      </w:r>
      <w:r w:rsidRPr="11957B42">
        <w:t>advance</w:t>
      </w:r>
      <w:r w:rsidRPr="652B3F24">
        <w:t xml:space="preserve"> the Commission’s objectives, rather than an annual or biennial update.</w:t>
      </w:r>
      <w:r>
        <w:rPr>
          <w:rStyle w:val="FootnoteReference"/>
        </w:rPr>
        <w:footnoteReference w:id="109"/>
      </w:r>
      <w:r w:rsidRPr="00D303B6">
        <w:rPr>
          <w:szCs w:val="22"/>
        </w:rPr>
        <w:t xml:space="preserve"> </w:t>
      </w:r>
      <w:r>
        <w:rPr>
          <w:szCs w:val="22"/>
        </w:rPr>
        <w:t xml:space="preserve"> </w:t>
      </w:r>
    </w:p>
    <w:p w:rsidR="006807AE" w:rsidRPr="00084E6D" w:rsidP="006807AE" w14:paraId="5A12571C" w14:textId="77777777">
      <w:pPr>
        <w:pStyle w:val="ParaNum"/>
      </w:pPr>
      <w:r w:rsidRPr="652B3F24">
        <w:t>We</w:t>
      </w:r>
      <w:r>
        <w:t xml:space="preserve"> reject these arguments because we believe</w:t>
      </w:r>
      <w:r w:rsidRPr="652B3F24">
        <w:t xml:space="preserve"> the public</w:t>
      </w:r>
      <w:r>
        <w:rPr>
          <w:szCs w:val="22"/>
        </w:rPr>
        <w:t xml:space="preserve"> </w:t>
      </w:r>
      <w:r w:rsidRPr="652B3F24">
        <w:t xml:space="preserve">interest benefit of </w:t>
      </w:r>
      <w:r>
        <w:t>a</w:t>
      </w:r>
      <w:r w:rsidRPr="652B3F24">
        <w:t xml:space="preserve"> requirement to keep all ownership data up</w:t>
      </w:r>
      <w:r>
        <w:rPr>
          <w:szCs w:val="22"/>
        </w:rPr>
        <w:t xml:space="preserve"> </w:t>
      </w:r>
      <w:r w:rsidRPr="652B3F24">
        <w:t>to</w:t>
      </w:r>
      <w:r>
        <w:rPr>
          <w:szCs w:val="22"/>
        </w:rPr>
        <w:t xml:space="preserve"> </w:t>
      </w:r>
      <w:r w:rsidRPr="652B3F24">
        <w:t xml:space="preserve">date within 30 days of a change outweighs the minimal burden on grantees.  As stated in the </w:t>
      </w:r>
      <w:r w:rsidRPr="3A63744E">
        <w:rPr>
          <w:i/>
          <w:iCs/>
        </w:rPr>
        <w:t>VoIP Direct Access Further Notice</w:t>
      </w:r>
      <w:r w:rsidRPr="652B3F24">
        <w:t>, “obtaining such updates will help us to ensure that the ownership [of grantees] does not change post-authorization in a manner th</w:t>
      </w:r>
      <w:r w:rsidRPr="652B3F24">
        <w:t>at evades the purpose of application review.”</w:t>
      </w:r>
      <w:r>
        <w:rPr>
          <w:vertAlign w:val="superscript"/>
        </w:rPr>
        <w:footnoteReference w:id="110"/>
      </w:r>
      <w:r w:rsidRPr="652B3F24">
        <w:t xml:space="preserve">  Absent an update requirement, applicants could skirt the more extensive review that applies to applica</w:t>
      </w:r>
      <w:r>
        <w:t>tions</w:t>
      </w:r>
      <w:r w:rsidRPr="652B3F24">
        <w:t xml:space="preserve"> with reportable foreign ownership</w:t>
      </w:r>
      <w:r>
        <w:t xml:space="preserve"> </w:t>
      </w:r>
      <w:r w:rsidRPr="652B3F24">
        <w:t>simply by delaying the investment by a foreign entity.  This coul</w:t>
      </w:r>
      <w:r w:rsidRPr="652B3F24">
        <w:t xml:space="preserve">d even occur unintentionally as the result of an unexpected investment or buyout by a foreign entity.  In either case, the update requirement helps ensure authorization holders with </w:t>
      </w:r>
      <w:r>
        <w:t xml:space="preserve">reportable </w:t>
      </w:r>
      <w:r w:rsidRPr="652B3F24">
        <w:t>foreign ownership receive an appropriate level of scrutiny</w:t>
      </w:r>
      <w:r>
        <w:t xml:space="preserve"> in l</w:t>
      </w:r>
      <w:r>
        <w:t>ight of their changed ownership, so the Commission could consider, for example, whether the provider should enter a robocall mitigation agreement</w:t>
      </w:r>
      <w:r w:rsidRPr="652B3F24">
        <w:t>.</w:t>
      </w:r>
      <w:r>
        <w:rPr>
          <w:rStyle w:val="FootnoteReference"/>
        </w:rPr>
        <w:footnoteReference w:id="111"/>
      </w:r>
      <w:r w:rsidRPr="00D41E36">
        <w:rPr>
          <w:szCs w:val="22"/>
        </w:rPr>
        <w:t xml:space="preserve">  </w:t>
      </w:r>
      <w:r w:rsidRPr="16B7DBAA">
        <w:t>We also conc</w:t>
      </w:r>
      <w:r>
        <w:t>lude that requiring updates within 30 days, rather than annually or biennially, is a better wa</w:t>
      </w:r>
      <w:r>
        <w:t>y to ensure the Commission has current information, and that providing updated ownership information is relevant to our efforts to eliminate illegal robocalls for all the reasons stated above regarding providing foreign ownership data in applications.</w:t>
      </w:r>
      <w:r>
        <w:rPr>
          <w:rStyle w:val="FootnoteReference"/>
        </w:rPr>
        <w:footnoteReference w:id="112"/>
      </w:r>
      <w:r>
        <w:t xml:space="preserve">  F</w:t>
      </w:r>
      <w:r>
        <w:t>inally, while non-VoIP direct access applicants are not covered by this new rule, we do not believe the burden on interconnected VoIP providers is so large as to affect competition, and in any event do not foreclose imposing this same duty on non-VoIP appl</w:t>
      </w:r>
      <w:r>
        <w:t>icants in the future.</w:t>
      </w:r>
    </w:p>
    <w:p w:rsidR="006807AE" w:rsidRPr="00D303B6" w:rsidP="006807AE" w14:paraId="0CA4BB3F" w14:textId="77777777">
      <w:pPr>
        <w:pStyle w:val="ParaNum"/>
      </w:pPr>
      <w:r w:rsidRPr="3A63744E">
        <w:rPr>
          <w:i/>
          <w:iCs/>
        </w:rPr>
        <w:t xml:space="preserve">Filing procedure.  </w:t>
      </w:r>
      <w:r>
        <w:t>We require a</w:t>
      </w:r>
      <w:r w:rsidRPr="1C32F594">
        <w:t xml:space="preserve">ll </w:t>
      </w:r>
      <w:r>
        <w:t>updated</w:t>
      </w:r>
      <w:r w:rsidRPr="1C32F594">
        <w:t xml:space="preserve"> </w:t>
      </w:r>
      <w:r>
        <w:t>or corrected ownership information</w:t>
      </w:r>
      <w:r w:rsidRPr="1C32F594">
        <w:t xml:space="preserve"> </w:t>
      </w:r>
      <w:r>
        <w:t>to</w:t>
      </w:r>
      <w:r w:rsidRPr="1C32F594">
        <w:t xml:space="preserve"> be filed in the Electronic Comment Filing System (ECFS) through the Direct Access intake docket (Inbox 52.15) and via e</w:t>
      </w:r>
      <w:r>
        <w:t>-</w:t>
      </w:r>
      <w:r w:rsidRPr="1C32F594">
        <w:t xml:space="preserve">mail to </w:t>
      </w:r>
      <w:hyperlink r:id="rId5" w:history="1">
        <w:r w:rsidRPr="00AD6BB8">
          <w:rPr>
            <w:rStyle w:val="Hyperlink"/>
            <w:color w:val="auto"/>
          </w:rPr>
          <w:t>DAA@fcc.gov</w:t>
        </w:r>
      </w:hyperlink>
      <w:r w:rsidRPr="1C32F594">
        <w:t>,</w:t>
      </w:r>
      <w:r>
        <w:t xml:space="preserve"> </w:t>
      </w:r>
      <w:r w:rsidRPr="1C32F594">
        <w:t>unless the Bureau specifies another method.</w:t>
      </w:r>
      <w:r>
        <w:rPr>
          <w:rStyle w:val="FootnoteReference"/>
        </w:rPr>
        <w:footnoteReference w:id="113"/>
      </w:r>
      <w:r w:rsidRPr="1C32F594">
        <w:t xml:space="preserve">  We note that the Bureau may request additional documentation </w:t>
      </w:r>
      <w:r>
        <w:t>as necessary.</w:t>
      </w:r>
    </w:p>
    <w:p w:rsidR="006807AE" w:rsidRPr="00D303B6" w:rsidP="006807AE" w14:paraId="26B00CD8" w14:textId="77777777">
      <w:pPr>
        <w:pStyle w:val="ParaNum"/>
      </w:pPr>
      <w:r w:rsidRPr="3A63744E">
        <w:rPr>
          <w:i/>
          <w:iCs/>
        </w:rPr>
        <w:t xml:space="preserve">State submission requirement.  </w:t>
      </w:r>
      <w:r>
        <w:t>Interconnected VoIP providers obtaining direct a</w:t>
      </w:r>
      <w:r>
        <w:t>ccess authorization under the revised rules we issue today also are required</w:t>
      </w:r>
      <w:r w:rsidRPr="32921BF6">
        <w:t xml:space="preserve"> to submit </w:t>
      </w:r>
      <w:r>
        <w:t>updated or corrected ownership</w:t>
      </w:r>
      <w:r w:rsidRPr="32921BF6">
        <w:t xml:space="preserve"> </w:t>
      </w:r>
      <w:r w:rsidRPr="383B3BE7">
        <w:t>information</w:t>
      </w:r>
      <w:r w:rsidRPr="32921BF6">
        <w:t xml:space="preserve"> to the states </w:t>
      </w:r>
      <w:r>
        <w:t>from w</w:t>
      </w:r>
      <w:r w:rsidRPr="32921BF6">
        <w:t xml:space="preserve">hich the authorization holder has </w:t>
      </w:r>
      <w:r>
        <w:t xml:space="preserve">acquired or </w:t>
      </w:r>
      <w:r w:rsidRPr="32921BF6">
        <w:t xml:space="preserve">requested numbers </w:t>
      </w:r>
      <w:r>
        <w:t>at the time of the ownership change.</w:t>
      </w:r>
      <w:r>
        <w:rPr>
          <w:rStyle w:val="FootnoteReference"/>
        </w:rPr>
        <w:footnoteReference w:id="114"/>
      </w:r>
      <w:r>
        <w:t xml:space="preserve">  Su</w:t>
      </w:r>
      <w:r>
        <w:t>ch information should be submitted to states in the same manner the providers would submit a correction or update to their original applications.</w:t>
      </w:r>
      <w:r>
        <w:rPr>
          <w:rStyle w:val="FootnoteReference"/>
        </w:rPr>
        <w:footnoteReference w:id="115"/>
      </w:r>
    </w:p>
    <w:p w:rsidR="006807AE" w:rsidP="006807AE" w14:paraId="4AE993B5" w14:textId="77777777">
      <w:pPr>
        <w:pStyle w:val="ParaNum"/>
      </w:pPr>
      <w:r w:rsidRPr="3A63744E">
        <w:rPr>
          <w:i/>
          <w:iCs/>
        </w:rPr>
        <w:t xml:space="preserve">Executive Branch agencies’ review of corrected information.  </w:t>
      </w:r>
      <w:r w:rsidRPr="262D79EA">
        <w:t xml:space="preserve">As proposed in the </w:t>
      </w:r>
      <w:r w:rsidRPr="3A63744E">
        <w:rPr>
          <w:i/>
          <w:iCs/>
        </w:rPr>
        <w:t>VoIP Direct Access Further Notice</w:t>
      </w:r>
      <w:r w:rsidRPr="00D303B6">
        <w:rPr>
          <w:szCs w:val="22"/>
        </w:rPr>
        <w:t>,</w:t>
      </w:r>
      <w:r>
        <w:rPr>
          <w:rStyle w:val="FootnoteReference"/>
        </w:rPr>
        <w:footnoteReference w:id="116"/>
      </w:r>
      <w:r w:rsidRPr="262D79EA">
        <w:t xml:space="preserve"> we also delegate authority to the Bureau to direct the </w:t>
      </w:r>
      <w:r>
        <w:t xml:space="preserve">Numbering </w:t>
      </w:r>
      <w:r w:rsidRPr="262D79EA">
        <w:t xml:space="preserve">Administrator, pursuant to its applicable procedures, to suspend all pending and future requests for numbers if the </w:t>
      </w:r>
      <w:r>
        <w:t>upda</w:t>
      </w:r>
      <w:r w:rsidRPr="262D79EA">
        <w:t xml:space="preserve">ted </w:t>
      </w:r>
      <w:r>
        <w:t xml:space="preserve">or corrected ownership </w:t>
      </w:r>
      <w:r w:rsidRPr="262D79EA">
        <w:t>information submitted by an authorization holder indicates a material change</w:t>
      </w:r>
      <w:r>
        <w:t xml:space="preserve"> or discloses new information</w:t>
      </w:r>
      <w:r w:rsidRPr="262D79EA">
        <w:t xml:space="preserve"> suc</w:t>
      </w:r>
      <w:r w:rsidRPr="262D79EA">
        <w:t xml:space="preserve">h that additional investigation is necessary to confirm that the authorization </w:t>
      </w:r>
      <w:r>
        <w:t xml:space="preserve">still </w:t>
      </w:r>
      <w:r w:rsidRPr="262D79EA">
        <w:t xml:space="preserve">serves the public interest.  In the foreign ownership context, if updated </w:t>
      </w:r>
      <w:r>
        <w:t xml:space="preserve">or corrected </w:t>
      </w:r>
      <w:r w:rsidRPr="262D79EA">
        <w:t xml:space="preserve">ownership information </w:t>
      </w:r>
      <w:r>
        <w:t>leads</w:t>
      </w:r>
      <w:r w:rsidRPr="262D79EA">
        <w:t xml:space="preserve"> the </w:t>
      </w:r>
      <w:r>
        <w:t>Commission</w:t>
      </w:r>
      <w:r w:rsidRPr="262D79EA">
        <w:t xml:space="preserve"> </w:t>
      </w:r>
      <w:r>
        <w:t>to</w:t>
      </w:r>
      <w:r w:rsidRPr="262D79EA">
        <w:t xml:space="preserve"> refer the authorization holder to the </w:t>
      </w:r>
      <w:r w:rsidRPr="262D79EA">
        <w:t xml:space="preserve">Executive </w:t>
      </w:r>
      <w:r>
        <w:t>Branch a</w:t>
      </w:r>
      <w:r w:rsidRPr="262D79EA">
        <w:t>gencies</w:t>
      </w:r>
      <w:r>
        <w:t>, the Bureau shall also</w:t>
      </w:r>
      <w:r w:rsidRPr="262D79EA">
        <w:t xml:space="preserve"> direct the Numbering Administrator to suspend all pending and future requests for numbers until </w:t>
      </w:r>
      <w:r>
        <w:t xml:space="preserve">such </w:t>
      </w:r>
      <w:r w:rsidRPr="262D79EA">
        <w:t>review is complete and a determination is made</w:t>
      </w:r>
      <w:r>
        <w:t xml:space="preserve"> by the Bureau</w:t>
      </w:r>
      <w:r w:rsidRPr="262D79EA">
        <w:t>.</w:t>
      </w:r>
      <w:r>
        <w:t xml:space="preserve">  </w:t>
      </w:r>
    </w:p>
    <w:p w:rsidR="006807AE" w:rsidRPr="00084E6D" w:rsidP="006807AE" w14:paraId="7DD46D67" w14:textId="77777777">
      <w:pPr>
        <w:pStyle w:val="ParaNum"/>
      </w:pPr>
      <w:r w:rsidRPr="00EB4679">
        <w:rPr>
          <w:i/>
        </w:rPr>
        <w:t xml:space="preserve">Use of </w:t>
      </w:r>
      <w:r>
        <w:rPr>
          <w:i/>
        </w:rPr>
        <w:t>n</w:t>
      </w:r>
      <w:r w:rsidRPr="00EB4679">
        <w:rPr>
          <w:i/>
        </w:rPr>
        <w:t xml:space="preserve">umbers </w:t>
      </w:r>
      <w:r>
        <w:rPr>
          <w:i/>
        </w:rPr>
        <w:t>a</w:t>
      </w:r>
      <w:r w:rsidRPr="00EB4679">
        <w:rPr>
          <w:i/>
        </w:rPr>
        <w:t xml:space="preserve">fter </w:t>
      </w:r>
      <w:r>
        <w:rPr>
          <w:i/>
        </w:rPr>
        <w:t>s</w:t>
      </w:r>
      <w:r w:rsidRPr="00EB4679">
        <w:rPr>
          <w:i/>
        </w:rPr>
        <w:t xml:space="preserve">ubmission of </w:t>
      </w:r>
      <w:r>
        <w:rPr>
          <w:i/>
        </w:rPr>
        <w:t>u</w:t>
      </w:r>
      <w:r w:rsidRPr="00EB4679">
        <w:rPr>
          <w:i/>
        </w:rPr>
        <w:t>pdated</w:t>
      </w:r>
      <w:r w:rsidRPr="00EB4679">
        <w:rPr>
          <w:i/>
        </w:rPr>
        <w:t xml:space="preserve"> or </w:t>
      </w:r>
      <w:r>
        <w:rPr>
          <w:i/>
        </w:rPr>
        <w:t>n</w:t>
      </w:r>
      <w:r w:rsidRPr="00EB4679">
        <w:rPr>
          <w:i/>
        </w:rPr>
        <w:t xml:space="preserve">ew </w:t>
      </w:r>
      <w:r>
        <w:rPr>
          <w:i/>
        </w:rPr>
        <w:t>i</w:t>
      </w:r>
      <w:r w:rsidRPr="00EB4679">
        <w:rPr>
          <w:i/>
        </w:rPr>
        <w:t xml:space="preserve">nformation.  </w:t>
      </w:r>
      <w:r w:rsidRPr="00D303B6">
        <w:t xml:space="preserve">Finally, we note that authorization holders may continue to use numbers they obtained prior to submitting </w:t>
      </w:r>
      <w:r>
        <w:t xml:space="preserve">updated or </w:t>
      </w:r>
      <w:r w:rsidRPr="00D303B6">
        <w:t>corrected</w:t>
      </w:r>
      <w:r>
        <w:t xml:space="preserve"> ownership</w:t>
      </w:r>
      <w:r w:rsidRPr="00D303B6">
        <w:t xml:space="preserve"> information to the Bureau unless the Bureau determines that the authorization must be revoked per</w:t>
      </w:r>
      <w:r w:rsidRPr="00D303B6">
        <w:t xml:space="preserve"> the formal revocation procedure we adopt below.</w:t>
      </w:r>
      <w:r>
        <w:rPr>
          <w:rStyle w:val="FootnoteReference"/>
        </w:rPr>
        <w:footnoteReference w:id="117"/>
      </w:r>
    </w:p>
    <w:p w:rsidR="006807AE" w:rsidP="006807AE" w14:paraId="216FA886" w14:textId="05DC00E7">
      <w:pPr>
        <w:pStyle w:val="Heading3"/>
      </w:pPr>
      <w:bookmarkStart w:id="18" w:name="_Toc146047060"/>
      <w:bookmarkStart w:id="19" w:name="_Toc146179052"/>
      <w:r>
        <w:t>Certifying Compliance with Other Commission Rules</w:t>
      </w:r>
      <w:bookmarkEnd w:id="18"/>
      <w:bookmarkEnd w:id="19"/>
    </w:p>
    <w:p w:rsidR="006807AE" w:rsidRPr="00D303B6" w:rsidP="006807AE" w14:paraId="4CE7D57F" w14:textId="77777777">
      <w:pPr>
        <w:pStyle w:val="ParaNum"/>
      </w:pPr>
      <w:r w:rsidRPr="00D303B6">
        <w:t xml:space="preserve">Under our current rules, interconnected VoIP providers seeking to obtain numbers must comply with various obligations that are designed </w:t>
      </w:r>
      <w:r>
        <w:t xml:space="preserve">to </w:t>
      </w:r>
      <w:r w:rsidRPr="00D303B6">
        <w:t>enhance public s</w:t>
      </w:r>
      <w:r w:rsidRPr="00D303B6">
        <w:t>afety, prevent access stimulation and intercarrier compensation abuse, ensure that Commission broadband maps are accurate, and ensure that providers actually provide the service they describe.</w:t>
      </w:r>
      <w:r>
        <w:rPr>
          <w:rStyle w:val="FootnoteReference"/>
          <w:sz w:val="22"/>
          <w:szCs w:val="22"/>
        </w:rPr>
        <w:footnoteReference w:id="118"/>
      </w:r>
      <w:r w:rsidRPr="00D303B6">
        <w:t xml:space="preserve">  </w:t>
      </w:r>
      <w:r>
        <w:t>As we do in the robocall context above, w</w:t>
      </w:r>
      <w:r w:rsidRPr="00D303B6">
        <w:t xml:space="preserve">e </w:t>
      </w:r>
      <w:r>
        <w:t>increase our enfo</w:t>
      </w:r>
      <w:r>
        <w:t xml:space="preserve">rcement capabilities and </w:t>
      </w:r>
      <w:r w:rsidRPr="00D303B6">
        <w:t xml:space="preserve">strengthen those rules by requiring interconnected VoIP providers to make certifications regarding their compliance with those rules in their direct access applications.  </w:t>
      </w:r>
    </w:p>
    <w:p w:rsidR="006807AE" w:rsidRPr="00D303B6" w:rsidP="006807AE" w14:paraId="74F6375C" w14:textId="77777777">
      <w:pPr>
        <w:pStyle w:val="ParaNum"/>
      </w:pPr>
      <w:r w:rsidRPr="00D303B6">
        <w:rPr>
          <w:i/>
        </w:rPr>
        <w:t>Public safety certification.</w:t>
      </w:r>
      <w:r w:rsidRPr="00D303B6">
        <w:t xml:space="preserve">  </w:t>
      </w:r>
      <w:r>
        <w:t xml:space="preserve">Consistent with our proposal </w:t>
      </w:r>
      <w:r>
        <w:t xml:space="preserve">in the </w:t>
      </w:r>
      <w:r>
        <w:rPr>
          <w:i/>
        </w:rPr>
        <w:t>VoIP Direct Access Further Notice</w:t>
      </w:r>
      <w:r>
        <w:t>,</w:t>
      </w:r>
      <w:r>
        <w:rPr>
          <w:rStyle w:val="FootnoteReference"/>
        </w:rPr>
        <w:footnoteReference w:id="119"/>
      </w:r>
      <w:r>
        <w:t xml:space="preserve"> w</w:t>
      </w:r>
      <w:r w:rsidRPr="00D303B6">
        <w:t xml:space="preserve">e revise section 52.15(g)(3) of </w:t>
      </w:r>
      <w:r>
        <w:t>the Commission’s</w:t>
      </w:r>
      <w:r w:rsidRPr="00D303B6">
        <w:t xml:space="preserve"> rules to require interconnected VoIP applicants for direct access authorization</w:t>
      </w:r>
      <w:r>
        <w:rPr>
          <w:rStyle w:val="FootnoteReference"/>
        </w:rPr>
        <w:footnoteReference w:id="120"/>
      </w:r>
      <w:r w:rsidRPr="00D303B6">
        <w:t xml:space="preserve"> to certify that they</w:t>
      </w:r>
      <w:r>
        <w:t xml:space="preserve"> comply with </w:t>
      </w:r>
      <w:r w:rsidRPr="00D303B6">
        <w:t xml:space="preserve">the Communications </w:t>
      </w:r>
      <w:r w:rsidRPr="00D303B6">
        <w:t xml:space="preserve">Assistance with Law </w:t>
      </w:r>
      <w:r w:rsidRPr="00D303B6">
        <w:t>Enforcement Act (CALEA).</w:t>
      </w:r>
      <w:r>
        <w:rPr>
          <w:rStyle w:val="FootnoteReference"/>
        </w:rPr>
        <w:footnoteReference w:id="121"/>
      </w:r>
      <w:r w:rsidRPr="00D303B6">
        <w:t xml:space="preserve">  </w:t>
      </w:r>
      <w:r>
        <w:t xml:space="preserve">We also </w:t>
      </w:r>
      <w:r w:rsidRPr="00D303B6">
        <w:t xml:space="preserve">require applicants to </w:t>
      </w:r>
      <w:r>
        <w:t>p</w:t>
      </w:r>
      <w:r w:rsidRPr="00D303B6">
        <w:t>rovide</w:t>
      </w:r>
      <w:r>
        <w:t xml:space="preserve"> evidence</w:t>
      </w:r>
      <w:r w:rsidRPr="00D303B6">
        <w:t xml:space="preserve"> in their application </w:t>
      </w:r>
      <w:r>
        <w:t xml:space="preserve">that </w:t>
      </w:r>
      <w:r w:rsidRPr="00D303B6">
        <w:t xml:space="preserve">demonstrates their compliance with </w:t>
      </w:r>
      <w:r>
        <w:t>the Commission’s part 9 public safety rules and CALEA</w:t>
      </w:r>
      <w:r w:rsidRPr="00D303B6">
        <w:t>.</w:t>
      </w:r>
      <w:r>
        <w:rPr>
          <w:rStyle w:val="FootnoteReference"/>
        </w:rPr>
        <w:footnoteReference w:id="122"/>
      </w:r>
      <w:r w:rsidRPr="00D303B6">
        <w:t xml:space="preserve">  We additionally </w:t>
      </w:r>
      <w:r>
        <w:t>delegate</w:t>
      </w:r>
      <w:r w:rsidRPr="00D303B6">
        <w:t xml:space="preserve"> </w:t>
      </w:r>
      <w:r>
        <w:t xml:space="preserve">to Bureau or other Commission staff </w:t>
      </w:r>
      <w:r w:rsidRPr="00D303B6">
        <w:t>t</w:t>
      </w:r>
      <w:r w:rsidRPr="00D303B6">
        <w:t>he right to request additional documentation from the applicant to demonstrate compliance with these public safety obligations, where necessary.</w:t>
      </w:r>
      <w:r>
        <w:rPr>
          <w:rStyle w:val="FootnoteReference"/>
          <w:sz w:val="22"/>
          <w:szCs w:val="22"/>
        </w:rPr>
        <w:footnoteReference w:id="123"/>
      </w:r>
    </w:p>
    <w:p w:rsidR="006807AE" w:rsidRPr="00D303B6" w:rsidP="006807AE" w14:paraId="24B6B68A" w14:textId="77777777">
      <w:pPr>
        <w:pStyle w:val="ParaNum"/>
        <w:widowControl/>
      </w:pPr>
      <w:r>
        <w:t>As with the other certifications we adopt today, this new certification requirement will provide the Commissi</w:t>
      </w:r>
      <w:r>
        <w:t>on with additional enforcement abilities should the Bureau find that an authorization holder does not in fact comply with our public safety rules or CALEA.  Our requirement to provide evidence of compliance with these obligations merely formalizes the pree</w:t>
      </w:r>
      <w:r>
        <w:t>xisting Bureau practice of requesting such evidence after an application’s submission.  By requiring this evidentiary showing at the outset, we promote efficiency by ensuring Bureau staff have the relevant documentation when they begin their application re</w:t>
      </w:r>
      <w:r>
        <w:t xml:space="preserve">view.  Additionally, because the ability to provide public safety answering points (PSAPs) with caller location and call-back numbers necessitates two-way interconnection with the public switched telephone network (PSTN), this requirement will help Bureau </w:t>
      </w:r>
      <w:r>
        <w:t xml:space="preserve">staff assess whether an applicant actually provides interconnected VoIP service.  </w:t>
      </w:r>
    </w:p>
    <w:p w:rsidR="006807AE" w:rsidRPr="00D303B6" w:rsidP="006807AE" w14:paraId="10859830" w14:textId="77777777">
      <w:pPr>
        <w:pStyle w:val="ParaNum"/>
      </w:pPr>
      <w:r w:rsidRPr="762A295A">
        <w:t>Several parties support this measure.</w:t>
      </w:r>
      <w:r>
        <w:rPr>
          <w:rStyle w:val="FootnoteReference"/>
          <w:sz w:val="22"/>
          <w:szCs w:val="22"/>
        </w:rPr>
        <w:footnoteReference w:id="124"/>
      </w:r>
      <w:r w:rsidRPr="762A295A">
        <w:t xml:space="preserve">  </w:t>
      </w:r>
      <w:r>
        <w:t>The Maine Public Utilities Commission suggests that</w:t>
      </w:r>
      <w:r w:rsidRPr="762A295A">
        <w:t xml:space="preserve"> we should </w:t>
      </w:r>
      <w:r>
        <w:t xml:space="preserve">additionally </w:t>
      </w:r>
      <w:r w:rsidRPr="762A295A">
        <w:t>require</w:t>
      </w:r>
      <w:r>
        <w:t xml:space="preserve"> providers to submit</w:t>
      </w:r>
      <w:r w:rsidRPr="762A295A">
        <w:t xml:space="preserve"> the 911-related documentation</w:t>
      </w:r>
      <w:r w:rsidRPr="762A295A">
        <w:t xml:space="preserve"> to state regulatory and public safety agencies.</w:t>
      </w:r>
      <w:r>
        <w:rPr>
          <w:rStyle w:val="FootnoteReference"/>
          <w:sz w:val="22"/>
          <w:szCs w:val="22"/>
        </w:rPr>
        <w:footnoteReference w:id="125"/>
      </w:r>
      <w:r w:rsidRPr="00D303B6">
        <w:t xml:space="preserve"> </w:t>
      </w:r>
      <w:r w:rsidRPr="762A295A">
        <w:t xml:space="preserve"> </w:t>
      </w:r>
      <w:r>
        <w:t xml:space="preserve">We </w:t>
      </w:r>
      <w:r w:rsidRPr="762A295A">
        <w:t xml:space="preserve">decline </w:t>
      </w:r>
      <w:r>
        <w:t>to take this approach because state regulatory agencies vary widely in terms of their jurisdiction over interconnected VoIP providers.  While some states treat interconnected VoIP providers lik</w:t>
      </w:r>
      <w:r>
        <w:t>e communications service providers for specified purposes,</w:t>
      </w:r>
      <w:r>
        <w:rPr>
          <w:rStyle w:val="FootnoteReference"/>
        </w:rPr>
        <w:footnoteReference w:id="126"/>
      </w:r>
      <w:r>
        <w:t xml:space="preserve"> others have statutes expressly limiting or removing their jurisdiction over interconnected VoIP providers altogether.</w:t>
      </w:r>
      <w:r>
        <w:rPr>
          <w:rStyle w:val="FootnoteReference"/>
        </w:rPr>
        <w:footnoteReference w:id="127"/>
      </w:r>
      <w:r>
        <w:t xml:space="preserve">  A general requirement to send such documentation to state regulatory agenc</w:t>
      </w:r>
      <w:r>
        <w:t>ies would not be tailored appropriately to ensure only those agencies that have an interest in that information would receive it.  Tailoring such a requirement to apply only to those states with jurisdiction over interconnected VoIP providers is also undes</w:t>
      </w:r>
      <w:r>
        <w:t>irable because it would create regulatory asymmetry that is not competitively neutral.  We address additional state-related issues in Part III.A.4 below.</w:t>
      </w:r>
    </w:p>
    <w:p w:rsidR="006807AE" w:rsidRPr="004A4F13" w:rsidP="006807AE" w14:paraId="702C2AEC" w14:textId="77777777">
      <w:pPr>
        <w:pStyle w:val="ParaNum"/>
        <w:rPr>
          <w:b/>
        </w:rPr>
      </w:pPr>
      <w:r w:rsidRPr="00D303B6">
        <w:rPr>
          <w:i/>
        </w:rPr>
        <w:t xml:space="preserve">Access </w:t>
      </w:r>
      <w:r>
        <w:rPr>
          <w:i/>
        </w:rPr>
        <w:t>S</w:t>
      </w:r>
      <w:r w:rsidRPr="00D303B6">
        <w:rPr>
          <w:i/>
        </w:rPr>
        <w:t xml:space="preserve">timulation </w:t>
      </w:r>
      <w:r>
        <w:rPr>
          <w:i/>
        </w:rPr>
        <w:t>certification</w:t>
      </w:r>
      <w:r w:rsidRPr="00D303B6">
        <w:rPr>
          <w:i/>
        </w:rPr>
        <w:t>.</w:t>
      </w:r>
      <w:r w:rsidRPr="00D303B6">
        <w:t xml:space="preserve"> </w:t>
      </w:r>
      <w:r>
        <w:t xml:space="preserve"> The </w:t>
      </w:r>
      <w:r w:rsidRPr="3A63744E">
        <w:rPr>
          <w:i/>
          <w:iCs/>
        </w:rPr>
        <w:t>VoIP Direct Access</w:t>
      </w:r>
      <w:r w:rsidRPr="008712B6">
        <w:rPr>
          <w:i/>
        </w:rPr>
        <w:t xml:space="preserve"> </w:t>
      </w:r>
      <w:r w:rsidRPr="3A63744E">
        <w:rPr>
          <w:i/>
          <w:iCs/>
        </w:rPr>
        <w:t>Further Notice</w:t>
      </w:r>
      <w:r>
        <w:t xml:space="preserve"> sought comment on possible ch</w:t>
      </w:r>
      <w:r>
        <w:t>anges to our direct access authorization rules to help combat Access Stimulation and other forms of intercarrier compensation arbitrage.</w:t>
      </w:r>
      <w:r>
        <w:rPr>
          <w:rStyle w:val="FootnoteReference"/>
          <w:sz w:val="22"/>
          <w:szCs w:val="22"/>
        </w:rPr>
        <w:footnoteReference w:id="128"/>
      </w:r>
      <w:r>
        <w:t xml:space="preserve">  In April of this year, we adopted a </w:t>
      </w:r>
      <w:r w:rsidRPr="3A63744E">
        <w:rPr>
          <w:i/>
          <w:iCs/>
        </w:rPr>
        <w:t xml:space="preserve">Second </w:t>
      </w:r>
      <w:r w:rsidRPr="3A63744E">
        <w:rPr>
          <w:i/>
          <w:iCs/>
        </w:rPr>
        <w:t>Report and Order</w:t>
      </w:r>
      <w:r>
        <w:t xml:space="preserve"> in the Access Arbitrage docket which closed perceived lo</w:t>
      </w:r>
      <w:r>
        <w:t>opholes in our Access Stimulation rules that some entities, including interconnected VoIP providers, were exploiting to the detriment of interexchange carriers (IXCs) and their end-user customers.</w:t>
      </w:r>
      <w:r>
        <w:rPr>
          <w:rStyle w:val="FootnoteReference"/>
        </w:rPr>
        <w:footnoteReference w:id="129"/>
      </w:r>
      <w:r>
        <w:t xml:space="preserve">  Given the revisions to our Access Stimulation rules addi</w:t>
      </w:r>
      <w:r>
        <w:t>ng new requirements for Internet Protocol Enabled Service (IPES) Providers</w:t>
      </w:r>
      <w:r>
        <w:rPr>
          <w:rStyle w:val="FootnoteReference"/>
        </w:rPr>
        <w:footnoteReference w:id="130"/>
      </w:r>
      <w:r>
        <w:t>—which include interconnected VoIP providers</w:t>
      </w:r>
      <w:r>
        <w:rPr>
          <w:rStyle w:val="FootnoteReference"/>
        </w:rPr>
        <w:footnoteReference w:id="131"/>
      </w:r>
      <w:r>
        <w:t>—we adopt a new certification that cross-references those new rules to help ensure applicants for direct access to numbers are aware o</w:t>
      </w:r>
      <w:r>
        <w:t>f, and comply with them.</w:t>
      </w:r>
      <w:r>
        <w:rPr>
          <w:rStyle w:val="FootnoteReference"/>
        </w:rPr>
        <w:footnoteReference w:id="132"/>
      </w:r>
      <w:r>
        <w:t xml:space="preserve">  We thus </w:t>
      </w:r>
      <w:r w:rsidRPr="00D303B6">
        <w:t xml:space="preserve">revise section 52.15(g)(3) of </w:t>
      </w:r>
      <w:r>
        <w:t>the Commission’s</w:t>
      </w:r>
      <w:r w:rsidRPr="00D303B6">
        <w:t xml:space="preserve"> </w:t>
      </w:r>
      <w:r>
        <w:t xml:space="preserve">rules </w:t>
      </w:r>
      <w:r w:rsidRPr="00D303B6">
        <w:t xml:space="preserve">to require </w:t>
      </w:r>
      <w:r>
        <w:t xml:space="preserve">interconnected </w:t>
      </w:r>
      <w:r w:rsidRPr="00D303B6">
        <w:t xml:space="preserve">VoIP providers applying for direct access </w:t>
      </w:r>
      <w:r>
        <w:t xml:space="preserve">to numbers </w:t>
      </w:r>
      <w:r w:rsidRPr="00D303B6">
        <w:t xml:space="preserve">to certify that they </w:t>
      </w:r>
      <w:r>
        <w:t>comply with</w:t>
      </w:r>
      <w:r w:rsidRPr="00D303B6">
        <w:t xml:space="preserve"> our </w:t>
      </w:r>
      <w:r>
        <w:t>A</w:t>
      </w:r>
      <w:r w:rsidRPr="00D303B6">
        <w:t xml:space="preserve">ccess </w:t>
      </w:r>
      <w:r>
        <w:t>S</w:t>
      </w:r>
      <w:r w:rsidRPr="00D303B6">
        <w:t>timulation rules</w:t>
      </w:r>
      <w:r>
        <w:t xml:space="preserve"> found in 47 CFR § 51.914</w:t>
      </w:r>
      <w:r w:rsidRPr="00D303B6">
        <w:t>.</w:t>
      </w:r>
      <w:r>
        <w:rPr>
          <w:rStyle w:val="FootnoteReference"/>
        </w:rPr>
        <w:footnoteReference w:id="133"/>
      </w:r>
      <w:r>
        <w:rPr>
          <w:b/>
        </w:rPr>
        <w:t xml:space="preserve">  </w:t>
      </w:r>
    </w:p>
    <w:p w:rsidR="006807AE" w:rsidRPr="004A4F13" w:rsidP="006807AE" w14:paraId="6977967E" w14:textId="77777777">
      <w:pPr>
        <w:pStyle w:val="ParaNum"/>
        <w:rPr>
          <w:b/>
        </w:rPr>
      </w:pPr>
      <w:r w:rsidRPr="00432E67">
        <w:t xml:space="preserve">We </w:t>
      </w:r>
      <w:r>
        <w:t>adopt this requirement</w:t>
      </w:r>
      <w:r w:rsidRPr="00432E67">
        <w:t xml:space="preserve"> to help alleviate concerns that </w:t>
      </w:r>
      <w:r w:rsidRPr="00D66670">
        <w:t xml:space="preserve">direct access authorization will be used to evade </w:t>
      </w:r>
      <w:r>
        <w:t>our A</w:t>
      </w:r>
      <w:r w:rsidRPr="00D66670">
        <w:t xml:space="preserve">ccess </w:t>
      </w:r>
      <w:r>
        <w:t>S</w:t>
      </w:r>
      <w:r w:rsidRPr="00D66670">
        <w:t xml:space="preserve">timulation rules when the applicant is directly or indirectly related to an entity suspected of </w:t>
      </w:r>
      <w:r w:rsidRPr="00D66670">
        <w:t>being an access stimulator.</w:t>
      </w:r>
      <w:r>
        <w:rPr>
          <w:rStyle w:val="FootnoteReference"/>
        </w:rPr>
        <w:footnoteReference w:id="134"/>
      </w:r>
      <w:r w:rsidRPr="00D66670">
        <w:t xml:space="preserve">  This requirement will provide an additional enforcement mechanism if it is violated</w:t>
      </w:r>
      <w:r>
        <w:t xml:space="preserve">, including the potential for </w:t>
      </w:r>
      <w:r w:rsidRPr="00D66670">
        <w:t xml:space="preserve">revocation of </w:t>
      </w:r>
      <w:r>
        <w:t xml:space="preserve">the provider’s </w:t>
      </w:r>
      <w:r w:rsidRPr="00D66670">
        <w:t>direct</w:t>
      </w:r>
      <w:r w:rsidRPr="00D303B6">
        <w:t xml:space="preserve"> access </w:t>
      </w:r>
      <w:r>
        <w:t>authorization</w:t>
      </w:r>
      <w:r w:rsidRPr="00D303B6">
        <w:t xml:space="preserve">.  </w:t>
      </w:r>
      <w:r>
        <w:t>As with the other certifications we adopt today, we e</w:t>
      </w:r>
      <w:r>
        <w:t>xpect t</w:t>
      </w:r>
      <w:r w:rsidRPr="00D303B6">
        <w:t xml:space="preserve">he threat of enforcement action </w:t>
      </w:r>
      <w:r>
        <w:t xml:space="preserve">related </w:t>
      </w:r>
      <w:r w:rsidRPr="00D303B6">
        <w:t xml:space="preserve">to a </w:t>
      </w:r>
      <w:r>
        <w:t>false</w:t>
      </w:r>
      <w:r w:rsidRPr="00D303B6">
        <w:t xml:space="preserve"> certification </w:t>
      </w:r>
      <w:r>
        <w:t xml:space="preserve">to </w:t>
      </w:r>
      <w:r w:rsidRPr="00D303B6">
        <w:t xml:space="preserve">deter applications by those that </w:t>
      </w:r>
      <w:r>
        <w:t>would</w:t>
      </w:r>
      <w:r w:rsidRPr="00D303B6">
        <w:t xml:space="preserve"> </w:t>
      </w:r>
      <w:r>
        <w:t>violate our rules, including those related to Access Stimulation</w:t>
      </w:r>
      <w:r w:rsidRPr="00D303B6">
        <w:t>.</w:t>
      </w:r>
      <w:r>
        <w:rPr>
          <w:rStyle w:val="FootnoteReference"/>
          <w:sz w:val="22"/>
          <w:szCs w:val="22"/>
        </w:rPr>
        <w:footnoteReference w:id="135"/>
      </w:r>
      <w:r>
        <w:t xml:space="preserve">  </w:t>
      </w:r>
    </w:p>
    <w:p w:rsidR="006807AE" w:rsidRPr="00611F33" w:rsidP="006807AE" w14:paraId="2BD55C3B" w14:textId="77777777">
      <w:pPr>
        <w:pStyle w:val="ParaNum"/>
        <w:widowControl/>
        <w:rPr>
          <w:rStyle w:val="cf01"/>
          <w:rFonts w:ascii="Times New Roman" w:hAnsi="Times New Roman" w:cs="Times New Roman"/>
          <w:sz w:val="22"/>
          <w:szCs w:val="22"/>
        </w:rPr>
      </w:pPr>
      <w:r>
        <w:t xml:space="preserve">Commenters </w:t>
      </w:r>
      <w:r w:rsidRPr="00D303B6">
        <w:t xml:space="preserve">in </w:t>
      </w:r>
      <w:r>
        <w:t>both the Direct Access and</w:t>
      </w:r>
      <w:r w:rsidRPr="00D303B6">
        <w:t xml:space="preserve"> </w:t>
      </w:r>
      <w:r>
        <w:t>our Access Arbitrage dockets ha</w:t>
      </w:r>
      <w:r>
        <w:t xml:space="preserve">ve expressed </w:t>
      </w:r>
      <w:r w:rsidRPr="00D303B6">
        <w:t xml:space="preserve">support </w:t>
      </w:r>
      <w:r>
        <w:t>for</w:t>
      </w:r>
      <w:r w:rsidRPr="00D303B6">
        <w:t xml:space="preserve"> this type of certification requirement as a means to deter interconnected VoIP </w:t>
      </w:r>
      <w:r w:rsidRPr="00611F33">
        <w:rPr>
          <w:szCs w:val="22"/>
        </w:rPr>
        <w:t>providers from engaging in schemes to avoid the Access Stimulation rules.</w:t>
      </w:r>
      <w:r>
        <w:rPr>
          <w:rStyle w:val="FootnoteReference"/>
          <w:sz w:val="22"/>
          <w:szCs w:val="22"/>
        </w:rPr>
        <w:footnoteReference w:id="136"/>
      </w:r>
      <w:r w:rsidRPr="00611F33">
        <w:rPr>
          <w:szCs w:val="22"/>
        </w:rPr>
        <w:t xml:space="preserve">  Verizon, for example, stated that “</w:t>
      </w:r>
      <w:r w:rsidRPr="00611F33">
        <w:rPr>
          <w:rStyle w:val="cf01"/>
          <w:rFonts w:ascii="Times New Roman" w:hAnsi="Times New Roman" w:cs="Times New Roman"/>
          <w:sz w:val="22"/>
          <w:szCs w:val="22"/>
        </w:rPr>
        <w:t>IPES providers with direct access should</w:t>
      </w:r>
      <w:r w:rsidRPr="00611F33">
        <w:rPr>
          <w:rStyle w:val="cf01"/>
          <w:rFonts w:ascii="Times New Roman" w:hAnsi="Times New Roman" w:cs="Times New Roman"/>
          <w:sz w:val="22"/>
          <w:szCs w:val="22"/>
        </w:rPr>
        <w:t xml:space="preserve"> acknowledge and affirmatively agree to observe the Commission’s access stimulation rules.  Access stimulating IPES providers would face consequences for making false certifications to the Commission.”</w:t>
      </w:r>
      <w:r>
        <w:rPr>
          <w:rStyle w:val="FootnoteReference"/>
          <w:sz w:val="22"/>
          <w:szCs w:val="22"/>
        </w:rPr>
        <w:footnoteReference w:id="137"/>
      </w:r>
      <w:r w:rsidRPr="00611F33">
        <w:rPr>
          <w:rStyle w:val="cf01"/>
          <w:rFonts w:ascii="Times New Roman" w:hAnsi="Times New Roman" w:cs="Times New Roman"/>
          <w:sz w:val="22"/>
          <w:szCs w:val="22"/>
        </w:rPr>
        <w:t xml:space="preserve">  AT&amp;T agreed with Verizon, stating that “[s]uch a re</w:t>
      </w:r>
      <w:r w:rsidRPr="00611F33">
        <w:rPr>
          <w:rStyle w:val="cf01"/>
          <w:rFonts w:ascii="Times New Roman" w:hAnsi="Times New Roman" w:cs="Times New Roman"/>
          <w:sz w:val="22"/>
          <w:szCs w:val="22"/>
        </w:rPr>
        <w:t xml:space="preserve">quirement will give the Commission an additional arrow in its quiver in the fight against harmful arbitrage schemes and </w:t>
      </w:r>
      <w:r w:rsidRPr="00611F33">
        <w:rPr>
          <w:rStyle w:val="cf01"/>
          <w:rFonts w:ascii="Times New Roman" w:hAnsi="Times New Roman" w:cs="Times New Roman"/>
          <w:sz w:val="22"/>
          <w:szCs w:val="22"/>
        </w:rPr>
        <w:t>should not place an undue administrative burden on IPES providers.”</w:t>
      </w:r>
      <w:r>
        <w:rPr>
          <w:rStyle w:val="FootnoteReference"/>
          <w:sz w:val="22"/>
          <w:szCs w:val="22"/>
        </w:rPr>
        <w:footnoteReference w:id="138"/>
      </w:r>
      <w:r w:rsidRPr="00611F33">
        <w:rPr>
          <w:rStyle w:val="cf01"/>
          <w:rFonts w:ascii="Times New Roman" w:hAnsi="Times New Roman" w:cs="Times New Roman"/>
          <w:sz w:val="22"/>
          <w:szCs w:val="22"/>
        </w:rPr>
        <w:t xml:space="preserve">  We believe that these benefits Verizon and AT&amp;T raise outweigh th</w:t>
      </w:r>
      <w:r w:rsidRPr="00611F33">
        <w:rPr>
          <w:rStyle w:val="cf01"/>
          <w:rFonts w:ascii="Times New Roman" w:hAnsi="Times New Roman" w:cs="Times New Roman"/>
          <w:sz w:val="22"/>
          <w:szCs w:val="22"/>
        </w:rPr>
        <w:t>e concerns from some commenters that certifications that require interconnected VoIP providers to state their compliance with existing rules are duplicative or unnecessary.</w:t>
      </w:r>
      <w:r>
        <w:rPr>
          <w:rStyle w:val="FootnoteReference"/>
          <w:sz w:val="22"/>
          <w:szCs w:val="22"/>
        </w:rPr>
        <w:footnoteReference w:id="139"/>
      </w:r>
      <w:r w:rsidRPr="00611F33">
        <w:rPr>
          <w:rStyle w:val="cf01"/>
          <w:rFonts w:ascii="Times New Roman" w:hAnsi="Times New Roman" w:cs="Times New Roman"/>
          <w:sz w:val="22"/>
          <w:szCs w:val="22"/>
        </w:rPr>
        <w:t xml:space="preserve">  </w:t>
      </w:r>
    </w:p>
    <w:p w:rsidR="006807AE" w:rsidRPr="00611F33" w:rsidP="006807AE" w14:paraId="334011F6" w14:textId="77777777">
      <w:pPr>
        <w:pStyle w:val="ParaNum"/>
        <w:widowControl/>
        <w:rPr>
          <w:szCs w:val="22"/>
        </w:rPr>
      </w:pPr>
      <w:r w:rsidRPr="00611F33">
        <w:rPr>
          <w:rStyle w:val="cf01"/>
          <w:rFonts w:ascii="Times New Roman" w:hAnsi="Times New Roman" w:cs="Times New Roman"/>
          <w:sz w:val="22"/>
          <w:szCs w:val="22"/>
        </w:rPr>
        <w:t xml:space="preserve">We decline to adopt additional requirements beyond the </w:t>
      </w:r>
      <w:r w:rsidRPr="00611F33">
        <w:rPr>
          <w:rStyle w:val="cf01"/>
          <w:rFonts w:ascii="Times New Roman" w:hAnsi="Times New Roman" w:cs="Times New Roman"/>
          <w:sz w:val="22"/>
          <w:szCs w:val="22"/>
        </w:rPr>
        <w:t>certification at this time,</w:t>
      </w:r>
      <w:r>
        <w:rPr>
          <w:rStyle w:val="FootnoteReference"/>
          <w:sz w:val="22"/>
          <w:szCs w:val="22"/>
        </w:rPr>
        <w:footnoteReference w:id="140"/>
      </w:r>
      <w:r w:rsidRPr="00611F33">
        <w:rPr>
          <w:szCs w:val="22"/>
        </w:rPr>
        <w:t xml:space="preserve"> as our newly adopted Access Stimulation rules are designed to help address the issues that commenters have noted in this docket.</w:t>
      </w:r>
      <w:r>
        <w:rPr>
          <w:rStyle w:val="FootnoteReference"/>
          <w:sz w:val="22"/>
          <w:szCs w:val="22"/>
        </w:rPr>
        <w:footnoteReference w:id="141"/>
      </w:r>
      <w:r w:rsidRPr="00611F33">
        <w:rPr>
          <w:szCs w:val="22"/>
        </w:rPr>
        <w:t xml:space="preserve">  Should we find that more action is necessary to restrict interconnected VoIP providers’ engage</w:t>
      </w:r>
      <w:r w:rsidRPr="00611F33">
        <w:rPr>
          <w:szCs w:val="22"/>
        </w:rPr>
        <w:t xml:space="preserve">ment in Access Stimulation schemes, we reserve the ability to revisit our conclusion here.  We also agree with CCA that many of the suggestions we received in the record “go well beyond the scope of the </w:t>
      </w:r>
      <w:r w:rsidRPr="00611F33">
        <w:rPr>
          <w:i/>
          <w:szCs w:val="22"/>
        </w:rPr>
        <w:t>Further Notice</w:t>
      </w:r>
      <w:r w:rsidRPr="00611F33">
        <w:rPr>
          <w:szCs w:val="22"/>
        </w:rPr>
        <w:t>, [and] are not specifically related to</w:t>
      </w:r>
      <w:r w:rsidRPr="00611F33">
        <w:rPr>
          <w:szCs w:val="22"/>
        </w:rPr>
        <w:t xml:space="preserve"> interconnected VoIP providers directly obtaining telephone numbers.”</w:t>
      </w:r>
      <w:r>
        <w:rPr>
          <w:rStyle w:val="FootnoteReference"/>
          <w:sz w:val="22"/>
          <w:szCs w:val="22"/>
        </w:rPr>
        <w:footnoteReference w:id="142"/>
      </w:r>
    </w:p>
    <w:p w:rsidR="006807AE" w:rsidP="006807AE" w14:paraId="3BFDCBA1" w14:textId="77777777">
      <w:pPr>
        <w:pStyle w:val="ParaNum"/>
      </w:pPr>
      <w:r w:rsidRPr="0075394A">
        <w:rPr>
          <w:i/>
        </w:rPr>
        <w:t xml:space="preserve">FCC Form 477 and 499 filings.  </w:t>
      </w:r>
      <w:r>
        <w:t>Under our rules, interconnected VoIP providers that have qualifying subscribers must file FCC Forms 477 and 499.</w:t>
      </w:r>
      <w:r>
        <w:rPr>
          <w:rStyle w:val="FootnoteReference"/>
          <w:iCs/>
        </w:rPr>
        <w:footnoteReference w:id="143"/>
      </w:r>
      <w:r>
        <w:t xml:space="preserve">  As proposed in the </w:t>
      </w:r>
      <w:r w:rsidRPr="0075394A">
        <w:rPr>
          <w:i/>
          <w:iCs/>
        </w:rPr>
        <w:t>VoIP Direct Access</w:t>
      </w:r>
      <w:r>
        <w:t xml:space="preserve"> </w:t>
      </w:r>
      <w:r w:rsidRPr="0075394A">
        <w:rPr>
          <w:i/>
        </w:rPr>
        <w:t>Further Notice</w:t>
      </w:r>
      <w:r>
        <w:t xml:space="preserve">, we </w:t>
      </w:r>
      <w:r w:rsidRPr="00D303B6">
        <w:t xml:space="preserve">revise section 52.15(g)(3) of the Commission’s rules to </w:t>
      </w:r>
      <w:r>
        <w:t>require</w:t>
      </w:r>
      <w:r w:rsidRPr="00D303B6">
        <w:t xml:space="preserve"> interconnected VoIP providers</w:t>
      </w:r>
      <w:r>
        <w:t xml:space="preserve"> </w:t>
      </w:r>
      <w:r w:rsidRPr="00D303B6">
        <w:t xml:space="preserve">that </w:t>
      </w:r>
      <w:r>
        <w:t>must file</w:t>
      </w:r>
      <w:r w:rsidRPr="00D303B6">
        <w:t xml:space="preserve"> FCC Forms 477 and 499</w:t>
      </w:r>
      <w:r>
        <w:t xml:space="preserve"> to</w:t>
      </w:r>
      <w:r w:rsidRPr="00D303B6">
        <w:t xml:space="preserve"> provide evidence that they have complied with these obligations, and any successor filing obligations,</w:t>
      </w:r>
      <w:r w:rsidRPr="00D303B6">
        <w:t xml:space="preserve"> when filing a direct access application.</w:t>
      </w:r>
      <w:r>
        <w:rPr>
          <w:rStyle w:val="FootnoteReference"/>
          <w:sz w:val="22"/>
          <w:szCs w:val="22"/>
        </w:rPr>
        <w:footnoteReference w:id="144"/>
      </w:r>
      <w:r>
        <w:t xml:space="preserve">  Should providers not have evidence of filing these forms, their certification should explain the reasons why.  </w:t>
      </w:r>
      <w:r w:rsidRPr="00D303B6">
        <w:t>The</w:t>
      </w:r>
      <w:r w:rsidRPr="000B1D8F">
        <w:t xml:space="preserve"> 2015 </w:t>
      </w:r>
      <w:r w:rsidRPr="0075394A">
        <w:rPr>
          <w:i/>
        </w:rPr>
        <w:t>VoIP Direct Access Order</w:t>
      </w:r>
      <w:r w:rsidRPr="00D303B6">
        <w:t xml:space="preserve"> noted that during the procedural review of direct access applicati</w:t>
      </w:r>
      <w:r w:rsidRPr="00D303B6">
        <w:t>on</w:t>
      </w:r>
      <w:r>
        <w:t>s</w:t>
      </w:r>
      <w:r w:rsidRPr="00D303B6">
        <w:t xml:space="preserve">, Bureau staff </w:t>
      </w:r>
      <w:r>
        <w:t xml:space="preserve">routinely </w:t>
      </w:r>
      <w:r w:rsidRPr="00D303B6">
        <w:t xml:space="preserve">verify </w:t>
      </w:r>
      <w:r>
        <w:t xml:space="preserve">that </w:t>
      </w:r>
      <w:r w:rsidRPr="00D303B6">
        <w:t>both</w:t>
      </w:r>
      <w:r>
        <w:t xml:space="preserve"> FCC</w:t>
      </w:r>
      <w:r w:rsidRPr="00D303B6">
        <w:t xml:space="preserve"> </w:t>
      </w:r>
      <w:r>
        <w:t>F</w:t>
      </w:r>
      <w:r w:rsidRPr="00D303B6">
        <w:t>orms 477 and 499 have been filed, if applicable.</w:t>
      </w:r>
      <w:r>
        <w:rPr>
          <w:rStyle w:val="FootnoteReference"/>
          <w:sz w:val="22"/>
          <w:szCs w:val="22"/>
        </w:rPr>
        <w:footnoteReference w:id="145"/>
      </w:r>
      <w:r w:rsidRPr="00D303B6">
        <w:t xml:space="preserve">  Our new </w:t>
      </w:r>
      <w:r w:rsidRPr="00D303B6">
        <w:t>rule formalizes th</w:t>
      </w:r>
      <w:r>
        <w:t>is inquiry into an</w:t>
      </w:r>
      <w:r w:rsidRPr="00D303B6">
        <w:t xml:space="preserve"> application requirement </w:t>
      </w:r>
      <w:r>
        <w:t>which, again, promotes efficiency and adds another layer of enforcement capability</w:t>
      </w:r>
      <w:r w:rsidRPr="00D303B6">
        <w:t xml:space="preserve">. </w:t>
      </w:r>
      <w:r>
        <w:t xml:space="preserve"> </w:t>
      </w:r>
      <w:r>
        <w:t xml:space="preserve">We note that submission of FCC Forms 477 and 499 filing receipts would constitute </w:t>
      </w:r>
      <w:r w:rsidRPr="0075394A">
        <w:rPr>
          <w:i/>
          <w:iCs/>
        </w:rPr>
        <w:t>prima facie</w:t>
      </w:r>
      <w:r>
        <w:t xml:space="preserve"> evidence of compliance with these rules.</w:t>
      </w:r>
      <w:r>
        <w:rPr>
          <w:rStyle w:val="FootnoteReference"/>
        </w:rPr>
        <w:footnoteReference w:id="146"/>
      </w:r>
      <w:r>
        <w:t xml:space="preserve">  We also note that, beginning with data as of December 31, 2022, providers, including interconnected VoIP providers, ar</w:t>
      </w:r>
      <w:r>
        <w:t>e required to submit the following data using the Broadband Data Collection (BDC) filing system:  fixed and mobile broadband and voice FCC Form 477 subscription data, fixed and mobile BDC broadband availability data, BDC mobile voice availability data.</w:t>
      </w:r>
      <w:r>
        <w:rPr>
          <w:rStyle w:val="FootnoteReference"/>
        </w:rPr>
        <w:footnoteReference w:id="147"/>
      </w:r>
      <w:r>
        <w:t xml:space="preserve">  </w:t>
      </w:r>
    </w:p>
    <w:p w:rsidR="006807AE" w:rsidP="006807AE" w14:paraId="074ABEA7" w14:textId="1F5D83DC">
      <w:pPr>
        <w:pStyle w:val="Heading3"/>
      </w:pPr>
      <w:bookmarkStart w:id="20" w:name="_Toc146047061"/>
      <w:bookmarkStart w:id="21" w:name="_Toc146179053"/>
      <w:r>
        <w:t>Compliance with State Laws</w:t>
      </w:r>
      <w:bookmarkEnd w:id="20"/>
      <w:bookmarkEnd w:id="21"/>
    </w:p>
    <w:p w:rsidR="006807AE" w:rsidRPr="00496A9A" w:rsidP="006807AE" w14:paraId="59B0D6A1" w14:textId="77777777">
      <w:pPr>
        <w:pStyle w:val="ParaNum"/>
        <w:tabs>
          <w:tab w:val="left" w:pos="1440"/>
        </w:tabs>
        <w:rPr>
          <w:b/>
          <w:bCs/>
        </w:rPr>
      </w:pPr>
      <w:r w:rsidRPr="00496A9A">
        <w:t xml:space="preserve">The 2015 </w:t>
      </w:r>
      <w:r w:rsidRPr="3A63744E">
        <w:rPr>
          <w:i/>
          <w:iCs/>
        </w:rPr>
        <w:t>VoIP Direct Access Order</w:t>
      </w:r>
      <w:r w:rsidRPr="00496A9A">
        <w:t xml:space="preserve"> and current rules require an interconnected VoIP provider to acknowledge a duty to comply with state guidelines and procedures adopted under </w:t>
      </w:r>
      <w:r>
        <w:t xml:space="preserve">the </w:t>
      </w:r>
      <w:r w:rsidRPr="00496A9A">
        <w:t xml:space="preserve">numbering authority </w:t>
      </w:r>
      <w:r>
        <w:t>the Commission has</w:t>
      </w:r>
      <w:r w:rsidRPr="00496A9A">
        <w:t xml:space="preserve"> delegated to the states.</w:t>
      </w:r>
      <w:r>
        <w:rPr>
          <w:rStyle w:val="FootnoteReference"/>
        </w:rPr>
        <w:footnoteReference w:id="148"/>
      </w:r>
      <w:r w:rsidRPr="00496A9A">
        <w:t xml:space="preserve">  </w:t>
      </w:r>
      <w:r>
        <w:t xml:space="preserve">In the </w:t>
      </w:r>
      <w:r w:rsidRPr="3A63744E">
        <w:rPr>
          <w:i/>
          <w:iCs/>
        </w:rPr>
        <w:t>VoIP Direct Access Further Notice</w:t>
      </w:r>
      <w:r>
        <w:t>, t</w:t>
      </w:r>
      <w:r>
        <w:t>he Commission asked whether to revise this rule to state that interconnected VoIP providers</w:t>
      </w:r>
      <w:r w:rsidRPr="00496A9A">
        <w:t xml:space="preserve"> </w:t>
      </w:r>
      <w:r>
        <w:t>holding a numbering authorization must comply with state numbering requirements and other applicable requirements for businesses operating in the state.</w:t>
      </w:r>
      <w:r>
        <w:rPr>
          <w:rStyle w:val="FootnoteReference"/>
        </w:rPr>
        <w:footnoteReference w:id="149"/>
      </w:r>
      <w:r w:rsidRPr="00496A9A">
        <w:t xml:space="preserve">  </w:t>
      </w:r>
      <w:r>
        <w:t>Having c</w:t>
      </w:r>
      <w:r>
        <w:t>onsidered the record, w</w:t>
      </w:r>
      <w:r w:rsidRPr="00496A9A">
        <w:t xml:space="preserve">e </w:t>
      </w:r>
      <w:r>
        <w:t xml:space="preserve">now </w:t>
      </w:r>
      <w:r w:rsidRPr="00496A9A">
        <w:t xml:space="preserve">revise section 52.15(g)(3) to </w:t>
      </w:r>
      <w:r>
        <w:t>make clear that</w:t>
      </w:r>
      <w:r w:rsidRPr="00496A9A">
        <w:t xml:space="preserve"> interconnected VoIP applicants and authorization holders that request </w:t>
      </w:r>
      <w:r>
        <w:t>numbering resources</w:t>
      </w:r>
      <w:r w:rsidRPr="00496A9A">
        <w:t xml:space="preserve"> from the Numbering Administrator for a particular state </w:t>
      </w:r>
      <w:r>
        <w:t xml:space="preserve">must acknowledge that their direct </w:t>
      </w:r>
      <w:r>
        <w:t xml:space="preserve">access authorization is subject to compliance with both state numbering requirements and to the </w:t>
      </w:r>
      <w:r w:rsidRPr="00496A9A">
        <w:t>laws</w:t>
      </w:r>
      <w:r>
        <w:t>, regulations,</w:t>
      </w:r>
      <w:r w:rsidRPr="00496A9A">
        <w:t xml:space="preserve"> and registration requirements applicable to </w:t>
      </w:r>
      <w:r>
        <w:t xml:space="preserve">them as </w:t>
      </w:r>
      <w:r w:rsidRPr="00496A9A">
        <w:t xml:space="preserve">businesses </w:t>
      </w:r>
      <w:r>
        <w:t>operating in</w:t>
      </w:r>
      <w:r w:rsidRPr="00496A9A">
        <w:t xml:space="preserve"> th</w:t>
      </w:r>
      <w:r>
        <w:t>at</w:t>
      </w:r>
      <w:r w:rsidRPr="00496A9A">
        <w:t xml:space="preserve"> state, </w:t>
      </w:r>
      <w:r>
        <w:t>not merely</w:t>
      </w:r>
      <w:r w:rsidRPr="00496A9A">
        <w:t xml:space="preserve"> </w:t>
      </w:r>
      <w:r>
        <w:t>state requirements specifically issued und</w:t>
      </w:r>
      <w:r>
        <w:t>er Commission delegated numbering authority.  Upon the effective date of these new rules,</w:t>
      </w:r>
      <w:r w:rsidRPr="00496A9A">
        <w:t xml:space="preserve"> </w:t>
      </w:r>
      <w:r>
        <w:t xml:space="preserve">direct access applicants must expressly </w:t>
      </w:r>
      <w:r w:rsidRPr="00496A9A">
        <w:t>acknowledge in their applications that they will comply with such laws.</w:t>
      </w:r>
      <w:r>
        <w:rPr>
          <w:rStyle w:val="FootnoteReference"/>
        </w:rPr>
        <w:footnoteReference w:id="150"/>
      </w:r>
      <w:r w:rsidRPr="00496A9A">
        <w:t xml:space="preserve">  </w:t>
      </w:r>
    </w:p>
    <w:p w:rsidR="006807AE" w:rsidRPr="00496A9A" w:rsidP="006807AE" w14:paraId="7026D5C6" w14:textId="77777777">
      <w:pPr>
        <w:pStyle w:val="ParaNum"/>
        <w:tabs>
          <w:tab w:val="left" w:pos="1440"/>
        </w:tabs>
        <w:rPr>
          <w:b/>
          <w:bCs/>
        </w:rPr>
      </w:pPr>
      <w:r>
        <w:t xml:space="preserve">One of the original purposes of the </w:t>
      </w:r>
      <w:r w:rsidRPr="00496A9A">
        <w:t xml:space="preserve">requirement </w:t>
      </w:r>
      <w:r>
        <w:t>to</w:t>
      </w:r>
      <w:r>
        <w:t xml:space="preserve"> comply with state delegated numbering authority law was to promote competitive neutrality by requiring interconnected VoIP providers with direct access to numbering resources to be subject to the same numbering requirements as carriers getting numbers for</w:t>
      </w:r>
      <w:r>
        <w:t xml:space="preserve"> that state.</w:t>
      </w:r>
      <w:r>
        <w:rPr>
          <w:rStyle w:val="FootnoteReference"/>
        </w:rPr>
        <w:footnoteReference w:id="151"/>
      </w:r>
      <w:r>
        <w:t xml:space="preserve">  Unfortunately, it appears some interconnected VoIP providers have assumed they have no duty to abide by other state requirements because section 52.15(g)(3)(i)(B) focuses solely on delegated numbering authority.</w:t>
      </w:r>
      <w:r>
        <w:rPr>
          <w:rStyle w:val="FootnoteReference"/>
        </w:rPr>
        <w:footnoteReference w:id="152"/>
      </w:r>
      <w:r>
        <w:t xml:space="preserve">  That is not the Commissio</w:t>
      </w:r>
      <w:r>
        <w:t xml:space="preserve">n’s intent and is inconsistent with the goal of competitive neutrality.  </w:t>
      </w:r>
      <w:r w:rsidRPr="00496A9A">
        <w:t>Th</w:t>
      </w:r>
      <w:r>
        <w:t>e</w:t>
      </w:r>
      <w:r w:rsidRPr="00496A9A">
        <w:t xml:space="preserve"> </w:t>
      </w:r>
      <w:r>
        <w:t>revision we adopt today addresses this unintended consequence and helps keep</w:t>
      </w:r>
      <w:r w:rsidRPr="00496A9A">
        <w:t xml:space="preserve"> interconnected VoIP providers on a more equal footing with </w:t>
      </w:r>
      <w:r>
        <w:t>local exchange carriers (</w:t>
      </w:r>
      <w:r w:rsidRPr="00496A9A">
        <w:t>LECs</w:t>
      </w:r>
      <w:r>
        <w:t>)</w:t>
      </w:r>
      <w:r w:rsidRPr="00496A9A">
        <w:t xml:space="preserve"> </w:t>
      </w:r>
      <w:r>
        <w:t>(which</w:t>
      </w:r>
      <w:r w:rsidRPr="00496A9A">
        <w:t xml:space="preserve"> must </w:t>
      </w:r>
      <w:r w:rsidRPr="00496A9A">
        <w:t xml:space="preserve">comply with state general registration requirements pursuant to their </w:t>
      </w:r>
      <w:r>
        <w:t>certificates of public convenience and necessity</w:t>
      </w:r>
      <w:r w:rsidRPr="00496A9A">
        <w:t xml:space="preserve"> and status as businesses operating in the states</w:t>
      </w:r>
      <w:r>
        <w:t>).</w:t>
      </w:r>
      <w:r w:rsidRPr="00496A9A">
        <w:t xml:space="preserve"> </w:t>
      </w:r>
      <w:r>
        <w:t xml:space="preserve"> It</w:t>
      </w:r>
      <w:r w:rsidRPr="00496A9A">
        <w:t xml:space="preserve"> </w:t>
      </w:r>
      <w:r>
        <w:t xml:space="preserve">will directly help </w:t>
      </w:r>
      <w:r w:rsidRPr="00496A9A">
        <w:t>avoid confusion over the duty to comply with applicable state l</w:t>
      </w:r>
      <w:r w:rsidRPr="00496A9A">
        <w:t>aw</w:t>
      </w:r>
      <w:r>
        <w:t>s</w:t>
      </w:r>
      <w:r w:rsidRPr="00496A9A">
        <w:t xml:space="preserve"> beyond delegated </w:t>
      </w:r>
      <w:r w:rsidRPr="00496A9A">
        <w:t>numbering matters.</w:t>
      </w:r>
      <w:r>
        <w:rPr>
          <w:rStyle w:val="FootnoteReference"/>
        </w:rPr>
        <w:footnoteReference w:id="153"/>
      </w:r>
      <w:r w:rsidRPr="00496A9A">
        <w:t xml:space="preserve">  </w:t>
      </w:r>
      <w:r>
        <w:t>Equally important, i</w:t>
      </w:r>
      <w:r w:rsidRPr="00496A9A">
        <w:t xml:space="preserve">t will discourage interconnected VoIP direct access authorization holders from requesting </w:t>
      </w:r>
      <w:r>
        <w:t>numbering resources</w:t>
      </w:r>
      <w:r w:rsidRPr="00496A9A">
        <w:t xml:space="preserve"> for states where they do not serve </w:t>
      </w:r>
      <w:r>
        <w:t xml:space="preserve">end-user </w:t>
      </w:r>
      <w:r w:rsidRPr="00496A9A">
        <w:t>customers</w:t>
      </w:r>
      <w:r>
        <w:t xml:space="preserve">, a practice that </w:t>
      </w:r>
      <w:r w:rsidRPr="00496A9A">
        <w:t>contribut</w:t>
      </w:r>
      <w:r>
        <w:t>es</w:t>
      </w:r>
      <w:r w:rsidRPr="00496A9A">
        <w:t xml:space="preserve"> to the exhaust of </w:t>
      </w:r>
      <w:r>
        <w:t>numbering resources</w:t>
      </w:r>
      <w:r w:rsidRPr="00496A9A">
        <w:t xml:space="preserve"> in that state</w:t>
      </w:r>
      <w:r>
        <w:t>.</w:t>
      </w:r>
      <w:r>
        <w:rPr>
          <w:rStyle w:val="FootnoteReference"/>
        </w:rPr>
        <w:footnoteReference w:id="154"/>
      </w:r>
      <w:r w:rsidRPr="00496A9A">
        <w:t xml:space="preserve"> </w:t>
      </w:r>
      <w:r>
        <w:t xml:space="preserve"> B</w:t>
      </w:r>
      <w:r w:rsidRPr="00496A9A">
        <w:t xml:space="preserve">y </w:t>
      </w:r>
      <w:r>
        <w:t xml:space="preserve">clarifying </w:t>
      </w:r>
      <w:r w:rsidRPr="00496A9A">
        <w:t xml:space="preserve">that </w:t>
      </w:r>
      <w:r>
        <w:t xml:space="preserve">VoIP direct access authorization holders </w:t>
      </w:r>
      <w:r w:rsidRPr="00496A9A">
        <w:t xml:space="preserve">must </w:t>
      </w:r>
      <w:r>
        <w:t xml:space="preserve">also </w:t>
      </w:r>
      <w:r w:rsidRPr="00496A9A">
        <w:t xml:space="preserve">comply with </w:t>
      </w:r>
      <w:r>
        <w:t xml:space="preserve">other </w:t>
      </w:r>
      <w:r w:rsidRPr="00496A9A">
        <w:t>applicable state laws, such as registration requirements</w:t>
      </w:r>
      <w:r>
        <w:t>,</w:t>
      </w:r>
      <w:r w:rsidRPr="00496A9A">
        <w:t xml:space="preserve"> the new requirement will make it more difficult for interconnected VoIP providers to evade measures that enable states to </w:t>
      </w:r>
      <w:r>
        <w:t xml:space="preserve">generally </w:t>
      </w:r>
      <w:r w:rsidRPr="00496A9A">
        <w:t>address other consumer</w:t>
      </w:r>
      <w:r>
        <w:t>-</w:t>
      </w:r>
      <w:r w:rsidRPr="00496A9A">
        <w:t>protection issues</w:t>
      </w:r>
      <w:r>
        <w:t>, including unlawful robocalling</w:t>
      </w:r>
      <w:r w:rsidRPr="00496A9A">
        <w:t>.</w:t>
      </w:r>
      <w:r>
        <w:rPr>
          <w:rStyle w:val="FootnoteReference"/>
        </w:rPr>
        <w:footnoteReference w:id="155"/>
      </w:r>
      <w:r w:rsidRPr="00496A9A">
        <w:t xml:space="preserve">  </w:t>
      </w:r>
    </w:p>
    <w:p w:rsidR="006807AE" w:rsidRPr="00F507D2" w:rsidP="006807AE" w14:paraId="1CE3ED5D" w14:textId="77777777">
      <w:pPr>
        <w:pStyle w:val="ParaNum"/>
        <w:tabs>
          <w:tab w:val="left" w:pos="1440"/>
        </w:tabs>
        <w:rPr>
          <w:b/>
          <w:bCs/>
        </w:rPr>
      </w:pPr>
      <w:r w:rsidRPr="00496A9A">
        <w:t>Several state commissions support this requir</w:t>
      </w:r>
      <w:r w:rsidRPr="00496A9A">
        <w:t>ement.</w:t>
      </w:r>
      <w:r>
        <w:rPr>
          <w:rStyle w:val="FootnoteReference"/>
        </w:rPr>
        <w:footnoteReference w:id="156"/>
      </w:r>
      <w:r w:rsidRPr="00496A9A">
        <w:t xml:space="preserve">  </w:t>
      </w:r>
      <w:r>
        <w:t>They observe t</w:t>
      </w:r>
      <w:r w:rsidRPr="00496A9A">
        <w:t xml:space="preserve">here has been confusion, or at least disagreement, about the extent to which interconnected VoIP providers with direct access to numbering resources must comply with general state-law duties </w:t>
      </w:r>
      <w:r>
        <w:t>applicable to</w:t>
      </w:r>
      <w:r w:rsidRPr="00496A9A">
        <w:t xml:space="preserve"> </w:t>
      </w:r>
      <w:r>
        <w:t xml:space="preserve">other </w:t>
      </w:r>
      <w:r w:rsidRPr="00496A9A">
        <w:t>businesses o</w:t>
      </w:r>
      <w:r>
        <w:t xml:space="preserve">btaining </w:t>
      </w:r>
      <w:r>
        <w:t>numbers in the states, such as LECs</w:t>
      </w:r>
      <w:r w:rsidRPr="00496A9A">
        <w:t>.  In Maine, for example, voice service providers must register with the Maine Public Utilities Commission’s third-party administrator for the Maine Universal Service Fund and the Maine Telecommunications Education Access</w:t>
      </w:r>
      <w:r w:rsidRPr="00496A9A">
        <w:t xml:space="preserve"> Fund.</w:t>
      </w:r>
      <w:r>
        <w:rPr>
          <w:rStyle w:val="FootnoteReference"/>
        </w:rPr>
        <w:footnoteReference w:id="157"/>
      </w:r>
      <w:r w:rsidRPr="00496A9A">
        <w:t xml:space="preserve">  The Maine PUC staff, however, has found it does not always have the information it </w:t>
      </w:r>
      <w:r>
        <w:t>needs</w:t>
      </w:r>
      <w:r w:rsidRPr="00496A9A">
        <w:t xml:space="preserve"> to determine whether interconnected VoIP providers doing business in Maine are contributing to these funds, which it says is required by state law.</w:t>
      </w:r>
      <w:r>
        <w:rPr>
          <w:rStyle w:val="FootnoteReference"/>
        </w:rPr>
        <w:footnoteReference w:id="158"/>
      </w:r>
      <w:r w:rsidRPr="00496A9A">
        <w:t xml:space="preserve"> </w:t>
      </w:r>
      <w:r>
        <w:t xml:space="preserve"> Other </w:t>
      </w:r>
      <w:r>
        <w:t>state commissions note similar issues.</w:t>
      </w:r>
      <w:r>
        <w:rPr>
          <w:rStyle w:val="FootnoteReference"/>
        </w:rPr>
        <w:footnoteReference w:id="159"/>
      </w:r>
      <w:r w:rsidRPr="00496A9A">
        <w:t xml:space="preserve">  </w:t>
      </w:r>
    </w:p>
    <w:p w:rsidR="006807AE" w:rsidRPr="00496A9A" w:rsidP="006807AE" w14:paraId="6F15D9EE" w14:textId="77777777">
      <w:pPr>
        <w:pStyle w:val="ParaNum"/>
        <w:tabs>
          <w:tab w:val="left" w:pos="1440"/>
        </w:tabs>
      </w:pPr>
      <w:r>
        <w:t>In light of this record evidence, we disagree with commenters who say there has been no confusion about the scope of the duty to comply with state law or that this revised rule amounts to a new delegation of numbe</w:t>
      </w:r>
      <w:r>
        <w:t>ring authority to the states.  Our revised rule today concerns state laws, regulations and registration requirements applicable to them as businesses operating in a given state, separate from any Commission delegation of numbering authority.  We are not de</w:t>
      </w:r>
      <w:r>
        <w:t>legating any new numbering authority to the states here.  Rather, the purpose is to make plain that direct access applicants must acknowledge that their authorization is contingent on complying not only with state requirements issued under delegated number</w:t>
      </w:r>
      <w:r>
        <w:t>ing authority, but also with other independently applicable state obligations, such as registration requirements, that would apply to them as businesses operating in the state.</w:t>
      </w:r>
    </w:p>
    <w:p w:rsidR="006807AE" w:rsidRPr="00496A9A" w:rsidP="006807AE" w14:paraId="345674CD" w14:textId="77777777">
      <w:pPr>
        <w:pStyle w:val="ParaNum"/>
        <w:tabs>
          <w:tab w:val="left" w:pos="1440"/>
        </w:tabs>
      </w:pPr>
      <w:r>
        <w:t xml:space="preserve">We also disagree with commenters who argue that </w:t>
      </w:r>
      <w:r w:rsidRPr="00496A9A">
        <w:t>requiring interconnected VoIP p</w:t>
      </w:r>
      <w:r w:rsidRPr="00496A9A">
        <w:t xml:space="preserve">roviders to </w:t>
      </w:r>
      <w:r>
        <w:t>acknowledge that their direct access authorization is subject to compliance with</w:t>
      </w:r>
      <w:r w:rsidRPr="00496A9A">
        <w:t xml:space="preserve"> applicable state requirements would undermine the Commission’s 2004 </w:t>
      </w:r>
      <w:r w:rsidRPr="3A63744E">
        <w:rPr>
          <w:i/>
          <w:iCs/>
        </w:rPr>
        <w:t>Vonage</w:t>
      </w:r>
      <w:r w:rsidRPr="00496A9A">
        <w:t xml:space="preserve"> </w:t>
      </w:r>
      <w:r w:rsidRPr="3A63744E">
        <w:rPr>
          <w:i/>
          <w:iCs/>
        </w:rPr>
        <w:t>Order</w:t>
      </w:r>
      <w:r w:rsidRPr="00496A9A">
        <w:t xml:space="preserve"> and its preemption of most state regulation of interconnected VoIP service.</w:t>
      </w:r>
      <w:r>
        <w:rPr>
          <w:rStyle w:val="FootnoteReference"/>
        </w:rPr>
        <w:footnoteReference w:id="160"/>
      </w:r>
      <w:r w:rsidRPr="00496A9A">
        <w:t xml:space="preserve"> </w:t>
      </w:r>
      <w:r>
        <w:t xml:space="preserve"> </w:t>
      </w:r>
      <w:r w:rsidRPr="00496A9A">
        <w:t xml:space="preserve">As </w:t>
      </w:r>
      <w:r w:rsidRPr="00496A9A">
        <w:t xml:space="preserve">explained in the </w:t>
      </w:r>
      <w:r w:rsidRPr="3A63744E">
        <w:rPr>
          <w:i/>
          <w:iCs/>
        </w:rPr>
        <w:t>Vonage Order</w:t>
      </w:r>
      <w:r w:rsidRPr="00496A9A">
        <w:t>, that decision “express[ed] no opinion” on the applicability to an interconnected VoIP provider of a state’s “general laws governing entities conducting business within the state, such as laws concerning taxation; fraud; gener</w:t>
      </w:r>
      <w:r w:rsidRPr="00496A9A">
        <w:t>al commercial dealings; and marketing, advertising, and other business practices.”</w:t>
      </w:r>
      <w:r>
        <w:rPr>
          <w:rStyle w:val="FootnoteReference"/>
        </w:rPr>
        <w:footnoteReference w:id="161"/>
      </w:r>
      <w:r w:rsidRPr="00496A9A">
        <w:t xml:space="preserve">  </w:t>
      </w:r>
      <w:r>
        <w:t>The Commission</w:t>
      </w:r>
      <w:r w:rsidRPr="00496A9A">
        <w:t xml:space="preserve"> also stated </w:t>
      </w:r>
      <w:r>
        <w:t>in that order</w:t>
      </w:r>
      <w:r w:rsidRPr="00496A9A">
        <w:t xml:space="preserve"> that “as we move forward in establishing policy and rules for . . . IP-enabled services, states will continue to play their vital</w:t>
      </w:r>
      <w:r w:rsidRPr="00496A9A">
        <w:t xml:space="preserve"> role in protecting consumers from fraud, enforcing fair business practices, for example, in advertising and billing, and generally responding to consumer inquiries and complaints.”</w:t>
      </w:r>
      <w:r>
        <w:rPr>
          <w:rStyle w:val="FootnoteReference"/>
        </w:rPr>
        <w:footnoteReference w:id="162"/>
      </w:r>
      <w:r w:rsidRPr="00496A9A">
        <w:t xml:space="preserve">  </w:t>
      </w:r>
      <w:r>
        <w:t>Accordingly, e</w:t>
      </w:r>
      <w:r w:rsidRPr="00496A9A">
        <w:t xml:space="preserve">ven after the </w:t>
      </w:r>
      <w:r w:rsidRPr="3A63744E">
        <w:rPr>
          <w:i/>
          <w:iCs/>
        </w:rPr>
        <w:t>Vonage Order</w:t>
      </w:r>
      <w:r w:rsidRPr="00496A9A">
        <w:t xml:space="preserve">, </w:t>
      </w:r>
      <w:r>
        <w:t>the Commission has</w:t>
      </w:r>
      <w:r w:rsidRPr="00496A9A">
        <w:t xml:space="preserve"> permitted </w:t>
      </w:r>
      <w:r w:rsidRPr="00496A9A">
        <w:t>states to require interconnected VoIP providers to contribute to state universal service funds and pay state fees related to 911/E911 service.</w:t>
      </w:r>
      <w:r>
        <w:rPr>
          <w:rStyle w:val="FootnoteReference"/>
        </w:rPr>
        <w:footnoteReference w:id="163"/>
      </w:r>
      <w:r w:rsidRPr="00496A9A">
        <w:t xml:space="preserve"> </w:t>
      </w:r>
    </w:p>
    <w:p w:rsidR="006807AE" w:rsidRPr="00496A9A" w:rsidP="006807AE" w14:paraId="73CBA154" w14:textId="77777777">
      <w:pPr>
        <w:pStyle w:val="ParaNum"/>
        <w:tabs>
          <w:tab w:val="left" w:pos="1440"/>
        </w:tabs>
      </w:pPr>
      <w:r>
        <w:t>We also disagree with arguments that the revised rule is too vague because it does not specify</w:t>
      </w:r>
      <w:r w:rsidRPr="00496A9A">
        <w:t xml:space="preserve"> </w:t>
      </w:r>
      <w:r>
        <w:t>the</w:t>
      </w:r>
      <w:r w:rsidRPr="00496A9A">
        <w:t xml:space="preserve"> </w:t>
      </w:r>
      <w:r>
        <w:t xml:space="preserve">particular </w:t>
      </w:r>
      <w:r w:rsidRPr="00496A9A">
        <w:t>stat</w:t>
      </w:r>
      <w:r>
        <w:t>e</w:t>
      </w:r>
      <w:r w:rsidRPr="00496A9A">
        <w:t xml:space="preserve"> requirement</w:t>
      </w:r>
      <w:r>
        <w:t xml:space="preserve">s </w:t>
      </w:r>
      <w:r w:rsidRPr="00496A9A">
        <w:t xml:space="preserve">that could apply to interconnected VoIP providers with direct access </w:t>
      </w:r>
      <w:r>
        <w:t>to numbering resources.</w:t>
      </w:r>
      <w:r>
        <w:rPr>
          <w:rStyle w:val="FootnoteReference"/>
        </w:rPr>
        <w:footnoteReference w:id="164"/>
      </w:r>
      <w:r w:rsidRPr="00496A9A">
        <w:t xml:space="preserve">  </w:t>
      </w:r>
      <w:r>
        <w:t xml:space="preserve">Any </w:t>
      </w:r>
      <w:r w:rsidRPr="00496A9A">
        <w:t xml:space="preserve">such list inevitably </w:t>
      </w:r>
      <w:r>
        <w:t xml:space="preserve">would risk </w:t>
      </w:r>
      <w:r w:rsidRPr="00496A9A">
        <w:t>be</w:t>
      </w:r>
      <w:r>
        <w:t>ing</w:t>
      </w:r>
      <w:r w:rsidRPr="00496A9A">
        <w:t xml:space="preserve"> incomplete or quickly outdated.  </w:t>
      </w:r>
      <w:r>
        <w:t>The point of our rule revision is to have applicants ac</w:t>
      </w:r>
      <w:r>
        <w:t xml:space="preserve">knowledge their direct access authorization is subject to compliance with applicable laws, regulations, and registration requirements for businesses operating in the state(s) where the authorization holder seeks to obtain numbers.  </w:t>
      </w:r>
      <w:r w:rsidRPr="00496A9A">
        <w:t xml:space="preserve">We note, </w:t>
      </w:r>
      <w:r>
        <w:t>moreo</w:t>
      </w:r>
      <w:r w:rsidRPr="00496A9A">
        <w:t xml:space="preserve">ver, that </w:t>
      </w:r>
      <w:r w:rsidRPr="00496A9A">
        <w:t xml:space="preserve">any interconnected VoIP provider obtaining </w:t>
      </w:r>
      <w:r>
        <w:t>numbering resources</w:t>
      </w:r>
      <w:r w:rsidRPr="00496A9A">
        <w:t xml:space="preserve"> from a state</w:t>
      </w:r>
      <w:r>
        <w:t xml:space="preserve"> pursuant to section 52.15(g)(3)(i)(C) </w:t>
      </w:r>
      <w:r w:rsidRPr="00496A9A">
        <w:t xml:space="preserve">presumably would already be evaluating its </w:t>
      </w:r>
      <w:r>
        <w:t>potential</w:t>
      </w:r>
      <w:r w:rsidRPr="00496A9A">
        <w:t xml:space="preserve"> duties under state law (e.g., registration with a secretary of state or tax authorities, </w:t>
      </w:r>
      <w:r w:rsidRPr="00496A9A">
        <w:t xml:space="preserve">possible obligations under state universal service funds or regarding 911 fees) to an extent that allows it to acknowledge whether it will comply with state law.  Our </w:t>
      </w:r>
      <w:r>
        <w:t xml:space="preserve">new </w:t>
      </w:r>
      <w:r w:rsidRPr="00496A9A">
        <w:t>application requirement therefore should not impose any added burdens on interconnect</w:t>
      </w:r>
      <w:r w:rsidRPr="00496A9A">
        <w:t>ed VoIP applicants beyond their normal preparation to begin dealing with a state and possibly providing service there.</w:t>
      </w:r>
      <w:r>
        <w:rPr>
          <w:vertAlign w:val="superscript"/>
        </w:rPr>
        <w:footnoteReference w:id="165"/>
      </w:r>
    </w:p>
    <w:p w:rsidR="006807AE" w:rsidRPr="00496A9A" w:rsidP="006807AE" w14:paraId="65F910F2" w14:textId="77777777">
      <w:pPr>
        <w:pStyle w:val="ParaNum"/>
        <w:rPr>
          <w:szCs w:val="22"/>
        </w:rPr>
      </w:pPr>
      <w:r w:rsidRPr="3A63744E">
        <w:rPr>
          <w:i/>
          <w:iCs/>
        </w:rPr>
        <w:t xml:space="preserve">“Minimal contacts.”  </w:t>
      </w:r>
      <w:r>
        <w:t>In order to help minimize numbering exhaust, the Commission as</w:t>
      </w:r>
      <w:r w:rsidRPr="00496A9A">
        <w:t xml:space="preserve">ked whether </w:t>
      </w:r>
      <w:r>
        <w:t>it</w:t>
      </w:r>
      <w:r w:rsidRPr="00496A9A">
        <w:t xml:space="preserve"> should adopt a “minimal contacts” req</w:t>
      </w:r>
      <w:r w:rsidRPr="00496A9A">
        <w:t xml:space="preserve">uirement that interconnected VoIP providers would have to meet </w:t>
      </w:r>
      <w:r>
        <w:t>in order to obtain</w:t>
      </w:r>
      <w:r w:rsidRPr="00496A9A">
        <w:t xml:space="preserve"> numbering resources </w:t>
      </w:r>
      <w:r>
        <w:t>in</w:t>
      </w:r>
      <w:r w:rsidRPr="00496A9A">
        <w:t xml:space="preserve"> a given</w:t>
      </w:r>
      <w:r w:rsidRPr="00496A9A">
        <w:rPr>
          <w:iCs/>
          <w:szCs w:val="22"/>
        </w:rPr>
        <w:t xml:space="preserve"> </w:t>
      </w:r>
      <w:r w:rsidRPr="00496A9A">
        <w:t>state.</w:t>
      </w:r>
      <w:r>
        <w:rPr>
          <w:rStyle w:val="FootnoteReference"/>
        </w:rPr>
        <w:footnoteReference w:id="166"/>
      </w:r>
      <w:r w:rsidRPr="00496A9A">
        <w:rPr>
          <w:iCs/>
          <w:szCs w:val="22"/>
        </w:rPr>
        <w:t xml:space="preserve">  </w:t>
      </w:r>
      <w:r w:rsidRPr="00496A9A">
        <w:t xml:space="preserve">Having </w:t>
      </w:r>
      <w:r>
        <w:t>considered</w:t>
      </w:r>
      <w:r w:rsidRPr="00496A9A">
        <w:t xml:space="preserve"> the record, </w:t>
      </w:r>
      <w:r>
        <w:t>we refer this issue to the NANC, as discussed below in Part III.C.</w:t>
      </w:r>
      <w:r w:rsidRPr="00496A9A">
        <w:t xml:space="preserve">  The Commission has not explicitly p</w:t>
      </w:r>
      <w:r w:rsidRPr="00496A9A">
        <w:t xml:space="preserve">rohibited the use of </w:t>
      </w:r>
      <w:r>
        <w:t>numbering resources</w:t>
      </w:r>
      <w:r w:rsidRPr="00496A9A">
        <w:t xml:space="preserve"> requested for one state to serve customers in other states, whether the entity obtaining the number</w:t>
      </w:r>
      <w:r>
        <w:t>s</w:t>
      </w:r>
      <w:r w:rsidRPr="00496A9A">
        <w:t xml:space="preserve"> is a LEC</w:t>
      </w:r>
      <w:r>
        <w:t xml:space="preserve"> </w:t>
      </w:r>
      <w:r w:rsidRPr="00496A9A">
        <w:t>or an interconnected VoIP provider holding a direct access authorization.  We recognize that a LEC is mor</w:t>
      </w:r>
      <w:r w:rsidRPr="00496A9A">
        <w:t xml:space="preserve">e likely to have contacts with the state for </w:t>
      </w:r>
      <w:r w:rsidRPr="00496A9A">
        <w:t xml:space="preserve">which it has requested </w:t>
      </w:r>
      <w:r>
        <w:t>numbering resources</w:t>
      </w:r>
      <w:r w:rsidRPr="00496A9A">
        <w:t xml:space="preserve">, such as physical facilities, a CPCN, and </w:t>
      </w:r>
      <w:r>
        <w:t xml:space="preserve">a </w:t>
      </w:r>
      <w:r w:rsidRPr="00496A9A">
        <w:t xml:space="preserve">state registration.  At this time, however, we do not have sufficient record </w:t>
      </w:r>
      <w:r>
        <w:t xml:space="preserve">evidence </w:t>
      </w:r>
      <w:r w:rsidRPr="00496A9A">
        <w:t xml:space="preserve">to </w:t>
      </w:r>
      <w:r>
        <w:t xml:space="preserve">fully </w:t>
      </w:r>
      <w:r w:rsidRPr="00496A9A">
        <w:t xml:space="preserve">assess </w:t>
      </w:r>
      <w:r>
        <w:t>this issue, and attemp</w:t>
      </w:r>
      <w:r>
        <w:t xml:space="preserve">ting to define </w:t>
      </w:r>
      <w:r w:rsidRPr="00496A9A">
        <w:t>“minim</w:t>
      </w:r>
      <w:r>
        <w:t>al</w:t>
      </w:r>
      <w:r w:rsidRPr="00496A9A">
        <w:t xml:space="preserve"> contacts</w:t>
      </w:r>
      <w:r>
        <w:t>”</w:t>
      </w:r>
      <w:r w:rsidRPr="00496A9A">
        <w:t xml:space="preserve"> for interconnected VoIP providers </w:t>
      </w:r>
      <w:r>
        <w:t xml:space="preserve">here would risk unintentionally imposing </w:t>
      </w:r>
      <w:r w:rsidRPr="00496A9A">
        <w:t xml:space="preserve">a </w:t>
      </w:r>
      <w:r>
        <w:t xml:space="preserve">new </w:t>
      </w:r>
      <w:r w:rsidRPr="00496A9A">
        <w:t xml:space="preserve">requirement that </w:t>
      </w:r>
      <w:r>
        <w:t>numbering resources</w:t>
      </w:r>
      <w:r w:rsidRPr="00496A9A">
        <w:t xml:space="preserve"> requested for a particular state be used to serve at least some customers in that state.  </w:t>
      </w:r>
      <w:r>
        <w:t xml:space="preserve">Absent such a </w:t>
      </w:r>
      <w:r>
        <w:t xml:space="preserve">new requirement, which is outside the scope of this proceeding, a “minimal contacts” requirement would put </w:t>
      </w:r>
      <w:r w:rsidRPr="00496A9A">
        <w:t xml:space="preserve">the Commission into the position of </w:t>
      </w:r>
      <w:r>
        <w:t xml:space="preserve">having to </w:t>
      </w:r>
      <w:r w:rsidRPr="00496A9A">
        <w:t>evaluat</w:t>
      </w:r>
      <w:r>
        <w:t>e</w:t>
      </w:r>
      <w:r w:rsidRPr="00496A9A">
        <w:t xml:space="preserve"> </w:t>
      </w:r>
      <w:r>
        <w:t>the specific</w:t>
      </w:r>
      <w:r w:rsidRPr="00496A9A">
        <w:t xml:space="preserve"> contacts of an</w:t>
      </w:r>
      <w:r>
        <w:t>y</w:t>
      </w:r>
      <w:r w:rsidRPr="00496A9A">
        <w:t xml:space="preserve"> </w:t>
      </w:r>
      <w:r>
        <w:t>direct access authorized</w:t>
      </w:r>
      <w:r w:rsidRPr="00496A9A">
        <w:t xml:space="preserve"> interconnected VoIP provider for </w:t>
      </w:r>
      <w:r>
        <w:t>each</w:t>
      </w:r>
      <w:r w:rsidRPr="00496A9A">
        <w:t xml:space="preserve"> particular state</w:t>
      </w:r>
      <w:r>
        <w:t xml:space="preserve"> in which it seeks numbers</w:t>
      </w:r>
      <w:r w:rsidRPr="00496A9A">
        <w:t xml:space="preserve">, which inevitably would be a complex, </w:t>
      </w:r>
      <w:r>
        <w:t>provider</w:t>
      </w:r>
      <w:r w:rsidRPr="00496A9A">
        <w:t>-specific inquiry, and one for which we lack helpful Commission precedent.</w:t>
      </w:r>
      <w:r>
        <w:rPr>
          <w:rStyle w:val="FootnoteReference"/>
        </w:rPr>
        <w:footnoteReference w:id="167"/>
      </w:r>
    </w:p>
    <w:p w:rsidR="006807AE" w:rsidRPr="00496A9A" w:rsidP="006807AE" w14:paraId="1F0BF074" w14:textId="77777777">
      <w:pPr>
        <w:pStyle w:val="ParaNum"/>
      </w:pPr>
      <w:r w:rsidRPr="3A63744E">
        <w:rPr>
          <w:i/>
          <w:iCs/>
        </w:rPr>
        <w:t xml:space="preserve">Nomadic interconnected VoIP providers.  </w:t>
      </w:r>
      <w:r>
        <w:t>The revised</w:t>
      </w:r>
      <w:r>
        <w:t xml:space="preserve"> state-law acknowledgment requirement</w:t>
      </w:r>
      <w:r w:rsidRPr="00496A9A">
        <w:t xml:space="preserve"> </w:t>
      </w:r>
      <w:r>
        <w:t>we adopt applies</w:t>
      </w:r>
      <w:r w:rsidRPr="00496A9A">
        <w:t xml:space="preserve"> to all interconnected VoIP providers requesting </w:t>
      </w:r>
      <w:r>
        <w:t>numbering resources</w:t>
      </w:r>
      <w:r w:rsidRPr="00496A9A">
        <w:t xml:space="preserve"> in a particular state, even if their services are non-fixed or nomadic and not directly linked to the state corresponding to the resp</w:t>
      </w:r>
      <w:r w:rsidRPr="00496A9A">
        <w:t>ective area code.</w:t>
      </w:r>
      <w:r>
        <w:rPr>
          <w:rStyle w:val="FootnoteReference"/>
        </w:rPr>
        <w:footnoteReference w:id="168"/>
      </w:r>
      <w:r w:rsidRPr="00496A9A">
        <w:rPr>
          <w:szCs w:val="22"/>
        </w:rPr>
        <w:t xml:space="preserve">  </w:t>
      </w:r>
      <w:r w:rsidRPr="00496A9A">
        <w:t>The fact that some interconnected VoIP providers provision non-fixed (or nomadic) services does not alter the applicability of the state-law</w:t>
      </w:r>
      <w:r>
        <w:t xml:space="preserve"> acknowledgment</w:t>
      </w:r>
      <w:r w:rsidRPr="00496A9A">
        <w:t xml:space="preserve"> requirement</w:t>
      </w:r>
      <w:r>
        <w:t>.</w:t>
      </w:r>
      <w:r>
        <w:rPr>
          <w:rStyle w:val="FootnoteReference"/>
        </w:rPr>
        <w:footnoteReference w:id="169"/>
      </w:r>
      <w:r w:rsidRPr="00496A9A">
        <w:t xml:space="preserve"> </w:t>
      </w:r>
      <w:r>
        <w:t xml:space="preserve"> N</w:t>
      </w:r>
      <w:r w:rsidRPr="00496A9A">
        <w:t>on-fixed</w:t>
      </w:r>
      <w:r>
        <w:t xml:space="preserve"> or </w:t>
      </w:r>
      <w:r w:rsidRPr="00496A9A">
        <w:t>nomadic interconnected VoIP service providers requ</w:t>
      </w:r>
      <w:r w:rsidRPr="00496A9A">
        <w:t xml:space="preserve">est </w:t>
      </w:r>
      <w:r>
        <w:t>numbering resources</w:t>
      </w:r>
      <w:r w:rsidRPr="00496A9A">
        <w:t xml:space="preserve"> </w:t>
      </w:r>
      <w:r>
        <w:t xml:space="preserve">from states </w:t>
      </w:r>
      <w:r w:rsidRPr="00496A9A">
        <w:t xml:space="preserve">and therefore place burdens on each </w:t>
      </w:r>
      <w:r>
        <w:t xml:space="preserve">such </w:t>
      </w:r>
      <w:r w:rsidRPr="00496A9A">
        <w:t xml:space="preserve">state’s numbering resources </w:t>
      </w:r>
      <w:r>
        <w:t xml:space="preserve">just </w:t>
      </w:r>
      <w:r w:rsidRPr="00496A9A">
        <w:t>as their fixed</w:t>
      </w:r>
      <w:r>
        <w:t xml:space="preserve">-VoIP </w:t>
      </w:r>
      <w:r w:rsidRPr="00496A9A">
        <w:t>counterparts do.</w:t>
      </w:r>
      <w:r>
        <w:rPr>
          <w:rStyle w:val="FootnoteReference"/>
        </w:rPr>
        <w:footnoteReference w:id="170"/>
      </w:r>
      <w:r w:rsidRPr="00496A9A">
        <w:t xml:space="preserve">  It would also burden state commissions to determine the precise geographic locations of non-fixed provider</w:t>
      </w:r>
      <w:r w:rsidRPr="00496A9A">
        <w:t>s each time a numbering request was received.</w:t>
      </w:r>
      <w:r>
        <w:rPr>
          <w:rStyle w:val="FootnoteReference"/>
        </w:rPr>
        <w:footnoteReference w:id="171"/>
      </w:r>
      <w:r w:rsidRPr="00496A9A">
        <w:rPr>
          <w:szCs w:val="22"/>
        </w:rPr>
        <w:t xml:space="preserve"> </w:t>
      </w:r>
      <w:r w:rsidRPr="00496A9A">
        <w:t xml:space="preserve"> State commissions strongly supported applying the state-law </w:t>
      </w:r>
      <w:r>
        <w:t>acknowledgment</w:t>
      </w:r>
      <w:r w:rsidRPr="00496A9A">
        <w:t xml:space="preserve"> requirement to non-fixed and nomadic interconnected VoIP providers</w:t>
      </w:r>
      <w:r>
        <w:t>, and we agree with such a requirement</w:t>
      </w:r>
      <w:r w:rsidRPr="00496A9A">
        <w:rPr>
          <w:szCs w:val="22"/>
        </w:rPr>
        <w:t>.</w:t>
      </w:r>
      <w:r>
        <w:rPr>
          <w:rStyle w:val="FootnoteReference"/>
        </w:rPr>
        <w:footnoteReference w:id="172"/>
      </w:r>
    </w:p>
    <w:p w:rsidR="006807AE" w:rsidRPr="00D303B6" w:rsidP="006807AE" w14:paraId="28145222" w14:textId="77777777">
      <w:pPr>
        <w:pStyle w:val="ParaNum"/>
        <w:rPr>
          <w:b/>
          <w:bCs/>
        </w:rPr>
      </w:pPr>
      <w:r w:rsidRPr="3A63744E">
        <w:rPr>
          <w:i/>
          <w:iCs/>
        </w:rPr>
        <w:t xml:space="preserve">Directing the Numbering </w:t>
      </w:r>
      <w:r w:rsidRPr="3A63744E">
        <w:rPr>
          <w:i/>
          <w:iCs/>
        </w:rPr>
        <w:t xml:space="preserve">Administrator to deny applications.  </w:t>
      </w:r>
      <w:r w:rsidRPr="00496A9A">
        <w:t xml:space="preserve">We delegate authority to the Bureau to direct the Numbering Administrator to deny requests for </w:t>
      </w:r>
      <w:r>
        <w:t>numbering resources</w:t>
      </w:r>
      <w:r w:rsidRPr="00496A9A">
        <w:t xml:space="preserve"> from an interconnected VoIP provider </w:t>
      </w:r>
      <w:r>
        <w:t xml:space="preserve">when the Commission is notified (e.g., by a state commission) that </w:t>
      </w:r>
      <w:r>
        <w:t xml:space="preserve">the </w:t>
      </w:r>
      <w:r>
        <w:t>provider is not complying with independently applicable</w:t>
      </w:r>
      <w:r w:rsidRPr="00496A9A">
        <w:t xml:space="preserve"> state </w:t>
      </w:r>
      <w:r>
        <w:t xml:space="preserve">legal </w:t>
      </w:r>
      <w:r w:rsidRPr="00496A9A">
        <w:t>requirements</w:t>
      </w:r>
      <w:r>
        <w:rPr>
          <w:szCs w:val="22"/>
        </w:rPr>
        <w:t>.</w:t>
      </w:r>
      <w:r>
        <w:rPr>
          <w:rStyle w:val="FootnoteReference"/>
        </w:rPr>
        <w:footnoteReference w:id="173"/>
      </w:r>
      <w:r w:rsidRPr="00496A9A">
        <w:rPr>
          <w:szCs w:val="22"/>
        </w:rPr>
        <w:t xml:space="preserve">  </w:t>
      </w:r>
      <w:r w:rsidRPr="00496A9A">
        <w:t xml:space="preserve">It is important that there be some clear consequence of not complying with applicable state laws when obtaining </w:t>
      </w:r>
      <w:r>
        <w:t>numbering resources</w:t>
      </w:r>
      <w:r w:rsidRPr="00496A9A">
        <w:t xml:space="preserve"> from a state based on a federal num</w:t>
      </w:r>
      <w:r w:rsidRPr="00496A9A">
        <w:t>bering authorization</w:t>
      </w:r>
      <w:r w:rsidRPr="00496A9A">
        <w:rPr>
          <w:szCs w:val="22"/>
        </w:rPr>
        <w:t>.</w:t>
      </w:r>
      <w:r>
        <w:rPr>
          <w:rStyle w:val="FootnoteReference"/>
        </w:rPr>
        <w:footnoteReference w:id="174"/>
      </w:r>
      <w:r w:rsidRPr="00496A9A">
        <w:rPr>
          <w:szCs w:val="22"/>
        </w:rPr>
        <w:t xml:space="preserve">  </w:t>
      </w:r>
      <w:r>
        <w:rPr>
          <w:szCs w:val="22"/>
        </w:rPr>
        <w:t xml:space="preserve">Our actions here also are consistent with current practice, under which, when a state reports that a provider is not complying with state requirements, the Numbering Administrator may deny that provider’s numbering requests.  </w:t>
      </w:r>
      <w:r w:rsidRPr="00496A9A">
        <w:t>Although</w:t>
      </w:r>
      <w:r>
        <w:t xml:space="preserve"> we believe that exist</w:t>
      </w:r>
      <w:r>
        <w:t>ing practices conform with section 52.15 of the Commission’s rules, making the requirement explicit clarifies the process so as to leave no doubt as to these requirements.</w:t>
      </w:r>
    </w:p>
    <w:p w:rsidR="006807AE" w:rsidP="00810097" w14:paraId="2ABC2EC5" w14:textId="424D73EE">
      <w:pPr>
        <w:pStyle w:val="Heading3"/>
      </w:pPr>
      <w:bookmarkStart w:id="22" w:name="_Toc146047062"/>
      <w:bookmarkStart w:id="23" w:name="_Toc146179054"/>
      <w:r>
        <w:t>Ensuring the Accuracy of Application Contents</w:t>
      </w:r>
      <w:bookmarkEnd w:id="22"/>
      <w:bookmarkEnd w:id="23"/>
    </w:p>
    <w:p w:rsidR="00810097" w:rsidRPr="00D303B6" w:rsidP="00810097" w14:paraId="69D75858" w14:textId="77777777">
      <w:pPr>
        <w:pStyle w:val="ParaNum"/>
      </w:pPr>
      <w:r w:rsidRPr="762A295A">
        <w:t xml:space="preserve">We revise section 52.15(g)(3) of </w:t>
      </w:r>
      <w:r>
        <w:t xml:space="preserve">the Commission’s </w:t>
      </w:r>
      <w:r w:rsidRPr="762A295A">
        <w:t xml:space="preserve">rules to require </w:t>
      </w:r>
      <w:bookmarkStart w:id="24" w:name="_Hlk137984888"/>
      <w:r w:rsidRPr="762A295A">
        <w:t xml:space="preserve">an officer or </w:t>
      </w:r>
      <w:r>
        <w:t>authorized representative of the applicant</w:t>
      </w:r>
      <w:r w:rsidRPr="762A295A">
        <w:t xml:space="preserve"> to submit a declaration under penalty of perjury</w:t>
      </w:r>
      <w:r>
        <w:t>,</w:t>
      </w:r>
      <w:r w:rsidRPr="762A295A">
        <w:t xml:space="preserve"> pursuant to section 1.16 of the rules</w:t>
      </w:r>
      <w:r>
        <w:t>,</w:t>
      </w:r>
      <w:r>
        <w:rPr>
          <w:rStyle w:val="FootnoteReference"/>
        </w:rPr>
        <w:footnoteReference w:id="175"/>
      </w:r>
      <w:r w:rsidRPr="762A295A">
        <w:t xml:space="preserve"> attesting that all statements in the application and any appendices are tr</w:t>
      </w:r>
      <w:r w:rsidRPr="762A295A">
        <w:t>ue and accurate.</w:t>
      </w:r>
      <w:r>
        <w:rPr>
          <w:rStyle w:val="FootnoteReference"/>
          <w:sz w:val="22"/>
          <w:szCs w:val="22"/>
        </w:rPr>
        <w:footnoteReference w:id="176"/>
      </w:r>
      <w:r w:rsidRPr="00D303B6">
        <w:t xml:space="preserve">  </w:t>
      </w:r>
      <w:bookmarkEnd w:id="24"/>
      <w:r w:rsidRPr="762A295A">
        <w:t xml:space="preserve">We </w:t>
      </w:r>
      <w:r>
        <w:t>specify</w:t>
      </w:r>
      <w:r w:rsidRPr="762A295A">
        <w:t xml:space="preserve"> that false statements</w:t>
      </w:r>
      <w:r>
        <w:t xml:space="preserve"> or certifications</w:t>
      </w:r>
      <w:r w:rsidRPr="762A295A">
        <w:t xml:space="preserve"> made to the Commission may result in </w:t>
      </w:r>
      <w:r>
        <w:t>rejection</w:t>
      </w:r>
      <w:r w:rsidRPr="762A295A">
        <w:t xml:space="preserve"> of an application or revocation of an authorization.</w:t>
      </w:r>
      <w:r>
        <w:rPr>
          <w:rStyle w:val="FootnoteReference"/>
        </w:rPr>
        <w:footnoteReference w:id="177"/>
      </w:r>
      <w:r w:rsidRPr="762A295A">
        <w:t xml:space="preserve">  </w:t>
      </w:r>
      <w:r>
        <w:t>Consistent with warnings included in filings for other Commission authorizations</w:t>
      </w:r>
      <w:r>
        <w:rPr>
          <w:rStyle w:val="FootnoteReference"/>
        </w:rPr>
        <w:footnoteReference w:id="178"/>
      </w:r>
      <w:r>
        <w:t xml:space="preserve"> and CPNI certifications,</w:t>
      </w:r>
      <w:r>
        <w:rPr>
          <w:rStyle w:val="FootnoteReference"/>
        </w:rPr>
        <w:footnoteReference w:id="179"/>
      </w:r>
      <w:r>
        <w:t xml:space="preserve"> we remind applicants that willful false statements are also punishable by fine and/or imprisonment,</w:t>
      </w:r>
      <w:r>
        <w:rPr>
          <w:rStyle w:val="FootnoteReference"/>
        </w:rPr>
        <w:footnoteReference w:id="180"/>
      </w:r>
      <w:r>
        <w:t xml:space="preserve"> and/or forfeiture.</w:t>
      </w:r>
      <w:r>
        <w:rPr>
          <w:rStyle w:val="FootnoteReference"/>
        </w:rPr>
        <w:footnoteReference w:id="181"/>
      </w:r>
      <w:r>
        <w:t xml:space="preserve">  </w:t>
      </w:r>
      <w:r w:rsidRPr="00D303B6">
        <w:t xml:space="preserve">Requiring </w:t>
      </w:r>
      <w:r>
        <w:t xml:space="preserve">a </w:t>
      </w:r>
      <w:r w:rsidRPr="00D303B6">
        <w:t>declaration under penalty of perjury will help ensure applications are accurate and that app</w:t>
      </w:r>
      <w:r w:rsidRPr="00D303B6">
        <w:t xml:space="preserve">licants are taking the application process seriously.  The new declaration </w:t>
      </w:r>
      <w:r>
        <w:t>will also</w:t>
      </w:r>
      <w:r w:rsidRPr="00D303B6">
        <w:t xml:space="preserve"> dissuade bad actors from filing false information or filing altogether out of fear of</w:t>
      </w:r>
      <w:r>
        <w:t xml:space="preserve"> committing the crime of </w:t>
      </w:r>
      <w:r w:rsidRPr="00D303B6">
        <w:t xml:space="preserve">perjury </w:t>
      </w:r>
      <w:r>
        <w:t>and suffering</w:t>
      </w:r>
      <w:r w:rsidRPr="00D303B6">
        <w:t xml:space="preserve"> </w:t>
      </w:r>
      <w:r>
        <w:t>increased</w:t>
      </w:r>
      <w:r w:rsidRPr="00D303B6">
        <w:t xml:space="preserve"> punishment.</w:t>
      </w:r>
    </w:p>
    <w:p w:rsidR="00810097" w:rsidRPr="007134F8" w:rsidP="00810097" w14:paraId="056528D9" w14:textId="77777777">
      <w:pPr>
        <w:pStyle w:val="ParaNum"/>
      </w:pPr>
      <w:r>
        <w:t>Our rules prohibi</w:t>
      </w:r>
      <w:r>
        <w:t>t any applicant for any Commission authorization from making material false statements or omissions of material information in its dealings with the Commission.</w:t>
      </w:r>
      <w:r>
        <w:rPr>
          <w:rStyle w:val="FootnoteReference"/>
        </w:rPr>
        <w:footnoteReference w:id="182"/>
      </w:r>
      <w:r>
        <w:t xml:space="preserve">  Our addition of a declaration under penalty of perjury</w:t>
      </w:r>
      <w:r w:rsidRPr="762A295A">
        <w:t xml:space="preserve"> is consistent with the </w:t>
      </w:r>
      <w:r>
        <w:t>international</w:t>
      </w:r>
      <w:r w:rsidRPr="762A295A">
        <w:t xml:space="preserve"> </w:t>
      </w:r>
      <w:r>
        <w:t>s</w:t>
      </w:r>
      <w:r w:rsidRPr="762A295A">
        <w:t xml:space="preserve">ection 214 application process, </w:t>
      </w:r>
      <w:r>
        <w:t>and the authorization process for many other FCC authorizations, in which</w:t>
      </w:r>
      <w:r w:rsidRPr="762A295A">
        <w:t xml:space="preserve"> applicants include a verification executed by an officer or other authorized representative that the information included in the filing is true and a</w:t>
      </w:r>
      <w:r w:rsidRPr="762A295A">
        <w:t>ccurate</w:t>
      </w:r>
      <w:r w:rsidRPr="00D303B6">
        <w:t>.</w:t>
      </w:r>
      <w:r>
        <w:rPr>
          <w:rStyle w:val="FootnoteReference"/>
        </w:rPr>
        <w:footnoteReference w:id="183"/>
      </w:r>
      <w:r w:rsidRPr="00D303B6">
        <w:t xml:space="preserve">  </w:t>
      </w:r>
      <w:r>
        <w:t>This requirement</w:t>
      </w:r>
      <w:r w:rsidRPr="762A295A">
        <w:t xml:space="preserve"> is</w:t>
      </w:r>
      <w:r>
        <w:t xml:space="preserve"> also</w:t>
      </w:r>
      <w:r w:rsidRPr="762A295A">
        <w:t xml:space="preserve"> consistent with</w:t>
      </w:r>
      <w:r>
        <w:t xml:space="preserve"> Robocall Mitigation </w:t>
      </w:r>
      <w:r>
        <w:t>Database</w:t>
      </w:r>
      <w:r w:rsidRPr="762A295A">
        <w:t xml:space="preserve"> filings, which </w:t>
      </w:r>
      <w:r>
        <w:t>must include</w:t>
      </w:r>
      <w:r w:rsidRPr="762A295A">
        <w:t xml:space="preserve"> a declaration under penalty of perjury pursuant to section 1.16 of the Commission’s rules.</w:t>
      </w:r>
      <w:r>
        <w:rPr>
          <w:rStyle w:val="FootnoteReference"/>
        </w:rPr>
        <w:footnoteReference w:id="184"/>
      </w:r>
      <w:r>
        <w:t xml:space="preserve">  We further note that m</w:t>
      </w:r>
      <w:r w:rsidRPr="00D303B6">
        <w:t>any direct access applicants a</w:t>
      </w:r>
      <w:r w:rsidRPr="00D303B6">
        <w:t xml:space="preserve">lready provide this type of declaration voluntarily.  </w:t>
      </w:r>
    </w:p>
    <w:p w:rsidR="00810097" w:rsidP="00810097" w14:paraId="377FAC3C" w14:textId="04062820">
      <w:pPr>
        <w:pStyle w:val="Heading3"/>
      </w:pPr>
      <w:bookmarkStart w:id="25" w:name="_Toc146047063"/>
      <w:bookmarkStart w:id="26" w:name="_Toc146179055"/>
      <w:r>
        <w:t>Other Issues</w:t>
      </w:r>
      <w:bookmarkEnd w:id="25"/>
      <w:bookmarkEnd w:id="26"/>
    </w:p>
    <w:p w:rsidR="00810097" w:rsidRPr="00610B74" w:rsidP="00810097" w14:paraId="5BAA2B83" w14:textId="77777777">
      <w:pPr>
        <w:pStyle w:val="ParaNum"/>
      </w:pPr>
      <w:r w:rsidRPr="3A63744E">
        <w:rPr>
          <w:i/>
          <w:iCs/>
        </w:rPr>
        <w:t>Declining to expand direct access to numbers</w:t>
      </w:r>
      <w:r w:rsidRPr="00D303B6">
        <w:rPr>
          <w:szCs w:val="22"/>
        </w:rPr>
        <w:t xml:space="preserve">.  </w:t>
      </w:r>
      <w:r w:rsidRPr="0A818E49">
        <w:t>Under our existing rules,</w:t>
      </w:r>
      <w:r>
        <w:t xml:space="preserve"> VoIP</w:t>
      </w:r>
      <w:r w:rsidRPr="0A818E49">
        <w:t xml:space="preserve"> </w:t>
      </w:r>
      <w:r>
        <w:t xml:space="preserve">direct access </w:t>
      </w:r>
      <w:r w:rsidRPr="0A818E49">
        <w:t xml:space="preserve">applicants must provide interconnected VoIP services rather than one-way VoIP or other </w:t>
      </w:r>
      <w:r w:rsidRPr="0A818E49">
        <w:t>types of services that make use of numbers.</w:t>
      </w:r>
      <w:r>
        <w:rPr>
          <w:rStyle w:val="FootnoteReference"/>
          <w:sz w:val="22"/>
          <w:szCs w:val="22"/>
        </w:rPr>
        <w:footnoteReference w:id="185"/>
      </w:r>
      <w:r w:rsidRPr="0A818E49">
        <w:t xml:space="preserve">  </w:t>
      </w:r>
      <w:r>
        <w:t>The Commission</w:t>
      </w:r>
      <w:r w:rsidRPr="0A818E49">
        <w:t xml:space="preserve"> </w:t>
      </w:r>
      <w:r>
        <w:t xml:space="preserve">sought </w:t>
      </w:r>
      <w:r w:rsidRPr="0A818E49">
        <w:t>comment on whether to allow one-way VoIP or other types of service providers to have direct access to numbers</w:t>
      </w:r>
      <w:r>
        <w:rPr>
          <w:szCs w:val="22"/>
        </w:rPr>
        <w:t>.</w:t>
      </w:r>
      <w:r>
        <w:rPr>
          <w:rStyle w:val="FootnoteReference"/>
          <w:sz w:val="22"/>
          <w:szCs w:val="22"/>
        </w:rPr>
        <w:footnoteReference w:id="186"/>
      </w:r>
      <w:r w:rsidRPr="00D303B6">
        <w:rPr>
          <w:szCs w:val="22"/>
        </w:rPr>
        <w:t xml:space="preserve"> </w:t>
      </w:r>
      <w:r>
        <w:rPr>
          <w:szCs w:val="22"/>
        </w:rPr>
        <w:t xml:space="preserve"> </w:t>
      </w:r>
      <w:r>
        <w:t>We elect not to do so at this time.  T</w:t>
      </w:r>
      <w:r w:rsidRPr="0A818E49">
        <w:t>he record does not support this exp</w:t>
      </w:r>
      <w:r w:rsidRPr="0A818E49">
        <w:t>ansion of direct access and</w:t>
      </w:r>
      <w:r>
        <w:t>, indeed,</w:t>
      </w:r>
      <w:r w:rsidRPr="0A818E49">
        <w:t xml:space="preserve"> contains some opposition to doing so until the guardrails proposed in the </w:t>
      </w:r>
      <w:r w:rsidRPr="3A63744E">
        <w:rPr>
          <w:i/>
          <w:iCs/>
        </w:rPr>
        <w:t>VoIP Direct Access Further Notice</w:t>
      </w:r>
      <w:r w:rsidRPr="0A818E49">
        <w:t xml:space="preserve"> are adopted and effectively implemented.</w:t>
      </w:r>
      <w:r>
        <w:rPr>
          <w:rStyle w:val="FootnoteReference"/>
          <w:sz w:val="22"/>
          <w:szCs w:val="22"/>
        </w:rPr>
        <w:footnoteReference w:id="187"/>
      </w:r>
      <w:r w:rsidRPr="0A818E49">
        <w:t xml:space="preserve">  By avoiding unnecessary or premature expansion of direct access to </w:t>
      </w:r>
      <w:r w:rsidRPr="0A818E49">
        <w:t>such providers, we better protect valuable and limited numbering resources from potential bad actors, both because fewer entities will have direct access to numbers and because interconnected VoIP providers engage in commercial agreements with carriers and</w:t>
      </w:r>
      <w:r w:rsidRPr="0A818E49">
        <w:t xml:space="preserve"> have obligations and checks that one-way providers may not.</w:t>
      </w:r>
      <w:r>
        <w:rPr>
          <w:rStyle w:val="FootnoteReference"/>
          <w:sz w:val="22"/>
          <w:szCs w:val="22"/>
        </w:rPr>
        <w:footnoteReference w:id="188"/>
      </w:r>
      <w:r>
        <w:t xml:space="preserve">  </w:t>
      </w:r>
      <w:r w:rsidRPr="30613E6B">
        <w:t xml:space="preserve">Our action is </w:t>
      </w:r>
      <w:r>
        <w:t xml:space="preserve">also </w:t>
      </w:r>
      <w:r w:rsidRPr="30613E6B">
        <w:t xml:space="preserve">consistent with </w:t>
      </w:r>
      <w:r>
        <w:t>the rationale</w:t>
      </w:r>
      <w:r w:rsidRPr="30613E6B">
        <w:t xml:space="preserve"> in the 2015</w:t>
      </w:r>
      <w:r w:rsidRPr="3A63744E">
        <w:rPr>
          <w:i/>
          <w:iCs/>
        </w:rPr>
        <w:t xml:space="preserve"> VoIP Direct Access Order</w:t>
      </w:r>
      <w:r w:rsidRPr="30613E6B">
        <w:t xml:space="preserve"> </w:t>
      </w:r>
      <w:r>
        <w:t>for limiting</w:t>
      </w:r>
      <w:r w:rsidRPr="30613E6B">
        <w:t xml:space="preserve"> direct access authorizations to interconnected VoIP providers.  </w:t>
      </w:r>
      <w:r>
        <w:t>T</w:t>
      </w:r>
      <w:r w:rsidRPr="30613E6B">
        <w:t>hat order found that interco</w:t>
      </w:r>
      <w:r w:rsidRPr="30613E6B">
        <w:t>nnected VoIP providers are more likely than other VoIP providers to need direct access to numbers because they are more likely to provide service used by consumers to replace “plain old telephone service”</w:t>
      </w:r>
      <w:r w:rsidRPr="00460F0D">
        <w:rPr>
          <w:szCs w:val="22"/>
        </w:rPr>
        <w:t xml:space="preserve"> (</w:t>
      </w:r>
      <w:r w:rsidRPr="30613E6B">
        <w:t>POTS</w:t>
      </w:r>
      <w:r w:rsidRPr="00460F0D">
        <w:rPr>
          <w:szCs w:val="22"/>
        </w:rPr>
        <w:t xml:space="preserve">), </w:t>
      </w:r>
      <w:r w:rsidRPr="30613E6B">
        <w:t>and because outbound-only VoIP</w:t>
      </w:r>
      <w:r>
        <w:t xml:space="preserve"> service</w:t>
      </w:r>
      <w:r w:rsidRPr="30613E6B">
        <w:t xml:space="preserve"> does</w:t>
      </w:r>
      <w:r w:rsidRPr="30613E6B">
        <w:t xml:space="preserve"> not require telephone numbers.</w:t>
      </w:r>
      <w:r>
        <w:rPr>
          <w:rStyle w:val="FootnoteReference"/>
          <w:sz w:val="22"/>
          <w:szCs w:val="22"/>
        </w:rPr>
        <w:footnoteReference w:id="189"/>
      </w:r>
      <w:r w:rsidRPr="30613E6B">
        <w:t xml:space="preserve">  </w:t>
      </w:r>
    </w:p>
    <w:p w:rsidR="00810097" w:rsidP="00810097" w14:paraId="2A5417BC" w14:textId="77777777">
      <w:pPr>
        <w:pStyle w:val="ParaNum"/>
      </w:pPr>
      <w:r w:rsidRPr="00611F33">
        <w:rPr>
          <w:i/>
          <w:iCs/>
        </w:rPr>
        <w:t xml:space="preserve">Facilities readiness certification.  </w:t>
      </w:r>
      <w:r w:rsidRPr="00611F33">
        <w:t xml:space="preserve">The </w:t>
      </w:r>
      <w:r w:rsidRPr="00611F33">
        <w:rPr>
          <w:i/>
          <w:iCs/>
        </w:rPr>
        <w:t>VoIP Direct Access Order</w:t>
      </w:r>
      <w:r w:rsidRPr="00611F33">
        <w:t xml:space="preserve"> provided examples of what an applicant could submit to show “facilities readiness” as required by 47 CFR § 52.15(g)(3)(i)(D).</w:t>
      </w:r>
      <w:r>
        <w:rPr>
          <w:vertAlign w:val="superscript"/>
        </w:rPr>
        <w:footnoteReference w:id="190"/>
      </w:r>
      <w:r w:rsidRPr="00611F33">
        <w:t xml:space="preserve">  We sought comment on whet</w:t>
      </w:r>
      <w:r w:rsidRPr="00611F33">
        <w:t>her to revise section 52.15(g)(3) of the direct access rules to explicitly specify the documents that will be allowed to satisfy the “facilities readiness”</w:t>
      </w:r>
      <w:r>
        <w:t xml:space="preserve"> requirement.</w:t>
      </w:r>
      <w:r>
        <w:rPr>
          <w:vertAlign w:val="superscript"/>
        </w:rPr>
        <w:footnoteReference w:id="191"/>
      </w:r>
      <w:r>
        <w:t xml:space="preserve">  Comments on the issue were divided,</w:t>
      </w:r>
      <w:r>
        <w:rPr>
          <w:rStyle w:val="FootnoteReference"/>
        </w:rPr>
        <w:footnoteReference w:id="192"/>
      </w:r>
      <w:r>
        <w:t xml:space="preserve"> and, having considered the issue further, we d</w:t>
      </w:r>
      <w:r>
        <w:t xml:space="preserve">ecline to revise our rule.  Rather, we conclude that the examples of technical documentation and information that applicants may submit to demonstrate facilities readiness in the </w:t>
      </w:r>
      <w:r w:rsidRPr="00113817">
        <w:rPr>
          <w:i/>
          <w:iCs/>
        </w:rPr>
        <w:t xml:space="preserve">VoIP Direct Access </w:t>
      </w:r>
      <w:r w:rsidRPr="00113817">
        <w:rPr>
          <w:i/>
          <w:iCs/>
        </w:rPr>
        <w:t>Order</w:t>
      </w:r>
      <w:r>
        <w:t xml:space="preserve"> will continue to suffice.</w:t>
      </w:r>
      <w:r>
        <w:rPr>
          <w:rStyle w:val="FootnoteReference"/>
        </w:rPr>
        <w:footnoteReference w:id="193"/>
      </w:r>
      <w:r>
        <w:t xml:space="preserve">  This approach preserves</w:t>
      </w:r>
      <w:r>
        <w:t xml:space="preserve"> the flexibility of interconnected VoIP providers to submit information that is relevant to the unique characteristics of their networks.  We also reaffirm our delegation of authority to the Bureau to request additional documentation on a case-by-case basi</w:t>
      </w:r>
      <w:r>
        <w:t>s as necessary.</w:t>
      </w:r>
      <w:r>
        <w:rPr>
          <w:rStyle w:val="FootnoteReference"/>
        </w:rPr>
        <w:footnoteReference w:id="194"/>
      </w:r>
    </w:p>
    <w:p w:rsidR="00810097" w:rsidP="00810097" w14:paraId="771F4449" w14:textId="77777777">
      <w:pPr>
        <w:pStyle w:val="ParaNum"/>
        <w:widowControl/>
      </w:pPr>
      <w:r w:rsidRPr="00113817">
        <w:rPr>
          <w:i/>
          <w:iCs/>
        </w:rPr>
        <w:t>Know-your-customer certification.</w:t>
      </w:r>
      <w:r w:rsidRPr="00113817">
        <w:t xml:space="preserve">  Section 64.1200(n)(3) requires voice service providers to “[t]ake</w:t>
      </w:r>
      <w:r w:rsidRPr="00113817">
        <w:t xml:space="preserve"> affirmative, effective measures to prevent new and renewing customers from using its network to originate illegal calls, including knowing its customers and exercising due diligence in ensuring that its services are not used to originate illegal traffic.”</w:t>
      </w:r>
      <w:r>
        <w:rPr>
          <w:vertAlign w:val="superscript"/>
        </w:rPr>
        <w:footnoteReference w:id="195"/>
      </w:r>
      <w:r w:rsidRPr="00113817">
        <w:t xml:space="preserve">  The </w:t>
      </w:r>
      <w:r w:rsidRPr="00113817">
        <w:rPr>
          <w:i/>
          <w:iCs/>
        </w:rPr>
        <w:t>VoIP Direct Access Further Notice</w:t>
      </w:r>
      <w:r w:rsidRPr="00113817">
        <w:t xml:space="preserve"> sought comment on whether to require direct access applicants to certify that they “‘know their customer’ through customer identity verification.”</w:t>
      </w:r>
      <w:r>
        <w:rPr>
          <w:vertAlign w:val="superscript"/>
        </w:rPr>
        <w:footnoteReference w:id="196"/>
      </w:r>
      <w:r w:rsidRPr="00113817">
        <w:t xml:space="preserve">  Comments on this topic were mixed.</w:t>
      </w:r>
      <w:r>
        <w:rPr>
          <w:vertAlign w:val="superscript"/>
        </w:rPr>
        <w:footnoteReference w:id="197"/>
      </w:r>
      <w:r w:rsidRPr="00113817">
        <w:t xml:space="preserve">  After considering the record, we decline to adopt a specific know-y</w:t>
      </w:r>
      <w:r w:rsidRPr="00113817">
        <w:t>our-customer certification at this time.  As discussed below in the section addressing our referrals to the NANC,</w:t>
      </w:r>
      <w:r>
        <w:rPr>
          <w:vertAlign w:val="superscript"/>
        </w:rPr>
        <w:footnoteReference w:id="198"/>
      </w:r>
      <w:r w:rsidRPr="00113817">
        <w:t xml:space="preserve"> interconnected VoIP providers often resell numbers that they have obtained through the direct access process to third-party providers.  Addi</w:t>
      </w:r>
      <w:r w:rsidRPr="00113817">
        <w:t>tionally, our decision to study the issue of number resale further, our adoption of new certifications as part of interconnected VoIP providers’ applications for direct access authorization,</w:t>
      </w:r>
      <w:r w:rsidRPr="00113817">
        <w:rPr>
          <w:i/>
          <w:iCs/>
        </w:rPr>
        <w:t xml:space="preserve"> </w:t>
      </w:r>
      <w:r w:rsidRPr="00113817">
        <w:t xml:space="preserve">and potential future action regarding number resale and indirect </w:t>
      </w:r>
      <w:r w:rsidRPr="00113817">
        <w:t>access recipient certifications, may accomplish the same objectives as would adopting a know-your-customer certification.  We therefore reserve for future determination whether to adopt such a certification in the direct access application context.</w:t>
      </w:r>
    </w:p>
    <w:p w:rsidR="00810097" w:rsidP="00887C6A" w14:paraId="136A1BBA" w14:textId="5FE14590">
      <w:pPr>
        <w:pStyle w:val="Heading2"/>
      </w:pPr>
      <w:bookmarkStart w:id="27" w:name="_Toc146047064"/>
      <w:bookmarkStart w:id="28" w:name="_Toc146179056"/>
      <w:r>
        <w:t>Applica</w:t>
      </w:r>
      <w:r>
        <w:t>tion Review and Authorization Oversight</w:t>
      </w:r>
      <w:bookmarkEnd w:id="27"/>
      <w:bookmarkEnd w:id="28"/>
    </w:p>
    <w:p w:rsidR="00810097" w:rsidP="00810097" w14:paraId="613406D8" w14:textId="77777777">
      <w:pPr>
        <w:pStyle w:val="ParaNum"/>
      </w:pPr>
      <w:r w:rsidRPr="00113817">
        <w:t xml:space="preserve">In this section, we adopt measures to facilitate greater transparency regarding the review of direct access applications, make explicit our procedures for rejecting applications, and expand the bases on which direct </w:t>
      </w:r>
      <w:r w:rsidRPr="00113817">
        <w:t>access authorizations may be revoked and adopt a process for such revocations.</w:t>
      </w:r>
    </w:p>
    <w:p w:rsidR="00810097" w:rsidP="00810097" w14:paraId="25401246" w14:textId="7376F3AA">
      <w:pPr>
        <w:pStyle w:val="Heading3"/>
      </w:pPr>
      <w:bookmarkStart w:id="29" w:name="_Toc146047065"/>
      <w:bookmarkStart w:id="30" w:name="_Toc146179057"/>
      <w:r>
        <w:t>Codifying the Process for Reviewing Direct Access Applications</w:t>
      </w:r>
      <w:bookmarkEnd w:id="29"/>
      <w:bookmarkEnd w:id="30"/>
    </w:p>
    <w:p w:rsidR="00810097" w:rsidRPr="00D303B6" w:rsidP="00810097" w14:paraId="05BE27C2" w14:textId="77777777">
      <w:pPr>
        <w:pStyle w:val="ParaNum"/>
      </w:pPr>
      <w:r>
        <w:t>As proposed, w</w:t>
      </w:r>
      <w:r w:rsidRPr="762A295A">
        <w:t xml:space="preserve">e revise section 52.15(g)(3) of </w:t>
      </w:r>
      <w:r>
        <w:t xml:space="preserve">the Commission’s </w:t>
      </w:r>
      <w:r w:rsidRPr="762A295A">
        <w:t>rules</w:t>
      </w:r>
      <w:r w:rsidRPr="00D303B6">
        <w:t xml:space="preserve"> </w:t>
      </w:r>
      <w:r w:rsidRPr="762A295A">
        <w:t xml:space="preserve">to </w:t>
      </w:r>
      <w:r>
        <w:t>formalize</w:t>
      </w:r>
      <w:r w:rsidRPr="762A295A">
        <w:t xml:space="preserve"> </w:t>
      </w:r>
      <w:r>
        <w:t>the process for reviewing</w:t>
      </w:r>
      <w:r w:rsidRPr="762A295A">
        <w:t xml:space="preserve"> direct</w:t>
      </w:r>
      <w:r w:rsidRPr="762A295A">
        <w:t xml:space="preserve"> access applications.</w:t>
      </w:r>
      <w:r>
        <w:rPr>
          <w:vertAlign w:val="superscript"/>
        </w:rPr>
        <w:footnoteReference w:id="199"/>
      </w:r>
      <w:r w:rsidRPr="762A295A">
        <w:t xml:space="preserve">  </w:t>
      </w:r>
      <w:r>
        <w:t>We direct</w:t>
      </w:r>
      <w:r w:rsidRPr="762A295A">
        <w:t xml:space="preserve"> </w:t>
      </w:r>
      <w:r>
        <w:t xml:space="preserve">Bureau </w:t>
      </w:r>
      <w:r w:rsidRPr="762A295A">
        <w:t>staff</w:t>
      </w:r>
      <w:r>
        <w:t xml:space="preserve"> to</w:t>
      </w:r>
      <w:r w:rsidRPr="762A295A">
        <w:t xml:space="preserve"> conduct a due-diligence review of </w:t>
      </w:r>
      <w:r>
        <w:t>an applicant’s direct access</w:t>
      </w:r>
      <w:r w:rsidRPr="762A295A">
        <w:t xml:space="preserve"> application prior to seeking comment on it.</w:t>
      </w:r>
      <w:r>
        <w:rPr>
          <w:rStyle w:val="FootnoteReference"/>
        </w:rPr>
        <w:footnoteReference w:id="200"/>
      </w:r>
      <w:r w:rsidRPr="762A295A">
        <w:t xml:space="preserve">  This due</w:t>
      </w:r>
      <w:r w:rsidRPr="00D303B6">
        <w:t>-</w:t>
      </w:r>
      <w:r w:rsidRPr="762A295A">
        <w:t xml:space="preserve">diligence review </w:t>
      </w:r>
      <w:r>
        <w:t xml:space="preserve">shall </w:t>
      </w:r>
      <w:r w:rsidRPr="762A295A">
        <w:t>include, but is not limited to, determining whether the applica</w:t>
      </w:r>
      <w:r w:rsidRPr="762A295A">
        <w:t>nt is the subject of a past or pending Enforcement Bureau inquiry or whether</w:t>
      </w:r>
      <w:r>
        <w:t xml:space="preserve"> the applicant has reportable foreign ownership</w:t>
      </w:r>
      <w:r w:rsidRPr="762A295A">
        <w:t>.  This initial review process is critical to ensur</w:t>
      </w:r>
      <w:r>
        <w:t>e</w:t>
      </w:r>
      <w:r w:rsidRPr="762A295A">
        <w:t xml:space="preserve"> </w:t>
      </w:r>
      <w:r>
        <w:t xml:space="preserve">illegal </w:t>
      </w:r>
      <w:r w:rsidRPr="762A295A">
        <w:t xml:space="preserve">robocallers and other bad actors </w:t>
      </w:r>
      <w:r>
        <w:t>do not</w:t>
      </w:r>
      <w:r w:rsidRPr="762A295A">
        <w:t xml:space="preserve"> gain access to </w:t>
      </w:r>
      <w:r>
        <w:t>finite</w:t>
      </w:r>
      <w:r w:rsidRPr="762A295A">
        <w:t xml:space="preserve"> numbering </w:t>
      </w:r>
      <w:r w:rsidRPr="762A295A">
        <w:t xml:space="preserve">resources.  </w:t>
      </w:r>
      <w:r>
        <w:t>As noted above, we direct the Bureau to withhold placing any application submitted by an applicant with reportable foreign ownership on streamlined processing (that is, withhold issuing an “Accepted-for-Filing Public Notice”).</w:t>
      </w:r>
      <w:r>
        <w:rPr>
          <w:rStyle w:val="FootnoteReference"/>
        </w:rPr>
        <w:footnoteReference w:id="201"/>
      </w:r>
      <w:r>
        <w:t xml:space="preserve">  Additionally, </w:t>
      </w:r>
      <w:r>
        <w:t>the Bureau retains the authority to determine, at its discretion, whether to accept an application for non-streamlined filing so that it may further analyze whether a grant is in the public interest during and after the prescribed comment period.</w:t>
      </w:r>
      <w:r>
        <w:rPr>
          <w:rStyle w:val="FootnoteReference"/>
        </w:rPr>
        <w:footnoteReference w:id="202"/>
      </w:r>
      <w:r>
        <w:t xml:space="preserve">  Furthe</w:t>
      </w:r>
      <w:r>
        <w:t>rmore, if</w:t>
      </w:r>
      <w:r w:rsidRPr="762A295A">
        <w:t xml:space="preserve"> the Bureau finds</w:t>
      </w:r>
      <w:r>
        <w:t xml:space="preserve"> that </w:t>
      </w:r>
      <w:r w:rsidRPr="762A295A">
        <w:t xml:space="preserve">an application raises public interest concerns, it </w:t>
      </w:r>
      <w:r>
        <w:t>may</w:t>
      </w:r>
      <w:r w:rsidRPr="762A295A">
        <w:t xml:space="preserve"> withhold placing </w:t>
      </w:r>
      <w:r>
        <w:t>it</w:t>
      </w:r>
      <w:r w:rsidRPr="762A295A">
        <w:t xml:space="preserve"> on streamlined processing </w:t>
      </w:r>
      <w:r>
        <w:t>until those concerns are addressed through applicant supplements or otherwise</w:t>
      </w:r>
      <w:r w:rsidRPr="762A295A">
        <w:t>, even if the application otherwise meets proc</w:t>
      </w:r>
      <w:r w:rsidRPr="762A295A">
        <w:t>edural requirements.</w:t>
      </w:r>
      <w:r>
        <w:rPr>
          <w:rStyle w:val="FootnoteReference"/>
        </w:rPr>
        <w:footnoteReference w:id="203"/>
      </w:r>
      <w:r>
        <w:t xml:space="preserve">  One commenter generally supported this approach,</w:t>
      </w:r>
      <w:r>
        <w:rPr>
          <w:rStyle w:val="FootnoteReference"/>
        </w:rPr>
        <w:footnoteReference w:id="204"/>
      </w:r>
      <w:r>
        <w:t xml:space="preserve"> and no commenter opposed it.</w:t>
      </w:r>
      <w:r w:rsidRPr="00FB4B8A">
        <w:t xml:space="preserve"> </w:t>
      </w:r>
      <w:r>
        <w:t xml:space="preserve">   </w:t>
      </w:r>
    </w:p>
    <w:p w:rsidR="00810097" w:rsidP="00810097" w14:paraId="6B07E9C2" w14:textId="77777777">
      <w:pPr>
        <w:pStyle w:val="ParaNum"/>
      </w:pPr>
      <w:r w:rsidRPr="7E45B7C7">
        <w:t>The action we take today formalizes this</w:t>
      </w:r>
      <w:r>
        <w:t xml:space="preserve"> preexisting</w:t>
      </w:r>
      <w:r w:rsidRPr="7E45B7C7">
        <w:t xml:space="preserve"> pr</w:t>
      </w:r>
      <w:r>
        <w:t xml:space="preserve">actice </w:t>
      </w:r>
      <w:r w:rsidRPr="7E45B7C7">
        <w:t xml:space="preserve">and </w:t>
      </w:r>
      <w:r>
        <w:t xml:space="preserve">makes explicit the </w:t>
      </w:r>
      <w:r w:rsidRPr="45BF94E8">
        <w:t>Bureau’s</w:t>
      </w:r>
      <w:r w:rsidRPr="7E45B7C7">
        <w:t xml:space="preserve"> authority</w:t>
      </w:r>
      <w:r>
        <w:t xml:space="preserve"> in the rules</w:t>
      </w:r>
      <w:r w:rsidRPr="7E45B7C7">
        <w:t xml:space="preserve">.  Specifically, the rules </w:t>
      </w:r>
      <w:r>
        <w:t>shall state that the</w:t>
      </w:r>
      <w:r w:rsidRPr="7E45B7C7">
        <w:t xml:space="preserve"> Bureau will review direct access applications to ensure that they are complete and appropriate for streamlined treatment before the Bureau issues a public notice accepting the application for filing</w:t>
      </w:r>
      <w:r w:rsidRPr="00D303B6">
        <w:t>.</w:t>
      </w:r>
      <w:r>
        <w:rPr>
          <w:rStyle w:val="FootnoteReference"/>
        </w:rPr>
        <w:footnoteReference w:id="205"/>
      </w:r>
      <w:r w:rsidRPr="00D303B6">
        <w:t xml:space="preserve">  </w:t>
      </w:r>
      <w:r w:rsidRPr="7E45B7C7">
        <w:t>By ta</w:t>
      </w:r>
      <w:r w:rsidRPr="7E45B7C7">
        <w:t>king this step, we</w:t>
      </w:r>
      <w:r>
        <w:t xml:space="preserve"> draw on our similar procedure governing review of international section 214 applications,</w:t>
      </w:r>
      <w:r>
        <w:rPr>
          <w:rStyle w:val="FootnoteReference"/>
        </w:rPr>
        <w:footnoteReference w:id="206"/>
      </w:r>
      <w:r>
        <w:t xml:space="preserve"> and</w:t>
      </w:r>
      <w:r w:rsidRPr="7E45B7C7">
        <w:t xml:space="preserve"> promote greater transparency and predictability for applicants regarding the process and timing applicable to a potential authorization.  We </w:t>
      </w:r>
      <w:r w:rsidRPr="7E45B7C7">
        <w:t>note that applicants must provide additional information as requested by the Bureau during and after its initial review of a direct access application.</w:t>
      </w:r>
      <w:r>
        <w:rPr>
          <w:rStyle w:val="FootnoteReference"/>
          <w:sz w:val="22"/>
          <w:szCs w:val="22"/>
        </w:rPr>
        <w:footnoteReference w:id="207"/>
      </w:r>
      <w:r w:rsidRPr="7E45B7C7">
        <w:t xml:space="preserve">  Such responses must be submitted to the Bureau using the same method for submitting original applicat</w:t>
      </w:r>
      <w:r w:rsidRPr="7E45B7C7">
        <w:t>ion materials, unless otherwise directed</w:t>
      </w:r>
      <w:r w:rsidRPr="00D303B6">
        <w:t>.</w:t>
      </w:r>
      <w:r>
        <w:rPr>
          <w:rStyle w:val="FootnoteReference"/>
        </w:rPr>
        <w:footnoteReference w:id="208"/>
      </w:r>
    </w:p>
    <w:p w:rsidR="00810097" w:rsidP="00810097" w14:paraId="7377BFEC" w14:textId="279726C7">
      <w:pPr>
        <w:pStyle w:val="Heading3"/>
      </w:pPr>
      <w:bookmarkStart w:id="31" w:name="_Toc146047066"/>
      <w:bookmarkStart w:id="32" w:name="_Toc146179058"/>
      <w:r>
        <w:t>Codifying the Processes for Rejecting Direct Access Applications</w:t>
      </w:r>
      <w:bookmarkEnd w:id="31"/>
      <w:bookmarkEnd w:id="32"/>
    </w:p>
    <w:p w:rsidR="00810097" w:rsidP="00810097" w14:paraId="422B1DCA" w14:textId="77777777">
      <w:pPr>
        <w:pStyle w:val="ParaNum"/>
      </w:pPr>
      <w:r w:rsidRPr="00113817">
        <w:t>We next revise section 52.15(g)(3) of the Commission’s rules to authorize the Bureau to reject an application when it determines the applicant cann</w:t>
      </w:r>
      <w:r w:rsidRPr="00113817">
        <w:t>ot satisfy the qualifications for a direct access authorization or that granting the application would not be in the public interest.</w:t>
      </w:r>
      <w:r>
        <w:rPr>
          <w:vertAlign w:val="superscript"/>
        </w:rPr>
        <w:footnoteReference w:id="209"/>
      </w:r>
      <w:r w:rsidRPr="00113817">
        <w:t xml:space="preserve">  We also adopt the proposal to authorize the Bureau, in its discretion, to reject applications submitted by an applicant</w:t>
      </w:r>
      <w:r w:rsidRPr="00113817">
        <w:t xml:space="preserve"> which it has a reasonable basis to believe has engaged in behavior contrary to the public interest.</w:t>
      </w:r>
      <w:r>
        <w:rPr>
          <w:vertAlign w:val="superscript"/>
        </w:rPr>
        <w:footnoteReference w:id="210"/>
      </w:r>
      <w:r w:rsidRPr="00113817">
        <w:t xml:space="preserve">  As described above, we also authorize the Bureau to reject an application if it determines that the applicant made a false or misleading statement.</w:t>
      </w:r>
      <w:r>
        <w:rPr>
          <w:vertAlign w:val="superscript"/>
        </w:rPr>
        <w:footnoteReference w:id="211"/>
      </w:r>
      <w:r w:rsidRPr="00113817">
        <w:t xml:space="preserve">  W</w:t>
      </w:r>
      <w:r w:rsidRPr="00113817">
        <w:t xml:space="preserve">e further conclude that the Bureau may reject applications if, for example, the Commission determines that an applicant with reportable foreign ownership presents </w:t>
      </w:r>
      <w:r w:rsidRPr="00113817">
        <w:t>national security, law enforcement, foreign policy, and/or trade policy risks.</w:t>
      </w:r>
      <w:r>
        <w:rPr>
          <w:vertAlign w:val="superscript"/>
        </w:rPr>
        <w:footnoteReference w:id="212"/>
      </w:r>
      <w:r w:rsidRPr="00113817">
        <w:t xml:space="preserve">  Next, to im</w:t>
      </w:r>
      <w:r w:rsidRPr="00113817">
        <w:t>prove transparency, we also direct the Bureau to announce rejection decisions, the reasons for the rejection, and whether they are with or without prejudice via public notice.</w:t>
      </w:r>
      <w:r>
        <w:rPr>
          <w:vertAlign w:val="superscript"/>
        </w:rPr>
        <w:footnoteReference w:id="213"/>
      </w:r>
      <w:r w:rsidRPr="00113817">
        <w:t xml:space="preserve">  Similar to our action described above regarding codifying the Bureau’s review</w:t>
      </w:r>
      <w:r w:rsidRPr="00113817">
        <w:t xml:space="preserve"> process, this action codifying the Bureau’s authority to reject applications makes explicit a practice that already occurs under our current rules.  We believe this delegation of authority formalizing these practices leads to greater transparency and pred</w:t>
      </w:r>
      <w:r w:rsidRPr="00113817">
        <w:t>ictability.</w:t>
      </w:r>
    </w:p>
    <w:p w:rsidR="00810097" w:rsidP="00810097" w14:paraId="53207B31" w14:textId="50A54E29">
      <w:pPr>
        <w:pStyle w:val="Heading3"/>
      </w:pPr>
      <w:bookmarkStart w:id="33" w:name="_Toc146047067"/>
      <w:bookmarkStart w:id="34" w:name="_Toc146179059"/>
      <w:r>
        <w:t>Revocation of Authorization</w:t>
      </w:r>
      <w:bookmarkEnd w:id="33"/>
      <w:bookmarkEnd w:id="34"/>
    </w:p>
    <w:p w:rsidR="00810097" w:rsidP="00810097" w14:paraId="2A37E1F0" w14:textId="77777777">
      <w:pPr>
        <w:pStyle w:val="ParaNum"/>
        <w:widowControl/>
      </w:pPr>
      <w:bookmarkStart w:id="35" w:name="_Hlk144194020"/>
      <w:r w:rsidRPr="6B478506">
        <w:t>We</w:t>
      </w:r>
      <w:r>
        <w:t xml:space="preserve"> next adopt procedures concerning the grounds for revocation and/or termination of direct access to numbers authorizations.  Specifically, we find that the Commission may revoke and/or terminate direct access to numbers authorizations of interconnected VoI</w:t>
      </w:r>
      <w:r>
        <w:t>P providers for failure to comply with the Communications Act of 1934, as amended (Act) and its implementing rules, other applicable laws and regulations, and/or where retention of those authorizations no longer serves the public interest.</w:t>
      </w:r>
      <w:r>
        <w:rPr>
          <w:rStyle w:val="FootnoteReference"/>
        </w:rPr>
        <w:footnoteReference w:id="214"/>
      </w:r>
      <w:r>
        <w:t xml:space="preserve">  We </w:t>
      </w:r>
      <w:r w:rsidRPr="6B478506">
        <w:t>revise sec</w:t>
      </w:r>
      <w:r w:rsidRPr="6B478506">
        <w:t xml:space="preserve">tion 52.15(g)(3) of </w:t>
      </w:r>
      <w:r>
        <w:t>the Commission’s</w:t>
      </w:r>
      <w:r w:rsidRPr="6B478506">
        <w:t xml:space="preserve"> rules </w:t>
      </w:r>
      <w:r>
        <w:t>to specify</w:t>
      </w:r>
      <w:r w:rsidRPr="6B478506">
        <w:t xml:space="preserve"> the grounds on which we can revoke </w:t>
      </w:r>
      <w:r w:rsidRPr="009E557A">
        <w:t>and/or terminate</w:t>
      </w:r>
      <w:r w:rsidRPr="6B478506">
        <w:t xml:space="preserve"> direct access authorizations</w:t>
      </w:r>
      <w:r>
        <w:t xml:space="preserve">, namely if:  </w:t>
      </w:r>
    </w:p>
    <w:bookmarkEnd w:id="35"/>
    <w:p w:rsidR="00810097" w:rsidP="00810097" w14:paraId="2D35E1B1" w14:textId="77777777">
      <w:pPr>
        <w:pStyle w:val="ParaNum"/>
        <w:numPr>
          <w:ilvl w:val="1"/>
          <w:numId w:val="7"/>
        </w:numPr>
        <w:ind w:hanging="720"/>
      </w:pPr>
      <w:r>
        <w:t>The authorization holder</w:t>
      </w:r>
      <w:r w:rsidRPr="6B478506">
        <w:t xml:space="preserve"> </w:t>
      </w:r>
      <w:r>
        <w:t>has failed to comply with the Commission’s numbering rules;</w:t>
      </w:r>
      <w:r>
        <w:rPr>
          <w:rStyle w:val="FootnoteReference"/>
        </w:rPr>
        <w:footnoteReference w:id="215"/>
      </w:r>
    </w:p>
    <w:p w:rsidR="00810097" w:rsidP="00810097" w14:paraId="072019D9" w14:textId="77777777">
      <w:pPr>
        <w:pStyle w:val="ParaNum"/>
        <w:numPr>
          <w:ilvl w:val="1"/>
          <w:numId w:val="7"/>
        </w:numPr>
        <w:ind w:hanging="720"/>
      </w:pPr>
      <w:r>
        <w:t>The authorization ho</w:t>
      </w:r>
      <w:r>
        <w:t xml:space="preserve">lder </w:t>
      </w:r>
      <w:r w:rsidRPr="6B478506">
        <w:t>no longer meets the qualifications for a direct access authorization</w:t>
      </w:r>
      <w:r>
        <w:t xml:space="preserve"> (e.g., the authorization holder no longer meets the application certification requirements or the conditions applicable to authorization holders under the Commission’s rules);</w:t>
      </w:r>
      <w:r>
        <w:rPr>
          <w:rStyle w:val="FootnoteReference"/>
        </w:rPr>
        <w:footnoteReference w:id="216"/>
      </w:r>
    </w:p>
    <w:p w:rsidR="00810097" w:rsidP="0011211D" w14:paraId="758C4570" w14:textId="77777777">
      <w:pPr>
        <w:pStyle w:val="ParaNum"/>
        <w:widowControl/>
        <w:numPr>
          <w:ilvl w:val="1"/>
          <w:numId w:val="7"/>
        </w:numPr>
        <w:ind w:hanging="720"/>
      </w:pPr>
      <w:r>
        <w:t xml:space="preserve">The </w:t>
      </w:r>
      <w:r>
        <w:t xml:space="preserve">authorization holder, or </w:t>
      </w:r>
      <w:r w:rsidRPr="762A295A">
        <w:t xml:space="preserve">officer or </w:t>
      </w:r>
      <w:r>
        <w:t>authorized representative of the authorization holder, has made a false statement or certification to the Commission;</w:t>
      </w:r>
      <w:r w:rsidRPr="6B478506">
        <w:t xml:space="preserve"> or</w:t>
      </w:r>
    </w:p>
    <w:p w:rsidR="00810097" w:rsidP="00810097" w14:paraId="2150CEF4" w14:textId="77777777">
      <w:pPr>
        <w:pStyle w:val="ParaNum"/>
        <w:widowControl/>
        <w:numPr>
          <w:ilvl w:val="1"/>
          <w:numId w:val="7"/>
        </w:numPr>
        <w:ind w:hanging="720"/>
      </w:pPr>
      <w:r>
        <w:t>R</w:t>
      </w:r>
      <w:r w:rsidRPr="6B478506">
        <w:t xml:space="preserve">evoking </w:t>
      </w:r>
      <w:r w:rsidRPr="009E557A">
        <w:t>and/or terminating</w:t>
      </w:r>
      <w:r w:rsidRPr="6B478506">
        <w:t xml:space="preserve"> the authorization is in the public interest</w:t>
      </w:r>
      <w:r>
        <w:t xml:space="preserve"> (e.g., the Commission’s ass</w:t>
      </w:r>
      <w:r>
        <w:t>essment of the record evidence, including any filing by the Executive Branch agencies stating that retention of the authorization presents national security, law enforcement, foreign policy, and/or trade policy concerns and/or violates the terms of a mitig</w:t>
      </w:r>
      <w:r>
        <w:t>ation agreement reached with the Executive Branch agencies)</w:t>
      </w:r>
      <w:r w:rsidRPr="00D303B6">
        <w:t>.</w:t>
      </w:r>
      <w:r>
        <w:rPr>
          <w:rStyle w:val="FootnoteReference"/>
          <w:sz w:val="22"/>
          <w:szCs w:val="22"/>
        </w:rPr>
        <w:footnoteReference w:id="217"/>
      </w:r>
      <w:r w:rsidRPr="6B478506">
        <w:t xml:space="preserve"> </w:t>
      </w:r>
    </w:p>
    <w:p w:rsidR="00810097" w:rsidRPr="00D303B6" w:rsidP="00810097" w14:paraId="202ECBB6" w14:textId="77777777">
      <w:pPr>
        <w:pStyle w:val="ParaNum"/>
      </w:pPr>
      <w:r w:rsidRPr="6B478506">
        <w:t>We delegate authority to the</w:t>
      </w:r>
      <w:r>
        <w:t xml:space="preserve"> Bureau and the Enforcement</w:t>
      </w:r>
      <w:r w:rsidRPr="6B478506">
        <w:t xml:space="preserve"> Bureau to </w:t>
      </w:r>
      <w:r>
        <w:t>determine appropriate procedures and initiate</w:t>
      </w:r>
      <w:r w:rsidRPr="6B478506">
        <w:t xml:space="preserve"> revocation </w:t>
      </w:r>
      <w:r>
        <w:t xml:space="preserve">and/or termination </w:t>
      </w:r>
      <w:r w:rsidRPr="6B478506">
        <w:t>proceedings</w:t>
      </w:r>
      <w:r>
        <w:t xml:space="preserve"> and to revoke and/or terminate an authorization, as </w:t>
      </w:r>
      <w:r w:rsidRPr="00BB795B">
        <w:t>required by due process and applicable law</w:t>
      </w:r>
      <w:r>
        <w:rPr>
          <w:rStyle w:val="FootnoteReference"/>
          <w:szCs w:val="22"/>
        </w:rPr>
        <w:footnoteReference w:id="218"/>
      </w:r>
      <w:r w:rsidRPr="00BB795B">
        <w:t xml:space="preserve"> and in light of the </w:t>
      </w:r>
      <w:r>
        <w:t xml:space="preserve">relevant </w:t>
      </w:r>
      <w:r w:rsidRPr="00BB795B">
        <w:t>facts and circumstances</w:t>
      </w:r>
      <w:r>
        <w:t>, including providing the authorization holder with notice and opportunity to respond.</w:t>
      </w:r>
      <w:r>
        <w:rPr>
          <w:rStyle w:val="FootnoteReference"/>
        </w:rPr>
        <w:footnoteReference w:id="219"/>
      </w:r>
      <w:r w:rsidRPr="009B2949">
        <w:t xml:space="preserve"> </w:t>
      </w:r>
      <w:r>
        <w:t xml:space="preserve"> </w:t>
      </w:r>
      <w:r w:rsidRPr="6B478506">
        <w:t xml:space="preserve"> </w:t>
      </w:r>
    </w:p>
    <w:p w:rsidR="00810097" w:rsidRPr="00D303B6" w:rsidP="00810097" w14:paraId="3E49BC6A" w14:textId="77777777">
      <w:pPr>
        <w:pStyle w:val="ParaNum"/>
      </w:pPr>
      <w:r w:rsidRPr="1788213D">
        <w:t>We also delega</w:t>
      </w:r>
      <w:r w:rsidRPr="1788213D">
        <w:t>te authority to the</w:t>
      </w:r>
      <w:r>
        <w:t xml:space="preserve"> Bureau and the Enforcement</w:t>
      </w:r>
      <w:r w:rsidRPr="1788213D">
        <w:t xml:space="preserve"> Bureau to direct the Numbering Administrator to suspend the authorization holder’s access to new numbering resources </w:t>
      </w:r>
      <w:r>
        <w:t>after either bureau determines that the authorization holder acted willfully; or public heal</w:t>
      </w:r>
      <w:r>
        <w:t xml:space="preserve">th, interest, or safety requires an immediate suspension; or after giving the authorization holder notice and an opportunity to </w:t>
      </w:r>
      <w:r>
        <w:t>demonstrate or achieve compliance with our rules.</w:t>
      </w:r>
      <w:r>
        <w:rPr>
          <w:rStyle w:val="FootnoteReference"/>
        </w:rPr>
        <w:footnoteReference w:id="220"/>
      </w:r>
      <w:r w:rsidRPr="1788213D">
        <w:t xml:space="preserve">  Once </w:t>
      </w:r>
      <w:r>
        <w:t>either</w:t>
      </w:r>
      <w:r w:rsidRPr="1788213D">
        <w:t xml:space="preserve"> </w:t>
      </w:r>
      <w:r>
        <w:t>b</w:t>
      </w:r>
      <w:r w:rsidRPr="1788213D">
        <w:t xml:space="preserve">ureau revokes </w:t>
      </w:r>
      <w:r>
        <w:t xml:space="preserve">and/or terminates </w:t>
      </w:r>
      <w:r w:rsidRPr="1788213D">
        <w:t>the authorization, the interco</w:t>
      </w:r>
      <w:r w:rsidRPr="1788213D">
        <w:t>nnected VoIP provider may no longer obtain additional numbers from the Numbering Administrator</w:t>
      </w:r>
      <w:r>
        <w:t>.</w:t>
      </w:r>
      <w:r>
        <w:rPr>
          <w:rStyle w:val="FootnoteReference"/>
        </w:rPr>
        <w:footnoteReference w:id="221"/>
      </w:r>
      <w:r w:rsidRPr="1788213D">
        <w:t xml:space="preserve"> </w:t>
      </w:r>
      <w:r>
        <w:t xml:space="preserve"> I</w:t>
      </w:r>
      <w:r w:rsidRPr="00D303B6">
        <w:t>nterconnected VoIP providers that have had their authorizations revoked may reapply for a new authorization if they can demonstrate that they have cured the</w:t>
      </w:r>
      <w:r w:rsidRPr="00D303B6">
        <w:t xml:space="preserve"> grounds for the revocation </w:t>
      </w:r>
      <w:r>
        <w:t>and</w:t>
      </w:r>
      <w:r w:rsidRPr="00D303B6">
        <w:t xml:space="preserve"> have taken measures to ensure they will not arise again.</w:t>
      </w:r>
      <w:r>
        <w:rPr>
          <w:rStyle w:val="FootnoteReference"/>
        </w:rPr>
        <w:footnoteReference w:id="222"/>
      </w:r>
      <w:r w:rsidRPr="00D303B6">
        <w:t xml:space="preserve">  </w:t>
      </w:r>
    </w:p>
    <w:p w:rsidR="00810097" w:rsidP="00810097" w14:paraId="2DCE0A4C" w14:textId="77777777">
      <w:pPr>
        <w:pStyle w:val="ParaNum"/>
      </w:pPr>
      <w:r w:rsidRPr="00D83592">
        <w:t xml:space="preserve">As </w:t>
      </w:r>
      <w:r>
        <w:t>affirmed</w:t>
      </w:r>
      <w:r w:rsidRPr="00D83592">
        <w:t xml:space="preserve"> recently in our </w:t>
      </w:r>
      <w:r w:rsidRPr="3A63744E">
        <w:rPr>
          <w:i/>
          <w:iCs/>
        </w:rPr>
        <w:t>Caller ID Authentication Sixth Report and Order</w:t>
      </w:r>
      <w:r w:rsidRPr="00D83592">
        <w:t>, where the Commission grants a right or privilege, it unquestionably has the right to r</w:t>
      </w:r>
      <w:r w:rsidRPr="00D83592">
        <w:t>evoke or deny that right or privilege in appropriate circumstances.</w:t>
      </w:r>
      <w:r>
        <w:rPr>
          <w:rStyle w:val="FootnoteReference"/>
        </w:rPr>
        <w:footnoteReference w:id="223"/>
      </w:r>
      <w:r w:rsidRPr="00D83592">
        <w:t xml:space="preserve">  </w:t>
      </w:r>
      <w:r>
        <w:t>In addition, holders of these and all Commission authorizations have a clear and demonstrable duty to operate in the public interest.</w:t>
      </w:r>
      <w:r>
        <w:rPr>
          <w:rStyle w:val="FootnoteReference"/>
        </w:rPr>
        <w:footnoteReference w:id="224"/>
      </w:r>
      <w:r>
        <w:t xml:space="preserve">  The action we take today promotes transparency i</w:t>
      </w:r>
      <w:r>
        <w:t xml:space="preserve">nto our direct access authorization enforcement mechanisms by formalizing in our rules the procedure by which we will revoke such authorizations.  This step will put bad actors on notice regarding the consequences they will face if they flout the rules.  </w:t>
      </w:r>
      <w:r w:rsidRPr="1788213D">
        <w:t>O</w:t>
      </w:r>
      <w:r w:rsidRPr="1788213D">
        <w:t>ur delegation of authority to the Bureau</w:t>
      </w:r>
      <w:r>
        <w:t>s</w:t>
      </w:r>
      <w:r w:rsidRPr="1788213D">
        <w:t xml:space="preserve"> will permit efficient processing of revocations, allowing the Commission to respond to bad actors in a timely manner.  </w:t>
      </w:r>
    </w:p>
    <w:p w:rsidR="00810097" w:rsidRPr="00990945" w:rsidP="00810097" w14:paraId="546DCCA4" w14:textId="77777777">
      <w:pPr>
        <w:pStyle w:val="ParaNum"/>
      </w:pPr>
      <w:r w:rsidRPr="762A295A">
        <w:t xml:space="preserve">The record overwhelmingly supports these proposals.  </w:t>
      </w:r>
      <w:r>
        <w:t>One commenter</w:t>
      </w:r>
      <w:r w:rsidRPr="762A295A">
        <w:t xml:space="preserve">, for example, </w:t>
      </w:r>
      <w:r>
        <w:t>states that “</w:t>
      </w:r>
      <w:r>
        <w:t>[i]t is important for the Commission to affirm its commitment to invoking this enforcement authority, because complaints under Section 208 cannot be brought against VoIP providers, given their lack of common carrier status.  Use of this enforcement authori</w:t>
      </w:r>
      <w:r>
        <w:t>ty with respect to VoIP entities will help ‘combat access stimulation and other intercarrier compensation abuses . . . .’”</w:t>
      </w:r>
      <w:r>
        <w:rPr>
          <w:rStyle w:val="FootnoteReference"/>
        </w:rPr>
        <w:footnoteReference w:id="225"/>
      </w:r>
      <w:r>
        <w:t xml:space="preserve">  Similarly, another commenter states “if a Direct Access grantee is clearly found to be engaged in [intercarrier compensation] arbi</w:t>
      </w:r>
      <w:r>
        <w:t>trage abuse, the FCC must impose real consequences for such abuses because VoIP providers and other noncommon carrier Direct Access grantees are not subject to Section 208 of the Communications Act.”</w:t>
      </w:r>
      <w:r>
        <w:rPr>
          <w:rStyle w:val="FootnoteReference"/>
        </w:rPr>
        <w:footnoteReference w:id="226"/>
      </w:r>
      <w:r>
        <w:t xml:space="preserve">  </w:t>
      </w:r>
    </w:p>
    <w:p w:rsidR="00810097" w:rsidP="00887C6A" w14:paraId="6673AF62" w14:textId="538C8A29">
      <w:pPr>
        <w:pStyle w:val="Heading2"/>
      </w:pPr>
      <w:bookmarkStart w:id="36" w:name="_Toc146047068"/>
      <w:bookmarkStart w:id="37" w:name="_Toc146179060"/>
      <w:r>
        <w:t>North American Numbering Council Referrals</w:t>
      </w:r>
      <w:bookmarkEnd w:id="36"/>
      <w:bookmarkEnd w:id="37"/>
    </w:p>
    <w:p w:rsidR="00810097" w:rsidRPr="00C67AD0" w:rsidP="00810097" w14:paraId="0EFF7847" w14:textId="77777777">
      <w:pPr>
        <w:pStyle w:val="ParaNum"/>
        <w:widowControl/>
      </w:pPr>
      <w:r w:rsidRPr="3A63744E">
        <w:rPr>
          <w:i/>
          <w:iCs/>
        </w:rPr>
        <w:t xml:space="preserve">Number use and resale generally.  </w:t>
      </w:r>
      <w:r>
        <w:t>T</w:t>
      </w:r>
      <w:r w:rsidRPr="762A295A">
        <w:t xml:space="preserve">he </w:t>
      </w:r>
      <w:r w:rsidRPr="3A63744E">
        <w:rPr>
          <w:i/>
          <w:iCs/>
        </w:rPr>
        <w:t>VoIP Direct Access Further Notice</w:t>
      </w:r>
      <w:r w:rsidRPr="762A295A">
        <w:t xml:space="preserve"> sought comment on </w:t>
      </w:r>
      <w:r>
        <w:t>whether direct access</w:t>
      </w:r>
      <w:r w:rsidRPr="762A295A">
        <w:t xml:space="preserve"> applicants</w:t>
      </w:r>
      <w:r>
        <w:t xml:space="preserve"> should</w:t>
      </w:r>
      <w:r w:rsidRPr="762A295A">
        <w:t xml:space="preserve"> certify that the </w:t>
      </w:r>
      <w:r>
        <w:t xml:space="preserve">numbers </w:t>
      </w:r>
      <w:r w:rsidRPr="762A295A">
        <w:t>they are applying for will only be used to provide interconnected VoIP services</w:t>
      </w:r>
      <w:r>
        <w:t>.</w:t>
      </w:r>
      <w:r>
        <w:rPr>
          <w:rStyle w:val="FootnoteReference"/>
        </w:rPr>
        <w:footnoteReference w:id="227"/>
      </w:r>
      <w:r w:rsidRPr="762A295A">
        <w:t xml:space="preserve">  </w:t>
      </w:r>
      <w:r w:rsidRPr="00C67AD0">
        <w:t>The record we rec</w:t>
      </w:r>
      <w:r w:rsidRPr="00C67AD0">
        <w:t xml:space="preserve">eived regarding this issue was insufficient for us to determine </w:t>
      </w:r>
      <w:r>
        <w:t xml:space="preserve">precisely </w:t>
      </w:r>
      <w:r w:rsidRPr="00C67AD0">
        <w:t>how interconnected VoIP providers are using the numbers they obtain</w:t>
      </w:r>
      <w:r>
        <w:t xml:space="preserve">, </w:t>
      </w:r>
      <w:r w:rsidRPr="762A295A">
        <w:t xml:space="preserve">whether any such uses result in violations of </w:t>
      </w:r>
      <w:r>
        <w:t>our</w:t>
      </w:r>
      <w:r w:rsidRPr="762A295A">
        <w:t xml:space="preserve"> rules</w:t>
      </w:r>
      <w:r w:rsidRPr="00D303B6">
        <w:t>,</w:t>
      </w:r>
      <w:r w:rsidRPr="762A295A">
        <w:t xml:space="preserve"> and whether any further restrictions would have anticomp</w:t>
      </w:r>
      <w:r w:rsidRPr="762A295A">
        <w:t>etitive effects or impair neutrality with respect to technology.</w:t>
      </w:r>
      <w:r>
        <w:t xml:space="preserve">  While the revised certifications and accompanying obligations we adopt herein should substantially aid our efforts to curtail unlawful uses of numbering resources, questions remain </w:t>
      </w:r>
      <w:r w:rsidRPr="762A295A">
        <w:t>as to how</w:t>
      </w:r>
      <w:r w:rsidRPr="762A295A">
        <w:t xml:space="preserve"> numbers obtained by interconnected</w:t>
      </w:r>
      <w:r>
        <w:t xml:space="preserve"> </w:t>
      </w:r>
      <w:r w:rsidRPr="762A295A">
        <w:t xml:space="preserve">VoIP providers </w:t>
      </w:r>
      <w:r>
        <w:t xml:space="preserve">may continue to </w:t>
      </w:r>
      <w:r w:rsidRPr="762A295A">
        <w:t>facilitat</w:t>
      </w:r>
      <w:r>
        <w:t>e</w:t>
      </w:r>
      <w:r w:rsidRPr="762A295A">
        <w:t xml:space="preserve"> illegal robocalling or access stimulation, a</w:t>
      </w:r>
      <w:r>
        <w:t>s well as</w:t>
      </w:r>
      <w:r w:rsidRPr="762A295A">
        <w:t xml:space="preserve"> how our policies affect </w:t>
      </w:r>
      <w:r>
        <w:t xml:space="preserve">number </w:t>
      </w:r>
      <w:r w:rsidRPr="762A295A">
        <w:t>exhausti</w:t>
      </w:r>
      <w:r>
        <w:t>on</w:t>
      </w:r>
      <w:r w:rsidRPr="762A295A">
        <w:t xml:space="preserve"> in particular area codes.</w:t>
      </w:r>
      <w:r>
        <w:rPr>
          <w:rStyle w:val="FootnoteReference"/>
        </w:rPr>
        <w:footnoteReference w:id="228"/>
      </w:r>
      <w:r w:rsidRPr="762A295A">
        <w:t xml:space="preserve">  </w:t>
      </w:r>
      <w:r>
        <w:t>The NANC is entrusted with advising the Commission on</w:t>
      </w:r>
      <w:r>
        <w:t xml:space="preserve"> numbering policy and technical issues associated with numbering “in the changing world of communications” and must ensure that the NANP administration does not unduly favor or disfavor one technology over another.</w:t>
      </w:r>
      <w:r>
        <w:rPr>
          <w:rStyle w:val="FootnoteReference"/>
        </w:rPr>
        <w:footnoteReference w:id="229"/>
      </w:r>
      <w:r>
        <w:t xml:space="preserve">  </w:t>
      </w:r>
      <w:r w:rsidRPr="00187763">
        <w:t>In light of the limited record on this</w:t>
      </w:r>
      <w:r w:rsidRPr="00187763">
        <w:t xml:space="preserve"> important issue of number use by interconnected VoIP providers, including number use by direct and indirect customers of such providers</w:t>
      </w:r>
      <w:r>
        <w:t xml:space="preserve"> and further consideration of additional measures to combat illegal robocalls such as know-your-customer obligations</w:t>
      </w:r>
      <w:r w:rsidRPr="00187763">
        <w:t>,</w:t>
      </w:r>
      <w:r>
        <w:rPr>
          <w:rStyle w:val="FootnoteReference"/>
        </w:rPr>
        <w:footnoteReference w:id="230"/>
      </w:r>
      <w:r w:rsidRPr="00187763">
        <w:t xml:space="preserve"> </w:t>
      </w:r>
      <w:r w:rsidRPr="00187763">
        <w:t>we therefore direct the Bureau to request that the NANC examine and report on:</w:t>
      </w:r>
    </w:p>
    <w:p w:rsidR="00810097" w:rsidP="00810097" w14:paraId="5D663C58" w14:textId="77777777">
      <w:pPr>
        <w:pStyle w:val="ParaNum"/>
        <w:numPr>
          <w:ilvl w:val="0"/>
          <w:numId w:val="0"/>
        </w:numPr>
        <w:ind w:left="1440" w:hanging="720"/>
      </w:pPr>
      <w:r>
        <w:t xml:space="preserve">(1) </w:t>
      </w:r>
      <w:r>
        <w:tab/>
        <w:t xml:space="preserve">how interconnected </w:t>
      </w:r>
      <w:r w:rsidRPr="762A295A">
        <w:t xml:space="preserve">VoIP providers that obtain direct access to numbers are using those </w:t>
      </w:r>
      <w:r>
        <w:t>numbering resources</w:t>
      </w:r>
      <w:r w:rsidRPr="762A295A">
        <w:t xml:space="preserve"> today</w:t>
      </w:r>
      <w:r>
        <w:t xml:space="preserve">, </w:t>
      </w:r>
      <w:r w:rsidRPr="762A295A">
        <w:t>including, for example, the extent to which they use numbe</w:t>
      </w:r>
      <w:r w:rsidRPr="762A295A">
        <w:t xml:space="preserve">rs obtained </w:t>
      </w:r>
      <w:r>
        <w:t xml:space="preserve">in a state to serve the customers of that state, </w:t>
      </w:r>
      <w:r w:rsidRPr="762A295A">
        <w:t>the extent to which they use numbers obtained via direct access to provide non-interconnected VoIP service,</w:t>
      </w:r>
      <w:r>
        <w:t xml:space="preserve"> and </w:t>
      </w:r>
      <w:r w:rsidRPr="762A295A">
        <w:t>the extent to which numbers obtained via direct access are resold to other provider</w:t>
      </w:r>
      <w:r w:rsidRPr="762A295A">
        <w:t>s;</w:t>
      </w:r>
    </w:p>
    <w:p w:rsidR="00810097" w:rsidP="00810097" w14:paraId="3625E70B" w14:textId="4F2D7E58">
      <w:pPr>
        <w:pStyle w:val="ParaNum"/>
        <w:numPr>
          <w:ilvl w:val="0"/>
          <w:numId w:val="0"/>
        </w:numPr>
        <w:ind w:left="1440" w:hanging="720"/>
      </w:pPr>
      <w:r w:rsidRPr="762A295A">
        <w:t xml:space="preserve">(2) </w:t>
      </w:r>
      <w:r>
        <w:tab/>
      </w:r>
      <w:bookmarkStart w:id="38" w:name="comebackhere"/>
      <w:bookmarkEnd w:id="38"/>
      <w:r w:rsidR="003C22BC">
        <w:t xml:space="preserve">those </w:t>
      </w:r>
      <w:r w:rsidRPr="762A295A">
        <w:t>uses in terms of compliance with the Commission’s robocalling</w:t>
      </w:r>
      <w:r>
        <w:t>, Access Stimulation</w:t>
      </w:r>
      <w:r w:rsidRPr="762A295A">
        <w:t xml:space="preserve"> and other rules,</w:t>
      </w:r>
      <w:r>
        <w:t xml:space="preserve"> area code</w:t>
      </w:r>
      <w:r w:rsidRPr="762A295A">
        <w:t xml:space="preserve"> exhaust</w:t>
      </w:r>
      <w:r>
        <w:t>ion</w:t>
      </w:r>
      <w:r w:rsidRPr="762A295A">
        <w:t>, and other public interest concerns, including potential consumer benefits or competitive harms of increasing the availabi</w:t>
      </w:r>
      <w:r w:rsidRPr="762A295A">
        <w:t>lity of direct access to numbers or placing more limits on the use of numbers obtained via direct access; and</w:t>
      </w:r>
    </w:p>
    <w:p w:rsidR="00810097" w:rsidP="00810097" w14:paraId="671D5A20" w14:textId="77777777">
      <w:pPr>
        <w:pStyle w:val="ParaNum"/>
        <w:numPr>
          <w:ilvl w:val="0"/>
          <w:numId w:val="0"/>
        </w:numPr>
        <w:ind w:left="1440" w:hanging="720"/>
      </w:pPr>
      <w:r w:rsidRPr="762A295A">
        <w:t xml:space="preserve">(3) </w:t>
      </w:r>
      <w:r>
        <w:tab/>
        <w:t>possible options for mitigating any identified adverse impacts on consumers of number disuse, misuse, and resale, and how any Commission-impo</w:t>
      </w:r>
      <w:r>
        <w:t>sed requirements for, or limits on, number use or resale would impact consumers, providers, and competition</w:t>
      </w:r>
      <w:r w:rsidRPr="762A295A">
        <w:t xml:space="preserve">. </w:t>
      </w:r>
      <w:r>
        <w:t xml:space="preserve"> </w:t>
      </w:r>
    </w:p>
    <w:p w:rsidR="00810097" w:rsidRPr="00810097" w:rsidP="0011211D" w14:paraId="49467029" w14:textId="77777777">
      <w:pPr>
        <w:widowControl/>
        <w:spacing w:after="120"/>
      </w:pPr>
      <w:r w:rsidRPr="00810097">
        <w:t>We additionally require that the NANC examine, in considering how to minimize the adverse impacts on consumers and/or area code exhaustion arisin</w:t>
      </w:r>
      <w:r w:rsidRPr="00810097">
        <w:t>g from interconnected VoIP providers obtaining numbers in a state where they serve few or no customers, the efficacy of Commission adoption of a “minimum contacts” requirement to obtain numbering resources in a particular state; and possible options for de</w:t>
      </w:r>
      <w:r w:rsidRPr="00810097">
        <w:t>fining such a standard.</w:t>
      </w:r>
    </w:p>
    <w:p w:rsidR="00810097" w:rsidRPr="00810097" w:rsidP="00810097" w14:paraId="054EC014" w14:textId="77777777">
      <w:pPr>
        <w:pStyle w:val="ParaNum"/>
      </w:pPr>
      <w:r w:rsidRPr="00810097">
        <w:rPr>
          <w:i/>
          <w:iCs/>
        </w:rPr>
        <w:t xml:space="preserve">Foreign-originated calls and use of numbers obtained indirectly.  </w:t>
      </w:r>
      <w:r w:rsidRPr="00810097">
        <w:t xml:space="preserve">Questions also remain regarding the use of U.S. NANP numbers for calls that originate abroad and terminate in the U.S. market.  In the </w:t>
      </w:r>
      <w:r w:rsidRPr="00810097">
        <w:rPr>
          <w:i/>
          <w:iCs/>
        </w:rPr>
        <w:t>Fifth Caller ID Authentication Further Notice</w:t>
      </w:r>
      <w:r w:rsidRPr="00810097">
        <w:t>, we sought comment on whether we should restrict the use of domestic number</w:t>
      </w:r>
      <w:r w:rsidRPr="00810097">
        <w:t>ing resources for such calls in order to prevent illegal robocalls, and whether other countries’ regulations provide a useful roadmap for our own.</w:t>
      </w:r>
      <w:r>
        <w:rPr>
          <w:vertAlign w:val="superscript"/>
        </w:rPr>
        <w:footnoteReference w:id="231"/>
      </w:r>
      <w:r w:rsidRPr="00810097">
        <w:t xml:space="preserve">  We also sought comment on whether we should restrict indirect access to numbers (e.g., numbers obtained on</w:t>
      </w:r>
      <w:r w:rsidRPr="00810097">
        <w:t xml:space="preserve"> the secondary market) by both interconnected VoIP providers and carriers generally, or only for numbers that would be used in foreign-originated calls.</w:t>
      </w:r>
      <w:r>
        <w:rPr>
          <w:vertAlign w:val="superscript"/>
        </w:rPr>
        <w:footnoteReference w:id="232"/>
      </w:r>
      <w:r w:rsidRPr="00810097">
        <w:t xml:space="preserve">  </w:t>
      </w:r>
    </w:p>
    <w:p w:rsidR="00810097" w:rsidRPr="00810097" w:rsidP="00810097" w14:paraId="392B8360" w14:textId="77777777">
      <w:pPr>
        <w:pStyle w:val="ParaNum"/>
      </w:pPr>
      <w:r w:rsidRPr="00810097">
        <w:t>Commenters in that proceeding agreed that some entities are increasingly using numbers obtained, pa</w:t>
      </w:r>
      <w:r w:rsidRPr="00810097">
        <w:t>rticularly through indirect access, to originate illegal robocalls.</w:t>
      </w:r>
      <w:r>
        <w:rPr>
          <w:vertAlign w:val="superscript"/>
        </w:rPr>
        <w:footnoteReference w:id="233"/>
      </w:r>
      <w:r w:rsidRPr="00810097">
        <w:t xml:space="preserve">  TNS recently noted that “numbers may be purchased separately with one provider and linked with outbound calling minutes from a second,” which it argued “is a major source of bad actor t</w:t>
      </w:r>
      <w:r w:rsidRPr="00810097">
        <w:t>raffic.”</w:t>
      </w:r>
      <w:r>
        <w:rPr>
          <w:vertAlign w:val="superscript"/>
        </w:rPr>
        <w:footnoteReference w:id="234"/>
      </w:r>
      <w:r w:rsidRPr="00810097">
        <w:t xml:space="preserve">  Indeed, the success of STIR/SHAKEN “may already be responsible for some bad actors shifting to acquiring batches of real numbers instead of spoofing.”</w:t>
      </w:r>
      <w:r>
        <w:rPr>
          <w:vertAlign w:val="superscript"/>
        </w:rPr>
        <w:footnoteReference w:id="235"/>
      </w:r>
      <w:r w:rsidRPr="00810097">
        <w:t xml:space="preserve">  Commenters disagreed, however, on whether and what steps should be taken to prevent such a</w:t>
      </w:r>
      <w:r w:rsidRPr="00810097">
        <w:t>buse,</w:t>
      </w:r>
      <w:r>
        <w:rPr>
          <w:vertAlign w:val="superscript"/>
        </w:rPr>
        <w:footnoteReference w:id="236"/>
      </w:r>
      <w:r w:rsidRPr="00810097">
        <w:t xml:space="preserve"> including the appropriate liability standard,</w:t>
      </w:r>
      <w:r>
        <w:rPr>
          <w:vertAlign w:val="superscript"/>
        </w:rPr>
        <w:footnoteReference w:id="237"/>
      </w:r>
      <w:r w:rsidRPr="00810097">
        <w:t xml:space="preserve"> and whether restrictions should apply to all providers or solely to interconnected VoIP providers.</w:t>
      </w:r>
      <w:r>
        <w:rPr>
          <w:vertAlign w:val="superscript"/>
        </w:rPr>
        <w:footnoteReference w:id="238"/>
      </w:r>
      <w:r w:rsidRPr="00810097">
        <w:t xml:space="preserve">  Commenters urged the </w:t>
      </w:r>
      <w:r w:rsidRPr="00810097">
        <w:t>Commission to proceed cautiously when considering restrictions.</w:t>
      </w:r>
      <w:r>
        <w:rPr>
          <w:vertAlign w:val="superscript"/>
        </w:rPr>
        <w:footnoteReference w:id="239"/>
      </w:r>
      <w:r w:rsidRPr="00810097">
        <w:t xml:space="preserve">  Notably, n</w:t>
      </w:r>
      <w:r w:rsidRPr="00810097">
        <w:t xml:space="preserve">o party in that proceeding addressed the merits of specific foreign restrictions on numbering usage raised in the </w:t>
      </w:r>
      <w:r w:rsidRPr="00810097">
        <w:rPr>
          <w:i/>
          <w:iCs/>
        </w:rPr>
        <w:t>Caller ID Authentication Fifth Further Notice</w:t>
      </w:r>
      <w:r w:rsidRPr="00810097">
        <w:t xml:space="preserve"> and their applicability to the U.S. marketplace.</w:t>
      </w:r>
    </w:p>
    <w:p w:rsidR="00810097" w:rsidRPr="00810097" w:rsidP="00810097" w14:paraId="555BD7FC" w14:textId="77777777">
      <w:pPr>
        <w:pStyle w:val="ParaNum"/>
      </w:pPr>
      <w:r w:rsidRPr="00810097">
        <w:t>In light of the complexity of numbering arrange</w:t>
      </w:r>
      <w:r w:rsidRPr="00810097">
        <w:t>ments, the mixed record in this and related proceedings where this issue has arisen, and limited comment on the specific number usage restrictions in place in other countries, we agree with commenters in the Call Authentication Trust Anchor docket who argu</w:t>
      </w:r>
      <w:r w:rsidRPr="00810097">
        <w:t>e that we should proceed cautiously.</w:t>
      </w:r>
      <w:r>
        <w:rPr>
          <w:vertAlign w:val="superscript"/>
        </w:rPr>
        <w:footnoteReference w:id="240"/>
      </w:r>
      <w:r w:rsidRPr="00810097">
        <w:t xml:space="preserve">  We therefore direct the Bureau to request that the NANC examine and report on:</w:t>
      </w:r>
    </w:p>
    <w:p w:rsidR="00810097" w:rsidP="00810097" w14:paraId="7C939F88" w14:textId="77777777">
      <w:pPr>
        <w:pStyle w:val="ParaNum"/>
        <w:numPr>
          <w:ilvl w:val="0"/>
          <w:numId w:val="10"/>
        </w:numPr>
        <w:ind w:left="1440" w:hanging="720"/>
      </w:pPr>
      <w:r>
        <w:t>the use of numbers obtained on the secondary market;</w:t>
      </w:r>
      <w:r>
        <w:rPr>
          <w:rStyle w:val="FootnoteReference"/>
        </w:rPr>
        <w:footnoteReference w:id="241"/>
      </w:r>
    </w:p>
    <w:p w:rsidR="00810097" w:rsidP="00810097" w14:paraId="465C0F2E" w14:textId="77777777">
      <w:pPr>
        <w:pStyle w:val="ParaNum"/>
        <w:numPr>
          <w:ilvl w:val="0"/>
          <w:numId w:val="10"/>
        </w:numPr>
        <w:ind w:left="1440" w:hanging="720"/>
      </w:pPr>
      <w:r>
        <w:t xml:space="preserve">the use of U.S. NANP numbers for calls that originate abroad and </w:t>
      </w:r>
      <w:r>
        <w:t>terminate in the U.S. market; and</w:t>
      </w:r>
    </w:p>
    <w:p w:rsidR="00810097" w:rsidP="00810097" w14:paraId="54BF2B68" w14:textId="77777777">
      <w:pPr>
        <w:pStyle w:val="ParaNum"/>
        <w:numPr>
          <w:ilvl w:val="0"/>
          <w:numId w:val="10"/>
        </w:numPr>
        <w:ind w:left="1440" w:hanging="720"/>
      </w:pPr>
      <w:r>
        <w:t>the specific number usage restrictions already in place abroad, and on the likely effect of similar Commission action on providers, consumers, businesses, and illegal robocallers.</w:t>
      </w:r>
    </w:p>
    <w:p w:rsidR="00810097" w:rsidP="00810097" w14:paraId="095BFBAB" w14:textId="77777777">
      <w:pPr>
        <w:pStyle w:val="ParaNum"/>
        <w:numPr>
          <w:ilvl w:val="0"/>
          <w:numId w:val="0"/>
        </w:numPr>
      </w:pPr>
      <w:r>
        <w:t>As part of its referral, the Bureau may ch</w:t>
      </w:r>
      <w:r>
        <w:t>oose to include direction to investigate issues or proposals related to number misuse it concludes may benefit from focused NANC examination, including proposals raised by commenters in the record of this and other related proceedings.</w:t>
      </w:r>
    </w:p>
    <w:p w:rsidR="00810097" w:rsidRPr="00810097" w:rsidP="00810097" w14:paraId="6305882D" w14:textId="77777777">
      <w:pPr>
        <w:pStyle w:val="ParaNum"/>
      </w:pPr>
      <w:r w:rsidRPr="00810097">
        <w:rPr>
          <w:i/>
        </w:rPr>
        <w:t>Supplying numbers to</w:t>
      </w:r>
      <w:r w:rsidRPr="00810097">
        <w:rPr>
          <w:i/>
        </w:rPr>
        <w:t xml:space="preserve"> customers on a trial basis.  </w:t>
      </w:r>
      <w:r w:rsidRPr="00810097">
        <w:t xml:space="preserve">In the </w:t>
      </w:r>
      <w:r w:rsidRPr="00810097">
        <w:rPr>
          <w:i/>
        </w:rPr>
        <w:t>VoIP Direct Access Further Notice</w:t>
      </w:r>
      <w:r w:rsidRPr="00810097">
        <w:t xml:space="preserve">, we asked whether we should require direct access applicants to certify that they will not supply numbers on a trial basis to new customers (i.e., use of numbers for free for the first </w:t>
      </w:r>
      <w:r w:rsidRPr="00810097">
        <w:t>30 days, etc.), a practice that commonly leads to bad actors gaining temporary control over numbers for the purposes of including misleading caller ID information.</w:t>
      </w:r>
      <w:r>
        <w:rPr>
          <w:vertAlign w:val="superscript"/>
        </w:rPr>
        <w:footnoteReference w:id="242"/>
      </w:r>
      <w:r w:rsidRPr="00810097">
        <w:t xml:space="preserve">  While some commenters agreed that supplying numbering resources for trial use can facilit</w:t>
      </w:r>
      <w:r w:rsidRPr="00810097">
        <w:t>ate illegal robocalls, they provided no data to support their assertions.</w:t>
      </w:r>
      <w:r>
        <w:rPr>
          <w:vertAlign w:val="superscript"/>
        </w:rPr>
        <w:footnoteReference w:id="243"/>
      </w:r>
      <w:r w:rsidRPr="00810097">
        <w:t xml:space="preserve">  Accordingly, we refer this issue to the NANC for further study.</w:t>
      </w:r>
      <w:r>
        <w:rPr>
          <w:vertAlign w:val="superscript"/>
        </w:rPr>
        <w:footnoteReference w:id="244"/>
      </w:r>
      <w:r w:rsidRPr="00810097">
        <w:t xml:space="preserve">  Specifically, we direct the Bureau to request that the NANC examine and report on:</w:t>
      </w:r>
    </w:p>
    <w:p w:rsidR="00810097" w:rsidP="00810097" w14:paraId="30765F8F" w14:textId="77777777">
      <w:pPr>
        <w:pStyle w:val="ParaNum"/>
        <w:numPr>
          <w:ilvl w:val="0"/>
          <w:numId w:val="12"/>
        </w:numPr>
        <w:ind w:left="1440" w:hanging="720"/>
      </w:pPr>
      <w:r>
        <w:t>the practice of direct access</w:t>
      </w:r>
      <w:r>
        <w:t xml:space="preserve"> authorization holders supplying telephone numbers to customers on a trial basis;</w:t>
      </w:r>
    </w:p>
    <w:p w:rsidR="00810097" w:rsidP="00810097" w14:paraId="483CBB81" w14:textId="77777777">
      <w:pPr>
        <w:pStyle w:val="ParaNum"/>
        <w:numPr>
          <w:ilvl w:val="0"/>
          <w:numId w:val="12"/>
        </w:numPr>
        <w:ind w:left="1440" w:hanging="720"/>
      </w:pPr>
      <w:r>
        <w:t>the use of such “trial basis” numbers to engage in illegal robocalling, spoofing, or fraud;</w:t>
      </w:r>
    </w:p>
    <w:p w:rsidR="00810097" w:rsidP="00810097" w14:paraId="5CF21370" w14:textId="77777777">
      <w:pPr>
        <w:pStyle w:val="ParaNum"/>
        <w:numPr>
          <w:ilvl w:val="0"/>
          <w:numId w:val="12"/>
        </w:numPr>
        <w:ind w:left="1440" w:hanging="720"/>
      </w:pPr>
      <w:r>
        <w:t>the effect on authorization holders in the event of a Commission prohibition on pr</w:t>
      </w:r>
      <w:r>
        <w:t>oviding numbers on a trial basis; and</w:t>
      </w:r>
    </w:p>
    <w:p w:rsidR="00810097" w:rsidP="00810097" w14:paraId="4DE085C8" w14:textId="77777777">
      <w:pPr>
        <w:pStyle w:val="ParaNum"/>
        <w:numPr>
          <w:ilvl w:val="0"/>
          <w:numId w:val="12"/>
        </w:numPr>
        <w:ind w:left="1440" w:hanging="720"/>
      </w:pPr>
      <w:r>
        <w:t>the effect of supplying telephone numbers to customers on a trial basis on numbering resource exhaust.</w:t>
      </w:r>
    </w:p>
    <w:p w:rsidR="00810097" w:rsidP="00810097" w14:paraId="02D914B2" w14:textId="77777777">
      <w:pPr>
        <w:pStyle w:val="ParaNum"/>
      </w:pPr>
      <w:r w:rsidRPr="000B2B97">
        <w:rPr>
          <w:i/>
          <w:iCs/>
        </w:rPr>
        <w:t>Number reclamation</w:t>
      </w:r>
      <w:r>
        <w:t>.  In the VoIP Direct Access Further Notice, we sought comment on whether we should require an in</w:t>
      </w:r>
      <w:r>
        <w:t>terconnected VoIP provider that has had its direct access authorization revoked to return the numbers that it has already obtained directly.</w:t>
      </w:r>
      <w:r>
        <w:rPr>
          <w:rStyle w:val="FootnoteReference"/>
        </w:rPr>
        <w:footnoteReference w:id="245"/>
      </w:r>
      <w:r>
        <w:t xml:space="preserve">  Some commenters expressed concern that reclaiming numbers when direct access authority is revoked could have pot</w:t>
      </w:r>
      <w:r>
        <w:t>ential negative impacts on consumers, and that we should have proper procedures in place to mitigate these impacts.</w:t>
      </w:r>
      <w:r>
        <w:rPr>
          <w:rStyle w:val="FootnoteReference"/>
        </w:rPr>
        <w:footnoteReference w:id="246"/>
      </w:r>
      <w:r>
        <w:t xml:space="preserve">  In light of the paucity of data submitted in the record, and in order to ensure that number reclamation as a consequence of a revocation </w:t>
      </w:r>
      <w:r>
        <w:t>of direct access authorization will not have a negative impact on consumers, we direct the NANC to study the benefits, risks, and solutions regarding reclamation of numbers when a direct access authorization is revoked, and the impact to consumers and end-</w:t>
      </w:r>
      <w:r>
        <w:t xml:space="preserve">users.  Specifically, we direct the Bureau to request that the NANC examine and report on: </w:t>
      </w:r>
    </w:p>
    <w:p w:rsidR="00810097" w:rsidP="00810097" w14:paraId="018B7F4D" w14:textId="77777777">
      <w:pPr>
        <w:pStyle w:val="ParaNum"/>
        <w:numPr>
          <w:ilvl w:val="0"/>
          <w:numId w:val="13"/>
        </w:numPr>
        <w:ind w:left="1440" w:hanging="720"/>
      </w:pPr>
      <w:r>
        <w:t>the potential impact on consumers, end-users, and providers of number reclamation as a consequence of direct access authorization revocation;</w:t>
      </w:r>
    </w:p>
    <w:p w:rsidR="00810097" w:rsidP="00810097" w14:paraId="5F9F6923" w14:textId="77777777">
      <w:pPr>
        <w:pStyle w:val="ParaNum"/>
        <w:numPr>
          <w:ilvl w:val="0"/>
          <w:numId w:val="13"/>
        </w:numPr>
        <w:ind w:left="1440" w:hanging="720"/>
      </w:pPr>
      <w:r>
        <w:t>how providers or the C</w:t>
      </w:r>
      <w:r>
        <w:t>ommission could mitigate any identifiable negative impacts for consumers and end-users; and</w:t>
      </w:r>
    </w:p>
    <w:p w:rsidR="00810097" w:rsidP="00810097" w14:paraId="01915E74" w14:textId="77777777">
      <w:pPr>
        <w:pStyle w:val="ParaNum"/>
        <w:numPr>
          <w:ilvl w:val="0"/>
          <w:numId w:val="13"/>
        </w:numPr>
        <w:ind w:left="1440" w:hanging="720"/>
      </w:pPr>
      <w:r>
        <w:t>how to accomplish returning reclaimed numbers to providers with reinstated direct access authorization.</w:t>
      </w:r>
    </w:p>
    <w:p w:rsidR="00810097" w:rsidP="00810097" w14:paraId="0CCD73EF" w14:textId="77777777">
      <w:pPr>
        <w:pStyle w:val="ParaNum"/>
        <w:numPr>
          <w:ilvl w:val="0"/>
          <w:numId w:val="0"/>
        </w:numPr>
      </w:pPr>
      <w:r>
        <w:t xml:space="preserve">In its analysis, the NANC should additionally </w:t>
      </w:r>
      <w:r>
        <w:t>describe how interconnected VoIP providers use numbering databases in providing service, and how a restriction on accessing such databases would impact consumers, end-users, and providers.</w:t>
      </w:r>
    </w:p>
    <w:p w:rsidR="00810097" w:rsidP="00887C6A" w14:paraId="14371B63" w14:textId="60C23AA3">
      <w:pPr>
        <w:pStyle w:val="Heading2"/>
      </w:pPr>
      <w:bookmarkStart w:id="39" w:name="_Toc146047069"/>
      <w:bookmarkStart w:id="40" w:name="_Toc146179061"/>
      <w:r>
        <w:t>Cost-Benefit Analysis</w:t>
      </w:r>
      <w:bookmarkEnd w:id="39"/>
      <w:bookmarkEnd w:id="40"/>
    </w:p>
    <w:p w:rsidR="00810097" w:rsidP="00810097" w14:paraId="642D352C" w14:textId="77777777">
      <w:pPr>
        <w:pStyle w:val="ParaNum"/>
      </w:pPr>
      <w:r w:rsidRPr="000B2B97">
        <w:t>The rule clarifications and formalizations ad</w:t>
      </w:r>
      <w:r w:rsidRPr="000B2B97">
        <w:t xml:space="preserve">opted in this </w:t>
      </w:r>
      <w:r w:rsidRPr="000B2B97">
        <w:rPr>
          <w:i/>
        </w:rPr>
        <w:t>Second Report and Order</w:t>
      </w:r>
      <w:r w:rsidRPr="000B2B97">
        <w:t xml:space="preserve"> generally reflect a mandate from the TRACED Act.  We conclude that the expected benefits will exceed the costs, which are minimal.  The Commission found in the </w:t>
      </w:r>
      <w:r w:rsidRPr="000B2B97">
        <w:rPr>
          <w:i/>
        </w:rPr>
        <w:t xml:space="preserve">Caller ID Authentication First Report and Order </w:t>
      </w:r>
      <w:r w:rsidRPr="000B2B97">
        <w:t>that wides</w:t>
      </w:r>
      <w:r w:rsidRPr="000B2B97">
        <w:t>pread deployment of the STIR/SHAKEN framework will increase its effectiveness for both voice service providers and their subscribers, producing a potential annual benefit floor of $13.5 billion due to the reduction in nuisance calls and fraud.</w:t>
      </w:r>
      <w:r>
        <w:rPr>
          <w:vertAlign w:val="superscript"/>
        </w:rPr>
        <w:footnoteReference w:id="247"/>
      </w:r>
      <w:r w:rsidRPr="000B2B97">
        <w:t xml:space="preserve">  In addition, the Commission identified many </w:t>
      </w:r>
      <w:r w:rsidRPr="000B2B97">
        <w:t>non-quantifiable benefits, such as restoring confidence in incoming calls</w:t>
      </w:r>
      <w:r>
        <w:rPr>
          <w:vertAlign w:val="superscript"/>
        </w:rPr>
        <w:footnoteReference w:id="248"/>
      </w:r>
      <w:r w:rsidRPr="000B2B97">
        <w:t xml:space="preserve"> and ensuring reliable access to emergency and healthcare communications.</w:t>
      </w:r>
      <w:r>
        <w:rPr>
          <w:vertAlign w:val="superscript"/>
        </w:rPr>
        <w:footnoteReference w:id="249"/>
      </w:r>
      <w:r w:rsidRPr="000B2B97">
        <w:t xml:space="preserve">  The rules we adopt in this </w:t>
      </w:r>
      <w:r w:rsidRPr="000B2B97">
        <w:rPr>
          <w:i/>
        </w:rPr>
        <w:t>Second Report and Order</w:t>
      </w:r>
      <w:r w:rsidRPr="000B2B97">
        <w:t xml:space="preserve"> are int</w:t>
      </w:r>
      <w:r w:rsidRPr="000B2B97">
        <w:t>ended, consistent with the TRACED Act, to help unlock those benefits.  As the Commission has noted, an overall reduction in illegal robocalls will greatly lower network costs by eliminating both the unwanted traffic and the labor costs of handling numerous</w:t>
      </w:r>
      <w:r w:rsidRPr="000B2B97">
        <w:t xml:space="preserve"> customer complaints.</w:t>
      </w:r>
      <w:r>
        <w:rPr>
          <w:vertAlign w:val="superscript"/>
        </w:rPr>
        <w:footnoteReference w:id="250"/>
      </w:r>
      <w:r w:rsidRPr="000B2B97">
        <w:t xml:space="preserve">  The certifications and disclosures we adopt place minimal burdens on interconnected VoIP providers, and our formalization of the direct access application review process will ensure efficient use of staff time, imposing appropriate</w:t>
      </w:r>
      <w:r w:rsidRPr="000B2B97">
        <w:t xml:space="preserve">ly small costs on Commission staff.  We therefore conclude that the rules we adopt in this </w:t>
      </w:r>
      <w:r w:rsidRPr="000B2B97">
        <w:rPr>
          <w:i/>
        </w:rPr>
        <w:t>Second Report and Order</w:t>
      </w:r>
      <w:r w:rsidRPr="000B2B97">
        <w:t xml:space="preserve"> will impose only a minimal cost on direct access applicants while having the overall effect of materially lowering network costs and raising </w:t>
      </w:r>
      <w:r w:rsidRPr="000B2B97">
        <w:t>consumer benefits</w:t>
      </w:r>
      <w:r>
        <w:t>.</w:t>
      </w:r>
    </w:p>
    <w:p w:rsidR="00810097" w:rsidP="00887C6A" w14:paraId="26FBD727" w14:textId="2647A1D9">
      <w:pPr>
        <w:pStyle w:val="Heading2"/>
      </w:pPr>
      <w:bookmarkStart w:id="41" w:name="_Toc146047070"/>
      <w:bookmarkStart w:id="42" w:name="_Toc146179062"/>
      <w:r>
        <w:t>Legal Authority</w:t>
      </w:r>
      <w:bookmarkEnd w:id="41"/>
      <w:bookmarkEnd w:id="42"/>
    </w:p>
    <w:p w:rsidR="00810097" w:rsidRPr="00D303B6" w:rsidP="00810097" w14:paraId="0FC87B46" w14:textId="77777777">
      <w:pPr>
        <w:pStyle w:val="ParaNum"/>
        <w:rPr>
          <w:szCs w:val="22"/>
        </w:rPr>
      </w:pPr>
      <w:r w:rsidRPr="762A295A">
        <w:t xml:space="preserve">The </w:t>
      </w:r>
      <w:r w:rsidRPr="3A63744E">
        <w:rPr>
          <w:i/>
          <w:iCs/>
        </w:rPr>
        <w:t>VoIP Direct Access Further Notice</w:t>
      </w:r>
      <w:r w:rsidRPr="762A295A">
        <w:t xml:space="preserve"> proposed </w:t>
      </w:r>
      <w:r>
        <w:t xml:space="preserve">concluding </w:t>
      </w:r>
      <w:r w:rsidRPr="762A295A">
        <w:t>that</w:t>
      </w:r>
      <w:r>
        <w:t xml:space="preserve"> our</w:t>
      </w:r>
      <w:r w:rsidRPr="762A295A">
        <w:t xml:space="preserve"> authority for adopting the </w:t>
      </w:r>
      <w:r>
        <w:t xml:space="preserve">new or revised direct access to numbers </w:t>
      </w:r>
      <w:r w:rsidRPr="762A295A">
        <w:t xml:space="preserve">application requirements for interconnected VoIP providers </w:t>
      </w:r>
      <w:r>
        <w:t>arises</w:t>
      </w:r>
      <w:r w:rsidRPr="762A295A">
        <w:t xml:space="preserve"> from section 251(e) o</w:t>
      </w:r>
      <w:r w:rsidRPr="762A295A">
        <w:t xml:space="preserve">f the </w:t>
      </w:r>
      <w:r>
        <w:t xml:space="preserve">Act </w:t>
      </w:r>
      <w:r w:rsidRPr="762A295A">
        <w:t>and section 6(a) of the TRACED Act.</w:t>
      </w:r>
      <w:r>
        <w:rPr>
          <w:rStyle w:val="FootnoteReference"/>
        </w:rPr>
        <w:footnoteReference w:id="251"/>
      </w:r>
      <w:r w:rsidRPr="762A295A">
        <w:t xml:space="preserve">  No commenter opposed th</w:t>
      </w:r>
      <w:r>
        <w:t>e</w:t>
      </w:r>
      <w:r w:rsidRPr="762A295A">
        <w:t>se proposals</w:t>
      </w:r>
      <w:r>
        <w:t xml:space="preserve"> regarding the basis for our legal authority to adopt the requirements described in this </w:t>
      </w:r>
      <w:r w:rsidRPr="00646E18">
        <w:rPr>
          <w:i/>
          <w:iCs/>
        </w:rPr>
        <w:t>Second Report and Order</w:t>
      </w:r>
      <w:r w:rsidRPr="762A295A">
        <w:t xml:space="preserve">.  We conclude that section 251(e) </w:t>
      </w:r>
      <w:r>
        <w:t xml:space="preserve">of the Act </w:t>
      </w:r>
      <w:r w:rsidRPr="762A295A">
        <w:t xml:space="preserve">provides </w:t>
      </w:r>
      <w:r>
        <w:t>suff</w:t>
      </w:r>
      <w:r>
        <w:t xml:space="preserve">icient </w:t>
      </w:r>
      <w:r w:rsidRPr="762A295A">
        <w:t xml:space="preserve">authority for the requirements adopted in this Report and Order and that </w:t>
      </w:r>
      <w:r>
        <w:t>s</w:t>
      </w:r>
      <w:r w:rsidRPr="762A295A">
        <w:t xml:space="preserve">ection 6(a) of the TRACED Act provides both supplemental and independent authority for those requirements </w:t>
      </w:r>
      <w:r>
        <w:t xml:space="preserve">specifically </w:t>
      </w:r>
      <w:r w:rsidRPr="762A295A">
        <w:t>related to fighting illegal robocalls.</w:t>
      </w:r>
    </w:p>
    <w:p w:rsidR="00810097" w:rsidRPr="00337FD7" w:rsidP="00810097" w14:paraId="192DEDB2" w14:textId="77777777">
      <w:pPr>
        <w:pStyle w:val="ParaNum"/>
        <w:rPr>
          <w:szCs w:val="22"/>
        </w:rPr>
      </w:pPr>
      <w:r w:rsidRPr="762A295A">
        <w:t>Section 251(e)(1)</w:t>
      </w:r>
      <w:r w:rsidRPr="762A295A">
        <w:t xml:space="preserve"> </w:t>
      </w:r>
      <w:r>
        <w:t xml:space="preserve">of the Act </w:t>
      </w:r>
      <w:r w:rsidRPr="762A295A">
        <w:t xml:space="preserve">grants </w:t>
      </w:r>
      <w:r>
        <w:t>the Commission</w:t>
      </w:r>
      <w:r w:rsidRPr="762A295A">
        <w:t xml:space="preserve"> “exclusive jurisdiction over those portions of the North American Numbering Plan that pertain to the United States.”</w:t>
      </w:r>
      <w:r>
        <w:rPr>
          <w:rStyle w:val="FootnoteReference"/>
        </w:rPr>
        <w:footnoteReference w:id="252"/>
      </w:r>
      <w:r w:rsidRPr="762A295A">
        <w:t xml:space="preserve">  Based on this grant, in the </w:t>
      </w:r>
      <w:r w:rsidRPr="3A63744E">
        <w:rPr>
          <w:i/>
          <w:iCs/>
        </w:rPr>
        <w:t>VoIP Direct Access Order</w:t>
      </w:r>
      <w:r w:rsidRPr="762A295A">
        <w:t xml:space="preserve"> the Commission concluded that section 251(e)(1) p</w:t>
      </w:r>
      <w:r w:rsidRPr="762A295A">
        <w:t>rovided it with authority “to extend to interconnected VoIP providers both the rights and obligations associated with using telephone numbers.”</w:t>
      </w:r>
      <w:r>
        <w:rPr>
          <w:rStyle w:val="FootnoteReference"/>
        </w:rPr>
        <w:footnoteReference w:id="253"/>
      </w:r>
      <w:r w:rsidRPr="762A295A">
        <w:t xml:space="preserve">  The Commission also has relied on section 251(e)(1) to require interconnected and one-way VoIP providers to i</w:t>
      </w:r>
      <w:r w:rsidRPr="762A295A">
        <w:t>mplement the STIR/SHAKEN caller ID authentication framework and allow customers to reach the National Suicide Prevention Lifeline by dialing 988.</w:t>
      </w:r>
      <w:r>
        <w:rPr>
          <w:rStyle w:val="FootnoteReference"/>
        </w:rPr>
        <w:footnoteReference w:id="254"/>
      </w:r>
      <w:r>
        <w:rPr>
          <w:szCs w:val="22"/>
        </w:rPr>
        <w:t xml:space="preserve">  </w:t>
      </w:r>
      <w:r w:rsidRPr="762A295A">
        <w:t xml:space="preserve">Consistent with the Commission’s well-established reliance on section 251(e) numbering authority with </w:t>
      </w:r>
      <w:r w:rsidRPr="762A295A">
        <w:t>respect to</w:t>
      </w:r>
      <w:r>
        <w:t xml:space="preserve"> interconnected</w:t>
      </w:r>
      <w:r w:rsidRPr="762A295A">
        <w:t xml:space="preserve"> VoIP providers, we conclude that section 251(e)(1) allows us to further refine our processes </w:t>
      </w:r>
      <w:r>
        <w:t xml:space="preserve">and requirements </w:t>
      </w:r>
      <w:r w:rsidRPr="762A295A">
        <w:t xml:space="preserve">governing direct access to numbers by interconnected VoIP providers. </w:t>
      </w:r>
    </w:p>
    <w:p w:rsidR="00810097" w:rsidRPr="00D303B6" w:rsidP="0011211D" w14:paraId="12048129" w14:textId="77777777">
      <w:pPr>
        <w:pStyle w:val="ParaNum"/>
        <w:widowControl/>
        <w:rPr>
          <w:szCs w:val="22"/>
        </w:rPr>
      </w:pPr>
      <w:r w:rsidRPr="762A295A">
        <w:t>We further conclude that section 6(a) of the TRACE</w:t>
      </w:r>
      <w:r w:rsidRPr="762A295A">
        <w:t xml:space="preserve">D Act provides us with </w:t>
      </w:r>
      <w:r>
        <w:t xml:space="preserve">separate, </w:t>
      </w:r>
      <w:r w:rsidRPr="762A295A">
        <w:t>additional authority to adopt our proposals related to fighting illegal robocalls.  Section 6(a)(1) gives the Commission authority “to determine how Commission policies regarding access to number resources, including number</w:t>
      </w:r>
      <w:r w:rsidRPr="762A295A">
        <w:t xml:space="preserve"> resources for toll</w:t>
      </w:r>
      <w:r>
        <w:t xml:space="preserve"> </w:t>
      </w:r>
      <w:r w:rsidRPr="762A295A">
        <w:t>free and non-toll</w:t>
      </w:r>
      <w:r>
        <w:t xml:space="preserve"> </w:t>
      </w:r>
      <w:r w:rsidRPr="762A295A">
        <w:t xml:space="preserve">free telephone numbers, could be modified, including by establishing registration and compliance obligations,” and to “take sufficient steps to know the identity of the customers of such providers [of voice services], </w:t>
      </w:r>
      <w:r w:rsidRPr="762A295A">
        <w:t xml:space="preserve">to help reduce access to numbers by </w:t>
      </w:r>
      <w:r w:rsidRPr="762A295A">
        <w:t>potential perpetrators of violations of section 227(b) of the Communications Act of 1934 (47 U.S.C. 227(b)).</w:t>
      </w:r>
      <w:r w:rsidRPr="00D303B6">
        <w:rPr>
          <w:szCs w:val="22"/>
        </w:rPr>
        <w:t>”</w:t>
      </w:r>
      <w:r>
        <w:rPr>
          <w:rStyle w:val="FootnoteReference"/>
        </w:rPr>
        <w:footnoteReference w:id="255"/>
      </w:r>
    </w:p>
    <w:p w:rsidR="00810097" w:rsidP="00810097" w14:paraId="51DBBDE9" w14:textId="77777777">
      <w:pPr>
        <w:pStyle w:val="ParaNum"/>
        <w:rPr>
          <w:szCs w:val="22"/>
        </w:rPr>
      </w:pPr>
      <w:r w:rsidRPr="762A295A">
        <w:t xml:space="preserve">The Commission commenced the </w:t>
      </w:r>
      <w:r>
        <w:t xml:space="preserve">required </w:t>
      </w:r>
      <w:r w:rsidRPr="762A295A">
        <w:t xml:space="preserve">proceeding </w:t>
      </w:r>
      <w:r>
        <w:t>pursuant to the TRACED Act</w:t>
      </w:r>
      <w:r w:rsidRPr="762A295A">
        <w:t xml:space="preserve"> in March 2020,</w:t>
      </w:r>
      <w:r>
        <w:rPr>
          <w:rStyle w:val="FootnoteReference"/>
        </w:rPr>
        <w:footnoteReference w:id="256"/>
      </w:r>
      <w:r w:rsidRPr="3A63744E">
        <w:rPr>
          <w:i/>
          <w:iCs/>
        </w:rPr>
        <w:t xml:space="preserve"> </w:t>
      </w:r>
      <w:r w:rsidRPr="762A295A">
        <w:t>and expanded on</w:t>
      </w:r>
      <w:r w:rsidRPr="762A295A">
        <w:t xml:space="preserve"> those inquiries in the </w:t>
      </w:r>
      <w:r w:rsidRPr="3A63744E">
        <w:rPr>
          <w:i/>
          <w:iCs/>
        </w:rPr>
        <w:t>VoIP Direct Access Further Notice</w:t>
      </w:r>
      <w:r w:rsidRPr="762A295A">
        <w:t>.  Section 6(a)(2) of the TRACED Act states that “[i]f the Commission determines under paragraph (1) that modifying the policies described in that paragraph could help achieve the goal described in t</w:t>
      </w:r>
      <w:r w:rsidRPr="762A295A">
        <w:t>hat paragraph, the Commission shall prescribe regulations to implement those policy modifications.”</w:t>
      </w:r>
      <w:r>
        <w:rPr>
          <w:rStyle w:val="FootnoteReference"/>
        </w:rPr>
        <w:footnoteReference w:id="257"/>
      </w:r>
      <w:r w:rsidRPr="762A295A">
        <w:t xml:space="preserve">  We conclude that </w:t>
      </w:r>
      <w:r>
        <w:t>s</w:t>
      </w:r>
      <w:r w:rsidRPr="762A295A">
        <w:t xml:space="preserve">ection 6(a) of the TRACED Act, </w:t>
      </w:r>
      <w:r>
        <w:t>in</w:t>
      </w:r>
      <w:r w:rsidRPr="762A295A">
        <w:t xml:space="preserve"> directing us to prescribe regulations implementing policy changes to reduce access to numbers by pote</w:t>
      </w:r>
      <w:r w:rsidRPr="762A295A">
        <w:t xml:space="preserve">ntial perpetrators of illegal robocalls, provides an independent basis to adopt </w:t>
      </w:r>
      <w:r>
        <w:t xml:space="preserve">certain of </w:t>
      </w:r>
      <w:r w:rsidRPr="762A295A">
        <w:t xml:space="preserve">the </w:t>
      </w:r>
      <w:r>
        <w:t xml:space="preserve">rule </w:t>
      </w:r>
      <w:r w:rsidRPr="762A295A">
        <w:t>changes we are making to the direct access process with respect to fighting unlawful robocalls.</w:t>
      </w:r>
    </w:p>
    <w:p w:rsidR="00810097" w:rsidP="00810097" w14:paraId="413DE5DF" w14:textId="4CA20996">
      <w:pPr>
        <w:pStyle w:val="Heading1"/>
      </w:pPr>
      <w:bookmarkStart w:id="43" w:name="_Toc146047071"/>
      <w:bookmarkStart w:id="44" w:name="_Toc146179063"/>
      <w:r>
        <w:t>Second further notice of proposed rulemaking</w:t>
      </w:r>
      <w:bookmarkEnd w:id="43"/>
      <w:bookmarkEnd w:id="44"/>
    </w:p>
    <w:p w:rsidR="00756CCD" w:rsidRPr="00E31E75" w:rsidP="00756CCD" w14:paraId="31055FD0" w14:textId="77777777">
      <w:pPr>
        <w:pStyle w:val="ParaNum"/>
        <w:tabs>
          <w:tab w:val="left" w:pos="1440"/>
        </w:tabs>
      </w:pPr>
      <w:r>
        <w:t>In the accompan</w:t>
      </w:r>
      <w:r>
        <w:t xml:space="preserve">ying </w:t>
      </w:r>
      <w:r w:rsidRPr="00B54E3C">
        <w:rPr>
          <w:i/>
          <w:iCs/>
        </w:rPr>
        <w:t>Second Report and Order</w:t>
      </w:r>
      <w:r>
        <w:t>, we take steps to strengthen our direct access rules to protect consumers from interconnected VoIP providers who would gain access to, and then misuse, the nation’s finite numbering resources.  Further, through the NANC referra</w:t>
      </w:r>
      <w:r>
        <w:t xml:space="preserve">l directives we adopt today, additional reforms will be considered with respect to new direct access applications.  By this </w:t>
      </w:r>
      <w:r w:rsidRPr="00B54E3C">
        <w:rPr>
          <w:i/>
          <w:iCs/>
        </w:rPr>
        <w:t>Second Further Notice</w:t>
      </w:r>
      <w:r>
        <w:t>, we seek comment on the duties of existing direct access authorization holders whose authorizations predate th</w:t>
      </w:r>
      <w:r>
        <w:t>e new application requirements we adopt today.  We also seek comment on whether direct access applicants should disclose a list of states in which they seek to provide initial service.  Finally, we seek comment on a proposal to minimize harms that may aris</w:t>
      </w:r>
      <w:r>
        <w:t>e from entities that access numbering resources indirectly by holding their direct access authorization holder “partners” accountable for their actions.</w:t>
      </w:r>
    </w:p>
    <w:p w:rsidR="00810097" w:rsidP="00887C6A" w14:paraId="381FC53C" w14:textId="4762E77D">
      <w:pPr>
        <w:pStyle w:val="Heading2"/>
      </w:pPr>
      <w:bookmarkStart w:id="45" w:name="_Toc146047072"/>
      <w:bookmarkStart w:id="46" w:name="_Toc146179064"/>
      <w:r>
        <w:t>Updating the Duties of Existing Authorization Holders</w:t>
      </w:r>
      <w:bookmarkEnd w:id="45"/>
      <w:bookmarkEnd w:id="46"/>
    </w:p>
    <w:p w:rsidR="00756CCD" w:rsidP="00756CCD" w14:paraId="5D16BD13" w14:textId="77777777">
      <w:pPr>
        <w:pStyle w:val="ParaNum"/>
      </w:pPr>
      <w:r>
        <w:t xml:space="preserve">Part III.A of the </w:t>
      </w:r>
      <w:r w:rsidRPr="00455C26">
        <w:rPr>
          <w:i/>
        </w:rPr>
        <w:t>Second Report and Order</w:t>
      </w:r>
      <w:r>
        <w:t xml:space="preserve"> focuses</w:t>
      </w:r>
      <w:r>
        <w:t xml:space="preserve"> on new applications for direct access to numbering resources.</w:t>
      </w:r>
      <w:r>
        <w:rPr>
          <w:rStyle w:val="FootnoteReference"/>
        </w:rPr>
        <w:footnoteReference w:id="258"/>
      </w:r>
      <w:r>
        <w:t xml:space="preserve">  In the </w:t>
      </w:r>
      <w:r w:rsidRPr="00455C26">
        <w:rPr>
          <w:i/>
          <w:iCs/>
        </w:rPr>
        <w:t>VoIP Direct Access Further Notice</w:t>
      </w:r>
      <w:r>
        <w:t>, however, the Commission also asked whether some of the proposed new requirements should also apply to existing authorization holders (i.e., intercon</w:t>
      </w:r>
      <w:r>
        <w:t>nected VoIP providers that were granted direct access authorization prior to the effective date of this Report and Order and revised rules).  In particular, the Commission asked about requiring such existing authorization holders to certify compliance with</w:t>
      </w:r>
      <w:r>
        <w:t xml:space="preserve"> E911 and CALEA obligations;</w:t>
      </w:r>
      <w:r>
        <w:rPr>
          <w:rStyle w:val="FootnoteReference"/>
        </w:rPr>
        <w:footnoteReference w:id="259"/>
      </w:r>
      <w:r>
        <w:t xml:space="preserve"> to certify they are not subject to a Commission, law enforcement or regulatory agency investigation for failure to comply with any law, rule, or order, including the Commission’s rules applicable to unlawful robocalls or unla</w:t>
      </w:r>
      <w:r>
        <w:t>wful spoofing;</w:t>
      </w:r>
      <w:r>
        <w:rPr>
          <w:rStyle w:val="FootnoteReference"/>
        </w:rPr>
        <w:footnoteReference w:id="260"/>
      </w:r>
      <w:r>
        <w:t xml:space="preserve"> and to abide by state numbering requirements and other applicable requirements for businesses operating in the state.</w:t>
      </w:r>
      <w:r>
        <w:rPr>
          <w:rStyle w:val="FootnoteReference"/>
        </w:rPr>
        <w:footnoteReference w:id="261"/>
      </w:r>
      <w:r>
        <w:t xml:space="preserve">  There were very limited comments on this issue.</w:t>
      </w:r>
      <w:r>
        <w:rPr>
          <w:rStyle w:val="FootnoteReference"/>
        </w:rPr>
        <w:footnoteReference w:id="262"/>
      </w:r>
      <w:r>
        <w:t xml:space="preserve">  Further, the </w:t>
      </w:r>
      <w:r w:rsidRPr="00455C26">
        <w:rPr>
          <w:i/>
          <w:iCs/>
        </w:rPr>
        <w:t xml:space="preserve">VoIP </w:t>
      </w:r>
      <w:r w:rsidRPr="00455C26">
        <w:rPr>
          <w:i/>
          <w:iCs/>
        </w:rPr>
        <w:t>Direct Access Further Notice</w:t>
      </w:r>
      <w:r>
        <w:t xml:space="preserve"> did not ask about ap</w:t>
      </w:r>
      <w:r>
        <w:t xml:space="preserve">plying other proposed new requirements, also adopted here, to existing interconnected VoIP direct access authorization holders.  </w:t>
      </w:r>
    </w:p>
    <w:p w:rsidR="00756CCD" w:rsidP="00756CCD" w14:paraId="4C606BDA" w14:textId="4D1EC1B4">
      <w:pPr>
        <w:pStyle w:val="ParaNum"/>
      </w:pPr>
      <w:r>
        <w:t xml:space="preserve">Given the limited record in response to the </w:t>
      </w:r>
      <w:r w:rsidRPr="3A63744E">
        <w:rPr>
          <w:i/>
          <w:iCs/>
        </w:rPr>
        <w:t>VoIP Direct Access Further Notice</w:t>
      </w:r>
      <w:r>
        <w:t xml:space="preserve"> about the applicability of these proposed requirements to existing authorization holders, and in order to allow the Commission to address at one time whether all of the new requirements adopted in the </w:t>
      </w:r>
      <w:r w:rsidRPr="00AC368C">
        <w:rPr>
          <w:i/>
          <w:iCs/>
        </w:rPr>
        <w:t>Second Report and Order</w:t>
      </w:r>
      <w:r w:rsidRPr="3A63744E">
        <w:rPr>
          <w:i/>
          <w:iCs/>
        </w:rPr>
        <w:t xml:space="preserve"> </w:t>
      </w:r>
      <w:r>
        <w:t xml:space="preserve">should apply to existing authorization holders, we propose that the new or revised certification, acknowledgment, and disclosure obligations set forth in Part III.A of the </w:t>
      </w:r>
      <w:r w:rsidRPr="00AC368C">
        <w:rPr>
          <w:i/>
          <w:iCs/>
        </w:rPr>
        <w:t>Second Report and Order</w:t>
      </w:r>
      <w:r w:rsidRPr="002D39F3">
        <w:rPr>
          <w:i/>
          <w:iCs/>
        </w:rPr>
        <w:t xml:space="preserve"> </w:t>
      </w:r>
      <w:r>
        <w:t>should likewise apply to existing interconnected VoIP author</w:t>
      </w:r>
      <w:r>
        <w:t>ization holders.  Specifically, we propose to require existing interconnected VoIP direct access authorization holders to provide the certifications, acknowledgments, and disclosures required by the following sections in Appendix A hereto, specifically sec</w:t>
      </w:r>
      <w:r>
        <w:t xml:space="preserve">tions 52.15(g)(3)(ii)(B)-(F), (I), (K)-(L), </w:t>
      </w:r>
      <w:r>
        <w:t xml:space="preserve">(N), </w:t>
      </w:r>
      <w:r w:rsidR="001A4A62">
        <w:t xml:space="preserve">and </w:t>
      </w:r>
      <w:r w:rsidRPr="00FD4A29" w:rsidR="001A4A62">
        <w:t>(x)(A)</w:t>
      </w:r>
      <w:r w:rsidR="001A4A62">
        <w:t xml:space="preserve">, </w:t>
      </w:r>
      <w:r>
        <w:t>within 30 days after the effective date of an order adopting such rules for existing authorization holders.  We seek comment on this proposal.</w:t>
      </w:r>
    </w:p>
    <w:p w:rsidR="00756CCD" w:rsidP="00756CCD" w14:paraId="2A165DE4" w14:textId="77777777">
      <w:pPr>
        <w:pStyle w:val="ParaNum"/>
      </w:pPr>
      <w:r>
        <w:t>The rationales for imposing each of these certification, ack</w:t>
      </w:r>
      <w:r>
        <w:t>nowledgment, and disclosure obligations on future authorization holders, discussed in detail above, apply equally to existing interconnected VoIP direct access authorization holders.  Obtaining this information from existing authorization holders would hel</w:t>
      </w:r>
      <w:r>
        <w:t>p the Bureau more effectively oversee the universe of direct access authorization holders by better enabling it to identify bad actors and preserve scarce numbering resources, while also balancing the obligations evenly for all authorization holders.  Simi</w:t>
      </w:r>
      <w:r>
        <w:t>larly, we propose to use the new information we require existing authorization holders to submit to determine whether a revocation of authorization, inability to obtain additional numbers, reclamation of unassigned numbers, or enforcement action may be war</w:t>
      </w:r>
      <w:r>
        <w:t>ranted, just as if the information had been provided as part of a new application or an update or correction to their original application.  We seek comment on this proposal.</w:t>
      </w:r>
    </w:p>
    <w:p w:rsidR="00756CCD" w:rsidRPr="00D303B6" w:rsidP="00756CCD" w14:paraId="371CC98C" w14:textId="77777777">
      <w:pPr>
        <w:pStyle w:val="ParaNum"/>
      </w:pPr>
      <w:r>
        <w:t>With respect to these proposed requirements, we believe a 30 day deadline appropr</w:t>
      </w:r>
      <w:r>
        <w:t>iately balances the strong public interest of the Bureau receiving this information against the burdens we anticipate these requirements may place on existing authorization holders, and seek comment on this conclusion.  Do commenters agree that this deadli</w:t>
      </w:r>
      <w:r>
        <w:t>ne would strike the right regulatory balance?  Would requiring existing authorization holders to provide the newly required certifications, acknowledgments, and other information impose an undue burden that would outweigh the potential benefits?  Would req</w:t>
      </w:r>
      <w:r>
        <w:t>uiring existing authorization holders to provide the newly required certifications, acknowledgments, and other information be necessary or appropriate to avoid asymmetrical regulation among interconnected VoIP providers?  Alternatively, is this step necess</w:t>
      </w:r>
      <w:r>
        <w:t>ary to narrow the gap in our oversight ability to reach potential bad actors with respect to numbering resources?  Would declining to apply the new requirements to existing authorization holders place the Commission at a disadvantage in terms of investigat</w:t>
      </w:r>
      <w:r>
        <w:t>ing those authorization holders and enforcing the rules that apply to them?  Would relying on Commission enforcement actions against existing authorization holders be as effective as the proposed new requirements in combating unlawful robocalling and addre</w:t>
      </w:r>
      <w:r>
        <w:t xml:space="preserve">ssing the concerns raised regarding foreign ownership of entities with access to numbering resources pertaining to the United States?  Are there any legal barriers to requiring existing authorization holders to provide the required information?  Are there </w:t>
      </w:r>
      <w:r>
        <w:t>other factors we should consider?</w:t>
      </w:r>
    </w:p>
    <w:p w:rsidR="00756CCD" w:rsidP="00756CCD" w14:paraId="666CD1E7" w14:textId="77777777">
      <w:pPr>
        <w:pStyle w:val="ParaNum"/>
      </w:pPr>
      <w:r w:rsidRPr="3A63744E">
        <w:rPr>
          <w:i/>
          <w:iCs/>
        </w:rPr>
        <w:t xml:space="preserve">Executive Branch agencies’ review of corrected information. </w:t>
      </w:r>
      <w:r>
        <w:t xml:space="preserve"> We propose to delegate authority to the Bureau to direct the Numbering Administrator via public notice to suspend all pending and future requests for numbers if </w:t>
      </w:r>
      <w:r>
        <w:t>the new information submitted by an existing authorization holder indicates a material change or discloses new information such that additional investigation is necessary to confirm that the authorization continues to serve the public interest.  If the new</w:t>
      </w:r>
      <w:r>
        <w:t xml:space="preserve"> information leads the Commission to refer the authorization holder to the Executive Branch agencies, we propose to authorize the Bureau to direct the Numbering Administrator via public notice to suspend all pending and future requests for numbers until re</w:t>
      </w:r>
      <w:r>
        <w:t>view is complete and a determination is made.  We seek comment on whether to use this process.  In the alternative, is there another process we should use?</w:t>
      </w:r>
    </w:p>
    <w:p w:rsidR="00756CCD" w:rsidRPr="00071FE2" w:rsidP="00343BF4" w14:paraId="77BD8725" w14:textId="77777777">
      <w:pPr>
        <w:pStyle w:val="ParaNum"/>
        <w:widowControl/>
      </w:pPr>
      <w:r w:rsidRPr="3A63744E">
        <w:rPr>
          <w:i/>
          <w:iCs/>
        </w:rPr>
        <w:t xml:space="preserve">Use of numbers after submission of updated or new information.  </w:t>
      </w:r>
      <w:r>
        <w:t xml:space="preserve">To avoid a disruption of service to </w:t>
      </w:r>
      <w:r>
        <w:t>customers during review of updated or corrected ownership information, w</w:t>
      </w:r>
      <w:r w:rsidRPr="006B3B66">
        <w:t>e</w:t>
      </w:r>
      <w:r w:rsidRPr="00D303B6">
        <w:t xml:space="preserve"> </w:t>
      </w:r>
      <w:r>
        <w:t>propose</w:t>
      </w:r>
      <w:r w:rsidRPr="00D303B6">
        <w:t xml:space="preserve"> </w:t>
      </w:r>
      <w:r>
        <w:t>to permit</w:t>
      </w:r>
      <w:r w:rsidRPr="00D303B6">
        <w:t xml:space="preserve"> authorization holders </w:t>
      </w:r>
      <w:r>
        <w:t>to</w:t>
      </w:r>
      <w:r w:rsidRPr="00D303B6">
        <w:t xml:space="preserve"> continue to use numbers they obtained </w:t>
      </w:r>
      <w:r>
        <w:t xml:space="preserve">pursuant to our current procedures while </w:t>
      </w:r>
      <w:r w:rsidRPr="00D303B6">
        <w:t xml:space="preserve">submitting </w:t>
      </w:r>
      <w:r>
        <w:t xml:space="preserve">updated or </w:t>
      </w:r>
      <w:r w:rsidRPr="00D303B6">
        <w:t>corrected</w:t>
      </w:r>
      <w:r>
        <w:t xml:space="preserve"> ownership</w:t>
      </w:r>
      <w:r w:rsidRPr="00D303B6">
        <w:t xml:space="preserve"> information to the</w:t>
      </w:r>
      <w:r w:rsidRPr="00D303B6">
        <w:t xml:space="preserve"> Bureau</w:t>
      </w:r>
      <w:r>
        <w:t>,</w:t>
      </w:r>
      <w:r w:rsidRPr="00D303B6">
        <w:t xml:space="preserve"> unless </w:t>
      </w:r>
      <w:r>
        <w:t xml:space="preserve">and until </w:t>
      </w:r>
      <w:r w:rsidRPr="00D303B6">
        <w:t xml:space="preserve">the Bureau determines </w:t>
      </w:r>
      <w:r>
        <w:t>otherwise after investigation.</w:t>
      </w:r>
      <w:r>
        <w:rPr>
          <w:rStyle w:val="FootnoteReference"/>
        </w:rPr>
        <w:footnoteReference w:id="263"/>
      </w:r>
      <w:r>
        <w:t xml:space="preserve">  We seek comment on this proposal. </w:t>
      </w:r>
      <w:r w:rsidRPr="3A63744E">
        <w:rPr>
          <w:sz w:val="20"/>
        </w:rPr>
        <w:t xml:space="preserve"> </w:t>
      </w:r>
    </w:p>
    <w:p w:rsidR="00756CCD" w:rsidP="00887C6A" w14:paraId="0ED494F4" w14:textId="4804DD6C">
      <w:pPr>
        <w:pStyle w:val="Heading2"/>
      </w:pPr>
      <w:bookmarkStart w:id="47" w:name="_Toc146047073"/>
      <w:bookmarkStart w:id="48" w:name="_Toc146179065"/>
      <w:r>
        <w:t>Disclosure of Initial Service Area in Direct Access Applications</w:t>
      </w:r>
      <w:bookmarkEnd w:id="47"/>
      <w:bookmarkEnd w:id="48"/>
    </w:p>
    <w:p w:rsidR="00756CCD" w:rsidRPr="006B3B66" w:rsidP="00756CCD" w14:paraId="7973B5DB" w14:textId="77777777">
      <w:pPr>
        <w:pStyle w:val="ParaNum"/>
      </w:pPr>
      <w:r w:rsidRPr="006B3B66">
        <w:t xml:space="preserve">We propose to require </w:t>
      </w:r>
      <w:r>
        <w:t>new</w:t>
      </w:r>
      <w:r w:rsidRPr="006B3B66">
        <w:t xml:space="preserve"> interconnected VoIP applicants to provide, in t</w:t>
      </w:r>
      <w:r w:rsidRPr="006B3B66">
        <w:t xml:space="preserve">heir </w:t>
      </w:r>
      <w:r>
        <w:t>direct access</w:t>
      </w:r>
      <w:r w:rsidRPr="006B3B66">
        <w:t xml:space="preserve"> applications, a list of the states where they initially intend to request numbering resources.  This </w:t>
      </w:r>
      <w:r>
        <w:t xml:space="preserve">proposal seeks to create parity with </w:t>
      </w:r>
      <w:r w:rsidRPr="006B3B66">
        <w:t xml:space="preserve">the requirement </w:t>
      </w:r>
      <w:r>
        <w:t xml:space="preserve">that </w:t>
      </w:r>
      <w:r w:rsidRPr="006B3B66">
        <w:t>other providers show authorization to provide service in the area</w:t>
      </w:r>
      <w:r>
        <w:t>(s)</w:t>
      </w:r>
      <w:r w:rsidRPr="006B3B66">
        <w:t xml:space="preserve"> for which</w:t>
      </w:r>
      <w:r w:rsidRPr="006B3B66">
        <w:t xml:space="preserve"> numbering resources are requested, which </w:t>
      </w:r>
      <w:r>
        <w:t xml:space="preserve">effectively </w:t>
      </w:r>
      <w:r w:rsidRPr="006B3B66">
        <w:t>requires them to identify the states where they initially will request numbers.</w:t>
      </w:r>
      <w:r>
        <w:rPr>
          <w:rStyle w:val="FootnoteReference"/>
        </w:rPr>
        <w:footnoteReference w:id="264"/>
      </w:r>
      <w:r w:rsidRPr="006B3B66">
        <w:t xml:space="preserve">  It also would formalize the existing practice of the Bureau asking interconnected VoIP applicants to provide a list of </w:t>
      </w:r>
      <w:r w:rsidRPr="006B3B66">
        <w:t>the states where they intend to request numbers.  We seek comment on this proposal.  Would it place an undue burden on interconnected VoIP providers</w:t>
      </w:r>
      <w:r>
        <w:t xml:space="preserve"> to provide this information</w:t>
      </w:r>
      <w:r w:rsidRPr="006B3B66">
        <w:t xml:space="preserve">?  </w:t>
      </w:r>
      <w:r>
        <w:t>If so, how, given that all other providers are required to provide this infor</w:t>
      </w:r>
      <w:r>
        <w:t xml:space="preserve">mation?  </w:t>
      </w:r>
      <w:r w:rsidRPr="006B3B66">
        <w:t xml:space="preserve">Is it consistent with promoting symmetrical regulation?  </w:t>
      </w:r>
      <w:r>
        <w:t xml:space="preserve">We also seek comment on whether requiring this information will </w:t>
      </w:r>
      <w:r w:rsidRPr="006B3B66">
        <w:t xml:space="preserve">help state commissions be better prepared to address interconnected VoIP provider applications pending at the Commission and </w:t>
      </w:r>
      <w:r>
        <w:t>c</w:t>
      </w:r>
      <w:r>
        <w:t xml:space="preserve">onsequently </w:t>
      </w:r>
      <w:r w:rsidRPr="006B3B66">
        <w:t>prepare for new numbering requests in their states</w:t>
      </w:r>
      <w:r>
        <w:t>.</w:t>
      </w:r>
      <w:r w:rsidRPr="006B3B66">
        <w:t xml:space="preserve">  Is there a better way to help state commissions be aware of applications that may affect the demand on numbering resources in their states from new applicants?</w:t>
      </w:r>
    </w:p>
    <w:p w:rsidR="00756CCD" w:rsidP="00887C6A" w14:paraId="4C22BB19" w14:textId="3E8B8AAF">
      <w:pPr>
        <w:pStyle w:val="Heading2"/>
      </w:pPr>
      <w:bookmarkStart w:id="49" w:name="_Toc146047074"/>
      <w:bookmarkStart w:id="50" w:name="_Toc146179066"/>
      <w:r>
        <w:t>Ensuring that Indirect Access S</w:t>
      </w:r>
      <w:r>
        <w:t>erves the Public Interest</w:t>
      </w:r>
      <w:bookmarkEnd w:id="49"/>
      <w:bookmarkEnd w:id="50"/>
    </w:p>
    <w:p w:rsidR="00756CCD" w:rsidP="00756CCD" w14:paraId="2872D1B3" w14:textId="77777777">
      <w:pPr>
        <w:pStyle w:val="ParaNum"/>
      </w:pPr>
      <w:r>
        <w:t>W</w:t>
      </w:r>
      <w:r w:rsidRPr="00E36E24">
        <w:t>e propose to require direct access authorization</w:t>
      </w:r>
      <w:r>
        <w:t xml:space="preserve"> holders</w:t>
      </w:r>
      <w:r w:rsidRPr="00E36E24">
        <w:t xml:space="preserve"> </w:t>
      </w:r>
      <w:r>
        <w:t>that</w:t>
      </w:r>
      <w:r w:rsidRPr="00E36E24">
        <w:t xml:space="preserve"> sell, lease,</w:t>
      </w:r>
      <w:r>
        <w:t xml:space="preserve"> </w:t>
      </w:r>
      <w:r w:rsidRPr="00E36E24">
        <w:t>or otherwise provide telephone numbers obtain</w:t>
      </w:r>
      <w:r>
        <w:t>ed</w:t>
      </w:r>
      <w:r w:rsidRPr="00E36E24">
        <w:t xml:space="preserve"> via direct access to </w:t>
      </w:r>
      <w:r>
        <w:t>a voice service provider</w:t>
      </w:r>
      <w:r w:rsidRPr="00E36E24">
        <w:t xml:space="preserve"> (an “indirect access recipient”) to</w:t>
      </w:r>
      <w:r>
        <w:t xml:space="preserve">: </w:t>
      </w:r>
      <w:r w:rsidRPr="00E36E24">
        <w:t xml:space="preserve"> (</w:t>
      </w:r>
      <w:r>
        <w:t>1</w:t>
      </w:r>
      <w:r w:rsidRPr="00E36E24">
        <w:t>)</w:t>
      </w:r>
      <w:r>
        <w:t xml:space="preserve"> </w:t>
      </w:r>
      <w:r w:rsidRPr="00E36E24">
        <w:t>obtain from the indirect access recipient all the same certifications, acknowledgments, and disclosures the indirect access recipient would have</w:t>
      </w:r>
      <w:r>
        <w:t xml:space="preserve"> had</w:t>
      </w:r>
      <w:r w:rsidRPr="00E36E24">
        <w:t xml:space="preserve"> to provide under section 52.15(g)(3)</w:t>
      </w:r>
      <w:r>
        <w:t>,</w:t>
      </w:r>
      <w:r>
        <w:rPr>
          <w:rStyle w:val="FootnoteReference"/>
        </w:rPr>
        <w:footnoteReference w:id="265"/>
      </w:r>
      <w:r w:rsidRPr="00E36E24">
        <w:t xml:space="preserve"> </w:t>
      </w:r>
      <w:r>
        <w:t>had</w:t>
      </w:r>
      <w:r w:rsidRPr="00E36E24">
        <w:t xml:space="preserve"> </w:t>
      </w:r>
      <w:r>
        <w:t>the recipient</w:t>
      </w:r>
      <w:r w:rsidRPr="00E36E24">
        <w:t xml:space="preserve"> applie</w:t>
      </w:r>
      <w:r w:rsidRPr="00E36E24">
        <w:t>d for direct access to numbering resources</w:t>
      </w:r>
      <w:r>
        <w:t xml:space="preserve"> itself</w:t>
      </w:r>
      <w:r w:rsidRPr="00E36E24">
        <w:t>; (</w:t>
      </w:r>
      <w:r>
        <w:t>2</w:t>
      </w:r>
      <w:r w:rsidRPr="00E36E24">
        <w:t>) obtain from the indirect access recipient all</w:t>
      </w:r>
      <w:r>
        <w:t xml:space="preserve"> subsequent</w:t>
      </w:r>
      <w:r w:rsidRPr="00E36E24">
        <w:t xml:space="preserve"> updates or corrections that would be required of a direct access authorization holder under section 52.15(g)(3); (</w:t>
      </w:r>
      <w:r>
        <w:t>3</w:t>
      </w:r>
      <w:r w:rsidRPr="00E36E24">
        <w:t>) retain a copy of all such c</w:t>
      </w:r>
      <w:r w:rsidRPr="00E36E24">
        <w:t>ertifications, acknowledgments, disclosures, and corrections and updates, to be provided to the Commission upon request; and (</w:t>
      </w:r>
      <w:r>
        <w:t>4</w:t>
      </w:r>
      <w:r w:rsidRPr="00E36E24">
        <w:t xml:space="preserve">) file with the Commission a list of the </w:t>
      </w:r>
      <w:r>
        <w:t>voice service providers</w:t>
      </w:r>
      <w:r w:rsidRPr="00E36E24">
        <w:t xml:space="preserve"> to which the</w:t>
      </w:r>
      <w:r>
        <w:t xml:space="preserve"> direct access authorization holder</w:t>
      </w:r>
      <w:r w:rsidRPr="00E36E24">
        <w:t xml:space="preserve"> sells, leases, o</w:t>
      </w:r>
      <w:r w:rsidRPr="00E36E24">
        <w:t>r otherwise provides telephone numbering resources</w:t>
      </w:r>
      <w:r>
        <w:t xml:space="preserve"> that it</w:t>
      </w:r>
      <w:r w:rsidRPr="00E36E24">
        <w:t xml:space="preserve"> obtained </w:t>
      </w:r>
      <w:r>
        <w:t>directly</w:t>
      </w:r>
      <w:r w:rsidRPr="00E36E24">
        <w:t xml:space="preserve">, and update that list within 30 days of adding any new indirect access recipient.  We propose to apply these duties on a prospective basis to </w:t>
      </w:r>
      <w:r>
        <w:t xml:space="preserve">existing </w:t>
      </w:r>
      <w:r w:rsidRPr="00E36E24">
        <w:t xml:space="preserve">direct access </w:t>
      </w:r>
      <w:r>
        <w:t xml:space="preserve">authorization </w:t>
      </w:r>
      <w:r>
        <w:t>holders</w:t>
      </w:r>
      <w:r w:rsidRPr="00E36E24">
        <w:t xml:space="preserve"> that provide telephone numbering resources to indirect access recipients after the effective date of the proposed new rule.</w:t>
      </w:r>
      <w:r>
        <w:t xml:space="preserve">  We also propose to require future direct access applicants to certify they will abide by these requirements.  We seek comme</w:t>
      </w:r>
      <w:r>
        <w:t>nt on these proposals.</w:t>
      </w:r>
    </w:p>
    <w:p w:rsidR="00756CCD" w:rsidP="00756CCD" w14:paraId="57E38FE6" w14:textId="77777777">
      <w:pPr>
        <w:pStyle w:val="ParaNum"/>
        <w:widowControl/>
      </w:pPr>
      <w:r w:rsidRPr="00E36E24">
        <w:t xml:space="preserve">As noted in the </w:t>
      </w:r>
      <w:r>
        <w:t>accompanying</w:t>
      </w:r>
      <w:r w:rsidRPr="00E36E24">
        <w:t xml:space="preserve"> </w:t>
      </w:r>
      <w:r w:rsidRPr="00AC368C">
        <w:rPr>
          <w:i/>
        </w:rPr>
        <w:t>Second Report and Order</w:t>
      </w:r>
      <w:r w:rsidRPr="00E36E24">
        <w:t xml:space="preserve">, a key </w:t>
      </w:r>
      <w:r>
        <w:t>reason</w:t>
      </w:r>
      <w:r w:rsidRPr="00E36E24">
        <w:t xml:space="preserve"> for strengthening the direct access application requirements is to enhance the Commission’s ability to ensure interconnected VoIP providers comply with </w:t>
      </w:r>
      <w:r>
        <w:t>regulations ta</w:t>
      </w:r>
      <w:r>
        <w:t>rgeting illegal robocalls</w:t>
      </w:r>
      <w:r w:rsidRPr="00E36E24">
        <w:t xml:space="preserve"> and other </w:t>
      </w:r>
      <w:r>
        <w:t xml:space="preserve">important </w:t>
      </w:r>
      <w:r w:rsidRPr="00E36E24">
        <w:t>requirements, and provide information to help the Commission address potential issues related to foreign ownership.</w:t>
      </w:r>
      <w:r>
        <w:rPr>
          <w:rStyle w:val="FootnoteReference"/>
        </w:rPr>
        <w:footnoteReference w:id="266"/>
      </w:r>
      <w:r w:rsidRPr="00E36E24">
        <w:t xml:space="preserve">  As also noted above, however, interconnected VoIP providers can obtain numbers indirectly, </w:t>
      </w:r>
      <w:r w:rsidRPr="00E36E24">
        <w:t xml:space="preserve">such as from a </w:t>
      </w:r>
      <w:r>
        <w:t xml:space="preserve">competitive </w:t>
      </w:r>
      <w:r w:rsidRPr="00E36E24">
        <w:t>LEC that has a direct access authorization.</w:t>
      </w:r>
      <w:r>
        <w:rPr>
          <w:rStyle w:val="FootnoteReference"/>
        </w:rPr>
        <w:footnoteReference w:id="267"/>
      </w:r>
      <w:r w:rsidRPr="00E36E24">
        <w:t xml:space="preserve">  </w:t>
      </w:r>
      <w:r>
        <w:t>B</w:t>
      </w:r>
      <w:r w:rsidRPr="00E36E24">
        <w:t xml:space="preserve">ecause </w:t>
      </w:r>
      <w:r>
        <w:t>interconnected VoIP providers’</w:t>
      </w:r>
      <w:r w:rsidRPr="00E36E24">
        <w:t xml:space="preserve"> use of </w:t>
      </w:r>
      <w:r w:rsidRPr="00E36E24">
        <w:t xml:space="preserve">finite telephone numbering resources </w:t>
      </w:r>
      <w:r>
        <w:t>via</w:t>
      </w:r>
      <w:r w:rsidRPr="00E36E24">
        <w:t xml:space="preserve"> indirect</w:t>
      </w:r>
      <w:r>
        <w:t xml:space="preserve"> means</w:t>
      </w:r>
      <w:r w:rsidRPr="00E36E24">
        <w:t xml:space="preserve"> raises the same potential robocalling</w:t>
      </w:r>
      <w:r>
        <w:t>, access arbitrage,</w:t>
      </w:r>
      <w:r w:rsidRPr="00E36E24">
        <w:t xml:space="preserve"> and other public intere</w:t>
      </w:r>
      <w:r w:rsidRPr="00E36E24">
        <w:t>st issues as use of numbers by providers with direct access</w:t>
      </w:r>
      <w:r>
        <w:t>, we seek comment on whether it is</w:t>
      </w:r>
      <w:r w:rsidRPr="00E36E24">
        <w:t xml:space="preserve"> appropriate for the Commission to apply the same </w:t>
      </w:r>
      <w:r>
        <w:t>showings</w:t>
      </w:r>
      <w:r w:rsidRPr="00E36E24">
        <w:t xml:space="preserve"> </w:t>
      </w:r>
      <w:r>
        <w:t>as required from</w:t>
      </w:r>
      <w:r w:rsidRPr="00E36E24">
        <w:t xml:space="preserve"> interconnected VoIP providers that obtain numbering resources </w:t>
      </w:r>
      <w:r>
        <w:t>directly</w:t>
      </w:r>
      <w:r w:rsidRPr="00E36E24">
        <w:t>.</w:t>
      </w:r>
      <w:r>
        <w:rPr>
          <w:rStyle w:val="FootnoteReference"/>
        </w:rPr>
        <w:footnoteReference w:id="268"/>
      </w:r>
      <w:r w:rsidRPr="00E36E24">
        <w:t xml:space="preserve">  </w:t>
      </w:r>
      <w:r>
        <w:t>We believe</w:t>
      </w:r>
      <w:r w:rsidRPr="00E36E24">
        <w:t xml:space="preserve"> </w:t>
      </w:r>
      <w:r>
        <w:t>t</w:t>
      </w:r>
      <w:r>
        <w:t xml:space="preserve">hat by </w:t>
      </w:r>
      <w:r w:rsidRPr="00E36E24">
        <w:t xml:space="preserve">ensuring </w:t>
      </w:r>
      <w:r>
        <w:t xml:space="preserve">all </w:t>
      </w:r>
      <w:r w:rsidRPr="00E36E24">
        <w:t xml:space="preserve">interconnected VoIP providers </w:t>
      </w:r>
      <w:r>
        <w:t>that receive access to numbers, whether directly or indirectly, make the</w:t>
      </w:r>
      <w:r w:rsidRPr="00E36E24">
        <w:t xml:space="preserve"> certifications, acknowledgments, and disclosures </w:t>
      </w:r>
      <w:r>
        <w:t>required in</w:t>
      </w:r>
      <w:r w:rsidRPr="00E36E24">
        <w:t xml:space="preserve"> direct access </w:t>
      </w:r>
      <w:r>
        <w:t>applications</w:t>
      </w:r>
      <w:r w:rsidRPr="00E36E24">
        <w:t xml:space="preserve">, the Commission can improve its ability to protect </w:t>
      </w:r>
      <w:r>
        <w:t xml:space="preserve">consumers from entities that </w:t>
      </w:r>
      <w:r w:rsidRPr="00E36E24">
        <w:t>evad</w:t>
      </w:r>
      <w:r>
        <w:t>e</w:t>
      </w:r>
      <w:r w:rsidRPr="00E36E24">
        <w:t xml:space="preserve"> </w:t>
      </w:r>
      <w:r>
        <w:t xml:space="preserve">our </w:t>
      </w:r>
      <w:r w:rsidRPr="00E36E24">
        <w:t>robocalling and other rules.</w:t>
      </w:r>
      <w:r>
        <w:rPr>
          <w:rStyle w:val="FootnoteReference"/>
        </w:rPr>
        <w:footnoteReference w:id="269"/>
      </w:r>
      <w:r>
        <w:t xml:space="preserve">  We seek comment on this position.</w:t>
      </w:r>
    </w:p>
    <w:p w:rsidR="00756CCD" w:rsidRPr="002247B8" w:rsidP="00756CCD" w14:paraId="50145C85" w14:textId="77777777">
      <w:pPr>
        <w:pStyle w:val="ParaNum"/>
        <w:rPr>
          <w:rStyle w:val="cf01"/>
          <w:rFonts w:ascii="Times New Roman" w:hAnsi="Times New Roman" w:cs="Times New Roman"/>
          <w:sz w:val="22"/>
          <w:szCs w:val="22"/>
        </w:rPr>
      </w:pPr>
      <w:r>
        <w:t xml:space="preserve">Do commenters agree that this process would accrue the benefits to consumers that we describe?  If </w:t>
      </w:r>
      <w:r>
        <w:t>so, would such benefits outweigh the potential burdens on direct access authorization holders and indirect access recipients?  What are the negative consequences of this process for consumers, providers, and competition?  Would the proposed requirements cr</w:t>
      </w:r>
      <w:r>
        <w:t>eate a disincentive for direct access recipients to provide numbers to indirect access recipients?  If so, is that good or bad for the public interest and consumers?  For example, could this process incentivize indirect access recipients to seek direct acc</w:t>
      </w:r>
      <w:r>
        <w:t xml:space="preserve">ess?  </w:t>
      </w:r>
      <w:r w:rsidRPr="002247B8">
        <w:rPr>
          <w:rStyle w:val="cf01"/>
          <w:rFonts w:ascii="Times New Roman" w:hAnsi="Times New Roman" w:cs="Times New Roman"/>
          <w:sz w:val="22"/>
          <w:szCs w:val="22"/>
        </w:rPr>
        <w:t xml:space="preserve">How large is the secondary market for numbers obtained via direct access?  Who are the main customers?  How are resold numbers being used?  </w:t>
      </w:r>
    </w:p>
    <w:p w:rsidR="00756CCD" w:rsidP="00756CCD" w14:paraId="382E3EB9" w14:textId="77777777">
      <w:pPr>
        <w:pStyle w:val="ParaNum"/>
      </w:pPr>
      <w:r w:rsidRPr="002247B8">
        <w:rPr>
          <w:rStyle w:val="cf01"/>
          <w:rFonts w:ascii="Times New Roman" w:hAnsi="Times New Roman" w:cs="Times New Roman"/>
          <w:sz w:val="22"/>
          <w:szCs w:val="22"/>
        </w:rPr>
        <w:t>We seek comment on the Commission’s role to enforce our rules and obligations pertaining to direct access and</w:t>
      </w:r>
      <w:r w:rsidRPr="002247B8">
        <w:rPr>
          <w:rStyle w:val="cf01"/>
          <w:rFonts w:ascii="Times New Roman" w:hAnsi="Times New Roman" w:cs="Times New Roman"/>
          <w:sz w:val="22"/>
          <w:szCs w:val="22"/>
        </w:rPr>
        <w:t xml:space="preserve"> numbering.  </w:t>
      </w:r>
      <w:r w:rsidRPr="002247B8">
        <w:rPr>
          <w:szCs w:val="22"/>
        </w:rPr>
        <w:t>What enforcement actions could the Commission take, or what penalties could it impose, on a direct access recipient that fails to obtain, retain, or provide</w:t>
      </w:r>
      <w:r>
        <w:t xml:space="preserve"> the Commission with the necessary certifications, acknowledgments, and disclosures, or</w:t>
      </w:r>
      <w:r>
        <w:t xml:space="preserve"> that fails to provide and keep current a list of the indirect access recipients to which it provides numbers?  Could or should enforcement include revisiting or revoking the direct access authorization holder’s authorization?  Would the Commission have au</w:t>
      </w:r>
      <w:r>
        <w:t>thority, if an indirect access recipient were suspected or convicted of illegal robocalling or spoofing, to direct the Numbering Administrator to stop providing telephone numbers to the direct access authorization holder, and/or to prohibit the direct acce</w:t>
      </w:r>
      <w:r>
        <w:t>ss authorization holder from providing numbers to the indirect access recipient?  What other consequences, if any, should we consider for the direct access authorization holder when a recipient on its list is found to have violated the Commission’s numberi</w:t>
      </w:r>
      <w:r>
        <w:t>ng rules or other laws or regulations?  We propose to apply the new duties prospectively, but is there any reason why we should not require existing direct access authorization holders to gather, retain, and provide the required information regarding indir</w:t>
      </w:r>
      <w:r>
        <w:t>ect access recipients to which they have already provided numbering resources?  If not, how much time should we give existing authorization holders to provide information regarding these indirect access recipients?</w:t>
      </w:r>
    </w:p>
    <w:p w:rsidR="00756CCD" w:rsidRPr="00F91A14" w:rsidP="00756CCD" w14:paraId="612901F7" w14:textId="77777777">
      <w:pPr>
        <w:pStyle w:val="ParaNum"/>
      </w:pPr>
      <w:r>
        <w:t>What other means should we consider to cl</w:t>
      </w:r>
      <w:r>
        <w:t>ose the gap in our visibility into the use of numbering resources and related activities of indirect access recipients?  How would these proposals address a scenario in which an indirect access recipient provides numbers to another indirect access recipien</w:t>
      </w:r>
      <w:r>
        <w:t>t?  Do indirect access recipients provide numbers that they obtained indirectly to other providers?  How would or should we hold the direct access authorization holders accountable for indirect access recipients of its numbers that are further along this c</w:t>
      </w:r>
      <w:r>
        <w:t>hain of providers?</w:t>
      </w:r>
    </w:p>
    <w:p w:rsidR="00756CCD" w:rsidP="00756CCD" w14:paraId="7D3D5ADC" w14:textId="77777777">
      <w:pPr>
        <w:pStyle w:val="ParaNum"/>
        <w:widowControl/>
      </w:pPr>
      <w:r w:rsidRPr="3A63744E">
        <w:rPr>
          <w:i/>
          <w:iCs/>
        </w:rPr>
        <w:t>Filing process.</w:t>
      </w:r>
      <w:r>
        <w:t xml:space="preserve">  Regarding the list of indirect access recipients to which a direct access authorization holder sells, leases, or otherwise provides num</w:t>
      </w:r>
      <w:r w:rsidRPr="009F0A04">
        <w:t>bers</w:t>
      </w:r>
      <w:r>
        <w:t xml:space="preserve"> it</w:t>
      </w:r>
      <w:r w:rsidRPr="009F0A04">
        <w:t xml:space="preserve"> obtained </w:t>
      </w:r>
      <w:r>
        <w:t>directly</w:t>
      </w:r>
      <w:r w:rsidRPr="009F0A04">
        <w:t xml:space="preserve">, we propose </w:t>
      </w:r>
      <w:r w:rsidRPr="009F0A04">
        <w:rPr>
          <w:shd w:val="clear" w:color="auto" w:fill="FFFFFF"/>
        </w:rPr>
        <w:t xml:space="preserve">requiring </w:t>
      </w:r>
      <w:r>
        <w:rPr>
          <w:shd w:val="clear" w:color="auto" w:fill="FFFFFF"/>
        </w:rPr>
        <w:t>direct access authorization holders</w:t>
      </w:r>
      <w:r w:rsidRPr="009F0A04">
        <w:rPr>
          <w:shd w:val="clear" w:color="auto" w:fill="FFFFFF"/>
        </w:rPr>
        <w:t xml:space="preserve"> t</w:t>
      </w:r>
      <w:r w:rsidRPr="009F0A04">
        <w:rPr>
          <w:shd w:val="clear" w:color="auto" w:fill="FFFFFF"/>
        </w:rPr>
        <w:t xml:space="preserve">o submit </w:t>
      </w:r>
      <w:r>
        <w:rPr>
          <w:shd w:val="clear" w:color="auto" w:fill="FFFFFF"/>
        </w:rPr>
        <w:t>such list</w:t>
      </w:r>
      <w:r w:rsidRPr="009F0A04">
        <w:rPr>
          <w:shd w:val="clear" w:color="auto" w:fill="FFFFFF"/>
        </w:rPr>
        <w:t xml:space="preserve"> and any required updates to the Commission via the “Submit a Non-Docketed Filing” module in E</w:t>
      </w:r>
      <w:r>
        <w:rPr>
          <w:shd w:val="clear" w:color="auto" w:fill="FFFFFF"/>
        </w:rPr>
        <w:t xml:space="preserve">lectronic </w:t>
      </w:r>
      <w:r w:rsidRPr="009F0A04">
        <w:rPr>
          <w:shd w:val="clear" w:color="auto" w:fill="FFFFFF"/>
        </w:rPr>
        <w:t>C</w:t>
      </w:r>
      <w:r>
        <w:rPr>
          <w:shd w:val="clear" w:color="auto" w:fill="FFFFFF"/>
        </w:rPr>
        <w:t xml:space="preserve">omment </w:t>
      </w:r>
      <w:r w:rsidRPr="009F0A04">
        <w:rPr>
          <w:shd w:val="clear" w:color="auto" w:fill="FFFFFF"/>
        </w:rPr>
        <w:t>F</w:t>
      </w:r>
      <w:r>
        <w:rPr>
          <w:shd w:val="clear" w:color="auto" w:fill="FFFFFF"/>
        </w:rPr>
        <w:t xml:space="preserve">iling </w:t>
      </w:r>
      <w:r w:rsidRPr="009F0A04">
        <w:rPr>
          <w:shd w:val="clear" w:color="auto" w:fill="FFFFFF"/>
        </w:rPr>
        <w:t>S</w:t>
      </w:r>
      <w:r>
        <w:rPr>
          <w:shd w:val="clear" w:color="auto" w:fill="FFFFFF"/>
        </w:rPr>
        <w:t>ystem (ECFS)</w:t>
      </w:r>
      <w:r w:rsidRPr="009F0A04">
        <w:rPr>
          <w:shd w:val="clear" w:color="auto" w:fill="FFFFFF"/>
        </w:rPr>
        <w:t xml:space="preserve"> established for the VoIP Direct Access proceeding (Inbox—52.15 VoIP Numbering Authorization Application) </w:t>
      </w:r>
      <w:r w:rsidRPr="009F0A04">
        <w:rPr>
          <w:shd w:val="clear" w:color="auto" w:fill="FFFFFF"/>
        </w:rPr>
        <w:t>and via email to </w:t>
      </w:r>
      <w:r w:rsidRPr="009F0A04">
        <w:rPr>
          <w:rStyle w:val="counderline"/>
          <w:color w:val="3D3D3D"/>
          <w:u w:val="single"/>
          <w:bdr w:val="none" w:sz="0" w:space="0" w:color="auto" w:frame="1"/>
          <w:shd w:val="clear" w:color="auto" w:fill="FFFFFF"/>
        </w:rPr>
        <w:t>DAA@fcc.gov</w:t>
      </w:r>
      <w:r w:rsidRPr="009F0A04">
        <w:rPr>
          <w:shd w:val="clear" w:color="auto" w:fill="FFFFFF"/>
        </w:rPr>
        <w:t xml:space="preserve">, our email alias for </w:t>
      </w:r>
      <w:r>
        <w:rPr>
          <w:shd w:val="clear" w:color="auto" w:fill="FFFFFF"/>
        </w:rPr>
        <w:t xml:space="preserve">interconnected </w:t>
      </w:r>
      <w:r w:rsidRPr="009F0A04">
        <w:rPr>
          <w:shd w:val="clear" w:color="auto" w:fill="FFFFFF"/>
        </w:rPr>
        <w:t xml:space="preserve">VoIP direct access to numbers applications. </w:t>
      </w:r>
      <w:r>
        <w:rPr>
          <w:shd w:val="clear" w:color="auto" w:fill="FFFFFF"/>
        </w:rPr>
        <w:t xml:space="preserve"> </w:t>
      </w:r>
      <w:r w:rsidRPr="009F0A04">
        <w:rPr>
          <w:shd w:val="clear" w:color="auto" w:fill="FFFFFF"/>
        </w:rPr>
        <w:t>We believe that this approach will facilitate informed and timely review by interested members of the public and Commission staff, and we seek com</w:t>
      </w:r>
      <w:r w:rsidRPr="009F0A04">
        <w:rPr>
          <w:shd w:val="clear" w:color="auto" w:fill="FFFFFF"/>
        </w:rPr>
        <w:t>ment on this proposal.</w:t>
      </w:r>
      <w:r>
        <w:rPr>
          <w:shd w:val="clear" w:color="auto" w:fill="FFFFFF"/>
        </w:rPr>
        <w:t xml:space="preserve">  </w:t>
      </w:r>
      <w:r>
        <w:t xml:space="preserve">Should the lists of indirect access recipients be kept confidential, subject to a protective order, or otherwise shielded from public access? </w:t>
      </w:r>
    </w:p>
    <w:p w:rsidR="00756CCD" w:rsidP="00887C6A" w14:paraId="5B2A79D6" w14:textId="03614F76">
      <w:pPr>
        <w:pStyle w:val="Heading2"/>
      </w:pPr>
      <w:bookmarkStart w:id="51" w:name="_Toc146047075"/>
      <w:bookmarkStart w:id="52" w:name="_Toc146179067"/>
      <w:r>
        <w:t>Legal Authority</w:t>
      </w:r>
      <w:bookmarkEnd w:id="51"/>
      <w:bookmarkEnd w:id="52"/>
    </w:p>
    <w:p w:rsidR="00756CCD" w:rsidRPr="00F91A14" w:rsidP="00756CCD" w14:paraId="3584E9EE" w14:textId="77777777">
      <w:pPr>
        <w:pStyle w:val="ParaNum"/>
      </w:pPr>
      <w:r w:rsidRPr="009E0871">
        <w:rPr>
          <w:shd w:val="clear" w:color="auto" w:fill="FFFFFF"/>
        </w:rPr>
        <w:t xml:space="preserve">We </w:t>
      </w:r>
      <w:r>
        <w:rPr>
          <w:shd w:val="clear" w:color="auto" w:fill="FFFFFF"/>
        </w:rPr>
        <w:t>tentatively conclude</w:t>
      </w:r>
      <w:r w:rsidRPr="009E0871">
        <w:rPr>
          <w:shd w:val="clear" w:color="auto" w:fill="FFFFFF"/>
        </w:rPr>
        <w:t xml:space="preserve"> that section 251(e)(1) of the Act, which grants us “exclusive jurisdiction over those portions of the North American Numbering Plan that pertain to the United States,” provides us with authority to adopt our proposal</w:t>
      </w:r>
      <w:r>
        <w:rPr>
          <w:shd w:val="clear" w:color="auto" w:fill="FFFFFF"/>
        </w:rPr>
        <w:t>s</w:t>
      </w:r>
      <w:r w:rsidRPr="009E0871">
        <w:rPr>
          <w:shd w:val="clear" w:color="auto" w:fill="FFFFFF"/>
        </w:rPr>
        <w:t>.</w:t>
      </w:r>
      <w:r>
        <w:rPr>
          <w:rStyle w:val="FootnoteReference"/>
          <w:shd w:val="clear" w:color="auto" w:fill="FFFFFF"/>
        </w:rPr>
        <w:footnoteReference w:id="270"/>
      </w:r>
      <w:r w:rsidRPr="009E0871">
        <w:rPr>
          <w:shd w:val="clear" w:color="auto" w:fill="FFFFFF"/>
        </w:rPr>
        <w:t xml:space="preserve">  </w:t>
      </w:r>
      <w:r>
        <w:rPr>
          <w:shd w:val="clear" w:color="auto" w:fill="FFFFFF"/>
        </w:rPr>
        <w:t>We seek comment on this conclusio</w:t>
      </w:r>
      <w:r>
        <w:rPr>
          <w:shd w:val="clear" w:color="auto" w:fill="FFFFFF"/>
        </w:rPr>
        <w:t xml:space="preserve">n.  </w:t>
      </w:r>
      <w:r>
        <w:t xml:space="preserve">In the </w:t>
      </w:r>
      <w:r w:rsidRPr="3A63744E">
        <w:rPr>
          <w:i/>
          <w:iCs/>
        </w:rPr>
        <w:t>VoIP Direct Access Order</w:t>
      </w:r>
      <w:r>
        <w:t>, the Commission concluded that section 251(e)(1) provided it with authority “to extend to interconnected VoIP providers both the rights and obligations associated with using telephone numbers.”</w:t>
      </w:r>
      <w:r>
        <w:rPr>
          <w:rStyle w:val="FootnoteReference"/>
        </w:rPr>
        <w:footnoteReference w:id="271"/>
      </w:r>
      <w:r>
        <w:t xml:space="preserve">  </w:t>
      </w:r>
      <w:r w:rsidRPr="009E0871">
        <w:rPr>
          <w:shd w:val="clear" w:color="auto" w:fill="FFFFFF"/>
        </w:rPr>
        <w:t>Consistent with the Com</w:t>
      </w:r>
      <w:r w:rsidRPr="009E0871">
        <w:rPr>
          <w:shd w:val="clear" w:color="auto" w:fill="FFFFFF"/>
        </w:rPr>
        <w:t xml:space="preserve">mission's well-established reliance on section 251(e) numbering authority with respect to </w:t>
      </w:r>
      <w:r>
        <w:rPr>
          <w:shd w:val="clear" w:color="auto" w:fill="FFFFFF"/>
        </w:rPr>
        <w:t xml:space="preserve">carriers and interconnected </w:t>
      </w:r>
      <w:r w:rsidRPr="009E0871">
        <w:rPr>
          <w:shd w:val="clear" w:color="auto" w:fill="FFFFFF"/>
        </w:rPr>
        <w:t xml:space="preserve">VoIP providers, we propose concluding that section 251(e)(1) allows us to </w:t>
      </w:r>
      <w:r>
        <w:rPr>
          <w:shd w:val="clear" w:color="auto" w:fill="FFFFFF"/>
        </w:rPr>
        <w:t xml:space="preserve">further </w:t>
      </w:r>
      <w:r w:rsidRPr="009E0871">
        <w:rPr>
          <w:shd w:val="clear" w:color="auto" w:fill="FFFFFF"/>
        </w:rPr>
        <w:t>refine our requirements governing direct access to numbe</w:t>
      </w:r>
      <w:r w:rsidRPr="009E0871">
        <w:rPr>
          <w:shd w:val="clear" w:color="auto" w:fill="FFFFFF"/>
        </w:rPr>
        <w:t>ring resources.  We seek comment on this proposal.  Consistent with the </w:t>
      </w:r>
      <w:r w:rsidRPr="009E0871">
        <w:rPr>
          <w:rStyle w:val="Emphasis"/>
          <w:bdr w:val="none" w:sz="0" w:space="0" w:color="auto" w:frame="1"/>
          <w:shd w:val="clear" w:color="auto" w:fill="FFFFFF"/>
        </w:rPr>
        <w:t>VoIP Direct Access Order</w:t>
      </w:r>
      <w:r w:rsidRPr="009E0871">
        <w:rPr>
          <w:shd w:val="clear" w:color="auto" w:fill="FFFFFF"/>
        </w:rPr>
        <w:t>, we also propose concluding that refining our application and post-application direct access requirements would not conflict with sections 251(b)(2) or 251(e)(</w:t>
      </w:r>
      <w:r w:rsidRPr="009E0871">
        <w:rPr>
          <w:shd w:val="clear" w:color="auto" w:fill="FFFFFF"/>
        </w:rPr>
        <w:t>2) of the Act.</w:t>
      </w:r>
      <w:r w:rsidRPr="00686037">
        <w:rPr>
          <w:rStyle w:val="EndnoteReference"/>
        </w:rPr>
        <w:t xml:space="preserve"> </w:t>
      </w:r>
      <w:r>
        <w:rPr>
          <w:rStyle w:val="FootnoteReference"/>
        </w:rPr>
        <w:footnoteReference w:id="272"/>
      </w:r>
      <w:r w:rsidRPr="009E0871">
        <w:rPr>
          <w:shd w:val="clear" w:color="auto" w:fill="FFFFFF"/>
        </w:rPr>
        <w:t xml:space="preserve">  We seek comment on this proposal.</w:t>
      </w:r>
    </w:p>
    <w:p w:rsidR="00756CCD" w:rsidRPr="00F91A14" w:rsidP="00756CCD" w14:paraId="470F2999" w14:textId="77777777">
      <w:pPr>
        <w:pStyle w:val="ParaNum"/>
      </w:pPr>
      <w:r>
        <w:t>We also tentatively conclude that section 6(a) of the TRACED Act provides us with additional authority to adopt our proposal.  Section 6(a)(1) directs that</w:t>
      </w:r>
    </w:p>
    <w:p w:rsidR="00756CCD" w:rsidRPr="00F31D50" w:rsidP="00756CCD" w14:paraId="101A639E" w14:textId="77777777">
      <w:pPr>
        <w:pStyle w:val="BlockText"/>
        <w:spacing w:after="120"/>
        <w:jc w:val="both"/>
        <w:rPr>
          <w:bdr w:val="none" w:sz="0" w:space="0" w:color="auto" w:frame="1"/>
          <w:vertAlign w:val="superscript"/>
        </w:rPr>
      </w:pPr>
      <w:r w:rsidRPr="00F91A14">
        <w:t>[n]ot</w:t>
      </w:r>
      <w:r w:rsidRPr="00F91A14">
        <w:t xml:space="preserve"> later than 180 days after the date of </w:t>
      </w:r>
      <w:r w:rsidRPr="00724222">
        <w:t>the enactment of this Act, the Commission shall commence a proceeding to determine how Commission policies regarding access to number resources, including number resources for toll</w:t>
      </w:r>
      <w:r>
        <w:t xml:space="preserve"> </w:t>
      </w:r>
      <w:r w:rsidRPr="00724222">
        <w:t>free and non-toll</w:t>
      </w:r>
      <w:r>
        <w:t xml:space="preserve"> </w:t>
      </w:r>
      <w:r w:rsidRPr="00724222">
        <w:t>free telephone num</w:t>
      </w:r>
      <w:r w:rsidRPr="00724222">
        <w:t xml:space="preserve">bers, could be modified, including by establishing registration and compliance obligations, and requirements that providers of voice service given access to number resources take sufficient steps to know the identity of the customers of such providers, to </w:t>
      </w:r>
      <w:r w:rsidRPr="00724222">
        <w:t>help reduce access to numbers by potential perpetrators of violations of section 227(b) of the Communications Act of 1934 (</w:t>
      </w:r>
      <w:hyperlink r:id="rId6" w:anchor="co_pp_a83b000018c76" w:history="1">
        <w:r w:rsidRPr="00724222">
          <w:rPr>
            <w:bdr w:val="none" w:sz="0" w:space="0" w:color="auto" w:frame="1"/>
          </w:rPr>
          <w:t>47 U.S.C. 227(b)</w:t>
        </w:r>
      </w:hyperlink>
      <w:r w:rsidRPr="00724222">
        <w:t>).</w:t>
      </w:r>
      <w:r>
        <w:rPr>
          <w:rStyle w:val="FootnoteReference"/>
          <w:color w:val="3D3D3D"/>
        </w:rPr>
        <w:footnoteReference w:id="273"/>
      </w:r>
    </w:p>
    <w:p w:rsidR="00756CCD" w:rsidRPr="00756CCD" w:rsidP="00756CCD" w14:paraId="0925D08A" w14:textId="77777777">
      <w:pPr>
        <w:spacing w:after="120"/>
      </w:pPr>
      <w:r w:rsidRPr="00756CCD">
        <w:t>The Commis</w:t>
      </w:r>
      <w:r w:rsidRPr="00756CCD">
        <w:t>sion commenced the proceeding as required by section 6(a)(1) of the TRACED Act in March 2020,</w:t>
      </w:r>
      <w:r>
        <w:rPr>
          <w:vertAlign w:val="superscript"/>
        </w:rPr>
        <w:footnoteReference w:id="274"/>
      </w:r>
      <w:r w:rsidRPr="00756CCD">
        <w:t> and this </w:t>
      </w:r>
      <w:r w:rsidRPr="00756CCD">
        <w:rPr>
          <w:i/>
        </w:rPr>
        <w:t>Second Further Notice</w:t>
      </w:r>
      <w:r w:rsidRPr="00756CCD">
        <w:t xml:space="preserve"> expands on those inquiries.  Section 6(a)(2) of the TRACED Act states that “[i]f the Commission determines under </w:t>
      </w:r>
      <w:r w:rsidRPr="00756CCD">
        <w:t xml:space="preserve">paragraph (1) that modifying the policies described in that paragraph could help achieve the goal described in that paragraph, the Commission shall prescribe </w:t>
      </w:r>
      <w:r w:rsidRPr="00756CCD">
        <w:t>regulations to implement those policy modifications.”</w:t>
      </w:r>
      <w:r>
        <w:rPr>
          <w:vertAlign w:val="superscript"/>
        </w:rPr>
        <w:footnoteReference w:id="275"/>
      </w:r>
      <w:r w:rsidRPr="00756CCD">
        <w:t xml:space="preserve">  We propose concluding that section 6(a) o</w:t>
      </w:r>
      <w:r w:rsidRPr="00756CCD">
        <w:t>f the TRACED Act, by directing us to prescribe regulations implementing policy changes to reduce access to numbers by potential perpetrators of illegal robocalls, provides an independent basis to adopt the changes we propose to the direct access process wi</w:t>
      </w:r>
      <w:r w:rsidRPr="00756CCD">
        <w:t>th respect to fighting unlawful robocalls, and we seek comment on this proposal.  Should we interpret section 6(a) of the TRACED Act as an independent grant of authority on which we may rely here?  Section 6(b) of the TRACED Act authorizes imposition of fo</w:t>
      </w:r>
      <w:r w:rsidRPr="00756CCD">
        <w:t>rfeitures on certain parties found in violation “of a regulation prescribed under subsection (a),”</w:t>
      </w:r>
      <w:r>
        <w:rPr>
          <w:vertAlign w:val="superscript"/>
        </w:rPr>
        <w:footnoteReference w:id="276"/>
      </w:r>
      <w:r w:rsidRPr="00756CCD">
        <w:t> which we tentatively conclude supports our proposal to find that section 6(a) of the TRACED Act is an independent grant of rulemaking authority.  We seek c</w:t>
      </w:r>
      <w:r w:rsidRPr="00756CCD">
        <w:t>omment on this position.  Should we codify or adopt any regulations to implement the forfeiture authorization in section 6(b) of the TRACED Act, including as to indirect access recipients, and if so, what regulations should we adopt?</w:t>
      </w:r>
      <w:r>
        <w:rPr>
          <w:vertAlign w:val="superscript"/>
        </w:rPr>
        <w:footnoteReference w:id="277"/>
      </w:r>
    </w:p>
    <w:p w:rsidR="00756CCD" w:rsidP="00887C6A" w14:paraId="66D7093C" w14:textId="226CACA8">
      <w:pPr>
        <w:pStyle w:val="Heading2"/>
      </w:pPr>
      <w:bookmarkStart w:id="53" w:name="_Toc146047076"/>
      <w:bookmarkStart w:id="54" w:name="_Toc146179068"/>
      <w:r>
        <w:t>Promoting Digital Eq</w:t>
      </w:r>
      <w:r>
        <w:t>uity and Inclusion</w:t>
      </w:r>
      <w:bookmarkEnd w:id="53"/>
      <w:bookmarkEnd w:id="54"/>
    </w:p>
    <w:p w:rsidR="00756CCD" w:rsidRPr="005E4A24" w:rsidP="00756CCD" w14:paraId="16A801BA" w14:textId="77777777">
      <w:pPr>
        <w:pStyle w:val="ParaNum"/>
      </w:pPr>
      <w:r>
        <w:t>The Commission, as part of its continuing effort to advance digital equity for all,</w:t>
      </w:r>
      <w:r w:rsidRPr="00A60981">
        <w:rPr>
          <w:rStyle w:val="FootnoteReference"/>
        </w:rPr>
        <w:t xml:space="preserve"> </w:t>
      </w:r>
      <w:r>
        <w:rPr>
          <w:rStyle w:val="FootnoteReference"/>
        </w:rPr>
        <w:footnoteReference w:id="278"/>
      </w:r>
      <w:r>
        <w:t xml:space="preserve"> including people of color, persons with disabilities, persons who live in rural or Tribal areas, and others who are or have been historically underser</w:t>
      </w:r>
      <w:r>
        <w:t>ved, marginalized, or adversely affected by persistent poverty or inequality, invites comment on any equity-related considerations and benefits (if any) that may be associated with the proposals and issues discussed herein.  Specifically, we seek comment o</w:t>
      </w:r>
      <w:r>
        <w:t>n how our proposals may promote or inhibit advances in diversity, equity, inclusion, and accessibility, as well as the scope of the Commission’s relevant legal authority.</w:t>
      </w:r>
    </w:p>
    <w:p w:rsidR="00756CCD" w:rsidP="00756CCD" w14:paraId="02928AE5" w14:textId="094CAC1A">
      <w:pPr>
        <w:pStyle w:val="Heading1"/>
      </w:pPr>
      <w:bookmarkStart w:id="55" w:name="_Toc146047077"/>
      <w:bookmarkStart w:id="56" w:name="_Toc146179069"/>
      <w:r>
        <w:t>procedural matters</w:t>
      </w:r>
      <w:bookmarkEnd w:id="55"/>
      <w:bookmarkEnd w:id="56"/>
    </w:p>
    <w:p w:rsidR="00756CCD" w:rsidP="00756CCD" w14:paraId="57A4B5F9" w14:textId="77777777">
      <w:pPr>
        <w:pStyle w:val="ParaNum"/>
      </w:pPr>
      <w:r w:rsidRPr="00205840">
        <w:rPr>
          <w:i/>
        </w:rPr>
        <w:t xml:space="preserve">Regulatory Flexibility Act. </w:t>
      </w:r>
      <w:r w:rsidRPr="00C32695">
        <w:t xml:space="preserve"> The Regulatory Flexibility Act of 198</w:t>
      </w:r>
      <w:r w:rsidRPr="00C32695">
        <w:t>0, as amended (RFA),</w:t>
      </w:r>
      <w:r>
        <w:rPr>
          <w:rStyle w:val="FootnoteReference"/>
        </w:rPr>
        <w:footnoteReference w:id="279"/>
      </w:r>
      <w:r w:rsidRPr="00C32695">
        <w:t xml:space="preserve"> requires that an agency prepare a regulatory flexibility analysis for notice and comment rulemakings, unless the agency certifies that “the rule will not, if promulgated, have a significant economic impact on a substantial number of </w:t>
      </w:r>
      <w:r w:rsidRPr="00C32695">
        <w:t>small entities.”</w:t>
      </w:r>
      <w:r>
        <w:rPr>
          <w:rStyle w:val="FootnoteReference"/>
        </w:rPr>
        <w:footnoteReference w:id="280"/>
      </w:r>
      <w:r w:rsidRPr="00C32695">
        <w:t xml:space="preserve">  </w:t>
      </w:r>
      <w:r>
        <w:t xml:space="preserve">Accordingly, we have prepared a </w:t>
      </w:r>
      <w:r w:rsidRPr="00600230">
        <w:t>Final Regulatory Flexibility Analysis (FRFA</w:t>
      </w:r>
      <w:r w:rsidRPr="008375FA">
        <w:t>)</w:t>
      </w:r>
      <w:r w:rsidRPr="00E466E0">
        <w:t xml:space="preserve"> </w:t>
      </w:r>
      <w:r w:rsidRPr="00C32695">
        <w:t xml:space="preserve">concerning the </w:t>
      </w:r>
      <w:r>
        <w:t xml:space="preserve">possible </w:t>
      </w:r>
      <w:r w:rsidRPr="00C32695">
        <w:t xml:space="preserve">impact of the rule changes contained in </w:t>
      </w:r>
      <w:r>
        <w:t>this</w:t>
      </w:r>
      <w:r w:rsidRPr="00C32695">
        <w:t xml:space="preserve"> </w:t>
      </w:r>
      <w:r w:rsidRPr="00205840">
        <w:rPr>
          <w:i/>
          <w:iCs/>
        </w:rPr>
        <w:t>Second</w:t>
      </w:r>
      <w:r>
        <w:t xml:space="preserve"> </w:t>
      </w:r>
      <w:r w:rsidRPr="00205840">
        <w:rPr>
          <w:i/>
        </w:rPr>
        <w:t xml:space="preserve">Report and Order </w:t>
      </w:r>
      <w:r>
        <w:t xml:space="preserve">on small entities.  </w:t>
      </w:r>
      <w:r w:rsidRPr="00C32695">
        <w:t xml:space="preserve">The </w:t>
      </w:r>
      <w:r>
        <w:t>F</w:t>
      </w:r>
      <w:r w:rsidRPr="00C32695">
        <w:t xml:space="preserve">RFA is </w:t>
      </w:r>
      <w:r>
        <w:t>set forth in</w:t>
      </w:r>
      <w:r w:rsidRPr="00C32695">
        <w:t xml:space="preserve"> Appendix B.</w:t>
      </w:r>
    </w:p>
    <w:p w:rsidR="00756CCD" w:rsidRPr="00D303B6" w:rsidP="0011211D" w14:paraId="64E604FF" w14:textId="77777777">
      <w:pPr>
        <w:pStyle w:val="ParaNum"/>
        <w:widowControl/>
        <w:rPr>
          <w:szCs w:val="22"/>
        </w:rPr>
      </w:pPr>
      <w:r>
        <w:t>W</w:t>
      </w:r>
      <w:r w:rsidRPr="00C6787A">
        <w:t>e have a</w:t>
      </w:r>
      <w:r w:rsidRPr="00C6787A">
        <w:t>lso prepared an Initial Regulatory Flexibility Analysis (IRFA) concerning the potential impact of</w:t>
      </w:r>
      <w:r>
        <w:t xml:space="preserve"> </w:t>
      </w:r>
      <w:r w:rsidRPr="00FE63AC">
        <w:t xml:space="preserve">the rule and policy changes contained in </w:t>
      </w:r>
      <w:r>
        <w:t xml:space="preserve">the </w:t>
      </w:r>
      <w:r>
        <w:rPr>
          <w:i/>
          <w:iCs/>
        </w:rPr>
        <w:t xml:space="preserve">Second </w:t>
      </w:r>
      <w:r w:rsidRPr="006359E6">
        <w:rPr>
          <w:i/>
          <w:iCs/>
        </w:rPr>
        <w:t>Further</w:t>
      </w:r>
      <w:r w:rsidRPr="00FE63AC">
        <w:t xml:space="preserve"> </w:t>
      </w:r>
      <w:r w:rsidRPr="00FE63AC">
        <w:rPr>
          <w:i/>
        </w:rPr>
        <w:t>Notice</w:t>
      </w:r>
      <w:r w:rsidRPr="00FE63AC">
        <w:t xml:space="preserve">.  The IRFA is set forth in Appendix </w:t>
      </w:r>
      <w:r>
        <w:t xml:space="preserve">C.  </w:t>
      </w:r>
      <w:r w:rsidRPr="6C3D5083">
        <w:t xml:space="preserve">Written public comments are requested on the IRFA. </w:t>
      </w:r>
      <w:r w:rsidRPr="6C3D5083">
        <w:t xml:space="preserve"> Comments must be filed by the deadlines for comments on the </w:t>
      </w:r>
      <w:r>
        <w:rPr>
          <w:i/>
          <w:iCs/>
        </w:rPr>
        <w:t xml:space="preserve">Second </w:t>
      </w:r>
      <w:r w:rsidRPr="00182C16">
        <w:rPr>
          <w:i/>
        </w:rPr>
        <w:t>Further</w:t>
      </w:r>
      <w:r w:rsidRPr="009040F0">
        <w:rPr>
          <w:i/>
          <w:iCs/>
        </w:rPr>
        <w:t xml:space="preserve"> </w:t>
      </w:r>
      <w:r w:rsidRPr="00182C16">
        <w:rPr>
          <w:i/>
        </w:rPr>
        <w:t>Notice</w:t>
      </w:r>
      <w:r w:rsidRPr="6C3D5083">
        <w:rPr>
          <w:i/>
        </w:rPr>
        <w:t xml:space="preserve"> </w:t>
      </w:r>
      <w:r w:rsidRPr="6C3D5083">
        <w:t>indicated on the first page of this document and must have a separate and distinct heading designating them as responses to the IRFA.</w:t>
      </w:r>
    </w:p>
    <w:p w:rsidR="00756CCD" w:rsidRPr="0020131D" w:rsidP="00756CCD" w14:paraId="675A87EC" w14:textId="7B53EDF0">
      <w:pPr>
        <w:pStyle w:val="ParaNum"/>
        <w:widowControl/>
      </w:pPr>
      <w:r w:rsidRPr="6C3D5083">
        <w:rPr>
          <w:i/>
        </w:rPr>
        <w:t>Paperwork Reduction Act</w:t>
      </w:r>
      <w:r>
        <w:t xml:space="preserve">.  This document may contain </w:t>
      </w:r>
      <w:r w:rsidRPr="00182C16">
        <w:t xml:space="preserve">new </w:t>
      </w:r>
      <w:r>
        <w:t>or</w:t>
      </w:r>
      <w:r w:rsidRPr="00182C16">
        <w:t xml:space="preserve"> modified</w:t>
      </w:r>
      <w:r>
        <w:t xml:space="preserve"> information collection requirements subject to the Paperwork Reduction Act of 1995 (PRA), Public Law 104-13.  Specifically, the rules adopted </w:t>
      </w:r>
      <w:r w:rsidRPr="00CA7C79">
        <w:t xml:space="preserve">in </w:t>
      </w:r>
      <w:r>
        <w:rPr>
          <w:iCs/>
        </w:rPr>
        <w:t xml:space="preserve">47 CFR </w:t>
      </w:r>
      <w:r>
        <w:t>§ 52.15</w:t>
      </w:r>
      <w:r w:rsidRPr="001A62D7">
        <w:t>(g)</w:t>
      </w:r>
      <w:r w:rsidR="00E44A0A">
        <w:t>(3)</w:t>
      </w:r>
      <w:r w:rsidRPr="001A62D7">
        <w:t>(ii)</w:t>
      </w:r>
      <w:r w:rsidRPr="002D6A1F" w:rsidR="008C3C5F">
        <w:t>(B)-(F), (I), (K)-(L), (N),</w:t>
      </w:r>
      <w:r w:rsidRPr="001A62D7">
        <w:t xml:space="preserve"> and </w:t>
      </w:r>
      <w:r w:rsidRPr="001A62D7">
        <w:t>(</w:t>
      </w:r>
      <w:r w:rsidRPr="001A62D7">
        <w:t>x)</w:t>
      </w:r>
      <w:r w:rsidR="00A01385">
        <w:t>(A)</w:t>
      </w:r>
      <w:r>
        <w:t xml:space="preserve"> may </w:t>
      </w:r>
      <w:r w:rsidRPr="00182C16">
        <w:t>require new or modified informa</w:t>
      </w:r>
      <w:r w:rsidRPr="00182C16">
        <w:t>tion collections</w:t>
      </w:r>
      <w:r w:rsidRPr="00C80205">
        <w:t>.</w:t>
      </w:r>
      <w:r>
        <w:t xml:space="preserve">  All such new or modified information collection requirements</w:t>
      </w:r>
      <w:r w:rsidRPr="00182C16">
        <w:t xml:space="preserve"> will be</w:t>
      </w:r>
      <w:r>
        <w:t xml:space="preserve"> submitted to the Office of Management and Budget (OMB) for review under Section 3507(d) of the PRA.  OMB, the general public, and other Federal agencies will be </w:t>
      </w:r>
      <w:r w:rsidRPr="002C19FF">
        <w:t>invited</w:t>
      </w:r>
      <w:r w:rsidRPr="002C19FF">
        <w:t xml:space="preserve"> to comment on the new or modified information collection requirements contained in this proceeding.  In addition, we note that pursuant to the Small Business Paperwork Relief Act of 2002, Public Law 107-198, </w:t>
      </w:r>
      <w:r w:rsidRPr="3A63744E">
        <w:rPr>
          <w:i/>
          <w:iCs/>
        </w:rPr>
        <w:t>see</w:t>
      </w:r>
      <w:r w:rsidRPr="002C19FF">
        <w:t xml:space="preserve"> 44 U.S.C. 3506(c)(4), we previously sought </w:t>
      </w:r>
      <w:r w:rsidRPr="002C19FF">
        <w:t>specific comment on how the Commission might further reduce the information collection burden for small business concerns with fewer than 25 employees.  In this document</w:t>
      </w:r>
      <w:r>
        <w:t>, we describe several steps we have taken to minimize the information collection burden</w:t>
      </w:r>
      <w:r>
        <w:t>s on small entities.</w:t>
      </w:r>
      <w:r>
        <w:rPr>
          <w:rStyle w:val="FootnoteReference"/>
        </w:rPr>
        <w:footnoteReference w:id="281"/>
      </w:r>
      <w:r>
        <w:t xml:space="preserve">  </w:t>
      </w:r>
    </w:p>
    <w:p w:rsidR="00756CCD" w:rsidRPr="00992AE5" w:rsidP="00756CCD" w14:paraId="171D480C" w14:textId="77777777">
      <w:pPr>
        <w:pStyle w:val="ParaNum"/>
      </w:pPr>
      <w:r>
        <w:t>The</w:t>
      </w:r>
      <w:r w:rsidRPr="6C3D5083">
        <w:rPr>
          <w:i/>
        </w:rPr>
        <w:t xml:space="preserve"> </w:t>
      </w:r>
      <w:r w:rsidRPr="00826DA9">
        <w:rPr>
          <w:i/>
        </w:rPr>
        <w:t>Second Further Notice</w:t>
      </w:r>
      <w:r>
        <w:rPr>
          <w:i/>
        </w:rPr>
        <w:t xml:space="preserve"> </w:t>
      </w:r>
      <w:r>
        <w:t>also may contain proposed new and revised information collection requirements.  The Commission, as part of its continuing effort to reduce paperwork burdens, invites the general public and OMB to comment o</w:t>
      </w:r>
      <w:r>
        <w:t xml:space="preserve">n the information collection requirements contained in this document, as required by the Paperwork Reduction Act of 1995, Public Law 104-13.  In addition, pursuant to the Small Business Paperwork Relief Act of 2002, Public Law 107-198, </w:t>
      </w:r>
      <w:r w:rsidRPr="6C3D5083">
        <w:rPr>
          <w:i/>
        </w:rPr>
        <w:t>see</w:t>
      </w:r>
      <w:r>
        <w:t xml:space="preserve"> 44 U.S.C § 3506(</w:t>
      </w:r>
      <w:r>
        <w:t xml:space="preserve">c)(4), we seek specific comment on how we might further reduce the information collection burden for small business concerns with fewer than 25 employees. </w:t>
      </w:r>
    </w:p>
    <w:p w:rsidR="00756CCD" w:rsidRPr="00992AE5" w:rsidP="00756CCD" w14:paraId="5961A9A2" w14:textId="77777777">
      <w:pPr>
        <w:pStyle w:val="ParaNum"/>
      </w:pPr>
      <w:r w:rsidRPr="6C3D5083">
        <w:rPr>
          <w:i/>
        </w:rPr>
        <w:t>Ex Parte Presentations—Permit-But-Disclose.</w:t>
      </w:r>
      <w:r w:rsidRPr="6C3D5083">
        <w:t xml:space="preserve">  The proceeding this </w:t>
      </w:r>
      <w:r w:rsidRPr="00826DA9">
        <w:rPr>
          <w:i/>
        </w:rPr>
        <w:t>Second Further Notice</w:t>
      </w:r>
      <w:r>
        <w:rPr>
          <w:i/>
        </w:rPr>
        <w:t xml:space="preserve"> </w:t>
      </w:r>
      <w:r w:rsidRPr="6C3D5083">
        <w:t>initiates sha</w:t>
      </w:r>
      <w:r w:rsidRPr="6C3D5083">
        <w:t xml:space="preserve">ll be treated as a “permit-but-disclose” proceeding in accordance with the Commission’s </w:t>
      </w:r>
      <w:r w:rsidRPr="6C3D5083">
        <w:rPr>
          <w:i/>
        </w:rPr>
        <w:t xml:space="preserve">ex parte </w:t>
      </w:r>
      <w:r w:rsidRPr="6C3D5083">
        <w:t>rules.</w:t>
      </w:r>
      <w:r>
        <w:rPr>
          <w:rStyle w:val="FootnoteReference"/>
        </w:rPr>
        <w:footnoteReference w:id="282"/>
      </w:r>
      <w:r w:rsidRPr="6C3D5083">
        <w:t xml:space="preserve">  Persons making </w:t>
      </w:r>
      <w:r w:rsidRPr="6C3D5083">
        <w:rPr>
          <w:i/>
        </w:rPr>
        <w:t xml:space="preserve">ex parte </w:t>
      </w:r>
      <w:r w:rsidRPr="6C3D5083">
        <w:t>presentations must file a copy of any written presentation or a memorandum summarizing any oral presentation within two busin</w:t>
      </w:r>
      <w:r w:rsidRPr="6C3D5083">
        <w:t xml:space="preserve">ess days after the presentation (unless a different deadline applicable to the Sunshine period applies).  Persons making oral </w:t>
      </w:r>
      <w:r w:rsidRPr="6C3D5083">
        <w:rPr>
          <w:i/>
        </w:rPr>
        <w:t xml:space="preserve">ex parte </w:t>
      </w:r>
      <w:r w:rsidRPr="6C3D5083">
        <w:t>presentations are reminded that memoranda summarizing the presentation must (1) list all persons attending or otherwise p</w:t>
      </w:r>
      <w:r w:rsidRPr="6C3D5083">
        <w:t xml:space="preserve">articipating in the meeting at which the </w:t>
      </w:r>
      <w:r w:rsidRPr="6C3D5083">
        <w:rPr>
          <w:i/>
        </w:rPr>
        <w:t xml:space="preserve">ex parte </w:t>
      </w:r>
      <w:r w:rsidRPr="6C3D5083">
        <w:t>presentation was made, and (2) summarize all data presented and arguments made during the presentation.  If the presentation consisted in whole or in part of the presentation of data or arguments already re</w:t>
      </w:r>
      <w:r w:rsidRPr="6C3D5083">
        <w:t>flected in the presenter’s written comments, memoranda or other filings in the proceeding, the presenter may provide citations to such data or arguments in his or her prior comments, memoranda, or other filings (specifying the relevant page and/or paragrap</w:t>
      </w:r>
      <w:r w:rsidRPr="6C3D5083">
        <w:t xml:space="preserve">h numbers where such data or arguments can be found) in lieu of summarizing them in the memorandum.  Documents shown or given to Commission staff during </w:t>
      </w:r>
      <w:r w:rsidRPr="6C3D5083">
        <w:rPr>
          <w:i/>
        </w:rPr>
        <w:t xml:space="preserve">ex parte </w:t>
      </w:r>
      <w:r w:rsidRPr="6C3D5083">
        <w:t xml:space="preserve">meetings are deemed to be written </w:t>
      </w:r>
      <w:r w:rsidRPr="6C3D5083">
        <w:rPr>
          <w:i/>
        </w:rPr>
        <w:t>ex parte</w:t>
      </w:r>
      <w:r w:rsidRPr="6C3D5083">
        <w:t xml:space="preserve"> presentations and must be filed consistent with sec</w:t>
      </w:r>
      <w:r w:rsidRPr="6C3D5083">
        <w:t xml:space="preserve">tion 1.1206(b) of the Commission’s rules.  In proceedings governed by section 1.49(f) of the Commission’s rules or for which the Commission has made available a method of electronic filing, written </w:t>
      </w:r>
      <w:r w:rsidRPr="6C3D5083">
        <w:rPr>
          <w:i/>
        </w:rPr>
        <w:t xml:space="preserve">ex parte </w:t>
      </w:r>
      <w:r w:rsidRPr="6C3D5083">
        <w:t xml:space="preserve">presentations and memoranda summarizing oral </w:t>
      </w:r>
      <w:r w:rsidRPr="6C3D5083">
        <w:rPr>
          <w:i/>
        </w:rPr>
        <w:t>ex p</w:t>
      </w:r>
      <w:r w:rsidRPr="6C3D5083">
        <w:rPr>
          <w:i/>
        </w:rPr>
        <w:t xml:space="preserve">arte </w:t>
      </w:r>
      <w:r w:rsidRPr="6C3D5083">
        <w:t>presentations, and all attachments thereto, must be filed through the electronic comment filing system available for that proceeding, and must be filed in their native format (</w:t>
      </w:r>
      <w:r w:rsidRPr="6C3D5083">
        <w:rPr>
          <w:i/>
        </w:rPr>
        <w:t>e.g.</w:t>
      </w:r>
      <w:r w:rsidRPr="6C3D5083">
        <w:t xml:space="preserve">, .doc, .xml, .ppt, searchable .pdf).  Participants in this proceeding </w:t>
      </w:r>
      <w:r w:rsidRPr="6C3D5083">
        <w:t xml:space="preserve">should familiarize themselves with the Commission’s </w:t>
      </w:r>
      <w:r w:rsidRPr="6C3D5083">
        <w:rPr>
          <w:i/>
        </w:rPr>
        <w:t xml:space="preserve">ex parte </w:t>
      </w:r>
      <w:r w:rsidRPr="6C3D5083">
        <w:t>rules.</w:t>
      </w:r>
      <w:r>
        <w:rPr>
          <w:rStyle w:val="StyleFootnoteReferenceNECGFootnoteReference-EFunotenzeiche"/>
        </w:rPr>
        <w:footnoteReference w:id="283"/>
      </w:r>
    </w:p>
    <w:p w:rsidR="00756CCD" w:rsidRPr="00992AE5" w:rsidP="00B343A9" w14:paraId="12B58B50" w14:textId="77777777">
      <w:pPr>
        <w:pStyle w:val="ParaNum"/>
        <w:widowControl/>
      </w:pPr>
      <w:r w:rsidRPr="6C3D5083">
        <w:rPr>
          <w:i/>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w:t>
      </w:r>
      <w:r>
        <w:t xml:space="preserve">on’s Electronic Comment Filing System (ECFS).  </w:t>
      </w:r>
      <w:r w:rsidRPr="6C3D5083">
        <w:rPr>
          <w:i/>
        </w:rPr>
        <w:t>See Electronic Filing of Documents in Rulemaking Proceedings</w:t>
      </w:r>
      <w:r>
        <w:t>, 63 FR 24121 (1998).</w:t>
      </w:r>
    </w:p>
    <w:p w:rsidR="00756CCD" w:rsidRPr="009B5A8B" w:rsidP="00756CCD" w14:paraId="6D89D678" w14:textId="77777777">
      <w:pPr>
        <w:widowControl/>
        <w:numPr>
          <w:ilvl w:val="0"/>
          <w:numId w:val="14"/>
        </w:numPr>
        <w:spacing w:after="120"/>
        <w:ind w:left="1440"/>
        <w:rPr>
          <w:szCs w:val="22"/>
        </w:rPr>
      </w:pPr>
      <w:r w:rsidRPr="009B5A8B">
        <w:rPr>
          <w:szCs w:val="22"/>
        </w:rPr>
        <w:t xml:space="preserve">Electronic Filers:  Comments may be filed electronically using the Internet by accessing ECFS:  </w:t>
      </w:r>
      <w:hyperlink r:id="rId7" w:history="1">
        <w:r w:rsidRPr="009B5A8B">
          <w:rPr>
            <w:rStyle w:val="Hyperlink"/>
            <w:color w:val="4472C4"/>
            <w:szCs w:val="22"/>
          </w:rPr>
          <w:t>https://www.fcc.gov/ecfs</w:t>
        </w:r>
      </w:hyperlink>
      <w:r w:rsidRPr="009B5A8B">
        <w:rPr>
          <w:szCs w:val="22"/>
        </w:rPr>
        <w:t xml:space="preserve">. </w:t>
      </w:r>
    </w:p>
    <w:p w:rsidR="00756CCD" w:rsidRPr="00826DA9" w:rsidP="00756CCD" w14:paraId="5BF5B466" w14:textId="77777777">
      <w:pPr>
        <w:widowControl/>
        <w:numPr>
          <w:ilvl w:val="0"/>
          <w:numId w:val="14"/>
        </w:numPr>
        <w:spacing w:after="120"/>
        <w:ind w:left="1440"/>
        <w:rPr>
          <w:szCs w:val="22"/>
        </w:rPr>
      </w:pPr>
      <w:r w:rsidRPr="00826DA9">
        <w:rPr>
          <w:szCs w:val="22"/>
        </w:rPr>
        <w:t>Paper Filers:  Parties who choose to file by paper must fi</w:t>
      </w:r>
      <w:r w:rsidRPr="00826DA9">
        <w:rPr>
          <w:szCs w:val="22"/>
        </w:rPr>
        <w:t>le an original and one copy of each filing.</w:t>
      </w:r>
    </w:p>
    <w:p w:rsidR="00756CCD" w:rsidRPr="00826DA9" w:rsidP="00756CCD" w14:paraId="7C16A22A" w14:textId="77777777">
      <w:pPr>
        <w:widowControl/>
        <w:numPr>
          <w:ilvl w:val="0"/>
          <w:numId w:val="14"/>
        </w:numPr>
        <w:spacing w:after="120"/>
        <w:ind w:left="1440"/>
        <w:rPr>
          <w:szCs w:val="22"/>
        </w:rPr>
      </w:pPr>
      <w:r w:rsidRPr="00826DA9">
        <w:rPr>
          <w:szCs w:val="22"/>
        </w:rPr>
        <w:t xml:space="preserve">Filings can be sent by commercial overnight courier, or by first-class or overnight U.S. Postal Service mail. </w:t>
      </w:r>
      <w:r>
        <w:rPr>
          <w:szCs w:val="22"/>
        </w:rPr>
        <w:t xml:space="preserve"> </w:t>
      </w:r>
      <w:r w:rsidRPr="00826DA9">
        <w:rPr>
          <w:szCs w:val="22"/>
        </w:rPr>
        <w:t>All filings must be addressed to the Commission’s Secretary, Office of the Secretary, Federal Communi</w:t>
      </w:r>
      <w:r w:rsidRPr="00826DA9">
        <w:rPr>
          <w:szCs w:val="22"/>
        </w:rPr>
        <w:t>cations Commission.</w:t>
      </w:r>
    </w:p>
    <w:p w:rsidR="00756CCD" w:rsidRPr="00826DA9" w:rsidP="00756CCD" w14:paraId="0B5821CB" w14:textId="77777777">
      <w:pPr>
        <w:widowControl/>
        <w:numPr>
          <w:ilvl w:val="0"/>
          <w:numId w:val="14"/>
        </w:numPr>
        <w:spacing w:after="120"/>
        <w:ind w:left="1440"/>
        <w:rPr>
          <w:szCs w:val="22"/>
        </w:rPr>
      </w:pPr>
      <w:r w:rsidRPr="00826DA9">
        <w:rPr>
          <w:szCs w:val="22"/>
        </w:rPr>
        <w:t>Commercial overnight mail (other than U.S. Postal Service Express Mail and Priority Mail) must be sent to 9050 Junction Drive, Annapolis Junction, MD 20701.U.S. Postal Service first-class, Express, and Priority mail must be addressed to</w:t>
      </w:r>
      <w:r w:rsidRPr="00826DA9">
        <w:rPr>
          <w:szCs w:val="22"/>
        </w:rPr>
        <w:t xml:space="preserve"> 45 L Street NE</w:t>
      </w:r>
      <w:r w:rsidRPr="009B5A8B">
        <w:rPr>
          <w:szCs w:val="22"/>
        </w:rPr>
        <w:t xml:space="preserve">, </w:t>
      </w:r>
      <w:r w:rsidRPr="00826DA9">
        <w:rPr>
          <w:szCs w:val="22"/>
        </w:rPr>
        <w:t>Washington, DC  20554.</w:t>
      </w:r>
    </w:p>
    <w:p w:rsidR="00756CCD" w:rsidRPr="00992AE5" w:rsidP="00756CCD" w14:paraId="4F151806" w14:textId="77777777">
      <w:pPr>
        <w:widowControl/>
        <w:numPr>
          <w:ilvl w:val="0"/>
          <w:numId w:val="14"/>
        </w:numPr>
        <w:spacing w:after="120"/>
        <w:ind w:left="1440"/>
      </w:pPr>
      <w:r w:rsidRPr="00826DA9">
        <w:rPr>
          <w:szCs w:val="22"/>
        </w:rPr>
        <w:t>Effective March 19, 2020, and until further notice, the Commission no longer accepts any hand or messenger delivered filings.</w:t>
      </w:r>
      <w:r>
        <w:rPr>
          <w:szCs w:val="22"/>
        </w:rPr>
        <w:t xml:space="preserve"> </w:t>
      </w:r>
      <w:r w:rsidRPr="00826DA9">
        <w:rPr>
          <w:szCs w:val="22"/>
        </w:rPr>
        <w:t xml:space="preserve"> This is a temporary measure taken to help protect the health and safety of individuals, a</w:t>
      </w:r>
      <w:r w:rsidRPr="00826DA9">
        <w:rPr>
          <w:szCs w:val="22"/>
        </w:rPr>
        <w:t xml:space="preserve">nd to mitigate the transmission of COVID-19.  </w:t>
      </w:r>
      <w:r w:rsidRPr="00826DA9">
        <w:rPr>
          <w:i/>
          <w:iCs/>
          <w:szCs w:val="22"/>
        </w:rPr>
        <w:t>See</w:t>
      </w:r>
      <w:r w:rsidRPr="00826DA9">
        <w:rPr>
          <w:szCs w:val="22"/>
        </w:rPr>
        <w:t xml:space="preserve"> FCC Announces Closure of FCC Headquarters Open Window and Change in Hand-Delivery Policy, Public Notice, DA 20-304 (March 19, 2020).  </w:t>
      </w:r>
      <w:hyperlink r:id="rId8" w:history="1">
        <w:r w:rsidRPr="009B5A8B">
          <w:rPr>
            <w:rStyle w:val="Hyperlink"/>
            <w:szCs w:val="22"/>
          </w:rPr>
          <w:t>https://www.fcc.gov/document/fcc-closes-headquarters-open-window-and-changes-hand-delivery-policy</w:t>
        </w:r>
      </w:hyperlink>
      <w:r w:rsidRPr="00826DA9">
        <w:rPr>
          <w:szCs w:val="22"/>
        </w:rPr>
        <w:t>.</w:t>
      </w:r>
    </w:p>
    <w:p w:rsidR="00756CCD" w:rsidRPr="00992AE5" w:rsidP="00756CCD" w14:paraId="70AFA395" w14:textId="77777777">
      <w:pPr>
        <w:pStyle w:val="ParaNum"/>
      </w:pPr>
      <w:r>
        <w:t>Pursuant to section 1.49 of the Commission’s rules, 47 CFR § 1.49, parties to thi</w:t>
      </w:r>
      <w:r>
        <w:t xml:space="preserve">s proceeding must file any documents in this proceeding using the Commission’s Electronic Comment Filing System (ECFS):  </w:t>
      </w:r>
      <w:hyperlink r:id="rId9" w:history="1">
        <w:r w:rsidRPr="003F62D0">
          <w:rPr>
            <w:rStyle w:val="Hyperlink"/>
          </w:rPr>
          <w:t>www.fcc.gov/ecfs</w:t>
        </w:r>
      </w:hyperlink>
      <w:r>
        <w:t>.</w:t>
      </w:r>
    </w:p>
    <w:p w:rsidR="00756CCD" w:rsidRPr="008737E4" w:rsidP="00756CCD" w14:paraId="1D237AD9" w14:textId="77777777">
      <w:pPr>
        <w:pStyle w:val="ParaNum"/>
        <w:rPr>
          <w:szCs w:val="22"/>
        </w:rPr>
      </w:pPr>
      <w:r>
        <w:rPr>
          <w:i/>
        </w:rPr>
        <w:t>Accessible Formats</w:t>
      </w:r>
      <w:r>
        <w:t xml:space="preserve">.  To request materials in accessible formats for people with disabilities (Braille, large print, electronic files, audio format), send an e-mail to </w:t>
      </w:r>
      <w:hyperlink r:id="rId10">
        <w:r w:rsidRPr="00A3614D">
          <w:rPr>
            <w:color w:val="4472C4"/>
            <w:u w:val="single"/>
          </w:rPr>
          <w:t>fcc504@fcc.gov</w:t>
        </w:r>
      </w:hyperlink>
      <w:r>
        <w:t xml:space="preserve"> or call the Consumer &amp; Governmental Affairs Bureau at 202</w:t>
      </w:r>
      <w:r w:rsidRPr="008737E4">
        <w:rPr>
          <w:szCs w:val="22"/>
        </w:rPr>
        <w:t>-418-0530 (voice)</w:t>
      </w:r>
      <w:r w:rsidRPr="000159DD">
        <w:rPr>
          <w:szCs w:val="22"/>
        </w:rPr>
        <w:t>, 202-418-0432 (TTY)</w:t>
      </w:r>
      <w:r w:rsidRPr="008737E4">
        <w:rPr>
          <w:szCs w:val="22"/>
        </w:rPr>
        <w:t>.</w:t>
      </w:r>
    </w:p>
    <w:p w:rsidR="00756CCD" w:rsidRPr="00D303B6" w:rsidP="00756CCD" w14:paraId="752CAA13" w14:textId="77777777">
      <w:pPr>
        <w:pStyle w:val="ParaNum"/>
        <w:rPr>
          <w:szCs w:val="22"/>
        </w:rPr>
      </w:pPr>
      <w:r w:rsidRPr="008737E4">
        <w:rPr>
          <w:i/>
          <w:szCs w:val="22"/>
        </w:rPr>
        <w:t>Contact Person.</w:t>
      </w:r>
      <w:r w:rsidRPr="008737E4">
        <w:rPr>
          <w:szCs w:val="22"/>
        </w:rPr>
        <w:t xml:space="preserve"> </w:t>
      </w:r>
      <w:r w:rsidRPr="008737E4">
        <w:rPr>
          <w:snapToGrid/>
          <w:szCs w:val="22"/>
        </w:rPr>
        <w:t xml:space="preserve"> For further information about this proceeding, please contact Mason Shefa, </w:t>
      </w:r>
      <w:r w:rsidRPr="008737E4">
        <w:rPr>
          <w:snapToGrid/>
          <w:kern w:val="0"/>
          <w:szCs w:val="22"/>
        </w:rPr>
        <w:t>FCC Wireline Competition Bureau, Compe</w:t>
      </w:r>
      <w:r w:rsidRPr="7E6B744C">
        <w:rPr>
          <w:snapToGrid/>
          <w:kern w:val="0"/>
        </w:rPr>
        <w:t>tition Policy Division, at (202) 418-</w:t>
      </w:r>
      <w:r>
        <w:rPr>
          <w:snapToGrid/>
          <w:kern w:val="0"/>
        </w:rPr>
        <w:t>2494</w:t>
      </w:r>
      <w:r w:rsidRPr="7E6B744C">
        <w:rPr>
          <w:snapToGrid/>
          <w:kern w:val="0"/>
        </w:rPr>
        <w:t>, or</w:t>
      </w:r>
      <w:r>
        <w:rPr>
          <w:snapToGrid/>
          <w:kern w:val="0"/>
        </w:rPr>
        <w:t xml:space="preserve"> </w:t>
      </w:r>
      <w:hyperlink r:id="rId11" w:history="1">
        <w:r w:rsidRPr="00C23FFC">
          <w:rPr>
            <w:rStyle w:val="Hyperlink"/>
            <w:snapToGrid/>
            <w:color w:val="4472C4"/>
            <w:kern w:val="0"/>
          </w:rPr>
          <w:t>mason.shefa@fcc.gov</w:t>
        </w:r>
      </w:hyperlink>
      <w:r>
        <w:rPr>
          <w:snapToGrid/>
          <w:kern w:val="0"/>
        </w:rPr>
        <w:t>.</w:t>
      </w:r>
      <w:r>
        <w:rPr>
          <w:snapToGrid/>
          <w:kern w:val="0"/>
        </w:rPr>
        <w:t xml:space="preserve"> </w:t>
      </w:r>
      <w:r w:rsidRPr="00D303B6">
        <w:rPr>
          <w:szCs w:val="22"/>
        </w:rPr>
        <w:t xml:space="preserve"> </w:t>
      </w:r>
    </w:p>
    <w:p w:rsidR="00756CCD" w:rsidP="00756CCD" w14:paraId="22163D7F" w14:textId="6BB1E97F">
      <w:pPr>
        <w:pStyle w:val="Heading1"/>
      </w:pPr>
      <w:bookmarkStart w:id="57" w:name="_Toc146047078"/>
      <w:bookmarkStart w:id="58" w:name="_Toc146179070"/>
      <w:r>
        <w:t>ordering clauses</w:t>
      </w:r>
      <w:bookmarkEnd w:id="57"/>
      <w:bookmarkEnd w:id="58"/>
    </w:p>
    <w:p w:rsidR="00756CCD" w:rsidRPr="001B6AB6" w:rsidP="00756CCD" w14:paraId="4417E43E" w14:textId="5DDC012E">
      <w:pPr>
        <w:pStyle w:val="ParaNum"/>
        <w:rPr>
          <w:szCs w:val="22"/>
        </w:rPr>
      </w:pPr>
      <w:r>
        <w:t xml:space="preserve">Accordingly, IT IS ORDERED that pursuant to sections 1, 3, 4, 201-205, 227b-1, 251, and 303(r) of the Communications Act of 1934, as amended, 47 U.S.C. §§ 151, 153, 154, 201-205, 227b-1, 251, 303(r), and section 6(a) of the TRACED Act, </w:t>
      </w:r>
      <w:r>
        <w:t xml:space="preserve">Pub. L. No. 116-105, § 6(a)(1)-(2), 133 Stat. 3274, 3277 (2019), the </w:t>
      </w:r>
      <w:r w:rsidRPr="001B6AB6">
        <w:rPr>
          <w:i/>
          <w:iCs/>
        </w:rPr>
        <w:t>Second Report and Order and Second Further Notice of Proposed Rulemaking</w:t>
      </w:r>
      <w:r w:rsidRPr="001B6AB6">
        <w:rPr>
          <w:i/>
        </w:rPr>
        <w:t xml:space="preserve"> </w:t>
      </w:r>
      <w:r>
        <w:t>hereby IS ADOPTED and Part 52 of the Commission’s Rules, 47 CFR part 52, IS AMENDED as set forth in Appendix A.  T</w:t>
      </w:r>
      <w:r>
        <w:t xml:space="preserve">he </w:t>
      </w:r>
      <w:r w:rsidRPr="001B6AB6">
        <w:rPr>
          <w:i/>
          <w:iCs/>
        </w:rPr>
        <w:t>Second Report and Order</w:t>
      </w:r>
      <w:r>
        <w:t xml:space="preserve"> shall become effective 30 days after publication in the Federal Register, except for 47 CFR </w:t>
      </w:r>
      <w:r>
        <w:t>§ 52.15</w:t>
      </w:r>
      <w:r w:rsidRPr="00826DA9">
        <w:t>(g)(3)</w:t>
      </w:r>
      <w:r w:rsidR="00332EEE">
        <w:t>(ii)</w:t>
      </w:r>
      <w:r w:rsidRPr="00826DA9">
        <w:t>(</w:t>
      </w:r>
      <w:r>
        <w:t xml:space="preserve">B)-(F), (I), (K)-(L), and (N), </w:t>
      </w:r>
      <w:r w:rsidR="006438D7">
        <w:t>and</w:t>
      </w:r>
      <w:r w:rsidRPr="002E7525" w:rsidR="006438D7">
        <w:t xml:space="preserve"> (x)(A)</w:t>
      </w:r>
      <w:r w:rsidR="006438D7">
        <w:t>,</w:t>
      </w:r>
      <w:r w:rsidRPr="002D6A1F" w:rsidR="006438D7">
        <w:t xml:space="preserve"> </w:t>
      </w:r>
      <w:r>
        <w:t xml:space="preserve">as amended in Appendix A, which shall become effective upon an announcement in the Federal </w:t>
      </w:r>
      <w:r>
        <w:t>Register of OMB review and an effective date of those rules.</w:t>
      </w:r>
    </w:p>
    <w:p w:rsidR="00756CCD" w:rsidP="00E91A8B" w14:paraId="639BE75A" w14:textId="77777777">
      <w:pPr>
        <w:pStyle w:val="ParaNum"/>
        <w:keepLines/>
        <w:rPr>
          <w:szCs w:val="22"/>
        </w:rPr>
      </w:pPr>
      <w:r>
        <w:t xml:space="preserve">IT IS FURTHER ORDERED that the Commission’s Office of the Secretary, Reference Information Center, SHALL SEND a copy of this </w:t>
      </w:r>
      <w:r w:rsidRPr="00826DA9">
        <w:rPr>
          <w:i/>
          <w:iCs/>
        </w:rPr>
        <w:t>Second Report and Order and Second Further Notice of Proposed Rulemaki</w:t>
      </w:r>
      <w:r w:rsidRPr="00826DA9">
        <w:rPr>
          <w:i/>
          <w:iCs/>
        </w:rPr>
        <w:t>ng</w:t>
      </w:r>
      <w:r>
        <w:t>, including the Final Regulatory Flexibility Analysis and Initial Regulatory Flexibility Analysis, to the Chief Counsel for Advocacy of the Small Business Administration.</w:t>
      </w:r>
    </w:p>
    <w:p w:rsidR="00756CCD" w:rsidRPr="00992AE5" w:rsidP="00E91A8B" w14:paraId="6F0756D0" w14:textId="77777777">
      <w:pPr>
        <w:pStyle w:val="ParaNum"/>
        <w:keepNext/>
        <w:keepLines/>
        <w:widowControl/>
      </w:pPr>
      <w:r>
        <w:t>IT IS FURTHER ORDERED that the Office of the Managing Director, Performance Evaluat</w:t>
      </w:r>
      <w:r>
        <w:t xml:space="preserve">ion and Records Management, SHALL SEND a copy of this </w:t>
      </w:r>
      <w:r w:rsidRPr="3A63744E">
        <w:rPr>
          <w:i/>
          <w:iCs/>
        </w:rPr>
        <w:t>Second</w:t>
      </w:r>
      <w:r>
        <w:t xml:space="preserve"> </w:t>
      </w:r>
      <w:r w:rsidRPr="00A50ACC">
        <w:rPr>
          <w:i/>
        </w:rPr>
        <w:t>Report and Order</w:t>
      </w:r>
      <w:r w:rsidRPr="000026AD">
        <w:rPr>
          <w:i/>
        </w:rPr>
        <w:t xml:space="preserve"> </w:t>
      </w:r>
      <w:r>
        <w:t>in a report to be sent to Congress and the Government Accountability Office pursuant to the Congressional Review Act, see 5 U.S.C. § 801(a)(1)(A).</w:t>
      </w:r>
    </w:p>
    <w:p w:rsidR="00756CCD" w:rsidP="00E91A8B" w14:paraId="72F87313" w14:textId="77777777">
      <w:pPr>
        <w:keepLines/>
      </w:pPr>
    </w:p>
    <w:p w:rsidR="00756CCD" w:rsidP="00E91A8B" w14:paraId="618EF62F" w14:textId="77777777">
      <w:pPr>
        <w:keepLines/>
      </w:pPr>
      <w:r>
        <w:tab/>
      </w:r>
      <w:r>
        <w:tab/>
      </w:r>
      <w:r>
        <w:tab/>
      </w:r>
      <w:r>
        <w:tab/>
      </w:r>
      <w:r>
        <w:tab/>
      </w:r>
      <w:r>
        <w:tab/>
        <w:t xml:space="preserve">FEDERAL </w:t>
      </w:r>
      <w:r>
        <w:t>COMMUNICATIONS COMMISSION</w:t>
      </w:r>
    </w:p>
    <w:p w:rsidR="00756CCD" w:rsidP="00E91A8B" w14:paraId="4487556C" w14:textId="77777777">
      <w:pPr>
        <w:keepLines/>
      </w:pPr>
    </w:p>
    <w:p w:rsidR="00756CCD" w:rsidP="00E91A8B" w14:paraId="16E4DCBD" w14:textId="77777777">
      <w:pPr>
        <w:keepLines/>
      </w:pPr>
    </w:p>
    <w:p w:rsidR="00756CCD" w:rsidP="00E91A8B" w14:paraId="64F50398" w14:textId="77777777">
      <w:pPr>
        <w:keepLines/>
      </w:pPr>
    </w:p>
    <w:p w:rsidR="00756CCD" w:rsidP="0017296B" w14:paraId="2697BC41" w14:textId="77777777"/>
    <w:p w:rsidR="00756CCD" w:rsidP="0017296B" w14:paraId="261DE1E1" w14:textId="77777777">
      <w:r>
        <w:tab/>
      </w:r>
      <w:r>
        <w:tab/>
      </w:r>
      <w:r>
        <w:tab/>
      </w:r>
      <w:r>
        <w:tab/>
      </w:r>
      <w:r>
        <w:tab/>
      </w:r>
      <w:r>
        <w:tab/>
        <w:t>Marlene H. Dortch</w:t>
      </w:r>
    </w:p>
    <w:p w:rsidR="00756CCD" w:rsidP="0017296B" w14:paraId="636F4D87" w14:textId="77777777">
      <w:r>
        <w:tab/>
      </w:r>
      <w:r>
        <w:tab/>
      </w:r>
      <w:r>
        <w:tab/>
      </w:r>
      <w:r>
        <w:tab/>
      </w:r>
      <w:r>
        <w:tab/>
      </w:r>
      <w:r>
        <w:tab/>
        <w:t>Secretary</w:t>
      </w:r>
    </w:p>
    <w:p w:rsidR="00756CCD" w:rsidP="00756CCD" w14:paraId="5B90C25B" w14:textId="77777777"/>
    <w:p w:rsidR="00756CCD" w:rsidP="00756CCD" w14:paraId="428D01A7" w14:textId="77777777">
      <w:pPr>
        <w:sectPr w:rsidSect="0055614C">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pgNumType w:start="1"/>
          <w:cols w:space="720"/>
          <w:noEndnote/>
          <w:titlePg/>
        </w:sectPr>
      </w:pPr>
    </w:p>
    <w:p w:rsidR="00756CCD" w:rsidP="00756CCD" w14:paraId="11CEB89C" w14:textId="3F7BA15C">
      <w:pPr>
        <w:pStyle w:val="Heading1"/>
        <w:numPr>
          <w:ilvl w:val="0"/>
          <w:numId w:val="0"/>
        </w:numPr>
        <w:ind w:left="720" w:hanging="720"/>
        <w:jc w:val="center"/>
      </w:pPr>
      <w:bookmarkStart w:id="59" w:name="_Toc146047079"/>
      <w:bookmarkStart w:id="60" w:name="_Toc146179071"/>
      <w:r>
        <w:t>APPENDIX A</w:t>
      </w:r>
      <w:bookmarkEnd w:id="59"/>
      <w:bookmarkEnd w:id="60"/>
    </w:p>
    <w:p w:rsidR="00756CCD" w:rsidRPr="00756CCD" w:rsidP="00756CCD" w14:paraId="27236226" w14:textId="52A57110">
      <w:pPr>
        <w:jc w:val="center"/>
        <w:rPr>
          <w:b/>
          <w:bCs/>
        </w:rPr>
      </w:pPr>
      <w:r w:rsidRPr="00756CCD">
        <w:rPr>
          <w:b/>
          <w:bCs/>
        </w:rPr>
        <w:t>Final Rules</w:t>
      </w:r>
    </w:p>
    <w:p w:rsidR="00756CCD" w:rsidP="00756CCD" w14:paraId="0C1FC00A" w14:textId="77777777">
      <w:pPr>
        <w:jc w:val="center"/>
      </w:pPr>
    </w:p>
    <w:p w:rsidR="00E92E25" w:rsidRPr="00234866" w:rsidP="00E92E25" w14:paraId="2953AA4E" w14:textId="77777777">
      <w:pPr>
        <w:spacing w:after="120"/>
      </w:pPr>
      <w:r>
        <w:t>For the reasons discussed above, t</w:t>
      </w:r>
      <w:r w:rsidRPr="00234866">
        <w:t xml:space="preserve">he Federal Communications Commission amends </w:t>
      </w:r>
      <w:r>
        <w:t xml:space="preserve">47 CFR </w:t>
      </w:r>
      <w:r w:rsidRPr="00234866">
        <w:t>part 52 as follows:</w:t>
      </w:r>
    </w:p>
    <w:p w:rsidR="00E92E25" w:rsidRPr="00234866" w:rsidP="00E92E25" w14:paraId="09B949C8" w14:textId="77777777">
      <w:pPr>
        <w:spacing w:after="120"/>
        <w:rPr>
          <w:b/>
          <w:bCs/>
        </w:rPr>
      </w:pPr>
      <w:r w:rsidRPr="00234866">
        <w:rPr>
          <w:b/>
          <w:bCs/>
        </w:rPr>
        <w:t>PART 52 – NUMBERING</w:t>
      </w:r>
    </w:p>
    <w:p w:rsidR="00FA575B" w:rsidRPr="0063211E" w:rsidP="00303064" w14:paraId="240EAB2C" w14:textId="77777777">
      <w:pPr>
        <w:pStyle w:val="Heading3"/>
        <w:tabs>
          <w:tab w:val="clear" w:pos="2160"/>
        </w:tabs>
        <w:ind w:left="720"/>
        <w:rPr>
          <w:bCs/>
        </w:rPr>
      </w:pPr>
      <w:r w:rsidRPr="00B643EC">
        <w:rPr>
          <w:b w:val="0"/>
          <w:bCs/>
        </w:rPr>
        <w:t xml:space="preserve">Amend § 52.15 by: </w:t>
      </w:r>
    </w:p>
    <w:p w:rsidR="00FA575B" w:rsidRPr="00303064" w:rsidP="00303064" w14:paraId="61C98FEC" w14:textId="1E93700B">
      <w:pPr>
        <w:pStyle w:val="Heading4"/>
        <w:numPr>
          <w:ilvl w:val="3"/>
          <w:numId w:val="21"/>
        </w:numPr>
        <w:rPr>
          <w:b w:val="0"/>
          <w:bCs/>
        </w:rPr>
      </w:pPr>
      <w:r w:rsidRPr="00303064">
        <w:rPr>
          <w:b w:val="0"/>
          <w:bCs/>
        </w:rPr>
        <w:t xml:space="preserve">Redesignating paragraphs (g)(3)(i) as (g)(3)(ii), (g)(3)(i)(C) as </w:t>
      </w:r>
      <w:r w:rsidRPr="00303064">
        <w:rPr>
          <w:b w:val="0"/>
          <w:bCs/>
        </w:rPr>
        <w:t>(g)(3)(ii)(G), (g)(3)(i)(D) as (g)(3)(ii)(H), (g)(3)(i)(E) as (g)(3)(ii)(J), (g)(3)(i)(F) as (g)(3)(ii)(K), (g)(3)(i)(G) as (g)(3)(ii)(M), (g)(3)(ii) as (g)(3)(iii), (g)(3)(iii) as (g)(3)(iv), (g)(3)(iii)(A) as (g)(3)(v)(A), (g)(3)(iii)(B) as (g)(3)(v)(B),</w:t>
      </w:r>
      <w:r w:rsidRPr="00303064">
        <w:rPr>
          <w:b w:val="0"/>
          <w:bCs/>
        </w:rPr>
        <w:t xml:space="preserve"> (g)(3)(iii)(C) as (g)(3)(v)(D), (g)(3)(iii)(D) as (g)(3)(v)(E), (g)(3)(iv) as (g)(3)(x);</w:t>
      </w:r>
    </w:p>
    <w:p w:rsidR="00FA575B" w:rsidRPr="00B643EC" w:rsidP="00303064" w14:paraId="0CA341E1" w14:textId="55970E52">
      <w:pPr>
        <w:pStyle w:val="Heading4"/>
        <w:numPr>
          <w:ilvl w:val="3"/>
          <w:numId w:val="21"/>
        </w:numPr>
      </w:pPr>
      <w:r w:rsidRPr="00B643EC">
        <w:rPr>
          <w:b w:val="0"/>
          <w:bCs/>
        </w:rPr>
        <w:t>Adding new paragraphs (g)(3)(i),</w:t>
      </w:r>
      <w:r>
        <w:rPr>
          <w:b w:val="0"/>
          <w:bCs/>
        </w:rPr>
        <w:t xml:space="preserve"> (g)(3)(ii)(C)-(F), (g)(3)(ii)(I), (g)(3)(ii)(L), (g)(3)(ii)(N), </w:t>
      </w:r>
      <w:r w:rsidRPr="00B643EC">
        <w:rPr>
          <w:b w:val="0"/>
          <w:bCs/>
        </w:rPr>
        <w:t>(g)(3)(v),</w:t>
      </w:r>
      <w:r>
        <w:rPr>
          <w:b w:val="0"/>
          <w:bCs/>
        </w:rPr>
        <w:t xml:space="preserve"> (g)(3)(v)(C),</w:t>
      </w:r>
      <w:r w:rsidRPr="00B643EC">
        <w:rPr>
          <w:b w:val="0"/>
          <w:bCs/>
        </w:rPr>
        <w:t xml:space="preserve"> (g)(3)(vi), (g)(3)(vii), (g)(3)(viii), (g)(3</w:t>
      </w:r>
      <w:r w:rsidRPr="00B643EC">
        <w:rPr>
          <w:b w:val="0"/>
          <w:bCs/>
        </w:rPr>
        <w:t>)(ix)</w:t>
      </w:r>
      <w:r>
        <w:rPr>
          <w:b w:val="0"/>
          <w:bCs/>
        </w:rPr>
        <w:t>;</w:t>
      </w:r>
      <w:r w:rsidRPr="00B643EC">
        <w:rPr>
          <w:b w:val="0"/>
          <w:bCs/>
        </w:rPr>
        <w:t xml:space="preserve"> and</w:t>
      </w:r>
    </w:p>
    <w:p w:rsidR="00FA575B" w:rsidP="00303064" w14:paraId="6E2312DA" w14:textId="77777777">
      <w:pPr>
        <w:pStyle w:val="Heading4"/>
        <w:numPr>
          <w:ilvl w:val="3"/>
          <w:numId w:val="21"/>
        </w:numPr>
        <w:tabs>
          <w:tab w:val="left" w:pos="2880"/>
        </w:tabs>
        <w:rPr>
          <w:b w:val="0"/>
          <w:bCs/>
        </w:rPr>
      </w:pPr>
      <w:r>
        <w:rPr>
          <w:b w:val="0"/>
          <w:bCs/>
        </w:rPr>
        <w:t>R</w:t>
      </w:r>
      <w:r w:rsidRPr="00B643EC">
        <w:rPr>
          <w:b w:val="0"/>
          <w:bCs/>
        </w:rPr>
        <w:t>evising</w:t>
      </w:r>
      <w:r>
        <w:rPr>
          <w:b w:val="0"/>
          <w:bCs/>
        </w:rPr>
        <w:t xml:space="preserve"> paragraphs (g)(3)(ii)(B), (g)(3)(ii)(G), (g)(3)(ii)(J), (g)(3)(ii)(K), (g)(3)(ii)(M), (g)(3)(iii), (g)(3)(iv), (g)(3)(v)(E), (g)(3)(x), and (g)(3)(x)(A) to read as follows:</w:t>
      </w:r>
    </w:p>
    <w:p w:rsidR="00E92E25" w:rsidRPr="007711DA" w:rsidP="00E92E25" w14:paraId="18A629A9" w14:textId="77777777">
      <w:pPr>
        <w:pStyle w:val="ParaNum"/>
        <w:numPr>
          <w:ilvl w:val="0"/>
          <w:numId w:val="0"/>
        </w:numPr>
        <w:spacing w:after="0"/>
      </w:pPr>
    </w:p>
    <w:p w:rsidR="00E92E25" w:rsidP="00E92E25" w14:paraId="399903B3" w14:textId="77777777">
      <w:pPr>
        <w:spacing w:after="120"/>
        <w:rPr>
          <w:b/>
          <w:bCs/>
        </w:rPr>
      </w:pPr>
      <w:r w:rsidRPr="00234866">
        <w:rPr>
          <w:b/>
          <w:bCs/>
        </w:rPr>
        <w:t>§ 52.15 Central office code administration.</w:t>
      </w:r>
    </w:p>
    <w:p w:rsidR="00E92E25" w:rsidRPr="00CC642D" w:rsidP="00E92E25" w14:paraId="3E2FB28F" w14:textId="77777777">
      <w:pPr>
        <w:spacing w:after="120"/>
      </w:pPr>
      <w:r w:rsidRPr="00B643EC">
        <w:t>* * * * *</w:t>
      </w:r>
    </w:p>
    <w:p w:rsidR="00E92E25" w:rsidRPr="00234866" w:rsidP="00E92E25" w14:paraId="46E1EB32" w14:textId="77777777">
      <w:pPr>
        <w:numPr>
          <w:ilvl w:val="0"/>
          <w:numId w:val="16"/>
        </w:numPr>
        <w:spacing w:after="120"/>
      </w:pPr>
      <w:r w:rsidRPr="00234866">
        <w:t>*  *  *</w:t>
      </w:r>
      <w:bookmarkStart w:id="61" w:name="_Hlk146266062"/>
    </w:p>
    <w:p w:rsidR="00E92E25" w:rsidRPr="00234866" w:rsidP="00E92E25" w14:paraId="6408AF6F" w14:textId="77777777">
      <w:pPr>
        <w:numPr>
          <w:ilvl w:val="1"/>
          <w:numId w:val="16"/>
        </w:numPr>
        <w:spacing w:after="120"/>
        <w:ind w:left="360"/>
      </w:pPr>
      <w:r>
        <w:t>*  *  *</w:t>
      </w:r>
    </w:p>
    <w:p w:rsidR="00E92E25" w:rsidRPr="00234866" w:rsidP="00E92E25" w14:paraId="3C3F2019" w14:textId="77777777">
      <w:pPr>
        <w:numPr>
          <w:ilvl w:val="1"/>
          <w:numId w:val="16"/>
        </w:numPr>
        <w:spacing w:after="120"/>
        <w:ind w:left="360"/>
      </w:pPr>
      <w:r>
        <w:rPr>
          <w:i/>
          <w:iCs/>
        </w:rPr>
        <w:t xml:space="preserve">*  *  * </w:t>
      </w:r>
    </w:p>
    <w:p w:rsidR="00E92E25" w:rsidRPr="00234866" w:rsidP="00E92E25" w14:paraId="5CBF32B3" w14:textId="77777777">
      <w:pPr>
        <w:numPr>
          <w:ilvl w:val="1"/>
          <w:numId w:val="16"/>
        </w:numPr>
        <w:spacing w:after="120"/>
        <w:ind w:left="360"/>
      </w:pPr>
      <w:r>
        <w:t>*  *  *</w:t>
      </w:r>
    </w:p>
    <w:p w:rsidR="00E92E25" w:rsidRPr="00234866" w:rsidP="00E92E25" w14:paraId="2E08F224" w14:textId="77777777">
      <w:pPr>
        <w:numPr>
          <w:ilvl w:val="2"/>
          <w:numId w:val="16"/>
        </w:numPr>
        <w:spacing w:after="120"/>
        <w:ind w:left="720"/>
      </w:pPr>
      <w:r w:rsidRPr="00234866">
        <w:rPr>
          <w:i/>
          <w:iCs/>
        </w:rPr>
        <w:t xml:space="preserve">Definition.  </w:t>
      </w:r>
      <w:r w:rsidRPr="00234866">
        <w:t>The term “foreign carrier” found in this section is given the same meaning as in § 63.09(d) of this chapter.</w:t>
      </w:r>
    </w:p>
    <w:p w:rsidR="00E92E25" w:rsidRPr="00234866" w:rsidP="00E92E25" w14:paraId="283E253F" w14:textId="77777777">
      <w:pPr>
        <w:numPr>
          <w:ilvl w:val="2"/>
          <w:numId w:val="16"/>
        </w:numPr>
        <w:spacing w:after="120"/>
        <w:ind w:left="720"/>
      </w:pPr>
      <w:r>
        <w:t>*  *  *</w:t>
      </w:r>
    </w:p>
    <w:p w:rsidR="00E92E25" w:rsidRPr="00234866" w:rsidP="00E92E25" w14:paraId="7327B761" w14:textId="77777777">
      <w:pPr>
        <w:numPr>
          <w:ilvl w:val="3"/>
          <w:numId w:val="16"/>
        </w:numPr>
        <w:spacing w:after="120"/>
        <w:ind w:left="1080"/>
      </w:pPr>
      <w:r>
        <w:t>*  *  *</w:t>
      </w:r>
    </w:p>
    <w:p w:rsidR="00E92E25" w:rsidRPr="00234866" w:rsidP="00E92E25" w14:paraId="55B2E7BE" w14:textId="77777777">
      <w:pPr>
        <w:numPr>
          <w:ilvl w:val="3"/>
          <w:numId w:val="16"/>
        </w:numPr>
        <w:spacing w:after="120"/>
        <w:ind w:left="1080"/>
      </w:pPr>
      <w:r w:rsidRPr="00234866">
        <w:t xml:space="preserve">An acknowledgment that the authorization granted under this paragraph is subject to </w:t>
      </w:r>
      <w:r w:rsidRPr="00234866">
        <w:t>compliance with applicable Commission numbering rules; numbering authority delegated to the states, and the state laws, regulations, and registration requirements applicable to businesses operating in each state where the applicant seeks numbering resource</w:t>
      </w:r>
      <w:r w:rsidRPr="00234866">
        <w:t>s; and industry guidelines and practices regarding numbering as applicable to telecommunications carriers;</w:t>
      </w:r>
    </w:p>
    <w:p w:rsidR="00E92E25" w:rsidRPr="00234866" w:rsidP="00E92E25" w14:paraId="4B714641" w14:textId="77777777">
      <w:pPr>
        <w:numPr>
          <w:ilvl w:val="3"/>
          <w:numId w:val="16"/>
        </w:numPr>
        <w:spacing w:after="120"/>
        <w:ind w:left="1080"/>
      </w:pPr>
      <w:r w:rsidRPr="00234866">
        <w:t>A certification that the applicant will not use the numbers obtained pursuant to an authorization under this paragraph to knowingly transmit, encoura</w:t>
      </w:r>
      <w:r w:rsidRPr="00234866">
        <w:t xml:space="preserve">ge, assist, or facilitate illegal robocalls, illegal spoofing, or fraud, in violation of robocall, spoofing, and deceptive telemarketing obligations under §§ 64.1200, 64.1604, and 64.6300 </w:t>
      </w:r>
      <w:r w:rsidRPr="00234866">
        <w:rPr>
          <w:i/>
          <w:iCs/>
        </w:rPr>
        <w:t>et seq.</w:t>
      </w:r>
      <w:r w:rsidRPr="00234866">
        <w:t xml:space="preserve"> of this chapter, and 16 CFR 310.3(b);</w:t>
      </w:r>
    </w:p>
    <w:p w:rsidR="00E92E25" w:rsidRPr="00234866" w:rsidP="00E92E25" w14:paraId="53A10A79" w14:textId="77777777">
      <w:pPr>
        <w:numPr>
          <w:ilvl w:val="3"/>
          <w:numId w:val="16"/>
        </w:numPr>
        <w:spacing w:after="120"/>
        <w:ind w:left="1080"/>
      </w:pPr>
      <w:r w:rsidRPr="00234866">
        <w:t>A certification that t</w:t>
      </w:r>
      <w:r w:rsidRPr="00234866">
        <w:t>he applicant has fully complied with all applicable STIR/SHAKEN caller ID authentication and robocall mitigation program requirements and filed a certification in the Robocall Mitigation Database as required by §§ 64.6301 to 64.6305 of this chapter;</w:t>
      </w:r>
    </w:p>
    <w:p w:rsidR="00732C42" w:rsidRPr="00234866" w:rsidP="00732C42" w14:paraId="24AE39D9" w14:textId="77777777">
      <w:pPr>
        <w:widowControl/>
        <w:numPr>
          <w:ilvl w:val="3"/>
          <w:numId w:val="16"/>
        </w:numPr>
        <w:spacing w:after="120"/>
        <w:ind w:left="1080"/>
      </w:pPr>
      <w:r w:rsidRPr="00234866">
        <w:t>A cert</w:t>
      </w:r>
      <w:r w:rsidRPr="00234866">
        <w:t xml:space="preserve">ification with accompanying evidence that the applicant complies with its 911 obligations under part 9 of this chapter, and that it complies with the provisions of the </w:t>
      </w:r>
      <w:r w:rsidRPr="00234866">
        <w:t xml:space="preserve">Communications Assistance with Law Enforcement Act, 47 U.S.C. 1001 </w:t>
      </w:r>
      <w:r w:rsidRPr="00234866">
        <w:rPr>
          <w:i/>
          <w:iCs/>
        </w:rPr>
        <w:t>et seq.</w:t>
      </w:r>
      <w:r>
        <w:t xml:space="preserve">  </w:t>
      </w:r>
      <w:r w:rsidRPr="00C55B1D">
        <w:t xml:space="preserve">Wireline Competition Bureau </w:t>
      </w:r>
      <w:r>
        <w:t>(Bureau)</w:t>
      </w:r>
      <w:r w:rsidRPr="00C55B1D">
        <w:t xml:space="preserve"> or other Commission staff may request additional documentation from the applicant to demonstrate compliance with these public safety obligations, where necessary</w:t>
      </w:r>
      <w:r w:rsidRPr="00234866">
        <w:rPr>
          <w:i/>
          <w:iCs/>
        </w:rPr>
        <w:t>.</w:t>
      </w:r>
      <w:r w:rsidRPr="00234866">
        <w:t>;</w:t>
      </w:r>
    </w:p>
    <w:p w:rsidR="00E92E25" w:rsidRPr="00234866" w:rsidP="00E92E25" w14:paraId="12422FA1" w14:textId="77777777">
      <w:pPr>
        <w:numPr>
          <w:ilvl w:val="3"/>
          <w:numId w:val="16"/>
        </w:numPr>
        <w:spacing w:after="120"/>
        <w:ind w:left="1080"/>
      </w:pPr>
      <w:r w:rsidRPr="00234866">
        <w:t>A certification that the applicant complies with the Ac</w:t>
      </w:r>
      <w:r w:rsidRPr="00234866">
        <w:t>cess Stimulation rules under § 51.914 of this chapter;</w:t>
      </w:r>
    </w:p>
    <w:p w:rsidR="00E92E25" w:rsidRPr="00234866" w:rsidP="00E92E25" w14:paraId="1029F474" w14:textId="77777777">
      <w:pPr>
        <w:numPr>
          <w:ilvl w:val="3"/>
          <w:numId w:val="16"/>
        </w:numPr>
        <w:spacing w:after="120"/>
        <w:ind w:left="1080"/>
      </w:pPr>
      <w:r w:rsidRPr="00234866">
        <w:t>An acknowledgment that the applicant must file requests for numbers with the relevant state commission(s) at least 30 days before requesting numbers from the Numbering Administrators;</w:t>
      </w:r>
    </w:p>
    <w:p w:rsidR="00E92E25" w:rsidRPr="00234866" w:rsidP="00E92E25" w14:paraId="3493CC20" w14:textId="77777777">
      <w:pPr>
        <w:numPr>
          <w:ilvl w:val="3"/>
          <w:numId w:val="16"/>
        </w:numPr>
        <w:spacing w:after="120"/>
        <w:ind w:left="1080"/>
      </w:pPr>
      <w:r>
        <w:t>*  *  *</w:t>
      </w:r>
    </w:p>
    <w:p w:rsidR="00E92E25" w:rsidRPr="00234866" w:rsidP="00E92E25" w14:paraId="250AB421" w14:textId="77777777">
      <w:pPr>
        <w:numPr>
          <w:ilvl w:val="3"/>
          <w:numId w:val="16"/>
        </w:numPr>
        <w:spacing w:after="120"/>
        <w:ind w:left="1080"/>
      </w:pPr>
      <w:r w:rsidRPr="00234866">
        <w:t>Proof tha</w:t>
      </w:r>
      <w:r w:rsidRPr="00234866">
        <w:t>t the applicant has filed FCC Forms 477 and 499, or a statement explaining why each such form is not yet applicable;</w:t>
      </w:r>
    </w:p>
    <w:p w:rsidR="00E92E25" w:rsidRPr="00234866" w:rsidP="00E92E25" w14:paraId="26AD1AED" w14:textId="77777777">
      <w:pPr>
        <w:numPr>
          <w:ilvl w:val="3"/>
          <w:numId w:val="16"/>
        </w:numPr>
        <w:spacing w:after="120"/>
        <w:ind w:left="1080"/>
      </w:pPr>
      <w:r w:rsidRPr="00234866">
        <w:t>A certification that the applicant complies with its applicable Universal Service Fund contribution obligations under part 54, subpart H of</w:t>
      </w:r>
      <w:r w:rsidRPr="00234866">
        <w:t xml:space="preserve"> this chapter, its Telecommunications Relay Service contribution obligations under § 64.604(c)(5)(iii) of this chapter, its NANP and LNP administration contribution obligations under §§ 52.17 and 52.32 of this chapter, and its obligations to pay regulatory</w:t>
      </w:r>
      <w:r w:rsidRPr="00234866">
        <w:t xml:space="preserve"> fees under § 1.1154 of this chapter; </w:t>
      </w:r>
    </w:p>
    <w:p w:rsidR="00E92E25" w:rsidRPr="00234866" w:rsidP="00E92E25" w14:paraId="59EEADC5" w14:textId="77777777">
      <w:pPr>
        <w:numPr>
          <w:ilvl w:val="3"/>
          <w:numId w:val="16"/>
        </w:numPr>
        <w:spacing w:after="120"/>
        <w:ind w:left="1080"/>
      </w:pPr>
      <w:r w:rsidRPr="00234866">
        <w:t>A certification that the applicant possesses the financial, managerial, and technical expertise to provide reliable service.  This certification must include the name of applicant’s key management and technical person</w:t>
      </w:r>
      <w:r w:rsidRPr="00234866">
        <w:t>nel, such as the Chief Operating Officer and the Chief Technology Officer, or equivalent, and state that neither the applicant nor any of the identified personnel are being or have been investigated by the Federal Communications Commission, law enforcement</w:t>
      </w:r>
      <w:r w:rsidRPr="00234866">
        <w:t xml:space="preserve">, or any regulatory agency for failure to comply with any law, rule, or order, including the Commission’s rules applicable to unlawful robocalls or unlawful spoofing; </w:t>
      </w:r>
    </w:p>
    <w:p w:rsidR="00E92E25" w:rsidRPr="00234866" w:rsidP="00E92E25" w14:paraId="348D36D5" w14:textId="77777777">
      <w:pPr>
        <w:numPr>
          <w:ilvl w:val="3"/>
          <w:numId w:val="16"/>
        </w:numPr>
        <w:spacing w:after="120"/>
        <w:ind w:left="1080"/>
      </w:pPr>
      <w:r w:rsidRPr="00234866">
        <w:t>The same information, disclosures, and certifications required by §§ 63.18(h) and (i) of</w:t>
      </w:r>
      <w:r w:rsidRPr="00234866">
        <w:t xml:space="preserve"> this chapter; </w:t>
      </w:r>
      <w:bookmarkStart w:id="62" w:name="co_anchor_I14ACA22133E411EB800597FBCFBD4"/>
      <w:bookmarkStart w:id="63" w:name="co_anchor_I14ACA1FB33E411EB800597FBCFBD4"/>
      <w:bookmarkStart w:id="64" w:name="co_anchor_I14ACA1D433E411EB800597FBCFBD4"/>
      <w:bookmarkStart w:id="65" w:name="co_anchor_I14ACA1B233E411EB800597FBCFBD4"/>
      <w:bookmarkStart w:id="66" w:name="co_pp_9d43000088150_1"/>
      <w:bookmarkStart w:id="67" w:name="co_pp_cc99000077241_1"/>
      <w:bookmarkStart w:id="68" w:name="co_pp_5afd0000e1d96_1"/>
      <w:bookmarkStart w:id="69" w:name="co_pp_1d410000745d2_1"/>
      <w:bookmarkEnd w:id="62"/>
      <w:bookmarkEnd w:id="63"/>
      <w:bookmarkEnd w:id="64"/>
      <w:bookmarkEnd w:id="65"/>
      <w:bookmarkEnd w:id="66"/>
      <w:bookmarkEnd w:id="67"/>
      <w:bookmarkEnd w:id="68"/>
      <w:bookmarkEnd w:id="69"/>
    </w:p>
    <w:p w:rsidR="00E92E25" w:rsidRPr="00234866" w:rsidP="00E92E25" w14:paraId="287D622C" w14:textId="77777777">
      <w:pPr>
        <w:numPr>
          <w:ilvl w:val="3"/>
          <w:numId w:val="16"/>
        </w:numPr>
        <w:spacing w:after="120"/>
        <w:ind w:left="1080"/>
      </w:pPr>
      <w:r w:rsidRPr="00234866">
        <w:t>A certification pursuant to §§ 1.2001 and 1.2002 of this chapter that no party to the application is subject to a denial of Federal benefits pursuant to section 5301 of the Anti-Drug Abuse Act of 1988, </w:t>
      </w:r>
      <w:r w:rsidRPr="00234866">
        <w:rPr>
          <w:i/>
          <w:iCs/>
        </w:rPr>
        <w:t>see</w:t>
      </w:r>
      <w:r w:rsidRPr="00234866">
        <w:t xml:space="preserve"> 21 U.S.C. 862; and </w:t>
      </w:r>
    </w:p>
    <w:p w:rsidR="00E92E25" w:rsidRPr="00234866" w:rsidP="00E92E25" w14:paraId="6D2BEED3" w14:textId="77777777">
      <w:pPr>
        <w:numPr>
          <w:ilvl w:val="3"/>
          <w:numId w:val="16"/>
        </w:numPr>
        <w:spacing w:after="120"/>
        <w:ind w:left="1080"/>
      </w:pPr>
      <w:r w:rsidRPr="00234866">
        <w:t xml:space="preserve">A declaration </w:t>
      </w:r>
      <w:r w:rsidRPr="00234866">
        <w:t>under penalty of perjury pursuant to § 1.16 of this chapter that all statements in the application and any appendices are true and accurate.  This declaration shall be executed by an officer or other authorized representative of the applicant.</w:t>
      </w:r>
    </w:p>
    <w:p w:rsidR="00E92E25" w:rsidRPr="00234866" w:rsidP="00E92E25" w14:paraId="49760160" w14:textId="77777777">
      <w:pPr>
        <w:numPr>
          <w:ilvl w:val="2"/>
          <w:numId w:val="16"/>
        </w:numPr>
        <w:spacing w:after="120"/>
        <w:ind w:left="720"/>
      </w:pPr>
      <w:r w:rsidRPr="00234866">
        <w:t>An applicant</w:t>
      </w:r>
      <w:r w:rsidRPr="00234866">
        <w:t xml:space="preserve"> for Commission authorization under this section must file its application electronically through the “Submit a Non-Docketed Filing” module of the Commission’s Electronic Comment Filing System (ECFS).  Each application shall be accompanied by the fee presc</w:t>
      </w:r>
      <w:r w:rsidRPr="00234866">
        <w:t xml:space="preserve">ribed in part 1, subpart G of this chapter.  </w:t>
      </w:r>
    </w:p>
    <w:p w:rsidR="00E92E25" w:rsidRPr="00234866" w:rsidP="00570B4B" w14:paraId="4F1F88EE" w14:textId="564C62BE">
      <w:pPr>
        <w:widowControl/>
        <w:numPr>
          <w:ilvl w:val="2"/>
          <w:numId w:val="16"/>
        </w:numPr>
        <w:spacing w:after="120"/>
        <w:ind w:left="720"/>
      </w:pPr>
      <w:r w:rsidRPr="00234866">
        <w:rPr>
          <w:i/>
          <w:iCs/>
        </w:rPr>
        <w:t xml:space="preserve">Public notice </w:t>
      </w:r>
      <w:r w:rsidRPr="00234866">
        <w:rPr>
          <w:i/>
        </w:rPr>
        <w:t xml:space="preserve">and </w:t>
      </w:r>
      <w:r w:rsidRPr="00234866">
        <w:rPr>
          <w:i/>
          <w:iCs/>
        </w:rPr>
        <w:t xml:space="preserve">review period for streamlined pleading cycle.  </w:t>
      </w:r>
      <w:r w:rsidRPr="00234866">
        <w:t>Upon determination by the Bureau that the applicant has filed a complete application that is appropriate for streamlined treatment, the Bureau wi</w:t>
      </w:r>
      <w:r w:rsidRPr="00234866">
        <w:t>ll assign a docket number to the application and issue a public notice stating that the application has been accepted for filing as a streamlined application.  The applicant must make all subsequent filings relating to its application in this docket.  Part</w:t>
      </w:r>
      <w:r w:rsidRPr="00234866">
        <w:t>ies may file comments addressing an application for authorization no later than 15 days after the Bureau releases a public notice stating that the application has been accepted for filing, unless the public notice specifies a different filing date.  An app</w:t>
      </w:r>
      <w:r w:rsidRPr="00234866">
        <w:t xml:space="preserve">lication under this section is deemed granted by the Commission on the 31st day after the Commission releases a public notice stating that the </w:t>
      </w:r>
      <w:r w:rsidRPr="00234866">
        <w:t>application has been accepted for filing, unless the Bureau notifies the applicant that the grant will not be aut</w:t>
      </w:r>
      <w:r w:rsidRPr="00234866">
        <w:t>omatically effective.</w:t>
      </w:r>
    </w:p>
    <w:p w:rsidR="00E92E25" w:rsidRPr="00234866" w:rsidP="00E92E25" w14:paraId="07D4F020" w14:textId="77777777">
      <w:pPr>
        <w:numPr>
          <w:ilvl w:val="2"/>
          <w:numId w:val="16"/>
        </w:numPr>
        <w:spacing w:after="120"/>
        <w:ind w:left="720"/>
      </w:pPr>
      <w:r w:rsidRPr="00234866">
        <w:rPr>
          <w:i/>
          <w:iCs/>
        </w:rPr>
        <w:t xml:space="preserve">Non-streamlined processing of applications.  </w:t>
      </w:r>
      <w:r w:rsidRPr="00234866">
        <w:t xml:space="preserve">If an application discloses that the applicant has reportable ownership by a foreign person or entity under paragraph (g)(3)(ii)(L) of this section, the Bureau shall remove the application </w:t>
      </w:r>
      <w:r w:rsidRPr="00234866">
        <w:t>from streamlined processing.  The Bureau may also remove an application from streamlined processing at its discretion for other reasons.  The Bureau shall notify the applicant by public notice that it is removing the application from streamlined processing</w:t>
      </w:r>
      <w:r w:rsidRPr="00234866">
        <w:t xml:space="preserve">, and shall state the reason for the removal.  An application may also receive non-streamlined processing if: </w:t>
      </w:r>
    </w:p>
    <w:p w:rsidR="00E92E25" w:rsidRPr="00234866" w:rsidP="00E92E25" w14:paraId="0F0CB10D" w14:textId="77777777">
      <w:pPr>
        <w:numPr>
          <w:ilvl w:val="3"/>
          <w:numId w:val="16"/>
        </w:numPr>
        <w:spacing w:after="120"/>
        <w:ind w:left="1080"/>
      </w:pPr>
      <w:r>
        <w:t>*  *  *</w:t>
      </w:r>
    </w:p>
    <w:p w:rsidR="00E92E25" w:rsidRPr="00234866" w:rsidP="00E92E25" w14:paraId="74F106C0" w14:textId="77777777">
      <w:pPr>
        <w:numPr>
          <w:ilvl w:val="3"/>
          <w:numId w:val="16"/>
        </w:numPr>
        <w:spacing w:after="120"/>
        <w:ind w:left="1080"/>
      </w:pPr>
      <w:r>
        <w:t>*  *  *</w:t>
      </w:r>
    </w:p>
    <w:p w:rsidR="00E92E25" w:rsidRPr="00234866" w:rsidP="00E92E25" w14:paraId="5D9CFB72" w14:textId="77777777">
      <w:pPr>
        <w:numPr>
          <w:ilvl w:val="3"/>
          <w:numId w:val="16"/>
        </w:numPr>
        <w:spacing w:after="120"/>
        <w:ind w:left="1080"/>
      </w:pPr>
      <w:r w:rsidRPr="00234866">
        <w:t>An application would, on its face, violate a Commission rule or the Communications Act;</w:t>
      </w:r>
    </w:p>
    <w:p w:rsidR="00E92E25" w:rsidRPr="00234866" w:rsidP="00E92E25" w14:paraId="6A671C74" w14:textId="77777777">
      <w:pPr>
        <w:numPr>
          <w:ilvl w:val="3"/>
          <w:numId w:val="16"/>
        </w:numPr>
        <w:spacing w:after="120"/>
        <w:ind w:left="1080"/>
      </w:pPr>
      <w:r>
        <w:t>*  *  *</w:t>
      </w:r>
    </w:p>
    <w:p w:rsidR="00E92E25" w:rsidRPr="00234866" w:rsidP="00E92E25" w14:paraId="10BB7864" w14:textId="77777777">
      <w:pPr>
        <w:numPr>
          <w:ilvl w:val="3"/>
          <w:numId w:val="16"/>
        </w:numPr>
        <w:spacing w:after="120"/>
        <w:ind w:left="1080"/>
      </w:pPr>
      <w:r w:rsidRPr="00234866">
        <w:t xml:space="preserve">The Bureau determines that the application requires further analysis to determine whether granting the application serves the public interest.  </w:t>
      </w:r>
    </w:p>
    <w:p w:rsidR="00E92E25" w:rsidRPr="00234866" w:rsidP="00E92E25" w14:paraId="03065D8A" w14:textId="77777777">
      <w:pPr>
        <w:numPr>
          <w:ilvl w:val="2"/>
          <w:numId w:val="16"/>
        </w:numPr>
        <w:spacing w:after="120"/>
        <w:ind w:left="720"/>
      </w:pPr>
      <w:r w:rsidRPr="00234866">
        <w:rPr>
          <w:i/>
          <w:iCs/>
        </w:rPr>
        <w:t xml:space="preserve">Additional information.  </w:t>
      </w:r>
      <w:r w:rsidRPr="00234866">
        <w:t>Applicants must provide additional information requested by the Bureau during and afte</w:t>
      </w:r>
      <w:r w:rsidRPr="00234866">
        <w:t>r its initial review of a direct access application.  Failure to respond to such a request or other official correspondence may result in the rejection of the application without prejudice.  Any additional information that the Bureau may require must be su</w:t>
      </w:r>
      <w:r w:rsidRPr="00234866">
        <w:t>bmitted in the same manner as the original application filing, unless the Bureau specifies another method.</w:t>
      </w:r>
    </w:p>
    <w:p w:rsidR="00E92E25" w:rsidRPr="00234866" w:rsidP="00E92E25" w14:paraId="263F1601" w14:textId="77777777">
      <w:pPr>
        <w:numPr>
          <w:ilvl w:val="2"/>
          <w:numId w:val="16"/>
        </w:numPr>
        <w:spacing w:after="120"/>
        <w:ind w:left="720"/>
      </w:pPr>
      <w:r w:rsidRPr="00234866">
        <w:rPr>
          <w:i/>
          <w:iCs/>
        </w:rPr>
        <w:t>Rejection of applications</w:t>
      </w:r>
      <w:r w:rsidRPr="00234866">
        <w:t>.  The Bureau may reject an application by announcing the rejection, the reasons for the rejection, and whether the rejectio</w:t>
      </w:r>
      <w:r w:rsidRPr="00234866">
        <w:t>n is with or without prejudice via public notice if it determines or has a reasonable basis to believe that:</w:t>
      </w:r>
    </w:p>
    <w:p w:rsidR="00E92E25" w:rsidRPr="00234866" w:rsidP="00E92E25" w14:paraId="5D3BF7E9" w14:textId="77777777">
      <w:pPr>
        <w:numPr>
          <w:ilvl w:val="3"/>
          <w:numId w:val="16"/>
        </w:numPr>
        <w:spacing w:after="120"/>
        <w:ind w:left="1080"/>
      </w:pPr>
      <w:r w:rsidRPr="00234866">
        <w:t>The applicant cannot satisfy the qualification requirements for a Commission authorization under this paragraph;</w:t>
      </w:r>
    </w:p>
    <w:p w:rsidR="00E92E25" w:rsidRPr="00234866" w:rsidP="00E92E25" w14:paraId="60A2846D" w14:textId="77777777">
      <w:pPr>
        <w:numPr>
          <w:ilvl w:val="3"/>
          <w:numId w:val="16"/>
        </w:numPr>
        <w:spacing w:after="120"/>
        <w:ind w:left="1080"/>
      </w:pPr>
      <w:r w:rsidRPr="00234866">
        <w:t>The applicant has made a false sta</w:t>
      </w:r>
      <w:r w:rsidRPr="00234866">
        <w:t>tement or certification to the Commission;</w:t>
      </w:r>
    </w:p>
    <w:p w:rsidR="00E92E25" w:rsidRPr="00234866" w:rsidP="00E92E25" w14:paraId="55BF412F" w14:textId="77777777">
      <w:pPr>
        <w:numPr>
          <w:ilvl w:val="3"/>
          <w:numId w:val="16"/>
        </w:numPr>
        <w:spacing w:after="120"/>
        <w:ind w:left="1080"/>
      </w:pPr>
      <w:r w:rsidRPr="00234866">
        <w:t>The applicant has engaged in behavior contrary to the public interest; or</w:t>
      </w:r>
    </w:p>
    <w:p w:rsidR="00E92E25" w:rsidRPr="00234866" w:rsidP="00E92E25" w14:paraId="25347E05" w14:textId="77777777">
      <w:pPr>
        <w:numPr>
          <w:ilvl w:val="3"/>
          <w:numId w:val="16"/>
        </w:numPr>
        <w:spacing w:after="120"/>
        <w:ind w:left="1080"/>
      </w:pPr>
      <w:r w:rsidRPr="00234866">
        <w:t>Granting the application would not serve the public interest.</w:t>
      </w:r>
    </w:p>
    <w:p w:rsidR="00E92E25" w:rsidRPr="00234866" w:rsidP="00E92E25" w14:paraId="69D34667" w14:textId="77777777">
      <w:pPr>
        <w:numPr>
          <w:ilvl w:val="2"/>
          <w:numId w:val="16"/>
        </w:numPr>
        <w:spacing w:after="120"/>
        <w:ind w:left="720"/>
      </w:pPr>
      <w:r w:rsidRPr="00234866">
        <w:rPr>
          <w:i/>
          <w:iCs/>
        </w:rPr>
        <w:t xml:space="preserve">Authorization suspension.  </w:t>
      </w:r>
      <w:r w:rsidRPr="00234866">
        <w:t>The Wireline Competition Bureau or Enforcement Bur</w:t>
      </w:r>
      <w:r w:rsidRPr="00234866">
        <w:t xml:space="preserve">eau may suspend a direct access authorization holder’s access to new numbering resources under 5 U.S.C. 558(c): </w:t>
      </w:r>
    </w:p>
    <w:p w:rsidR="00E92E25" w:rsidRPr="00234866" w:rsidP="00E92E25" w14:paraId="6940CD49" w14:textId="77777777">
      <w:pPr>
        <w:numPr>
          <w:ilvl w:val="3"/>
          <w:numId w:val="16"/>
        </w:numPr>
        <w:spacing w:after="120"/>
        <w:ind w:left="1080"/>
      </w:pPr>
      <w:r w:rsidRPr="00234866">
        <w:t>After either Bureau determines that the authorization holder acted willfully; or public health, interest, or safety requires an immediate suspe</w:t>
      </w:r>
      <w:r w:rsidRPr="00234866">
        <w:t>nsion; or</w:t>
      </w:r>
    </w:p>
    <w:p w:rsidR="00E92E25" w:rsidRPr="00234866" w:rsidP="00E92E25" w14:paraId="76104AA0" w14:textId="77777777">
      <w:pPr>
        <w:numPr>
          <w:ilvl w:val="3"/>
          <w:numId w:val="16"/>
        </w:numPr>
        <w:spacing w:after="120"/>
        <w:ind w:left="1080"/>
      </w:pPr>
      <w:r w:rsidRPr="00234866">
        <w:t>After giving the authorization holder notice and an opportunity to demonstrate compliance with the Commission’s rules.</w:t>
      </w:r>
    </w:p>
    <w:p w:rsidR="00E92E25" w:rsidRPr="00234866" w:rsidP="00E92E25" w14:paraId="6A0BC58C" w14:textId="77777777">
      <w:pPr>
        <w:numPr>
          <w:ilvl w:val="2"/>
          <w:numId w:val="16"/>
        </w:numPr>
        <w:spacing w:after="120"/>
        <w:ind w:left="720"/>
      </w:pPr>
      <w:r w:rsidRPr="00234866">
        <w:rPr>
          <w:i/>
          <w:iCs/>
        </w:rPr>
        <w:t>Authorization revocation</w:t>
      </w:r>
      <w:r w:rsidRPr="00234866">
        <w:t>.  The Wireline Competition Bureau or Enforcement Bureau shall determine appropriate procedures and ini</w:t>
      </w:r>
      <w:r w:rsidRPr="00234866">
        <w:t>tiate revocation and/or termination proceedings and revoke and/or terminate an authorization, as required by due process and applicable law and in light of the relevant facts and circumstances, including providing the authorization holder with notice and o</w:t>
      </w:r>
      <w:r w:rsidRPr="00234866">
        <w:t xml:space="preserve">pportunity to respond.  Either Bureau may commence such revocation and/or termination proceedings if: </w:t>
      </w:r>
    </w:p>
    <w:p w:rsidR="00E92E25" w:rsidRPr="00234866" w:rsidP="00E92E25" w14:paraId="60A67B93" w14:textId="77777777">
      <w:pPr>
        <w:numPr>
          <w:ilvl w:val="3"/>
          <w:numId w:val="16"/>
        </w:numPr>
        <w:spacing w:after="120"/>
        <w:ind w:left="1080"/>
      </w:pPr>
      <w:r w:rsidRPr="00234866">
        <w:t>The authorization holder has failed to comply with the Commission’s numbering rules;</w:t>
      </w:r>
    </w:p>
    <w:p w:rsidR="00E92E25" w:rsidRPr="00234866" w:rsidP="00E92E25" w14:paraId="6DDFAFEF" w14:textId="77777777">
      <w:pPr>
        <w:numPr>
          <w:ilvl w:val="3"/>
          <w:numId w:val="16"/>
        </w:numPr>
        <w:spacing w:after="120"/>
        <w:ind w:left="1080"/>
      </w:pPr>
      <w:r w:rsidRPr="00234866">
        <w:t>The authorization holder no longer meets the requirements for a Comm</w:t>
      </w:r>
      <w:r w:rsidRPr="00234866">
        <w:t>ission authorization under this paragraph;</w:t>
      </w:r>
    </w:p>
    <w:p w:rsidR="00E92E25" w:rsidRPr="00234866" w:rsidP="00E92E25" w14:paraId="396D557E" w14:textId="77777777">
      <w:pPr>
        <w:numPr>
          <w:ilvl w:val="3"/>
          <w:numId w:val="16"/>
        </w:numPr>
        <w:spacing w:after="120"/>
        <w:ind w:left="1080"/>
      </w:pPr>
      <w:r w:rsidRPr="00234866">
        <w:t xml:space="preserve">The authorization holder, or officer or authorized representative of the authorization holder, has made a false statement or certification to the Commission; or </w:t>
      </w:r>
    </w:p>
    <w:p w:rsidR="00E92E25" w:rsidRPr="00234866" w:rsidP="00E92E25" w14:paraId="32758B61" w14:textId="77777777">
      <w:pPr>
        <w:numPr>
          <w:ilvl w:val="3"/>
          <w:numId w:val="16"/>
        </w:numPr>
        <w:spacing w:after="120"/>
        <w:ind w:left="1080"/>
      </w:pPr>
      <w:r w:rsidRPr="00234866">
        <w:t>Revoking and/or terminating the authorization is in</w:t>
      </w:r>
      <w:r w:rsidRPr="00234866">
        <w:t xml:space="preserve"> the public interest.  </w:t>
      </w:r>
    </w:p>
    <w:p w:rsidR="00E92E25" w:rsidRPr="00234866" w:rsidP="00E92E25" w14:paraId="6270E273" w14:textId="77777777">
      <w:pPr>
        <w:widowControl/>
        <w:numPr>
          <w:ilvl w:val="2"/>
          <w:numId w:val="16"/>
        </w:numPr>
        <w:spacing w:after="120"/>
        <w:ind w:left="720"/>
      </w:pPr>
      <w:r w:rsidRPr="00234866">
        <w:rPr>
          <w:i/>
          <w:iCs/>
        </w:rPr>
        <w:t>Conditions applicable to all interconnected VoIP provider numbering authorizations.</w:t>
      </w:r>
      <w:r w:rsidRPr="00234866">
        <w:t>  An interconnected VoIP provider authorized to request numbering resources directly from the Numbering Administrators under this section shall:</w:t>
      </w:r>
    </w:p>
    <w:p w:rsidR="00E92E25" w:rsidRPr="00234866" w:rsidP="00E92E25" w14:paraId="1FAC4A4B" w14:textId="77777777">
      <w:pPr>
        <w:numPr>
          <w:ilvl w:val="3"/>
          <w:numId w:val="16"/>
        </w:numPr>
        <w:spacing w:after="120"/>
        <w:ind w:left="1080"/>
      </w:pPr>
      <w:r w:rsidRPr="00234866">
        <w:t>Main</w:t>
      </w:r>
      <w:r w:rsidRPr="00234866">
        <w:t>tain the accuracy of all contact information, certifications, and ownership or affiliation information in its application.  If any contact information, certification, or affiliation information submitted in an application pursuant to this section, is no lo</w:t>
      </w:r>
      <w:r w:rsidRPr="00234866">
        <w:t>nger accurate, the provider must file a correction with the Commission and each applicable state within thirty (30) days of the change of contact information, certification, or affiliation information.  Regarding ownership information, if the holders of eq</w:t>
      </w:r>
      <w:r w:rsidRPr="00234866">
        <w:t>uity and/or voting interests in the provider change such that (i) a provider that previously did not have reportable ownership or control information under paragraph (g)(3)(ii)(L) now has reportable ownership or control information, or (ii) there is a chan</w:t>
      </w:r>
      <w:r w:rsidRPr="00234866">
        <w:t>ge to the reportable ownership or control information the provider previously reported under paragraph (g)(3)(ii)(L), the provider must file a correction with the Commission and each applicable state within thirty (30) days of the change to its ownership o</w:t>
      </w:r>
      <w:r w:rsidRPr="00234866">
        <w:t>r control information.  The Commission may use the updated contact information, certifications, or ownership or affiliation information to determine whether a change in authorization status is warranted;</w:t>
      </w:r>
    </w:p>
    <w:bookmarkEnd w:id="61"/>
    <w:p w:rsidR="00756CCD" w:rsidP="00E92E25" w14:paraId="616997EB" w14:textId="0F1B37E9">
      <w:r w:rsidRPr="00234866">
        <w:t>*  *  *  *</w:t>
      </w:r>
      <w:r>
        <w:t xml:space="preserve">  *</w:t>
      </w:r>
    </w:p>
    <w:p w:rsidR="00756CCD" w:rsidP="00756CCD" w14:paraId="45DCFEE0" w14:textId="77777777">
      <w:pPr>
        <w:sectPr w:rsidSect="00756CCD">
          <w:footerReference w:type="defaul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756CCD" w:rsidP="00756CCD" w14:paraId="5698FADE" w14:textId="4DCDB182">
      <w:pPr>
        <w:pStyle w:val="Heading1"/>
        <w:numPr>
          <w:ilvl w:val="0"/>
          <w:numId w:val="0"/>
        </w:numPr>
        <w:ind w:left="720" w:hanging="720"/>
        <w:jc w:val="center"/>
      </w:pPr>
      <w:bookmarkStart w:id="70" w:name="_Toc146047080"/>
      <w:bookmarkStart w:id="71" w:name="_Toc146179072"/>
      <w:r>
        <w:t>Appendix B</w:t>
      </w:r>
      <w:bookmarkEnd w:id="70"/>
      <w:bookmarkEnd w:id="71"/>
    </w:p>
    <w:p w:rsidR="00756CCD" w:rsidRPr="00F81458" w:rsidP="00756CCD" w14:paraId="446B0E68" w14:textId="3C430835">
      <w:pPr>
        <w:jc w:val="center"/>
        <w:rPr>
          <w:b/>
          <w:bCs/>
        </w:rPr>
      </w:pPr>
      <w:r w:rsidRPr="00F81458">
        <w:rPr>
          <w:b/>
          <w:bCs/>
        </w:rPr>
        <w:t>Final Regulatory Flexibility Analysis</w:t>
      </w:r>
    </w:p>
    <w:p w:rsidR="00756CCD" w:rsidP="00756CCD" w14:paraId="4D8E6E49" w14:textId="77777777">
      <w:pPr>
        <w:jc w:val="center"/>
      </w:pPr>
    </w:p>
    <w:p w:rsidR="00756CCD" w:rsidRPr="00887C6A" w:rsidP="00887C6A" w14:paraId="1B26BFAE" w14:textId="5E6F7001">
      <w:pPr>
        <w:pStyle w:val="Heading2"/>
        <w:numPr>
          <w:ilvl w:val="1"/>
          <w:numId w:val="23"/>
        </w:numPr>
        <w:rPr>
          <w:i/>
          <w:iCs/>
        </w:rPr>
      </w:pPr>
      <w:bookmarkStart w:id="72" w:name="_Toc146047081"/>
      <w:bookmarkStart w:id="73" w:name="_Toc146179073"/>
      <w:r>
        <w:t xml:space="preserve">Need for, and Objectives of, the </w:t>
      </w:r>
      <w:r w:rsidRPr="00887C6A">
        <w:rPr>
          <w:i/>
          <w:iCs/>
        </w:rPr>
        <w:t>Second Report and Order</w:t>
      </w:r>
      <w:bookmarkEnd w:id="72"/>
      <w:bookmarkEnd w:id="73"/>
    </w:p>
    <w:p w:rsidR="00756CCD" w:rsidP="00756CCD" w14:paraId="6B2479F9" w14:textId="77777777">
      <w:pPr>
        <w:pStyle w:val="ParaNum"/>
        <w:numPr>
          <w:ilvl w:val="0"/>
          <w:numId w:val="9"/>
        </w:numPr>
        <w:tabs>
          <w:tab w:val="clear" w:pos="1080"/>
          <w:tab w:val="num" w:pos="1440"/>
        </w:tabs>
      </w:pPr>
      <w:r>
        <w:t xml:space="preserve">The </w:t>
      </w:r>
      <w:r w:rsidRPr="00EF6B0B">
        <w:rPr>
          <w:i/>
        </w:rPr>
        <w:t xml:space="preserve">Second Report and Order </w:t>
      </w:r>
      <w:r w:rsidRPr="00EF6B0B">
        <w:rPr>
          <w:iCs/>
        </w:rPr>
        <w:t xml:space="preserve">takes important steps </w:t>
      </w:r>
      <w:r>
        <w:t>aimed at stemming the tide of illegal robocalls perpetrated by interconnected VoIP providers and protecting the nation’s numbering resources from abuse by foreign bad actors by strategically updating the Commission’s rules regarding how such providers obta</w:t>
      </w:r>
      <w:r>
        <w:t xml:space="preserve">in nationwide authorization for direct access to our nation’s limited numbering resources.  </w:t>
      </w:r>
    </w:p>
    <w:p w:rsidR="00756CCD" w:rsidP="00756CCD" w14:paraId="71683001" w14:textId="77777777">
      <w:pPr>
        <w:pStyle w:val="ParaNum"/>
        <w:numPr>
          <w:ilvl w:val="0"/>
          <w:numId w:val="9"/>
        </w:numPr>
        <w:tabs>
          <w:tab w:val="clear" w:pos="1080"/>
          <w:tab w:val="num" w:pos="1440"/>
        </w:tabs>
      </w:pPr>
      <w:r>
        <w:rPr>
          <w:noProof/>
        </w:rPr>
        <w:t>First</w:t>
      </w:r>
      <w:r w:rsidRPr="0078145D">
        <w:rPr>
          <w:noProof/>
        </w:rPr>
        <w:t>,</w:t>
      </w:r>
      <w:r>
        <w:rPr>
          <w:noProof/>
        </w:rPr>
        <w:t xml:space="preserve"> the </w:t>
      </w:r>
      <w:r w:rsidRPr="00EF6B0B">
        <w:rPr>
          <w:i/>
        </w:rPr>
        <w:t>Second Report and Order</w:t>
      </w:r>
      <w:r>
        <w:rPr>
          <w:noProof/>
        </w:rPr>
        <w:t xml:space="preserve"> requires applicants to make robocall-related certifications to ensure compliance with</w:t>
      </w:r>
      <w:r w:rsidRPr="002F1EA3">
        <w:t xml:space="preserve"> </w:t>
      </w:r>
      <w:r>
        <w:t>the Commission’s</w:t>
      </w:r>
      <w:r w:rsidRPr="002F1EA3">
        <w:t xml:space="preserve"> rules</w:t>
      </w:r>
      <w:r>
        <w:t xml:space="preserve"> targeting illegal r</w:t>
      </w:r>
      <w:r>
        <w:t>obocalls</w:t>
      </w:r>
      <w:r>
        <w:rPr>
          <w:noProof/>
        </w:rPr>
        <w:t>.</w:t>
      </w:r>
      <w:r>
        <w:rPr>
          <w:rStyle w:val="FootnoteReference"/>
          <w:rFonts w:eastAsia="Yu Mincho"/>
          <w:noProof/>
        </w:rPr>
        <w:footnoteReference w:id="284"/>
      </w:r>
      <w:r>
        <w:rPr>
          <w:noProof/>
        </w:rPr>
        <w:t xml:space="preserve">  Second</w:t>
      </w:r>
      <w:r w:rsidRPr="00731C2B">
        <w:rPr>
          <w:noProof/>
        </w:rPr>
        <w:t xml:space="preserve">, to mitigate the risk of providing bad actors abroad with access to our numbering resources, </w:t>
      </w:r>
      <w:r>
        <w:rPr>
          <w:noProof/>
        </w:rPr>
        <w:t>it</w:t>
      </w:r>
      <w:r w:rsidRPr="00731C2B">
        <w:rPr>
          <w:noProof/>
        </w:rPr>
        <w:t xml:space="preserve"> require</w:t>
      </w:r>
      <w:r>
        <w:rPr>
          <w:noProof/>
        </w:rPr>
        <w:t>s</w:t>
      </w:r>
      <w:r w:rsidRPr="00731C2B">
        <w:rPr>
          <w:noProof/>
        </w:rPr>
        <w:t xml:space="preserve"> applicants to disclose </w:t>
      </w:r>
      <w:r>
        <w:rPr>
          <w:noProof/>
        </w:rPr>
        <w:t xml:space="preserve">and keep current information about their </w:t>
      </w:r>
      <w:r w:rsidRPr="00731C2B">
        <w:rPr>
          <w:noProof/>
        </w:rPr>
        <w:t>ownershi</w:t>
      </w:r>
      <w:r>
        <w:rPr>
          <w:noProof/>
        </w:rPr>
        <w:t>p</w:t>
      </w:r>
      <w:r w:rsidRPr="00731C2B">
        <w:rPr>
          <w:noProof/>
        </w:rPr>
        <w:t>.</w:t>
      </w:r>
      <w:r>
        <w:rPr>
          <w:rStyle w:val="FootnoteReference"/>
          <w:rFonts w:eastAsia="Yu Mincho"/>
          <w:noProof/>
        </w:rPr>
        <w:footnoteReference w:id="285"/>
      </w:r>
      <w:r w:rsidRPr="00731C2B">
        <w:rPr>
          <w:noProof/>
        </w:rPr>
        <w:t xml:space="preserve">  </w:t>
      </w:r>
      <w:r>
        <w:rPr>
          <w:noProof/>
        </w:rPr>
        <w:t>Third, it requires applicants to certify to their com</w:t>
      </w:r>
      <w:r>
        <w:rPr>
          <w:noProof/>
        </w:rPr>
        <w:t>pliance with other Commission rules applicable to interconnected VoIP providers.</w:t>
      </w:r>
      <w:r>
        <w:rPr>
          <w:rStyle w:val="FootnoteReference"/>
          <w:rFonts w:eastAsia="Yu Mincho"/>
          <w:noProof/>
        </w:rPr>
        <w:footnoteReference w:id="286"/>
      </w:r>
      <w:r>
        <w:rPr>
          <w:noProof/>
        </w:rPr>
        <w:t xml:space="preserve">  Fourth</w:t>
      </w:r>
      <w:r w:rsidRPr="002F1EA3">
        <w:t xml:space="preserve">, </w:t>
      </w:r>
      <w:r>
        <w:t>it</w:t>
      </w:r>
      <w:r w:rsidRPr="000E0D14">
        <w:t xml:space="preserve"> </w:t>
      </w:r>
      <w:r w:rsidRPr="002F1EA3">
        <w:t>require</w:t>
      </w:r>
      <w:r>
        <w:t>s</w:t>
      </w:r>
      <w:r w:rsidRPr="002F1EA3">
        <w:t xml:space="preserve"> </w:t>
      </w:r>
      <w:r>
        <w:t>providers</w:t>
      </w:r>
      <w:r w:rsidRPr="002F1EA3">
        <w:t xml:space="preserve"> requesting numbers from </w:t>
      </w:r>
      <w:r>
        <w:t xml:space="preserve">a </w:t>
      </w:r>
      <w:r w:rsidRPr="002F1EA3">
        <w:t>state</w:t>
      </w:r>
      <w:r>
        <w:t>’s numbering administrator</w:t>
      </w:r>
      <w:r w:rsidRPr="002F1EA3">
        <w:t xml:space="preserve"> to comply with the state’s laws and registration requirements that are applicable to</w:t>
      </w:r>
      <w:r w:rsidRPr="002F1EA3">
        <w:t xml:space="preserve"> businesses requesting numbers in that state.</w:t>
      </w:r>
      <w:r>
        <w:rPr>
          <w:rStyle w:val="FootnoteReference"/>
          <w:rFonts w:eastAsia="Yu Mincho"/>
        </w:rPr>
        <w:footnoteReference w:id="287"/>
      </w:r>
      <w:r w:rsidRPr="002F1EA3">
        <w:t xml:space="preserve">  </w:t>
      </w:r>
      <w:r>
        <w:rPr>
          <w:noProof/>
        </w:rPr>
        <w:t>Fifth, it requires applicants to include a signed declaration that their applications are true and accurate.</w:t>
      </w:r>
      <w:r>
        <w:rPr>
          <w:rStyle w:val="FootnoteReference"/>
          <w:rFonts w:eastAsia="Yu Mincho"/>
          <w:noProof/>
        </w:rPr>
        <w:footnoteReference w:id="288"/>
      </w:r>
      <w:r>
        <w:rPr>
          <w:noProof/>
        </w:rPr>
        <w:t xml:space="preserve">  Sixth,</w:t>
      </w:r>
      <w:r w:rsidRPr="002F1EA3">
        <w:t xml:space="preserve"> and finally, </w:t>
      </w:r>
      <w:r>
        <w:t>it</w:t>
      </w:r>
      <w:r w:rsidRPr="002F1EA3">
        <w:t xml:space="preserve"> </w:t>
      </w:r>
      <w:r>
        <w:t xml:space="preserve">formalizes the Bureau’s application review, application </w:t>
      </w:r>
      <w:r>
        <w:t>rejection, and authorization revocation processes</w:t>
      </w:r>
      <w:r w:rsidRPr="002F1EA3">
        <w:t>.</w:t>
      </w:r>
      <w:r>
        <w:rPr>
          <w:rStyle w:val="FootnoteReference"/>
          <w:rFonts w:eastAsia="Yu Mincho"/>
        </w:rPr>
        <w:footnoteReference w:id="289"/>
      </w:r>
      <w:r w:rsidRPr="00C00FB9">
        <w:t xml:space="preserve">  </w:t>
      </w:r>
    </w:p>
    <w:p w:rsidR="00756CCD" w:rsidP="00887C6A" w14:paraId="5B4C8669" w14:textId="28D7A9F4">
      <w:pPr>
        <w:pStyle w:val="Heading2"/>
      </w:pPr>
      <w:bookmarkStart w:id="74" w:name="_Toc146047082"/>
      <w:bookmarkStart w:id="75" w:name="_Toc146179074"/>
      <w:r>
        <w:t>Summary of Significant Issues Raised by Public Comments in Response to the IRFA</w:t>
      </w:r>
      <w:bookmarkEnd w:id="74"/>
      <w:bookmarkEnd w:id="75"/>
    </w:p>
    <w:p w:rsidR="00756CCD" w:rsidRPr="009D2D66" w:rsidP="00756CCD" w14:paraId="20E7BF7E" w14:textId="77777777">
      <w:pPr>
        <w:pStyle w:val="ParaNum"/>
        <w:rPr>
          <w:i/>
          <w:iCs/>
        </w:rPr>
      </w:pPr>
      <w:r>
        <w:t>There were no comments raised that specifically addressed the proposed rules and policies presented in the IRFA.  Nonethe</w:t>
      </w:r>
      <w:r>
        <w:t>less, the Commission considered the potential impact of the rules proposed in the IRFA on small entities and took steps where appropriate and feasible to reduce the compliance burden for small entities in order to reduce the economic impact of the rules en</w:t>
      </w:r>
      <w:r>
        <w:t>acted herein on such entities.</w:t>
      </w:r>
    </w:p>
    <w:p w:rsidR="00756CCD" w:rsidP="00887C6A" w14:paraId="30100891" w14:textId="530FFE7B">
      <w:pPr>
        <w:pStyle w:val="Heading2"/>
      </w:pPr>
      <w:bookmarkStart w:id="76" w:name="_Toc146047083"/>
      <w:bookmarkStart w:id="77" w:name="_Toc146179075"/>
      <w:r>
        <w:t>Response to Comments by the Chief Counsel for Advocacy of the Small Business Administration</w:t>
      </w:r>
      <w:bookmarkEnd w:id="76"/>
      <w:bookmarkEnd w:id="77"/>
    </w:p>
    <w:p w:rsidR="00756CCD" w:rsidRPr="009D2D66" w:rsidP="00756CCD" w14:paraId="6AB97668" w14:textId="77777777">
      <w:pPr>
        <w:pStyle w:val="ParaNum"/>
        <w:widowControl/>
      </w:pPr>
      <w:r w:rsidRPr="009D2D66">
        <w:t>Pursuant to the Small Business Jobs Act of 2010, which amended the RFA, the Commission is required to respond to any comments filed b</w:t>
      </w:r>
      <w:r w:rsidRPr="009D2D66">
        <w:t xml:space="preserve">y the Chief Counsel for Advocacy of the </w:t>
      </w:r>
      <w:r>
        <w:t>Small Business Administration (</w:t>
      </w:r>
      <w:r w:rsidRPr="009D2D66">
        <w:t>SBA</w:t>
      </w:r>
      <w:r>
        <w:t>)</w:t>
      </w:r>
      <w:r w:rsidRPr="009D2D66">
        <w:t>, and to provide a detailed statement of any change made to the proposed rules as a result of those comments.</w:t>
      </w:r>
      <w:r>
        <w:rPr>
          <w:vertAlign w:val="superscript"/>
        </w:rPr>
        <w:footnoteReference w:id="290"/>
      </w:r>
      <w:r w:rsidRPr="009D2D66">
        <w:t xml:space="preserve">  The Chief Counsel did not file any comments in response to the propo</w:t>
      </w:r>
      <w:r w:rsidRPr="009D2D66">
        <w:t>sed rules in this proceeding.</w:t>
      </w:r>
    </w:p>
    <w:p w:rsidR="00756CCD" w:rsidP="00887C6A" w14:paraId="23732EA5" w14:textId="78DABD0D">
      <w:pPr>
        <w:pStyle w:val="Heading2"/>
      </w:pPr>
      <w:bookmarkStart w:id="78" w:name="_Toc146047084"/>
      <w:bookmarkStart w:id="79" w:name="_Toc146179076"/>
      <w:r>
        <w:t>Description and Estimate of the Number of Small Entities to Which the Rules Will Apply</w:t>
      </w:r>
      <w:bookmarkEnd w:id="78"/>
      <w:bookmarkEnd w:id="79"/>
    </w:p>
    <w:p w:rsidR="00756CCD" w:rsidRPr="00185016" w:rsidP="00756CCD" w14:paraId="64297D0D" w14:textId="77777777">
      <w:pPr>
        <w:pStyle w:val="ParaNum"/>
      </w:pPr>
      <w:r w:rsidRPr="009D2D66">
        <w:t xml:space="preserve">The RFA directs agencies to provide a description of, and where feasible, an estimate of the number of small entities that may be affected </w:t>
      </w:r>
      <w:r w:rsidRPr="009D2D66">
        <w:t>by the rules adopted herein.</w:t>
      </w:r>
      <w:r>
        <w:rPr>
          <w:vertAlign w:val="superscript"/>
        </w:rPr>
        <w:footnoteReference w:id="291"/>
      </w:r>
      <w:r w:rsidRPr="005E53C3">
        <w:rPr>
          <w:vertAlign w:val="superscript"/>
        </w:rPr>
        <w:t xml:space="preserve"> </w:t>
      </w:r>
      <w:r w:rsidRPr="009D2D66">
        <w:t xml:space="preserve"> The RFA generally defines </w:t>
      </w:r>
      <w:r w:rsidRPr="009D2D66">
        <w:t>the term “small entity” as having the same meaning as the terms “small business,” “small organization,” and “</w:t>
      </w:r>
      <w:r>
        <w:t>s</w:t>
      </w:r>
      <w:r w:rsidRPr="009D2D66">
        <w:t>mall governmental jurisdiction.”</w:t>
      </w:r>
      <w:r>
        <w:rPr>
          <w:vertAlign w:val="superscript"/>
        </w:rPr>
        <w:footnoteReference w:id="292"/>
      </w:r>
      <w:r w:rsidRPr="005E53C3">
        <w:rPr>
          <w:vertAlign w:val="superscript"/>
        </w:rPr>
        <w:t xml:space="preserve"> </w:t>
      </w:r>
      <w:r w:rsidRPr="009D2D66">
        <w:t xml:space="preserve"> In addition, the term “small business” has the same </w:t>
      </w:r>
      <w:r w:rsidRPr="009D2D66">
        <w:t>meaning as the term “small-business concern” under the Small Business Act.</w:t>
      </w:r>
      <w:r>
        <w:rPr>
          <w:vertAlign w:val="superscript"/>
        </w:rPr>
        <w:footnoteReference w:id="293"/>
      </w:r>
      <w:r w:rsidRPr="005E53C3">
        <w:rPr>
          <w:vertAlign w:val="superscript"/>
        </w:rPr>
        <w:t xml:space="preserve"> </w:t>
      </w:r>
      <w:r w:rsidRPr="009D2D66">
        <w:t xml:space="preserve"> A “small-business concern” is one which: (1) is independently owned and operated; (2) is not dominant in its field of operation; and (3) satisfies any additional criteria establi</w:t>
      </w:r>
      <w:r w:rsidRPr="009D2D66">
        <w:t>shed by the SBA.</w:t>
      </w:r>
      <w:r>
        <w:rPr>
          <w:vertAlign w:val="superscript"/>
        </w:rPr>
        <w:footnoteReference w:id="294"/>
      </w:r>
    </w:p>
    <w:p w:rsidR="00756CCD" w:rsidRPr="00185016" w:rsidP="00756CCD" w14:paraId="26AF3723" w14:textId="77777777">
      <w:pPr>
        <w:pStyle w:val="ParaNum"/>
      </w:pPr>
      <w:r w:rsidRPr="00185016">
        <w:rPr>
          <w:i/>
        </w:rPr>
        <w:t>Small Businesses, Small Organizations, Small Governmental Jurisdictions.</w:t>
      </w:r>
      <w:r w:rsidRPr="00185016">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295"/>
      </w:r>
      <w:r w:rsidRPr="00185016">
        <w:t xml:space="preserve">  First, while there are industry specific </w:t>
      </w:r>
      <w:r w:rsidRPr="00185016">
        <w:t>size standards for small businesses that are used in the regulatory flexibility analysis, according to data from the Small Business Administration’s (SBA) Office of Advocacy, in general a small business is an independent business having fewer than 500 empl</w:t>
      </w:r>
      <w:r w:rsidRPr="00185016">
        <w:t>oyees.</w:t>
      </w:r>
      <w:r>
        <w:rPr>
          <w:vertAlign w:val="superscript"/>
        </w:rPr>
        <w:footnoteReference w:id="296"/>
      </w:r>
      <w:r w:rsidRPr="00185016">
        <w:t xml:space="preserve">  These types of small businesses represent 99.9% of all businesses in the United States, which translates to 32.5 million businesses.</w:t>
      </w:r>
      <w:r>
        <w:rPr>
          <w:vertAlign w:val="superscript"/>
        </w:rPr>
        <w:footnoteReference w:id="297"/>
      </w:r>
    </w:p>
    <w:p w:rsidR="00756CCD" w:rsidRPr="00185016" w:rsidP="00756CCD" w14:paraId="2AE30FBC" w14:textId="77777777">
      <w:pPr>
        <w:pStyle w:val="ParaNum"/>
        <w:widowControl/>
      </w:pPr>
      <w:r w:rsidRPr="00185016">
        <w:t xml:space="preserve">Next, the type of small entity described as a “small organization” is generally “any not-for-profit enterprise </w:t>
      </w:r>
      <w:r w:rsidRPr="00185016">
        <w:t>which is independently owned and operated and is not dominant in its field.”</w:t>
      </w:r>
      <w:r>
        <w:rPr>
          <w:vertAlign w:val="superscript"/>
        </w:rPr>
        <w:footnoteReference w:id="298"/>
      </w:r>
      <w:r w:rsidRPr="00185016">
        <w:t xml:space="preserve"> The Internal Revenue Service (IRS) uses a revenue benchmark of $50,000 or less to delineate its annual electronic filing requirements for small exempt organizations.</w:t>
      </w:r>
      <w:r>
        <w:rPr>
          <w:vertAlign w:val="superscript"/>
        </w:rPr>
        <w:footnoteReference w:id="299"/>
      </w:r>
      <w:r w:rsidRPr="00185016">
        <w:t xml:space="preserve">  Nationwi</w:t>
      </w:r>
      <w:r w:rsidRPr="00185016">
        <w:t>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300"/>
      </w:r>
      <w:r w:rsidRPr="00185016">
        <w:t xml:space="preserve"> </w:t>
      </w:r>
    </w:p>
    <w:p w:rsidR="00756CCD" w:rsidRPr="00185016" w:rsidP="00756CCD" w14:paraId="63DF66DA" w14:textId="77777777">
      <w:pPr>
        <w:pStyle w:val="ParaNum"/>
        <w:widowControl/>
      </w:pPr>
      <w:r w:rsidRPr="00185016">
        <w:t>Finally, the small entity de</w:t>
      </w:r>
      <w:r w:rsidRPr="00185016">
        <w:t>scribed as a “small governmental jurisdiction” is defined generally as “governments of cities, counties, towns, townships, villages, school districts, or special districts, with a population of less than fifty thousand.”</w:t>
      </w:r>
      <w:r>
        <w:rPr>
          <w:vertAlign w:val="superscript"/>
        </w:rPr>
        <w:footnoteReference w:id="301"/>
      </w:r>
      <w:r w:rsidRPr="00185016">
        <w:t xml:space="preserve">  U.S. Census Bureau data from the</w:t>
      </w:r>
      <w:r w:rsidRPr="00185016">
        <w:t xml:space="preserve"> 2017 Census of Governments</w:t>
      </w:r>
      <w:r>
        <w:rPr>
          <w:vertAlign w:val="superscript"/>
        </w:rPr>
        <w:footnoteReference w:id="302"/>
      </w:r>
      <w:r w:rsidRPr="00185016">
        <w:t xml:space="preserve"> indicate there were 90,075 local governmental jurisdictions consisting of general purpose governments and special purpose governments in the United States.</w:t>
      </w:r>
      <w:r>
        <w:rPr>
          <w:vertAlign w:val="superscript"/>
        </w:rPr>
        <w:footnoteReference w:id="303"/>
      </w:r>
      <w:r w:rsidRPr="00185016">
        <w:t xml:space="preserve">  Of this number there were 36,931 general purpose governments (count</w:t>
      </w:r>
      <w:r w:rsidRPr="00185016">
        <w:t>y</w:t>
      </w:r>
      <w:r>
        <w:rPr>
          <w:vertAlign w:val="superscript"/>
        </w:rPr>
        <w:footnoteReference w:id="304"/>
      </w:r>
      <w:r w:rsidRPr="00185016">
        <w:t>, municipal and town or township</w:t>
      </w:r>
      <w:r>
        <w:rPr>
          <w:vertAlign w:val="superscript"/>
        </w:rPr>
        <w:footnoteReference w:id="305"/>
      </w:r>
      <w:r w:rsidRPr="00185016">
        <w:t>) with populations of less than 50,000 and 12,040 special purpose governments - independent school districts</w:t>
      </w:r>
      <w:r>
        <w:rPr>
          <w:vertAlign w:val="superscript"/>
        </w:rPr>
        <w:footnoteReference w:id="306"/>
      </w:r>
      <w:r w:rsidRPr="00185016">
        <w:t xml:space="preserve"> with enrollment populations of less than 50,000.</w:t>
      </w:r>
      <w:r>
        <w:rPr>
          <w:vertAlign w:val="superscript"/>
        </w:rPr>
        <w:footnoteReference w:id="307"/>
      </w:r>
      <w:r w:rsidRPr="00185016">
        <w:t xml:space="preserve">  Accordingly, based on the 2017 U.S. Census of Governments data, we estimate that at least 48,971 entities fall into the category of “small governmental jurisdictions.”</w:t>
      </w:r>
      <w:r>
        <w:rPr>
          <w:vertAlign w:val="superscript"/>
        </w:rPr>
        <w:footnoteReference w:id="308"/>
      </w:r>
    </w:p>
    <w:p w:rsidR="00756CCD" w:rsidRPr="00185016" w:rsidP="00756CCD" w14:paraId="0C79A4F2" w14:textId="77777777">
      <w:pPr>
        <w:pStyle w:val="ParaNum"/>
        <w:widowControl/>
      </w:pPr>
      <w:r w:rsidRPr="00185016">
        <w:rPr>
          <w:i/>
        </w:rPr>
        <w:t>Wired Telecommunications Carriers.</w:t>
      </w:r>
      <w:r w:rsidRPr="00185016">
        <w:t xml:space="preserve">  The U.S. Census Bureau defines this industry as </w:t>
      </w:r>
      <w:r w:rsidRPr="00185016">
        <w:t>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309"/>
      </w:r>
      <w:r w:rsidRPr="00185016">
        <w:t xml:space="preserve">  Transmission </w:t>
      </w:r>
      <w:r w:rsidRPr="00185016">
        <w:t>facilities may be based on a single technology or a combination of technologies.  Establishments in this industry use the wired telecommunications network facilities that they operate to provide a variety of services, such as wired telephony services, incl</w:t>
      </w:r>
      <w:r w:rsidRPr="00185016">
        <w:t>uding VoIP services, wired (cable) audio and video programming distribution, and wired broadband internet services.</w:t>
      </w:r>
      <w:r>
        <w:rPr>
          <w:rStyle w:val="FootnoteReference"/>
          <w:sz w:val="22"/>
          <w:szCs w:val="22"/>
        </w:rPr>
        <w:footnoteReference w:id="310"/>
      </w:r>
      <w:r w:rsidRPr="00185016">
        <w:t xml:space="preserve">  By exception, establishments providing satellite television distribution services using facilities </w:t>
      </w:r>
      <w:r w:rsidRPr="00185016">
        <w:t>and infrastructure that they operate a</w:t>
      </w:r>
      <w:r w:rsidRPr="00185016">
        <w:t>re included in this industry.</w:t>
      </w:r>
      <w:r>
        <w:rPr>
          <w:rStyle w:val="FootnoteReference"/>
          <w:sz w:val="22"/>
          <w:szCs w:val="22"/>
        </w:rPr>
        <w:footnoteReference w:id="311"/>
      </w:r>
      <w:r w:rsidRPr="00185016">
        <w:t xml:space="preserve">  Wired Telecommunications Carriers are also referred to as wireline carriers or fixed local service providers.</w:t>
      </w:r>
      <w:r>
        <w:rPr>
          <w:rStyle w:val="FootnoteReference"/>
          <w:sz w:val="22"/>
          <w:szCs w:val="22"/>
        </w:rPr>
        <w:footnoteReference w:id="312"/>
      </w:r>
      <w:r w:rsidRPr="00185016">
        <w:t xml:space="preserve"> </w:t>
      </w:r>
    </w:p>
    <w:p w:rsidR="00756CCD" w:rsidRPr="00185016" w:rsidP="00756CCD" w14:paraId="31B99309" w14:textId="77777777">
      <w:pPr>
        <w:pStyle w:val="ParaNum"/>
      </w:pPr>
      <w:r w:rsidRPr="00185016">
        <w:t>The SBA small business size standard for Wired Telecommunications Carriers classifies firms having 1,500 or fe</w:t>
      </w:r>
      <w:r w:rsidRPr="00185016">
        <w:t>wer employees as small.</w:t>
      </w:r>
      <w:r>
        <w:rPr>
          <w:rStyle w:val="FootnoteReference"/>
          <w:sz w:val="22"/>
          <w:szCs w:val="22"/>
        </w:rPr>
        <w:footnoteReference w:id="313"/>
      </w:r>
      <w:r w:rsidRPr="00185016">
        <w:t xml:space="preserve">  U.S. Census Bureau data for 2017 show that there were 3,054 firms that operated in this industry for the entire year.</w:t>
      </w:r>
      <w:r>
        <w:rPr>
          <w:rStyle w:val="FootnoteReference"/>
          <w:sz w:val="22"/>
          <w:szCs w:val="22"/>
        </w:rPr>
        <w:footnoteReference w:id="314"/>
      </w:r>
      <w:r w:rsidRPr="00185016">
        <w:t xml:space="preserve">  Of this number, 2,964 firms operated with fewer than 250 employees.</w:t>
      </w:r>
      <w:r>
        <w:rPr>
          <w:rStyle w:val="FootnoteReference"/>
          <w:sz w:val="22"/>
          <w:szCs w:val="22"/>
        </w:rPr>
        <w:footnoteReference w:id="315"/>
      </w:r>
      <w:r w:rsidRPr="00185016">
        <w:t xml:space="preserve">  Additionally, based </w:t>
      </w:r>
      <w:r w:rsidRPr="00185016">
        <w:rPr>
          <w:rFonts w:eastAsia="Calibri"/>
        </w:rPr>
        <w:t xml:space="preserve">on </w:t>
      </w:r>
      <w:r w:rsidRPr="00185016">
        <w:t>Commission dat</w:t>
      </w:r>
      <w:r w:rsidRPr="00185016">
        <w:t>a in the 2022 Universal Service Monitoring Report, as of December 31, 2021, there were 4,590 providers that reported they were engaged in the provision of fixed local services.</w:t>
      </w:r>
      <w:r>
        <w:rPr>
          <w:spacing w:val="-2"/>
          <w:vertAlign w:val="superscript"/>
        </w:rPr>
        <w:footnoteReference w:id="316"/>
      </w:r>
      <w:r w:rsidRPr="00185016">
        <w:t xml:space="preserve">  Of these providers, the Commission estimates that 4,146 providers have 1,500</w:t>
      </w:r>
      <w:r w:rsidRPr="00185016">
        <w:t xml:space="preserve"> or fewer employees.</w:t>
      </w:r>
      <w:r>
        <w:rPr>
          <w:rStyle w:val="FootnoteReference"/>
          <w:sz w:val="22"/>
          <w:szCs w:val="22"/>
        </w:rPr>
        <w:footnoteReference w:id="317"/>
      </w:r>
      <w:r w:rsidRPr="00185016">
        <w:t xml:space="preserve">  Consequently, using the SBA’s small business size standard, most of these providers can be considered small entities.  </w:t>
      </w:r>
    </w:p>
    <w:p w:rsidR="00756CCD" w:rsidRPr="00185016" w:rsidP="00756CCD" w14:paraId="374A7FCF" w14:textId="77777777">
      <w:pPr>
        <w:pStyle w:val="ParaNum"/>
      </w:pPr>
      <w:r w:rsidRPr="00185016">
        <w:rPr>
          <w:i/>
        </w:rPr>
        <w:t>Local Exchange Carriers (LECs).</w:t>
      </w:r>
      <w:r w:rsidRPr="00185016">
        <w:t xml:space="preserve">  Neither the Commission nor the SBA has developed a size standard for small businesses specifically ap</w:t>
      </w:r>
      <w:r w:rsidRPr="00185016">
        <w:t>plicable to local exchange services. Providers of these services include both incumbent and competitive local exchange service providers.  Wired Telecommunications Carriers</w:t>
      </w:r>
      <w:r>
        <w:rPr>
          <w:rStyle w:val="FootnoteReference"/>
          <w:sz w:val="22"/>
          <w:szCs w:val="22"/>
        </w:rPr>
        <w:footnoteReference w:id="318"/>
      </w:r>
      <w:r w:rsidRPr="00185016">
        <w:t xml:space="preserve"> is the closest industry with an SBA small business size standard.</w:t>
      </w:r>
      <w:r>
        <w:rPr>
          <w:rStyle w:val="FootnoteReference"/>
          <w:sz w:val="22"/>
          <w:szCs w:val="22"/>
        </w:rPr>
        <w:footnoteReference w:id="319"/>
      </w:r>
      <w:r w:rsidRPr="00185016">
        <w:t xml:space="preserve">  Wired Teleco</w:t>
      </w:r>
      <w:r w:rsidRPr="00185016">
        <w:t>mmunications Carriers are also referred to as wireline carriers or fixed local service providers.</w:t>
      </w:r>
      <w:r>
        <w:rPr>
          <w:rStyle w:val="FootnoteReference"/>
          <w:sz w:val="22"/>
          <w:szCs w:val="22"/>
        </w:rPr>
        <w:footnoteReference w:id="320"/>
      </w:r>
      <w:r w:rsidRPr="00185016">
        <w:t xml:space="preserve">  The SBA small business size standard for Wired Telecommunications Carriers classifies firms having 1,500 or fewer employees as small.</w:t>
      </w:r>
      <w:r>
        <w:rPr>
          <w:rStyle w:val="FootnoteReference"/>
          <w:sz w:val="22"/>
          <w:szCs w:val="22"/>
        </w:rPr>
        <w:footnoteReference w:id="321"/>
      </w:r>
      <w:r w:rsidRPr="00185016">
        <w:t xml:space="preserve">  U.S. Census Bureau</w:t>
      </w:r>
      <w:r w:rsidRPr="00185016">
        <w:t xml:space="preserve"> data for 2017 show that there were 3,054 firms that operated in this industry for the entire year.</w:t>
      </w:r>
      <w:r>
        <w:rPr>
          <w:rStyle w:val="FootnoteReference"/>
          <w:sz w:val="22"/>
          <w:szCs w:val="22"/>
        </w:rPr>
        <w:footnoteReference w:id="322"/>
      </w:r>
      <w:r w:rsidRPr="00185016">
        <w:t xml:space="preserve">  Of this number, 2,964 firms operated with fewer than </w:t>
      </w:r>
      <w:r w:rsidRPr="00185016">
        <w:t>250 employees.</w:t>
      </w:r>
      <w:r>
        <w:rPr>
          <w:rStyle w:val="FootnoteReference"/>
          <w:sz w:val="22"/>
          <w:szCs w:val="22"/>
        </w:rPr>
        <w:footnoteReference w:id="323"/>
      </w:r>
      <w:r w:rsidRPr="00185016">
        <w:t xml:space="preserve">  Additionally, based </w:t>
      </w:r>
      <w:r w:rsidRPr="00185016">
        <w:rPr>
          <w:rFonts w:eastAsia="Calibri"/>
        </w:rPr>
        <w:t xml:space="preserve">on </w:t>
      </w:r>
      <w:r w:rsidRPr="00185016">
        <w:t>Commission data in the 2022 Universal Service Monitoring Re</w:t>
      </w:r>
      <w:r w:rsidRPr="00185016">
        <w:t>port, as of December 31, 2021, there were 4,590 providers that reported they were fixed local exchange service providers.</w:t>
      </w:r>
      <w:r>
        <w:rPr>
          <w:spacing w:val="-2"/>
          <w:vertAlign w:val="superscript"/>
        </w:rPr>
        <w:footnoteReference w:id="324"/>
      </w:r>
      <w:r w:rsidRPr="00185016">
        <w:t xml:space="preserve">  Of these providers, the Commission estimates that 4,146 providers have 1,500 or fewer employees.</w:t>
      </w:r>
      <w:r>
        <w:rPr>
          <w:rStyle w:val="FootnoteReference"/>
          <w:sz w:val="22"/>
          <w:szCs w:val="22"/>
        </w:rPr>
        <w:footnoteReference w:id="325"/>
      </w:r>
      <w:r w:rsidRPr="00185016">
        <w:t xml:space="preserve"> Consequently, using the SBA’s sm</w:t>
      </w:r>
      <w:r w:rsidRPr="00185016">
        <w:t>all business size standard, most of these providers can be considered small entities.</w:t>
      </w:r>
    </w:p>
    <w:p w:rsidR="00756CCD" w:rsidRPr="00185016" w:rsidP="00756CCD" w14:paraId="4016033D" w14:textId="77777777">
      <w:pPr>
        <w:pStyle w:val="ParaNum"/>
      </w:pPr>
      <w:bookmarkStart w:id="80" w:name="_Hlk96947962"/>
      <w:r w:rsidRPr="00185016">
        <w:rPr>
          <w:i/>
        </w:rPr>
        <w:t xml:space="preserve">Incumbent Local Exchange Carriers </w:t>
      </w:r>
      <w:r w:rsidRPr="00185016">
        <w:t>(</w:t>
      </w:r>
      <w:r w:rsidRPr="00185016">
        <w:rPr>
          <w:i/>
        </w:rPr>
        <w:t>Incumbent LECs</w:t>
      </w:r>
      <w:r w:rsidRPr="00185016">
        <w:t xml:space="preserve">). </w:t>
      </w:r>
      <w:r w:rsidRPr="00185016">
        <w:rPr>
          <w:i/>
        </w:rPr>
        <w:t xml:space="preserve"> </w:t>
      </w:r>
      <w:bookmarkEnd w:id="80"/>
      <w:r w:rsidRPr="00185016">
        <w:t>Neither the Commission nor the SBA have developed a small business size standard specifically for incumbent local exc</w:t>
      </w:r>
      <w:r w:rsidRPr="00185016">
        <w:t>hange carriers.  Wired Telecommunications Carriers</w:t>
      </w:r>
      <w:r>
        <w:rPr>
          <w:rStyle w:val="FootnoteReference"/>
          <w:sz w:val="22"/>
          <w:szCs w:val="22"/>
        </w:rPr>
        <w:footnoteReference w:id="326"/>
      </w:r>
      <w:r w:rsidRPr="00185016">
        <w:t xml:space="preserve"> is the closest industry with an SBA small business size standard.</w:t>
      </w:r>
      <w:r>
        <w:rPr>
          <w:rStyle w:val="FootnoteReference"/>
          <w:sz w:val="22"/>
          <w:szCs w:val="22"/>
        </w:rPr>
        <w:footnoteReference w:id="327"/>
      </w:r>
      <w:r w:rsidRPr="00185016">
        <w:t xml:space="preserve">  The SBA small business size standard for Wired Telecommunications Carriers classifies firms having 1,500 or fewer employees as small.</w:t>
      </w:r>
      <w:r>
        <w:rPr>
          <w:rStyle w:val="FootnoteReference"/>
          <w:sz w:val="22"/>
          <w:szCs w:val="22"/>
        </w:rPr>
        <w:footnoteReference w:id="328"/>
      </w:r>
      <w:r w:rsidRPr="00185016">
        <w:t xml:space="preserve">  U.S. Census Bureau data for 2017 show that there were 3,054 firms in this industry that operated for the entire year.</w:t>
      </w:r>
      <w:r>
        <w:rPr>
          <w:rStyle w:val="FootnoteReference"/>
          <w:sz w:val="22"/>
          <w:szCs w:val="22"/>
        </w:rPr>
        <w:footnoteReference w:id="329"/>
      </w:r>
      <w:r w:rsidRPr="00185016">
        <w:t xml:space="preserve">  Of this number, 2,964 firms operated with fewer than 250 employees.</w:t>
      </w:r>
      <w:r>
        <w:rPr>
          <w:rStyle w:val="FootnoteReference"/>
          <w:sz w:val="22"/>
          <w:szCs w:val="22"/>
        </w:rPr>
        <w:footnoteReference w:id="330"/>
      </w:r>
      <w:r w:rsidRPr="00185016">
        <w:t xml:space="preserve">  Additionally, based </w:t>
      </w:r>
      <w:r w:rsidRPr="00185016">
        <w:rPr>
          <w:rFonts w:eastAsia="Calibri"/>
        </w:rPr>
        <w:t xml:space="preserve">on </w:t>
      </w:r>
      <w:r w:rsidRPr="00185016">
        <w:t>Commission data in the 2022 Universal Service Monitoring Report, as of December 31, 2021, there were 1,212 providers that reported they were incumbent local e</w:t>
      </w:r>
      <w:r w:rsidRPr="00185016">
        <w:t>xchange service providers.</w:t>
      </w:r>
      <w:r>
        <w:rPr>
          <w:rStyle w:val="FootnoteReference"/>
          <w:sz w:val="22"/>
          <w:szCs w:val="22"/>
        </w:rPr>
        <w:footnoteReference w:id="331"/>
      </w:r>
      <w:r w:rsidRPr="00185016">
        <w:t xml:space="preserve">  Of these providers, the Commission estimates that 916 providers have 1,500 or fewer employees.</w:t>
      </w:r>
      <w:r>
        <w:rPr>
          <w:rStyle w:val="FootnoteReference"/>
          <w:sz w:val="22"/>
          <w:szCs w:val="22"/>
        </w:rPr>
        <w:footnoteReference w:id="332"/>
      </w:r>
      <w:r w:rsidRPr="00185016">
        <w:t xml:space="preserve">  Consequently, using the SBA’s small business size standard, the Commission estimates that the majority of incumbent local exchan</w:t>
      </w:r>
      <w:r w:rsidRPr="00185016">
        <w:t>ge carriers can be considered small entities.</w:t>
      </w:r>
    </w:p>
    <w:p w:rsidR="00756CCD" w:rsidRPr="00185016" w:rsidP="00756CCD" w14:paraId="2787093D" w14:textId="77777777">
      <w:pPr>
        <w:pStyle w:val="ParaNum"/>
      </w:pPr>
      <w:bookmarkStart w:id="81" w:name="_Hlk96947998"/>
      <w:r w:rsidRPr="00185016">
        <w:rPr>
          <w:i/>
        </w:rPr>
        <w:t>Competitive Local Exchange Carriers (LECs).</w:t>
      </w:r>
      <w:r w:rsidRPr="00185016">
        <w:t xml:space="preserve">  </w:t>
      </w:r>
      <w:bookmarkEnd w:id="81"/>
      <w:r w:rsidRPr="00185016">
        <w:t>Neither the Commission nor the SBA has developed a size standard for small businesses specifically applicable to local exchange services. Providers of these services</w:t>
      </w:r>
      <w:r w:rsidRPr="00185016">
        <w:t xml:space="preserve"> include several types of competitive local exchange service providers.</w:t>
      </w:r>
      <w:r>
        <w:rPr>
          <w:rStyle w:val="FootnoteReference"/>
          <w:sz w:val="22"/>
          <w:szCs w:val="22"/>
        </w:rPr>
        <w:footnoteReference w:id="333"/>
      </w:r>
      <w:r w:rsidRPr="00185016">
        <w:t xml:space="preserve">  Wired Telecommunications Carriers</w:t>
      </w:r>
      <w:r>
        <w:rPr>
          <w:rStyle w:val="FootnoteReference"/>
          <w:sz w:val="22"/>
          <w:szCs w:val="22"/>
        </w:rPr>
        <w:footnoteReference w:id="334"/>
      </w:r>
      <w:r w:rsidRPr="00185016">
        <w:t xml:space="preserve"> is the closest industry with an SBA small business size standard.  The SBA small business size standard for Wired Telecommunications Carriers cla</w:t>
      </w:r>
      <w:r w:rsidRPr="00185016">
        <w:t xml:space="preserve">ssifies firms having </w:t>
      </w:r>
      <w:r w:rsidRPr="00185016">
        <w:t>1,500 or fewer employees as small.</w:t>
      </w:r>
      <w:r>
        <w:rPr>
          <w:rStyle w:val="FootnoteReference"/>
          <w:sz w:val="22"/>
          <w:szCs w:val="22"/>
        </w:rPr>
        <w:footnoteReference w:id="335"/>
      </w:r>
      <w:r w:rsidRPr="00185016">
        <w:t xml:space="preserve">  U.S. Census Bureau data for 2017 show that there were 3,054 firms that operated in this industry for the entire year.</w:t>
      </w:r>
      <w:r>
        <w:rPr>
          <w:rStyle w:val="FootnoteReference"/>
          <w:sz w:val="22"/>
          <w:szCs w:val="22"/>
        </w:rPr>
        <w:footnoteReference w:id="336"/>
      </w:r>
      <w:r w:rsidRPr="00185016">
        <w:t xml:space="preserve">  Of this number, 2,964 firms operated with fewer than 250 employees.</w:t>
      </w:r>
      <w:r>
        <w:rPr>
          <w:rStyle w:val="FootnoteReference"/>
          <w:sz w:val="22"/>
          <w:szCs w:val="22"/>
        </w:rPr>
        <w:footnoteReference w:id="337"/>
      </w:r>
      <w:r w:rsidRPr="00185016">
        <w:t xml:space="preserve">  Addit</w:t>
      </w:r>
      <w:r w:rsidRPr="00185016">
        <w:t xml:space="preserve">ionally, based </w:t>
      </w:r>
      <w:r w:rsidRPr="00185016">
        <w:rPr>
          <w:rFonts w:eastAsia="Calibri"/>
        </w:rPr>
        <w:t xml:space="preserve">on </w:t>
      </w:r>
      <w:r w:rsidRPr="00185016">
        <w:t>Commission data in the 2022 Universal Service Monitoring Report, as of December 31, 2021, there were 3,378 providers that reported they were competitive local exchange service providers.</w:t>
      </w:r>
      <w:r>
        <w:rPr>
          <w:spacing w:val="-2"/>
          <w:vertAlign w:val="superscript"/>
        </w:rPr>
        <w:footnoteReference w:id="338"/>
      </w:r>
      <w:r w:rsidRPr="00185016">
        <w:t xml:space="preserve">  Of these providers, the Commission estimates tha</w:t>
      </w:r>
      <w:r w:rsidRPr="00185016">
        <w:t>t 3,230 providers have 1,500 or fewer employees.</w:t>
      </w:r>
      <w:r>
        <w:rPr>
          <w:rStyle w:val="FootnoteReference"/>
          <w:sz w:val="22"/>
          <w:szCs w:val="22"/>
        </w:rPr>
        <w:footnoteReference w:id="339"/>
      </w:r>
      <w:r w:rsidRPr="00185016">
        <w:t xml:space="preserve">  Consequently, using the SBA’s small business size standard, most of these providers can be considered small entities.</w:t>
      </w:r>
      <w:bookmarkStart w:id="82" w:name="_Hlk96949269"/>
    </w:p>
    <w:p w:rsidR="00756CCD" w:rsidP="00756CCD" w14:paraId="027A26FB" w14:textId="77777777">
      <w:pPr>
        <w:pStyle w:val="ParaNum"/>
      </w:pPr>
      <w:r w:rsidRPr="00185016">
        <w:rPr>
          <w:i/>
        </w:rPr>
        <w:t xml:space="preserve">Interexchange Carriers (IXCs).  </w:t>
      </w:r>
      <w:r w:rsidRPr="00185016">
        <w:t xml:space="preserve">Neither the Commission nor the SBA has developed </w:t>
      </w:r>
      <w:bookmarkEnd w:id="82"/>
      <w:r w:rsidRPr="00185016">
        <w:t>a sma</w:t>
      </w:r>
      <w:r w:rsidRPr="00185016">
        <w:t>ll business size standard specifically for Interexchange Carriers.  Wired Telecommunications Carriers</w:t>
      </w:r>
      <w:r>
        <w:rPr>
          <w:rStyle w:val="FootnoteReference"/>
          <w:sz w:val="22"/>
          <w:szCs w:val="22"/>
        </w:rPr>
        <w:footnoteReference w:id="340"/>
      </w:r>
      <w:r w:rsidRPr="00185016">
        <w:t xml:space="preserve"> is the closest industry with an SBA small business size standard.</w:t>
      </w:r>
      <w:r>
        <w:rPr>
          <w:rStyle w:val="FootnoteReference"/>
          <w:sz w:val="22"/>
          <w:szCs w:val="22"/>
        </w:rPr>
        <w:footnoteReference w:id="341"/>
      </w:r>
      <w:r w:rsidRPr="00185016">
        <w:t xml:space="preserve">  The SBA small business size standard for Wired Telecommunications Carriers classifi</w:t>
      </w:r>
      <w:r w:rsidRPr="00185016">
        <w:t>es firms having 1,500 or fewer employees as small.</w:t>
      </w:r>
      <w:r>
        <w:rPr>
          <w:rStyle w:val="FootnoteReference"/>
          <w:sz w:val="22"/>
          <w:szCs w:val="22"/>
        </w:rPr>
        <w:footnoteReference w:id="342"/>
      </w:r>
      <w:r w:rsidRPr="00185016">
        <w:t xml:space="preserve">  U.S. Census Bureau data for 2017 show that there were 3,054 firms that operated in this industry for the entire year.</w:t>
      </w:r>
      <w:r>
        <w:rPr>
          <w:rStyle w:val="FootnoteReference"/>
          <w:sz w:val="22"/>
          <w:szCs w:val="22"/>
        </w:rPr>
        <w:footnoteReference w:id="343"/>
      </w:r>
      <w:r w:rsidRPr="00185016">
        <w:t xml:space="preserve">  Of this number, 2,964 firms operated with fewer than 250 employees.</w:t>
      </w:r>
      <w:r>
        <w:rPr>
          <w:rStyle w:val="FootnoteReference"/>
          <w:sz w:val="22"/>
          <w:szCs w:val="22"/>
        </w:rPr>
        <w:footnoteReference w:id="344"/>
      </w:r>
      <w:r w:rsidRPr="00185016">
        <w:t xml:space="preserve">  Additionally, based </w:t>
      </w:r>
      <w:r w:rsidRPr="00185016">
        <w:rPr>
          <w:rFonts w:eastAsia="Calibri"/>
        </w:rPr>
        <w:t xml:space="preserve">on </w:t>
      </w:r>
      <w:r w:rsidRPr="00185016">
        <w:t>Commission data in the 2022 Universal S</w:t>
      </w:r>
      <w:r w:rsidRPr="00185016">
        <w:t>ervice Monitoring Report, as of December 31, 2021, there were 127 providers that reported they were engaged in the provision of interexchange services.  Of these providers, the Commission estimates that 109 providers have 1,500 or fewer employees.</w:t>
      </w:r>
      <w:r>
        <w:rPr>
          <w:spacing w:val="-2"/>
          <w:vertAlign w:val="superscript"/>
        </w:rPr>
        <w:footnoteReference w:id="345"/>
      </w:r>
      <w:r w:rsidRPr="00185016">
        <w:t xml:space="preserve">  Conse</w:t>
      </w:r>
      <w:r w:rsidRPr="00185016">
        <w:t xml:space="preserve">quently, using the SBA’s small business size standard, the Commission estimates that the majority of providers in this industry can be considered small entities. </w:t>
      </w:r>
    </w:p>
    <w:p w:rsidR="00756CCD" w:rsidP="00756CCD" w14:paraId="2336190B" w14:textId="77777777">
      <w:pPr>
        <w:pStyle w:val="ParaNum"/>
      </w:pPr>
      <w:r w:rsidRPr="00185016">
        <w:rPr>
          <w:i/>
        </w:rPr>
        <w:t>Wireless Telecommunications Carriers (except Satellite</w:t>
      </w:r>
      <w:r w:rsidRPr="00185016">
        <w:t>).  This industry comprises establishme</w:t>
      </w:r>
      <w:r w:rsidRPr="00185016">
        <w:t>nts engaged in operating and maintaining switching and transmission facilities to provide communications via the airwaves.</w:t>
      </w:r>
      <w:r>
        <w:rPr>
          <w:rStyle w:val="Hyperlink"/>
          <w:color w:val="auto"/>
          <w:u w:val="none"/>
          <w:vertAlign w:val="superscript"/>
        </w:rPr>
        <w:footnoteReference w:id="346"/>
      </w:r>
      <w:r w:rsidRPr="00185016">
        <w:t xml:space="preserve">  Establishments in this industry have spectrum licenses and provide services using that spectrum, such as cellular services, paging</w:t>
      </w:r>
      <w:r w:rsidRPr="00185016">
        <w:t xml:space="preserve"> services, wireless internet access, and </w:t>
      </w:r>
      <w:r w:rsidRPr="00185016">
        <w:t>wireless video services.</w:t>
      </w:r>
      <w:r>
        <w:rPr>
          <w:rStyle w:val="Hyperlink"/>
          <w:color w:val="auto"/>
          <w:u w:val="none"/>
          <w:vertAlign w:val="superscript"/>
        </w:rPr>
        <w:footnoteReference w:id="347"/>
      </w:r>
      <w:r>
        <w:t xml:space="preserve">  </w:t>
      </w:r>
      <w:r w:rsidRPr="00185016">
        <w:t>The SBA size standard for this industry classifies a business as small if it has 1,500 or fewer employees.</w:t>
      </w:r>
      <w:r>
        <w:rPr>
          <w:rStyle w:val="Hyperlink"/>
          <w:color w:val="auto"/>
          <w:u w:val="none"/>
          <w:vertAlign w:val="superscript"/>
        </w:rPr>
        <w:footnoteReference w:id="348"/>
      </w:r>
      <w:r>
        <w:t xml:space="preserve">  U</w:t>
      </w:r>
      <w:r w:rsidRPr="00185016">
        <w:t xml:space="preserve">.S. Census Bureau data for 2017 show that there were 2,893 firms in this </w:t>
      </w:r>
      <w:r w:rsidRPr="00185016">
        <w:t>industry that operated for the entire year.</w:t>
      </w:r>
      <w:r>
        <w:rPr>
          <w:rStyle w:val="Hyperlink"/>
          <w:color w:val="auto"/>
          <w:u w:val="none"/>
          <w:vertAlign w:val="superscript"/>
        </w:rPr>
        <w:footnoteReference w:id="349"/>
      </w:r>
      <w:r>
        <w:t xml:space="preserve"> </w:t>
      </w:r>
      <w:r w:rsidRPr="00185016">
        <w:t xml:space="preserve"> Of that number, 2,837 firms employed fewer than 250 employees.</w:t>
      </w:r>
      <w:r>
        <w:rPr>
          <w:rStyle w:val="Hyperlink"/>
          <w:color w:val="auto"/>
          <w:u w:val="none"/>
          <w:vertAlign w:val="superscript"/>
        </w:rPr>
        <w:footnoteReference w:id="350"/>
      </w:r>
      <w:r w:rsidRPr="00185016">
        <w:t xml:space="preserve">  Additionally, based </w:t>
      </w:r>
      <w:r w:rsidRPr="00185016">
        <w:rPr>
          <w:rFonts w:eastAsia="Calibri"/>
        </w:rPr>
        <w:t xml:space="preserve">on </w:t>
      </w:r>
      <w:r w:rsidRPr="00185016">
        <w:t xml:space="preserve">Commission data in the 2022 Universal Service Monitoring Report, as of December 31, 2021, there were 594 providers that </w:t>
      </w:r>
      <w:r w:rsidRPr="00185016">
        <w:t>reported they were engaged in the provision of wireless services.</w:t>
      </w:r>
      <w:r>
        <w:rPr>
          <w:vertAlign w:val="superscript"/>
        </w:rPr>
        <w:footnoteReference w:id="351"/>
      </w:r>
      <w:r w:rsidRPr="00185016">
        <w:t xml:space="preserve">  Of these providers, the Commission estimates that 511 providers have 1,500 or fewer employees.</w:t>
      </w:r>
      <w:r>
        <w:rPr>
          <w:rStyle w:val="FootnoteReference"/>
          <w:sz w:val="22"/>
          <w:szCs w:val="22"/>
        </w:rPr>
        <w:footnoteReference w:id="352"/>
      </w:r>
      <w:r w:rsidRPr="00185016">
        <w:t xml:space="preserve">  Consequently, using the SBA’s small business size standard, most of these providers can b</w:t>
      </w:r>
      <w:r w:rsidRPr="00185016">
        <w:t>e considered small entities.</w:t>
      </w:r>
    </w:p>
    <w:p w:rsidR="00756CCD" w:rsidRPr="009D2D66" w:rsidP="00756CCD" w14:paraId="6D6B74C4" w14:textId="77777777">
      <w:pPr>
        <w:pStyle w:val="ParaNum"/>
      </w:pPr>
      <w:r w:rsidRPr="3A63744E">
        <w:rPr>
          <w:i/>
          <w:iCs/>
        </w:rPr>
        <w:t>Local Resellers</w:t>
      </w:r>
      <w:r w:rsidRPr="009D2D66">
        <w:t>.  Neither the Commission nor the SBA have developed a small business size standard specifically for Local Resellers.  Telecommunications Resellers is the closest industry with a SBA small business size standard.</w:t>
      </w:r>
      <w:bookmarkStart w:id="85" w:name="_Ref84425318"/>
      <w:r>
        <w:rPr>
          <w:vertAlign w:val="superscript"/>
        </w:rPr>
        <w:footnoteReference w:id="353"/>
      </w:r>
      <w:bookmarkEnd w:id="85"/>
      <w:r w:rsidRPr="009D2D66">
        <w:t xml:space="preserve">  The Telecommunications Resellers industry comprises establishments engaged in purchasing access and network capacity from owners and operators of telecommunications networks and reselling wired and wireless telecommunications services (except satellite</w:t>
      </w:r>
      <w:r w:rsidRPr="009D2D66">
        <w:t>) to businesses and households.</w:t>
      </w:r>
      <w:r>
        <w:rPr>
          <w:vertAlign w:val="superscript"/>
        </w:rPr>
        <w:footnoteReference w:id="354"/>
      </w:r>
      <w:r w:rsidRPr="009D2D66">
        <w:t xml:space="preserve">  Establishments in this industry resell telecommunications; they do not operate transmission facilities and infrastructure.</w:t>
      </w:r>
      <w:r>
        <w:rPr>
          <w:vertAlign w:val="superscript"/>
        </w:rPr>
        <w:footnoteReference w:id="355"/>
      </w:r>
      <w:r w:rsidRPr="009D2D66">
        <w:t xml:space="preserve">  Mobile virtual network operators (MVNOs) are included in this industry.</w:t>
      </w:r>
      <w:r>
        <w:rPr>
          <w:vertAlign w:val="superscript"/>
        </w:rPr>
        <w:footnoteReference w:id="356"/>
      </w:r>
      <w:r w:rsidRPr="009D2D66">
        <w:t xml:space="preserve">  The SBA small busine</w:t>
      </w:r>
      <w:r w:rsidRPr="009D2D66">
        <w:t>ss size standard for Telecommunications Resellers classifies a business as small if it has 1,500 or fewer employees.</w:t>
      </w:r>
      <w:bookmarkStart w:id="86" w:name="_Ref84425347"/>
      <w:r>
        <w:rPr>
          <w:vertAlign w:val="superscript"/>
        </w:rPr>
        <w:footnoteReference w:id="357"/>
      </w:r>
      <w:bookmarkEnd w:id="86"/>
      <w:r w:rsidRPr="009D2D66">
        <w:t xml:space="preserve">  U.S. Census Bureau data for 2017 show that 1,386 firms in this industry provided resale services for the entire year.</w:t>
      </w:r>
      <w:r>
        <w:rPr>
          <w:vertAlign w:val="superscript"/>
        </w:rPr>
        <w:footnoteReference w:id="358"/>
      </w:r>
      <w:r w:rsidRPr="009D2D66">
        <w:t xml:space="preserve">  Of that number,</w:t>
      </w:r>
      <w:r w:rsidRPr="009D2D66">
        <w:t xml:space="preserve"> 1,375 firms operated with fewer than 250 employees.</w:t>
      </w:r>
      <w:r>
        <w:rPr>
          <w:vertAlign w:val="superscript"/>
        </w:rPr>
        <w:footnoteReference w:id="359"/>
      </w:r>
      <w:r w:rsidRPr="009D2D66">
        <w:t xml:space="preserve">  </w:t>
      </w:r>
      <w:r w:rsidRPr="0B118B29">
        <w:t xml:space="preserve">Additionally, based </w:t>
      </w:r>
      <w:r w:rsidRPr="0B118B29">
        <w:rPr>
          <w:rFonts w:eastAsia="Calibri"/>
        </w:rPr>
        <w:t xml:space="preserve">on </w:t>
      </w:r>
      <w:r w:rsidRPr="0B118B29">
        <w:t>Commission data in the 2022 Universal Service Monitoring Report, as of December 31, 2021, there were 207 providers that reported they were engaged in the provision of local resa</w:t>
      </w:r>
      <w:r w:rsidRPr="0B118B29">
        <w:t>le services.</w:t>
      </w:r>
      <w:r>
        <w:rPr>
          <w:spacing w:val="-2"/>
          <w:vertAlign w:val="superscript"/>
        </w:rPr>
        <w:footnoteReference w:id="360"/>
      </w:r>
      <w:r w:rsidRPr="0B118B29">
        <w:t xml:space="preserve">  Of these providers, the Commission </w:t>
      </w:r>
      <w:r w:rsidRPr="0B118B29">
        <w:t>estimates that 202 providers have 1,500 or fewer employees.</w:t>
      </w:r>
      <w:r>
        <w:rPr>
          <w:rStyle w:val="FootnoteReference"/>
        </w:rPr>
        <w:footnoteReference w:id="361"/>
      </w:r>
      <w:r w:rsidRPr="00076FB5">
        <w:rPr>
          <w:szCs w:val="22"/>
        </w:rPr>
        <w:t xml:space="preserve"> </w:t>
      </w:r>
      <w:r>
        <w:rPr>
          <w:szCs w:val="22"/>
        </w:rPr>
        <w:t xml:space="preserve"> </w:t>
      </w:r>
      <w:r w:rsidRPr="0B118B29">
        <w:t>Consequently, using the SBA’s small business size standard, most of these providers can be considered small entities.</w:t>
      </w:r>
    </w:p>
    <w:p w:rsidR="00756CCD" w:rsidRPr="009D2D66" w:rsidP="00756CCD" w14:paraId="4E6B75C5" w14:textId="77777777">
      <w:pPr>
        <w:pStyle w:val="ParaNum"/>
      </w:pPr>
      <w:r w:rsidRPr="3A63744E">
        <w:rPr>
          <w:i/>
          <w:iCs/>
        </w:rPr>
        <w:t>Toll Resellers</w:t>
      </w:r>
      <w:r w:rsidRPr="009D2D66">
        <w:t>.  Neither</w:t>
      </w:r>
      <w:r w:rsidRPr="009D2D66">
        <w:t xml:space="preserve"> the Commission nor the SBA have developed a small business size standard specifically for Toll Resellers.  Telecommunications Resellers</w:t>
      </w:r>
      <w:bookmarkStart w:id="88" w:name="_Ref84425497"/>
      <w:r>
        <w:rPr>
          <w:vertAlign w:val="superscript"/>
        </w:rPr>
        <w:footnoteReference w:id="362"/>
      </w:r>
      <w:bookmarkEnd w:id="88"/>
      <w:r w:rsidRPr="009D2D66">
        <w:t xml:space="preserve"> is the closest industry with an SBA small business size standard.  The Telecommunications Resellers industry comprise</w:t>
      </w:r>
      <w:r w:rsidRPr="009D2D66">
        <w:t>s establishments engaged in purchasing access and network capacity from owners and operators of telecommunications networks and reselling wired and wireless telecommunications services (except satellite) to businesses and households.  Establishments in thi</w:t>
      </w:r>
      <w:r w:rsidRPr="009D2D66">
        <w:t>s industry resell telecommunications; they do not operate transmission facilities and infrastructure.</w:t>
      </w:r>
      <w:r>
        <w:rPr>
          <w:vertAlign w:val="superscript"/>
        </w:rPr>
        <w:footnoteReference w:id="363"/>
      </w:r>
      <w:r w:rsidRPr="009D2D66">
        <w:t xml:space="preserve">  Mobile virtual network operators (MVNOs) are included in this industry.</w:t>
      </w:r>
      <w:r>
        <w:rPr>
          <w:vertAlign w:val="superscript"/>
        </w:rPr>
        <w:footnoteReference w:id="364"/>
      </w:r>
      <w:r w:rsidRPr="009D2D66">
        <w:t xml:space="preserve">  The SBA small business size standard for Telecommunications Resellers classi</w:t>
      </w:r>
      <w:r w:rsidRPr="009D2D66">
        <w:t>fies a business as small if it has 1,500 or fewer employees.</w:t>
      </w:r>
      <w:r>
        <w:rPr>
          <w:vertAlign w:val="superscript"/>
        </w:rPr>
        <w:footnoteReference w:id="365"/>
      </w:r>
      <w:r w:rsidRPr="009D2D66">
        <w:t xml:space="preserve">  U.S. Census Bureau data for 2017 show that 1,386 firms in this industry provided resale services for the entire year.</w:t>
      </w:r>
      <w:r>
        <w:rPr>
          <w:vertAlign w:val="superscript"/>
        </w:rPr>
        <w:footnoteReference w:id="366"/>
      </w:r>
      <w:r w:rsidRPr="009D2D66">
        <w:t xml:space="preserve">  Of that number, 1,375 firms operated with fewer than 250 employees.</w:t>
      </w:r>
      <w:r>
        <w:rPr>
          <w:vertAlign w:val="superscript"/>
        </w:rPr>
        <w:footnoteReference w:id="367"/>
      </w:r>
      <w:r w:rsidRPr="009D2D66">
        <w:t xml:space="preserve">  </w:t>
      </w:r>
      <w:r w:rsidRPr="0B118B29">
        <w:t xml:space="preserve">Additionally, based </w:t>
      </w:r>
      <w:r w:rsidRPr="0B118B29">
        <w:rPr>
          <w:rFonts w:eastAsia="Calibri"/>
        </w:rPr>
        <w:t xml:space="preserve">on </w:t>
      </w:r>
      <w:r w:rsidRPr="0B118B29">
        <w:t>Commission data in the 2022 Universal Service Monitoring Report, as of December 31, 2021, there were 457 providers that reported they were engaged in the provision of toll services.</w:t>
      </w:r>
      <w:r>
        <w:rPr>
          <w:spacing w:val="-2"/>
          <w:vertAlign w:val="superscript"/>
        </w:rPr>
        <w:footnoteReference w:id="368"/>
      </w:r>
      <w:r w:rsidRPr="0B118B29">
        <w:t xml:space="preserve">  Of these providers, the Commission estimates that 438 providers have 1,500 or fewer employees.</w:t>
      </w:r>
      <w:r>
        <w:rPr>
          <w:rStyle w:val="FootnoteReference"/>
        </w:rPr>
        <w:footnoteReference w:id="369"/>
      </w:r>
      <w:r w:rsidRPr="0B118B29">
        <w:t xml:space="preserve">  Consequently, using the SBA’s small business size standard, most of these providers can be considered small entities.</w:t>
      </w:r>
    </w:p>
    <w:p w:rsidR="00756CCD" w:rsidRPr="009D2D66" w:rsidP="00756CCD" w14:paraId="0B91D612" w14:textId="77777777">
      <w:pPr>
        <w:pStyle w:val="ParaNum"/>
        <w:widowControl/>
      </w:pPr>
      <w:r w:rsidRPr="3A63744E">
        <w:rPr>
          <w:i/>
          <w:iCs/>
        </w:rPr>
        <w:t>All Other Telecommunications.</w:t>
      </w:r>
      <w:r w:rsidRPr="009D2D66">
        <w:rPr>
          <w:bCs/>
        </w:rPr>
        <w:t xml:space="preserve">  </w:t>
      </w:r>
      <w:r w:rsidRPr="00185016">
        <w:t>This in</w:t>
      </w:r>
      <w:r w:rsidRPr="00185016">
        <w:t>dustry</w:t>
      </w:r>
      <w:r w:rsidRPr="00185016">
        <w:rPr>
          <w:b/>
        </w:rPr>
        <w:t xml:space="preserve"> </w:t>
      </w:r>
      <w:r w:rsidRPr="00185016">
        <w:t>is comprised of establishments primarily engaged in providing specialized telecommunications services, such as satellite tracking, communications telemetry, and radar station operation.</w:t>
      </w:r>
      <w:r>
        <w:rPr>
          <w:rStyle w:val="FootnoteReference"/>
          <w:sz w:val="22"/>
          <w:szCs w:val="22"/>
        </w:rPr>
        <w:footnoteReference w:id="370"/>
      </w:r>
      <w:r w:rsidRPr="00185016">
        <w:t xml:space="preserve">  This industry also includes establishments primarily engaged</w:t>
      </w:r>
      <w:r w:rsidRPr="00185016">
        <w:t xml:space="preserve">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371"/>
      </w:r>
      <w:r w:rsidRPr="00185016">
        <w:t xml:space="preserve">  Providers of Internet service</w:t>
      </w:r>
      <w:r w:rsidRPr="00185016">
        <w:t>s (e.g. dial-up ISPs) or voice over Internet protocol (VoIP) services, via client-supplied telecommunications connections are also included in this industry.</w:t>
      </w:r>
      <w:r>
        <w:rPr>
          <w:vertAlign w:val="superscript"/>
        </w:rPr>
        <w:footnoteReference w:id="372"/>
      </w:r>
      <w:r w:rsidRPr="00185016">
        <w:t xml:space="preserve">  The SBA small business size standard for this industry classifies firms with annual receipts of</w:t>
      </w:r>
      <w:r w:rsidRPr="00185016">
        <w:t xml:space="preserve"> $35 million or less as small.</w:t>
      </w:r>
      <w:r>
        <w:rPr>
          <w:vertAlign w:val="superscript"/>
        </w:rPr>
        <w:footnoteReference w:id="373"/>
      </w:r>
      <w:r w:rsidRPr="00185016">
        <w:t xml:space="preserve">  U.S. Census Bureau data for 2017 show that there were 1,079 firms in this industry that </w:t>
      </w:r>
      <w:r w:rsidRPr="00185016">
        <w:t>operated for the entire year.</w:t>
      </w:r>
      <w:r>
        <w:rPr>
          <w:rStyle w:val="FootnoteReference"/>
          <w:sz w:val="22"/>
          <w:szCs w:val="22"/>
        </w:rPr>
        <w:footnoteReference w:id="374"/>
      </w:r>
      <w:r w:rsidRPr="00185016">
        <w:t xml:space="preserve">  Of those firms, 1,039 had revenue of less than $25 million.</w:t>
      </w:r>
      <w:r>
        <w:rPr>
          <w:vertAlign w:val="superscript"/>
        </w:rPr>
        <w:footnoteReference w:id="375"/>
      </w:r>
      <w:r w:rsidRPr="00185016">
        <w:t xml:space="preserve">  Based on this data, the Commission est</w:t>
      </w:r>
      <w:r w:rsidRPr="00185016">
        <w:t>imates that the majority of “All Other Telecommunications” firms can be considered small.</w:t>
      </w:r>
    </w:p>
    <w:p w:rsidR="00756CCD" w:rsidP="00887C6A" w14:paraId="0853ACFE" w14:textId="40801FFC">
      <w:pPr>
        <w:pStyle w:val="Heading2"/>
      </w:pPr>
      <w:bookmarkStart w:id="89" w:name="_Toc146047085"/>
      <w:bookmarkStart w:id="90" w:name="_Toc146179077"/>
      <w:r>
        <w:t>Description of Projected Reporting, Recordkeeping, and Other Compliance Requirements for Small Entities</w:t>
      </w:r>
      <w:bookmarkEnd w:id="89"/>
      <w:bookmarkEnd w:id="90"/>
    </w:p>
    <w:p w:rsidR="00756CCD" w:rsidP="00756CCD" w14:paraId="7539207D" w14:textId="77777777">
      <w:pPr>
        <w:pStyle w:val="ParaNum"/>
      </w:pPr>
      <w:r>
        <w:t xml:space="preserve">In the </w:t>
      </w:r>
      <w:r w:rsidRPr="002E59BE">
        <w:rPr>
          <w:i/>
          <w:iCs/>
        </w:rPr>
        <w:t>Second Report and Order</w:t>
      </w:r>
      <w:r>
        <w:t>, we adopt new certifications an</w:t>
      </w:r>
      <w:r>
        <w:t>d disclosures in our direct access application process for all interconnected VoIP provider applicants.  Upon the effective date of these rules, we require explicit acknowledgment of compliance with all robocall regulations; implement disclosure and update</w:t>
      </w:r>
      <w:r>
        <w:t xml:space="preserve"> requirements regarding ownership and control; require certification of compliance with other applicable Commission regulations and certain state law; and add a declaration requirement to hold applicants accountable for the truthfulness and accuracy of the</w:t>
      </w:r>
      <w:r>
        <w:t>ir direct access applications.</w:t>
      </w:r>
    </w:p>
    <w:p w:rsidR="00756CCD" w:rsidP="00756CCD" w14:paraId="2BA05F96" w14:textId="77777777">
      <w:pPr>
        <w:pStyle w:val="ParaNum"/>
      </w:pPr>
      <w:r>
        <w:t>Specifically, w</w:t>
      </w:r>
      <w:r w:rsidRPr="00BF483E">
        <w:t xml:space="preserve">e require a direct access applicant to certify that it will use numbering resources lawfully and will not </w:t>
      </w:r>
      <w:r>
        <w:t>knowingly</w:t>
      </w:r>
      <w:r w:rsidRPr="00BF483E">
        <w:t xml:space="preserve"> encourage, assist, or facilitate illegal robocalls, illegal spoofing, or fraud</w:t>
      </w:r>
      <w:r>
        <w:t>.  If the applic</w:t>
      </w:r>
      <w:r>
        <w:t>ant has a foreign owner whose interest exceeds the reporting threshold set forth in section 63.18(h) of our rules, those applications will be placed on a “non-streamlined” processing track.  We require applicants for a Commission direct access authorizatio</w:t>
      </w:r>
      <w:r>
        <w:t>n to disclose information, including the name, address, country of citizenship, and principal business of every person or entity that directly or indirectly owns at least ten percent of the equity and/or voting interest, or a controlling interest, of the a</w:t>
      </w:r>
      <w:r>
        <w:t>pplicant, and the percentage of equity and/or voting interest owned by each of those entities to the nearest one percent, consistent with the requirements of international section 214 applicants.</w:t>
      </w:r>
      <w:r>
        <w:rPr>
          <w:rStyle w:val="FootnoteReference"/>
        </w:rPr>
        <w:footnoteReference w:id="376"/>
      </w:r>
      <w:r>
        <w:t xml:space="preserve">  Also consistent with section 214, we</w:t>
      </w:r>
      <w:r w:rsidRPr="00D303B6">
        <w:t xml:space="preserve"> require </w:t>
      </w:r>
      <w:r>
        <w:t>an</w:t>
      </w:r>
      <w:r w:rsidRPr="00D303B6">
        <w:t xml:space="preserve"> applicant</w:t>
      </w:r>
      <w:r w:rsidRPr="00D303B6">
        <w:t xml:space="preserve"> to certify whether </w:t>
      </w:r>
      <w:r>
        <w:t>it</w:t>
      </w:r>
      <w:r w:rsidRPr="00D303B6">
        <w:t xml:space="preserve"> is, or is affiliated with, a foreign carrier</w:t>
      </w:r>
      <w:r>
        <w:t>, and cross-reference with section 63.18(i) for consistency</w:t>
      </w:r>
      <w:r w:rsidRPr="00D303B6">
        <w:t>.</w:t>
      </w:r>
      <w:r>
        <w:rPr>
          <w:rStyle w:val="FootnoteReference"/>
        </w:rPr>
        <w:footnoteReference w:id="377"/>
      </w:r>
      <w:r>
        <w:t xml:space="preserve">  A </w:t>
      </w:r>
      <w:r w:rsidRPr="00D303B6">
        <w:t>chart or narrative describing the applicant’s corporate structure</w:t>
      </w:r>
      <w:r w:rsidRPr="6E5AF21C">
        <w:rPr>
          <w:rStyle w:val="FootnoteReference"/>
        </w:rPr>
        <w:t xml:space="preserve"> </w:t>
      </w:r>
      <w:r>
        <w:t xml:space="preserve"> is also required for interconnected VoIP applicants.</w:t>
      </w:r>
    </w:p>
    <w:p w:rsidR="00756CCD" w:rsidP="00756CCD" w14:paraId="427FC0DA" w14:textId="77777777">
      <w:pPr>
        <w:pStyle w:val="ParaNum"/>
      </w:pPr>
      <w:bookmarkStart w:id="91" w:name="_Hlk142554809"/>
      <w:r w:rsidRPr="00DE3938">
        <w:rPr>
          <w:szCs w:val="22"/>
        </w:rPr>
        <w:t>To</w:t>
      </w:r>
      <w:r>
        <w:t xml:space="preserve"> ensure ownership information remains up to date, the </w:t>
      </w:r>
      <w:r w:rsidRPr="005445E2">
        <w:rPr>
          <w:i/>
          <w:iCs/>
        </w:rPr>
        <w:t>Second Report and Order</w:t>
      </w:r>
      <w:r w:rsidRPr="7B0082BE">
        <w:t xml:space="preserve"> </w:t>
      </w:r>
      <w:r w:rsidRPr="48457549">
        <w:t>revise</w:t>
      </w:r>
      <w:r>
        <w:t>s</w:t>
      </w:r>
      <w:r w:rsidRPr="48457549">
        <w:t xml:space="preserve"> section 52.15(g)(3) to require interconnected VoIP </w:t>
      </w:r>
      <w:r>
        <w:t xml:space="preserve">providers that obtain </w:t>
      </w:r>
      <w:r w:rsidRPr="7B0082BE">
        <w:t xml:space="preserve">direct access </w:t>
      </w:r>
      <w:r w:rsidRPr="48457549">
        <w:t xml:space="preserve">authorization </w:t>
      </w:r>
      <w:r>
        <w:t xml:space="preserve">under the revised rules </w:t>
      </w:r>
      <w:r w:rsidRPr="48457549">
        <w:t>to submit an update to the Commission and eac</w:t>
      </w:r>
      <w:r w:rsidRPr="48457549">
        <w:t>h applicable state within 30</w:t>
      </w:r>
      <w:r>
        <w:t xml:space="preserve"> </w:t>
      </w:r>
      <w:r w:rsidRPr="48457549">
        <w:t xml:space="preserve">days of any change to the ownership information </w:t>
      </w:r>
      <w:r>
        <w:t>disclosed in their direct access applications.  Authorization holders are also required</w:t>
      </w:r>
      <w:r w:rsidRPr="32921BF6">
        <w:t xml:space="preserve"> to submit </w:t>
      </w:r>
      <w:r>
        <w:t>updated or corrected ownership</w:t>
      </w:r>
      <w:r w:rsidRPr="32921BF6">
        <w:t xml:space="preserve"> </w:t>
      </w:r>
      <w:r w:rsidRPr="383B3BE7">
        <w:t>information</w:t>
      </w:r>
      <w:r w:rsidRPr="32921BF6">
        <w:t xml:space="preserve"> to the states for which </w:t>
      </w:r>
      <w:r>
        <w:t>they have</w:t>
      </w:r>
      <w:r w:rsidRPr="32921BF6">
        <w:t xml:space="preserve"> </w:t>
      </w:r>
      <w:r>
        <w:t>acqu</w:t>
      </w:r>
      <w:r>
        <w:t xml:space="preserve">ired or </w:t>
      </w:r>
      <w:r w:rsidRPr="32921BF6">
        <w:t xml:space="preserve">requested numbers </w:t>
      </w:r>
      <w:r>
        <w:t xml:space="preserve">at the time of the ownership change and in the same manner the providers would submit a correction or update to their original applications.  We also revise section </w:t>
      </w:r>
      <w:r w:rsidRPr="48457549">
        <w:t xml:space="preserve">52.15(g)(3) </w:t>
      </w:r>
      <w:r>
        <w:t>to require applicants to certify their compliance wit</w:t>
      </w:r>
      <w:r>
        <w:t>h</w:t>
      </w:r>
      <w:r w:rsidRPr="00D303B6">
        <w:t xml:space="preserve"> the Communications Assistance with Law Enforcement Act (CALEA)</w:t>
      </w:r>
      <w:r>
        <w:t xml:space="preserve">, and provide evidence in their applications that </w:t>
      </w:r>
      <w:r w:rsidRPr="00D303B6">
        <w:t>demonstrates their</w:t>
      </w:r>
      <w:r>
        <w:t xml:space="preserve"> compliance with both CALEA and the Commission’s part 9 public safety rules</w:t>
      </w:r>
      <w:r w:rsidRPr="00D303B6">
        <w:t>.</w:t>
      </w:r>
      <w:r>
        <w:t xml:space="preserve">  A new certification cross-references new acces</w:t>
      </w:r>
      <w:r>
        <w:t xml:space="preserve">s arbitrage rules, thus revising </w:t>
      </w:r>
      <w:r w:rsidRPr="00D303B6">
        <w:t xml:space="preserve">section 52.15(g)(3) to require </w:t>
      </w:r>
      <w:r>
        <w:t xml:space="preserve">interconnected </w:t>
      </w:r>
      <w:r w:rsidRPr="00D303B6">
        <w:t xml:space="preserve">VoIP providers applying for direct access </w:t>
      </w:r>
      <w:r>
        <w:t xml:space="preserve">to numbers </w:t>
      </w:r>
      <w:r w:rsidRPr="00D303B6">
        <w:t>to certify that they will not use numbering resources to evade our access stimulation rules</w:t>
      </w:r>
      <w:r>
        <w:t>.  I</w:t>
      </w:r>
      <w:r w:rsidRPr="00D303B6">
        <w:t>nterconnected VoIP providers</w:t>
      </w:r>
      <w:r>
        <w:t xml:space="preserve"> </w:t>
      </w:r>
      <w:r w:rsidRPr="00D303B6">
        <w:t xml:space="preserve">that </w:t>
      </w:r>
      <w:r>
        <w:t>must file</w:t>
      </w:r>
      <w:r w:rsidRPr="00D303B6">
        <w:t xml:space="preserve"> FCC Forms 477 and 499</w:t>
      </w:r>
      <w:r>
        <w:t xml:space="preserve"> will now</w:t>
      </w:r>
      <w:r w:rsidRPr="00D303B6">
        <w:t xml:space="preserve"> provide evidence that they have complied with these obligations, and any successor filing obligations, when filing a direct access application.</w:t>
      </w:r>
      <w:bookmarkEnd w:id="91"/>
    </w:p>
    <w:p w:rsidR="00756CCD" w:rsidP="00756CCD" w14:paraId="3A165059" w14:textId="77777777">
      <w:pPr>
        <w:pStyle w:val="ParaNum"/>
      </w:pPr>
      <w:bookmarkStart w:id="92" w:name="_Hlk142554838"/>
      <w:r w:rsidRPr="00DE3938">
        <w:rPr>
          <w:szCs w:val="22"/>
        </w:rPr>
        <w:t>The</w:t>
      </w:r>
      <w:r>
        <w:t xml:space="preserve"> </w:t>
      </w:r>
      <w:r w:rsidRPr="005445E2">
        <w:rPr>
          <w:i/>
          <w:iCs/>
        </w:rPr>
        <w:t>Second Report and Order</w:t>
      </w:r>
      <w:r>
        <w:t xml:space="preserve"> further </w:t>
      </w:r>
      <w:r w:rsidRPr="762A295A">
        <w:t>revise</w:t>
      </w:r>
      <w:r>
        <w:t>s</w:t>
      </w:r>
      <w:r w:rsidRPr="762A295A">
        <w:t xml:space="preserve"> section 52.15(g)(3) of</w:t>
      </w:r>
      <w:r w:rsidRPr="762A295A">
        <w:t xml:space="preserve"> our rules to require an officer or </w:t>
      </w:r>
      <w:r>
        <w:t>authorized employee representative of the applicant</w:t>
      </w:r>
      <w:r w:rsidRPr="762A295A">
        <w:t xml:space="preserve"> to submit a declaration under penalty of perjury</w:t>
      </w:r>
      <w:r>
        <w:t>,</w:t>
      </w:r>
      <w:r w:rsidRPr="762A295A">
        <w:t xml:space="preserve"> pursuant to section 1.16 of the rules</w:t>
      </w:r>
      <w:r>
        <w:t>,</w:t>
      </w:r>
      <w:r w:rsidRPr="762A295A">
        <w:t xml:space="preserve"> attesting that all statements in the application and any appendices are true an</w:t>
      </w:r>
      <w:r w:rsidRPr="762A295A">
        <w:t>d accurate.</w:t>
      </w:r>
      <w:r>
        <w:t xml:space="preserve">  </w:t>
      </w:r>
      <w:r w:rsidRPr="1C32F594">
        <w:t xml:space="preserve">All </w:t>
      </w:r>
      <w:r>
        <w:t>updated</w:t>
      </w:r>
      <w:r w:rsidRPr="1C32F594">
        <w:t xml:space="preserve"> </w:t>
      </w:r>
      <w:r>
        <w:t>or corrected ownership information</w:t>
      </w:r>
      <w:r w:rsidRPr="1C32F594">
        <w:t xml:space="preserve"> shall be filed </w:t>
      </w:r>
      <w:r>
        <w:t xml:space="preserve">though existing methods such as </w:t>
      </w:r>
      <w:r w:rsidRPr="1C32F594">
        <w:t>the Electronic Comment Filing System (ECFS) through the Direct Access intake docket (Inbox 52.15) and via e</w:t>
      </w:r>
      <w:r>
        <w:t>-</w:t>
      </w:r>
      <w:r w:rsidRPr="1C32F594">
        <w:t xml:space="preserve">mail to </w:t>
      </w:r>
      <w:hyperlink r:id="rId5" w:history="1">
        <w:r w:rsidRPr="00AD6BB8">
          <w:rPr>
            <w:rStyle w:val="Hyperlink"/>
          </w:rPr>
          <w:t>DAA@fcc.gov</w:t>
        </w:r>
      </w:hyperlink>
      <w:r w:rsidRPr="1C32F594">
        <w:t>,</w:t>
      </w:r>
      <w:r>
        <w:t xml:space="preserve"> </w:t>
      </w:r>
      <w:r w:rsidRPr="1C32F594">
        <w:t xml:space="preserve">unless the Bureau specifies another method.  </w:t>
      </w:r>
      <w:r>
        <w:t>The</w:t>
      </w:r>
      <w:r w:rsidRPr="1C32F594">
        <w:t xml:space="preserve"> Bureau may request additional documentation </w:t>
      </w:r>
      <w:r>
        <w:t xml:space="preserve">as necessary, </w:t>
      </w:r>
      <w:r w:rsidRPr="7E45B7C7">
        <w:t>during and after its initial review of a direct access application</w:t>
      </w:r>
      <w:r>
        <w:t>.</w:t>
      </w:r>
      <w:bookmarkEnd w:id="92"/>
    </w:p>
    <w:p w:rsidR="00756CCD" w:rsidRPr="009D2D66" w:rsidP="00756CCD" w14:paraId="0515486B" w14:textId="77777777">
      <w:pPr>
        <w:pStyle w:val="ParaNum"/>
      </w:pPr>
      <w:bookmarkStart w:id="93" w:name="_Hlk142554882"/>
      <w:r>
        <w:t xml:space="preserve">After reviewing the record, we received no concerns about unique burdens from small businesses that would be impacted by the new certifications adopted in the </w:t>
      </w:r>
      <w:r w:rsidRPr="003D6239">
        <w:rPr>
          <w:i/>
          <w:iCs/>
        </w:rPr>
        <w:t>Second Report and Order</w:t>
      </w:r>
      <w:r>
        <w:t xml:space="preserve">.  </w:t>
      </w:r>
      <w:r>
        <w:rPr>
          <w:szCs w:val="22"/>
        </w:rPr>
        <w:t>As such, the</w:t>
      </w:r>
      <w:r w:rsidRPr="00036C58">
        <w:rPr>
          <w:szCs w:val="22"/>
        </w:rPr>
        <w:t xml:space="preserve"> Commission</w:t>
      </w:r>
      <w:r>
        <w:rPr>
          <w:szCs w:val="22"/>
        </w:rPr>
        <w:t xml:space="preserve"> </w:t>
      </w:r>
      <w:r w:rsidRPr="00036C58">
        <w:rPr>
          <w:szCs w:val="22"/>
        </w:rPr>
        <w:t>does not have sufficient information on the rec</w:t>
      </w:r>
      <w:r w:rsidRPr="00036C58">
        <w:rPr>
          <w:szCs w:val="22"/>
        </w:rPr>
        <w:t>ord to determine whether small entities will be required to hire professionals to comply with its decisions or to quantify the cost of compliance for small entities.  The Commission, however</w:t>
      </w:r>
      <w:r>
        <w:rPr>
          <w:szCs w:val="22"/>
        </w:rPr>
        <w:t>,</w:t>
      </w:r>
      <w:r w:rsidRPr="00036C58">
        <w:rPr>
          <w:szCs w:val="22"/>
        </w:rPr>
        <w:t xml:space="preserve"> anticipates the approaches it has taken to implement the require</w:t>
      </w:r>
      <w:r w:rsidRPr="00036C58">
        <w:rPr>
          <w:szCs w:val="22"/>
        </w:rPr>
        <w:t>ments will have minimal or de minimis cost implications</w:t>
      </w:r>
      <w:r>
        <w:rPr>
          <w:szCs w:val="22"/>
        </w:rPr>
        <w:t xml:space="preserve"> because many of these obligations are required to comply with existing Commission regulations.</w:t>
      </w:r>
      <w:bookmarkEnd w:id="93"/>
      <w:r>
        <w:t xml:space="preserve">  </w:t>
      </w:r>
    </w:p>
    <w:p w:rsidR="00756CCD" w:rsidP="00887C6A" w14:paraId="109BF83B" w14:textId="5F3F8B75">
      <w:pPr>
        <w:pStyle w:val="Heading2"/>
      </w:pPr>
      <w:bookmarkStart w:id="94" w:name="_Toc146047086"/>
      <w:bookmarkStart w:id="95" w:name="_Toc146179078"/>
      <w:r>
        <w:t>Steps Taken to Minimize the Significant Economic Impact on Small Entities, and Significant Alternatives</w:t>
      </w:r>
      <w:r>
        <w:t xml:space="preserve"> Considered</w:t>
      </w:r>
      <w:bookmarkEnd w:id="94"/>
      <w:bookmarkEnd w:id="95"/>
    </w:p>
    <w:p w:rsidR="00756CCD" w:rsidP="00756CCD" w14:paraId="1AC3781E" w14:textId="77777777">
      <w:pPr>
        <w:pStyle w:val="ParaNum"/>
      </w:pPr>
      <w:r w:rsidRPr="009D2D66">
        <w:t xml:space="preserve">The RFA requires an agency to </w:t>
      </w:r>
      <w:r>
        <w:t xml:space="preserve">provide </w:t>
      </w:r>
      <w:bookmarkStart w:id="96" w:name="_Hlk142560599"/>
      <w:r w:rsidRPr="007C5D63">
        <w:t>“a description of the steps the agency has taken to minimize the significant economic impact on small entities…including a statement of the factual, policy, and legal reasons for selecting the alternative a</w:t>
      </w:r>
      <w:r w:rsidRPr="007C5D63">
        <w:t>dopted in the final rule and why each one of the other significant alternatives to the rule considered by the agency which affect the impact on small entities was rejected.”</w:t>
      </w:r>
      <w:r>
        <w:rPr>
          <w:rStyle w:val="FootnoteReference"/>
        </w:rPr>
        <w:footnoteReference w:id="378"/>
      </w:r>
      <w:bookmarkEnd w:id="96"/>
    </w:p>
    <w:p w:rsidR="00756CCD" w:rsidP="00756CCD" w14:paraId="57E3D3BD" w14:textId="77777777">
      <w:pPr>
        <w:pStyle w:val="ParaNum"/>
        <w:widowControl/>
      </w:pPr>
      <w:bookmarkStart w:id="97" w:name="_Hlk142555010"/>
      <w:r>
        <w:t xml:space="preserve">The </w:t>
      </w:r>
      <w:r w:rsidRPr="00FF2955">
        <w:rPr>
          <w:i/>
          <w:iCs/>
        </w:rPr>
        <w:t>Second Report and Order</w:t>
      </w:r>
      <w:r>
        <w:t xml:space="preserve"> considered alternatives that may reduce the impact o</w:t>
      </w:r>
      <w:r>
        <w:t>f these rule changes on small entities.  Some proposals were not adopted because the requirements already exist under other parts of the Commission’s rules.  New obligations regarding STIR/SHAKEN caller ID authentication or robocall mitigation specifically</w:t>
      </w:r>
      <w:r>
        <w:t xml:space="preserve"> for interconnected VoIP providers were not adopted; instead </w:t>
      </w:r>
      <w:r>
        <w:rPr>
          <w:noProof/>
        </w:rPr>
        <w:t xml:space="preserve">applicants are required to certify compliance with preexisting rule sections.  This reduces confusion and maintains accuracy should the Commission decide to revise the robocall-related dockets.  </w:t>
      </w:r>
      <w:r>
        <w:t>We declined to adopt our proposal to require direct access authorization holders to certify on their applications, or inform the Commission if the authorization holder is subject to a Commission or other regulator or law enforcement investigation due to it</w:t>
      </w:r>
      <w:r>
        <w:t>s robocall mitigation plan being deemed insufficient, or due to suspected unlawful robocalling or spoofing, because authorization holders are already required to do so under the Commission’s rules.</w:t>
      </w:r>
      <w:bookmarkEnd w:id="97"/>
    </w:p>
    <w:p w:rsidR="00756CCD" w:rsidP="00756CCD" w14:paraId="5A3EE661" w14:textId="77777777">
      <w:pPr>
        <w:pStyle w:val="ParaNum"/>
      </w:pPr>
      <w:bookmarkStart w:id="98" w:name="_Hlk142555065"/>
      <w:r w:rsidRPr="00AA5BB8">
        <w:t>There was not strong record support for</w:t>
      </w:r>
      <w:r>
        <w:t xml:space="preserve"> certain</w:t>
      </w:r>
      <w:r w:rsidRPr="00AA5BB8">
        <w:t xml:space="preserve"> proposals </w:t>
      </w:r>
      <w:r>
        <w:t>that</w:t>
      </w:r>
      <w:r w:rsidRPr="00AA5BB8">
        <w:t xml:space="preserve"> require </w:t>
      </w:r>
      <w:r>
        <w:t xml:space="preserve">action of </w:t>
      </w:r>
      <w:r w:rsidRPr="00AA5BB8">
        <w:t>the Office of International Affairs (OIA) or the Bureau</w:t>
      </w:r>
      <w:r>
        <w:t xml:space="preserve">, so we declined to adopt those </w:t>
      </w:r>
      <w:r w:rsidRPr="00AA5BB8">
        <w:t>finding that it is more efficient to rely on current practices to address these concerns</w:t>
      </w:r>
      <w:r>
        <w:t>.  These include</w:t>
      </w:r>
      <w:r w:rsidRPr="00AA5BB8">
        <w:t xml:space="preserve"> automati</w:t>
      </w:r>
      <w:r>
        <w:t>c</w:t>
      </w:r>
      <w:r w:rsidRPr="00AA5BB8">
        <w:t xml:space="preserve"> </w:t>
      </w:r>
      <w:r>
        <w:t>referral of</w:t>
      </w:r>
      <w:r w:rsidRPr="00AA5BB8">
        <w:t xml:space="preserve"> interconnected VoIP</w:t>
      </w:r>
      <w:r w:rsidRPr="00AA5BB8">
        <w:t xml:space="preserve"> providers’ direct access applications to the Executive Branch agencies </w:t>
      </w:r>
      <w:r>
        <w:t>when</w:t>
      </w:r>
      <w:r w:rsidRPr="00AA5BB8">
        <w:t xml:space="preserve"> an applicant has reportable foreign ownership</w:t>
      </w:r>
      <w:r>
        <w:t>, and</w:t>
      </w:r>
      <w:r w:rsidRPr="00AA5BB8">
        <w:t xml:space="preserve"> </w:t>
      </w:r>
      <w:r>
        <w:t xml:space="preserve">developing </w:t>
      </w:r>
      <w:r w:rsidRPr="00AA5BB8">
        <w:t>a list of “Standard Questions” for interconnected VoIP applicants with reportable foreign ownership</w:t>
      </w:r>
      <w:r>
        <w:t>.  We also decline</w:t>
      </w:r>
      <w:r>
        <w:t xml:space="preserve">d to adopt rules to specify </w:t>
      </w:r>
      <w:r w:rsidRPr="0A818E49">
        <w:t>the documents that will be allowed to satisfy the “facilities readiness” requirement</w:t>
      </w:r>
      <w:r>
        <w:t xml:space="preserve"> in the Commission’s current rules.  </w:t>
      </w:r>
      <w:r w:rsidRPr="00095F4B">
        <w:t>Comments on the issue were divided and</w:t>
      </w:r>
      <w:r>
        <w:t xml:space="preserve"> we conclude that existing </w:t>
      </w:r>
      <w:r w:rsidRPr="0A818E49">
        <w:t xml:space="preserve">examples of technical documentation </w:t>
      </w:r>
      <w:r>
        <w:t>are su</w:t>
      </w:r>
      <w:r>
        <w:t>fficient.  Further, after considering the record, we declined to adopt a know-your-customer certification proposal at this time.</w:t>
      </w:r>
      <w:bookmarkEnd w:id="98"/>
    </w:p>
    <w:p w:rsidR="00756CCD" w:rsidRPr="009D2D66" w:rsidP="00756CCD" w14:paraId="3A190695" w14:textId="77777777">
      <w:pPr>
        <w:pStyle w:val="ParaNum"/>
      </w:pPr>
      <w:r>
        <w:t xml:space="preserve">As discussed above, the new certification requirements in the </w:t>
      </w:r>
      <w:r w:rsidRPr="00F34E95">
        <w:rPr>
          <w:i/>
          <w:iCs/>
        </w:rPr>
        <w:t>Second Report and Order</w:t>
      </w:r>
      <w:r>
        <w:t xml:space="preserve"> are minimally burdensome, as they merely </w:t>
      </w:r>
      <w:r>
        <w:t xml:space="preserve">require providers to certify that they are compliant with preexisting Commission rules.  Our public safety and CALEA documentation submission requirement </w:t>
      </w:r>
      <w:r>
        <w:t>merely formalizes existing Bureau practice of requesting such information from direct access applicant</w:t>
      </w:r>
      <w:r>
        <w:t>s.  Our new ownership disclosure requirement tracks requirements already imposed on providers in the section 214 context.  For these reasons, we believe that small and other interconnected VoIP providers will not have an issue including these new certifica</w:t>
      </w:r>
      <w:r>
        <w:t>tions and disclosures in their direct access authorization applications.</w:t>
      </w:r>
    </w:p>
    <w:p w:rsidR="00756CCD" w:rsidP="00887C6A" w14:paraId="5F525D37" w14:textId="5D0930C8">
      <w:pPr>
        <w:pStyle w:val="Heading2"/>
      </w:pPr>
      <w:bookmarkStart w:id="99" w:name="_Toc146047087"/>
      <w:bookmarkStart w:id="100" w:name="_Toc146179079"/>
      <w:r>
        <w:t>Report to Congress</w:t>
      </w:r>
      <w:bookmarkEnd w:id="99"/>
      <w:bookmarkEnd w:id="100"/>
    </w:p>
    <w:p w:rsidR="00756CCD" w:rsidP="00756CCD" w14:paraId="658B5895" w14:textId="77777777">
      <w:pPr>
        <w:pStyle w:val="ParaNum"/>
        <w:sectPr w:rsidSect="00777813">
          <w:footerReference w:type="default" r:id="rId18"/>
          <w:footnotePr>
            <w:numRestart w:val="eachSect"/>
          </w:footnotePr>
          <w:endnotePr>
            <w:numFmt w:val="decimal"/>
          </w:endnotePr>
          <w:pgSz w:w="12240" w:h="15840"/>
          <w:pgMar w:top="1440" w:right="1440" w:bottom="720" w:left="1440" w:header="720" w:footer="720" w:gutter="0"/>
          <w:cols w:space="720"/>
          <w:noEndnote/>
          <w:docGrid w:linePitch="299"/>
        </w:sectPr>
      </w:pPr>
      <w:r w:rsidRPr="009D2D66">
        <w:t xml:space="preserve">The Commission will send a copy </w:t>
      </w:r>
      <w:r w:rsidRPr="00EE53E6">
        <w:rPr>
          <w:sz w:val="20"/>
        </w:rPr>
        <w:t xml:space="preserve">of the </w:t>
      </w:r>
      <w:r w:rsidRPr="00EE53E6">
        <w:rPr>
          <w:i/>
          <w:iCs/>
        </w:rPr>
        <w:t>Second Report and Order</w:t>
      </w:r>
      <w:r w:rsidRPr="009D2D66">
        <w:t xml:space="preserve">, including this FRFA, in a report to be sent to </w:t>
      </w:r>
      <w:r w:rsidRPr="009D2D66">
        <w:t>Congress pursuant to the Congressional Review Act.</w:t>
      </w:r>
      <w:r>
        <w:rPr>
          <w:vertAlign w:val="superscript"/>
        </w:rPr>
        <w:footnoteReference w:id="379"/>
      </w:r>
      <w:r w:rsidRPr="009D2D66">
        <w:t xml:space="preserve">  In addition, the Commission will send a copy of the </w:t>
      </w:r>
      <w:r w:rsidRPr="00EE53E6">
        <w:rPr>
          <w:i/>
          <w:iCs/>
        </w:rPr>
        <w:t>Second Report and Order</w:t>
      </w:r>
      <w:r w:rsidRPr="009D2D66">
        <w:t xml:space="preserve">, including this FRFA, to the Chief Counsel for Advocacy of the Small Business Administration.  A copy of the </w:t>
      </w:r>
      <w:r w:rsidRPr="00EE53E6">
        <w:rPr>
          <w:i/>
          <w:iCs/>
        </w:rPr>
        <w:t>Second Report and</w:t>
      </w:r>
      <w:r w:rsidRPr="00EE53E6">
        <w:rPr>
          <w:i/>
          <w:iCs/>
        </w:rPr>
        <w:t xml:space="preserve"> Order </w:t>
      </w:r>
      <w:r w:rsidRPr="009D2D66">
        <w:t>(or summaries thereof) will also be published in the Federal Register.</w:t>
      </w:r>
      <w:r>
        <w:rPr>
          <w:vertAlign w:val="superscript"/>
        </w:rPr>
        <w:footnoteReference w:id="380"/>
      </w:r>
    </w:p>
    <w:p w:rsidR="00756CCD" w:rsidP="00756CCD" w14:paraId="7BC299D0" w14:textId="22C142F0">
      <w:pPr>
        <w:pStyle w:val="Heading1"/>
        <w:numPr>
          <w:ilvl w:val="0"/>
          <w:numId w:val="0"/>
        </w:numPr>
        <w:jc w:val="center"/>
      </w:pPr>
      <w:bookmarkStart w:id="101" w:name="_Toc146047088"/>
      <w:bookmarkStart w:id="102" w:name="_Toc146179080"/>
      <w:r>
        <w:t>appendix c</w:t>
      </w:r>
      <w:bookmarkEnd w:id="101"/>
      <w:bookmarkEnd w:id="102"/>
    </w:p>
    <w:p w:rsidR="00756CCD" w:rsidRPr="00756CCD" w:rsidP="00756CCD" w14:paraId="6D6C7E10" w14:textId="013D90C9">
      <w:pPr>
        <w:jc w:val="center"/>
        <w:rPr>
          <w:b/>
          <w:bCs/>
        </w:rPr>
      </w:pPr>
      <w:r w:rsidRPr="00756CCD">
        <w:rPr>
          <w:b/>
          <w:bCs/>
        </w:rPr>
        <w:t>Initial Regulatory Flexibility Analysis</w:t>
      </w:r>
    </w:p>
    <w:p w:rsidR="00756CCD" w:rsidP="00756CCD" w14:paraId="2F864A93" w14:textId="77777777">
      <w:pPr>
        <w:jc w:val="center"/>
      </w:pPr>
    </w:p>
    <w:p w:rsidR="00756CCD" w:rsidRPr="00E67E71" w:rsidP="00756CCD" w14:paraId="0C4BB600" w14:textId="77777777">
      <w:pPr>
        <w:pStyle w:val="ParaNum"/>
        <w:numPr>
          <w:ilvl w:val="0"/>
          <w:numId w:val="18"/>
        </w:numPr>
        <w:tabs>
          <w:tab w:val="clear" w:pos="1080"/>
          <w:tab w:val="num" w:pos="1440"/>
        </w:tabs>
      </w:pPr>
      <w:r w:rsidRPr="00E67E71">
        <w:t xml:space="preserve">As required by the </w:t>
      </w:r>
      <w:r>
        <w:t>Regulatory Flexibility Act of 1980, as amended (RFA),</w:t>
      </w:r>
      <w:r>
        <w:rPr>
          <w:rStyle w:val="FootnoteReference"/>
        </w:rPr>
        <w:footnoteReference w:id="381"/>
      </w:r>
      <w:r>
        <w:t xml:space="preserve"> the Commission has prepared this Initial Regulato</w:t>
      </w:r>
      <w:r>
        <w:t xml:space="preserve">ry Flexibility Analysis (IRFA) of the possible significant economic impact on a substantial number of small entities by the policies and rules proposed in the </w:t>
      </w:r>
      <w:r w:rsidRPr="00756CCD">
        <w:rPr>
          <w:i/>
          <w:iCs/>
        </w:rPr>
        <w:t>Second Further Notice of Proposed Rulemaking</w:t>
      </w:r>
      <w:r w:rsidRPr="00184F9B">
        <w:t xml:space="preserve"> </w:t>
      </w:r>
      <w:r>
        <w:t>(</w:t>
      </w:r>
      <w:r w:rsidRPr="00756CCD">
        <w:rPr>
          <w:i/>
          <w:iCs/>
        </w:rPr>
        <w:t>Second Further Notice</w:t>
      </w:r>
      <w:r w:rsidRPr="00F34E95">
        <w:t>)</w:t>
      </w:r>
      <w:r w:rsidRPr="00E67E71">
        <w:t>.</w:t>
      </w:r>
      <w:r w:rsidRPr="00C363DA">
        <w:t xml:space="preserve">  The Commission requests wr</w:t>
      </w:r>
      <w:r w:rsidRPr="00C363DA">
        <w:t xml:space="preserve">itten public comments on this IRFA.  Comments must be identified as responses to the IRFA and must be filed by the deadlines for comments provided on the first page of the </w:t>
      </w:r>
      <w:r w:rsidRPr="00756CCD">
        <w:rPr>
          <w:i/>
          <w:iCs/>
        </w:rPr>
        <w:t>Second Further Notice</w:t>
      </w:r>
      <w:r w:rsidRPr="00C363DA">
        <w:t xml:space="preserve">.  The Commission will send a copy of the </w:t>
      </w:r>
      <w:r w:rsidRPr="00756CCD">
        <w:rPr>
          <w:i/>
          <w:iCs/>
        </w:rPr>
        <w:t>Second Further Notice</w:t>
      </w:r>
      <w:r w:rsidRPr="00C363DA">
        <w:t xml:space="preserve">, including this IRFA, to the Chief Counsel for Advocacy of the </w:t>
      </w:r>
      <w:r>
        <w:t>Small Business Administration (</w:t>
      </w:r>
      <w:r w:rsidRPr="00C363DA">
        <w:t>SBA</w:t>
      </w:r>
      <w:r>
        <w:t>)</w:t>
      </w:r>
      <w:r w:rsidRPr="00C363DA">
        <w:t>.</w:t>
      </w:r>
      <w:r>
        <w:rPr>
          <w:rStyle w:val="FootnoteReference"/>
        </w:rPr>
        <w:footnoteReference w:id="382"/>
      </w:r>
      <w:r w:rsidRPr="00C363DA">
        <w:t xml:space="preserve">  In addition, the </w:t>
      </w:r>
      <w:r w:rsidRPr="00756CCD">
        <w:rPr>
          <w:i/>
          <w:iCs/>
        </w:rPr>
        <w:t>Second Further Notice</w:t>
      </w:r>
      <w:r w:rsidRPr="00E67E71">
        <w:t xml:space="preserve"> and IRFA (or summaries thereof) will be published in the Federal Register.</w:t>
      </w:r>
      <w:r>
        <w:rPr>
          <w:rStyle w:val="FootnoteReference"/>
        </w:rPr>
        <w:footnoteReference w:id="383"/>
      </w:r>
    </w:p>
    <w:p w:rsidR="00756CCD" w:rsidP="00887C6A" w14:paraId="4A98388B" w14:textId="2B080AC1">
      <w:pPr>
        <w:pStyle w:val="Heading2"/>
        <w:numPr>
          <w:ilvl w:val="1"/>
          <w:numId w:val="22"/>
        </w:numPr>
      </w:pPr>
      <w:bookmarkStart w:id="103" w:name="_Toc146047089"/>
      <w:bookmarkStart w:id="104" w:name="_Toc146179081"/>
      <w:r>
        <w:t>Need for, and Objective</w:t>
      </w:r>
      <w:r w:rsidR="00D402EC">
        <w:t>s</w:t>
      </w:r>
      <w:r>
        <w:t xml:space="preserve"> of, the Pro</w:t>
      </w:r>
      <w:r>
        <w:t>posed Rules</w:t>
      </w:r>
      <w:bookmarkEnd w:id="103"/>
      <w:bookmarkEnd w:id="104"/>
    </w:p>
    <w:p w:rsidR="00756CCD" w:rsidRPr="00353D83" w:rsidP="00756CCD" w14:paraId="4B6F7F6B" w14:textId="77777777">
      <w:pPr>
        <w:pStyle w:val="ParaNum"/>
        <w:rPr>
          <w:color w:val="000000"/>
          <w:kern w:val="0"/>
          <w:szCs w:val="22"/>
        </w:rPr>
      </w:pPr>
      <w:r w:rsidRPr="00353D83">
        <w:rPr>
          <w:szCs w:val="22"/>
        </w:rPr>
        <w:t xml:space="preserve">In </w:t>
      </w:r>
      <w:r>
        <w:t xml:space="preserve">the </w:t>
      </w:r>
      <w:r w:rsidRPr="00F63EF8">
        <w:t>TRACED Act</w:t>
      </w:r>
      <w:r>
        <w:t xml:space="preserve">, Congress directed the Commission </w:t>
      </w:r>
      <w:r w:rsidRPr="00370B19">
        <w:t xml:space="preserve">to examine whether and how </w:t>
      </w:r>
      <w:r>
        <w:t>to modify</w:t>
      </w:r>
      <w:r w:rsidRPr="00370B19">
        <w:t xml:space="preserve"> </w:t>
      </w:r>
      <w:r>
        <w:t>its</w:t>
      </w:r>
      <w:r w:rsidRPr="00370B19">
        <w:t xml:space="preserve"> policies to reduce access to numbers by potential perpetrators of illegal robocalls.</w:t>
      </w:r>
      <w:r>
        <w:rPr>
          <w:vertAlign w:val="superscript"/>
        </w:rPr>
        <w:footnoteReference w:id="384"/>
      </w:r>
      <w:r w:rsidRPr="00F63EF8">
        <w:t xml:space="preserve">  </w:t>
      </w:r>
      <w:r>
        <w:t xml:space="preserve">Consistent with Congress’s direction, the </w:t>
      </w:r>
      <w:r w:rsidRPr="00F34E95">
        <w:rPr>
          <w:i/>
        </w:rPr>
        <w:t>Second Further Notice</w:t>
      </w:r>
      <w:r>
        <w:t xml:space="preserve"> proposes to update our rules regarding direct access to numbers by providers of interconnected VoIP ser</w:t>
      </w:r>
      <w:r>
        <w:t xml:space="preserve">vices to help stem the tide of illegal robocalls.  </w:t>
      </w:r>
      <w:r w:rsidRPr="00B43AF3">
        <w:t xml:space="preserve">Today, widely available VoIP software allows malicious callers to make spoofed calls with minimal experience and cost.  </w:t>
      </w:r>
      <w:r>
        <w:t>Therefore, as we continue to refine our process for allowing VoIP providers direct ac</w:t>
      </w:r>
      <w:r>
        <w:t>cess to telephone numbers, we must account both for the benefits of competition and the potential risks of allowing bad actors to leverage access to numbers to harm Americans.</w:t>
      </w:r>
    </w:p>
    <w:p w:rsidR="00756CCD" w:rsidRPr="00353D83" w:rsidP="00756CCD" w14:paraId="0F77FC46" w14:textId="77777777">
      <w:pPr>
        <w:pStyle w:val="ParaNum"/>
        <w:rPr>
          <w:color w:val="000000"/>
          <w:kern w:val="0"/>
          <w:szCs w:val="22"/>
        </w:rPr>
      </w:pPr>
      <w:r>
        <w:t>The Commission first began to allow interconnected VoIP providers to obtain numb</w:t>
      </w:r>
      <w:r>
        <w:t>ers for customers directly from the Numbering Administrator rather than relying on a carrier partner in 2015.</w:t>
      </w:r>
      <w:r>
        <w:rPr>
          <w:rStyle w:val="FootnoteReference"/>
          <w:sz w:val="22"/>
          <w:szCs w:val="22"/>
        </w:rPr>
        <w:footnoteReference w:id="385"/>
      </w:r>
      <w:r>
        <w:t xml:space="preserve">  Based on our experience since that time, the </w:t>
      </w:r>
      <w:r w:rsidRPr="00F34E95">
        <w:rPr>
          <w:i/>
        </w:rPr>
        <w:t>Second Further Notice</w:t>
      </w:r>
      <w:r w:rsidRPr="00946AFC">
        <w:rPr>
          <w:i/>
        </w:rPr>
        <w:t xml:space="preserve"> </w:t>
      </w:r>
      <w:r>
        <w:t>proposes to adopt clarifications and guardrails to better ensure that VoIP p</w:t>
      </w:r>
      <w:r>
        <w:t>roviders that obtain the benefit of direct access to numbers comply with existing legal obligations and do not facilitate illegal robocalls, pose national security risks, or evade or abuse intercarrier compensation requirements.</w:t>
      </w:r>
      <w:r w:rsidRPr="00353D83">
        <w:rPr>
          <w:color w:val="000000"/>
          <w:kern w:val="0"/>
          <w:szCs w:val="22"/>
        </w:rPr>
        <w:t xml:space="preserve"> </w:t>
      </w:r>
    </w:p>
    <w:p w:rsidR="00756CCD" w:rsidP="00756CCD" w14:paraId="0915B916" w14:textId="77777777">
      <w:pPr>
        <w:pStyle w:val="ParaNum"/>
      </w:pPr>
      <w:r>
        <w:t xml:space="preserve">First, we seek comment on </w:t>
      </w:r>
      <w:r>
        <w:t xml:space="preserve">a proposal to apply the new application requirements adopted in </w:t>
      </w:r>
      <w:r w:rsidRPr="00F34E95">
        <w:rPr>
          <w:i/>
          <w:iCs/>
        </w:rPr>
        <w:t>the</w:t>
      </w:r>
      <w:r>
        <w:t xml:space="preserve"> </w:t>
      </w:r>
      <w:r>
        <w:rPr>
          <w:i/>
          <w:iCs/>
        </w:rPr>
        <w:t>Second Report and Order</w:t>
      </w:r>
      <w:r>
        <w:t xml:space="preserve"> to existing authorization holders whose authorizations predate the effective date of those new requirements.  Second, we seek comment on whether direct access appli</w:t>
      </w:r>
      <w:r>
        <w:t>cants should disclose a list of states in which they seek to provide initial service.  Third, we seek comment on our proposal to minimize harms that may arise from bad actors that access numbering resources indirectly (i.e., without a direct access authori</w:t>
      </w:r>
      <w:r>
        <w:t>zation), by requiring the direct access authorization holders that supply them with numbering resources to obtain from them the same certifications, acknowledgments, and disclosures required of direct access applicants.</w:t>
      </w:r>
      <w:r w:rsidRPr="008F27C0">
        <w:t xml:space="preserve">  </w:t>
      </w:r>
    </w:p>
    <w:p w:rsidR="00756CCD" w:rsidP="00887C6A" w14:paraId="76A1B92D" w14:textId="35B90430">
      <w:pPr>
        <w:pStyle w:val="Heading2"/>
      </w:pPr>
      <w:bookmarkStart w:id="105" w:name="_Toc146047090"/>
      <w:bookmarkStart w:id="106" w:name="_Toc146179082"/>
      <w:r>
        <w:t>Legal Basis</w:t>
      </w:r>
      <w:bookmarkEnd w:id="105"/>
      <w:bookmarkEnd w:id="106"/>
    </w:p>
    <w:p w:rsidR="00756CCD" w:rsidP="00756CCD" w14:paraId="246E2385" w14:textId="77777777">
      <w:pPr>
        <w:pStyle w:val="ParaNum"/>
      </w:pPr>
      <w:r w:rsidRPr="00556A69">
        <w:t>The proposed action is</w:t>
      </w:r>
      <w:r w:rsidRPr="00556A69">
        <w:t xml:space="preserve"> authorized pursuant to sections 1, 3, 4, 201-205, 227b-1, 251, and 303(r) of the Communications Act of 1934, as amended, </w:t>
      </w:r>
      <w:r w:rsidRPr="005E0E7A">
        <w:t>47 U.S.C. §§ 151</w:t>
      </w:r>
      <w:r w:rsidRPr="00556A69">
        <w:t xml:space="preserve">, </w:t>
      </w:r>
      <w:r w:rsidRPr="005E0E7A">
        <w:t>153</w:t>
      </w:r>
      <w:r w:rsidRPr="00556A69">
        <w:t xml:space="preserve">, </w:t>
      </w:r>
      <w:r w:rsidRPr="005E0E7A">
        <w:t>154</w:t>
      </w:r>
      <w:r w:rsidRPr="00556A69">
        <w:t xml:space="preserve">, </w:t>
      </w:r>
      <w:r w:rsidRPr="005E0E7A">
        <w:t>201</w:t>
      </w:r>
      <w:r w:rsidRPr="00556A69">
        <w:t>-</w:t>
      </w:r>
      <w:r w:rsidRPr="005E0E7A">
        <w:t>205</w:t>
      </w:r>
      <w:r w:rsidRPr="00556A69">
        <w:t xml:space="preserve">, 227b-1, </w:t>
      </w:r>
      <w:r w:rsidRPr="005E0E7A">
        <w:t>251</w:t>
      </w:r>
      <w:r w:rsidRPr="00556A69">
        <w:t xml:space="preserve">, </w:t>
      </w:r>
      <w:r w:rsidRPr="005E0E7A">
        <w:t>303(r)</w:t>
      </w:r>
      <w:r w:rsidRPr="00556A69">
        <w:t xml:space="preserve">, and </w:t>
      </w:r>
      <w:r w:rsidRPr="005E0E7A">
        <w:t>section 6(a)</w:t>
      </w:r>
      <w:r w:rsidRPr="00556A69">
        <w:t xml:space="preserve"> of the TRACED Act, </w:t>
      </w:r>
      <w:r w:rsidRPr="005E0E7A">
        <w:t>Pub. L. No. 116-105</w:t>
      </w:r>
      <w:r w:rsidRPr="00556A69">
        <w:t xml:space="preserve">, </w:t>
      </w:r>
      <w:r w:rsidRPr="005E0E7A">
        <w:t>§ 6(a)(1)-(2)</w:t>
      </w:r>
      <w:r w:rsidRPr="00556A69">
        <w:t xml:space="preserve">, 133 </w:t>
      </w:r>
      <w:r w:rsidRPr="00556A69">
        <w:t>Stat. 3274, 3277 (2019).</w:t>
      </w:r>
    </w:p>
    <w:p w:rsidR="00756CCD" w:rsidP="00887C6A" w14:paraId="2D9E4AF1" w14:textId="4E54DDF7">
      <w:pPr>
        <w:pStyle w:val="Heading2"/>
      </w:pPr>
      <w:bookmarkStart w:id="107" w:name="_Toc146047091"/>
      <w:bookmarkStart w:id="108" w:name="_Toc146179083"/>
      <w:r>
        <w:t>Description and Estimate of the Number of Small Entities to Which the Proposed Rules Will Apply</w:t>
      </w:r>
      <w:bookmarkEnd w:id="107"/>
      <w:bookmarkEnd w:id="108"/>
    </w:p>
    <w:p w:rsidR="00756CCD" w:rsidRPr="00185016" w:rsidP="00756CCD" w14:paraId="3A25DEB7" w14:textId="77777777">
      <w:pPr>
        <w:pStyle w:val="ParaNum"/>
      </w:pPr>
      <w:r w:rsidRPr="00E67E71">
        <w:t>The RFA directs agencies to provide a description of and, where feasible, an estimate of the number of small entities that may be affec</w:t>
      </w:r>
      <w:r w:rsidRPr="00E67E71">
        <w:t>ted by the proposed rules, if adopted.</w:t>
      </w:r>
      <w:r>
        <w:rPr>
          <w:rStyle w:val="FootnoteReference"/>
        </w:rPr>
        <w:footnoteReference w:id="386"/>
      </w:r>
      <w:r w:rsidRPr="00E67E71">
        <w:t xml:space="preserve">  The RFA generally defines the term “small entity” as having the same meaning as the terms “small business,” “small </w:t>
      </w:r>
      <w:r w:rsidRPr="00E67E71">
        <w:rPr>
          <w:rStyle w:val="StyleParaNum11pt1CharCharCharCharCharCharChar"/>
        </w:rPr>
        <w:t>organization</w:t>
      </w:r>
      <w:r w:rsidRPr="00E67E71">
        <w:t>,” and “small governmental jurisdiction.”</w:t>
      </w:r>
      <w:r>
        <w:rPr>
          <w:rStyle w:val="FootnoteReference"/>
        </w:rPr>
        <w:footnoteReference w:id="387"/>
      </w:r>
      <w:r w:rsidRPr="00E67E71">
        <w:t xml:space="preserve">  In addition, the term “small business” has the same meaning as the term “small-business concern” under the Small Business Act.</w:t>
      </w:r>
      <w:r>
        <w:rPr>
          <w:rStyle w:val="FootnoteReference"/>
        </w:rPr>
        <w:footnoteReference w:id="388"/>
      </w:r>
      <w:r w:rsidRPr="00E67E71">
        <w:t xml:space="preserve">  A “small-business concern” is one which: (1) is independently owned and operated; (2) is not dominant in its field of operat</w:t>
      </w:r>
      <w:r w:rsidRPr="00E67E71">
        <w:t>ion; and (3) satisfies any additional criteria established by the SBA.</w:t>
      </w:r>
      <w:r>
        <w:rPr>
          <w:rStyle w:val="FootnoteReference"/>
        </w:rPr>
        <w:footnoteReference w:id="389"/>
      </w:r>
    </w:p>
    <w:p w:rsidR="00756CCD" w:rsidRPr="00185016" w:rsidP="00756CCD" w14:paraId="59DDE221" w14:textId="77777777">
      <w:pPr>
        <w:pStyle w:val="ParaNum"/>
      </w:pPr>
      <w:r w:rsidRPr="00185016">
        <w:rPr>
          <w:i/>
        </w:rPr>
        <w:t>Small Businesses, Small Organizations, Small Governmental Jurisdictions.</w:t>
      </w:r>
      <w:r w:rsidRPr="00185016">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390"/>
      </w:r>
      <w:r w:rsidRPr="00185016">
        <w:t xml:space="preserve">  First, while there are industry specific </w:t>
      </w:r>
      <w:r w:rsidRPr="00185016">
        <w:t>size standards for small businesses that are used in the regulatory flexibility analysis, according to data from the Small Business Administration’s (SBA) Office of Advocacy, in general a small business is an independent business having fewer than 500 empl</w:t>
      </w:r>
      <w:r w:rsidRPr="00185016">
        <w:t>oyees.</w:t>
      </w:r>
      <w:r>
        <w:rPr>
          <w:vertAlign w:val="superscript"/>
        </w:rPr>
        <w:footnoteReference w:id="391"/>
      </w:r>
      <w:r w:rsidRPr="00185016">
        <w:t xml:space="preserve">  These types of small businesses represent 99.9% of all businesses in the United States, which translates to 32.5 million businesses.</w:t>
      </w:r>
      <w:r>
        <w:rPr>
          <w:vertAlign w:val="superscript"/>
        </w:rPr>
        <w:footnoteReference w:id="392"/>
      </w:r>
    </w:p>
    <w:p w:rsidR="00756CCD" w:rsidRPr="00185016" w:rsidP="00756CCD" w14:paraId="3038E90D" w14:textId="77777777">
      <w:pPr>
        <w:pStyle w:val="ParaNum"/>
        <w:widowControl/>
      </w:pPr>
      <w:r w:rsidRPr="00185016">
        <w:t xml:space="preserve">Next, the type of small entity described as a “small organization” is generally “any not-for-profit enterprise </w:t>
      </w:r>
      <w:r w:rsidRPr="00185016">
        <w:t>which is independently owned and operated and is not dominant in its field.”</w:t>
      </w:r>
      <w:r>
        <w:rPr>
          <w:vertAlign w:val="superscript"/>
        </w:rPr>
        <w:footnoteReference w:id="393"/>
      </w:r>
      <w:r w:rsidRPr="00185016">
        <w:t xml:space="preserve"> </w:t>
      </w:r>
      <w:r>
        <w:t xml:space="preserve"> </w:t>
      </w:r>
      <w:r w:rsidRPr="00185016">
        <w:t>The Internal Revenue Service (IRS) uses a revenue benchmark of $50,000 or less to delineate its annual electronic filing requirements for small exempt organizations.</w:t>
      </w:r>
      <w:r>
        <w:rPr>
          <w:vertAlign w:val="superscript"/>
        </w:rPr>
        <w:footnoteReference w:id="394"/>
      </w:r>
      <w:r w:rsidRPr="00185016">
        <w:t xml:space="preserve">  Nationw</w:t>
      </w:r>
      <w:r w:rsidRPr="00185016">
        <w:t xml:space="preserve">ide, for tax year 2020, there </w:t>
      </w:r>
      <w:r w:rsidRPr="00185016">
        <w:t>were approximately 447,689 small exempt organizations in the U.S. reporting revenues of $50,000 or less according to the registration and tax data for exempt organizations available from the IRS.</w:t>
      </w:r>
      <w:r>
        <w:rPr>
          <w:vertAlign w:val="superscript"/>
        </w:rPr>
        <w:footnoteReference w:id="395"/>
      </w:r>
      <w:r w:rsidRPr="00185016">
        <w:t xml:space="preserve"> </w:t>
      </w:r>
    </w:p>
    <w:p w:rsidR="00756CCD" w:rsidRPr="00185016" w:rsidP="00756CCD" w14:paraId="12516221" w14:textId="77777777">
      <w:pPr>
        <w:pStyle w:val="ParaNum"/>
      </w:pPr>
      <w:r w:rsidRPr="00185016">
        <w:t>Finally, the small entity d</w:t>
      </w:r>
      <w:r w:rsidRPr="00185016">
        <w:t>escribed as a “small governmental jurisdiction” is defined generally as “governments of cities, counties, towns, townships, villages, school districts, or special districts, with a population of less than fifty thousand.”</w:t>
      </w:r>
      <w:r>
        <w:rPr>
          <w:vertAlign w:val="superscript"/>
        </w:rPr>
        <w:footnoteReference w:id="396"/>
      </w:r>
      <w:r w:rsidRPr="00185016">
        <w:t xml:space="preserve">  U.S. Census Bureau data from th</w:t>
      </w:r>
      <w:r w:rsidRPr="00185016">
        <w:t>e 2017 Census of Governments</w:t>
      </w:r>
      <w:r>
        <w:rPr>
          <w:vertAlign w:val="superscript"/>
        </w:rPr>
        <w:footnoteReference w:id="397"/>
      </w:r>
      <w:r w:rsidRPr="00185016">
        <w:t xml:space="preserve"> indicate there were 90,075 local governmental jurisdictions consisting of general purpose governments and special purpose governments in the United States.</w:t>
      </w:r>
      <w:r>
        <w:rPr>
          <w:vertAlign w:val="superscript"/>
        </w:rPr>
        <w:footnoteReference w:id="398"/>
      </w:r>
      <w:r w:rsidRPr="00185016">
        <w:t xml:space="preserve">  Of this number there were 36,931 general purpose governments (coun</w:t>
      </w:r>
      <w:r w:rsidRPr="00185016">
        <w:t>ty</w:t>
      </w:r>
      <w:r>
        <w:rPr>
          <w:vertAlign w:val="superscript"/>
        </w:rPr>
        <w:footnoteReference w:id="399"/>
      </w:r>
      <w:r w:rsidRPr="00185016">
        <w:t>, municipal and town or township</w:t>
      </w:r>
      <w:r>
        <w:rPr>
          <w:vertAlign w:val="superscript"/>
        </w:rPr>
        <w:footnoteReference w:id="400"/>
      </w:r>
      <w:r w:rsidRPr="00185016">
        <w:t>) with populations of less than 50,000 and 12,040 special purpose governments - independent school districts</w:t>
      </w:r>
      <w:r>
        <w:rPr>
          <w:vertAlign w:val="superscript"/>
        </w:rPr>
        <w:footnoteReference w:id="401"/>
      </w:r>
      <w:r w:rsidRPr="00185016">
        <w:t xml:space="preserve"> with enrollment populations of less than 50,000.</w:t>
      </w:r>
      <w:r>
        <w:rPr>
          <w:vertAlign w:val="superscript"/>
        </w:rPr>
        <w:footnoteReference w:id="402"/>
      </w:r>
      <w:r w:rsidRPr="00185016">
        <w:t xml:space="preserve">  Accordingly, based on the 2017 U.S. Census of Governmen</w:t>
      </w:r>
      <w:r w:rsidRPr="00185016">
        <w:t>ts data, we estimate that at least 48,971 entities fall into the category of “small governmental jurisdictions.”</w:t>
      </w:r>
      <w:r>
        <w:rPr>
          <w:vertAlign w:val="superscript"/>
        </w:rPr>
        <w:footnoteReference w:id="403"/>
      </w:r>
    </w:p>
    <w:p w:rsidR="00756CCD" w:rsidRPr="00185016" w:rsidP="008519E6" w14:paraId="572E4DA0" w14:textId="77777777">
      <w:pPr>
        <w:pStyle w:val="ParaNum"/>
        <w:widowControl/>
      </w:pPr>
      <w:r w:rsidRPr="00185016">
        <w:rPr>
          <w:i/>
        </w:rPr>
        <w:t>Wired Telecommunications Carriers.</w:t>
      </w:r>
      <w:r w:rsidRPr="00185016">
        <w:t xml:space="preserve">  The U.S. Census Bureau defines this industry as establishments primarily engaged in operating and/or prov</w:t>
      </w:r>
      <w:r w:rsidRPr="00185016">
        <w:t>iding access to transmission facilities and infrastructure that they own and/or lease for the transmission of voice, data, text, sound, and video using wired communications networks.</w:t>
      </w:r>
      <w:r>
        <w:rPr>
          <w:vertAlign w:val="superscript"/>
        </w:rPr>
        <w:footnoteReference w:id="404"/>
      </w:r>
      <w:r w:rsidRPr="00185016">
        <w:t xml:space="preserve">  Transmission facilities may be based on a single technology or a combi</w:t>
      </w:r>
      <w:r w:rsidRPr="00185016">
        <w:t>nation of technologies.  Establishments in this industry use the wired telecommunications network facilities that they operate to provide a variety of services, such as wired telephony services, including VoIP services, wired (cable) audio and video progra</w:t>
      </w:r>
      <w:r w:rsidRPr="00185016">
        <w:t>mming distribution, and wired broadband internet services.</w:t>
      </w:r>
      <w:r>
        <w:rPr>
          <w:rStyle w:val="FootnoteReference"/>
          <w:sz w:val="22"/>
        </w:rPr>
        <w:footnoteReference w:id="405"/>
      </w:r>
      <w:r w:rsidRPr="00185016">
        <w:t xml:space="preserve">  By exception, establishments providing satellite television distribution services using facilities and infrastructure that they operate are included in this industry.</w:t>
      </w:r>
      <w:r>
        <w:rPr>
          <w:rStyle w:val="FootnoteReference"/>
          <w:sz w:val="22"/>
        </w:rPr>
        <w:footnoteReference w:id="406"/>
      </w:r>
      <w:r w:rsidRPr="00185016">
        <w:t xml:space="preserve">  Wired Telecommunications</w:t>
      </w:r>
      <w:r w:rsidRPr="00185016">
        <w:t xml:space="preserve"> Carriers are also referred to as wireline carriers or fixed local service providers.</w:t>
      </w:r>
      <w:r>
        <w:rPr>
          <w:rStyle w:val="FootnoteReference"/>
          <w:sz w:val="22"/>
        </w:rPr>
        <w:footnoteReference w:id="407"/>
      </w:r>
      <w:r w:rsidRPr="00185016">
        <w:t xml:space="preserve"> </w:t>
      </w:r>
    </w:p>
    <w:p w:rsidR="00756CCD" w:rsidRPr="00185016" w:rsidP="00756CCD" w14:paraId="2664D176" w14:textId="77777777">
      <w:pPr>
        <w:pStyle w:val="ParaNum"/>
      </w:pPr>
      <w:r w:rsidRPr="00185016">
        <w:t>The SBA small business size standard for Wired Telecommunications Carriers classifies firms having 1,500 or fewer employees as small.</w:t>
      </w:r>
      <w:r>
        <w:rPr>
          <w:rStyle w:val="FootnoteReference"/>
          <w:sz w:val="22"/>
        </w:rPr>
        <w:footnoteReference w:id="408"/>
      </w:r>
      <w:r w:rsidRPr="00185016">
        <w:t xml:space="preserve">  U.S. Census Bureau data for 20</w:t>
      </w:r>
      <w:r w:rsidRPr="00185016">
        <w:t>17 show that there were 3,054 firms that operated in this industry for the entire year.</w:t>
      </w:r>
      <w:r>
        <w:rPr>
          <w:rStyle w:val="FootnoteReference"/>
          <w:sz w:val="22"/>
        </w:rPr>
        <w:footnoteReference w:id="409"/>
      </w:r>
      <w:r w:rsidRPr="00185016">
        <w:t xml:space="preserve">  Of this number, 2,964 firms operated with fewer than 250 employees.</w:t>
      </w:r>
      <w:r>
        <w:rPr>
          <w:rStyle w:val="FootnoteReference"/>
          <w:sz w:val="22"/>
        </w:rPr>
        <w:footnoteReference w:id="410"/>
      </w:r>
      <w:r w:rsidRPr="00185016">
        <w:t xml:space="preserve">  Additionally, based </w:t>
      </w:r>
      <w:r w:rsidRPr="00185016">
        <w:rPr>
          <w:rFonts w:eastAsia="Calibri"/>
        </w:rPr>
        <w:t xml:space="preserve">on </w:t>
      </w:r>
      <w:r w:rsidRPr="00185016">
        <w:t xml:space="preserve">Commission data in the 2022 Universal Service Monitoring Report, as </w:t>
      </w:r>
      <w:r w:rsidRPr="00185016">
        <w:t>of December 31, 2021, there were 4,590 providers that reported they were engaged in the provision of fixed local services.</w:t>
      </w:r>
      <w:r>
        <w:rPr>
          <w:spacing w:val="-2"/>
          <w:vertAlign w:val="superscript"/>
        </w:rPr>
        <w:footnoteReference w:id="411"/>
      </w:r>
      <w:r w:rsidRPr="00185016">
        <w:t xml:space="preserve">  Of these providers, the Commission estimates that 4,146 providers have 1,500 or fewer employees.</w:t>
      </w:r>
      <w:r>
        <w:rPr>
          <w:rStyle w:val="FootnoteReference"/>
          <w:sz w:val="22"/>
        </w:rPr>
        <w:footnoteReference w:id="412"/>
      </w:r>
      <w:r w:rsidRPr="00185016">
        <w:t xml:space="preserve">  Consequently, using the SBA’s small business size standard, most of these providers can be considered small entities.  </w:t>
      </w:r>
    </w:p>
    <w:p w:rsidR="00756CCD" w:rsidRPr="00185016" w:rsidP="00756CCD" w14:paraId="04C469A6" w14:textId="77777777">
      <w:pPr>
        <w:pStyle w:val="ParaNum"/>
      </w:pPr>
      <w:r w:rsidRPr="00185016">
        <w:rPr>
          <w:i/>
        </w:rPr>
        <w:t>Local Exchange Carriers (LECs).</w:t>
      </w:r>
      <w:r w:rsidRPr="00185016">
        <w:t xml:space="preserve">  N</w:t>
      </w:r>
      <w:r w:rsidRPr="00185016">
        <w:t xml:space="preserve">either the Commission nor the SBA has developed a size standard for small businesses specifically applicable to local exchange services. </w:t>
      </w:r>
      <w:r>
        <w:t xml:space="preserve"> </w:t>
      </w:r>
      <w:r w:rsidRPr="00185016">
        <w:t>Providers of these services include both incumbent and competitive local exchange service providers.  Wired Telecommun</w:t>
      </w:r>
      <w:r w:rsidRPr="00185016">
        <w:t>ications Carriers</w:t>
      </w:r>
      <w:r>
        <w:rPr>
          <w:rStyle w:val="FootnoteReference"/>
          <w:sz w:val="22"/>
        </w:rPr>
        <w:footnoteReference w:id="413"/>
      </w:r>
      <w:r w:rsidRPr="00185016">
        <w:t xml:space="preserve"> is the closest industry with an SBA small business size standard.</w:t>
      </w:r>
      <w:r>
        <w:rPr>
          <w:rStyle w:val="FootnoteReference"/>
          <w:sz w:val="22"/>
        </w:rPr>
        <w:footnoteReference w:id="414"/>
      </w:r>
      <w:r w:rsidRPr="00185016">
        <w:t xml:space="preserve">  Wired Telecommunications Carriers are also referred to as wireline carriers or fixed local service providers.</w:t>
      </w:r>
      <w:r>
        <w:rPr>
          <w:rStyle w:val="FootnoteReference"/>
          <w:sz w:val="22"/>
        </w:rPr>
        <w:footnoteReference w:id="415"/>
      </w:r>
      <w:r w:rsidRPr="00185016">
        <w:t xml:space="preserve">  </w:t>
      </w:r>
      <w:r w:rsidRPr="00185016">
        <w:t>The SBA small business size standard for Wired Telecom</w:t>
      </w:r>
      <w:r w:rsidRPr="00185016">
        <w:t>munications Carriers classifies firms having 1,500 or fewer employees as small.</w:t>
      </w:r>
      <w:r>
        <w:rPr>
          <w:rStyle w:val="FootnoteReference"/>
          <w:sz w:val="22"/>
        </w:rPr>
        <w:footnoteReference w:id="416"/>
      </w:r>
      <w:r w:rsidRPr="00185016">
        <w:t xml:space="preserve">  U.S. Census Bureau data for 2017 show that there were 3,054 firms that operated in this industry for the entire year.</w:t>
      </w:r>
      <w:r>
        <w:rPr>
          <w:rStyle w:val="FootnoteReference"/>
          <w:sz w:val="22"/>
        </w:rPr>
        <w:footnoteReference w:id="417"/>
      </w:r>
      <w:r w:rsidRPr="00185016">
        <w:t xml:space="preserve">  Of this number, 2,964 firms operated with fewer than</w:t>
      </w:r>
      <w:r w:rsidRPr="00185016">
        <w:t xml:space="preserve"> 250 employees.</w:t>
      </w:r>
      <w:r>
        <w:rPr>
          <w:rStyle w:val="FootnoteReference"/>
          <w:sz w:val="22"/>
        </w:rPr>
        <w:footnoteReference w:id="418"/>
      </w:r>
      <w:r w:rsidRPr="00185016">
        <w:t xml:space="preserve">  Additionally, based </w:t>
      </w:r>
      <w:r w:rsidRPr="00185016">
        <w:rPr>
          <w:rFonts w:eastAsia="Calibri"/>
        </w:rPr>
        <w:t xml:space="preserve">on </w:t>
      </w:r>
      <w:r w:rsidRPr="00185016">
        <w:t>Commission data in the 2022 Universal Service Monitoring Report, as of December 31, 2021, there were 4,590 providers that reported they were fixed local exchange service providers.</w:t>
      </w:r>
      <w:r>
        <w:rPr>
          <w:spacing w:val="-2"/>
          <w:vertAlign w:val="superscript"/>
        </w:rPr>
        <w:footnoteReference w:id="419"/>
      </w:r>
      <w:r w:rsidRPr="00185016">
        <w:t xml:space="preserve">  Of these providers, the Commis</w:t>
      </w:r>
      <w:r w:rsidRPr="00185016">
        <w:t>sion estimates that 4,146 providers have 1,500 or fewer employees.</w:t>
      </w:r>
      <w:r>
        <w:rPr>
          <w:rStyle w:val="FootnoteReference"/>
          <w:sz w:val="22"/>
        </w:rPr>
        <w:footnoteReference w:id="420"/>
      </w:r>
      <w:r w:rsidRPr="00185016">
        <w:t xml:space="preserve"> Consequently, using the SBA’s small business size standard, most of these providers can be considered small entities.</w:t>
      </w:r>
    </w:p>
    <w:p w:rsidR="00756CCD" w:rsidRPr="00185016" w:rsidP="00756CCD" w14:paraId="7E15A73E" w14:textId="77777777">
      <w:pPr>
        <w:pStyle w:val="ParaNum"/>
      </w:pPr>
      <w:r w:rsidRPr="00185016">
        <w:rPr>
          <w:i/>
        </w:rPr>
        <w:t xml:space="preserve">Incumbent Local Exchange Carriers </w:t>
      </w:r>
      <w:r w:rsidRPr="00185016">
        <w:t>(</w:t>
      </w:r>
      <w:r w:rsidRPr="00185016">
        <w:rPr>
          <w:i/>
        </w:rPr>
        <w:t>Incumbent LECs</w:t>
      </w:r>
      <w:r w:rsidRPr="00185016">
        <w:t xml:space="preserve">). </w:t>
      </w:r>
      <w:r w:rsidRPr="00185016">
        <w:rPr>
          <w:i/>
        </w:rPr>
        <w:t xml:space="preserve"> </w:t>
      </w:r>
      <w:r w:rsidRPr="00185016">
        <w:t>Neither the Comm</w:t>
      </w:r>
      <w:r w:rsidRPr="00185016">
        <w:t>ission nor the SBA have developed a small business size standard specifically for incumbent local exchange carriers.  Wired Telecommunications Carriers</w:t>
      </w:r>
      <w:r>
        <w:rPr>
          <w:rStyle w:val="FootnoteReference"/>
          <w:sz w:val="22"/>
        </w:rPr>
        <w:footnoteReference w:id="421"/>
      </w:r>
      <w:r w:rsidRPr="00185016">
        <w:t xml:space="preserve"> is the closest industry with an SBA small business size standard.</w:t>
      </w:r>
      <w:r>
        <w:rPr>
          <w:rStyle w:val="FootnoteReference"/>
          <w:sz w:val="22"/>
        </w:rPr>
        <w:footnoteReference w:id="422"/>
      </w:r>
      <w:r w:rsidRPr="00185016">
        <w:t xml:space="preserve">  The SBA small business size stand</w:t>
      </w:r>
      <w:r w:rsidRPr="00185016">
        <w:t>ard for Wired Telecommunications Carriers classifies firms having 1,500 or fewer employees as small.</w:t>
      </w:r>
      <w:r>
        <w:rPr>
          <w:rStyle w:val="FootnoteReference"/>
          <w:sz w:val="22"/>
        </w:rPr>
        <w:footnoteReference w:id="423"/>
      </w:r>
      <w:r w:rsidRPr="00185016">
        <w:t xml:space="preserve">  U.S. Census Bureau data for 2017 show that there were 3,054 firms in this industry that operated for the entire year.</w:t>
      </w:r>
      <w:r>
        <w:rPr>
          <w:rStyle w:val="FootnoteReference"/>
          <w:sz w:val="22"/>
        </w:rPr>
        <w:footnoteReference w:id="424"/>
      </w:r>
      <w:r w:rsidRPr="00185016">
        <w:t xml:space="preserve">  Of this number, 2,964 firms ope</w:t>
      </w:r>
      <w:r w:rsidRPr="00185016">
        <w:t>rated with fewer than 250 employees.</w:t>
      </w:r>
      <w:r>
        <w:rPr>
          <w:rStyle w:val="FootnoteReference"/>
          <w:sz w:val="22"/>
        </w:rPr>
        <w:footnoteReference w:id="425"/>
      </w:r>
      <w:r w:rsidRPr="00185016">
        <w:t xml:space="preserve">  Additionally, based </w:t>
      </w:r>
      <w:r w:rsidRPr="00185016">
        <w:rPr>
          <w:rFonts w:eastAsia="Calibri"/>
        </w:rPr>
        <w:t xml:space="preserve">on </w:t>
      </w:r>
      <w:r w:rsidRPr="00185016">
        <w:t>Commission data in the 2022 Universal Service Monitoring Report, as of December 31, 2021, there were 1,212 providers that reported they were incumbent local exchange service providers.</w:t>
      </w:r>
      <w:r>
        <w:rPr>
          <w:rStyle w:val="FootnoteReference"/>
          <w:sz w:val="22"/>
        </w:rPr>
        <w:footnoteReference w:id="426"/>
      </w:r>
      <w:r w:rsidRPr="00185016">
        <w:t xml:space="preserve">  Of th</w:t>
      </w:r>
      <w:r w:rsidRPr="00185016">
        <w:t>ese providers, the Commission estimates that 916 providers have 1,500 or fewer employees.</w:t>
      </w:r>
      <w:r>
        <w:rPr>
          <w:rStyle w:val="FootnoteReference"/>
          <w:sz w:val="22"/>
        </w:rPr>
        <w:footnoteReference w:id="427"/>
      </w:r>
      <w:r w:rsidRPr="00185016">
        <w:t xml:space="preserve">  Consequently, using the SBA’s small business size standard, the Commission estimates that the majority of incumbent local exchange carriers can be considered small</w:t>
      </w:r>
      <w:r w:rsidRPr="00185016">
        <w:t xml:space="preserve"> entities.</w:t>
      </w:r>
    </w:p>
    <w:p w:rsidR="00756CCD" w:rsidRPr="00185016" w:rsidP="00756CCD" w14:paraId="1FBE0098" w14:textId="77777777">
      <w:pPr>
        <w:pStyle w:val="ParaNum"/>
      </w:pPr>
      <w:r w:rsidRPr="00185016">
        <w:rPr>
          <w:i/>
        </w:rPr>
        <w:t>Competitive Local Exchange Carriers (LECs).</w:t>
      </w:r>
      <w:r w:rsidRPr="00185016">
        <w:t xml:space="preserve">  Neither the Commission nor the SBA has developed a size standard for small businesses specifically applicable to local exchange services. Providers of these services include several types of competiti</w:t>
      </w:r>
      <w:r w:rsidRPr="00185016">
        <w:t>ve local exchange service providers.</w:t>
      </w:r>
      <w:r>
        <w:rPr>
          <w:rStyle w:val="FootnoteReference"/>
          <w:sz w:val="22"/>
        </w:rPr>
        <w:footnoteReference w:id="428"/>
      </w:r>
      <w:r w:rsidRPr="00185016">
        <w:t xml:space="preserve">  Wired Telecommunications Carriers</w:t>
      </w:r>
      <w:r>
        <w:rPr>
          <w:rStyle w:val="FootnoteReference"/>
          <w:sz w:val="22"/>
        </w:rPr>
        <w:footnoteReference w:id="429"/>
      </w:r>
      <w:r w:rsidRPr="00185016">
        <w:t xml:space="preserve"> is the closest industry with an SBA small business size standard.  The SBA small business size standard for Wired Telecommunications Carriers classifies firms having 1,500 or fewer</w:t>
      </w:r>
      <w:r w:rsidRPr="00185016">
        <w:t xml:space="preserve"> employees as small.</w:t>
      </w:r>
      <w:r>
        <w:rPr>
          <w:rStyle w:val="FootnoteReference"/>
          <w:sz w:val="22"/>
        </w:rPr>
        <w:footnoteReference w:id="430"/>
      </w:r>
      <w:r w:rsidRPr="00185016">
        <w:t xml:space="preserve">  U.S. Census Bureau data for 2017 show that there were 3,054 firms that operated in this industry for the entire year.</w:t>
      </w:r>
      <w:r>
        <w:rPr>
          <w:rStyle w:val="FootnoteReference"/>
          <w:sz w:val="22"/>
        </w:rPr>
        <w:footnoteReference w:id="431"/>
      </w:r>
      <w:r w:rsidRPr="00185016">
        <w:t xml:space="preserve">  Of this number, 2,964 firms operated with fewer than 250 employees.</w:t>
      </w:r>
      <w:r>
        <w:rPr>
          <w:rStyle w:val="FootnoteReference"/>
          <w:sz w:val="22"/>
        </w:rPr>
        <w:footnoteReference w:id="432"/>
      </w:r>
      <w:r w:rsidRPr="00185016">
        <w:t xml:space="preserve">  Additionally, based </w:t>
      </w:r>
      <w:r w:rsidRPr="00185016">
        <w:rPr>
          <w:rFonts w:eastAsia="Calibri"/>
        </w:rPr>
        <w:t xml:space="preserve">on </w:t>
      </w:r>
      <w:r w:rsidRPr="00185016">
        <w:t>Commission data i</w:t>
      </w:r>
      <w:r w:rsidRPr="00185016">
        <w:t>n the 2022 Universal Service Monitoring Report, as of December 31, 2021, there were 3,378 providers that reported they were competitive local exchange service providers.</w:t>
      </w:r>
      <w:r>
        <w:rPr>
          <w:spacing w:val="-2"/>
          <w:vertAlign w:val="superscript"/>
        </w:rPr>
        <w:footnoteReference w:id="433"/>
      </w:r>
      <w:r w:rsidRPr="00185016">
        <w:t xml:space="preserve">  Of these providers, the Commission estimates that 3,230 providers have 1,500 or fewer employees.</w:t>
      </w:r>
      <w:r>
        <w:rPr>
          <w:rStyle w:val="FootnoteReference"/>
          <w:sz w:val="22"/>
        </w:rPr>
        <w:footnoteReference w:id="434"/>
      </w:r>
      <w:r w:rsidRPr="00185016">
        <w:t xml:space="preserve">  Consequently, using the SBA’s small business size standard, most of these providers can be considered small entities.</w:t>
      </w:r>
    </w:p>
    <w:p w:rsidR="00756CCD" w:rsidRPr="00185016" w:rsidP="00756CCD" w14:paraId="57297F7D" w14:textId="77777777">
      <w:pPr>
        <w:pStyle w:val="ParaNum"/>
      </w:pPr>
      <w:r w:rsidRPr="00185016">
        <w:rPr>
          <w:i/>
        </w:rPr>
        <w:t xml:space="preserve">Interexchange Carriers (IXCs).  </w:t>
      </w:r>
      <w:r w:rsidRPr="00185016">
        <w:t>Neit</w:t>
      </w:r>
      <w:r w:rsidRPr="00185016">
        <w:t>her the Commission nor the SBA has developed a small business size standard specifically for Interexchange Carriers.  Wired Telecommunications Carriers</w:t>
      </w:r>
      <w:r>
        <w:rPr>
          <w:rStyle w:val="FootnoteReference"/>
          <w:sz w:val="22"/>
        </w:rPr>
        <w:footnoteReference w:id="435"/>
      </w:r>
      <w:r w:rsidRPr="00185016">
        <w:t xml:space="preserve"> is the closest industry with an SBA small business size standard.</w:t>
      </w:r>
      <w:r>
        <w:rPr>
          <w:rStyle w:val="FootnoteReference"/>
          <w:sz w:val="22"/>
        </w:rPr>
        <w:footnoteReference w:id="436"/>
      </w:r>
      <w:r w:rsidRPr="00185016">
        <w:t xml:space="preserve">  The SBA small business size standard for Wired Telecommunications Carriers classifies firms having 1,500 or fewer employees as small.</w:t>
      </w:r>
      <w:r>
        <w:rPr>
          <w:rStyle w:val="FootnoteReference"/>
          <w:sz w:val="22"/>
        </w:rPr>
        <w:footnoteReference w:id="437"/>
      </w:r>
      <w:r w:rsidRPr="00185016">
        <w:t xml:space="preserve">  U.S. Census Bureau data for 2017 show that there were 3,054 firms that operated in this industry for the entire year.</w:t>
      </w:r>
      <w:r>
        <w:rPr>
          <w:rStyle w:val="FootnoteReference"/>
          <w:sz w:val="22"/>
        </w:rPr>
        <w:footnoteReference w:id="438"/>
      </w:r>
      <w:r w:rsidRPr="00185016">
        <w:t xml:space="preserve">  Of this number, 2,964 firms operated with fewer than 250 employees.</w:t>
      </w:r>
      <w:r>
        <w:rPr>
          <w:rStyle w:val="FootnoteReference"/>
          <w:sz w:val="22"/>
        </w:rPr>
        <w:footnoteReference w:id="439"/>
      </w:r>
      <w:r w:rsidRPr="00185016">
        <w:t xml:space="preserve">  Additionally, based </w:t>
      </w:r>
      <w:r w:rsidRPr="00185016">
        <w:rPr>
          <w:rFonts w:eastAsia="Calibri"/>
        </w:rPr>
        <w:t xml:space="preserve">on </w:t>
      </w:r>
      <w:r w:rsidRPr="00185016">
        <w:t>Commission data in the 2022 Universal Service Monitoring Report, as of December 31, 2021, there were 127 providers that reported they were engaged in the prov</w:t>
      </w:r>
      <w:r w:rsidRPr="00185016">
        <w:t xml:space="preserve">ision of interexchange services.  Of these providers, the Commission estimates that 109 providers have 1,500 or </w:t>
      </w:r>
      <w:r w:rsidRPr="00185016">
        <w:t>fewer employees.</w:t>
      </w:r>
      <w:r>
        <w:rPr>
          <w:spacing w:val="-2"/>
          <w:vertAlign w:val="superscript"/>
        </w:rPr>
        <w:footnoteReference w:id="440"/>
      </w:r>
      <w:r w:rsidRPr="00185016">
        <w:t xml:space="preserve">  Consequently, using the SBA’s small business size standard, the Commission estimates that the majority of providers in this </w:t>
      </w:r>
      <w:r w:rsidRPr="00185016">
        <w:t>industry can be considered small entities.</w:t>
      </w:r>
    </w:p>
    <w:p w:rsidR="00756CCD" w:rsidRPr="00185016" w:rsidP="00756CCD" w14:paraId="6E0CC80E" w14:textId="77777777">
      <w:pPr>
        <w:pStyle w:val="ParaNum"/>
      </w:pPr>
      <w:r w:rsidRPr="00185016">
        <w:rPr>
          <w:i/>
        </w:rPr>
        <w:t>Cable System Operators (Telecom Act Standard)</w:t>
      </w:r>
      <w:r w:rsidRPr="00185016">
        <w:t>.  The Communications Act of 1934, as amended, contains a size standard for a “small cable operator,” which is “a cable operator that, directly or through an affiliate,</w:t>
      </w:r>
      <w:r w:rsidRPr="00185016">
        <w:t xml:space="preserve"> serves in the aggregate fewer than one percent of all subscribers in the United States and is not affiliated with any entity or entities whose gross annual revenues in the aggregate exceed $250,000,000.”</w:t>
      </w:r>
      <w:r>
        <w:rPr>
          <w:rStyle w:val="FootnoteReference"/>
          <w:sz w:val="22"/>
        </w:rPr>
        <w:footnoteReference w:id="441"/>
      </w:r>
      <w:r w:rsidRPr="00185016">
        <w:t xml:space="preserve">  For purposes of the Telecom Act Standard, the Co</w:t>
      </w:r>
      <w:r w:rsidRPr="00185016">
        <w:t>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 w:val="22"/>
        </w:rPr>
        <w:footnoteReference w:id="442"/>
      </w:r>
      <w:r w:rsidRPr="00185016">
        <w:t xml:space="preserve">  Based on industry data, only six cable system operators have more than 677,000 subscribers.</w:t>
      </w:r>
      <w:r>
        <w:rPr>
          <w:rStyle w:val="FootnoteReference"/>
          <w:sz w:val="22"/>
        </w:rPr>
        <w:footnoteReference w:id="443"/>
      </w:r>
      <w:r w:rsidRPr="00185016">
        <w:t xml:space="preserve">  Accordingly, the Commission estimates that the majority of cable system operators are small under this size standard.  We note however, that the Commission ne</w:t>
      </w:r>
      <w:r w:rsidRPr="00185016">
        <w:t>ither requests nor collects information on whether cable system operators are affiliated with entities whose gross annual revenues exceed $250 million.</w:t>
      </w:r>
      <w:r>
        <w:rPr>
          <w:rStyle w:val="FootnoteReference"/>
          <w:color w:val="000000"/>
          <w:sz w:val="22"/>
        </w:rPr>
        <w:footnoteReference w:id="444"/>
      </w:r>
      <w:r w:rsidRPr="00185016">
        <w:t xml:space="preserve">  Therefore, we are unable at this time to estimate with greater precision the number of cable system o</w:t>
      </w:r>
      <w:r w:rsidRPr="00185016">
        <w:t>perators that would qualify as small cable operators under the definition in the Communications Act.</w:t>
      </w:r>
    </w:p>
    <w:p w:rsidR="00756CCD" w:rsidP="00756CCD" w14:paraId="7B63C5A1" w14:textId="77777777">
      <w:pPr>
        <w:pStyle w:val="ParaNum"/>
      </w:pPr>
      <w:r w:rsidRPr="00185016">
        <w:rPr>
          <w:i/>
        </w:rPr>
        <w:t>Other Toll Carriers</w:t>
      </w:r>
      <w:r w:rsidRPr="00185016">
        <w:t>.  Neither the Commission nor the SBA has developed a definition for small businesses specifically applicable to Other Toll Carriers.  T</w:t>
      </w:r>
      <w:r w:rsidRPr="00185016">
        <w:t>his category includes toll carriers that do not fall within the categories of interexchange carriers, operator service providers, prepaid calling card providers, satellite service carriers, or toll resellers.  Wired Telecommunications Carriers</w:t>
      </w:r>
      <w:r>
        <w:rPr>
          <w:rStyle w:val="FootnoteReference"/>
          <w:sz w:val="22"/>
        </w:rPr>
        <w:footnoteReference w:id="445"/>
      </w:r>
      <w:r w:rsidRPr="00185016">
        <w:t xml:space="preserve">  is the cl</w:t>
      </w:r>
      <w:r w:rsidRPr="00185016">
        <w:t>osest industry with an SBA small business size standard.</w:t>
      </w:r>
      <w:r>
        <w:rPr>
          <w:rStyle w:val="FootnoteReference"/>
          <w:sz w:val="22"/>
        </w:rPr>
        <w:footnoteReference w:id="446"/>
      </w:r>
      <w:r w:rsidRPr="00185016">
        <w:t xml:space="preserve">  The SBA small business size standard for Wired Telecommunications Carriers classifies firms having 1,500 or fewer employees as small.</w:t>
      </w:r>
      <w:r>
        <w:rPr>
          <w:rStyle w:val="FootnoteReference"/>
          <w:sz w:val="22"/>
        </w:rPr>
        <w:footnoteReference w:id="447"/>
      </w:r>
      <w:r w:rsidRPr="00185016">
        <w:t xml:space="preserve">  U.S. Census Bureau data for 2017 show that there were 3,054</w:t>
      </w:r>
      <w:r w:rsidRPr="00185016">
        <w:t xml:space="preserve"> firms in this industry that operated for the entire year.</w:t>
      </w:r>
      <w:r>
        <w:rPr>
          <w:rStyle w:val="FootnoteReference"/>
          <w:sz w:val="22"/>
        </w:rPr>
        <w:footnoteReference w:id="448"/>
      </w:r>
      <w:r w:rsidRPr="00185016">
        <w:t xml:space="preserve">  </w:t>
      </w:r>
      <w:r w:rsidRPr="00185016">
        <w:t>Of this number, 2,964 firms operated with fewer than 250 employees.</w:t>
      </w:r>
      <w:r>
        <w:rPr>
          <w:rStyle w:val="FootnoteReference"/>
          <w:sz w:val="22"/>
        </w:rPr>
        <w:footnoteReference w:id="449"/>
      </w:r>
      <w:r w:rsidRPr="00185016">
        <w:t xml:space="preserve">  Additionally, based </w:t>
      </w:r>
      <w:r w:rsidRPr="00185016">
        <w:rPr>
          <w:rFonts w:eastAsia="Calibri"/>
        </w:rPr>
        <w:t xml:space="preserve">on </w:t>
      </w:r>
      <w:r w:rsidRPr="00185016">
        <w:t>Commission data in the 2022 Universal Service Monitoring Report, as of December 31, 2021, there were</w:t>
      </w:r>
      <w:r w:rsidRPr="00185016">
        <w:t xml:space="preserve"> 90 providers that reported they were engaged in the provision of other toll services.</w:t>
      </w:r>
      <w:r>
        <w:rPr>
          <w:spacing w:val="-2"/>
          <w:vertAlign w:val="superscript"/>
        </w:rPr>
        <w:footnoteReference w:id="450"/>
      </w:r>
      <w:r w:rsidRPr="00185016">
        <w:t xml:space="preserve">  Of these providers, the Commission estimates that 87 providers have 1,500 or fewer employees.</w:t>
      </w:r>
      <w:r>
        <w:rPr>
          <w:rStyle w:val="FootnoteReference"/>
          <w:sz w:val="22"/>
        </w:rPr>
        <w:footnoteReference w:id="451"/>
      </w:r>
      <w:r w:rsidRPr="00185016">
        <w:t xml:space="preserve">  Consequently, using the SBA’s small business size standard, most of t</w:t>
      </w:r>
      <w:r w:rsidRPr="00185016">
        <w:t xml:space="preserve">hese providers can be considered small entities. </w:t>
      </w:r>
    </w:p>
    <w:p w:rsidR="00756CCD" w:rsidP="00756CCD" w14:paraId="3DA1BE21" w14:textId="77777777">
      <w:pPr>
        <w:pStyle w:val="ParaNum"/>
      </w:pPr>
      <w:r w:rsidRPr="00185016">
        <w:rPr>
          <w:i/>
        </w:rPr>
        <w:t>Wireless Telecommunications Carriers (except Satellite</w:t>
      </w:r>
      <w:r w:rsidRPr="00185016">
        <w:t xml:space="preserve">).  This industry comprises establishments engaged in operating and maintaining switching and transmission facilities to provide communications via the </w:t>
      </w:r>
      <w:r w:rsidRPr="00185016">
        <w:t>airwaves.</w:t>
      </w:r>
      <w:r>
        <w:rPr>
          <w:rStyle w:val="Hyperlink"/>
          <w:color w:val="auto"/>
          <w:u w:val="none"/>
          <w:vertAlign w:val="superscript"/>
        </w:rPr>
        <w:footnoteReference w:id="452"/>
      </w:r>
      <w:r w:rsidRPr="00185016">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453"/>
      </w:r>
      <w:r w:rsidRPr="00F537A9">
        <w:t xml:space="preserve">  </w:t>
      </w:r>
      <w:r w:rsidRPr="00185016">
        <w:rPr>
          <w:vertAlign w:val="superscript"/>
        </w:rPr>
        <w:t xml:space="preserve"> </w:t>
      </w:r>
      <w:r w:rsidRPr="00185016">
        <w:t xml:space="preserve">The SBA size standard for this </w:t>
      </w:r>
      <w:r w:rsidRPr="00185016">
        <w:t>industry classifies a business as small if it has 1,500 or fewer employees.</w:t>
      </w:r>
      <w:r>
        <w:rPr>
          <w:rStyle w:val="Hyperlink"/>
          <w:color w:val="auto"/>
          <w:u w:val="none"/>
          <w:vertAlign w:val="superscript"/>
        </w:rPr>
        <w:footnoteReference w:id="454"/>
      </w:r>
      <w:r w:rsidRPr="00F537A9">
        <w:t xml:space="preserve">  </w:t>
      </w:r>
      <w:r w:rsidRPr="00185016">
        <w:t>U.S. Census Bureau data for 2017 show that there were 2,893 firms in this industry that operated for the entire year.</w:t>
      </w:r>
      <w:r>
        <w:rPr>
          <w:rStyle w:val="Hyperlink"/>
          <w:color w:val="auto"/>
          <w:u w:val="none"/>
          <w:vertAlign w:val="superscript"/>
        </w:rPr>
        <w:footnoteReference w:id="455"/>
      </w:r>
      <w:r w:rsidRPr="00F537A9">
        <w:t xml:space="preserve"> </w:t>
      </w:r>
      <w:r>
        <w:t xml:space="preserve"> </w:t>
      </w:r>
      <w:r w:rsidRPr="00185016">
        <w:t>Of that number, 2,837 firms employed fewer than 250 empl</w:t>
      </w:r>
      <w:r w:rsidRPr="00185016">
        <w:t>oyees.</w:t>
      </w:r>
      <w:r>
        <w:rPr>
          <w:rStyle w:val="Hyperlink"/>
          <w:color w:val="auto"/>
          <w:u w:val="none"/>
          <w:vertAlign w:val="superscript"/>
        </w:rPr>
        <w:footnoteReference w:id="456"/>
      </w:r>
      <w:r w:rsidRPr="00185016">
        <w:t xml:space="preserve">  Additionally, based </w:t>
      </w:r>
      <w:r w:rsidRPr="00185016">
        <w:rPr>
          <w:rFonts w:eastAsia="Calibri"/>
        </w:rPr>
        <w:t xml:space="preserve">on </w:t>
      </w:r>
      <w:r w:rsidRPr="00185016">
        <w:t>Commission data in the 2022 Universal Service Monitoring Report, as of December 31, 2021, there were 594 providers that reported they were engaged in the provision of wireless services.</w:t>
      </w:r>
      <w:r>
        <w:rPr>
          <w:vertAlign w:val="superscript"/>
        </w:rPr>
        <w:footnoteReference w:id="457"/>
      </w:r>
      <w:r w:rsidRPr="00185016">
        <w:t xml:space="preserve">  Of these providers, the Commission</w:t>
      </w:r>
      <w:r w:rsidRPr="00185016">
        <w:t xml:space="preserve"> estimates that 511 providers have 1,500 or fewer employees.</w:t>
      </w:r>
      <w:r>
        <w:rPr>
          <w:rStyle w:val="FootnoteReference"/>
          <w:sz w:val="22"/>
        </w:rPr>
        <w:footnoteReference w:id="458"/>
      </w:r>
      <w:r w:rsidRPr="00185016">
        <w:t xml:space="preserve">  Consequently, using the SBA’s small business size standard, most of these providers can be considered small entities.</w:t>
      </w:r>
    </w:p>
    <w:p w:rsidR="00756CCD" w:rsidRPr="009D2D66" w:rsidP="00756CCD" w14:paraId="0107CF95" w14:textId="77777777">
      <w:pPr>
        <w:pStyle w:val="ParaNum"/>
      </w:pPr>
      <w:r w:rsidRPr="00756CCD">
        <w:rPr>
          <w:rStyle w:val="Strong"/>
          <w:b w:val="0"/>
          <w:bCs/>
          <w:i/>
        </w:rPr>
        <w:t>Satellite Telecommunications.</w:t>
      </w:r>
      <w:r w:rsidRPr="00E33B9C">
        <w:rPr>
          <w:rStyle w:val="documentbody1"/>
          <w:b/>
          <w:szCs w:val="22"/>
        </w:rPr>
        <w:t xml:space="preserve">  </w:t>
      </w:r>
      <w:r w:rsidRPr="00E33B9C">
        <w:rPr>
          <w:bCs/>
        </w:rPr>
        <w:t>This</w:t>
      </w:r>
      <w:r w:rsidRPr="00185016">
        <w:t xml:space="preserve"> industry comprises firms “primarily en</w:t>
      </w:r>
      <w:r w:rsidRPr="00185016">
        <w:t>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rPr>
        <w:footnoteReference w:id="459"/>
      </w:r>
      <w:r w:rsidRPr="00185016">
        <w:t xml:space="preserve">  Satell</w:t>
      </w:r>
      <w:r w:rsidRPr="00185016">
        <w:t xml:space="preserve">ite telecommunications service providers include satellite and earth station operators. </w:t>
      </w:r>
      <w:r>
        <w:t xml:space="preserve"> </w:t>
      </w:r>
      <w:r w:rsidRPr="00185016">
        <w:t>The SBA small business size standard for this industry classifies a business with $35 million or less in annual receipts as small.</w:t>
      </w:r>
      <w:r>
        <w:rPr>
          <w:rStyle w:val="FootnoteReference"/>
          <w:sz w:val="22"/>
        </w:rPr>
        <w:footnoteReference w:id="460"/>
      </w:r>
      <w:r w:rsidRPr="00185016">
        <w:t xml:space="preserve">  U.S. Census Bureau data for 2017 </w:t>
      </w:r>
      <w:r w:rsidRPr="00185016">
        <w:t xml:space="preserve">show that 275 </w:t>
      </w:r>
      <w:r w:rsidRPr="00185016">
        <w:t>firms in this industry operated for the entire year.</w:t>
      </w:r>
      <w:r>
        <w:rPr>
          <w:rStyle w:val="FootnoteReference"/>
          <w:sz w:val="22"/>
        </w:rPr>
        <w:footnoteReference w:id="461"/>
      </w:r>
      <w:r w:rsidRPr="00185016">
        <w:t xml:space="preserve">  Of this number, 242 firms had </w:t>
      </w:r>
      <w:r w:rsidRPr="00185016">
        <w:rPr>
          <w:rFonts w:eastAsia="Calibri"/>
        </w:rPr>
        <w:t xml:space="preserve">revenue </w:t>
      </w:r>
      <w:r w:rsidRPr="00185016">
        <w:t>of less than $25 million.</w:t>
      </w:r>
      <w:r>
        <w:rPr>
          <w:rStyle w:val="FootnoteReference"/>
          <w:sz w:val="22"/>
        </w:rPr>
        <w:footnoteReference w:id="462"/>
      </w:r>
      <w:r w:rsidRPr="00185016">
        <w:t xml:space="preserve">  Additionally, based </w:t>
      </w:r>
      <w:r w:rsidRPr="00185016">
        <w:rPr>
          <w:rFonts w:eastAsia="Calibri"/>
        </w:rPr>
        <w:t xml:space="preserve">on </w:t>
      </w:r>
      <w:r w:rsidRPr="00185016">
        <w:t xml:space="preserve">Commission data in the 2022 Universal Service Monitoring Report, as of December 31, 2021, </w:t>
      </w:r>
      <w:r w:rsidRPr="00185016">
        <w:t>there were 65 providers that reported they were engaged in the provision of satellite telecommunications services.</w:t>
      </w:r>
      <w:r>
        <w:rPr>
          <w:spacing w:val="-2"/>
          <w:vertAlign w:val="superscript"/>
        </w:rPr>
        <w:footnoteReference w:id="463"/>
      </w:r>
      <w:r w:rsidRPr="00185016">
        <w:t xml:space="preserve">  Of these providers, the Commission estimates that approximately 42 providers have 1,500 or fewer employees.</w:t>
      </w:r>
      <w:r>
        <w:rPr>
          <w:rStyle w:val="FootnoteReference"/>
          <w:sz w:val="22"/>
        </w:rPr>
        <w:footnoteReference w:id="464"/>
      </w:r>
      <w:r w:rsidRPr="00185016">
        <w:t xml:space="preserve">  Consequently, using the SBA</w:t>
      </w:r>
      <w:r w:rsidRPr="00185016">
        <w:t xml:space="preserve">’s small business size standard, a little more than half of these providers can be considered small entities. </w:t>
      </w:r>
      <w:r w:rsidRPr="009D2D66">
        <w:t xml:space="preserve">  </w:t>
      </w:r>
    </w:p>
    <w:p w:rsidR="00756CCD" w:rsidRPr="009D2D66" w:rsidP="00756CCD" w14:paraId="23B34792" w14:textId="77777777">
      <w:pPr>
        <w:pStyle w:val="ParaNum"/>
        <w:widowControl/>
      </w:pPr>
      <w:r w:rsidRPr="2FC37315">
        <w:rPr>
          <w:i/>
          <w:iCs/>
        </w:rPr>
        <w:t>Local Resellers</w:t>
      </w:r>
      <w:r w:rsidRPr="009D2D66">
        <w:t>.  Neither the Commission nor the SBA have developed a small business size standard specifically for Local Resellers.  Telecommu</w:t>
      </w:r>
      <w:r w:rsidRPr="009D2D66">
        <w:t>nications Resellers is the closest industry with a SBA small business size standard.</w:t>
      </w:r>
      <w:r>
        <w:rPr>
          <w:vertAlign w:val="superscript"/>
        </w:rPr>
        <w:footnoteReference w:id="465"/>
      </w:r>
      <w:r w:rsidRPr="009D2D66">
        <w:t xml:space="preserve">  The Telecommunications Resellers industry comprises establishments engaged in purchasing access and network capacity from owners and operators of telecommunications net</w:t>
      </w:r>
      <w:r w:rsidRPr="009D2D66">
        <w:t>works and reselling wired and wireless telecommunications services (except satellite) to businesses and households.</w:t>
      </w:r>
      <w:r>
        <w:rPr>
          <w:vertAlign w:val="superscript"/>
        </w:rPr>
        <w:footnoteReference w:id="466"/>
      </w:r>
      <w:r w:rsidRPr="009D2D66">
        <w:t xml:space="preserve">  Establishments in this industry resell telecommunications; they do not operate transmission facilities and infrastructure.</w:t>
      </w:r>
      <w:r>
        <w:rPr>
          <w:vertAlign w:val="superscript"/>
        </w:rPr>
        <w:footnoteReference w:id="467"/>
      </w:r>
      <w:r w:rsidRPr="009D2D66">
        <w:t xml:space="preserve">  Mobile virt</w:t>
      </w:r>
      <w:r w:rsidRPr="009D2D66">
        <w:t>ual network operators (MVNOs) are included in this industry.</w:t>
      </w:r>
      <w:r>
        <w:rPr>
          <w:vertAlign w:val="superscript"/>
        </w:rPr>
        <w:footnoteReference w:id="468"/>
      </w:r>
      <w:r w:rsidRPr="009D2D66">
        <w:t xml:space="preserve">  The SBA small business size standard for Telecommunications Resellers classifies a business as small if it has 1,500 or fewer employees.</w:t>
      </w:r>
      <w:r>
        <w:rPr>
          <w:vertAlign w:val="superscript"/>
        </w:rPr>
        <w:footnoteReference w:id="469"/>
      </w:r>
      <w:r w:rsidRPr="009D2D66">
        <w:t xml:space="preserve">  U.S. Census Bureau data for 2017 show that 1,386 firms in this industry provided resale services for the entire ye</w:t>
      </w:r>
      <w:r w:rsidRPr="009D2D66">
        <w:t>ar.</w:t>
      </w:r>
      <w:r>
        <w:rPr>
          <w:vertAlign w:val="superscript"/>
        </w:rPr>
        <w:footnoteReference w:id="470"/>
      </w:r>
      <w:r w:rsidRPr="009D2D66">
        <w:t xml:space="preserve">  Of that number, 1,375 firms operated with fewer than 250 employees.</w:t>
      </w:r>
      <w:r>
        <w:rPr>
          <w:vertAlign w:val="superscript"/>
        </w:rPr>
        <w:footnoteReference w:id="471"/>
      </w:r>
      <w:r w:rsidRPr="009D2D66">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w:t>
      </w:r>
      <w:r>
        <w:rPr>
          <w:szCs w:val="22"/>
        </w:rPr>
        <w:t>2</w:t>
      </w:r>
      <w:r w:rsidRPr="00076FB5">
        <w:rPr>
          <w:szCs w:val="22"/>
        </w:rPr>
        <w:t xml:space="preserve"> Universal Service Monitoring Report, as of December 31, 202</w:t>
      </w:r>
      <w:r>
        <w:rPr>
          <w:szCs w:val="22"/>
        </w:rPr>
        <w:t>1</w:t>
      </w:r>
      <w:r w:rsidRPr="00076FB5">
        <w:rPr>
          <w:szCs w:val="22"/>
        </w:rPr>
        <w:t>, there were 2</w:t>
      </w:r>
      <w:r>
        <w:rPr>
          <w:szCs w:val="22"/>
        </w:rPr>
        <w:t>07</w:t>
      </w:r>
      <w:r w:rsidRPr="00076FB5">
        <w:rPr>
          <w:szCs w:val="22"/>
        </w:rPr>
        <w:t xml:space="preserve"> providers that reported they were engaged in the p</w:t>
      </w:r>
      <w:r w:rsidRPr="00076FB5">
        <w:rPr>
          <w:szCs w:val="22"/>
        </w:rPr>
        <w:t>rovision of local resale services.</w:t>
      </w:r>
      <w:r>
        <w:rPr>
          <w:spacing w:val="-2"/>
          <w:szCs w:val="22"/>
          <w:vertAlign w:val="superscript"/>
        </w:rPr>
        <w:footnoteReference w:id="472"/>
      </w:r>
      <w:r w:rsidRPr="00076FB5">
        <w:rPr>
          <w:szCs w:val="22"/>
        </w:rPr>
        <w:t xml:space="preserve">  Of these providers, the Commission </w:t>
      </w:r>
      <w:r w:rsidRPr="00076FB5">
        <w:rPr>
          <w:szCs w:val="22"/>
        </w:rPr>
        <w:t>estimates that 2</w:t>
      </w:r>
      <w:r>
        <w:rPr>
          <w:szCs w:val="22"/>
        </w:rPr>
        <w:t>02</w:t>
      </w:r>
      <w:r w:rsidRPr="00076FB5">
        <w:rPr>
          <w:szCs w:val="22"/>
        </w:rPr>
        <w:t xml:space="preserve"> providers have 1,500 or fewer employees.</w:t>
      </w:r>
      <w:r>
        <w:rPr>
          <w:rStyle w:val="FootnoteReference"/>
          <w:szCs w:val="22"/>
        </w:rPr>
        <w:footnoteReference w:id="473"/>
      </w:r>
      <w:r w:rsidRPr="00076FB5">
        <w:rPr>
          <w:szCs w:val="22"/>
        </w:rPr>
        <w:t xml:space="preserve"> </w:t>
      </w:r>
      <w:r>
        <w:rPr>
          <w:szCs w:val="22"/>
        </w:rPr>
        <w:t xml:space="preserve"> </w:t>
      </w:r>
      <w:r w:rsidRPr="00076FB5">
        <w:rPr>
          <w:szCs w:val="22"/>
        </w:rPr>
        <w:t>Consequently, using the SBA’s small business size standard, most of these providers can be considered small entities.</w:t>
      </w:r>
    </w:p>
    <w:p w:rsidR="00756CCD" w:rsidRPr="009D2D66" w:rsidP="00756CCD" w14:paraId="2FCD679C" w14:textId="77777777">
      <w:pPr>
        <w:pStyle w:val="ParaNum"/>
      </w:pPr>
      <w:r w:rsidRPr="2FC37315">
        <w:rPr>
          <w:i/>
          <w:iCs/>
        </w:rPr>
        <w:t>To</w:t>
      </w:r>
      <w:r w:rsidRPr="2FC37315">
        <w:rPr>
          <w:i/>
          <w:iCs/>
        </w:rPr>
        <w:t>ll Resellers</w:t>
      </w:r>
      <w:r w:rsidRPr="009D2D66">
        <w:t>.  Neither the Commission nor the SBA have developed a small business size standard specifically for Toll Resellers.  Telecommunications Resellers</w:t>
      </w:r>
      <w:r>
        <w:rPr>
          <w:vertAlign w:val="superscript"/>
        </w:rPr>
        <w:footnoteReference w:id="474"/>
      </w:r>
      <w:r w:rsidRPr="009D2D66">
        <w:t xml:space="preserve"> is the closest industry with an SBA small business size standard.  The Telecommunications Resel</w:t>
      </w:r>
      <w:r w:rsidRPr="009D2D66">
        <w:t xml:space="preserve">lers industry comprises establishments engaged in purchasing access and network capacity from owners and operators of telecommunications networks and reselling wired and wireless telecommunications services (except satellite) to businesses and households. </w:t>
      </w:r>
      <w:r w:rsidRPr="009D2D66">
        <w:t xml:space="preserve"> Establishments in this industry resell telecommunications; they do not operate transmission facilities and infrastructure.</w:t>
      </w:r>
      <w:r>
        <w:rPr>
          <w:vertAlign w:val="superscript"/>
        </w:rPr>
        <w:footnoteReference w:id="475"/>
      </w:r>
      <w:r w:rsidRPr="009D2D66">
        <w:t xml:space="preserve">  Mobile virtual network operators (MVNOs) are included in this industry.</w:t>
      </w:r>
      <w:r>
        <w:rPr>
          <w:vertAlign w:val="superscript"/>
        </w:rPr>
        <w:footnoteReference w:id="476"/>
      </w:r>
      <w:r w:rsidRPr="009D2D66">
        <w:t xml:space="preserve">  The SBA small business size standard for Telecommunica</w:t>
      </w:r>
      <w:r w:rsidRPr="009D2D66">
        <w:t>tions Resellers classifies a business as small if it has 1,500 or fewer employees.</w:t>
      </w:r>
      <w:r>
        <w:rPr>
          <w:vertAlign w:val="superscript"/>
        </w:rPr>
        <w:footnoteReference w:id="477"/>
      </w:r>
      <w:r w:rsidRPr="009D2D66">
        <w:t xml:space="preserve">  U.S. Census Bureau data for 2017 show that 1,386 firms in this industry provided resale services for the entire year.</w:t>
      </w:r>
      <w:r>
        <w:rPr>
          <w:vertAlign w:val="superscript"/>
        </w:rPr>
        <w:footnoteReference w:id="478"/>
      </w:r>
      <w:r w:rsidRPr="009D2D66">
        <w:t xml:space="preserve">  Of that number, 1,375 firms operated with fewer t</w:t>
      </w:r>
      <w:r w:rsidRPr="009D2D66">
        <w:t>han 250 employees.</w:t>
      </w:r>
      <w:r>
        <w:rPr>
          <w:vertAlign w:val="superscript"/>
        </w:rPr>
        <w:footnoteReference w:id="479"/>
      </w:r>
      <w:r w:rsidRPr="009D2D66">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w:t>
      </w:r>
      <w:r>
        <w:rPr>
          <w:szCs w:val="22"/>
        </w:rPr>
        <w:t>2</w:t>
      </w:r>
      <w:r w:rsidRPr="00A1638C">
        <w:rPr>
          <w:szCs w:val="22"/>
        </w:rPr>
        <w:t xml:space="preserve"> Universal Service Monitoring Report, as of December 31, 202</w:t>
      </w:r>
      <w:r>
        <w:rPr>
          <w:szCs w:val="22"/>
        </w:rPr>
        <w:t>1</w:t>
      </w:r>
      <w:r w:rsidRPr="00A1638C">
        <w:rPr>
          <w:szCs w:val="22"/>
        </w:rPr>
        <w:t xml:space="preserve">, there were </w:t>
      </w:r>
      <w:r>
        <w:rPr>
          <w:szCs w:val="22"/>
        </w:rPr>
        <w:t>457</w:t>
      </w:r>
      <w:r w:rsidRPr="00A1638C">
        <w:rPr>
          <w:szCs w:val="22"/>
        </w:rPr>
        <w:t xml:space="preserve"> providers that reported they were engaged in the provision of toll services.</w:t>
      </w:r>
      <w:r>
        <w:rPr>
          <w:spacing w:val="-2"/>
          <w:szCs w:val="22"/>
          <w:vertAlign w:val="superscript"/>
        </w:rPr>
        <w:footnoteReference w:id="480"/>
      </w:r>
      <w:r w:rsidRPr="00A1638C">
        <w:rPr>
          <w:szCs w:val="22"/>
        </w:rPr>
        <w:t xml:space="preserve">  Of these providers, the Co</w:t>
      </w:r>
      <w:r w:rsidRPr="00A1638C">
        <w:rPr>
          <w:szCs w:val="22"/>
        </w:rPr>
        <w:t>mmission estimates that 4</w:t>
      </w:r>
      <w:r>
        <w:rPr>
          <w:szCs w:val="22"/>
        </w:rPr>
        <w:t>38</w:t>
      </w:r>
      <w:r w:rsidRPr="00A1638C">
        <w:rPr>
          <w:szCs w:val="22"/>
        </w:rPr>
        <w:t xml:space="preserve"> providers have 1,500 or fewer employees.</w:t>
      </w:r>
      <w:r>
        <w:rPr>
          <w:rStyle w:val="FootnoteReference"/>
          <w:szCs w:val="22"/>
        </w:rPr>
        <w:footnoteReference w:id="481"/>
      </w:r>
      <w:r w:rsidRPr="00A1638C">
        <w:rPr>
          <w:szCs w:val="22"/>
        </w:rPr>
        <w:t xml:space="preserve">  Consequently, using the SBA’s small business size standard, most of these providers can be considered small entities.</w:t>
      </w:r>
    </w:p>
    <w:p w:rsidR="00756CCD" w:rsidRPr="009D2D66" w:rsidP="00756CCD" w14:paraId="760C9A28" w14:textId="77777777">
      <w:pPr>
        <w:pStyle w:val="ParaNum"/>
      </w:pPr>
      <w:r w:rsidRPr="2FC37315">
        <w:rPr>
          <w:i/>
          <w:iCs/>
        </w:rPr>
        <w:t>Prepaid Calling Card Providers</w:t>
      </w:r>
      <w:r w:rsidRPr="009D2D66">
        <w:t>.  Neither the Commission nor the SB</w:t>
      </w:r>
      <w:r w:rsidRPr="009D2D66">
        <w:t>A has developed a small business size standard specifically for prepaid calling card providers.  Telecommunications Resellers</w:t>
      </w:r>
      <w:r>
        <w:rPr>
          <w:vertAlign w:val="superscript"/>
        </w:rPr>
        <w:footnoteReference w:id="482"/>
      </w:r>
      <w:r w:rsidRPr="009D2D66">
        <w:t xml:space="preserve"> is the closest industry with a SBA small business size standard.  The Telecommunications Resellers industry comprises establishments engaged in purchasing access and network capacity from owners and operators of telecommunications networks and reselling w</w:t>
      </w:r>
      <w:r w:rsidRPr="009D2D66">
        <w:t>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483"/>
      </w:r>
      <w:r w:rsidRPr="009D2D66">
        <w:t xml:space="preserve">  Mobile virtual network operators (</w:t>
      </w:r>
      <w:r w:rsidRPr="009D2D66">
        <w:t>MVNOs) are included in this industry.</w:t>
      </w:r>
      <w:r>
        <w:rPr>
          <w:vertAlign w:val="superscript"/>
        </w:rPr>
        <w:footnoteReference w:id="484"/>
      </w:r>
      <w:r w:rsidRPr="009D2D66">
        <w:t xml:space="preserve">  The SBA small business size standard for Telecommunications Resellers classifies a business as small if it has 1,500 or fewer </w:t>
      </w:r>
      <w:r w:rsidRPr="009D2D66">
        <w:t>employees.</w:t>
      </w:r>
      <w:r>
        <w:rPr>
          <w:vertAlign w:val="superscript"/>
        </w:rPr>
        <w:footnoteReference w:id="485"/>
      </w:r>
      <w:r w:rsidRPr="009D2D66">
        <w:t xml:space="preserve">  U.S. Census Bureau data for 2017 show that 1,386 firms in this industry pro</w:t>
      </w:r>
      <w:r w:rsidRPr="009D2D66">
        <w:t>vided resale services for the entire year.</w:t>
      </w:r>
      <w:r>
        <w:rPr>
          <w:vertAlign w:val="superscript"/>
        </w:rPr>
        <w:footnoteReference w:id="486"/>
      </w:r>
      <w:r w:rsidRPr="009D2D66">
        <w:t xml:space="preserve">  Of that number, 1,375 firms operated with fewer than 250 employees.</w:t>
      </w:r>
      <w:r>
        <w:rPr>
          <w:vertAlign w:val="superscript"/>
        </w:rPr>
        <w:footnoteReference w:id="487"/>
      </w:r>
      <w:r w:rsidRPr="009D2D66">
        <w:t xml:space="preserve">  </w:t>
      </w:r>
      <w:r w:rsidRPr="00C51A14">
        <w:t xml:space="preserve">Additionally, based </w:t>
      </w:r>
      <w:r w:rsidRPr="00C51A14">
        <w:rPr>
          <w:rFonts w:eastAsia="Calibri"/>
        </w:rPr>
        <w:t xml:space="preserve">on </w:t>
      </w:r>
      <w:r w:rsidRPr="00C51A14">
        <w:t>Commission data in the 202</w:t>
      </w:r>
      <w:r>
        <w:t>2</w:t>
      </w:r>
      <w:r w:rsidRPr="00C51A14">
        <w:t xml:space="preserve"> Universal Service Monitoring Report, as of December 31, 202</w:t>
      </w:r>
      <w:r>
        <w:t>1</w:t>
      </w:r>
      <w:r w:rsidRPr="00C51A14">
        <w:t xml:space="preserve">, there were </w:t>
      </w:r>
      <w:r>
        <w:t xml:space="preserve">62 </w:t>
      </w:r>
      <w:r w:rsidRPr="00C51A14">
        <w:t>providers that reported they were engaged in the provision of p</w:t>
      </w:r>
      <w:r>
        <w:t xml:space="preserve">repaid card </w:t>
      </w:r>
      <w:r w:rsidRPr="00C51A14">
        <w:t>services.</w:t>
      </w:r>
      <w:r>
        <w:rPr>
          <w:spacing w:val="-2"/>
          <w:vertAlign w:val="superscript"/>
        </w:rPr>
        <w:footnoteReference w:id="488"/>
      </w:r>
      <w:r w:rsidRPr="00C51A14">
        <w:t xml:space="preserve">  Of these providers, the Commission estimates that </w:t>
      </w:r>
      <w:r>
        <w:t>61</w:t>
      </w:r>
      <w:r w:rsidRPr="00C51A14">
        <w:t xml:space="preserve"> providers have 1,500 or fewer employee</w:t>
      </w:r>
      <w:r w:rsidRPr="00C51A14">
        <w:t>s.</w:t>
      </w:r>
      <w:r>
        <w:rPr>
          <w:rStyle w:val="FootnoteReference"/>
        </w:rPr>
        <w:footnoteReference w:id="489"/>
      </w:r>
      <w:r w:rsidRPr="00C51A14">
        <w:t xml:space="preserve">  Consequently, using the SBA’s small business size standard, most of these providers can be considered small entities.</w:t>
      </w:r>
    </w:p>
    <w:p w:rsidR="00756CCD" w:rsidRPr="00AE0745" w:rsidP="00756CCD" w14:paraId="5C82E7DA" w14:textId="77777777">
      <w:pPr>
        <w:pStyle w:val="ParaNum"/>
      </w:pPr>
      <w:r w:rsidRPr="2FC37315">
        <w:rPr>
          <w:i/>
          <w:iCs/>
        </w:rPr>
        <w:t>All Other Telecommunications.</w:t>
      </w:r>
      <w:r w:rsidRPr="009D2D66">
        <w:rPr>
          <w:bCs/>
        </w:rPr>
        <w:t xml:space="preserve">  </w:t>
      </w:r>
      <w:r w:rsidRPr="00185016">
        <w:t>This industry</w:t>
      </w:r>
      <w:r w:rsidRPr="00185016">
        <w:rPr>
          <w:b/>
        </w:rPr>
        <w:t xml:space="preserve"> </w:t>
      </w:r>
      <w:r w:rsidRPr="00185016">
        <w:t>is comprised of establishments primarily engaged in providing specialized telecommunica</w:t>
      </w:r>
      <w:r w:rsidRPr="00185016">
        <w:t>tions services, such as satellite tracking, communications telemetry, and radar station operation.</w:t>
      </w:r>
      <w:r>
        <w:rPr>
          <w:rStyle w:val="FootnoteReference"/>
          <w:sz w:val="22"/>
        </w:rPr>
        <w:footnoteReference w:id="490"/>
      </w:r>
      <w:r w:rsidRPr="00185016">
        <w:t xml:space="preserve">  This industry also includes establishments primarily engaged in providing satellite terminal stations and associated facilities connected with one or more</w:t>
      </w:r>
      <w:r w:rsidRPr="00185016">
        <w:t xml:space="preserve"> terrestrial systems and capable of transmitting telecommunications to, and receiving telecommunications from, satellite systems.</w:t>
      </w:r>
      <w:r>
        <w:rPr>
          <w:rStyle w:val="FootnoteReference"/>
          <w:sz w:val="22"/>
        </w:rPr>
        <w:footnoteReference w:id="491"/>
      </w:r>
      <w:r w:rsidRPr="00185016">
        <w:t xml:space="preserve">  Providers of Internet services (e.g. dial-up ISPs) or voice over Internet protocol (VoIP) services, via client-supplied tel</w:t>
      </w:r>
      <w:r w:rsidRPr="00185016">
        <w:t>ecommunications connections are also included in this industry.</w:t>
      </w:r>
      <w:r>
        <w:rPr>
          <w:vertAlign w:val="superscript"/>
        </w:rPr>
        <w:footnoteReference w:id="492"/>
      </w:r>
      <w:r w:rsidRPr="00185016">
        <w:t xml:space="preserve">  The SBA small business size standard for this industry classifies firms with annual receipts of $35 million or less as small.</w:t>
      </w:r>
      <w:r>
        <w:rPr>
          <w:vertAlign w:val="superscript"/>
        </w:rPr>
        <w:footnoteReference w:id="493"/>
      </w:r>
      <w:r w:rsidRPr="00185016">
        <w:t xml:space="preserve">  U.S. Census Bureau data for 2017 show that there were 1,079 </w:t>
      </w:r>
      <w:r w:rsidRPr="00185016">
        <w:t>firms in this industry that operated for the entire year.</w:t>
      </w:r>
      <w:r>
        <w:rPr>
          <w:rStyle w:val="FootnoteReference"/>
          <w:sz w:val="22"/>
        </w:rPr>
        <w:footnoteReference w:id="494"/>
      </w:r>
      <w:r w:rsidRPr="00185016">
        <w:t xml:space="preserve">  Of those firms, 1,039 had revenue of less than $25 million.</w:t>
      </w:r>
      <w:r>
        <w:rPr>
          <w:vertAlign w:val="superscript"/>
        </w:rPr>
        <w:footnoteReference w:id="495"/>
      </w:r>
      <w:r w:rsidRPr="00185016">
        <w:t xml:space="preserve">  Based on this data, the Commission estimates that the majority of “All Other Telecommunications” firms can be considered small.</w:t>
      </w:r>
      <w:r w:rsidRPr="003B1F31">
        <w:t xml:space="preserve"> </w:t>
      </w:r>
    </w:p>
    <w:p w:rsidR="00756CCD" w:rsidP="00887C6A" w14:paraId="6C882FD7" w14:textId="52AAAD1D">
      <w:pPr>
        <w:pStyle w:val="Heading2"/>
      </w:pPr>
      <w:bookmarkStart w:id="109" w:name="_Toc146047092"/>
      <w:bookmarkStart w:id="110" w:name="_Toc146179084"/>
      <w:r>
        <w:t>Des</w:t>
      </w:r>
      <w:r>
        <w:t>cription of Projected Reporting, Recordkeeping, and Other Compliance Requirements for Small Entities</w:t>
      </w:r>
      <w:bookmarkEnd w:id="109"/>
      <w:bookmarkEnd w:id="110"/>
    </w:p>
    <w:p w:rsidR="00756CCD" w:rsidP="00756CCD" w14:paraId="51111638" w14:textId="77777777">
      <w:pPr>
        <w:pStyle w:val="ParaNum"/>
      </w:pPr>
      <w:r>
        <w:t>If adopted, t</w:t>
      </w:r>
      <w:r w:rsidRPr="006D3105">
        <w:t>he proposals in t</w:t>
      </w:r>
      <w:r w:rsidRPr="00C363DA">
        <w:t xml:space="preserve">he </w:t>
      </w:r>
      <w:r w:rsidRPr="00EC11BD">
        <w:rPr>
          <w:i/>
          <w:iCs/>
        </w:rPr>
        <w:t>Second Further Notice</w:t>
      </w:r>
      <w:r w:rsidRPr="00C363DA">
        <w:t xml:space="preserve"> may create new or additional reporting or recordkeeping and/or other compliance obligations </w:t>
      </w:r>
      <w:r>
        <w:t>for</w:t>
      </w:r>
      <w:r w:rsidRPr="00C363DA">
        <w:t xml:space="preserve"> small entities.  Specifically, the </w:t>
      </w:r>
      <w:r w:rsidRPr="00F34E95">
        <w:rPr>
          <w:i/>
          <w:iCs/>
        </w:rPr>
        <w:t>Second Further Notice</w:t>
      </w:r>
      <w:r w:rsidRPr="00C363DA">
        <w:t xml:space="preserve"> propos</w:t>
      </w:r>
      <w:r>
        <w:t>es</w:t>
      </w:r>
      <w:r w:rsidRPr="00C363DA">
        <w:t xml:space="preserve"> to apply the new application requirements we adopt in the </w:t>
      </w:r>
      <w:r w:rsidRPr="00F34E95">
        <w:rPr>
          <w:i/>
          <w:iCs/>
        </w:rPr>
        <w:t>Second Report and Order</w:t>
      </w:r>
      <w:r w:rsidRPr="00C363DA">
        <w:t xml:space="preserve"> to existing authorization holders whose authorizations predate the effective date of those new requirements</w:t>
      </w:r>
      <w:r w:rsidRPr="00C363DA">
        <w:t>.</w:t>
      </w:r>
      <w:r>
        <w:rPr>
          <w:rStyle w:val="FootnoteReference"/>
        </w:rPr>
        <w:footnoteReference w:id="496"/>
      </w:r>
      <w:r w:rsidRPr="00C363DA">
        <w:t xml:space="preserve">  This proposal, if adopted, would impose new reporting and compliance obligations on existing authorization holders.  The </w:t>
      </w:r>
      <w:r w:rsidRPr="00F34E95">
        <w:rPr>
          <w:i/>
          <w:iCs/>
        </w:rPr>
        <w:t>Second Further Notice</w:t>
      </w:r>
      <w:r w:rsidRPr="00655528">
        <w:t xml:space="preserve"> </w:t>
      </w:r>
      <w:r w:rsidRPr="00C363DA">
        <w:t xml:space="preserve">also </w:t>
      </w:r>
      <w:r>
        <w:t xml:space="preserve">proposes requiring </w:t>
      </w:r>
      <w:r w:rsidRPr="00C363DA">
        <w:t xml:space="preserve">direct access applicants </w:t>
      </w:r>
      <w:r>
        <w:t>to</w:t>
      </w:r>
      <w:r w:rsidRPr="00C363DA">
        <w:t xml:space="preserve"> disclose a list of states in which they seek to provide </w:t>
      </w:r>
      <w:r w:rsidRPr="00C363DA">
        <w:t>initial service</w:t>
      </w:r>
      <w:r>
        <w:t>, formalizing the existing practice of the Bureau</w:t>
      </w:r>
      <w:r w:rsidRPr="00C363DA">
        <w:t>.</w:t>
      </w:r>
      <w:r>
        <w:rPr>
          <w:rStyle w:val="FootnoteReference"/>
        </w:rPr>
        <w:footnoteReference w:id="497"/>
      </w:r>
      <w:r w:rsidRPr="00C363DA">
        <w:t xml:space="preserve">  A</w:t>
      </w:r>
      <w:r>
        <w:t>dditionally,</w:t>
      </w:r>
      <w:r w:rsidRPr="00C363DA">
        <w:t xml:space="preserve"> the </w:t>
      </w:r>
      <w:r w:rsidRPr="00F34E95">
        <w:rPr>
          <w:i/>
          <w:iCs/>
        </w:rPr>
        <w:t>Second Further Notice</w:t>
      </w:r>
      <w:r>
        <w:rPr>
          <w:i/>
          <w:iCs/>
        </w:rPr>
        <w:t xml:space="preserve"> </w:t>
      </w:r>
      <w:r>
        <w:t>seeks comment on a proposal to minimize harms that may arise from bad actors that access numbering resources indirectly (i.e., without a direct acc</w:t>
      </w:r>
      <w:r>
        <w:t>ess authorization), by requiring the direct access authorization holders that supply them with numbering resources to obtain from them the same certifications, acknowledgments, and disclosures required of direct access applicants.</w:t>
      </w:r>
      <w:r>
        <w:rPr>
          <w:rStyle w:val="FootnoteReference"/>
        </w:rPr>
        <w:footnoteReference w:id="498"/>
      </w:r>
    </w:p>
    <w:p w:rsidR="00756CCD" w:rsidRPr="006D3105" w:rsidP="00756CCD" w14:paraId="178E4CAB" w14:textId="77777777">
      <w:pPr>
        <w:pStyle w:val="ParaNum"/>
      </w:pPr>
      <w:bookmarkStart w:id="111" w:name="_Hlk142556720"/>
      <w:r w:rsidRPr="00036C58">
        <w:rPr>
          <w:szCs w:val="22"/>
        </w:rPr>
        <w:t>The Commission anticipa</w:t>
      </w:r>
      <w:r w:rsidRPr="00036C58">
        <w:rPr>
          <w:szCs w:val="22"/>
        </w:rPr>
        <w:t>tes</w:t>
      </w:r>
      <w:r>
        <w:rPr>
          <w:szCs w:val="22"/>
        </w:rPr>
        <w:t xml:space="preserve"> some of</w:t>
      </w:r>
      <w:r w:rsidRPr="00036C58">
        <w:rPr>
          <w:szCs w:val="22"/>
        </w:rPr>
        <w:t xml:space="preserve"> the approaches </w:t>
      </w:r>
      <w:r>
        <w:rPr>
          <w:szCs w:val="22"/>
        </w:rPr>
        <w:t>proposed</w:t>
      </w:r>
      <w:r w:rsidRPr="00036C58">
        <w:rPr>
          <w:szCs w:val="22"/>
        </w:rPr>
        <w:t xml:space="preserve"> to implement the requirements </w:t>
      </w:r>
      <w:r>
        <w:rPr>
          <w:szCs w:val="22"/>
        </w:rPr>
        <w:t xml:space="preserve">in the </w:t>
      </w:r>
      <w:r w:rsidRPr="00823082">
        <w:rPr>
          <w:i/>
          <w:iCs/>
          <w:szCs w:val="22"/>
        </w:rPr>
        <w:t>Second Report and Order</w:t>
      </w:r>
      <w:r>
        <w:rPr>
          <w:szCs w:val="22"/>
        </w:rPr>
        <w:t xml:space="preserve"> on existing direct access authorization holders </w:t>
      </w:r>
      <w:r w:rsidRPr="00036C58">
        <w:rPr>
          <w:szCs w:val="22"/>
        </w:rPr>
        <w:t>will have minimal or de minimis cost implications</w:t>
      </w:r>
      <w:r>
        <w:rPr>
          <w:szCs w:val="22"/>
        </w:rPr>
        <w:t xml:space="preserve"> because many of these obligations are required to comply with</w:t>
      </w:r>
      <w:r>
        <w:rPr>
          <w:szCs w:val="22"/>
        </w:rPr>
        <w:t xml:space="preserve"> existing Commission regulations.  </w:t>
      </w:r>
      <w:r w:rsidRPr="009F442C">
        <w:t xml:space="preserve">At this time however, the Commission is not in a position to determine whether, if adopted, proposals and the matters upon which we seek </w:t>
      </w:r>
      <w:r w:rsidRPr="009F442C">
        <w:rPr>
          <w:szCs w:val="22"/>
        </w:rPr>
        <w:t>comment will require small entities to hire professionals to comply, and cannot quan</w:t>
      </w:r>
      <w:r w:rsidRPr="009F442C">
        <w:rPr>
          <w:szCs w:val="22"/>
        </w:rPr>
        <w:t>tify the cost of compliance with the potential rule changes discussed herein.  We</w:t>
      </w:r>
      <w:r w:rsidRPr="001875F4">
        <w:rPr>
          <w:szCs w:val="22"/>
        </w:rPr>
        <w:t xml:space="preserve"> anticipate the information we receive in comments including where requested, cost and benefit analyses, will help the Commission identify and evaluate relevant compliance mat</w:t>
      </w:r>
      <w:r w:rsidRPr="001875F4">
        <w:rPr>
          <w:szCs w:val="22"/>
        </w:rPr>
        <w:t>ters for small entities, including compliance costs and other burdens that may result from the proposals and inquiries we make in the</w:t>
      </w:r>
      <w:r w:rsidRPr="001875F4">
        <w:rPr>
          <w:i/>
          <w:iCs/>
          <w:szCs w:val="22"/>
        </w:rPr>
        <w:t xml:space="preserve"> </w:t>
      </w:r>
      <w:r>
        <w:rPr>
          <w:i/>
          <w:iCs/>
          <w:szCs w:val="22"/>
        </w:rPr>
        <w:t>Second Further Notice</w:t>
      </w:r>
      <w:r w:rsidRPr="001875F4">
        <w:rPr>
          <w:szCs w:val="22"/>
        </w:rPr>
        <w:t>.</w:t>
      </w:r>
      <w:bookmarkEnd w:id="111"/>
    </w:p>
    <w:p w:rsidR="00756CCD" w:rsidP="00887C6A" w14:paraId="7DEB0C3A" w14:textId="42E385C2">
      <w:pPr>
        <w:pStyle w:val="Heading2"/>
      </w:pPr>
      <w:bookmarkStart w:id="112" w:name="_Toc146047093"/>
      <w:bookmarkStart w:id="113" w:name="_Toc146179085"/>
      <w:r>
        <w:t>Steps Taken to Minimize the Significant Economic Impact on Small Entities, and Significant Alternat</w:t>
      </w:r>
      <w:r>
        <w:t>ives Considered</w:t>
      </w:r>
      <w:bookmarkEnd w:id="112"/>
      <w:bookmarkEnd w:id="113"/>
    </w:p>
    <w:p w:rsidR="00756CCD" w:rsidP="00756CCD" w14:paraId="6A9317BA" w14:textId="77777777">
      <w:pPr>
        <w:pStyle w:val="ParaNum"/>
      </w:pPr>
      <w:r w:rsidRPr="00E67E71">
        <w:t>The RFA requires an agency to describe any significant</w:t>
      </w:r>
      <w:r>
        <w:t>, specifically small business,</w:t>
      </w:r>
      <w:r w:rsidRPr="00E67E71">
        <w:t xml:space="preserve"> alternatives that it has considered in reaching its proposed approach, which may include the following four alternatives (among others): </w:t>
      </w:r>
      <w:r>
        <w:t>“</w:t>
      </w:r>
      <w:r w:rsidRPr="00E67E71">
        <w:t>(1) the establish</w:t>
      </w:r>
      <w:r w:rsidRPr="00E67E71">
        <w:t xml:space="preserve">ment of differing compliance or reporting requirements or </w:t>
      </w:r>
      <w:r w:rsidRPr="00E67E71">
        <w:rPr>
          <w:rStyle w:val="StyleParaNum11pt1CharCharCharCharCharCharChar"/>
        </w:rPr>
        <w:t>timetables</w:t>
      </w:r>
      <w:r w:rsidRPr="00E67E71">
        <w:t xml:space="preserve"> that take into account the resources available to small entities; (2) the clarification, consolidation, or simplification of compliance and reporting requirements under the rules for such</w:t>
      </w:r>
      <w:r w:rsidRPr="00E67E71">
        <w:t xml:space="preserve"> small entities; (3) the use of performance rather than design standards; and (4) an exemption from coverage of the rule, or any part thereof, for such small entities.</w:t>
      </w:r>
      <w:r>
        <w:t>”</w:t>
      </w:r>
      <w:r>
        <w:rPr>
          <w:rStyle w:val="FootnoteReference"/>
        </w:rPr>
        <w:footnoteReference w:id="499"/>
      </w:r>
    </w:p>
    <w:p w:rsidR="00756CCD" w:rsidP="00C47A9E" w14:paraId="280220ED" w14:textId="77777777">
      <w:pPr>
        <w:pStyle w:val="ParaNum"/>
        <w:widowControl/>
      </w:pPr>
      <w:r>
        <w:t>The Commission considered the possibility that burdens may be imposed on interconnected VoIP service providers (small or large) if we adopt rules that propose to strengthen requirements for existing direct access authorization holders.  The Commission welc</w:t>
      </w:r>
      <w:r>
        <w:t xml:space="preserve">omes comments on any of the issues raised in the </w:t>
      </w:r>
      <w:r w:rsidRPr="00F34E95">
        <w:rPr>
          <w:i/>
          <w:iCs/>
        </w:rPr>
        <w:t>Second Further Notice</w:t>
      </w:r>
      <w:r w:rsidRPr="00655528">
        <w:t xml:space="preserve"> </w:t>
      </w:r>
      <w:r w:rsidRPr="00C363DA">
        <w:t>that will impact small providers.  In particular, the</w:t>
      </w:r>
      <w:r w:rsidRPr="00655528">
        <w:t xml:space="preserve"> </w:t>
      </w:r>
      <w:r w:rsidRPr="00F34E95">
        <w:rPr>
          <w:i/>
          <w:iCs/>
        </w:rPr>
        <w:t>Second Further Notice</w:t>
      </w:r>
      <w:r w:rsidRPr="00C363DA">
        <w:t xml:space="preserve"> </w:t>
      </w:r>
      <w:r>
        <w:t xml:space="preserve">considered and </w:t>
      </w:r>
      <w:r w:rsidRPr="00C363DA">
        <w:t>seeks comment on whether requiring existing direct access authorization holders to meet the ne</w:t>
      </w:r>
      <w:r w:rsidRPr="00C363DA">
        <w:t xml:space="preserve">w requirements of the </w:t>
      </w:r>
      <w:r w:rsidRPr="00F34E95">
        <w:rPr>
          <w:i/>
          <w:iCs/>
        </w:rPr>
        <w:t>Second Report and Order</w:t>
      </w:r>
      <w:r w:rsidRPr="00C363DA">
        <w:t xml:space="preserve"> is necessary</w:t>
      </w:r>
      <w:r>
        <w:t>,</w:t>
      </w:r>
      <w:r w:rsidRPr="00C363DA">
        <w:t xml:space="preserve"> or would be unduly burdensome</w:t>
      </w:r>
      <w:r>
        <w:t>,</w:t>
      </w:r>
      <w:r w:rsidRPr="00C363DA">
        <w:t xml:space="preserve"> and whether the proposed </w:t>
      </w:r>
      <w:r>
        <w:t>30-day timeframe</w:t>
      </w:r>
      <w:r w:rsidRPr="00C363DA">
        <w:t xml:space="preserve"> for compliance is sufficient.</w:t>
      </w:r>
      <w:r>
        <w:rPr>
          <w:rStyle w:val="FootnoteReference"/>
        </w:rPr>
        <w:footnoteReference w:id="500"/>
      </w:r>
      <w:r w:rsidRPr="00C363DA">
        <w:t xml:space="preserve">  The </w:t>
      </w:r>
      <w:r w:rsidRPr="00F34E95">
        <w:rPr>
          <w:i/>
          <w:iCs/>
        </w:rPr>
        <w:t>Second Further Notice</w:t>
      </w:r>
      <w:r w:rsidRPr="00C363DA">
        <w:t xml:space="preserve"> also </w:t>
      </w:r>
      <w:r>
        <w:t>requests</w:t>
      </w:r>
      <w:r w:rsidRPr="00C363DA">
        <w:t xml:space="preserve"> comment on possible burdens associated with requir</w:t>
      </w:r>
      <w:r w:rsidRPr="00C363DA">
        <w:t>ing direct access applicants to provide their initial proposed service area and the states where they intend to provide service and whether better options exist.</w:t>
      </w:r>
      <w:r>
        <w:rPr>
          <w:rStyle w:val="FootnoteReference"/>
        </w:rPr>
        <w:footnoteReference w:id="501"/>
      </w:r>
      <w:r w:rsidRPr="00C363DA">
        <w:t xml:space="preserve">  </w:t>
      </w:r>
      <w:r>
        <w:t>In addition,</w:t>
      </w:r>
      <w:r w:rsidRPr="00C363DA">
        <w:t xml:space="preserve"> the </w:t>
      </w:r>
      <w:r w:rsidRPr="00F34E95">
        <w:rPr>
          <w:i/>
          <w:iCs/>
        </w:rPr>
        <w:t>Second Further Notice</w:t>
      </w:r>
      <w:r w:rsidRPr="00C363DA">
        <w:t xml:space="preserve"> seeks comment on the potential burdens and impact of</w:t>
      </w:r>
      <w:r w:rsidRPr="00C363DA">
        <w:t xml:space="preserve"> requiring direct access authorization holders that </w:t>
      </w:r>
      <w:r>
        <w:t xml:space="preserve">sell, lease, or otherwise </w:t>
      </w:r>
      <w:r>
        <w:t>provide telephone numbers to an interconnected VoIP provider</w:t>
      </w:r>
      <w:r w:rsidRPr="00C363DA">
        <w:t xml:space="preserve"> to obtain certifications, acknowledgments, and disclosures from </w:t>
      </w:r>
      <w:r w:rsidRPr="002C0D9B">
        <w:t>them as if they were applying for a direct access aut</w:t>
      </w:r>
      <w:r w:rsidRPr="002C0D9B">
        <w:t>horization.</w:t>
      </w:r>
      <w:r>
        <w:rPr>
          <w:rStyle w:val="FootnoteReference"/>
        </w:rPr>
        <w:footnoteReference w:id="502"/>
      </w:r>
    </w:p>
    <w:p w:rsidR="00756CCD" w:rsidP="00756CCD" w14:paraId="74B5DC37" w14:textId="77777777">
      <w:pPr>
        <w:pStyle w:val="ParaNum"/>
      </w:pPr>
      <w:bookmarkStart w:id="114" w:name="_Hlk142557285"/>
      <w:r w:rsidRPr="00F34E95">
        <w:t>The</w:t>
      </w:r>
      <w:r w:rsidRPr="003D6239">
        <w:rPr>
          <w:i/>
          <w:iCs/>
        </w:rPr>
        <w:t xml:space="preserve"> Second Further Notice</w:t>
      </w:r>
      <w:r>
        <w:t xml:space="preserve"> proposes</w:t>
      </w:r>
      <w:r w:rsidRPr="00D303B6">
        <w:t xml:space="preserve"> that authorization holders </w:t>
      </w:r>
      <w:r>
        <w:t>be allowed to</w:t>
      </w:r>
      <w:r w:rsidRPr="00D303B6">
        <w:t xml:space="preserve"> continue to use numbers they obtained prior to submitting </w:t>
      </w:r>
      <w:r>
        <w:t xml:space="preserve">updated or </w:t>
      </w:r>
      <w:r w:rsidRPr="00D303B6">
        <w:t>corrected</w:t>
      </w:r>
      <w:r>
        <w:t xml:space="preserve"> ownership</w:t>
      </w:r>
      <w:r w:rsidRPr="00D303B6">
        <w:t xml:space="preserve"> information to the Bureau unless the Bureau determines that the authorization</w:t>
      </w:r>
      <w:r w:rsidRPr="00D303B6">
        <w:t xml:space="preserve"> must be revoked per the formal revocation procedure we adopt </w:t>
      </w:r>
      <w:r>
        <w:t xml:space="preserve">in the </w:t>
      </w:r>
      <w:r w:rsidRPr="00CB1F9A">
        <w:rPr>
          <w:i/>
        </w:rPr>
        <w:t>Second Report and Order</w:t>
      </w:r>
      <w:r w:rsidRPr="00D303B6">
        <w:t>.</w:t>
      </w:r>
      <w:r>
        <w:rPr>
          <w:rStyle w:val="FootnoteReference"/>
        </w:rPr>
        <w:footnoteReference w:id="503"/>
      </w:r>
      <w:r>
        <w:t xml:space="preserve">  Alternatively, we seek comment on whether this step is necessary to narrow the gap in our oversight ability to reach bad actors with respect to numbering resou</w:t>
      </w:r>
      <w:r>
        <w:t>rces, and other factors the Commission should consider to enforce these rules.</w:t>
      </w:r>
      <w:r>
        <w:rPr>
          <w:rStyle w:val="FootnoteReference"/>
        </w:rPr>
        <w:footnoteReference w:id="504"/>
      </w:r>
      <w:bookmarkEnd w:id="114"/>
      <w:r w:rsidRPr="002C0D9B">
        <w:t xml:space="preserve">  </w:t>
      </w:r>
    </w:p>
    <w:p w:rsidR="00756CCD" w:rsidRPr="00C363DA" w:rsidP="00756CCD" w14:paraId="7FCE2C0D" w14:textId="77777777">
      <w:pPr>
        <w:pStyle w:val="ParaNum"/>
      </w:pPr>
      <w:bookmarkStart w:id="115" w:name="_Hlk130287534"/>
      <w:r>
        <w:t xml:space="preserve">To </w:t>
      </w:r>
      <w:r w:rsidRPr="00581F42">
        <w:t>assist in the Commission’s evaluation of the</w:t>
      </w:r>
      <w:r w:rsidRPr="002C0D9B">
        <w:t xml:space="preserve"> economic impact on small entities, as a result of actions</w:t>
      </w:r>
      <w:r w:rsidRPr="00A50ACC">
        <w:t xml:space="preserve"> that have been proposed in </w:t>
      </w:r>
      <w:r w:rsidRPr="00C363DA">
        <w:t xml:space="preserve">the </w:t>
      </w:r>
      <w:r w:rsidRPr="00F34E95">
        <w:rPr>
          <w:i/>
          <w:iCs/>
        </w:rPr>
        <w:t>Second Further Notice</w:t>
      </w:r>
      <w:r w:rsidRPr="00C363DA">
        <w:t>, and to better explore options and alternatives, the Commission seeks comment on whether any of the burdens associated with the filing, recordkeeping and reporting requirements described above can be minimized for small entities.  Additionally, the Commis</w:t>
      </w:r>
      <w:r w:rsidRPr="00C363DA">
        <w:t>sion seeks comment on whether any of the costs associated with any of the proposed requirements to eliminate unlawful robocalls can be alleviated for small entities.  The Commission expects to more fully consider the economic impact and alternatives for sm</w:t>
      </w:r>
      <w:r w:rsidRPr="00C363DA">
        <w:t xml:space="preserve">all entities based on its review of the record and any comments filed in response to the </w:t>
      </w:r>
      <w:r w:rsidRPr="00EC11BD">
        <w:rPr>
          <w:i/>
          <w:iCs/>
        </w:rPr>
        <w:t>Second Further Notice</w:t>
      </w:r>
      <w:r w:rsidRPr="00C363DA">
        <w:t xml:space="preserve"> and this IRFA</w:t>
      </w:r>
      <w:bookmarkEnd w:id="115"/>
      <w:r w:rsidRPr="00C363DA">
        <w:t>.</w:t>
      </w:r>
    </w:p>
    <w:p w:rsidR="00756CCD" w:rsidP="00887C6A" w14:paraId="68AC3B11" w14:textId="3F8E2FC5">
      <w:pPr>
        <w:pStyle w:val="Heading2"/>
      </w:pPr>
      <w:bookmarkStart w:id="116" w:name="_Toc146047094"/>
      <w:bookmarkStart w:id="117" w:name="_Toc146179086"/>
      <w:bookmarkStart w:id="118" w:name="start_from_here"/>
      <w:r>
        <w:t>Federal Rules that May Duplicate, Overlap, or Conflict with the Proposed Rules</w:t>
      </w:r>
      <w:bookmarkEnd w:id="116"/>
      <w:bookmarkEnd w:id="117"/>
      <w:bookmarkEnd w:id="118"/>
    </w:p>
    <w:p w:rsidR="00756CCD" w:rsidP="00756CCD" w14:paraId="31644ED0" w14:textId="3F54A299">
      <w:pPr>
        <w:pStyle w:val="ParaNum"/>
      </w:pPr>
      <w:r>
        <w:t xml:space="preserve">None. </w:t>
      </w:r>
    </w:p>
    <w:p w:rsidR="00B807F5" w:rsidP="00B807F5" w14:paraId="17CB41FE" w14:textId="77777777">
      <w:pPr>
        <w:sectPr w:rsidSect="00756CCD">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p>
    <w:p w:rsidR="00187482" w:rsidRPr="005577AD" w:rsidP="00187482" w14:paraId="115D718D" w14:textId="77777777">
      <w:pPr>
        <w:jc w:val="center"/>
        <w:rPr>
          <w:b/>
          <w:bCs/>
          <w:caps/>
          <w:szCs w:val="22"/>
        </w:rPr>
      </w:pPr>
      <w:r w:rsidRPr="005577AD">
        <w:rPr>
          <w:b/>
          <w:bCs/>
          <w:caps/>
          <w:szCs w:val="22"/>
        </w:rPr>
        <w:t>Statement of</w:t>
      </w:r>
    </w:p>
    <w:p w:rsidR="00187482" w:rsidRPr="005577AD" w:rsidP="00187482" w14:paraId="48D9FB40" w14:textId="77777777">
      <w:pPr>
        <w:jc w:val="center"/>
        <w:rPr>
          <w:b/>
          <w:bCs/>
          <w:caps/>
          <w:szCs w:val="22"/>
        </w:rPr>
      </w:pPr>
      <w:r>
        <w:rPr>
          <w:b/>
          <w:bCs/>
          <w:caps/>
          <w:szCs w:val="22"/>
        </w:rPr>
        <w:t>CHAIRWOMAN JESSICA ROSENWORCEL</w:t>
      </w:r>
    </w:p>
    <w:p w:rsidR="00187482" w:rsidRPr="005577AD" w:rsidP="00187482" w14:paraId="6D889599" w14:textId="77777777">
      <w:pPr>
        <w:jc w:val="center"/>
        <w:rPr>
          <w:b/>
          <w:bCs/>
          <w:caps/>
          <w:szCs w:val="22"/>
        </w:rPr>
      </w:pPr>
    </w:p>
    <w:p w:rsidR="00187482" w:rsidRPr="00E95AC4" w:rsidP="00187482" w14:paraId="2BDFF622" w14:textId="77777777">
      <w:pPr>
        <w:ind w:left="720" w:hanging="720"/>
        <w:rPr>
          <w:i/>
          <w:iCs/>
          <w:szCs w:val="22"/>
        </w:rPr>
      </w:pPr>
      <w:r w:rsidRPr="00E95AC4">
        <w:rPr>
          <w:iCs/>
          <w:szCs w:val="22"/>
        </w:rPr>
        <w:t>Re:</w:t>
      </w:r>
      <w:r w:rsidRPr="00E95AC4">
        <w:rPr>
          <w:szCs w:val="22"/>
        </w:rPr>
        <w:t xml:space="preserve"> </w:t>
      </w:r>
      <w:r w:rsidRPr="00E95AC4">
        <w:rPr>
          <w:szCs w:val="22"/>
        </w:rPr>
        <w:tab/>
      </w:r>
      <w:r w:rsidRPr="00E95AC4">
        <w:rPr>
          <w:i/>
          <w:iCs/>
          <w:spacing w:val="-2"/>
          <w:szCs w:val="22"/>
        </w:rPr>
        <w:t>Numbering Policies for Modern Communications</w:t>
      </w:r>
      <w:r w:rsidRPr="00E95AC4">
        <w:rPr>
          <w:spacing w:val="-2"/>
          <w:szCs w:val="22"/>
        </w:rPr>
        <w:t xml:space="preserve">, WC Docket No. 13-97, </w:t>
      </w:r>
      <w:r w:rsidRPr="00E95AC4">
        <w:rPr>
          <w:i/>
          <w:iCs/>
          <w:spacing w:val="-2"/>
          <w:szCs w:val="22"/>
        </w:rPr>
        <w:t>Telephone Number Requirements for IP-Enabled Service Providers</w:t>
      </w:r>
      <w:r w:rsidRPr="00E95AC4">
        <w:rPr>
          <w:spacing w:val="-2"/>
          <w:szCs w:val="22"/>
        </w:rPr>
        <w:t xml:space="preserve">, WC Docket No. 07-243, </w:t>
      </w:r>
      <w:r w:rsidRPr="00E95AC4">
        <w:rPr>
          <w:i/>
          <w:iCs/>
          <w:spacing w:val="-2"/>
          <w:szCs w:val="22"/>
        </w:rPr>
        <w:t>Implementation of the TRACED Act Section 6(a) – Knowl</w:t>
      </w:r>
      <w:r w:rsidRPr="00E95AC4">
        <w:rPr>
          <w:i/>
          <w:iCs/>
          <w:spacing w:val="-2"/>
          <w:szCs w:val="22"/>
        </w:rPr>
        <w:t>edge of Customers by Entities with Access to Numbering Resources,</w:t>
      </w:r>
      <w:r w:rsidRPr="00E95AC4">
        <w:rPr>
          <w:spacing w:val="-2"/>
          <w:szCs w:val="22"/>
        </w:rPr>
        <w:t xml:space="preserve"> WC Docket No. 20-67, </w:t>
      </w:r>
      <w:r w:rsidRPr="00E95AC4">
        <w:rPr>
          <w:i/>
          <w:iCs/>
          <w:spacing w:val="-2"/>
          <w:szCs w:val="22"/>
        </w:rPr>
        <w:t>Process Reform for Executive Branch Review of Certain FCC Applications and Petitions Involving Foreign Ownership</w:t>
      </w:r>
      <w:r w:rsidRPr="00E95AC4">
        <w:rPr>
          <w:spacing w:val="-2"/>
          <w:szCs w:val="22"/>
        </w:rPr>
        <w:t>, IB Docket No. 16-115, Second Report and Order and Secon</w:t>
      </w:r>
      <w:r w:rsidRPr="00E95AC4">
        <w:rPr>
          <w:spacing w:val="-2"/>
          <w:szCs w:val="22"/>
        </w:rPr>
        <w:t>d Further Notice of Proposed Rulemaking (September 21, 2023)</w:t>
      </w:r>
      <w:r>
        <w:rPr>
          <w:spacing w:val="-2"/>
          <w:szCs w:val="22"/>
        </w:rPr>
        <w:t>.</w:t>
      </w:r>
      <w:r w:rsidRPr="00E95AC4">
        <w:rPr>
          <w:szCs w:val="22"/>
        </w:rPr>
        <w:tab/>
      </w:r>
    </w:p>
    <w:p w:rsidR="00187482" w:rsidRPr="00E95AC4" w:rsidP="00187482" w14:paraId="49F25164" w14:textId="77777777">
      <w:pPr>
        <w:ind w:firstLine="720"/>
        <w:rPr>
          <w:szCs w:val="22"/>
        </w:rPr>
      </w:pPr>
    </w:p>
    <w:p w:rsidR="00187482" w:rsidRPr="00E95AC4" w:rsidP="00187482" w14:paraId="70293767" w14:textId="77777777">
      <w:pPr>
        <w:spacing w:after="120"/>
        <w:ind w:firstLine="720"/>
        <w:rPr>
          <w:szCs w:val="22"/>
        </w:rPr>
      </w:pPr>
      <w:r w:rsidRPr="00E95AC4">
        <w:rPr>
          <w:szCs w:val="22"/>
        </w:rPr>
        <w:t>At the Federal Communications Commission we are combing through our rules and looking for ways to cut off illegal robocalls so those behind them can no longer reach us with their junk schemes.</w:t>
      </w:r>
      <w:r w:rsidRPr="00E95AC4">
        <w:rPr>
          <w:szCs w:val="22"/>
        </w:rPr>
        <w:t xml:space="preserve">  Today, we update our numbering policies to make it harder for these scam artists when they use Voice over Internet Protocol—or VoIP—services.  </w:t>
      </w:r>
    </w:p>
    <w:p w:rsidR="00187482" w:rsidRPr="00E95AC4" w:rsidP="00187482" w14:paraId="783F4E98" w14:textId="77777777">
      <w:pPr>
        <w:spacing w:after="120"/>
        <w:rPr>
          <w:szCs w:val="22"/>
        </w:rPr>
      </w:pPr>
      <w:r w:rsidRPr="00E95AC4">
        <w:rPr>
          <w:szCs w:val="22"/>
        </w:rPr>
        <w:tab/>
        <w:t>It was eight years ago that this agency decided to allow interconnected VoIP providers to obtain telephone nu</w:t>
      </w:r>
      <w:r w:rsidRPr="00E95AC4">
        <w:rPr>
          <w:szCs w:val="22"/>
        </w:rPr>
        <w:t>mbers directly from our numbering administrator.  Before that, they could only get numbers by making a request through a traditional carrier.  In the intervening years, we have seen benefits from simplifying this system.  But now we are reaping some uninte</w:t>
      </w:r>
      <w:r w:rsidRPr="00E95AC4">
        <w:rPr>
          <w:szCs w:val="22"/>
        </w:rPr>
        <w:t>nded consequences.  Too often the providers picking up these numbers en masse are the same folks using VoIP technology to facilitate robocalls.  So in the interest of curbing these bad actors, we are adopting new guardrails.  We are putting conditions on d</w:t>
      </w:r>
      <w:r w:rsidRPr="00E95AC4">
        <w:rPr>
          <w:szCs w:val="22"/>
        </w:rPr>
        <w:t xml:space="preserve">irect access to numbering resources to make sure we do not hand out numbers to perpetrators of illegal robocalls.  This will safeguard our numbering resources, make life harder for those who want to send us junk calls and a little easier for all of us who </w:t>
      </w:r>
      <w:r w:rsidRPr="00E95AC4">
        <w:rPr>
          <w:szCs w:val="22"/>
        </w:rPr>
        <w:t xml:space="preserve">don’t like getting them.   </w:t>
      </w:r>
    </w:p>
    <w:p w:rsidR="00187482" w:rsidRPr="00E95AC4" w:rsidP="00187482" w14:paraId="2FB717E1" w14:textId="77777777">
      <w:pPr>
        <w:spacing w:after="120"/>
        <w:ind w:firstLine="720"/>
        <w:rPr>
          <w:szCs w:val="22"/>
        </w:rPr>
      </w:pPr>
      <w:r w:rsidRPr="00E95AC4">
        <w:rPr>
          <w:szCs w:val="22"/>
        </w:rPr>
        <w:t>For their work on this proceeding, I’d like to thank the Robocall Response Team and staff, including Callie Coker, Ty Covey, Lynne Engledow, Trent Harkrader, Heather Hendrickson, Edward Krachmer, Jodie May, Albert Lewis, Terri N</w:t>
      </w:r>
      <w:r w:rsidRPr="00E95AC4">
        <w:rPr>
          <w:szCs w:val="22"/>
        </w:rPr>
        <w:t>atoli, Margoux Newman, Jordan Reth, Zach Ross, Michelle Sclater, Mason Shefa, Christi Shewman, Gil Strobel, and Raphael Sznajder of the Wireline Competition Bureau; Loyaan Egal, Jessica Manuel, and Daniel Stepanicich of the Enforcement Bureau; John Evanoff</w:t>
      </w:r>
      <w:r w:rsidRPr="00E95AC4">
        <w:rPr>
          <w:szCs w:val="22"/>
        </w:rPr>
        <w:t>, David Furth, and Debra Jordan of the Public Safety and Homeland Security Bureau; Cameron Duncan, Jennifer Saulhus, and Joel Taubenblatt of the Wireless Telecommunications Bureau; Jerusha Burnett and Alejandro Roark of the Consumer and Governmental Affair</w:t>
      </w:r>
      <w:r w:rsidRPr="00E95AC4">
        <w:rPr>
          <w:szCs w:val="22"/>
        </w:rPr>
        <w:t>s Bureau; Denise Coca, Francis Gutierrez, Gabrielle Kim, David Krech, Arthur Lechtman, Ethan Lucarelli, and Thomas Sullivan of the Office of International Affairs; Guilia McHenry, Mark Montano, Eugene Kiselev, Eric Ralph, Stacy Jordan, and Pramesh Jobanput</w:t>
      </w:r>
      <w:r w:rsidRPr="00E95AC4">
        <w:rPr>
          <w:szCs w:val="22"/>
        </w:rPr>
        <w:t>ra of the Office of Economics and Analytics; Terry Cavanaugh, Michele Ellison, Richard Mallen, Anjali Singh, Royce Sherlock, and Chin Yoo of the Office of General Counsel; and Joycelyn James, Joy Ragsdale, and Chana Wilkerson of the Office of Communication</w:t>
      </w:r>
      <w:r w:rsidRPr="00E95AC4">
        <w:rPr>
          <w:szCs w:val="22"/>
        </w:rPr>
        <w:t>s Business Opportunities.</w:t>
      </w:r>
    </w:p>
    <w:p w:rsidR="00187482" w:rsidRPr="00E95AC4" w:rsidP="00187482" w14:paraId="1E1BD38E" w14:textId="77777777">
      <w:pPr>
        <w:widowControl/>
        <w:ind w:firstLine="720"/>
        <w:rPr>
          <w:szCs w:val="22"/>
        </w:rPr>
      </w:pPr>
    </w:p>
    <w:p w:rsidR="00187482" w:rsidRPr="00E95AC4" w:rsidP="00187482" w14:paraId="2C8FA6A2" w14:textId="77777777">
      <w:pPr>
        <w:rPr>
          <w:szCs w:val="22"/>
        </w:rPr>
      </w:pPr>
    </w:p>
    <w:p w:rsidR="00187482" w:rsidRPr="00E95AC4" w:rsidP="00187482" w14:paraId="1DF86999" w14:textId="77777777">
      <w:pPr>
        <w:rPr>
          <w:szCs w:val="22"/>
        </w:rPr>
      </w:pPr>
    </w:p>
    <w:p w:rsidR="00DF0BCF" w:rsidRPr="00756CCD" w:rsidP="00B807F5" w14:paraId="5F2A2D4C" w14:textId="77777777"/>
    <w:sectPr w:rsidSect="00187482">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6B3F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6C4D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56CCD" w14:paraId="348B715F" w14:textId="38B5F3A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393F9A"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6CCD" w:rsidP="00756CCD" w14:paraId="7EDF74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6CCD" w:rsidP="00756CCD" w14:paraId="39A3F0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6CCD" w:rsidP="00756CCD" w14:paraId="210537A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CFF2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68C8F5C"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5B603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68723BB"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A71D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5B0D" w14:paraId="456095E9" w14:textId="77777777">
      <w:r>
        <w:separator/>
      </w:r>
    </w:p>
  </w:footnote>
  <w:footnote w:type="continuationSeparator" w:id="1">
    <w:p w:rsidR="00E85B0D" w:rsidP="00C721AC" w14:paraId="02E3892F" w14:textId="77777777">
      <w:pPr>
        <w:spacing w:before="120"/>
        <w:rPr>
          <w:sz w:val="20"/>
        </w:rPr>
      </w:pPr>
      <w:r>
        <w:rPr>
          <w:sz w:val="20"/>
        </w:rPr>
        <w:t xml:space="preserve">(Continued from previous page)  </w:t>
      </w:r>
      <w:r>
        <w:rPr>
          <w:sz w:val="20"/>
        </w:rPr>
        <w:separator/>
      </w:r>
    </w:p>
  </w:footnote>
  <w:footnote w:type="continuationNotice" w:id="2">
    <w:p w:rsidR="00E85B0D" w:rsidP="00C721AC" w14:paraId="545F4BA6" w14:textId="77777777">
      <w:pPr>
        <w:jc w:val="right"/>
        <w:rPr>
          <w:sz w:val="20"/>
        </w:rPr>
      </w:pPr>
      <w:r>
        <w:rPr>
          <w:sz w:val="20"/>
        </w:rPr>
        <w:t>(continued….)</w:t>
      </w:r>
    </w:p>
  </w:footnote>
  <w:footnote w:id="3">
    <w:p w:rsidR="006807AE" w:rsidRPr="00B60AD9" w:rsidP="006807AE" w14:paraId="01B395DE" w14:textId="77777777">
      <w:pPr>
        <w:pStyle w:val="FootnoteText"/>
      </w:pPr>
      <w:r w:rsidRPr="00B60AD9">
        <w:rPr>
          <w:rStyle w:val="FootnoteReference"/>
        </w:rPr>
        <w:footnoteRef/>
      </w:r>
      <w:r w:rsidRPr="00B60AD9">
        <w:t xml:space="preserve"> The rising tide of robocalls and the emergence of VoIP go hand in hand.  Driven in part by the rise of VoIP, the telecommunications industry has transitioned from a limited number of carriers that all trusted each other to provide accurate calling party o</w:t>
      </w:r>
      <w:r w:rsidRPr="00B60AD9">
        <w:t xml:space="preserve">rigination information to a proliferation of vastly different voice service providers and entities originating calls, which allows consumers to enjoy the benefits of increased competition but also creates new ways for bad actors to undermine trust.  </w:t>
      </w:r>
      <w:r w:rsidRPr="00B60AD9">
        <w:rPr>
          <w:i/>
          <w:iCs/>
        </w:rPr>
        <w:t>Call A</w:t>
      </w:r>
      <w:r w:rsidRPr="00B60AD9">
        <w:rPr>
          <w:i/>
          <w:iCs/>
        </w:rPr>
        <w:t>uthentication Trust Anchor</w:t>
      </w:r>
      <w:r w:rsidRPr="00B60AD9">
        <w:t xml:space="preserve">; </w:t>
      </w:r>
      <w:r w:rsidRPr="00B60AD9">
        <w:rPr>
          <w:i/>
          <w:iCs/>
        </w:rPr>
        <w:t>Implementation of TRACED Act Section 6(a)—Knowledge of Customers by Entities with Access to Numbering Resources</w:t>
      </w:r>
      <w:r w:rsidRPr="00B60AD9">
        <w:t>, WC Docket Nos. 17-97 and 20-67, Report and Order and Further Notice of Proposed Rulemaking, 35 FCC Rcd 3241, 3243-4</w:t>
      </w:r>
      <w:r w:rsidRPr="00B60AD9">
        <w:t>4, para. 4 (2020) (</w:t>
      </w:r>
      <w:r w:rsidRPr="00B60AD9">
        <w:rPr>
          <w:i/>
          <w:iCs/>
        </w:rPr>
        <w:t>Caller ID Authentication First Report and Order</w:t>
      </w:r>
      <w:r w:rsidRPr="00B60AD9">
        <w:t xml:space="preserve">); </w:t>
      </w:r>
      <w:r w:rsidRPr="00B60AD9">
        <w:rPr>
          <w:i/>
          <w:iCs/>
        </w:rPr>
        <w:t>see also Call Authentication Trust Anchor</w:t>
      </w:r>
      <w:r w:rsidRPr="00B60AD9">
        <w:t>, WC Docket No. 17-97, Sixth Report and Order and Further Notice of Proposed Rulemaking, FCC 23-18, at 19-20, para. 34 (rel. Mar. 17, 2023) (</w:t>
      </w:r>
      <w:r w:rsidRPr="00B60AD9">
        <w:rPr>
          <w:i/>
          <w:iCs/>
        </w:rPr>
        <w:t>Calle</w:t>
      </w:r>
      <w:r w:rsidRPr="00B60AD9">
        <w:rPr>
          <w:i/>
          <w:iCs/>
        </w:rPr>
        <w:t>r ID Authentication Sixth Report and Order</w:t>
      </w:r>
      <w:r w:rsidRPr="00B60AD9">
        <w:t>); S.C. Dep’t of Consumer Aff. Comments at 4 (SCDCA Comments) (“VoIP originated calls are the largest portion of unwanted calls.”).</w:t>
      </w:r>
    </w:p>
  </w:footnote>
  <w:footnote w:id="4">
    <w:p w:rsidR="006807AE" w:rsidRPr="00B60AD9" w:rsidP="006807AE" w14:paraId="6189159A" w14:textId="77777777">
      <w:pPr>
        <w:pStyle w:val="FootnoteText"/>
      </w:pPr>
      <w:r w:rsidRPr="00B60AD9">
        <w:rPr>
          <w:rStyle w:val="FootnoteReference"/>
        </w:rPr>
        <w:footnoteRef/>
      </w:r>
      <w:r w:rsidRPr="00B60AD9">
        <w:t xml:space="preserve"> Pallone-Thune Telephone Robocall Abuse Criminal Enforcement and Deterrence Act, </w:t>
      </w:r>
      <w:r w:rsidRPr="00B60AD9">
        <w:t xml:space="preserve">Pub. L. No. 116-105 § 6(a) (2019) (TRACED Act).  Section 6(a) requires the Commission to examine its policies regarding access to both toll free and non-toll free telephone numbers.  </w:t>
      </w:r>
      <w:r w:rsidRPr="00B60AD9">
        <w:rPr>
          <w:i/>
          <w:iCs/>
        </w:rPr>
        <w:t>Id.</w:t>
      </w:r>
      <w:r w:rsidRPr="00B60AD9">
        <w:t xml:space="preserve">  The Commission initially sought comment regarding its policies in Ma</w:t>
      </w:r>
      <w:r w:rsidRPr="00B60AD9">
        <w:t xml:space="preserve">rch 2020.  </w:t>
      </w:r>
      <w:r w:rsidRPr="00B60AD9">
        <w:rPr>
          <w:i/>
          <w:iCs/>
        </w:rPr>
        <w:t>Caller ID Authentication First Report and Order</w:t>
      </w:r>
      <w:r w:rsidRPr="00B60AD9">
        <w:t xml:space="preserve">, 35 FCC Rcd at 3492-96, paras. 123-30.  While this </w:t>
      </w:r>
      <w:r w:rsidRPr="00B60AD9">
        <w:rPr>
          <w:i/>
        </w:rPr>
        <w:t>Second Report and Order</w:t>
      </w:r>
      <w:r w:rsidRPr="00B60AD9">
        <w:t xml:space="preserve"> addresses numbering resources generally, the issue of changes to our toll free numbering policy specifically remains under</w:t>
      </w:r>
      <w:r w:rsidRPr="00B60AD9">
        <w:t xml:space="preserve"> advisement.  For a definition of interconnected VoIP, </w:t>
      </w:r>
      <w:r w:rsidRPr="00B60AD9">
        <w:rPr>
          <w:i/>
          <w:iCs/>
        </w:rPr>
        <w:t xml:space="preserve">see </w:t>
      </w:r>
      <w:r w:rsidRPr="00B60AD9">
        <w:t xml:space="preserve">47 CFR § 9.3; </w:t>
      </w:r>
      <w:r w:rsidRPr="00B60AD9">
        <w:rPr>
          <w:i/>
          <w:iCs/>
        </w:rPr>
        <w:t xml:space="preserve">see also </w:t>
      </w:r>
      <w:r w:rsidRPr="00B60AD9">
        <w:t>47 CFR § 52.5(b); 47 U.S.C. § 153(25).</w:t>
      </w:r>
    </w:p>
  </w:footnote>
  <w:footnote w:id="5">
    <w:p w:rsidR="006807AE" w:rsidRPr="00B60AD9" w:rsidP="006807AE" w14:paraId="630E9860" w14:textId="77777777">
      <w:pPr>
        <w:pStyle w:val="FootnoteText"/>
      </w:pPr>
      <w:r w:rsidRPr="00B60AD9">
        <w:rPr>
          <w:rStyle w:val="FootnoteReference"/>
        </w:rPr>
        <w:footnoteRef/>
      </w:r>
      <w:r w:rsidRPr="00B60AD9">
        <w:t xml:space="preserve"> </w:t>
      </w:r>
      <w:r w:rsidRPr="00B60AD9">
        <w:rPr>
          <w:i/>
          <w:iCs/>
        </w:rPr>
        <w:t xml:space="preserve">See Caller ID Authentication Sixth Report and Order </w:t>
      </w:r>
      <w:r w:rsidRPr="00B60AD9">
        <w:t>at 2, para. 2 n.5.  STIR/SHAKEN stands for Secure Telephone Identity Revisited, a</w:t>
      </w:r>
      <w:r w:rsidRPr="00B60AD9">
        <w:t>nd Signature-based Handling of Asserted information using toKENs.</w:t>
      </w:r>
    </w:p>
  </w:footnote>
  <w:footnote w:id="6">
    <w:p w:rsidR="006807AE" w:rsidRPr="00B60AD9" w:rsidP="006807AE" w14:paraId="41F88D24" w14:textId="77777777">
      <w:pPr>
        <w:pStyle w:val="FootnoteText"/>
      </w:pPr>
      <w:r w:rsidRPr="00B60AD9">
        <w:rPr>
          <w:rStyle w:val="FootnoteReference"/>
        </w:rPr>
        <w:footnoteRef/>
      </w:r>
      <w:r w:rsidRPr="00B60AD9">
        <w:rPr>
          <w:i/>
          <w:lang w:val="es-ES"/>
        </w:rPr>
        <w:t xml:space="preserve"> Id.</w:t>
      </w:r>
      <w:r w:rsidRPr="00B60AD9">
        <w:rPr>
          <w:lang w:val="es-ES"/>
        </w:rPr>
        <w:t xml:space="preserve">; </w:t>
      </w:r>
      <w:r w:rsidRPr="00B60AD9">
        <w:rPr>
          <w:i/>
          <w:lang w:val="es-ES"/>
        </w:rPr>
        <w:t>Sumco Panama SA et al.</w:t>
      </w:r>
      <w:r w:rsidRPr="00B60AD9">
        <w:rPr>
          <w:lang w:val="es-ES"/>
        </w:rPr>
        <w:t xml:space="preserve">, File No. </w:t>
      </w:r>
      <w:r w:rsidRPr="00B60AD9">
        <w:t xml:space="preserve">EB-TCD-21-00031913, Forfeiture Order, FCC 23-64 (Aug. 3, 2023) (levying an historic fine of almost $300 million against a variety of entities which placed over five billion illegal auto warranty robocalls to consumers between January 2021 and March 2021); </w:t>
      </w:r>
      <w:r w:rsidRPr="00B60AD9">
        <w:rPr>
          <w:i/>
          <w:iCs/>
        </w:rPr>
        <w:t>Robocall Enforcement Notice to All U.S.-Based Voice Service Providers</w:t>
      </w:r>
      <w:r w:rsidRPr="00B60AD9">
        <w:t>, File No. EB-TCD-20-00031678, Public Notice, DA 23-652 (EB Aug. 1, 2023) (notifying all U.S.-based voice service providers that if One Owl fails to mitigate apparently illegal robocalls,</w:t>
      </w:r>
      <w:r w:rsidRPr="00B60AD9">
        <w:t xml:space="preserve"> U.S.-based voice service providers may block voice calls or cease to accept traffic from One Owl, without liability under the Communications Act or the Commission’s rules);</w:t>
      </w:r>
      <w:r w:rsidRPr="00B60AD9">
        <w:rPr>
          <w:i/>
          <w:iCs/>
        </w:rPr>
        <w:t xml:space="preserve"> One Eye LLC</w:t>
      </w:r>
      <w:r w:rsidRPr="00B60AD9">
        <w:t xml:space="preserve">, File No. EB-TCD-20-00031678, Final Determination Order, DA 23-389 (EB May 11, 2023) (prohibiting voice service providers from accepting call traffic from One Eye LLC); </w:t>
      </w:r>
      <w:r w:rsidRPr="00B60AD9">
        <w:rPr>
          <w:i/>
          <w:iCs/>
        </w:rPr>
        <w:t>Urth Access, LLC</w:t>
      </w:r>
      <w:r w:rsidRPr="00B60AD9">
        <w:t xml:space="preserve">, File No. EB-TCD-22-00034232, Order, DA 22-1271 (EB Dec. 8, 2022), </w:t>
      </w:r>
      <w:hyperlink r:id="rId1" w:history="1">
        <w:r w:rsidRPr="00B60AD9">
          <w:rPr>
            <w:rStyle w:val="Hyperlink"/>
          </w:rPr>
          <w:t>https://docs.fcc.gov/public/attachments/DA-22-1271A1.pdf</w:t>
        </w:r>
      </w:hyperlink>
      <w:r w:rsidRPr="00B60AD9">
        <w:t xml:space="preserve"> (directing all U.S.-based voice service providers to take immediate steps to mitigate suspecte</w:t>
      </w:r>
      <w:r w:rsidRPr="00B60AD9">
        <w:t xml:space="preserve">d illegal student loan-related scam robocall traffic).  In October 2022, the Enforcement Bureau adopted orders to begin the process of removing seven voice service providers from the Robocall Mitigation Database for filing deficient certifications.  Press </w:t>
      </w:r>
      <w:r w:rsidRPr="00B60AD9">
        <w:t xml:space="preserve">Release, FCC, FCC Plans to Remove Companies from Key Database for Non-Compliance with Anti-Robocall Rules (Oct. 3, 2022), </w:t>
      </w:r>
      <w:hyperlink r:id="rId2" w:history="1">
        <w:r w:rsidRPr="00B60AD9">
          <w:rPr>
            <w:rStyle w:val="Hyperlink"/>
          </w:rPr>
          <w:t>https://www.fcc.gov/document/fcc-remo</w:t>
        </w:r>
        <w:r w:rsidRPr="00B60AD9">
          <w:rPr>
            <w:rStyle w:val="Hyperlink"/>
          </w:rPr>
          <w:t>ve-companies-robocall-database-non-compliance</w:t>
        </w:r>
      </w:hyperlink>
      <w:r w:rsidRPr="00B60AD9">
        <w:rPr>
          <w:rStyle w:val="Hyperlink"/>
          <w:color w:val="auto"/>
          <w:u w:val="none"/>
        </w:rPr>
        <w:t>.</w:t>
      </w:r>
      <w:r w:rsidRPr="00B60AD9">
        <w:t xml:space="preserve">  The </w:t>
      </w:r>
      <w:r w:rsidRPr="00B60AD9">
        <w:rPr>
          <w:iCs/>
        </w:rPr>
        <w:t>Commission has also entered into Memoranda of Understanding with 46 state jurisdictions, the District of Columbia, and Guam to establish critical information sharing an</w:t>
      </w:r>
      <w:r w:rsidRPr="00B60AD9">
        <w:rPr>
          <w:iCs/>
        </w:rPr>
        <w:t xml:space="preserve">d cooperation regarding robocalls.  </w:t>
      </w:r>
      <w:r w:rsidRPr="00B60AD9">
        <w:rPr>
          <w:i/>
        </w:rPr>
        <w:t xml:space="preserve">See </w:t>
      </w:r>
      <w:r w:rsidRPr="00B60AD9">
        <w:t xml:space="preserve">FCC, </w:t>
      </w:r>
      <w:r w:rsidRPr="00B60AD9">
        <w:rPr>
          <w:i/>
        </w:rPr>
        <w:t>State Robocall Investigation Partnerships</w:t>
      </w:r>
      <w:r w:rsidRPr="00B60AD9">
        <w:t xml:space="preserve">, </w:t>
      </w:r>
      <w:hyperlink r:id="rId3" w:history="1">
        <w:r w:rsidRPr="00B60AD9">
          <w:rPr>
            <w:rStyle w:val="Hyperlink"/>
          </w:rPr>
          <w:t>https://www.fcc.gov/fcc-state-robocall-investigation-partnerships</w:t>
        </w:r>
      </w:hyperlink>
      <w:r w:rsidRPr="00B60AD9">
        <w:t xml:space="preserve"> (last updated Aug. 3, 2023); Press Release, FCC, FCC Chairwoman and Illinois Attorney General Announce Robocall Enforcement Partnership (Feb. 17, 2023), </w:t>
      </w:r>
      <w:hyperlink r:id="rId4" w:history="1">
        <w:r w:rsidRPr="00B60AD9">
          <w:rPr>
            <w:rStyle w:val="Hyperlink"/>
          </w:rPr>
          <w:t>https://docs.fcc.g</w:t>
        </w:r>
        <w:r w:rsidRPr="00B60AD9">
          <w:rPr>
            <w:rStyle w:val="Hyperlink"/>
          </w:rPr>
          <w:t>ov/public/attachments/DOC-391161A1.pdf</w:t>
        </w:r>
      </w:hyperlink>
      <w:r w:rsidRPr="00B60AD9">
        <w:t>.</w:t>
      </w:r>
    </w:p>
  </w:footnote>
  <w:footnote w:id="7">
    <w:p w:rsidR="006807AE" w:rsidRPr="00B60AD9" w:rsidP="006807AE" w14:paraId="383E4506" w14:textId="77777777">
      <w:pPr>
        <w:pStyle w:val="FootnoteText"/>
      </w:pPr>
      <w:r w:rsidRPr="00B60AD9">
        <w:rPr>
          <w:rStyle w:val="FootnoteReference"/>
        </w:rPr>
        <w:footnoteRef/>
      </w:r>
      <w:r w:rsidRPr="00B60AD9">
        <w:t xml:space="preserve"> 47 CFR § 52.15(g)(2). </w:t>
      </w:r>
    </w:p>
  </w:footnote>
  <w:footnote w:id="8">
    <w:p w:rsidR="006807AE" w:rsidRPr="00B60AD9" w:rsidP="006807AE" w14:paraId="47EAD643" w14:textId="77777777">
      <w:pPr>
        <w:pStyle w:val="FootnoteText"/>
      </w:pPr>
      <w:r w:rsidRPr="00B60AD9">
        <w:rPr>
          <w:rStyle w:val="FootnoteReference"/>
        </w:rPr>
        <w:footnoteRef/>
      </w:r>
      <w:r w:rsidRPr="00B60AD9">
        <w:t xml:space="preserve"> </w:t>
      </w:r>
      <w:r w:rsidRPr="00B60AD9">
        <w:rPr>
          <w:i/>
          <w:iCs/>
        </w:rPr>
        <w:t>Id</w:t>
      </w:r>
      <w:r w:rsidRPr="00B60AD9">
        <w:rPr>
          <w:i/>
        </w:rPr>
        <w:t>.</w:t>
      </w:r>
      <w:r w:rsidRPr="00B60AD9">
        <w:t xml:space="preserve">  The North American Numbering Plan (NANP) is the basic numbering scheme for telecommunications networks located in the United States and its territori</w:t>
      </w:r>
      <w:r w:rsidRPr="00B60AD9">
        <w:t xml:space="preserve">es, Canada, and parts of the Caribbean.  </w:t>
      </w:r>
      <w:r w:rsidRPr="00B60AD9">
        <w:rPr>
          <w:i/>
          <w:iCs/>
        </w:rPr>
        <w:t>See</w:t>
      </w:r>
      <w:r w:rsidRPr="00B60AD9">
        <w:t xml:space="preserve"> </w:t>
      </w:r>
      <w:r w:rsidRPr="00B60AD9">
        <w:rPr>
          <w:i/>
          <w:iCs/>
        </w:rPr>
        <w:t>id.</w:t>
      </w:r>
      <w:r w:rsidRPr="00B60AD9">
        <w:t xml:space="preserve"> § 52.5(c).  NANP telephone numbers are ten-digit numbers consisting of a three-digit area code, followed by a three-digit central office code, followed by a four-digit line number.</w:t>
      </w:r>
    </w:p>
  </w:footnote>
  <w:footnote w:id="9">
    <w:p w:rsidR="006807AE" w:rsidRPr="00B60AD9" w:rsidP="006807AE" w14:paraId="172AB570" w14:textId="77777777">
      <w:pPr>
        <w:pStyle w:val="FootnoteText"/>
      </w:pPr>
      <w:r w:rsidRPr="00B60AD9">
        <w:rPr>
          <w:rStyle w:val="FootnoteReference"/>
        </w:rPr>
        <w:footnoteRef/>
      </w:r>
      <w:r w:rsidRPr="00B60AD9">
        <w:t xml:space="preserve"> </w:t>
      </w:r>
      <w:r w:rsidRPr="00B60AD9">
        <w:rPr>
          <w:i/>
          <w:iCs/>
        </w:rPr>
        <w:t>See Numbering Policies f</w:t>
      </w:r>
      <w:r w:rsidRPr="00B60AD9">
        <w:rPr>
          <w:i/>
          <w:iCs/>
        </w:rPr>
        <w:t>or Modern Communications et al.</w:t>
      </w:r>
      <w:r w:rsidRPr="00B60AD9">
        <w:t>, WC Docket Nos. 13-97 et al., Report and Order, 30 FCC Rcd 6839, 6841, para. 4 (2015),</w:t>
      </w:r>
      <w:r w:rsidRPr="00B60AD9">
        <w:rPr>
          <w:i/>
          <w:iCs/>
        </w:rPr>
        <w:t>appeal dismissed</w:t>
      </w:r>
      <w:r w:rsidRPr="00B60AD9">
        <w:t xml:space="preserve">, </w:t>
      </w:r>
      <w:r w:rsidRPr="00B60AD9">
        <w:rPr>
          <w:i/>
          <w:iCs/>
        </w:rPr>
        <w:t>NARUC v. FCC</w:t>
      </w:r>
      <w:r w:rsidRPr="00B60AD9">
        <w:t>, 851 F.3d 1324 (D.C. Cir. 2017) (</w:t>
      </w:r>
      <w:r w:rsidRPr="00B60AD9">
        <w:rPr>
          <w:i/>
          <w:iCs/>
        </w:rPr>
        <w:t>VoIP Direct Access Order</w:t>
      </w:r>
      <w:r w:rsidRPr="00B60AD9">
        <w:t>).</w:t>
      </w:r>
    </w:p>
  </w:footnote>
  <w:footnote w:id="10">
    <w:p w:rsidR="006807AE" w:rsidRPr="00B60AD9" w:rsidP="006807AE" w14:paraId="5C7F4F25" w14:textId="77777777">
      <w:pPr>
        <w:pStyle w:val="FootnoteText"/>
      </w:pPr>
      <w:r w:rsidRPr="00B60AD9">
        <w:rPr>
          <w:rStyle w:val="FootnoteReference"/>
          <w:i/>
          <w:iCs/>
        </w:rPr>
        <w:footnoteRef/>
      </w:r>
      <w:r w:rsidRPr="00B60AD9">
        <w:t xml:space="preserve"> </w:t>
      </w:r>
      <w:r w:rsidRPr="00B60AD9">
        <w:rPr>
          <w:i/>
          <w:iCs/>
        </w:rPr>
        <w:t>Id.</w:t>
      </w:r>
      <w:r w:rsidRPr="00B60AD9">
        <w:t xml:space="preserve"> at 6848, para. 21.  In this </w:t>
      </w:r>
      <w:r w:rsidRPr="00B60AD9">
        <w:rPr>
          <w:i/>
          <w:iCs/>
        </w:rPr>
        <w:t>Second</w:t>
      </w:r>
      <w:r w:rsidRPr="00B60AD9">
        <w:rPr>
          <w:i/>
          <w:iCs/>
        </w:rPr>
        <w:t xml:space="preserve"> Report and Order</w:t>
      </w:r>
      <w:r w:rsidRPr="00B60AD9">
        <w:t xml:space="preserve">, we refer to both the North American Numbering Plan Administrator and the Pooling Administrator as the Numbering Administrator.  Although these functions are described separately in our rules, </w:t>
      </w:r>
      <w:r w:rsidRPr="00B60AD9">
        <w:rPr>
          <w:i/>
          <w:iCs/>
        </w:rPr>
        <w:t>see,</w:t>
      </w:r>
      <w:r w:rsidRPr="00B60AD9">
        <w:t xml:space="preserve"> </w:t>
      </w:r>
      <w:r w:rsidRPr="00B60AD9">
        <w:rPr>
          <w:i/>
          <w:iCs/>
        </w:rPr>
        <w:t>e.g.</w:t>
      </w:r>
      <w:r w:rsidRPr="00B60AD9">
        <w:t>, 47 CFR §§ 52.13, 52.20, they are c</w:t>
      </w:r>
      <w:r w:rsidRPr="00B60AD9">
        <w:t xml:space="preserve">urrently combined under a single Commission contract.  </w:t>
      </w:r>
      <w:r w:rsidRPr="00B60AD9">
        <w:rPr>
          <w:i/>
          <w:iCs/>
        </w:rPr>
        <w:t>See</w:t>
      </w:r>
      <w:r w:rsidRPr="00B60AD9">
        <w:t xml:space="preserve"> Press Release, FCC, FCC Selects SomosGov as Next Telephone Number Administrator and Reassigned Numbers Database Administrator (Dec. 21, 2020), </w:t>
      </w:r>
      <w:hyperlink r:id="rId5" w:history="1">
        <w:r w:rsidRPr="00B60AD9">
          <w:rPr>
            <w:rStyle w:val="Hyperlink"/>
          </w:rPr>
          <w:t>https://docs.fcc.gov/public/attachments/DOC-368493A1.pdf</w:t>
        </w:r>
      </w:hyperlink>
      <w:r w:rsidRPr="00B60AD9">
        <w:t xml:space="preserve">.  </w:t>
      </w:r>
    </w:p>
  </w:footnote>
  <w:footnote w:id="11">
    <w:p w:rsidR="006807AE" w:rsidRPr="00B60AD9" w:rsidP="006807AE" w14:paraId="1B0C26E5" w14:textId="77777777">
      <w:pPr>
        <w:pStyle w:val="FootnoteText"/>
      </w:pPr>
      <w:r w:rsidRPr="00B60AD9">
        <w:rPr>
          <w:rStyle w:val="FootnoteReference"/>
        </w:rPr>
        <w:footnoteRef/>
      </w:r>
      <w:r w:rsidRPr="00B60AD9">
        <w:t xml:space="preserve"> </w:t>
      </w:r>
      <w:r w:rsidRPr="00B60AD9">
        <w:rPr>
          <w:i/>
          <w:iCs/>
        </w:rPr>
        <w:t>VoIP Direct Access Order</w:t>
      </w:r>
      <w:r w:rsidRPr="00B60AD9">
        <w:t xml:space="preserve">, 30 FCC Rcd at 6840-41, para. 2.  </w:t>
      </w:r>
    </w:p>
  </w:footnote>
  <w:footnote w:id="12">
    <w:p w:rsidR="006807AE" w:rsidRPr="00B60AD9" w:rsidP="006807AE" w14:paraId="3C3CDA9C" w14:textId="77777777">
      <w:pPr>
        <w:pStyle w:val="FootnoteText"/>
        <w:rPr>
          <w:i/>
          <w:iCs/>
        </w:rPr>
      </w:pPr>
      <w:r w:rsidRPr="00B60AD9">
        <w:rPr>
          <w:rStyle w:val="FootnoteReference"/>
        </w:rPr>
        <w:footnoteRef/>
      </w:r>
      <w:r w:rsidRPr="00B60AD9">
        <w:t xml:space="preserve"> </w:t>
      </w:r>
      <w:r w:rsidRPr="00B60AD9">
        <w:rPr>
          <w:i/>
          <w:iCs/>
        </w:rPr>
        <w:t>Id.</w:t>
      </w:r>
    </w:p>
  </w:footnote>
  <w:footnote w:id="13">
    <w:p w:rsidR="006807AE" w:rsidRPr="00B60AD9" w:rsidP="006807AE" w14:paraId="059B6E17" w14:textId="77777777">
      <w:pPr>
        <w:pStyle w:val="FootnoteText"/>
      </w:pPr>
      <w:r w:rsidRPr="00B60AD9">
        <w:rPr>
          <w:rStyle w:val="FootnoteReference"/>
        </w:rPr>
        <w:footnoteRef/>
      </w:r>
      <w:r w:rsidRPr="00B60AD9">
        <w:t xml:space="preserve"> </w:t>
      </w:r>
      <w:r w:rsidRPr="00B60AD9">
        <w:rPr>
          <w:i/>
          <w:iCs/>
        </w:rPr>
        <w:t xml:space="preserve">Id. </w:t>
      </w:r>
      <w:r w:rsidRPr="00B60AD9">
        <w:t>at 6844, para. 13; 47 CFR § 52.15(g)(1)-(2).</w:t>
      </w:r>
    </w:p>
  </w:footnote>
  <w:footnote w:id="14">
    <w:p w:rsidR="006807AE" w:rsidRPr="00B60AD9" w:rsidP="006807AE" w14:paraId="36DB0C8C" w14:textId="77777777">
      <w:pPr>
        <w:pStyle w:val="FootnoteText"/>
      </w:pPr>
      <w:r w:rsidRPr="00B60AD9">
        <w:rPr>
          <w:rStyle w:val="FootnoteReference"/>
        </w:rPr>
        <w:footnoteRef/>
      </w:r>
      <w:r w:rsidRPr="00B60AD9">
        <w:t xml:space="preserve"> 47 CFR § 52.15(g)(3).</w:t>
      </w:r>
    </w:p>
  </w:footnote>
  <w:footnote w:id="15">
    <w:p w:rsidR="006807AE" w:rsidRPr="00B60AD9" w:rsidP="006807AE" w14:paraId="6E520503" w14:textId="77777777">
      <w:pPr>
        <w:pStyle w:val="FootnoteText"/>
      </w:pPr>
      <w:r w:rsidRPr="00B60AD9">
        <w:rPr>
          <w:rStyle w:val="FootnoteReference"/>
        </w:rPr>
        <w:footnoteRef/>
      </w:r>
      <w:r w:rsidRPr="00B60AD9">
        <w:t xml:space="preserve"> </w:t>
      </w:r>
      <w:r w:rsidRPr="00B60AD9">
        <w:rPr>
          <w:i/>
          <w:iCs/>
        </w:rPr>
        <w:t>Id.</w:t>
      </w:r>
      <w:r w:rsidRPr="00B60AD9">
        <w:t xml:space="preserve"> § 52.15(g)(1).</w:t>
      </w:r>
    </w:p>
  </w:footnote>
  <w:footnote w:id="16">
    <w:p w:rsidR="006807AE" w:rsidRPr="00B60AD9" w:rsidP="006807AE" w14:paraId="5B9731DC" w14:textId="77777777">
      <w:pPr>
        <w:pStyle w:val="FootnoteText"/>
      </w:pPr>
      <w:r w:rsidRPr="00B60AD9">
        <w:rPr>
          <w:rStyle w:val="FootnoteReference"/>
        </w:rPr>
        <w:footnoteRef/>
      </w:r>
      <w:r w:rsidRPr="00B60AD9">
        <w:t xml:space="preserve"> </w:t>
      </w:r>
      <w:r w:rsidRPr="00B60AD9">
        <w:rPr>
          <w:i/>
          <w:iCs/>
        </w:rPr>
        <w:t>Id.</w:t>
      </w:r>
      <w:r w:rsidRPr="00B60AD9">
        <w:t xml:space="preserve"> § 52.15(g)(3)(i)(A).</w:t>
      </w:r>
    </w:p>
  </w:footnote>
  <w:footnote w:id="17">
    <w:p w:rsidR="006807AE" w:rsidRPr="00B60AD9" w:rsidP="006807AE" w14:paraId="5260A2CE" w14:textId="77777777">
      <w:pPr>
        <w:pStyle w:val="FootnoteText"/>
      </w:pPr>
      <w:r w:rsidRPr="00B60AD9">
        <w:rPr>
          <w:rStyle w:val="FootnoteReference"/>
        </w:rPr>
        <w:footnoteRef/>
      </w:r>
      <w:r w:rsidRPr="00B60AD9">
        <w:t xml:space="preserve"> </w:t>
      </w:r>
      <w:r w:rsidRPr="00B60AD9">
        <w:rPr>
          <w:i/>
          <w:iCs/>
        </w:rPr>
        <w:t>Id.</w:t>
      </w:r>
      <w:r w:rsidRPr="00B60AD9">
        <w:t xml:space="preserve"> § 52.15(g)(3)(i)(B).  </w:t>
      </w:r>
    </w:p>
  </w:footnote>
  <w:footnote w:id="18">
    <w:p w:rsidR="006807AE" w:rsidRPr="00B60AD9" w:rsidP="006807AE" w14:paraId="6052A987" w14:textId="77777777">
      <w:pPr>
        <w:pStyle w:val="FootnoteText"/>
      </w:pPr>
      <w:r w:rsidRPr="00B60AD9">
        <w:rPr>
          <w:rStyle w:val="FootnoteReference"/>
        </w:rPr>
        <w:footnoteRef/>
      </w:r>
      <w:r w:rsidRPr="00B60AD9">
        <w:t xml:space="preserve"> </w:t>
      </w:r>
      <w:r w:rsidRPr="00B60AD9">
        <w:rPr>
          <w:i/>
          <w:iCs/>
        </w:rPr>
        <w:t>Id.</w:t>
      </w:r>
      <w:r w:rsidRPr="00B60AD9">
        <w:t xml:space="preserve"> § 52.15(g)(3)(i)(C), (iv)(C).  The Commission also requires interconnected VoIP providers to give accurate regulatory and numbering contact information to a state commission</w:t>
      </w:r>
      <w:r w:rsidRPr="00B60AD9">
        <w:t xml:space="preserve"> when they request numbers in that state, and to update this information whenever it becomes outdated.  </w:t>
      </w:r>
      <w:r w:rsidRPr="00B60AD9">
        <w:rPr>
          <w:i/>
          <w:iCs/>
        </w:rPr>
        <w:t xml:space="preserve">Id. </w:t>
      </w:r>
      <w:r w:rsidRPr="00B60AD9">
        <w:t>§ 52.15(g)(3)(iv)(D).</w:t>
      </w:r>
    </w:p>
  </w:footnote>
  <w:footnote w:id="19">
    <w:p w:rsidR="006807AE" w:rsidRPr="00B60AD9" w:rsidP="006807AE" w14:paraId="5E3E8113" w14:textId="77777777">
      <w:pPr>
        <w:pStyle w:val="FootnoteText"/>
      </w:pPr>
      <w:r w:rsidRPr="00B60AD9">
        <w:rPr>
          <w:rStyle w:val="FootnoteReference"/>
        </w:rPr>
        <w:footnoteRef/>
      </w:r>
      <w:r w:rsidRPr="00B60AD9">
        <w:t xml:space="preserve"> </w:t>
      </w:r>
      <w:r w:rsidRPr="00B60AD9">
        <w:rPr>
          <w:i/>
          <w:iCs/>
        </w:rPr>
        <w:t>Id.</w:t>
      </w:r>
      <w:r w:rsidRPr="00B60AD9">
        <w:t xml:space="preserve"> § 52.15(g)(3)(i)(D).  The Commission permits an interconnected VoIP provider to demonstrate proof of facilities readines</w:t>
      </w:r>
      <w:r w:rsidRPr="00B60AD9">
        <w:t>s by (1) providing a combination of an agreement between the interconnected VoIP provider and its carrier partner and an interconnection agreement between that carrier and the relevant local exchange carrier, or (2) proof that the interconnected VoIP provi</w:t>
      </w:r>
      <w:r w:rsidRPr="00B60AD9">
        <w:t xml:space="preserve">der obtains interconnection with the Public Switched Telephone Network (PSTN) pursuant to a tariffed offering or a commercial arrangement (such as a TDM-to-IP or a VoIP interconnection agreement) that provides access to the PSTN.  </w:t>
      </w:r>
      <w:r w:rsidRPr="00B60AD9">
        <w:rPr>
          <w:i/>
          <w:iCs/>
        </w:rPr>
        <w:t>See VoIP Direct Access Or</w:t>
      </w:r>
      <w:r w:rsidRPr="00B60AD9">
        <w:rPr>
          <w:i/>
          <w:iCs/>
        </w:rPr>
        <w:t>der</w:t>
      </w:r>
      <w:r w:rsidRPr="00B60AD9">
        <w:t>, 30 FCC Rcd at 6856-57, para. 37.</w:t>
      </w:r>
    </w:p>
  </w:footnote>
  <w:footnote w:id="20">
    <w:p w:rsidR="006807AE" w:rsidRPr="00B60AD9" w:rsidP="006807AE" w14:paraId="1EEA985C" w14:textId="77777777">
      <w:pPr>
        <w:pStyle w:val="FootnoteText"/>
      </w:pPr>
      <w:r w:rsidRPr="00B60AD9">
        <w:rPr>
          <w:rStyle w:val="FootnoteReference"/>
        </w:rPr>
        <w:footnoteRef/>
      </w:r>
      <w:r w:rsidRPr="00B60AD9">
        <w:t xml:space="preserve"> 47 CFR § 52.15(g)(3)(i)(E).</w:t>
      </w:r>
    </w:p>
  </w:footnote>
  <w:footnote w:id="21">
    <w:p w:rsidR="006807AE" w:rsidRPr="00B60AD9" w:rsidP="006807AE" w14:paraId="28E3CED3" w14:textId="77777777">
      <w:pPr>
        <w:pStyle w:val="FootnoteText"/>
      </w:pPr>
      <w:r w:rsidRPr="00B60AD9">
        <w:rPr>
          <w:rStyle w:val="FootnoteReference"/>
        </w:rPr>
        <w:footnoteRef/>
      </w:r>
      <w:r w:rsidRPr="00B60AD9">
        <w:t xml:space="preserve"> </w:t>
      </w:r>
      <w:r w:rsidRPr="00B60AD9">
        <w:rPr>
          <w:i/>
          <w:iCs/>
        </w:rPr>
        <w:t>Id.</w:t>
      </w:r>
      <w:r w:rsidRPr="00B60AD9">
        <w:t xml:space="preserve"> § 52.15(g)(3)(i)(F).</w:t>
      </w:r>
    </w:p>
  </w:footnote>
  <w:footnote w:id="22">
    <w:p w:rsidR="006807AE" w:rsidRPr="00B60AD9" w:rsidP="006807AE" w14:paraId="4682407B" w14:textId="77777777">
      <w:pPr>
        <w:pStyle w:val="FootnoteText"/>
      </w:pPr>
      <w:r w:rsidRPr="00B60AD9">
        <w:rPr>
          <w:rStyle w:val="FootnoteReference"/>
        </w:rPr>
        <w:footnoteRef/>
      </w:r>
      <w:r w:rsidRPr="00B60AD9">
        <w:t xml:space="preserve"> </w:t>
      </w:r>
      <w:r w:rsidRPr="00B60AD9">
        <w:rPr>
          <w:i/>
          <w:iCs/>
        </w:rPr>
        <w:t>Id.</w:t>
      </w:r>
      <w:r w:rsidRPr="00B60AD9">
        <w:t xml:space="preserve"> § 52.15(g)(3)(i)(G).</w:t>
      </w:r>
    </w:p>
  </w:footnote>
  <w:footnote w:id="23">
    <w:p w:rsidR="006807AE" w:rsidRPr="00B60AD9" w:rsidP="006807AE" w14:paraId="0281598D"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6849, para. 22 &amp; n.70 (“This Report and Order’s delegation of authority to the Wireline Comp</w:t>
      </w:r>
      <w:r w:rsidRPr="00B60AD9">
        <w:t xml:space="preserve">etition Bureau is limited to the specific delegations made herein.  Unless otherwise within the scope of the Bureau’s delegated authority, matters pertaining to the process for authorizing direct access to numbers for interconnected VoIP providers will be </w:t>
      </w:r>
      <w:r w:rsidRPr="00B60AD9">
        <w:t>decided by the full Commission.”).</w:t>
      </w:r>
    </w:p>
  </w:footnote>
  <w:footnote w:id="24">
    <w:p w:rsidR="006807AE" w:rsidRPr="00B60AD9" w:rsidP="006807AE" w14:paraId="37552162" w14:textId="77777777">
      <w:pPr>
        <w:pStyle w:val="FootnoteText"/>
      </w:pPr>
      <w:r w:rsidRPr="00B60AD9">
        <w:rPr>
          <w:rStyle w:val="FootnoteReference"/>
        </w:rPr>
        <w:footnoteRef/>
      </w:r>
      <w:r w:rsidRPr="00B60AD9">
        <w:t xml:space="preserve"> </w:t>
      </w:r>
      <w:r w:rsidRPr="00B60AD9">
        <w:rPr>
          <w:i/>
          <w:iCs/>
        </w:rPr>
        <w:t>Id.</w:t>
      </w:r>
      <w:r w:rsidRPr="00B60AD9">
        <w:t xml:space="preserve"> at 6858, para. 39.</w:t>
      </w:r>
    </w:p>
  </w:footnote>
  <w:footnote w:id="25">
    <w:p w:rsidR="006807AE" w:rsidRPr="00B60AD9" w:rsidP="006807AE" w14:paraId="57EE780E" w14:textId="77777777">
      <w:pPr>
        <w:pStyle w:val="FootnoteText"/>
      </w:pPr>
      <w:r w:rsidRPr="00B60AD9">
        <w:rPr>
          <w:rStyle w:val="FootnoteReference"/>
        </w:rPr>
        <w:footnoteRef/>
      </w:r>
      <w:r w:rsidRPr="00B60AD9">
        <w:t xml:space="preserve"> 47 CFR § 52.15(g)(3)(iii).</w:t>
      </w:r>
    </w:p>
  </w:footnote>
  <w:footnote w:id="26">
    <w:p w:rsidR="006807AE" w:rsidRPr="00B60AD9" w:rsidP="006807AE" w14:paraId="72809E8E" w14:textId="77777777">
      <w:pPr>
        <w:pStyle w:val="FootnoteText"/>
      </w:pPr>
      <w:r w:rsidRPr="00B60AD9">
        <w:rPr>
          <w:rStyle w:val="FootnoteReference"/>
        </w:rPr>
        <w:footnoteRef/>
      </w:r>
      <w:r w:rsidRPr="00B60AD9">
        <w:t xml:space="preserve"> </w:t>
      </w:r>
      <w:r w:rsidRPr="00B60AD9">
        <w:rPr>
          <w:i/>
          <w:iCs/>
        </w:rPr>
        <w:t>See</w:t>
      </w:r>
      <w:r w:rsidRPr="00B60AD9">
        <w:t xml:space="preserve"> </w:t>
      </w:r>
      <w:r w:rsidRPr="00B60AD9">
        <w:rPr>
          <w:i/>
          <w:iCs/>
        </w:rPr>
        <w:t>id.</w:t>
      </w:r>
      <w:r w:rsidRPr="00B60AD9">
        <w:t xml:space="preserve"> § 52.15(g)(3)(iii)(A)-(D); </w:t>
      </w:r>
      <w:r w:rsidRPr="00B60AD9">
        <w:rPr>
          <w:i/>
          <w:iCs/>
        </w:rPr>
        <w:t>VoIP Direct Access Order</w:t>
      </w:r>
      <w:r w:rsidRPr="00B60AD9">
        <w:t>, 30 FCC Rcd at 6858, para. 40.</w:t>
      </w:r>
    </w:p>
  </w:footnote>
  <w:footnote w:id="27">
    <w:p w:rsidR="006807AE" w:rsidRPr="00B60AD9" w:rsidP="006807AE" w14:paraId="4B4F95E3" w14:textId="77777777">
      <w:pPr>
        <w:pStyle w:val="FootnoteText"/>
      </w:pPr>
      <w:r w:rsidRPr="00B60AD9">
        <w:rPr>
          <w:rStyle w:val="FootnoteReference"/>
        </w:rPr>
        <w:footnoteRef/>
      </w:r>
      <w:r w:rsidRPr="00B60AD9">
        <w:t xml:space="preserve"> </w:t>
      </w:r>
      <w:r w:rsidRPr="00B60AD9">
        <w:rPr>
          <w:i/>
          <w:iCs/>
        </w:rPr>
        <w:t>VoIP Direct Access Order</w:t>
      </w:r>
      <w:r w:rsidRPr="00B60AD9">
        <w:t>, 30 FCC Rcd</w:t>
      </w:r>
      <w:r w:rsidRPr="00B60AD9">
        <w:t xml:space="preserve"> at 6849, para. 22 &amp; n.70 (“Once an interconnected VoIP provider obtains Commission authorization, we do not require it to notify the Commission of ongoing requests for numbers.”).  </w:t>
      </w:r>
    </w:p>
  </w:footnote>
  <w:footnote w:id="28">
    <w:p w:rsidR="006807AE" w:rsidRPr="00B60AD9" w:rsidP="006807AE" w14:paraId="4735F94F" w14:textId="77777777">
      <w:pPr>
        <w:pStyle w:val="FootnoteText"/>
      </w:pPr>
      <w:r w:rsidRPr="00B60AD9">
        <w:rPr>
          <w:rStyle w:val="FootnoteReference"/>
        </w:rPr>
        <w:footnoteRef/>
      </w:r>
      <w:r w:rsidRPr="00B60AD9">
        <w:t xml:space="preserve"> </w:t>
      </w:r>
      <w:r w:rsidRPr="00B60AD9">
        <w:rPr>
          <w:i/>
          <w:iCs/>
        </w:rPr>
        <w:t>Id.</w:t>
      </w:r>
      <w:r w:rsidRPr="00B60AD9">
        <w:t xml:space="preserve"> at</w:t>
      </w:r>
      <w:r w:rsidRPr="00B60AD9">
        <w:rPr>
          <w:i/>
          <w:iCs/>
        </w:rPr>
        <w:t xml:space="preserve"> </w:t>
      </w:r>
      <w:r w:rsidRPr="00B60AD9">
        <w:t>6864, para. 52.</w:t>
      </w:r>
    </w:p>
  </w:footnote>
  <w:footnote w:id="29">
    <w:p w:rsidR="006807AE" w:rsidRPr="00B60AD9" w:rsidP="006807AE" w14:paraId="7CAA2F5A" w14:textId="77777777">
      <w:pPr>
        <w:pStyle w:val="FootnoteText"/>
      </w:pPr>
      <w:r w:rsidRPr="00B60AD9">
        <w:rPr>
          <w:rStyle w:val="FootnoteReference"/>
        </w:rPr>
        <w:footnoteRef/>
      </w:r>
      <w:r w:rsidRPr="00B60AD9">
        <w:t xml:space="preserve"> </w:t>
      </w:r>
      <w:r w:rsidRPr="00B60AD9">
        <w:rPr>
          <w:i/>
          <w:iCs/>
        </w:rPr>
        <w:t>Id.</w:t>
      </w:r>
      <w:r w:rsidRPr="00B60AD9">
        <w:t xml:space="preserve"> at 6852, para. 28.</w:t>
      </w:r>
    </w:p>
  </w:footnote>
  <w:footnote w:id="30">
    <w:p w:rsidR="006807AE" w:rsidRPr="00B60AD9" w:rsidP="006807AE" w14:paraId="27E77FDD" w14:textId="77777777">
      <w:pPr>
        <w:pStyle w:val="FootnoteText"/>
      </w:pPr>
      <w:r w:rsidRPr="00B60AD9">
        <w:rPr>
          <w:rStyle w:val="FootnoteReference"/>
        </w:rPr>
        <w:footnoteRef/>
      </w:r>
      <w:r w:rsidRPr="00B60AD9">
        <w:t xml:space="preserve"> </w:t>
      </w:r>
      <w:r w:rsidRPr="00B60AD9">
        <w:rPr>
          <w:i/>
          <w:iCs/>
        </w:rPr>
        <w:t>Id.</w:t>
      </w:r>
      <w:r w:rsidRPr="00B60AD9">
        <w:t xml:space="preserve"> at 6865, para. 53</w:t>
      </w:r>
      <w:r w:rsidRPr="00B60AD9">
        <w:t>.</w:t>
      </w:r>
    </w:p>
  </w:footnote>
  <w:footnote w:id="31">
    <w:p w:rsidR="006807AE" w:rsidRPr="00B60AD9" w:rsidP="006807AE" w14:paraId="772117F9" w14:textId="77777777">
      <w:pPr>
        <w:pStyle w:val="FootnoteText"/>
      </w:pPr>
      <w:r w:rsidRPr="00B60AD9">
        <w:rPr>
          <w:rStyle w:val="FootnoteReference"/>
        </w:rPr>
        <w:footnoteRef/>
      </w:r>
      <w:r w:rsidRPr="00B60AD9">
        <w:t xml:space="preserve"> We refer to “direct access to numbers applications” and “direct access applications” interchangeably throughout this item.</w:t>
      </w:r>
    </w:p>
  </w:footnote>
  <w:footnote w:id="32">
    <w:p w:rsidR="006807AE" w:rsidRPr="00B60AD9" w:rsidP="006807AE" w14:paraId="4BA1B1BA" w14:textId="77777777">
      <w:pPr>
        <w:pStyle w:val="FootnoteText"/>
      </w:pPr>
      <w:r w:rsidRPr="00B60AD9">
        <w:rPr>
          <w:rStyle w:val="FootnoteReference"/>
        </w:rPr>
        <w:footnoteRef/>
      </w:r>
      <w:r w:rsidRPr="00B60AD9">
        <w:t xml:space="preserve"> </w:t>
      </w:r>
      <w:bookmarkStart w:id="5" w:name="_Hlk137979126"/>
      <w:r w:rsidRPr="00B60AD9">
        <w:rPr>
          <w:i/>
          <w:iCs/>
        </w:rPr>
        <w:t>See Numbering Policies for Modern Communications et al.</w:t>
      </w:r>
      <w:r w:rsidRPr="00B60AD9">
        <w:t>, WC Docket Nos. 13-97 et al., Further Notice of Proposed Rulemaking, 36</w:t>
      </w:r>
      <w:r w:rsidRPr="00B60AD9">
        <w:t xml:space="preserve"> FCC Rcd 12907, 12912, para. 10 (2021) (</w:t>
      </w:r>
      <w:r w:rsidRPr="00B60AD9">
        <w:rPr>
          <w:i/>
          <w:iCs/>
        </w:rPr>
        <w:t>VoIP Direct Access Further Notice</w:t>
      </w:r>
      <w:r w:rsidRPr="00B60AD9">
        <w:t xml:space="preserve">).  </w:t>
      </w:r>
      <w:bookmarkEnd w:id="5"/>
      <w:r w:rsidRPr="00B60AD9">
        <w:t xml:space="preserve">There, the Commission stated that the Bureau had reviewed nearly 150 VoIP direct access to number applications in the six years between the </w:t>
      </w:r>
      <w:r w:rsidRPr="00B60AD9">
        <w:rPr>
          <w:i/>
        </w:rPr>
        <w:t xml:space="preserve">VoIP Direct Access Order </w:t>
      </w:r>
      <w:r w:rsidRPr="00B60AD9">
        <w:t xml:space="preserve">and the </w:t>
      </w:r>
      <w:r w:rsidRPr="00B60AD9">
        <w:rPr>
          <w:i/>
        </w:rPr>
        <w:t>VoIP D</w:t>
      </w:r>
      <w:r w:rsidRPr="00B60AD9">
        <w:rPr>
          <w:i/>
        </w:rPr>
        <w:t>irect Access Further Notice</w:t>
      </w:r>
      <w:r w:rsidRPr="00B60AD9">
        <w:t>,</w:t>
      </w:r>
      <w:r w:rsidRPr="00B60AD9">
        <w:rPr>
          <w:i/>
        </w:rPr>
        <w:t xml:space="preserve"> </w:t>
      </w:r>
      <w:r w:rsidRPr="00B60AD9">
        <w:t xml:space="preserve">and determined that it required additional information from applicants for its public interest review.  </w:t>
      </w:r>
      <w:r w:rsidRPr="00B60AD9">
        <w:rPr>
          <w:i/>
          <w:iCs/>
        </w:rPr>
        <w:t>Id</w:t>
      </w:r>
      <w:r w:rsidRPr="00B60AD9">
        <w:t>.  Since August 5, 2021, the Bureau has reviewed an additional 18 applications and found it needed to request the additio</w:t>
      </w:r>
      <w:r w:rsidRPr="00B60AD9">
        <w:t xml:space="preserve">nal information in nearly every case. </w:t>
      </w:r>
    </w:p>
  </w:footnote>
  <w:footnote w:id="33">
    <w:p w:rsidR="006807AE" w:rsidRPr="00B60AD9" w:rsidP="006807AE" w14:paraId="152C1998" w14:textId="77777777">
      <w:pPr>
        <w:pStyle w:val="FootnoteText"/>
      </w:pPr>
      <w:r w:rsidRPr="00B60AD9">
        <w:rPr>
          <w:rStyle w:val="FootnoteReference"/>
        </w:rPr>
        <w:footnoteRef/>
      </w:r>
      <w:r w:rsidRPr="00B60AD9">
        <w:t xml:space="preserve"> </w:t>
      </w:r>
      <w:r w:rsidRPr="00B60AD9">
        <w:rPr>
          <w:i/>
          <w:iCs/>
        </w:rPr>
        <w:t>Id.</w:t>
      </w:r>
    </w:p>
  </w:footnote>
  <w:footnote w:id="34">
    <w:p w:rsidR="006807AE" w:rsidRPr="00B60AD9" w:rsidP="006807AE" w14:paraId="57DE9AB5" w14:textId="77777777">
      <w:pPr>
        <w:pStyle w:val="FootnoteText"/>
      </w:pPr>
      <w:r w:rsidRPr="00B60AD9">
        <w:rPr>
          <w:rStyle w:val="FootnoteReference"/>
        </w:rPr>
        <w:footnoteRef/>
      </w:r>
      <w:r w:rsidRPr="00B60AD9">
        <w:t xml:space="preserve"> </w:t>
      </w:r>
      <w:r w:rsidRPr="00B60AD9">
        <w:rPr>
          <w:i/>
          <w:iCs/>
        </w:rPr>
        <w:t>See, e.g.</w:t>
      </w:r>
      <w:r w:rsidRPr="00B60AD9">
        <w:t>,</w:t>
      </w:r>
      <w:r w:rsidRPr="00B60AD9">
        <w:rPr>
          <w:i/>
          <w:iCs/>
        </w:rPr>
        <w:t xml:space="preserve"> Interconnected VoIP Numbering Authorization Application Filed by Mitel Cloud Services, Inc., Pursuant to Section 52.15(g)(3) of the Commission’s Rules</w:t>
      </w:r>
      <w:r w:rsidRPr="00B60AD9">
        <w:t>, WC Docket No. 20-149, Public Notice, 36 FCC Rc</w:t>
      </w:r>
      <w:r w:rsidRPr="00B60AD9">
        <w:t xml:space="preserve">d 1343 (WCB 2021); </w:t>
      </w:r>
      <w:r w:rsidRPr="00B60AD9">
        <w:rPr>
          <w:i/>
          <w:iCs/>
        </w:rPr>
        <w:t>Interconnected VoIP Numbering Authorization Application Filed by Simwood, Inc., Pursuant to Section 52.15(g)(3) of the Commission’s Rules</w:t>
      </w:r>
      <w:r w:rsidRPr="00B60AD9">
        <w:t xml:space="preserve">, WC Docket No. 19-96, Public Notice, 36 FCC Rcd 1346 (WCB 2021); </w:t>
      </w:r>
      <w:r w:rsidRPr="00B60AD9">
        <w:rPr>
          <w:i/>
          <w:iCs/>
        </w:rPr>
        <w:t>Interconnected VoIP Numbering Auth</w:t>
      </w:r>
      <w:r w:rsidRPr="00B60AD9">
        <w:rPr>
          <w:i/>
          <w:iCs/>
        </w:rPr>
        <w:t>orization Application Filed by NobelBiz, Inc., Pursuant to Section 52.15(g)(3) of the Commission’s Rules</w:t>
      </w:r>
      <w:r w:rsidRPr="00B60AD9">
        <w:t xml:space="preserve">, WC Docket No. 20-385, Public Notice, 36 FCC Rcd 4756 (WCB 2021); </w:t>
      </w:r>
      <w:r w:rsidRPr="00B60AD9">
        <w:rPr>
          <w:i/>
          <w:iCs/>
        </w:rPr>
        <w:t>Interconnected VoIP Numbering Authorization Application Filed by TRUSTID, Inc., Pursu</w:t>
      </w:r>
      <w:r w:rsidRPr="00B60AD9">
        <w:rPr>
          <w:i/>
          <w:iCs/>
        </w:rPr>
        <w:t>ant to Section 52.15(g)(3) of the Commission’s Rules</w:t>
      </w:r>
      <w:r w:rsidRPr="00B60AD9">
        <w:t xml:space="preserve">, WC Docket No. 20-132, Public Notice, 36 FCC Rcd 4759 (WCB 2021); </w:t>
      </w:r>
      <w:r w:rsidRPr="00B60AD9">
        <w:rPr>
          <w:i/>
          <w:iCs/>
        </w:rPr>
        <w:t>Interconnected VoIP Numbering Authorization Application Filed by CSC Voice, LLC Pursuant to Section 52.15(g)(3) of the Commission’s Rules</w:t>
      </w:r>
      <w:r w:rsidRPr="00B60AD9">
        <w:t>, WC Docket No. 22-330, Public Notice, DA 23-220 (WCB Mar. 15, 2023).</w:t>
      </w:r>
    </w:p>
  </w:footnote>
  <w:footnote w:id="35">
    <w:p w:rsidR="006807AE" w:rsidRPr="00B60AD9" w:rsidP="006807AE" w14:paraId="11E1FE54" w14:textId="77777777">
      <w:pPr>
        <w:pStyle w:val="FootnoteText"/>
      </w:pPr>
      <w:r w:rsidRPr="00B60AD9">
        <w:rPr>
          <w:rStyle w:val="FootnoteReference"/>
        </w:rPr>
        <w:footnoteRef/>
      </w:r>
      <w:r w:rsidRPr="00B60AD9">
        <w:rPr>
          <w:i/>
          <w:iCs/>
        </w:rPr>
        <w:t xml:space="preserve"> VoIP Direct Access Further Notice</w:t>
      </w:r>
      <w:r w:rsidRPr="00B60AD9">
        <w:t>,</w:t>
      </w:r>
      <w:r w:rsidRPr="00B60AD9">
        <w:rPr>
          <w:i/>
          <w:iCs/>
        </w:rPr>
        <w:t xml:space="preserve"> </w:t>
      </w:r>
      <w:r w:rsidRPr="00B60AD9">
        <w:t>36 FCC Rcd</w:t>
      </w:r>
      <w:r w:rsidRPr="00B60AD9">
        <w:rPr>
          <w:i/>
          <w:iCs/>
        </w:rPr>
        <w:t xml:space="preserve"> </w:t>
      </w:r>
      <w:r w:rsidRPr="00B60AD9">
        <w:t xml:space="preserve">at 12913, para. 10 &amp; n.44; </w:t>
      </w:r>
      <w:r w:rsidRPr="00B60AD9">
        <w:rPr>
          <w:i/>
          <w:iCs/>
        </w:rPr>
        <w:t>see, e.g.</w:t>
      </w:r>
      <w:r w:rsidRPr="00B60AD9">
        <w:t xml:space="preserve">, AT&amp;T Comments in Opposition to Interconnected VoIP Numbering Authorization Applications Filed by </w:t>
      </w:r>
      <w:r w:rsidRPr="00B60AD9">
        <w:t>HDC Alpha, LLC et al., WC Docket Nos. 19-313 et al. (rec. Jan. 21, 2021) (AT&amp;T Opposition).</w:t>
      </w:r>
    </w:p>
  </w:footnote>
  <w:footnote w:id="36">
    <w:p w:rsidR="006807AE" w:rsidRPr="00B60AD9" w:rsidP="006807AE" w14:paraId="25E69790" w14:textId="77777777">
      <w:pPr>
        <w:pStyle w:val="FootnoteText"/>
      </w:pPr>
      <w:r w:rsidRPr="00B60AD9">
        <w:rPr>
          <w:rStyle w:val="FootnoteReference"/>
        </w:rPr>
        <w:footnoteRef/>
      </w:r>
      <w:r w:rsidRPr="00B60AD9">
        <w:t xml:space="preserve"> </w:t>
      </w:r>
      <w:r w:rsidRPr="00B60AD9">
        <w:rPr>
          <w:i/>
          <w:iCs/>
        </w:rPr>
        <w:t>VoIP Direct Access Further Notice</w:t>
      </w:r>
      <w:r w:rsidRPr="00B60AD9">
        <w:t>,</w:t>
      </w:r>
      <w:r w:rsidRPr="00B60AD9">
        <w:rPr>
          <w:i/>
          <w:iCs/>
        </w:rPr>
        <w:t xml:space="preserve"> </w:t>
      </w:r>
      <w:r w:rsidRPr="00B60AD9">
        <w:t>36 FCC Rcd</w:t>
      </w:r>
      <w:r w:rsidRPr="00B60AD9">
        <w:rPr>
          <w:i/>
          <w:iCs/>
        </w:rPr>
        <w:t xml:space="preserve"> </w:t>
      </w:r>
      <w:r w:rsidRPr="00B60AD9">
        <w:t>at 12913, para. 11.</w:t>
      </w:r>
    </w:p>
  </w:footnote>
  <w:footnote w:id="37">
    <w:p w:rsidR="006807AE" w:rsidRPr="00B60AD9" w:rsidP="006807AE" w14:paraId="1A5127E3" w14:textId="77777777">
      <w:pPr>
        <w:pStyle w:val="FootnoteText"/>
      </w:pPr>
      <w:r w:rsidRPr="00B60AD9">
        <w:rPr>
          <w:rStyle w:val="FootnoteReference"/>
        </w:rPr>
        <w:footnoteRef/>
      </w:r>
      <w:r w:rsidRPr="00B60AD9">
        <w:t xml:space="preserve"> </w:t>
      </w:r>
      <w:r w:rsidRPr="00B60AD9">
        <w:rPr>
          <w:i/>
          <w:iCs/>
        </w:rPr>
        <w:t xml:space="preserve">See </w:t>
      </w:r>
      <w:r w:rsidRPr="00B60AD9">
        <w:t>WC Docket No. 13-97.</w:t>
      </w:r>
    </w:p>
  </w:footnote>
  <w:footnote w:id="38">
    <w:p w:rsidR="006807AE" w:rsidRPr="00B60AD9" w:rsidP="006807AE" w14:paraId="25836F2D" w14:textId="77777777">
      <w:pPr>
        <w:pStyle w:val="FootnoteText"/>
      </w:pPr>
      <w:r w:rsidRPr="00B60AD9">
        <w:rPr>
          <w:rStyle w:val="FootnoteReference"/>
        </w:rPr>
        <w:footnoteRef/>
      </w:r>
      <w:r w:rsidRPr="00B60AD9">
        <w:t xml:space="preserve"> </w:t>
      </w:r>
      <w:bookmarkStart w:id="8" w:name="_Hlk139970517"/>
      <w:r w:rsidRPr="00B60AD9">
        <w:rPr>
          <w:i/>
          <w:iCs/>
        </w:rPr>
        <w:t>See</w:t>
      </w:r>
      <w:r w:rsidRPr="00B60AD9">
        <w:t xml:space="preserve"> </w:t>
      </w:r>
      <w:r w:rsidRPr="00B60AD9">
        <w:rPr>
          <w:i/>
          <w:iCs/>
        </w:rPr>
        <w:t>VoIP Direct Access Further Notice</w:t>
      </w:r>
      <w:r w:rsidRPr="00B60AD9">
        <w:t>,</w:t>
      </w:r>
      <w:r w:rsidRPr="00B60AD9">
        <w:rPr>
          <w:i/>
          <w:iCs/>
        </w:rPr>
        <w:t xml:space="preserve"> </w:t>
      </w:r>
      <w:r w:rsidRPr="00B60AD9">
        <w:t xml:space="preserve">36 FCC Rcd at </w:t>
      </w:r>
      <w:bookmarkEnd w:id="8"/>
      <w:r w:rsidRPr="00B60AD9">
        <w:t>12908-09, 12918, paras. 2-4, 23.</w:t>
      </w:r>
    </w:p>
  </w:footnote>
  <w:footnote w:id="39">
    <w:p w:rsidR="006807AE" w:rsidRPr="00B60AD9" w:rsidP="006807AE" w14:paraId="3E4CD0BD" w14:textId="77777777">
      <w:pPr>
        <w:pStyle w:val="FootnoteText"/>
      </w:pPr>
      <w:r w:rsidRPr="00B60AD9">
        <w:rPr>
          <w:rStyle w:val="FootnoteReference"/>
        </w:rPr>
        <w:footnoteRef/>
      </w:r>
      <w:r w:rsidRPr="00B60AD9">
        <w:t xml:space="preserve"> </w:t>
      </w:r>
      <w:r w:rsidRPr="00B60AD9">
        <w:rPr>
          <w:i/>
          <w:iCs/>
        </w:rPr>
        <w:t>Id.</w:t>
      </w:r>
      <w:r w:rsidRPr="00B60AD9">
        <w:t xml:space="preserve"> at 12913, 12919, paras. 12, 24.</w:t>
      </w:r>
    </w:p>
  </w:footnote>
  <w:footnote w:id="40">
    <w:p w:rsidR="006807AE" w:rsidRPr="00B60AD9" w:rsidP="006807AE" w14:paraId="23F0BB44" w14:textId="77777777">
      <w:pPr>
        <w:pStyle w:val="FootnoteText"/>
        <w:rPr>
          <w:i/>
        </w:rPr>
      </w:pPr>
      <w:r w:rsidRPr="00B60AD9">
        <w:rPr>
          <w:rStyle w:val="FootnoteReference"/>
        </w:rPr>
        <w:footnoteRef/>
      </w:r>
      <w:r w:rsidRPr="00B60AD9">
        <w:t xml:space="preserve"> </w:t>
      </w:r>
      <w:r w:rsidRPr="00B60AD9">
        <w:rPr>
          <w:i/>
          <w:iCs/>
        </w:rPr>
        <w:t xml:space="preserve">See </w:t>
      </w:r>
      <w:r w:rsidRPr="00B60AD9">
        <w:t xml:space="preserve">47 CFR § 52.15(g)(3)(iii)(D) (stating that the Bureau reserves the right to request additional information after its initial review of an application).  </w:t>
      </w:r>
    </w:p>
  </w:footnote>
  <w:footnote w:id="41">
    <w:p w:rsidR="006807AE" w:rsidRPr="00B60AD9" w:rsidP="006807AE" w14:paraId="69B32993" w14:textId="77777777">
      <w:pPr>
        <w:pStyle w:val="FootnoteText"/>
      </w:pPr>
      <w:r w:rsidRPr="00B60AD9">
        <w:rPr>
          <w:rStyle w:val="FootnoteReference"/>
        </w:rPr>
        <w:footnoteRef/>
      </w:r>
      <w:r w:rsidRPr="00B60AD9">
        <w:t xml:space="preserve"> </w:t>
      </w:r>
      <w:r w:rsidRPr="00B60AD9">
        <w:rPr>
          <w:i/>
          <w:iCs/>
          <w:snapToGrid w:val="0"/>
        </w:rPr>
        <w:t>VoIP Direct Access Furt</w:t>
      </w:r>
      <w:r w:rsidRPr="00B60AD9">
        <w:rPr>
          <w:i/>
          <w:iCs/>
          <w:snapToGrid w:val="0"/>
        </w:rPr>
        <w:t>her Notice</w:t>
      </w:r>
      <w:r w:rsidRPr="00B60AD9">
        <w:rPr>
          <w:snapToGrid w:val="0"/>
        </w:rPr>
        <w:t>, 36 FCC Rcd at 12913-14, para. 13.</w:t>
      </w:r>
    </w:p>
  </w:footnote>
  <w:footnote w:id="42">
    <w:p w:rsidR="006807AE" w:rsidRPr="00B60AD9" w:rsidP="006807AE" w14:paraId="194EEAA9" w14:textId="77777777">
      <w:pPr>
        <w:pStyle w:val="FootnoteText"/>
        <w:rPr>
          <w:iCs/>
        </w:rPr>
      </w:pPr>
      <w:r w:rsidRPr="00B60AD9">
        <w:rPr>
          <w:rStyle w:val="FootnoteReference"/>
        </w:rPr>
        <w:footnoteRef/>
      </w:r>
      <w:r w:rsidRPr="00B60AD9">
        <w:t xml:space="preserve"> The Commission has estimated that $10.5 billion is lost annually by consumers due to illegal robocalls, not accounting for the non-quantifiable losses suffered by consumers and the erosion of confidence in th</w:t>
      </w:r>
      <w:r w:rsidRPr="00B60AD9">
        <w:t xml:space="preserve">e nation’s telephone network.  </w:t>
      </w:r>
      <w:r w:rsidRPr="00B60AD9">
        <w:rPr>
          <w:i/>
          <w:iCs/>
        </w:rPr>
        <w:t>See</w:t>
      </w:r>
      <w:r w:rsidRPr="00B60AD9">
        <w:rPr>
          <w:i/>
        </w:rPr>
        <w:t xml:space="preserve"> </w:t>
      </w:r>
      <w:r w:rsidRPr="00B60AD9">
        <w:rPr>
          <w:i/>
          <w:iCs/>
        </w:rPr>
        <w:t>Caller ID Authentication First Report and Order</w:t>
      </w:r>
      <w:r w:rsidRPr="00B60AD9">
        <w:t>, 35 FCC Rcd at 3263, para. 48</w:t>
      </w:r>
      <w:r w:rsidRPr="00B60AD9">
        <w:rPr>
          <w:iCs/>
        </w:rPr>
        <w:t>.  The Commission has also found that the potential benefits resulting from eliminating the wasted time and nuisances caused by illegal scam rob</w:t>
      </w:r>
      <w:r w:rsidRPr="00B60AD9">
        <w:rPr>
          <w:iCs/>
        </w:rPr>
        <w:t xml:space="preserve">ocalls would exceed $3 billion annually.  </w:t>
      </w:r>
      <w:r w:rsidRPr="00B60AD9">
        <w:rPr>
          <w:i/>
        </w:rPr>
        <w:t>Id.</w:t>
      </w:r>
      <w:r w:rsidRPr="00B60AD9">
        <w:rPr>
          <w:iCs/>
        </w:rPr>
        <w:t>, para. 47.</w:t>
      </w:r>
    </w:p>
  </w:footnote>
  <w:footnote w:id="43">
    <w:p w:rsidR="006807AE" w:rsidRPr="00B60AD9" w:rsidP="006807AE" w14:paraId="038D0B59" w14:textId="77777777">
      <w:pPr>
        <w:pStyle w:val="FootnoteText"/>
      </w:pPr>
      <w:r w:rsidRPr="00B60AD9">
        <w:rPr>
          <w:rStyle w:val="FootnoteReference"/>
        </w:rPr>
        <w:footnoteRef/>
      </w:r>
      <w:r w:rsidRPr="00B60AD9">
        <w:t xml:space="preserve"> The Commission received approximately 193,000 such complaints in 2019, 157,000 in 2020, 164,000 in 2021, and 119,000 in 2022.  FCC, </w:t>
      </w:r>
      <w:r w:rsidRPr="00B60AD9">
        <w:rPr>
          <w:i/>
          <w:iCs/>
        </w:rPr>
        <w:t>Consumer Complaint Data Center</w:t>
      </w:r>
      <w:r w:rsidRPr="00B60AD9">
        <w:t xml:space="preserve">, </w:t>
      </w:r>
      <w:hyperlink r:id="rId6" w:history="1">
        <w:r w:rsidRPr="00B60AD9">
          <w:rPr>
            <w:rStyle w:val="Hyperlink"/>
          </w:rPr>
          <w:t>https://www.fcc.gov/consumer-help-center-data</w:t>
        </w:r>
      </w:hyperlink>
      <w:r w:rsidRPr="00B60AD9">
        <w:t xml:space="preserve"> (last visited Jan. 31, 2023).</w:t>
      </w:r>
    </w:p>
  </w:footnote>
  <w:footnote w:id="44">
    <w:p w:rsidR="006807AE" w:rsidRPr="00B60AD9" w:rsidP="006807AE" w14:paraId="54F9006A" w14:textId="77777777">
      <w:pPr>
        <w:pStyle w:val="FootnoteText"/>
      </w:pPr>
      <w:r w:rsidRPr="00B60AD9">
        <w:rPr>
          <w:rStyle w:val="FootnoteReference"/>
        </w:rPr>
        <w:footnoteRef/>
      </w:r>
      <w:r w:rsidRPr="00B60AD9">
        <w:t xml:space="preserve"> We proposed requiring applicants for direct access to certify that they:</w:t>
      </w:r>
      <w:r>
        <w:t xml:space="preserve"> </w:t>
      </w:r>
      <w:r w:rsidRPr="00B60AD9">
        <w:t xml:space="preserve"> (1) will use numbering resources lawfully;</w:t>
      </w:r>
      <w:r w:rsidRPr="00B60AD9">
        <w:t xml:space="preserve"> (2) will not encourage nor assist and facilitate illegal robocalls, illegal spoofing, or fraud; (3) will take reasonable steps to cease origination, termination, and/or transmission of illegal robocalls once discovered; (4) will cooperate with the Commiss</w:t>
      </w:r>
      <w:r w:rsidRPr="00B60AD9">
        <w:t>ion, federal and state law enforcement and regulatory agencies with relevant jurisdiction, and the industry-led registered consortium, regarding efforts to mitigate illegal or harmful robocalling or spoofing and tracebacks; (5) have filed in the Robocall M</w:t>
      </w:r>
      <w:r w:rsidRPr="00B60AD9">
        <w:t xml:space="preserve">itigation Database; (6) have either (A) fully implemented the STIR/SHAKEN caller ID authentication protocols and framework or (B) have implemented either STIR/SHAKEN caller ID authentication or a robocall mitigation program for all calls for which it acts </w:t>
      </w:r>
      <w:r w:rsidRPr="00B60AD9">
        <w:t xml:space="preserve">as a voice service provider, and if the latter, have described in the Database the detailed steps they are taking regarding number use that can reasonably be expected to reduce the origination and transmission of illegal robocalls.  </w:t>
      </w:r>
      <w:r w:rsidRPr="00B60AD9">
        <w:rPr>
          <w:i/>
          <w:iCs/>
        </w:rPr>
        <w:t>VoIP Direct Access Furt</w:t>
      </w:r>
      <w:r w:rsidRPr="00B60AD9">
        <w:rPr>
          <w:i/>
          <w:iCs/>
        </w:rPr>
        <w:t>her Notice</w:t>
      </w:r>
      <w:r w:rsidRPr="00B60AD9">
        <w:t>, 36 FCC Rcd at 12913-14, paras. 13-14.  We also proposed requiring direct access applicants or authorization holders to inform the Commission if they are subject to a Commission, law enforcement, or regulatory action, investigation, or inquiry d</w:t>
      </w:r>
      <w:r w:rsidRPr="00B60AD9">
        <w:t xml:space="preserve">ue to their robocall mitigation plan being deemed insufficient or problematic, or due to suspected unlawful robocalling or spoofing, and to acknowledge this requirement in their applications.  </w:t>
      </w:r>
      <w:r w:rsidRPr="00B60AD9">
        <w:rPr>
          <w:i/>
          <w:iCs/>
        </w:rPr>
        <w:t xml:space="preserve">Id. </w:t>
      </w:r>
      <w:r w:rsidRPr="00B60AD9">
        <w:t>at 12914-15, para. 15.</w:t>
      </w:r>
    </w:p>
  </w:footnote>
  <w:footnote w:id="45">
    <w:p w:rsidR="006807AE" w:rsidRPr="00B60AD9" w:rsidP="006807AE" w14:paraId="6F91CD5A" w14:textId="77777777">
      <w:pPr>
        <w:pStyle w:val="FootnoteText"/>
      </w:pPr>
      <w:r w:rsidRPr="00B60AD9">
        <w:rPr>
          <w:rStyle w:val="FootnoteReference"/>
        </w:rPr>
        <w:footnoteRef/>
      </w:r>
      <w:r w:rsidRPr="00B60AD9">
        <w:t xml:space="preserve"> </w:t>
      </w:r>
      <w:r w:rsidRPr="00B60AD9">
        <w:rPr>
          <w:i/>
          <w:iCs/>
        </w:rPr>
        <w:t>See, e.g.</w:t>
      </w:r>
      <w:r w:rsidRPr="00B60AD9">
        <w:t>, Lumen Comments at 12; RingCentral, Inc., Telnyx, LLC &amp; Vonage Holdings Corp. Comments at 6 (RingCentral et al.); Twilio Comments at 5-6; USTelecom – The Broadband Association Comments at 3 (USTelecom); Voice on the Net Coalition Comments at 3 (VON); Clou</w:t>
      </w:r>
      <w:r w:rsidRPr="00B60AD9">
        <w:t>d Commc’ns All. Reply at 1-2 (CCA); Lumen Reply at 9-10; RingCentral et al. Reply at 3-5, 10; USTelecom Reply at 2.</w:t>
      </w:r>
    </w:p>
  </w:footnote>
  <w:footnote w:id="46">
    <w:p w:rsidR="006807AE" w:rsidRPr="00B60AD9" w:rsidP="006807AE" w14:paraId="477FF6A6" w14:textId="77777777">
      <w:pPr>
        <w:pStyle w:val="FootnoteText"/>
      </w:pPr>
      <w:r w:rsidRPr="00B60AD9">
        <w:rPr>
          <w:rStyle w:val="FootnoteReference"/>
        </w:rPr>
        <w:footnoteRef/>
      </w:r>
      <w:r w:rsidRPr="00B60AD9">
        <w:t xml:space="preserve"> </w:t>
      </w:r>
      <w:r w:rsidRPr="00B60AD9">
        <w:rPr>
          <w:i/>
          <w:iCs/>
        </w:rPr>
        <w:t>See</w:t>
      </w:r>
      <w:r w:rsidRPr="00B60AD9">
        <w:t>,</w:t>
      </w:r>
      <w:r w:rsidRPr="00B60AD9">
        <w:rPr>
          <w:i/>
          <w:iCs/>
        </w:rPr>
        <w:t xml:space="preserve"> e.g.</w:t>
      </w:r>
      <w:r w:rsidRPr="00B60AD9">
        <w:t>, Lumen Comments at 12 (“[T]hese certifications would be wholly duplicative of requirements already imposed as part of the far mo</w:t>
      </w:r>
      <w:r w:rsidRPr="00B60AD9">
        <w:t>re comprehensive framework in the Commission’s robocalling proceedings in the wake of the TRACED Act.  This framework already applies to all types of voice service providers, including interconnected VoIP providers.”); RingCentral et al. Comments at 7 (arg</w:t>
      </w:r>
      <w:r w:rsidRPr="00B60AD9">
        <w:t>uing that certifications that duplicate existing requirements are “unnecessary,” because “[t]he Commission can readily verify whether applicants have,” for instance, “register[ed] in the robocall mitigation database”); Twilio Comments at 5-6; USTelecom Com</w:t>
      </w:r>
      <w:r w:rsidRPr="00B60AD9">
        <w:t>ments at 3 (“[T]he Commission should re-focus its proposal to avoid imposing confusing and duplicative requirements on service providers and to instead focus on potential gaps in its existing requirements.”).</w:t>
      </w:r>
    </w:p>
  </w:footnote>
  <w:footnote w:id="47">
    <w:p w:rsidR="006807AE" w:rsidRPr="00B60AD9" w:rsidP="006807AE" w14:paraId="13260903" w14:textId="77777777">
      <w:pPr>
        <w:pStyle w:val="FootnoteText"/>
      </w:pPr>
      <w:r w:rsidRPr="00B60AD9">
        <w:rPr>
          <w:rStyle w:val="FootnoteReference"/>
        </w:rPr>
        <w:footnoteRef/>
      </w:r>
      <w:r w:rsidRPr="00B60AD9">
        <w:t xml:space="preserve"> VON Comments at 3 &amp; n.4.</w:t>
      </w:r>
    </w:p>
  </w:footnote>
  <w:footnote w:id="48">
    <w:p w:rsidR="006807AE" w:rsidRPr="00B60AD9" w:rsidP="006807AE" w14:paraId="35346F3D" w14:textId="77777777">
      <w:pPr>
        <w:pStyle w:val="FootnoteText"/>
      </w:pPr>
      <w:r w:rsidRPr="00B60AD9">
        <w:rPr>
          <w:rStyle w:val="FootnoteReference"/>
        </w:rPr>
        <w:footnoteRef/>
      </w:r>
      <w:r w:rsidRPr="00B60AD9">
        <w:t xml:space="preserve"> </w:t>
      </w:r>
      <w:r w:rsidRPr="00B60AD9">
        <w:rPr>
          <w:i/>
          <w:iCs/>
        </w:rPr>
        <w:t xml:space="preserve">See </w:t>
      </w:r>
      <w:r w:rsidRPr="00B60AD9">
        <w:rPr>
          <w:rFonts w:eastAsia="Calibri"/>
        </w:rPr>
        <w:t>RingCentral et</w:t>
      </w:r>
      <w:r w:rsidRPr="00B60AD9">
        <w:rPr>
          <w:rFonts w:eastAsia="Calibri"/>
        </w:rPr>
        <w:t xml:space="preserve"> al. Comments at 11;</w:t>
      </w:r>
      <w:r w:rsidRPr="00B60AD9">
        <w:rPr>
          <w:bCs/>
        </w:rPr>
        <w:t xml:space="preserve"> </w:t>
      </w:r>
      <w:r w:rsidRPr="00B60AD9">
        <w:rPr>
          <w:bCs/>
          <w:snapToGrid w:val="0"/>
        </w:rPr>
        <w:t xml:space="preserve">VON Comments at 2 (“[A]dopting these new requirements would not protect against illegal robocalls.  </w:t>
      </w:r>
      <w:r w:rsidRPr="00B60AD9">
        <w:t>More problematic, the proposed rules would be anticompetitive in that they would impose burdens on interconnected VoIP providers not ap</w:t>
      </w:r>
      <w:r w:rsidRPr="00B60AD9">
        <w:t>plied to other direct access recipients without any record that the new rules would prevent robocalls or enhance network security.</w:t>
      </w:r>
      <w:r w:rsidRPr="00B60AD9">
        <w:rPr>
          <w:bCs/>
          <w:snapToGrid w:val="0"/>
        </w:rPr>
        <w:t xml:space="preserve">”); </w:t>
      </w:r>
      <w:r w:rsidRPr="00B60AD9">
        <w:rPr>
          <w:bCs/>
        </w:rPr>
        <w:t>CCA Reply at 2-3.</w:t>
      </w:r>
    </w:p>
  </w:footnote>
  <w:footnote w:id="49">
    <w:p w:rsidR="006807AE" w:rsidRPr="00B60AD9" w:rsidP="006807AE" w14:paraId="379C4503" w14:textId="77777777">
      <w:pPr>
        <w:pStyle w:val="FootnoteText"/>
      </w:pPr>
      <w:r w:rsidRPr="00B60AD9">
        <w:rPr>
          <w:rStyle w:val="FootnoteReference"/>
        </w:rPr>
        <w:footnoteRef/>
      </w:r>
      <w:r w:rsidRPr="00B60AD9">
        <w:t xml:space="preserve"> </w:t>
      </w:r>
      <w:r w:rsidRPr="00B60AD9">
        <w:rPr>
          <w:i/>
          <w:iCs/>
        </w:rPr>
        <w:t xml:space="preserve">See </w:t>
      </w:r>
      <w:r w:rsidRPr="00B60AD9">
        <w:t>Appx. A, § 52.15(g)(3)(ii)(C), (D), and (K).</w:t>
      </w:r>
    </w:p>
  </w:footnote>
  <w:footnote w:id="50">
    <w:p w:rsidR="006807AE" w:rsidRPr="00B60AD9" w:rsidP="006807AE" w14:paraId="25BC2D04"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w:t>
      </w:r>
      <w:r w:rsidRPr="00B60AD9">
        <w:t xml:space="preserve">913, para. 13.  As voice service providers, interconnected VoIP providers must comply with all regulations that target illegal robocalls that are generally applicable to all voice service providers.  </w:t>
      </w:r>
      <w:r w:rsidRPr="00B60AD9">
        <w:rPr>
          <w:i/>
          <w:iCs/>
        </w:rPr>
        <w:t xml:space="preserve">See </w:t>
      </w:r>
      <w:r w:rsidRPr="00B60AD9">
        <w:t>47 CFR §§ 64.1600(r)(1), 64.6300(n)(1) (defining “vo</w:t>
      </w:r>
      <w:r w:rsidRPr="00B60AD9">
        <w:t xml:space="preserve">ice service” as “any service that is interconnected with the public switched telephone network and that furnishes voice communications to an end user using resources from the North American Numbering Plan”); </w:t>
      </w:r>
      <w:r w:rsidRPr="00B60AD9">
        <w:rPr>
          <w:i/>
          <w:iCs/>
        </w:rPr>
        <w:t>Advanced Methods to Target and Eliminate Unlawfu</w:t>
      </w:r>
      <w:r w:rsidRPr="00B60AD9">
        <w:rPr>
          <w:i/>
          <w:iCs/>
        </w:rPr>
        <w:t>l Robocalls</w:t>
      </w:r>
      <w:r w:rsidRPr="00B60AD9">
        <w:t>, CG Docket No. 17-59, Third Report and Order, Order on Reconsideration, and Fourth Further Notice of Proposed Rulemaking, 35 FCC Rcd 7614, 7615 n.3 (2020) (defining “voice service provider” for the purposes of the Commission’s call blocking rul</w:t>
      </w:r>
      <w:r w:rsidRPr="00B60AD9">
        <w:t>es as including “any entity originating, carrying, or terminating voice calls through time-division multiplexing (TDM), Voice over Internet Protocol (VoIP), or commercial mobile radio service (CMRS)”).  Additionally, interconnected VoIP providers acting as</w:t>
      </w:r>
      <w:r w:rsidRPr="00B60AD9">
        <w:t xml:space="preserve"> terminating, originating, intermediate, and/or gateway providers must accordingly also comply with the specific regulations targeting illegal robocalls that are applicable to each type of provider.  Some commenters propose additional changes to the roboca</w:t>
      </w:r>
      <w:r w:rsidRPr="00B60AD9">
        <w:t>lling rules that are not necessarily tied to direct access to numbers or limited to interconnected VoIP providers.  Electronic Privacy Information Center Comments at 3-16 (EPIC) (urging the Commission to provide “[m]ore explicit guidance to providers on wh</w:t>
      </w:r>
      <w:r w:rsidRPr="00B60AD9">
        <w:t xml:space="preserve">at activities should be considered indicators of an illegal robocall operation,” “[a] list of methods providers should be required to use to maximize their opportunities to spot these indicators[,]” “[s]pecific actions providers should be required to take </w:t>
      </w:r>
      <w:r w:rsidRPr="00B60AD9">
        <w:t>once the indicators are apparent,” “[a] clear statement that a provider’s failure to . . . use either the Commission’s proposed methods of spotting illegal robocall operations or a different but equally effective method, and . . . shut down access to the c</w:t>
      </w:r>
      <w:r w:rsidRPr="00B60AD9">
        <w:t>allers conducting an illegal robocall operation, will lead to the suspension and possible permanent expulsion of the provider from the numbering system,” and “greater transparency . . . regarding sources of potential robocall threats”); ZipDX, LLC Reply at</w:t>
      </w:r>
      <w:r w:rsidRPr="00B60AD9">
        <w:t xml:space="preserve"> 9 (ZipDX) (requesting that the Commission “migrate all automated calling to a new, non-geographic NPA (area code) specifically allocated for that purpose,” and require voice callers using automation “to register their campaigns”).  We decline to adopt or </w:t>
      </w:r>
      <w:r w:rsidRPr="00B60AD9">
        <w:t>address these proposals, as they are beyond the scope of this proceeding.</w:t>
      </w:r>
    </w:p>
  </w:footnote>
  <w:footnote w:id="51">
    <w:p w:rsidR="006807AE" w:rsidRPr="00B60AD9" w:rsidP="006807AE" w14:paraId="3F17AAF3" w14:textId="77777777">
      <w:pPr>
        <w:pStyle w:val="FootnoteText"/>
      </w:pPr>
      <w:r w:rsidRPr="00B60AD9">
        <w:rPr>
          <w:rStyle w:val="FootnoteReference"/>
        </w:rPr>
        <w:footnoteRef/>
      </w:r>
      <w:r w:rsidRPr="00B60AD9">
        <w:t xml:space="preserve"> </w:t>
      </w:r>
      <w:bookmarkStart w:id="14" w:name="_Hlk137981807"/>
      <w:r w:rsidRPr="00B60AD9">
        <w:rPr>
          <w:i/>
          <w:iCs/>
        </w:rPr>
        <w:t>VoIP Direct Access Further Notice</w:t>
      </w:r>
      <w:bookmarkEnd w:id="14"/>
      <w:r w:rsidRPr="00B60AD9">
        <w:t>, 36 FCC Rcd at 12914, para. 14.  Accordingly, should the Commission deem the applicant’s filing insufficient and remove it from the Robocall Mitig</w:t>
      </w:r>
      <w:r w:rsidRPr="00B60AD9">
        <w:t xml:space="preserve">ation Database, the applicant may not validly certify to this statement.  As noted above, we proposed requiring interconnected VoIP providers to certify that they will cooperate with various governmental agencies and the industry-led registered consortium </w:t>
      </w:r>
      <w:r w:rsidRPr="00B60AD9">
        <w:t xml:space="preserve">regarding efforts to mitigate illegal or harmful robocalling or spoofing and tracebacks.  </w:t>
      </w:r>
      <w:r w:rsidRPr="00B60AD9">
        <w:rPr>
          <w:i/>
          <w:iCs/>
        </w:rPr>
        <w:t xml:space="preserve">See supra </w:t>
      </w:r>
      <w:r w:rsidRPr="00B60AD9">
        <w:t xml:space="preserve">para. 14 n.42.  In our recent </w:t>
      </w:r>
      <w:r w:rsidRPr="00B60AD9">
        <w:rPr>
          <w:i/>
          <w:iCs/>
        </w:rPr>
        <w:t>Caller ID Authentication Sixth Report and Order</w:t>
      </w:r>
      <w:r w:rsidRPr="00B60AD9">
        <w:t>, we expanded the scope of a similar Robocall Mitigation Database certification</w:t>
      </w:r>
      <w:r w:rsidRPr="00B60AD9">
        <w:t xml:space="preserve"> requirement to cover all providers.  </w:t>
      </w:r>
      <w:r w:rsidRPr="00B60AD9">
        <w:rPr>
          <w:i/>
          <w:iCs/>
        </w:rPr>
        <w:t>See Caller ID Authentication Sixth Report and Order</w:t>
      </w:r>
      <w:r w:rsidRPr="00B60AD9">
        <w:t xml:space="preserve"> at 18, para. 29-31.  We thus decline to adopt our proposal here to avoid imposing redundant requirements.</w:t>
      </w:r>
    </w:p>
  </w:footnote>
  <w:footnote w:id="52">
    <w:p w:rsidR="006807AE" w:rsidRPr="00B60AD9" w:rsidP="006807AE" w14:paraId="0A060479"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12914-15,</w:t>
      </w:r>
      <w:r w:rsidRPr="00B60AD9">
        <w:t xml:space="preserve"> para. 15.  </w:t>
      </w:r>
      <w:r>
        <w:t xml:space="preserve">Our rules already require interconnected VoIP direct access applicants to certify that none of the key personnel identified in their applications are or have been subject to a Commission, law enforcement, or regulatory agency investigation for </w:t>
      </w:r>
      <w:r>
        <w:t xml:space="preserve">failure to comply with </w:t>
      </w:r>
      <w:r w:rsidRPr="005E0E7A">
        <w:rPr>
          <w:i/>
          <w:iCs/>
        </w:rPr>
        <w:t>any</w:t>
      </w:r>
      <w:r>
        <w:t xml:space="preserve"> law, rule, or order.  47 CFR § 52.15(g)(3)(i)(F).  By adding the language regarding the Commission’s rules applicable to unlawful robocalls or unlawful spoofing to the end of the provision, we do not narrow the broader scope of t</w:t>
      </w:r>
      <w:r>
        <w:t>he certification, as VON suggests, but rather place additional emphasis on the need for applicants to disclose robocalling compliance issues to the Commission.  Letter from Glenn S. Richards, Counsel for Voice on the Net Coalition, to Marlene H. Dortch, Se</w:t>
      </w:r>
      <w:r>
        <w:t xml:space="preserve">cretary, FCC, WC Docket Nos. 13-97 et al., at 2 (filed Sept. 14, 2023) (VON </w:t>
      </w:r>
      <w:r>
        <w:rPr>
          <w:i/>
          <w:iCs/>
        </w:rPr>
        <w:t>Ex Parte</w:t>
      </w:r>
      <w:r>
        <w:t xml:space="preserve">); </w:t>
      </w:r>
      <w:r>
        <w:rPr>
          <w:i/>
          <w:iCs/>
        </w:rPr>
        <w:t xml:space="preserve">see also </w:t>
      </w:r>
      <w:r>
        <w:t>Letter from Joshua M. Bercu, Vice President, Policy &amp; Advocacy, USTelecom, to Marlene H. Dortch, Secretary, FCC, WC Docket Nos. 13-97 et al. (filed Sept. 14, 20</w:t>
      </w:r>
      <w:r>
        <w:t xml:space="preserve">23) (USTelecom </w:t>
      </w:r>
      <w:r>
        <w:rPr>
          <w:i/>
          <w:iCs/>
        </w:rPr>
        <w:t>Ex Parte</w:t>
      </w:r>
      <w:r>
        <w:t xml:space="preserve">). </w:t>
      </w:r>
      <w:r>
        <w:rPr>
          <w:i/>
        </w:rPr>
        <w:t xml:space="preserve"> </w:t>
      </w:r>
      <w:r>
        <w:t>Additionally, we note that t</w:t>
      </w:r>
      <w:r w:rsidRPr="00B60AD9">
        <w:t>his certification is consistent with the reporting requirements recently adopted by the Commission for all providers to certify as to whether they have been the subject of a formal Commission, law enfo</w:t>
      </w:r>
      <w:r w:rsidRPr="00B60AD9">
        <w:t xml:space="preserve">rcement, or regulatory agency action or investigation with accompanying findings of actual or suspected wrongdoing due to the filing entity transmitting, encouraging, assisting, or otherwise facilitating illegal robocalls or spoofing.  </w:t>
      </w:r>
      <w:r w:rsidRPr="00B60AD9">
        <w:rPr>
          <w:i/>
          <w:iCs/>
        </w:rPr>
        <w:t>Caller ID Authentica</w:t>
      </w:r>
      <w:r w:rsidRPr="00B60AD9">
        <w:rPr>
          <w:i/>
          <w:iCs/>
        </w:rPr>
        <w:t xml:space="preserve">tion Sixth Report and Order </w:t>
      </w:r>
      <w:r w:rsidRPr="00B60AD9">
        <w:t xml:space="preserve">at 25-26, para. 47; </w:t>
      </w:r>
      <w:r w:rsidRPr="00B60AD9">
        <w:rPr>
          <w:i/>
          <w:iCs/>
        </w:rPr>
        <w:t xml:space="preserve">id. </w:t>
      </w:r>
      <w:r w:rsidRPr="00B60AD9">
        <w:t>at 62-63 (amending 47 CFR § 64.6305 to include this new certification).  We decline at this time to adopt our proposal to expand the sphere of proceedings (i.e., to include “actions” and “inquiries” in ad</w:t>
      </w:r>
      <w:r w:rsidRPr="00B60AD9">
        <w:t xml:space="preserve">dition to investigations) covered by this certification, as we agree with RingCentral that the proposal was vaguely worded and therefore did not “provide[] sufficient notice to enable providers to comply.”  RingCentral et al. Comments at 6.  Additionally, </w:t>
      </w:r>
      <w:r w:rsidRPr="00B60AD9">
        <w:t>we emphasize that being subject to an investigation would not necessarily disqualify an applicant from receiving direct access authority.  In the event an applicant is not able to certify that it is not subject to a Commission, law enforcement, or regulato</w:t>
      </w:r>
      <w:r w:rsidRPr="00B60AD9">
        <w:t>ry agency investigation, an applicant can explain in its application why the investigation should not disqualify the applicant from receiving direct access authorization.  For</w:t>
      </w:r>
      <w:r w:rsidRPr="00B60AD9">
        <w:rPr>
          <w:i/>
          <w:iCs/>
        </w:rPr>
        <w:t xml:space="preserve"> </w:t>
      </w:r>
      <w:r w:rsidRPr="00B60AD9">
        <w:t xml:space="preserve">example, an applicant could provide </w:t>
      </w:r>
      <w:r w:rsidRPr="00B60AD9">
        <w:rPr>
          <w:rFonts w:eastAsia="Calibri"/>
        </w:rPr>
        <w:t>information rebutting a warning letter (e.g.</w:t>
      </w:r>
      <w:r w:rsidRPr="00B60AD9">
        <w:rPr>
          <w:rFonts w:eastAsia="Calibri"/>
        </w:rPr>
        <w:t>, a cease-and-desist letter) of suspected illegal robocalling received from the Commission or FTC and/or a description of the steps the applicant has taken to respond to such a letter.</w:t>
      </w:r>
    </w:p>
  </w:footnote>
  <w:footnote w:id="53">
    <w:p w:rsidR="006807AE" w:rsidRPr="00B60AD9" w:rsidP="006807AE" w14:paraId="4983424D" w14:textId="77777777">
      <w:pPr>
        <w:pStyle w:val="FootnoteText"/>
      </w:pPr>
      <w:r w:rsidRPr="00B60AD9">
        <w:rPr>
          <w:rStyle w:val="FootnoteReference"/>
        </w:rPr>
        <w:footnoteRef/>
      </w:r>
      <w:r w:rsidRPr="00B60AD9">
        <w:t xml:space="preserve"> </w:t>
      </w:r>
      <w:r w:rsidRPr="00B60AD9">
        <w:rPr>
          <w:i/>
          <w:iCs/>
        </w:rPr>
        <w:t xml:space="preserve">See Caller ID Authentication Sixth Report and Order </w:t>
      </w:r>
      <w:r w:rsidRPr="00B60AD9">
        <w:t>at 19-20, para. 3</w:t>
      </w:r>
      <w:r w:rsidRPr="00B60AD9">
        <w:t>4.</w:t>
      </w:r>
    </w:p>
  </w:footnote>
  <w:footnote w:id="54">
    <w:p w:rsidR="006807AE" w:rsidRPr="00B60AD9" w:rsidP="006807AE" w14:paraId="4B935FE9" w14:textId="77777777">
      <w:pPr>
        <w:pStyle w:val="FootnoteText"/>
      </w:pPr>
      <w:r w:rsidRPr="00B60AD9">
        <w:rPr>
          <w:rStyle w:val="FootnoteReference"/>
        </w:rPr>
        <w:footnoteRef/>
      </w:r>
      <w:r w:rsidRPr="00B60AD9">
        <w:t xml:space="preserve"> This approach accords with our recent decision in the </w:t>
      </w:r>
      <w:r w:rsidRPr="00B60AD9">
        <w:rPr>
          <w:i/>
          <w:iCs/>
        </w:rPr>
        <w:t>Caller ID Authentication Sixth Report and Order</w:t>
      </w:r>
      <w:r w:rsidRPr="00B60AD9">
        <w:t xml:space="preserve"> not to adopt heightened robocall mitigation standards for interconnected VoIP providers.  </w:t>
      </w:r>
      <w:r w:rsidRPr="00B60AD9">
        <w:rPr>
          <w:i/>
          <w:iCs/>
        </w:rPr>
        <w:t>See id.</w:t>
      </w:r>
    </w:p>
  </w:footnote>
  <w:footnote w:id="55">
    <w:p w:rsidR="006807AE" w:rsidRPr="00B60AD9" w:rsidP="006807AE" w14:paraId="6FD3429C" w14:textId="77777777">
      <w:pPr>
        <w:pStyle w:val="FootnoteText"/>
      </w:pPr>
      <w:r w:rsidRPr="00B60AD9">
        <w:rPr>
          <w:rStyle w:val="FootnoteReference"/>
        </w:rPr>
        <w:footnoteRef/>
      </w:r>
      <w:r w:rsidRPr="00B60AD9">
        <w:t xml:space="preserve"> </w:t>
      </w:r>
      <w:r w:rsidRPr="00B60AD9">
        <w:rPr>
          <w:i/>
          <w:iCs/>
        </w:rPr>
        <w:t>See, e.g.</w:t>
      </w:r>
      <w:r w:rsidRPr="00B60AD9">
        <w:t>, CCA Reply at 1-2 (agreeing with commenters that “the manifold proposals to address illegal robocalls set forth in the Further Notice are largely</w:t>
      </w:r>
      <w:r w:rsidRPr="00B60AD9">
        <w:t xml:space="preserve"> redundant of existing requirements and are potentially counterproductive”); </w:t>
      </w:r>
      <w:r w:rsidRPr="00B60AD9">
        <w:rPr>
          <w:i/>
          <w:iCs/>
        </w:rPr>
        <w:t xml:space="preserve">id. </w:t>
      </w:r>
      <w:r w:rsidRPr="00B60AD9">
        <w:t>at 5 (arguing that new substantive requirements on interconnected VoIP providers “are more appropriately targeted to all voice service providers . . . [and] would require addi</w:t>
      </w:r>
      <w:r w:rsidRPr="00B60AD9">
        <w:t>tional rulemakings”).</w:t>
      </w:r>
    </w:p>
  </w:footnote>
  <w:footnote w:id="56">
    <w:p w:rsidR="006807AE" w:rsidRPr="00B60AD9" w:rsidP="006807AE" w14:paraId="16AF5A21" w14:textId="77777777">
      <w:pPr>
        <w:pStyle w:val="FootnoteText"/>
      </w:pPr>
      <w:r w:rsidRPr="00B60AD9">
        <w:rPr>
          <w:rStyle w:val="FootnoteReference"/>
        </w:rPr>
        <w:footnoteRef/>
      </w:r>
      <w:r w:rsidRPr="00B60AD9">
        <w:t xml:space="preserve"> </w:t>
      </w:r>
      <w:r w:rsidRPr="00B60AD9">
        <w:rPr>
          <w:noProof/>
        </w:rPr>
        <w:t>By requiring applicants to certify compliance with preexisting rule sections, we ensure that our approach does not cause confusion, and remains accurate should we decide to revise the robocall-related obligations applicable to voice</w:t>
      </w:r>
      <w:r w:rsidRPr="00B60AD9">
        <w:rPr>
          <w:noProof/>
        </w:rPr>
        <w:t xml:space="preserve"> service providers in the Call Authentication Trust Anchor or other robocall-related dockets.  </w:t>
      </w:r>
    </w:p>
  </w:footnote>
  <w:footnote w:id="57">
    <w:p w:rsidR="006807AE" w:rsidRPr="00B60AD9" w:rsidP="006807AE" w14:paraId="6021566A" w14:textId="77777777">
      <w:pPr>
        <w:pStyle w:val="FootnoteText"/>
      </w:pPr>
      <w:r w:rsidRPr="00B60AD9">
        <w:rPr>
          <w:rStyle w:val="FootnoteReference"/>
        </w:rPr>
        <w:footnoteRef/>
      </w:r>
      <w:r w:rsidRPr="00B60AD9">
        <w:t xml:space="preserve"> 47 CFR § 1.16.  We also note that, by statute, any person that knowingly and willfully makes a false statement shall be fined or imprisoned or both.  18 U.S.C</w:t>
      </w:r>
      <w:r w:rsidRPr="00B60AD9">
        <w:t>. § 1001.</w:t>
      </w:r>
    </w:p>
  </w:footnote>
  <w:footnote w:id="58">
    <w:p w:rsidR="006807AE" w:rsidRPr="00B60AD9" w:rsidP="006807AE" w14:paraId="79FD03B6" w14:textId="77777777">
      <w:pPr>
        <w:pStyle w:val="FootnoteText"/>
        <w:rPr>
          <w:i/>
          <w:iCs/>
        </w:rPr>
      </w:pPr>
      <w:r w:rsidRPr="00B60AD9">
        <w:rPr>
          <w:rStyle w:val="FootnoteReference"/>
        </w:rPr>
        <w:footnoteRef/>
      </w:r>
      <w:r w:rsidRPr="00B60AD9">
        <w:t xml:space="preserve"> </w:t>
      </w:r>
      <w:r w:rsidRPr="00B60AD9">
        <w:rPr>
          <w:i/>
          <w:iCs/>
        </w:rPr>
        <w:t xml:space="preserve">See </w:t>
      </w:r>
      <w:r w:rsidRPr="00B60AD9">
        <w:rPr>
          <w:i/>
          <w:iCs/>
          <w:snapToGrid w:val="0"/>
        </w:rPr>
        <w:t>VoIP Direct Access Further Notice</w:t>
      </w:r>
      <w:r w:rsidRPr="00B60AD9">
        <w:rPr>
          <w:snapToGrid w:val="0"/>
        </w:rPr>
        <w:t>, 36 FCC Rcd at 12918, para. 22.</w:t>
      </w:r>
    </w:p>
  </w:footnote>
  <w:footnote w:id="59">
    <w:p w:rsidR="006807AE" w:rsidRPr="00B60AD9" w:rsidP="006807AE" w14:paraId="7A8449D6" w14:textId="77777777">
      <w:pPr>
        <w:pStyle w:val="FootnoteText"/>
      </w:pPr>
      <w:r w:rsidRPr="00B60AD9">
        <w:rPr>
          <w:rStyle w:val="FootnoteReference"/>
        </w:rPr>
        <w:footnoteRef/>
      </w:r>
      <w:r w:rsidRPr="00B60AD9">
        <w:t xml:space="preserve"> </w:t>
      </w:r>
      <w:r w:rsidRPr="00B60AD9">
        <w:rPr>
          <w:i/>
          <w:iCs/>
        </w:rPr>
        <w:t xml:space="preserve">See </w:t>
      </w:r>
      <w:r w:rsidRPr="00B60AD9">
        <w:t xml:space="preserve">47 CFR § 52.15(g)(3)(iv)(A).  </w:t>
      </w:r>
    </w:p>
  </w:footnote>
  <w:footnote w:id="60">
    <w:p w:rsidR="006807AE" w:rsidRPr="00B60AD9" w:rsidP="006807AE" w14:paraId="40118629" w14:textId="77777777">
      <w:pPr>
        <w:pStyle w:val="FootnoteText"/>
      </w:pPr>
      <w:r w:rsidRPr="00B60AD9">
        <w:rPr>
          <w:rStyle w:val="FootnoteReference"/>
        </w:rPr>
        <w:footnoteRef/>
      </w:r>
      <w:r w:rsidRPr="00B60AD9">
        <w:t xml:space="preserve"> The Commission publishes an up-to-date list of robocall-related cease-and-desist letters that it has sent to voice service providers.  </w:t>
      </w:r>
      <w:r w:rsidRPr="00B60AD9">
        <w:rPr>
          <w:i/>
          <w:iCs/>
        </w:rPr>
        <w:t xml:space="preserve">See </w:t>
      </w:r>
      <w:r w:rsidRPr="00B60AD9">
        <w:t xml:space="preserve">FCC, </w:t>
      </w:r>
      <w:r w:rsidRPr="00B60AD9">
        <w:rPr>
          <w:i/>
          <w:iCs/>
        </w:rPr>
        <w:t>Robocall Facilitators Must Cease and Desist</w:t>
      </w:r>
      <w:r w:rsidRPr="00B60AD9">
        <w:t xml:space="preserve">, </w:t>
      </w:r>
      <w:hyperlink r:id="rId7" w:history="1">
        <w:r w:rsidRPr="00B60AD9">
          <w:rPr>
            <w:rStyle w:val="Hyperlink"/>
          </w:rPr>
          <w:t>https://www.fcc.gov/robocall-facilitators-must-cease-and-desist</w:t>
        </w:r>
      </w:hyperlink>
      <w:r w:rsidRPr="00B60AD9">
        <w:t xml:space="preserve"> (last visited May 16, 20</w:t>
      </w:r>
      <w:r w:rsidRPr="00B60AD9">
        <w:t>23).</w:t>
      </w:r>
    </w:p>
  </w:footnote>
  <w:footnote w:id="61">
    <w:p w:rsidR="006807AE" w:rsidRPr="00B60AD9" w:rsidP="006807AE" w14:paraId="7B54B0A0" w14:textId="77777777">
      <w:pPr>
        <w:pStyle w:val="FootnoteText"/>
      </w:pPr>
      <w:r w:rsidRPr="00B60AD9">
        <w:rPr>
          <w:rStyle w:val="FootnoteReference"/>
        </w:rPr>
        <w:footnoteRef/>
      </w:r>
      <w:r w:rsidRPr="00B60AD9">
        <w:t xml:space="preserve"> </w:t>
      </w:r>
      <w:r w:rsidRPr="00B60AD9">
        <w:rPr>
          <w:i/>
          <w:iCs/>
        </w:rPr>
        <w:t>See, e.g.</w:t>
      </w:r>
      <w:r w:rsidRPr="00B60AD9">
        <w:t>,</w:t>
      </w:r>
      <w:r w:rsidRPr="00B60AD9">
        <w:rPr>
          <w:i/>
          <w:iCs/>
        </w:rPr>
        <w:t xml:space="preserve"> </w:t>
      </w:r>
      <w:r w:rsidRPr="00B60AD9">
        <w:t>Mich. Pub. Serv. Comm’n Comments at 4-5 (Mich. PSC); Neb. Pub. Serv. Comm’n Comments at 3 (Neb. PSC); Pa. Pub. Util. Comm’n Comments at 4 (Pa. PUC); Fifty-One (51) State Attorneys General Reply at 2 (NAAG) (“Every day, State AGs hear from</w:t>
      </w:r>
      <w:r w:rsidRPr="00B60AD9">
        <w:t xml:space="preserve"> constituents about the terrible damage inflicted through illegal robocalls.  In most State AG offices, illegal robocalls top the list of most frequent consumer complaints.  Phone calls and texts are by far the most common contact method for fraud and acco</w:t>
      </w:r>
      <w:r w:rsidRPr="00B60AD9">
        <w:t>unt for 58% of all fraud with a contact method reported to the Federal Trade Commission—almost four times higher than the next most common contact method. Moreover, fraudulent phone calls and texts account for over $500 million in reported losses.”) (citin</w:t>
      </w:r>
      <w:r w:rsidRPr="00B60AD9">
        <w:t xml:space="preserve">g FTC, </w:t>
      </w:r>
      <w:r w:rsidRPr="00B60AD9">
        <w:rPr>
          <w:i/>
          <w:iCs/>
        </w:rPr>
        <w:t>Consumer Sentinel Network Databook 2020</w:t>
      </w:r>
      <w:r w:rsidRPr="00B60AD9">
        <w:t xml:space="preserve"> at 12 (2021), </w:t>
      </w:r>
      <w:hyperlink r:id="rId8" w:history="1">
        <w:r w:rsidRPr="00B60AD9">
          <w:rPr>
            <w:rStyle w:val="Hyperlink"/>
          </w:rPr>
          <w:t>https://www.ftc.gov/system/files/documents/reports/consumer</w:t>
        </w:r>
        <w:r w:rsidRPr="00B60AD9">
          <w:rPr>
            <w:rStyle w:val="Hyperlink"/>
          </w:rPr>
          <w:t>-sentinel-network-data-book-2020/csn_annual_data_book_2020.pdf</w:t>
        </w:r>
      </w:hyperlink>
      <w:r w:rsidRPr="00B60AD9">
        <w:t>)).</w:t>
      </w:r>
    </w:p>
  </w:footnote>
  <w:footnote w:id="62">
    <w:p w:rsidR="006807AE" w:rsidRPr="00B60AD9" w:rsidP="006807AE" w14:paraId="7B08F33E" w14:textId="77777777">
      <w:pPr>
        <w:pStyle w:val="FootnoteText"/>
      </w:pPr>
      <w:r w:rsidRPr="00B60AD9">
        <w:rPr>
          <w:rStyle w:val="FootnoteReference"/>
        </w:rPr>
        <w:footnoteRef/>
      </w:r>
      <w:r w:rsidRPr="00B60AD9">
        <w:t xml:space="preserve"> </w:t>
      </w:r>
      <w:r w:rsidRPr="00B60AD9">
        <w:rPr>
          <w:i/>
          <w:iCs/>
        </w:rPr>
        <w:t xml:space="preserve">See </w:t>
      </w:r>
      <w:r w:rsidRPr="00B60AD9">
        <w:t>RingCentral et al. Reply at 3-4 (“[T]he Commission should focus on enforcing existing requirements.”).</w:t>
      </w:r>
    </w:p>
  </w:footnote>
  <w:footnote w:id="63">
    <w:p w:rsidR="006807AE" w:rsidRPr="00B60AD9" w:rsidP="006807AE" w14:paraId="21687AF3" w14:textId="77777777">
      <w:pPr>
        <w:pStyle w:val="FootnoteText"/>
      </w:pPr>
      <w:r w:rsidRPr="00B60AD9">
        <w:rPr>
          <w:rStyle w:val="FootnoteReference"/>
        </w:rPr>
        <w:footnoteRef/>
      </w:r>
      <w:r w:rsidRPr="00B60AD9">
        <w:t xml:space="preserve"> </w:t>
      </w:r>
      <w:r w:rsidRPr="00B60AD9">
        <w:rPr>
          <w:i/>
          <w:iCs/>
        </w:rPr>
        <w:t xml:space="preserve">See </w:t>
      </w:r>
      <w:r w:rsidRPr="00B60AD9">
        <w:t>CCA Reply at 2 (stating that “proposed c</w:t>
      </w:r>
      <w:r w:rsidRPr="00B60AD9">
        <w:t>ertification requirements and technical documentation are redundant, overly burdensome, and counterproductive in that they may drive providers back to the secondary market for numbers”).</w:t>
      </w:r>
    </w:p>
  </w:footnote>
  <w:footnote w:id="64">
    <w:p w:rsidR="006807AE" w:rsidRPr="00B60AD9" w:rsidP="006807AE" w14:paraId="404185A2" w14:textId="77777777">
      <w:pPr>
        <w:pStyle w:val="FootnoteText"/>
      </w:pPr>
      <w:r w:rsidRPr="00B60AD9">
        <w:rPr>
          <w:rStyle w:val="FootnoteReference"/>
        </w:rPr>
        <w:footnoteRef/>
      </w:r>
      <w:r w:rsidRPr="00B60AD9">
        <w:t xml:space="preserve"> </w:t>
      </w:r>
      <w:r w:rsidRPr="00B60AD9">
        <w:rPr>
          <w:i/>
          <w:iCs/>
        </w:rPr>
        <w:t xml:space="preserve">See </w:t>
      </w:r>
      <w:r w:rsidRPr="00B60AD9">
        <w:t xml:space="preserve">VON Comments at 4 </w:t>
      </w:r>
      <w:r w:rsidRPr="00B60AD9">
        <w:rPr>
          <w:rFonts w:eastAsia="Calibri"/>
        </w:rPr>
        <w:t xml:space="preserve">(“Direct access to phone numbers will facilitate traceback efforts which, in turn, can help to quickly identify and stop illegal robocalling and other forms of calling fraud.”); </w:t>
      </w:r>
      <w:r w:rsidRPr="00B60AD9">
        <w:t>CCA Reply at</w:t>
      </w:r>
      <w:r w:rsidRPr="00B60AD9">
        <w:rPr>
          <w:rFonts w:eastAsia="Calibri"/>
        </w:rPr>
        <w:t xml:space="preserve"> 2 (“Discouraging applications for direct number access could actu</w:t>
      </w:r>
      <w:r w:rsidRPr="00B60AD9">
        <w:rPr>
          <w:rFonts w:eastAsia="Calibri"/>
        </w:rPr>
        <w:t>ally undermine the Commission’s robocall mitigation efforts, as well as hinder its efforts to track number utilization.  Direct access to numbers facilitates traceback, improves visibility into number utilization, and promotes the transition from TDM to IP</w:t>
      </w:r>
      <w:r w:rsidRPr="00B60AD9">
        <w:rPr>
          <w:rFonts w:eastAsia="Calibri"/>
        </w:rPr>
        <w:t xml:space="preserve"> network infrastructure, among other benefits.”) (internal citations omitted).</w:t>
      </w:r>
    </w:p>
  </w:footnote>
  <w:footnote w:id="65">
    <w:p w:rsidR="006807AE" w:rsidRPr="00B60AD9" w:rsidP="006807AE" w14:paraId="2CB06B06" w14:textId="77777777">
      <w:pPr>
        <w:pStyle w:val="FootnoteText"/>
      </w:pPr>
      <w:r w:rsidRPr="00B60AD9">
        <w:rPr>
          <w:rStyle w:val="FootnoteReference"/>
        </w:rPr>
        <w:footnoteRef/>
      </w:r>
      <w:r w:rsidRPr="00B60AD9">
        <w:t xml:space="preserve"> </w:t>
      </w:r>
      <w:r w:rsidRPr="00B60AD9">
        <w:rPr>
          <w:i/>
          <w:iCs/>
        </w:rPr>
        <w:t xml:space="preserve">See </w:t>
      </w:r>
      <w:r w:rsidRPr="00B60AD9">
        <w:t>Bandwidth Reply at 6 (stating that “the bulk of the proposed rules are reasonable and appropriately targeted toward preventing potential abuses that harm the public intere</w:t>
      </w:r>
      <w:r w:rsidRPr="00B60AD9">
        <w:t>st while simultaneously continuing to encourage innovative and wanted services”)</w:t>
      </w:r>
      <w:r>
        <w:t>;</w:t>
      </w:r>
      <w:r w:rsidRPr="00B60AD9">
        <w:t xml:space="preserve"> </w:t>
      </w:r>
      <w:r w:rsidRPr="006E6B79">
        <w:rPr>
          <w:i/>
          <w:iCs/>
        </w:rPr>
        <w:t>see also</w:t>
      </w:r>
      <w:r w:rsidRPr="00F24665">
        <w:t xml:space="preserve"> TelSwitch, Inc.</w:t>
      </w:r>
      <w:r>
        <w:t>,</w:t>
      </w:r>
      <w:r w:rsidRPr="00F24665">
        <w:t xml:space="preserve"> </w:t>
      </w:r>
      <w:r>
        <w:t xml:space="preserve">Reply Comments of the Second Report and Order and Second Further Notice of Proposed Rulemaking, WC Docket No. 20-67 </w:t>
      </w:r>
      <w:r w:rsidRPr="00F24665">
        <w:t>at 1-2 (filed Sept. 15, 2023).</w:t>
      </w:r>
      <w:r>
        <w:t xml:space="preserve">  </w:t>
      </w:r>
      <w:r>
        <w:t xml:space="preserve">We note the other issues raised by TelSwitch are outside the scope of this proceeding. </w:t>
      </w:r>
      <w:r w:rsidRPr="00B60AD9">
        <w:t xml:space="preserve"> Moreover, to the extent this does occur, our accompanying </w:t>
      </w:r>
      <w:r w:rsidRPr="00B60AD9">
        <w:rPr>
          <w:i/>
          <w:iCs/>
        </w:rPr>
        <w:t>Second Further Notice</w:t>
      </w:r>
      <w:r w:rsidRPr="00B60AD9">
        <w:t xml:space="preserve"> seeks to explore how we can reach interconnected VoIP providers that obtain their number</w:t>
      </w:r>
      <w:r w:rsidRPr="00B60AD9">
        <w:t xml:space="preserve">ing resources other than through direct access.  </w:t>
      </w:r>
      <w:r w:rsidRPr="00B60AD9">
        <w:rPr>
          <w:i/>
          <w:iCs/>
        </w:rPr>
        <w:t xml:space="preserve">See infra </w:t>
      </w:r>
      <w:r w:rsidRPr="00B60AD9">
        <w:t>Part IV.C.</w:t>
      </w:r>
    </w:p>
  </w:footnote>
  <w:footnote w:id="66">
    <w:p w:rsidR="006807AE" w:rsidRPr="00B60AD9" w:rsidP="006807AE" w14:paraId="0706907D"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12914-15, para. 15.</w:t>
      </w:r>
    </w:p>
  </w:footnote>
  <w:footnote w:id="67">
    <w:p w:rsidR="006807AE" w:rsidRPr="00B60AD9" w:rsidP="006807AE" w14:paraId="21E1AD94" w14:textId="77777777">
      <w:pPr>
        <w:pStyle w:val="FootnoteText"/>
      </w:pPr>
      <w:r w:rsidRPr="00B60AD9">
        <w:rPr>
          <w:rStyle w:val="FootnoteReference"/>
        </w:rPr>
        <w:footnoteRef/>
      </w:r>
      <w:r w:rsidRPr="00B60AD9">
        <w:t xml:space="preserve"> 47 CFR § 52.15(g)(3)(iv)(A).  </w:t>
      </w:r>
    </w:p>
  </w:footnote>
  <w:footnote w:id="68">
    <w:p w:rsidR="006807AE" w:rsidRPr="00B60AD9" w:rsidP="006807AE" w14:paraId="69CCDA02" w14:textId="77777777">
      <w:pPr>
        <w:pStyle w:val="FootnoteText"/>
      </w:pPr>
      <w:r w:rsidRPr="00B60AD9">
        <w:rPr>
          <w:rStyle w:val="FootnoteReference"/>
        </w:rPr>
        <w:footnoteRef/>
      </w:r>
      <w:r w:rsidRPr="00B60AD9">
        <w:t xml:space="preserve"> </w:t>
      </w:r>
      <w:r w:rsidRPr="00B60AD9">
        <w:rPr>
          <w:i/>
          <w:iCs/>
        </w:rPr>
        <w:t xml:space="preserve">See </w:t>
      </w:r>
      <w:r w:rsidRPr="00B60AD9">
        <w:t>RingCentral et al. Comments at 6.</w:t>
      </w:r>
    </w:p>
  </w:footnote>
  <w:footnote w:id="69">
    <w:p w:rsidR="006807AE" w:rsidRPr="00B60AD9" w:rsidP="006807AE" w14:paraId="597602C6" w14:textId="77777777">
      <w:pPr>
        <w:pStyle w:val="FootnoteText"/>
      </w:pPr>
      <w:r w:rsidRPr="00B60AD9">
        <w:rPr>
          <w:rStyle w:val="FootnoteReference"/>
        </w:rPr>
        <w:footnoteRef/>
      </w:r>
      <w:r w:rsidRPr="00B60AD9">
        <w:t xml:space="preserve"> </w:t>
      </w:r>
      <w:r w:rsidRPr="00B60AD9">
        <w:rPr>
          <w:i/>
          <w:iCs/>
        </w:rPr>
        <w:t>Advanced Methods to Target and Eliminate</w:t>
      </w:r>
      <w:r w:rsidRPr="00B60AD9">
        <w:rPr>
          <w:i/>
          <w:iCs/>
        </w:rPr>
        <w:t xml:space="preserve"> Unlawful Robocalls</w:t>
      </w:r>
      <w:r w:rsidRPr="00B60AD9">
        <w:t>;</w:t>
      </w:r>
      <w:r w:rsidRPr="00B60AD9">
        <w:rPr>
          <w:i/>
          <w:iCs/>
        </w:rPr>
        <w:t xml:space="preserve"> Call Authentication Trust Anchor</w:t>
      </w:r>
      <w:r w:rsidRPr="00B60AD9">
        <w:t xml:space="preserve">, CG Docket No. 17-59 et al., Declaratory Ruling and Third Further Notice of Proposed Rulemaking, 34 FCC Rcd 4876, 4902, para. 82 (2019); </w:t>
      </w:r>
      <w:r w:rsidRPr="00B60AD9">
        <w:rPr>
          <w:i/>
          <w:iCs/>
        </w:rPr>
        <w:t>see also, e.g.</w:t>
      </w:r>
      <w:r w:rsidRPr="00B60AD9">
        <w:t xml:space="preserve">, </w:t>
      </w:r>
      <w:r w:rsidRPr="00B60AD9">
        <w:rPr>
          <w:i/>
          <w:iCs/>
        </w:rPr>
        <w:t>One Eye LLC</w:t>
      </w:r>
      <w:r w:rsidRPr="00B60AD9">
        <w:t xml:space="preserve">, EB-TCD-20-0031678 and EB Docket No. </w:t>
      </w:r>
      <w:r w:rsidRPr="00B60AD9">
        <w:t>22-174, Final Determination Order (rel. May 11, 2023) (directing downstream voice providers to block traffic from gateway provider found to be transmitting illegal robocalls that originated overseas).</w:t>
      </w:r>
    </w:p>
  </w:footnote>
  <w:footnote w:id="70">
    <w:p w:rsidR="006807AE" w:rsidRPr="00B60AD9" w:rsidP="006807AE" w14:paraId="1F555799" w14:textId="77777777">
      <w:pPr>
        <w:tabs>
          <w:tab w:val="center" w:pos="4680"/>
        </w:tabs>
        <w:suppressAutoHyphens/>
        <w:spacing w:after="120"/>
        <w:rPr>
          <w:rFonts w:eastAsia="Calibri"/>
          <w:i/>
          <w:iCs/>
          <w:spacing w:val="-2"/>
          <w:sz w:val="20"/>
        </w:rPr>
      </w:pPr>
      <w:r w:rsidRPr="00B60AD9">
        <w:rPr>
          <w:rStyle w:val="FootnoteReference"/>
        </w:rPr>
        <w:footnoteRef/>
      </w:r>
      <w:r w:rsidRPr="00B60AD9">
        <w:rPr>
          <w:sz w:val="20"/>
        </w:rPr>
        <w:t xml:space="preserve"> </w:t>
      </w:r>
      <w:r w:rsidRPr="00B60AD9">
        <w:rPr>
          <w:i/>
          <w:iCs/>
          <w:color w:val="000000"/>
          <w:kern w:val="1"/>
          <w:sz w:val="20"/>
        </w:rPr>
        <w:t>Advanced Methods to Target and Eliminate Unlawful Rob</w:t>
      </w:r>
      <w:r w:rsidRPr="00B60AD9">
        <w:rPr>
          <w:i/>
          <w:iCs/>
          <w:color w:val="000000"/>
          <w:kern w:val="1"/>
          <w:sz w:val="20"/>
        </w:rPr>
        <w:t>ocalls</w:t>
      </w:r>
      <w:r w:rsidRPr="00B60AD9">
        <w:rPr>
          <w:spacing w:val="-2"/>
          <w:sz w:val="20"/>
        </w:rPr>
        <w:t>;</w:t>
      </w:r>
      <w:r w:rsidRPr="00B60AD9">
        <w:rPr>
          <w:i/>
          <w:iCs/>
          <w:spacing w:val="-2"/>
          <w:sz w:val="20"/>
        </w:rPr>
        <w:t xml:space="preserve"> Call Authentication Trust Anchor</w:t>
      </w:r>
      <w:r w:rsidRPr="00B60AD9">
        <w:rPr>
          <w:sz w:val="20"/>
        </w:rPr>
        <w:t>, GC Docket No. 17-59 &amp; WC Docket No. 17-97, Sixth Report and Order in CG Docket No. 17-59, Fifth Report and Order in WC Docket No. 17-97, Order on Reconsideration in WC Docket No. 17-97, Order, Seventh Further Notic</w:t>
      </w:r>
      <w:r w:rsidRPr="00B60AD9">
        <w:rPr>
          <w:sz w:val="20"/>
        </w:rPr>
        <w:t>e of Proposed Rulemaking in CG Docket No. 17-59, and Fifth Further Notice of</w:t>
      </w:r>
      <w:r w:rsidRPr="00B60AD9">
        <w:rPr>
          <w:b/>
          <w:bCs/>
          <w:caps/>
          <w:sz w:val="20"/>
        </w:rPr>
        <w:t xml:space="preserve"> </w:t>
      </w:r>
      <w:r w:rsidRPr="00B60AD9">
        <w:rPr>
          <w:i/>
          <w:iCs/>
          <w:spacing w:val="-2"/>
          <w:sz w:val="20"/>
        </w:rPr>
        <w:t xml:space="preserve"> </w:t>
      </w:r>
      <w:r w:rsidRPr="00B60AD9">
        <w:rPr>
          <w:sz w:val="20"/>
        </w:rPr>
        <w:t>Proposed Rulemaking in WC Docket No. 17-97, FCC 22-37, at 5, para. 7 (May 20, 2022) (</w:t>
      </w:r>
      <w:r w:rsidRPr="00B60AD9">
        <w:rPr>
          <w:i/>
          <w:iCs/>
          <w:sz w:val="20"/>
        </w:rPr>
        <w:t>Caller ID Authentication Fifth Further Notice</w:t>
      </w:r>
      <w:r w:rsidRPr="00B60AD9">
        <w:rPr>
          <w:sz w:val="20"/>
        </w:rPr>
        <w:t xml:space="preserve">); </w:t>
      </w:r>
      <w:r w:rsidRPr="00B60AD9">
        <w:rPr>
          <w:i/>
          <w:iCs/>
          <w:sz w:val="20"/>
        </w:rPr>
        <w:t xml:space="preserve">see also </w:t>
      </w:r>
      <w:r w:rsidRPr="00B60AD9">
        <w:rPr>
          <w:i/>
          <w:iCs/>
          <w:color w:val="000000"/>
          <w:kern w:val="1"/>
          <w:sz w:val="20"/>
        </w:rPr>
        <w:t xml:space="preserve">Advanced Methods to Target and </w:t>
      </w:r>
      <w:r w:rsidRPr="00B60AD9">
        <w:rPr>
          <w:i/>
          <w:iCs/>
          <w:color w:val="000000"/>
          <w:kern w:val="1"/>
          <w:sz w:val="20"/>
        </w:rPr>
        <w:t>Eliminate Unlawful Robocalls</w:t>
      </w:r>
      <w:r w:rsidRPr="00B60AD9">
        <w:rPr>
          <w:spacing w:val="-2"/>
          <w:sz w:val="20"/>
        </w:rPr>
        <w:t>;</w:t>
      </w:r>
      <w:r w:rsidRPr="00B60AD9">
        <w:rPr>
          <w:i/>
          <w:iCs/>
          <w:spacing w:val="-2"/>
          <w:sz w:val="20"/>
        </w:rPr>
        <w:t xml:space="preserve"> Call Authentication Trust Anchor</w:t>
      </w:r>
      <w:r w:rsidRPr="00B60AD9">
        <w:rPr>
          <w:sz w:val="20"/>
        </w:rPr>
        <w:t>, GC Docket No. 17-59 &amp; WC Docket No. 17-97, Fifth Further Notice of Proposed Rulemaking in CG Docket No. 17-59 and Fourth Further Notice of Proposed Rulemaking in WC Docket No. 17-97, 36 FCC Rc</w:t>
      </w:r>
      <w:r w:rsidRPr="00B60AD9">
        <w:rPr>
          <w:sz w:val="20"/>
        </w:rPr>
        <w:t>d 14971, 14972-73, para. 5 (2021).</w:t>
      </w:r>
    </w:p>
  </w:footnote>
  <w:footnote w:id="71">
    <w:p w:rsidR="006807AE" w:rsidRPr="00B60AD9" w:rsidP="006807AE" w14:paraId="280E511D" w14:textId="77777777">
      <w:pPr>
        <w:pStyle w:val="FootnoteText"/>
      </w:pPr>
      <w:r w:rsidRPr="00B60AD9">
        <w:rPr>
          <w:rStyle w:val="FootnoteReference"/>
        </w:rPr>
        <w:footnoteRef/>
      </w:r>
      <w:r w:rsidRPr="00B60AD9">
        <w:t xml:space="preserve"> N. Am. Numbering Council Call Authentication Trust Anchor Working Grp., Best Practices for the Implementation of Call Authentication Frameworks at 14 (2020), </w:t>
      </w:r>
      <w:hyperlink r:id="rId9" w:history="1">
        <w:r w:rsidRPr="00B60AD9">
          <w:rPr>
            <w:rStyle w:val="Hyperlink"/>
          </w:rPr>
          <w:t>https://docs.fcc.gov/public/attachments/DOC-367133A1.pdf</w:t>
        </w:r>
      </w:hyperlink>
      <w:r w:rsidRPr="00B60AD9">
        <w:t xml:space="preserve"> (2020 NANC Best Practices Report).</w:t>
      </w:r>
    </w:p>
  </w:footnote>
  <w:footnote w:id="72">
    <w:p w:rsidR="006807AE" w:rsidRPr="00B60AD9" w:rsidP="006807AE" w14:paraId="484A98C8" w14:textId="77777777">
      <w:pPr>
        <w:pStyle w:val="FootnoteText"/>
      </w:pPr>
      <w:r w:rsidRPr="00B60AD9">
        <w:rPr>
          <w:rStyle w:val="FootnoteReference"/>
        </w:rPr>
        <w:footnoteRef/>
      </w:r>
      <w:r w:rsidRPr="00B60AD9">
        <w:t xml:space="preserve"> </w:t>
      </w:r>
      <w:r w:rsidRPr="00B60AD9">
        <w:rPr>
          <w:rStyle w:val="Emphasis"/>
          <w:bdr w:val="none" w:sz="0" w:space="0" w:color="auto" w:frame="1"/>
          <w:shd w:val="clear" w:color="auto" w:fill="FFFFFF"/>
        </w:rPr>
        <w:t>Call Authentication Trust Anchor</w:t>
      </w:r>
      <w:r w:rsidRPr="00B60AD9">
        <w:t xml:space="preserve">, WC Docket No. 17-97, Second Report and Order, 36 FCC Rcd 1859, </w:t>
      </w:r>
      <w:r w:rsidRPr="00B60AD9">
        <w:rPr>
          <w:bdr w:val="none" w:sz="0" w:space="0" w:color="auto" w:frame="1"/>
          <w:shd w:val="clear" w:color="auto" w:fill="FFFFFF"/>
        </w:rPr>
        <w:t>1906</w:t>
      </w:r>
      <w:r w:rsidRPr="00B60AD9">
        <w:t>, para. 91 (2020</w:t>
      </w:r>
      <w:r w:rsidRPr="00B60AD9">
        <w:t>)</w:t>
      </w:r>
      <w:r w:rsidRPr="00B60AD9">
        <w:rPr>
          <w:color w:val="3D3D3D"/>
          <w:shd w:val="clear" w:color="auto" w:fill="FFFFFF"/>
        </w:rPr>
        <w:t xml:space="preserve">.  </w:t>
      </w:r>
      <w:r w:rsidRPr="00B60AD9">
        <w:t xml:space="preserve">Foreign ownership of providers serving our nation’s consumers also is a matter of concern for the Commission generally, as it may pose national security and/or law enforcement risks to the United States.  </w:t>
      </w:r>
      <w:r w:rsidRPr="00B60AD9">
        <w:rPr>
          <w:i/>
          <w:iCs/>
        </w:rPr>
        <w:t>Review of International Section 214 Authorizati</w:t>
      </w:r>
      <w:r w:rsidRPr="00B60AD9">
        <w:rPr>
          <w:i/>
          <w:iCs/>
        </w:rPr>
        <w:t>ons to Assess Evolving National Security, Law Enforcement, Foreign Policy, and Trade Policy Risks</w:t>
      </w:r>
      <w:r w:rsidRPr="00B60AD9">
        <w:t>;</w:t>
      </w:r>
      <w:r w:rsidRPr="00B60AD9">
        <w:rPr>
          <w:i/>
          <w:iCs/>
        </w:rPr>
        <w:t xml:space="preserve"> Amendment of the Schedule of Application Fees Set Forth in Sections 1.1102 through 1.1109 of </w:t>
      </w:r>
      <w:r w:rsidRPr="00B60AD9">
        <w:rPr>
          <w:i/>
        </w:rPr>
        <w:t>the</w:t>
      </w:r>
      <w:r w:rsidRPr="00B60AD9">
        <w:rPr>
          <w:i/>
          <w:iCs/>
        </w:rPr>
        <w:t xml:space="preserve"> Commission’s Rules</w:t>
      </w:r>
      <w:r w:rsidRPr="00B60AD9">
        <w:t>, IB Docket No. 21-119 &amp; MD Docket No. 23-</w:t>
      </w:r>
      <w:r w:rsidRPr="00B60AD9">
        <w:t>134, Order and Notice of Proposed Rulemaking, FCC 23-28, at 3, 8-9, 11-13, paras. 3, 8, 13-15 (rel. Apr. 25, 2023) (</w:t>
      </w:r>
      <w:r w:rsidRPr="00B60AD9">
        <w:rPr>
          <w:i/>
          <w:iCs/>
        </w:rPr>
        <w:t>International Section 214 Authorization Order and Notice</w:t>
      </w:r>
      <w:r w:rsidRPr="00B60AD9">
        <w:t>).</w:t>
      </w:r>
    </w:p>
  </w:footnote>
  <w:footnote w:id="73">
    <w:p w:rsidR="006807AE" w:rsidRPr="00B60AD9" w:rsidP="006807AE" w14:paraId="70D402ED" w14:textId="77777777">
      <w:pPr>
        <w:pStyle w:val="FootnoteText"/>
      </w:pPr>
      <w:r w:rsidRPr="00B60AD9">
        <w:rPr>
          <w:rStyle w:val="FootnoteReference"/>
        </w:rPr>
        <w:footnoteRef/>
      </w:r>
      <w:r w:rsidRPr="00B60AD9">
        <w:t xml:space="preserve"> </w:t>
      </w:r>
      <w:r w:rsidRPr="00B60AD9">
        <w:rPr>
          <w:i/>
          <w:iCs/>
          <w:color w:val="000000"/>
        </w:rPr>
        <w:t>VoIP Direct Access Further Notice</w:t>
      </w:r>
      <w:r w:rsidRPr="00B60AD9">
        <w:rPr>
          <w:color w:val="000000"/>
        </w:rPr>
        <w:t xml:space="preserve">, 36 FCC Rcd at 12908, para. 2; </w:t>
      </w:r>
      <w:r w:rsidRPr="00B60AD9">
        <w:t xml:space="preserve">FCC, </w:t>
      </w:r>
      <w:r w:rsidRPr="00B60AD9">
        <w:rPr>
          <w:i/>
          <w:iCs/>
        </w:rPr>
        <w:t>Robocall Facilitators Must Cease and Desist</w:t>
      </w:r>
      <w:r w:rsidRPr="00B60AD9">
        <w:t>,</w:t>
      </w:r>
      <w:r w:rsidRPr="00B60AD9">
        <w:rPr>
          <w:i/>
          <w:iCs/>
        </w:rPr>
        <w:t xml:space="preserve"> </w:t>
      </w:r>
      <w:hyperlink r:id="rId7" w:history="1">
        <w:r w:rsidRPr="00B60AD9">
          <w:rPr>
            <w:rStyle w:val="Hyperlink"/>
          </w:rPr>
          <w:t>https://www.fcc.gov/robocall-facilitators-must-cease-and-desist</w:t>
        </w:r>
      </w:hyperlink>
      <w:r w:rsidRPr="00B60AD9">
        <w:t xml:space="preserve"> (last visited May 16, 2023) (websi</w:t>
      </w:r>
      <w:r w:rsidRPr="00B60AD9">
        <w:t>te collecting Enforcement Bureau cease-and-desist letters to suspected illegal robocallers, including interconnected VoIP providers with foreign ownership).</w:t>
      </w:r>
    </w:p>
  </w:footnote>
  <w:footnote w:id="74">
    <w:p w:rsidR="006807AE" w:rsidRPr="00B60AD9" w:rsidP="006807AE" w14:paraId="108128E0" w14:textId="77777777">
      <w:pPr>
        <w:pStyle w:val="FootnoteText"/>
      </w:pPr>
      <w:r w:rsidRPr="00B60AD9">
        <w:rPr>
          <w:rStyle w:val="FootnoteReference"/>
        </w:rPr>
        <w:footnoteRef/>
      </w:r>
      <w:r w:rsidRPr="00B60AD9">
        <w:t xml:space="preserve"> </w:t>
      </w:r>
      <w:r w:rsidRPr="00B60AD9">
        <w:rPr>
          <w:i/>
          <w:iCs/>
          <w:color w:val="000000"/>
        </w:rPr>
        <w:t>VoIP Direct Access Further Notice</w:t>
      </w:r>
      <w:r w:rsidRPr="00B60AD9">
        <w:rPr>
          <w:color w:val="000000"/>
        </w:rPr>
        <w:t>, 36 FCC Rcd at 12908, para. 2.</w:t>
      </w:r>
    </w:p>
  </w:footnote>
  <w:footnote w:id="75">
    <w:p w:rsidR="006807AE" w:rsidRPr="00B60AD9" w:rsidP="006807AE" w14:paraId="4609C6B5" w14:textId="77777777">
      <w:pPr>
        <w:pStyle w:val="FootnoteText"/>
      </w:pPr>
      <w:r w:rsidRPr="00B60AD9">
        <w:rPr>
          <w:rStyle w:val="FootnoteReference"/>
        </w:rPr>
        <w:footnoteRef/>
      </w:r>
      <w:r w:rsidRPr="00B60AD9">
        <w:t xml:space="preserve"> </w:t>
      </w:r>
      <w:r w:rsidRPr="00B60AD9">
        <w:rPr>
          <w:i/>
          <w:iCs/>
          <w:color w:val="000000"/>
        </w:rPr>
        <w:t>Id</w:t>
      </w:r>
      <w:r w:rsidRPr="00B60AD9">
        <w:rPr>
          <w:color w:val="000000"/>
        </w:rPr>
        <w:t>. at 12918, para. 23.</w:t>
      </w:r>
    </w:p>
  </w:footnote>
  <w:footnote w:id="76">
    <w:p w:rsidR="006807AE" w:rsidRPr="00B60AD9" w:rsidP="006807AE" w14:paraId="0018E37A" w14:textId="77777777">
      <w:pPr>
        <w:pStyle w:val="FootnoteText"/>
      </w:pPr>
      <w:r w:rsidRPr="00B60AD9">
        <w:rPr>
          <w:rStyle w:val="FootnoteReference"/>
        </w:rPr>
        <w:footnoteRef/>
      </w:r>
      <w:r w:rsidRPr="00B60AD9">
        <w:t xml:space="preserve"> </w:t>
      </w:r>
      <w:r w:rsidRPr="00B60AD9">
        <w:rPr>
          <w:i/>
        </w:rPr>
        <w:t>Id.</w:t>
      </w:r>
      <w:r w:rsidRPr="00B60AD9">
        <w:t xml:space="preserve"> </w:t>
      </w:r>
      <w:r w:rsidRPr="00B60AD9">
        <w:t xml:space="preserve">at 12918-19, para. 23 &amp; n.72 (citing Application of Mitel Cloud Services, Inc. for Authorization to Obtain Numbering Resources, WC Docket No. 20-149 (filed May 19, 2020), </w:t>
      </w:r>
      <w:hyperlink r:id="rId10" w:history="1">
        <w:r w:rsidRPr="00B60AD9">
          <w:rPr>
            <w:rStyle w:val="Hyperlink"/>
          </w:rPr>
          <w:t>https://www.fcc.gov/ecf</w:t>
        </w:r>
        <w:r w:rsidRPr="00B60AD9">
          <w:rPr>
            <w:rStyle w:val="Hyperlink"/>
          </w:rPr>
          <w:t>s/filing/105190855208032</w:t>
        </w:r>
      </w:hyperlink>
      <w:r w:rsidRPr="00B60AD9">
        <w:t xml:space="preserve"> (Mitel Application) (subsequently withdrawn)); </w:t>
      </w:r>
      <w:r w:rsidRPr="00B60AD9">
        <w:rPr>
          <w:i/>
          <w:iCs/>
        </w:rPr>
        <w:t>see also</w:t>
      </w:r>
      <w:r w:rsidRPr="00B60AD9">
        <w:t xml:space="preserve"> Joint Application of MLNTopCo Ltd., Mitel Networks Corporation, and Mitel Cloud Services, Inc. f/k/a/ Mitel NetSolutions, Inc for Assignment</w:t>
      </w:r>
      <w:r w:rsidRPr="00B60AD9">
        <w:t xml:space="preserve"> or Transfer of Control of International Section 214 Authorizations, File No. ITC-T/C-20190517-00094, Attach. 1 at 2-4 (filed May 17, 2018), </w:t>
      </w:r>
      <w:hyperlink r:id="rId11" w:history="1">
        <w:r w:rsidRPr="00B60AD9">
          <w:rPr>
            <w:rStyle w:val="Hyperlink"/>
          </w:rPr>
          <w:t>https://licensing.fcc.gov/myibfs/</w:t>
        </w:r>
        <w:r w:rsidRPr="00B60AD9">
          <w:rPr>
            <w:rStyle w:val="Hyperlink"/>
          </w:rPr>
          <w:t>download.do?attachment_key=1403175</w:t>
        </w:r>
      </w:hyperlink>
      <w:r w:rsidRPr="00B60AD9">
        <w:t xml:space="preserve"> (disclosing that MLN TopCo Ltd is a Cayman Islands exempted company and a wholly owned subsidiary of Searchlight II MLN, L.P., a Cayman Islands exempted limited partnership, and that, po</w:t>
      </w:r>
      <w:r w:rsidRPr="00B60AD9">
        <w:t>st transaction, Applicant will be a wholly owned direct subsidiary of MLN TopCo Ltd through a number of intermediate holding companies) (Mitel Int’l 214 Attachment); Application of Simwood, Inc. for Authorization to Obtain Numbering Resources, WC Docket No</w:t>
      </w:r>
      <w:r w:rsidRPr="00B60AD9">
        <w:t xml:space="preserve">. 19-96 (filed March 25, 2019), </w:t>
      </w:r>
      <w:hyperlink r:id="rId12" w:history="1">
        <w:r w:rsidRPr="00B60AD9">
          <w:rPr>
            <w:rStyle w:val="Hyperlink"/>
          </w:rPr>
          <w:t>https://www.fcc.gov/ecfs/filing/103250408620404</w:t>
        </w:r>
      </w:hyperlink>
      <w:r w:rsidRPr="00B60AD9">
        <w:t xml:space="preserve"> (Simwood Application); Application of Simwood, Inc., for International Section</w:t>
      </w:r>
      <w:r w:rsidRPr="00B60AD9">
        <w:t xml:space="preserve"> 214 License, File No. ITC-214-20181120-00222, Attach. 2 at 2 (filed Nov. 11, 2018), </w:t>
      </w:r>
      <w:hyperlink r:id="rId13" w:history="1">
        <w:r w:rsidRPr="00B60AD9">
          <w:rPr>
            <w:rStyle w:val="Hyperlink"/>
          </w:rPr>
          <w:t>https://licensing.fcc.gov/myibfs/download.do?attachment_key=1577583</w:t>
        </w:r>
      </w:hyperlink>
      <w:r w:rsidRPr="00B60AD9">
        <w:t xml:space="preserve"> (describing applicant’s United Kingdom foreign ownership at 10% or greater via Simwood’s parent company Simwood Group, PLC and overlapping director Simon Woodhead) (Simwood International 214 Application); Application of NobelBiz for Authoriza</w:t>
      </w:r>
      <w:r w:rsidRPr="00B60AD9">
        <w:t xml:space="preserve">tion to Obtain Numbering Resources, WC Docket No. 20-385 (filed Nov. 10, 2020), </w:t>
      </w:r>
      <w:hyperlink r:id="rId14" w:history="1">
        <w:r w:rsidRPr="00B60AD9">
          <w:rPr>
            <w:rStyle w:val="Hyperlink"/>
          </w:rPr>
          <w:t>https://www.fcc.gov/ecfs/filing/1110286733148</w:t>
        </w:r>
      </w:hyperlink>
      <w:r w:rsidRPr="00B60AD9">
        <w:t xml:space="preserve"> (NobelBiz Application); Supplement</w:t>
      </w:r>
      <w:r w:rsidRPr="00B60AD9">
        <w:t xml:space="preserve"> to NobelBiz Application, WC Docket No. 20-385 (filed Feb. 19, 2021), </w:t>
      </w:r>
      <w:hyperlink r:id="rId15" w:history="1">
        <w:r w:rsidRPr="00B60AD9">
          <w:rPr>
            <w:rStyle w:val="Hyperlink"/>
          </w:rPr>
          <w:t>https://www.fcc.gov/ecfs/filing/10219635126636</w:t>
        </w:r>
      </w:hyperlink>
      <w:r w:rsidRPr="00B60AD9">
        <w:t xml:space="preserve"> (NobelBiz Supplement); Application of TRUSTID for Authorization to Obtain Numbering Resources, WC Docket No. 20-132 (filed May 7, 2020), </w:t>
      </w:r>
      <w:hyperlink r:id="rId16" w:history="1">
        <w:r w:rsidRPr="00B60AD9">
          <w:rPr>
            <w:rStyle w:val="Hyperlink"/>
          </w:rPr>
          <w:t>https://www.fcc.gov/ecf</w:t>
        </w:r>
        <w:r w:rsidRPr="00B60AD9">
          <w:rPr>
            <w:rStyle w:val="Hyperlink"/>
          </w:rPr>
          <w:t>s/filing/1050732674916</w:t>
        </w:r>
      </w:hyperlink>
      <w:r w:rsidRPr="00B60AD9">
        <w:t xml:space="preserve"> (TRUSTID Application); </w:t>
      </w:r>
      <w:r w:rsidRPr="00B60AD9">
        <w:rPr>
          <w:i/>
          <w:iCs/>
        </w:rPr>
        <w:t>id.</w:t>
      </w:r>
      <w:r w:rsidRPr="00B60AD9">
        <w:t xml:space="preserve"> at 2; </w:t>
      </w:r>
      <w:r w:rsidRPr="00B60AD9">
        <w:rPr>
          <w:i/>
          <w:iCs/>
        </w:rPr>
        <w:t>Number Resource Optimization et al</w:t>
      </w:r>
      <w:r w:rsidRPr="00B60AD9">
        <w:t>., Memorandum Opinion and Order, 32 FCC Rcd 5855, 5856, paras. 1-2 nn.1, 9 (2017) (describing Hux Investment Pte. Ltd., also referr</w:t>
      </w:r>
      <w:r w:rsidRPr="00B60AD9">
        <w:t>ed to as “GIC Investor,” as a “private limited company organized under the laws of Singapore” that has approximately 31% ownership interest in Neustar).</w:t>
      </w:r>
    </w:p>
  </w:footnote>
  <w:footnote w:id="77">
    <w:p w:rsidR="006807AE" w:rsidRPr="00B60AD9" w:rsidP="006807AE" w14:paraId="55DB6B01"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12919, para. 24.</w:t>
      </w:r>
    </w:p>
  </w:footnote>
  <w:footnote w:id="78">
    <w:p w:rsidR="006807AE" w:rsidRPr="00B60AD9" w:rsidP="006807AE" w14:paraId="5DA4DB3B" w14:textId="77777777">
      <w:pPr>
        <w:pStyle w:val="FootnoteText"/>
      </w:pPr>
      <w:r w:rsidRPr="00B60AD9">
        <w:rPr>
          <w:rStyle w:val="FootnoteReference"/>
        </w:rPr>
        <w:footnoteRef/>
      </w:r>
      <w:r w:rsidRPr="00B60AD9">
        <w:t xml:space="preserve"> </w:t>
      </w:r>
      <w:r w:rsidRPr="00B60AD9">
        <w:rPr>
          <w:i/>
          <w:iCs/>
          <w:snapToGrid w:val="0"/>
        </w:rPr>
        <w:t>Id</w:t>
      </w:r>
      <w:r w:rsidRPr="00B60AD9">
        <w:rPr>
          <w:snapToGrid w:val="0"/>
        </w:rPr>
        <w:t xml:space="preserve">.; </w:t>
      </w:r>
      <w:r w:rsidRPr="00B60AD9">
        <w:rPr>
          <w:i/>
          <w:iCs/>
          <w:snapToGrid w:val="0"/>
        </w:rPr>
        <w:t xml:space="preserve">see </w:t>
      </w:r>
      <w:r w:rsidRPr="00B60AD9">
        <w:rPr>
          <w:snapToGrid w:val="0"/>
        </w:rPr>
        <w:t>47 CFR § 63.09(g)(1).</w:t>
      </w:r>
    </w:p>
  </w:footnote>
  <w:footnote w:id="79">
    <w:p w:rsidR="006807AE" w:rsidRPr="00B60AD9" w:rsidP="006807AE" w14:paraId="187B540E"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12920, para. 26.</w:t>
      </w:r>
      <w:r w:rsidRPr="00B60AD9">
        <w:rPr>
          <w:i/>
        </w:rPr>
        <w:t xml:space="preserve">  </w:t>
      </w:r>
    </w:p>
  </w:footnote>
  <w:footnote w:id="80">
    <w:p w:rsidR="006807AE" w:rsidRPr="00B60AD9" w:rsidP="006807AE" w14:paraId="4E546CF5" w14:textId="77777777">
      <w:pPr>
        <w:pStyle w:val="FootnoteText"/>
      </w:pPr>
      <w:r w:rsidRPr="00B60AD9">
        <w:rPr>
          <w:rStyle w:val="FootnoteReference"/>
        </w:rPr>
        <w:footnoteRef/>
      </w:r>
      <w:r w:rsidRPr="00B60AD9">
        <w:t xml:space="preserve"> 47 CFR § 63.18(h) (requiring “[t]he name, address, citizenship and principal businesses of any person or entity that directly or indirectly owns at least ten percent of the equity of the</w:t>
      </w:r>
      <w:r w:rsidRPr="00B60AD9">
        <w:t xml:space="preserve"> applicant, and the percentage of equity owned by each of those entities (to the nearest one percent . . . .”); 47 CFR § 63.18(i) (requiring “[a] certification as to whether or not the applicant is, or is affiliated with, a foreign carrier.  The certificat</w:t>
      </w:r>
      <w:r w:rsidRPr="00B60AD9">
        <w:t>ion shall state with specificity each foreign country in which the applicant is, or is affiliated with, a foreign carrier.”);</w:t>
      </w:r>
      <w:r w:rsidRPr="00B60AD9">
        <w:rPr>
          <w:i/>
        </w:rPr>
        <w:t xml:space="preserve"> see infra </w:t>
      </w:r>
      <w:r w:rsidRPr="00B60AD9">
        <w:rPr>
          <w:iCs/>
        </w:rPr>
        <w:t xml:space="preserve">note 80 (addressing amendments to section 63.18(h), and </w:t>
      </w:r>
      <w:r w:rsidRPr="00B60AD9">
        <w:t>addressing a rulemaking proceeding in which the Commission sough</w:t>
      </w:r>
      <w:r w:rsidRPr="00B60AD9">
        <w:t>t comment on changing the requirement in section 63.18(h)).</w:t>
      </w:r>
    </w:p>
  </w:footnote>
  <w:footnote w:id="81">
    <w:p w:rsidR="006807AE" w:rsidRPr="00B60AD9" w:rsidP="006807AE" w14:paraId="17E4E4F9" w14:textId="77777777">
      <w:pPr>
        <w:pStyle w:val="FootnoteText"/>
      </w:pPr>
      <w:r w:rsidRPr="00B60AD9">
        <w:rPr>
          <w:rStyle w:val="FootnoteReference"/>
        </w:rPr>
        <w:footnoteRef/>
      </w:r>
      <w:r w:rsidRPr="00B60AD9">
        <w:t xml:space="preserve"> 47 CFR</w:t>
      </w:r>
      <w:r w:rsidRPr="00B60AD9">
        <w:rPr>
          <w:i/>
          <w:iCs/>
        </w:rPr>
        <w:t xml:space="preserve"> </w:t>
      </w:r>
      <w:r w:rsidRPr="00B60AD9">
        <w:t xml:space="preserve">§ 1.767(a)(8)(i); </w:t>
      </w:r>
      <w:r w:rsidRPr="00B60AD9">
        <w:rPr>
          <w:i/>
          <w:iCs/>
        </w:rPr>
        <w:t xml:space="preserve">see also </w:t>
      </w:r>
      <w:r w:rsidRPr="00B60AD9">
        <w:rPr>
          <w:rStyle w:val="normaltextrun"/>
          <w:i/>
          <w:iCs/>
        </w:rPr>
        <w:t>Review of International Section 214 Authorizations to Assess Evolving National Security, Law Enforcement, Foreign Policy, and Trade Policy Risks</w:t>
      </w:r>
      <w:r w:rsidRPr="00B60AD9">
        <w:t>;</w:t>
      </w:r>
      <w:r w:rsidRPr="00B60AD9">
        <w:rPr>
          <w:i/>
          <w:iCs/>
        </w:rPr>
        <w:t xml:space="preserve"> Amendment of t</w:t>
      </w:r>
      <w:r w:rsidRPr="00B60AD9">
        <w:rPr>
          <w:i/>
          <w:iCs/>
        </w:rPr>
        <w:t>he Schedule of Application Fees Set Forth in Sections 1.1102 through 1.1109 of the Commission’s Rules</w:t>
      </w:r>
      <w:r w:rsidRPr="00B60AD9">
        <w:rPr>
          <w:rStyle w:val="normaltextrun"/>
        </w:rPr>
        <w:t xml:space="preserve">, </w:t>
      </w:r>
      <w:r w:rsidRPr="00B60AD9">
        <w:t xml:space="preserve">IB Docket No. 23-119, MD Docket No. 23-134, Order and Notice of Proposed Rulemaking, </w:t>
      </w:r>
      <w:r w:rsidRPr="00B60AD9">
        <w:rPr>
          <w:rStyle w:val="normaltextrun"/>
        </w:rPr>
        <w:t>FCC 23-28, at *64, para. 172 (rel. Apr. 25, 2023) (</w:t>
      </w:r>
      <w:r w:rsidRPr="00B60AD9">
        <w:rPr>
          <w:rStyle w:val="normaltextrun"/>
          <w:i/>
          <w:iCs/>
        </w:rPr>
        <w:t>Evolving Risks Or</w:t>
      </w:r>
      <w:r w:rsidRPr="00B60AD9">
        <w:rPr>
          <w:rStyle w:val="normaltextrun"/>
          <w:i/>
          <w:iCs/>
        </w:rPr>
        <w:t>der and NPRM</w:t>
      </w:r>
      <w:r w:rsidRPr="00B60AD9">
        <w:rPr>
          <w:rStyle w:val="normaltextrun"/>
        </w:rPr>
        <w:t xml:space="preserve">) (seeking </w:t>
      </w:r>
      <w:r w:rsidRPr="00B60AD9">
        <w:t xml:space="preserve">comment on amending section 1.767(a)(8)(i) of the rules to remove the reference to section 63.18(h) and retain the current 10% reporting threshold for submarine cable landing license applications); </w:t>
      </w:r>
      <w:r w:rsidRPr="00B60AD9">
        <w:rPr>
          <w:i/>
          <w:iCs/>
        </w:rPr>
        <w:t xml:space="preserve">see infra </w:t>
      </w:r>
      <w:r w:rsidRPr="00B60AD9">
        <w:t>note 80.</w:t>
      </w:r>
    </w:p>
  </w:footnote>
  <w:footnote w:id="82">
    <w:p w:rsidR="006807AE" w:rsidRPr="00B60AD9" w:rsidP="006807AE" w14:paraId="4330E27F" w14:textId="77777777">
      <w:pPr>
        <w:pStyle w:val="FootnoteText"/>
      </w:pPr>
      <w:r w:rsidRPr="00B60AD9">
        <w:rPr>
          <w:rStyle w:val="FootnoteReference"/>
        </w:rPr>
        <w:footnoteRef/>
      </w:r>
      <w:r w:rsidRPr="00B60AD9">
        <w:t xml:space="preserve"> For example, t</w:t>
      </w:r>
      <w:r w:rsidRPr="00B60AD9">
        <w:t xml:space="preserve">he Commission adopted changes to section 63.18(h) in 2020.  </w:t>
      </w:r>
      <w:r w:rsidRPr="00B60AD9">
        <w:rPr>
          <w:i/>
          <w:iCs/>
        </w:rPr>
        <w:t>See Process Reform for Executive Branch Review of Certain FCC Applications and Petitions Involving Foreign Ownership</w:t>
      </w:r>
      <w:r w:rsidRPr="00B60AD9">
        <w:t xml:space="preserve">, IB Docket No. 16-155, Report and Order, 35 FCC Rcd 10927, </w:t>
      </w:r>
      <w:r w:rsidRPr="00B60AD9">
        <w:rPr>
          <w:iCs/>
        </w:rPr>
        <w:t>10985, Appx. B, para</w:t>
      </w:r>
      <w:r w:rsidRPr="00B60AD9">
        <w:rPr>
          <w:iCs/>
        </w:rPr>
        <w:t>. 11 (2020) (</w:t>
      </w:r>
      <w:r w:rsidRPr="00B60AD9">
        <w:rPr>
          <w:i/>
        </w:rPr>
        <w:t>Executive Branch Process Reform Order</w:t>
      </w:r>
      <w:r w:rsidRPr="00B60AD9">
        <w:rPr>
          <w:iCs/>
        </w:rPr>
        <w:t xml:space="preserve">); </w:t>
      </w:r>
      <w:r w:rsidRPr="00B60AD9">
        <w:rPr>
          <w:i/>
          <w:iCs/>
        </w:rPr>
        <w:t>Process Reform for Executive Branch Review of Certain FCC Applications and Petitions Involving Foreign Ownership</w:t>
      </w:r>
      <w:r w:rsidRPr="00B60AD9">
        <w:t xml:space="preserve">, IB Docket No. 16-155, Erratum, 35 FCC Rcd 13164, </w:t>
      </w:r>
      <w:r w:rsidRPr="00B60AD9">
        <w:rPr>
          <w:iCs/>
        </w:rPr>
        <w:t xml:space="preserve">13173, para. 11 </w:t>
      </w:r>
      <w:r w:rsidRPr="00B60AD9">
        <w:t>(2020) (</w:t>
      </w:r>
      <w:r w:rsidRPr="00B60AD9">
        <w:rPr>
          <w:i/>
          <w:iCs/>
        </w:rPr>
        <w:t xml:space="preserve">Order </w:t>
      </w:r>
      <w:r w:rsidRPr="00B60AD9">
        <w:rPr>
          <w:i/>
          <w:iCs/>
        </w:rPr>
        <w:t>Erratum</w:t>
      </w:r>
      <w:r w:rsidRPr="00B60AD9">
        <w:t xml:space="preserve">) </w:t>
      </w:r>
      <w:r w:rsidRPr="00B60AD9">
        <w:rPr>
          <w:iCs/>
        </w:rPr>
        <w:t>(amending section 63.18(h) to read, “</w:t>
      </w:r>
      <w:r w:rsidRPr="00B60AD9">
        <w:t>[t]he name, address, citizenship, and principal businesses of any individual or entity that directly or indirectly owns ten percent or more of the equity interests and/or voting interests, or a controlling inte</w:t>
      </w:r>
      <w:r w:rsidRPr="00B60AD9">
        <w:t>rest, of the applicant, and the percentage of equity and/or voting interest owned by each of those entities (to the nearest one percent) . . .”</w:t>
      </w:r>
      <w:r w:rsidRPr="00B60AD9">
        <w:rPr>
          <w:iCs/>
        </w:rPr>
        <w:t xml:space="preserve">).  </w:t>
      </w:r>
      <w:r w:rsidRPr="00B60AD9">
        <w:t>T</w:t>
      </w:r>
      <w:r w:rsidRPr="00B60AD9">
        <w:rPr>
          <w:iCs/>
        </w:rPr>
        <w:t>he amendments to section 63.18(h), however, are not yet effective.  Federal Communications Commission, Proce</w:t>
      </w:r>
      <w:r w:rsidRPr="00B60AD9">
        <w:rPr>
          <w:iCs/>
        </w:rPr>
        <w:t>ss Reform for Executive Branch Review of Certain FCC Applications and Petitions Involving Foreign Ownership</w:t>
      </w:r>
      <w:r w:rsidRPr="00B60AD9">
        <w:t xml:space="preserve">, </w:t>
      </w:r>
      <w:r w:rsidRPr="00B60AD9">
        <w:rPr>
          <w:shd w:val="clear" w:color="auto" w:fill="FFFFFF"/>
        </w:rPr>
        <w:t>85 Fed. Reg. 76360, 76376, 76385-86 (Nov. 27, 2020)</w:t>
      </w:r>
      <w:r w:rsidRPr="00B60AD9">
        <w:t xml:space="preserve">.  The Commission also has a pending rulemaking proceeding seeking comment, among other things, </w:t>
      </w:r>
      <w:r w:rsidRPr="00B60AD9">
        <w:t>on whether to adopt a new ownership reporting threshold that would require disclosure of certain 5% percent or greater direct and indirect equity and/or voting interests with respect to applications for international section 214 authority and modification,</w:t>
      </w:r>
      <w:r w:rsidRPr="00B60AD9">
        <w:t xml:space="preserve"> assignment, transfer of control, and renewal of international section 214 authority, and on whether to apply the 5% reporting threshold to encompass all equity and voting interests, regardless of whether the interest holder is a domestic or foreign indivi</w:t>
      </w:r>
      <w:r w:rsidRPr="00B60AD9">
        <w:t xml:space="preserve">dual or entity.  </w:t>
      </w:r>
      <w:r w:rsidRPr="00B60AD9">
        <w:rPr>
          <w:i/>
          <w:iCs/>
        </w:rPr>
        <w:t>Evolving Risks Order and NPRM</w:t>
      </w:r>
      <w:r w:rsidRPr="00B60AD9">
        <w:t xml:space="preserve"> at *38-41, paras. 88-97.  In that proceeding, the Commission stated, “[t]he current 10% reporting threshold may not capture all foreign interests that may present national security, law enforcement, foreign po</w:t>
      </w:r>
      <w:r w:rsidRPr="00B60AD9">
        <w:t xml:space="preserve">licy, and/or trade policy concerns.”  </w:t>
      </w:r>
      <w:r w:rsidRPr="00B60AD9">
        <w:rPr>
          <w:i/>
          <w:iCs/>
        </w:rPr>
        <w:t>Id.</w:t>
      </w:r>
      <w:r w:rsidRPr="00B60AD9">
        <w:t xml:space="preserve"> at *38, para. 89.  If the Commission amends 63.18(h) by adopting a 5% reporting threshold, we direct the Bureau to seek comment on whether applicants for a direct access authorization should disclose information, i</w:t>
      </w:r>
      <w:r w:rsidRPr="00B60AD9">
        <w:t>ncluding the name, address, citizenship, and principal business, of any individual or entity that directly or indirectly owns 5% percent or greater equity and/or voting interests, or a controlling interest, of the applicant.  Based upon the Bureau’s review</w:t>
      </w:r>
      <w:r w:rsidRPr="00B60AD9">
        <w:t xml:space="preserve"> of the comments, we further delegate to the Bureau the authority to address any such final threshold requirement in a public notice.  </w:t>
      </w:r>
    </w:p>
  </w:footnote>
  <w:footnote w:id="83">
    <w:p w:rsidR="006807AE" w:rsidRPr="00B60AD9" w:rsidP="006807AE" w14:paraId="456E0B43"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12919, para. 24.</w:t>
      </w:r>
    </w:p>
  </w:footnote>
  <w:footnote w:id="84">
    <w:p w:rsidR="006807AE" w:rsidRPr="00B60AD9" w:rsidP="006807AE" w14:paraId="29B2DD1D" w14:textId="77777777">
      <w:pPr>
        <w:pStyle w:val="FootnoteText"/>
      </w:pPr>
      <w:r w:rsidRPr="00B60AD9">
        <w:rPr>
          <w:rStyle w:val="FootnoteReference"/>
        </w:rPr>
        <w:footnoteRef/>
      </w:r>
      <w:r w:rsidRPr="00B60AD9">
        <w:t xml:space="preserve"> Note that applicants seeking assignment or transfe</w:t>
      </w:r>
      <w:r w:rsidRPr="00B60AD9">
        <w:t xml:space="preserve">r of control of an international section 214 authorization are also subject to the ownership-disclosure requirement in section 63.18(h) pursuant to section 63.24.  </w:t>
      </w:r>
      <w:r w:rsidRPr="00B60AD9">
        <w:rPr>
          <w:i/>
          <w:iCs/>
        </w:rPr>
        <w:t xml:space="preserve">See </w:t>
      </w:r>
      <w:r w:rsidRPr="00B60AD9">
        <w:t>47 CFR § 63.24.</w:t>
      </w:r>
    </w:p>
  </w:footnote>
  <w:footnote w:id="85">
    <w:p w:rsidR="006807AE" w:rsidRPr="00B60AD9" w:rsidP="006807AE" w14:paraId="4DD957DC" w14:textId="77777777">
      <w:pPr>
        <w:pStyle w:val="FootnoteText"/>
      </w:pPr>
      <w:r w:rsidRPr="00B60AD9">
        <w:rPr>
          <w:rStyle w:val="FootnoteReference"/>
        </w:rPr>
        <w:footnoteRef/>
      </w:r>
      <w:r w:rsidRPr="00B60AD9">
        <w:t xml:space="preserve"> </w:t>
      </w:r>
      <w:r w:rsidRPr="00B60AD9">
        <w:rPr>
          <w:i/>
          <w:iCs/>
        </w:rPr>
        <w:t xml:space="preserve">See </w:t>
      </w:r>
      <w:r w:rsidRPr="00B60AD9">
        <w:rPr>
          <w:i/>
          <w:iCs/>
          <w:snapToGrid w:val="0"/>
        </w:rPr>
        <w:t>VoIP Direct Access Further Notice</w:t>
      </w:r>
      <w:r w:rsidRPr="00B60AD9">
        <w:rPr>
          <w:snapToGrid w:val="0"/>
        </w:rPr>
        <w:t xml:space="preserve">, 36 FCC Rcd at 12908-09, 12918, </w:t>
      </w:r>
      <w:r w:rsidRPr="00B60AD9">
        <w:rPr>
          <w:snapToGrid w:val="0"/>
        </w:rPr>
        <w:t>12920, paras. 3-4, 23, 26.</w:t>
      </w:r>
    </w:p>
  </w:footnote>
  <w:footnote w:id="86">
    <w:p w:rsidR="006807AE" w:rsidRPr="00B60AD9" w:rsidP="006807AE" w14:paraId="260C60D9" w14:textId="77777777">
      <w:pPr>
        <w:pStyle w:val="FootnoteText"/>
      </w:pPr>
      <w:r w:rsidRPr="00B60AD9">
        <w:rPr>
          <w:rStyle w:val="FootnoteReference"/>
        </w:rPr>
        <w:footnoteRef/>
      </w:r>
      <w:r w:rsidRPr="00B60AD9">
        <w:t xml:space="preserve"> </w:t>
      </w:r>
      <w:r w:rsidRPr="00B60AD9">
        <w:rPr>
          <w:i/>
          <w:iCs/>
        </w:rPr>
        <w:t xml:space="preserve">See </w:t>
      </w:r>
      <w:r w:rsidRPr="00B60AD9">
        <w:rPr>
          <w:i/>
          <w:iCs/>
          <w:snapToGrid w:val="0"/>
        </w:rPr>
        <w:t>id</w:t>
      </w:r>
      <w:r w:rsidRPr="00B60AD9">
        <w:rPr>
          <w:snapToGrid w:val="0"/>
        </w:rPr>
        <w:t xml:space="preserve">. at 12918-19, paras. 23-24 &amp; n.73 </w:t>
      </w:r>
      <w:r w:rsidRPr="00B60AD9">
        <w:t xml:space="preserve">(citing NANC, Report on Foreign Ownership of Interconnected Voice over Internet Protocol Applicants, at 3-5 (June 29, 2017) (NANC Report on Foreign Ownership), </w:t>
      </w:r>
      <w:hyperlink r:id="rId17" w:history="1">
        <w:r w:rsidRPr="00B60AD9">
          <w:rPr>
            <w:rStyle w:val="Hyperlink"/>
          </w:rPr>
          <w:t>http://nanc-chair.org/docs/mtg_docs/Jun17_NANC_Report_on_Foreign_Ownership_of_Interconnected_VOIP_Applicants.pdf</w:t>
        </w:r>
      </w:hyperlink>
      <w:r w:rsidRPr="00B60AD9">
        <w:t xml:space="preserve">); </w:t>
      </w:r>
      <w:r w:rsidRPr="00B60AD9">
        <w:rPr>
          <w:i/>
          <w:iCs/>
          <w:snapToGrid w:val="0"/>
        </w:rPr>
        <w:t xml:space="preserve">see </w:t>
      </w:r>
      <w:r w:rsidRPr="00B60AD9">
        <w:rPr>
          <w:i/>
          <w:iCs/>
          <w:snapToGrid w:val="0"/>
        </w:rPr>
        <w:t xml:space="preserve">also </w:t>
      </w:r>
      <w:r w:rsidRPr="00B60AD9">
        <w:rPr>
          <w:i/>
          <w:iCs/>
        </w:rPr>
        <w:t>International Section 214 Authorization Order and Notice</w:t>
      </w:r>
      <w:r w:rsidRPr="00B60AD9">
        <w:t xml:space="preserve"> at 14-17, paras. 16-23 (requiring all international section 214 authorization holders to respond to a one-time collection to update the Commission’s records regarding the foreign ownership of in</w:t>
      </w:r>
      <w:r w:rsidRPr="00B60AD9">
        <w:t xml:space="preserve">ternational section 214 authorization holders).  We do not require ownership disclosures by existing interconnected VoIP direct access authorization holders but seek comment on whether they should provide such information in the </w:t>
      </w:r>
      <w:r w:rsidRPr="00B60AD9">
        <w:rPr>
          <w:i/>
          <w:iCs/>
        </w:rPr>
        <w:t>Second Further Notice</w:t>
      </w:r>
      <w:r w:rsidRPr="00B60AD9">
        <w:t xml:space="preserve"> accom</w:t>
      </w:r>
      <w:r w:rsidRPr="00B60AD9">
        <w:t xml:space="preserve">panying this </w:t>
      </w:r>
      <w:r w:rsidRPr="00B60AD9">
        <w:rPr>
          <w:i/>
          <w:iCs/>
        </w:rPr>
        <w:t>Second Report and Order</w:t>
      </w:r>
      <w:r w:rsidRPr="00B60AD9">
        <w:t xml:space="preserve">.  </w:t>
      </w:r>
      <w:r w:rsidRPr="00B60AD9">
        <w:rPr>
          <w:i/>
          <w:iCs/>
        </w:rPr>
        <w:t xml:space="preserve">See infra </w:t>
      </w:r>
      <w:r w:rsidRPr="00B60AD9">
        <w:t>para. 81.</w:t>
      </w:r>
    </w:p>
  </w:footnote>
  <w:footnote w:id="87">
    <w:p w:rsidR="006807AE" w:rsidRPr="00B60AD9" w:rsidP="006807AE" w14:paraId="43EC3B13" w14:textId="77777777">
      <w:pPr>
        <w:pStyle w:val="FootnoteText"/>
      </w:pPr>
      <w:r w:rsidRPr="00B60AD9">
        <w:rPr>
          <w:rStyle w:val="FootnoteReference"/>
        </w:rPr>
        <w:footnoteRef/>
      </w:r>
      <w:r w:rsidRPr="00B60AD9">
        <w:t xml:space="preserve"> </w:t>
      </w:r>
      <w:r w:rsidRPr="00B60AD9">
        <w:rPr>
          <w:i/>
          <w:iCs/>
        </w:rPr>
        <w:t>Truphone, Inc.</w:t>
      </w:r>
      <w:r w:rsidRPr="00B60AD9">
        <w:t xml:space="preserve">, </w:t>
      </w:r>
      <w:r w:rsidRPr="00B60AD9">
        <w:rPr>
          <w:snapToGrid w:val="0"/>
        </w:rPr>
        <w:t xml:space="preserve">Notice of Apparent Liability for Forfeiture, </w:t>
      </w:r>
      <w:r w:rsidRPr="00B60AD9">
        <w:rPr>
          <w:shd w:val="clear" w:color="auto" w:fill="FFFFFF"/>
        </w:rPr>
        <w:t>37 FCC Rcd 5393, 5394</w:t>
      </w:r>
      <w:r w:rsidRPr="00B60AD9">
        <w:rPr>
          <w:snapToGrid w:val="0"/>
        </w:rPr>
        <w:t>, para. 2 (2022) (citing, e.g.,</w:t>
      </w:r>
      <w:r w:rsidRPr="00B60AD9">
        <w:rPr>
          <w:i/>
          <w:iCs/>
          <w:snapToGrid w:val="0"/>
        </w:rPr>
        <w:t xml:space="preserve"> Pacific Networks Corp. and ComNet (USA) LLC</w:t>
      </w:r>
      <w:r w:rsidRPr="00B60AD9">
        <w:rPr>
          <w:snapToGrid w:val="0"/>
        </w:rPr>
        <w:t>, GN Docket No. 20-111, Order of Revoc</w:t>
      </w:r>
      <w:r w:rsidRPr="00B60AD9">
        <w:rPr>
          <w:snapToGrid w:val="0"/>
        </w:rPr>
        <w:t xml:space="preserve">ation and Termination, 37 FCC Rcd 4220 (2022); </w:t>
      </w:r>
      <w:r w:rsidRPr="00B60AD9">
        <w:rPr>
          <w:i/>
          <w:iCs/>
          <w:snapToGrid w:val="0"/>
        </w:rPr>
        <w:t>China Unicom (Americas) Operations Limited</w:t>
      </w:r>
      <w:r w:rsidRPr="00B60AD9">
        <w:rPr>
          <w:snapToGrid w:val="0"/>
        </w:rPr>
        <w:t xml:space="preserve">, GN Docket No. 20-110, Order on Revocation, 37 FCC Rcd 1480 (2022); </w:t>
      </w:r>
      <w:r w:rsidRPr="00B60AD9">
        <w:rPr>
          <w:i/>
          <w:iCs/>
          <w:snapToGrid w:val="0"/>
        </w:rPr>
        <w:t>China Telecom (Americas) Corporation</w:t>
      </w:r>
      <w:r w:rsidRPr="00B60AD9">
        <w:rPr>
          <w:snapToGrid w:val="0"/>
        </w:rPr>
        <w:t>, GN Docket No. 20-109, Order on Revocation and Termination, 3</w:t>
      </w:r>
      <w:r w:rsidRPr="00B60AD9">
        <w:rPr>
          <w:snapToGrid w:val="0"/>
        </w:rPr>
        <w:t>6 FCC Rcd 15966 (2021)).</w:t>
      </w:r>
    </w:p>
  </w:footnote>
  <w:footnote w:id="88">
    <w:p w:rsidR="006807AE" w:rsidRPr="00B60AD9" w:rsidP="006807AE" w14:paraId="58A3245D" w14:textId="77777777">
      <w:pPr>
        <w:pStyle w:val="FootnoteText"/>
      </w:pPr>
      <w:r w:rsidRPr="00B60AD9">
        <w:rPr>
          <w:rStyle w:val="FootnoteReference"/>
        </w:rPr>
        <w:footnoteRef/>
      </w:r>
      <w:r w:rsidRPr="00B60AD9">
        <w:t xml:space="preserve"> </w:t>
      </w:r>
      <w:r w:rsidRPr="00B60AD9">
        <w:rPr>
          <w:i/>
          <w:iCs/>
        </w:rPr>
        <w:t>See supra</w:t>
      </w:r>
      <w:r w:rsidRPr="00B60AD9">
        <w:t xml:space="preserve"> para. 19 n.74.</w:t>
      </w:r>
    </w:p>
  </w:footnote>
  <w:footnote w:id="89">
    <w:p w:rsidR="006807AE" w:rsidRPr="00B60AD9" w:rsidP="006807AE" w14:paraId="05B6E32C" w14:textId="77777777">
      <w:pPr>
        <w:pStyle w:val="FootnoteText"/>
      </w:pPr>
      <w:r w:rsidRPr="00B60AD9">
        <w:rPr>
          <w:rStyle w:val="FootnoteReference"/>
        </w:rPr>
        <w:footnoteRef/>
      </w:r>
      <w:r w:rsidRPr="00B60AD9">
        <w:t xml:space="preserve"> </w:t>
      </w:r>
      <w:r w:rsidRPr="00B60AD9">
        <w:rPr>
          <w:i/>
          <w:iCs/>
        </w:rPr>
        <w:t>See</w:t>
      </w:r>
      <w:r w:rsidRPr="00B60AD9">
        <w:t xml:space="preserve"> </w:t>
      </w:r>
      <w:r w:rsidRPr="00B60AD9">
        <w:rPr>
          <w:rFonts w:eastAsia="Yu Mincho"/>
        </w:rPr>
        <w:t>Bandwidth Inc. and Bandwidth.com CLEC, LLC Comments at 16 (Bandwidth Comments) (ownership, generally); Twilio Comments at 7 (Twilio “</w:t>
      </w:r>
      <w:r w:rsidRPr="00B60AD9">
        <w:t xml:space="preserve">supports the proposal to require interconnected VoIP </w:t>
      </w:r>
      <w:r w:rsidRPr="00B60AD9">
        <w:t>applicants seeking direct access to numbering resources to provide information regarding foreign ownership and to remove applications with reportable foreign ownership from streamlined processing.”)</w:t>
      </w:r>
      <w:r w:rsidRPr="00B60AD9">
        <w:rPr>
          <w:rFonts w:eastAsia="Yu Mincho"/>
        </w:rPr>
        <w:t>; NAAG Comments at 5 (“</w:t>
      </w:r>
      <w:r w:rsidRPr="00B60AD9">
        <w:t>State AGs support . . . requiring a</w:t>
      </w:r>
      <w:r w:rsidRPr="00B60AD9">
        <w:t>pplicants for direct access to numbers to disclose foreign ownership information . . . .”).</w:t>
      </w:r>
      <w:r w:rsidRPr="00B60AD9">
        <w:rPr>
          <w:rFonts w:eastAsia="Yu Mincho"/>
        </w:rPr>
        <w:t xml:space="preserve">  </w:t>
      </w:r>
      <w:r w:rsidRPr="00B60AD9">
        <w:t>The Cloud Communications Alliance supports the Commission’s efforts to determine the foreign ownership or control of direct access applicants, but argues that we s</w:t>
      </w:r>
      <w:r w:rsidRPr="00B60AD9">
        <w:t>hould adopt a greater than 50% threshold instead of 10% as in 47 CFR § 63.18(h).  CCA Comments at 4.  We decline to adopt a higher threshold because, as we recognized in the international section 214 context, “although a 10-percent threshold is somewhat mo</w:t>
      </w:r>
      <w:r w:rsidRPr="00B60AD9">
        <w:t>re burdensome [than a higher threshold], that increased burden does not outweigh the potential value to the Commission of being able to review the additional information about the applicant’s ownership.  Leaving the threshold at 10% or greater will help us</w:t>
      </w:r>
      <w:r w:rsidRPr="00B60AD9">
        <w:t xml:space="preserve"> determine whether a particular application raises issues of national security, foreign policy, or law enforcement risks.”  </w:t>
      </w:r>
      <w:r w:rsidRPr="00B60AD9">
        <w:rPr>
          <w:i/>
        </w:rPr>
        <w:t>1998 Biennial Regulatory Review – Review of International Common Carrier Regulations</w:t>
      </w:r>
      <w:r w:rsidRPr="00B60AD9">
        <w:t>, IB Docket No. 98-118, Report and Order, 14 FCC</w:t>
      </w:r>
      <w:r w:rsidRPr="00B60AD9">
        <w:t xml:space="preserve"> Rcd 4909, 4940, para. 76 (1999).  Twilio requests that we establish review periods for processing applications with reportable foreign ownership “to ensure applications are not allowed to linger indefinitely.”  Twilio Comments at 7.  We decline to do so. </w:t>
      </w:r>
      <w:r w:rsidRPr="00B60AD9">
        <w:t xml:space="preserve"> We note, however, that fixed deadlines do apply when a direct access application is referred to the Executive Branch agencies.  </w:t>
      </w:r>
      <w:r w:rsidRPr="00B60AD9">
        <w:rPr>
          <w:i/>
        </w:rPr>
        <w:t>Executive Branch Process Reform Order</w:t>
      </w:r>
      <w:r w:rsidRPr="00B60AD9">
        <w:t>, 35 FCC Rcd at 10955-59, paras. 76-84.</w:t>
      </w:r>
    </w:p>
  </w:footnote>
  <w:footnote w:id="90">
    <w:p w:rsidR="006807AE" w:rsidRPr="00B60AD9" w:rsidP="006807AE" w14:paraId="5435CB3A" w14:textId="77777777">
      <w:pPr>
        <w:autoSpaceDE w:val="0"/>
        <w:autoSpaceDN w:val="0"/>
        <w:adjustRightInd w:val="0"/>
        <w:spacing w:before="200" w:after="120"/>
        <w:ind w:right="100"/>
        <w:rPr>
          <w:kern w:val="0"/>
          <w:sz w:val="20"/>
        </w:rPr>
      </w:pPr>
      <w:r w:rsidRPr="00B60AD9">
        <w:rPr>
          <w:rStyle w:val="FootnoteReference"/>
        </w:rPr>
        <w:footnoteRef/>
      </w:r>
      <w:r w:rsidRPr="00B60AD9">
        <w:rPr>
          <w:sz w:val="20"/>
        </w:rPr>
        <w:t xml:space="preserve"> VON Comments at 5-6 (stating that the Commission “has reviewed nearly 150 VoIP direct access to number applications in the past six years, and can cite to just four instances when applicants were asked to provide additional ownership information”) (footno</w:t>
      </w:r>
      <w:r w:rsidRPr="00B60AD9">
        <w:rPr>
          <w:sz w:val="20"/>
        </w:rPr>
        <w:t xml:space="preserve">te omitted); </w:t>
      </w:r>
      <w:r w:rsidRPr="00B60AD9">
        <w:rPr>
          <w:i/>
          <w:iCs/>
          <w:sz w:val="20"/>
        </w:rPr>
        <w:t xml:space="preserve">see also </w:t>
      </w:r>
      <w:r w:rsidRPr="00B60AD9">
        <w:rPr>
          <w:sz w:val="20"/>
        </w:rPr>
        <w:t xml:space="preserve">Microsoft Reply at 3 (agreeing with VON in opposing ownership disclosure requirements).  </w:t>
      </w:r>
    </w:p>
  </w:footnote>
  <w:footnote w:id="91">
    <w:p w:rsidR="006807AE" w:rsidRPr="00B60AD9" w:rsidP="006807AE" w14:paraId="2EC24B69"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6851-52, 6878, paras. 27, 78 (stating that interconnected VoIP providers must comply with all numberin</w:t>
      </w:r>
      <w:r w:rsidRPr="00B60AD9">
        <w:t>g rules, industry guidelines and practices, and that the Commission has authority to extend to interconnected VoIP providers both the rights and obligations associated with using telephone numbers).</w:t>
      </w:r>
    </w:p>
  </w:footnote>
  <w:footnote w:id="92">
    <w:p w:rsidR="006807AE" w:rsidRPr="00B60AD9" w:rsidP="006807AE" w14:paraId="6ED3BEBA" w14:textId="77777777">
      <w:pPr>
        <w:pStyle w:val="FootnoteText"/>
        <w:rPr>
          <w:b/>
          <w:bCs/>
        </w:rPr>
      </w:pPr>
      <w:r w:rsidRPr="00B60AD9">
        <w:rPr>
          <w:rStyle w:val="FootnoteReference"/>
        </w:rPr>
        <w:footnoteRef/>
      </w:r>
      <w:r w:rsidRPr="00B60AD9">
        <w:t xml:space="preserve"> Twilio argues that applicants for growth numbering reso</w:t>
      </w:r>
      <w:r w:rsidRPr="00B60AD9">
        <w:t>urces should not have to disclose ownership information in those applications because they would already have been granted access to numbers.  Twilio Comments at 8.  We are not revising the rules on applications for growth numbering resources in 47 CFR § 5</w:t>
      </w:r>
      <w:r w:rsidRPr="00B60AD9">
        <w:t xml:space="preserve">2.15(g)(4).  We do, however, address below the duty to update ownership disclosures when the relevant information changes.  </w:t>
      </w:r>
      <w:r w:rsidRPr="00B60AD9">
        <w:rPr>
          <w:i/>
          <w:iCs/>
        </w:rPr>
        <w:t xml:space="preserve">See infra </w:t>
      </w:r>
      <w:r w:rsidRPr="00B60AD9">
        <w:t>paras. 28-31.</w:t>
      </w:r>
    </w:p>
  </w:footnote>
  <w:footnote w:id="93">
    <w:p w:rsidR="006807AE" w:rsidRPr="00B60AD9" w:rsidP="006807AE" w14:paraId="4C48DFA1" w14:textId="77777777">
      <w:pPr>
        <w:pStyle w:val="FootnoteText"/>
      </w:pPr>
      <w:r w:rsidRPr="00B60AD9">
        <w:rPr>
          <w:rStyle w:val="FootnoteReference"/>
        </w:rPr>
        <w:footnoteRef/>
      </w:r>
      <w:r w:rsidRPr="00B60AD9">
        <w:t xml:space="preserve"> </w:t>
      </w:r>
      <w:r w:rsidRPr="00B60AD9">
        <w:rPr>
          <w:i/>
          <w:iCs/>
        </w:rPr>
        <w:t xml:space="preserve">See </w:t>
      </w:r>
      <w:r w:rsidRPr="00B60AD9">
        <w:t xml:space="preserve">15 U.S.C. § 78m(d)(1); 17 CFR §§ 240.13d-1, 229.403; </w:t>
      </w:r>
      <w:r w:rsidRPr="00B60AD9">
        <w:rPr>
          <w:i/>
          <w:iCs/>
        </w:rPr>
        <w:t>Review of Foreign Ownership Policies for Broadcas</w:t>
      </w:r>
      <w:r w:rsidRPr="00B60AD9">
        <w:rPr>
          <w:i/>
          <w:iCs/>
        </w:rPr>
        <w:t>t, Common Carrier and Aeronautical Radio Licensees under Section 310(b)(4) of the Communications Act of 1934, as Amended</w:t>
      </w:r>
      <w:r w:rsidRPr="00B60AD9">
        <w:t xml:space="preserve">, GN Docket No. 15-236, Report and Order, 31 FCC Rcd 11272, 11293-94, paras. 45-46 &amp; n.130 (2016). </w:t>
      </w:r>
    </w:p>
  </w:footnote>
  <w:footnote w:id="94">
    <w:p w:rsidR="006807AE" w:rsidRPr="00B60AD9" w:rsidP="006807AE" w14:paraId="22B7F949" w14:textId="77777777">
      <w:pPr>
        <w:pStyle w:val="FootnoteText"/>
      </w:pPr>
      <w:r w:rsidRPr="00B60AD9">
        <w:rPr>
          <w:rStyle w:val="FootnoteReference"/>
        </w:rPr>
        <w:footnoteRef/>
      </w:r>
      <w:r w:rsidRPr="00B60AD9">
        <w:t xml:space="preserve"> </w:t>
      </w:r>
      <w:r w:rsidRPr="00B60AD9">
        <w:rPr>
          <w:i/>
          <w:iCs/>
        </w:rPr>
        <w:t xml:space="preserve">See FCC Enforcement Advisory:  </w:t>
      </w:r>
      <w:r w:rsidRPr="00B60AD9">
        <w:rPr>
          <w:i/>
          <w:shd w:val="clear" w:color="auto" w:fill="FFFFFF"/>
        </w:rPr>
        <w:t>FCC</w:t>
      </w:r>
      <w:r w:rsidRPr="00B60AD9">
        <w:rPr>
          <w:i/>
          <w:shd w:val="clear" w:color="auto" w:fill="FFFFFF"/>
        </w:rPr>
        <w:t xml:space="preserve"> Licensees and Authorization Holders Must Timely Disclose Changes in Foreign Ownership and Control</w:t>
      </w:r>
      <w:r w:rsidRPr="00B60AD9">
        <w:rPr>
          <w:shd w:val="clear" w:color="auto" w:fill="FFFFFF"/>
        </w:rPr>
        <w:t xml:space="preserve">, </w:t>
      </w:r>
      <w:r w:rsidRPr="00B60AD9">
        <w:t xml:space="preserve">Public Notice, DA 23-336, at 2 </w:t>
      </w:r>
      <w:r w:rsidRPr="00B60AD9">
        <w:rPr>
          <w:shd w:val="clear" w:color="auto" w:fill="FFFFFF"/>
        </w:rPr>
        <w:t>(EB Apr. 20, 2023) (</w:t>
      </w:r>
      <w:r w:rsidRPr="00B60AD9">
        <w:rPr>
          <w:i/>
          <w:shd w:val="clear" w:color="auto" w:fill="FFFFFF"/>
        </w:rPr>
        <w:t>Enforcement Advisory</w:t>
      </w:r>
      <w:r w:rsidRPr="00B60AD9">
        <w:rPr>
          <w:shd w:val="clear" w:color="auto" w:fill="FFFFFF"/>
        </w:rPr>
        <w:t>) (“</w:t>
      </w:r>
      <w:r w:rsidRPr="00B60AD9">
        <w:t xml:space="preserve">The Commission’s public interest analysis of ownership and control of applicants </w:t>
      </w:r>
      <w:r w:rsidRPr="00B60AD9">
        <w:t xml:space="preserve">for Commission licenses [under 47 USC § 214] rests, in part, on an applicant’s foreign ownership structure as it exists at the time the Commission considers the application, and in connection with such consideration, refers an application to the Executive </w:t>
      </w:r>
      <w:r w:rsidRPr="00B60AD9">
        <w:t>Branch for review.  The level of foreign ownership or control at the time of a review may also inform the analysis of whether these risks can be mitigated.”).</w:t>
      </w:r>
    </w:p>
  </w:footnote>
  <w:footnote w:id="95">
    <w:p w:rsidR="006807AE" w:rsidRPr="00B60AD9" w:rsidP="006807AE" w14:paraId="06E3182D"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w:t>
      </w:r>
      <w:r w:rsidRPr="00B60AD9">
        <w:rPr>
          <w:i/>
        </w:rPr>
        <w:t xml:space="preserve"> </w:t>
      </w:r>
      <w:r w:rsidRPr="00B60AD9">
        <w:t xml:space="preserve">12920, para. 26; 47 CFR § 63.18(h); </w:t>
      </w:r>
      <w:r w:rsidRPr="00B60AD9">
        <w:rPr>
          <w:i/>
        </w:rPr>
        <w:t xml:space="preserve">Executive </w:t>
      </w:r>
      <w:r w:rsidRPr="00B60AD9">
        <w:rPr>
          <w:i/>
        </w:rPr>
        <w:t>Branch Process Reform Order</w:t>
      </w:r>
      <w:r w:rsidRPr="00B60AD9">
        <w:rPr>
          <w:iCs/>
        </w:rPr>
        <w:t xml:space="preserve">, 35 FCC Rcd at 10985-86, </w:t>
      </w:r>
      <w:r w:rsidRPr="00B60AD9">
        <w:t xml:space="preserve">Appx. </w:t>
      </w:r>
      <w:r w:rsidRPr="00B60AD9">
        <w:rPr>
          <w:iCs/>
        </w:rPr>
        <w:t xml:space="preserve">B, para. 11; </w:t>
      </w:r>
      <w:r w:rsidRPr="00B60AD9">
        <w:rPr>
          <w:i/>
          <w:iCs/>
        </w:rPr>
        <w:t>Order Erratum</w:t>
      </w:r>
      <w:r w:rsidRPr="00B60AD9">
        <w:t xml:space="preserve">, </w:t>
      </w:r>
      <w:r w:rsidRPr="00B60AD9">
        <w:rPr>
          <w:iCs/>
        </w:rPr>
        <w:t>35 FCC Rcd at 13173-74, para. 11</w:t>
      </w:r>
      <w:r w:rsidRPr="00B60AD9">
        <w:t xml:space="preserve">; Appx. A, § 52.15(g)(3)(ii)(L) &amp; (v).  We codify the Bureau’s application review procedure below.  </w:t>
      </w:r>
      <w:r w:rsidRPr="00B60AD9">
        <w:rPr>
          <w:i/>
          <w:iCs/>
        </w:rPr>
        <w:t xml:space="preserve">See infra </w:t>
      </w:r>
      <w:r w:rsidRPr="00B60AD9">
        <w:t>Part III.B.1.</w:t>
      </w:r>
    </w:p>
  </w:footnote>
  <w:footnote w:id="96">
    <w:p w:rsidR="006807AE" w:rsidRPr="00B60AD9" w:rsidP="006807AE" w14:paraId="512321BB" w14:textId="77777777">
      <w:pPr>
        <w:pStyle w:val="FootnoteText"/>
      </w:pPr>
      <w:r w:rsidRPr="00B60AD9">
        <w:rPr>
          <w:rStyle w:val="FootnoteReference"/>
        </w:rPr>
        <w:footnoteRef/>
      </w:r>
      <w:r w:rsidRPr="00B60AD9">
        <w:t xml:space="preserve"> </w:t>
      </w:r>
      <w:r w:rsidRPr="00B60AD9">
        <w:rPr>
          <w:i/>
          <w:iCs/>
        </w:rPr>
        <w:t>See VoIP Direct Access Further Notice</w:t>
      </w:r>
      <w:r w:rsidRPr="00B60AD9">
        <w:t xml:space="preserve">, 36 FCC Rcd at 12920, para. 26 (“Pursuant to the </w:t>
      </w:r>
      <w:r w:rsidRPr="00B60AD9">
        <w:rPr>
          <w:i/>
          <w:iCs/>
        </w:rPr>
        <w:t>Executive Branch Review Order</w:t>
      </w:r>
      <w:r w:rsidRPr="00B60AD9">
        <w:t>, the Commissi</w:t>
      </w:r>
      <w:r w:rsidRPr="00B60AD9">
        <w:t>on, in its discretion, recently has referred a number of direct access to numbering applications where there is substantial foreign ownership of the applicant to the Committee.”).</w:t>
      </w:r>
    </w:p>
  </w:footnote>
  <w:footnote w:id="97">
    <w:p w:rsidR="006807AE" w:rsidRPr="00B60AD9" w:rsidP="006807AE" w14:paraId="4BD1E34A" w14:textId="77777777">
      <w:pPr>
        <w:pStyle w:val="FootnoteText"/>
      </w:pPr>
      <w:r w:rsidRPr="00B60AD9">
        <w:rPr>
          <w:rStyle w:val="FootnoteReference"/>
        </w:rPr>
        <w:footnoteRef/>
      </w:r>
      <w:r w:rsidRPr="00B60AD9">
        <w:t xml:space="preserve"> Twilio Comments at 7.</w:t>
      </w:r>
    </w:p>
  </w:footnote>
  <w:footnote w:id="98">
    <w:p w:rsidR="006807AE" w:rsidRPr="00B60AD9" w:rsidP="006807AE" w14:paraId="4E097E5A" w14:textId="77777777">
      <w:pPr>
        <w:pStyle w:val="FootnoteText"/>
      </w:pPr>
      <w:r w:rsidRPr="00B60AD9">
        <w:rPr>
          <w:rStyle w:val="FootnoteReference"/>
        </w:rPr>
        <w:footnoteRef/>
      </w:r>
      <w:r w:rsidRPr="00B60AD9">
        <w:t xml:space="preserve"> </w:t>
      </w:r>
      <w:r w:rsidRPr="00B60AD9">
        <w:rPr>
          <w:i/>
          <w:iCs/>
        </w:rPr>
        <w:t xml:space="preserve">See </w:t>
      </w:r>
      <w:r w:rsidRPr="00B60AD9">
        <w:rPr>
          <w:i/>
          <w:iCs/>
          <w:snapToGrid w:val="0"/>
        </w:rPr>
        <w:t>VoIP Direct Access Further Notice</w:t>
      </w:r>
      <w:r w:rsidRPr="00B60AD9">
        <w:rPr>
          <w:snapToGrid w:val="0"/>
        </w:rPr>
        <w:t xml:space="preserve">, 36 FCC Rcd </w:t>
      </w:r>
      <w:r w:rsidRPr="00B60AD9">
        <w:rPr>
          <w:snapToGrid w:val="0"/>
        </w:rPr>
        <w:t>at 12920, para. 26.</w:t>
      </w:r>
    </w:p>
  </w:footnote>
  <w:footnote w:id="99">
    <w:p w:rsidR="006807AE" w:rsidRPr="00B60AD9" w:rsidP="006807AE" w14:paraId="5D410ED2" w14:textId="77777777">
      <w:pPr>
        <w:pStyle w:val="FootnoteText"/>
      </w:pPr>
      <w:r w:rsidRPr="00B60AD9">
        <w:rPr>
          <w:rStyle w:val="FootnoteReference"/>
        </w:rPr>
        <w:footnoteRef/>
      </w:r>
      <w:r w:rsidRPr="00B60AD9">
        <w:t xml:space="preserve"> </w:t>
      </w:r>
      <w:r w:rsidRPr="00B60AD9">
        <w:rPr>
          <w:i/>
          <w:iCs/>
        </w:rPr>
        <w:t>Executive Branch Process Reform Order</w:t>
      </w:r>
      <w:r w:rsidRPr="00B60AD9">
        <w:t xml:space="preserve">, 35 FCC Rcd at 10935-36, para. 24 &amp; n.55; </w:t>
      </w:r>
      <w:r w:rsidRPr="00B60AD9">
        <w:rPr>
          <w:i/>
          <w:iCs/>
        </w:rPr>
        <w:t xml:space="preserve">see </w:t>
      </w:r>
      <w:r w:rsidRPr="00B60AD9">
        <w:t>47 CFR § 1.40001(a).</w:t>
      </w:r>
    </w:p>
  </w:footnote>
  <w:footnote w:id="100">
    <w:p w:rsidR="006807AE" w:rsidRPr="00B60AD9" w:rsidP="006807AE" w14:paraId="23E27D1C" w14:textId="77777777">
      <w:pPr>
        <w:pStyle w:val="FootnoteText"/>
      </w:pPr>
      <w:r w:rsidRPr="00B60AD9">
        <w:rPr>
          <w:rStyle w:val="FootnoteReference"/>
        </w:rPr>
        <w:footnoteRef/>
      </w:r>
      <w:r w:rsidRPr="00B60AD9">
        <w:t xml:space="preserve"> </w:t>
      </w:r>
      <w:r w:rsidRPr="00B60AD9">
        <w:rPr>
          <w:i/>
          <w:iCs/>
        </w:rPr>
        <w:t>Process Reform for Executive Branch Review of Certain FCC Applications and Petitions Involving Foreign Ownership</w:t>
      </w:r>
      <w:r w:rsidRPr="00B60AD9">
        <w:t>, IB Docket No.</w:t>
      </w:r>
      <w:r w:rsidRPr="00B60AD9">
        <w:t xml:space="preserve"> 16-155, Second Report and Order, 36 FCC Rcd 14848, 14848, para. 1 (2021).</w:t>
      </w:r>
    </w:p>
  </w:footnote>
  <w:footnote w:id="101">
    <w:p w:rsidR="006807AE" w:rsidRPr="00B60AD9" w:rsidP="006807AE" w14:paraId="42E66773" w14:textId="77777777">
      <w:pPr>
        <w:pStyle w:val="FootnoteText"/>
      </w:pPr>
      <w:r w:rsidRPr="00B60AD9">
        <w:rPr>
          <w:rStyle w:val="FootnoteReference"/>
        </w:rPr>
        <w:footnoteRef/>
      </w:r>
      <w:r w:rsidRPr="00B60AD9">
        <w:t xml:space="preserve"> </w:t>
      </w:r>
      <w:r w:rsidRPr="00B60AD9">
        <w:rPr>
          <w:i/>
          <w:iCs/>
        </w:rPr>
        <w:t>See</w:t>
      </w:r>
      <w:r w:rsidRPr="00B60AD9">
        <w:t xml:space="preserve"> 47 CFR § 1.745.</w:t>
      </w:r>
    </w:p>
  </w:footnote>
  <w:footnote w:id="102">
    <w:p w:rsidR="006807AE" w:rsidRPr="00B60AD9" w:rsidP="006807AE" w14:paraId="1C1B7D2C" w14:textId="77777777">
      <w:pPr>
        <w:pStyle w:val="FootnoteText"/>
      </w:pPr>
      <w:r w:rsidRPr="00B60AD9">
        <w:rPr>
          <w:rStyle w:val="FootnoteReference"/>
        </w:rPr>
        <w:footnoteRef/>
      </w:r>
      <w:r w:rsidRPr="00B60AD9">
        <w:t xml:space="preserve"> </w:t>
      </w:r>
      <w:r w:rsidRPr="00B60AD9">
        <w:rPr>
          <w:i/>
          <w:iCs/>
          <w:snapToGrid w:val="0"/>
        </w:rPr>
        <w:t>VoIP Direct Access Further Notice</w:t>
      </w:r>
      <w:r w:rsidRPr="00B60AD9">
        <w:t xml:space="preserve">, 36 FCC Rcd at 12921-22, para. 30; </w:t>
      </w:r>
      <w:r w:rsidRPr="00B60AD9">
        <w:rPr>
          <w:i/>
          <w:iCs/>
        </w:rPr>
        <w:t xml:space="preserve">see </w:t>
      </w:r>
      <w:r w:rsidRPr="00B60AD9">
        <w:t>Appx. A, § 52.15(g)(3)(x)(A).  For example, if a provider had no reportable ownershi</w:t>
      </w:r>
      <w:r w:rsidRPr="00B60AD9">
        <w:t>p information at the time of its application but a person or entity later came to possess more than 10% of the equity in the provider, the provider would have to report the change.  If a provider had reportable ownership information at the time of its appl</w:t>
      </w:r>
      <w:r w:rsidRPr="00B60AD9">
        <w:t>ication but the ownership changes (e.g., a holder of 10% of the equity came to hold 50%), the provider would have to report than change.  But if there is a change in ownership that does not reach the reportable level (e.g., a holder of two percent of the e</w:t>
      </w:r>
      <w:r w:rsidRPr="00B60AD9">
        <w:t>quity came to hold six percent), no update would have to be filed.</w:t>
      </w:r>
    </w:p>
  </w:footnote>
  <w:footnote w:id="103">
    <w:p w:rsidR="006807AE" w:rsidRPr="00B60AD9" w:rsidP="006807AE" w14:paraId="659DC504" w14:textId="77777777">
      <w:pPr>
        <w:pStyle w:val="FootnoteText"/>
      </w:pPr>
      <w:r w:rsidRPr="00B60AD9">
        <w:rPr>
          <w:rStyle w:val="FootnoteReference"/>
        </w:rPr>
        <w:footnoteRef/>
      </w:r>
      <w:r w:rsidRPr="00B60AD9">
        <w:t xml:space="preserve"> </w:t>
      </w:r>
      <w:r w:rsidRPr="00B60AD9">
        <w:rPr>
          <w:i/>
          <w:iCs/>
        </w:rPr>
        <w:t>See</w:t>
      </w:r>
      <w:r w:rsidRPr="00B60AD9">
        <w:t xml:space="preserve"> Appx. A, § 52.15(g)(3)(x)(A)</w:t>
      </w:r>
      <w:r w:rsidRPr="00B60AD9">
        <w:rPr>
          <w:b/>
        </w:rPr>
        <w:t>.</w:t>
      </w:r>
    </w:p>
  </w:footnote>
  <w:footnote w:id="104">
    <w:p w:rsidR="006807AE" w:rsidRPr="00B60AD9" w:rsidP="006807AE" w14:paraId="709C27F5" w14:textId="77777777">
      <w:pPr>
        <w:pStyle w:val="FootnoteText"/>
      </w:pPr>
      <w:r w:rsidRPr="00B60AD9">
        <w:rPr>
          <w:rStyle w:val="FootnoteReference"/>
        </w:rPr>
        <w:footnoteRef/>
      </w:r>
      <w:r w:rsidRPr="00B60AD9">
        <w:t xml:space="preserve"> </w:t>
      </w:r>
      <w:hyperlink r:id="rId18" w:anchor="co_pp_a1a1000006b15" w:history="1">
        <w:r w:rsidRPr="00B60AD9">
          <w:rPr>
            <w:rStyle w:val="Hyperlink"/>
            <w:color w:val="auto"/>
            <w:u w:val="none"/>
          </w:rPr>
          <w:t>47 CFR § 52.15(g)(3)(iv)(A)</w:t>
        </w:r>
      </w:hyperlink>
      <w:r w:rsidRPr="00B60AD9">
        <w:t xml:space="preserve">; </w:t>
      </w:r>
      <w:r w:rsidRPr="00B60AD9">
        <w:rPr>
          <w:i/>
          <w:iCs/>
        </w:rPr>
        <w:t>VoIP Direct Access Order</w:t>
      </w:r>
      <w:r w:rsidRPr="00B60AD9">
        <w:t xml:space="preserve">, </w:t>
      </w:r>
      <w:hyperlink r:id="rId19" w:anchor="co_pp_sp_4493_6859" w:history="1">
        <w:r w:rsidRPr="00B60AD9">
          <w:rPr>
            <w:rStyle w:val="Hyperlink"/>
            <w:color w:val="auto"/>
            <w:u w:val="none"/>
          </w:rPr>
          <w:t>30 FCC Rcd at 6859, para. 53</w:t>
        </w:r>
      </w:hyperlink>
      <w:r w:rsidRPr="00B60AD9">
        <w:rPr>
          <w:rStyle w:val="Hyperlink"/>
          <w:color w:val="auto"/>
          <w:u w:val="none"/>
        </w:rPr>
        <w:t xml:space="preserve">; </w:t>
      </w:r>
      <w:r w:rsidRPr="00B60AD9">
        <w:rPr>
          <w:i/>
          <w:iCs/>
          <w:snapToGrid w:val="0"/>
        </w:rPr>
        <w:t>VoIP Direct Access Further Notice</w:t>
      </w:r>
      <w:r w:rsidRPr="00B60AD9">
        <w:rPr>
          <w:snapToGrid w:val="0"/>
        </w:rPr>
        <w:t>, 36 FCC Rcd at 12921-22, paras. 30-32</w:t>
      </w:r>
      <w:r w:rsidRPr="00B60AD9">
        <w:t>.</w:t>
      </w:r>
    </w:p>
  </w:footnote>
  <w:footnote w:id="105">
    <w:p w:rsidR="006807AE" w:rsidRPr="00B60AD9" w:rsidP="006807AE" w14:paraId="31B5C55C" w14:textId="77777777">
      <w:pPr>
        <w:pStyle w:val="FootnoteText"/>
      </w:pPr>
      <w:r w:rsidRPr="00B60AD9">
        <w:rPr>
          <w:rStyle w:val="FootnoteReference"/>
        </w:rPr>
        <w:footnoteRef/>
      </w:r>
      <w:r w:rsidRPr="00B60AD9">
        <w:t xml:space="preserve"> </w:t>
      </w:r>
      <w:r w:rsidRPr="00B60AD9">
        <w:rPr>
          <w:i/>
          <w:iCs/>
        </w:rPr>
        <w:t>See</w:t>
      </w:r>
      <w:r w:rsidRPr="00B60AD9">
        <w:t xml:space="preserve"> 47 CFR § 52.15(g)(3)(iv)(A).  To further serve the public interest in protecting finite numbering resources from misuse by bad actors at home and abroad, in the </w:t>
      </w:r>
      <w:r w:rsidRPr="00B60AD9">
        <w:rPr>
          <w:i/>
          <w:iCs/>
        </w:rPr>
        <w:t>Second Further Notice</w:t>
      </w:r>
      <w:r w:rsidRPr="00B60AD9">
        <w:rPr>
          <w:i/>
        </w:rPr>
        <w:t xml:space="preserve"> </w:t>
      </w:r>
      <w:r w:rsidRPr="00B60AD9">
        <w:t xml:space="preserve">we adopt today, we propose to require currently existing interconnected </w:t>
      </w:r>
      <w:r w:rsidRPr="00B60AD9">
        <w:t xml:space="preserve">VoIP authorization holders to provide ownership disclosures.  </w:t>
      </w:r>
    </w:p>
  </w:footnote>
  <w:footnote w:id="106">
    <w:p w:rsidR="006807AE" w:rsidRPr="00B60AD9" w:rsidP="006807AE" w14:paraId="25612EDE" w14:textId="77777777">
      <w:pPr>
        <w:pStyle w:val="FootnoteText"/>
      </w:pPr>
      <w:r w:rsidRPr="00B60AD9">
        <w:rPr>
          <w:rStyle w:val="FootnoteReference"/>
        </w:rPr>
        <w:footnoteRef/>
      </w:r>
      <w:r w:rsidRPr="00B60AD9">
        <w:t xml:space="preserve"> </w:t>
      </w:r>
      <w:r w:rsidRPr="00B60AD9">
        <w:rPr>
          <w:i/>
          <w:iCs/>
        </w:rPr>
        <w:t xml:space="preserve">See </w:t>
      </w:r>
      <w:r w:rsidRPr="00B60AD9">
        <w:t>NAAG Reply at 5 (“State AGs support . . . requiring that holders of direct access authorization update the Commission and applicable states within thirty days of any change to the ownersh</w:t>
      </w:r>
      <w:r w:rsidRPr="00B60AD9">
        <w:t>ip information submitted to the Commission.”).</w:t>
      </w:r>
    </w:p>
  </w:footnote>
  <w:footnote w:id="107">
    <w:p w:rsidR="006807AE" w:rsidRPr="00B60AD9" w:rsidP="006807AE" w14:paraId="1C4FC953" w14:textId="77777777">
      <w:pPr>
        <w:pStyle w:val="FootnoteText"/>
      </w:pPr>
      <w:r w:rsidRPr="00B60AD9">
        <w:rPr>
          <w:rStyle w:val="FootnoteReference"/>
        </w:rPr>
        <w:footnoteRef/>
      </w:r>
      <w:r w:rsidRPr="00B60AD9">
        <w:t xml:space="preserve"> Twilio Comments at 7-8; VON Comments at 5-6; CCA Reply at 4.</w:t>
      </w:r>
    </w:p>
  </w:footnote>
  <w:footnote w:id="108">
    <w:p w:rsidR="006807AE" w:rsidRPr="00B60AD9" w:rsidP="006807AE" w14:paraId="3BEB445A" w14:textId="77777777">
      <w:pPr>
        <w:pStyle w:val="FootnoteText"/>
      </w:pPr>
      <w:r w:rsidRPr="00B60AD9">
        <w:rPr>
          <w:rStyle w:val="FootnoteReference"/>
        </w:rPr>
        <w:footnoteRef/>
      </w:r>
      <w:r w:rsidRPr="00B60AD9">
        <w:t xml:space="preserve"> Twilio Comments at 7-8; VON Comments at 5-6; CCA Reply at 4.</w:t>
      </w:r>
    </w:p>
  </w:footnote>
  <w:footnote w:id="109">
    <w:p w:rsidR="006807AE" w:rsidRPr="00B60AD9" w:rsidP="006807AE" w14:paraId="4BAA0A4F" w14:textId="77777777">
      <w:pPr>
        <w:pStyle w:val="FootnoteText"/>
      </w:pPr>
      <w:r w:rsidRPr="00B60AD9">
        <w:rPr>
          <w:rStyle w:val="FootnoteReference"/>
        </w:rPr>
        <w:footnoteRef/>
      </w:r>
      <w:r w:rsidRPr="00B60AD9">
        <w:t xml:space="preserve"> Twilio Comments at 8 (“If the Commission determines that post-grant ownership upd</w:t>
      </w:r>
      <w:r w:rsidRPr="00B60AD9">
        <w:t>ates are necessary, such updates should be limited in scope and narrowly tailored to serve the Commission’s goals.  The Commission should carefully consider whether such updates are truly needed within 30 days of a change, or whether some other routine, bu</w:t>
      </w:r>
      <w:r w:rsidRPr="00B60AD9">
        <w:t>t less frequent reporting period would suffice (e.g., an annual or biennial update.)”).</w:t>
      </w:r>
    </w:p>
  </w:footnote>
  <w:footnote w:id="110">
    <w:p w:rsidR="006807AE" w:rsidRPr="00B60AD9" w:rsidP="006807AE" w14:paraId="555A5BD4"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12921-22, para. 30.  No commenter proposed a “materiality threshold” to determine when ownership data updates must be</w:t>
      </w:r>
      <w:r w:rsidRPr="00B60AD9">
        <w:t xml:space="preserve"> filed, and we therefore decline to adopt one.</w:t>
      </w:r>
    </w:p>
  </w:footnote>
  <w:footnote w:id="111">
    <w:p w:rsidR="006807AE" w:rsidRPr="00B60AD9" w:rsidP="006807AE" w14:paraId="0681B9C6" w14:textId="77777777">
      <w:pPr>
        <w:pStyle w:val="FootnoteText"/>
      </w:pPr>
      <w:r w:rsidRPr="00B60AD9">
        <w:rPr>
          <w:rStyle w:val="FootnoteReference"/>
        </w:rPr>
        <w:footnoteRef/>
      </w:r>
      <w:r w:rsidRPr="00B60AD9">
        <w:rPr>
          <w:i/>
          <w:iCs/>
        </w:rPr>
        <w:t xml:space="preserve"> See</w:t>
      </w:r>
      <w:r w:rsidRPr="00B60AD9">
        <w:t xml:space="preserve"> </w:t>
      </w:r>
      <w:r w:rsidRPr="00B60AD9">
        <w:rPr>
          <w:i/>
          <w:iCs/>
        </w:rPr>
        <w:t>Enforcement Advisory</w:t>
      </w:r>
      <w:r w:rsidRPr="00B60AD9">
        <w:t xml:space="preserve"> at 2 (“Any subsequent undisclosed and unauthorized assignments or transfers of control [by section 214 licensees] may alter the national security and law enforcement risk analyses, i</w:t>
      </w:r>
      <w:r w:rsidRPr="00B60AD9">
        <w:t>ncluding whether and how these risks can be mitigated.  Absent proper disclosures to the FCC, the Commission’s initial public interest determination may no longer apply, because a non-notified transfer or assignment may introduce a new threat which present</w:t>
      </w:r>
      <w:r w:rsidRPr="00B60AD9">
        <w:t>s an ongoing and unmitigated risk to national security or law enforcement interests.”).</w:t>
      </w:r>
    </w:p>
  </w:footnote>
  <w:footnote w:id="112">
    <w:p w:rsidR="006807AE" w:rsidRPr="00B60AD9" w:rsidP="006807AE" w14:paraId="39C087AB" w14:textId="77777777">
      <w:pPr>
        <w:pStyle w:val="FootnoteText"/>
      </w:pPr>
      <w:r w:rsidRPr="00B60AD9">
        <w:rPr>
          <w:rStyle w:val="FootnoteReference"/>
        </w:rPr>
        <w:footnoteRef/>
      </w:r>
      <w:r w:rsidRPr="00B60AD9">
        <w:t xml:space="preserve"> </w:t>
      </w:r>
      <w:r w:rsidRPr="00B60AD9">
        <w:rPr>
          <w:i/>
          <w:iCs/>
        </w:rPr>
        <w:t>See supra</w:t>
      </w:r>
      <w:r w:rsidRPr="00B60AD9">
        <w:t xml:space="preserve"> paras. 19-23.</w:t>
      </w:r>
    </w:p>
  </w:footnote>
  <w:footnote w:id="113">
    <w:p w:rsidR="006807AE" w:rsidRPr="00B60AD9" w:rsidP="006807AE" w14:paraId="2A218171"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12922, para. 32.</w:t>
      </w:r>
    </w:p>
  </w:footnote>
  <w:footnote w:id="114">
    <w:p w:rsidR="006807AE" w:rsidRPr="00B60AD9" w:rsidP="006807AE" w14:paraId="626F891E" w14:textId="77777777">
      <w:pPr>
        <w:pStyle w:val="FootnoteText"/>
      </w:pPr>
      <w:r w:rsidRPr="00B60AD9">
        <w:rPr>
          <w:rStyle w:val="FootnoteReference"/>
        </w:rPr>
        <w:footnoteRef/>
      </w:r>
      <w:r w:rsidRPr="00B60AD9">
        <w:t xml:space="preserve"> 47 CFR § 52.15(g)(3)(iv)(A); </w:t>
      </w:r>
      <w:r w:rsidRPr="00B60AD9">
        <w:rPr>
          <w:i/>
          <w:iCs/>
        </w:rPr>
        <w:t>VoIP Direct Access Further Notice</w:t>
      </w:r>
      <w:r w:rsidRPr="00B60AD9">
        <w:t>, 36 FCC R</w:t>
      </w:r>
      <w:r w:rsidRPr="00B60AD9">
        <w:t>cd at 12921-22, para. 30.</w:t>
      </w:r>
    </w:p>
  </w:footnote>
  <w:footnote w:id="115">
    <w:p w:rsidR="006807AE" w:rsidRPr="00B60AD9" w:rsidP="006807AE" w14:paraId="6BEC1F29" w14:textId="77777777">
      <w:pPr>
        <w:pStyle w:val="FootnoteText"/>
      </w:pPr>
      <w:r w:rsidRPr="00B60AD9">
        <w:rPr>
          <w:rStyle w:val="FootnoteReference"/>
        </w:rPr>
        <w:footnoteRef/>
      </w:r>
      <w:r w:rsidRPr="00B60AD9">
        <w:t xml:space="preserve"> </w:t>
      </w:r>
      <w:r w:rsidRPr="00B60AD9">
        <w:rPr>
          <w:i/>
          <w:iCs/>
        </w:rPr>
        <w:t>See</w:t>
      </w:r>
      <w:r w:rsidRPr="00B60AD9">
        <w:t xml:space="preserve"> 47 CFR § 52.15(g)(3)(iv)(A).</w:t>
      </w:r>
    </w:p>
  </w:footnote>
  <w:footnote w:id="116">
    <w:p w:rsidR="006807AE" w:rsidRPr="00B60AD9" w:rsidP="006807AE" w14:paraId="5C744AE0"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12921-22, para. 30.</w:t>
      </w:r>
    </w:p>
  </w:footnote>
  <w:footnote w:id="117">
    <w:p w:rsidR="006807AE" w:rsidRPr="00B60AD9" w:rsidP="006807AE" w14:paraId="74694B43" w14:textId="77777777">
      <w:pPr>
        <w:pStyle w:val="FootnoteText"/>
        <w:rPr>
          <w:b/>
          <w:bCs/>
        </w:rPr>
      </w:pPr>
      <w:r w:rsidRPr="00B60AD9">
        <w:rPr>
          <w:rStyle w:val="FootnoteReference"/>
        </w:rPr>
        <w:footnoteRef/>
      </w:r>
      <w:r w:rsidRPr="00B60AD9">
        <w:t xml:space="preserve"> </w:t>
      </w:r>
      <w:r w:rsidRPr="00B60AD9">
        <w:rPr>
          <w:i/>
          <w:iCs/>
        </w:rPr>
        <w:t>See</w:t>
      </w:r>
      <w:r w:rsidRPr="00B60AD9">
        <w:t xml:space="preserve"> </w:t>
      </w:r>
      <w:r w:rsidRPr="00B60AD9">
        <w:rPr>
          <w:i/>
          <w:iCs/>
        </w:rPr>
        <w:t xml:space="preserve">infra </w:t>
      </w:r>
      <w:r w:rsidRPr="00B60AD9">
        <w:t>Part III.B.3.</w:t>
      </w:r>
    </w:p>
  </w:footnote>
  <w:footnote w:id="118">
    <w:p w:rsidR="006807AE" w:rsidRPr="00B60AD9" w:rsidP="006807AE" w14:paraId="1279C159" w14:textId="77777777">
      <w:pPr>
        <w:pStyle w:val="FootnoteText"/>
      </w:pPr>
      <w:r w:rsidRPr="00B60AD9">
        <w:rPr>
          <w:rStyle w:val="FootnoteReference"/>
        </w:rPr>
        <w:footnoteRef/>
      </w:r>
      <w:r w:rsidRPr="00B60AD9">
        <w:t xml:space="preserve"> 47 CFR § 52.15(g)(3)(i)</w:t>
      </w:r>
      <w:r>
        <w:t>,</w:t>
      </w:r>
      <w:r w:rsidRPr="00B60AD9">
        <w:t xml:space="preserve"> (iv).</w:t>
      </w:r>
    </w:p>
  </w:footnote>
  <w:footnote w:id="119">
    <w:p w:rsidR="006807AE" w:rsidRPr="00B60AD9" w:rsidP="006807AE" w14:paraId="63FB2F59" w14:textId="77777777">
      <w:pPr>
        <w:pStyle w:val="FootnoteText"/>
      </w:pPr>
      <w:r w:rsidRPr="00B60AD9">
        <w:rPr>
          <w:rStyle w:val="FootnoteReference"/>
        </w:rPr>
        <w:footnoteRef/>
      </w:r>
      <w:r w:rsidRPr="00B60AD9">
        <w:t xml:space="preserve"> </w:t>
      </w:r>
      <w:r w:rsidRPr="00B60AD9">
        <w:rPr>
          <w:i/>
          <w:iCs/>
          <w:snapToGrid w:val="0"/>
        </w:rPr>
        <w:t>VoIP Direct Access Further Notice</w:t>
      </w:r>
      <w:r w:rsidRPr="00B60AD9">
        <w:rPr>
          <w:snapToGrid w:val="0"/>
        </w:rPr>
        <w:t>, 36 FCC Rcd</w:t>
      </w:r>
      <w:r w:rsidRPr="00B60AD9">
        <w:rPr>
          <w:snapToGrid w:val="0"/>
        </w:rPr>
        <w:t xml:space="preserve"> at 12915, para. 16.</w:t>
      </w:r>
    </w:p>
  </w:footnote>
  <w:footnote w:id="120">
    <w:p w:rsidR="006807AE" w:rsidRPr="00B60AD9" w:rsidP="006807AE" w14:paraId="36545621" w14:textId="77777777">
      <w:pPr>
        <w:pStyle w:val="FootnoteText"/>
      </w:pPr>
      <w:r w:rsidRPr="00B60AD9">
        <w:rPr>
          <w:rStyle w:val="FootnoteReference"/>
        </w:rPr>
        <w:footnoteRef/>
      </w:r>
      <w:r w:rsidRPr="00B60AD9">
        <w:t xml:space="preserve"> The 911 obligations found in part 9 of the Commission’s rules apply both to two-way interconnected VoIP providers and one-way interconnected VoIP providers.  </w:t>
      </w:r>
      <w:r w:rsidRPr="00B60AD9">
        <w:rPr>
          <w:i/>
          <w:iCs/>
        </w:rPr>
        <w:t xml:space="preserve">See </w:t>
      </w:r>
      <w:r w:rsidRPr="00B60AD9">
        <w:t xml:space="preserve">47 CFR § 9.3.  As only two-way interconnected VoIP providers may receive direct access to numbers under 47 CFR § 52.15(g)(3), this certification requirement only applies to two-way interconnected VoIP providers. </w:t>
      </w:r>
    </w:p>
  </w:footnote>
  <w:footnote w:id="121">
    <w:p w:rsidR="006807AE" w:rsidRPr="00B60AD9" w:rsidP="006807AE" w14:paraId="5C78FFEF" w14:textId="77777777">
      <w:pPr>
        <w:pStyle w:val="FootnoteText"/>
      </w:pPr>
      <w:r w:rsidRPr="00B60AD9">
        <w:rPr>
          <w:rStyle w:val="FootnoteReference"/>
        </w:rPr>
        <w:footnoteRef/>
      </w:r>
      <w:r w:rsidRPr="00B60AD9">
        <w:t xml:space="preserve"> 47 U.S.C. § 1001 </w:t>
      </w:r>
      <w:r w:rsidRPr="00B60AD9">
        <w:rPr>
          <w:i/>
          <w:iCs/>
        </w:rPr>
        <w:t xml:space="preserve">et seq.  </w:t>
      </w:r>
      <w:r w:rsidRPr="00B60AD9">
        <w:t>Our rules alrea</w:t>
      </w:r>
      <w:r w:rsidRPr="00B60AD9">
        <w:t>dy require an applicant for direct access authorization to certify that it complies with “its 911 obligations under 47 CFR part 9.”  47 CFR § 52.15(g)(3)(i)(E).</w:t>
      </w:r>
    </w:p>
  </w:footnote>
  <w:footnote w:id="122">
    <w:p w:rsidR="006807AE" w:rsidRPr="00B60AD9" w:rsidP="006807AE" w14:paraId="28FF6CC3" w14:textId="77777777">
      <w:pPr>
        <w:pStyle w:val="FootnoteText"/>
      </w:pPr>
      <w:r w:rsidRPr="00B60AD9">
        <w:rPr>
          <w:rStyle w:val="FootnoteReference"/>
        </w:rPr>
        <w:footnoteRef/>
      </w:r>
      <w:r w:rsidRPr="00B60AD9">
        <w:t xml:space="preserve"> To preserve flexibility and minimize burdens, we decline to prescribe precisely what evidence</w:t>
      </w:r>
      <w:r w:rsidRPr="00B60AD9">
        <w:t xml:space="preserve"> should be submitted to satisfy this requirement.  We note that technical specifications and call-flow diagrams “have been helpful to Commission staff in assessing direct access applicants’ compliance with 911 service and CALEA requirements in some cases.”</w:t>
      </w:r>
      <w:r w:rsidRPr="00B60AD9">
        <w:t xml:space="preserve">  </w:t>
      </w:r>
      <w:r w:rsidRPr="00B60AD9">
        <w:rPr>
          <w:i/>
          <w:iCs/>
        </w:rPr>
        <w:t>VoIP Direct Access Further Notice</w:t>
      </w:r>
      <w:r w:rsidRPr="00B60AD9">
        <w:t>, 36 FCC Rcd at 12915, para. 16.  Evidence of 911 service agreements may also be helpful to the Bureau’s review.</w:t>
      </w:r>
    </w:p>
  </w:footnote>
  <w:footnote w:id="123">
    <w:p w:rsidR="006807AE" w:rsidRPr="00B60AD9" w:rsidP="006807AE" w14:paraId="69FC2EC2" w14:textId="77777777">
      <w:pPr>
        <w:pStyle w:val="FootnoteText"/>
        <w:rPr>
          <w:b/>
        </w:rPr>
      </w:pPr>
      <w:r w:rsidRPr="00B60AD9">
        <w:rPr>
          <w:rStyle w:val="FootnoteReference"/>
        </w:rPr>
        <w:footnoteRef/>
      </w:r>
      <w:r w:rsidRPr="00B60AD9">
        <w:t xml:space="preserve"> 47 CFR § 1.745.</w:t>
      </w:r>
    </w:p>
  </w:footnote>
  <w:footnote w:id="124">
    <w:p w:rsidR="006807AE" w:rsidRPr="00B60AD9" w:rsidP="006807AE" w14:paraId="0A9AB1FB" w14:textId="77777777">
      <w:pPr>
        <w:pStyle w:val="FootnoteText"/>
      </w:pPr>
      <w:r w:rsidRPr="00B60AD9">
        <w:rPr>
          <w:rStyle w:val="FootnoteReference"/>
        </w:rPr>
        <w:footnoteRef/>
      </w:r>
      <w:r w:rsidRPr="00B60AD9">
        <w:t xml:space="preserve"> Bandwidth Comments at 13; Lumen Comments at 5; Maine Pub. Utils. Comm’n Reply at 6-7 (Me</w:t>
      </w:r>
      <w:r w:rsidRPr="00B60AD9">
        <w:t>. PUC).</w:t>
      </w:r>
    </w:p>
  </w:footnote>
  <w:footnote w:id="125">
    <w:p w:rsidR="006807AE" w:rsidRPr="00B60AD9" w:rsidP="006807AE" w14:paraId="6BAA9411" w14:textId="77777777">
      <w:pPr>
        <w:pStyle w:val="FootnoteText"/>
        <w:rPr>
          <w:b/>
          <w:bCs/>
        </w:rPr>
      </w:pPr>
      <w:r w:rsidRPr="00B60AD9">
        <w:rPr>
          <w:rStyle w:val="FootnoteReference"/>
        </w:rPr>
        <w:footnoteRef/>
      </w:r>
      <w:r w:rsidRPr="00B60AD9">
        <w:t xml:space="preserve"> Me. PUC Reply at 6-7.  Additionally, Lumen and USTelecom argue that this documentation submission requirement would be unduly burdensome if applied retroactively to existing authorization holders.  </w:t>
      </w:r>
      <w:r w:rsidRPr="00B60AD9">
        <w:rPr>
          <w:i/>
          <w:iCs/>
        </w:rPr>
        <w:t xml:space="preserve">See </w:t>
      </w:r>
      <w:r w:rsidRPr="00B60AD9">
        <w:t xml:space="preserve">Lumen Reply at 10-11; USTelecom Reply at 5. </w:t>
      </w:r>
      <w:r w:rsidRPr="00B60AD9">
        <w:t xml:space="preserve"> We understand these concerns and decline to make this requirement retroactive at this time.</w:t>
      </w:r>
    </w:p>
  </w:footnote>
  <w:footnote w:id="126">
    <w:p w:rsidR="006807AE" w:rsidRPr="00B60AD9" w:rsidP="006807AE" w14:paraId="09FF3EA0" w14:textId="77777777">
      <w:pPr>
        <w:pStyle w:val="FootnoteText"/>
      </w:pPr>
      <w:r w:rsidRPr="00B60AD9">
        <w:rPr>
          <w:rStyle w:val="FootnoteReference"/>
        </w:rPr>
        <w:footnoteRef/>
      </w:r>
      <w:r w:rsidRPr="00B60AD9">
        <w:t xml:space="preserve"> </w:t>
      </w:r>
      <w:r w:rsidRPr="00B60AD9">
        <w:rPr>
          <w:i/>
          <w:iCs/>
        </w:rPr>
        <w:t>See, e.g.</w:t>
      </w:r>
      <w:r w:rsidRPr="00B60AD9">
        <w:t xml:space="preserve">, 50 </w:t>
      </w:r>
      <w:r w:rsidRPr="00B60AD9">
        <w:rPr>
          <w:smallCaps/>
        </w:rPr>
        <w:t>Ill. Comp. Stat. Ann.</w:t>
      </w:r>
      <w:r w:rsidRPr="00B60AD9">
        <w:t xml:space="preserve"> § 750/60</w:t>
      </w:r>
      <w:r>
        <w:t xml:space="preserve"> (West 2023)</w:t>
      </w:r>
      <w:r w:rsidRPr="00B60AD9">
        <w:t xml:space="preserve">; </w:t>
      </w:r>
      <w:r w:rsidRPr="00B60AD9">
        <w:rPr>
          <w:smallCaps/>
        </w:rPr>
        <w:t xml:space="preserve">Ind. Code </w:t>
      </w:r>
      <w:r w:rsidRPr="00B60AD9">
        <w:t>§ 8-1-32.5-6(a)</w:t>
      </w:r>
      <w:r>
        <w:t xml:space="preserve"> (2023)</w:t>
      </w:r>
      <w:r w:rsidRPr="00B60AD9">
        <w:t xml:space="preserve">; </w:t>
      </w:r>
      <w:r w:rsidRPr="00B60AD9">
        <w:rPr>
          <w:i/>
          <w:iCs/>
        </w:rPr>
        <w:t xml:space="preserve">id. </w:t>
      </w:r>
      <w:r w:rsidRPr="00B60AD9">
        <w:t xml:space="preserve">§ 8-1-32.5-3(b)(4); </w:t>
      </w:r>
      <w:r w:rsidRPr="00B60AD9">
        <w:rPr>
          <w:smallCaps/>
        </w:rPr>
        <w:t>Ky. Rev. Stat. Ann.</w:t>
      </w:r>
      <w:r w:rsidRPr="00B60AD9">
        <w:t xml:space="preserve"> § 160.6131(2)(a)(9)</w:t>
      </w:r>
      <w:r>
        <w:t xml:space="preserve"> (West</w:t>
      </w:r>
      <w:r>
        <w:t xml:space="preserve"> 2023)</w:t>
      </w:r>
      <w:r w:rsidRPr="00B60AD9">
        <w:t>.</w:t>
      </w:r>
    </w:p>
  </w:footnote>
  <w:footnote w:id="127">
    <w:p w:rsidR="006807AE" w:rsidRPr="00B60AD9" w:rsidP="006807AE" w14:paraId="201229B6" w14:textId="77777777">
      <w:pPr>
        <w:pStyle w:val="FootnoteText"/>
      </w:pPr>
      <w:r w:rsidRPr="00B60AD9">
        <w:rPr>
          <w:rStyle w:val="FootnoteReference"/>
        </w:rPr>
        <w:footnoteRef/>
      </w:r>
      <w:r w:rsidRPr="00B60AD9">
        <w:t xml:space="preserve"> </w:t>
      </w:r>
      <w:r w:rsidRPr="00B60AD9">
        <w:rPr>
          <w:i/>
          <w:iCs/>
        </w:rPr>
        <w:t>See, e.g.</w:t>
      </w:r>
      <w:r w:rsidRPr="00B60AD9">
        <w:t xml:space="preserve">, </w:t>
      </w:r>
      <w:r w:rsidRPr="00B60AD9">
        <w:rPr>
          <w:smallCaps/>
        </w:rPr>
        <w:t>Ariz. Rev. Stat. Ann.</w:t>
      </w:r>
      <w:r w:rsidRPr="00B60AD9">
        <w:t xml:space="preserve"> § 40-212(A)</w:t>
      </w:r>
      <w:r>
        <w:t xml:space="preserve"> (2023)</w:t>
      </w:r>
      <w:r w:rsidRPr="00B60AD9">
        <w:t xml:space="preserve">; </w:t>
      </w:r>
      <w:r w:rsidRPr="00B60AD9">
        <w:rPr>
          <w:smallCaps/>
        </w:rPr>
        <w:t>Ark. Code Ann.</w:t>
      </w:r>
      <w:r w:rsidRPr="00B60AD9">
        <w:t xml:space="preserve"> § 23-17-411(g)(1)(B)-(C)</w:t>
      </w:r>
      <w:r>
        <w:t xml:space="preserve"> (West 2023)</w:t>
      </w:r>
      <w:r w:rsidRPr="00B60AD9">
        <w:t xml:space="preserve">; </w:t>
      </w:r>
      <w:r w:rsidRPr="00B60AD9">
        <w:rPr>
          <w:smallCaps/>
        </w:rPr>
        <w:t xml:space="preserve">Colo. Rev. Stat. Ann. </w:t>
      </w:r>
      <w:r w:rsidRPr="00B60AD9">
        <w:t>§ 40-15-401(1)(r)</w:t>
      </w:r>
      <w:r>
        <w:t xml:space="preserve"> (West 2023)</w:t>
      </w:r>
      <w:r w:rsidRPr="00B60AD9">
        <w:t>.</w:t>
      </w:r>
    </w:p>
  </w:footnote>
  <w:footnote w:id="128">
    <w:p w:rsidR="006807AE" w:rsidRPr="00B60AD9" w:rsidP="006807AE" w14:paraId="73D6FDAF" w14:textId="77777777">
      <w:pPr>
        <w:pStyle w:val="FootnoteText"/>
      </w:pPr>
      <w:r w:rsidRPr="00B60AD9">
        <w:rPr>
          <w:rStyle w:val="FootnoteReference"/>
        </w:rPr>
        <w:footnoteRef/>
      </w:r>
      <w:r w:rsidRPr="00B60AD9">
        <w:t xml:space="preserve"> </w:t>
      </w:r>
      <w:r w:rsidRPr="00B60AD9">
        <w:rPr>
          <w:i/>
          <w:iCs/>
        </w:rPr>
        <w:t xml:space="preserve">See </w:t>
      </w:r>
      <w:r w:rsidRPr="00B60AD9">
        <w:rPr>
          <w:i/>
          <w:iCs/>
          <w:snapToGrid w:val="0"/>
        </w:rPr>
        <w:t>VoIP Direct Access Further Notice</w:t>
      </w:r>
      <w:r w:rsidRPr="00B60AD9">
        <w:rPr>
          <w:snapToGrid w:val="0"/>
        </w:rPr>
        <w:t>, 36 FCC Rcd at 12916-17, para. 17; 47 CFR § 61.</w:t>
      </w:r>
      <w:r w:rsidRPr="00B60AD9">
        <w:rPr>
          <w:snapToGrid w:val="0"/>
        </w:rPr>
        <w:t>3(bbb).</w:t>
      </w:r>
    </w:p>
  </w:footnote>
  <w:footnote w:id="129">
    <w:p w:rsidR="006807AE" w:rsidRPr="00B60AD9" w:rsidP="006807AE" w14:paraId="19CF2939" w14:textId="77777777">
      <w:pPr>
        <w:pStyle w:val="FootnoteText"/>
      </w:pPr>
      <w:r w:rsidRPr="00B60AD9">
        <w:rPr>
          <w:rStyle w:val="FootnoteReference"/>
        </w:rPr>
        <w:footnoteRef/>
      </w:r>
      <w:r w:rsidRPr="00B60AD9">
        <w:t xml:space="preserve"> </w:t>
      </w:r>
      <w:r w:rsidRPr="00B60AD9">
        <w:rPr>
          <w:i/>
          <w:iCs/>
        </w:rPr>
        <w:t>See Updating the Intercarrier Compensation Regime to Eliminate Access Arbitrage</w:t>
      </w:r>
      <w:r w:rsidRPr="00B60AD9">
        <w:t>, WC Docket No. 18-155, Second Report and Order, FCC 23-31, at 2, para. 3 (Apr. 21, 2023) (</w:t>
      </w:r>
      <w:r w:rsidRPr="00B60AD9">
        <w:rPr>
          <w:i/>
          <w:iCs/>
        </w:rPr>
        <w:t>Access Arbitrage Second Report and Order</w:t>
      </w:r>
      <w:r w:rsidRPr="00B60AD9">
        <w:t>).</w:t>
      </w:r>
    </w:p>
  </w:footnote>
  <w:footnote w:id="130">
    <w:p w:rsidR="006807AE" w:rsidRPr="00B60AD9" w:rsidP="006807AE" w14:paraId="3B6D32EB" w14:textId="77777777">
      <w:pPr>
        <w:pStyle w:val="FootnoteText"/>
      </w:pPr>
      <w:r w:rsidRPr="00B60AD9">
        <w:rPr>
          <w:rStyle w:val="FootnoteReference"/>
        </w:rPr>
        <w:footnoteRef/>
      </w:r>
      <w:r w:rsidRPr="00B60AD9">
        <w:t xml:space="preserve"> </w:t>
      </w:r>
      <w:r w:rsidRPr="00B60AD9">
        <w:rPr>
          <w:i/>
          <w:iCs/>
        </w:rPr>
        <w:t>See, e.g.</w:t>
      </w:r>
      <w:r w:rsidRPr="00B60AD9">
        <w:t>,</w:t>
      </w:r>
      <w:r w:rsidRPr="00B60AD9">
        <w:rPr>
          <w:i/>
          <w:iCs/>
        </w:rPr>
        <w:t xml:space="preserve"> </w:t>
      </w:r>
      <w:r w:rsidRPr="00B60AD9">
        <w:t xml:space="preserve">47 CFR §§ </w:t>
      </w:r>
      <w:r w:rsidRPr="00B60AD9">
        <w:t>51.914</w:t>
      </w:r>
      <w:r>
        <w:t>,</w:t>
      </w:r>
      <w:r w:rsidRPr="00B60AD9">
        <w:t xml:space="preserve"> 61.3(bbb).</w:t>
      </w:r>
    </w:p>
  </w:footnote>
  <w:footnote w:id="131">
    <w:p w:rsidR="006807AE" w:rsidRPr="00B60AD9" w:rsidP="006807AE" w14:paraId="67473896" w14:textId="77777777">
      <w:pPr>
        <w:pStyle w:val="FootnoteText"/>
      </w:pPr>
      <w:r w:rsidRPr="00B60AD9">
        <w:rPr>
          <w:rStyle w:val="FootnoteReference"/>
        </w:rPr>
        <w:footnoteRef/>
      </w:r>
      <w:r w:rsidRPr="00B60AD9">
        <w:t xml:space="preserve"> </w:t>
      </w:r>
      <w:r w:rsidRPr="00B60AD9">
        <w:rPr>
          <w:i/>
          <w:iCs/>
        </w:rPr>
        <w:t xml:space="preserve">See Access Arbitrage Second Report and Order </w:t>
      </w:r>
      <w:r w:rsidRPr="00B60AD9">
        <w:t>at 2, para. 2 &amp; n.1.</w:t>
      </w:r>
    </w:p>
  </w:footnote>
  <w:footnote w:id="132">
    <w:p w:rsidR="006807AE" w:rsidRPr="00B60AD9" w:rsidP="006807AE" w14:paraId="3252BCD1" w14:textId="77777777">
      <w:pPr>
        <w:pStyle w:val="FootnoteText"/>
      </w:pPr>
      <w:r w:rsidRPr="00B60AD9">
        <w:rPr>
          <w:rStyle w:val="FootnoteReference"/>
        </w:rPr>
        <w:footnoteRef/>
      </w:r>
      <w:r w:rsidRPr="00B60AD9">
        <w:t xml:space="preserve"> </w:t>
      </w:r>
      <w:r w:rsidRPr="00B60AD9">
        <w:rPr>
          <w:i/>
          <w:iCs/>
        </w:rPr>
        <w:t xml:space="preserve">See </w:t>
      </w:r>
      <w:r w:rsidRPr="00B60AD9">
        <w:t>Verizon Reply at 2 (“To combat this problem fully, the Commission should amend Parts 51 and 61 of its rules—either instead of or in addition to amending the Part 5</w:t>
      </w:r>
      <w:r w:rsidRPr="00B60AD9">
        <w:t>2 numbering rules and adopting certification requirements—to ensure that VoIP providers are not facilitating and profiting from access stimulation.”).</w:t>
      </w:r>
    </w:p>
  </w:footnote>
  <w:footnote w:id="133">
    <w:p w:rsidR="006807AE" w:rsidRPr="00B60AD9" w:rsidP="006807AE" w14:paraId="2B226E1A" w14:textId="77777777">
      <w:pPr>
        <w:pStyle w:val="FootnoteText"/>
      </w:pPr>
      <w:r w:rsidRPr="00B60AD9">
        <w:rPr>
          <w:rStyle w:val="FootnoteReference"/>
        </w:rPr>
        <w:footnoteRef/>
      </w:r>
      <w:r w:rsidRPr="00B60AD9">
        <w:t xml:space="preserve"> 47 CFR § 51.914.</w:t>
      </w:r>
    </w:p>
  </w:footnote>
  <w:footnote w:id="134">
    <w:p w:rsidR="006807AE" w:rsidRPr="00B60AD9" w:rsidP="006807AE" w14:paraId="62E69C8E" w14:textId="77777777">
      <w:pPr>
        <w:pStyle w:val="FootnoteText"/>
      </w:pPr>
      <w:r w:rsidRPr="00B60AD9">
        <w:rPr>
          <w:rStyle w:val="FootnoteReference"/>
        </w:rPr>
        <w:footnoteRef/>
      </w:r>
      <w:r w:rsidRPr="00B60AD9">
        <w:t xml:space="preserve"> In our recent </w:t>
      </w:r>
      <w:r w:rsidRPr="00B60AD9">
        <w:rPr>
          <w:i/>
          <w:iCs/>
        </w:rPr>
        <w:t>Access Arbitrage Second Report and Order</w:t>
      </w:r>
      <w:r w:rsidRPr="00B60AD9">
        <w:t>, we noted that, “[d]espite mu</w:t>
      </w:r>
      <w:r w:rsidRPr="00B60AD9">
        <w:t>ltiple orders and investigations making clear the Commission will not tolerate access arbitrage, some providers continue to manipulate their call traffic or call flows in attempts to evade our rules.  Recently, [local exchange carriers (LECs)] have inserte</w:t>
      </w:r>
      <w:r w:rsidRPr="00B60AD9">
        <w:t>d [IPES] Providers into call paths as part of an ongoing effort to evade our rules and to continue to engage in access stimulation.  After inserting an IPES Provider into the call flow, the LEC then claims that it is not engaged in access stimulation as cu</w:t>
      </w:r>
      <w:r w:rsidRPr="00B60AD9">
        <w:t xml:space="preserve">rrently defined in our rules.”  </w:t>
      </w:r>
      <w:r w:rsidRPr="00B60AD9">
        <w:rPr>
          <w:i/>
          <w:iCs/>
        </w:rPr>
        <w:t xml:space="preserve">Access Arbitrage Second Report and Order </w:t>
      </w:r>
      <w:r w:rsidRPr="00B60AD9">
        <w:t>at 2, para. 2;</w:t>
      </w:r>
      <w:r w:rsidRPr="00B60AD9">
        <w:rPr>
          <w:i/>
          <w:iCs/>
        </w:rPr>
        <w:t xml:space="preserve"> see, e.g.</w:t>
      </w:r>
      <w:r w:rsidRPr="00B60AD9">
        <w:t>, AT&amp;T Opposition at 2 (opposing a grant of direct access authorization to a provider that “appear[s] to be closely associated with” a known access stimulator,</w:t>
      </w:r>
      <w:r w:rsidRPr="00B60AD9">
        <w:t xml:space="preserve"> and stating that “some companies have continued to abuse and exploit loopholes in” the Commission’s Access Stimulation rules).</w:t>
      </w:r>
    </w:p>
  </w:footnote>
  <w:footnote w:id="135">
    <w:p w:rsidR="006807AE" w:rsidRPr="00B60AD9" w:rsidP="006807AE" w14:paraId="4410EDDE" w14:textId="77777777">
      <w:pPr>
        <w:pStyle w:val="FootnoteText"/>
      </w:pPr>
      <w:r w:rsidRPr="00B60AD9">
        <w:rPr>
          <w:rStyle w:val="FootnoteReference"/>
        </w:rPr>
        <w:footnoteRef/>
      </w:r>
      <w:r w:rsidRPr="00B60AD9">
        <w:t xml:space="preserve"> </w:t>
      </w:r>
      <w:r w:rsidRPr="00B60AD9">
        <w:rPr>
          <w:i/>
          <w:iCs/>
        </w:rPr>
        <w:t>AT&amp;T Corp. v. Wide Voice LLC</w:t>
      </w:r>
      <w:r w:rsidRPr="00B60AD9">
        <w:t xml:space="preserve">, Bureau ID No. </w:t>
      </w:r>
      <w:r w:rsidRPr="00B60AD9">
        <w:rPr>
          <w:lang w:val="es-ES"/>
        </w:rPr>
        <w:t xml:space="preserve">EB-20-MD-005, 36 FCC Rcd 9771, 97712, 9775-76, 9779-84, paras. </w:t>
      </w:r>
      <w:r w:rsidRPr="00B60AD9">
        <w:t>6, 13, 21-30 (2022)</w:t>
      </w:r>
      <w:r w:rsidRPr="00B60AD9">
        <w:t xml:space="preserve">, </w:t>
      </w:r>
      <w:r w:rsidRPr="00B60AD9">
        <w:rPr>
          <w:i/>
          <w:iCs/>
        </w:rPr>
        <w:t>aff’d sub nom.</w:t>
      </w:r>
      <w:r w:rsidRPr="00B60AD9">
        <w:t xml:space="preserve"> </w:t>
      </w:r>
      <w:r w:rsidRPr="00B60AD9">
        <w:rPr>
          <w:i/>
          <w:iCs/>
        </w:rPr>
        <w:t>Wide Voice LLC v. FCC</w:t>
      </w:r>
      <w:r w:rsidRPr="00B60AD9">
        <w:t xml:space="preserve">, 61 F.4th 1018 (9th Cir. 2023). </w:t>
      </w:r>
    </w:p>
  </w:footnote>
  <w:footnote w:id="136">
    <w:p w:rsidR="006807AE" w:rsidRPr="00B60AD9" w:rsidP="006807AE" w14:paraId="58824845" w14:textId="77777777">
      <w:pPr>
        <w:pStyle w:val="FootnoteText"/>
      </w:pPr>
      <w:r w:rsidRPr="00B60AD9">
        <w:rPr>
          <w:rStyle w:val="FootnoteReference"/>
        </w:rPr>
        <w:footnoteRef/>
      </w:r>
      <w:r w:rsidRPr="00B60AD9">
        <w:t xml:space="preserve"> </w:t>
      </w:r>
      <w:r w:rsidRPr="00B60AD9">
        <w:rPr>
          <w:i/>
          <w:iCs/>
        </w:rPr>
        <w:t>See, e.g.</w:t>
      </w:r>
      <w:r w:rsidRPr="00B60AD9">
        <w:t>, AT&amp;T Services, Inc. Reply, WC Docket No. 18-155, at 3 (rec. Oct. 3, 2022); Verizon Comments, WC Docket No. 18-155, at 19 (rec. Sept. 6, 2022); Bandwidth Comments at 9 n.9;</w:t>
      </w:r>
      <w:r w:rsidRPr="00B60AD9">
        <w:t xml:space="preserve"> Verizon Reply at 2 (supporting a certification requirement for direct access applicants paired with amendments to Parts 51 and 61” of the Commission’s rules as a way to “combat [the Access Stimulation] problem fully”).</w:t>
      </w:r>
    </w:p>
  </w:footnote>
  <w:footnote w:id="137">
    <w:p w:rsidR="006807AE" w:rsidRPr="00B60AD9" w:rsidP="006807AE" w14:paraId="191B6B1E" w14:textId="77777777">
      <w:pPr>
        <w:pStyle w:val="FootnoteText"/>
      </w:pPr>
      <w:r w:rsidRPr="00B60AD9">
        <w:rPr>
          <w:rStyle w:val="FootnoteReference"/>
        </w:rPr>
        <w:footnoteRef/>
      </w:r>
      <w:r w:rsidRPr="00B60AD9">
        <w:t xml:space="preserve"> Verizon Comments, WC Docket No. 18</w:t>
      </w:r>
      <w:r w:rsidRPr="00B60AD9">
        <w:t>-155, at 19 (rec. Sept. 6, 2022).</w:t>
      </w:r>
    </w:p>
  </w:footnote>
  <w:footnote w:id="138">
    <w:p w:rsidR="006807AE" w:rsidRPr="00B60AD9" w:rsidP="006807AE" w14:paraId="4BE90E87" w14:textId="77777777">
      <w:pPr>
        <w:pStyle w:val="FootnoteText"/>
        <w:rPr>
          <w:b/>
          <w:bCs/>
        </w:rPr>
      </w:pPr>
      <w:r w:rsidRPr="00B60AD9">
        <w:rPr>
          <w:rStyle w:val="FootnoteReference"/>
        </w:rPr>
        <w:footnoteRef/>
      </w:r>
      <w:r w:rsidRPr="00B60AD9">
        <w:t xml:space="preserve"> AT&amp;T Services, Inc. Reply, WC Docket No. 18-155, at 3 (rec. Oct. 3, 2022); </w:t>
      </w:r>
      <w:r w:rsidRPr="00B60AD9">
        <w:rPr>
          <w:i/>
          <w:iCs/>
        </w:rPr>
        <w:t xml:space="preserve">see also </w:t>
      </w:r>
      <w:r w:rsidRPr="00B60AD9">
        <w:t>AT&amp;T Opposition at 3 (“The Commission’s review of [direct access] Applications should ensure that . . . Applicants’ requests for additio</w:t>
      </w:r>
      <w:r w:rsidRPr="00B60AD9">
        <w:t xml:space="preserve">nal numbering resources will not promote access arbitrage activities or call congestion.”).  Other commenters in that docket also supported taking steps to stop IPES Providers from engaging in Access Stimulation.  </w:t>
      </w:r>
      <w:r w:rsidRPr="00B60AD9">
        <w:rPr>
          <w:i/>
          <w:iCs/>
        </w:rPr>
        <w:t>See, e.g.</w:t>
      </w:r>
      <w:r w:rsidRPr="00B60AD9">
        <w:t>,</w:t>
      </w:r>
      <w:r w:rsidRPr="00B60AD9">
        <w:rPr>
          <w:i/>
          <w:iCs/>
        </w:rPr>
        <w:t xml:space="preserve"> </w:t>
      </w:r>
      <w:r w:rsidRPr="00B60AD9">
        <w:t>Bandwidth, Inc. et al. Comments</w:t>
      </w:r>
      <w:r w:rsidRPr="00B60AD9">
        <w:t>, WC Docket No. 18-155, at 3-4 (rec. Sept. 6, 2022); Inteliquent, Inc. Comments, WC Docket No. 18-155, at 3-9 (rec. Sept. 6, 2022); Lumen Comments, WC Docket No. 18-155, at 3-6 (rec. Sept. 6, 2022); USTelecom Comments, WC Docket No. 18-155, at 2 (rec. Sept</w:t>
      </w:r>
      <w:r w:rsidRPr="00B60AD9">
        <w:t>. 6, 2022).</w:t>
      </w:r>
    </w:p>
  </w:footnote>
  <w:footnote w:id="139">
    <w:p w:rsidR="006807AE" w:rsidRPr="00B60AD9" w:rsidP="006807AE" w14:paraId="46DF2676" w14:textId="77777777">
      <w:pPr>
        <w:pStyle w:val="FootnoteText"/>
      </w:pPr>
      <w:r w:rsidRPr="00B60AD9">
        <w:rPr>
          <w:rStyle w:val="FootnoteReference"/>
        </w:rPr>
        <w:footnoteRef/>
      </w:r>
      <w:r w:rsidRPr="00B60AD9">
        <w:t xml:space="preserve"> </w:t>
      </w:r>
      <w:r w:rsidRPr="00B60AD9">
        <w:rPr>
          <w:i/>
          <w:iCs/>
        </w:rPr>
        <w:t>See, e.g.</w:t>
      </w:r>
      <w:r w:rsidRPr="00B60AD9">
        <w:t>, Lumen Comments at 12; CCA Reply at 2.</w:t>
      </w:r>
    </w:p>
  </w:footnote>
  <w:footnote w:id="140">
    <w:p w:rsidR="006807AE" w:rsidRPr="00B60AD9" w:rsidP="006807AE" w14:paraId="79D35967" w14:textId="77777777">
      <w:pPr>
        <w:pStyle w:val="FootnoteText"/>
      </w:pPr>
      <w:r w:rsidRPr="00B60AD9">
        <w:rPr>
          <w:rStyle w:val="FootnoteReference"/>
        </w:rPr>
        <w:footnoteRef/>
      </w:r>
      <w:r w:rsidRPr="00B60AD9">
        <w:t xml:space="preserve"> </w:t>
      </w:r>
      <w:r w:rsidRPr="00B60AD9">
        <w:rPr>
          <w:i/>
          <w:iCs/>
        </w:rPr>
        <w:t>See, e.g.</w:t>
      </w:r>
      <w:r w:rsidRPr="00B60AD9">
        <w:t>, AT&amp;T Comments at 6; Bandwidth Comments at 15-16; Lumen Comments at 3-12; Verizon Reply at 3-10.</w:t>
      </w:r>
    </w:p>
  </w:footnote>
  <w:footnote w:id="141">
    <w:p w:rsidR="006807AE" w:rsidRPr="00B60AD9" w:rsidP="006807AE" w14:paraId="3C19AAC5" w14:textId="77777777">
      <w:pPr>
        <w:pStyle w:val="FootnoteText"/>
      </w:pPr>
      <w:r w:rsidRPr="00B60AD9">
        <w:rPr>
          <w:rStyle w:val="FootnoteReference"/>
        </w:rPr>
        <w:footnoteRef/>
      </w:r>
      <w:r w:rsidRPr="00B60AD9">
        <w:t xml:space="preserve"> </w:t>
      </w:r>
      <w:r w:rsidRPr="00B60AD9">
        <w:rPr>
          <w:i/>
          <w:iCs/>
        </w:rPr>
        <w:t xml:space="preserve">See supra </w:t>
      </w:r>
      <w:r w:rsidRPr="00B60AD9">
        <w:t>para. 40.</w:t>
      </w:r>
    </w:p>
  </w:footnote>
  <w:footnote w:id="142">
    <w:p w:rsidR="006807AE" w:rsidRPr="00B60AD9" w:rsidP="006807AE" w14:paraId="3FB92634" w14:textId="77777777">
      <w:pPr>
        <w:pStyle w:val="FootnoteText"/>
      </w:pPr>
      <w:r w:rsidRPr="00B60AD9">
        <w:rPr>
          <w:rStyle w:val="FootnoteReference"/>
        </w:rPr>
        <w:footnoteRef/>
      </w:r>
      <w:r w:rsidRPr="00B60AD9">
        <w:t xml:space="preserve"> CCA Reply at 5-6.</w:t>
      </w:r>
    </w:p>
  </w:footnote>
  <w:footnote w:id="143">
    <w:p w:rsidR="006807AE" w:rsidRPr="00B60AD9" w:rsidP="006807AE" w14:paraId="3CFB5C2D" w14:textId="77777777">
      <w:pPr>
        <w:pStyle w:val="FootnoteText"/>
      </w:pPr>
      <w:r w:rsidRPr="00B60AD9">
        <w:rPr>
          <w:rStyle w:val="FootnoteReference"/>
        </w:rPr>
        <w:footnoteRef/>
      </w:r>
      <w:r w:rsidRPr="00B60AD9">
        <w:t xml:space="preserve"> Interconnected VoIP providers that have </w:t>
      </w:r>
      <w:r w:rsidRPr="00B60AD9">
        <w:t>one or more revenue-generating end-user customers must file FCC Form 477, a semiannual reporting obligation that, for interconnected VoIP providers, collects data regarding (1) the number of service subscriptions sold to their own end-user customers by cen</w:t>
      </w:r>
      <w:r w:rsidRPr="00B60AD9">
        <w:t>sus tract and, for each census tract, shall provide the number of subscriptions provided under consumer service plans; and (2) the service characteristics for its subscriptions in each state.  FCC, FCC Form 477 Local Telephone Competition and Broadband Rep</w:t>
      </w:r>
      <w:r w:rsidRPr="00B60AD9">
        <w:t xml:space="preserve">orting Instructions for Filings as of December 31, 2019 and Beyond at 20, 23-24 (May 21, 2020), </w:t>
      </w:r>
      <w:hyperlink r:id="rId20" w:history="1">
        <w:r w:rsidRPr="00B60AD9">
          <w:rPr>
            <w:rStyle w:val="Hyperlink"/>
          </w:rPr>
          <w:t>https://www.reginfo.gov/public/do/DownloadDocument?objectID=109891201</w:t>
        </w:r>
      </w:hyperlink>
      <w:r w:rsidRPr="00B60AD9">
        <w:t xml:space="preserve">; </w:t>
      </w:r>
      <w:r w:rsidRPr="00B60AD9">
        <w:rPr>
          <w:i/>
          <w:iCs/>
        </w:rPr>
        <w:t xml:space="preserve">see </w:t>
      </w:r>
      <w:r w:rsidRPr="00B60AD9">
        <w:t xml:space="preserve">47 CFR § 1.7001(b)(4).  The Commission also requires interconnected VoIP providers to report each year on the FCC Form 499-A the revenues they receive from offering service.  </w:t>
      </w:r>
      <w:r w:rsidRPr="00B60AD9">
        <w:rPr>
          <w:i/>
          <w:iCs/>
        </w:rPr>
        <w:t xml:space="preserve">See </w:t>
      </w:r>
      <w:r w:rsidRPr="00B60AD9">
        <w:t xml:space="preserve">47 CFR § 64.1195; </w:t>
      </w:r>
      <w:r w:rsidRPr="00B60AD9">
        <w:rPr>
          <w:i/>
          <w:iCs/>
        </w:rPr>
        <w:t>Wireline Competition Bureau Releases the 2021 Telecommunica</w:t>
      </w:r>
      <w:r w:rsidRPr="00B60AD9">
        <w:rPr>
          <w:i/>
          <w:iCs/>
        </w:rPr>
        <w:t>tions Reporting Worksheets and Accompanying Instructions</w:t>
      </w:r>
      <w:r w:rsidRPr="00B60AD9">
        <w:t xml:space="preserve">, WC Docket No. 06-122, Public Notice, 35 FCC Rcd 13671, 13671 nn.1, 2 (WCB 2020); </w:t>
      </w:r>
      <w:r w:rsidRPr="00B60AD9">
        <w:rPr>
          <w:i/>
          <w:iCs/>
        </w:rPr>
        <w:t xml:space="preserve">see also </w:t>
      </w:r>
      <w:r w:rsidRPr="00B60AD9">
        <w:t>47 CFR §§ 54.706(a)(18), 54.708, 54.711, 54.713.  FCC Form 499-A is an annual reporting obligation that perm</w:t>
      </w:r>
      <w:r w:rsidRPr="00B60AD9">
        <w:t xml:space="preserve">its the calculation of the filer’s universal service contribution obligation, among other financial obligations, based on its historical revenues from the prior year.  </w:t>
      </w:r>
      <w:r w:rsidRPr="00B60AD9">
        <w:rPr>
          <w:i/>
          <w:iCs/>
        </w:rPr>
        <w:t xml:space="preserve">See </w:t>
      </w:r>
      <w:r w:rsidRPr="00B60AD9">
        <w:t xml:space="preserve">Universal Serv. Admin. Co., </w:t>
      </w:r>
      <w:r w:rsidRPr="00B60AD9">
        <w:rPr>
          <w:i/>
          <w:iCs/>
        </w:rPr>
        <w:t>Forms to File</w:t>
      </w:r>
      <w:r w:rsidRPr="00B60AD9">
        <w:t xml:space="preserve">, </w:t>
      </w:r>
      <w:hyperlink r:id="rId21" w:history="1">
        <w:r w:rsidRPr="00B60AD9">
          <w:rPr>
            <w:rStyle w:val="Hyperlink"/>
          </w:rPr>
          <w:t>https://www.usac.org/service-providers/contributing-to-the-usf/forms-to-file</w:t>
        </w:r>
      </w:hyperlink>
      <w:r w:rsidRPr="00B60AD9">
        <w:t xml:space="preserve"> (last visited July 14, 2023).</w:t>
      </w:r>
    </w:p>
  </w:footnote>
  <w:footnote w:id="144">
    <w:p w:rsidR="006807AE" w:rsidRPr="00B60AD9" w:rsidP="006807AE" w14:paraId="120C0889" w14:textId="77777777">
      <w:pPr>
        <w:pStyle w:val="FootnoteText"/>
        <w:rPr>
          <w:i/>
        </w:rPr>
      </w:pPr>
      <w:r w:rsidRPr="00B60AD9">
        <w:rPr>
          <w:rStyle w:val="FootnoteReference"/>
        </w:rPr>
        <w:footnoteRef/>
      </w:r>
      <w:r w:rsidRPr="00B60AD9">
        <w:t xml:space="preserve"> </w:t>
      </w:r>
      <w:r w:rsidRPr="00B60AD9">
        <w:rPr>
          <w:i/>
          <w:iCs/>
          <w:snapToGrid w:val="0"/>
        </w:rPr>
        <w:t>VoIP Direct Access Further Notice</w:t>
      </w:r>
      <w:r w:rsidRPr="00B60AD9">
        <w:rPr>
          <w:snapToGrid w:val="0"/>
        </w:rPr>
        <w:t>, 36 FCC Rcd at 12916, para</w:t>
      </w:r>
      <w:r w:rsidRPr="00B60AD9">
        <w:rPr>
          <w:snapToGrid w:val="0"/>
        </w:rPr>
        <w:t xml:space="preserve">. 18.  </w:t>
      </w:r>
    </w:p>
  </w:footnote>
  <w:footnote w:id="145">
    <w:p w:rsidR="006807AE" w:rsidRPr="00B60AD9" w:rsidP="006807AE" w14:paraId="72B02F9B" w14:textId="77777777">
      <w:pPr>
        <w:pStyle w:val="FootnoteText"/>
      </w:pPr>
      <w:r w:rsidRPr="00B60AD9">
        <w:rPr>
          <w:rStyle w:val="FootnoteReference"/>
        </w:rPr>
        <w:footnoteRef/>
      </w:r>
      <w:r w:rsidRPr="00B60AD9">
        <w:t xml:space="preserve"> </w:t>
      </w:r>
      <w:r w:rsidRPr="00B60AD9">
        <w:rPr>
          <w:i/>
          <w:iCs/>
        </w:rPr>
        <w:t>VoIP Direct Access Order</w:t>
      </w:r>
      <w:r w:rsidRPr="00B60AD9">
        <w:t xml:space="preserve">, 30 FCC Rcd at 6858, para. 39 n.131.  As acknowledged in the </w:t>
      </w:r>
      <w:r w:rsidRPr="00B60AD9">
        <w:rPr>
          <w:i/>
          <w:iCs/>
        </w:rPr>
        <w:t>VoIP Direct Access Order</w:t>
      </w:r>
      <w:r w:rsidRPr="00B60AD9">
        <w:t>, a new interconnected VoIP provider  “may not have a Form 477 on file at the time that it seeks to obtain numbers” given that it may be</w:t>
      </w:r>
      <w:r w:rsidRPr="00B60AD9">
        <w:t xml:space="preserve"> seeking direct access to numbers as part of launching a new service.  </w:t>
      </w:r>
      <w:r w:rsidRPr="00B60AD9">
        <w:rPr>
          <w:i/>
          <w:iCs/>
        </w:rPr>
        <w:t>Id</w:t>
      </w:r>
      <w:r w:rsidRPr="00B60AD9">
        <w:t>. at 6851, para. 25.  For providers that do not have eligible subscribers at the time of filing their direct access applications, we expect but do not require such providers to submit</w:t>
      </w:r>
      <w:r w:rsidRPr="00B60AD9">
        <w:t xml:space="preserve"> evidence of their submissions when they become obligated to do so under our rules.</w:t>
      </w:r>
    </w:p>
  </w:footnote>
  <w:footnote w:id="146">
    <w:p w:rsidR="006807AE" w:rsidRPr="00B60AD9" w:rsidP="006807AE" w14:paraId="6C1F4438" w14:textId="77777777">
      <w:pPr>
        <w:pStyle w:val="FootnoteText"/>
      </w:pPr>
      <w:r w:rsidRPr="00B60AD9">
        <w:rPr>
          <w:rStyle w:val="FootnoteReference"/>
        </w:rPr>
        <w:footnoteRef/>
      </w:r>
      <w:r w:rsidRPr="00B60AD9">
        <w:t xml:space="preserve"> The FCC Form 477 filing system will no longer be used to collect new FCC Form 477 submissions, and will remain open only for filers to make corrections to existing FCC Form 477 filings for data as of June 30, 2022 and earlier.  </w:t>
      </w:r>
      <w:r w:rsidRPr="00B60AD9">
        <w:rPr>
          <w:i/>
          <w:iCs/>
        </w:rPr>
        <w:t>Establishing the Digital Op</w:t>
      </w:r>
      <w:r w:rsidRPr="00B60AD9">
        <w:rPr>
          <w:i/>
          <w:iCs/>
        </w:rPr>
        <w:t>portunity Data Collection</w:t>
      </w:r>
      <w:r w:rsidRPr="00B60AD9">
        <w:t xml:space="preserve">; </w:t>
      </w:r>
      <w:r w:rsidRPr="00B60AD9">
        <w:rPr>
          <w:i/>
          <w:iCs/>
        </w:rPr>
        <w:t>Modernizing the FCC Form 477 Data Program</w:t>
      </w:r>
      <w:r w:rsidRPr="00B60AD9">
        <w:t>, WC Docket Nos. 19-195 and 11-10, Order, FCC 22-93 at 6,</w:t>
      </w:r>
      <w:r w:rsidRPr="00B60AD9">
        <w:rPr>
          <w:i/>
          <w:iCs/>
        </w:rPr>
        <w:t xml:space="preserve"> </w:t>
      </w:r>
      <w:r w:rsidRPr="00B60AD9">
        <w:t xml:space="preserve">para. 13 (Dec. 9, 2022).  </w:t>
      </w:r>
    </w:p>
  </w:footnote>
  <w:footnote w:id="147">
    <w:p w:rsidR="006807AE" w:rsidRPr="00B60AD9" w:rsidP="006807AE" w14:paraId="0688FC60" w14:textId="77777777">
      <w:pPr>
        <w:pStyle w:val="FootnoteText"/>
      </w:pPr>
      <w:r w:rsidRPr="00B60AD9">
        <w:rPr>
          <w:rStyle w:val="FootnoteReference"/>
        </w:rPr>
        <w:footnoteRef/>
      </w:r>
      <w:r w:rsidRPr="00B60AD9">
        <w:t xml:space="preserve"> </w:t>
      </w:r>
      <w:r w:rsidRPr="00B60AD9">
        <w:rPr>
          <w:i/>
          <w:iCs/>
        </w:rPr>
        <w:t>Id.</w:t>
      </w:r>
      <w:r w:rsidRPr="00B60AD9">
        <w:t xml:space="preserve">  </w:t>
      </w:r>
    </w:p>
  </w:footnote>
  <w:footnote w:id="148">
    <w:p w:rsidR="006807AE" w:rsidRPr="00B60AD9" w:rsidP="006807AE" w14:paraId="2E9F9A79"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6850, para. 24; 47 CFR § 52.15(g)(3)(i)(B).</w:t>
      </w:r>
    </w:p>
  </w:footnote>
  <w:footnote w:id="149">
    <w:p w:rsidR="006807AE" w:rsidRPr="00B60AD9" w:rsidP="006807AE" w14:paraId="3BF5EFAB" w14:textId="77777777">
      <w:pPr>
        <w:pStyle w:val="FootnoteText"/>
      </w:pPr>
      <w:r w:rsidRPr="00B60AD9">
        <w:rPr>
          <w:rStyle w:val="FootnoteReference"/>
        </w:rPr>
        <w:footnoteRef/>
      </w:r>
      <w:r w:rsidRPr="00B60AD9">
        <w:t xml:space="preserve"> </w:t>
      </w:r>
      <w:r w:rsidRPr="00B60AD9">
        <w:rPr>
          <w:i/>
          <w:iCs/>
        </w:rPr>
        <w:t>VoIP Di</w:t>
      </w:r>
      <w:r w:rsidRPr="00B60AD9">
        <w:rPr>
          <w:i/>
          <w:iCs/>
        </w:rPr>
        <w:t>rect Access Further Notice</w:t>
      </w:r>
      <w:r w:rsidRPr="00B60AD9">
        <w:t>, 36 FCC Rcd at 12922-23, para. 33.</w:t>
      </w:r>
    </w:p>
  </w:footnote>
  <w:footnote w:id="150">
    <w:p w:rsidR="006807AE" w:rsidRPr="00B60AD9" w:rsidP="006807AE" w14:paraId="64F8598C" w14:textId="77777777">
      <w:pPr>
        <w:pStyle w:val="FootnoteText"/>
      </w:pPr>
      <w:r w:rsidRPr="00B60AD9">
        <w:rPr>
          <w:rStyle w:val="FootnoteReference"/>
        </w:rPr>
        <w:footnoteRef/>
      </w:r>
      <w:r w:rsidRPr="00B60AD9">
        <w:t xml:space="preserve"> </w:t>
      </w:r>
      <w:r w:rsidRPr="00B60AD9">
        <w:rPr>
          <w:i/>
          <w:iCs/>
        </w:rPr>
        <w:t>See</w:t>
      </w:r>
      <w:r w:rsidRPr="00B60AD9">
        <w:t xml:space="preserve"> Appx. A, § 52.15(g)(3)(ii)(B); </w:t>
      </w:r>
      <w:r w:rsidRPr="00B60AD9">
        <w:rPr>
          <w:i/>
          <w:iCs/>
        </w:rPr>
        <w:t>VoIP Direct Access Further Notice</w:t>
      </w:r>
      <w:r w:rsidRPr="00B60AD9">
        <w:t>, 36 FCC Rcd at 12922-23, para. 33.</w:t>
      </w:r>
    </w:p>
  </w:footnote>
  <w:footnote w:id="151">
    <w:p w:rsidR="006807AE" w:rsidRPr="00B60AD9" w:rsidP="006807AE" w14:paraId="26903550"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6852, para. 28.</w:t>
      </w:r>
    </w:p>
  </w:footnote>
  <w:footnote w:id="152">
    <w:p w:rsidR="006807AE" w:rsidRPr="00B60AD9" w:rsidP="006807AE" w14:paraId="055A15A8" w14:textId="77777777">
      <w:pPr>
        <w:pStyle w:val="FootnoteText"/>
      </w:pPr>
      <w:r w:rsidRPr="00B60AD9">
        <w:rPr>
          <w:rStyle w:val="FootnoteReference"/>
        </w:rPr>
        <w:footnoteRef/>
      </w:r>
      <w:r w:rsidRPr="00B60AD9">
        <w:t xml:space="preserve"> Mich. PSC Comments at 2; W. </w:t>
      </w:r>
      <w:r w:rsidRPr="00B60AD9">
        <w:t>Va. Pub. Serv. Comm’n Reply at 3 (W. Va. Reply).</w:t>
      </w:r>
    </w:p>
  </w:footnote>
  <w:footnote w:id="153">
    <w:p w:rsidR="006807AE" w:rsidRPr="00B60AD9" w:rsidP="006807AE" w14:paraId="6BFD8E78" w14:textId="77777777">
      <w:pPr>
        <w:pStyle w:val="FootnoteText"/>
      </w:pPr>
      <w:r w:rsidRPr="00B60AD9">
        <w:rPr>
          <w:rStyle w:val="FootnoteReference"/>
        </w:rPr>
        <w:footnoteRef/>
      </w:r>
      <w:r w:rsidRPr="00B60AD9">
        <w:t xml:space="preserve">  </w:t>
      </w:r>
      <w:r w:rsidRPr="00B60AD9">
        <w:rPr>
          <w:i/>
          <w:iCs/>
        </w:rPr>
        <w:t>VoIP Direct Access Further Notice</w:t>
      </w:r>
      <w:r w:rsidRPr="00B60AD9">
        <w:t>,</w:t>
      </w:r>
      <w:r w:rsidRPr="00B60AD9">
        <w:rPr>
          <w:i/>
          <w:iCs/>
        </w:rPr>
        <w:t xml:space="preserve"> </w:t>
      </w:r>
      <w:r w:rsidRPr="00B60AD9">
        <w:t>36 FCC Rcd at 12923-24, para. 33</w:t>
      </w:r>
      <w:r w:rsidRPr="00B60AD9">
        <w:rPr>
          <w:i/>
        </w:rPr>
        <w:t xml:space="preserve"> </w:t>
      </w:r>
      <w:r w:rsidRPr="00B60AD9">
        <w:t xml:space="preserve">(citing </w:t>
      </w:r>
      <w:r w:rsidRPr="00B60AD9">
        <w:rPr>
          <w:i/>
          <w:iCs/>
        </w:rPr>
        <w:t>VoIP Direct Access Order</w:t>
      </w:r>
      <w:r w:rsidRPr="00B60AD9">
        <w:t>, 30 FCC Rcd at 6850, para. 24) (“[R]equiring</w:t>
      </w:r>
      <w:r w:rsidRPr="00B60AD9">
        <w:t xml:space="preserve"> interconnected VoIP providers that obtain numbering resources directly from the Numbering Administrator to comply with the same numbering requirements as carriers will help “ensure competitive neutrality among providers of voice services.”); La. Pub. Serv</w:t>
      </w:r>
      <w:r w:rsidRPr="00B60AD9">
        <w:t xml:space="preserve"> Comm’s Comments at 4 (La. PSC) (“[G]ranting fixed, interconnected VoIP providers access to numbering resources without compliance with state requirements places such providers in a more favorable position than that occupied by traditional carriers, which </w:t>
      </w:r>
      <w:r w:rsidRPr="00B60AD9">
        <w:t>still must comply with minimum state standards.  Such an unequal result would be contrary to the policy of achieving numbering access parity.”); Nat’l Ass’n of Reg. Util. Comm’rs Reply at 4 (NARUC Reply) (“If a carrier is going to profit from access to num</w:t>
      </w:r>
      <w:r w:rsidRPr="00B60AD9">
        <w:t>bering resources assigned to a state, it should carry the same responsibilities as others using those scarce resources.”).</w:t>
      </w:r>
    </w:p>
  </w:footnote>
  <w:footnote w:id="154">
    <w:p w:rsidR="006807AE" w:rsidRPr="00B60AD9" w:rsidP="006807AE" w14:paraId="794F7386" w14:textId="77777777">
      <w:pPr>
        <w:pStyle w:val="FootnoteText"/>
      </w:pPr>
      <w:r w:rsidRPr="00B60AD9">
        <w:rPr>
          <w:rStyle w:val="FootnoteReference"/>
        </w:rPr>
        <w:footnoteRef/>
      </w:r>
      <w:r w:rsidRPr="00B60AD9">
        <w:t xml:space="preserve"> </w:t>
      </w:r>
      <w:r w:rsidRPr="00B60AD9">
        <w:rPr>
          <w:i/>
          <w:iCs/>
        </w:rPr>
        <w:t xml:space="preserve">See </w:t>
      </w:r>
      <w:r w:rsidRPr="00B60AD9">
        <w:t>Mich. PSC Comments at 3 (noting significant increases in demand for numbering resources in areas with very low populations sinc</w:t>
      </w:r>
      <w:r w:rsidRPr="00B60AD9">
        <w:t>e interconnected VoIP providers were allowed direct access to numbering resources); Neb. PUC Comments at 2-3; Pa. PUC Comments at 3-4; W. Va. PSC Reply at 2-3.</w:t>
      </w:r>
    </w:p>
  </w:footnote>
  <w:footnote w:id="155">
    <w:p w:rsidR="006807AE" w:rsidRPr="00B60AD9" w:rsidP="006807AE" w14:paraId="780FC51A" w14:textId="77777777">
      <w:pPr>
        <w:pStyle w:val="FootnoteText"/>
      </w:pPr>
      <w:r w:rsidRPr="00B60AD9">
        <w:rPr>
          <w:rStyle w:val="FootnoteReference"/>
        </w:rPr>
        <w:footnoteRef/>
      </w:r>
      <w:r w:rsidRPr="00B60AD9">
        <w:t xml:space="preserve"> For example, state commissions assert that requiring interconnected VoIP direct access authori</w:t>
      </w:r>
      <w:r w:rsidRPr="00B60AD9">
        <w:t xml:space="preserve">zation holders to comply with state law through their registration requirements will ensure that state authorities have the information needed to identify providers involved in unlawful robocalling.  </w:t>
      </w:r>
      <w:r w:rsidRPr="00B60AD9">
        <w:rPr>
          <w:i/>
          <w:iCs/>
        </w:rPr>
        <w:t>See, e.g</w:t>
      </w:r>
      <w:r w:rsidRPr="00B60AD9">
        <w:t>., La. PSC Comments at 3-5; Mo. Pub. Serv. Comm’</w:t>
      </w:r>
      <w:r w:rsidRPr="00B60AD9">
        <w:t xml:space="preserve">n Comments at 3-4 (Mo. PSC); Me. PUC Reply at 4.  The state attorneys general and public utility commissions play essential roles in the nation’s battle against illegal robocalls.  </w:t>
      </w:r>
      <w:r w:rsidRPr="00B60AD9">
        <w:rPr>
          <w:i/>
          <w:iCs/>
        </w:rPr>
        <w:t>See,</w:t>
      </w:r>
      <w:r w:rsidRPr="00B60AD9">
        <w:t xml:space="preserve"> </w:t>
      </w:r>
      <w:r w:rsidRPr="00B60AD9">
        <w:rPr>
          <w:i/>
          <w:iCs/>
        </w:rPr>
        <w:t>e.g.</w:t>
      </w:r>
      <w:r w:rsidRPr="00B60AD9">
        <w:t>, Press Release, FCC, FCC Launches Formal Robocall Investigation P</w:t>
      </w:r>
      <w:r w:rsidRPr="00B60AD9">
        <w:t xml:space="preserve">artnerships with More State Attorneys General (Mar. 28, 2022), </w:t>
      </w:r>
      <w:hyperlink r:id="rId22" w:history="1">
        <w:r w:rsidRPr="00B60AD9">
          <w:rPr>
            <w:rStyle w:val="Hyperlink"/>
          </w:rPr>
          <w:t>https://docs.fcc.gov/public/attachments/DOC-381790A1.pdf</w:t>
        </w:r>
      </w:hyperlink>
      <w:r w:rsidRPr="00B60AD9">
        <w:t>; Press Release, FCC, Chairwoma</w:t>
      </w:r>
      <w:r w:rsidRPr="00B60AD9">
        <w:t xml:space="preserve">n Rosenworcel Announces Latest Additions to State-Federal Partnerships to Combat Robocalls (Feb. 17, 2022), </w:t>
      </w:r>
      <w:hyperlink r:id="rId23" w:history="1">
        <w:r w:rsidRPr="00B60AD9">
          <w:rPr>
            <w:rStyle w:val="Hyperlink"/>
          </w:rPr>
          <w:t>https://docs.fcc.gov/public/attachments/DOC-380426A1.pdf</w:t>
        </w:r>
      </w:hyperlink>
      <w:r w:rsidRPr="00B60AD9">
        <w:t xml:space="preserve">; Press Release, FCC, Chairman Pai Statement on State Attorneys General and Voice Service Providers’ Anti-Robocall Principles (Aug. 22, 2019), </w:t>
      </w:r>
      <w:hyperlink r:id="rId24" w:history="1">
        <w:r w:rsidRPr="00B60AD9">
          <w:rPr>
            <w:rStyle w:val="Hyperlink"/>
          </w:rPr>
          <w:t>https://docs.fcc.gov/public</w:t>
        </w:r>
        <w:r w:rsidRPr="00B60AD9">
          <w:rPr>
            <w:rStyle w:val="Hyperlink"/>
          </w:rPr>
          <w:t>/attachments/DOC-359227A1.pdf</w:t>
        </w:r>
      </w:hyperlink>
      <w:r w:rsidRPr="00B60AD9">
        <w:t>.</w:t>
      </w:r>
    </w:p>
  </w:footnote>
  <w:footnote w:id="156">
    <w:p w:rsidR="006807AE" w:rsidRPr="00B60AD9" w:rsidP="006807AE" w14:paraId="1009662B" w14:textId="77777777">
      <w:pPr>
        <w:pStyle w:val="FootnoteText"/>
      </w:pPr>
      <w:r w:rsidRPr="00B60AD9">
        <w:rPr>
          <w:rStyle w:val="FootnoteReference"/>
        </w:rPr>
        <w:footnoteRef/>
      </w:r>
      <w:r w:rsidRPr="00B60AD9">
        <w:t xml:space="preserve"> Bandwidth Comments at 17-18; Cal. Pub. Util. Comm’n </w:t>
      </w:r>
      <w:r w:rsidRPr="00B60AD9">
        <w:rPr>
          <w:snapToGrid w:val="0"/>
        </w:rPr>
        <w:t>Comments at 1-3 (Cal. PUC)</w:t>
      </w:r>
      <w:r w:rsidRPr="00B60AD9">
        <w:t xml:space="preserve">; La. PSC </w:t>
      </w:r>
      <w:r w:rsidRPr="00B60AD9">
        <w:rPr>
          <w:snapToGrid w:val="0"/>
        </w:rPr>
        <w:t>Comments at 1-7;</w:t>
      </w:r>
      <w:r w:rsidRPr="00B60AD9">
        <w:t xml:space="preserve"> Mich. PUC </w:t>
      </w:r>
      <w:r w:rsidRPr="00B60AD9">
        <w:rPr>
          <w:snapToGrid w:val="0"/>
        </w:rPr>
        <w:t>Comments at 1-3;</w:t>
      </w:r>
      <w:r w:rsidRPr="00B60AD9">
        <w:t xml:space="preserve"> Mo. PSC </w:t>
      </w:r>
      <w:r w:rsidRPr="00B60AD9">
        <w:rPr>
          <w:snapToGrid w:val="0"/>
        </w:rPr>
        <w:t>Comments at 1-4</w:t>
      </w:r>
      <w:r w:rsidRPr="00B60AD9">
        <w:t xml:space="preserve">; Neb. PSC </w:t>
      </w:r>
      <w:r w:rsidRPr="00B60AD9">
        <w:rPr>
          <w:snapToGrid w:val="0"/>
        </w:rPr>
        <w:t>Comments at 2-4;</w:t>
      </w:r>
      <w:r w:rsidRPr="00B60AD9">
        <w:t xml:space="preserve"> Pa. </w:t>
      </w:r>
      <w:r w:rsidRPr="00B60AD9">
        <w:t xml:space="preserve">PUC </w:t>
      </w:r>
      <w:r w:rsidRPr="00B60AD9">
        <w:rPr>
          <w:snapToGrid w:val="0"/>
        </w:rPr>
        <w:t>Comments at 5; Me. PUC Reply at 1-5; NAAG Reply at 6; NARUC Reply at 1-5;</w:t>
      </w:r>
      <w:r w:rsidRPr="00B60AD9">
        <w:t xml:space="preserve"> W. Va. PSC Reply </w:t>
      </w:r>
      <w:r w:rsidRPr="00B60AD9">
        <w:rPr>
          <w:snapToGrid w:val="0"/>
        </w:rPr>
        <w:t>at 1-6.</w:t>
      </w:r>
      <w:r w:rsidRPr="00B60AD9">
        <w:t xml:space="preserve">   </w:t>
      </w:r>
    </w:p>
  </w:footnote>
  <w:footnote w:id="157">
    <w:p w:rsidR="006807AE" w:rsidRPr="00B60AD9" w:rsidP="006807AE" w14:paraId="53A12C81" w14:textId="77777777">
      <w:pPr>
        <w:pStyle w:val="FootnoteText"/>
      </w:pPr>
      <w:r w:rsidRPr="00B60AD9">
        <w:rPr>
          <w:rStyle w:val="FootnoteReference"/>
        </w:rPr>
        <w:footnoteRef/>
      </w:r>
      <w:r w:rsidRPr="00B60AD9">
        <w:t xml:space="preserve"> Me. PSC Reply at 4-5.</w:t>
      </w:r>
    </w:p>
  </w:footnote>
  <w:footnote w:id="158">
    <w:p w:rsidR="006807AE" w:rsidRPr="00B60AD9" w:rsidP="006807AE" w14:paraId="69352322" w14:textId="77777777">
      <w:pPr>
        <w:pStyle w:val="FootnoteText"/>
      </w:pPr>
      <w:r w:rsidRPr="00B60AD9">
        <w:rPr>
          <w:rStyle w:val="FootnoteReference"/>
        </w:rPr>
        <w:footnoteRef/>
      </w:r>
      <w:r w:rsidRPr="00B60AD9">
        <w:t xml:space="preserve"> </w:t>
      </w:r>
      <w:r w:rsidRPr="00B60AD9">
        <w:rPr>
          <w:i/>
          <w:iCs/>
        </w:rPr>
        <w:t>Id</w:t>
      </w:r>
      <w:r w:rsidRPr="00B60AD9">
        <w:t>. at 4.  Maine also recently passed a statute that requires interconnected VoIP providers to contribute to a state univers</w:t>
      </w:r>
      <w:r w:rsidRPr="00B60AD9">
        <w:t xml:space="preserve">al service fund if they use numbers obtained from Maine to provide service.  </w:t>
      </w:r>
      <w:r w:rsidRPr="00B60AD9">
        <w:rPr>
          <w:i/>
          <w:iCs/>
        </w:rPr>
        <w:t xml:space="preserve">See </w:t>
      </w:r>
      <w:r w:rsidRPr="00B60AD9">
        <w:t>2023 Me. Legis. Serv. Ch. 144 (H.P. 247) (L.D. 396) (West) (“An Act to Preserve the 207 Area Code and Impede So-called Robocalling”).  We take no position here on whether spec</w:t>
      </w:r>
      <w:r w:rsidRPr="00B60AD9">
        <w:t>ific state-law requirements raised in state commission comments apply to interconnected VoIP providers with direct access authorizations, but rather note them to show the kinds of concerns raised by the state commissions.  The state commission commenters a</w:t>
      </w:r>
      <w:r w:rsidRPr="00B60AD9">
        <w:t xml:space="preserve">ddress state requirements such as duties to:  (1) register with other state authorities, such as the secretary of state or a tax authority, as an entity doing business in the state, </w:t>
      </w:r>
      <w:r w:rsidRPr="00B60AD9">
        <w:rPr>
          <w:i/>
          <w:iCs/>
        </w:rPr>
        <w:t xml:space="preserve">see </w:t>
      </w:r>
      <w:r w:rsidRPr="00B60AD9">
        <w:t>Mich. PSC Comments at 2 &amp; n.2; Neb. PSC Comments at 3; W. Va. PSC Repl</w:t>
      </w:r>
      <w:r w:rsidRPr="00B60AD9">
        <w:t xml:space="preserve">y at 3 &amp; n.1; (2) register with or providing contact information to the state public utilities commission, </w:t>
      </w:r>
      <w:r w:rsidRPr="00B60AD9">
        <w:rPr>
          <w:i/>
          <w:iCs/>
        </w:rPr>
        <w:t xml:space="preserve">see </w:t>
      </w:r>
      <w:r w:rsidRPr="00B60AD9">
        <w:t xml:space="preserve">Mich. PSC Comments at 2 &amp; n.2; La. PSC Comments at 3; W. Va. PSC Reply at 3 &amp; n.1; (3) contribute to state universal service funds, 911 funds, or other funds, </w:t>
      </w:r>
      <w:r w:rsidRPr="00B60AD9">
        <w:rPr>
          <w:i/>
          <w:iCs/>
        </w:rPr>
        <w:t xml:space="preserve">see </w:t>
      </w:r>
      <w:r w:rsidRPr="00B60AD9">
        <w:t>La. PSC Comments at 3; Neb. PSC Comments at 3; Me. PUC Reply at 4; W. Va. PSC Reply at 3 &amp; n.</w:t>
      </w:r>
      <w:r w:rsidRPr="00B60AD9">
        <w:t xml:space="preserve">1; (4) file annual reports of various kinds with the state public utility commission, </w:t>
      </w:r>
      <w:r w:rsidRPr="00B60AD9">
        <w:rPr>
          <w:i/>
          <w:iCs/>
        </w:rPr>
        <w:t xml:space="preserve">see </w:t>
      </w:r>
      <w:r w:rsidRPr="00B60AD9">
        <w:t>La. PSC Comments at 3; Terra Nova Telecom Reply at 2-3 (Terra Nova Reply); W. Va. PSC Reply at 3 &amp; n.1; and (5) provide financial data and documentation of the compan</w:t>
      </w:r>
      <w:r w:rsidRPr="00B60AD9">
        <w:t xml:space="preserve">y’s ability and plans to provide service in the state, </w:t>
      </w:r>
      <w:r w:rsidRPr="00B60AD9">
        <w:rPr>
          <w:i/>
          <w:iCs/>
        </w:rPr>
        <w:t xml:space="preserve">see </w:t>
      </w:r>
      <w:r w:rsidRPr="00B60AD9">
        <w:t xml:space="preserve">La. PSC Comments at 3; Terra Nova Reply at 2-3). </w:t>
      </w:r>
    </w:p>
  </w:footnote>
  <w:footnote w:id="159">
    <w:p w:rsidR="006807AE" w:rsidRPr="00B60AD9" w:rsidP="006807AE" w14:paraId="3691BA20" w14:textId="77777777">
      <w:pPr>
        <w:pStyle w:val="FootnoteText"/>
      </w:pPr>
      <w:r w:rsidRPr="00B60AD9">
        <w:rPr>
          <w:rStyle w:val="FootnoteReference"/>
        </w:rPr>
        <w:footnoteRef/>
      </w:r>
      <w:r w:rsidRPr="00B60AD9">
        <w:t xml:space="preserve"> Mich. PSC Comments at 2 (noting a state requirement for all service providers in the state to register with the State of Michigan Department of L</w:t>
      </w:r>
      <w:r w:rsidRPr="00B60AD9">
        <w:t>icensing &amp; Regulatory Affairs Corporation Division to do business in the state, and with the Michigan PSC’s Intrastate Telecommunications Service Provider Database, but that the PSC has received pushback from interconnected VoIP providers asserting that fe</w:t>
      </w:r>
      <w:r w:rsidRPr="00B60AD9">
        <w:t xml:space="preserve">deral authorization is all that is required to obtain numbering resources in the state); W. Va. PSC Reply at 3-4 (although entities doing business in West Virginia need to register with the Secretary of State and the West Virginia Tax Department, and VoIP </w:t>
      </w:r>
      <w:r w:rsidRPr="00B60AD9">
        <w:t xml:space="preserve">providers must register with the PSC, file annual reports, and comply with E911 requirements, some VoIP providers have resisted the registration requirements by asserting they only need to comply with federal registration requirements). </w:t>
      </w:r>
    </w:p>
  </w:footnote>
  <w:footnote w:id="160">
    <w:p w:rsidR="006807AE" w:rsidRPr="00B60AD9" w:rsidP="006807AE" w14:paraId="0F9E3140" w14:textId="77777777">
      <w:pPr>
        <w:pStyle w:val="FootnoteText"/>
      </w:pPr>
      <w:r w:rsidRPr="00B60AD9">
        <w:rPr>
          <w:rStyle w:val="FootnoteReference"/>
        </w:rPr>
        <w:footnoteRef/>
      </w:r>
      <w:r w:rsidRPr="00B60AD9">
        <w:t xml:space="preserve"> RingCentral et a</w:t>
      </w:r>
      <w:r w:rsidRPr="00B60AD9">
        <w:t xml:space="preserve">l. Comments at 13 (citing </w:t>
      </w:r>
      <w:r w:rsidRPr="00B60AD9">
        <w:rPr>
          <w:i/>
          <w:iCs/>
        </w:rPr>
        <w:t>Vonage Holdings Corporation Petition for Declaratory Ruling Concerning an Order of the Minnesota Public Utilities Commission</w:t>
      </w:r>
      <w:r w:rsidRPr="00B60AD9">
        <w:t>, WC Docket No. 03-211, Memorandum Opinion and Order, 19 FCC Rcd 22404 (2004) (</w:t>
      </w:r>
      <w:r w:rsidRPr="00B60AD9">
        <w:rPr>
          <w:i/>
          <w:iCs/>
        </w:rPr>
        <w:t>Vonage Order</w:t>
      </w:r>
      <w:r w:rsidRPr="00B60AD9">
        <w:t xml:space="preserve">), </w:t>
      </w:r>
      <w:r w:rsidRPr="00B60AD9">
        <w:rPr>
          <w:i/>
          <w:iCs/>
        </w:rPr>
        <w:t>aff’d</w:t>
      </w:r>
      <w:r w:rsidRPr="00B60AD9">
        <w:t xml:space="preserve"> </w:t>
      </w:r>
      <w:r w:rsidRPr="00B60AD9">
        <w:rPr>
          <w:i/>
          <w:iCs/>
        </w:rPr>
        <w:t>sub no</w:t>
      </w:r>
      <w:r w:rsidRPr="00B60AD9">
        <w:rPr>
          <w:i/>
          <w:iCs/>
        </w:rPr>
        <w:t>m. Minn. Pub. Utils. Comm’n v. FCC</w:t>
      </w:r>
      <w:r w:rsidRPr="00B60AD9">
        <w:t>, 483 F.3d 570 (8th Cir. 2007)); VON Comments at 5; CCA Reply at 3; RingCentral et al. Reply at 12-15; Terra Nova Reply at 5.</w:t>
      </w:r>
    </w:p>
  </w:footnote>
  <w:footnote w:id="161">
    <w:p w:rsidR="006807AE" w:rsidRPr="00B60AD9" w:rsidP="006807AE" w14:paraId="42D40CA3" w14:textId="77777777">
      <w:pPr>
        <w:pStyle w:val="FootnoteText"/>
      </w:pPr>
      <w:r w:rsidRPr="00B60AD9">
        <w:rPr>
          <w:rStyle w:val="FootnoteReference"/>
        </w:rPr>
        <w:footnoteRef/>
      </w:r>
      <w:r w:rsidRPr="00B60AD9">
        <w:t xml:space="preserve"> </w:t>
      </w:r>
      <w:r w:rsidRPr="00B60AD9">
        <w:rPr>
          <w:i/>
          <w:iCs/>
        </w:rPr>
        <w:t>Vonage Order</w:t>
      </w:r>
      <w:r w:rsidRPr="00B60AD9">
        <w:t>, 19 FCC Rcd at 22404, para. 1.</w:t>
      </w:r>
    </w:p>
  </w:footnote>
  <w:footnote w:id="162">
    <w:p w:rsidR="006807AE" w:rsidRPr="00B60AD9" w:rsidP="006807AE" w14:paraId="5BF59F62" w14:textId="77777777">
      <w:pPr>
        <w:pStyle w:val="FootnoteText"/>
      </w:pPr>
      <w:r w:rsidRPr="00B60AD9">
        <w:rPr>
          <w:rStyle w:val="FootnoteReference"/>
        </w:rPr>
        <w:footnoteRef/>
      </w:r>
      <w:r w:rsidRPr="00B60AD9">
        <w:t xml:space="preserve"> </w:t>
      </w:r>
      <w:r w:rsidRPr="00B60AD9">
        <w:rPr>
          <w:i/>
          <w:iCs/>
        </w:rPr>
        <w:t>Id</w:t>
      </w:r>
      <w:r w:rsidRPr="00B60AD9">
        <w:t>.</w:t>
      </w:r>
    </w:p>
  </w:footnote>
  <w:footnote w:id="163">
    <w:p w:rsidR="006807AE" w:rsidRPr="00B60AD9" w:rsidP="006807AE" w14:paraId="78F04817" w14:textId="77777777">
      <w:pPr>
        <w:pStyle w:val="FootnoteText"/>
      </w:pPr>
      <w:r w:rsidRPr="00B60AD9">
        <w:rPr>
          <w:rStyle w:val="FootnoteReference"/>
        </w:rPr>
        <w:footnoteRef/>
      </w:r>
      <w:r w:rsidRPr="00B60AD9">
        <w:t xml:space="preserve"> </w:t>
      </w:r>
      <w:r w:rsidRPr="00B60AD9">
        <w:rPr>
          <w:i/>
          <w:iCs/>
        </w:rPr>
        <w:t>Universal Service Contribution Methodology</w:t>
      </w:r>
      <w:r w:rsidRPr="00B60AD9">
        <w:rPr>
          <w:i/>
          <w:iCs/>
        </w:rPr>
        <w:t xml:space="preserve"> Petition of Nebraska Public Service Commission and Kansas Corporation Commission for Declaratory Ruling or, in the Alternative, Adoption of Rule Declaring that State Universal Service Funds May Assess Nomadic VoIP Intrastate Revenues</w:t>
      </w:r>
      <w:r w:rsidRPr="00B60AD9">
        <w:t>, WC Docket No. 06-122</w:t>
      </w:r>
      <w:r w:rsidRPr="00B60AD9">
        <w:t xml:space="preserve">, Declaratory Ruling, 25 FCC Rcd 15651, 15651, 15658, paras. 1, 16 (2010); 47 U.S.C. § 615a-1.  </w:t>
      </w:r>
      <w:r>
        <w:t>VON and Microsoft raised concerns that our revised rule could mistakenly be interpreted by state commissions as expanding the permissible scope of state regulat</w:t>
      </w:r>
      <w:r>
        <w:t xml:space="preserve">ion of interconnected VoIP services.  VON </w:t>
      </w:r>
      <w:r>
        <w:rPr>
          <w:i/>
          <w:iCs/>
        </w:rPr>
        <w:t>Ex Parte</w:t>
      </w:r>
      <w:r>
        <w:rPr>
          <w:i/>
        </w:rPr>
        <w:t xml:space="preserve"> </w:t>
      </w:r>
      <w:r>
        <w:t xml:space="preserve">at 2; </w:t>
      </w:r>
      <w:r>
        <w:rPr>
          <w:i/>
          <w:iCs/>
        </w:rPr>
        <w:t xml:space="preserve">see also </w:t>
      </w:r>
      <w:r>
        <w:t xml:space="preserve">USTelecom </w:t>
      </w:r>
      <w:r>
        <w:rPr>
          <w:i/>
          <w:iCs/>
        </w:rPr>
        <w:t>Ex Parte</w:t>
      </w:r>
      <w:r>
        <w:t xml:space="preserve">.  To avoid any doubt, we clarify </w:t>
      </w:r>
      <w:r w:rsidRPr="00B60AD9">
        <w:t xml:space="preserve">that, as stated in the </w:t>
      </w:r>
      <w:r w:rsidRPr="00B60AD9">
        <w:rPr>
          <w:i/>
          <w:iCs/>
        </w:rPr>
        <w:t>VoIP Direct Access Further Notice</w:t>
      </w:r>
      <w:r w:rsidRPr="00B60AD9">
        <w:t xml:space="preserve">, by adopting this revised rule we do not address the statutory classification of </w:t>
      </w:r>
      <w:r w:rsidRPr="00B60AD9">
        <w:t>interconnected VoIP services as telecommunications or non-telecommunications services, nor do we address</w:t>
      </w:r>
      <w:r>
        <w:t>, expand or alter, the scope of</w:t>
      </w:r>
      <w:r w:rsidRPr="00B60AD9">
        <w:t xml:space="preserve"> states’ authority to regulate interconnected VoIP service</w:t>
      </w:r>
      <w:r>
        <w:t xml:space="preserve">, as reflected in the </w:t>
      </w:r>
      <w:r>
        <w:rPr>
          <w:i/>
          <w:iCs/>
        </w:rPr>
        <w:t xml:space="preserve">Vonage Order </w:t>
      </w:r>
      <w:r>
        <w:t>and established Commission p</w:t>
      </w:r>
      <w:r>
        <w:t>olicy</w:t>
      </w:r>
      <w:r w:rsidRPr="00B60AD9">
        <w:t xml:space="preserve">.  </w:t>
      </w:r>
      <w:r w:rsidRPr="00B60AD9">
        <w:rPr>
          <w:i/>
          <w:iCs/>
        </w:rPr>
        <w:t>VoIP Direct Access Further Notice</w:t>
      </w:r>
      <w:r w:rsidRPr="00B60AD9">
        <w:t>, 36 FCC Rcd at 12923, n.97.  In a separate preemption argument in this record, Terra Nova Telecom claims interconnected VoIP services compete with the Commercial Mobile Radio Service (CMRS) and that Congress has pr</w:t>
      </w:r>
      <w:r w:rsidRPr="00B60AD9">
        <w:t>eempted state market entry or rate regulation of CMRS under section 332(c)(3) of the Communications Act of 1934, as amended (the Act).  Terra Nova submits, therefore, that the Commission should not allow states to impose requirements on interconnected VoIP</w:t>
      </w:r>
      <w:r w:rsidRPr="00B60AD9">
        <w:t xml:space="preserve"> services that they could not impose on CMRS, such as the kinds of requirements the Louisiana PSC seeks to impose on Terra Nova before issuing it telephone numbers.  Terra Nova Reply at 4-5.  But Terra Nova points to no authority stating that the scope of </w:t>
      </w:r>
      <w:r w:rsidRPr="00B60AD9">
        <w:t>preemption is identical for interconnected VoIP services and CMRS, and section 332(c)(3) is specific to CMRS.  Terra Nova also takes issue with several requirements it alleges the Louisiana PSC seeks to impose on it as a prerequisite to giving numbers to T</w:t>
      </w:r>
      <w:r w:rsidRPr="00B60AD9">
        <w:t xml:space="preserve">erra Nova (which already was granted direct access authority by this Commission).  Terra Nova contends that several of these requirements amount to market-entry or public utility-style regulation of the kind preempted by the </w:t>
      </w:r>
      <w:r w:rsidRPr="00B60AD9">
        <w:rPr>
          <w:i/>
          <w:iCs/>
        </w:rPr>
        <w:t>Vonage Order</w:t>
      </w:r>
      <w:r w:rsidRPr="00B60AD9">
        <w:t>.  Terra Nova Reply</w:t>
      </w:r>
      <w:r w:rsidRPr="00B60AD9">
        <w:t xml:space="preserve"> at 5-6.  We lack adequate information to resolve this specific dispute in the context of this general rulemaking.</w:t>
      </w:r>
    </w:p>
  </w:footnote>
  <w:footnote w:id="164">
    <w:p w:rsidR="006807AE" w:rsidRPr="00B60AD9" w:rsidP="006807AE" w14:paraId="350AA439" w14:textId="77777777">
      <w:pPr>
        <w:pStyle w:val="FootnoteText"/>
      </w:pPr>
      <w:r w:rsidRPr="00B60AD9">
        <w:rPr>
          <w:rStyle w:val="FootnoteReference"/>
        </w:rPr>
        <w:footnoteRef/>
      </w:r>
      <w:r w:rsidRPr="00B60AD9">
        <w:t xml:space="preserve"> RingCentral et al. Comments at 13-14 (alleging the </w:t>
      </w:r>
      <w:r w:rsidRPr="00B60AD9">
        <w:rPr>
          <w:i/>
          <w:iCs/>
        </w:rPr>
        <w:t>VoIP Direct Access Further Notice</w:t>
      </w:r>
      <w:r w:rsidRPr="00B60AD9">
        <w:t xml:space="preserve"> lacks “the scantest of details regarding the content a</w:t>
      </w:r>
      <w:r w:rsidRPr="00B60AD9">
        <w:t xml:space="preserve">nd basis for such proposal”); CCA Reply at 3 (alleging fear of “substantial confusion in light of the vague proposed obligation” regarding state law); RingCentral et al. Reply at 14-15 (alleging the </w:t>
      </w:r>
      <w:r w:rsidRPr="00B60AD9">
        <w:rPr>
          <w:i/>
          <w:iCs/>
        </w:rPr>
        <w:t>Further Notice</w:t>
      </w:r>
      <w:r w:rsidRPr="00B60AD9">
        <w:t xml:space="preserve"> has a “threadbare discussion of which stat</w:t>
      </w:r>
      <w:r w:rsidRPr="00B60AD9">
        <w:t>e requirements would be ‘applicable’”).</w:t>
      </w:r>
    </w:p>
  </w:footnote>
  <w:footnote w:id="165">
    <w:p w:rsidR="006807AE" w:rsidRPr="00B60AD9" w:rsidP="006807AE" w14:paraId="744B00EF" w14:textId="77777777">
      <w:pPr>
        <w:spacing w:after="120"/>
        <w:rPr>
          <w:sz w:val="20"/>
        </w:rPr>
      </w:pPr>
      <w:r w:rsidRPr="00B60AD9">
        <w:rPr>
          <w:sz w:val="20"/>
          <w:vertAlign w:val="superscript"/>
        </w:rPr>
        <w:footnoteRef/>
      </w:r>
      <w:r w:rsidRPr="00B60AD9">
        <w:rPr>
          <w:sz w:val="20"/>
        </w:rPr>
        <w:t xml:space="preserve"> ATIS proposes that we remove the requirement for an interconnected VoIP provider to give 30 days’ notice to states of growth numbering requests.  All. for Telecom. Ind. Sols. Comments at 4 (ATIS).  The West Virgini</w:t>
      </w:r>
      <w:r w:rsidRPr="00B60AD9">
        <w:rPr>
          <w:sz w:val="20"/>
        </w:rPr>
        <w:t>a and Pennsylvania commissions oppose that request.  Pa. PUC Reply at 2-3; W. Va. PSC Reply at 1-2.  The Michigan commission proposes we adopt a standard format for all 30-day notices to states of numbering requests.  Mich. PSC Comments at 3-4.  We decline</w:t>
      </w:r>
      <w:r w:rsidRPr="00B60AD9">
        <w:rPr>
          <w:sz w:val="20"/>
        </w:rPr>
        <w:t xml:space="preserve"> to address these proposals, as our proposed rules did not contemplate changes to the 30-day notice requirements.</w:t>
      </w:r>
    </w:p>
  </w:footnote>
  <w:footnote w:id="166">
    <w:p w:rsidR="006807AE" w:rsidRPr="00B60AD9" w:rsidP="006807AE" w14:paraId="7C6FD60B" w14:textId="77777777">
      <w:pPr>
        <w:pStyle w:val="FootnoteText"/>
        <w:rPr>
          <w:i/>
          <w:iCs/>
        </w:rPr>
      </w:pPr>
      <w:r w:rsidRPr="00B60AD9">
        <w:rPr>
          <w:rStyle w:val="FootnoteReference"/>
        </w:rPr>
        <w:footnoteRef/>
      </w:r>
      <w:r w:rsidRPr="00B60AD9">
        <w:t xml:space="preserve"> </w:t>
      </w:r>
      <w:r w:rsidRPr="00B60AD9">
        <w:rPr>
          <w:i/>
          <w:iCs/>
        </w:rPr>
        <w:t>See</w:t>
      </w:r>
      <w:r w:rsidRPr="00B60AD9">
        <w:t xml:space="preserve"> </w:t>
      </w:r>
      <w:r w:rsidRPr="00B60AD9">
        <w:rPr>
          <w:i/>
          <w:iCs/>
          <w:snapToGrid w:val="0"/>
        </w:rPr>
        <w:t>VoIP Direct Access Further Notice</w:t>
      </w:r>
      <w:r w:rsidRPr="00B60AD9">
        <w:rPr>
          <w:snapToGrid w:val="0"/>
        </w:rPr>
        <w:t>, 36 FCC Rcd</w:t>
      </w:r>
      <w:r w:rsidRPr="00B60AD9">
        <w:rPr>
          <w:snapToGrid w:val="0"/>
        </w:rPr>
        <w:t xml:space="preserve"> at 12923-24, para. 33.  “Minimal contacts” is a phrase used to refer to the amount of contact a provider would need to have with a state before it could obtain numbering resources in that state.  No “minimum contacts” requirement exists today.  </w:t>
      </w:r>
    </w:p>
  </w:footnote>
  <w:footnote w:id="167">
    <w:p w:rsidR="006807AE" w:rsidRPr="00B60AD9" w:rsidP="006807AE" w14:paraId="697362B3" w14:textId="77777777">
      <w:pPr>
        <w:pStyle w:val="ListParagraph"/>
        <w:spacing w:after="120" w:line="240" w:lineRule="auto"/>
        <w:ind w:left="0"/>
        <w:contextualSpacing w:val="0"/>
        <w:rPr>
          <w:rFonts w:ascii="Times New Roman" w:hAnsi="Times New Roman"/>
          <w:sz w:val="20"/>
          <w:szCs w:val="20"/>
        </w:rPr>
      </w:pPr>
      <w:r w:rsidRPr="00B60AD9">
        <w:rPr>
          <w:rStyle w:val="FootnoteReference"/>
          <w:szCs w:val="20"/>
        </w:rPr>
        <w:footnoteRef/>
      </w:r>
      <w:r w:rsidRPr="00B60AD9">
        <w:rPr>
          <w:rFonts w:ascii="Times New Roman" w:hAnsi="Times New Roman"/>
          <w:sz w:val="20"/>
          <w:szCs w:val="20"/>
        </w:rPr>
        <w:t xml:space="preserve"> The Cal</w:t>
      </w:r>
      <w:r w:rsidRPr="00B60AD9">
        <w:rPr>
          <w:rFonts w:ascii="Times New Roman" w:hAnsi="Times New Roman"/>
          <w:sz w:val="20"/>
          <w:szCs w:val="20"/>
        </w:rPr>
        <w:t>ifornia PUC commented that if “minimal contacts” means having customers in the state and operating authority by the state, it would support a “minimal contacts” requirement.  Cal. PUC Comments at 3.  Other state public utility commissions supported institu</w:t>
      </w:r>
      <w:r w:rsidRPr="00B60AD9">
        <w:rPr>
          <w:rFonts w:ascii="Times New Roman" w:hAnsi="Times New Roman"/>
          <w:sz w:val="20"/>
          <w:szCs w:val="20"/>
        </w:rPr>
        <w:t xml:space="preserve">ting a “minimal contacts” requirement but did not offer any further detail regarding the standard.  La. PSC </w:t>
      </w:r>
      <w:r w:rsidRPr="00B60AD9">
        <w:rPr>
          <w:rFonts w:ascii="Times New Roman" w:hAnsi="Times New Roman"/>
          <w:snapToGrid w:val="0"/>
          <w:sz w:val="20"/>
          <w:szCs w:val="20"/>
        </w:rPr>
        <w:t>Comments at 5;</w:t>
      </w:r>
      <w:r w:rsidRPr="00B60AD9">
        <w:rPr>
          <w:rFonts w:ascii="Times New Roman" w:hAnsi="Times New Roman"/>
          <w:sz w:val="20"/>
          <w:szCs w:val="20"/>
        </w:rPr>
        <w:t xml:space="preserve"> Mo. PSC </w:t>
      </w:r>
      <w:r w:rsidRPr="00B60AD9">
        <w:rPr>
          <w:rFonts w:ascii="Times New Roman" w:hAnsi="Times New Roman"/>
          <w:snapToGrid w:val="0"/>
          <w:sz w:val="20"/>
          <w:szCs w:val="20"/>
        </w:rPr>
        <w:t xml:space="preserve">Comments at 4; </w:t>
      </w:r>
      <w:r w:rsidRPr="00B60AD9">
        <w:rPr>
          <w:rFonts w:ascii="Times New Roman" w:hAnsi="Times New Roman"/>
          <w:sz w:val="20"/>
          <w:szCs w:val="20"/>
        </w:rPr>
        <w:t xml:space="preserve">Pa. PUC </w:t>
      </w:r>
      <w:r w:rsidRPr="00B60AD9">
        <w:rPr>
          <w:rFonts w:ascii="Times New Roman" w:hAnsi="Times New Roman"/>
          <w:snapToGrid w:val="0"/>
          <w:sz w:val="20"/>
          <w:szCs w:val="20"/>
        </w:rPr>
        <w:t>Comments at 9;</w:t>
      </w:r>
      <w:r w:rsidRPr="00B60AD9">
        <w:rPr>
          <w:rFonts w:ascii="Times New Roman" w:hAnsi="Times New Roman"/>
          <w:sz w:val="20"/>
          <w:szCs w:val="20"/>
        </w:rPr>
        <w:t xml:space="preserve"> Me. PUC Reply at</w:t>
      </w:r>
      <w:r w:rsidRPr="00B60AD9">
        <w:rPr>
          <w:rFonts w:ascii="Times New Roman" w:hAnsi="Times New Roman"/>
          <w:snapToGrid w:val="0"/>
          <w:sz w:val="20"/>
          <w:szCs w:val="20"/>
        </w:rPr>
        <w:t xml:space="preserve"> 2, 5; </w:t>
      </w:r>
      <w:r w:rsidRPr="00B60AD9">
        <w:rPr>
          <w:rFonts w:ascii="Times New Roman" w:hAnsi="Times New Roman"/>
          <w:sz w:val="20"/>
          <w:szCs w:val="20"/>
        </w:rPr>
        <w:t>NAAG Reply</w:t>
      </w:r>
      <w:r w:rsidRPr="00B60AD9">
        <w:rPr>
          <w:rFonts w:ascii="Times New Roman" w:hAnsi="Times New Roman"/>
          <w:snapToGrid w:val="0"/>
          <w:sz w:val="20"/>
          <w:szCs w:val="20"/>
        </w:rPr>
        <w:t xml:space="preserve"> at 6;</w:t>
      </w:r>
      <w:r w:rsidRPr="00B60AD9">
        <w:rPr>
          <w:rFonts w:ascii="Times New Roman" w:hAnsi="Times New Roman"/>
          <w:sz w:val="20"/>
          <w:szCs w:val="20"/>
        </w:rPr>
        <w:t xml:space="preserve"> NARUC Reply</w:t>
      </w:r>
      <w:r w:rsidRPr="00B60AD9">
        <w:rPr>
          <w:rFonts w:ascii="Times New Roman" w:hAnsi="Times New Roman"/>
          <w:snapToGrid w:val="0"/>
          <w:sz w:val="20"/>
          <w:szCs w:val="20"/>
        </w:rPr>
        <w:t xml:space="preserve"> at 3;</w:t>
      </w:r>
      <w:r w:rsidRPr="00B60AD9">
        <w:rPr>
          <w:rFonts w:ascii="Times New Roman" w:hAnsi="Times New Roman"/>
          <w:sz w:val="20"/>
          <w:szCs w:val="20"/>
        </w:rPr>
        <w:t xml:space="preserve"> W. Va. PSC Reply</w:t>
      </w:r>
      <w:r w:rsidRPr="00B60AD9">
        <w:rPr>
          <w:rFonts w:ascii="Times New Roman" w:hAnsi="Times New Roman"/>
          <w:snapToGrid w:val="0"/>
          <w:sz w:val="20"/>
          <w:szCs w:val="20"/>
        </w:rPr>
        <w:t xml:space="preserve"> at 5</w:t>
      </w:r>
      <w:r w:rsidRPr="00B60AD9">
        <w:rPr>
          <w:rFonts w:ascii="Times New Roman" w:hAnsi="Times New Roman"/>
          <w:sz w:val="20"/>
          <w:szCs w:val="20"/>
        </w:rPr>
        <w:t>.  The l</w:t>
      </w:r>
      <w:r w:rsidRPr="00B60AD9">
        <w:rPr>
          <w:rFonts w:ascii="Times New Roman" w:hAnsi="Times New Roman"/>
          <w:sz w:val="20"/>
          <w:szCs w:val="20"/>
        </w:rPr>
        <w:t>ack of a clear proposed definition, or consensus around any definition, supports our decision not to adopt a definition or standard at this time.</w:t>
      </w:r>
    </w:p>
  </w:footnote>
  <w:footnote w:id="168">
    <w:p w:rsidR="006807AE" w:rsidRPr="00B60AD9" w:rsidP="006807AE" w14:paraId="0A9E4CDD" w14:textId="77777777">
      <w:pPr>
        <w:pStyle w:val="FootnoteText"/>
      </w:pPr>
      <w:r w:rsidRPr="00B60AD9">
        <w:rPr>
          <w:rStyle w:val="FootnoteReference"/>
        </w:rPr>
        <w:footnoteRef/>
      </w:r>
      <w:r w:rsidRPr="00B60AD9">
        <w:t xml:space="preserve"> </w:t>
      </w:r>
      <w:r w:rsidRPr="00B60AD9">
        <w:rPr>
          <w:i/>
          <w:iCs/>
        </w:rPr>
        <w:t>See</w:t>
      </w:r>
      <w:r w:rsidRPr="00B60AD9">
        <w:t xml:space="preserve"> Appx. A, § 52.15(g)(3)(ii)(B); </w:t>
      </w:r>
      <w:r w:rsidRPr="00B60AD9">
        <w:rPr>
          <w:i/>
          <w:iCs/>
          <w:snapToGrid w:val="0"/>
        </w:rPr>
        <w:t>VoIP Direct Access Further Notice</w:t>
      </w:r>
      <w:r w:rsidRPr="00B60AD9">
        <w:rPr>
          <w:snapToGrid w:val="0"/>
        </w:rPr>
        <w:t>, 36 FCC Rcd at 12923-24, para. 33.</w:t>
      </w:r>
    </w:p>
  </w:footnote>
  <w:footnote w:id="169">
    <w:p w:rsidR="006807AE" w:rsidRPr="00B60AD9" w:rsidP="006807AE" w14:paraId="75F779F9" w14:textId="77777777">
      <w:pPr>
        <w:pStyle w:val="FootnoteText"/>
      </w:pPr>
      <w:r w:rsidRPr="00B60AD9">
        <w:rPr>
          <w:rStyle w:val="FootnoteReference"/>
        </w:rPr>
        <w:footnoteRef/>
      </w:r>
      <w:r w:rsidRPr="00B60AD9">
        <w:t xml:space="preserve"> Ri</w:t>
      </w:r>
      <w:r w:rsidRPr="00B60AD9">
        <w:t>ngCentral contends that state requirements other than those issued under delegated numbering authority cannot apply to them because nomadic VoIP services “are impossible to segregate into intrastate and interstate components” and therefore are subject to “</w:t>
      </w:r>
      <w:r w:rsidRPr="00B60AD9">
        <w:t xml:space="preserve">exclusive federal jurisdiction.”  RingCentral et al. Comments at 13; RingCentral et al. Reply at 14.  RingCentral rests this argument on the </w:t>
      </w:r>
      <w:r w:rsidRPr="00B60AD9">
        <w:rPr>
          <w:i/>
          <w:iCs/>
        </w:rPr>
        <w:t>Vonage Order</w:t>
      </w:r>
      <w:r w:rsidRPr="00B60AD9">
        <w:t xml:space="preserve">, but, as noted above, the </w:t>
      </w:r>
      <w:r w:rsidRPr="00B60AD9">
        <w:rPr>
          <w:i/>
          <w:iCs/>
        </w:rPr>
        <w:t>Vonage Order</w:t>
      </w:r>
      <w:r w:rsidRPr="00B60AD9">
        <w:t xml:space="preserve"> left room for some state-law requirements to apply to interconn</w:t>
      </w:r>
      <w:r w:rsidRPr="00B60AD9">
        <w:t xml:space="preserve">ected VoIP providers as long as they do not conflict with or undermine federal law.  </w:t>
      </w:r>
      <w:r w:rsidRPr="00B60AD9">
        <w:rPr>
          <w:i/>
          <w:iCs/>
        </w:rPr>
        <w:t xml:space="preserve">See supra </w:t>
      </w:r>
      <w:r w:rsidRPr="00B60AD9">
        <w:t>para. 49.  Nomadic interconnected VoIP applicants would be acknowledging that their direct access authorization is subject to compliance with state laws to the e</w:t>
      </w:r>
      <w:r w:rsidRPr="00B60AD9">
        <w:t>xtent such laws apply to them as businesses operating in the state.</w:t>
      </w:r>
    </w:p>
  </w:footnote>
  <w:footnote w:id="170">
    <w:p w:rsidR="006807AE" w:rsidRPr="00B60AD9" w:rsidP="006807AE" w14:paraId="320F2E6F" w14:textId="77777777">
      <w:pPr>
        <w:pStyle w:val="FootnoteText"/>
      </w:pPr>
      <w:r w:rsidRPr="00B60AD9">
        <w:rPr>
          <w:rStyle w:val="FootnoteReference"/>
        </w:rPr>
        <w:footnoteRef/>
      </w:r>
      <w:r w:rsidRPr="00B60AD9">
        <w:t xml:space="preserve"> Cal. PUC Comments at 2 (“Nomadic VoIP places demands on the numbering system that warrant full oversight to ensure efficient use of public numbering resources.”); W. Va. PSC Reply at 4 (</w:t>
      </w:r>
      <w:r w:rsidRPr="00B60AD9">
        <w:t>“Nomadic VoIP places demands on the state’s numbering resources and thus, warrants state oversight in order to ensure efficient use of numbering resources.”).</w:t>
      </w:r>
    </w:p>
  </w:footnote>
  <w:footnote w:id="171">
    <w:p w:rsidR="006807AE" w:rsidRPr="00B60AD9" w:rsidP="006807AE" w14:paraId="0B751E3C" w14:textId="77777777">
      <w:pPr>
        <w:pStyle w:val="FootnoteText"/>
      </w:pPr>
      <w:r w:rsidRPr="00B60AD9">
        <w:rPr>
          <w:rStyle w:val="FootnoteReference"/>
        </w:rPr>
        <w:footnoteRef/>
      </w:r>
      <w:r w:rsidRPr="00B60AD9">
        <w:t xml:space="preserve"> Pa. PUC Comments at 8-9 (“Trying to determine the precise geographical location of non-fixed or</w:t>
      </w:r>
      <w:r w:rsidRPr="00B60AD9">
        <w:t xml:space="preserve"> nomadic voice services would require an inordinate effort on the part of state commissions and may well prove futile.”).</w:t>
      </w:r>
    </w:p>
  </w:footnote>
  <w:footnote w:id="172">
    <w:p w:rsidR="006807AE" w:rsidRPr="00B60AD9" w:rsidP="006807AE" w14:paraId="2715A955" w14:textId="77777777">
      <w:pPr>
        <w:pStyle w:val="FootnoteText"/>
      </w:pPr>
      <w:r w:rsidRPr="00B60AD9">
        <w:rPr>
          <w:rStyle w:val="FootnoteReference"/>
        </w:rPr>
        <w:footnoteRef/>
      </w:r>
      <w:r w:rsidRPr="00B60AD9">
        <w:t xml:space="preserve"> Cal. PUC Comments at 2; Mo. PSC Comments at 4; Pa. PUC Comments at 8-9; NARUC Reply at 4-5; W. Va. PSC Reply at 4.  </w:t>
      </w:r>
      <w:r w:rsidRPr="00B60AD9">
        <w:rPr>
          <w:i/>
          <w:iCs/>
        </w:rPr>
        <w:t>But see</w:t>
      </w:r>
      <w:r w:rsidRPr="00B60AD9">
        <w:t xml:space="preserve"> La. PSC Comments at 4 (stating that differences in the technical nature of nomadic and interconnected VoIP services justify differe</w:t>
      </w:r>
      <w:r w:rsidRPr="00B60AD9">
        <w:t>nt treatment).</w:t>
      </w:r>
    </w:p>
  </w:footnote>
  <w:footnote w:id="173">
    <w:p w:rsidR="006807AE" w:rsidRPr="00B60AD9" w:rsidP="006807AE" w14:paraId="050DEAF0" w14:textId="77777777">
      <w:pPr>
        <w:pStyle w:val="FootnoteText"/>
        <w:rPr>
          <w:i/>
          <w:iCs/>
        </w:rPr>
      </w:pPr>
      <w:r w:rsidRPr="00B60AD9">
        <w:rPr>
          <w:rStyle w:val="FootnoteReference"/>
        </w:rPr>
        <w:footnoteRef/>
      </w:r>
      <w:r w:rsidRPr="00B60AD9">
        <w:t xml:space="preserve"> </w:t>
      </w:r>
      <w:r w:rsidRPr="00B60AD9">
        <w:rPr>
          <w:i/>
          <w:iCs/>
        </w:rPr>
        <w:t>VoIP Direct Access Further Notice</w:t>
      </w:r>
      <w:r w:rsidRPr="00B60AD9">
        <w:t>, 36 FCC Rcd at 12923-24, para. 33.</w:t>
      </w:r>
    </w:p>
  </w:footnote>
  <w:footnote w:id="174">
    <w:p w:rsidR="006807AE" w:rsidRPr="00B60AD9" w:rsidP="006807AE" w14:paraId="01FAB07D" w14:textId="77777777">
      <w:pPr>
        <w:pStyle w:val="FootnoteText"/>
      </w:pPr>
      <w:r w:rsidRPr="00B60AD9">
        <w:rPr>
          <w:rStyle w:val="FootnoteReference"/>
        </w:rPr>
        <w:footnoteRef/>
      </w:r>
      <w:r w:rsidRPr="00B60AD9">
        <w:t xml:space="preserve"> NARUC Comments at 5 (“[I]f the FCC wants compliance [with state law], there must be a consequence if [the direct access applicant of authorization holder] fails to comp</w:t>
      </w:r>
      <w:r w:rsidRPr="00B60AD9">
        <w:t>ly. . . . . The possibility of losing access to the desired numbering resources is a strong incentive for carrier compliance.”); Neb. PSC Comments at 5 (“Compliance with state requirements should be a baseline for being granted numbering resources.”).</w:t>
      </w:r>
    </w:p>
  </w:footnote>
  <w:footnote w:id="175">
    <w:p w:rsidR="00810097" w:rsidRPr="00B60AD9" w:rsidP="00810097" w14:paraId="14DCD07F" w14:textId="77777777">
      <w:pPr>
        <w:pStyle w:val="FootnoteText"/>
      </w:pPr>
      <w:r w:rsidRPr="00B60AD9">
        <w:rPr>
          <w:rStyle w:val="FootnoteReference"/>
        </w:rPr>
        <w:footnoteRef/>
      </w:r>
      <w:r w:rsidRPr="00B60AD9">
        <w:t xml:space="preserve"> 47</w:t>
      </w:r>
      <w:r w:rsidRPr="00B60AD9">
        <w:t xml:space="preserve"> CFR § 1.16.</w:t>
      </w:r>
    </w:p>
  </w:footnote>
  <w:footnote w:id="176">
    <w:p w:rsidR="00810097" w:rsidRPr="00B60AD9" w:rsidP="00810097" w14:paraId="76374C6F" w14:textId="77777777">
      <w:pPr>
        <w:pStyle w:val="FootnoteText"/>
        <w:rPr>
          <w:i/>
          <w:iCs/>
        </w:rPr>
      </w:pPr>
      <w:r w:rsidRPr="00B60AD9">
        <w:rPr>
          <w:rStyle w:val="FootnoteReference"/>
        </w:rPr>
        <w:footnoteRef/>
      </w:r>
      <w:r w:rsidRPr="00B60AD9">
        <w:t xml:space="preserve"> </w:t>
      </w:r>
      <w:r w:rsidRPr="00B60AD9">
        <w:rPr>
          <w:i/>
          <w:iCs/>
        </w:rPr>
        <w:t xml:space="preserve">See </w:t>
      </w:r>
      <w:r w:rsidRPr="00B60AD9">
        <w:rPr>
          <w:i/>
          <w:iCs/>
          <w:snapToGrid w:val="0"/>
        </w:rPr>
        <w:t>VoIP Direct Access Further Notice</w:t>
      </w:r>
      <w:r w:rsidRPr="00B60AD9">
        <w:rPr>
          <w:snapToGrid w:val="0"/>
        </w:rPr>
        <w:t xml:space="preserve">, 36 FCC Rcd at 12918, para. 22.  </w:t>
      </w:r>
      <w:r w:rsidRPr="00B60AD9">
        <w:t>No commenter addressed or opposed this requirement.</w:t>
      </w:r>
    </w:p>
  </w:footnote>
  <w:footnote w:id="177">
    <w:p w:rsidR="00810097" w:rsidRPr="00B60AD9" w:rsidP="00810097" w14:paraId="427C3649" w14:textId="77777777">
      <w:pPr>
        <w:pStyle w:val="FootnoteText"/>
      </w:pPr>
      <w:r w:rsidRPr="00B60AD9">
        <w:rPr>
          <w:rStyle w:val="FootnoteReference"/>
        </w:rPr>
        <w:footnoteRef/>
      </w:r>
      <w:r w:rsidRPr="00B60AD9">
        <w:t xml:space="preserve"> </w:t>
      </w:r>
      <w:r w:rsidRPr="00B60AD9">
        <w:rPr>
          <w:i/>
          <w:iCs/>
        </w:rPr>
        <w:t xml:space="preserve">See </w:t>
      </w:r>
      <w:r w:rsidRPr="00B60AD9">
        <w:t>Pa. PUC Comments at 4.  We discuss below the Bureau’s authority to reject an application or revoke an authorization if it discovers that an applicant has made a false statement, and its authority to provide applicants or authorization holders the opportuni</w:t>
      </w:r>
      <w:r w:rsidRPr="00B60AD9">
        <w:t xml:space="preserve">ty to cure inadvertently mistaken application information.  </w:t>
      </w:r>
      <w:r w:rsidRPr="00B60AD9">
        <w:rPr>
          <w:i/>
          <w:iCs/>
        </w:rPr>
        <w:t xml:space="preserve">See infra </w:t>
      </w:r>
      <w:r w:rsidRPr="00B60AD9">
        <w:t xml:space="preserve">Part III.B.2-3; </w:t>
      </w:r>
      <w:r w:rsidRPr="00B60AD9">
        <w:rPr>
          <w:i/>
          <w:iCs/>
        </w:rPr>
        <w:t xml:space="preserve">see also </w:t>
      </w:r>
      <w:r w:rsidRPr="00B60AD9">
        <w:t>47 U.S.C. § 312(a)(1).</w:t>
      </w:r>
    </w:p>
  </w:footnote>
  <w:footnote w:id="178">
    <w:p w:rsidR="00810097" w:rsidRPr="00B60AD9" w:rsidP="00810097" w14:paraId="323B6104" w14:textId="77777777">
      <w:pPr>
        <w:pStyle w:val="FootnoteText"/>
      </w:pPr>
      <w:r w:rsidRPr="00B60AD9">
        <w:rPr>
          <w:rStyle w:val="FootnoteReference"/>
        </w:rPr>
        <w:footnoteRef/>
      </w:r>
      <w:r w:rsidRPr="00B60AD9">
        <w:t xml:space="preserve"> </w:t>
      </w:r>
      <w:r w:rsidRPr="00B60AD9">
        <w:rPr>
          <w:i/>
          <w:iCs/>
        </w:rPr>
        <w:t>See, e.g.</w:t>
      </w:r>
      <w:r w:rsidRPr="00B60AD9">
        <w:t>,</w:t>
      </w:r>
      <w:r w:rsidRPr="00B60AD9">
        <w:rPr>
          <w:i/>
          <w:iCs/>
        </w:rPr>
        <w:t xml:space="preserve"> </w:t>
      </w:r>
      <w:r w:rsidRPr="00B60AD9">
        <w:t xml:space="preserve">FCC International Section 214 Application, </w:t>
      </w:r>
      <w:hyperlink r:id="rId25" w:history="1">
        <w:r w:rsidRPr="00B60AD9">
          <w:rPr>
            <w:rStyle w:val="Hyperlink"/>
          </w:rPr>
          <w:t>https://lic</w:t>
        </w:r>
        <w:r w:rsidRPr="00B60AD9">
          <w:rPr>
            <w:rStyle w:val="Hyperlink"/>
          </w:rPr>
          <w:t>ensing.fcc.gov/myibfsdocs/ITCASG-SAMPLE-W.pdf</w:t>
        </w:r>
      </w:hyperlink>
      <w:r w:rsidRPr="00B60AD9">
        <w:t>.</w:t>
      </w:r>
    </w:p>
  </w:footnote>
  <w:footnote w:id="179">
    <w:p w:rsidR="00810097" w:rsidRPr="00B60AD9" w:rsidP="00810097" w14:paraId="2B05AFC5" w14:textId="77777777">
      <w:pPr>
        <w:pStyle w:val="FootnoteText"/>
      </w:pPr>
      <w:r w:rsidRPr="00B60AD9">
        <w:rPr>
          <w:rStyle w:val="FootnoteReference"/>
        </w:rPr>
        <w:footnoteRef/>
      </w:r>
      <w:r w:rsidRPr="00B60AD9">
        <w:t xml:space="preserve"> </w:t>
      </w:r>
      <w:r w:rsidRPr="00B60AD9">
        <w:rPr>
          <w:i/>
          <w:iCs/>
        </w:rPr>
        <w:t>See, e.g.</w:t>
      </w:r>
      <w:r w:rsidRPr="00B60AD9">
        <w:t xml:space="preserve">, </w:t>
      </w:r>
      <w:r w:rsidRPr="00B60AD9">
        <w:rPr>
          <w:i/>
          <w:iCs/>
        </w:rPr>
        <w:t>Telecommunications Carriers and Interconnected VoIP Providers Must File Annual Reports Certifying Compliance with Commission Rules Protecting Customer Proprieta</w:t>
      </w:r>
      <w:r w:rsidRPr="00B60AD9">
        <w:rPr>
          <w:i/>
          <w:iCs/>
        </w:rPr>
        <w:t>ry Network Information</w:t>
      </w:r>
      <w:r w:rsidRPr="00B60AD9">
        <w:t>, EB Docket No. 06-36, Public Notice, DA 23-93 (Feb. 1, 2023).</w:t>
      </w:r>
    </w:p>
  </w:footnote>
  <w:footnote w:id="180">
    <w:p w:rsidR="00810097" w:rsidRPr="00B60AD9" w:rsidP="00810097" w14:paraId="1434DFD4" w14:textId="77777777">
      <w:pPr>
        <w:pStyle w:val="FootnoteText"/>
      </w:pPr>
      <w:r w:rsidRPr="00B60AD9">
        <w:rPr>
          <w:rStyle w:val="FootnoteReference"/>
        </w:rPr>
        <w:footnoteRef/>
      </w:r>
      <w:r w:rsidRPr="00B60AD9">
        <w:t xml:space="preserve"> 18 U.S.C. § 1001.</w:t>
      </w:r>
    </w:p>
  </w:footnote>
  <w:footnote w:id="181">
    <w:p w:rsidR="00810097" w:rsidRPr="00B60AD9" w:rsidP="00810097" w14:paraId="4B7B7187" w14:textId="77777777">
      <w:pPr>
        <w:pStyle w:val="FootnoteText"/>
      </w:pPr>
      <w:r w:rsidRPr="00B60AD9">
        <w:rPr>
          <w:rStyle w:val="FootnoteReference"/>
        </w:rPr>
        <w:footnoteRef/>
      </w:r>
      <w:r w:rsidRPr="00B60AD9">
        <w:t xml:space="preserve"> 47 U.S.C. § 503.</w:t>
      </w:r>
    </w:p>
  </w:footnote>
  <w:footnote w:id="182">
    <w:p w:rsidR="00810097" w:rsidRPr="00B60AD9" w:rsidP="00810097" w14:paraId="59BF13A5" w14:textId="77777777">
      <w:pPr>
        <w:pStyle w:val="FootnoteText"/>
      </w:pPr>
      <w:r w:rsidRPr="00B60AD9">
        <w:rPr>
          <w:rStyle w:val="FootnoteReference"/>
        </w:rPr>
        <w:footnoteRef/>
      </w:r>
      <w:r w:rsidRPr="00B60AD9">
        <w:t xml:space="preserve"> </w:t>
      </w:r>
      <w:r w:rsidRPr="00B60AD9">
        <w:rPr>
          <w:i/>
          <w:iCs/>
        </w:rPr>
        <w:t xml:space="preserve">See </w:t>
      </w:r>
      <w:r w:rsidRPr="00B60AD9">
        <w:t>47 CFR § 1.17(a).</w:t>
      </w:r>
    </w:p>
  </w:footnote>
  <w:footnote w:id="183">
    <w:p w:rsidR="00810097" w:rsidRPr="00B60AD9" w:rsidP="00810097" w14:paraId="12618559" w14:textId="77777777">
      <w:pPr>
        <w:pStyle w:val="FootnoteText"/>
      </w:pPr>
      <w:r w:rsidRPr="00B60AD9">
        <w:rPr>
          <w:rStyle w:val="FootnoteReference"/>
        </w:rPr>
        <w:footnoteRef/>
      </w:r>
      <w:r w:rsidRPr="00B60AD9">
        <w:t xml:space="preserve"> </w:t>
      </w:r>
      <w:r w:rsidRPr="00B60AD9">
        <w:rPr>
          <w:i/>
          <w:iCs/>
        </w:rPr>
        <w:t xml:space="preserve">See </w:t>
      </w:r>
      <w:r w:rsidRPr="00B60AD9">
        <w:t xml:space="preserve">FCC International Section 214 Application, </w:t>
      </w:r>
      <w:hyperlink r:id="rId25" w:history="1">
        <w:r w:rsidRPr="00B60AD9">
          <w:rPr>
            <w:rStyle w:val="Hyperlink"/>
          </w:rPr>
          <w:t>https://licensing.fcc.gov/myibfsdocs/ITCASG-SAMPLE-W.pdf</w:t>
        </w:r>
      </w:hyperlink>
      <w:r w:rsidRPr="00B60AD9">
        <w:t xml:space="preserve">. </w:t>
      </w:r>
    </w:p>
  </w:footnote>
  <w:footnote w:id="184">
    <w:p w:rsidR="00810097" w:rsidRPr="00B60AD9" w:rsidP="00810097" w14:paraId="42456A18" w14:textId="77777777">
      <w:pPr>
        <w:pStyle w:val="FootnoteText"/>
      </w:pPr>
      <w:r w:rsidRPr="00B60AD9">
        <w:rPr>
          <w:rStyle w:val="FootnoteReference"/>
        </w:rPr>
        <w:footnoteRef/>
      </w:r>
      <w:r w:rsidRPr="00B60AD9">
        <w:t xml:space="preserve"> </w:t>
      </w:r>
      <w:r w:rsidRPr="00B60AD9">
        <w:rPr>
          <w:i/>
          <w:iCs/>
        </w:rPr>
        <w:t xml:space="preserve">See </w:t>
      </w:r>
      <w:r w:rsidRPr="00B60AD9">
        <w:t>47 CFR § 6</w:t>
      </w:r>
      <w:r w:rsidRPr="00B60AD9">
        <w:rPr>
          <w:rFonts w:eastAsia="Calibri"/>
        </w:rPr>
        <w:t>4.6305(c)(3)(ii).</w:t>
      </w:r>
    </w:p>
  </w:footnote>
  <w:footnote w:id="185">
    <w:p w:rsidR="00810097" w:rsidRPr="00B60AD9" w:rsidP="00810097" w14:paraId="058B9F2E" w14:textId="77777777">
      <w:pPr>
        <w:pStyle w:val="FootnoteText"/>
      </w:pPr>
      <w:r w:rsidRPr="00B60AD9">
        <w:rPr>
          <w:rStyle w:val="FootnoteReference"/>
        </w:rPr>
        <w:footnoteRef/>
      </w:r>
      <w:r w:rsidRPr="00B60AD9">
        <w:t xml:space="preserve"> </w:t>
      </w:r>
      <w:r w:rsidRPr="00B60AD9">
        <w:rPr>
          <w:i/>
          <w:iCs/>
        </w:rPr>
        <w:t xml:space="preserve">Id. </w:t>
      </w:r>
      <w:r w:rsidRPr="00B60AD9">
        <w:t>§§ 52.5(e) (defining “Service provider”), 52.15(g)(3) (specifying authorization process for “provider[s] of in</w:t>
      </w:r>
      <w:r w:rsidRPr="00B60AD9">
        <w:t xml:space="preserve">terconnected VoIP service”); </w:t>
      </w:r>
      <w:r w:rsidRPr="00B60AD9">
        <w:rPr>
          <w:i/>
          <w:iCs/>
        </w:rPr>
        <w:t>VoIP Direct Access Order</w:t>
      </w:r>
      <w:r w:rsidRPr="00B60AD9">
        <w:t>, 30 FCC Rcd at 6877, para. 76.</w:t>
      </w:r>
    </w:p>
  </w:footnote>
  <w:footnote w:id="186">
    <w:p w:rsidR="00810097" w:rsidRPr="00B60AD9" w:rsidP="00810097" w14:paraId="58666886"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12529-26, paras. 38-39.</w:t>
      </w:r>
    </w:p>
  </w:footnote>
  <w:footnote w:id="187">
    <w:p w:rsidR="00810097" w:rsidRPr="00B60AD9" w:rsidP="00810097" w14:paraId="6BC4BB16" w14:textId="77777777">
      <w:pPr>
        <w:pStyle w:val="FootnoteText"/>
        <w:rPr>
          <w:b/>
          <w:bCs/>
        </w:rPr>
      </w:pPr>
      <w:r w:rsidRPr="00B60AD9">
        <w:rPr>
          <w:rStyle w:val="FootnoteReference"/>
        </w:rPr>
        <w:footnoteRef/>
      </w:r>
      <w:r w:rsidRPr="00B60AD9">
        <w:t xml:space="preserve"> NAAG Comments at 7 (“[B]</w:t>
      </w:r>
      <w:r w:rsidRPr="00B60AD9">
        <w:rPr>
          <w:bCs/>
        </w:rPr>
        <w:t>ecause</w:t>
      </w:r>
      <w:r w:rsidRPr="00B60AD9">
        <w:rPr>
          <w:bCs/>
        </w:rPr>
        <w:t xml:space="preserve"> the need to constrain the rampant misuse of legitimate numbers must be a priority, STATE AGs urge the Commission to refrain from expanding its authorization process for direct access to numbers to one-way VoIP providers or other entities that use numbers </w:t>
      </w:r>
      <w:r w:rsidRPr="00B60AD9">
        <w:rPr>
          <w:bCs/>
        </w:rPr>
        <w:t xml:space="preserve">until such time that the guardrails identified in the August 2021 Notice can be ordered, implemented, and effectively deployed in order to shore up the current process consistent with the proposals identified by the Commission.”); NTCA—The Rural Broadband </w:t>
      </w:r>
      <w:r w:rsidRPr="00B60AD9">
        <w:rPr>
          <w:bCs/>
        </w:rPr>
        <w:t>Ass’n Reply at 5 (NTCA Reply) (</w:t>
      </w:r>
      <w:r w:rsidRPr="00B60AD9">
        <w:t xml:space="preserve">“universal service would be </w:t>
      </w:r>
      <w:r w:rsidRPr="00B60AD9">
        <w:rPr>
          <w:i/>
          <w:iCs/>
        </w:rPr>
        <w:t xml:space="preserve">harmed </w:t>
      </w:r>
      <w:r w:rsidRPr="00B60AD9">
        <w:t>if direct access were granted to one-way VoIP operators without a corresponding obligation to contribute [to the Universal Service Fund]”).</w:t>
      </w:r>
    </w:p>
  </w:footnote>
  <w:footnote w:id="188">
    <w:p w:rsidR="00810097" w:rsidRPr="00B60AD9" w:rsidP="00810097" w14:paraId="754A3619" w14:textId="77777777">
      <w:pPr>
        <w:pStyle w:val="FootnoteText"/>
      </w:pPr>
      <w:r w:rsidRPr="00B60AD9">
        <w:rPr>
          <w:rStyle w:val="FootnoteReference"/>
        </w:rPr>
        <w:footnoteRef/>
      </w:r>
      <w:r w:rsidRPr="00B60AD9">
        <w:t xml:space="preserve"> One-way VoIP providers have fewer regulatory obl</w:t>
      </w:r>
      <w:r w:rsidRPr="00B60AD9">
        <w:t>igations than traditional carriers or interconnected VoIP providers.  Lumen Comments at 13; NTCA Reply at 4-5.</w:t>
      </w:r>
    </w:p>
  </w:footnote>
  <w:footnote w:id="189">
    <w:p w:rsidR="00810097" w:rsidRPr="00B60AD9" w:rsidP="00810097" w14:paraId="3B0A47B5"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6877, para. 76 n.274.</w:t>
      </w:r>
    </w:p>
  </w:footnote>
  <w:footnote w:id="190">
    <w:p w:rsidR="00810097" w:rsidRPr="00B60AD9" w:rsidP="00810097" w14:paraId="146DB084" w14:textId="77777777">
      <w:pPr>
        <w:pStyle w:val="FootnoteText"/>
      </w:pPr>
      <w:r w:rsidRPr="00B60AD9">
        <w:rPr>
          <w:rStyle w:val="FootnoteReference"/>
        </w:rPr>
        <w:footnoteRef/>
      </w:r>
      <w:r w:rsidRPr="00B60AD9">
        <w:t xml:space="preserve"> </w:t>
      </w:r>
      <w:r w:rsidRPr="00B60AD9">
        <w:rPr>
          <w:i/>
          <w:iCs/>
        </w:rPr>
        <w:t>Id.</w:t>
      </w:r>
      <w:r w:rsidRPr="00B60AD9">
        <w:t xml:space="preserve"> at 6856-57, para. 37.</w:t>
      </w:r>
    </w:p>
  </w:footnote>
  <w:footnote w:id="191">
    <w:p w:rsidR="00810097" w:rsidRPr="00B60AD9" w:rsidP="00810097" w14:paraId="4F196F8D" w14:textId="77777777">
      <w:pPr>
        <w:pStyle w:val="FootnoteText"/>
        <w:rPr>
          <w:i/>
          <w:iCs/>
        </w:rPr>
      </w:pPr>
      <w:r w:rsidRPr="00B60AD9">
        <w:rPr>
          <w:rStyle w:val="FootnoteReference"/>
        </w:rPr>
        <w:footnoteRef/>
      </w:r>
      <w:r w:rsidRPr="00B60AD9">
        <w:t xml:space="preserve"> </w:t>
      </w:r>
      <w:r w:rsidRPr="00B60AD9">
        <w:rPr>
          <w:i/>
          <w:iCs/>
        </w:rPr>
        <w:t>See VoIP Direct Access Further Notice</w:t>
      </w:r>
      <w:r w:rsidRPr="00B60AD9">
        <w:t>, 36 FCC Rcd a</w:t>
      </w:r>
      <w:r w:rsidRPr="00B60AD9">
        <w:t>t 12917, para. 20.</w:t>
      </w:r>
    </w:p>
  </w:footnote>
  <w:footnote w:id="192">
    <w:p w:rsidR="00810097" w:rsidRPr="00B60AD9" w:rsidP="00810097" w14:paraId="1DD94586" w14:textId="77777777">
      <w:pPr>
        <w:pStyle w:val="FootnoteText"/>
      </w:pPr>
      <w:r w:rsidRPr="00B60AD9">
        <w:rPr>
          <w:rStyle w:val="FootnoteReference"/>
        </w:rPr>
        <w:footnoteRef/>
      </w:r>
      <w:r w:rsidRPr="00B60AD9">
        <w:t xml:space="preserve"> </w:t>
      </w:r>
      <w:r w:rsidRPr="00B60AD9">
        <w:rPr>
          <w:bCs/>
        </w:rPr>
        <w:t>Bandwidth Comments at 13</w:t>
      </w:r>
      <w:r w:rsidRPr="00B60AD9">
        <w:t xml:space="preserve"> (“Applicants should be expected to provide technical documentation (e.g., technical service descriptions) demonstrating a more complete representation of all types of services that they intend to offer with the</w:t>
      </w:r>
      <w:r w:rsidRPr="00B60AD9">
        <w:t xml:space="preserve"> numbering resources they seek.”); VON Comments at 3 (“The Commission provides no evidence or support that collecting this additional information is likely to result in a reduction in the number of illegal robocalls or will prevent bad actors from accessin</w:t>
      </w:r>
      <w:r w:rsidRPr="00B60AD9">
        <w:t>g telephone numbers.”).</w:t>
      </w:r>
    </w:p>
  </w:footnote>
  <w:footnote w:id="193">
    <w:p w:rsidR="00810097" w:rsidRPr="00B60AD9" w:rsidP="00810097" w14:paraId="334CDC3B"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6856, paras. 36-37.</w:t>
      </w:r>
    </w:p>
  </w:footnote>
  <w:footnote w:id="194">
    <w:p w:rsidR="00810097" w:rsidRPr="00B60AD9" w:rsidP="00810097" w14:paraId="26A97FE7" w14:textId="77777777">
      <w:pPr>
        <w:pStyle w:val="FootnoteText"/>
      </w:pPr>
      <w:r w:rsidRPr="00B60AD9">
        <w:rPr>
          <w:rStyle w:val="FootnoteReference"/>
        </w:rPr>
        <w:footnoteRef/>
      </w:r>
      <w:r w:rsidRPr="00B60AD9">
        <w:t xml:space="preserve"> </w:t>
      </w:r>
      <w:r w:rsidRPr="00B60AD9">
        <w:rPr>
          <w:i/>
          <w:iCs/>
        </w:rPr>
        <w:t>See</w:t>
      </w:r>
      <w:r w:rsidRPr="00B60AD9">
        <w:t xml:space="preserve"> 47 CFR § 1.745.</w:t>
      </w:r>
    </w:p>
  </w:footnote>
  <w:footnote w:id="195">
    <w:p w:rsidR="00810097" w:rsidRPr="00B60AD9" w:rsidP="00810097" w14:paraId="4F9C8ACC" w14:textId="77777777">
      <w:pPr>
        <w:pStyle w:val="FootnoteText"/>
      </w:pPr>
      <w:r w:rsidRPr="00B60AD9">
        <w:rPr>
          <w:rStyle w:val="FootnoteReference"/>
        </w:rPr>
        <w:footnoteRef/>
      </w:r>
      <w:r w:rsidRPr="00B60AD9">
        <w:t xml:space="preserve"> </w:t>
      </w:r>
      <w:r w:rsidRPr="00B60AD9">
        <w:rPr>
          <w:i/>
          <w:iCs/>
        </w:rPr>
        <w:t>Id.</w:t>
      </w:r>
      <w:r w:rsidRPr="00B60AD9">
        <w:t xml:space="preserve"> § 64.1200(n)(3).</w:t>
      </w:r>
    </w:p>
  </w:footnote>
  <w:footnote w:id="196">
    <w:p w:rsidR="00810097" w:rsidRPr="00B60AD9" w:rsidP="00810097" w14:paraId="438591B2" w14:textId="77777777">
      <w:pPr>
        <w:pStyle w:val="FootnoteText"/>
      </w:pPr>
      <w:r w:rsidRPr="00B60AD9">
        <w:rPr>
          <w:rStyle w:val="FootnoteReference"/>
        </w:rPr>
        <w:footnoteRef/>
      </w:r>
      <w:r w:rsidRPr="00B60AD9">
        <w:t xml:space="preserve"> </w:t>
      </w:r>
      <w:r w:rsidRPr="00B60AD9">
        <w:rPr>
          <w:i/>
          <w:iCs/>
          <w:snapToGrid w:val="0"/>
        </w:rPr>
        <w:t>VoIP Direct Access Further Notice</w:t>
      </w:r>
      <w:r w:rsidRPr="00B60AD9">
        <w:rPr>
          <w:snapToGrid w:val="0"/>
        </w:rPr>
        <w:t xml:space="preserve">, 36 FCC Rcd at 12914, para. 13; </w:t>
      </w:r>
      <w:r w:rsidRPr="00B60AD9">
        <w:rPr>
          <w:i/>
          <w:iCs/>
          <w:snapToGrid w:val="0"/>
        </w:rPr>
        <w:t xml:space="preserve">see also </w:t>
      </w:r>
      <w:r w:rsidRPr="00B60AD9">
        <w:rPr>
          <w:i/>
          <w:iCs/>
        </w:rPr>
        <w:t>Caller ID Authentication First Report and Order</w:t>
      </w:r>
      <w:r w:rsidRPr="00B60AD9">
        <w:rPr>
          <w:snapToGrid w:val="0"/>
        </w:rPr>
        <w:t>,</w:t>
      </w:r>
      <w:r w:rsidRPr="00B60AD9">
        <w:rPr>
          <w:snapToGrid w:val="0"/>
        </w:rPr>
        <w:t xml:space="preserve"> 35 FCC Rcd at 3295-96, paras. 127, 130.</w:t>
      </w:r>
    </w:p>
  </w:footnote>
  <w:footnote w:id="197">
    <w:p w:rsidR="00810097" w:rsidRPr="00B60AD9" w:rsidP="00810097" w14:paraId="76332E7B" w14:textId="77777777">
      <w:pPr>
        <w:pStyle w:val="FootnoteText"/>
      </w:pPr>
      <w:r w:rsidRPr="00B60AD9">
        <w:rPr>
          <w:rStyle w:val="FootnoteReference"/>
        </w:rPr>
        <w:footnoteRef/>
      </w:r>
      <w:r w:rsidRPr="00B60AD9">
        <w:t xml:space="preserve"> </w:t>
      </w:r>
      <w:r w:rsidRPr="00B60AD9">
        <w:rPr>
          <w:i/>
          <w:iCs/>
        </w:rPr>
        <w:t>See, e.g.</w:t>
      </w:r>
      <w:r w:rsidRPr="00B60AD9">
        <w:t>, EPIC Comments at 7 (“[T]he Commission should not merely implement a Know Your Customer regime for commercial customers, . . . but also require that providers take sufficient steps to continue to monitor</w:t>
      </w:r>
      <w:r w:rsidRPr="00B60AD9">
        <w:t xml:space="preserve"> those commercial customers for indicators of illegal robocalling.”); </w:t>
      </w:r>
      <w:r w:rsidRPr="00B60AD9">
        <w:rPr>
          <w:i/>
          <w:iCs/>
        </w:rPr>
        <w:t xml:space="preserve">id. </w:t>
      </w:r>
      <w:r w:rsidRPr="00B60AD9">
        <w:t>at 15-17 (“There has been no evidence to suggest that residential End-Users are a major source of robocalls, and so data collection about them is unlikely to mitigate robocalls . . .</w:t>
      </w:r>
      <w:r w:rsidRPr="00B60AD9">
        <w:t xml:space="preserve"> .”); SCDCA Comments at 4 (“[T]he Department supports a ‘know your customer’ certification to help protect against identity thieves using stolen identities to obtain numbers . . . .”); NAAG Reply at 7 (arguing that a broader approach than merely requiring </w:t>
      </w:r>
      <w:r w:rsidRPr="00B60AD9">
        <w:t>applicants to certify that they know their customer through customer identity verification is necessary); RingCentral et al. Reply at 5-6 (arguing that adopting a know-your-customer certification would “encumber[] the VoIP direct access process”).</w:t>
      </w:r>
    </w:p>
  </w:footnote>
  <w:footnote w:id="198">
    <w:p w:rsidR="00810097" w:rsidRPr="00B60AD9" w:rsidP="00810097" w14:paraId="248B1634" w14:textId="77777777">
      <w:pPr>
        <w:pStyle w:val="FootnoteText"/>
      </w:pPr>
      <w:r w:rsidRPr="00B60AD9">
        <w:rPr>
          <w:rStyle w:val="FootnoteReference"/>
        </w:rPr>
        <w:footnoteRef/>
      </w:r>
      <w:r w:rsidRPr="00B60AD9">
        <w:t xml:space="preserve"> </w:t>
      </w:r>
      <w:r w:rsidRPr="00B60AD9">
        <w:rPr>
          <w:i/>
          <w:iCs/>
        </w:rPr>
        <w:t>See in</w:t>
      </w:r>
      <w:r w:rsidRPr="00B60AD9">
        <w:rPr>
          <w:i/>
          <w:iCs/>
        </w:rPr>
        <w:t xml:space="preserve">fra </w:t>
      </w:r>
      <w:r w:rsidRPr="00B60AD9">
        <w:t>Part III.C.</w:t>
      </w:r>
    </w:p>
  </w:footnote>
  <w:footnote w:id="199">
    <w:p w:rsidR="00810097" w:rsidRPr="00B60AD9" w:rsidP="00810097" w14:paraId="299F9EBB" w14:textId="77777777">
      <w:pPr>
        <w:pStyle w:val="FootnoteText"/>
      </w:pPr>
      <w:r w:rsidRPr="00B60AD9">
        <w:rPr>
          <w:rStyle w:val="FootnoteReference"/>
        </w:rPr>
        <w:footnoteRef/>
      </w:r>
      <w:r w:rsidRPr="00B60AD9">
        <w:t xml:space="preserve"> </w:t>
      </w:r>
      <w:r w:rsidRPr="00B60AD9">
        <w:rPr>
          <w:i/>
          <w:iCs/>
          <w:snapToGrid w:val="0"/>
        </w:rPr>
        <w:t>VoIP Direct Access Further Notice</w:t>
      </w:r>
      <w:r w:rsidRPr="00B60AD9">
        <w:rPr>
          <w:snapToGrid w:val="0"/>
        </w:rPr>
        <w:t>, 36 FCC Rcd at 12923-24, paras. 34-35</w:t>
      </w:r>
      <w:r w:rsidRPr="00B60AD9">
        <w:t>.</w:t>
      </w:r>
    </w:p>
  </w:footnote>
  <w:footnote w:id="200">
    <w:p w:rsidR="00810097" w:rsidRPr="00B60AD9" w:rsidP="00810097" w14:paraId="6B992B19" w14:textId="77777777">
      <w:pPr>
        <w:pStyle w:val="FootnoteText"/>
      </w:pPr>
      <w:r w:rsidRPr="00B60AD9">
        <w:rPr>
          <w:rStyle w:val="FootnoteReference"/>
        </w:rPr>
        <w:footnoteRef/>
      </w:r>
      <w:r w:rsidRPr="00B60AD9">
        <w:t xml:space="preserve"> </w:t>
      </w:r>
      <w:r w:rsidRPr="00B60AD9">
        <w:rPr>
          <w:i/>
          <w:iCs/>
        </w:rPr>
        <w:t>See VoIP Direct Access Order</w:t>
      </w:r>
      <w:r w:rsidRPr="00B60AD9">
        <w:t>, 30 FCC Rcd at 6858, para. 39.</w:t>
      </w:r>
    </w:p>
  </w:footnote>
  <w:footnote w:id="201">
    <w:p w:rsidR="00810097" w:rsidRPr="00B60AD9" w:rsidP="00810097" w14:paraId="6E173CA4" w14:textId="77777777">
      <w:pPr>
        <w:pStyle w:val="FootnoteText"/>
      </w:pPr>
      <w:r w:rsidRPr="00B60AD9">
        <w:rPr>
          <w:rStyle w:val="FootnoteReference"/>
        </w:rPr>
        <w:footnoteRef/>
      </w:r>
      <w:r w:rsidRPr="00B60AD9">
        <w:t xml:space="preserve"> </w:t>
      </w:r>
      <w:r w:rsidRPr="00B60AD9">
        <w:rPr>
          <w:i/>
          <w:iCs/>
        </w:rPr>
        <w:t xml:space="preserve">See supra </w:t>
      </w:r>
      <w:r w:rsidRPr="00B60AD9">
        <w:t>paras. 24-25.</w:t>
      </w:r>
    </w:p>
  </w:footnote>
  <w:footnote w:id="202">
    <w:p w:rsidR="00810097" w:rsidRPr="00B60AD9" w:rsidP="00810097" w14:paraId="0C7E4269" w14:textId="77777777">
      <w:pPr>
        <w:pStyle w:val="FootnoteText"/>
      </w:pPr>
      <w:r w:rsidRPr="00B60AD9">
        <w:rPr>
          <w:rStyle w:val="FootnoteReference"/>
        </w:rPr>
        <w:footnoteRef/>
      </w:r>
      <w:r w:rsidRPr="00B60AD9">
        <w:t xml:space="preserve"> 5 U.S.C. §§ 551-559; </w:t>
      </w:r>
      <w:r w:rsidRPr="00B60AD9">
        <w:rPr>
          <w:i/>
          <w:iCs/>
        </w:rPr>
        <w:t xml:space="preserve">id. </w:t>
      </w:r>
      <w:r w:rsidRPr="00B60AD9">
        <w:t xml:space="preserve">§ 706(2)(E); 47 CFR § </w:t>
      </w:r>
      <w:r w:rsidRPr="00B60AD9">
        <w:t>52.15(g)(3)(iii)(A)-(D) (listing four bases on which the Bureau may halt a streamlined auto-grant of an application).</w:t>
      </w:r>
    </w:p>
  </w:footnote>
  <w:footnote w:id="203">
    <w:p w:rsidR="00810097" w:rsidRPr="00B60AD9" w:rsidP="00810097" w14:paraId="62C68019" w14:textId="77777777">
      <w:pPr>
        <w:pStyle w:val="FootnoteText"/>
      </w:pPr>
      <w:r w:rsidRPr="00B60AD9">
        <w:rPr>
          <w:rStyle w:val="FootnoteReference"/>
        </w:rPr>
        <w:footnoteRef/>
      </w:r>
      <w:r w:rsidRPr="00B60AD9">
        <w:t xml:space="preserve"> </w:t>
      </w:r>
      <w:r w:rsidRPr="00B60AD9">
        <w:rPr>
          <w:i/>
          <w:iCs/>
          <w:snapToGrid w:val="0"/>
        </w:rPr>
        <w:t>VoIP Direct Access Further Notice</w:t>
      </w:r>
      <w:r w:rsidRPr="00B60AD9">
        <w:rPr>
          <w:snapToGrid w:val="0"/>
        </w:rPr>
        <w:t>, 36 FCC Rcd at 12923, para. 34</w:t>
      </w:r>
      <w:r w:rsidRPr="00B60AD9">
        <w:t>; Appx. A, § 52.15(g)(3)(v).</w:t>
      </w:r>
    </w:p>
  </w:footnote>
  <w:footnote w:id="204">
    <w:p w:rsidR="00810097" w:rsidRPr="00B60AD9" w:rsidP="00810097" w14:paraId="742D23A2" w14:textId="77777777">
      <w:pPr>
        <w:pStyle w:val="FootnoteText"/>
      </w:pPr>
      <w:r w:rsidRPr="00B60AD9">
        <w:rPr>
          <w:rStyle w:val="FootnoteReference"/>
        </w:rPr>
        <w:footnoteRef/>
      </w:r>
      <w:r w:rsidRPr="00B60AD9">
        <w:t xml:space="preserve"> Twilio Comments at 7; </w:t>
      </w:r>
      <w:r w:rsidRPr="00B60AD9">
        <w:rPr>
          <w:i/>
          <w:iCs/>
        </w:rPr>
        <w:t xml:space="preserve">see also </w:t>
      </w:r>
      <w:r w:rsidRPr="00B60AD9">
        <w:t xml:space="preserve">Bandwidth </w:t>
      </w:r>
      <w:r w:rsidRPr="00B60AD9">
        <w:t>Comments at 17 (supporting non-streamlined processing if an application raises concerns about arbitrage or illegal robocalling).</w:t>
      </w:r>
    </w:p>
  </w:footnote>
  <w:footnote w:id="205">
    <w:p w:rsidR="00810097" w:rsidRPr="00B60AD9" w:rsidP="00810097" w14:paraId="02BCF4EB" w14:textId="77777777">
      <w:pPr>
        <w:pStyle w:val="FootnoteText"/>
      </w:pPr>
      <w:r w:rsidRPr="00B60AD9">
        <w:rPr>
          <w:rStyle w:val="FootnoteReference"/>
        </w:rPr>
        <w:footnoteRef/>
      </w:r>
      <w:r w:rsidRPr="00B60AD9">
        <w:t xml:space="preserve"> </w:t>
      </w:r>
      <w:r w:rsidRPr="00B60AD9">
        <w:rPr>
          <w:i/>
          <w:iCs/>
        </w:rPr>
        <w:t xml:space="preserve">See </w:t>
      </w:r>
      <w:r w:rsidRPr="00B60AD9">
        <w:t>Appx. A, § 52.15(g)(3)(iv).</w:t>
      </w:r>
    </w:p>
  </w:footnote>
  <w:footnote w:id="206">
    <w:p w:rsidR="00810097" w:rsidRPr="00B60AD9" w:rsidP="00810097" w14:paraId="260C809D" w14:textId="77777777">
      <w:pPr>
        <w:pStyle w:val="FootnoteText"/>
      </w:pPr>
      <w:r w:rsidRPr="00B60AD9">
        <w:rPr>
          <w:rStyle w:val="FootnoteReference"/>
        </w:rPr>
        <w:footnoteRef/>
      </w:r>
      <w:r w:rsidRPr="00B60AD9">
        <w:t xml:space="preserve"> </w:t>
      </w:r>
      <w:r w:rsidRPr="00B60AD9">
        <w:rPr>
          <w:i/>
          <w:iCs/>
        </w:rPr>
        <w:t>See International Section 214 Authorization Order and Notice</w:t>
      </w:r>
      <w:r w:rsidRPr="00B60AD9">
        <w:t xml:space="preserve"> at 9, para. 9.</w:t>
      </w:r>
    </w:p>
  </w:footnote>
  <w:footnote w:id="207">
    <w:p w:rsidR="00810097" w:rsidRPr="00B60AD9" w:rsidP="00810097" w14:paraId="48AEC514" w14:textId="77777777">
      <w:pPr>
        <w:pStyle w:val="FootnoteText"/>
      </w:pPr>
      <w:r w:rsidRPr="00B60AD9">
        <w:rPr>
          <w:rStyle w:val="FootnoteReference"/>
        </w:rPr>
        <w:footnoteRef/>
      </w:r>
      <w:r w:rsidRPr="00B60AD9">
        <w:t xml:space="preserve"> 47 CFR § 1.74</w:t>
      </w:r>
      <w:r w:rsidRPr="00B60AD9">
        <w:t>5.</w:t>
      </w:r>
    </w:p>
  </w:footnote>
  <w:footnote w:id="208">
    <w:p w:rsidR="00810097" w:rsidRPr="00B60AD9" w:rsidP="00810097" w14:paraId="73CB6A07" w14:textId="77777777">
      <w:pPr>
        <w:pStyle w:val="FootnoteText"/>
      </w:pPr>
      <w:r w:rsidRPr="00B60AD9">
        <w:rPr>
          <w:rStyle w:val="FootnoteReference"/>
        </w:rPr>
        <w:footnoteRef/>
      </w:r>
      <w:r w:rsidRPr="00B60AD9">
        <w:t xml:space="preserve"> The majority of commenters supported Commission efforts to fight illegal robocalling and fraud, and staff diligence in reviewing applications and coordination with the Enforcement Bureau is part of ensuring potential robocallers do not gain access to </w:t>
      </w:r>
      <w:r w:rsidRPr="00B60AD9">
        <w:t xml:space="preserve">numbering resources.  </w:t>
      </w:r>
      <w:r w:rsidRPr="00B60AD9">
        <w:rPr>
          <w:i/>
          <w:iCs/>
        </w:rPr>
        <w:t>See,</w:t>
      </w:r>
      <w:r w:rsidRPr="00B60AD9">
        <w:t xml:space="preserve"> </w:t>
      </w:r>
      <w:r w:rsidRPr="00B60AD9">
        <w:rPr>
          <w:i/>
          <w:iCs/>
        </w:rPr>
        <w:t>e.g.</w:t>
      </w:r>
      <w:r w:rsidRPr="00B60AD9">
        <w:t>, Bandwidth Comments at 7, 10.</w:t>
      </w:r>
    </w:p>
  </w:footnote>
  <w:footnote w:id="209">
    <w:p w:rsidR="00810097" w:rsidRPr="00B60AD9" w:rsidP="00810097" w14:paraId="0B22ADEC" w14:textId="77777777">
      <w:pPr>
        <w:pStyle w:val="FootnoteText"/>
      </w:pPr>
      <w:r w:rsidRPr="00B60AD9">
        <w:rPr>
          <w:rStyle w:val="FootnoteReference"/>
        </w:rPr>
        <w:footnoteRef/>
      </w:r>
      <w:r w:rsidRPr="00B60AD9">
        <w:t xml:space="preserve"> </w:t>
      </w:r>
      <w:r w:rsidRPr="00B60AD9">
        <w:rPr>
          <w:i/>
          <w:iCs/>
        </w:rPr>
        <w:t xml:space="preserve">See </w:t>
      </w:r>
      <w:r w:rsidRPr="00B60AD9">
        <w:rPr>
          <w:i/>
          <w:iCs/>
          <w:snapToGrid w:val="0"/>
        </w:rPr>
        <w:t>VoIP Direct Access Further Notice</w:t>
      </w:r>
      <w:r w:rsidRPr="00B60AD9">
        <w:rPr>
          <w:snapToGrid w:val="0"/>
        </w:rPr>
        <w:t>, 36 FCC Rcd at 12923-24, paras. 34-36</w:t>
      </w:r>
      <w:r w:rsidRPr="00B60AD9">
        <w:t>;</w:t>
      </w:r>
      <w:r w:rsidRPr="00B60AD9">
        <w:rPr>
          <w:i/>
          <w:iCs/>
        </w:rPr>
        <w:t xml:space="preserve"> </w:t>
      </w:r>
      <w:r w:rsidRPr="00B60AD9">
        <w:t>Appx. A, § 52.15(g)(3)(vii).  By “reject” we mean either dismiss or deny depending on the specifics of any particul</w:t>
      </w:r>
      <w:r w:rsidRPr="00B60AD9">
        <w:t>ar application and the reason for its rejection.</w:t>
      </w:r>
    </w:p>
  </w:footnote>
  <w:footnote w:id="210">
    <w:p w:rsidR="00810097" w:rsidRPr="00B60AD9" w:rsidP="00810097" w14:paraId="4C76DA8D" w14:textId="77777777">
      <w:pPr>
        <w:pStyle w:val="FootnoteText"/>
      </w:pPr>
      <w:r w:rsidRPr="00B60AD9">
        <w:rPr>
          <w:rStyle w:val="FootnoteReference"/>
        </w:rPr>
        <w:footnoteRef/>
      </w:r>
      <w:r w:rsidRPr="00B60AD9">
        <w:t xml:space="preserve"> </w:t>
      </w:r>
      <w:r w:rsidRPr="00B60AD9">
        <w:rPr>
          <w:i/>
          <w:iCs/>
          <w:snapToGrid w:val="0"/>
        </w:rPr>
        <w:t>VoIP Direct Access Further Notice</w:t>
      </w:r>
      <w:r w:rsidRPr="00B60AD9">
        <w:rPr>
          <w:snapToGrid w:val="0"/>
        </w:rPr>
        <w:t>, 36 FCC Rcd at 12924, para. 36</w:t>
      </w:r>
      <w:r w:rsidRPr="00B60AD9">
        <w:t>.  Such behavior would include, for example, knowingly transmitting illegal robocalls or engaging in illegal Access Stimulation.</w:t>
      </w:r>
    </w:p>
  </w:footnote>
  <w:footnote w:id="211">
    <w:p w:rsidR="00810097" w:rsidRPr="00B60AD9" w:rsidP="00810097" w14:paraId="06AB2652" w14:textId="77777777">
      <w:pPr>
        <w:pStyle w:val="FootnoteText"/>
      </w:pPr>
      <w:r w:rsidRPr="00B60AD9">
        <w:rPr>
          <w:rStyle w:val="FootnoteReference"/>
        </w:rPr>
        <w:footnoteRef/>
      </w:r>
      <w:r w:rsidRPr="00B60AD9">
        <w:t xml:space="preserve"> </w:t>
      </w:r>
      <w:r w:rsidRPr="00B60AD9">
        <w:rPr>
          <w:i/>
          <w:iCs/>
        </w:rPr>
        <w:t xml:space="preserve">See supra </w:t>
      </w:r>
      <w:r w:rsidRPr="00B60AD9">
        <w:t>Part III.A.5.</w:t>
      </w:r>
    </w:p>
  </w:footnote>
  <w:footnote w:id="212">
    <w:p w:rsidR="00810097" w:rsidRPr="00B60AD9" w:rsidP="00810097" w14:paraId="6EE9DC1F" w14:textId="77777777">
      <w:pPr>
        <w:pStyle w:val="FootnoteText"/>
      </w:pPr>
      <w:r w:rsidRPr="00B60AD9">
        <w:rPr>
          <w:rStyle w:val="FootnoteReference"/>
        </w:rPr>
        <w:footnoteRef/>
      </w:r>
      <w:r w:rsidRPr="00B60AD9">
        <w:t xml:space="preserve"> </w:t>
      </w:r>
      <w:r w:rsidRPr="00B60AD9">
        <w:rPr>
          <w:i/>
          <w:iCs/>
        </w:rPr>
        <w:t xml:space="preserve">See supra </w:t>
      </w:r>
      <w:r w:rsidRPr="00B60AD9">
        <w:t>Part III.A.2.</w:t>
      </w:r>
    </w:p>
  </w:footnote>
  <w:footnote w:id="213">
    <w:p w:rsidR="00810097" w:rsidRPr="00B60AD9" w:rsidP="00810097" w14:paraId="1CAE8447" w14:textId="77777777">
      <w:pPr>
        <w:pStyle w:val="FootnoteText"/>
      </w:pPr>
      <w:r w:rsidRPr="00B60AD9">
        <w:rPr>
          <w:rStyle w:val="FootnoteReference"/>
        </w:rPr>
        <w:footnoteRef/>
      </w:r>
      <w:r w:rsidRPr="00B60AD9">
        <w:t xml:space="preserve"> The record supports this action with no opposition.  </w:t>
      </w:r>
      <w:r w:rsidRPr="00B60AD9">
        <w:rPr>
          <w:i/>
          <w:iCs/>
        </w:rPr>
        <w:t xml:space="preserve">See </w:t>
      </w:r>
      <w:r w:rsidRPr="00B60AD9">
        <w:t>Bandwidth Comments at 17; NAAG Comments at 5.</w:t>
      </w:r>
    </w:p>
  </w:footnote>
  <w:footnote w:id="214">
    <w:p w:rsidR="00810097" w:rsidRPr="00B60AD9" w:rsidP="00810097" w14:paraId="3CE37DC5"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12924-25, para. 37.  The Commission’s Bureaus and Offices ha</w:t>
      </w:r>
      <w:r w:rsidRPr="00B60AD9">
        <w:t xml:space="preserve">ve revoked and/or terminated licenses and authorizations where warranted and within the scope of their authority.  </w:t>
      </w:r>
      <w:r w:rsidRPr="00B60AD9">
        <w:rPr>
          <w:i/>
          <w:iCs/>
        </w:rPr>
        <w:t xml:space="preserve">See </w:t>
      </w:r>
      <w:r w:rsidRPr="00B60AD9">
        <w:rPr>
          <w:i/>
        </w:rPr>
        <w:t>id.</w:t>
      </w:r>
      <w:r w:rsidRPr="00B60AD9">
        <w:t xml:space="preserve"> at 12924, para. 37 n.106; </w:t>
      </w:r>
      <w:r w:rsidRPr="00B60AD9">
        <w:rPr>
          <w:i/>
          <w:iCs/>
        </w:rPr>
        <w:t>China Telecom (Americas) Corporation</w:t>
      </w:r>
      <w:r w:rsidRPr="00B60AD9">
        <w:t>, GN Docket No. 20-109, Order on Revocation and Termination, 36 FCC Rcd 15966 (2021) (</w:t>
      </w:r>
      <w:r w:rsidRPr="00B60AD9">
        <w:rPr>
          <w:i/>
          <w:iCs/>
        </w:rPr>
        <w:t>China Telecom Americas Order on Revocation and Termination</w:t>
      </w:r>
      <w:r w:rsidRPr="00B60AD9">
        <w:t xml:space="preserve">), </w:t>
      </w:r>
      <w:r w:rsidRPr="00B60AD9">
        <w:rPr>
          <w:i/>
          <w:iCs/>
        </w:rPr>
        <w:t>aff’d</w:t>
      </w:r>
      <w:r w:rsidRPr="00B60AD9">
        <w:t xml:space="preserve">, </w:t>
      </w:r>
      <w:r w:rsidRPr="00B60AD9">
        <w:rPr>
          <w:i/>
          <w:iCs/>
        </w:rPr>
        <w:t>China Telecom (Americas) Corp. v. FCC</w:t>
      </w:r>
      <w:r w:rsidRPr="00B60AD9">
        <w:t>, 57 F.4th 256 (D.C. Cir. 2022) (</w:t>
      </w:r>
      <w:r w:rsidRPr="00B60AD9">
        <w:rPr>
          <w:i/>
          <w:iCs/>
        </w:rPr>
        <w:t>China Telecom Revocation and Ter</w:t>
      </w:r>
      <w:r w:rsidRPr="00B60AD9">
        <w:rPr>
          <w:i/>
          <w:iCs/>
        </w:rPr>
        <w:t>mination</w:t>
      </w:r>
      <w:r w:rsidRPr="00B60AD9">
        <w:t xml:space="preserve">); </w:t>
      </w:r>
      <w:r w:rsidRPr="00B60AD9">
        <w:rPr>
          <w:i/>
        </w:rPr>
        <w:t>China Unicom (Americas) Operations Limited</w:t>
      </w:r>
      <w:r w:rsidRPr="00B60AD9">
        <w:t>, GN Docket No. 20-110, File Nos. ITC-214-20020728-00361, ITC-214-20020724-00427, Order on Revocation, 37 FCC Rcd 1480 (2022) (</w:t>
      </w:r>
      <w:r w:rsidRPr="00B60AD9">
        <w:rPr>
          <w:i/>
        </w:rPr>
        <w:t>China Unicom Americas Order on Revocation</w:t>
      </w:r>
      <w:r w:rsidRPr="00B60AD9">
        <w:t xml:space="preserve">) (9th Cir. argued Feb. 15, 2023); </w:t>
      </w:r>
      <w:r w:rsidRPr="00B60AD9">
        <w:rPr>
          <w:i/>
          <w:iCs/>
        </w:rPr>
        <w:t>Pacific Networks Corp. and ComNet (USA) LLC</w:t>
      </w:r>
      <w:r w:rsidRPr="00B60AD9">
        <w:t>, GN Docket No. 20-111, File Nos. ITC-214-20090105-00006, ITC-214-20090424-00199, Order on Revocation and Termination, 37 FCC Rcd 4220 (2022) (</w:t>
      </w:r>
      <w:r w:rsidRPr="00B60AD9">
        <w:rPr>
          <w:i/>
          <w:iCs/>
        </w:rPr>
        <w:t xml:space="preserve">Pacific Networks/ComNet Order on Revocation and </w:t>
      </w:r>
      <w:r w:rsidRPr="00B60AD9">
        <w:rPr>
          <w:i/>
        </w:rPr>
        <w:t>Termination</w:t>
      </w:r>
      <w:r w:rsidRPr="00B60AD9">
        <w:rPr>
          <w:iCs/>
        </w:rPr>
        <w:t xml:space="preserve">), </w:t>
      </w:r>
      <w:r w:rsidRPr="00B60AD9">
        <w:rPr>
          <w:i/>
          <w:iCs/>
        </w:rPr>
        <w:t>aff’d</w:t>
      </w:r>
      <w:r w:rsidRPr="00B60AD9">
        <w:t xml:space="preserve">, </w:t>
      </w:r>
      <w:r w:rsidRPr="00B60AD9">
        <w:rPr>
          <w:i/>
          <w:iCs/>
        </w:rPr>
        <w:t>P</w:t>
      </w:r>
      <w:r w:rsidRPr="00B60AD9">
        <w:rPr>
          <w:i/>
          <w:iCs/>
        </w:rPr>
        <w:t>acific Networks Corp. v. FCC</w:t>
      </w:r>
      <w:r w:rsidRPr="00B60AD9">
        <w:t xml:space="preserve">, 2023 WL 5209560 (D.C. Cir. 2023); </w:t>
      </w:r>
      <w:r w:rsidRPr="00B60AD9">
        <w:rPr>
          <w:i/>
          <w:iCs/>
        </w:rPr>
        <w:t>WX Communications Ltd.</w:t>
      </w:r>
      <w:r w:rsidRPr="00B60AD9">
        <w:t xml:space="preserve">; </w:t>
      </w:r>
      <w:r w:rsidRPr="00B60AD9">
        <w:rPr>
          <w:i/>
          <w:iCs/>
        </w:rPr>
        <w:t>Termination of International Section 214 Authorization</w:t>
      </w:r>
      <w:r w:rsidRPr="00B60AD9">
        <w:t xml:space="preserve">, Order, 34 FCC Rcd 1028 (IB-TAD 2019) (terminating international section 214 authorization for failure to comply </w:t>
      </w:r>
      <w:r w:rsidRPr="00B60AD9">
        <w:t xml:space="preserve">with mitigation agreement); </w:t>
      </w:r>
      <w:r w:rsidRPr="00B60AD9">
        <w:rPr>
          <w:i/>
          <w:iCs/>
        </w:rPr>
        <w:t>see also, e.g.</w:t>
      </w:r>
      <w:r w:rsidRPr="00B60AD9">
        <w:t xml:space="preserve">, </w:t>
      </w:r>
      <w:r w:rsidRPr="00B60AD9">
        <w:rPr>
          <w:i/>
          <w:iCs/>
        </w:rPr>
        <w:t>LDC Telecommunications, Inc</w:t>
      </w:r>
      <w:r w:rsidRPr="00B60AD9">
        <w:t>., File No. ITC-214-20080523-00238, Revocation Order, 31 FCC Rcd 11661, 11662, para. 5 (EB-TCD, IB-TAD &amp; WCB-CPD 2016) (</w:t>
      </w:r>
      <w:r w:rsidRPr="00B60AD9">
        <w:rPr>
          <w:i/>
          <w:iCs/>
        </w:rPr>
        <w:t>LDC Telecommunications, Inc.</w:t>
      </w:r>
      <w:r w:rsidRPr="00B60AD9">
        <w:t>) (revoking the carrier’s domestic se</w:t>
      </w:r>
      <w:r w:rsidRPr="00B60AD9">
        <w:t>ction 214 authority and international section 214 authorization for failure to pay regulatory fees after the carrier failed to respond to an order to show cause).</w:t>
      </w:r>
    </w:p>
  </w:footnote>
  <w:footnote w:id="215">
    <w:p w:rsidR="00810097" w:rsidRPr="00B60AD9" w:rsidP="00810097" w14:paraId="34202475" w14:textId="77777777">
      <w:pPr>
        <w:pStyle w:val="FootnoteText"/>
      </w:pPr>
      <w:r w:rsidRPr="00B60AD9">
        <w:rPr>
          <w:rStyle w:val="FootnoteReference"/>
        </w:rPr>
        <w:footnoteRef/>
      </w:r>
      <w:r w:rsidRPr="00B60AD9">
        <w:t xml:space="preserve"> </w:t>
      </w:r>
      <w:r w:rsidRPr="00B60AD9">
        <w:rPr>
          <w:i/>
          <w:iCs/>
        </w:rPr>
        <w:t>See</w:t>
      </w:r>
      <w:r w:rsidRPr="00B60AD9">
        <w:t xml:space="preserve"> 47 CFR pt</w:t>
      </w:r>
      <w:r>
        <w:t>.</w:t>
      </w:r>
      <w:r w:rsidRPr="00B60AD9">
        <w:t xml:space="preserve"> 52. </w:t>
      </w:r>
    </w:p>
  </w:footnote>
  <w:footnote w:id="216">
    <w:p w:rsidR="00810097" w:rsidRPr="00B60AD9" w:rsidP="00810097" w14:paraId="502370B9" w14:textId="77777777">
      <w:pPr>
        <w:pStyle w:val="FootnoteText"/>
      </w:pPr>
      <w:r w:rsidRPr="00B60AD9">
        <w:rPr>
          <w:rStyle w:val="FootnoteReference"/>
        </w:rPr>
        <w:footnoteRef/>
      </w:r>
      <w:r w:rsidRPr="00B60AD9">
        <w:t xml:space="preserve"> The Commission uses the term “termination” where an authorization is </w:t>
      </w:r>
      <w:r w:rsidRPr="00B60AD9">
        <w:t xml:space="preserve">terminated based on the authorization holder’s failure to comply with a condition of the authorization, and has determined that the procedures applicable to termination need not mirror the procedures used for revocation of authorizations.  </w:t>
      </w:r>
      <w:r w:rsidRPr="00B60AD9">
        <w:rPr>
          <w:i/>
          <w:iCs/>
        </w:rPr>
        <w:t>See China Teleco</w:t>
      </w:r>
      <w:r w:rsidRPr="00B60AD9">
        <w:rPr>
          <w:i/>
          <w:iCs/>
        </w:rPr>
        <w:t>m Americas Order on Revocation and Termination</w:t>
      </w:r>
      <w:r w:rsidRPr="00B60AD9">
        <w:t xml:space="preserve">, 36 FCC Rcd at 15988, para. 35; </w:t>
      </w:r>
      <w:r w:rsidRPr="00B60AD9">
        <w:rPr>
          <w:i/>
          <w:iCs/>
        </w:rPr>
        <w:t>see also id.</w:t>
      </w:r>
      <w:r w:rsidRPr="00B60AD9">
        <w:t xml:space="preserve"> at 15989, para. 36 (“[S]ection 558(c)(2) does not grant a substantive right to escape from a condition that </w:t>
      </w:r>
      <w:r w:rsidRPr="00B60AD9">
        <w:rPr>
          <w:bdr w:val="none" w:sz="0" w:space="0" w:color="auto" w:frame="1"/>
          <w:shd w:val="clear" w:color="auto" w:fill="FFFFFF"/>
        </w:rPr>
        <w:t>terminates</w:t>
      </w:r>
      <w:r w:rsidRPr="00B60AD9">
        <w:t xml:space="preserve"> a license.”); </w:t>
      </w:r>
      <w:r w:rsidRPr="00B60AD9">
        <w:rPr>
          <w:rStyle w:val="Emphasis"/>
          <w:bdr w:val="none" w:sz="0" w:space="0" w:color="auto" w:frame="1"/>
          <w:shd w:val="clear" w:color="auto" w:fill="FFFFFF"/>
        </w:rPr>
        <w:t>Atlantic Richfield Co. v. Unite</w:t>
      </w:r>
      <w:r w:rsidRPr="00B60AD9">
        <w:rPr>
          <w:rStyle w:val="Emphasis"/>
          <w:bdr w:val="none" w:sz="0" w:space="0" w:color="auto" w:frame="1"/>
          <w:shd w:val="clear" w:color="auto" w:fill="FFFFFF"/>
        </w:rPr>
        <w:t>d States</w:t>
      </w:r>
      <w:r w:rsidRPr="00B60AD9">
        <w:rPr>
          <w:bdr w:val="none" w:sz="0" w:space="0" w:color="auto" w:frame="1"/>
          <w:shd w:val="clear" w:color="auto" w:fill="FFFFFF"/>
        </w:rPr>
        <w:t>, 774 F.2d 1193, 1200-01 (D.C. Cir. 1985)</w:t>
      </w:r>
      <w:r w:rsidRPr="00B60AD9">
        <w:rPr>
          <w:shd w:val="clear" w:color="auto" w:fill="FFFFFF"/>
        </w:rPr>
        <w:t xml:space="preserve"> (holding that the procedural requirements of </w:t>
      </w:r>
      <w:hyperlink r:id="rId26" w:anchor="co_pp_4b24000003ba5" w:history="1">
        <w:r w:rsidRPr="00B60AD9">
          <w:rPr>
            <w:rStyle w:val="Hyperlink"/>
            <w:color w:val="auto"/>
            <w:u w:val="none"/>
            <w:bdr w:val="none" w:sz="0" w:space="0" w:color="auto" w:frame="1"/>
            <w:shd w:val="clear" w:color="auto" w:fill="FFFFFF"/>
          </w:rPr>
          <w:t>section 558(c)</w:t>
        </w:r>
      </w:hyperlink>
      <w:r w:rsidRPr="00B60AD9">
        <w:rPr>
          <w:shd w:val="clear" w:color="auto" w:fill="FFFFFF"/>
        </w:rPr>
        <w:t xml:space="preserve"> apply only where “the licensee [may] be able to </w:t>
      </w:r>
      <w:r w:rsidRPr="00B60AD9">
        <w:rPr>
          <w:shd w:val="clear" w:color="auto" w:fill="FFFFFF"/>
        </w:rPr>
        <w:t>establish compliance with all legal requirements or . . .  change its conduct in a manner that will put its house in lawful order”) (internal quotation and citations omitted).</w:t>
      </w:r>
    </w:p>
  </w:footnote>
  <w:footnote w:id="217">
    <w:p w:rsidR="00810097" w:rsidRPr="00B60AD9" w:rsidP="00810097" w14:paraId="7AA84956" w14:textId="77777777">
      <w:pPr>
        <w:pStyle w:val="FootnoteText"/>
        <w:rPr>
          <w:b/>
          <w:bCs/>
        </w:rPr>
      </w:pPr>
      <w:r w:rsidRPr="00B60AD9">
        <w:rPr>
          <w:rStyle w:val="FootnoteReference"/>
        </w:rPr>
        <w:footnoteRef/>
      </w:r>
      <w:r w:rsidRPr="00B60AD9">
        <w:t xml:space="preserve"> </w:t>
      </w:r>
      <w:r w:rsidRPr="00B60AD9">
        <w:rPr>
          <w:i/>
          <w:iCs/>
        </w:rPr>
        <w:t xml:space="preserve">VoIP Direct Access Further Notice </w:t>
      </w:r>
      <w:r w:rsidRPr="00B60AD9">
        <w:t xml:space="preserve">at 12924-25, para. 37; </w:t>
      </w:r>
      <w:r w:rsidRPr="00B60AD9">
        <w:rPr>
          <w:i/>
          <w:iCs/>
        </w:rPr>
        <w:t xml:space="preserve">see </w:t>
      </w:r>
      <w:r w:rsidRPr="00B60AD9">
        <w:t>Appx. A, § 52.15(</w:t>
      </w:r>
      <w:r w:rsidRPr="00B60AD9">
        <w:t xml:space="preserve">g)(3)(viii); </w:t>
      </w:r>
      <w:r w:rsidRPr="00B60AD9">
        <w:rPr>
          <w:i/>
          <w:iCs/>
        </w:rPr>
        <w:t>China Telecom Americas Order on Revocation and Termination</w:t>
      </w:r>
      <w:r w:rsidRPr="00B60AD9">
        <w:t xml:space="preserve">, 36 FCC Rcd at 15966-67, para. 1, </w:t>
      </w:r>
      <w:r w:rsidRPr="00B60AD9">
        <w:rPr>
          <w:i/>
          <w:iCs/>
        </w:rPr>
        <w:t>aff’d</w:t>
      </w:r>
      <w:r w:rsidRPr="00B60AD9">
        <w:t xml:space="preserve">, </w:t>
      </w:r>
      <w:r w:rsidRPr="00B60AD9">
        <w:rPr>
          <w:i/>
          <w:iCs/>
        </w:rPr>
        <w:t>China Telecom (Americas) Corp. v. FCC</w:t>
      </w:r>
      <w:r w:rsidRPr="00B60AD9">
        <w:t>, 57 F.4th 256 (“In this Order on Revocation and Termination (Order), we revoke China Telecom (Americas)</w:t>
      </w:r>
      <w:r w:rsidRPr="00B60AD9">
        <w:rPr>
          <w:spacing w:val="-4"/>
        </w:rPr>
        <w:t xml:space="preserve"> </w:t>
      </w:r>
      <w:r w:rsidRPr="00B60AD9">
        <w:t>C</w:t>
      </w:r>
      <w:r w:rsidRPr="00B60AD9">
        <w:t>orporation’s</w:t>
      </w:r>
      <w:r w:rsidRPr="00B60AD9">
        <w:rPr>
          <w:spacing w:val="-4"/>
        </w:rPr>
        <w:t xml:space="preserve"> </w:t>
      </w:r>
      <w:r w:rsidRPr="00B60AD9">
        <w:t>(CTA)</w:t>
      </w:r>
      <w:r w:rsidRPr="00B60AD9">
        <w:rPr>
          <w:spacing w:val="-4"/>
        </w:rPr>
        <w:t xml:space="preserve"> </w:t>
      </w:r>
      <w:r w:rsidRPr="00B60AD9">
        <w:t>domestic</w:t>
      </w:r>
      <w:r w:rsidRPr="00B60AD9">
        <w:rPr>
          <w:spacing w:val="-7"/>
        </w:rPr>
        <w:t xml:space="preserve"> </w:t>
      </w:r>
      <w:r w:rsidRPr="00B60AD9">
        <w:t>authority</w:t>
      </w:r>
      <w:r w:rsidRPr="00B60AD9">
        <w:rPr>
          <w:spacing w:val="-4"/>
        </w:rPr>
        <w:t xml:space="preserve"> </w:t>
      </w:r>
      <w:r w:rsidRPr="00B60AD9">
        <w:t>and</w:t>
      </w:r>
      <w:r w:rsidRPr="00B60AD9">
        <w:rPr>
          <w:spacing w:val="-4"/>
        </w:rPr>
        <w:t xml:space="preserve"> </w:t>
      </w:r>
      <w:r w:rsidRPr="00B60AD9">
        <w:t>revoke</w:t>
      </w:r>
      <w:r w:rsidRPr="00B60AD9">
        <w:rPr>
          <w:spacing w:val="-4"/>
        </w:rPr>
        <w:t xml:space="preserve"> </w:t>
      </w:r>
      <w:r w:rsidRPr="00B60AD9">
        <w:t>and</w:t>
      </w:r>
      <w:r w:rsidRPr="00B60AD9">
        <w:rPr>
          <w:spacing w:val="-4"/>
        </w:rPr>
        <w:t xml:space="preserve"> </w:t>
      </w:r>
      <w:r w:rsidRPr="00B60AD9">
        <w:t>terminate</w:t>
      </w:r>
      <w:r w:rsidRPr="00B60AD9">
        <w:rPr>
          <w:spacing w:val="-4"/>
        </w:rPr>
        <w:t xml:space="preserve"> </w:t>
      </w:r>
      <w:r w:rsidRPr="00B60AD9">
        <w:t>its</w:t>
      </w:r>
      <w:r w:rsidRPr="00B60AD9">
        <w:rPr>
          <w:spacing w:val="-4"/>
        </w:rPr>
        <w:t xml:space="preserve"> </w:t>
      </w:r>
      <w:r w:rsidRPr="00B60AD9">
        <w:t>international</w:t>
      </w:r>
      <w:r w:rsidRPr="00B60AD9">
        <w:rPr>
          <w:spacing w:val="-4"/>
        </w:rPr>
        <w:t xml:space="preserve"> </w:t>
      </w:r>
      <w:r w:rsidRPr="00B60AD9">
        <w:t xml:space="preserve">authority, pursuant to section 214 of the Communications Act of 1934, as amended (Act).”). </w:t>
      </w:r>
    </w:p>
  </w:footnote>
  <w:footnote w:id="218">
    <w:p w:rsidR="00810097" w:rsidRPr="00B60AD9" w:rsidP="00810097" w14:paraId="135090EA" w14:textId="77777777">
      <w:pPr>
        <w:widowControl/>
        <w:shd w:val="clear" w:color="auto" w:fill="FFFFFF"/>
        <w:spacing w:after="120"/>
        <w:rPr>
          <w:color w:val="000000"/>
          <w:sz w:val="20"/>
        </w:rPr>
      </w:pPr>
      <w:r w:rsidRPr="00B60AD9">
        <w:rPr>
          <w:rStyle w:val="FootnoteReference"/>
        </w:rPr>
        <w:footnoteRef/>
      </w:r>
      <w:r w:rsidRPr="00B60AD9">
        <w:rPr>
          <w:sz w:val="20"/>
        </w:rPr>
        <w:t xml:space="preserve"> In recent revocation proceedings, the Commission exercised its discretion to “‘re</w:t>
      </w:r>
      <w:r w:rsidRPr="00B60AD9">
        <w:rPr>
          <w:sz w:val="20"/>
        </w:rPr>
        <w:t>solve disputes of fact in an informal hearing proceeding on a written record,’” and reasonably determined that the issues raised in those cases could be properly resolved through the presentation and exchange of full written submissions before the Commissi</w:t>
      </w:r>
      <w:r w:rsidRPr="00B60AD9">
        <w:rPr>
          <w:sz w:val="20"/>
        </w:rPr>
        <w:t xml:space="preserve">on itself.  </w:t>
      </w:r>
      <w:r w:rsidRPr="00B60AD9">
        <w:rPr>
          <w:i/>
          <w:iCs/>
          <w:sz w:val="20"/>
        </w:rPr>
        <w:t>See China Telecom (Americas) Corp. v. FCC</w:t>
      </w:r>
      <w:r w:rsidRPr="00B60AD9">
        <w:rPr>
          <w:sz w:val="20"/>
        </w:rPr>
        <w:t xml:space="preserve">, 57 F.4th at 268-269; </w:t>
      </w:r>
      <w:r w:rsidRPr="00B60AD9">
        <w:rPr>
          <w:i/>
          <w:iCs/>
          <w:sz w:val="20"/>
        </w:rPr>
        <w:t>Pacific Networks Corp. v. FCC</w:t>
      </w:r>
      <w:r w:rsidRPr="00B60AD9">
        <w:rPr>
          <w:sz w:val="20"/>
        </w:rPr>
        <w:t xml:space="preserve">, 2023 WL 5209560, at *4 (citing </w:t>
      </w:r>
      <w:r w:rsidRPr="00B60AD9">
        <w:rPr>
          <w:i/>
          <w:iCs/>
          <w:sz w:val="20"/>
        </w:rPr>
        <w:t>China Telecom (Americas) Corp. v. FCC</w:t>
      </w:r>
      <w:r w:rsidRPr="00B60AD9">
        <w:rPr>
          <w:sz w:val="20"/>
        </w:rPr>
        <w:t>, 57 F.4th at 268–71);</w:t>
      </w:r>
      <w:r w:rsidRPr="00B60AD9">
        <w:rPr>
          <w:i/>
          <w:iCs/>
          <w:sz w:val="20"/>
        </w:rPr>
        <w:t xml:space="preserve"> see Evolving Risks Order and NPRM </w:t>
      </w:r>
      <w:r w:rsidRPr="00B60AD9">
        <w:rPr>
          <w:sz w:val="20"/>
        </w:rPr>
        <w:t>at *32, para. 78 &amp; nn.18</w:t>
      </w:r>
      <w:r w:rsidRPr="00B60AD9">
        <w:rPr>
          <w:sz w:val="20"/>
        </w:rPr>
        <w:t xml:space="preserve">4-185 (citing </w:t>
      </w:r>
      <w:r w:rsidRPr="00B60AD9">
        <w:rPr>
          <w:i/>
          <w:iCs/>
          <w:sz w:val="20"/>
        </w:rPr>
        <w:t>Procedural Streamlining of Administrative Hearings Order</w:t>
      </w:r>
      <w:r w:rsidRPr="00B60AD9">
        <w:rPr>
          <w:sz w:val="20"/>
        </w:rPr>
        <w:t xml:space="preserve">, 35 FCC Rcd 10729, 10732-33, para. 11 (2020) and </w:t>
      </w:r>
      <w:r w:rsidRPr="00B60AD9">
        <w:rPr>
          <w:i/>
          <w:sz w:val="20"/>
        </w:rPr>
        <w:t>China Telecom (Americas) Corp. v. FCC</w:t>
      </w:r>
      <w:r w:rsidRPr="00B60AD9">
        <w:rPr>
          <w:sz w:val="20"/>
        </w:rPr>
        <w:t xml:space="preserve">, 57 F.4th at 269)); </w:t>
      </w:r>
      <w:r w:rsidRPr="00B60AD9">
        <w:rPr>
          <w:i/>
          <w:iCs/>
          <w:sz w:val="20"/>
        </w:rPr>
        <w:t xml:space="preserve">id. </w:t>
      </w:r>
      <w:r w:rsidRPr="00B60AD9">
        <w:rPr>
          <w:sz w:val="20"/>
        </w:rPr>
        <w:t>at *7, para. 10 (“</w:t>
      </w:r>
      <w:r w:rsidRPr="00B60AD9">
        <w:rPr>
          <w:snapToGrid/>
          <w:color w:val="000000"/>
          <w:kern w:val="0"/>
          <w:sz w:val="20"/>
        </w:rPr>
        <w:t>If revocation or termination may be warranted, the Commi</w:t>
      </w:r>
      <w:r w:rsidRPr="00B60AD9">
        <w:rPr>
          <w:snapToGrid/>
          <w:color w:val="000000"/>
          <w:kern w:val="0"/>
          <w:sz w:val="20"/>
        </w:rPr>
        <w:t>ssion may institute a revocation proceeding to ‘provide the authorization holder such notice and an opportunity to respond as is required by due process and applicable law, and appropriate in light of the facts and circumstances.’”);</w:t>
      </w:r>
      <w:r w:rsidRPr="00B60AD9">
        <w:rPr>
          <w:sz w:val="20"/>
        </w:rPr>
        <w:t xml:space="preserve"> </w:t>
      </w:r>
      <w:r w:rsidRPr="00B60AD9">
        <w:rPr>
          <w:i/>
          <w:iCs/>
          <w:sz w:val="20"/>
        </w:rPr>
        <w:t>see also, e.g.</w:t>
      </w:r>
      <w:r w:rsidRPr="00B60AD9">
        <w:rPr>
          <w:sz w:val="20"/>
        </w:rPr>
        <w:t xml:space="preserve">, </w:t>
      </w:r>
      <w:r w:rsidRPr="00B60AD9">
        <w:rPr>
          <w:i/>
          <w:iCs/>
          <w:sz w:val="20"/>
        </w:rPr>
        <w:t>LDC Te</w:t>
      </w:r>
      <w:r w:rsidRPr="00B60AD9">
        <w:rPr>
          <w:i/>
          <w:iCs/>
          <w:sz w:val="20"/>
        </w:rPr>
        <w:t>lecommunications, Inc</w:t>
      </w:r>
      <w:r w:rsidRPr="00B60AD9">
        <w:rPr>
          <w:sz w:val="20"/>
        </w:rPr>
        <w:t>.</w:t>
      </w:r>
    </w:p>
  </w:footnote>
  <w:footnote w:id="219">
    <w:p w:rsidR="00810097" w:rsidRPr="00B60AD9" w:rsidP="00810097" w14:paraId="14D4129D" w14:textId="77777777">
      <w:pPr>
        <w:pStyle w:val="FootnoteText"/>
      </w:pPr>
      <w:r w:rsidRPr="00B60AD9">
        <w:rPr>
          <w:rStyle w:val="FootnoteReference"/>
        </w:rPr>
        <w:footnoteRef/>
      </w:r>
      <w:r w:rsidRPr="00B60AD9">
        <w:rPr>
          <w:snapToGrid w:val="0"/>
        </w:rPr>
        <w:t xml:space="preserve"> </w:t>
      </w:r>
      <w:r w:rsidRPr="00B60AD9">
        <w:rPr>
          <w:i/>
          <w:iCs/>
        </w:rPr>
        <w:t>See, e.g.</w:t>
      </w:r>
      <w:r w:rsidRPr="00B60AD9">
        <w:t xml:space="preserve">, </w:t>
      </w:r>
      <w:r w:rsidRPr="00B60AD9">
        <w:rPr>
          <w:snapToGrid w:val="0"/>
        </w:rPr>
        <w:t xml:space="preserve">5 U.S.C. § 558(c); </w:t>
      </w:r>
      <w:r w:rsidRPr="00B60AD9">
        <w:rPr>
          <w:i/>
          <w:iCs/>
        </w:rPr>
        <w:t>China Telecom (Ams.) Corp. v. FCC</w:t>
      </w:r>
      <w:r w:rsidRPr="00B60AD9">
        <w:t xml:space="preserve">, 57 F.4th at 268-71 (holding that “given the record in this case,” discovery and live hearing procedures, and an opportunity to achieve or demonstrate compliance were not required “by statute, regulation, FCC practice, or the Constitution”); </w:t>
      </w:r>
      <w:r w:rsidRPr="00B60AD9">
        <w:rPr>
          <w:i/>
          <w:iCs/>
        </w:rPr>
        <w:t>Pacific Netwo</w:t>
      </w:r>
      <w:r w:rsidRPr="00B60AD9">
        <w:rPr>
          <w:i/>
          <w:iCs/>
        </w:rPr>
        <w:t>rks Corp. v. FCC</w:t>
      </w:r>
      <w:r w:rsidRPr="00B60AD9">
        <w:t xml:space="preserve">, 2023 WL 5209560, at *4 (rejecting petitioners’ argument that the Due Process Clause and the APA require the agency, before it may revoke a section 214(a) authorization, to hold a live evidentiary hearing before a neutral adjudicator with </w:t>
      </w:r>
      <w:r w:rsidRPr="00B60AD9">
        <w:t>an opportunity for discovery and cross-examination, and holding that “[n]othing in the Due Process Clause, the APA, or the Communications Act” requires the Commission to consult with other agencies, or to proceed by rulemaking in assessing the specific ris</w:t>
      </w:r>
      <w:r w:rsidRPr="00B60AD9">
        <w:t xml:space="preserve">ks posed by these individual carriers); </w:t>
      </w:r>
      <w:r w:rsidRPr="00B60AD9">
        <w:rPr>
          <w:i/>
          <w:iCs/>
        </w:rPr>
        <w:t xml:space="preserve">see </w:t>
      </w:r>
      <w:r w:rsidRPr="00B60AD9">
        <w:rPr>
          <w:i/>
        </w:rPr>
        <w:t>China Telecom Americas Order</w:t>
      </w:r>
      <w:r w:rsidRPr="00B60AD9">
        <w:rPr>
          <w:i/>
          <w:spacing w:val="-1"/>
        </w:rPr>
        <w:t xml:space="preserve"> </w:t>
      </w:r>
      <w:r w:rsidRPr="00B60AD9">
        <w:rPr>
          <w:i/>
        </w:rPr>
        <w:t>on</w:t>
      </w:r>
      <w:r w:rsidRPr="00B60AD9">
        <w:rPr>
          <w:i/>
          <w:spacing w:val="-1"/>
        </w:rPr>
        <w:t xml:space="preserve"> </w:t>
      </w:r>
      <w:r w:rsidRPr="00B60AD9">
        <w:rPr>
          <w:i/>
        </w:rPr>
        <w:t>Revocation</w:t>
      </w:r>
      <w:r w:rsidRPr="00B60AD9">
        <w:rPr>
          <w:i/>
          <w:spacing w:val="-1"/>
        </w:rPr>
        <w:t xml:space="preserve"> </w:t>
      </w:r>
      <w:r w:rsidRPr="00B60AD9">
        <w:rPr>
          <w:i/>
        </w:rPr>
        <w:t>and Termination</w:t>
      </w:r>
      <w:r w:rsidRPr="00B60AD9">
        <w:rPr>
          <w:iCs/>
        </w:rPr>
        <w:t>, 36 FCC Rcd</w:t>
      </w:r>
      <w:r w:rsidRPr="00B60AD9">
        <w:t xml:space="preserve"> at 15985, para. 26, </w:t>
      </w:r>
      <w:r w:rsidRPr="00B60AD9">
        <w:rPr>
          <w:i/>
          <w:iCs/>
        </w:rPr>
        <w:t>aff’d, China Telecom (Americas) Corp. v. FCC</w:t>
      </w:r>
      <w:r w:rsidRPr="00B60AD9">
        <w:t xml:space="preserve"> (“We find that it is </w:t>
      </w:r>
      <w:r w:rsidRPr="00B60AD9">
        <w:rPr>
          <w:i/>
          <w:iCs/>
        </w:rPr>
        <w:t>more than sufficient due process</w:t>
      </w:r>
      <w:r w:rsidRPr="00B60AD9">
        <w:t xml:space="preserve"> in this context to pro</w:t>
      </w:r>
      <w:r w:rsidRPr="00B60AD9">
        <w:t>vide [China Telecom (Americas) Corporation] with timely and adequate notice of the reasons for revocation and/or termination; opportunity to respond with its own evidence and to make any factual, legal, or policy arguments; access to all of the unclassifie</w:t>
      </w:r>
      <w:r w:rsidRPr="00B60AD9">
        <w:t>d evidence the Commission considers; and a written order from the Commission providing its preliminary reasoning for any adverse decision.”) (emphasis added);</w:t>
      </w:r>
      <w:r w:rsidRPr="00B60AD9">
        <w:rPr>
          <w:i/>
          <w:iCs/>
        </w:rPr>
        <w:t xml:space="preserve"> Pacific Networks/ComNet Order on Revocation and </w:t>
      </w:r>
      <w:r w:rsidRPr="00B60AD9">
        <w:rPr>
          <w:i/>
        </w:rPr>
        <w:t>Termination</w:t>
      </w:r>
      <w:r w:rsidRPr="00B60AD9">
        <w:rPr>
          <w:iCs/>
        </w:rPr>
        <w:t xml:space="preserve">, </w:t>
      </w:r>
      <w:r w:rsidRPr="00B60AD9">
        <w:t>37 FCC Rcd at 4241-42, para. 28,</w:t>
      </w:r>
      <w:r w:rsidRPr="00B60AD9">
        <w:rPr>
          <w:iCs/>
        </w:rPr>
        <w:t xml:space="preserve"> </w:t>
      </w:r>
      <w:r w:rsidRPr="00B60AD9">
        <w:rPr>
          <w:i/>
          <w:iCs/>
        </w:rPr>
        <w:t>aff</w:t>
      </w:r>
      <w:r w:rsidRPr="00B60AD9">
        <w:rPr>
          <w:i/>
          <w:iCs/>
        </w:rPr>
        <w:t>’d</w:t>
      </w:r>
      <w:r w:rsidRPr="00B60AD9">
        <w:t xml:space="preserve">, </w:t>
      </w:r>
      <w:r w:rsidRPr="00B60AD9">
        <w:rPr>
          <w:i/>
          <w:iCs/>
        </w:rPr>
        <w:t>Pacific Networks Corp. v. FCC</w:t>
      </w:r>
      <w:r w:rsidRPr="00B60AD9">
        <w:t xml:space="preserve">.  </w:t>
      </w:r>
      <w:r w:rsidRPr="00B60AD9">
        <w:rPr>
          <w:i/>
          <w:iCs/>
        </w:rPr>
        <w:t xml:space="preserve">See also Evolving Risks Order and NPRM </w:t>
      </w:r>
      <w:r w:rsidRPr="00B60AD9">
        <w:t>at *12-13, paras. 25-26 (proposing to cancel the international section 214 authorizations where authorization holders fail to timely respond to a one-time information request, subje</w:t>
      </w:r>
      <w:r w:rsidRPr="00B60AD9">
        <w:t>ct to notice and opportunity to cure the noncompliance).</w:t>
      </w:r>
    </w:p>
  </w:footnote>
  <w:footnote w:id="220">
    <w:p w:rsidR="00810097" w:rsidRPr="00B60AD9" w:rsidP="00810097" w14:paraId="26DACDF4" w14:textId="77777777">
      <w:pPr>
        <w:pStyle w:val="FootnoteText"/>
      </w:pPr>
      <w:r w:rsidRPr="00B60AD9">
        <w:rPr>
          <w:rStyle w:val="FootnoteReference"/>
        </w:rPr>
        <w:footnoteRef/>
      </w:r>
      <w:r w:rsidRPr="00B60AD9">
        <w:t xml:space="preserve"> 5 U.S.C. § 558(c).</w:t>
      </w:r>
    </w:p>
  </w:footnote>
  <w:footnote w:id="221">
    <w:p w:rsidR="00810097" w:rsidRPr="00B60AD9" w:rsidP="00810097" w14:paraId="331BD6F8" w14:textId="77777777">
      <w:pPr>
        <w:pStyle w:val="FootnoteText"/>
      </w:pPr>
      <w:r w:rsidRPr="00B60AD9">
        <w:rPr>
          <w:rStyle w:val="FootnoteReference"/>
        </w:rPr>
        <w:footnoteRef/>
      </w:r>
      <w:r w:rsidRPr="00B60AD9">
        <w:t xml:space="preserve"> Bandwidth Comments at 17 (</w:t>
      </w:r>
      <w:r w:rsidRPr="00B60AD9">
        <w:rPr>
          <w:snapToGrid w:val="0"/>
        </w:rPr>
        <w:t>“The Commission also should adopt its proposals to direct the Numbering Authority to suspend new number assignments . . . .”).  While we do not at thi</w:t>
      </w:r>
      <w:r w:rsidRPr="00B60AD9">
        <w:rPr>
          <w:snapToGrid w:val="0"/>
        </w:rPr>
        <w:t>s time require an interconnected VoIP provider to return its numbers once the Bureau has revoked its direct access authorization, we refer to the NANC how such a requirement would impact consumers, end-users, and providers, and whether such a requirement w</w:t>
      </w:r>
      <w:r w:rsidRPr="00B60AD9">
        <w:rPr>
          <w:snapToGrid w:val="0"/>
        </w:rPr>
        <w:t xml:space="preserve">ould be feasible.  </w:t>
      </w:r>
      <w:r w:rsidRPr="00B60AD9">
        <w:rPr>
          <w:i/>
          <w:iCs/>
          <w:snapToGrid w:val="0"/>
        </w:rPr>
        <w:t xml:space="preserve">See infra </w:t>
      </w:r>
      <w:r w:rsidRPr="00B60AD9">
        <w:rPr>
          <w:snapToGrid w:val="0"/>
        </w:rPr>
        <w:t>para. 73.  Relatedly, we also do not at this time restrict such providers from accessing numbering databases that may be necessary for providing service, such as routing and porting, for numbers it already has.  These databases</w:t>
      </w:r>
      <w:r w:rsidRPr="00B60AD9">
        <w:rPr>
          <w:snapToGrid w:val="0"/>
        </w:rPr>
        <w:t xml:space="preserve"> include, for example, the Local Exchange Routing Guide, Business Integrated Routing and Rating Database System, LIDB Access Routing Guide, Local Calling Area Data Source, Common Language Location Information, and Internet-based Telecommunications Relay Se</w:t>
      </w:r>
      <w:r w:rsidRPr="00B60AD9">
        <w:rPr>
          <w:snapToGrid w:val="0"/>
        </w:rPr>
        <w:t xml:space="preserve">rvice, </w:t>
      </w:r>
      <w:r w:rsidRPr="00B60AD9">
        <w:rPr>
          <w:i/>
          <w:iCs/>
          <w:snapToGrid w:val="0"/>
        </w:rPr>
        <w:t>see e.g.</w:t>
      </w:r>
      <w:r w:rsidRPr="00B60AD9">
        <w:rPr>
          <w:snapToGrid w:val="0"/>
        </w:rPr>
        <w:t>, Letter from Aaron M. Panner, Partner, Kellogg, Hansen, Todd, Figel &amp; Frederick, P.L.L.C., to Marlene H. Dortch, Secretary, FCC, WC Docket No. 20-174 et al., at Attach., Single Source Required Telecom Numbering, Routing, and Porting Product</w:t>
      </w:r>
      <w:r w:rsidRPr="00B60AD9">
        <w:rPr>
          <w:snapToGrid w:val="0"/>
        </w:rPr>
        <w:t>s and Services in the Telecommunications Ecosystem (filed Sept. 25, 2020) (listing databases used in the telecommunications ecosystem).  Accordingly, we also refer to the NANC the issue of how such a restriction would impact consumers, end-users, and provi</w:t>
      </w:r>
      <w:r w:rsidRPr="00B60AD9">
        <w:rPr>
          <w:snapToGrid w:val="0"/>
        </w:rPr>
        <w:t xml:space="preserve">ders.  </w:t>
      </w:r>
      <w:r w:rsidRPr="00B60AD9">
        <w:rPr>
          <w:i/>
          <w:iCs/>
          <w:snapToGrid w:val="0"/>
        </w:rPr>
        <w:t xml:space="preserve">See infra </w:t>
      </w:r>
      <w:r w:rsidRPr="00B60AD9">
        <w:rPr>
          <w:snapToGrid w:val="0"/>
        </w:rPr>
        <w:t>para. 73.</w:t>
      </w:r>
    </w:p>
  </w:footnote>
  <w:footnote w:id="222">
    <w:p w:rsidR="00810097" w:rsidRPr="00B60AD9" w:rsidP="00810097" w14:paraId="4E12ACF4" w14:textId="77777777">
      <w:pPr>
        <w:pStyle w:val="FootnoteText"/>
      </w:pPr>
      <w:r w:rsidRPr="00B60AD9">
        <w:rPr>
          <w:rStyle w:val="FootnoteReference"/>
        </w:rPr>
        <w:footnoteRef/>
      </w:r>
      <w:r w:rsidRPr="00B60AD9">
        <w:t xml:space="preserve"> At this time, we decline to adopt number reclamation as a consequence of a revocation of direct access authorization.  We refer the issue of the impact of number reclamation on consumers and end-users to the NANC.  </w:t>
      </w:r>
      <w:r w:rsidRPr="00B60AD9">
        <w:rPr>
          <w:i/>
          <w:iCs/>
        </w:rPr>
        <w:t xml:space="preserve">See infra </w:t>
      </w:r>
      <w:r w:rsidRPr="00B60AD9">
        <w:t>pa</w:t>
      </w:r>
      <w:r w:rsidRPr="00B60AD9">
        <w:t xml:space="preserve">ra. 73.  We therefore note that a revocation of direct access authorization does not obviate an interconnected VoIP provider’s obligations under our rules with respect to the numbering resources it still maintains.  These obligations include, e.g., filing </w:t>
      </w:r>
      <w:r w:rsidRPr="00B60AD9">
        <w:t xml:space="preserve">NRUF reports, making NANP cost-support contributions, and updating the Reassigned Numbers Database.  </w:t>
      </w:r>
      <w:r w:rsidRPr="00B60AD9">
        <w:rPr>
          <w:i/>
          <w:iCs/>
        </w:rPr>
        <w:t xml:space="preserve">See </w:t>
      </w:r>
      <w:r w:rsidRPr="00B60AD9">
        <w:t>47 CFR §§ 52.15(f)(5); 52.17; 64.1200(l).</w:t>
      </w:r>
    </w:p>
  </w:footnote>
  <w:footnote w:id="223">
    <w:p w:rsidR="00810097" w:rsidRPr="00B60AD9" w:rsidP="00810097" w14:paraId="3D81E3B5" w14:textId="77777777">
      <w:pPr>
        <w:pStyle w:val="FootnoteText"/>
        <w:rPr>
          <w:i/>
          <w:iCs/>
        </w:rPr>
      </w:pPr>
      <w:r w:rsidRPr="00B60AD9">
        <w:rPr>
          <w:rStyle w:val="FootnoteReference"/>
        </w:rPr>
        <w:footnoteRef/>
      </w:r>
      <w:r w:rsidRPr="00B60AD9">
        <w:t xml:space="preserve"> </w:t>
      </w:r>
      <w:r w:rsidRPr="00B60AD9">
        <w:rPr>
          <w:i/>
          <w:iCs/>
        </w:rPr>
        <w:t>Caller ID Authentication Sixth Report and Order</w:t>
      </w:r>
      <w:r w:rsidRPr="00B60AD9">
        <w:t xml:space="preserve"> at 37, para. 70.</w:t>
      </w:r>
    </w:p>
  </w:footnote>
  <w:footnote w:id="224">
    <w:p w:rsidR="00810097" w:rsidRPr="00B60AD9" w:rsidP="00810097" w14:paraId="3B097324" w14:textId="77777777">
      <w:pPr>
        <w:pStyle w:val="FootnoteText"/>
      </w:pPr>
      <w:r w:rsidRPr="00B60AD9">
        <w:rPr>
          <w:rStyle w:val="FootnoteReference"/>
        </w:rPr>
        <w:footnoteRef/>
      </w:r>
      <w:r w:rsidRPr="00B60AD9">
        <w:t xml:space="preserve"> </w:t>
      </w:r>
      <w:r w:rsidRPr="00B60AD9">
        <w:rPr>
          <w:i/>
          <w:iCs/>
        </w:rPr>
        <w:t>Id.</w:t>
      </w:r>
    </w:p>
  </w:footnote>
  <w:footnote w:id="225">
    <w:p w:rsidR="00810097" w:rsidRPr="00B60AD9" w:rsidP="00810097" w14:paraId="7493047E" w14:textId="77777777">
      <w:pPr>
        <w:pStyle w:val="FootnoteText"/>
      </w:pPr>
      <w:r w:rsidRPr="00B60AD9">
        <w:rPr>
          <w:rStyle w:val="FootnoteReference"/>
        </w:rPr>
        <w:footnoteRef/>
      </w:r>
      <w:r w:rsidRPr="00B60AD9">
        <w:t xml:space="preserve"> AT&amp;T Comments at 15.</w:t>
      </w:r>
    </w:p>
  </w:footnote>
  <w:footnote w:id="226">
    <w:p w:rsidR="00810097" w:rsidRPr="00B60AD9" w:rsidP="00810097" w14:paraId="47203C80" w14:textId="77777777">
      <w:pPr>
        <w:pStyle w:val="FootnoteText"/>
      </w:pPr>
      <w:r w:rsidRPr="00B60AD9">
        <w:rPr>
          <w:rStyle w:val="FootnoteReference"/>
        </w:rPr>
        <w:footnoteRef/>
      </w:r>
      <w:r w:rsidRPr="00B60AD9">
        <w:t xml:space="preserve"> Bandwidth Reply at 4; </w:t>
      </w:r>
      <w:r w:rsidRPr="00B60AD9">
        <w:rPr>
          <w:i/>
          <w:iCs/>
        </w:rPr>
        <w:t xml:space="preserve">see also </w:t>
      </w:r>
      <w:r w:rsidRPr="00B60AD9">
        <w:t>AT&amp;T Comments at 4-5; Bandwidth Comments at 17 (“The Commission also should adopt its proposals to revoke authorization if the Commission or state/federal authorities have found the applicant/grantee fails to comply with app</w:t>
      </w:r>
      <w:r w:rsidRPr="00B60AD9">
        <w:t>licable rules . . . .”); Mich. PSC Comments at 4 (“The MPSC supports this proposal of not allowing a provider to obtain new numbers from the Numbering Administrator should that authorization be revoked.  As the FCC notes, there could be valid reasons for r</w:t>
      </w:r>
      <w:r w:rsidRPr="00B60AD9">
        <w:t>evoking such authorization (due to a national security risk or risk of originating numerous unlawful robocalls) and doing so would also protect the public and preserve the limited pool of numbers.”); NAAG Comments at 5 (</w:t>
      </w:r>
      <w:r w:rsidRPr="00B60AD9">
        <w:rPr>
          <w:bCs/>
        </w:rPr>
        <w:t>support</w:t>
      </w:r>
      <w:r>
        <w:rPr>
          <w:bCs/>
        </w:rPr>
        <w:t>ing</w:t>
      </w:r>
      <w:r w:rsidRPr="00B60AD9">
        <w:rPr>
          <w:bCs/>
        </w:rPr>
        <w:t xml:space="preserve"> “rejecting an application</w:t>
      </w:r>
      <w:r w:rsidRPr="00B60AD9">
        <w:rPr>
          <w:bCs/>
        </w:rPr>
        <w:t xml:space="preserve"> or revoking an authorization for direct access to numbers of any applicant or holder that has been found to have originated or transmitted illegal robocalls . . . .”)</w:t>
      </w:r>
      <w:r w:rsidRPr="00B60AD9">
        <w:t>; Twilio Comments at 9 (Twilio “agrees that where a provider no longer satisfies the Comm</w:t>
      </w:r>
      <w:r w:rsidRPr="00B60AD9">
        <w:t>ission’s requirements or where the provider fails to comply with applicable rules and laws, the Commission has the authority to revoke that provider’s authorization.”); W. Va. PSC Reply at 4.</w:t>
      </w:r>
    </w:p>
  </w:footnote>
  <w:footnote w:id="227">
    <w:p w:rsidR="00810097" w:rsidRPr="00B60AD9" w:rsidP="00810097" w14:paraId="79B5E4ED"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w:t>
      </w:r>
      <w:r w:rsidRPr="00B60AD9">
        <w:t xml:space="preserve"> at 12916, para. 17.</w:t>
      </w:r>
    </w:p>
  </w:footnote>
  <w:footnote w:id="228">
    <w:p w:rsidR="00810097" w:rsidRPr="00B60AD9" w:rsidP="00810097" w14:paraId="521C4D96" w14:textId="77777777">
      <w:pPr>
        <w:pStyle w:val="FootnoteText"/>
      </w:pPr>
      <w:r w:rsidRPr="00B60AD9">
        <w:rPr>
          <w:rStyle w:val="FootnoteReference"/>
        </w:rPr>
        <w:footnoteRef/>
      </w:r>
      <w:r w:rsidRPr="00B60AD9">
        <w:t xml:space="preserve"> </w:t>
      </w:r>
      <w:r w:rsidRPr="00B60AD9">
        <w:rPr>
          <w:i/>
          <w:iCs/>
        </w:rPr>
        <w:t xml:space="preserve">See </w:t>
      </w:r>
      <w:r w:rsidRPr="00B60AD9">
        <w:t>Mich. PSC Comments at 3 (noting significant increases in demand for numbers in areas with very low populations since interconnected VoIP providers were allowed direct access to numbers); Neb. PSC Comments at 2-3 (same); Pa. PUC C</w:t>
      </w:r>
      <w:r w:rsidRPr="00B60AD9">
        <w:t>omments at 3-4 (same); W. Va. PSC Reply at 2-3 (same).</w:t>
      </w:r>
    </w:p>
  </w:footnote>
  <w:footnote w:id="229">
    <w:p w:rsidR="00810097" w:rsidRPr="00B60AD9" w:rsidP="00810097" w14:paraId="22D94624" w14:textId="77777777">
      <w:pPr>
        <w:pStyle w:val="FootnoteText"/>
      </w:pPr>
      <w:r w:rsidRPr="00B60AD9">
        <w:rPr>
          <w:rStyle w:val="FootnoteReference"/>
        </w:rPr>
        <w:footnoteRef/>
      </w:r>
      <w:r w:rsidRPr="00B60AD9">
        <w:t xml:space="preserve"> Charter for the North American Numbering Council, at 1-2 (Sept. 13, 2021); </w:t>
      </w:r>
      <w:hyperlink r:id="rId27" w:history="1">
        <w:r w:rsidRPr="00B60AD9">
          <w:rPr>
            <w:rStyle w:val="Hyperlink"/>
          </w:rPr>
          <w:t>https://docs.fcc.gov/public/attachments/DOC-375774A1.</w:t>
        </w:r>
        <w:r w:rsidRPr="00B60AD9">
          <w:rPr>
            <w:rStyle w:val="Hyperlink"/>
          </w:rPr>
          <w:t>pdf</w:t>
        </w:r>
      </w:hyperlink>
      <w:r w:rsidRPr="00B60AD9">
        <w:t>.</w:t>
      </w:r>
    </w:p>
  </w:footnote>
  <w:footnote w:id="230">
    <w:p w:rsidR="00810097" w:rsidRPr="00B60AD9" w:rsidP="00810097" w14:paraId="046493F8" w14:textId="77777777">
      <w:pPr>
        <w:pStyle w:val="FootnoteText"/>
      </w:pPr>
      <w:r w:rsidRPr="00B60AD9">
        <w:rPr>
          <w:rStyle w:val="FootnoteReference"/>
        </w:rPr>
        <w:footnoteRef/>
      </w:r>
      <w:r w:rsidRPr="00B60AD9">
        <w:t xml:space="preserve"> </w:t>
      </w:r>
      <w:r w:rsidRPr="00B60AD9">
        <w:rPr>
          <w:i/>
          <w:iCs/>
        </w:rPr>
        <w:t xml:space="preserve">See supra </w:t>
      </w:r>
      <w:r w:rsidRPr="00B60AD9">
        <w:t>para. 58.</w:t>
      </w:r>
    </w:p>
  </w:footnote>
  <w:footnote w:id="231">
    <w:p w:rsidR="00810097" w:rsidRPr="00B60AD9" w:rsidP="00810097" w14:paraId="3F79BDC8" w14:textId="77777777">
      <w:pPr>
        <w:pStyle w:val="FootnoteText"/>
      </w:pPr>
      <w:r w:rsidRPr="00B60AD9">
        <w:rPr>
          <w:rStyle w:val="FootnoteReference"/>
        </w:rPr>
        <w:footnoteRef/>
      </w:r>
      <w:r w:rsidRPr="00B60AD9">
        <w:t xml:space="preserve"> </w:t>
      </w:r>
      <w:r w:rsidRPr="00B60AD9">
        <w:rPr>
          <w:i/>
          <w:iCs/>
        </w:rPr>
        <w:t>See Caller ID Authentication Fifth Further Notice</w:t>
      </w:r>
      <w:r w:rsidRPr="00B60AD9">
        <w:t xml:space="preserve"> at 85-88, paras. 218-23.</w:t>
      </w:r>
    </w:p>
  </w:footnote>
  <w:footnote w:id="232">
    <w:p w:rsidR="00810097" w:rsidRPr="00B60AD9" w:rsidP="00810097" w14:paraId="3C727653" w14:textId="77777777">
      <w:pPr>
        <w:pStyle w:val="FootnoteText"/>
      </w:pPr>
      <w:r w:rsidRPr="00B60AD9">
        <w:rPr>
          <w:rStyle w:val="FootnoteReference"/>
        </w:rPr>
        <w:footnoteRef/>
      </w:r>
      <w:r w:rsidRPr="00B60AD9">
        <w:t xml:space="preserve"> </w:t>
      </w:r>
      <w:r w:rsidRPr="00B60AD9">
        <w:rPr>
          <w:i/>
          <w:iCs/>
        </w:rPr>
        <w:t xml:space="preserve">See id. </w:t>
      </w:r>
      <w:r w:rsidRPr="00B60AD9">
        <w:t>at 86, para. 223.</w:t>
      </w:r>
    </w:p>
  </w:footnote>
  <w:footnote w:id="233">
    <w:p w:rsidR="00810097" w:rsidRPr="00B60AD9" w:rsidP="00810097" w14:paraId="0E3231BC" w14:textId="77777777">
      <w:pPr>
        <w:pStyle w:val="FootnoteText"/>
      </w:pPr>
      <w:r w:rsidRPr="00B60AD9">
        <w:rPr>
          <w:rStyle w:val="FootnoteReference"/>
        </w:rPr>
        <w:footnoteRef/>
      </w:r>
      <w:r w:rsidRPr="00B60AD9">
        <w:t xml:space="preserve"> </w:t>
      </w:r>
      <w:r w:rsidRPr="00B60AD9">
        <w:rPr>
          <w:i/>
          <w:iCs/>
        </w:rPr>
        <w:t xml:space="preserve">See id. </w:t>
      </w:r>
      <w:r w:rsidRPr="00B60AD9">
        <w:t>at 86-87, para. 222 &amp; n.584 (citing RingCentral et al. Comments, WC Docket No.</w:t>
      </w:r>
      <w:r w:rsidRPr="00B60AD9">
        <w:t xml:space="preserve"> 13-97 et al., at 3 (rec. Oct. 14, 2021); USTelecom Comments, WC Docket No. 13-97 et al., at 5-6 (rec. Oct. 14, 2021)); USTelecom Comments, CG Docket No. 17-59 et al., at 14 (rec. Aug. 17, 2022) (“Robocallers are often able to obtain these numbers by way o</w:t>
      </w:r>
      <w:r w:rsidRPr="00B60AD9">
        <w:t>f an extensive number distribution and resale market that may also shield bad actors from responsibility.”).</w:t>
      </w:r>
    </w:p>
  </w:footnote>
  <w:footnote w:id="234">
    <w:p w:rsidR="00810097" w:rsidRPr="00B60AD9" w:rsidP="00810097" w14:paraId="36AABC22" w14:textId="77777777">
      <w:pPr>
        <w:pStyle w:val="FootnoteText"/>
      </w:pPr>
      <w:r w:rsidRPr="00B60AD9">
        <w:rPr>
          <w:rStyle w:val="FootnoteReference"/>
        </w:rPr>
        <w:footnoteRef/>
      </w:r>
      <w:r w:rsidRPr="00B60AD9">
        <w:t xml:space="preserve"> TNS, 2022 Robocall Investigation Report 18 (9th ed. 2022). </w:t>
      </w:r>
    </w:p>
  </w:footnote>
  <w:footnote w:id="235">
    <w:p w:rsidR="00810097" w:rsidRPr="00B60AD9" w:rsidP="00810097" w14:paraId="4F003F17" w14:textId="77777777">
      <w:pPr>
        <w:pStyle w:val="FootnoteText"/>
      </w:pPr>
      <w:r w:rsidRPr="00B60AD9">
        <w:rPr>
          <w:rStyle w:val="FootnoteReference"/>
        </w:rPr>
        <w:footnoteRef/>
      </w:r>
      <w:r w:rsidRPr="00B60AD9">
        <w:t xml:space="preserve"> USTelecom Comments, WC Docket No. 17-97 and DA 22-831, at 1-2 (rec. Oct. 3, 2022). </w:t>
      </w:r>
    </w:p>
  </w:footnote>
  <w:footnote w:id="236">
    <w:p w:rsidR="00810097" w:rsidRPr="00B60AD9" w:rsidP="00810097" w14:paraId="57812DEB" w14:textId="77777777">
      <w:pPr>
        <w:pStyle w:val="FootnoteText"/>
      </w:pPr>
      <w:r w:rsidRPr="00B60AD9">
        <w:rPr>
          <w:rStyle w:val="FootnoteReference"/>
        </w:rPr>
        <w:footnoteRef/>
      </w:r>
      <w:r w:rsidRPr="00B60AD9">
        <w:t xml:space="preserve"> A number of commenters in the Call Authentication Trust Anchor docket argued that the Commission should take steps to address number misuse.  For example, VON agreed with USTelecom that, “at a minimum,” providers reselling numbers to other providers sho</w:t>
      </w:r>
      <w:r w:rsidRPr="00B60AD9">
        <w:t xml:space="preserve">uld “impose strong contractual obligations” to prevent number misuse and the Commission should encourage number resale best practices.  </w:t>
      </w:r>
      <w:r w:rsidRPr="00B60AD9">
        <w:rPr>
          <w:i/>
          <w:iCs/>
        </w:rPr>
        <w:t>See</w:t>
      </w:r>
      <w:r w:rsidRPr="00B60AD9">
        <w:t xml:space="preserve"> USTelecom Comments, CG Docket No. 17-59 et al., at 14; VON Reply, CG Docket No. 17-59 et al., at 4 (rec. Sept. 16, 2</w:t>
      </w:r>
      <w:r w:rsidRPr="00B60AD9">
        <w:t xml:space="preserve">022); </w:t>
      </w:r>
      <w:r w:rsidRPr="00B60AD9">
        <w:rPr>
          <w:i/>
          <w:iCs/>
        </w:rPr>
        <w:t>see also</w:t>
      </w:r>
      <w:r w:rsidRPr="00B60AD9">
        <w:t xml:space="preserve"> Credit Union National Association et al. Comments, CG Docket No. 17-59 et al., at 6 (rec. Aug. 17, 2022) (arguing that, although a complete ban on number resale would be excessive, it would be reasonable for the Commission to require U.S. nu</w:t>
      </w:r>
      <w:r w:rsidRPr="00B60AD9">
        <w:t xml:space="preserve">mber resellers to perform more exacting know-your-customer due diligence in transactions with foreign providers).  Others argued no restrictions should be imposed.  </w:t>
      </w:r>
      <w:r w:rsidRPr="00B60AD9">
        <w:rPr>
          <w:i/>
          <w:iCs/>
        </w:rPr>
        <w:t>See, e.g.</w:t>
      </w:r>
      <w:r w:rsidRPr="00B60AD9">
        <w:t>, American Bankers Association Reply, CG Docket No. 17-59 et al., at 4 (rec. Sept.</w:t>
      </w:r>
      <w:r w:rsidRPr="00B60AD9">
        <w:t xml:space="preserve"> 18, 2022).  </w:t>
      </w:r>
    </w:p>
  </w:footnote>
  <w:footnote w:id="237">
    <w:p w:rsidR="00810097" w:rsidRPr="00B60AD9" w:rsidP="00810097" w14:paraId="11CB850A" w14:textId="77777777">
      <w:pPr>
        <w:pStyle w:val="FootnoteText"/>
      </w:pPr>
      <w:r w:rsidRPr="00B60AD9">
        <w:rPr>
          <w:rStyle w:val="FootnoteReference"/>
        </w:rPr>
        <w:footnoteRef/>
      </w:r>
      <w:r w:rsidRPr="00B60AD9">
        <w:t xml:space="preserve"> EPIC &amp; NCLC Comments, CG Docket No. 17-59 et al., at 13-14 (rec. Aug. 17, 2022) (arguing that providers should be held strictly liable for illegal robocalling that makes use of numbers the providers rent out); </w:t>
      </w:r>
      <w:r w:rsidRPr="00B60AD9">
        <w:rPr>
          <w:i/>
          <w:iCs/>
        </w:rPr>
        <w:t>but see</w:t>
      </w:r>
      <w:r w:rsidRPr="00B60AD9">
        <w:t xml:space="preserve"> USTelecom Comments, CG</w:t>
      </w:r>
      <w:r w:rsidRPr="00B60AD9">
        <w:t xml:space="preserve"> Docket No. 17-59 et al., at 14 (arguing that a strict liability standard is not appropriate and providers should instead take “reasonable steps” to prevent misuse). </w:t>
      </w:r>
    </w:p>
  </w:footnote>
  <w:footnote w:id="238">
    <w:p w:rsidR="00810097" w:rsidRPr="00B60AD9" w:rsidP="00810097" w14:paraId="47BB7CFD" w14:textId="77777777">
      <w:pPr>
        <w:pStyle w:val="FootnoteText"/>
      </w:pPr>
      <w:r w:rsidRPr="00B60AD9">
        <w:rPr>
          <w:rStyle w:val="FootnoteReference"/>
        </w:rPr>
        <w:footnoteRef/>
      </w:r>
      <w:r w:rsidRPr="00B60AD9">
        <w:t xml:space="preserve"> </w:t>
      </w:r>
      <w:r w:rsidRPr="00B60AD9">
        <w:rPr>
          <w:i/>
          <w:iCs/>
        </w:rPr>
        <w:t>See</w:t>
      </w:r>
      <w:r w:rsidRPr="00B60AD9">
        <w:t xml:space="preserve"> Telnyx Comments, CG Docket No. 17-59 et al., at 4 (rec. Aug. 17, 2022) (noting that</w:t>
      </w:r>
      <w:r w:rsidRPr="00B60AD9">
        <w:t xml:space="preserve"> if restrictions are placed only on VoIP number resale, “VoIP service providers will begin to resell numbering resources from non-VoIP providers”); RingCentral Inc. Comments, CG Docket No. 17-59 et al., at 6 (rec. Aug. 17, 2022) (opposing VoIP only restric</w:t>
      </w:r>
      <w:r w:rsidRPr="00B60AD9">
        <w:t xml:space="preserve">tions); VON Comments, CG Docket No. 17-59 et al., at 5 (rec. Aug. 17, 2022) (same).  </w:t>
      </w:r>
      <w:r w:rsidRPr="00B60AD9">
        <w:rPr>
          <w:i/>
          <w:iCs/>
        </w:rPr>
        <w:t>But see</w:t>
      </w:r>
      <w:r w:rsidRPr="00B60AD9">
        <w:t xml:space="preserve"> EPIC &amp; NCLC Comments, CG Docket No. 17-59 et al., at 14 (placing heightened restrictions on “high-risk” VoIP providers). </w:t>
      </w:r>
    </w:p>
  </w:footnote>
  <w:footnote w:id="239">
    <w:p w:rsidR="00810097" w:rsidRPr="00B60AD9" w:rsidP="00810097" w14:paraId="7EB6E420" w14:textId="77777777">
      <w:pPr>
        <w:pStyle w:val="FootnoteText"/>
      </w:pPr>
      <w:r w:rsidRPr="00B60AD9">
        <w:rPr>
          <w:rStyle w:val="FootnoteReference"/>
        </w:rPr>
        <w:footnoteRef/>
      </w:r>
      <w:r w:rsidRPr="00B60AD9">
        <w:t xml:space="preserve"> </w:t>
      </w:r>
      <w:r w:rsidRPr="00B60AD9">
        <w:rPr>
          <w:i/>
          <w:iCs/>
        </w:rPr>
        <w:t>See</w:t>
      </w:r>
      <w:r w:rsidRPr="00B60AD9">
        <w:t xml:space="preserve"> Cloud Commc’ns All. Comments, CG Do</w:t>
      </w:r>
      <w:r w:rsidRPr="00B60AD9">
        <w:t>cket No. 17-59 et al., at 15 (rec. Aug. 17, 2022) (“The Commission should proceed cautiously . . . .  There are legitimate reasons why foreign offices of U.S. companies or foreign-operated call centers would use U.S. numbers in caller ID.”); RingCentral, I</w:t>
      </w:r>
      <w:r w:rsidRPr="00B60AD9">
        <w:t>nc. Comments, CG Docket No. 17-59 et al., at 4.</w:t>
      </w:r>
    </w:p>
  </w:footnote>
  <w:footnote w:id="240">
    <w:p w:rsidR="00810097" w:rsidRPr="00B60AD9" w:rsidP="00810097" w14:paraId="495AA73F" w14:textId="77777777">
      <w:pPr>
        <w:pStyle w:val="FootnoteText"/>
      </w:pPr>
      <w:r w:rsidRPr="00B60AD9">
        <w:rPr>
          <w:rStyle w:val="FootnoteReference"/>
        </w:rPr>
        <w:footnoteRef/>
      </w:r>
      <w:r w:rsidRPr="00B60AD9">
        <w:t xml:space="preserve"> </w:t>
      </w:r>
      <w:r w:rsidRPr="00B60AD9">
        <w:rPr>
          <w:i/>
          <w:iCs/>
        </w:rPr>
        <w:t xml:space="preserve">See supra </w:t>
      </w:r>
      <w:r w:rsidRPr="00B60AD9">
        <w:t>note 237.</w:t>
      </w:r>
    </w:p>
  </w:footnote>
  <w:footnote w:id="241">
    <w:p w:rsidR="00810097" w:rsidRPr="00B60AD9" w:rsidP="00810097" w14:paraId="44F10A80" w14:textId="77777777">
      <w:pPr>
        <w:pStyle w:val="FootnoteText"/>
      </w:pPr>
      <w:r w:rsidRPr="00B60AD9">
        <w:rPr>
          <w:rStyle w:val="FootnoteReference"/>
        </w:rPr>
        <w:footnoteRef/>
      </w:r>
      <w:r w:rsidRPr="00B60AD9">
        <w:t xml:space="preserve"> Numbers obtained on the secondary market would include, e.g., numbers obtained from a reseller or a carrier partner.  We seek comment in the accompanying </w:t>
      </w:r>
      <w:r w:rsidRPr="00B60AD9">
        <w:rPr>
          <w:i/>
          <w:iCs/>
        </w:rPr>
        <w:t>Second Further Notice</w:t>
      </w:r>
      <w:r w:rsidRPr="00B60AD9">
        <w:t xml:space="preserve"> regarding whether we should require direct access authorization holders to obta</w:t>
      </w:r>
      <w:r w:rsidRPr="00B60AD9">
        <w:t>in from a provider to whom they sell, lease, or otherwise transfer numbers, all the same certifications, acknowledgments, and disclosures the number recipient would have had to provide under section 52.15(g)(3) had the recipient applied for direct access t</w:t>
      </w:r>
      <w:r w:rsidRPr="00B60AD9">
        <w:t xml:space="preserve">o numbering resources.  </w:t>
      </w:r>
      <w:r w:rsidRPr="00B60AD9">
        <w:rPr>
          <w:i/>
          <w:iCs/>
        </w:rPr>
        <w:t xml:space="preserve">See infra </w:t>
      </w:r>
      <w:r w:rsidRPr="00B60AD9">
        <w:t>Part IV.C.</w:t>
      </w:r>
    </w:p>
  </w:footnote>
  <w:footnote w:id="242">
    <w:p w:rsidR="00810097" w:rsidRPr="00B60AD9" w:rsidP="00810097" w14:paraId="66461CA8"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12913-14, para. 13.</w:t>
      </w:r>
    </w:p>
  </w:footnote>
  <w:footnote w:id="243">
    <w:p w:rsidR="00810097" w:rsidRPr="00B60AD9" w:rsidP="00810097" w14:paraId="2AC651F8" w14:textId="77777777">
      <w:pPr>
        <w:pStyle w:val="FootnoteText"/>
      </w:pPr>
      <w:r w:rsidRPr="00B60AD9">
        <w:rPr>
          <w:rStyle w:val="FootnoteReference"/>
        </w:rPr>
        <w:footnoteRef/>
      </w:r>
      <w:r w:rsidRPr="00B60AD9">
        <w:t xml:space="preserve"> NAAG Comments at 5; SCDCA Comments at 4; State AGs Reply at 5.</w:t>
      </w:r>
    </w:p>
  </w:footnote>
  <w:footnote w:id="244">
    <w:p w:rsidR="00810097" w:rsidRPr="00B60AD9" w:rsidP="00810097" w14:paraId="15435104" w14:textId="77777777">
      <w:pPr>
        <w:pStyle w:val="FootnoteText"/>
      </w:pPr>
      <w:r w:rsidRPr="00B60AD9">
        <w:rPr>
          <w:rStyle w:val="FootnoteReference"/>
        </w:rPr>
        <w:footnoteRef/>
      </w:r>
      <w:r w:rsidRPr="00B60AD9">
        <w:t xml:space="preserve"> We expect that this, and our other referrals to the NANC concerning numbe</w:t>
      </w:r>
      <w:r w:rsidRPr="00B60AD9">
        <w:t xml:space="preserve">r use, will give us a fuller picture regarding the customers’ use of numbering resources, and thereby aid our future consideration of whether to impose a know-your-customer certification requirement.  </w:t>
      </w:r>
      <w:r w:rsidRPr="00B60AD9">
        <w:rPr>
          <w:i/>
          <w:iCs/>
        </w:rPr>
        <w:t xml:space="preserve">See supra </w:t>
      </w:r>
      <w:r w:rsidRPr="00B60AD9">
        <w:t>para. 58.</w:t>
      </w:r>
    </w:p>
  </w:footnote>
  <w:footnote w:id="245">
    <w:p w:rsidR="00810097" w:rsidRPr="00B60AD9" w:rsidP="00810097" w14:paraId="5CFB9005" w14:textId="77777777">
      <w:pPr>
        <w:pStyle w:val="FootnoteText"/>
      </w:pPr>
      <w:r w:rsidRPr="00B60AD9">
        <w:rPr>
          <w:rStyle w:val="FootnoteReference"/>
        </w:rPr>
        <w:footnoteRef/>
      </w:r>
      <w:r w:rsidRPr="00B60AD9">
        <w:t xml:space="preserve"> </w:t>
      </w:r>
      <w:r w:rsidRPr="00B60AD9">
        <w:rPr>
          <w:i/>
          <w:iCs/>
        </w:rPr>
        <w:t>See VoIP Direct Access Further No</w:t>
      </w:r>
      <w:r w:rsidRPr="00B60AD9">
        <w:rPr>
          <w:i/>
          <w:iCs/>
        </w:rPr>
        <w:t>tice</w:t>
      </w:r>
      <w:r w:rsidRPr="00B60AD9">
        <w:t>, 36 FCC Rcd at 12925, para. 37.  Our rules currently permit state commissions to request that the Numbering Administrator initiate reclamation if, after an investigation, it is satisfied that the service provider has not activated and commenced assign</w:t>
      </w:r>
      <w:r w:rsidRPr="00B60AD9">
        <w:t>ment to end users of their numbering resources within six months.  47 CFR § 52.15(i).</w:t>
      </w:r>
    </w:p>
  </w:footnote>
  <w:footnote w:id="246">
    <w:p w:rsidR="00810097" w:rsidRPr="00B60AD9" w:rsidP="00810097" w14:paraId="39D0FD7A" w14:textId="77777777">
      <w:pPr>
        <w:pStyle w:val="FootnoteText"/>
      </w:pPr>
      <w:r w:rsidRPr="00B60AD9">
        <w:rPr>
          <w:rStyle w:val="FootnoteReference"/>
        </w:rPr>
        <w:footnoteRef/>
      </w:r>
      <w:r w:rsidRPr="00B60AD9">
        <w:t xml:space="preserve"> </w:t>
      </w:r>
      <w:r w:rsidRPr="00B60AD9">
        <w:rPr>
          <w:bCs/>
          <w:i/>
          <w:iCs/>
        </w:rPr>
        <w:t xml:space="preserve">See </w:t>
      </w:r>
      <w:r w:rsidRPr="00B60AD9">
        <w:rPr>
          <w:bCs/>
        </w:rPr>
        <w:t>ATIS Comments at 3-4</w:t>
      </w:r>
      <w:r w:rsidRPr="00B60AD9">
        <w:t xml:space="preserve"> </w:t>
      </w:r>
      <w:r w:rsidRPr="00B60AD9">
        <w:rPr>
          <w:bCs/>
        </w:rPr>
        <w:t>(</w:t>
      </w:r>
      <w:r w:rsidRPr="00B60AD9">
        <w:t>“[T]he Commission generally should not require the return of already obtained numbers because of the potential significant negative impacts th</w:t>
      </w:r>
      <w:r w:rsidRPr="00B60AD9">
        <w:t xml:space="preserve">at such a requirement could have on customers. . . . . If the Commission were to require returns in [cases of national security or originating numerous unlawful robocalls] it would need to consider how to minimize the impact to customers who are using the </w:t>
      </w:r>
      <w:r w:rsidRPr="00B60AD9">
        <w:t>numbers to provide legitimate services . . . [and] how it would identify new providers to support the numbers previously supported by providers whose authorizations were revoked and what would happen if a provider’s authorization was to be reinstated . . .</w:t>
      </w:r>
      <w:r w:rsidRPr="00B60AD9">
        <w:t xml:space="preserve"> .”); Bandwidth Comments at 6 (“The FCC should ensure it has adequate procedures to take back numbers from grantees that fail to comply with applicable FCC and state rules.”)</w:t>
      </w:r>
      <w:r w:rsidRPr="00B60AD9">
        <w:rPr>
          <w:bCs/>
        </w:rPr>
        <w:t>; Twilio Comments at 9 (</w:t>
      </w:r>
      <w:r w:rsidRPr="00B60AD9">
        <w:t>“[T]he Commission should ensure that where . . . a revocat</w:t>
      </w:r>
      <w:r w:rsidRPr="00B60AD9">
        <w:t>ion of direct access to numbering resources is warranted, that the interconnected VoIP provider should not be required to return numbers that it has already obtained so as to avoid flash-cut negative impacts on end-user consumers.”)</w:t>
      </w:r>
      <w:r w:rsidRPr="00B60AD9">
        <w:rPr>
          <w:bCs/>
        </w:rPr>
        <w:t>.</w:t>
      </w:r>
    </w:p>
  </w:footnote>
  <w:footnote w:id="247">
    <w:p w:rsidR="00810097" w:rsidRPr="00B60AD9" w:rsidP="00810097" w14:paraId="355DC9C1" w14:textId="77777777">
      <w:pPr>
        <w:pStyle w:val="FootnoteText"/>
      </w:pPr>
      <w:r w:rsidRPr="00B60AD9">
        <w:rPr>
          <w:rStyle w:val="FootnoteReference"/>
        </w:rPr>
        <w:footnoteRef/>
      </w:r>
      <w:r w:rsidRPr="00B60AD9">
        <w:rPr>
          <w:rStyle w:val="FootnoteReference"/>
        </w:rPr>
        <w:t xml:space="preserve"> </w:t>
      </w:r>
      <w:r w:rsidRPr="00B60AD9">
        <w:rPr>
          <w:i/>
          <w:iCs/>
        </w:rPr>
        <w:t>Caller ID Authentica</w:t>
      </w:r>
      <w:r w:rsidRPr="00B60AD9">
        <w:rPr>
          <w:i/>
          <w:iCs/>
        </w:rPr>
        <w:t>tion First Report and Order</w:t>
      </w:r>
      <w:r w:rsidRPr="00B60AD9">
        <w:t>, 35 FCC Rcd at 3263, paras. 47-48.</w:t>
      </w:r>
    </w:p>
  </w:footnote>
  <w:footnote w:id="248">
    <w:p w:rsidR="00810097" w:rsidRPr="00B60AD9" w:rsidP="00810097" w14:paraId="6A11B2C0" w14:textId="77777777">
      <w:pPr>
        <w:pStyle w:val="FootnoteText"/>
      </w:pPr>
      <w:r w:rsidRPr="00B60AD9">
        <w:rPr>
          <w:rStyle w:val="FootnoteReference"/>
        </w:rPr>
        <w:footnoteRef/>
      </w:r>
      <w:r w:rsidRPr="00B60AD9">
        <w:rPr>
          <w:rStyle w:val="FootnoteReference"/>
        </w:rPr>
        <w:t xml:space="preserve"> </w:t>
      </w:r>
      <w:r w:rsidRPr="00B60AD9">
        <w:rPr>
          <w:i/>
          <w:iCs/>
        </w:rPr>
        <w:t>Id.</w:t>
      </w:r>
      <w:r w:rsidRPr="00B60AD9">
        <w:t xml:space="preserve"> at 3263-64, paras. 49-50.</w:t>
      </w:r>
    </w:p>
  </w:footnote>
  <w:footnote w:id="249">
    <w:p w:rsidR="00810097" w:rsidRPr="00B60AD9" w:rsidP="00810097" w14:paraId="44034E16" w14:textId="77777777">
      <w:pPr>
        <w:pStyle w:val="FootnoteText"/>
      </w:pPr>
      <w:r w:rsidRPr="00B60AD9">
        <w:rPr>
          <w:rStyle w:val="FootnoteReference"/>
        </w:rPr>
        <w:footnoteRef/>
      </w:r>
      <w:r w:rsidRPr="00B60AD9">
        <w:rPr>
          <w:rStyle w:val="FootnoteReference"/>
        </w:rPr>
        <w:t xml:space="preserve"> </w:t>
      </w:r>
      <w:r w:rsidRPr="00B60AD9">
        <w:rPr>
          <w:i/>
          <w:iCs/>
        </w:rPr>
        <w:t>Id.</w:t>
      </w:r>
      <w:r w:rsidRPr="00B60AD9">
        <w:t xml:space="preserve"> at 3265-66, paras. 52-53.</w:t>
      </w:r>
    </w:p>
  </w:footnote>
  <w:footnote w:id="250">
    <w:p w:rsidR="00810097" w:rsidRPr="00B60AD9" w:rsidP="00810097" w14:paraId="4DD76FC4" w14:textId="77777777">
      <w:pPr>
        <w:pStyle w:val="FootnoteText"/>
      </w:pPr>
      <w:r w:rsidRPr="00B60AD9">
        <w:rPr>
          <w:rStyle w:val="FootnoteReference"/>
        </w:rPr>
        <w:footnoteRef/>
      </w:r>
      <w:r w:rsidRPr="00B60AD9">
        <w:rPr>
          <w:rStyle w:val="FootnoteReference"/>
        </w:rPr>
        <w:t xml:space="preserve"> </w:t>
      </w:r>
      <w:r w:rsidRPr="00B60AD9">
        <w:rPr>
          <w:i/>
          <w:iCs/>
        </w:rPr>
        <w:t>Id.</w:t>
      </w:r>
    </w:p>
  </w:footnote>
  <w:footnote w:id="251">
    <w:p w:rsidR="00810097" w:rsidRPr="00B60AD9" w:rsidP="00810097" w14:paraId="76118070" w14:textId="77777777">
      <w:pPr>
        <w:pStyle w:val="FootnoteText"/>
      </w:pPr>
      <w:r w:rsidRPr="00B60AD9">
        <w:rPr>
          <w:rStyle w:val="FootnoteReference"/>
        </w:rPr>
        <w:footnoteRef/>
      </w:r>
      <w:r w:rsidRPr="00B60AD9">
        <w:t xml:space="preserve"> </w:t>
      </w:r>
      <w:r w:rsidRPr="00B60AD9">
        <w:rPr>
          <w:i/>
          <w:iCs/>
        </w:rPr>
        <w:t>VoIP Direct Access Further Notice</w:t>
      </w:r>
      <w:r w:rsidRPr="00B60AD9">
        <w:t>, 36 FCC Rcd at 12926-28, paras. 42-43.</w:t>
      </w:r>
    </w:p>
  </w:footnote>
  <w:footnote w:id="252">
    <w:p w:rsidR="00810097" w:rsidRPr="00B60AD9" w:rsidP="00810097" w14:paraId="18793F01" w14:textId="77777777">
      <w:pPr>
        <w:pStyle w:val="FootnoteText"/>
      </w:pPr>
      <w:r w:rsidRPr="00B60AD9">
        <w:rPr>
          <w:rStyle w:val="FootnoteReference"/>
        </w:rPr>
        <w:footnoteRef/>
      </w:r>
      <w:r w:rsidRPr="00B60AD9">
        <w:t xml:space="preserve"> 47 U.S.C. § 251(e)(1).  </w:t>
      </w:r>
    </w:p>
  </w:footnote>
  <w:footnote w:id="253">
    <w:p w:rsidR="00810097" w:rsidRPr="00B60AD9" w:rsidP="00810097" w14:paraId="7E72B5A4" w14:textId="77777777">
      <w:pPr>
        <w:pStyle w:val="FootnoteText"/>
      </w:pPr>
      <w:r w:rsidRPr="00B60AD9">
        <w:rPr>
          <w:rStyle w:val="FootnoteReference"/>
        </w:rPr>
        <w:footnoteRef/>
      </w:r>
      <w:r w:rsidRPr="00B60AD9">
        <w:t xml:space="preserve"> </w:t>
      </w:r>
      <w:r w:rsidRPr="00B60AD9">
        <w:rPr>
          <w:i/>
          <w:iCs/>
        </w:rPr>
        <w:t xml:space="preserve">VoIP Direct Access </w:t>
      </w:r>
      <w:r w:rsidRPr="00B60AD9">
        <w:rPr>
          <w:i/>
          <w:iCs/>
        </w:rPr>
        <w:t>Order</w:t>
      </w:r>
      <w:r w:rsidRPr="00B60AD9">
        <w:t>, 30 FCC Rcd at 6878, para. 78.</w:t>
      </w:r>
    </w:p>
  </w:footnote>
  <w:footnote w:id="254">
    <w:p w:rsidR="00810097" w:rsidRPr="00B60AD9" w:rsidP="00810097" w14:paraId="11AF6232" w14:textId="77777777">
      <w:pPr>
        <w:pStyle w:val="FootnoteText"/>
      </w:pPr>
      <w:r w:rsidRPr="00B60AD9">
        <w:rPr>
          <w:rStyle w:val="FootnoteReference"/>
        </w:rPr>
        <w:footnoteRef/>
      </w:r>
      <w:r w:rsidRPr="00B60AD9">
        <w:t xml:space="preserve"> </w:t>
      </w:r>
      <w:r w:rsidRPr="00B60AD9">
        <w:rPr>
          <w:i/>
          <w:iCs/>
        </w:rPr>
        <w:t>See Implementation of the National Suicide Hotline Improvement Act of 2018</w:t>
      </w:r>
      <w:r w:rsidRPr="00B60AD9">
        <w:t xml:space="preserve">, WC Docket No. 18-336, Report and Order, 35 FCC Rcd 7373, 7394, para. 40 (2020); </w:t>
      </w:r>
      <w:r w:rsidRPr="00B60AD9">
        <w:rPr>
          <w:i/>
          <w:iCs/>
        </w:rPr>
        <w:t>Caller ID Authentication First Report and Order</w:t>
      </w:r>
      <w:r w:rsidRPr="00B60AD9">
        <w:t>, 35 FCC Rcd a</w:t>
      </w:r>
      <w:r w:rsidRPr="00B60AD9">
        <w:t>t 3260-61, para. 42.</w:t>
      </w:r>
    </w:p>
  </w:footnote>
  <w:footnote w:id="255">
    <w:p w:rsidR="00810097" w:rsidRPr="00B60AD9" w:rsidP="00810097" w14:paraId="1056D755" w14:textId="77777777">
      <w:pPr>
        <w:pStyle w:val="FootnoteText"/>
      </w:pPr>
      <w:r w:rsidRPr="00B60AD9">
        <w:rPr>
          <w:rStyle w:val="FootnoteReference"/>
        </w:rPr>
        <w:footnoteRef/>
      </w:r>
      <w:r w:rsidRPr="00B60AD9">
        <w:t xml:space="preserve"> TRACED Act § 6(a)(1); </w:t>
      </w:r>
      <w:r w:rsidRPr="00B60AD9">
        <w:rPr>
          <w:i/>
          <w:iCs/>
        </w:rPr>
        <w:t xml:space="preserve">see also </w:t>
      </w:r>
      <w:r w:rsidRPr="00B60AD9">
        <w:t xml:space="preserve">47 U.S.C. § 227(b) (restricting the making of telemarketing calls and the use of automatic telephone dialing systems and artificial or prerecorded voice messages).  </w:t>
      </w:r>
    </w:p>
  </w:footnote>
  <w:footnote w:id="256">
    <w:p w:rsidR="00810097" w:rsidRPr="00B60AD9" w:rsidP="00810097" w14:paraId="6E8F9013" w14:textId="77777777">
      <w:pPr>
        <w:pStyle w:val="FootnoteText"/>
      </w:pPr>
      <w:r w:rsidRPr="00B60AD9">
        <w:rPr>
          <w:rStyle w:val="FootnoteReference"/>
        </w:rPr>
        <w:footnoteRef/>
      </w:r>
      <w:r w:rsidRPr="00B60AD9">
        <w:t xml:space="preserve"> </w:t>
      </w:r>
      <w:r w:rsidRPr="00B60AD9">
        <w:rPr>
          <w:i/>
          <w:iCs/>
        </w:rPr>
        <w:t xml:space="preserve">Caller ID </w:t>
      </w:r>
      <w:r w:rsidRPr="00B60AD9">
        <w:rPr>
          <w:i/>
          <w:iCs/>
        </w:rPr>
        <w:t>Authentication First Report and Order</w:t>
      </w:r>
      <w:r w:rsidRPr="00B60AD9">
        <w:t xml:space="preserve">, 35 FCC Rcd at 3492-96, paras. 123-30.  </w:t>
      </w:r>
    </w:p>
  </w:footnote>
  <w:footnote w:id="257">
    <w:p w:rsidR="00810097" w:rsidRPr="00B60AD9" w:rsidP="00810097" w14:paraId="14970B96" w14:textId="77777777">
      <w:pPr>
        <w:pStyle w:val="FootnoteText"/>
      </w:pPr>
      <w:r w:rsidRPr="00B60AD9">
        <w:rPr>
          <w:rStyle w:val="FootnoteReference"/>
        </w:rPr>
        <w:footnoteRef/>
      </w:r>
      <w:r w:rsidRPr="00B60AD9">
        <w:t xml:space="preserve"> TRACED Act § 6(a)(2).  </w:t>
      </w:r>
    </w:p>
  </w:footnote>
  <w:footnote w:id="258">
    <w:p w:rsidR="00756CCD" w:rsidRPr="00B60AD9" w:rsidP="00756CCD" w14:paraId="3CF69CCA" w14:textId="77777777">
      <w:pPr>
        <w:pStyle w:val="FootnoteText"/>
      </w:pPr>
      <w:r w:rsidRPr="00B60AD9">
        <w:rPr>
          <w:rStyle w:val="FootnoteReference"/>
        </w:rPr>
        <w:footnoteRef/>
      </w:r>
      <w:r w:rsidRPr="00B60AD9">
        <w:t xml:space="preserve"> </w:t>
      </w:r>
      <w:r w:rsidRPr="00B60AD9">
        <w:rPr>
          <w:i/>
          <w:iCs/>
        </w:rPr>
        <w:t xml:space="preserve">See supra </w:t>
      </w:r>
      <w:r w:rsidRPr="00B60AD9">
        <w:t>Part III.A.</w:t>
      </w:r>
    </w:p>
  </w:footnote>
  <w:footnote w:id="259">
    <w:p w:rsidR="00756CCD" w:rsidRPr="00B60AD9" w:rsidP="00756CCD" w14:paraId="5BE9BF15" w14:textId="77777777">
      <w:pPr>
        <w:pStyle w:val="FootnoteText"/>
      </w:pPr>
      <w:r w:rsidRPr="00B60AD9">
        <w:rPr>
          <w:rStyle w:val="FootnoteReference"/>
        </w:rPr>
        <w:footnoteRef/>
      </w:r>
      <w:r w:rsidRPr="00B60AD9">
        <w:t xml:space="preserve"> </w:t>
      </w:r>
      <w:r w:rsidRPr="00B60AD9">
        <w:rPr>
          <w:i/>
          <w:iCs/>
        </w:rPr>
        <w:t>VoIP Direct Access Further Notice</w:t>
      </w:r>
      <w:r w:rsidRPr="00B60AD9">
        <w:t xml:space="preserve">, 36 FCC Rcd at 12915, para. 16 (seeking comment on “whether and how we should obtain these </w:t>
      </w:r>
      <w:r w:rsidRPr="00B60AD9">
        <w:t>proposed certifications [for E911 and CALEA] from interconnected VoIP providers holding an existing Commission authorization for direct access to numbers”).</w:t>
      </w:r>
    </w:p>
  </w:footnote>
  <w:footnote w:id="260">
    <w:p w:rsidR="00756CCD" w:rsidRPr="00B60AD9" w:rsidP="00756CCD" w14:paraId="31547055" w14:textId="77777777">
      <w:pPr>
        <w:pStyle w:val="FootnoteText"/>
      </w:pPr>
      <w:r w:rsidRPr="00B60AD9">
        <w:rPr>
          <w:rStyle w:val="FootnoteReference"/>
        </w:rPr>
        <w:footnoteRef/>
      </w:r>
      <w:r w:rsidRPr="00B60AD9">
        <w:t xml:space="preserve"> </w:t>
      </w:r>
      <w:r w:rsidRPr="00B60AD9">
        <w:rPr>
          <w:i/>
          <w:iCs/>
        </w:rPr>
        <w:t>Id</w:t>
      </w:r>
      <w:r w:rsidRPr="00B60AD9">
        <w:t>. at 12914-15, para. 15 (proposing to adopt a requirement for “a direct access applicant or aut</w:t>
      </w:r>
      <w:r w:rsidRPr="00B60AD9">
        <w:t>horization holder” to provide such a certification).</w:t>
      </w:r>
    </w:p>
  </w:footnote>
  <w:footnote w:id="261">
    <w:p w:rsidR="00756CCD" w:rsidRPr="00B60AD9" w:rsidP="00756CCD" w14:paraId="0F662F58" w14:textId="77777777">
      <w:pPr>
        <w:pStyle w:val="FootnoteText"/>
      </w:pPr>
      <w:r w:rsidRPr="00B60AD9">
        <w:rPr>
          <w:rStyle w:val="FootnoteReference"/>
        </w:rPr>
        <w:footnoteRef/>
      </w:r>
      <w:r w:rsidRPr="00B60AD9">
        <w:t xml:space="preserve"> </w:t>
      </w:r>
      <w:r w:rsidRPr="00B60AD9">
        <w:rPr>
          <w:i/>
          <w:iCs/>
        </w:rPr>
        <w:t>Id</w:t>
      </w:r>
      <w:r w:rsidRPr="00B60AD9">
        <w:t>. at 12922-23, para. 33 (seeking comment on whether to revise requirement for “interconnected VoIP providers holding a Commission numbering authorization” to clarify the scope of the duty to comply w</w:t>
      </w:r>
      <w:r w:rsidRPr="00B60AD9">
        <w:t>ith state law).</w:t>
      </w:r>
    </w:p>
  </w:footnote>
  <w:footnote w:id="262">
    <w:p w:rsidR="00756CCD" w:rsidRPr="00B60AD9" w:rsidP="00756CCD" w14:paraId="5E32FADD" w14:textId="77777777">
      <w:pPr>
        <w:pStyle w:val="FootnoteText"/>
      </w:pPr>
      <w:r w:rsidRPr="00B60AD9">
        <w:rPr>
          <w:rStyle w:val="FootnoteReference"/>
        </w:rPr>
        <w:footnoteRef/>
      </w:r>
      <w:r w:rsidRPr="00B60AD9">
        <w:t xml:space="preserve"> </w:t>
      </w:r>
      <w:r w:rsidRPr="00B60AD9">
        <w:rPr>
          <w:i/>
          <w:iCs/>
        </w:rPr>
        <w:t>See</w:t>
      </w:r>
      <w:r w:rsidRPr="00B60AD9">
        <w:t xml:space="preserve"> USTelecom Reply at 5.</w:t>
      </w:r>
    </w:p>
  </w:footnote>
  <w:footnote w:id="263">
    <w:p w:rsidR="00756CCD" w:rsidRPr="00B60AD9" w:rsidP="00756CCD" w14:paraId="64CEDD74" w14:textId="77777777">
      <w:pPr>
        <w:pStyle w:val="FootnoteText"/>
        <w:rPr>
          <w:b/>
          <w:bCs/>
        </w:rPr>
      </w:pPr>
      <w:r w:rsidRPr="00B60AD9">
        <w:rPr>
          <w:rStyle w:val="FootnoteReference"/>
        </w:rPr>
        <w:footnoteRef/>
      </w:r>
      <w:r w:rsidRPr="00B60AD9">
        <w:t xml:space="preserve"> </w:t>
      </w:r>
      <w:r w:rsidRPr="00B60AD9">
        <w:rPr>
          <w:i/>
          <w:iCs/>
        </w:rPr>
        <w:t>See</w:t>
      </w:r>
      <w:r w:rsidRPr="00B60AD9">
        <w:t xml:space="preserve"> </w:t>
      </w:r>
      <w:r w:rsidRPr="00B60AD9">
        <w:rPr>
          <w:i/>
          <w:iCs/>
        </w:rPr>
        <w:t xml:space="preserve">supra </w:t>
      </w:r>
      <w:r w:rsidRPr="00B60AD9">
        <w:t>Part III.B.3.</w:t>
      </w:r>
    </w:p>
  </w:footnote>
  <w:footnote w:id="264">
    <w:p w:rsidR="00756CCD" w:rsidRPr="00B60AD9" w:rsidP="00756CCD" w14:paraId="671498D4" w14:textId="77777777">
      <w:pPr>
        <w:pStyle w:val="FootnoteText"/>
      </w:pPr>
      <w:r w:rsidRPr="00B60AD9">
        <w:rPr>
          <w:rStyle w:val="FootnoteReference"/>
        </w:rPr>
        <w:footnoteRef/>
      </w:r>
      <w:r w:rsidRPr="00B60AD9">
        <w:t xml:space="preserve"> </w:t>
      </w:r>
      <w:r w:rsidRPr="00B60AD9">
        <w:rPr>
          <w:i/>
          <w:iCs/>
        </w:rPr>
        <w:t>See</w:t>
      </w:r>
      <w:r w:rsidRPr="00B60AD9">
        <w:t xml:space="preserve"> 47 CFR § 52.15(g)(2).</w:t>
      </w:r>
    </w:p>
  </w:footnote>
  <w:footnote w:id="265">
    <w:p w:rsidR="00756CCD" w:rsidRPr="00B60AD9" w:rsidP="00756CCD" w14:paraId="35D3ACF9" w14:textId="77777777">
      <w:pPr>
        <w:pStyle w:val="FootnoteText"/>
      </w:pPr>
      <w:r w:rsidRPr="00B60AD9">
        <w:rPr>
          <w:rStyle w:val="FootnoteReference"/>
        </w:rPr>
        <w:footnoteRef/>
      </w:r>
      <w:r w:rsidRPr="00B60AD9">
        <w:t xml:space="preserve"> </w:t>
      </w:r>
      <w:r w:rsidRPr="00B60AD9">
        <w:rPr>
          <w:i/>
          <w:iCs/>
        </w:rPr>
        <w:t>Id.</w:t>
      </w:r>
      <w:r w:rsidRPr="00B60AD9">
        <w:t xml:space="preserve"> § 52.15(g)(3).</w:t>
      </w:r>
    </w:p>
  </w:footnote>
  <w:footnote w:id="266">
    <w:p w:rsidR="00756CCD" w:rsidRPr="00B60AD9" w:rsidP="00756CCD" w14:paraId="149F9A76" w14:textId="77777777">
      <w:pPr>
        <w:pStyle w:val="FootnoteText"/>
      </w:pPr>
      <w:r w:rsidRPr="00B60AD9">
        <w:rPr>
          <w:rStyle w:val="FootnoteReference"/>
        </w:rPr>
        <w:footnoteRef/>
      </w:r>
      <w:r w:rsidRPr="00B60AD9">
        <w:t xml:space="preserve"> </w:t>
      </w:r>
      <w:r w:rsidRPr="00B60AD9">
        <w:rPr>
          <w:i/>
          <w:iCs/>
        </w:rPr>
        <w:t>See supra</w:t>
      </w:r>
      <w:r w:rsidRPr="00B60AD9">
        <w:t xml:space="preserve"> Part III.A.1, 2.</w:t>
      </w:r>
    </w:p>
  </w:footnote>
  <w:footnote w:id="267">
    <w:p w:rsidR="00756CCD" w:rsidRPr="00B60AD9" w:rsidP="00756CCD" w14:paraId="49F557B7" w14:textId="77777777">
      <w:pPr>
        <w:pStyle w:val="FootnoteText"/>
      </w:pPr>
      <w:r w:rsidRPr="00B60AD9">
        <w:rPr>
          <w:rStyle w:val="FootnoteReference"/>
        </w:rPr>
        <w:footnoteRef/>
      </w:r>
      <w:r w:rsidRPr="00B60AD9">
        <w:t xml:space="preserve"> </w:t>
      </w:r>
      <w:r w:rsidRPr="00B60AD9">
        <w:rPr>
          <w:i/>
          <w:iCs/>
        </w:rPr>
        <w:t>See supra</w:t>
      </w:r>
      <w:r w:rsidRPr="00B60AD9">
        <w:t xml:space="preserve"> paras. 68, 70.</w:t>
      </w:r>
    </w:p>
  </w:footnote>
  <w:footnote w:id="268">
    <w:p w:rsidR="00756CCD" w:rsidRPr="00B60AD9" w:rsidP="00756CCD" w14:paraId="6432DFD2" w14:textId="77777777">
      <w:pPr>
        <w:pStyle w:val="FootnoteText"/>
      </w:pPr>
      <w:r w:rsidRPr="00B60AD9">
        <w:rPr>
          <w:rStyle w:val="FootnoteReference"/>
        </w:rPr>
        <w:footnoteRef/>
      </w:r>
      <w:r w:rsidRPr="00B60AD9">
        <w:t xml:space="preserve"> We simultaneously refer questions to the NANC regarding the use and misuse of n</w:t>
      </w:r>
      <w:r w:rsidRPr="00B60AD9">
        <w:t xml:space="preserve">umbering resources obtained indirectly in our accompanying </w:t>
      </w:r>
      <w:r w:rsidRPr="00B60AD9">
        <w:rPr>
          <w:i/>
          <w:iCs/>
        </w:rPr>
        <w:t>Second Report and Order</w:t>
      </w:r>
      <w:r w:rsidRPr="00B60AD9">
        <w:t xml:space="preserve"> above.  </w:t>
      </w:r>
      <w:r w:rsidRPr="00B60AD9">
        <w:rPr>
          <w:i/>
          <w:iCs/>
        </w:rPr>
        <w:t xml:space="preserve">See supra </w:t>
      </w:r>
      <w:r w:rsidRPr="00B60AD9">
        <w:t>paras. 68-71.  We do so to ensure we have a fulsome record should we decide to take action on this issue in the future.</w:t>
      </w:r>
    </w:p>
  </w:footnote>
  <w:footnote w:id="269">
    <w:p w:rsidR="00756CCD" w:rsidRPr="00B60AD9" w:rsidP="00756CCD" w14:paraId="0EC15B0D" w14:textId="77777777">
      <w:pPr>
        <w:pStyle w:val="FootnoteText"/>
      </w:pPr>
      <w:r w:rsidRPr="00B60AD9">
        <w:rPr>
          <w:rStyle w:val="FootnoteReference"/>
        </w:rPr>
        <w:footnoteRef/>
      </w:r>
      <w:r w:rsidRPr="00B60AD9">
        <w:t xml:space="preserve"> In the Access Arbitrage proceedin</w:t>
      </w:r>
      <w:r w:rsidRPr="00B60AD9">
        <w:t>g, we took steps to strengthen our protection of consumers by requiring</w:t>
      </w:r>
      <w:r w:rsidRPr="00B60AD9">
        <w:rPr>
          <w:rStyle w:val="cf01"/>
          <w:rFonts w:ascii="Times New Roman" w:hAnsi="Times New Roman" w:cs="Times New Roman"/>
          <w:sz w:val="20"/>
          <w:szCs w:val="20"/>
        </w:rPr>
        <w:t xml:space="preserve"> that an entity with direct access to numbers is responsible for the actions of a provider it subsequently indirectly assigns some or all of its numbers to.  The entity receiving number</w:t>
      </w:r>
      <w:r w:rsidRPr="00B60AD9">
        <w:rPr>
          <w:rStyle w:val="cf01"/>
          <w:rFonts w:ascii="Times New Roman" w:hAnsi="Times New Roman" w:cs="Times New Roman"/>
          <w:sz w:val="20"/>
          <w:szCs w:val="20"/>
        </w:rPr>
        <w:t xml:space="preserve">s directly is responsible (for purposes of Access Stimulation traffic ratio calculations) for call traffic to and from its OCN regardless of whether that entity subsequently indirectly assigns those telephone numbers to other providers.  </w:t>
      </w:r>
      <w:r w:rsidRPr="00B60AD9">
        <w:rPr>
          <w:i/>
          <w:iCs/>
        </w:rPr>
        <w:t>See Access Arbitra</w:t>
      </w:r>
      <w:r w:rsidRPr="00B60AD9">
        <w:rPr>
          <w:i/>
          <w:iCs/>
        </w:rPr>
        <w:t xml:space="preserve">ge Second Report and Order </w:t>
      </w:r>
      <w:r w:rsidRPr="00B60AD9">
        <w:t>at 17-21, paras. 28-36.</w:t>
      </w:r>
    </w:p>
  </w:footnote>
  <w:footnote w:id="270">
    <w:p w:rsidR="00756CCD" w:rsidRPr="00B60AD9" w:rsidP="00756CCD" w14:paraId="2BBBC021" w14:textId="77777777">
      <w:pPr>
        <w:pStyle w:val="FootnoteText"/>
      </w:pPr>
      <w:r w:rsidRPr="00B60AD9">
        <w:rPr>
          <w:rStyle w:val="FootnoteReference"/>
        </w:rPr>
        <w:footnoteRef/>
      </w:r>
      <w:r w:rsidRPr="00B60AD9">
        <w:t xml:space="preserve"> 47 U.S.C. § 251(e)(1).</w:t>
      </w:r>
    </w:p>
  </w:footnote>
  <w:footnote w:id="271">
    <w:p w:rsidR="00756CCD" w:rsidRPr="00B60AD9" w:rsidP="00756CCD" w14:paraId="5CC67AE4" w14:textId="77777777">
      <w:pPr>
        <w:pStyle w:val="FootnoteText"/>
      </w:pPr>
      <w:r w:rsidRPr="00B60AD9">
        <w:rPr>
          <w:rStyle w:val="FootnoteReference"/>
        </w:rPr>
        <w:footnoteRef/>
      </w:r>
      <w:r w:rsidRPr="00B60AD9">
        <w:t xml:space="preserve"> </w:t>
      </w:r>
      <w:r w:rsidRPr="00B60AD9">
        <w:rPr>
          <w:i/>
          <w:iCs/>
        </w:rPr>
        <w:t>VoIP Direct Access Order</w:t>
      </w:r>
      <w:r w:rsidRPr="00B60AD9">
        <w:t>, 30 FCC Rcd at 6878, para. 78.</w:t>
      </w:r>
    </w:p>
  </w:footnote>
  <w:footnote w:id="272">
    <w:p w:rsidR="00756CCD" w:rsidRPr="00B60AD9" w:rsidP="00756CCD" w14:paraId="456572EA" w14:textId="77777777">
      <w:pPr>
        <w:pStyle w:val="FootnoteText"/>
      </w:pPr>
      <w:r w:rsidRPr="00B60AD9">
        <w:rPr>
          <w:rStyle w:val="FootnoteReference"/>
        </w:rPr>
        <w:footnoteRef/>
      </w:r>
      <w:r w:rsidRPr="00B60AD9">
        <w:t xml:space="preserve"> </w:t>
      </w:r>
      <w:r w:rsidRPr="00B60AD9">
        <w:rPr>
          <w:i/>
          <w:iCs/>
        </w:rPr>
        <w:t xml:space="preserve">See </w:t>
      </w:r>
      <w:r w:rsidRPr="00B60AD9">
        <w:t xml:space="preserve">47 U.S.C. § 251(b)(2) (imposing on each local exchange carrier the duty to provide, to the extent technically feasible, number portability in accordance with requirements prescribed by the Commission); </w:t>
      </w:r>
      <w:r w:rsidRPr="00B60AD9">
        <w:rPr>
          <w:i/>
          <w:iCs/>
        </w:rPr>
        <w:t>id.</w:t>
      </w:r>
      <w:r w:rsidRPr="00B60AD9">
        <w:t xml:space="preserve"> § 251(e)(2) (“The cost of establishing telecommuni</w:t>
      </w:r>
      <w:r w:rsidRPr="00B60AD9">
        <w:t xml:space="preserve">cations numbering administration arrangements and number portability shall be borne by all telecommunications carriers on a competitively neutral basis as determined by the Commission.”); </w:t>
      </w:r>
      <w:r w:rsidRPr="00B60AD9">
        <w:rPr>
          <w:i/>
          <w:iCs/>
        </w:rPr>
        <w:t>VoIP Direct Access Order</w:t>
      </w:r>
      <w:r w:rsidRPr="00B60AD9">
        <w:t>, 30 FCC Rcd at 6879-80, paras. 81-82.</w:t>
      </w:r>
    </w:p>
  </w:footnote>
  <w:footnote w:id="273">
    <w:p w:rsidR="00756CCD" w:rsidRPr="00B60AD9" w:rsidP="00756CCD" w14:paraId="5F6C6F66" w14:textId="77777777">
      <w:pPr>
        <w:pStyle w:val="FootnoteText"/>
      </w:pPr>
      <w:r w:rsidRPr="00B60AD9">
        <w:rPr>
          <w:rStyle w:val="FootnoteReference"/>
        </w:rPr>
        <w:footnoteRef/>
      </w:r>
      <w:r w:rsidRPr="00B60AD9">
        <w:t xml:space="preserve"> </w:t>
      </w:r>
      <w:r w:rsidRPr="00B60AD9">
        <w:rPr>
          <w:shd w:val="clear" w:color="auto" w:fill="FFFFFF"/>
        </w:rPr>
        <w:t>TRA</w:t>
      </w:r>
      <w:r w:rsidRPr="00B60AD9">
        <w:rPr>
          <w:shd w:val="clear" w:color="auto" w:fill="FFFFFF"/>
        </w:rPr>
        <w:t>CED Act </w:t>
      </w:r>
      <w:hyperlink r:id="rId28" w:history="1">
        <w:r w:rsidRPr="00B60AD9">
          <w:rPr>
            <w:rStyle w:val="Hyperlink"/>
            <w:color w:val="auto"/>
            <w:u w:val="none"/>
            <w:bdr w:val="none" w:sz="0" w:space="0" w:color="auto" w:frame="1"/>
            <w:shd w:val="clear" w:color="auto" w:fill="FFFFFF"/>
          </w:rPr>
          <w:t>§ 6(a)(1)</w:t>
        </w:r>
      </w:hyperlink>
      <w:r w:rsidRPr="00B60AD9">
        <w:rPr>
          <w:shd w:val="clear" w:color="auto" w:fill="FFFFFF"/>
        </w:rPr>
        <w:t>; </w:t>
      </w:r>
      <w:r w:rsidRPr="00B60AD9">
        <w:rPr>
          <w:rStyle w:val="Emphasis"/>
          <w:bdr w:val="none" w:sz="0" w:space="0" w:color="auto" w:frame="1"/>
          <w:shd w:val="clear" w:color="auto" w:fill="FFFFFF"/>
        </w:rPr>
        <w:t>see also</w:t>
      </w:r>
      <w:r w:rsidRPr="00B60AD9">
        <w:rPr>
          <w:shd w:val="clear" w:color="auto" w:fill="FFFFFF"/>
        </w:rPr>
        <w:t> </w:t>
      </w:r>
      <w:hyperlink r:id="rId29" w:anchor="co_pp_a83b000018c76" w:history="1">
        <w:r w:rsidRPr="00B60AD9">
          <w:rPr>
            <w:rStyle w:val="Hyperlink"/>
            <w:color w:val="auto"/>
            <w:u w:val="none"/>
            <w:bdr w:val="none" w:sz="0" w:space="0" w:color="auto" w:frame="1"/>
            <w:shd w:val="clear" w:color="auto" w:fill="FFFFFF"/>
          </w:rPr>
          <w:t>47 U.S.C. § 227(b)</w:t>
        </w:r>
      </w:hyperlink>
      <w:r w:rsidRPr="00B60AD9">
        <w:rPr>
          <w:shd w:val="clear" w:color="auto" w:fill="FFFFFF"/>
        </w:rPr>
        <w:t> (restricting the making of tel</w:t>
      </w:r>
      <w:r w:rsidRPr="00B60AD9">
        <w:rPr>
          <w:shd w:val="clear" w:color="auto" w:fill="FFFFFF"/>
        </w:rPr>
        <w:t>emarketing calls and the use of automatic telephone dialing systems and artificial or prerecorded voice messages).</w:t>
      </w:r>
    </w:p>
  </w:footnote>
  <w:footnote w:id="274">
    <w:p w:rsidR="00756CCD" w:rsidRPr="00B60AD9" w:rsidP="00756CCD" w14:paraId="0ABE0338" w14:textId="77777777">
      <w:pPr>
        <w:pStyle w:val="FootnoteText"/>
      </w:pPr>
      <w:r w:rsidRPr="00B60AD9">
        <w:rPr>
          <w:rStyle w:val="FootnoteReference"/>
        </w:rPr>
        <w:footnoteRef/>
      </w:r>
      <w:r w:rsidRPr="00B60AD9">
        <w:t xml:space="preserve"> </w:t>
      </w:r>
      <w:r w:rsidRPr="00B60AD9">
        <w:rPr>
          <w:i/>
          <w:iCs/>
          <w:bdr w:val="none" w:sz="0" w:space="0" w:color="auto" w:frame="1"/>
          <w:shd w:val="clear" w:color="auto" w:fill="FFFFFF"/>
        </w:rPr>
        <w:t>Caller ID Authentication First Report and Order</w:t>
      </w:r>
      <w:r w:rsidRPr="00B60AD9">
        <w:rPr>
          <w:shd w:val="clear" w:color="auto" w:fill="FFFFFF"/>
        </w:rPr>
        <w:t>, 35 FCC Rcd at 3492-96, paras. 123-30.</w:t>
      </w:r>
    </w:p>
  </w:footnote>
  <w:footnote w:id="275">
    <w:p w:rsidR="00756CCD" w:rsidRPr="00B60AD9" w:rsidP="00756CCD" w14:paraId="368E40F4" w14:textId="77777777">
      <w:pPr>
        <w:pStyle w:val="FootnoteText"/>
      </w:pPr>
      <w:r w:rsidRPr="00B60AD9">
        <w:rPr>
          <w:rStyle w:val="FootnoteReference"/>
        </w:rPr>
        <w:footnoteRef/>
      </w:r>
      <w:r w:rsidRPr="00B60AD9">
        <w:t xml:space="preserve"> </w:t>
      </w:r>
      <w:r w:rsidRPr="00B60AD9">
        <w:rPr>
          <w:shd w:val="clear" w:color="auto" w:fill="FFFFFF"/>
        </w:rPr>
        <w:t>TRACED Act </w:t>
      </w:r>
      <w:hyperlink r:id="rId28" w:history="1">
        <w:r w:rsidRPr="00B60AD9">
          <w:rPr>
            <w:rStyle w:val="Hyperlink"/>
            <w:color w:val="auto"/>
            <w:u w:val="none"/>
            <w:bdr w:val="none" w:sz="0" w:space="0" w:color="auto" w:frame="1"/>
            <w:shd w:val="clear" w:color="auto" w:fill="FFFFFF"/>
          </w:rPr>
          <w:t>§ 6(a)(2)</w:t>
        </w:r>
      </w:hyperlink>
      <w:r w:rsidRPr="00B60AD9">
        <w:rPr>
          <w:shd w:val="clear" w:color="auto" w:fill="FFFFFF"/>
        </w:rPr>
        <w:t>.</w:t>
      </w:r>
    </w:p>
  </w:footnote>
  <w:footnote w:id="276">
    <w:p w:rsidR="00756CCD" w:rsidRPr="00B60AD9" w:rsidP="00756CCD" w14:paraId="0A5EA0AB" w14:textId="77777777">
      <w:pPr>
        <w:pStyle w:val="FootnoteText"/>
      </w:pPr>
      <w:r w:rsidRPr="00B60AD9">
        <w:rPr>
          <w:rStyle w:val="FootnoteReference"/>
        </w:rPr>
        <w:footnoteRef/>
      </w:r>
      <w:r w:rsidRPr="00B60AD9">
        <w:t xml:space="preserve"> </w:t>
      </w:r>
      <w:r w:rsidRPr="00B60AD9">
        <w:rPr>
          <w:i/>
          <w:iCs/>
          <w:shd w:val="clear" w:color="auto" w:fill="FFFFFF"/>
        </w:rPr>
        <w:t>Id.</w:t>
      </w:r>
      <w:r w:rsidRPr="00B60AD9">
        <w:rPr>
          <w:shd w:val="clear" w:color="auto" w:fill="FFFFFF"/>
        </w:rPr>
        <w:t> </w:t>
      </w:r>
      <w:hyperlink r:id="rId28" w:history="1">
        <w:r w:rsidRPr="00B60AD9">
          <w:rPr>
            <w:rStyle w:val="Hyperlink"/>
            <w:color w:val="auto"/>
            <w:u w:val="none"/>
            <w:bdr w:val="none" w:sz="0" w:space="0" w:color="auto" w:frame="1"/>
            <w:shd w:val="clear" w:color="auto" w:fill="FFFFFF"/>
          </w:rPr>
          <w:t>§ 6(b)</w:t>
        </w:r>
      </w:hyperlink>
      <w:r w:rsidRPr="00B60AD9">
        <w:rPr>
          <w:shd w:val="clear" w:color="auto" w:fill="FFFFFF"/>
        </w:rPr>
        <w:t>.</w:t>
      </w:r>
    </w:p>
  </w:footnote>
  <w:footnote w:id="277">
    <w:p w:rsidR="00756CCD" w:rsidRPr="00B60AD9" w:rsidP="00756CCD" w14:paraId="6B46734B" w14:textId="77777777">
      <w:pPr>
        <w:pStyle w:val="FootnoteText"/>
      </w:pPr>
      <w:r w:rsidRPr="00B60AD9">
        <w:rPr>
          <w:rStyle w:val="FootnoteReference"/>
        </w:rPr>
        <w:footnoteRef/>
      </w:r>
      <w:r w:rsidRPr="00B60AD9">
        <w:t xml:space="preserve"> </w:t>
      </w:r>
      <w:r w:rsidRPr="00B60AD9">
        <w:rPr>
          <w:rStyle w:val="Emphasis"/>
          <w:bdr w:val="none" w:sz="0" w:space="0" w:color="auto" w:frame="1"/>
          <w:shd w:val="clear" w:color="auto" w:fill="FFFFFF"/>
        </w:rPr>
        <w:t>See</w:t>
      </w:r>
      <w:r w:rsidRPr="00B60AD9">
        <w:rPr>
          <w:shd w:val="clear" w:color="auto" w:fill="FFFFFF"/>
        </w:rPr>
        <w:t> </w:t>
      </w:r>
      <w:r w:rsidRPr="00B60AD9">
        <w:rPr>
          <w:i/>
          <w:iCs/>
          <w:shd w:val="clear" w:color="auto" w:fill="FFFFFF"/>
        </w:rPr>
        <w:t>id.</w:t>
      </w:r>
      <w:r w:rsidRPr="00B60AD9">
        <w:rPr>
          <w:shd w:val="clear" w:color="auto" w:fill="FFFFFF"/>
        </w:rPr>
        <w:t> (“Any person who knowingly, through an employee, agent, officer, or otherwise, directly or indirectly, by or through any means or device whatsoever, is a party to ob</w:t>
      </w:r>
      <w:r w:rsidRPr="00B60AD9">
        <w:rPr>
          <w:shd w:val="clear" w:color="auto" w:fill="FFFFFF"/>
        </w:rPr>
        <w:t>taining number resources, including number resources for toll free and non-toll free telephone numbers, from a common carrier regulated under title II of the Act (</w:t>
      </w:r>
      <w:hyperlink r:id="rId30" w:history="1">
        <w:r w:rsidRPr="00B60AD9">
          <w:rPr>
            <w:rStyle w:val="Hyperlink"/>
            <w:color w:val="auto"/>
            <w:u w:val="none"/>
            <w:bdr w:val="none" w:sz="0" w:space="0" w:color="auto" w:frame="1"/>
            <w:shd w:val="clear" w:color="auto" w:fill="FFFFFF"/>
          </w:rPr>
          <w:t>47 U.S.C. 201 et seq.</w:t>
        </w:r>
      </w:hyperlink>
      <w:r w:rsidRPr="00B60AD9">
        <w:rPr>
          <w:shd w:val="clear" w:color="auto" w:fill="FFFFFF"/>
        </w:rPr>
        <w:t>), in violation of a regulation prescribed under subsection (a), shall, notwithstanding section 503(b)(5) of the Communications Act of 1934 (</w:t>
      </w:r>
      <w:hyperlink r:id="rId31" w:anchor="co_pp_277b00009cfc7" w:history="1">
        <w:r w:rsidRPr="00B60AD9">
          <w:rPr>
            <w:rStyle w:val="Hyperlink"/>
            <w:color w:val="auto"/>
            <w:u w:val="none"/>
            <w:bdr w:val="none" w:sz="0" w:space="0" w:color="auto" w:frame="1"/>
            <w:shd w:val="clear" w:color="auto" w:fill="FFFFFF"/>
          </w:rPr>
          <w:t>47 U.S.C. 503(b)(5)</w:t>
        </w:r>
      </w:hyperlink>
      <w:r w:rsidRPr="00B60AD9">
        <w:rPr>
          <w:shd w:val="clear" w:color="auto" w:fill="FFFFFF"/>
        </w:rPr>
        <w:t>), be subject to a forfeiture penalty under section 503(b) of that Act (</w:t>
      </w:r>
      <w:hyperlink r:id="rId31" w:anchor="co_pp_a83b000018c76" w:history="1">
        <w:r w:rsidRPr="00B60AD9">
          <w:rPr>
            <w:rStyle w:val="Hyperlink"/>
            <w:color w:val="auto"/>
            <w:u w:val="none"/>
            <w:bdr w:val="none" w:sz="0" w:space="0" w:color="auto" w:frame="1"/>
            <w:shd w:val="clear" w:color="auto" w:fill="FFFFFF"/>
          </w:rPr>
          <w:t>47 U.S.C. 503(b)</w:t>
        </w:r>
      </w:hyperlink>
      <w:r w:rsidRPr="00B60AD9">
        <w:rPr>
          <w:shd w:val="clear" w:color="auto" w:fill="FFFFFF"/>
        </w:rPr>
        <w:t>).  A forfeiture penalty under this subsection shall be</w:t>
      </w:r>
      <w:r w:rsidRPr="00B60AD9">
        <w:rPr>
          <w:shd w:val="clear" w:color="auto" w:fill="FFFFFF"/>
        </w:rPr>
        <w:t xml:space="preserve"> in addition to any other penalty provided for by law.”).</w:t>
      </w:r>
    </w:p>
  </w:footnote>
  <w:footnote w:id="278">
    <w:p w:rsidR="00756CCD" w:rsidRPr="00B60AD9" w:rsidP="00756CCD" w14:paraId="4656EF72" w14:textId="77777777">
      <w:pPr>
        <w:pStyle w:val="FootnoteText"/>
      </w:pPr>
      <w:r w:rsidRPr="00B60AD9">
        <w:rPr>
          <w:rStyle w:val="FootnoteReference"/>
        </w:rPr>
        <w:footnoteRef/>
      </w:r>
      <w:r w:rsidRPr="00B60AD9">
        <w:t xml:space="preserve"> Section 1 of the Act provides that the Commission “regulat[es] interstate and foreign commerce in communication by wire and radio so as to make [such service] available, so far as possible, to all</w:t>
      </w:r>
      <w:r w:rsidRPr="00B60AD9">
        <w:t xml:space="preserve"> the people of the United States, without discrimination on the basis of race, color, religion, national origin, or sex.”  47 U.S.C. § 151.  The term “equity” is used here consistent with Executive Order 13985 as the consistent and systematic fair, just, a</w:t>
      </w:r>
      <w:r w:rsidRPr="00B60AD9">
        <w:t xml:space="preserve">nd impartial treatment of all individuals, including individuals who belong to underserved communities that have been denied such treatment, such as Black, Latino, and Indigenous and Native American persons, Asian Americans and Pacific Islanders and other </w:t>
      </w:r>
      <w:r w:rsidRPr="00B60AD9">
        <w:t xml:space="preserve">persons of color; members of religious minorities; lesbian, gay, bisexual, transgender, and queer (LGBTQ) persons; persons with disabilities; persons who live in rural areas; and persons otherwise adversely affected by persistent poverty or inequality.  </w:t>
      </w:r>
      <w:r w:rsidRPr="00B60AD9">
        <w:rPr>
          <w:i/>
          <w:iCs/>
        </w:rPr>
        <w:t>Se</w:t>
      </w:r>
      <w:r w:rsidRPr="00B60AD9">
        <w:rPr>
          <w:i/>
          <w:iCs/>
        </w:rPr>
        <w:t xml:space="preserve">e </w:t>
      </w:r>
      <w:r w:rsidRPr="00B60AD9">
        <w:t>Exec. Order No. 13985, 86 Fed. Reg. 7009, Executive Order on Advancing Racial Equity and Support for Underserved Communities Through the Federal Government (Jan. 20, 2021).</w:t>
      </w:r>
    </w:p>
  </w:footnote>
  <w:footnote w:id="279">
    <w:p w:rsidR="00756CCD" w:rsidRPr="00B60AD9" w:rsidP="00756CCD" w14:paraId="59AE3F46" w14:textId="77777777">
      <w:pPr>
        <w:pStyle w:val="FootnoteText"/>
      </w:pPr>
      <w:r w:rsidRPr="00B60AD9">
        <w:rPr>
          <w:rStyle w:val="FootnoteReference"/>
        </w:rPr>
        <w:footnoteRef/>
      </w:r>
      <w:r w:rsidRPr="00B60AD9">
        <w:t xml:space="preserve"> 5 U.S.C. §§ 601–612.  The RFA has been amended by the Small Business Regulatory</w:t>
      </w:r>
      <w:r w:rsidRPr="00B60AD9">
        <w:t xml:space="preserve"> Enforcement Fairness Act of 1996 (SBREFA), Pub. L. No. 104-121, Title II, 110 Stat. 857 (1996).</w:t>
      </w:r>
    </w:p>
  </w:footnote>
  <w:footnote w:id="280">
    <w:p w:rsidR="00756CCD" w:rsidRPr="00B60AD9" w:rsidP="00756CCD" w14:paraId="0CBE37A6" w14:textId="77777777">
      <w:pPr>
        <w:pStyle w:val="FootnoteText"/>
      </w:pPr>
      <w:r w:rsidRPr="00B60AD9">
        <w:rPr>
          <w:rStyle w:val="FootnoteReference"/>
        </w:rPr>
        <w:footnoteRef/>
      </w:r>
      <w:r w:rsidRPr="00B60AD9">
        <w:t xml:space="preserve"> 5 U.S.C. § 605(b).</w:t>
      </w:r>
    </w:p>
  </w:footnote>
  <w:footnote w:id="281">
    <w:p w:rsidR="00756CCD" w:rsidRPr="00B60AD9" w:rsidP="00756CCD" w14:paraId="78699F43" w14:textId="77777777">
      <w:pPr>
        <w:pStyle w:val="FootnoteText"/>
      </w:pPr>
      <w:r w:rsidRPr="00B60AD9">
        <w:rPr>
          <w:rStyle w:val="FootnoteReference"/>
        </w:rPr>
        <w:footnoteRef/>
      </w:r>
      <w:r w:rsidRPr="00B60AD9">
        <w:t xml:space="preserve"> </w:t>
      </w:r>
      <w:r w:rsidRPr="00B60AD9">
        <w:rPr>
          <w:i/>
          <w:iCs/>
        </w:rPr>
        <w:t>See infra</w:t>
      </w:r>
      <w:r w:rsidRPr="00B60AD9">
        <w:t xml:space="preserve"> Appx. B at paras. 25-28.</w:t>
      </w:r>
    </w:p>
  </w:footnote>
  <w:footnote w:id="282">
    <w:p w:rsidR="00756CCD" w:rsidRPr="00B60AD9" w:rsidP="00756CCD" w14:paraId="070FC3E1" w14:textId="77777777">
      <w:pPr>
        <w:pStyle w:val="FootnoteText"/>
        <w:rPr>
          <w:i/>
          <w:iCs/>
        </w:rPr>
      </w:pPr>
      <w:r w:rsidRPr="00B60AD9">
        <w:rPr>
          <w:rStyle w:val="FootnoteReference"/>
        </w:rPr>
        <w:footnoteRef/>
      </w:r>
      <w:r w:rsidRPr="00B60AD9">
        <w:t xml:space="preserve"> 47 CFR § 1.1200 </w:t>
      </w:r>
      <w:r w:rsidRPr="00B60AD9">
        <w:rPr>
          <w:i/>
          <w:iCs/>
        </w:rPr>
        <w:t>et seq.</w:t>
      </w:r>
    </w:p>
  </w:footnote>
  <w:footnote w:id="283">
    <w:p w:rsidR="00756CCD" w:rsidRPr="00B60AD9" w:rsidP="00756CCD" w14:paraId="02DA5001" w14:textId="77777777">
      <w:pPr>
        <w:pStyle w:val="FootnoteText"/>
      </w:pPr>
      <w:r w:rsidRPr="00B60AD9">
        <w:rPr>
          <w:rStyle w:val="FootnoteReference"/>
        </w:rPr>
        <w:footnoteRef/>
      </w:r>
      <w:r w:rsidRPr="00B60AD9">
        <w:t xml:space="preserve"> </w:t>
      </w:r>
      <w:r w:rsidRPr="00B60AD9">
        <w:rPr>
          <w:i/>
          <w:iCs/>
        </w:rPr>
        <w:t>Id.</w:t>
      </w:r>
      <w:r w:rsidRPr="00B60AD9">
        <w:t xml:space="preserve"> § 1.49(f).</w:t>
      </w:r>
    </w:p>
  </w:footnote>
  <w:footnote w:id="284">
    <w:p w:rsidR="00756CCD" w:rsidRPr="00B60AD9" w:rsidP="00756CCD" w14:paraId="45067B97" w14:textId="77777777">
      <w:pPr>
        <w:pStyle w:val="FootnoteText"/>
      </w:pPr>
      <w:r w:rsidRPr="00B60AD9">
        <w:rPr>
          <w:rStyle w:val="FootnoteReference"/>
        </w:rPr>
        <w:footnoteRef/>
      </w:r>
      <w:r w:rsidRPr="00B60AD9">
        <w:t xml:space="preserve"> </w:t>
      </w:r>
      <w:r w:rsidRPr="00B60AD9">
        <w:rPr>
          <w:i/>
          <w:iCs/>
        </w:rPr>
        <w:t xml:space="preserve">See supra </w:t>
      </w:r>
      <w:r w:rsidRPr="00B60AD9">
        <w:t>Part III.A.1.</w:t>
      </w:r>
    </w:p>
  </w:footnote>
  <w:footnote w:id="285">
    <w:p w:rsidR="00756CCD" w:rsidRPr="00B60AD9" w:rsidP="00756CCD" w14:paraId="24C038FB" w14:textId="77777777">
      <w:pPr>
        <w:pStyle w:val="FootnoteText"/>
      </w:pPr>
      <w:r w:rsidRPr="00B60AD9">
        <w:rPr>
          <w:rStyle w:val="FootnoteReference"/>
        </w:rPr>
        <w:footnoteRef/>
      </w:r>
      <w:r w:rsidRPr="00B60AD9">
        <w:t xml:space="preserve"> </w:t>
      </w:r>
      <w:r w:rsidRPr="00B60AD9">
        <w:rPr>
          <w:i/>
          <w:iCs/>
        </w:rPr>
        <w:t>See supra</w:t>
      </w:r>
      <w:r w:rsidRPr="00B60AD9">
        <w:t xml:space="preserve"> Part III.A.2.</w:t>
      </w:r>
    </w:p>
  </w:footnote>
  <w:footnote w:id="286">
    <w:p w:rsidR="00756CCD" w:rsidRPr="00B60AD9" w:rsidP="00756CCD" w14:paraId="7D56C8F3" w14:textId="77777777">
      <w:pPr>
        <w:pStyle w:val="FootnoteText"/>
      </w:pPr>
      <w:r w:rsidRPr="00B60AD9">
        <w:rPr>
          <w:rStyle w:val="FootnoteReference"/>
        </w:rPr>
        <w:footnoteRef/>
      </w:r>
      <w:r w:rsidRPr="00B60AD9">
        <w:t xml:space="preserve"> </w:t>
      </w:r>
      <w:r w:rsidRPr="00B60AD9">
        <w:rPr>
          <w:i/>
          <w:iCs/>
        </w:rPr>
        <w:t>See supra</w:t>
      </w:r>
      <w:r w:rsidRPr="00B60AD9">
        <w:t xml:space="preserve"> Part III.A.3.</w:t>
      </w:r>
    </w:p>
  </w:footnote>
  <w:footnote w:id="287">
    <w:p w:rsidR="00756CCD" w:rsidRPr="00B60AD9" w:rsidP="00756CCD" w14:paraId="05681555" w14:textId="77777777">
      <w:pPr>
        <w:pStyle w:val="FootnoteText"/>
      </w:pPr>
      <w:r w:rsidRPr="00B60AD9">
        <w:rPr>
          <w:rStyle w:val="FootnoteReference"/>
        </w:rPr>
        <w:footnoteRef/>
      </w:r>
      <w:r w:rsidRPr="00B60AD9">
        <w:t xml:space="preserve"> </w:t>
      </w:r>
      <w:r w:rsidRPr="00B60AD9">
        <w:rPr>
          <w:i/>
          <w:iCs/>
        </w:rPr>
        <w:t>See supra</w:t>
      </w:r>
      <w:r w:rsidRPr="00B60AD9">
        <w:t xml:space="preserve"> Part III.A.4.</w:t>
      </w:r>
    </w:p>
  </w:footnote>
  <w:footnote w:id="288">
    <w:p w:rsidR="00756CCD" w:rsidRPr="00B60AD9" w:rsidP="00756CCD" w14:paraId="05070585" w14:textId="77777777">
      <w:pPr>
        <w:pStyle w:val="FootnoteText"/>
      </w:pPr>
      <w:r w:rsidRPr="00B60AD9">
        <w:rPr>
          <w:rStyle w:val="FootnoteReference"/>
        </w:rPr>
        <w:footnoteRef/>
      </w:r>
      <w:r w:rsidRPr="00B60AD9">
        <w:t xml:space="preserve"> </w:t>
      </w:r>
      <w:r w:rsidRPr="00B60AD9">
        <w:rPr>
          <w:i/>
          <w:iCs/>
        </w:rPr>
        <w:t>See supra</w:t>
      </w:r>
      <w:r w:rsidRPr="00B60AD9">
        <w:t xml:space="preserve"> Part III.A.5.</w:t>
      </w:r>
    </w:p>
  </w:footnote>
  <w:footnote w:id="289">
    <w:p w:rsidR="00756CCD" w:rsidRPr="00B60AD9" w:rsidP="00756CCD" w14:paraId="796B7629" w14:textId="77777777">
      <w:pPr>
        <w:pStyle w:val="FootnoteText"/>
      </w:pPr>
      <w:r w:rsidRPr="00B60AD9">
        <w:rPr>
          <w:rStyle w:val="FootnoteReference"/>
        </w:rPr>
        <w:footnoteRef/>
      </w:r>
      <w:r w:rsidRPr="00B60AD9">
        <w:t xml:space="preserve"> </w:t>
      </w:r>
      <w:r w:rsidRPr="00B60AD9">
        <w:rPr>
          <w:i/>
          <w:iCs/>
        </w:rPr>
        <w:t>See supra</w:t>
      </w:r>
      <w:r w:rsidRPr="00B60AD9">
        <w:t xml:space="preserve"> Part III.B.</w:t>
      </w:r>
    </w:p>
  </w:footnote>
  <w:footnote w:id="290">
    <w:p w:rsidR="00756CCD" w:rsidRPr="00B60AD9" w:rsidP="00756CCD" w14:paraId="68006EBD" w14:textId="77777777">
      <w:pPr>
        <w:pStyle w:val="FootnoteText"/>
      </w:pPr>
      <w:r w:rsidRPr="00B60AD9">
        <w:rPr>
          <w:rStyle w:val="FootnoteReference"/>
        </w:rPr>
        <w:footnoteRef/>
      </w:r>
      <w:r w:rsidRPr="00B60AD9">
        <w:t xml:space="preserve"> 5 U.S.C. § 604(a)(3).</w:t>
      </w:r>
    </w:p>
  </w:footnote>
  <w:footnote w:id="291">
    <w:p w:rsidR="00756CCD" w:rsidRPr="00B60AD9" w:rsidP="00756CCD" w14:paraId="74CE194C" w14:textId="77777777">
      <w:pPr>
        <w:pStyle w:val="FootnoteText"/>
      </w:pPr>
      <w:r w:rsidRPr="00B60AD9">
        <w:rPr>
          <w:rStyle w:val="FootnoteReference"/>
        </w:rPr>
        <w:footnoteRef/>
      </w:r>
      <w:r w:rsidRPr="00B60AD9">
        <w:t xml:space="preserve"> </w:t>
      </w:r>
      <w:r w:rsidRPr="00B60AD9">
        <w:rPr>
          <w:i/>
        </w:rPr>
        <w:t>See</w:t>
      </w:r>
      <w:r w:rsidRPr="00B60AD9">
        <w:t xml:space="preserve"> </w:t>
      </w:r>
      <w:r w:rsidRPr="00B60AD9">
        <w:rPr>
          <w:i/>
          <w:iCs/>
        </w:rPr>
        <w:t>id.</w:t>
      </w:r>
      <w:r w:rsidRPr="00B60AD9">
        <w:t xml:space="preserve"> § 604(a)(4).</w:t>
      </w:r>
    </w:p>
  </w:footnote>
  <w:footnote w:id="292">
    <w:p w:rsidR="00756CCD" w:rsidRPr="00B60AD9" w:rsidP="00756CCD" w14:paraId="21AD719F" w14:textId="77777777">
      <w:pPr>
        <w:pStyle w:val="FootnoteText"/>
      </w:pPr>
      <w:r w:rsidRPr="00B60AD9">
        <w:rPr>
          <w:rStyle w:val="FootnoteReference"/>
        </w:rPr>
        <w:footnoteRef/>
      </w:r>
      <w:r w:rsidRPr="00B60AD9">
        <w:t xml:space="preserve"> </w:t>
      </w:r>
      <w:r w:rsidRPr="00B60AD9">
        <w:rPr>
          <w:i/>
          <w:iCs/>
        </w:rPr>
        <w:t>Id.</w:t>
      </w:r>
      <w:r w:rsidRPr="00B60AD9">
        <w:rPr>
          <w:i/>
          <w:iCs/>
          <w:rtl/>
        </w:rPr>
        <w:t xml:space="preserve"> </w:t>
      </w:r>
      <w:r w:rsidRPr="00B60AD9">
        <w:t>§ 601(6).</w:t>
      </w:r>
    </w:p>
  </w:footnote>
  <w:footnote w:id="293">
    <w:p w:rsidR="00756CCD" w:rsidRPr="00B60AD9" w:rsidP="00756CCD" w14:paraId="15ECA1BA" w14:textId="77777777">
      <w:pPr>
        <w:pStyle w:val="FootnoteText"/>
        <w:rPr>
          <w:i/>
        </w:rPr>
      </w:pPr>
      <w:r w:rsidRPr="00B60AD9">
        <w:rPr>
          <w:rStyle w:val="FootnoteReference"/>
        </w:rPr>
        <w:footnoteRef/>
      </w:r>
      <w:r w:rsidRPr="00B60AD9">
        <w:t xml:space="preserve"> </w:t>
      </w:r>
      <w:r w:rsidRPr="00B60AD9">
        <w:rPr>
          <w:i/>
          <w:iCs/>
        </w:rPr>
        <w:t>Id.</w:t>
      </w:r>
      <w:r w:rsidRPr="00B60AD9">
        <w:rPr>
          <w:i/>
          <w:iCs/>
          <w:rtl/>
        </w:rPr>
        <w:t xml:space="preserve"> </w:t>
      </w:r>
      <w:r w:rsidRPr="00B60AD9">
        <w:t>§ 601(3) (incorporating by reference the definition of “small-business</w:t>
      </w:r>
      <w:r w:rsidRPr="00B60AD9">
        <w:t xml:space="preserve"> concern” in the Small Business Act, 15 U.S.C. § 632).  Pursuant to 5 U.S.C. § 601(3), the statutory definition of a small business applies “unless an agency, after consultation with the Office of Advocacy of the Small Business Administration and after opp</w:t>
      </w:r>
      <w:r w:rsidRPr="00B60AD9">
        <w:t xml:space="preserve">ortunity for public comment, establishes one or more definitions of such term which are appropriate to the activities of the agency and publishes such definition(s) in the Federal Register.”  </w:t>
      </w:r>
      <w:r w:rsidRPr="00B60AD9">
        <w:rPr>
          <w:i/>
          <w:iCs/>
        </w:rPr>
        <w:t>Id.</w:t>
      </w:r>
    </w:p>
  </w:footnote>
  <w:footnote w:id="294">
    <w:p w:rsidR="00756CCD" w:rsidRPr="00B60AD9" w:rsidP="00756CCD" w14:paraId="3205228E" w14:textId="77777777">
      <w:pPr>
        <w:pStyle w:val="FootnoteText"/>
      </w:pPr>
      <w:r w:rsidRPr="00B60AD9">
        <w:rPr>
          <w:rStyle w:val="FootnoteReference"/>
        </w:rPr>
        <w:footnoteRef/>
      </w:r>
      <w:r w:rsidRPr="00B60AD9">
        <w:t xml:space="preserve"> </w:t>
      </w:r>
      <w:r w:rsidRPr="00B60AD9">
        <w:rPr>
          <w:i/>
        </w:rPr>
        <w:t>See</w:t>
      </w:r>
      <w:r w:rsidRPr="00B60AD9">
        <w:t xml:space="preserve"> 15 U.S.C. § 632.</w:t>
      </w:r>
    </w:p>
  </w:footnote>
  <w:footnote w:id="295">
    <w:p w:rsidR="00756CCD" w:rsidRPr="00B60AD9" w:rsidP="00756CCD" w14:paraId="0A0B6E17"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5 U.S.C. § 601(3)-(6).</w:t>
      </w:r>
    </w:p>
  </w:footnote>
  <w:footnote w:id="296">
    <w:p w:rsidR="00756CCD" w:rsidRPr="00B60AD9" w:rsidP="00756CCD" w14:paraId="738B2D49" w14:textId="77777777">
      <w:pPr>
        <w:pStyle w:val="FootnoteText"/>
      </w:pPr>
      <w:r w:rsidRPr="00B60AD9">
        <w:rPr>
          <w:rStyle w:val="FootnoteReference"/>
          <w:rFonts w:eastAsia="Calibri"/>
        </w:rPr>
        <w:footnoteRef/>
      </w:r>
      <w:r w:rsidRPr="00B60AD9">
        <w:t xml:space="preserve"> </w:t>
      </w:r>
      <w:r w:rsidRPr="00B60AD9">
        <w:rPr>
          <w:i/>
          <w:iCs/>
        </w:rPr>
        <w:t>See</w:t>
      </w:r>
      <w:r w:rsidRPr="00B60AD9">
        <w:t xml:space="preserve"> SBA, Office of Advocacy, </w:t>
      </w:r>
      <w:r w:rsidRPr="00B60AD9">
        <w:rPr>
          <w:i/>
          <w:iCs/>
        </w:rPr>
        <w:t>Frequently Asked Questions, “What is a small business?”</w:t>
      </w:r>
      <w:r w:rsidRPr="00B60AD9">
        <w:t xml:space="preserve"> (Mar. 2023), </w:t>
      </w:r>
      <w:hyperlink r:id="rId32" w:history="1">
        <w:r w:rsidRPr="00B60AD9">
          <w:rPr>
            <w:rStyle w:val="Hyperlink"/>
          </w:rPr>
          <w:t>https://advocacy.sba.gov/wp</w:t>
        </w:r>
        <w:r w:rsidRPr="00B60AD9">
          <w:rPr>
            <w:rStyle w:val="Hyperlink"/>
          </w:rPr>
          <w:t>-content/uploads/2023/03/Frequently-Asked-Questions-About-Small-Business-March-2023-508c.pdf</w:t>
        </w:r>
      </w:hyperlink>
      <w:r w:rsidRPr="00B60AD9">
        <w:t>.</w:t>
      </w:r>
    </w:p>
  </w:footnote>
  <w:footnote w:id="297">
    <w:p w:rsidR="00756CCD" w:rsidRPr="00B60AD9" w:rsidP="00756CCD" w14:paraId="3D554DEB" w14:textId="77777777">
      <w:pPr>
        <w:pStyle w:val="FootnoteText"/>
      </w:pPr>
      <w:r w:rsidRPr="00B60AD9">
        <w:rPr>
          <w:rStyle w:val="FootnoteReference"/>
        </w:rPr>
        <w:footnoteRef/>
      </w:r>
      <w:r w:rsidRPr="00B60AD9">
        <w:t xml:space="preserve"> </w:t>
      </w:r>
      <w:r w:rsidRPr="00B60AD9">
        <w:rPr>
          <w:i/>
          <w:iCs/>
        </w:rPr>
        <w:t>Id</w:t>
      </w:r>
      <w:r w:rsidRPr="00B60AD9">
        <w:t xml:space="preserve">. </w:t>
      </w:r>
    </w:p>
  </w:footnote>
  <w:footnote w:id="298">
    <w:p w:rsidR="00756CCD" w:rsidRPr="00B60AD9" w:rsidP="00756CCD" w14:paraId="0C9B08B7"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w:t>
      </w:r>
      <w:r w:rsidRPr="00B60AD9">
        <w:rPr>
          <w:spacing w:val="-2"/>
        </w:rPr>
        <w:t>5 U.S.C.</w:t>
      </w:r>
      <w:r w:rsidRPr="00B60AD9">
        <w:t xml:space="preserve"> § 601(4).</w:t>
      </w:r>
    </w:p>
  </w:footnote>
  <w:footnote w:id="299">
    <w:p w:rsidR="00756CCD" w:rsidRPr="00B60AD9" w:rsidP="00756CCD" w14:paraId="32AA0DE0" w14:textId="77777777">
      <w:pPr>
        <w:pStyle w:val="FootnoteText"/>
      </w:pPr>
      <w:r w:rsidRPr="00B60AD9">
        <w:rPr>
          <w:rStyle w:val="FootnoteReference"/>
        </w:rPr>
        <w:footnoteRef/>
      </w:r>
      <w:r w:rsidRPr="00B60AD9">
        <w:t xml:space="preserve"> The IRS benchmark is similar to the population of less than 50,000 benchmark in 5 U.S.C § 601</w:t>
      </w:r>
      <w:r w:rsidRPr="00B60AD9">
        <w:t xml:space="preserve">(5) that is used to define a small governmental jurisdiction.  Therefore, the IRS benchmark has been used to estimate the number small organizations in this small entity description.  </w:t>
      </w:r>
      <w:r w:rsidRPr="00B60AD9">
        <w:rPr>
          <w:i/>
        </w:rPr>
        <w:t>See</w:t>
      </w:r>
      <w:r w:rsidRPr="00B60AD9">
        <w:t xml:space="preserve"> Annual Electronic Filing Requirement for Small Exempt Organizations </w:t>
      </w:r>
      <w:r w:rsidRPr="00B60AD9">
        <w:t>— Form 990-N (e-Postcard),</w:t>
      </w:r>
      <w:r w:rsidRPr="00B60AD9">
        <w:rPr>
          <w:rtl/>
        </w:rPr>
        <w:t xml:space="preserve"> </w:t>
      </w:r>
      <w:hyperlink r:id="rId33" w:history="1">
        <w:r w:rsidRPr="00B60AD9">
          <w:rPr>
            <w:rStyle w:val="Hyperlink"/>
          </w:rPr>
          <w:t>https://www.irs.gov/charities-non-profits/annual-electronic-filing-requirement-for-</w:t>
        </w:r>
        <w:r w:rsidRPr="00B60AD9">
          <w:rPr>
            <w:rStyle w:val="Hyperlink"/>
          </w:rPr>
          <w:t>small-exempt-organizations-form-990-n-e-postcard</w:t>
        </w:r>
      </w:hyperlink>
      <w:r w:rsidRPr="00B60AD9">
        <w:rPr>
          <w:rtl/>
        </w:rPr>
        <w:t xml:space="preserve"> .</w:t>
      </w:r>
      <w:r w:rsidRPr="00B60AD9">
        <w:t xml:space="preserve"> We note that the IRS data does not provide information on whether a small exempt organization is independently owned and operated or dominant in its field.</w:t>
      </w:r>
    </w:p>
  </w:footnote>
  <w:footnote w:id="300">
    <w:p w:rsidR="00756CCD" w:rsidRPr="00B60AD9" w:rsidP="00756CCD" w14:paraId="40E32976"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Exempt O</w:t>
      </w:r>
      <w:r w:rsidRPr="00B60AD9">
        <w:t xml:space="preserve">rganizations Business Master File Extract (EO BMF), “CSV Files by Region,” </w:t>
      </w:r>
      <w:hyperlink r:id="rId34" w:history="1">
        <w:r w:rsidRPr="00B60AD9">
          <w:rPr>
            <w:rStyle w:val="Hyperlink"/>
          </w:rPr>
          <w:t>https://www.irs.gov/charities-non-profits/exempt-organizations-busin</w:t>
        </w:r>
        <w:r w:rsidRPr="00B60AD9">
          <w:rPr>
            <w:rStyle w:val="Hyperlink"/>
          </w:rPr>
          <w:t>ess-master-file-extract-eo-bmf</w:t>
        </w:r>
      </w:hyperlink>
      <w:r w:rsidRPr="00B60AD9">
        <w:t>.  The IRS Exempt Organization Business Master File (EO BMF) Extract provides information on all registered tax-exempt/non-profit organizations.  The data utilized for purposes of this descri</w:t>
      </w:r>
      <w:r w:rsidRPr="00B60AD9">
        <w:t>ption was extracted from the IRS EO BMF data for businesses for the tax year 2020 with revenue less than or equal to $50,000, for Region 1-Northeast Area (58,577), Region 2-Mid-Atlantic and Great Lakes Areas (175,272), and Region 3-Gulf Coast and Pacific C</w:t>
      </w:r>
      <w:r w:rsidRPr="00B60AD9">
        <w:t xml:space="preserve">oast Areas (213,840) that includes the continental U.S., Alaska, and Hawaii.  This data does not include information for Puerto Rico.  </w:t>
      </w:r>
    </w:p>
  </w:footnote>
  <w:footnote w:id="301">
    <w:p w:rsidR="00756CCD" w:rsidRPr="00B60AD9" w:rsidP="00756CCD" w14:paraId="65BA5A99" w14:textId="77777777">
      <w:pPr>
        <w:pStyle w:val="FootnoteText"/>
      </w:pPr>
      <w:r w:rsidRPr="00B60AD9">
        <w:rPr>
          <w:rStyle w:val="FootnoteReference"/>
          <w:rFonts w:eastAsia="Calibri"/>
          <w:spacing w:val="-2"/>
        </w:rPr>
        <w:footnoteRef/>
      </w:r>
      <w:r w:rsidRPr="00B60AD9">
        <w:t xml:space="preserve"> </w:t>
      </w:r>
      <w:r w:rsidRPr="00B60AD9">
        <w:rPr>
          <w:i/>
        </w:rPr>
        <w:t>See</w:t>
      </w:r>
      <w:r w:rsidRPr="00B60AD9">
        <w:t xml:space="preserve"> 5 U.S.C. § 601(5).</w:t>
      </w:r>
    </w:p>
  </w:footnote>
  <w:footnote w:id="302">
    <w:p w:rsidR="00756CCD" w:rsidRPr="00B60AD9" w:rsidP="00756CCD" w14:paraId="39328B68"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13 U.S.C. § 161.  The Census of Governments survey is conducted every five (5) years comp</w:t>
      </w:r>
      <w:r w:rsidRPr="00B60AD9">
        <w:t xml:space="preserve">iling data for years ending with “2” and “7.”  </w:t>
      </w:r>
      <w:r w:rsidRPr="00B60AD9">
        <w:rPr>
          <w:i/>
        </w:rPr>
        <w:t xml:space="preserve">See also </w:t>
      </w:r>
      <w:r w:rsidRPr="00B60AD9">
        <w:rPr>
          <w:iCs/>
        </w:rPr>
        <w:t xml:space="preserve">U.S. Census Bureau, </w:t>
      </w:r>
      <w:r w:rsidRPr="00B60AD9">
        <w:rPr>
          <w:i/>
        </w:rPr>
        <w:t>About Census of Governments</w:t>
      </w:r>
      <w:r w:rsidRPr="00B60AD9">
        <w:t xml:space="preserve">, </w:t>
      </w:r>
      <w:hyperlink r:id="rId35" w:history="1">
        <w:r w:rsidRPr="00B60AD9">
          <w:rPr>
            <w:rStyle w:val="Hyperlink"/>
          </w:rPr>
          <w:t>https://www.census.gov/programs-surveys/cog/about.html</w:t>
        </w:r>
      </w:hyperlink>
      <w:r w:rsidRPr="00B60AD9">
        <w:t xml:space="preserve"> (last updated Nov. 2021). </w:t>
      </w:r>
    </w:p>
  </w:footnote>
  <w:footnote w:id="303">
    <w:p w:rsidR="00756CCD" w:rsidRPr="00B60AD9" w:rsidP="00756CCD" w14:paraId="631AD6DE" w14:textId="77777777">
      <w:pPr>
        <w:pStyle w:val="FootnoteText"/>
      </w:pPr>
      <w:r w:rsidRPr="00B60AD9">
        <w:rPr>
          <w:rStyle w:val="FootnoteReference"/>
          <w:rFonts w:eastAsia="Calibri"/>
          <w:spacing w:val="-2"/>
        </w:rPr>
        <w:footnoteRef/>
      </w:r>
      <w:r w:rsidRPr="00B60AD9">
        <w:t xml:space="preserve"> </w:t>
      </w:r>
      <w:r w:rsidRPr="00B60AD9">
        <w:rPr>
          <w:i/>
        </w:rPr>
        <w:t>See</w:t>
      </w:r>
      <w:r w:rsidRPr="00B60AD9">
        <w:t xml:space="preserve"> U.S. Census Bureau, 2017 Census of Governments – Organization Table 2. Local Governments by Type and State: 2017 </w:t>
      </w:r>
      <w:r w:rsidRPr="00B60AD9">
        <w:rPr>
          <w:bCs/>
        </w:rPr>
        <w:t>[CG1700ORG02]</w:t>
      </w:r>
      <w:r w:rsidRPr="00B60AD9">
        <w:t xml:space="preserve">,  </w:t>
      </w:r>
      <w:hyperlink r:id="rId36" w:history="1">
        <w:r w:rsidRPr="00B60AD9">
          <w:rPr>
            <w:rStyle w:val="Hyperlink"/>
          </w:rPr>
          <w:t>https://www.census.gov/data/tables/2017/econ/gus/2017-governments.html</w:t>
        </w:r>
      </w:hyperlink>
      <w:r w:rsidRPr="00B60AD9">
        <w:t>.  Local governmental jurisdictions are made up of general purpose go</w:t>
      </w:r>
      <w:r w:rsidRPr="00B60AD9">
        <w:t xml:space="preserve">vernments (county, municipal and town or township) and special purpose governments (special districts and independent school districts).  </w:t>
      </w:r>
      <w:r w:rsidRPr="00B60AD9">
        <w:rPr>
          <w:i/>
        </w:rPr>
        <w:t xml:space="preserve">See also </w:t>
      </w:r>
      <w:r w:rsidRPr="00B60AD9">
        <w:t>tbl.2.</w:t>
      </w:r>
      <w:r w:rsidRPr="00B60AD9">
        <w:rPr>
          <w:i/>
        </w:rPr>
        <w:t xml:space="preserve"> </w:t>
      </w:r>
      <w:r w:rsidRPr="00B60AD9">
        <w:t>CG1700ORG02 Table Notes_Local Governments by Type and State_2017.</w:t>
      </w:r>
      <w:r w:rsidRPr="00B60AD9">
        <w:rPr>
          <w:i/>
        </w:rPr>
        <w:t xml:space="preserve"> </w:t>
      </w:r>
    </w:p>
  </w:footnote>
  <w:footnote w:id="304">
    <w:p w:rsidR="00756CCD" w:rsidRPr="00B60AD9" w:rsidP="00756CCD" w14:paraId="17B1E46F" w14:textId="77777777">
      <w:pPr>
        <w:pStyle w:val="FootnoteText"/>
      </w:pPr>
      <w:r w:rsidRPr="00B60AD9">
        <w:rPr>
          <w:rStyle w:val="FootnoteReference"/>
          <w:rFonts w:eastAsia="Calibri"/>
        </w:rPr>
        <w:footnoteRef/>
      </w:r>
      <w:r w:rsidRPr="00B60AD9">
        <w:t xml:space="preserve"> </w:t>
      </w:r>
      <w:r w:rsidRPr="00B60AD9">
        <w:rPr>
          <w:i/>
        </w:rPr>
        <w:t>See id.</w:t>
      </w:r>
      <w:r w:rsidRPr="00B60AD9">
        <w:t xml:space="preserve"> at tbl.5.  County Governm</w:t>
      </w:r>
      <w:r w:rsidRPr="00B60AD9">
        <w:t>ents by Population-Size Group and State: 2017</w:t>
      </w:r>
      <w:r w:rsidRPr="00B60AD9">
        <w:rPr>
          <w:bCs/>
        </w:rPr>
        <w:t xml:space="preserve"> [CG1700ORG05]</w:t>
      </w:r>
      <w:r w:rsidRPr="00B60AD9">
        <w:t xml:space="preserve">,  </w:t>
      </w:r>
      <w:hyperlink r:id="rId36" w:history="1">
        <w:r w:rsidRPr="00B60AD9">
          <w:rPr>
            <w:rStyle w:val="Hyperlink"/>
          </w:rPr>
          <w:t>https://www.census.gov/data/tables/2017/econ/gus/2017-governments.html</w:t>
        </w:r>
      </w:hyperlink>
      <w:r w:rsidRPr="00B60AD9">
        <w:rPr>
          <w:bCs/>
          <w:color w:val="4E4B47"/>
        </w:rPr>
        <w:t>.</w:t>
      </w:r>
      <w:r w:rsidRPr="00B60AD9">
        <w:t xml:space="preserve">  </w:t>
      </w:r>
      <w:r w:rsidRPr="00B60AD9">
        <w:t xml:space="preserve">There were 2,105 county governments with populations less than 50,000.  This category does not include subcounty (municipal and township) governments.  </w:t>
      </w:r>
    </w:p>
  </w:footnote>
  <w:footnote w:id="305">
    <w:p w:rsidR="00756CCD" w:rsidRPr="00B60AD9" w:rsidP="00756CCD" w14:paraId="1E952B60"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w:t>
      </w:r>
      <w:r w:rsidRPr="00B60AD9">
        <w:rPr>
          <w:i/>
        </w:rPr>
        <w:t>id. at</w:t>
      </w:r>
      <w:r w:rsidRPr="00B60AD9">
        <w:t xml:space="preserve"> tbl.6.  </w:t>
      </w:r>
      <w:r w:rsidRPr="00B60AD9">
        <w:rPr>
          <w:bCs/>
        </w:rPr>
        <w:t>Subcounty General-Purpose Governments by Population-Size Group and State: 2017 [CG</w:t>
      </w:r>
      <w:r w:rsidRPr="00B60AD9">
        <w:rPr>
          <w:bCs/>
        </w:rPr>
        <w:t xml:space="preserve">1700ORG06], </w:t>
      </w:r>
      <w:hyperlink r:id="rId36" w:history="1">
        <w:r w:rsidRPr="00B60AD9">
          <w:rPr>
            <w:rStyle w:val="Hyperlink"/>
            <w:bCs/>
          </w:rPr>
          <w:t>https://www.census.gov/data/tables/2017/econ/gus/2017-governments.html</w:t>
        </w:r>
      </w:hyperlink>
      <w:r w:rsidRPr="00B60AD9">
        <w:rPr>
          <w:bCs/>
        </w:rPr>
        <w:t xml:space="preserve">.  </w:t>
      </w:r>
      <w:r w:rsidRPr="00B60AD9">
        <w:t>There were 18,729 municipal and 16,097 town and to</w:t>
      </w:r>
      <w:r w:rsidRPr="00B60AD9">
        <w:t xml:space="preserve">wnship governments with populations less than 50,000. </w:t>
      </w:r>
    </w:p>
  </w:footnote>
  <w:footnote w:id="306">
    <w:p w:rsidR="00756CCD" w:rsidRPr="00B60AD9" w:rsidP="00756CCD" w14:paraId="5BADCC6D" w14:textId="77777777">
      <w:pPr>
        <w:pStyle w:val="FootnoteText"/>
      </w:pPr>
      <w:r w:rsidRPr="00B60AD9">
        <w:rPr>
          <w:rStyle w:val="FootnoteReference"/>
        </w:rPr>
        <w:footnoteRef/>
      </w:r>
      <w:r w:rsidRPr="00B60AD9">
        <w:t xml:space="preserve"> </w:t>
      </w:r>
      <w:r w:rsidRPr="00B60AD9">
        <w:rPr>
          <w:i/>
        </w:rPr>
        <w:t>See</w:t>
      </w:r>
      <w:r w:rsidRPr="00B60AD9">
        <w:t xml:space="preserve"> </w:t>
      </w:r>
      <w:r w:rsidRPr="00B60AD9">
        <w:rPr>
          <w:i/>
          <w:iCs/>
        </w:rPr>
        <w:t>id.</w:t>
      </w:r>
      <w:r w:rsidRPr="00B60AD9">
        <w:t xml:space="preserve"> at tbl.10.  Elementary and Secondary School Systems by Enrollment-Size Group and State: 2017 [CG1700ORG10], </w:t>
      </w:r>
      <w:hyperlink r:id="rId36" w:history="1">
        <w:r w:rsidRPr="00B60AD9">
          <w:rPr>
            <w:rStyle w:val="Hyperlink"/>
          </w:rPr>
          <w:t>https://www.census.gov/data/tables/2017/econ/gus/2017-governments.html</w:t>
        </w:r>
      </w:hyperlink>
      <w:r w:rsidRPr="00B60AD9">
        <w:t>.  There were 12,040 independent school districts with enrollment p</w:t>
      </w:r>
      <w:r w:rsidRPr="00B60AD9">
        <w:t xml:space="preserve">opulations less than 50,000.  </w:t>
      </w:r>
      <w:r w:rsidRPr="00B60AD9">
        <w:rPr>
          <w:i/>
        </w:rPr>
        <w:t xml:space="preserve">See also </w:t>
      </w:r>
      <w:r w:rsidRPr="00B60AD9">
        <w:t>tbl.4.  Special-Purpose Local Governments by State Census Years 1942 to 2017 [CG1700ORG04], CG1700ORG04 Table Notes_Special Purpose Local Governments by State_Census Years 1942 to 2017.</w:t>
      </w:r>
    </w:p>
  </w:footnote>
  <w:footnote w:id="307">
    <w:p w:rsidR="00756CCD" w:rsidRPr="00B60AD9" w:rsidP="00756CCD" w14:paraId="35886789" w14:textId="77777777">
      <w:pPr>
        <w:pStyle w:val="FootnoteText"/>
      </w:pPr>
      <w:r w:rsidRPr="00B60AD9">
        <w:rPr>
          <w:rStyle w:val="FootnoteReference"/>
        </w:rPr>
        <w:footnoteRef/>
      </w:r>
      <w:r w:rsidRPr="00B60AD9">
        <w:t xml:space="preserve"> While the special purpose gov</w:t>
      </w:r>
      <w:r w:rsidRPr="00B60AD9">
        <w:t>ernments category also includes local special district governments, the 2017 Census of Governments data does not provide data aggregated based on population size for the special purpose governments category.  Therefore, only data from independent school di</w:t>
      </w:r>
      <w:r w:rsidRPr="00B60AD9">
        <w:t>stricts is included in the special purpose governments category.</w:t>
      </w:r>
    </w:p>
  </w:footnote>
  <w:footnote w:id="308">
    <w:p w:rsidR="00756CCD" w:rsidRPr="00B60AD9" w:rsidP="00756CCD" w14:paraId="4CF8C8DD" w14:textId="77777777">
      <w:pPr>
        <w:pStyle w:val="FootnoteText"/>
      </w:pPr>
      <w:r w:rsidRPr="00B60AD9">
        <w:rPr>
          <w:rStyle w:val="FootnoteReference"/>
          <w:rFonts w:eastAsia="Calibri"/>
        </w:rPr>
        <w:footnoteRef/>
      </w:r>
      <w:r w:rsidRPr="00B60AD9">
        <w:rPr>
          <w:i/>
        </w:rPr>
        <w:t xml:space="preserve"> </w:t>
      </w:r>
      <w:r w:rsidRPr="00B60AD9">
        <w:t>This total is derived from the sum of the number of general purpose governments (county, municipal and town or township) with populations of less than 50,000 (36,931) and the number of spec</w:t>
      </w:r>
      <w:r w:rsidRPr="00B60AD9">
        <w:t>ial purpose governments - independent school districts with enrollment populations of less than 50,000 (12,040), from the 2017 Census of Governments - Organizations tbls.5, 6 &amp; 10.</w:t>
      </w:r>
    </w:p>
  </w:footnote>
  <w:footnote w:id="309">
    <w:p w:rsidR="00756CCD" w:rsidRPr="00B60AD9" w:rsidP="00756CCD" w14:paraId="7F3E94CE" w14:textId="77777777">
      <w:pPr>
        <w:pStyle w:val="FootnoteText"/>
      </w:pPr>
      <w:r w:rsidRPr="00B60AD9">
        <w:rPr>
          <w:rStyle w:val="FootnoteReference"/>
        </w:rPr>
        <w:footnoteRef/>
      </w:r>
      <w:r w:rsidRPr="00B60AD9">
        <w:rPr>
          <w:i/>
        </w:rPr>
        <w:t xml:space="preserve"> See </w:t>
      </w:r>
      <w:r w:rsidRPr="00B60AD9">
        <w:t xml:space="preserve">U.S. Census Bureau, </w:t>
      </w:r>
      <w:r w:rsidRPr="00B60AD9">
        <w:rPr>
          <w:i/>
        </w:rPr>
        <w:t>2017 NAICS Definition, “517311 Wired Telecommunic</w:t>
      </w:r>
      <w:r w:rsidRPr="00B60AD9">
        <w:rPr>
          <w:i/>
        </w:rPr>
        <w:t>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t xml:space="preserve">. </w:t>
      </w:r>
    </w:p>
  </w:footnote>
  <w:footnote w:id="310">
    <w:p w:rsidR="00756CCD" w:rsidRPr="00B60AD9" w:rsidP="00756CCD" w14:paraId="1EDFB0D4" w14:textId="77777777">
      <w:pPr>
        <w:pStyle w:val="FootnoteText"/>
        <w:rPr>
          <w:i/>
          <w:iCs/>
        </w:rPr>
      </w:pPr>
      <w:r w:rsidRPr="00B60AD9">
        <w:rPr>
          <w:rStyle w:val="FootnoteReference"/>
        </w:rPr>
        <w:footnoteRef/>
      </w:r>
      <w:r w:rsidRPr="00B60AD9">
        <w:t xml:space="preserve"> </w:t>
      </w:r>
      <w:r w:rsidRPr="00B60AD9">
        <w:rPr>
          <w:i/>
          <w:iCs/>
        </w:rPr>
        <w:t>Id.</w:t>
      </w:r>
    </w:p>
  </w:footnote>
  <w:footnote w:id="311">
    <w:p w:rsidR="00756CCD" w:rsidRPr="00B60AD9" w:rsidP="00756CCD" w14:paraId="068F7096" w14:textId="77777777">
      <w:pPr>
        <w:pStyle w:val="FootnoteText"/>
      </w:pPr>
      <w:r w:rsidRPr="00B60AD9">
        <w:rPr>
          <w:rStyle w:val="FootnoteReference"/>
        </w:rPr>
        <w:footnoteRef/>
      </w:r>
      <w:r w:rsidRPr="00B60AD9">
        <w:t xml:space="preserve"> </w:t>
      </w:r>
      <w:r w:rsidRPr="00B60AD9">
        <w:rPr>
          <w:i/>
          <w:iCs/>
        </w:rPr>
        <w:t>Id.</w:t>
      </w:r>
    </w:p>
  </w:footnote>
  <w:footnote w:id="312">
    <w:p w:rsidR="00756CCD" w:rsidRPr="00B60AD9" w:rsidP="00756CCD" w14:paraId="47DEED7A" w14:textId="77777777">
      <w:pPr>
        <w:pStyle w:val="FootnoteText"/>
      </w:pPr>
      <w:r w:rsidRPr="00B60AD9">
        <w:rPr>
          <w:rStyle w:val="FootnoteReference"/>
        </w:rPr>
        <w:footnoteRef/>
      </w:r>
      <w:r w:rsidRPr="00B60AD9">
        <w:t xml:space="preserve"> Fixed Local Service Providers includ</w:t>
      </w:r>
      <w:r w:rsidRPr="00B60AD9">
        <w:t>e the following types of providers: Incumbent Local Exchange Carriers (ILECs), Competitive Access Providers (CAPs) and Competitive Local Exchange Carriers (CLECs), Cable/Coax CLECs, Interconnected VoIP Providers, Non-Interconnected VoIP Providers, Shared-T</w:t>
      </w:r>
      <w:r w:rsidRPr="00B60AD9">
        <w:t xml:space="preserve">enant Service Providers, Audio Bridge Service Providers, and Other Local Service Providers.  Local Resellers fall into another U.S. Census Bureau industry group and therefore data for these providers is not included in this industry.  </w:t>
      </w:r>
    </w:p>
  </w:footnote>
  <w:footnote w:id="313">
    <w:p w:rsidR="00756CCD" w:rsidRPr="00B60AD9" w:rsidP="00756CCD" w14:paraId="4E4949FF" w14:textId="77777777">
      <w:pPr>
        <w:pStyle w:val="FootnoteText"/>
      </w:pPr>
      <w:r w:rsidRPr="00B60AD9">
        <w:rPr>
          <w:rStyle w:val="FootnoteReference"/>
        </w:rPr>
        <w:footnoteRef/>
      </w:r>
      <w:r w:rsidRPr="00B60AD9">
        <w:rPr>
          <w:i/>
          <w:snapToGrid w:val="0"/>
        </w:rPr>
        <w:t xml:space="preserve"> See</w:t>
      </w:r>
      <w:r w:rsidRPr="00B60AD9">
        <w:rPr>
          <w:snapToGrid w:val="0"/>
        </w:rPr>
        <w:t xml:space="preserve"> 13 CFR </w:t>
      </w:r>
      <w:r w:rsidRPr="00B60AD9">
        <w:rPr>
          <w:rStyle w:val="Footnote"/>
          <w:snapToGrid w:val="0"/>
        </w:rPr>
        <w:t>§</w:t>
      </w:r>
      <w:r w:rsidRPr="00B60AD9">
        <w:rPr>
          <w:snapToGrid w:val="0"/>
        </w:rPr>
        <w:t xml:space="preserve"> 121.201, NAICS Code 517311.</w:t>
      </w:r>
    </w:p>
  </w:footnote>
  <w:footnote w:id="314">
    <w:p w:rsidR="00756CCD" w:rsidRPr="00B60AD9" w:rsidP="00756CCD" w14:paraId="6CA88BF5"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315">
    <w:p w:rsidR="00756CCD" w:rsidRPr="00B60AD9" w:rsidP="00756CCD" w14:paraId="190E2B6B"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316">
    <w:p w:rsidR="00756CCD" w:rsidRPr="00B60AD9" w:rsidP="00756CCD" w14:paraId="4FA4739F"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rPr>
          <w:t>https://docs.fcc.gov/public/attachments/DOC-391070A1.pdf</w:t>
        </w:r>
      </w:hyperlink>
      <w:r w:rsidRPr="00B60AD9">
        <w:t xml:space="preserve">. </w:t>
      </w:r>
    </w:p>
  </w:footnote>
  <w:footnote w:id="317">
    <w:p w:rsidR="00756CCD" w:rsidRPr="00B60AD9" w:rsidP="00756CCD" w14:paraId="72F48D19" w14:textId="77777777">
      <w:pPr>
        <w:pStyle w:val="FootnoteText"/>
        <w:rPr>
          <w:i/>
          <w:iCs/>
        </w:rPr>
      </w:pPr>
      <w:r w:rsidRPr="00B60AD9">
        <w:rPr>
          <w:rStyle w:val="FootnoteReference"/>
        </w:rPr>
        <w:footnoteRef/>
      </w:r>
      <w:r w:rsidRPr="00B60AD9">
        <w:t xml:space="preserve"> </w:t>
      </w:r>
      <w:r w:rsidRPr="00B60AD9">
        <w:rPr>
          <w:i/>
          <w:iCs/>
        </w:rPr>
        <w:t>Id.</w:t>
      </w:r>
    </w:p>
  </w:footnote>
  <w:footnote w:id="318">
    <w:p w:rsidR="00756CCD" w:rsidRPr="00B60AD9" w:rsidP="00756CCD" w14:paraId="2AD5FF54"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rPr>
          <w:rStyle w:val="Hyperlink"/>
        </w:rPr>
        <w:t>.</w:t>
      </w:r>
    </w:p>
  </w:footnote>
  <w:footnote w:id="319">
    <w:p w:rsidR="00756CCD" w:rsidRPr="00B60AD9" w:rsidP="00756CCD" w14:paraId="6EB10E1B"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320">
    <w:p w:rsidR="00756CCD" w:rsidRPr="00B60AD9" w:rsidP="00756CCD" w14:paraId="197724C9" w14:textId="77777777">
      <w:pPr>
        <w:pStyle w:val="FootnoteText"/>
      </w:pPr>
      <w:r w:rsidRPr="00B60AD9">
        <w:rPr>
          <w:rStyle w:val="FootnoteReference"/>
        </w:rPr>
        <w:footnoteRef/>
      </w:r>
      <w:r w:rsidRPr="00B60AD9">
        <w:t xml:space="preserve"> Fixed Local Exchange S</w:t>
      </w:r>
      <w:r w:rsidRPr="00B60AD9">
        <w:t>ervice Providers include the following types of providers: Incumbent Local Exchange Carriers (ILECs), Competitive Access Providers (CAPs) and Competitive Local Exchange Carriers (CLECs), Cable/Coax CLECs, Interconnected VoIP Providers, Non-Interconnected V</w:t>
      </w:r>
      <w:r w:rsidRPr="00B60AD9">
        <w:t>oIP Providers, Shared-Tenant Service Providers, Audio Bridge Service Providers, Local Resellers, and Other Local Service Providers.</w:t>
      </w:r>
    </w:p>
  </w:footnote>
  <w:footnote w:id="321">
    <w:p w:rsidR="00756CCD" w:rsidRPr="00B60AD9" w:rsidP="00756CCD" w14:paraId="0ACAF9FB" w14:textId="77777777">
      <w:pPr>
        <w:pStyle w:val="FootnoteText"/>
      </w:pPr>
      <w:r w:rsidRPr="00B60AD9">
        <w:rPr>
          <w:rStyle w:val="FootnoteReference"/>
        </w:rPr>
        <w:footnoteRef/>
      </w:r>
      <w:r w:rsidRPr="00B60AD9">
        <w:rPr>
          <w:i/>
          <w:snapToGrid w:val="0"/>
        </w:rPr>
        <w:t xml:space="preserve"> Id.</w:t>
      </w:r>
    </w:p>
  </w:footnote>
  <w:footnote w:id="322">
    <w:p w:rsidR="00756CCD" w:rsidRPr="00B60AD9" w:rsidP="00756CCD" w14:paraId="27E4C630"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w:t>
      </w:r>
      <w:r w:rsidRPr="00B60AD9">
        <w:rPr>
          <w:i/>
          <w:iCs/>
        </w:rPr>
        <w:t>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323">
    <w:p w:rsidR="00756CCD" w:rsidRPr="00B60AD9" w:rsidP="00756CCD" w14:paraId="0E93D52A"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324">
    <w:p w:rsidR="00756CCD" w:rsidRPr="00B60AD9" w:rsidP="00756CCD" w14:paraId="586568CC"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iCs/>
          </w:rPr>
          <w:t>https://docs.fcc.gov/public/attachments/DOC-391070A1.pdf</w:t>
        </w:r>
      </w:hyperlink>
      <w:r w:rsidRPr="00B60AD9">
        <w:rPr>
          <w:iCs/>
        </w:rPr>
        <w:t xml:space="preserve">. </w:t>
      </w:r>
    </w:p>
  </w:footnote>
  <w:footnote w:id="325">
    <w:p w:rsidR="00756CCD" w:rsidRPr="00B60AD9" w:rsidP="00756CCD" w14:paraId="45725152" w14:textId="77777777">
      <w:pPr>
        <w:pStyle w:val="FootnoteText"/>
        <w:rPr>
          <w:i/>
          <w:iCs/>
        </w:rPr>
      </w:pPr>
      <w:r w:rsidRPr="00B60AD9">
        <w:rPr>
          <w:rStyle w:val="FootnoteReference"/>
        </w:rPr>
        <w:footnoteRef/>
      </w:r>
      <w:r w:rsidRPr="00B60AD9">
        <w:t xml:space="preserve"> </w:t>
      </w:r>
      <w:r w:rsidRPr="00B60AD9">
        <w:rPr>
          <w:i/>
          <w:iCs/>
        </w:rPr>
        <w:t>Id.</w:t>
      </w:r>
    </w:p>
  </w:footnote>
  <w:footnote w:id="326">
    <w:p w:rsidR="00756CCD" w:rsidRPr="00B60AD9" w:rsidP="00756CCD" w14:paraId="4DA69041"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w:t>
      </w:r>
      <w:r w:rsidRPr="00B60AD9">
        <w:rPr>
          <w:i/>
        </w:rPr>
        <w:t xml:space="preserve">” </w:t>
      </w:r>
      <w:hyperlink r:id="rId37" w:history="1">
        <w:r w:rsidRPr="00B60AD9">
          <w:rPr>
            <w:rStyle w:val="Hyperlink"/>
          </w:rPr>
          <w:t>https://www.census.gov/naics/?input=517311&amp;year=2017&amp;details=517311</w:t>
        </w:r>
      </w:hyperlink>
      <w:r w:rsidRPr="00B60AD9">
        <w:rPr>
          <w:rStyle w:val="Hyperlink"/>
        </w:rPr>
        <w:t>.</w:t>
      </w:r>
    </w:p>
  </w:footnote>
  <w:footnote w:id="327">
    <w:p w:rsidR="00756CCD" w:rsidRPr="00B60AD9" w:rsidP="00756CCD" w14:paraId="09F8E2CF"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328">
    <w:p w:rsidR="00756CCD" w:rsidRPr="00B60AD9" w:rsidP="00756CCD" w14:paraId="2C21E6D5" w14:textId="77777777">
      <w:pPr>
        <w:pStyle w:val="FootnoteText"/>
      </w:pPr>
      <w:r w:rsidRPr="00B60AD9">
        <w:rPr>
          <w:rStyle w:val="FootnoteReference"/>
        </w:rPr>
        <w:footnoteRef/>
      </w:r>
      <w:r w:rsidRPr="00B60AD9">
        <w:rPr>
          <w:i/>
          <w:snapToGrid w:val="0"/>
        </w:rPr>
        <w:t xml:space="preserve"> Id.</w:t>
      </w:r>
    </w:p>
  </w:footnote>
  <w:footnote w:id="329">
    <w:p w:rsidR="00756CCD" w:rsidRPr="00B60AD9" w:rsidP="00756CCD" w14:paraId="2BA145BB" w14:textId="77777777">
      <w:pPr>
        <w:pStyle w:val="FootnoteText"/>
      </w:pPr>
      <w:r w:rsidRPr="00B60AD9">
        <w:rPr>
          <w:rStyle w:val="FootnoteReference"/>
        </w:rPr>
        <w:footnoteRef/>
      </w:r>
      <w:r w:rsidRPr="00B60AD9">
        <w:t xml:space="preserve"> </w:t>
      </w:r>
      <w:r w:rsidRPr="00B60AD9">
        <w:rPr>
          <w:i/>
        </w:rPr>
        <w:t>See</w:t>
      </w:r>
      <w:r w:rsidRPr="00B60AD9">
        <w:t xml:space="preserve"> U.S. Census </w:t>
      </w:r>
      <w:r w:rsidRPr="00B60AD9">
        <w:t xml:space="preserve">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330">
    <w:p w:rsidR="00756CCD" w:rsidRPr="00B60AD9" w:rsidP="00756CCD" w14:paraId="64FCF44B"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331">
    <w:p w:rsidR="00756CCD" w:rsidRPr="00B60AD9" w:rsidP="00756CCD" w14:paraId="5734C786" w14:textId="77777777">
      <w:pPr>
        <w:pStyle w:val="FootnoteText"/>
      </w:pPr>
      <w:r w:rsidRPr="00B60AD9">
        <w:rPr>
          <w:rStyle w:val="FootnoteReference"/>
        </w:rPr>
        <w:footnoteRef/>
      </w:r>
      <w:r w:rsidRPr="00B60AD9">
        <w:t xml:space="preserve"> </w:t>
      </w:r>
      <w:r w:rsidRPr="00B60AD9">
        <w:rPr>
          <w:iCs/>
        </w:rPr>
        <w:t>Fed.-State Joint Bd. on Universal Serv., Universal Service Monitoring Report at 26, Table 1.12 (2022),</w:t>
      </w:r>
      <w:r w:rsidRPr="00B60AD9">
        <w:t xml:space="preserve"> </w:t>
      </w:r>
      <w:hyperlink r:id="rId39" w:history="1">
        <w:r w:rsidRPr="00B60AD9">
          <w:rPr>
            <w:rStyle w:val="Hyperlink"/>
          </w:rPr>
          <w:t>https://docs.fcc.gov/public/attachments/DOC-391070A1.pdf</w:t>
        </w:r>
      </w:hyperlink>
      <w:r w:rsidRPr="00B60AD9">
        <w:t xml:space="preserve">. </w:t>
      </w:r>
    </w:p>
  </w:footnote>
  <w:footnote w:id="332">
    <w:p w:rsidR="00756CCD" w:rsidRPr="00B60AD9" w:rsidP="00756CCD" w14:paraId="1ED73733" w14:textId="77777777">
      <w:pPr>
        <w:pStyle w:val="FootnoteText"/>
      </w:pPr>
      <w:r w:rsidRPr="00B60AD9">
        <w:rPr>
          <w:rStyle w:val="FootnoteReference"/>
        </w:rPr>
        <w:footnoteRef/>
      </w:r>
      <w:r w:rsidRPr="00B60AD9">
        <w:t xml:space="preserve"> </w:t>
      </w:r>
      <w:r w:rsidRPr="00B60AD9">
        <w:rPr>
          <w:i/>
          <w:snapToGrid w:val="0"/>
        </w:rPr>
        <w:t>Id.</w:t>
      </w:r>
    </w:p>
  </w:footnote>
  <w:footnote w:id="333">
    <w:p w:rsidR="00756CCD" w:rsidRPr="00B60AD9" w:rsidP="00756CCD" w14:paraId="416D58FF" w14:textId="77777777">
      <w:pPr>
        <w:pStyle w:val="FootnoteText"/>
      </w:pPr>
      <w:r w:rsidRPr="00B60AD9">
        <w:rPr>
          <w:rStyle w:val="FootnoteReference"/>
        </w:rPr>
        <w:footnoteRef/>
      </w:r>
      <w:r w:rsidRPr="00B60AD9">
        <w:t xml:space="preserve"> Competitive Local Exchange Service Providers include the following types of providers: C</w:t>
      </w:r>
      <w:r w:rsidRPr="00B60AD9">
        <w:t>ompetitive Access Providers (CAPs) and Competitive Local Exchange Carriers (CLECs), Cable/Coax CLECs, Interconnected VoIP Providers, Non-Interconnected VoIP Providers, Shared-Tenant Service Providers, Audio Bridge Service Providers, Local Resellers, and Ot</w:t>
      </w:r>
      <w:r w:rsidRPr="00B60AD9">
        <w:t>her Local Service Providers.</w:t>
      </w:r>
    </w:p>
  </w:footnote>
  <w:footnote w:id="334">
    <w:p w:rsidR="00756CCD" w:rsidRPr="00B60AD9" w:rsidP="00756CCD" w14:paraId="1AFC14B1"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 xml:space="preserve"> </w:t>
      </w:r>
      <w:hyperlink r:id="rId37" w:history="1">
        <w:r w:rsidRPr="00B60AD9">
          <w:rPr>
            <w:rStyle w:val="Hyperlink"/>
          </w:rPr>
          <w:t>https://www.census.gov/naics/?input=517311&amp;year=2017</w:t>
        </w:r>
        <w:r w:rsidRPr="00B60AD9">
          <w:rPr>
            <w:rStyle w:val="Hyperlink"/>
          </w:rPr>
          <w:t>&amp;details=517311</w:t>
        </w:r>
      </w:hyperlink>
      <w:r w:rsidRPr="00B60AD9">
        <w:rPr>
          <w:rStyle w:val="Hyperlink"/>
        </w:rPr>
        <w:t>.</w:t>
      </w:r>
    </w:p>
  </w:footnote>
  <w:footnote w:id="335">
    <w:p w:rsidR="00756CCD" w:rsidRPr="00B60AD9" w:rsidP="00756CCD" w14:paraId="53B28CE9" w14:textId="77777777">
      <w:pPr>
        <w:pStyle w:val="FootnoteText"/>
      </w:pPr>
      <w:r w:rsidRPr="00B60AD9">
        <w:rPr>
          <w:rStyle w:val="FootnoteReference"/>
        </w:rPr>
        <w:footnoteRef/>
      </w:r>
      <w:r w:rsidRPr="00B60AD9">
        <w:rPr>
          <w:i/>
          <w:snapToGrid w:val="0"/>
        </w:rPr>
        <w:t xml:space="preserve"> </w:t>
      </w:r>
      <w:r w:rsidRPr="00B60AD9">
        <w:rPr>
          <w:i/>
          <w:iCs/>
        </w:rPr>
        <w:t>See</w:t>
      </w:r>
      <w:r w:rsidRPr="00B60AD9">
        <w:t xml:space="preserve"> 13 CFR § 121.201, NAICS Code 517311.</w:t>
      </w:r>
    </w:p>
  </w:footnote>
  <w:footnote w:id="336">
    <w:p w:rsidR="00756CCD" w:rsidRPr="00B60AD9" w:rsidP="00756CCD" w14:paraId="03D4B2D8"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the U.S.: 2017</w:t>
      </w:r>
      <w:r w:rsidRPr="00B60AD9">
        <w:t>,</w:t>
      </w:r>
      <w:r w:rsidRPr="00B60AD9">
        <w:rPr>
          <w:i/>
          <w:iCs/>
        </w:rPr>
        <w:t xml:space="preserve"> </w:t>
      </w:r>
      <w:r w:rsidRPr="00B60AD9">
        <w:t>Table ID: EC1700SIZEEMPFIRM,</w:t>
      </w:r>
      <w:r w:rsidRPr="00B60AD9">
        <w:t xml:space="preserve">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337">
    <w:p w:rsidR="00756CCD" w:rsidRPr="00B60AD9" w:rsidP="00756CCD" w14:paraId="11DDC709"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338">
    <w:p w:rsidR="00756CCD" w:rsidRPr="00B60AD9" w:rsidP="00756CCD" w14:paraId="04297173"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w:t>
      </w:r>
      <w:r w:rsidRPr="00B60AD9">
        <w:rPr>
          <w:iCs/>
        </w:rPr>
        <w:t>Table 1.12 (2022),</w:t>
      </w:r>
    </w:p>
    <w:p w:rsidR="00756CCD" w:rsidRPr="00B60AD9" w:rsidP="00756CCD" w14:paraId="44F1FFB3" w14:textId="77777777">
      <w:pPr>
        <w:pStyle w:val="FootnoteText"/>
        <w:rPr>
          <w:iCs/>
        </w:rPr>
      </w:pPr>
      <w:hyperlink r:id="rId39" w:history="1">
        <w:r w:rsidRPr="00B60AD9">
          <w:rPr>
            <w:rStyle w:val="Hyperlink"/>
            <w:iCs/>
          </w:rPr>
          <w:t>https://docs.fcc.gov/public/attachments/DOC-391070A1.pdf</w:t>
        </w:r>
      </w:hyperlink>
      <w:r w:rsidRPr="00B60AD9">
        <w:rPr>
          <w:iCs/>
        </w:rPr>
        <w:t xml:space="preserve">.  </w:t>
      </w:r>
    </w:p>
  </w:footnote>
  <w:footnote w:id="339">
    <w:p w:rsidR="00756CCD" w:rsidRPr="00B60AD9" w:rsidP="00756CCD" w14:paraId="12EB5557" w14:textId="77777777">
      <w:pPr>
        <w:pStyle w:val="FootnoteText"/>
        <w:rPr>
          <w:i/>
          <w:iCs/>
        </w:rPr>
      </w:pPr>
      <w:r w:rsidRPr="00B60AD9">
        <w:rPr>
          <w:rStyle w:val="FootnoteReference"/>
        </w:rPr>
        <w:footnoteRef/>
      </w:r>
      <w:r w:rsidRPr="00B60AD9">
        <w:t xml:space="preserve"> </w:t>
      </w:r>
      <w:r w:rsidRPr="00B60AD9">
        <w:rPr>
          <w:i/>
          <w:iCs/>
        </w:rPr>
        <w:t>Id.</w:t>
      </w:r>
    </w:p>
  </w:footnote>
  <w:footnote w:id="340">
    <w:p w:rsidR="00756CCD" w:rsidRPr="00B60AD9" w:rsidP="00756CCD" w14:paraId="69359FE1"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w:t>
      </w:r>
      <w:r w:rsidRPr="00B60AD9">
        <w:rPr>
          <w:i/>
        </w:rPr>
        <w:t>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rPr>
          <w:rStyle w:val="Hyperlink"/>
        </w:rPr>
        <w:t>.</w:t>
      </w:r>
    </w:p>
  </w:footnote>
  <w:footnote w:id="341">
    <w:p w:rsidR="00756CCD" w:rsidRPr="00B60AD9" w:rsidP="00756CCD" w14:paraId="49435A32"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342">
    <w:p w:rsidR="00756CCD" w:rsidRPr="00B60AD9" w:rsidP="00756CCD" w14:paraId="37E819BD" w14:textId="77777777">
      <w:pPr>
        <w:pStyle w:val="FootnoteText"/>
      </w:pPr>
      <w:r w:rsidRPr="00B60AD9">
        <w:rPr>
          <w:rStyle w:val="FootnoteReference"/>
        </w:rPr>
        <w:footnoteRef/>
      </w:r>
      <w:r w:rsidRPr="00B60AD9">
        <w:rPr>
          <w:i/>
          <w:snapToGrid w:val="0"/>
        </w:rPr>
        <w:t xml:space="preserve"> Id.</w:t>
      </w:r>
    </w:p>
  </w:footnote>
  <w:footnote w:id="343">
    <w:p w:rsidR="00756CCD" w:rsidRPr="00B60AD9" w:rsidP="00756CCD" w14:paraId="5E303EE0"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w:t>
      </w:r>
      <w:r w:rsidRPr="00B60AD9">
        <w:rPr>
          <w:i/>
        </w:rPr>
        <w:t xml:space="preserve"> </w:t>
      </w:r>
      <w:r w:rsidRPr="00B60AD9">
        <w:rPr>
          <w:i/>
          <w:iCs/>
        </w:rPr>
        <w:t>Selected Sectors: Employment Size of Firms for the U.S.: 2017</w:t>
      </w:r>
      <w:r w:rsidRPr="00B60AD9">
        <w:t>,</w:t>
      </w:r>
      <w:r w:rsidRPr="00B60AD9">
        <w:rPr>
          <w:i/>
          <w:iCs/>
        </w:rPr>
        <w:t xml:space="preserve"> </w:t>
      </w:r>
      <w:r w:rsidRPr="00B60AD9">
        <w:t xml:space="preserve">Table ID: EC1700SIZEEMPFIRM, </w:t>
      </w:r>
      <w:bookmarkStart w:id="83" w:name="_Hlk35600243"/>
      <w:r w:rsidRPr="00B60AD9">
        <w:t xml:space="preserve">NAICS Code </w:t>
      </w:r>
      <w:bookmarkEnd w:id="83"/>
      <w:r w:rsidRPr="00B60AD9">
        <w:t xml:space="preserve">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344">
    <w:p w:rsidR="00756CCD" w:rsidRPr="00B60AD9" w:rsidP="00756CCD" w14:paraId="7BE901B2" w14:textId="77777777">
      <w:pPr>
        <w:pStyle w:val="FootnoteText"/>
      </w:pPr>
      <w:r w:rsidRPr="00B60AD9">
        <w:rPr>
          <w:rStyle w:val="FootnoteReference"/>
        </w:rPr>
        <w:footnoteRef/>
      </w:r>
      <w:r w:rsidRPr="00B60AD9">
        <w:t xml:space="preserve"> </w:t>
      </w:r>
      <w:r w:rsidRPr="00B60AD9">
        <w:rPr>
          <w:i/>
        </w:rPr>
        <w:t xml:space="preserve">Id. </w:t>
      </w:r>
      <w:bookmarkStart w:id="84" w:name="_Hlk35600286"/>
      <w:r w:rsidRPr="00B60AD9">
        <w:rPr>
          <w:i/>
        </w:rPr>
        <w:t xml:space="preserve"> </w:t>
      </w:r>
      <w:r w:rsidRPr="00B60AD9">
        <w:rPr>
          <w:iCs/>
        </w:rPr>
        <w:t>The available U.S. Census Bureau data does not provide a more precise estimate of the number of firms that meet the SBA size standard.</w:t>
      </w:r>
      <w:bookmarkEnd w:id="84"/>
    </w:p>
  </w:footnote>
  <w:footnote w:id="345">
    <w:p w:rsidR="00756CCD" w:rsidRPr="00B60AD9" w:rsidP="00756CCD" w14:paraId="34F30034"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iCs/>
          </w:rPr>
          <w:t>https://docs.fcc.gov/public/attachments/DOC-391070A1.pdf</w:t>
        </w:r>
      </w:hyperlink>
      <w:r w:rsidRPr="00B60AD9">
        <w:rPr>
          <w:iCs/>
        </w:rPr>
        <w:t xml:space="preserve">.  </w:t>
      </w:r>
    </w:p>
  </w:footnote>
  <w:footnote w:id="346">
    <w:p w:rsidR="00756CCD" w:rsidRPr="00B60AD9" w:rsidP="00756CCD" w14:paraId="695B8C27" w14:textId="77777777">
      <w:pPr>
        <w:pStyle w:val="FootnoteText"/>
      </w:pPr>
      <w:r w:rsidRPr="00B60AD9">
        <w:rPr>
          <w:rStyle w:val="FootnoteReference"/>
        </w:rPr>
        <w:footnoteRef/>
      </w:r>
      <w:r w:rsidRPr="00B60AD9">
        <w:t xml:space="preserve"> </w:t>
      </w:r>
      <w:r w:rsidRPr="00B60AD9">
        <w:rPr>
          <w:bCs/>
          <w:i/>
          <w:iCs/>
          <w:color w:val="010101"/>
        </w:rPr>
        <w:t>See</w:t>
      </w:r>
      <w:r w:rsidRPr="00B60AD9">
        <w:t xml:space="preserve"> U.S. Census Bureau, </w:t>
      </w:r>
      <w:r w:rsidRPr="00B60AD9">
        <w:rPr>
          <w:i/>
          <w:iCs/>
        </w:rPr>
        <w:t>2017 NAICS Definition, “</w:t>
      </w:r>
      <w:r w:rsidRPr="00B60AD9">
        <w:rPr>
          <w:bCs/>
          <w:i/>
          <w:iCs/>
        </w:rPr>
        <w:t>517312 Wireless Telecommunications Carriers</w:t>
      </w:r>
      <w:r w:rsidRPr="00B60AD9">
        <w:rPr>
          <w:bCs/>
        </w:rPr>
        <w:t xml:space="preserve"> </w:t>
      </w:r>
      <w:r w:rsidRPr="00B60AD9">
        <w:rPr>
          <w:bCs/>
          <w:i/>
          <w:iCs/>
        </w:rPr>
        <w:t>(</w:t>
      </w:r>
      <w:r w:rsidRPr="00B60AD9">
        <w:rPr>
          <w:bCs/>
          <w:i/>
          <w:iCs/>
        </w:rPr>
        <w:t>except Satellite)</w:t>
      </w:r>
      <w:r w:rsidRPr="00B60AD9">
        <w:t>,</w:t>
      </w:r>
      <w:r w:rsidRPr="00B60AD9">
        <w:rPr>
          <w:bCs/>
          <w:i/>
          <w:iCs/>
        </w:rPr>
        <w:t>”</w:t>
      </w:r>
      <w:r w:rsidRPr="00B60AD9">
        <w:t xml:space="preserve"> </w:t>
      </w:r>
      <w:hyperlink r:id="rId40" w:history="1">
        <w:r w:rsidRPr="00B60AD9">
          <w:rPr>
            <w:rStyle w:val="Hyperlink"/>
          </w:rPr>
          <w:t>https://www.census.gov/naics/?input=517312&amp;year=2017&amp;details=517312</w:t>
        </w:r>
      </w:hyperlink>
      <w:r w:rsidRPr="00B60AD9">
        <w:rPr>
          <w:iCs/>
        </w:rPr>
        <w:t>.</w:t>
      </w:r>
    </w:p>
  </w:footnote>
  <w:footnote w:id="347">
    <w:p w:rsidR="00756CCD" w:rsidRPr="00B60AD9" w:rsidP="00756CCD" w14:paraId="781C9605" w14:textId="77777777">
      <w:pPr>
        <w:pStyle w:val="FootnoteText"/>
        <w:rPr>
          <w:i/>
        </w:rPr>
      </w:pPr>
      <w:r w:rsidRPr="00B60AD9">
        <w:rPr>
          <w:rStyle w:val="FootnoteReference"/>
        </w:rPr>
        <w:footnoteRef/>
      </w:r>
      <w:r w:rsidRPr="00B60AD9">
        <w:t xml:space="preserve"> </w:t>
      </w:r>
      <w:r w:rsidRPr="00B60AD9">
        <w:rPr>
          <w:i/>
          <w:iCs/>
        </w:rPr>
        <w:t>Id.</w:t>
      </w:r>
    </w:p>
  </w:footnote>
  <w:footnote w:id="348">
    <w:p w:rsidR="00756CCD" w:rsidRPr="00B60AD9" w:rsidP="00756CCD" w14:paraId="7BB4468F" w14:textId="77777777">
      <w:pPr>
        <w:pStyle w:val="FootnoteText"/>
      </w:pPr>
      <w:r w:rsidRPr="00B60AD9">
        <w:rPr>
          <w:rStyle w:val="FootnoteReference"/>
        </w:rPr>
        <w:footnoteRef/>
      </w:r>
      <w:r w:rsidRPr="00B60AD9">
        <w:rPr>
          <w:lang w:val="fr-FR"/>
        </w:rPr>
        <w:t xml:space="preserve"> </w:t>
      </w:r>
      <w:r w:rsidRPr="00B60AD9">
        <w:rPr>
          <w:i/>
          <w:color w:val="010101"/>
        </w:rPr>
        <w:t>See</w:t>
      </w:r>
      <w:r w:rsidRPr="00B60AD9">
        <w:rPr>
          <w:lang w:val="fr-FR"/>
        </w:rPr>
        <w:t xml:space="preserve"> 13 CFR § 121.201, NAICS Code 517312.</w:t>
      </w:r>
    </w:p>
  </w:footnote>
  <w:footnote w:id="349">
    <w:p w:rsidR="00756CCD" w:rsidRPr="00B60AD9" w:rsidP="00756CCD" w14:paraId="4E03C8D2" w14:textId="77777777">
      <w:pPr>
        <w:pStyle w:val="FootnoteText"/>
      </w:pPr>
      <w:r w:rsidRPr="00B60AD9">
        <w:rPr>
          <w:rStyle w:val="FootnoteReference"/>
        </w:rPr>
        <w:footnoteRef/>
      </w:r>
      <w:r w:rsidRPr="00B60AD9">
        <w:t xml:space="preserve"> </w:t>
      </w:r>
      <w:r w:rsidRPr="00B60AD9">
        <w:rPr>
          <w:i/>
          <w:color w:val="010101"/>
        </w:rPr>
        <w:t>See</w:t>
      </w:r>
      <w:r w:rsidRPr="00B60AD9">
        <w:t xml:space="preserve"> U.S. Census Bureau, </w:t>
      </w:r>
      <w:r w:rsidRPr="00B60AD9">
        <w:rPr>
          <w:i/>
          <w:iCs/>
        </w:rPr>
        <w:t xml:space="preserve">2017 </w:t>
      </w:r>
      <w:r w:rsidRPr="00B60AD9">
        <w:rPr>
          <w:i/>
        </w:rPr>
        <w:t>Economic Census</w:t>
      </w:r>
      <w:r w:rsidRPr="00B60AD9">
        <w:rPr>
          <w:bCs/>
          <w:i/>
        </w:rPr>
        <w:t xml:space="preserve"> of the United States</w:t>
      </w:r>
      <w:r w:rsidRPr="00B60AD9">
        <w:t xml:space="preserve">, </w:t>
      </w:r>
      <w:r w:rsidRPr="00B60AD9">
        <w:rPr>
          <w:i/>
          <w:iCs/>
        </w:rPr>
        <w:t>Employment Size of Firms for the U.S.: 2017</w:t>
      </w:r>
      <w:r w:rsidRPr="00B60AD9">
        <w:t>,</w:t>
      </w:r>
      <w:r w:rsidRPr="00B60AD9">
        <w:rPr>
          <w:i/>
          <w:iCs/>
        </w:rPr>
        <w:t xml:space="preserve"> </w:t>
      </w:r>
      <w:r w:rsidRPr="00B60AD9">
        <w:t xml:space="preserve">Table ID: EC1700SIZEEMPFIRM, NAICS Code 517312, </w:t>
      </w:r>
      <w:hyperlink r:id="rId41" w:history="1">
        <w:r w:rsidRPr="00B60AD9">
          <w:rPr>
            <w:rStyle w:val="Hyperlink"/>
          </w:rPr>
          <w:t>https://data.census.gov/cedsci/table?y=2017&amp;n=517312&amp;tid=ECNSIZE2017.EC1700SIZEEMPFIRM&amp;hidePreview=false</w:t>
        </w:r>
      </w:hyperlink>
      <w:r w:rsidRPr="00B60AD9">
        <w:t xml:space="preserve">.  </w:t>
      </w:r>
    </w:p>
  </w:footnote>
  <w:footnote w:id="350">
    <w:p w:rsidR="00756CCD" w:rsidRPr="00B60AD9" w:rsidP="00756CCD" w14:paraId="023BF749" w14:textId="77777777">
      <w:pPr>
        <w:pStyle w:val="FootnoteText"/>
      </w:pPr>
      <w:r w:rsidRPr="00B60AD9">
        <w:rPr>
          <w:rStyle w:val="FootnoteReference"/>
        </w:rPr>
        <w:footnoteRef/>
      </w:r>
      <w:r w:rsidRPr="00B60AD9">
        <w:t xml:space="preserve"> </w:t>
      </w:r>
      <w:r w:rsidRPr="00B60AD9">
        <w:rPr>
          <w:i/>
        </w:rPr>
        <w:t>Id</w:t>
      </w:r>
      <w:r w:rsidRPr="00B60AD9">
        <w:t>.  The available U.S. Census Bureau data does not provide a more precise estimate o</w:t>
      </w:r>
      <w:r w:rsidRPr="00B60AD9">
        <w:t xml:space="preserve">f the number of firms that meet the SBA size standard. </w:t>
      </w:r>
    </w:p>
  </w:footnote>
  <w:footnote w:id="351">
    <w:p w:rsidR="00756CCD" w:rsidRPr="00B60AD9" w:rsidP="00756CCD" w14:paraId="518A5A93" w14:textId="77777777">
      <w:pPr>
        <w:pStyle w:val="FootnoteText"/>
      </w:pPr>
      <w:r w:rsidRPr="00B60AD9">
        <w:rPr>
          <w:rStyle w:val="FootnoteReference"/>
        </w:rPr>
        <w:footnoteRef/>
      </w:r>
      <w:r w:rsidRPr="00B60AD9">
        <w:rPr>
          <w:i/>
          <w:iCs/>
        </w:rPr>
        <w:t xml:space="preserve"> </w:t>
      </w:r>
      <w:r w:rsidRPr="00B60AD9">
        <w:t xml:space="preserve">Fed.-State Joint Bd. on Universal Serv., Universal Service Monitoring Report at 26, Table 1.12 (2022), </w:t>
      </w:r>
      <w:hyperlink r:id="rId39" w:history="1">
        <w:r w:rsidRPr="00B60AD9">
          <w:rPr>
            <w:rStyle w:val="Hyperlink"/>
          </w:rPr>
          <w:t>https://docs.fcc.gov/pub</w:t>
        </w:r>
        <w:r w:rsidRPr="00B60AD9">
          <w:rPr>
            <w:rStyle w:val="Hyperlink"/>
          </w:rPr>
          <w:t>lic/attachments/DOC-391070A1.pdf</w:t>
        </w:r>
      </w:hyperlink>
      <w:r w:rsidRPr="00B60AD9">
        <w:t>.</w:t>
      </w:r>
    </w:p>
  </w:footnote>
  <w:footnote w:id="352">
    <w:p w:rsidR="00756CCD" w:rsidRPr="00B60AD9" w:rsidP="00756CCD" w14:paraId="43C195F1" w14:textId="77777777">
      <w:pPr>
        <w:pStyle w:val="FootnoteText"/>
        <w:rPr>
          <w:i/>
          <w:iCs/>
        </w:rPr>
      </w:pPr>
      <w:r w:rsidRPr="00B60AD9">
        <w:rPr>
          <w:rStyle w:val="FootnoteReference"/>
        </w:rPr>
        <w:footnoteRef/>
      </w:r>
      <w:r w:rsidRPr="00B60AD9">
        <w:t xml:space="preserve"> </w:t>
      </w:r>
      <w:r w:rsidRPr="00B60AD9">
        <w:rPr>
          <w:i/>
          <w:iCs/>
        </w:rPr>
        <w:t>Id.</w:t>
      </w:r>
    </w:p>
  </w:footnote>
  <w:footnote w:id="353">
    <w:p w:rsidR="00756CCD" w:rsidRPr="00B60AD9" w:rsidP="00756CCD" w14:paraId="74A2158A" w14:textId="77777777">
      <w:pPr>
        <w:pStyle w:val="FootnoteText"/>
      </w:pPr>
      <w:r w:rsidRPr="00B60AD9">
        <w:rPr>
          <w:rStyle w:val="FootnoteReference"/>
        </w:rPr>
        <w:footnoteRef/>
      </w:r>
      <w:r w:rsidRPr="00B60AD9">
        <w:t xml:space="preserve"> </w:t>
      </w:r>
      <w:r w:rsidRPr="00B60AD9">
        <w:rPr>
          <w:i/>
          <w:iCs/>
        </w:rPr>
        <w:t>See</w:t>
      </w:r>
      <w:r w:rsidRPr="00B60AD9">
        <w:t xml:space="preserve"> U.S. Census Bureau, </w:t>
      </w:r>
      <w:r w:rsidRPr="00B60AD9">
        <w:rPr>
          <w:i/>
        </w:rPr>
        <w:t>2017 NAICS Definition</w:t>
      </w:r>
      <w:r w:rsidRPr="00B60AD9">
        <w:t>, “</w:t>
      </w:r>
      <w:r w:rsidRPr="00B60AD9">
        <w:rPr>
          <w:i/>
          <w:iCs/>
        </w:rPr>
        <w:t>517911 Telecommunications Resellers</w:t>
      </w:r>
      <w:r w:rsidRPr="00B60AD9">
        <w:t>,</w:t>
      </w:r>
      <w:r w:rsidRPr="00B60AD9">
        <w:rPr>
          <w:i/>
        </w:rPr>
        <w:t xml:space="preserve">” </w:t>
      </w:r>
      <w:hyperlink r:id="rId42" w:history="1">
        <w:r w:rsidRPr="00B60AD9">
          <w:rPr>
            <w:rStyle w:val="Hyperlink"/>
          </w:rPr>
          <w:t>https://www</w:t>
        </w:r>
        <w:r w:rsidRPr="00B60AD9">
          <w:rPr>
            <w:rStyle w:val="Hyperlink"/>
          </w:rPr>
          <w:t>.census.gov/naics/?input=517911&amp;year=2017&amp;details=517911</w:t>
        </w:r>
      </w:hyperlink>
      <w:r w:rsidRPr="00B60AD9">
        <w:t>.</w:t>
      </w:r>
    </w:p>
  </w:footnote>
  <w:footnote w:id="354">
    <w:p w:rsidR="00756CCD" w:rsidRPr="00B60AD9" w:rsidP="00756CCD" w14:paraId="09214AEB" w14:textId="77777777">
      <w:pPr>
        <w:pStyle w:val="FootnoteText"/>
      </w:pPr>
      <w:r w:rsidRPr="00B60AD9">
        <w:rPr>
          <w:rStyle w:val="FootnoteReference"/>
        </w:rPr>
        <w:footnoteRef/>
      </w:r>
      <w:r w:rsidRPr="00B60AD9">
        <w:rPr>
          <w:rStyle w:val="Hyperlink"/>
          <w:color w:val="auto"/>
          <w:u w:val="none"/>
        </w:rPr>
        <w:t xml:space="preserve"> </w:t>
      </w:r>
      <w:r w:rsidRPr="00B60AD9">
        <w:rPr>
          <w:rStyle w:val="Hyperlink"/>
          <w:i/>
          <w:iCs/>
          <w:color w:val="auto"/>
          <w:u w:val="none"/>
        </w:rPr>
        <w:t>Id.</w:t>
      </w:r>
    </w:p>
  </w:footnote>
  <w:footnote w:id="355">
    <w:p w:rsidR="00756CCD" w:rsidRPr="00B60AD9" w:rsidP="00756CCD" w14:paraId="5D43CF8B" w14:textId="77777777">
      <w:pPr>
        <w:pStyle w:val="FootnoteText"/>
        <w:rPr>
          <w:b/>
        </w:rPr>
      </w:pPr>
      <w:r w:rsidRPr="00B60AD9">
        <w:rPr>
          <w:rStyle w:val="FootnoteReference"/>
        </w:rPr>
        <w:footnoteRef/>
      </w:r>
      <w:r w:rsidRPr="00B60AD9">
        <w:rPr>
          <w:i/>
          <w:iCs/>
        </w:rPr>
        <w:t xml:space="preserve"> Id</w:t>
      </w:r>
      <w:r w:rsidRPr="00B60AD9">
        <w:t>.</w:t>
      </w:r>
    </w:p>
  </w:footnote>
  <w:footnote w:id="356">
    <w:p w:rsidR="00756CCD" w:rsidRPr="00B60AD9" w:rsidP="00756CCD" w14:paraId="0D7DEDDA" w14:textId="77777777">
      <w:pPr>
        <w:pStyle w:val="FootnoteText"/>
        <w:rPr>
          <w:b/>
        </w:rPr>
      </w:pPr>
      <w:r w:rsidRPr="00B60AD9">
        <w:rPr>
          <w:rStyle w:val="FootnoteReference"/>
        </w:rPr>
        <w:footnoteRef/>
      </w:r>
      <w:r w:rsidRPr="00B60AD9">
        <w:rPr>
          <w:i/>
          <w:iCs/>
        </w:rPr>
        <w:t xml:space="preserve"> Id</w:t>
      </w:r>
      <w:r w:rsidRPr="00B60AD9">
        <w:t>.</w:t>
      </w:r>
    </w:p>
  </w:footnote>
  <w:footnote w:id="357">
    <w:p w:rsidR="00756CCD" w:rsidRPr="00B60AD9" w:rsidP="00756CCD" w14:paraId="331A7C51"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517911 (as of 10/1/22, NAICS Code 517121).</w:t>
      </w:r>
    </w:p>
  </w:footnote>
  <w:footnote w:id="358">
    <w:p w:rsidR="00756CCD" w:rsidRPr="00B60AD9" w:rsidP="00756CCD" w14:paraId="1A200B24" w14:textId="77777777">
      <w:pPr>
        <w:pStyle w:val="FootnoteText"/>
      </w:pPr>
      <w:r w:rsidRPr="00B60AD9">
        <w:rPr>
          <w:rStyle w:val="FootnoteReference"/>
        </w:rPr>
        <w:footnoteRef/>
      </w:r>
      <w:r w:rsidRPr="00B60AD9">
        <w:t xml:space="preserve"> </w:t>
      </w:r>
      <w:bookmarkStart w:id="87" w:name="_Hlk22861329"/>
      <w:r w:rsidRPr="00B60AD9">
        <w:rPr>
          <w:i/>
        </w:rPr>
        <w:t>See</w:t>
      </w:r>
      <w:r w:rsidRPr="00B60AD9">
        <w:t xml:space="preserve"> U.S. Census Bureau,</w:t>
      </w:r>
      <w:r w:rsidRPr="00B60AD9">
        <w:rPr>
          <w:i/>
          <w:iCs/>
        </w:rPr>
        <w:t xml:space="preserve"> 2017 </w:t>
      </w:r>
      <w:r w:rsidRPr="00B60AD9">
        <w:rPr>
          <w:i/>
        </w:rPr>
        <w:t>Economic Census</w:t>
      </w:r>
      <w:r w:rsidRPr="00B60AD9">
        <w:rPr>
          <w:bCs/>
          <w:i/>
        </w:rPr>
        <w:t xml:space="preserve"> of the United States</w:t>
      </w:r>
      <w:r w:rsidRPr="00B60AD9">
        <w:t xml:space="preserve">,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517911, </w:t>
      </w:r>
      <w:hyperlink r:id="rId43" w:history="1">
        <w:r w:rsidRPr="00B60AD9">
          <w:rPr>
            <w:rStyle w:val="Hyperlink"/>
          </w:rPr>
          <w:t>https://data.census.gov/cedsci/table?y=2017&amp;n=517911&amp;tid=ECNSIZE2017.EC1700SIZEEMPFIRM&amp;hidePreview=false</w:t>
        </w:r>
      </w:hyperlink>
      <w:r w:rsidRPr="00B60AD9">
        <w:t>.</w:t>
      </w:r>
      <w:r w:rsidRPr="00B60AD9">
        <w:t xml:space="preserve"> </w:t>
      </w:r>
      <w:bookmarkEnd w:id="87"/>
    </w:p>
  </w:footnote>
  <w:footnote w:id="359">
    <w:p w:rsidR="00756CCD" w:rsidRPr="00B60AD9" w:rsidP="00756CCD" w14:paraId="5A582424" w14:textId="77777777">
      <w:pPr>
        <w:pStyle w:val="FootnoteText"/>
        <w:rPr>
          <w:i/>
        </w:rPr>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360">
    <w:p w:rsidR="00756CCD" w:rsidRPr="00B60AD9" w:rsidP="00756CCD" w14:paraId="026F5E89"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iCs/>
          </w:rPr>
          <w:t>https://docs.fcc.gov/public/attachments/DOC-391070A1.pdf</w:t>
        </w:r>
      </w:hyperlink>
      <w:r w:rsidRPr="00B60AD9">
        <w:rPr>
          <w:iCs/>
        </w:rPr>
        <w:t xml:space="preserve">.  </w:t>
      </w:r>
    </w:p>
  </w:footnote>
  <w:footnote w:id="361">
    <w:p w:rsidR="00756CCD" w:rsidRPr="00B60AD9" w:rsidP="00756CCD" w14:paraId="058A5F00" w14:textId="77777777">
      <w:pPr>
        <w:pStyle w:val="FootnoteText"/>
        <w:rPr>
          <w:i/>
          <w:iCs/>
        </w:rPr>
      </w:pPr>
      <w:r w:rsidRPr="00B60AD9">
        <w:rPr>
          <w:rStyle w:val="FootnoteReference"/>
        </w:rPr>
        <w:footnoteRef/>
      </w:r>
      <w:r w:rsidRPr="00B60AD9">
        <w:t xml:space="preserve"> </w:t>
      </w:r>
      <w:r w:rsidRPr="00B60AD9">
        <w:rPr>
          <w:i/>
          <w:iCs/>
        </w:rPr>
        <w:t>Id.</w:t>
      </w:r>
    </w:p>
  </w:footnote>
  <w:footnote w:id="362">
    <w:p w:rsidR="00756CCD" w:rsidRPr="00B60AD9" w:rsidP="00756CCD" w14:paraId="286B4371" w14:textId="77777777">
      <w:pPr>
        <w:pStyle w:val="FootnoteText"/>
      </w:pPr>
      <w:r w:rsidRPr="00B60AD9">
        <w:rPr>
          <w:rStyle w:val="FootnoteReference"/>
        </w:rPr>
        <w:footnoteRef/>
      </w:r>
      <w:r w:rsidRPr="00B60AD9">
        <w:t xml:space="preserve"> </w:t>
      </w:r>
      <w:r w:rsidRPr="00B60AD9">
        <w:rPr>
          <w:i/>
          <w:iCs/>
        </w:rPr>
        <w:t>See</w:t>
      </w:r>
      <w:r w:rsidRPr="00B60AD9">
        <w:t xml:space="preserve"> U.S. Census Bureau, </w:t>
      </w:r>
      <w:r w:rsidRPr="00B60AD9">
        <w:rPr>
          <w:i/>
        </w:rPr>
        <w:t>2017 NAICS Definition</w:t>
      </w:r>
      <w:r w:rsidRPr="00B60AD9">
        <w:t>, “</w:t>
      </w:r>
      <w:r w:rsidRPr="00B60AD9">
        <w:rPr>
          <w:i/>
          <w:iCs/>
        </w:rPr>
        <w:t xml:space="preserve">517911 </w:t>
      </w:r>
      <w:r w:rsidRPr="00B60AD9">
        <w:rPr>
          <w:i/>
          <w:iCs/>
        </w:rPr>
        <w:t>Telecommunications Resellers</w:t>
      </w:r>
      <w:r w:rsidRPr="00B60AD9">
        <w:t>,</w:t>
      </w:r>
      <w:r w:rsidRPr="00B60AD9">
        <w:rPr>
          <w:i/>
        </w:rPr>
        <w:t>”</w:t>
      </w:r>
      <w:r w:rsidRPr="00B60AD9">
        <w:t xml:space="preserve"> </w:t>
      </w:r>
      <w:hyperlink r:id="rId42" w:history="1">
        <w:r w:rsidRPr="00B60AD9">
          <w:rPr>
            <w:rStyle w:val="Hyperlink"/>
          </w:rPr>
          <w:t>https://www.census.gov/naics/?input=517911&amp;year=2017&amp;details=517911</w:t>
        </w:r>
      </w:hyperlink>
      <w:r w:rsidRPr="00B60AD9">
        <w:t>.</w:t>
      </w:r>
    </w:p>
  </w:footnote>
  <w:footnote w:id="363">
    <w:p w:rsidR="00756CCD" w:rsidRPr="00B60AD9" w:rsidP="00756CCD" w14:paraId="3607189D" w14:textId="77777777">
      <w:pPr>
        <w:pStyle w:val="FootnoteText"/>
        <w:rPr>
          <w:b/>
        </w:rPr>
      </w:pPr>
      <w:r w:rsidRPr="00B60AD9">
        <w:rPr>
          <w:rStyle w:val="FootnoteReference"/>
        </w:rPr>
        <w:footnoteRef/>
      </w:r>
      <w:r w:rsidRPr="00B60AD9">
        <w:t xml:space="preserve"> </w:t>
      </w:r>
      <w:r w:rsidRPr="00B60AD9">
        <w:rPr>
          <w:i/>
          <w:iCs/>
        </w:rPr>
        <w:t>Id.</w:t>
      </w:r>
    </w:p>
  </w:footnote>
  <w:footnote w:id="364">
    <w:p w:rsidR="00756CCD" w:rsidRPr="00B60AD9" w:rsidP="00756CCD" w14:paraId="49481012" w14:textId="77777777">
      <w:pPr>
        <w:pStyle w:val="FootnoteText"/>
        <w:rPr>
          <w:b/>
        </w:rPr>
      </w:pPr>
      <w:r w:rsidRPr="00B60AD9">
        <w:rPr>
          <w:rStyle w:val="FootnoteReference"/>
        </w:rPr>
        <w:footnoteRef/>
      </w:r>
      <w:r w:rsidRPr="00B60AD9">
        <w:rPr>
          <w:i/>
          <w:iCs/>
        </w:rPr>
        <w:t xml:space="preserve"> Id</w:t>
      </w:r>
      <w:r w:rsidRPr="00B60AD9">
        <w:t>.</w:t>
      </w:r>
    </w:p>
  </w:footnote>
  <w:footnote w:id="365">
    <w:p w:rsidR="00756CCD" w:rsidRPr="00B60AD9" w:rsidP="00756CCD" w14:paraId="6C9D5A34"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w:t>
      </w:r>
      <w:r w:rsidRPr="00B60AD9">
        <w:t>CS Code 517911 (as of 10/1/22, NAICS Code 517121).</w:t>
      </w:r>
    </w:p>
  </w:footnote>
  <w:footnote w:id="366">
    <w:p w:rsidR="00756CCD" w:rsidRPr="00B60AD9" w:rsidP="00756CCD" w14:paraId="6B9A6AA9" w14:textId="77777777">
      <w:pPr>
        <w:pStyle w:val="FootnoteText"/>
      </w:pPr>
      <w:r w:rsidRPr="00B60AD9">
        <w:rPr>
          <w:rStyle w:val="FootnoteReference"/>
        </w:rPr>
        <w:footnoteRef/>
      </w:r>
      <w:r w:rsidRPr="00B60AD9">
        <w:t xml:space="preserve"> </w:t>
      </w:r>
      <w:r w:rsidRPr="00B60AD9">
        <w:rPr>
          <w:i/>
        </w:rPr>
        <w:t>See</w:t>
      </w:r>
      <w:r w:rsidRPr="00B60AD9">
        <w:t xml:space="preserve"> U.S. Census Bureau,</w:t>
      </w:r>
      <w:r w:rsidRPr="00B60AD9">
        <w:rPr>
          <w:i/>
          <w:iCs/>
        </w:rPr>
        <w:t xml:space="preserve"> 2017 </w:t>
      </w:r>
      <w:r w:rsidRPr="00B60AD9">
        <w:rPr>
          <w:i/>
        </w:rPr>
        <w:t>Economic Census</w:t>
      </w:r>
      <w:r w:rsidRPr="00B60AD9">
        <w:rPr>
          <w:bCs/>
          <w:i/>
        </w:rPr>
        <w:t xml:space="preserve"> of the United States</w:t>
      </w:r>
      <w:r w:rsidRPr="00B60AD9">
        <w:t xml:space="preserve">, </w:t>
      </w:r>
      <w:r w:rsidRPr="00B60AD9">
        <w:rPr>
          <w:i/>
          <w:iCs/>
        </w:rPr>
        <w:t>Selected Sectors: Employment Size of Firms for the U.S.: 2017</w:t>
      </w:r>
      <w:r w:rsidRPr="00B60AD9">
        <w:t xml:space="preserve">, Table ID: EC1700SIZEEMPFIRM, NAICS Code 517911, </w:t>
      </w:r>
      <w:hyperlink r:id="rId43" w:history="1">
        <w:r w:rsidRPr="00B60AD9">
          <w:rPr>
            <w:rStyle w:val="Hyperlink"/>
          </w:rPr>
          <w:t>https://data.census.gov/cedsci/table?y=2017&amp;n=517911&amp;tid=ECNSIZE2017.EC1700SIZEEMPFIRM&amp;hidePreview=false</w:t>
        </w:r>
      </w:hyperlink>
      <w:r w:rsidRPr="00B60AD9">
        <w:t xml:space="preserve">. </w:t>
      </w:r>
    </w:p>
  </w:footnote>
  <w:footnote w:id="367">
    <w:p w:rsidR="00756CCD" w:rsidRPr="00B60AD9" w:rsidP="00756CCD" w14:paraId="1DFAB348" w14:textId="77777777">
      <w:pPr>
        <w:pStyle w:val="FootnoteText"/>
        <w:rPr>
          <w:i/>
        </w:rPr>
      </w:pPr>
      <w:r w:rsidRPr="00B60AD9">
        <w:rPr>
          <w:rStyle w:val="FootnoteReference"/>
        </w:rPr>
        <w:footnoteRef/>
      </w:r>
      <w:r w:rsidRPr="00B60AD9">
        <w:t xml:space="preserve"> </w:t>
      </w:r>
      <w:r w:rsidRPr="00B60AD9">
        <w:rPr>
          <w:i/>
        </w:rPr>
        <w:t xml:space="preserve">Id.  </w:t>
      </w:r>
      <w:r w:rsidRPr="00B60AD9">
        <w:rPr>
          <w:iCs/>
        </w:rPr>
        <w:t>The available</w:t>
      </w:r>
      <w:r w:rsidRPr="00B60AD9">
        <w:rPr>
          <w:iCs/>
        </w:rPr>
        <w:t xml:space="preserve"> U.S. Census Bureau data does not provide a more precise estimate of the number of firms that meet the SBA size standard.</w:t>
      </w:r>
    </w:p>
  </w:footnote>
  <w:footnote w:id="368">
    <w:p w:rsidR="00756CCD" w:rsidRPr="00B60AD9" w:rsidP="00756CCD" w14:paraId="35BC9B90" w14:textId="77777777">
      <w:pPr>
        <w:pStyle w:val="FootnoteText"/>
        <w:rPr>
          <w:iCs/>
        </w:rPr>
      </w:pPr>
      <w:r w:rsidRPr="00B60AD9">
        <w:rPr>
          <w:rStyle w:val="FootnoteReference"/>
        </w:rPr>
        <w:footnoteRef/>
      </w:r>
      <w:r w:rsidRPr="00B60AD9">
        <w:rPr>
          <w:iCs/>
        </w:rPr>
        <w:t xml:space="preserve"> Fed.-State Joint Bd. on Universal Serv., Universal Service Monitoring Report at 26, Table 1.12 (2022), </w:t>
      </w:r>
      <w:hyperlink r:id="rId39" w:history="1">
        <w:r w:rsidRPr="00B60AD9">
          <w:rPr>
            <w:rStyle w:val="Hyperlink"/>
          </w:rPr>
          <w:t>https://docs.fcc.gov/public/attachments/DOC-391070A1.pdf</w:t>
        </w:r>
      </w:hyperlink>
      <w:r w:rsidRPr="00B60AD9">
        <w:t xml:space="preserve">. </w:t>
      </w:r>
    </w:p>
  </w:footnote>
  <w:footnote w:id="369">
    <w:p w:rsidR="00756CCD" w:rsidRPr="00B60AD9" w:rsidP="00756CCD" w14:paraId="1FA8A4F4" w14:textId="77777777">
      <w:pPr>
        <w:pStyle w:val="FootnoteText"/>
        <w:rPr>
          <w:i/>
          <w:iCs/>
        </w:rPr>
      </w:pPr>
      <w:r w:rsidRPr="00B60AD9">
        <w:rPr>
          <w:rStyle w:val="FootnoteReference"/>
        </w:rPr>
        <w:footnoteRef/>
      </w:r>
      <w:r w:rsidRPr="00B60AD9">
        <w:t xml:space="preserve"> </w:t>
      </w:r>
      <w:r w:rsidRPr="00B60AD9">
        <w:rPr>
          <w:i/>
          <w:iCs/>
        </w:rPr>
        <w:t>Id.</w:t>
      </w:r>
    </w:p>
  </w:footnote>
  <w:footnote w:id="370">
    <w:p w:rsidR="00756CCD" w:rsidRPr="00B60AD9" w:rsidP="00756CCD" w14:paraId="23CCDC9D"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i/>
          <w:iCs/>
        </w:rPr>
        <w:t>2017 NAICS Definition</w:t>
      </w:r>
      <w:r w:rsidRPr="00B60AD9">
        <w:t>, “</w:t>
      </w:r>
      <w:r w:rsidRPr="00B60AD9">
        <w:rPr>
          <w:i/>
          <w:iCs/>
        </w:rPr>
        <w:t>517919 All Other Telecommunications</w:t>
      </w:r>
      <w:r w:rsidRPr="00B60AD9">
        <w:t xml:space="preserve">,” </w:t>
      </w:r>
      <w:hyperlink r:id="rId44" w:history="1">
        <w:r w:rsidRPr="00B60AD9">
          <w:rPr>
            <w:rStyle w:val="Hyperlink"/>
          </w:rPr>
          <w:t>https://www.census.gov/naics/?input=517919&amp;year=2017&amp;details=517919</w:t>
        </w:r>
      </w:hyperlink>
      <w:r w:rsidRPr="00B60AD9">
        <w:t>.</w:t>
      </w:r>
    </w:p>
  </w:footnote>
  <w:footnote w:id="371">
    <w:p w:rsidR="00756CCD" w:rsidRPr="00B60AD9" w:rsidP="00756CCD" w14:paraId="053840D1" w14:textId="77777777">
      <w:pPr>
        <w:pStyle w:val="FootnoteText"/>
        <w:rPr>
          <w:i/>
        </w:rPr>
      </w:pPr>
      <w:r w:rsidRPr="00B60AD9">
        <w:rPr>
          <w:rStyle w:val="FootnoteReference"/>
        </w:rPr>
        <w:footnoteRef/>
      </w:r>
      <w:r w:rsidRPr="00B60AD9">
        <w:t xml:space="preserve"> </w:t>
      </w:r>
      <w:r w:rsidRPr="00B60AD9">
        <w:rPr>
          <w:i/>
        </w:rPr>
        <w:t>Id.</w:t>
      </w:r>
    </w:p>
  </w:footnote>
  <w:footnote w:id="372">
    <w:p w:rsidR="00756CCD" w:rsidRPr="00B60AD9" w:rsidP="00756CCD" w14:paraId="5A1B33DE" w14:textId="77777777">
      <w:pPr>
        <w:pStyle w:val="FootnoteText"/>
      </w:pPr>
      <w:r w:rsidRPr="00B60AD9">
        <w:rPr>
          <w:rStyle w:val="FootnoteReference"/>
        </w:rPr>
        <w:footnoteRef/>
      </w:r>
      <w:r w:rsidRPr="00B60AD9">
        <w:rPr>
          <w:i/>
        </w:rPr>
        <w:t xml:space="preserve"> Id</w:t>
      </w:r>
      <w:r w:rsidRPr="00B60AD9">
        <w:t>.</w:t>
      </w:r>
    </w:p>
  </w:footnote>
  <w:footnote w:id="373">
    <w:p w:rsidR="00756CCD" w:rsidRPr="00B60AD9" w:rsidP="00756CCD" w14:paraId="60A1B05A" w14:textId="77777777">
      <w:pPr>
        <w:pStyle w:val="FootnoteText"/>
      </w:pPr>
      <w:r w:rsidRPr="00B60AD9">
        <w:rPr>
          <w:rStyle w:val="FootnoteReference"/>
        </w:rPr>
        <w:footnoteRef/>
      </w:r>
      <w:r w:rsidRPr="00B60AD9">
        <w:t xml:space="preserve"> </w:t>
      </w:r>
      <w:r w:rsidRPr="00B60AD9">
        <w:rPr>
          <w:i/>
        </w:rPr>
        <w:t>See</w:t>
      </w:r>
      <w:r w:rsidRPr="00B60AD9">
        <w:t xml:space="preserve"> 13 CFR § 121.201, NAICS Code 517919. </w:t>
      </w:r>
    </w:p>
  </w:footnote>
  <w:footnote w:id="374">
    <w:p w:rsidR="00756CCD" w:rsidRPr="00B60AD9" w:rsidP="00756CCD" w14:paraId="35F74B55" w14:textId="77777777">
      <w:pPr>
        <w:pStyle w:val="FootnoteText"/>
      </w:pPr>
      <w:r w:rsidRPr="00B60AD9">
        <w:rPr>
          <w:rStyle w:val="FootnoteReference"/>
        </w:rPr>
        <w:footnoteRef/>
      </w:r>
      <w:r w:rsidRPr="00B60AD9">
        <w:t xml:space="preserve"> </w:t>
      </w:r>
      <w:r w:rsidRPr="00B60AD9">
        <w:rPr>
          <w:i/>
          <w:color w:val="010101"/>
        </w:rPr>
        <w:t>See</w:t>
      </w:r>
      <w:r w:rsidRPr="00B60AD9">
        <w:t xml:space="preserve"> U.S. Cens</w:t>
      </w:r>
      <w:r w:rsidRPr="00B60AD9">
        <w:t xml:space="preserve">us Bureau, </w:t>
      </w:r>
      <w:r w:rsidRPr="00B60AD9">
        <w:rPr>
          <w:i/>
          <w:iCs/>
        </w:rPr>
        <w:t xml:space="preserve">2017 </w:t>
      </w:r>
      <w:r w:rsidRPr="00B60AD9">
        <w:rPr>
          <w:i/>
        </w:rPr>
        <w:t>Economic Census</w:t>
      </w:r>
      <w:r w:rsidRPr="00B60AD9">
        <w:rPr>
          <w:bCs/>
          <w:i/>
        </w:rPr>
        <w:t xml:space="preserve"> of the United States</w:t>
      </w:r>
      <w:r w:rsidRPr="00B60AD9">
        <w:t xml:space="preserve">, </w:t>
      </w:r>
      <w:r w:rsidRPr="00B60AD9">
        <w:rPr>
          <w:i/>
          <w:iCs/>
        </w:rPr>
        <w:t>Selected Sectors: Sales, Value of Shipments, or Revenue Size of Firms for the U.S.: 2017</w:t>
      </w:r>
      <w:r w:rsidRPr="00B60AD9">
        <w:t>,</w:t>
      </w:r>
      <w:r w:rsidRPr="00B60AD9">
        <w:rPr>
          <w:i/>
          <w:iCs/>
        </w:rPr>
        <w:t xml:space="preserve"> </w:t>
      </w:r>
      <w:r w:rsidRPr="00B60AD9">
        <w:t xml:space="preserve">Table ID: EC1700SIZEREVFIRM, NAICS Code 517919, </w:t>
      </w:r>
      <w:hyperlink r:id="rId45" w:history="1">
        <w:r w:rsidRPr="00B60AD9">
          <w:rPr>
            <w:rStyle w:val="Hyperlink"/>
          </w:rPr>
          <w:t>https://data.census.gov/cedsci/table?y=2017&amp;n=517919&amp;tid=ECNSIZE2017.EC1700SIZEREVFIRM&amp;hidePreview=false</w:t>
        </w:r>
      </w:hyperlink>
      <w:r w:rsidRPr="00B60AD9">
        <w:t xml:space="preserve">. </w:t>
      </w:r>
    </w:p>
  </w:footnote>
  <w:footnote w:id="375">
    <w:p w:rsidR="00756CCD" w:rsidRPr="00B60AD9" w:rsidP="00756CCD" w14:paraId="6B11BF2A" w14:textId="77777777">
      <w:pPr>
        <w:pStyle w:val="FootnoteText"/>
      </w:pPr>
      <w:r w:rsidRPr="00B60AD9">
        <w:rPr>
          <w:rStyle w:val="FootnoteReference"/>
        </w:rPr>
        <w:footnoteRef/>
      </w:r>
      <w:r w:rsidRPr="00B60AD9">
        <w:t xml:space="preserve"> </w:t>
      </w:r>
      <w:r w:rsidRPr="00B60AD9">
        <w:rPr>
          <w:i/>
        </w:rPr>
        <w:t xml:space="preserve">Id.  </w:t>
      </w:r>
      <w:r w:rsidRPr="00B60AD9">
        <w:t>The available U.S. Census Bureau data does not prov</w:t>
      </w:r>
      <w:r w:rsidRPr="00B60AD9">
        <w:t xml:space="preserve">ide a more precise estimate of the number of firms that meet the SBA size standard.  We also note that according to the U.S. Census Bureau glossary, the terms receipts and revenues are used interchangeably.  </w:t>
      </w:r>
      <w:r w:rsidRPr="00B60AD9">
        <w:rPr>
          <w:i/>
          <w:iCs/>
        </w:rPr>
        <w:t xml:space="preserve">See </w:t>
      </w:r>
      <w:r w:rsidRPr="00B60AD9">
        <w:t xml:space="preserve">U.S. Census Bureau, </w:t>
      </w:r>
      <w:r w:rsidRPr="00B60AD9">
        <w:rPr>
          <w:i/>
          <w:iCs/>
        </w:rPr>
        <w:t>Glossary</w:t>
      </w:r>
      <w:r w:rsidRPr="00B60AD9">
        <w:t xml:space="preserve">, </w:t>
      </w:r>
      <w:hyperlink r:id="rId46" w:anchor="term_ReceiptsRevenueServices" w:history="1">
        <w:r w:rsidRPr="00B60AD9">
          <w:rPr>
            <w:rStyle w:val="Hyperlink"/>
          </w:rPr>
          <w:t>https://www.census.gov/glossary/#term_ReceiptsRevenueServices</w:t>
        </w:r>
      </w:hyperlink>
      <w:r w:rsidRPr="00B60AD9">
        <w:t>.</w:t>
      </w:r>
    </w:p>
  </w:footnote>
  <w:footnote w:id="376">
    <w:p w:rsidR="00756CCD" w:rsidRPr="00B60AD9" w:rsidP="00756CCD" w14:paraId="1C87DB6F" w14:textId="77777777">
      <w:pPr>
        <w:pStyle w:val="FootnoteText"/>
      </w:pPr>
      <w:r w:rsidRPr="00B60AD9">
        <w:rPr>
          <w:rStyle w:val="FootnoteReference"/>
        </w:rPr>
        <w:footnoteRef/>
      </w:r>
      <w:r w:rsidRPr="00B60AD9">
        <w:t xml:space="preserve"> </w:t>
      </w:r>
      <w:r w:rsidRPr="00B60AD9">
        <w:rPr>
          <w:i/>
          <w:iCs/>
        </w:rPr>
        <w:t xml:space="preserve">See </w:t>
      </w:r>
      <w:r w:rsidRPr="00B60AD9">
        <w:rPr>
          <w:i/>
        </w:rPr>
        <w:t>Second Report and Order</w:t>
      </w:r>
      <w:r w:rsidRPr="00B60AD9">
        <w:t xml:space="preserve"> at</w:t>
      </w:r>
      <w:r w:rsidRPr="00B60AD9">
        <w:rPr>
          <w:i/>
          <w:iCs/>
        </w:rPr>
        <w:t xml:space="preserve"> </w:t>
      </w:r>
      <w:r w:rsidRPr="00B60AD9">
        <w:t>note 80.</w:t>
      </w:r>
    </w:p>
  </w:footnote>
  <w:footnote w:id="377">
    <w:p w:rsidR="00756CCD" w:rsidRPr="00B60AD9" w:rsidP="00756CCD" w14:paraId="22F9EB65" w14:textId="77777777">
      <w:pPr>
        <w:pStyle w:val="FootnoteText"/>
      </w:pPr>
      <w:r w:rsidRPr="00B60AD9">
        <w:rPr>
          <w:rStyle w:val="FootnoteReference"/>
        </w:rPr>
        <w:footnoteRef/>
      </w:r>
      <w:r w:rsidRPr="00B60AD9">
        <w:t xml:space="preserve"> 47 CFR § 63.18(i).</w:t>
      </w:r>
    </w:p>
  </w:footnote>
  <w:footnote w:id="378">
    <w:p w:rsidR="00756CCD" w:rsidRPr="00B60AD9" w:rsidP="00756CCD" w14:paraId="6D1E58D2" w14:textId="77777777">
      <w:pPr>
        <w:pStyle w:val="FootnoteText"/>
      </w:pPr>
      <w:r w:rsidRPr="00B60AD9">
        <w:rPr>
          <w:rStyle w:val="FootnoteReference"/>
        </w:rPr>
        <w:footnoteRef/>
      </w:r>
      <w:r w:rsidRPr="00B60AD9">
        <w:t xml:space="preserve"> 5 U.S.C. § 604</w:t>
      </w:r>
      <w:r w:rsidRPr="00B60AD9">
        <w:t>(a)(6).</w:t>
      </w:r>
    </w:p>
  </w:footnote>
  <w:footnote w:id="379">
    <w:p w:rsidR="00756CCD" w:rsidRPr="00B60AD9" w:rsidP="00756CCD" w14:paraId="2DD23D46" w14:textId="77777777">
      <w:pPr>
        <w:pStyle w:val="FootnoteText"/>
      </w:pPr>
      <w:r w:rsidRPr="00B60AD9">
        <w:rPr>
          <w:rStyle w:val="FootnoteReference"/>
        </w:rPr>
        <w:footnoteRef/>
      </w:r>
      <w:r w:rsidRPr="00B60AD9">
        <w:t xml:space="preserve"> </w:t>
      </w:r>
      <w:r w:rsidRPr="00B60AD9">
        <w:rPr>
          <w:i/>
          <w:iCs/>
        </w:rPr>
        <w:t>Id.</w:t>
      </w:r>
      <w:r w:rsidRPr="00B60AD9">
        <w:t xml:space="preserve"> § 801(a)(1)(A).</w:t>
      </w:r>
    </w:p>
  </w:footnote>
  <w:footnote w:id="380">
    <w:p w:rsidR="00756CCD" w:rsidRPr="00B60AD9" w:rsidP="00756CCD" w14:paraId="7585648B" w14:textId="77777777">
      <w:pPr>
        <w:pStyle w:val="FootnoteText"/>
      </w:pPr>
      <w:r w:rsidRPr="00B60AD9">
        <w:rPr>
          <w:rStyle w:val="FootnoteReference"/>
        </w:rPr>
        <w:footnoteRef/>
      </w:r>
      <w:r w:rsidRPr="00B60AD9">
        <w:t xml:space="preserve"> </w:t>
      </w:r>
      <w:r w:rsidRPr="00B60AD9">
        <w:rPr>
          <w:i/>
        </w:rPr>
        <w:t>See id</w:t>
      </w:r>
      <w:r w:rsidRPr="00B60AD9">
        <w:t>. § 604(b).</w:t>
      </w:r>
    </w:p>
  </w:footnote>
  <w:footnote w:id="381">
    <w:p w:rsidR="00756CCD" w:rsidRPr="00B60AD9" w:rsidP="00756CCD" w14:paraId="4F91DEAA" w14:textId="77777777">
      <w:pPr>
        <w:pStyle w:val="FootnoteText"/>
      </w:pPr>
      <w:r w:rsidRPr="00B60AD9">
        <w:rPr>
          <w:rStyle w:val="FootnoteReference"/>
        </w:rPr>
        <w:footnoteRef/>
      </w:r>
      <w:r w:rsidRPr="00B60AD9">
        <w:t xml:space="preserve"> </w:t>
      </w:r>
      <w:r w:rsidRPr="00B60AD9">
        <w:rPr>
          <w:i/>
        </w:rPr>
        <w:t>See</w:t>
      </w:r>
      <w:r w:rsidRPr="00B60AD9">
        <w:t xml:space="preserve"> 5 U.S.C. § 603.  The RFA, 5 U.S.C. §§ 601–612, has been amended by the Small Business Regulatory Enforcement Fairness Act of 1996 (SBREFA), Pub. L. No. 104-121, Title II, 110 Stat. 857 (1996).</w:t>
      </w:r>
    </w:p>
  </w:footnote>
  <w:footnote w:id="382">
    <w:p w:rsidR="00756CCD" w:rsidRPr="00B60AD9" w:rsidP="00756CCD" w14:paraId="2A17F03C" w14:textId="77777777">
      <w:pPr>
        <w:pStyle w:val="FootnoteText"/>
      </w:pPr>
      <w:r w:rsidRPr="00B60AD9">
        <w:rPr>
          <w:rStyle w:val="FootnoteReference"/>
        </w:rPr>
        <w:footnoteRef/>
      </w:r>
      <w:r w:rsidRPr="00B60AD9">
        <w:t xml:space="preserve"> </w:t>
      </w:r>
      <w:r w:rsidRPr="00B60AD9">
        <w:rPr>
          <w:i/>
        </w:rPr>
        <w:t xml:space="preserve">See </w:t>
      </w:r>
      <w:r w:rsidRPr="00B60AD9">
        <w:t>5</w:t>
      </w:r>
      <w:r w:rsidRPr="00B60AD9">
        <w:t xml:space="preserve"> U.S.C. § 603(a).</w:t>
      </w:r>
    </w:p>
  </w:footnote>
  <w:footnote w:id="383">
    <w:p w:rsidR="00756CCD" w:rsidRPr="00B60AD9" w:rsidP="00756CCD" w14:paraId="7367E46B" w14:textId="77777777">
      <w:pPr>
        <w:pStyle w:val="FootnoteText"/>
      </w:pPr>
      <w:r w:rsidRPr="00B60AD9">
        <w:rPr>
          <w:rStyle w:val="FootnoteReference"/>
        </w:rPr>
        <w:footnoteRef/>
      </w:r>
      <w:r w:rsidRPr="00B60AD9">
        <w:t xml:space="preserve"> </w:t>
      </w:r>
      <w:r w:rsidRPr="00B60AD9">
        <w:rPr>
          <w:i/>
        </w:rPr>
        <w:t>See id</w:t>
      </w:r>
      <w:r w:rsidRPr="00B60AD9">
        <w:t xml:space="preserve">. </w:t>
      </w:r>
    </w:p>
  </w:footnote>
  <w:footnote w:id="384">
    <w:p w:rsidR="00756CCD" w:rsidRPr="00B60AD9" w:rsidP="00756CCD" w14:paraId="216A488D" w14:textId="77777777">
      <w:pPr>
        <w:pStyle w:val="FootnoteText"/>
        <w:rPr>
          <w:b/>
        </w:rPr>
      </w:pPr>
      <w:r w:rsidRPr="00B60AD9">
        <w:rPr>
          <w:rStyle w:val="FootnoteReference"/>
        </w:rPr>
        <w:footnoteRef/>
      </w:r>
      <w:r w:rsidRPr="00B60AD9">
        <w:t xml:space="preserve"> </w:t>
      </w:r>
      <w:r w:rsidRPr="00B60AD9">
        <w:rPr>
          <w:i/>
        </w:rPr>
        <w:t xml:space="preserve">See </w:t>
      </w:r>
      <w:r w:rsidRPr="00B60AD9">
        <w:t>TRACED Act § 6(a)(1)-(2).</w:t>
      </w:r>
    </w:p>
  </w:footnote>
  <w:footnote w:id="385">
    <w:p w:rsidR="00756CCD" w:rsidRPr="00B60AD9" w:rsidP="00756CCD" w14:paraId="056E0E9C" w14:textId="77777777">
      <w:pPr>
        <w:pStyle w:val="FootnoteText"/>
      </w:pPr>
      <w:r w:rsidRPr="00B60AD9">
        <w:rPr>
          <w:rStyle w:val="FootnoteReference"/>
        </w:rPr>
        <w:footnoteRef/>
      </w:r>
      <w:r w:rsidRPr="00B60AD9">
        <w:t xml:space="preserve"> </w:t>
      </w:r>
      <w:r w:rsidRPr="00B60AD9">
        <w:rPr>
          <w:i/>
          <w:iCs/>
        </w:rPr>
        <w:t>See Numbering Policies for Modern Communications et al.</w:t>
      </w:r>
      <w:r w:rsidRPr="00B60AD9">
        <w:t>, WC Docket No. 13-97 et al., Report and Order, 30 FCC Rcd 6839 (2015) (</w:t>
      </w:r>
      <w:r w:rsidRPr="00B60AD9">
        <w:rPr>
          <w:i/>
          <w:iCs/>
        </w:rPr>
        <w:t>VoIP Direct Access Order</w:t>
      </w:r>
      <w:r w:rsidRPr="00B60AD9">
        <w:t xml:space="preserve">), </w:t>
      </w:r>
      <w:r w:rsidRPr="00B60AD9">
        <w:rPr>
          <w:i/>
          <w:iCs/>
        </w:rPr>
        <w:t>appeal dismissed</w:t>
      </w:r>
      <w:r w:rsidRPr="00B60AD9">
        <w:t xml:space="preserve">, </w:t>
      </w:r>
      <w:r w:rsidRPr="00B60AD9">
        <w:rPr>
          <w:i/>
          <w:iCs/>
        </w:rPr>
        <w:t>NARUC v. FCC</w:t>
      </w:r>
      <w:r w:rsidRPr="00B60AD9">
        <w:t>, 851 F.3</w:t>
      </w:r>
      <w:r w:rsidRPr="00B60AD9">
        <w:t xml:space="preserve">d 1324 (D.C. Cir. 2017).   </w:t>
      </w:r>
    </w:p>
  </w:footnote>
  <w:footnote w:id="386">
    <w:p w:rsidR="00756CCD" w:rsidRPr="00B60AD9" w:rsidP="00756CCD" w14:paraId="25058D68" w14:textId="77777777">
      <w:pPr>
        <w:spacing w:after="120"/>
        <w:rPr>
          <w:sz w:val="20"/>
        </w:rPr>
      </w:pPr>
      <w:r w:rsidRPr="00B60AD9">
        <w:rPr>
          <w:rStyle w:val="FootnoteReference"/>
        </w:rPr>
        <w:footnoteRef/>
      </w:r>
      <w:r w:rsidRPr="00B60AD9">
        <w:rPr>
          <w:sz w:val="20"/>
        </w:rPr>
        <w:t xml:space="preserve"> </w:t>
      </w:r>
      <w:r w:rsidRPr="00B60AD9">
        <w:rPr>
          <w:i/>
          <w:sz w:val="20"/>
        </w:rPr>
        <w:t>See</w:t>
      </w:r>
      <w:r w:rsidRPr="00B60AD9">
        <w:rPr>
          <w:sz w:val="20"/>
        </w:rPr>
        <w:t xml:space="preserve"> 5 U.S.C. § 603(b)(3).</w:t>
      </w:r>
    </w:p>
  </w:footnote>
  <w:footnote w:id="387">
    <w:p w:rsidR="00756CCD" w:rsidRPr="00B60AD9" w:rsidP="00756CCD" w14:paraId="610EA83E" w14:textId="77777777">
      <w:pPr>
        <w:spacing w:after="120"/>
        <w:rPr>
          <w:sz w:val="20"/>
        </w:rPr>
      </w:pPr>
      <w:r w:rsidRPr="00B60AD9">
        <w:rPr>
          <w:rStyle w:val="FootnoteReference"/>
        </w:rPr>
        <w:footnoteRef/>
      </w:r>
      <w:r w:rsidRPr="00B60AD9">
        <w:rPr>
          <w:sz w:val="20"/>
        </w:rPr>
        <w:t xml:space="preserve"> </w:t>
      </w:r>
      <w:r w:rsidRPr="00B60AD9">
        <w:rPr>
          <w:i/>
          <w:sz w:val="20"/>
        </w:rPr>
        <w:t>See</w:t>
      </w:r>
      <w:r w:rsidRPr="00B60AD9">
        <w:rPr>
          <w:sz w:val="20"/>
        </w:rPr>
        <w:t xml:space="preserve"> </w:t>
      </w:r>
      <w:r w:rsidRPr="00B60AD9">
        <w:rPr>
          <w:i/>
          <w:iCs/>
          <w:sz w:val="20"/>
        </w:rPr>
        <w:t>id</w:t>
      </w:r>
      <w:r w:rsidRPr="00B60AD9">
        <w:rPr>
          <w:sz w:val="20"/>
        </w:rPr>
        <w:t>. § 601(6).</w:t>
      </w:r>
    </w:p>
  </w:footnote>
  <w:footnote w:id="388">
    <w:p w:rsidR="00756CCD" w:rsidRPr="00B60AD9" w:rsidP="00756CCD" w14:paraId="0A594E15" w14:textId="77777777">
      <w:pPr>
        <w:spacing w:after="120"/>
        <w:rPr>
          <w:i/>
          <w:sz w:val="20"/>
        </w:rPr>
      </w:pPr>
      <w:r w:rsidRPr="00B60AD9">
        <w:rPr>
          <w:rStyle w:val="FootnoteReference"/>
        </w:rPr>
        <w:footnoteRef/>
      </w:r>
      <w:r w:rsidRPr="00B60AD9">
        <w:rPr>
          <w:sz w:val="20"/>
        </w:rPr>
        <w:t xml:space="preserve"> </w:t>
      </w:r>
      <w:r w:rsidRPr="00B60AD9">
        <w:rPr>
          <w:i/>
          <w:iCs/>
          <w:sz w:val="20"/>
        </w:rPr>
        <w:t>Id</w:t>
      </w:r>
      <w:r w:rsidRPr="00B60AD9">
        <w:rPr>
          <w:sz w:val="20"/>
        </w:rPr>
        <w:t xml:space="preserve">. § 601(3) (incorporating by reference the definition of “small-business concern” in the Small Business Act, 15 U.S.C. § 632).  Pursuant to 5 U.S.C. § 601(3), the </w:t>
      </w:r>
      <w:r w:rsidRPr="00B60AD9">
        <w:rPr>
          <w:sz w:val="20"/>
        </w:rPr>
        <w:t>statutory definition of a small business applies “unless an agency, after consultation with the Office of Advocacy of the Small Business Administration and after opportunity for public comment, establishes one or more definitions of such term which are app</w:t>
      </w:r>
      <w:r w:rsidRPr="00B60AD9">
        <w:rPr>
          <w:sz w:val="20"/>
        </w:rPr>
        <w:t>ropriate to the activities of the agency and publishes such definition(s) in the Federal Register.”</w:t>
      </w:r>
    </w:p>
  </w:footnote>
  <w:footnote w:id="389">
    <w:p w:rsidR="00756CCD" w:rsidRPr="00B60AD9" w:rsidP="00756CCD" w14:paraId="1F154343" w14:textId="77777777">
      <w:pPr>
        <w:spacing w:after="120"/>
        <w:rPr>
          <w:sz w:val="20"/>
        </w:rPr>
      </w:pPr>
      <w:r w:rsidRPr="00B60AD9">
        <w:rPr>
          <w:rStyle w:val="FootnoteReference"/>
        </w:rPr>
        <w:footnoteRef/>
      </w:r>
      <w:r w:rsidRPr="00B60AD9">
        <w:rPr>
          <w:sz w:val="20"/>
        </w:rPr>
        <w:t xml:space="preserve"> </w:t>
      </w:r>
      <w:r w:rsidRPr="00B60AD9">
        <w:rPr>
          <w:i/>
          <w:sz w:val="20"/>
        </w:rPr>
        <w:t>See</w:t>
      </w:r>
      <w:r w:rsidRPr="00B60AD9">
        <w:rPr>
          <w:sz w:val="20"/>
        </w:rPr>
        <w:t xml:space="preserve"> 15 U.S.C. § 632.</w:t>
      </w:r>
    </w:p>
  </w:footnote>
  <w:footnote w:id="390">
    <w:p w:rsidR="00756CCD" w:rsidRPr="00B60AD9" w:rsidP="00756CCD" w14:paraId="0DC22DB2"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5 U.S.C. § 601(3)-(6).</w:t>
      </w:r>
    </w:p>
  </w:footnote>
  <w:footnote w:id="391">
    <w:p w:rsidR="00756CCD" w:rsidRPr="00B60AD9" w:rsidP="00756CCD" w14:paraId="6D5FBCA9" w14:textId="77777777">
      <w:pPr>
        <w:pStyle w:val="FootnoteText"/>
      </w:pPr>
      <w:r w:rsidRPr="00B60AD9">
        <w:rPr>
          <w:rStyle w:val="FootnoteReference"/>
          <w:rFonts w:eastAsia="Calibri"/>
        </w:rPr>
        <w:footnoteRef/>
      </w:r>
      <w:r w:rsidRPr="00B60AD9">
        <w:t xml:space="preserve"> </w:t>
      </w:r>
      <w:r w:rsidRPr="00B60AD9">
        <w:rPr>
          <w:i/>
          <w:iCs/>
        </w:rPr>
        <w:t>See</w:t>
      </w:r>
      <w:r w:rsidRPr="00B60AD9">
        <w:t xml:space="preserve"> SBA, Office of Advocacy, </w:t>
      </w:r>
      <w:r w:rsidRPr="00B60AD9">
        <w:rPr>
          <w:i/>
          <w:iCs/>
        </w:rPr>
        <w:t>Frequently Asked Questions, “What is a small business?”</w:t>
      </w:r>
      <w:r w:rsidRPr="00B60AD9">
        <w:t xml:space="preserve"> (Mar. 2023), </w:t>
      </w:r>
      <w:hyperlink r:id="rId32" w:history="1">
        <w:r w:rsidRPr="00B60AD9">
          <w:rPr>
            <w:rStyle w:val="Hyperlink"/>
          </w:rPr>
          <w:t>https://advocacy.sba.gov/wp-content/uploads/2023/03/Frequently-Asked-Questions-About-Small-Business-March-2023-508c.pdf</w:t>
        </w:r>
      </w:hyperlink>
      <w:r w:rsidRPr="00B60AD9">
        <w:t>.</w:t>
      </w:r>
    </w:p>
  </w:footnote>
  <w:footnote w:id="392">
    <w:p w:rsidR="00756CCD" w:rsidRPr="00B60AD9" w:rsidP="00756CCD" w14:paraId="0CD585AD" w14:textId="77777777">
      <w:pPr>
        <w:pStyle w:val="FootnoteText"/>
      </w:pPr>
      <w:r w:rsidRPr="00B60AD9">
        <w:rPr>
          <w:rStyle w:val="FootnoteReference"/>
        </w:rPr>
        <w:footnoteRef/>
      </w:r>
      <w:r w:rsidRPr="00B60AD9">
        <w:t xml:space="preserve"> </w:t>
      </w:r>
      <w:r w:rsidRPr="00B60AD9">
        <w:rPr>
          <w:i/>
          <w:iCs/>
        </w:rPr>
        <w:t>Id</w:t>
      </w:r>
      <w:r w:rsidRPr="00B60AD9">
        <w:t xml:space="preserve">. </w:t>
      </w:r>
    </w:p>
  </w:footnote>
  <w:footnote w:id="393">
    <w:p w:rsidR="00756CCD" w:rsidRPr="00B60AD9" w:rsidP="00756CCD" w14:paraId="7675EF13"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w:t>
      </w:r>
      <w:r w:rsidRPr="00B60AD9">
        <w:rPr>
          <w:spacing w:val="-2"/>
        </w:rPr>
        <w:t>5 U.S.C.</w:t>
      </w:r>
      <w:r w:rsidRPr="00B60AD9">
        <w:t xml:space="preserve"> § 601(4).</w:t>
      </w:r>
    </w:p>
  </w:footnote>
  <w:footnote w:id="394">
    <w:p w:rsidR="00756CCD" w:rsidRPr="00B60AD9" w:rsidP="00756CCD" w14:paraId="256192B5" w14:textId="77777777">
      <w:pPr>
        <w:pStyle w:val="FootnoteText"/>
      </w:pPr>
      <w:r w:rsidRPr="00B60AD9">
        <w:rPr>
          <w:rStyle w:val="FootnoteReference"/>
        </w:rPr>
        <w:footnoteRef/>
      </w:r>
      <w:r w:rsidRPr="00B60AD9">
        <w:t xml:space="preserve"> The IRS benchmark is similar to the population of less than 50,000 benchmark in 5 U.S.C § 601(5) that is used to define a small governmental jurisdiction.  Therefore, the IRS benchmark has be</w:t>
      </w:r>
      <w:r w:rsidRPr="00B60AD9">
        <w:t xml:space="preserve">en used to estimate the number small organizations in this small entity description.  </w:t>
      </w:r>
      <w:r w:rsidRPr="00B60AD9">
        <w:rPr>
          <w:i/>
        </w:rPr>
        <w:t>See</w:t>
      </w:r>
      <w:r w:rsidRPr="00B60AD9">
        <w:t xml:space="preserve"> Annual Electronic Filing Requirement for Small Exempt Organizations — Form 990-N (e-Postcard),</w:t>
      </w:r>
      <w:r w:rsidRPr="00B60AD9">
        <w:rPr>
          <w:rtl/>
        </w:rPr>
        <w:t xml:space="preserve"> </w:t>
      </w:r>
      <w:hyperlink r:id="rId33" w:history="1">
        <w:r w:rsidRPr="00B60AD9">
          <w:rPr>
            <w:rStyle w:val="Hyperlink"/>
          </w:rPr>
          <w:t>https://www.irs.gov/charities-non-profits/annual-electronic-filing-requirement-for-small-exempt-organizations-form-990-n-e-postcard</w:t>
        </w:r>
      </w:hyperlink>
      <w:r w:rsidRPr="00B60AD9">
        <w:rPr>
          <w:rtl/>
        </w:rPr>
        <w:t xml:space="preserve"> .</w:t>
      </w:r>
      <w:r w:rsidRPr="00B60AD9">
        <w:t xml:space="preserve"> We note that the IRS data does not provide information on whether a small exempt organization is independently owned and operated or dominant in its field.</w:t>
      </w:r>
    </w:p>
  </w:footnote>
  <w:footnote w:id="395">
    <w:p w:rsidR="00756CCD" w:rsidRPr="00B60AD9" w:rsidP="00756CCD" w14:paraId="2B45E553"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Exempt Organizations Business Master File Extract (EO BMF), “CSV Files by Region,” </w:t>
      </w:r>
      <w:hyperlink r:id="rId34" w:history="1">
        <w:r w:rsidRPr="00B60AD9">
          <w:rPr>
            <w:rStyle w:val="Hyperlink"/>
          </w:rPr>
          <w:t>https://www.irs.gov/charities-non-profits/exempt-organizations-business-master-file-extract-eo-bmf</w:t>
        </w:r>
      </w:hyperlink>
      <w:r w:rsidRPr="00B60AD9">
        <w:t>.  The IRS Exempt O</w:t>
      </w:r>
      <w:r w:rsidRPr="00B60AD9">
        <w:t>rganization Business Master File (EO BMF) Extract provides information on all registered tax-exempt/non-profit organizations.  The data utilized for purposes of this description was extracted from the IRS EO BMF data for businesses for the tax year 2020 wi</w:t>
      </w:r>
      <w:r w:rsidRPr="00B60AD9">
        <w:t>th revenue less than or equal to $50,000, for Region 1-Northeast Area (58,577), Region 2-Mid-Atlantic and Great Lakes Areas (175,272), and Region 3-Gulf Coast and Pacific Coast Areas (213,840) that includes the continental U.S., Alaska, and Hawaii.  This d</w:t>
      </w:r>
      <w:r w:rsidRPr="00B60AD9">
        <w:t xml:space="preserve">ata does not include information for Puerto Rico.  </w:t>
      </w:r>
    </w:p>
  </w:footnote>
  <w:footnote w:id="396">
    <w:p w:rsidR="00756CCD" w:rsidRPr="00B60AD9" w:rsidP="00756CCD" w14:paraId="337B6424" w14:textId="77777777">
      <w:pPr>
        <w:pStyle w:val="FootnoteText"/>
      </w:pPr>
      <w:r w:rsidRPr="00B60AD9">
        <w:rPr>
          <w:rStyle w:val="FootnoteReference"/>
          <w:rFonts w:eastAsia="Calibri"/>
          <w:spacing w:val="-2"/>
        </w:rPr>
        <w:footnoteRef/>
      </w:r>
      <w:r w:rsidRPr="00B60AD9">
        <w:t xml:space="preserve"> </w:t>
      </w:r>
      <w:r w:rsidRPr="00B60AD9">
        <w:rPr>
          <w:i/>
        </w:rPr>
        <w:t>See</w:t>
      </w:r>
      <w:r w:rsidRPr="00B60AD9">
        <w:t xml:space="preserve"> 5 U.S.C. § 601(5).</w:t>
      </w:r>
    </w:p>
  </w:footnote>
  <w:footnote w:id="397">
    <w:p w:rsidR="00756CCD" w:rsidRPr="00B60AD9" w:rsidP="00756CCD" w14:paraId="1FBD7B64"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13 U.S.C. § 161.  The Census of Governments survey is conducted every five (5) years compiling data for years ending with “2” and “7.”  </w:t>
      </w:r>
      <w:r w:rsidRPr="00B60AD9">
        <w:rPr>
          <w:i/>
        </w:rPr>
        <w:t xml:space="preserve">See also </w:t>
      </w:r>
      <w:r w:rsidRPr="00B60AD9">
        <w:rPr>
          <w:iCs/>
        </w:rPr>
        <w:t xml:space="preserve">U.S. Census Bureau, </w:t>
      </w:r>
      <w:r w:rsidRPr="00B60AD9">
        <w:rPr>
          <w:i/>
        </w:rPr>
        <w:t>About Ce</w:t>
      </w:r>
      <w:r w:rsidRPr="00B60AD9">
        <w:rPr>
          <w:i/>
        </w:rPr>
        <w:t>nsus of Governments</w:t>
      </w:r>
      <w:r w:rsidRPr="00B60AD9">
        <w:t xml:space="preserve">, </w:t>
      </w:r>
      <w:hyperlink r:id="rId35" w:history="1">
        <w:r w:rsidRPr="00B60AD9">
          <w:rPr>
            <w:rStyle w:val="Hyperlink"/>
          </w:rPr>
          <w:t>https://www.census.gov/programs-surveys/cog/about.html</w:t>
        </w:r>
      </w:hyperlink>
      <w:r w:rsidRPr="00B60AD9">
        <w:t xml:space="preserve"> (last updated Nov. 18, 2021). </w:t>
      </w:r>
    </w:p>
  </w:footnote>
  <w:footnote w:id="398">
    <w:p w:rsidR="00756CCD" w:rsidRPr="00B60AD9" w:rsidP="00756CCD" w14:paraId="43337BA7" w14:textId="77777777">
      <w:pPr>
        <w:pStyle w:val="FootnoteText"/>
      </w:pPr>
      <w:r w:rsidRPr="00B60AD9">
        <w:rPr>
          <w:rStyle w:val="FootnoteReference"/>
          <w:rFonts w:eastAsia="Calibri"/>
          <w:spacing w:val="-2"/>
        </w:rPr>
        <w:footnoteRef/>
      </w:r>
      <w:r w:rsidRPr="00B60AD9">
        <w:t xml:space="preserve"> </w:t>
      </w:r>
      <w:r w:rsidRPr="00B60AD9">
        <w:rPr>
          <w:i/>
        </w:rPr>
        <w:t>See</w:t>
      </w:r>
      <w:r w:rsidRPr="00B60AD9">
        <w:t xml:space="preserve"> U.S. Census Bureau, 2017 Census of Governments – Organization Table 2. Local Governments by Type and State: 2017 </w:t>
      </w:r>
      <w:r w:rsidRPr="00B60AD9">
        <w:rPr>
          <w:bCs/>
        </w:rPr>
        <w:t>[CG1700ORG02]</w:t>
      </w:r>
      <w:r w:rsidRPr="00B60AD9">
        <w:t xml:space="preserve">, </w:t>
      </w:r>
      <w:hyperlink r:id="rId36" w:history="1">
        <w:r w:rsidRPr="00B60AD9">
          <w:rPr>
            <w:rStyle w:val="Hyperlink"/>
          </w:rPr>
          <w:t>https://www.census.gov/data/tables/2017/ec</w:t>
        </w:r>
        <w:r w:rsidRPr="00B60AD9">
          <w:rPr>
            <w:rStyle w:val="Hyperlink"/>
          </w:rPr>
          <w:t>on/gus/2017-governments.html</w:t>
        </w:r>
      </w:hyperlink>
      <w:r w:rsidRPr="00B60AD9">
        <w:t>.  Local governmental jurisdictions are made up of general purpose governments (county, municipal and town or township) and special purpose governments (special districts and independent school</w:t>
      </w:r>
      <w:r w:rsidRPr="00B60AD9">
        <w:t xml:space="preserve"> districts).  </w:t>
      </w:r>
      <w:r w:rsidRPr="00B60AD9">
        <w:rPr>
          <w:i/>
        </w:rPr>
        <w:t xml:space="preserve">See also </w:t>
      </w:r>
      <w:r w:rsidRPr="00B60AD9">
        <w:t>tbl.2.</w:t>
      </w:r>
      <w:r w:rsidRPr="00B60AD9">
        <w:rPr>
          <w:i/>
        </w:rPr>
        <w:t xml:space="preserve"> </w:t>
      </w:r>
      <w:r w:rsidRPr="00B60AD9">
        <w:t>CG1700ORG02 Table Notes_Local Governments by Type and State_2017.</w:t>
      </w:r>
      <w:r w:rsidRPr="00B60AD9">
        <w:rPr>
          <w:i/>
        </w:rPr>
        <w:t xml:space="preserve"> </w:t>
      </w:r>
    </w:p>
  </w:footnote>
  <w:footnote w:id="399">
    <w:p w:rsidR="00756CCD" w:rsidRPr="00B60AD9" w:rsidP="00756CCD" w14:paraId="291B84B8" w14:textId="77777777">
      <w:pPr>
        <w:pStyle w:val="FootnoteText"/>
      </w:pPr>
      <w:r w:rsidRPr="00B60AD9">
        <w:rPr>
          <w:rStyle w:val="FootnoteReference"/>
          <w:rFonts w:eastAsia="Calibri"/>
        </w:rPr>
        <w:footnoteRef/>
      </w:r>
      <w:r w:rsidRPr="00B60AD9">
        <w:t xml:space="preserve"> </w:t>
      </w:r>
      <w:r w:rsidRPr="00B60AD9">
        <w:rPr>
          <w:i/>
        </w:rPr>
        <w:t>See id.</w:t>
      </w:r>
      <w:r w:rsidRPr="00B60AD9">
        <w:t xml:space="preserve"> at tbl.5.  County Governments by Population-Size Group and State: 2017</w:t>
      </w:r>
      <w:r w:rsidRPr="00B60AD9">
        <w:rPr>
          <w:bCs/>
        </w:rPr>
        <w:t xml:space="preserve"> [CG1700ORG05]</w:t>
      </w:r>
      <w:r w:rsidRPr="00B60AD9">
        <w:t xml:space="preserve">,  </w:t>
      </w:r>
      <w:hyperlink r:id="rId36" w:history="1">
        <w:r w:rsidRPr="00B60AD9">
          <w:rPr>
            <w:rStyle w:val="Hyperlink"/>
          </w:rPr>
          <w:t>https://www.census.gov/data/tables/2017/econ/gus/2017-governments.html</w:t>
        </w:r>
      </w:hyperlink>
      <w:r w:rsidRPr="00B60AD9">
        <w:rPr>
          <w:bCs/>
          <w:color w:val="4E4B47"/>
        </w:rPr>
        <w:t>.</w:t>
      </w:r>
      <w:r w:rsidRPr="00B60AD9">
        <w:t xml:space="preserve">  There were 2,105 county governments with populations less than 50,000.  This category does not include subcounty (municipal and township) governments.  </w:t>
      </w:r>
    </w:p>
  </w:footnote>
  <w:footnote w:id="400">
    <w:p w:rsidR="00756CCD" w:rsidRPr="00B60AD9" w:rsidP="00756CCD" w14:paraId="1FBF5286" w14:textId="77777777">
      <w:pPr>
        <w:pStyle w:val="FootnoteText"/>
      </w:pPr>
      <w:r w:rsidRPr="00B60AD9">
        <w:rPr>
          <w:rStyle w:val="FootnoteReference"/>
          <w:rFonts w:eastAsia="Calibri"/>
        </w:rPr>
        <w:footnoteRef/>
      </w:r>
      <w:r w:rsidRPr="00B60AD9">
        <w:t xml:space="preserve"> </w:t>
      </w:r>
      <w:r w:rsidRPr="00B60AD9">
        <w:rPr>
          <w:i/>
        </w:rPr>
        <w:t>See</w:t>
      </w:r>
      <w:r w:rsidRPr="00B60AD9">
        <w:t xml:space="preserve"> </w:t>
      </w:r>
      <w:r w:rsidRPr="00B60AD9">
        <w:rPr>
          <w:i/>
        </w:rPr>
        <w:t>id. at</w:t>
      </w:r>
      <w:r w:rsidRPr="00B60AD9">
        <w:t xml:space="preserve"> tbl.6.  </w:t>
      </w:r>
      <w:r w:rsidRPr="00B60AD9">
        <w:rPr>
          <w:bCs/>
        </w:rPr>
        <w:t>Subcounty General-Purpose Governments by Population-Size Group and State: 2017 [</w:t>
      </w:r>
      <w:r w:rsidRPr="00B60AD9">
        <w:rPr>
          <w:bCs/>
        </w:rPr>
        <w:t xml:space="preserve">CG1700ORG06], </w:t>
      </w:r>
      <w:hyperlink r:id="rId36" w:history="1">
        <w:r w:rsidRPr="00B60AD9">
          <w:rPr>
            <w:rStyle w:val="Hyperlink"/>
            <w:bCs/>
          </w:rPr>
          <w:t>https://www.census.gov/data/tables/2017/econ/gus/2017-governments.html</w:t>
        </w:r>
      </w:hyperlink>
      <w:r w:rsidRPr="00B60AD9">
        <w:rPr>
          <w:bCs/>
        </w:rPr>
        <w:t xml:space="preserve">.  </w:t>
      </w:r>
      <w:r w:rsidRPr="00B60AD9">
        <w:t xml:space="preserve">There were 18,729 municipal and 16,097 town and </w:t>
      </w:r>
      <w:r w:rsidRPr="00B60AD9">
        <w:t xml:space="preserve">township governments with populations less than 50,000. </w:t>
      </w:r>
    </w:p>
  </w:footnote>
  <w:footnote w:id="401">
    <w:p w:rsidR="00756CCD" w:rsidRPr="00B60AD9" w:rsidP="00756CCD" w14:paraId="09CDA3B1" w14:textId="77777777">
      <w:pPr>
        <w:pStyle w:val="FootnoteText"/>
      </w:pPr>
      <w:r w:rsidRPr="00B60AD9">
        <w:rPr>
          <w:rStyle w:val="FootnoteReference"/>
        </w:rPr>
        <w:footnoteRef/>
      </w:r>
      <w:r w:rsidRPr="00B60AD9">
        <w:t xml:space="preserve"> </w:t>
      </w:r>
      <w:r w:rsidRPr="00B60AD9">
        <w:rPr>
          <w:i/>
        </w:rPr>
        <w:t>See</w:t>
      </w:r>
      <w:r w:rsidRPr="00B60AD9">
        <w:t xml:space="preserve"> </w:t>
      </w:r>
      <w:r w:rsidRPr="00B60AD9">
        <w:rPr>
          <w:i/>
          <w:iCs/>
        </w:rPr>
        <w:t>id.</w:t>
      </w:r>
      <w:r w:rsidRPr="00B60AD9">
        <w:t xml:space="preserve"> at tbl.10.  Elementary and Secondary School Systems by Enrollment-Size Group and State: 2017 [CG1700ORG10], </w:t>
      </w:r>
      <w:hyperlink r:id="rId36" w:history="1">
        <w:r w:rsidRPr="00B60AD9">
          <w:rPr>
            <w:rStyle w:val="Hyperlink"/>
          </w:rPr>
          <w:t>https://www.census.gov/data/tables/2017/econ/gus/2017-governments.html</w:t>
        </w:r>
      </w:hyperlink>
      <w:r w:rsidRPr="00B60AD9">
        <w:t xml:space="preserve">.  There were 12,040 independent school districts with enrollment populations less than 50,000.  </w:t>
      </w:r>
      <w:r w:rsidRPr="00B60AD9">
        <w:rPr>
          <w:i/>
        </w:rPr>
        <w:t xml:space="preserve">See also </w:t>
      </w:r>
      <w:r w:rsidRPr="00B60AD9">
        <w:t>tbl.4.  Special-Purpose Local Governments</w:t>
      </w:r>
      <w:r w:rsidRPr="00B60AD9">
        <w:t xml:space="preserve"> by State Census Years 1942 to 2017 [CG1700ORG04], CG1700ORG04 Table Notes_Special Purpose Local Governments by State_Census Years 1942 to 2017.</w:t>
      </w:r>
    </w:p>
  </w:footnote>
  <w:footnote w:id="402">
    <w:p w:rsidR="00756CCD" w:rsidRPr="00B60AD9" w:rsidP="00756CCD" w14:paraId="310D7BF1" w14:textId="77777777">
      <w:pPr>
        <w:pStyle w:val="FootnoteText"/>
      </w:pPr>
      <w:r w:rsidRPr="00B60AD9">
        <w:rPr>
          <w:rStyle w:val="FootnoteReference"/>
        </w:rPr>
        <w:footnoteRef/>
      </w:r>
      <w:r w:rsidRPr="00B60AD9">
        <w:t xml:space="preserve"> While the special purpose governments category also includes local special district governments, the 2017 Cen</w:t>
      </w:r>
      <w:r w:rsidRPr="00B60AD9">
        <w:t>sus of Governments data does not provide data aggregated based on population size for the special purpose governments category.  Therefore, only data from independent school districts is included in the special purpose governments category.</w:t>
      </w:r>
    </w:p>
  </w:footnote>
  <w:footnote w:id="403">
    <w:p w:rsidR="00756CCD" w:rsidRPr="00B60AD9" w:rsidP="00756CCD" w14:paraId="6D58A0B1" w14:textId="77777777">
      <w:pPr>
        <w:pStyle w:val="FootnoteText"/>
      </w:pPr>
      <w:r w:rsidRPr="00B60AD9">
        <w:rPr>
          <w:rStyle w:val="FootnoteReference"/>
          <w:rFonts w:eastAsia="Calibri"/>
        </w:rPr>
        <w:footnoteRef/>
      </w:r>
      <w:r w:rsidRPr="00B60AD9">
        <w:rPr>
          <w:i/>
        </w:rPr>
        <w:t xml:space="preserve"> </w:t>
      </w:r>
      <w:r w:rsidRPr="00B60AD9">
        <w:t>This total is</w:t>
      </w:r>
      <w:r w:rsidRPr="00B60AD9">
        <w:t xml:space="preserve"> derived from the sum of the number of general purpose governments (county, municipal and town or township) with populations of less than 50,000 (36,931) and the number of special purpose governments - independent school districts with enrollment populatio</w:t>
      </w:r>
      <w:r w:rsidRPr="00B60AD9">
        <w:t>ns of less than 50,000 (12,040), from the 2017 Census of Governments - Organizations tbls.5, 6 &amp; 10.</w:t>
      </w:r>
    </w:p>
  </w:footnote>
  <w:footnote w:id="404">
    <w:p w:rsidR="00756CCD" w:rsidRPr="00B60AD9" w:rsidP="00756CCD" w14:paraId="7C19A5D3" w14:textId="77777777">
      <w:pPr>
        <w:pStyle w:val="FootnoteText"/>
      </w:pPr>
      <w:r w:rsidRPr="00B60AD9">
        <w:rPr>
          <w:rStyle w:val="FootnoteReference"/>
        </w:rPr>
        <w:footnoteRef/>
      </w:r>
      <w:r w:rsidRPr="00B60AD9">
        <w:rPr>
          <w:i/>
        </w:rPr>
        <w:t xml:space="preserve"> See </w:t>
      </w:r>
      <w:r w:rsidRPr="00B60AD9">
        <w:t xml:space="preserve">U.S. Census Bureau, </w:t>
      </w:r>
      <w:r w:rsidRPr="00B60AD9">
        <w:rPr>
          <w:i/>
        </w:rPr>
        <w:t>2017 NAICS Definition, “517311 Wired Telecommunications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t xml:space="preserve">. </w:t>
      </w:r>
    </w:p>
  </w:footnote>
  <w:footnote w:id="405">
    <w:p w:rsidR="00756CCD" w:rsidRPr="00B60AD9" w:rsidP="00756CCD" w14:paraId="7EFB95D8" w14:textId="77777777">
      <w:pPr>
        <w:pStyle w:val="FootnoteText"/>
        <w:rPr>
          <w:i/>
          <w:iCs/>
        </w:rPr>
      </w:pPr>
      <w:r w:rsidRPr="00B60AD9">
        <w:rPr>
          <w:rStyle w:val="FootnoteReference"/>
        </w:rPr>
        <w:footnoteRef/>
      </w:r>
      <w:r w:rsidRPr="00B60AD9">
        <w:t xml:space="preserve"> </w:t>
      </w:r>
      <w:r w:rsidRPr="00B60AD9">
        <w:rPr>
          <w:i/>
          <w:iCs/>
        </w:rPr>
        <w:t>Id.</w:t>
      </w:r>
    </w:p>
  </w:footnote>
  <w:footnote w:id="406">
    <w:p w:rsidR="00756CCD" w:rsidRPr="00B60AD9" w:rsidP="00756CCD" w14:paraId="14B08BF6" w14:textId="77777777">
      <w:pPr>
        <w:pStyle w:val="FootnoteText"/>
      </w:pPr>
      <w:r w:rsidRPr="00B60AD9">
        <w:rPr>
          <w:rStyle w:val="FootnoteReference"/>
        </w:rPr>
        <w:footnoteRef/>
      </w:r>
      <w:r w:rsidRPr="00B60AD9">
        <w:t xml:space="preserve"> </w:t>
      </w:r>
      <w:r w:rsidRPr="00B60AD9">
        <w:rPr>
          <w:i/>
          <w:iCs/>
        </w:rPr>
        <w:t>Id.</w:t>
      </w:r>
    </w:p>
  </w:footnote>
  <w:footnote w:id="407">
    <w:p w:rsidR="00756CCD" w:rsidRPr="00B60AD9" w:rsidP="00756CCD" w14:paraId="53F62605" w14:textId="77777777">
      <w:pPr>
        <w:pStyle w:val="FootnoteText"/>
      </w:pPr>
      <w:r w:rsidRPr="00B60AD9">
        <w:rPr>
          <w:rStyle w:val="FootnoteReference"/>
        </w:rPr>
        <w:footnoteRef/>
      </w:r>
      <w:r w:rsidRPr="00B60AD9">
        <w:t xml:space="preserve"> Fixed Local Service Providers include the following types of providers: Incumbent Local Exchange Carriers (ILECs), Competitive Access Providers (CAPs) and Competitive Local Exchange Carriers (CLECs), Cable/Coax CLECs, Interconnected VoIP Providers, Non-In</w:t>
      </w:r>
      <w:r w:rsidRPr="00B60AD9">
        <w:t xml:space="preserve">terconnected VoIP Providers, Shared-Tenant Service Providers, Audio Bridge Service Providers, and Other Local Service Providers.  Local Resellers fall into another U.S. Census Bureau industry group and therefore data for these providers is not included in </w:t>
      </w:r>
      <w:r w:rsidRPr="00B60AD9">
        <w:t xml:space="preserve">this industry.  </w:t>
      </w:r>
    </w:p>
  </w:footnote>
  <w:footnote w:id="408">
    <w:p w:rsidR="00756CCD" w:rsidRPr="00B60AD9" w:rsidP="00756CCD" w14:paraId="251D7CDD" w14:textId="77777777">
      <w:pPr>
        <w:pStyle w:val="FootnoteText"/>
      </w:pPr>
      <w:r w:rsidRPr="00B60AD9">
        <w:rPr>
          <w:rStyle w:val="FootnoteReference"/>
        </w:rPr>
        <w:footnoteRef/>
      </w:r>
      <w:r w:rsidRPr="00B60AD9">
        <w:rPr>
          <w:i/>
          <w:snapToGrid w:val="0"/>
        </w:rPr>
        <w:t xml:space="preserve"> See</w:t>
      </w:r>
      <w:r w:rsidRPr="00B60AD9">
        <w:rPr>
          <w:snapToGrid w:val="0"/>
        </w:rPr>
        <w:t xml:space="preserve"> 13 CFR </w:t>
      </w:r>
      <w:r w:rsidRPr="00B60AD9">
        <w:rPr>
          <w:rStyle w:val="Footnote"/>
          <w:snapToGrid w:val="0"/>
        </w:rPr>
        <w:t>§</w:t>
      </w:r>
      <w:r w:rsidRPr="00B60AD9">
        <w:rPr>
          <w:snapToGrid w:val="0"/>
        </w:rPr>
        <w:t xml:space="preserve"> 121.201, NAICS Code 517311.</w:t>
      </w:r>
    </w:p>
  </w:footnote>
  <w:footnote w:id="409">
    <w:p w:rsidR="00756CCD" w:rsidRPr="00B60AD9" w:rsidP="00756CCD" w14:paraId="774BE51A"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410">
    <w:p w:rsidR="00756CCD" w:rsidRPr="00B60AD9" w:rsidP="00756CCD" w14:paraId="35A106D7" w14:textId="77777777">
      <w:pPr>
        <w:pStyle w:val="FootnoteText"/>
      </w:pPr>
      <w:r w:rsidRPr="00B60AD9">
        <w:rPr>
          <w:rStyle w:val="FootnoteReference"/>
        </w:rPr>
        <w:footnoteRef/>
      </w:r>
      <w:r w:rsidRPr="00B60AD9">
        <w:t xml:space="preserve"> </w:t>
      </w:r>
      <w:r w:rsidRPr="00B60AD9">
        <w:rPr>
          <w:i/>
        </w:rPr>
        <w:t xml:space="preserve">Id.  </w:t>
      </w:r>
      <w:r w:rsidRPr="00B60AD9">
        <w:rPr>
          <w:iCs/>
        </w:rPr>
        <w:t>The</w:t>
      </w:r>
      <w:r w:rsidRPr="00B60AD9">
        <w:rPr>
          <w:iCs/>
        </w:rPr>
        <w:t xml:space="preserve"> available U.S. Census Bureau data does not provide a more precise estimate of the number of firms that meet the SBA size standard.</w:t>
      </w:r>
    </w:p>
  </w:footnote>
  <w:footnote w:id="411">
    <w:p w:rsidR="00756CCD" w:rsidRPr="00B60AD9" w:rsidP="00756CCD" w14:paraId="7D902B43"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rPr>
          <w:t>https://docs.fcc.gov/public/attachments/DOC-391070A1.pdf</w:t>
        </w:r>
      </w:hyperlink>
      <w:r w:rsidRPr="00B60AD9">
        <w:t xml:space="preserve">. </w:t>
      </w:r>
    </w:p>
  </w:footnote>
  <w:footnote w:id="412">
    <w:p w:rsidR="00756CCD" w:rsidRPr="00B60AD9" w:rsidP="00756CCD" w14:paraId="1ED89C48" w14:textId="77777777">
      <w:pPr>
        <w:pStyle w:val="FootnoteText"/>
        <w:rPr>
          <w:i/>
          <w:iCs/>
        </w:rPr>
      </w:pPr>
      <w:r w:rsidRPr="00B60AD9">
        <w:rPr>
          <w:rStyle w:val="FootnoteReference"/>
        </w:rPr>
        <w:footnoteRef/>
      </w:r>
      <w:r w:rsidRPr="00B60AD9">
        <w:t xml:space="preserve"> </w:t>
      </w:r>
      <w:r w:rsidRPr="00B60AD9">
        <w:rPr>
          <w:i/>
          <w:iCs/>
        </w:rPr>
        <w:t>Id.</w:t>
      </w:r>
    </w:p>
  </w:footnote>
  <w:footnote w:id="413">
    <w:p w:rsidR="00756CCD" w:rsidRPr="00B60AD9" w:rsidP="00756CCD" w14:paraId="76F04235"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rPr>
          <w:rStyle w:val="Hyperlink"/>
        </w:rPr>
        <w:t>.</w:t>
      </w:r>
    </w:p>
  </w:footnote>
  <w:footnote w:id="414">
    <w:p w:rsidR="00756CCD" w:rsidRPr="00B60AD9" w:rsidP="00756CCD" w14:paraId="7A28D31A"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415">
    <w:p w:rsidR="00756CCD" w:rsidRPr="00B60AD9" w:rsidP="00756CCD" w14:paraId="0B37835C" w14:textId="77777777">
      <w:pPr>
        <w:pStyle w:val="FootnoteText"/>
      </w:pPr>
      <w:r w:rsidRPr="00B60AD9">
        <w:rPr>
          <w:rStyle w:val="FootnoteReference"/>
        </w:rPr>
        <w:footnoteRef/>
      </w:r>
      <w:r w:rsidRPr="00B60AD9">
        <w:t xml:space="preserve"> Fixed Local Exchange Servi</w:t>
      </w:r>
      <w:r w:rsidRPr="00B60AD9">
        <w:t xml:space="preserve">ce Providers include the following types of providers: Incumbent Local Exchange Carriers (ILECs), Competitive Access Providers (CAPs) and Competitive Local Exchange Carriers (CLECs), Cable/Coax CLECs, Interconnected VoIP Providers, Non-Interconnected VoIP </w:t>
      </w:r>
      <w:r w:rsidRPr="00B60AD9">
        <w:t>Providers, Shared-Tenant Service Providers, Audio Bridge Service Providers, Local Resellers, and Other Local Service Providers.</w:t>
      </w:r>
    </w:p>
  </w:footnote>
  <w:footnote w:id="416">
    <w:p w:rsidR="00756CCD" w:rsidRPr="00B60AD9" w:rsidP="00756CCD" w14:paraId="6BB71E16" w14:textId="77777777">
      <w:pPr>
        <w:pStyle w:val="FootnoteText"/>
      </w:pPr>
      <w:r w:rsidRPr="00B60AD9">
        <w:rPr>
          <w:rStyle w:val="FootnoteReference"/>
        </w:rPr>
        <w:footnoteRef/>
      </w:r>
      <w:r w:rsidRPr="00B60AD9">
        <w:rPr>
          <w:i/>
          <w:snapToGrid w:val="0"/>
        </w:rPr>
        <w:t xml:space="preserve"> Id.</w:t>
      </w:r>
    </w:p>
  </w:footnote>
  <w:footnote w:id="417">
    <w:p w:rsidR="00756CCD" w:rsidRPr="00B60AD9" w:rsidP="00756CCD" w14:paraId="6B0A1EA3"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the U.</w:t>
      </w:r>
      <w:r w:rsidRPr="00B60AD9">
        <w:rPr>
          <w:i/>
          <w:iCs/>
        </w:rPr>
        <w:t>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w:t>
        </w:r>
        <w:r w:rsidRPr="00B60AD9">
          <w:rPr>
            <w:rStyle w:val="Hyperlink"/>
          </w:rPr>
          <w:t>EMPFIRM&amp;hidePreview=false</w:t>
        </w:r>
      </w:hyperlink>
      <w:r w:rsidRPr="00B60AD9">
        <w:t xml:space="preserve">. </w:t>
      </w:r>
    </w:p>
  </w:footnote>
  <w:footnote w:id="418">
    <w:p w:rsidR="00756CCD" w:rsidRPr="00B60AD9" w:rsidP="00756CCD" w14:paraId="7E463BBD"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419">
    <w:p w:rsidR="00756CCD" w:rsidRPr="00B60AD9" w:rsidP="00756CCD" w14:paraId="676EAA7C" w14:textId="77777777">
      <w:pPr>
        <w:pStyle w:val="FootnoteText"/>
        <w:rPr>
          <w:iCs/>
        </w:rPr>
      </w:pPr>
      <w:r w:rsidRPr="00B60AD9">
        <w:rPr>
          <w:rStyle w:val="FootnoteReference"/>
        </w:rPr>
        <w:footnoteRef/>
      </w:r>
      <w:r w:rsidRPr="00B60AD9">
        <w:rPr>
          <w:i/>
        </w:rPr>
        <w:t xml:space="preserve"> </w:t>
      </w:r>
      <w:r w:rsidRPr="00B60AD9">
        <w:rPr>
          <w:iCs/>
        </w:rPr>
        <w:t>Fed.-State Joint Bd. on Universal Serv., Univers</w:t>
      </w:r>
      <w:r w:rsidRPr="00B60AD9">
        <w:rPr>
          <w:iCs/>
        </w:rPr>
        <w:t xml:space="preserve">al Service Monitoring Report at 26, Table 1.12 (2022), </w:t>
      </w:r>
      <w:hyperlink r:id="rId39" w:history="1">
        <w:r w:rsidRPr="00B60AD9">
          <w:rPr>
            <w:rStyle w:val="Hyperlink"/>
            <w:iCs/>
          </w:rPr>
          <w:t>https://docs.fcc.gov/public/attachments/DOC-391070A1.pdf</w:t>
        </w:r>
      </w:hyperlink>
      <w:r w:rsidRPr="00B60AD9">
        <w:rPr>
          <w:iCs/>
        </w:rPr>
        <w:t xml:space="preserve">. </w:t>
      </w:r>
    </w:p>
  </w:footnote>
  <w:footnote w:id="420">
    <w:p w:rsidR="00756CCD" w:rsidRPr="00B60AD9" w:rsidP="00756CCD" w14:paraId="1B8F3562" w14:textId="77777777">
      <w:pPr>
        <w:pStyle w:val="FootnoteText"/>
        <w:rPr>
          <w:i/>
          <w:iCs/>
        </w:rPr>
      </w:pPr>
      <w:r w:rsidRPr="00B60AD9">
        <w:rPr>
          <w:rStyle w:val="FootnoteReference"/>
        </w:rPr>
        <w:footnoteRef/>
      </w:r>
      <w:r w:rsidRPr="00B60AD9">
        <w:t xml:space="preserve"> </w:t>
      </w:r>
      <w:r w:rsidRPr="00B60AD9">
        <w:rPr>
          <w:i/>
          <w:iCs/>
        </w:rPr>
        <w:t>Id.</w:t>
      </w:r>
    </w:p>
  </w:footnote>
  <w:footnote w:id="421">
    <w:p w:rsidR="00756CCD" w:rsidRPr="00B60AD9" w:rsidP="00756CCD" w14:paraId="5FFFBE60"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 xml:space="preserve"> </w:t>
      </w:r>
      <w:hyperlink r:id="rId37" w:history="1">
        <w:r w:rsidRPr="00B60AD9">
          <w:rPr>
            <w:rStyle w:val="Hyperlink"/>
          </w:rPr>
          <w:t>https://www.census.gov/naics/?input=517311&amp;year=2017&amp;details=517311</w:t>
        </w:r>
      </w:hyperlink>
      <w:r w:rsidRPr="00B60AD9">
        <w:rPr>
          <w:rStyle w:val="Hyperlink"/>
        </w:rPr>
        <w:t>.</w:t>
      </w:r>
    </w:p>
  </w:footnote>
  <w:footnote w:id="422">
    <w:p w:rsidR="00756CCD" w:rsidRPr="00B60AD9" w:rsidP="00756CCD" w14:paraId="7137578B"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423">
    <w:p w:rsidR="00756CCD" w:rsidRPr="00B60AD9" w:rsidP="00756CCD" w14:paraId="73265432" w14:textId="77777777">
      <w:pPr>
        <w:pStyle w:val="FootnoteText"/>
      </w:pPr>
      <w:r w:rsidRPr="00B60AD9">
        <w:rPr>
          <w:rStyle w:val="FootnoteReference"/>
        </w:rPr>
        <w:footnoteRef/>
      </w:r>
      <w:r w:rsidRPr="00B60AD9">
        <w:rPr>
          <w:i/>
          <w:snapToGrid w:val="0"/>
        </w:rPr>
        <w:t xml:space="preserve"> Id.</w:t>
      </w:r>
    </w:p>
  </w:footnote>
  <w:footnote w:id="424">
    <w:p w:rsidR="00756CCD" w:rsidRPr="00B60AD9" w:rsidP="00756CCD" w14:paraId="2079072A"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425">
    <w:p w:rsidR="00756CCD" w:rsidRPr="00B60AD9" w:rsidP="00756CCD" w14:paraId="5E14999E" w14:textId="77777777">
      <w:pPr>
        <w:pStyle w:val="FootnoteText"/>
      </w:pPr>
      <w:r w:rsidRPr="00B60AD9">
        <w:rPr>
          <w:rStyle w:val="FootnoteReference"/>
        </w:rPr>
        <w:footnoteRef/>
      </w:r>
      <w:r w:rsidRPr="00B60AD9">
        <w:t xml:space="preserve"> </w:t>
      </w:r>
      <w:r w:rsidRPr="00B60AD9">
        <w:rPr>
          <w:i/>
        </w:rPr>
        <w:t>Id</w:t>
      </w:r>
      <w:r w:rsidRPr="00B60AD9">
        <w:rPr>
          <w:i/>
        </w:rPr>
        <w:t xml:space="preserve">.  </w:t>
      </w:r>
      <w:r w:rsidRPr="00B60AD9">
        <w:rPr>
          <w:iCs/>
        </w:rPr>
        <w:t>The available U.S. Census Bureau data does not provide a more precise estimate of the number of firms that meet the SBA size standard.</w:t>
      </w:r>
    </w:p>
  </w:footnote>
  <w:footnote w:id="426">
    <w:p w:rsidR="00756CCD" w:rsidRPr="00B60AD9" w:rsidP="00756CCD" w14:paraId="5756278D" w14:textId="77777777">
      <w:pPr>
        <w:pStyle w:val="FootnoteText"/>
      </w:pPr>
      <w:r w:rsidRPr="00B60AD9">
        <w:rPr>
          <w:rStyle w:val="FootnoteReference"/>
        </w:rPr>
        <w:footnoteRef/>
      </w:r>
      <w:r w:rsidRPr="00B60AD9">
        <w:t xml:space="preserve"> </w:t>
      </w:r>
      <w:r w:rsidRPr="00B60AD9">
        <w:rPr>
          <w:iCs/>
        </w:rPr>
        <w:t xml:space="preserve">Fed.-State Joint Bd. on Universal Serv., Universal Service Monitoring Report at 26, Table 1.12 (2022), </w:t>
      </w:r>
      <w:hyperlink r:id="rId39" w:history="1">
        <w:r w:rsidRPr="00B60AD9">
          <w:rPr>
            <w:rStyle w:val="Hyperlink"/>
          </w:rPr>
          <w:t>https://docs.fcc.gov/public/attachments/DOC-391070A1.pdf</w:t>
        </w:r>
      </w:hyperlink>
      <w:r w:rsidRPr="00B60AD9">
        <w:t xml:space="preserve">. </w:t>
      </w:r>
    </w:p>
  </w:footnote>
  <w:footnote w:id="427">
    <w:p w:rsidR="00756CCD" w:rsidRPr="00B60AD9" w:rsidP="00756CCD" w14:paraId="1F382E4E" w14:textId="77777777">
      <w:pPr>
        <w:pStyle w:val="FootnoteText"/>
      </w:pPr>
      <w:r w:rsidRPr="00B60AD9">
        <w:rPr>
          <w:rStyle w:val="FootnoteReference"/>
        </w:rPr>
        <w:footnoteRef/>
      </w:r>
      <w:r w:rsidRPr="00B60AD9">
        <w:t xml:space="preserve"> </w:t>
      </w:r>
      <w:r w:rsidRPr="00B60AD9">
        <w:rPr>
          <w:i/>
          <w:snapToGrid w:val="0"/>
        </w:rPr>
        <w:t>Id.</w:t>
      </w:r>
    </w:p>
  </w:footnote>
  <w:footnote w:id="428">
    <w:p w:rsidR="00756CCD" w:rsidRPr="00B60AD9" w:rsidP="00756CCD" w14:paraId="49553742" w14:textId="77777777">
      <w:pPr>
        <w:pStyle w:val="FootnoteText"/>
      </w:pPr>
      <w:r w:rsidRPr="00B60AD9">
        <w:rPr>
          <w:rStyle w:val="FootnoteReference"/>
        </w:rPr>
        <w:footnoteRef/>
      </w:r>
      <w:r w:rsidRPr="00B60AD9">
        <w:t xml:space="preserve"> Competitive Local Exchange Service Providers include the following types of providers: Competitive Access Providers (CAPs) and Competitive Local Exchange Carriers (CLECs), Cable/Coax CLECs, Interconnected VoIP Providers, Non-Interconnected VoIP Providers,</w:t>
      </w:r>
      <w:r w:rsidRPr="00B60AD9">
        <w:t xml:space="preserve"> Shared-Tenant Service Providers, Audio Bridge Service Providers, Local Resellers, and Other Local Service Providers.</w:t>
      </w:r>
    </w:p>
  </w:footnote>
  <w:footnote w:id="429">
    <w:p w:rsidR="00756CCD" w:rsidRPr="00B60AD9" w:rsidP="00756CCD" w14:paraId="6535BF68"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rPr>
          <w:rStyle w:val="Hyperlink"/>
        </w:rPr>
        <w:t>.</w:t>
      </w:r>
    </w:p>
  </w:footnote>
  <w:footnote w:id="430">
    <w:p w:rsidR="00756CCD" w:rsidRPr="00B60AD9" w:rsidP="00756CCD" w14:paraId="59FCF037" w14:textId="77777777">
      <w:pPr>
        <w:pStyle w:val="FootnoteText"/>
      </w:pPr>
      <w:r w:rsidRPr="00B60AD9">
        <w:rPr>
          <w:rStyle w:val="FootnoteReference"/>
        </w:rPr>
        <w:footnoteRef/>
      </w:r>
      <w:r w:rsidRPr="00B60AD9">
        <w:rPr>
          <w:i/>
          <w:snapToGrid w:val="0"/>
        </w:rPr>
        <w:t xml:space="preserve"> </w:t>
      </w:r>
      <w:r w:rsidRPr="00B60AD9">
        <w:rPr>
          <w:i/>
          <w:iCs/>
        </w:rPr>
        <w:t>See</w:t>
      </w:r>
      <w:r w:rsidRPr="00B60AD9">
        <w:t xml:space="preserve"> 13 CFR § 121.201, NAICS Code 517311.</w:t>
      </w:r>
    </w:p>
  </w:footnote>
  <w:footnote w:id="431">
    <w:p w:rsidR="00756CCD" w:rsidRPr="00B60AD9" w:rsidP="00756CCD" w14:paraId="57985C59"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w:t>
      </w:r>
      <w:r w:rsidRPr="00B60AD9">
        <w:rPr>
          <w:bCs/>
          <w:i/>
        </w:rPr>
        <w:t>17</w:t>
      </w:r>
      <w:r w:rsidRPr="00B60AD9">
        <w:rPr>
          <w:i/>
        </w:rPr>
        <w:t xml:space="preserve"> Economic Census</w:t>
      </w:r>
      <w:r w:rsidRPr="00B60AD9">
        <w:rPr>
          <w:bCs/>
          <w:i/>
        </w:rPr>
        <w:t xml:space="preserve"> of the United States,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432">
    <w:p w:rsidR="00756CCD" w:rsidRPr="00B60AD9" w:rsidP="00756CCD" w14:paraId="0B1BB187"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w:t>
      </w:r>
      <w:r w:rsidRPr="00B60AD9">
        <w:rPr>
          <w:iCs/>
        </w:rPr>
        <w:t>r of firms that meet the SBA size standard.</w:t>
      </w:r>
    </w:p>
  </w:footnote>
  <w:footnote w:id="433">
    <w:p w:rsidR="00756CCD" w:rsidRPr="00B60AD9" w:rsidP="00756CCD" w14:paraId="407650CC"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iCs/>
          </w:rPr>
          <w:t>https://docs.fcc.gov/public/attachme</w:t>
        </w:r>
        <w:r w:rsidRPr="00B60AD9">
          <w:rPr>
            <w:rStyle w:val="Hyperlink"/>
            <w:iCs/>
          </w:rPr>
          <w:t>nts/DOC-391070A1.pdf</w:t>
        </w:r>
      </w:hyperlink>
      <w:r w:rsidRPr="00B60AD9">
        <w:rPr>
          <w:iCs/>
        </w:rPr>
        <w:t xml:space="preserve">.  </w:t>
      </w:r>
    </w:p>
  </w:footnote>
  <w:footnote w:id="434">
    <w:p w:rsidR="00756CCD" w:rsidRPr="00B60AD9" w:rsidP="00756CCD" w14:paraId="16068A43" w14:textId="77777777">
      <w:pPr>
        <w:pStyle w:val="FootnoteText"/>
        <w:rPr>
          <w:i/>
          <w:iCs/>
        </w:rPr>
      </w:pPr>
      <w:r w:rsidRPr="00B60AD9">
        <w:rPr>
          <w:rStyle w:val="FootnoteReference"/>
        </w:rPr>
        <w:footnoteRef/>
      </w:r>
      <w:r w:rsidRPr="00B60AD9">
        <w:t xml:space="preserve"> </w:t>
      </w:r>
      <w:r w:rsidRPr="00B60AD9">
        <w:rPr>
          <w:i/>
          <w:iCs/>
        </w:rPr>
        <w:t>Id.</w:t>
      </w:r>
    </w:p>
  </w:footnote>
  <w:footnote w:id="435">
    <w:p w:rsidR="00756CCD" w:rsidRPr="00B60AD9" w:rsidP="00756CCD" w14:paraId="13F2F240"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rPr>
          <w:rStyle w:val="Hyperlink"/>
        </w:rPr>
        <w:t>.</w:t>
      </w:r>
    </w:p>
  </w:footnote>
  <w:footnote w:id="436">
    <w:p w:rsidR="00756CCD" w:rsidRPr="00B60AD9" w:rsidP="00756CCD" w14:paraId="6A4446C8"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437">
    <w:p w:rsidR="00756CCD" w:rsidRPr="00B60AD9" w:rsidP="00756CCD" w14:paraId="585C5613" w14:textId="77777777">
      <w:pPr>
        <w:pStyle w:val="FootnoteText"/>
      </w:pPr>
      <w:r w:rsidRPr="00B60AD9">
        <w:rPr>
          <w:rStyle w:val="FootnoteReference"/>
        </w:rPr>
        <w:footnoteRef/>
      </w:r>
      <w:r w:rsidRPr="00B60AD9">
        <w:rPr>
          <w:i/>
          <w:snapToGrid w:val="0"/>
        </w:rPr>
        <w:t xml:space="preserve"> Id.</w:t>
      </w:r>
    </w:p>
  </w:footnote>
  <w:footnote w:id="438">
    <w:p w:rsidR="00756CCD" w:rsidRPr="00B60AD9" w:rsidP="00756CCD" w14:paraId="695EF48F" w14:textId="77777777">
      <w:pPr>
        <w:pStyle w:val="FootnoteText"/>
      </w:pPr>
      <w:r w:rsidRPr="00B60AD9">
        <w:rPr>
          <w:rStyle w:val="FootnoteReference"/>
        </w:rPr>
        <w:footnoteRef/>
      </w:r>
      <w:r w:rsidRPr="00B60AD9">
        <w:t xml:space="preserve"> </w:t>
      </w:r>
      <w:r w:rsidRPr="00B60AD9">
        <w:rPr>
          <w:i/>
        </w:rPr>
        <w:t>See</w:t>
      </w:r>
      <w:r w:rsidRPr="00B60AD9">
        <w:t xml:space="preserve"> U.S. Census Bure</w:t>
      </w:r>
      <w:r w:rsidRPr="00B60AD9">
        <w:t xml:space="preserve">au, </w:t>
      </w:r>
      <w:r w:rsidRPr="00B60AD9">
        <w:rPr>
          <w:bCs/>
          <w:i/>
        </w:rPr>
        <w:t>2017</w:t>
      </w:r>
      <w:r w:rsidRPr="00B60AD9">
        <w:rPr>
          <w:i/>
        </w:rPr>
        <w:t xml:space="preserve"> Economic Census</w:t>
      </w:r>
      <w:r w:rsidRPr="00B60AD9">
        <w:rPr>
          <w:bCs/>
          <w:i/>
        </w:rPr>
        <w:t xml:space="preserve"> of the United States,</w:t>
      </w:r>
      <w:r w:rsidRPr="00B60AD9">
        <w:rPr>
          <w:i/>
        </w:rPr>
        <w:t xml:space="preserve"> </w:t>
      </w:r>
      <w:r w:rsidRPr="00B60AD9">
        <w:rPr>
          <w:i/>
          <w:iCs/>
        </w:rPr>
        <w:t>Selected Sectors: Employment Size of Firms for the U.S.: 2017</w:t>
      </w:r>
      <w:r w:rsidRPr="00B60AD9">
        <w:t xml:space="preserve">, Table ID: EC1700SIZEEMPFIRM, NAICS Code 517311, </w:t>
      </w:r>
      <w:hyperlink r:id="rId38" w:history="1">
        <w:r w:rsidRPr="00B60AD9">
          <w:rPr>
            <w:rStyle w:val="Hyperlink"/>
          </w:rPr>
          <w:t>https://data.census.gov/cedsci/table?y=2017&amp;n=517311&amp;tid=ECNSIZE2017.EC1700SIZEEMPFIRM&amp;hidePreview=false</w:t>
        </w:r>
      </w:hyperlink>
      <w:r w:rsidRPr="00B60AD9">
        <w:t xml:space="preserve">. </w:t>
      </w:r>
    </w:p>
  </w:footnote>
  <w:footnote w:id="439">
    <w:p w:rsidR="00756CCD" w:rsidRPr="00B60AD9" w:rsidP="00756CCD" w14:paraId="7AD91419"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w:t>
      </w:r>
      <w:r w:rsidRPr="00B60AD9">
        <w:rPr>
          <w:iCs/>
        </w:rPr>
        <w:t xml:space="preserve"> number of firms that meet the SBA size standard.</w:t>
      </w:r>
    </w:p>
  </w:footnote>
  <w:footnote w:id="440">
    <w:p w:rsidR="00756CCD" w:rsidRPr="00B60AD9" w:rsidP="00756CCD" w14:paraId="74E4F079"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Monitoring Report at 26, Table 1.12 (2022), </w:t>
      </w:r>
      <w:hyperlink r:id="rId39" w:history="1">
        <w:r w:rsidRPr="00B60AD9">
          <w:rPr>
            <w:rStyle w:val="Hyperlink"/>
            <w:iCs/>
          </w:rPr>
          <w:t>https://docs.fcc.gov/public/at</w:t>
        </w:r>
        <w:r w:rsidRPr="00B60AD9">
          <w:rPr>
            <w:rStyle w:val="Hyperlink"/>
            <w:iCs/>
          </w:rPr>
          <w:t>tachments/DOC-391070A1.pdf</w:t>
        </w:r>
      </w:hyperlink>
      <w:r w:rsidRPr="00B60AD9">
        <w:rPr>
          <w:iCs/>
        </w:rPr>
        <w:t xml:space="preserve">.  </w:t>
      </w:r>
    </w:p>
  </w:footnote>
  <w:footnote w:id="441">
    <w:p w:rsidR="00756CCD" w:rsidRPr="00B60AD9" w:rsidP="00756CCD" w14:paraId="0DEA59A8" w14:textId="77777777">
      <w:pPr>
        <w:pStyle w:val="FootnoteText"/>
        <w:tabs>
          <w:tab w:val="left" w:pos="0"/>
        </w:tabs>
        <w:suppressAutoHyphens/>
      </w:pPr>
      <w:r w:rsidRPr="00B60AD9">
        <w:rPr>
          <w:rStyle w:val="FootnoteReference"/>
        </w:rPr>
        <w:footnoteRef/>
      </w:r>
      <w:r w:rsidRPr="00B60AD9">
        <w:t xml:space="preserve"> 47 U.S.C. § 543(m)(2).</w:t>
      </w:r>
    </w:p>
  </w:footnote>
  <w:footnote w:id="442">
    <w:p w:rsidR="00756CCD" w:rsidRPr="00B60AD9" w:rsidP="00756CCD" w14:paraId="727E33B5" w14:textId="77777777">
      <w:pPr>
        <w:pStyle w:val="FootnoteText"/>
      </w:pPr>
      <w:r w:rsidRPr="00B60AD9">
        <w:rPr>
          <w:rStyle w:val="FootnoteReference"/>
        </w:rPr>
        <w:footnoteRef/>
      </w:r>
      <w:r w:rsidRPr="00B60AD9">
        <w:t xml:space="preserve"> </w:t>
      </w:r>
      <w:r w:rsidRPr="00B60AD9">
        <w:rPr>
          <w:i/>
          <w:iCs/>
        </w:rPr>
        <w:t>FCC Announces New Subscriber Count for the Definition of Small Cable Operator</w:t>
      </w:r>
      <w:r w:rsidRPr="00B60AD9">
        <w:t>, Public Notice, 16 FCC Rcd 2225 (CSB 2001) (</w:t>
      </w:r>
      <w:r w:rsidRPr="00B60AD9">
        <w:rPr>
          <w:i/>
        </w:rPr>
        <w:t>2001 Subscriber Count PN</w:t>
      </w:r>
      <w:r w:rsidRPr="00B60AD9">
        <w:t>).  In this Public</w:t>
      </w:r>
      <w:r w:rsidRPr="00B60AD9">
        <w:t xml:space="preserve"> Notice, the Commission determined that there were approximately 67.7 million cable subscribers in the United States at that time using the most reliable source publicly available.  </w:t>
      </w:r>
      <w:r w:rsidRPr="00B60AD9">
        <w:rPr>
          <w:i/>
          <w:iCs/>
        </w:rPr>
        <w:t>Id</w:t>
      </w:r>
      <w:r w:rsidRPr="00B60AD9">
        <w:t xml:space="preserve">.  We recognize that the number of cable subscribers changed since then </w:t>
      </w:r>
      <w:r w:rsidRPr="00B60AD9">
        <w:t xml:space="preserve">and that the Commission has recently estimated the number of cable subscribers to traditional and telco cable operators to be approximately 49.8 million.  </w:t>
      </w:r>
      <w:r w:rsidRPr="00B60AD9">
        <w:rPr>
          <w:i/>
          <w:iCs/>
        </w:rPr>
        <w:t>See</w:t>
      </w:r>
      <w:r w:rsidRPr="00B60AD9">
        <w:t xml:space="preserve"> </w:t>
      </w:r>
      <w:r w:rsidRPr="00B60AD9">
        <w:rPr>
          <w:i/>
          <w:iCs/>
        </w:rPr>
        <w:t>Communications Marketplace Report</w:t>
      </w:r>
      <w:r w:rsidRPr="00B60AD9">
        <w:t xml:space="preserve">, GN Docket No. 22-203, 2022 WL 18110553 at 80, para. 218, Fig. II.E.1. (2022) (2022 Communications Marketplace Report).  However, because the Commission has not issued a public notice subsequent to the </w:t>
      </w:r>
      <w:r w:rsidRPr="00B60AD9">
        <w:rPr>
          <w:i/>
        </w:rPr>
        <w:t>2001 Subscriber Count PN,</w:t>
      </w:r>
      <w:r w:rsidRPr="00B60AD9">
        <w:t xml:space="preserve"> the Commission still relies</w:t>
      </w:r>
      <w:r w:rsidRPr="00B60AD9">
        <w:t xml:space="preserve"> on the subscriber count threshold established by the </w:t>
      </w:r>
      <w:r w:rsidRPr="00B60AD9">
        <w:rPr>
          <w:i/>
        </w:rPr>
        <w:t>2001 Subscriber Count PN</w:t>
      </w:r>
      <w:r w:rsidRPr="00B60AD9">
        <w:rPr>
          <w:iCs/>
        </w:rPr>
        <w:t xml:space="preserve"> for purposes of this rule</w:t>
      </w:r>
      <w:r w:rsidRPr="00B60AD9">
        <w:t xml:space="preserve">.  </w:t>
      </w:r>
      <w:r w:rsidRPr="00B60AD9">
        <w:rPr>
          <w:i/>
          <w:iCs/>
        </w:rPr>
        <w:t>See</w:t>
      </w:r>
      <w:r w:rsidRPr="00B60AD9">
        <w:t xml:space="preserve"> </w:t>
      </w:r>
      <w:r w:rsidRPr="00B60AD9">
        <w:rPr>
          <w:color w:val="000000"/>
        </w:rPr>
        <w:t>47 CFR § 76.901(e)(1).</w:t>
      </w:r>
    </w:p>
  </w:footnote>
  <w:footnote w:id="443">
    <w:p w:rsidR="00756CCD" w:rsidRPr="00B60AD9" w:rsidP="00756CCD" w14:paraId="6E929100" w14:textId="77777777">
      <w:pPr>
        <w:pStyle w:val="FootnoteText"/>
        <w:rPr>
          <w:i/>
          <w:iCs/>
        </w:rPr>
      </w:pPr>
      <w:r w:rsidRPr="00B60AD9">
        <w:rPr>
          <w:rStyle w:val="FootnoteReference"/>
        </w:rPr>
        <w:footnoteRef/>
      </w:r>
      <w:r w:rsidRPr="00B60AD9">
        <w:t xml:space="preserve"> S&amp;P Global Market Intelligence, S&amp;P Capital IQ Pro, </w:t>
      </w:r>
      <w:r w:rsidRPr="00B60AD9">
        <w:rPr>
          <w:i/>
        </w:rPr>
        <w:t>Top Cable MSOs 12/21Q (</w:t>
      </w:r>
      <w:r w:rsidRPr="00B60AD9">
        <w:rPr>
          <w:iCs/>
        </w:rPr>
        <w:t>last visited</w:t>
      </w:r>
      <w:r w:rsidRPr="00B60AD9">
        <w:rPr>
          <w:i/>
        </w:rPr>
        <w:t xml:space="preserve"> </w:t>
      </w:r>
      <w:r w:rsidRPr="00B60AD9">
        <w:rPr>
          <w:iCs/>
        </w:rPr>
        <w:t>May 26, 2022); S&amp;P Global Market</w:t>
      </w:r>
      <w:r w:rsidRPr="00B60AD9">
        <w:rPr>
          <w:iCs/>
        </w:rPr>
        <w:t xml:space="preserve"> Intelligence, Multichannel Video Subscriptions, Top 10 (Apr</w:t>
      </w:r>
      <w:r>
        <w:rPr>
          <w:iCs/>
        </w:rPr>
        <w:t>.</w:t>
      </w:r>
      <w:r w:rsidRPr="00B60AD9">
        <w:rPr>
          <w:iCs/>
        </w:rPr>
        <w:t xml:space="preserve"> 2022).</w:t>
      </w:r>
    </w:p>
  </w:footnote>
  <w:footnote w:id="444">
    <w:p w:rsidR="00756CCD" w:rsidRPr="00B60AD9" w:rsidP="00756CCD" w14:paraId="07D19CB9" w14:textId="77777777">
      <w:pPr>
        <w:pStyle w:val="FootnoteText"/>
        <w:rPr>
          <w:color w:val="000000"/>
        </w:rPr>
      </w:pPr>
      <w:r w:rsidRPr="00B60AD9">
        <w:rPr>
          <w:rStyle w:val="FootnoteReference"/>
          <w:color w:val="000000"/>
        </w:rPr>
        <w:footnoteRef/>
      </w:r>
      <w:r w:rsidRPr="00B60AD9">
        <w:rPr>
          <w:color w:val="000000"/>
        </w:rPr>
        <w:t xml:space="preserve"> The Commission does receive such information on a case-by-case basis if a cable operator appeals a local franchise authority’s finding that the operator does not qualify as a small cabl</w:t>
      </w:r>
      <w:r w:rsidRPr="00B60AD9">
        <w:rPr>
          <w:color w:val="000000"/>
        </w:rPr>
        <w:t xml:space="preserve">e operator pursuant to § 76.901(e) of the Commission’s rules.  </w:t>
      </w:r>
      <w:r w:rsidRPr="00B60AD9">
        <w:rPr>
          <w:i/>
          <w:color w:val="000000"/>
        </w:rPr>
        <w:t>See</w:t>
      </w:r>
      <w:r w:rsidRPr="00B60AD9">
        <w:rPr>
          <w:color w:val="000000"/>
        </w:rPr>
        <w:t xml:space="preserve"> 47 CFR § 76.910(b).</w:t>
      </w:r>
    </w:p>
  </w:footnote>
  <w:footnote w:id="445">
    <w:p w:rsidR="00756CCD" w:rsidRPr="00B60AD9" w:rsidP="00756CCD" w14:paraId="0F761218" w14:textId="77777777">
      <w:pPr>
        <w:pStyle w:val="FootnoteText"/>
      </w:pPr>
      <w:r w:rsidRPr="00B60AD9">
        <w:rPr>
          <w:rStyle w:val="FootnoteReference"/>
        </w:rPr>
        <w:footnoteRef/>
      </w:r>
      <w:r w:rsidRPr="00B60AD9">
        <w:t xml:space="preserve"> </w:t>
      </w:r>
      <w:r w:rsidRPr="00B60AD9">
        <w:rPr>
          <w:i/>
        </w:rPr>
        <w:t xml:space="preserve">See </w:t>
      </w:r>
      <w:r w:rsidRPr="00B60AD9">
        <w:t xml:space="preserve">U.S. Census Bureau, </w:t>
      </w:r>
      <w:r w:rsidRPr="00B60AD9">
        <w:rPr>
          <w:i/>
        </w:rPr>
        <w:t>2017 NAICS Definition, “517311 Wired Telecommunications Carriers</w:t>
      </w:r>
      <w:r w:rsidRPr="00B60AD9">
        <w:t>,</w:t>
      </w:r>
      <w:r w:rsidRPr="00B60AD9">
        <w:rPr>
          <w:i/>
        </w:rPr>
        <w:t>”</w:t>
      </w:r>
      <w:r w:rsidRPr="00B60AD9">
        <w:t xml:space="preserve"> </w:t>
      </w:r>
      <w:hyperlink r:id="rId37" w:history="1">
        <w:r w:rsidRPr="00B60AD9">
          <w:rPr>
            <w:rStyle w:val="Hyperlink"/>
          </w:rPr>
          <w:t>https://www.census.gov/naics/?input=517311&amp;year=2017&amp;details=517311</w:t>
        </w:r>
      </w:hyperlink>
      <w:r w:rsidRPr="00B60AD9">
        <w:rPr>
          <w:iCs/>
        </w:rPr>
        <w:t>.</w:t>
      </w:r>
    </w:p>
  </w:footnote>
  <w:footnote w:id="446">
    <w:p w:rsidR="00756CCD" w:rsidRPr="00B60AD9" w:rsidP="00756CCD" w14:paraId="3FA0CEA1"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517311.</w:t>
      </w:r>
    </w:p>
  </w:footnote>
  <w:footnote w:id="447">
    <w:p w:rsidR="00756CCD" w:rsidRPr="00B60AD9" w:rsidP="00756CCD" w14:paraId="1723BAE7" w14:textId="77777777">
      <w:pPr>
        <w:pStyle w:val="FootnoteText"/>
      </w:pPr>
      <w:r w:rsidRPr="00B60AD9">
        <w:rPr>
          <w:rStyle w:val="FootnoteReference"/>
        </w:rPr>
        <w:footnoteRef/>
      </w:r>
      <w:r w:rsidRPr="00B60AD9">
        <w:rPr>
          <w:i/>
          <w:snapToGrid w:val="0"/>
        </w:rPr>
        <w:t xml:space="preserve"> Id.</w:t>
      </w:r>
    </w:p>
  </w:footnote>
  <w:footnote w:id="448">
    <w:p w:rsidR="00756CCD" w:rsidRPr="00B60AD9" w:rsidP="00756CCD" w14:paraId="50C5DD2D"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bCs/>
          <w:i/>
        </w:rPr>
        <w:t>2017</w:t>
      </w:r>
      <w:r w:rsidRPr="00B60AD9">
        <w:rPr>
          <w:i/>
        </w:rPr>
        <w:t xml:space="preserve"> Economic Census</w:t>
      </w:r>
      <w:r w:rsidRPr="00B60AD9">
        <w:rPr>
          <w:bCs/>
          <w:i/>
        </w:rPr>
        <w:t xml:space="preserve"> of the United States,</w:t>
      </w:r>
      <w:r w:rsidRPr="00B60AD9">
        <w:rPr>
          <w:i/>
        </w:rPr>
        <w:t xml:space="preserve"> </w:t>
      </w:r>
      <w:r w:rsidRPr="00B60AD9">
        <w:rPr>
          <w:i/>
          <w:iCs/>
        </w:rPr>
        <w:t xml:space="preserve">Selected Sectors: </w:t>
      </w:r>
      <w:r w:rsidRPr="00B60AD9">
        <w:rPr>
          <w:i/>
          <w:iCs/>
        </w:rPr>
        <w:t>Employment Size of Firms for the U.S.: 2017</w:t>
      </w:r>
      <w:r w:rsidRPr="00B60AD9">
        <w:t>,</w:t>
      </w:r>
      <w:r w:rsidRPr="00B60AD9">
        <w:rPr>
          <w:i/>
          <w:iCs/>
        </w:rPr>
        <w:t xml:space="preserve"> </w:t>
      </w:r>
      <w:r w:rsidRPr="00B60AD9">
        <w:t xml:space="preserve">Table ID: EC1700SIZEEMPFIRM, NAICS Code 517311, </w:t>
      </w:r>
      <w:hyperlink r:id="rId38" w:history="1">
        <w:r w:rsidRPr="00B60AD9">
          <w:rPr>
            <w:rStyle w:val="Hyperlink"/>
          </w:rPr>
          <w:t>https://data.census.gov/cedsci/table?y=2017&amp;</w:t>
        </w:r>
        <w:r w:rsidRPr="00B60AD9">
          <w:rPr>
            <w:rStyle w:val="Hyperlink"/>
          </w:rPr>
          <w:t>n=517311&amp;tid=ECNSIZE2017.EC1700SIZEEMPFIRM&amp;hidePreview=false</w:t>
        </w:r>
      </w:hyperlink>
      <w:r w:rsidRPr="00B60AD9">
        <w:t xml:space="preserve">. </w:t>
      </w:r>
    </w:p>
  </w:footnote>
  <w:footnote w:id="449">
    <w:p w:rsidR="00756CCD" w:rsidRPr="00B60AD9" w:rsidP="00756CCD" w14:paraId="51C2D619" w14:textId="77777777">
      <w:pPr>
        <w:pStyle w:val="FootnoteText"/>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r w:rsidRPr="00B60AD9">
        <w:t>.</w:t>
      </w:r>
    </w:p>
  </w:footnote>
  <w:footnote w:id="450">
    <w:p w:rsidR="00756CCD" w:rsidRPr="00B60AD9" w:rsidP="00756CCD" w14:paraId="3A9C5340" w14:textId="77777777">
      <w:pPr>
        <w:pStyle w:val="FootnoteText"/>
        <w:rPr>
          <w:iCs/>
        </w:rPr>
      </w:pPr>
      <w:r w:rsidRPr="00B60AD9">
        <w:rPr>
          <w:rStyle w:val="FootnoteReference"/>
        </w:rPr>
        <w:footnoteRef/>
      </w:r>
      <w:r w:rsidRPr="00B60AD9">
        <w:rPr>
          <w:iCs/>
        </w:rPr>
        <w:t xml:space="preserve"> Fed.-State Joi</w:t>
      </w:r>
      <w:r w:rsidRPr="00B60AD9">
        <w:rPr>
          <w:iCs/>
        </w:rPr>
        <w:t xml:space="preserve">nt Bd. on Universal Serv., Universal Service Monitoring Report at 26, Table 1.12 (2022), </w:t>
      </w:r>
      <w:hyperlink r:id="rId39" w:history="1">
        <w:r w:rsidRPr="00B60AD9">
          <w:rPr>
            <w:rStyle w:val="Hyperlink"/>
          </w:rPr>
          <w:t>https://docs.fcc.gov/public/attachments/DOC-391070A1.pdf</w:t>
        </w:r>
      </w:hyperlink>
      <w:r w:rsidRPr="00B60AD9">
        <w:t xml:space="preserve">. </w:t>
      </w:r>
    </w:p>
  </w:footnote>
  <w:footnote w:id="451">
    <w:p w:rsidR="00756CCD" w:rsidRPr="00B60AD9" w:rsidP="00756CCD" w14:paraId="1A3293BF" w14:textId="77777777">
      <w:pPr>
        <w:pStyle w:val="FootnoteText"/>
        <w:rPr>
          <w:i/>
          <w:iCs/>
        </w:rPr>
      </w:pPr>
      <w:r w:rsidRPr="00B60AD9">
        <w:rPr>
          <w:rStyle w:val="FootnoteReference"/>
        </w:rPr>
        <w:footnoteRef/>
      </w:r>
      <w:r w:rsidRPr="00B60AD9">
        <w:t xml:space="preserve"> </w:t>
      </w:r>
      <w:r w:rsidRPr="00B60AD9">
        <w:rPr>
          <w:i/>
          <w:iCs/>
        </w:rPr>
        <w:t>Id.</w:t>
      </w:r>
    </w:p>
  </w:footnote>
  <w:footnote w:id="452">
    <w:p w:rsidR="00756CCD" w:rsidRPr="00B60AD9" w:rsidP="00756CCD" w14:paraId="215AC388" w14:textId="77777777">
      <w:pPr>
        <w:pStyle w:val="FootnoteText"/>
      </w:pPr>
      <w:r w:rsidRPr="00B60AD9">
        <w:rPr>
          <w:rStyle w:val="FootnoteReference"/>
        </w:rPr>
        <w:footnoteRef/>
      </w:r>
      <w:r w:rsidRPr="00B60AD9">
        <w:t xml:space="preserve"> </w:t>
      </w:r>
      <w:r w:rsidRPr="00B60AD9">
        <w:rPr>
          <w:bCs/>
          <w:i/>
          <w:iCs/>
          <w:color w:val="010101"/>
        </w:rPr>
        <w:t>See</w:t>
      </w:r>
      <w:r w:rsidRPr="00B60AD9">
        <w:t xml:space="preserve"> U.S. Census Bureau, </w:t>
      </w:r>
      <w:r w:rsidRPr="00B60AD9">
        <w:rPr>
          <w:i/>
          <w:iCs/>
        </w:rPr>
        <w:t>2017 NAICS Definition, “</w:t>
      </w:r>
      <w:r w:rsidRPr="00B60AD9">
        <w:rPr>
          <w:bCs/>
          <w:i/>
          <w:iCs/>
        </w:rPr>
        <w:t>517312 Wireless Telecommunications Carriers</w:t>
      </w:r>
      <w:r w:rsidRPr="00B60AD9">
        <w:rPr>
          <w:bCs/>
        </w:rPr>
        <w:t xml:space="preserve"> </w:t>
      </w:r>
      <w:r w:rsidRPr="00B60AD9">
        <w:rPr>
          <w:bCs/>
          <w:i/>
          <w:iCs/>
        </w:rPr>
        <w:t>(except Satellite)</w:t>
      </w:r>
      <w:r w:rsidRPr="00B60AD9">
        <w:t>,</w:t>
      </w:r>
      <w:r w:rsidRPr="00B60AD9">
        <w:rPr>
          <w:bCs/>
          <w:i/>
          <w:iCs/>
        </w:rPr>
        <w:t>”</w:t>
      </w:r>
      <w:r w:rsidRPr="00B60AD9">
        <w:t xml:space="preserve"> </w:t>
      </w:r>
      <w:hyperlink r:id="rId40" w:history="1">
        <w:r w:rsidRPr="00B60AD9">
          <w:rPr>
            <w:rStyle w:val="Hyperlink"/>
          </w:rPr>
          <w:t>https://www.census.gov/naics/?input=517312&amp;year=2017&amp;de</w:t>
        </w:r>
        <w:r w:rsidRPr="00B60AD9">
          <w:rPr>
            <w:rStyle w:val="Hyperlink"/>
          </w:rPr>
          <w:t>tails=517312</w:t>
        </w:r>
      </w:hyperlink>
      <w:r w:rsidRPr="00B60AD9">
        <w:rPr>
          <w:iCs/>
        </w:rPr>
        <w:t>.</w:t>
      </w:r>
    </w:p>
  </w:footnote>
  <w:footnote w:id="453">
    <w:p w:rsidR="00756CCD" w:rsidRPr="00B60AD9" w:rsidP="00756CCD" w14:paraId="320BF446" w14:textId="77777777">
      <w:pPr>
        <w:pStyle w:val="FootnoteText"/>
        <w:rPr>
          <w:i/>
        </w:rPr>
      </w:pPr>
      <w:r w:rsidRPr="00B60AD9">
        <w:rPr>
          <w:rStyle w:val="FootnoteReference"/>
        </w:rPr>
        <w:footnoteRef/>
      </w:r>
      <w:r w:rsidRPr="00B60AD9">
        <w:t xml:space="preserve"> </w:t>
      </w:r>
      <w:r w:rsidRPr="00B60AD9">
        <w:rPr>
          <w:i/>
          <w:iCs/>
        </w:rPr>
        <w:t>Id.</w:t>
      </w:r>
    </w:p>
  </w:footnote>
  <w:footnote w:id="454">
    <w:p w:rsidR="00756CCD" w:rsidRPr="00B60AD9" w:rsidP="00756CCD" w14:paraId="0FA7004B" w14:textId="77777777">
      <w:pPr>
        <w:pStyle w:val="FootnoteText"/>
      </w:pPr>
      <w:r w:rsidRPr="00B60AD9">
        <w:rPr>
          <w:rStyle w:val="FootnoteReference"/>
        </w:rPr>
        <w:footnoteRef/>
      </w:r>
      <w:r w:rsidRPr="00B60AD9">
        <w:rPr>
          <w:lang w:val="fr-FR"/>
        </w:rPr>
        <w:t xml:space="preserve"> </w:t>
      </w:r>
      <w:r w:rsidRPr="00B60AD9">
        <w:rPr>
          <w:i/>
          <w:color w:val="010101"/>
        </w:rPr>
        <w:t>See</w:t>
      </w:r>
      <w:r w:rsidRPr="00B60AD9">
        <w:rPr>
          <w:lang w:val="fr-FR"/>
        </w:rPr>
        <w:t xml:space="preserve"> 13 CFR § 121.201, NAICS Code 517312.</w:t>
      </w:r>
    </w:p>
  </w:footnote>
  <w:footnote w:id="455">
    <w:p w:rsidR="00756CCD" w:rsidRPr="00B60AD9" w:rsidP="00756CCD" w14:paraId="14C2EF14" w14:textId="77777777">
      <w:pPr>
        <w:pStyle w:val="FootnoteText"/>
      </w:pPr>
      <w:r w:rsidRPr="00B60AD9">
        <w:rPr>
          <w:rStyle w:val="FootnoteReference"/>
        </w:rPr>
        <w:footnoteRef/>
      </w:r>
      <w:r w:rsidRPr="00B60AD9">
        <w:t xml:space="preserve"> </w:t>
      </w:r>
      <w:r w:rsidRPr="00B60AD9">
        <w:rPr>
          <w:i/>
          <w:color w:val="010101"/>
        </w:rPr>
        <w:t>See</w:t>
      </w:r>
      <w:r w:rsidRPr="00B60AD9">
        <w:t xml:space="preserve"> U.S. Census Bureau, </w:t>
      </w:r>
      <w:r w:rsidRPr="00B60AD9">
        <w:rPr>
          <w:i/>
          <w:iCs/>
        </w:rPr>
        <w:t xml:space="preserve">2017 </w:t>
      </w:r>
      <w:r w:rsidRPr="00B60AD9">
        <w:rPr>
          <w:i/>
        </w:rPr>
        <w:t>Economic Census</w:t>
      </w:r>
      <w:r w:rsidRPr="00B60AD9">
        <w:rPr>
          <w:bCs/>
          <w:i/>
        </w:rPr>
        <w:t xml:space="preserve"> of the United States</w:t>
      </w:r>
      <w:r w:rsidRPr="00B60AD9">
        <w:t xml:space="preserve">, </w:t>
      </w:r>
      <w:r w:rsidRPr="00B60AD9">
        <w:rPr>
          <w:i/>
          <w:iCs/>
        </w:rPr>
        <w:t>Employment Size of Firms for the U.S.: 2017</w:t>
      </w:r>
      <w:r w:rsidRPr="00B60AD9">
        <w:t>,</w:t>
      </w:r>
      <w:r w:rsidRPr="00B60AD9">
        <w:rPr>
          <w:i/>
          <w:iCs/>
        </w:rPr>
        <w:t xml:space="preserve"> </w:t>
      </w:r>
      <w:r w:rsidRPr="00B60AD9">
        <w:t xml:space="preserve">Table ID: EC1700SIZEEMPFIRM, NAICS Code 517312, </w:t>
      </w:r>
      <w:hyperlink r:id="rId41" w:history="1">
        <w:r w:rsidRPr="00B60AD9">
          <w:rPr>
            <w:rStyle w:val="Hyperlink"/>
          </w:rPr>
          <w:t>https://data.census.gov/cedsci/table?y=2017&amp;n=517312&amp;tid=ECNSIZE2017.EC1700SIZEEMPFIRM&amp;hi</w:t>
        </w:r>
        <w:r w:rsidRPr="00B60AD9">
          <w:rPr>
            <w:rStyle w:val="Hyperlink"/>
          </w:rPr>
          <w:t>dePreview=false</w:t>
        </w:r>
      </w:hyperlink>
      <w:r w:rsidRPr="00B60AD9">
        <w:t xml:space="preserve">.  </w:t>
      </w:r>
    </w:p>
  </w:footnote>
  <w:footnote w:id="456">
    <w:p w:rsidR="00756CCD" w:rsidRPr="00B60AD9" w:rsidP="00756CCD" w14:paraId="155A7DBA" w14:textId="77777777">
      <w:pPr>
        <w:pStyle w:val="FootnoteText"/>
      </w:pPr>
      <w:r w:rsidRPr="00B60AD9">
        <w:rPr>
          <w:rStyle w:val="FootnoteReference"/>
        </w:rPr>
        <w:footnoteRef/>
      </w:r>
      <w:r w:rsidRPr="00B60AD9">
        <w:t xml:space="preserve"> </w:t>
      </w:r>
      <w:r w:rsidRPr="00B60AD9">
        <w:rPr>
          <w:i/>
        </w:rPr>
        <w:t>Id</w:t>
      </w:r>
      <w:r w:rsidRPr="00B60AD9">
        <w:t xml:space="preserve">.  The available U.S. Census Bureau data does not provide a more precise estimate of the number of firms that meet the SBA size standard. </w:t>
      </w:r>
    </w:p>
  </w:footnote>
  <w:footnote w:id="457">
    <w:p w:rsidR="00756CCD" w:rsidRPr="00B60AD9" w:rsidP="00756CCD" w14:paraId="4B960988" w14:textId="77777777">
      <w:pPr>
        <w:pStyle w:val="FootnoteText"/>
      </w:pPr>
      <w:r w:rsidRPr="00B60AD9">
        <w:rPr>
          <w:rStyle w:val="FootnoteReference"/>
        </w:rPr>
        <w:footnoteRef/>
      </w:r>
      <w:r w:rsidRPr="00B60AD9">
        <w:rPr>
          <w:i/>
          <w:iCs/>
        </w:rPr>
        <w:t xml:space="preserve"> </w:t>
      </w:r>
      <w:r w:rsidRPr="00B60AD9">
        <w:t>Fed.-State Joint Bd. on Universal Serv., Universal Servi</w:t>
      </w:r>
      <w:r w:rsidRPr="00B60AD9">
        <w:t xml:space="preserve">ce Monitoring Report at 26, Table 1.12 (2022), </w:t>
      </w:r>
      <w:hyperlink r:id="rId39" w:history="1">
        <w:r w:rsidRPr="00B60AD9">
          <w:rPr>
            <w:rStyle w:val="Hyperlink"/>
          </w:rPr>
          <w:t>https://docs.fcc.gov/public/attachments/DOC-391070A1.pdf</w:t>
        </w:r>
      </w:hyperlink>
      <w:r w:rsidRPr="00B60AD9">
        <w:t>.</w:t>
      </w:r>
    </w:p>
  </w:footnote>
  <w:footnote w:id="458">
    <w:p w:rsidR="00756CCD" w:rsidRPr="00B60AD9" w:rsidP="00756CCD" w14:paraId="55F892C0" w14:textId="77777777">
      <w:pPr>
        <w:pStyle w:val="FootnoteText"/>
        <w:rPr>
          <w:i/>
          <w:iCs/>
        </w:rPr>
      </w:pPr>
      <w:r w:rsidRPr="00B60AD9">
        <w:rPr>
          <w:rStyle w:val="FootnoteReference"/>
        </w:rPr>
        <w:footnoteRef/>
      </w:r>
      <w:r w:rsidRPr="00B60AD9">
        <w:t xml:space="preserve"> </w:t>
      </w:r>
      <w:r w:rsidRPr="00B60AD9">
        <w:rPr>
          <w:i/>
          <w:iCs/>
        </w:rPr>
        <w:t>Id.</w:t>
      </w:r>
    </w:p>
  </w:footnote>
  <w:footnote w:id="459">
    <w:p w:rsidR="00756CCD" w:rsidRPr="00B60AD9" w:rsidP="00756CCD" w14:paraId="3C22C29E" w14:textId="77777777">
      <w:pPr>
        <w:pStyle w:val="FootnoteText"/>
      </w:pPr>
      <w:r w:rsidRPr="00B60AD9">
        <w:rPr>
          <w:rStyle w:val="FootnoteReference"/>
        </w:rPr>
        <w:footnoteRef/>
      </w:r>
      <w:r w:rsidRPr="00B60AD9">
        <w:t xml:space="preserve"> </w:t>
      </w:r>
      <w:r w:rsidRPr="00B60AD9">
        <w:rPr>
          <w:i/>
          <w:iCs/>
        </w:rPr>
        <w:t>See</w:t>
      </w:r>
      <w:r w:rsidRPr="00B60AD9">
        <w:t xml:space="preserve"> U.S. Census Bureau, </w:t>
      </w:r>
      <w:r w:rsidRPr="00B60AD9">
        <w:rPr>
          <w:i/>
          <w:iCs/>
        </w:rPr>
        <w:t>2017 NAICS De</w:t>
      </w:r>
      <w:r w:rsidRPr="00B60AD9">
        <w:rPr>
          <w:i/>
          <w:iCs/>
        </w:rPr>
        <w:t>finition</w:t>
      </w:r>
      <w:r w:rsidRPr="00B60AD9">
        <w:rPr>
          <w:i/>
        </w:rPr>
        <w:t>, “</w:t>
      </w:r>
      <w:r w:rsidRPr="00B60AD9">
        <w:rPr>
          <w:i/>
          <w:iCs/>
        </w:rPr>
        <w:t>517410 Satellite Telecommunications</w:t>
      </w:r>
      <w:r w:rsidRPr="00B60AD9">
        <w:t>,</w:t>
      </w:r>
      <w:r w:rsidRPr="00B60AD9">
        <w:rPr>
          <w:i/>
        </w:rPr>
        <w:t xml:space="preserve">” </w:t>
      </w:r>
      <w:hyperlink r:id="rId47" w:history="1">
        <w:r w:rsidRPr="00B60AD9">
          <w:rPr>
            <w:rStyle w:val="Hyperlink"/>
          </w:rPr>
          <w:t>https://www.census.gov/naics/?input=517410&amp;year=2017&amp;details=517410</w:t>
        </w:r>
      </w:hyperlink>
      <w:r w:rsidRPr="00B60AD9">
        <w:t>.</w:t>
      </w:r>
    </w:p>
  </w:footnote>
  <w:footnote w:id="460">
    <w:p w:rsidR="00756CCD" w:rsidRPr="00B60AD9" w:rsidP="00756CCD" w14:paraId="1C90EC56" w14:textId="77777777">
      <w:pPr>
        <w:pStyle w:val="FootnoteText"/>
      </w:pPr>
      <w:r w:rsidRPr="00B60AD9">
        <w:rPr>
          <w:rStyle w:val="FootnoteReference"/>
        </w:rPr>
        <w:footnoteRef/>
      </w:r>
      <w:r w:rsidRPr="00B60AD9">
        <w:t xml:space="preserve"> </w:t>
      </w:r>
      <w:r w:rsidRPr="00B60AD9">
        <w:rPr>
          <w:i/>
          <w:iCs/>
        </w:rPr>
        <w:t xml:space="preserve">See </w:t>
      </w:r>
      <w:r w:rsidRPr="00B60AD9">
        <w:t xml:space="preserve">13 CFR § 121.201, NAICS Code 517410.  </w:t>
      </w:r>
    </w:p>
  </w:footnote>
  <w:footnote w:id="461">
    <w:p w:rsidR="00756CCD" w:rsidRPr="00B60AD9" w:rsidP="00756CCD" w14:paraId="7EC756E9" w14:textId="77777777">
      <w:pPr>
        <w:pStyle w:val="FootnoteText"/>
      </w:pPr>
      <w:r w:rsidRPr="00B60AD9">
        <w:rPr>
          <w:rStyle w:val="FootnoteReference"/>
        </w:rPr>
        <w:footnoteRef/>
      </w:r>
      <w:r w:rsidRPr="00B60AD9">
        <w:t xml:space="preserve"> </w:t>
      </w:r>
      <w:r w:rsidRPr="00B60AD9">
        <w:rPr>
          <w:i/>
          <w:iCs/>
        </w:rPr>
        <w:t>See</w:t>
      </w:r>
      <w:r w:rsidRPr="00B60AD9">
        <w:rPr>
          <w:i/>
        </w:rPr>
        <w:t xml:space="preserve"> </w:t>
      </w:r>
      <w:r w:rsidRPr="00B60AD9">
        <w:t xml:space="preserve">U.S. Census Bureau, </w:t>
      </w:r>
      <w:r w:rsidRPr="00B60AD9">
        <w:rPr>
          <w:i/>
          <w:iCs/>
        </w:rPr>
        <w:t xml:space="preserve">2017 </w:t>
      </w:r>
      <w:r w:rsidRPr="00B60AD9">
        <w:rPr>
          <w:i/>
        </w:rPr>
        <w:t>Economic Census</w:t>
      </w:r>
      <w:r w:rsidRPr="00B60AD9">
        <w:rPr>
          <w:bCs/>
          <w:i/>
        </w:rPr>
        <w:t xml:space="preserve"> of the United States</w:t>
      </w:r>
      <w:r w:rsidRPr="00B60AD9">
        <w:t xml:space="preserve">, </w:t>
      </w:r>
      <w:r w:rsidRPr="00B60AD9">
        <w:rPr>
          <w:i/>
          <w:iCs/>
        </w:rPr>
        <w:t>Selected Sectors: Sales, Value of Shipments, or Revenue Size of Firms for the U.S.: 2017</w:t>
      </w:r>
      <w:r w:rsidRPr="00B60AD9">
        <w:t>,</w:t>
      </w:r>
      <w:r w:rsidRPr="00B60AD9">
        <w:rPr>
          <w:i/>
          <w:iCs/>
        </w:rPr>
        <w:t xml:space="preserve"> </w:t>
      </w:r>
      <w:r w:rsidRPr="00B60AD9">
        <w:t xml:space="preserve">Table ID: EC1700SIZEREVFIRM, NAICS Code 517410, </w:t>
      </w:r>
      <w:hyperlink r:id="rId48" w:history="1">
        <w:r w:rsidRPr="00B60AD9">
          <w:rPr>
            <w:rStyle w:val="Hyperlink"/>
          </w:rPr>
          <w:t>https://data.census.gov/cedsci/table?y=2017&amp;n=517410&amp;tid=ECNSIZE2017.EC1700SIZEREVFIRM&amp;hidePreview=false</w:t>
        </w:r>
      </w:hyperlink>
      <w:r w:rsidRPr="00B60AD9">
        <w:t>.</w:t>
      </w:r>
    </w:p>
  </w:footnote>
  <w:footnote w:id="462">
    <w:p w:rsidR="00756CCD" w:rsidRPr="00B60AD9" w:rsidP="00756CCD" w14:paraId="405E2746" w14:textId="77777777">
      <w:pPr>
        <w:spacing w:after="120"/>
        <w:rPr>
          <w:sz w:val="20"/>
        </w:rPr>
      </w:pPr>
      <w:r w:rsidRPr="00B60AD9">
        <w:rPr>
          <w:rStyle w:val="FootnoteReference"/>
        </w:rPr>
        <w:footnoteRef/>
      </w:r>
      <w:r w:rsidRPr="00B60AD9">
        <w:rPr>
          <w:sz w:val="20"/>
        </w:rPr>
        <w:t xml:space="preserve"> </w:t>
      </w:r>
      <w:r w:rsidRPr="00B60AD9">
        <w:rPr>
          <w:i/>
          <w:sz w:val="20"/>
        </w:rPr>
        <w:t>Id</w:t>
      </w:r>
      <w:r w:rsidRPr="00B60AD9">
        <w:rPr>
          <w:sz w:val="20"/>
        </w:rPr>
        <w:t>.</w:t>
      </w:r>
      <w:r w:rsidRPr="00B60AD9">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w:t>
      </w:r>
      <w:r w:rsidRPr="00B60AD9">
        <w:rPr>
          <w:sz w:val="20"/>
        </w:rPr>
        <w:t xml:space="preserve">ly.  </w:t>
      </w:r>
      <w:r w:rsidRPr="00B60AD9">
        <w:rPr>
          <w:i/>
          <w:sz w:val="20"/>
        </w:rPr>
        <w:t xml:space="preserve">See </w:t>
      </w:r>
      <w:r w:rsidRPr="00B60AD9">
        <w:rPr>
          <w:iCs/>
          <w:sz w:val="20"/>
        </w:rPr>
        <w:t xml:space="preserve">U.S. Census Bureau, </w:t>
      </w:r>
      <w:r w:rsidRPr="00B60AD9">
        <w:rPr>
          <w:i/>
          <w:sz w:val="20"/>
        </w:rPr>
        <w:t>Glossary</w:t>
      </w:r>
      <w:r w:rsidRPr="00B60AD9">
        <w:rPr>
          <w:iCs/>
          <w:sz w:val="20"/>
        </w:rPr>
        <w:t>,</w:t>
      </w:r>
      <w:r w:rsidRPr="00B60AD9">
        <w:rPr>
          <w:sz w:val="20"/>
        </w:rPr>
        <w:t xml:space="preserve"> </w:t>
      </w:r>
      <w:hyperlink r:id="rId46" w:anchor="term_ReceiptsRevenueServices" w:history="1">
        <w:r w:rsidRPr="00B60AD9">
          <w:rPr>
            <w:rStyle w:val="Hyperlink"/>
            <w:sz w:val="20"/>
          </w:rPr>
          <w:t>https://www.census.gov/glossary/#term_ReceiptsRevenueServices</w:t>
        </w:r>
      </w:hyperlink>
      <w:r w:rsidRPr="00B60AD9">
        <w:rPr>
          <w:sz w:val="20"/>
        </w:rPr>
        <w:t>.</w:t>
      </w:r>
    </w:p>
  </w:footnote>
  <w:footnote w:id="463">
    <w:p w:rsidR="00756CCD" w:rsidRPr="00B60AD9" w:rsidP="00756CCD" w14:paraId="7715815E" w14:textId="77777777">
      <w:pPr>
        <w:pStyle w:val="FootnoteText"/>
        <w:rPr>
          <w:iCs/>
        </w:rPr>
      </w:pPr>
      <w:r w:rsidRPr="00B60AD9">
        <w:rPr>
          <w:rStyle w:val="FootnoteReference"/>
        </w:rPr>
        <w:footnoteRef/>
      </w:r>
      <w:r w:rsidRPr="00B60AD9">
        <w:rPr>
          <w:i/>
        </w:rPr>
        <w:t xml:space="preserve"> </w:t>
      </w:r>
      <w:r w:rsidRPr="00B60AD9">
        <w:rPr>
          <w:iCs/>
        </w:rPr>
        <w:t>Fed.-State Joint Bd. on Universal S</w:t>
      </w:r>
      <w:r w:rsidRPr="00B60AD9">
        <w:rPr>
          <w:iCs/>
        </w:rPr>
        <w:t xml:space="preserve">erv., Universal Service Monitoring Report at 26, Table 1.12 (2022), </w:t>
      </w:r>
      <w:hyperlink r:id="rId39" w:history="1">
        <w:r w:rsidRPr="00B60AD9">
          <w:rPr>
            <w:rStyle w:val="Hyperlink"/>
          </w:rPr>
          <w:t>https://docs.fcc.gov/public/attachments/DOC-391070A1.pdf</w:t>
        </w:r>
      </w:hyperlink>
      <w:r w:rsidRPr="00B60AD9">
        <w:rPr>
          <w:iCs/>
        </w:rPr>
        <w:t xml:space="preserve">. </w:t>
      </w:r>
    </w:p>
  </w:footnote>
  <w:footnote w:id="464">
    <w:p w:rsidR="00756CCD" w:rsidRPr="00B60AD9" w:rsidP="00756CCD" w14:paraId="0F10E44B" w14:textId="77777777">
      <w:pPr>
        <w:pStyle w:val="FootnoteText"/>
        <w:rPr>
          <w:i/>
          <w:iCs/>
        </w:rPr>
      </w:pPr>
      <w:r w:rsidRPr="00B60AD9">
        <w:rPr>
          <w:rStyle w:val="FootnoteReference"/>
        </w:rPr>
        <w:footnoteRef/>
      </w:r>
      <w:r w:rsidRPr="00B60AD9">
        <w:t xml:space="preserve"> </w:t>
      </w:r>
      <w:r w:rsidRPr="00B60AD9">
        <w:rPr>
          <w:i/>
          <w:iCs/>
        </w:rPr>
        <w:t>Id.</w:t>
      </w:r>
    </w:p>
  </w:footnote>
  <w:footnote w:id="465">
    <w:p w:rsidR="00756CCD" w:rsidRPr="00B60AD9" w:rsidP="00756CCD" w14:paraId="1612CF84" w14:textId="77777777">
      <w:pPr>
        <w:pStyle w:val="FootnoteText"/>
      </w:pPr>
      <w:r w:rsidRPr="00B60AD9">
        <w:rPr>
          <w:rStyle w:val="FootnoteReference"/>
        </w:rPr>
        <w:footnoteRef/>
      </w:r>
      <w:r w:rsidRPr="00B60AD9">
        <w:t xml:space="preserve"> </w:t>
      </w:r>
      <w:r w:rsidRPr="00B60AD9">
        <w:rPr>
          <w:i/>
          <w:iCs/>
        </w:rPr>
        <w:t>See</w:t>
      </w:r>
      <w:r w:rsidRPr="00B60AD9">
        <w:t xml:space="preserve"> U.S. Census Bureau, </w:t>
      </w:r>
      <w:r w:rsidRPr="00B60AD9">
        <w:rPr>
          <w:i/>
        </w:rPr>
        <w:t>2017 NAICS Definition</w:t>
      </w:r>
      <w:r w:rsidRPr="00B60AD9">
        <w:t>, “</w:t>
      </w:r>
      <w:r w:rsidRPr="00B60AD9">
        <w:rPr>
          <w:i/>
          <w:iCs/>
        </w:rPr>
        <w:t>517911 Telecommunications Resellers</w:t>
      </w:r>
      <w:r w:rsidRPr="00B60AD9">
        <w:t>,</w:t>
      </w:r>
      <w:r w:rsidRPr="00B60AD9">
        <w:rPr>
          <w:i/>
        </w:rPr>
        <w:t xml:space="preserve">” </w:t>
      </w:r>
      <w:hyperlink r:id="rId42" w:history="1">
        <w:r w:rsidRPr="00B60AD9">
          <w:rPr>
            <w:rStyle w:val="Hyperlink"/>
          </w:rPr>
          <w:t>https://www.census.gov/naics/?input=517911&amp;year=2017&amp;details=517911</w:t>
        </w:r>
      </w:hyperlink>
      <w:r w:rsidRPr="00B60AD9">
        <w:t>.</w:t>
      </w:r>
    </w:p>
  </w:footnote>
  <w:footnote w:id="466">
    <w:p w:rsidR="00756CCD" w:rsidRPr="00B60AD9" w:rsidP="00756CCD" w14:paraId="6AAFAC41" w14:textId="77777777">
      <w:pPr>
        <w:pStyle w:val="FootnoteText"/>
      </w:pPr>
      <w:r w:rsidRPr="00B60AD9">
        <w:rPr>
          <w:rStyle w:val="FootnoteReference"/>
        </w:rPr>
        <w:footnoteRef/>
      </w:r>
      <w:r w:rsidRPr="00B60AD9">
        <w:rPr>
          <w:rStyle w:val="Hyperlink"/>
          <w:color w:val="auto"/>
          <w:u w:val="none"/>
        </w:rPr>
        <w:t xml:space="preserve"> </w:t>
      </w:r>
      <w:r w:rsidRPr="00B60AD9">
        <w:rPr>
          <w:rStyle w:val="Hyperlink"/>
          <w:i/>
          <w:iCs/>
          <w:color w:val="auto"/>
          <w:u w:val="none"/>
        </w:rPr>
        <w:t>Id.</w:t>
      </w:r>
    </w:p>
  </w:footnote>
  <w:footnote w:id="467">
    <w:p w:rsidR="00756CCD" w:rsidRPr="00B60AD9" w:rsidP="00756CCD" w14:paraId="70702761" w14:textId="77777777">
      <w:pPr>
        <w:pStyle w:val="FootnoteText"/>
        <w:rPr>
          <w:b/>
        </w:rPr>
      </w:pPr>
      <w:r w:rsidRPr="00B60AD9">
        <w:rPr>
          <w:rStyle w:val="FootnoteReference"/>
        </w:rPr>
        <w:footnoteRef/>
      </w:r>
      <w:r w:rsidRPr="00B60AD9">
        <w:rPr>
          <w:i/>
          <w:iCs/>
        </w:rPr>
        <w:t xml:space="preserve"> Id</w:t>
      </w:r>
      <w:r w:rsidRPr="00B60AD9">
        <w:t>.</w:t>
      </w:r>
    </w:p>
  </w:footnote>
  <w:footnote w:id="468">
    <w:p w:rsidR="00756CCD" w:rsidRPr="00B60AD9" w:rsidP="00756CCD" w14:paraId="19A3B86A" w14:textId="77777777">
      <w:pPr>
        <w:pStyle w:val="FootnoteText"/>
        <w:rPr>
          <w:b/>
        </w:rPr>
      </w:pPr>
      <w:r w:rsidRPr="00B60AD9">
        <w:rPr>
          <w:rStyle w:val="FootnoteReference"/>
        </w:rPr>
        <w:footnoteRef/>
      </w:r>
      <w:r w:rsidRPr="00B60AD9">
        <w:rPr>
          <w:i/>
          <w:iCs/>
        </w:rPr>
        <w:t xml:space="preserve"> Id</w:t>
      </w:r>
      <w:r w:rsidRPr="00B60AD9">
        <w:t>.</w:t>
      </w:r>
    </w:p>
  </w:footnote>
  <w:footnote w:id="469">
    <w:p w:rsidR="00756CCD" w:rsidRPr="00B60AD9" w:rsidP="00756CCD" w14:paraId="38E67DDE"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517911 (as of 10/1/22, NAICS Code 517121).</w:t>
      </w:r>
    </w:p>
  </w:footnote>
  <w:footnote w:id="470">
    <w:p w:rsidR="00756CCD" w:rsidRPr="00B60AD9" w:rsidP="00756CCD" w14:paraId="7D7792CC" w14:textId="77777777">
      <w:pPr>
        <w:pStyle w:val="FootnoteText"/>
      </w:pPr>
      <w:r w:rsidRPr="00B60AD9">
        <w:rPr>
          <w:rStyle w:val="FootnoteReference"/>
        </w:rPr>
        <w:footnoteRef/>
      </w:r>
      <w:r w:rsidRPr="00B60AD9">
        <w:t xml:space="preserve"> </w:t>
      </w:r>
      <w:r w:rsidRPr="00B60AD9">
        <w:rPr>
          <w:i/>
        </w:rPr>
        <w:t>See</w:t>
      </w:r>
      <w:r w:rsidRPr="00B60AD9">
        <w:t xml:space="preserve"> U.S. Census Bureau,</w:t>
      </w:r>
      <w:r w:rsidRPr="00B60AD9">
        <w:rPr>
          <w:i/>
          <w:iCs/>
        </w:rPr>
        <w:t xml:space="preserve"> 2017 </w:t>
      </w:r>
      <w:r w:rsidRPr="00B60AD9">
        <w:rPr>
          <w:i/>
        </w:rPr>
        <w:t>Economic Census</w:t>
      </w:r>
      <w:r w:rsidRPr="00B60AD9">
        <w:rPr>
          <w:bCs/>
          <w:i/>
        </w:rPr>
        <w:t xml:space="preserve"> of the United States</w:t>
      </w:r>
      <w:r w:rsidRPr="00B60AD9">
        <w:t xml:space="preserve">, </w:t>
      </w:r>
      <w:r w:rsidRPr="00B60AD9">
        <w:rPr>
          <w:i/>
          <w:iCs/>
        </w:rPr>
        <w:t>Selected Sectors: Employment Size of Firms for the U.S.: 2017</w:t>
      </w:r>
      <w:r w:rsidRPr="00B60AD9">
        <w:t>,</w:t>
      </w:r>
      <w:r w:rsidRPr="00B60AD9">
        <w:rPr>
          <w:i/>
          <w:iCs/>
        </w:rPr>
        <w:t xml:space="preserve"> </w:t>
      </w:r>
      <w:r w:rsidRPr="00B60AD9">
        <w:t>Table ID: EC170</w:t>
      </w:r>
      <w:r w:rsidRPr="00B60AD9">
        <w:t xml:space="preserve">0SIZEEMPFIRM, NAICS Code 517911, </w:t>
      </w:r>
      <w:hyperlink r:id="rId43" w:history="1">
        <w:r w:rsidRPr="00B60AD9">
          <w:rPr>
            <w:rStyle w:val="Hyperlink"/>
          </w:rPr>
          <w:t>https://data.census.gov/cedsci/table?y=2017&amp;n=517911&amp;tid=ECNSIZE2017.EC1700SIZEEMPFIRM&amp;hidePreview=false</w:t>
        </w:r>
      </w:hyperlink>
      <w:r w:rsidRPr="00B60AD9">
        <w:t xml:space="preserve">. </w:t>
      </w:r>
    </w:p>
  </w:footnote>
  <w:footnote w:id="471">
    <w:p w:rsidR="00756CCD" w:rsidRPr="00B60AD9" w:rsidP="00756CCD" w14:paraId="6F47A48D" w14:textId="77777777">
      <w:pPr>
        <w:pStyle w:val="FootnoteText"/>
        <w:rPr>
          <w:i/>
        </w:rPr>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472">
    <w:p w:rsidR="00756CCD" w:rsidRPr="00B60AD9" w:rsidP="00756CCD" w14:paraId="2A80AC96" w14:textId="77777777">
      <w:pPr>
        <w:pStyle w:val="FootnoteText"/>
        <w:rPr>
          <w:iCs/>
        </w:rPr>
      </w:pPr>
      <w:r w:rsidRPr="00B60AD9">
        <w:rPr>
          <w:rStyle w:val="FootnoteReference"/>
        </w:rPr>
        <w:footnoteRef/>
      </w:r>
      <w:r w:rsidRPr="00B60AD9">
        <w:rPr>
          <w:i/>
        </w:rPr>
        <w:t xml:space="preserve"> </w:t>
      </w:r>
      <w:r w:rsidRPr="00B60AD9">
        <w:rPr>
          <w:iCs/>
        </w:rPr>
        <w:t xml:space="preserve">Fed.-State Joint Bd. on Universal Serv., Universal Service </w:t>
      </w:r>
      <w:r w:rsidRPr="00B60AD9">
        <w:rPr>
          <w:iCs/>
        </w:rPr>
        <w:t>Monitoring Report at 26, Table 1.12 (2022),</w:t>
      </w:r>
    </w:p>
    <w:p w:rsidR="00756CCD" w:rsidRPr="00B60AD9" w:rsidP="00756CCD" w14:paraId="2569B79B" w14:textId="77777777">
      <w:pPr>
        <w:pStyle w:val="FootnoteText"/>
        <w:rPr>
          <w:iCs/>
        </w:rPr>
      </w:pPr>
      <w:hyperlink r:id="rId39" w:history="1">
        <w:r w:rsidRPr="00B60AD9">
          <w:rPr>
            <w:rStyle w:val="Hyperlink"/>
            <w:iCs/>
          </w:rPr>
          <w:t>https://docs.fcc.gov/public/attachments/DOC-391070A1.pdf</w:t>
        </w:r>
      </w:hyperlink>
      <w:r w:rsidRPr="00B60AD9">
        <w:rPr>
          <w:iCs/>
        </w:rPr>
        <w:t xml:space="preserve">.  </w:t>
      </w:r>
    </w:p>
  </w:footnote>
  <w:footnote w:id="473">
    <w:p w:rsidR="00756CCD" w:rsidRPr="00B60AD9" w:rsidP="00756CCD" w14:paraId="63B5893A" w14:textId="77777777">
      <w:pPr>
        <w:pStyle w:val="FootnoteText"/>
        <w:rPr>
          <w:i/>
          <w:iCs/>
        </w:rPr>
      </w:pPr>
      <w:r w:rsidRPr="00B60AD9">
        <w:rPr>
          <w:rStyle w:val="FootnoteReference"/>
        </w:rPr>
        <w:footnoteRef/>
      </w:r>
      <w:r w:rsidRPr="00B60AD9">
        <w:t xml:space="preserve"> </w:t>
      </w:r>
      <w:r w:rsidRPr="00B60AD9">
        <w:rPr>
          <w:i/>
          <w:iCs/>
        </w:rPr>
        <w:t>Id.</w:t>
      </w:r>
    </w:p>
  </w:footnote>
  <w:footnote w:id="474">
    <w:p w:rsidR="00756CCD" w:rsidRPr="00B60AD9" w:rsidP="00756CCD" w14:paraId="465E60B1" w14:textId="77777777">
      <w:pPr>
        <w:pStyle w:val="FootnoteText"/>
      </w:pPr>
      <w:r w:rsidRPr="00B60AD9">
        <w:rPr>
          <w:rStyle w:val="FootnoteReference"/>
        </w:rPr>
        <w:footnoteRef/>
      </w:r>
      <w:r w:rsidRPr="00B60AD9">
        <w:t xml:space="preserve"> </w:t>
      </w:r>
      <w:r w:rsidRPr="00B60AD9">
        <w:rPr>
          <w:i/>
          <w:iCs/>
        </w:rPr>
        <w:t>See</w:t>
      </w:r>
      <w:r w:rsidRPr="00B60AD9">
        <w:t xml:space="preserve"> U.S. Census Bureau, </w:t>
      </w:r>
      <w:r w:rsidRPr="00B60AD9">
        <w:rPr>
          <w:i/>
        </w:rPr>
        <w:t>2017 NAICS De</w:t>
      </w:r>
      <w:r w:rsidRPr="00B60AD9">
        <w:rPr>
          <w:i/>
        </w:rPr>
        <w:t>finition</w:t>
      </w:r>
      <w:r w:rsidRPr="00B60AD9">
        <w:t>, “</w:t>
      </w:r>
      <w:r w:rsidRPr="00B60AD9">
        <w:rPr>
          <w:i/>
          <w:iCs/>
        </w:rPr>
        <w:t>517911 Telecommunications Resellers</w:t>
      </w:r>
      <w:r w:rsidRPr="00B60AD9">
        <w:t>,</w:t>
      </w:r>
      <w:r w:rsidRPr="00B60AD9">
        <w:rPr>
          <w:i/>
        </w:rPr>
        <w:t>”</w:t>
      </w:r>
      <w:r w:rsidRPr="00B60AD9">
        <w:t xml:space="preserve"> </w:t>
      </w:r>
      <w:hyperlink r:id="rId42" w:history="1">
        <w:r w:rsidRPr="00B60AD9">
          <w:rPr>
            <w:rStyle w:val="Hyperlink"/>
          </w:rPr>
          <w:t>https://www.census.gov/naics/?input=517911&amp;year=2017&amp;details=517911</w:t>
        </w:r>
      </w:hyperlink>
      <w:r w:rsidRPr="00B60AD9">
        <w:t>.</w:t>
      </w:r>
    </w:p>
  </w:footnote>
  <w:footnote w:id="475">
    <w:p w:rsidR="00756CCD" w:rsidRPr="00B60AD9" w:rsidP="00756CCD" w14:paraId="2DB05259" w14:textId="77777777">
      <w:pPr>
        <w:pStyle w:val="FootnoteText"/>
        <w:rPr>
          <w:b/>
        </w:rPr>
      </w:pPr>
      <w:r w:rsidRPr="00B60AD9">
        <w:rPr>
          <w:rStyle w:val="FootnoteReference"/>
        </w:rPr>
        <w:footnoteRef/>
      </w:r>
      <w:r w:rsidRPr="00B60AD9">
        <w:t xml:space="preserve"> </w:t>
      </w:r>
      <w:r w:rsidRPr="00B60AD9">
        <w:rPr>
          <w:i/>
          <w:iCs/>
        </w:rPr>
        <w:t>Id.</w:t>
      </w:r>
    </w:p>
  </w:footnote>
  <w:footnote w:id="476">
    <w:p w:rsidR="00756CCD" w:rsidRPr="00B60AD9" w:rsidP="00756CCD" w14:paraId="6053F752" w14:textId="77777777">
      <w:pPr>
        <w:pStyle w:val="FootnoteText"/>
        <w:rPr>
          <w:b/>
        </w:rPr>
      </w:pPr>
      <w:r w:rsidRPr="00B60AD9">
        <w:rPr>
          <w:rStyle w:val="FootnoteReference"/>
        </w:rPr>
        <w:footnoteRef/>
      </w:r>
      <w:r w:rsidRPr="00B60AD9">
        <w:rPr>
          <w:i/>
          <w:iCs/>
        </w:rPr>
        <w:t xml:space="preserve"> Id</w:t>
      </w:r>
      <w:r w:rsidRPr="00B60AD9">
        <w:t>.</w:t>
      </w:r>
    </w:p>
  </w:footnote>
  <w:footnote w:id="477">
    <w:p w:rsidR="00756CCD" w:rsidRPr="00B60AD9" w:rsidP="00756CCD" w14:paraId="10440093" w14:textId="77777777">
      <w:pPr>
        <w:pStyle w:val="FootnoteText"/>
      </w:pPr>
      <w:r w:rsidRPr="00B60AD9">
        <w:rPr>
          <w:rStyle w:val="FootnoteReference"/>
        </w:rPr>
        <w:footnoteRef/>
      </w:r>
      <w:r w:rsidRPr="00B60AD9">
        <w:t xml:space="preserve"> </w:t>
      </w:r>
      <w:r w:rsidRPr="00B60AD9">
        <w:rPr>
          <w:i/>
          <w:iCs/>
        </w:rPr>
        <w:t>See</w:t>
      </w:r>
      <w:r w:rsidRPr="00B60AD9">
        <w:t xml:space="preserve"> 13 </w:t>
      </w:r>
      <w:r w:rsidRPr="00B60AD9">
        <w:t>CFR § 121.201, NAICS Code 517911 (as of 10/1/22, NAICS Code 517121).</w:t>
      </w:r>
    </w:p>
  </w:footnote>
  <w:footnote w:id="478">
    <w:p w:rsidR="00756CCD" w:rsidRPr="00B60AD9" w:rsidP="00756CCD" w14:paraId="1BD6BD94" w14:textId="77777777">
      <w:pPr>
        <w:pStyle w:val="FootnoteText"/>
      </w:pPr>
      <w:r w:rsidRPr="00B60AD9">
        <w:rPr>
          <w:rStyle w:val="FootnoteReference"/>
        </w:rPr>
        <w:footnoteRef/>
      </w:r>
      <w:r w:rsidRPr="00B60AD9">
        <w:t xml:space="preserve"> </w:t>
      </w:r>
      <w:r w:rsidRPr="00B60AD9">
        <w:rPr>
          <w:i/>
        </w:rPr>
        <w:t>See</w:t>
      </w:r>
      <w:r w:rsidRPr="00B60AD9">
        <w:t xml:space="preserve"> U.S. Census Bureau,</w:t>
      </w:r>
      <w:r w:rsidRPr="00B60AD9">
        <w:rPr>
          <w:i/>
          <w:iCs/>
        </w:rPr>
        <w:t xml:space="preserve"> 2017 </w:t>
      </w:r>
      <w:r w:rsidRPr="00B60AD9">
        <w:rPr>
          <w:i/>
        </w:rPr>
        <w:t>Economic Census</w:t>
      </w:r>
      <w:r w:rsidRPr="00B60AD9">
        <w:rPr>
          <w:bCs/>
          <w:i/>
        </w:rPr>
        <w:t xml:space="preserve"> of the United States</w:t>
      </w:r>
      <w:r w:rsidRPr="00B60AD9">
        <w:t xml:space="preserve">, </w:t>
      </w:r>
      <w:r w:rsidRPr="00B60AD9">
        <w:rPr>
          <w:i/>
          <w:iCs/>
        </w:rPr>
        <w:t>Selected Sectors: Employment Size of Firms for the U.S.: 2017</w:t>
      </w:r>
      <w:r w:rsidRPr="00B60AD9">
        <w:t xml:space="preserve">, Table ID: EC1700SIZEEMPFIRM, NAICS Code 517911, </w:t>
      </w:r>
      <w:hyperlink r:id="rId43" w:history="1">
        <w:r w:rsidRPr="00B60AD9">
          <w:rPr>
            <w:rStyle w:val="Hyperlink"/>
          </w:rPr>
          <w:t>https://data.census.gov/cedsci/table?y=2017&amp;n=517911&amp;tid=ECNSIZE2017.EC1700SIZEEMPFIRM&amp;</w:t>
        </w:r>
        <w:r w:rsidRPr="00B60AD9">
          <w:rPr>
            <w:rStyle w:val="Hyperlink"/>
          </w:rPr>
          <w:t>hidePreview=false</w:t>
        </w:r>
      </w:hyperlink>
      <w:r w:rsidRPr="00B60AD9">
        <w:t xml:space="preserve">. </w:t>
      </w:r>
    </w:p>
  </w:footnote>
  <w:footnote w:id="479">
    <w:p w:rsidR="00756CCD" w:rsidRPr="00B60AD9" w:rsidP="00756CCD" w14:paraId="183396C2" w14:textId="77777777">
      <w:pPr>
        <w:pStyle w:val="FootnoteText"/>
        <w:rPr>
          <w:i/>
        </w:rPr>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480">
    <w:p w:rsidR="00756CCD" w:rsidRPr="00B60AD9" w:rsidP="00756CCD" w14:paraId="0E2B489A" w14:textId="77777777">
      <w:pPr>
        <w:pStyle w:val="FootnoteText"/>
        <w:rPr>
          <w:iCs/>
        </w:rPr>
      </w:pPr>
      <w:r w:rsidRPr="00B60AD9">
        <w:rPr>
          <w:rStyle w:val="FootnoteReference"/>
        </w:rPr>
        <w:footnoteRef/>
      </w:r>
      <w:r w:rsidRPr="00B60AD9">
        <w:rPr>
          <w:iCs/>
        </w:rPr>
        <w:t xml:space="preserve"> Fed.-State Joint Bd. on Universal Serv., Universal Servi</w:t>
      </w:r>
      <w:r w:rsidRPr="00B60AD9">
        <w:rPr>
          <w:iCs/>
        </w:rPr>
        <w:t>ce Monitoring Report at 26, Table 1.12 (2022),</w:t>
      </w:r>
      <w:r>
        <w:t xml:space="preserve"> </w:t>
      </w:r>
      <w:hyperlink r:id="rId39" w:history="1">
        <w:r w:rsidRPr="00B60AD9">
          <w:rPr>
            <w:rStyle w:val="Hyperlink"/>
          </w:rPr>
          <w:t>https://docs.fcc.gov/public/attachments/DOC-391070A1.pdf</w:t>
        </w:r>
      </w:hyperlink>
      <w:r w:rsidRPr="00B60AD9">
        <w:t xml:space="preserve">. </w:t>
      </w:r>
    </w:p>
  </w:footnote>
  <w:footnote w:id="481">
    <w:p w:rsidR="00756CCD" w:rsidRPr="00B60AD9" w:rsidP="00756CCD" w14:paraId="2D8CF14C" w14:textId="77777777">
      <w:pPr>
        <w:pStyle w:val="FootnoteText"/>
        <w:rPr>
          <w:i/>
          <w:iCs/>
        </w:rPr>
      </w:pPr>
      <w:r w:rsidRPr="00B60AD9">
        <w:rPr>
          <w:rStyle w:val="FootnoteReference"/>
        </w:rPr>
        <w:footnoteRef/>
      </w:r>
      <w:r w:rsidRPr="00B60AD9">
        <w:t xml:space="preserve"> </w:t>
      </w:r>
      <w:r w:rsidRPr="00B60AD9">
        <w:rPr>
          <w:i/>
          <w:iCs/>
        </w:rPr>
        <w:t>Id.</w:t>
      </w:r>
    </w:p>
  </w:footnote>
  <w:footnote w:id="482">
    <w:p w:rsidR="00756CCD" w:rsidRPr="00B60AD9" w:rsidP="00756CCD" w14:paraId="1311B0AD" w14:textId="77777777">
      <w:pPr>
        <w:pStyle w:val="FootnoteText"/>
      </w:pPr>
      <w:r w:rsidRPr="00B60AD9">
        <w:rPr>
          <w:rStyle w:val="FootnoteReference"/>
        </w:rPr>
        <w:footnoteRef/>
      </w:r>
      <w:r w:rsidRPr="00B60AD9">
        <w:t xml:space="preserve"> </w:t>
      </w:r>
      <w:r w:rsidRPr="00B60AD9">
        <w:rPr>
          <w:i/>
          <w:iCs/>
        </w:rPr>
        <w:t>See</w:t>
      </w:r>
      <w:r w:rsidRPr="00B60AD9">
        <w:t xml:space="preserve"> U.S. Census Bureau, </w:t>
      </w:r>
      <w:r w:rsidRPr="00B60AD9">
        <w:rPr>
          <w:i/>
        </w:rPr>
        <w:t>2017 NAICS Definition</w:t>
      </w:r>
      <w:r w:rsidRPr="00B60AD9">
        <w:t>, “</w:t>
      </w:r>
      <w:r w:rsidRPr="00B60AD9">
        <w:rPr>
          <w:i/>
          <w:iCs/>
        </w:rPr>
        <w:t>517911 Telecommunications Resellers</w:t>
      </w:r>
      <w:r w:rsidRPr="00B60AD9">
        <w:t>,</w:t>
      </w:r>
      <w:r w:rsidRPr="00B60AD9">
        <w:rPr>
          <w:i/>
        </w:rPr>
        <w:t>”</w:t>
      </w:r>
      <w:r w:rsidRPr="00B60AD9">
        <w:t xml:space="preserve"> </w:t>
      </w:r>
      <w:hyperlink r:id="rId42" w:history="1">
        <w:r w:rsidRPr="00B60AD9">
          <w:rPr>
            <w:rStyle w:val="Hyperlink"/>
          </w:rPr>
          <w:t>https://www.census.gov/naics/?input=517911&amp;year=2017&amp;details=517911</w:t>
        </w:r>
      </w:hyperlink>
      <w:r w:rsidRPr="00B60AD9">
        <w:t>.</w:t>
      </w:r>
    </w:p>
  </w:footnote>
  <w:footnote w:id="483">
    <w:p w:rsidR="00756CCD" w:rsidRPr="00B60AD9" w:rsidP="00756CCD" w14:paraId="28B39BF0" w14:textId="77777777">
      <w:pPr>
        <w:pStyle w:val="FootnoteText"/>
        <w:rPr>
          <w:b/>
        </w:rPr>
      </w:pPr>
      <w:r w:rsidRPr="00B60AD9">
        <w:rPr>
          <w:rStyle w:val="FootnoteReference"/>
        </w:rPr>
        <w:footnoteRef/>
      </w:r>
      <w:r w:rsidRPr="00B60AD9">
        <w:t xml:space="preserve"> </w:t>
      </w:r>
      <w:r w:rsidRPr="00B60AD9">
        <w:rPr>
          <w:i/>
          <w:iCs/>
        </w:rPr>
        <w:t>Id.</w:t>
      </w:r>
    </w:p>
  </w:footnote>
  <w:footnote w:id="484">
    <w:p w:rsidR="00756CCD" w:rsidRPr="00B60AD9" w:rsidP="00756CCD" w14:paraId="0D721DC8" w14:textId="77777777">
      <w:pPr>
        <w:pStyle w:val="FootnoteText"/>
        <w:rPr>
          <w:b/>
        </w:rPr>
      </w:pPr>
      <w:r w:rsidRPr="00B60AD9">
        <w:rPr>
          <w:rStyle w:val="FootnoteReference"/>
        </w:rPr>
        <w:footnoteRef/>
      </w:r>
      <w:r w:rsidRPr="00B60AD9">
        <w:rPr>
          <w:i/>
          <w:iCs/>
        </w:rPr>
        <w:t xml:space="preserve"> Id</w:t>
      </w:r>
      <w:r w:rsidRPr="00B60AD9">
        <w:t>.</w:t>
      </w:r>
    </w:p>
  </w:footnote>
  <w:footnote w:id="485">
    <w:p w:rsidR="00756CCD" w:rsidRPr="00B60AD9" w:rsidP="00756CCD" w14:paraId="6DED4218" w14:textId="77777777">
      <w:pPr>
        <w:pStyle w:val="FootnoteText"/>
      </w:pPr>
      <w:r w:rsidRPr="00B60AD9">
        <w:rPr>
          <w:rStyle w:val="FootnoteReference"/>
        </w:rPr>
        <w:footnoteRef/>
      </w:r>
      <w:r w:rsidRPr="00B60AD9">
        <w:t xml:space="preserve"> </w:t>
      </w:r>
      <w:r w:rsidRPr="00B60AD9">
        <w:rPr>
          <w:i/>
          <w:iCs/>
        </w:rPr>
        <w:t>See</w:t>
      </w:r>
      <w:r w:rsidRPr="00B60AD9">
        <w:t xml:space="preserve"> 13 CFR § 121.201, NAICS Code 517911(as of 10/1/22, NAICS Code 517121).</w:t>
      </w:r>
    </w:p>
  </w:footnote>
  <w:footnote w:id="486">
    <w:p w:rsidR="00756CCD" w:rsidRPr="00B60AD9" w:rsidP="00756CCD" w14:paraId="420D74A6" w14:textId="77777777">
      <w:pPr>
        <w:pStyle w:val="FootnoteText"/>
      </w:pPr>
      <w:r w:rsidRPr="00B60AD9">
        <w:rPr>
          <w:rStyle w:val="FootnoteReference"/>
        </w:rPr>
        <w:footnoteRef/>
      </w:r>
      <w:r w:rsidRPr="00B60AD9">
        <w:t xml:space="preserve"> </w:t>
      </w:r>
      <w:r w:rsidRPr="00B60AD9">
        <w:rPr>
          <w:i/>
        </w:rPr>
        <w:t>See</w:t>
      </w:r>
      <w:r w:rsidRPr="00B60AD9">
        <w:t xml:space="preserve"> U.S. Census Bureau,</w:t>
      </w:r>
      <w:r w:rsidRPr="00B60AD9">
        <w:rPr>
          <w:i/>
          <w:iCs/>
        </w:rPr>
        <w:t xml:space="preserve"> 2017 </w:t>
      </w:r>
      <w:r w:rsidRPr="00B60AD9">
        <w:rPr>
          <w:i/>
        </w:rPr>
        <w:t>Economic Census</w:t>
      </w:r>
      <w:r w:rsidRPr="00B60AD9">
        <w:rPr>
          <w:bCs/>
          <w:i/>
        </w:rPr>
        <w:t xml:space="preserve"> of the United States</w:t>
      </w:r>
      <w:r w:rsidRPr="00B60AD9">
        <w:t xml:space="preserve">, </w:t>
      </w:r>
      <w:r w:rsidRPr="00B60AD9">
        <w:rPr>
          <w:i/>
          <w:iCs/>
        </w:rPr>
        <w:t>Selected Sectors: Employment Size of Firms for the U.S.: 2017</w:t>
      </w:r>
      <w:r w:rsidRPr="00B60AD9">
        <w:t>,</w:t>
      </w:r>
      <w:r w:rsidRPr="00B60AD9">
        <w:rPr>
          <w:i/>
          <w:iCs/>
        </w:rPr>
        <w:t xml:space="preserve"> </w:t>
      </w:r>
      <w:r w:rsidRPr="00B60AD9">
        <w:t xml:space="preserve">Table ID: EC1700SIZEEMPFIRM, NAICS Code 517911, </w:t>
      </w:r>
      <w:hyperlink r:id="rId43" w:history="1">
        <w:r w:rsidRPr="00B60AD9">
          <w:rPr>
            <w:rStyle w:val="Hyperlink"/>
          </w:rPr>
          <w:t>https://data.census.gov/cedsci/table?y=2017&amp;n=517911&amp;tid=ECNSIZE2017.EC1700SIZEEMPFIRM&amp;hi</w:t>
        </w:r>
        <w:r w:rsidRPr="00B60AD9">
          <w:rPr>
            <w:rStyle w:val="Hyperlink"/>
          </w:rPr>
          <w:t>dePreview=false</w:t>
        </w:r>
      </w:hyperlink>
      <w:r w:rsidRPr="00B60AD9">
        <w:t xml:space="preserve">. </w:t>
      </w:r>
    </w:p>
  </w:footnote>
  <w:footnote w:id="487">
    <w:p w:rsidR="00756CCD" w:rsidRPr="00B60AD9" w:rsidP="00756CCD" w14:paraId="1940EDBB" w14:textId="77777777">
      <w:pPr>
        <w:pStyle w:val="FootnoteText"/>
        <w:rPr>
          <w:i/>
        </w:rPr>
      </w:pPr>
      <w:r w:rsidRPr="00B60AD9">
        <w:rPr>
          <w:rStyle w:val="FootnoteReference"/>
        </w:rPr>
        <w:footnoteRef/>
      </w:r>
      <w:r w:rsidRPr="00B60AD9">
        <w:t xml:space="preserve"> </w:t>
      </w:r>
      <w:r w:rsidRPr="00B60AD9">
        <w:rPr>
          <w:i/>
        </w:rPr>
        <w:t xml:space="preserve">Id.  </w:t>
      </w:r>
      <w:r w:rsidRPr="00B60AD9">
        <w:rPr>
          <w:iCs/>
        </w:rPr>
        <w:t>The available U.S. Census Bureau data does not provide a more precise estimate of the number of firms that meet the SBA size standard.</w:t>
      </w:r>
    </w:p>
  </w:footnote>
  <w:footnote w:id="488">
    <w:p w:rsidR="00756CCD" w:rsidRPr="00B60AD9" w:rsidP="00756CCD" w14:paraId="6AECE836" w14:textId="77777777">
      <w:pPr>
        <w:pStyle w:val="FootnoteText"/>
      </w:pPr>
      <w:r w:rsidRPr="00B60AD9">
        <w:rPr>
          <w:rStyle w:val="FootnoteReference"/>
        </w:rPr>
        <w:footnoteRef/>
      </w:r>
      <w:r w:rsidRPr="00B60AD9">
        <w:rPr>
          <w:iCs/>
        </w:rPr>
        <w:t xml:space="preserve"> Fed.-State Joint Bd. on Universal Serv., Universal Service</w:t>
      </w:r>
      <w:r w:rsidRPr="00B60AD9">
        <w:rPr>
          <w:iCs/>
        </w:rPr>
        <w:t xml:space="preserve"> Monitoring Report at 26, Table 1.12 (2022), </w:t>
      </w:r>
      <w:hyperlink r:id="rId39" w:history="1">
        <w:r w:rsidRPr="00B60AD9">
          <w:rPr>
            <w:rStyle w:val="Hyperlink"/>
          </w:rPr>
          <w:t>https://docs.fcc.gov/public/attachments/DOC-391070A1.pdf</w:t>
        </w:r>
      </w:hyperlink>
      <w:r w:rsidRPr="00B60AD9">
        <w:t xml:space="preserve">. </w:t>
      </w:r>
    </w:p>
  </w:footnote>
  <w:footnote w:id="489">
    <w:p w:rsidR="00756CCD" w:rsidRPr="00B60AD9" w:rsidP="00756CCD" w14:paraId="1D95522F" w14:textId="77777777">
      <w:pPr>
        <w:pStyle w:val="FootnoteText"/>
        <w:spacing w:before="120"/>
        <w:rPr>
          <w:i/>
          <w:iCs/>
        </w:rPr>
      </w:pPr>
      <w:r w:rsidRPr="00B60AD9">
        <w:rPr>
          <w:rStyle w:val="FootnoteReference"/>
        </w:rPr>
        <w:footnoteRef/>
      </w:r>
      <w:r w:rsidRPr="00B60AD9">
        <w:t xml:space="preserve"> </w:t>
      </w:r>
      <w:r w:rsidRPr="00B60AD9">
        <w:rPr>
          <w:i/>
          <w:iCs/>
        </w:rPr>
        <w:t>Id.</w:t>
      </w:r>
    </w:p>
  </w:footnote>
  <w:footnote w:id="490">
    <w:p w:rsidR="00756CCD" w:rsidRPr="00B60AD9" w:rsidP="00756CCD" w14:paraId="047EA494" w14:textId="77777777">
      <w:pPr>
        <w:pStyle w:val="FootnoteText"/>
      </w:pPr>
      <w:r w:rsidRPr="00B60AD9">
        <w:rPr>
          <w:rStyle w:val="FootnoteReference"/>
        </w:rPr>
        <w:footnoteRef/>
      </w:r>
      <w:r w:rsidRPr="00B60AD9">
        <w:t xml:space="preserve"> </w:t>
      </w:r>
      <w:r w:rsidRPr="00B60AD9">
        <w:rPr>
          <w:i/>
        </w:rPr>
        <w:t>See</w:t>
      </w:r>
      <w:r w:rsidRPr="00B60AD9">
        <w:t xml:space="preserve"> U.S. Census Bureau, </w:t>
      </w:r>
      <w:r w:rsidRPr="00B60AD9">
        <w:rPr>
          <w:i/>
          <w:iCs/>
        </w:rPr>
        <w:t>2017 NAICS Def</w:t>
      </w:r>
      <w:r w:rsidRPr="00B60AD9">
        <w:rPr>
          <w:i/>
          <w:iCs/>
        </w:rPr>
        <w:t>inition</w:t>
      </w:r>
      <w:r w:rsidRPr="00B60AD9">
        <w:t>, “</w:t>
      </w:r>
      <w:r w:rsidRPr="00B60AD9">
        <w:rPr>
          <w:i/>
          <w:iCs/>
        </w:rPr>
        <w:t>517919 All Other Telecommunications</w:t>
      </w:r>
      <w:r w:rsidRPr="00B60AD9">
        <w:t xml:space="preserve">,” </w:t>
      </w:r>
      <w:hyperlink r:id="rId44" w:history="1">
        <w:r w:rsidRPr="00B60AD9">
          <w:rPr>
            <w:rStyle w:val="Hyperlink"/>
          </w:rPr>
          <w:t>https://www.census.gov/naics/?input=517919&amp;year=2017&amp;details=517919</w:t>
        </w:r>
      </w:hyperlink>
      <w:r w:rsidRPr="00B60AD9">
        <w:t>.</w:t>
      </w:r>
    </w:p>
  </w:footnote>
  <w:footnote w:id="491">
    <w:p w:rsidR="00756CCD" w:rsidRPr="00B60AD9" w:rsidP="00756CCD" w14:paraId="097C6A88" w14:textId="77777777">
      <w:pPr>
        <w:pStyle w:val="FootnoteText"/>
        <w:rPr>
          <w:i/>
        </w:rPr>
      </w:pPr>
      <w:r w:rsidRPr="00B60AD9">
        <w:rPr>
          <w:rStyle w:val="FootnoteReference"/>
        </w:rPr>
        <w:footnoteRef/>
      </w:r>
      <w:r w:rsidRPr="00B60AD9">
        <w:t xml:space="preserve"> </w:t>
      </w:r>
      <w:r w:rsidRPr="00B60AD9">
        <w:rPr>
          <w:i/>
        </w:rPr>
        <w:t>Id.</w:t>
      </w:r>
    </w:p>
  </w:footnote>
  <w:footnote w:id="492">
    <w:p w:rsidR="00756CCD" w:rsidRPr="00B60AD9" w:rsidP="00756CCD" w14:paraId="050F8FB1" w14:textId="77777777">
      <w:pPr>
        <w:pStyle w:val="FootnoteText"/>
      </w:pPr>
      <w:r w:rsidRPr="00B60AD9">
        <w:rPr>
          <w:rStyle w:val="FootnoteReference"/>
        </w:rPr>
        <w:footnoteRef/>
      </w:r>
      <w:r w:rsidRPr="00B60AD9">
        <w:rPr>
          <w:i/>
        </w:rPr>
        <w:t xml:space="preserve"> Id</w:t>
      </w:r>
      <w:r w:rsidRPr="00B60AD9">
        <w:t>.</w:t>
      </w:r>
    </w:p>
  </w:footnote>
  <w:footnote w:id="493">
    <w:p w:rsidR="00756CCD" w:rsidRPr="00B60AD9" w:rsidP="00756CCD" w14:paraId="41083A30" w14:textId="77777777">
      <w:pPr>
        <w:pStyle w:val="FootnoteText"/>
      </w:pPr>
      <w:r w:rsidRPr="00B60AD9">
        <w:rPr>
          <w:rStyle w:val="FootnoteReference"/>
        </w:rPr>
        <w:footnoteRef/>
      </w:r>
      <w:r w:rsidRPr="00B60AD9">
        <w:t xml:space="preserve"> </w:t>
      </w:r>
      <w:r w:rsidRPr="00B60AD9">
        <w:rPr>
          <w:i/>
        </w:rPr>
        <w:t>See</w:t>
      </w:r>
      <w:r w:rsidRPr="00B60AD9">
        <w:t xml:space="preserve"> 13 CFR § 121.201, NAICS Code 517919. </w:t>
      </w:r>
    </w:p>
  </w:footnote>
  <w:footnote w:id="494">
    <w:p w:rsidR="00756CCD" w:rsidRPr="00B60AD9" w:rsidP="00756CCD" w14:paraId="73AD28D0" w14:textId="77777777">
      <w:pPr>
        <w:pStyle w:val="FootnoteText"/>
      </w:pPr>
      <w:r w:rsidRPr="00B60AD9">
        <w:rPr>
          <w:rStyle w:val="FootnoteReference"/>
        </w:rPr>
        <w:footnoteRef/>
      </w:r>
      <w:r w:rsidRPr="00B60AD9">
        <w:t xml:space="preserve"> </w:t>
      </w:r>
      <w:r w:rsidRPr="00B60AD9">
        <w:rPr>
          <w:i/>
          <w:color w:val="010101"/>
        </w:rPr>
        <w:t>See</w:t>
      </w:r>
      <w:r w:rsidRPr="00B60AD9">
        <w:t xml:space="preserve"> U.S. Census Bureau, </w:t>
      </w:r>
      <w:r w:rsidRPr="00B60AD9">
        <w:rPr>
          <w:i/>
          <w:iCs/>
        </w:rPr>
        <w:t xml:space="preserve">2017 </w:t>
      </w:r>
      <w:r w:rsidRPr="00B60AD9">
        <w:rPr>
          <w:i/>
        </w:rPr>
        <w:t>Economic Census</w:t>
      </w:r>
      <w:r w:rsidRPr="00B60AD9">
        <w:rPr>
          <w:bCs/>
          <w:i/>
        </w:rPr>
        <w:t xml:space="preserve"> of the United States</w:t>
      </w:r>
      <w:r w:rsidRPr="00B60AD9">
        <w:t xml:space="preserve">, </w:t>
      </w:r>
      <w:r w:rsidRPr="00B60AD9">
        <w:rPr>
          <w:i/>
          <w:iCs/>
        </w:rPr>
        <w:t>Selected Sectors: Sales, Value of Shipments, or Revenue Size of Firms for the U.S.: 2017</w:t>
      </w:r>
      <w:r w:rsidRPr="00B60AD9">
        <w:t>,</w:t>
      </w:r>
      <w:r w:rsidRPr="00B60AD9">
        <w:rPr>
          <w:i/>
          <w:iCs/>
        </w:rPr>
        <w:t xml:space="preserve"> </w:t>
      </w:r>
      <w:r w:rsidRPr="00B60AD9">
        <w:t xml:space="preserve">Table ID: EC1700SIZEREVFIRM, NAICS Code 517919, </w:t>
      </w:r>
      <w:hyperlink r:id="rId45" w:history="1">
        <w:r w:rsidRPr="00B60AD9">
          <w:rPr>
            <w:rStyle w:val="Hyperlink"/>
          </w:rPr>
          <w:t>https://data.census.gov/cedsci/table?y=2017&amp;n=517919&amp;tid=ECNSIZE2017.EC1700SIZEREVFIRM&amp;hidePreview=false</w:t>
        </w:r>
      </w:hyperlink>
      <w:r w:rsidRPr="00B60AD9">
        <w:t xml:space="preserve">. </w:t>
      </w:r>
    </w:p>
  </w:footnote>
  <w:footnote w:id="495">
    <w:p w:rsidR="00756CCD" w:rsidRPr="00B60AD9" w:rsidP="00756CCD" w14:paraId="5503AA8C" w14:textId="77777777">
      <w:pPr>
        <w:pStyle w:val="FootnoteText"/>
      </w:pPr>
      <w:r w:rsidRPr="00B60AD9">
        <w:rPr>
          <w:rStyle w:val="FootnoteReference"/>
        </w:rPr>
        <w:footnoteRef/>
      </w:r>
      <w:r w:rsidRPr="00B60AD9">
        <w:t xml:space="preserve"> </w:t>
      </w:r>
      <w:r w:rsidRPr="00B60AD9">
        <w:rPr>
          <w:i/>
        </w:rPr>
        <w:t>Id</w:t>
      </w:r>
      <w:r w:rsidRPr="00B60AD9">
        <w:rPr>
          <w:i/>
        </w:rPr>
        <w:t xml:space="preserve">.  </w:t>
      </w:r>
      <w:r w:rsidRPr="00B60AD9">
        <w:t>The available U.S. Census Bureau data does not provide a more precise estimate of the number of firms that meet the SBA size standard.  We also note that according to the U.S. Census Bureau glossary, the terms receipts and revenues are used interchangea</w:t>
      </w:r>
      <w:r w:rsidRPr="00B60AD9">
        <w:t xml:space="preserve">bly.  </w:t>
      </w:r>
      <w:r w:rsidRPr="00B60AD9">
        <w:rPr>
          <w:i/>
          <w:iCs/>
        </w:rPr>
        <w:t xml:space="preserve">See </w:t>
      </w:r>
      <w:r w:rsidRPr="00B60AD9">
        <w:t xml:space="preserve">U.S. Census Bureau, </w:t>
      </w:r>
      <w:r w:rsidRPr="00B60AD9">
        <w:rPr>
          <w:i/>
          <w:iCs/>
        </w:rPr>
        <w:t>Glossary</w:t>
      </w:r>
      <w:r w:rsidRPr="00B60AD9">
        <w:t xml:space="preserve">, </w:t>
      </w:r>
      <w:hyperlink r:id="rId46" w:anchor="term_ReceiptsRevenueServices" w:history="1">
        <w:r w:rsidRPr="00B60AD9">
          <w:rPr>
            <w:rStyle w:val="Hyperlink"/>
          </w:rPr>
          <w:t>https://www.census.gov/glossary/#term_ReceiptsRevenueServices</w:t>
        </w:r>
      </w:hyperlink>
      <w:r w:rsidRPr="00B60AD9">
        <w:t>.</w:t>
      </w:r>
    </w:p>
  </w:footnote>
  <w:footnote w:id="496">
    <w:p w:rsidR="00756CCD" w:rsidRPr="00B60AD9" w:rsidP="00756CCD" w14:paraId="49200C4B" w14:textId="77777777">
      <w:pPr>
        <w:pStyle w:val="FootnoteText"/>
      </w:pPr>
      <w:r w:rsidRPr="00B60AD9">
        <w:rPr>
          <w:rStyle w:val="FootnoteReference"/>
        </w:rPr>
        <w:footnoteRef/>
      </w:r>
      <w:r w:rsidRPr="00B60AD9">
        <w:rPr>
          <w:lang w:val="es-ES"/>
        </w:rPr>
        <w:t xml:space="preserve"> </w:t>
      </w:r>
      <w:r w:rsidRPr="00B60AD9">
        <w:rPr>
          <w:i/>
          <w:lang w:val="es-ES"/>
        </w:rPr>
        <w:t xml:space="preserve">See </w:t>
      </w:r>
      <w:r w:rsidRPr="00B60AD9">
        <w:rPr>
          <w:i/>
          <w:iCs/>
          <w:lang w:val="es-ES"/>
        </w:rPr>
        <w:t>Second Further Notice</w:t>
      </w:r>
      <w:r w:rsidRPr="00B60AD9">
        <w:rPr>
          <w:lang w:val="es-ES"/>
        </w:rPr>
        <w:t>, paras. 8</w:t>
      </w:r>
      <w:r w:rsidRPr="00B60AD9">
        <w:rPr>
          <w:lang w:val="es-ES"/>
        </w:rPr>
        <w:t>0-85.</w:t>
      </w:r>
    </w:p>
  </w:footnote>
  <w:footnote w:id="497">
    <w:p w:rsidR="00756CCD" w:rsidRPr="00B60AD9" w:rsidP="00756CCD" w14:paraId="6D8480B8" w14:textId="77777777">
      <w:pPr>
        <w:pStyle w:val="FootnoteText"/>
      </w:pPr>
      <w:r w:rsidRPr="00B60AD9">
        <w:rPr>
          <w:rStyle w:val="FootnoteReference"/>
        </w:rPr>
        <w:footnoteRef/>
      </w:r>
      <w:r w:rsidRPr="00B60AD9">
        <w:rPr>
          <w:lang w:val="es-ES"/>
        </w:rPr>
        <w:t xml:space="preserve"> </w:t>
      </w:r>
      <w:r w:rsidRPr="00B60AD9">
        <w:rPr>
          <w:i/>
          <w:lang w:val="es-ES"/>
        </w:rPr>
        <w:t>See id.</w:t>
      </w:r>
      <w:r w:rsidRPr="00B60AD9">
        <w:rPr>
          <w:lang w:val="es-ES"/>
        </w:rPr>
        <w:t xml:space="preserve"> para. 86.</w:t>
      </w:r>
    </w:p>
  </w:footnote>
  <w:footnote w:id="498">
    <w:p w:rsidR="00756CCD" w:rsidRPr="00B60AD9" w:rsidP="00756CCD" w14:paraId="0F4B0D21" w14:textId="77777777">
      <w:pPr>
        <w:pStyle w:val="FootnoteText"/>
        <w:rPr>
          <w:lang w:val="es-ES"/>
        </w:rPr>
      </w:pPr>
      <w:r w:rsidRPr="00B60AD9">
        <w:rPr>
          <w:rStyle w:val="FootnoteReference"/>
        </w:rPr>
        <w:footnoteRef/>
      </w:r>
      <w:r w:rsidRPr="00B60AD9">
        <w:rPr>
          <w:lang w:val="es-ES"/>
        </w:rPr>
        <w:t xml:space="preserve"> </w:t>
      </w:r>
      <w:r w:rsidRPr="00B60AD9">
        <w:rPr>
          <w:i/>
          <w:lang w:val="es-ES"/>
        </w:rPr>
        <w:t xml:space="preserve">See id. </w:t>
      </w:r>
      <w:r w:rsidRPr="00B60AD9">
        <w:rPr>
          <w:lang w:val="es-ES"/>
        </w:rPr>
        <w:t>paras. 87-92.</w:t>
      </w:r>
    </w:p>
  </w:footnote>
  <w:footnote w:id="499">
    <w:p w:rsidR="00756CCD" w:rsidRPr="00B60AD9" w:rsidP="00756CCD" w14:paraId="237CFB84" w14:textId="77777777">
      <w:pPr>
        <w:pStyle w:val="FootnoteText"/>
      </w:pPr>
      <w:r w:rsidRPr="00B60AD9">
        <w:rPr>
          <w:rStyle w:val="FootnoteReference"/>
        </w:rPr>
        <w:footnoteRef/>
      </w:r>
      <w:r w:rsidRPr="00B60AD9">
        <w:t xml:space="preserve"> 5 U.S.C. § 603(c)(1)-(4).</w:t>
      </w:r>
    </w:p>
  </w:footnote>
  <w:footnote w:id="500">
    <w:p w:rsidR="00756CCD" w:rsidRPr="00B60AD9" w:rsidP="00756CCD" w14:paraId="0CC9B61F" w14:textId="77777777">
      <w:pPr>
        <w:pStyle w:val="FootnoteText"/>
      </w:pPr>
      <w:r w:rsidRPr="00B60AD9">
        <w:rPr>
          <w:rStyle w:val="FootnoteReference"/>
        </w:rPr>
        <w:footnoteRef/>
      </w:r>
      <w:r w:rsidRPr="00B60AD9">
        <w:t xml:space="preserve"> </w:t>
      </w:r>
      <w:r w:rsidRPr="00B60AD9">
        <w:rPr>
          <w:i/>
          <w:iCs/>
        </w:rPr>
        <w:t>Second</w:t>
      </w:r>
      <w:r w:rsidRPr="00B60AD9">
        <w:rPr>
          <w:i/>
        </w:rPr>
        <w:t xml:space="preserve"> </w:t>
      </w:r>
      <w:r w:rsidRPr="00B60AD9">
        <w:rPr>
          <w:i/>
          <w:iCs/>
        </w:rPr>
        <w:t>Further Notice</w:t>
      </w:r>
      <w:r w:rsidRPr="00B60AD9">
        <w:t>, paras. 80-85.</w:t>
      </w:r>
    </w:p>
  </w:footnote>
  <w:footnote w:id="501">
    <w:p w:rsidR="00756CCD" w:rsidRPr="00B60AD9" w:rsidP="00756CCD" w14:paraId="315C7B76" w14:textId="77777777">
      <w:pPr>
        <w:pStyle w:val="FootnoteText"/>
      </w:pPr>
      <w:r w:rsidRPr="00B60AD9">
        <w:rPr>
          <w:rStyle w:val="FootnoteReference"/>
        </w:rPr>
        <w:footnoteRef/>
      </w:r>
      <w:r w:rsidRPr="00B60AD9">
        <w:t xml:space="preserve"> </w:t>
      </w:r>
      <w:r w:rsidRPr="00B60AD9">
        <w:rPr>
          <w:i/>
          <w:iCs/>
        </w:rPr>
        <w:t>Id</w:t>
      </w:r>
      <w:r w:rsidRPr="00B60AD9">
        <w:t>. para. 86.</w:t>
      </w:r>
    </w:p>
  </w:footnote>
  <w:footnote w:id="502">
    <w:p w:rsidR="00756CCD" w:rsidRPr="00B60AD9" w:rsidP="00756CCD" w14:paraId="43F91A2F" w14:textId="77777777">
      <w:pPr>
        <w:pStyle w:val="FootnoteText"/>
      </w:pPr>
      <w:r w:rsidRPr="00B60AD9">
        <w:rPr>
          <w:rStyle w:val="FootnoteReference"/>
        </w:rPr>
        <w:footnoteRef/>
      </w:r>
      <w:r w:rsidRPr="00B60AD9">
        <w:t xml:space="preserve"> </w:t>
      </w:r>
      <w:r w:rsidRPr="00B60AD9">
        <w:rPr>
          <w:i/>
          <w:iCs/>
        </w:rPr>
        <w:t>Id</w:t>
      </w:r>
      <w:r w:rsidRPr="00B60AD9">
        <w:t>. paras. 87-92.</w:t>
      </w:r>
    </w:p>
  </w:footnote>
  <w:footnote w:id="503">
    <w:p w:rsidR="00756CCD" w:rsidRPr="00B60AD9" w:rsidP="00756CCD" w14:paraId="466E5F61" w14:textId="77777777">
      <w:pPr>
        <w:pStyle w:val="FootnoteText"/>
      </w:pPr>
      <w:r w:rsidRPr="00B60AD9">
        <w:rPr>
          <w:rStyle w:val="FootnoteReference"/>
        </w:rPr>
        <w:footnoteRef/>
      </w:r>
      <w:r w:rsidRPr="00B60AD9">
        <w:t xml:space="preserve"> </w:t>
      </w:r>
      <w:r w:rsidRPr="00B60AD9">
        <w:rPr>
          <w:i/>
          <w:iCs/>
        </w:rPr>
        <w:t xml:space="preserve">Id. </w:t>
      </w:r>
      <w:r w:rsidRPr="00B60AD9">
        <w:t>para. 86.</w:t>
      </w:r>
    </w:p>
  </w:footnote>
  <w:footnote w:id="504">
    <w:p w:rsidR="00756CCD" w:rsidRPr="00B60AD9" w:rsidP="00756CCD" w14:paraId="134DF212" w14:textId="77777777">
      <w:pPr>
        <w:pStyle w:val="FootnoteText"/>
      </w:pPr>
      <w:r w:rsidRPr="00B60AD9">
        <w:rPr>
          <w:rStyle w:val="FootnoteReference"/>
        </w:rPr>
        <w:footnoteRef/>
      </w:r>
      <w:r w:rsidRPr="00B60AD9">
        <w:t xml:space="preserve"> </w:t>
      </w:r>
      <w:r w:rsidRPr="00B60AD9">
        <w:rPr>
          <w:i/>
          <w:iCs/>
        </w:rPr>
        <w:t>Id</w:t>
      </w:r>
      <w:r w:rsidRPr="00B60A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E40E16" w14:textId="138FA2DC">
    <w:pPr>
      <w:pStyle w:val="Header"/>
      <w:rPr>
        <w:b w:val="0"/>
      </w:rPr>
    </w:pPr>
    <w:r>
      <w:tab/>
      <w:t>Federal Communications Commission</w:t>
    </w:r>
    <w:r>
      <w:tab/>
    </w:r>
    <w:r w:rsidR="00CC5237">
      <w:t>FCC 23-</w:t>
    </w:r>
    <w:r w:rsidR="00C47A9E">
      <w:t>75</w:t>
    </w:r>
  </w:p>
  <w:p w:rsidR="00D25FB5" w:rsidRPr="00756CCD" w:rsidP="00756CCD" w14:paraId="13BBF73B" w14:textId="4C16850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BFAC29" w14:textId="19B81B2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237">
      <w:rPr>
        <w:spacing w:val="-2"/>
      </w:rPr>
      <w:t>FCC 23-</w:t>
    </w:r>
    <w:r w:rsidR="00C47A9E">
      <w:rPr>
        <w:spacing w:val="-2"/>
      </w:rPr>
      <w:t>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1F5F45" w14:textId="2E3EE6E1">
    <w:pPr>
      <w:pStyle w:val="Header"/>
      <w:rPr>
        <w:b w:val="0"/>
      </w:rPr>
    </w:pPr>
    <w:r>
      <w:tab/>
      <w:t>Federal Communications Commission</w:t>
    </w:r>
    <w:r>
      <w:tab/>
    </w:r>
    <w:r w:rsidR="00DD08E9">
      <w:t>FCC 23-75</w:t>
    </w:r>
  </w:p>
  <w:p w:rsidR="00D25FB5" w14:paraId="1096AF1D"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7FC8A53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9F8EB0"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C85E83"/>
    <w:multiLevelType w:val="hybridMultilevel"/>
    <w:tmpl w:val="05C47646"/>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0AB752B7"/>
    <w:multiLevelType w:val="multilevel"/>
    <w:tmpl w:val="0B98FFFA"/>
    <w:lvl w:ilvl="0">
      <w:start w:val="7"/>
      <w:numFmt w:val="lowerLetter"/>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lowerRoman"/>
      <w:suff w:val="space"/>
      <w:lvlText w:val="(%3)"/>
      <w:lvlJc w:val="left"/>
      <w:pPr>
        <w:ind w:left="0" w:firstLine="0"/>
      </w:pPr>
      <w:rPr>
        <w:rFonts w:hint="default"/>
      </w:rPr>
    </w:lvl>
    <w:lvl w:ilvl="3">
      <w:start w:val="1"/>
      <w:numFmt w:val="upperLetter"/>
      <w:suff w:val="space"/>
      <w:lvlText w:val="(%4)"/>
      <w:lvlJc w:val="left"/>
      <w:pPr>
        <w:ind w:left="0" w:firstLine="0"/>
      </w:pPr>
      <w:rPr>
        <w:rFonts w:hint="default"/>
        <w:sz w:val="22"/>
        <w:szCs w:val="22"/>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1F0115DC"/>
    <w:multiLevelType w:val="hybridMultilevel"/>
    <w:tmpl w:val="7576C5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0E3DE5"/>
    <w:multiLevelType w:val="hybridMultilevel"/>
    <w:tmpl w:val="60FAAB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E06CBB"/>
    <w:multiLevelType w:val="multilevel"/>
    <w:tmpl w:val="944471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rPr>
        <w:i w:val="0"/>
        <w:iCs w:val="0"/>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bCs/>
      </w:r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272426"/>
    <w:multiLevelType w:val="multilevel"/>
    <w:tmpl w:val="EFA8C68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i w:val="0"/>
        <w:iCs w:val="0"/>
      </w:rPr>
    </w:lvl>
    <w:lvl w:ilvl="2">
      <w:start w:val="1"/>
      <w:numFmt w:val="decimal"/>
      <w:lvlText w:val="%3."/>
      <w:lvlJc w:val="left"/>
      <w:pPr>
        <w:tabs>
          <w:tab w:val="num" w:pos="2160"/>
        </w:tabs>
        <w:ind w:left="2160" w:hanging="720"/>
      </w:pPr>
    </w:lvl>
    <w:lvl w:ilvl="3">
      <w:start w:val="1"/>
      <w:numFmt w:val="lowerLetter"/>
      <w:lvlText w:val="%4."/>
      <w:lvlJc w:val="left"/>
      <w:pPr>
        <w:tabs>
          <w:tab w:val="num" w:pos="1440"/>
        </w:tabs>
        <w:ind w:left="1440" w:hanging="720"/>
      </w:pPr>
      <w:rPr>
        <w:rFonts w:ascii="Times New Roman" w:eastAsia="Times New Roman" w:hAnsi="Times New Roman" w:cs="Times New Roman"/>
        <w:b w:val="0"/>
        <w:bCs/>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78778D"/>
    <w:multiLevelType w:val="hybridMultilevel"/>
    <w:tmpl w:val="05DC21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2CF1669"/>
    <w:multiLevelType w:val="hybridMultilevel"/>
    <w:tmpl w:val="DA8CD3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CE5810"/>
    <w:multiLevelType w:val="hybridMultilevel"/>
    <w:tmpl w:val="6E8C4F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D0CEF034"/>
    <w:lvl w:ilvl="0">
      <w:start w:val="1"/>
      <w:numFmt w:val="decimal"/>
      <w:pStyle w:val="ParaNum"/>
      <w:lvlText w:val="%1."/>
      <w:lvlJc w:val="left"/>
      <w:pPr>
        <w:tabs>
          <w:tab w:val="num" w:pos="1080"/>
        </w:tabs>
        <w:ind w:left="0" w:firstLine="720"/>
      </w:pPr>
      <w:rPr>
        <w:b w:val="0"/>
        <w:bCs w:val="0"/>
        <w:i w:val="0"/>
        <w:iCs w:val="0"/>
      </w:rPr>
    </w:lvl>
  </w:abstractNum>
  <w:abstractNum w:abstractNumId="14">
    <w:nsid w:val="72CB32EC"/>
    <w:multiLevelType w:val="hybridMultilevel"/>
    <w:tmpl w:val="6C684480"/>
    <w:lvl w:ilvl="0">
      <w:start w:val="1"/>
      <w:numFmt w:val="bullet"/>
      <w:lvlText w:val=""/>
      <w:lvlJc w:val="left"/>
      <w:pPr>
        <w:ind w:left="720" w:hanging="360"/>
      </w:pPr>
      <w:rPr>
        <w:rFonts w:ascii="Symbol" w:hAnsi="Symbol" w:hint="default"/>
        <w:i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CF69E3"/>
    <w:multiLevelType w:val="multilevel"/>
    <w:tmpl w:val="123CCB50"/>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i w:val="0"/>
        <w:iCs w:val="0"/>
      </w:rPr>
    </w:lvl>
    <w:lvl w:ilvl="2">
      <w:start w:val="1"/>
      <w:numFmt w:val="decimal"/>
      <w:lvlText w:val="%3."/>
      <w:lvlJc w:val="left"/>
      <w:pPr>
        <w:tabs>
          <w:tab w:val="num" w:pos="2160"/>
        </w:tabs>
        <w:ind w:left="2160" w:hanging="720"/>
      </w:pPr>
    </w:lvl>
    <w:lvl w:ilvl="3">
      <w:start w:val="1"/>
      <w:numFmt w:val="lowerLetter"/>
      <w:lvlText w:val="%4."/>
      <w:lvlJc w:val="left"/>
      <w:pPr>
        <w:tabs>
          <w:tab w:val="num" w:pos="1530"/>
        </w:tabs>
        <w:ind w:left="1530" w:hanging="720"/>
      </w:pPr>
      <w:rPr>
        <w:rFonts w:ascii="Times New Roman" w:eastAsia="Times New Roman" w:hAnsi="Times New Roman" w:cs="Times New Roman"/>
        <w:b w:val="0"/>
        <w:bCs/>
      </w:r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4"/>
  </w:num>
  <w:num w:numId="2">
    <w:abstractNumId w:val="13"/>
  </w:num>
  <w:num w:numId="3">
    <w:abstractNumId w:val="7"/>
  </w:num>
  <w:num w:numId="4">
    <w:abstractNumId w:val="9"/>
  </w:num>
  <w:num w:numId="5">
    <w:abstractNumId w:val="5"/>
  </w:num>
  <w:num w:numId="6">
    <w:abstractNumId w:val="0"/>
  </w:num>
  <w:num w:numId="7">
    <w:abstractNumId w:val="14"/>
  </w:num>
  <w:num w:numId="8">
    <w:abstractNumId w:val="12"/>
  </w:num>
  <w:num w:numId="9">
    <w:abstractNumId w:val="13"/>
    <w:lvlOverride w:ilvl="0">
      <w:startOverride w:val="1"/>
    </w:lvlOverride>
  </w:num>
  <w:num w:numId="10">
    <w:abstractNumId w:val="11"/>
  </w:num>
  <w:num w:numId="11">
    <w:abstractNumId w:val="13"/>
    <w:lvlOverride w:ilvl="0">
      <w:startOverride w:val="1"/>
    </w:lvlOverride>
  </w:num>
  <w:num w:numId="12">
    <w:abstractNumId w:val="10"/>
  </w:num>
  <w:num w:numId="13">
    <w:abstractNumId w:val="3"/>
  </w:num>
  <w:num w:numId="14">
    <w:abstractNumId w:val="1"/>
  </w:num>
  <w:num w:numId="15">
    <w:abstractNumId w:val="6"/>
  </w:num>
  <w:num w:numId="16">
    <w:abstractNumId w:val="2"/>
  </w:num>
  <w:num w:numId="17">
    <w:abstractNumId w:val="13"/>
    <w:lvlOverride w:ilvl="0">
      <w:startOverride w:val="1"/>
    </w:lvlOverride>
  </w:num>
  <w:num w:numId="18">
    <w:abstractNumId w:val="13"/>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807AE"/>
    <w:rsid w:val="000026AD"/>
    <w:rsid w:val="00002C1D"/>
    <w:rsid w:val="000159DD"/>
    <w:rsid w:val="00027787"/>
    <w:rsid w:val="00036039"/>
    <w:rsid w:val="00036C58"/>
    <w:rsid w:val="00037F90"/>
    <w:rsid w:val="00071FE2"/>
    <w:rsid w:val="00075404"/>
    <w:rsid w:val="00076FB5"/>
    <w:rsid w:val="00080FB3"/>
    <w:rsid w:val="0008471E"/>
    <w:rsid w:val="00084E6D"/>
    <w:rsid w:val="000875BF"/>
    <w:rsid w:val="00095F4B"/>
    <w:rsid w:val="00096D8C"/>
    <w:rsid w:val="000B1D8F"/>
    <w:rsid w:val="000B2B97"/>
    <w:rsid w:val="000C0B65"/>
    <w:rsid w:val="000C1B45"/>
    <w:rsid w:val="000D684C"/>
    <w:rsid w:val="000E05FE"/>
    <w:rsid w:val="000E0D14"/>
    <w:rsid w:val="000E3D42"/>
    <w:rsid w:val="0011211D"/>
    <w:rsid w:val="00113817"/>
    <w:rsid w:val="00122BD5"/>
    <w:rsid w:val="00133F79"/>
    <w:rsid w:val="001517E3"/>
    <w:rsid w:val="0017296B"/>
    <w:rsid w:val="00181B5E"/>
    <w:rsid w:val="00182C16"/>
    <w:rsid w:val="00184F9B"/>
    <w:rsid w:val="00185016"/>
    <w:rsid w:val="00187482"/>
    <w:rsid w:val="001875F4"/>
    <w:rsid w:val="00187763"/>
    <w:rsid w:val="00194A66"/>
    <w:rsid w:val="001A4A62"/>
    <w:rsid w:val="001A62D7"/>
    <w:rsid w:val="001B6AB6"/>
    <w:rsid w:val="001C0523"/>
    <w:rsid w:val="001D6BCF"/>
    <w:rsid w:val="001E01CA"/>
    <w:rsid w:val="001E1AC4"/>
    <w:rsid w:val="001F0E75"/>
    <w:rsid w:val="0020131D"/>
    <w:rsid w:val="00205840"/>
    <w:rsid w:val="00223522"/>
    <w:rsid w:val="002247B8"/>
    <w:rsid w:val="00234866"/>
    <w:rsid w:val="00235B47"/>
    <w:rsid w:val="00254D43"/>
    <w:rsid w:val="00255F6A"/>
    <w:rsid w:val="00275771"/>
    <w:rsid w:val="00275CF5"/>
    <w:rsid w:val="0028159C"/>
    <w:rsid w:val="0028301F"/>
    <w:rsid w:val="00285017"/>
    <w:rsid w:val="002A2D2E"/>
    <w:rsid w:val="002B403D"/>
    <w:rsid w:val="002B69C9"/>
    <w:rsid w:val="002B6BD8"/>
    <w:rsid w:val="002C00E8"/>
    <w:rsid w:val="002C0D9B"/>
    <w:rsid w:val="002C19FF"/>
    <w:rsid w:val="002C48A7"/>
    <w:rsid w:val="002D39F3"/>
    <w:rsid w:val="002D6A1F"/>
    <w:rsid w:val="002D756C"/>
    <w:rsid w:val="002E4F60"/>
    <w:rsid w:val="002E59BE"/>
    <w:rsid w:val="002E7525"/>
    <w:rsid w:val="002F1EA3"/>
    <w:rsid w:val="002F7E75"/>
    <w:rsid w:val="00303064"/>
    <w:rsid w:val="00323A40"/>
    <w:rsid w:val="00332EEE"/>
    <w:rsid w:val="00337FD7"/>
    <w:rsid w:val="00343749"/>
    <w:rsid w:val="00343BF4"/>
    <w:rsid w:val="00353D83"/>
    <w:rsid w:val="003660ED"/>
    <w:rsid w:val="00370B19"/>
    <w:rsid w:val="003B0550"/>
    <w:rsid w:val="003B1F31"/>
    <w:rsid w:val="003B694F"/>
    <w:rsid w:val="003C22BC"/>
    <w:rsid w:val="003D1E85"/>
    <w:rsid w:val="003D6239"/>
    <w:rsid w:val="003F0FDF"/>
    <w:rsid w:val="003F171C"/>
    <w:rsid w:val="003F62D0"/>
    <w:rsid w:val="00405109"/>
    <w:rsid w:val="0041082B"/>
    <w:rsid w:val="00412FC5"/>
    <w:rsid w:val="00422276"/>
    <w:rsid w:val="004242F1"/>
    <w:rsid w:val="00432E67"/>
    <w:rsid w:val="00445A00"/>
    <w:rsid w:val="00451B0F"/>
    <w:rsid w:val="00455C26"/>
    <w:rsid w:val="00460F0D"/>
    <w:rsid w:val="00496A9A"/>
    <w:rsid w:val="004A4F13"/>
    <w:rsid w:val="004C2EE3"/>
    <w:rsid w:val="004E4A22"/>
    <w:rsid w:val="004F5711"/>
    <w:rsid w:val="0050308E"/>
    <w:rsid w:val="00511968"/>
    <w:rsid w:val="005445E2"/>
    <w:rsid w:val="0055116D"/>
    <w:rsid w:val="0055614C"/>
    <w:rsid w:val="00556A69"/>
    <w:rsid w:val="005577AD"/>
    <w:rsid w:val="00566D06"/>
    <w:rsid w:val="00570B4B"/>
    <w:rsid w:val="00581F42"/>
    <w:rsid w:val="005E0E7A"/>
    <w:rsid w:val="005E14C2"/>
    <w:rsid w:val="005E4A24"/>
    <w:rsid w:val="005E53C3"/>
    <w:rsid w:val="00600230"/>
    <w:rsid w:val="006017B9"/>
    <w:rsid w:val="00607BA5"/>
    <w:rsid w:val="00610B74"/>
    <w:rsid w:val="0061180A"/>
    <w:rsid w:val="00611F33"/>
    <w:rsid w:val="00626EB6"/>
    <w:rsid w:val="0063211E"/>
    <w:rsid w:val="006359E6"/>
    <w:rsid w:val="006438D7"/>
    <w:rsid w:val="00646E18"/>
    <w:rsid w:val="00654E9F"/>
    <w:rsid w:val="00655528"/>
    <w:rsid w:val="00655D03"/>
    <w:rsid w:val="00664CC4"/>
    <w:rsid w:val="00666BBF"/>
    <w:rsid w:val="006807AE"/>
    <w:rsid w:val="00683388"/>
    <w:rsid w:val="00683F84"/>
    <w:rsid w:val="00686037"/>
    <w:rsid w:val="00686578"/>
    <w:rsid w:val="006A6A81"/>
    <w:rsid w:val="006B3B66"/>
    <w:rsid w:val="006D3105"/>
    <w:rsid w:val="006D5796"/>
    <w:rsid w:val="006E6B79"/>
    <w:rsid w:val="006F7393"/>
    <w:rsid w:val="0070224F"/>
    <w:rsid w:val="007115F7"/>
    <w:rsid w:val="007134F8"/>
    <w:rsid w:val="00724222"/>
    <w:rsid w:val="00731C2B"/>
    <w:rsid w:val="00732C42"/>
    <w:rsid w:val="0075394A"/>
    <w:rsid w:val="00754C98"/>
    <w:rsid w:val="00756CCD"/>
    <w:rsid w:val="007711DA"/>
    <w:rsid w:val="00777813"/>
    <w:rsid w:val="0078145D"/>
    <w:rsid w:val="00785689"/>
    <w:rsid w:val="0079754B"/>
    <w:rsid w:val="007A1E6D"/>
    <w:rsid w:val="007B0EB2"/>
    <w:rsid w:val="007C5D63"/>
    <w:rsid w:val="007F1C09"/>
    <w:rsid w:val="00801DD5"/>
    <w:rsid w:val="00810097"/>
    <w:rsid w:val="00810B6F"/>
    <w:rsid w:val="00822CE0"/>
    <w:rsid w:val="00823082"/>
    <w:rsid w:val="00826DA9"/>
    <w:rsid w:val="008375FA"/>
    <w:rsid w:val="00841AB1"/>
    <w:rsid w:val="008519E6"/>
    <w:rsid w:val="008540A8"/>
    <w:rsid w:val="008712B6"/>
    <w:rsid w:val="008737E4"/>
    <w:rsid w:val="00876922"/>
    <w:rsid w:val="00877D44"/>
    <w:rsid w:val="008870C3"/>
    <w:rsid w:val="00887C6A"/>
    <w:rsid w:val="008979E4"/>
    <w:rsid w:val="008C296F"/>
    <w:rsid w:val="008C3C5F"/>
    <w:rsid w:val="008C68F1"/>
    <w:rsid w:val="008E6F46"/>
    <w:rsid w:val="008F27C0"/>
    <w:rsid w:val="008F5CA0"/>
    <w:rsid w:val="009040F0"/>
    <w:rsid w:val="00921803"/>
    <w:rsid w:val="00926503"/>
    <w:rsid w:val="00946AFC"/>
    <w:rsid w:val="009726D8"/>
    <w:rsid w:val="00990945"/>
    <w:rsid w:val="00992AE5"/>
    <w:rsid w:val="009B2949"/>
    <w:rsid w:val="009B5A8B"/>
    <w:rsid w:val="009B74F9"/>
    <w:rsid w:val="009D10CC"/>
    <w:rsid w:val="009D2D66"/>
    <w:rsid w:val="009D7308"/>
    <w:rsid w:val="009E0871"/>
    <w:rsid w:val="009E4891"/>
    <w:rsid w:val="009E557A"/>
    <w:rsid w:val="009F0A04"/>
    <w:rsid w:val="009F442C"/>
    <w:rsid w:val="009F76DB"/>
    <w:rsid w:val="00A01385"/>
    <w:rsid w:val="00A1638C"/>
    <w:rsid w:val="00A30951"/>
    <w:rsid w:val="00A32C3B"/>
    <w:rsid w:val="00A34690"/>
    <w:rsid w:val="00A3614D"/>
    <w:rsid w:val="00A37A33"/>
    <w:rsid w:val="00A45F4F"/>
    <w:rsid w:val="00A50ACC"/>
    <w:rsid w:val="00A600A9"/>
    <w:rsid w:val="00A60981"/>
    <w:rsid w:val="00AA4EF7"/>
    <w:rsid w:val="00AA55B7"/>
    <w:rsid w:val="00AA5B9E"/>
    <w:rsid w:val="00AA5BB8"/>
    <w:rsid w:val="00AA7E68"/>
    <w:rsid w:val="00AB2407"/>
    <w:rsid w:val="00AB53DF"/>
    <w:rsid w:val="00AC368C"/>
    <w:rsid w:val="00AC5A0A"/>
    <w:rsid w:val="00AD6BB8"/>
    <w:rsid w:val="00AE0745"/>
    <w:rsid w:val="00AF629B"/>
    <w:rsid w:val="00B07E5C"/>
    <w:rsid w:val="00B14851"/>
    <w:rsid w:val="00B343A9"/>
    <w:rsid w:val="00B43AF3"/>
    <w:rsid w:val="00B54E3C"/>
    <w:rsid w:val="00B60AD9"/>
    <w:rsid w:val="00B643EC"/>
    <w:rsid w:val="00B807F5"/>
    <w:rsid w:val="00B811F7"/>
    <w:rsid w:val="00B907F0"/>
    <w:rsid w:val="00BA5DC6"/>
    <w:rsid w:val="00BA6196"/>
    <w:rsid w:val="00BA78E9"/>
    <w:rsid w:val="00BB055D"/>
    <w:rsid w:val="00BB795B"/>
    <w:rsid w:val="00BC6D8C"/>
    <w:rsid w:val="00BF483E"/>
    <w:rsid w:val="00BF5C3E"/>
    <w:rsid w:val="00C00FB9"/>
    <w:rsid w:val="00C01E68"/>
    <w:rsid w:val="00C227E5"/>
    <w:rsid w:val="00C23FFC"/>
    <w:rsid w:val="00C32695"/>
    <w:rsid w:val="00C34006"/>
    <w:rsid w:val="00C363DA"/>
    <w:rsid w:val="00C36B4C"/>
    <w:rsid w:val="00C426B1"/>
    <w:rsid w:val="00C47A9E"/>
    <w:rsid w:val="00C51A14"/>
    <w:rsid w:val="00C55B1D"/>
    <w:rsid w:val="00C66160"/>
    <w:rsid w:val="00C6787A"/>
    <w:rsid w:val="00C67AD0"/>
    <w:rsid w:val="00C721AC"/>
    <w:rsid w:val="00C80205"/>
    <w:rsid w:val="00C849A6"/>
    <w:rsid w:val="00C90D6A"/>
    <w:rsid w:val="00CA247E"/>
    <w:rsid w:val="00CA6D21"/>
    <w:rsid w:val="00CA7C79"/>
    <w:rsid w:val="00CB1F9A"/>
    <w:rsid w:val="00CB6427"/>
    <w:rsid w:val="00CB6C32"/>
    <w:rsid w:val="00CC5237"/>
    <w:rsid w:val="00CC642D"/>
    <w:rsid w:val="00CC72B6"/>
    <w:rsid w:val="00D0218D"/>
    <w:rsid w:val="00D0745E"/>
    <w:rsid w:val="00D15773"/>
    <w:rsid w:val="00D25FB5"/>
    <w:rsid w:val="00D303B6"/>
    <w:rsid w:val="00D402EC"/>
    <w:rsid w:val="00D41E36"/>
    <w:rsid w:val="00D44223"/>
    <w:rsid w:val="00D66670"/>
    <w:rsid w:val="00D83592"/>
    <w:rsid w:val="00DA2529"/>
    <w:rsid w:val="00DB130A"/>
    <w:rsid w:val="00DB2EBB"/>
    <w:rsid w:val="00DC10A1"/>
    <w:rsid w:val="00DC5E18"/>
    <w:rsid w:val="00DC655F"/>
    <w:rsid w:val="00DD08E9"/>
    <w:rsid w:val="00DD0B59"/>
    <w:rsid w:val="00DD7EBD"/>
    <w:rsid w:val="00DE2C91"/>
    <w:rsid w:val="00DE3938"/>
    <w:rsid w:val="00DE42D1"/>
    <w:rsid w:val="00DF0BCF"/>
    <w:rsid w:val="00DF62B6"/>
    <w:rsid w:val="00DF7371"/>
    <w:rsid w:val="00E00FF6"/>
    <w:rsid w:val="00E07225"/>
    <w:rsid w:val="00E31E75"/>
    <w:rsid w:val="00E33B9C"/>
    <w:rsid w:val="00E36E24"/>
    <w:rsid w:val="00E44A0A"/>
    <w:rsid w:val="00E466E0"/>
    <w:rsid w:val="00E5409F"/>
    <w:rsid w:val="00E67E71"/>
    <w:rsid w:val="00E74984"/>
    <w:rsid w:val="00E85B0D"/>
    <w:rsid w:val="00E91A8B"/>
    <w:rsid w:val="00E92E25"/>
    <w:rsid w:val="00E95AC4"/>
    <w:rsid w:val="00EB4679"/>
    <w:rsid w:val="00EC11BD"/>
    <w:rsid w:val="00EE53E6"/>
    <w:rsid w:val="00EE6488"/>
    <w:rsid w:val="00EE65E4"/>
    <w:rsid w:val="00EF6B0B"/>
    <w:rsid w:val="00F021FA"/>
    <w:rsid w:val="00F0718E"/>
    <w:rsid w:val="00F14F08"/>
    <w:rsid w:val="00F23BB4"/>
    <w:rsid w:val="00F24665"/>
    <w:rsid w:val="00F309F7"/>
    <w:rsid w:val="00F31D50"/>
    <w:rsid w:val="00F34E95"/>
    <w:rsid w:val="00F371A5"/>
    <w:rsid w:val="00F507D2"/>
    <w:rsid w:val="00F537A9"/>
    <w:rsid w:val="00F53C01"/>
    <w:rsid w:val="00F62E97"/>
    <w:rsid w:val="00F63EF8"/>
    <w:rsid w:val="00F64209"/>
    <w:rsid w:val="00F81458"/>
    <w:rsid w:val="00F91A14"/>
    <w:rsid w:val="00F93BF5"/>
    <w:rsid w:val="00FA575B"/>
    <w:rsid w:val="00FB4B8A"/>
    <w:rsid w:val="00FD4A29"/>
    <w:rsid w:val="00FE1AD4"/>
    <w:rsid w:val="00FE63AC"/>
    <w:rsid w:val="00FF2955"/>
    <w:rsid w:val="04657605"/>
    <w:rsid w:val="0A818E49"/>
    <w:rsid w:val="0B118B29"/>
    <w:rsid w:val="11957B42"/>
    <w:rsid w:val="16B7DBAA"/>
    <w:rsid w:val="1788213D"/>
    <w:rsid w:val="1C32F594"/>
    <w:rsid w:val="262D79EA"/>
    <w:rsid w:val="2FC37315"/>
    <w:rsid w:val="30613E6B"/>
    <w:rsid w:val="32921BF6"/>
    <w:rsid w:val="383B3BE7"/>
    <w:rsid w:val="3A63744E"/>
    <w:rsid w:val="3AEA72FA"/>
    <w:rsid w:val="45BF94E8"/>
    <w:rsid w:val="48457549"/>
    <w:rsid w:val="652B3F24"/>
    <w:rsid w:val="65F21CF3"/>
    <w:rsid w:val="6B478506"/>
    <w:rsid w:val="6C3D5083"/>
    <w:rsid w:val="6E5AF21C"/>
    <w:rsid w:val="762A295A"/>
    <w:rsid w:val="79387DAB"/>
    <w:rsid w:val="7B0082BE"/>
    <w:rsid w:val="7E45B7C7"/>
    <w:rsid w:val="7E6B74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F8436E"/>
  <w15:chartTrackingRefBased/>
  <w15:docId w15:val="{2245B7A2-852F-470D-B0FE-B104680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87C6A"/>
    <w:pPr>
      <w:keepNext/>
      <w:numPr>
        <w:ilvl w:val="1"/>
        <w:numId w:val="20"/>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6807AE"/>
  </w:style>
  <w:style w:type="character" w:customStyle="1" w:styleId="ParaNumChar">
    <w:name w:val="ParaNum Char"/>
    <w:link w:val="ParaNum"/>
    <w:locked/>
    <w:rsid w:val="006807AE"/>
    <w:rPr>
      <w:snapToGrid w:val="0"/>
      <w:kern w:val="28"/>
      <w:sz w:val="22"/>
    </w:rPr>
  </w:style>
  <w:style w:type="paragraph" w:styleId="ListParagraph">
    <w:name w:val="List Paragraph"/>
    <w:basedOn w:val="Normal"/>
    <w:link w:val="ListParagraphChar"/>
    <w:uiPriority w:val="34"/>
    <w:qFormat/>
    <w:rsid w:val="006807AE"/>
    <w:pPr>
      <w:widowControl/>
      <w:spacing w:after="160" w:line="259" w:lineRule="auto"/>
      <w:ind w:left="720"/>
      <w:contextualSpacing/>
    </w:pPr>
    <w:rPr>
      <w:rFonts w:ascii="Calibri" w:eastAsia="Calibri" w:hAnsi="Calibri"/>
      <w:snapToGrid/>
      <w:kern w:val="0"/>
      <w:szCs w:val="22"/>
    </w:rPr>
  </w:style>
  <w:style w:type="character" w:customStyle="1" w:styleId="ListParagraphChar">
    <w:name w:val="List Paragraph Char"/>
    <w:link w:val="ListParagraph"/>
    <w:uiPriority w:val="34"/>
    <w:rsid w:val="006807AE"/>
    <w:rPr>
      <w:rFonts w:ascii="Calibri" w:eastAsia="Calibri" w:hAnsi="Calibri"/>
      <w:sz w:val="22"/>
      <w:szCs w:val="22"/>
    </w:rPr>
  </w:style>
  <w:style w:type="character" w:customStyle="1" w:styleId="normaltextrun">
    <w:name w:val="normaltextrun"/>
    <w:rsid w:val="006807AE"/>
  </w:style>
  <w:style w:type="character" w:styleId="Emphasis">
    <w:name w:val="Emphasis"/>
    <w:uiPriority w:val="20"/>
    <w:qFormat/>
    <w:rsid w:val="006807AE"/>
    <w:rPr>
      <w:i/>
      <w:iCs/>
    </w:rPr>
  </w:style>
  <w:style w:type="character" w:customStyle="1" w:styleId="cf01">
    <w:name w:val="cf01"/>
    <w:rsid w:val="006807AE"/>
    <w:rPr>
      <w:rFonts w:ascii="Segoe UI" w:hAnsi="Segoe UI" w:cs="Segoe UI" w:hint="default"/>
      <w:sz w:val="18"/>
      <w:szCs w:val="18"/>
    </w:rPr>
  </w:style>
  <w:style w:type="character" w:customStyle="1" w:styleId="counderline">
    <w:name w:val="co_underline"/>
    <w:basedOn w:val="DefaultParagraphFont"/>
    <w:rsid w:val="00756CCD"/>
  </w:style>
  <w:style w:type="character" w:customStyle="1" w:styleId="StyleFootnoteReferenceNECGFootnoteReference-EFunotenzeiche">
    <w:name w:val="Style Footnote Reference(NECG) Footnote Reference-E Funotenzeiche..."/>
    <w:rsid w:val="00756CCD"/>
    <w:rPr>
      <w:rFonts w:ascii="Times New Roman" w:hAnsi="Times New Roman"/>
      <w:dstrike w:val="0"/>
      <w:color w:val="auto"/>
      <w:sz w:val="20"/>
      <w:vertAlign w:val="superscript"/>
    </w:rPr>
  </w:style>
  <w:style w:type="character" w:customStyle="1" w:styleId="Footnote">
    <w:name w:val="Footnote"/>
    <w:rsid w:val="00756CCD"/>
  </w:style>
  <w:style w:type="character" w:styleId="Strong">
    <w:name w:val="Strong"/>
    <w:uiPriority w:val="22"/>
    <w:qFormat/>
    <w:rsid w:val="00756CCD"/>
    <w:rPr>
      <w:b/>
    </w:rPr>
  </w:style>
  <w:style w:type="character" w:customStyle="1" w:styleId="documentbody1">
    <w:name w:val="documentbody1"/>
    <w:rsid w:val="00756CCD"/>
    <w:rPr>
      <w:rFonts w:ascii="Verdana" w:hAnsi="Verdana" w:hint="default"/>
      <w:sz w:val="19"/>
      <w:szCs w:val="19"/>
      <w:shd w:val="clear" w:color="auto" w:fill="FFFFFF"/>
    </w:rPr>
  </w:style>
  <w:style w:type="character" w:customStyle="1" w:styleId="StyleParaNum11pt1CharCharCharCharCharCharChar">
    <w:name w:val="Style ParaNum + 11 pt1 Char Char Char Char Char Char Char"/>
    <w:link w:val="StyleParaNum11pt1CharCharCharCharCharChar"/>
    <w:rsid w:val="00756CCD"/>
    <w:rPr>
      <w:kern w:val="28"/>
      <w:sz w:val="22"/>
    </w:rPr>
  </w:style>
  <w:style w:type="paragraph" w:customStyle="1" w:styleId="StyleParaNum11pt1CharCharCharCharCharChar">
    <w:name w:val="Style ParaNum + 11 pt1 Char Char Char Char Char Char"/>
    <w:basedOn w:val="Normal"/>
    <w:link w:val="StyleParaNum11pt1CharCharCharCharCharCharChar"/>
    <w:rsid w:val="00756CCD"/>
    <w:pPr>
      <w:tabs>
        <w:tab w:val="num" w:pos="720"/>
        <w:tab w:val="left" w:pos="1080"/>
      </w:tabs>
      <w:spacing w:after="240"/>
      <w:ind w:firstLine="360"/>
    </w:pPr>
    <w:rPr>
      <w:snapToGrid/>
    </w:rPr>
  </w:style>
  <w:style w:type="character" w:styleId="CommentReference">
    <w:name w:val="annotation reference"/>
    <w:rsid w:val="00275771"/>
    <w:rPr>
      <w:sz w:val="16"/>
      <w:szCs w:val="16"/>
    </w:rPr>
  </w:style>
  <w:style w:type="paragraph" w:styleId="CommentText">
    <w:name w:val="annotation text"/>
    <w:basedOn w:val="Normal"/>
    <w:link w:val="CommentTextChar"/>
    <w:rsid w:val="00275771"/>
    <w:rPr>
      <w:sz w:val="20"/>
    </w:rPr>
  </w:style>
  <w:style w:type="character" w:customStyle="1" w:styleId="CommentTextChar">
    <w:name w:val="Comment Text Char"/>
    <w:link w:val="CommentText"/>
    <w:rsid w:val="00275771"/>
    <w:rPr>
      <w:snapToGrid w:val="0"/>
      <w:kern w:val="28"/>
    </w:rPr>
  </w:style>
  <w:style w:type="paragraph" w:styleId="Revision">
    <w:name w:val="Revision"/>
    <w:hidden/>
    <w:uiPriority w:val="99"/>
    <w:semiHidden/>
    <w:rsid w:val="00A013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mason.shefa@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4.xml" /><Relationship Id="rId24" Type="http://schemas.openxmlformats.org/officeDocument/2006/relationships/footer" Target="footer9.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https://1.next.westlaw.com/Link/Document/FullText?findType=L&amp;pubNum=1000546&amp;cite=47USCAS227&amp;originatingDoc=I3c822af0f9d711eba2aadc85f7773760&amp;refType=RB&amp;originationContext=document&amp;transitionType=DocumentItem&amp;ppcid=6c73ec1ac3354d9283df5aa116d65c9f&amp;contextData=(sc.UserEnteredCitation)" TargetMode="External" /><Relationship Id="rId7" Type="http://schemas.openxmlformats.org/officeDocument/2006/relationships/hyperlink" Target="https://www.fcc.gov/ecfs/" TargetMode="External" /><Relationship Id="rId8" Type="http://schemas.openxmlformats.org/officeDocument/2006/relationships/hyperlink" Target="https://www.fcc.gov/document/fcc-closes-headquarters-open-window-and-changes-hand-delivery-policy" TargetMode="External" /><Relationship Id="rId9" Type="http://schemas.openxmlformats.org/officeDocument/2006/relationships/hyperlink" Target="file:///C:\Users\Callie.Coker\AppData\Local\Microsoft\Windows\INetCache\Content.Outlook\VHKMY7CQ\www.fcc.gov\ecfs"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2-1271A1.pdf" TargetMode="External" /><Relationship Id="rId10" Type="http://schemas.openxmlformats.org/officeDocument/2006/relationships/hyperlink" Target="https://www.fcc.gov/ecfs/filing/105190855208032" TargetMode="External" /><Relationship Id="rId11" Type="http://schemas.openxmlformats.org/officeDocument/2006/relationships/hyperlink" Target="https://licensing.fcc.gov/myibfs/download.do?attachment_key=1403175" TargetMode="External" /><Relationship Id="rId12" Type="http://schemas.openxmlformats.org/officeDocument/2006/relationships/hyperlink" Target="https://www.fcc.gov/ecfs/filing/103250408620404" TargetMode="External" /><Relationship Id="rId13" Type="http://schemas.openxmlformats.org/officeDocument/2006/relationships/hyperlink" Target="https://licensing.fcc.gov/myibfs/download.do?attachment_key=1577583" TargetMode="External" /><Relationship Id="rId14" Type="http://schemas.openxmlformats.org/officeDocument/2006/relationships/hyperlink" Target="https://www.fcc.gov/ecfs/filing/1110286733148" TargetMode="External" /><Relationship Id="rId15" Type="http://schemas.openxmlformats.org/officeDocument/2006/relationships/hyperlink" Target="https://www.fcc.gov/ecfs/filing/10219635126636" TargetMode="External" /><Relationship Id="rId16" Type="http://schemas.openxmlformats.org/officeDocument/2006/relationships/hyperlink" Target="https://www.fcc.gov/ecfs/filing/1050732674916" TargetMode="External" /><Relationship Id="rId17" Type="http://schemas.openxmlformats.org/officeDocument/2006/relationships/hyperlink" Target="http://nanc-chair.org/docs/mtg_docs/Jun17_NANC_Report_on_Foreign_Ownership_of_Interconnected_VOIP_Applicants.pdf" TargetMode="External" /><Relationship Id="rId18" Type="http://schemas.openxmlformats.org/officeDocument/2006/relationships/hyperlink" Target="https://www.westlaw.com/Link/Document/FullText?findType=L&amp;pubNum=1000547&amp;cite=47CFRS52.15&amp;originatingDoc=I3c822af0f9d711eba2aadc85f7773760&amp;refType=RB&amp;originationContext=document&amp;vr=3.0&amp;rs=cblt1.0&amp;transitionType=DocumentItem&amp;contextData=(sc.Default)" TargetMode="External" /><Relationship Id="rId19" Type="http://schemas.openxmlformats.org/officeDocument/2006/relationships/hyperlink" Target="https://www.westlaw.com/Link/Document/FullText?findType=Y&amp;serNum=2036528758&amp;pubNum=0004493&amp;originatingDoc=I3c822af0f9d711eba2aadc85f7773760&amp;refType=CA&amp;fi=co_pp_sp_4493_6859&amp;originationContext=document&amp;vr=3.0&amp;rs=cblt1.0&amp;transitionType=DocumentItem&amp;contextData=(sc.Default)" TargetMode="External" /><Relationship Id="rId2" Type="http://schemas.openxmlformats.org/officeDocument/2006/relationships/hyperlink" Target="https://www.fcc.gov/document/fcc-remove-companies-robocall-database-non-compliance" TargetMode="External" /><Relationship Id="rId20" Type="http://schemas.openxmlformats.org/officeDocument/2006/relationships/hyperlink" Target="https://www.reginfo.gov/public/do/DownloadDocument?objectID=109891201" TargetMode="External" /><Relationship Id="rId21" Type="http://schemas.openxmlformats.org/officeDocument/2006/relationships/hyperlink" Target="https://www.usac.org/service-providers/contributing-to-the-usf/forms-to-file/" TargetMode="External" /><Relationship Id="rId22" Type="http://schemas.openxmlformats.org/officeDocument/2006/relationships/hyperlink" Target="https://docs.fcc.gov/public/attachments/DOC-381790A1.pdf" TargetMode="External" /><Relationship Id="rId23" Type="http://schemas.openxmlformats.org/officeDocument/2006/relationships/hyperlink" Target="https://docs.fcc.gov/public/attachments/DOC-380426A1.pdf" TargetMode="External" /><Relationship Id="rId24" Type="http://schemas.openxmlformats.org/officeDocument/2006/relationships/hyperlink" Target="https://docs.fcc.gov/public/attachments/DOC-359227A1.pdf" TargetMode="External" /><Relationship Id="rId25" Type="http://schemas.openxmlformats.org/officeDocument/2006/relationships/hyperlink" Target="https://licensing.fcc.gov/myibfsdocs/ITCASG-SAMPLE-W.pdf" TargetMode="External" /><Relationship Id="rId26" Type="http://schemas.openxmlformats.org/officeDocument/2006/relationships/hyperlink" Target="https://1.next.westlaw.com/Link/Document/FullText?findType=L&amp;pubNum=1000546&amp;cite=5USCAS558&amp;originatingDoc=If2b4fbb4408411eb89c8cbfb7ddaf7df&amp;refType=RB&amp;originationContext=document&amp;transitionType=DocumentItem&amp;ppcid=a667f12a7d984afba44fa37227bc6492&amp;contextData=(sc.Keycite)" TargetMode="External" /><Relationship Id="rId27" Type="http://schemas.openxmlformats.org/officeDocument/2006/relationships/hyperlink" Target="https://docs.fcc.gov/public/attachments/DOC-375774A1.pdf" TargetMode="External" /><Relationship Id="rId28" Type="http://schemas.openxmlformats.org/officeDocument/2006/relationships/hyperlink" Target="https://1.next.westlaw.com/Link/Document/FullText?findType=L&amp;pubNum=1000546&amp;cite=47USCAS6&amp;originatingDoc=I3c822af0f9d711eba2aadc85f7773760&amp;refType=LQ&amp;originationContext=document&amp;transitionType=DocumentItem&amp;ppcid=6c73ec1ac3354d9283df5aa116d65c9f&amp;contextData=(sc.UserEnteredCitation)" TargetMode="External" /><Relationship Id="rId29" Type="http://schemas.openxmlformats.org/officeDocument/2006/relationships/hyperlink" Target="https://1.next.westlaw.com/Link/Document/FullText?findType=L&amp;pubNum=1000546&amp;cite=47USCAS227&amp;originatingDoc=I3c822af0f9d711eba2aadc85f7773760&amp;refType=RB&amp;originationContext=document&amp;transitionType=DocumentItem&amp;ppcid=6c73ec1ac3354d9283df5aa116d65c9f&amp;contextData=(sc.UserEnteredCitation)" TargetMode="External" /><Relationship Id="rId3" Type="http://schemas.openxmlformats.org/officeDocument/2006/relationships/hyperlink" Target="https://www.fcc.gov/fcc-state-robocall-investigation-partnerships" TargetMode="External" /><Relationship Id="rId30" Type="http://schemas.openxmlformats.org/officeDocument/2006/relationships/hyperlink" Target="https://1.next.westlaw.com/Link/Document/FullText?findType=L&amp;pubNum=1000546&amp;cite=47USCAS201&amp;originatingDoc=I3c822af0f9d711eba2aadc85f7773760&amp;refType=LQ&amp;originationContext=document&amp;transitionType=DocumentItem&amp;ppcid=6c73ec1ac3354d9283df5aa116d65c9f&amp;contextData=(sc.UserEnteredCitation)" TargetMode="External" /><Relationship Id="rId31" Type="http://schemas.openxmlformats.org/officeDocument/2006/relationships/hyperlink" Target="https://1.next.westlaw.com/Link/Document/FullText?findType=L&amp;pubNum=1000546&amp;cite=47USCAS503&amp;originatingDoc=I3c822af0f9d711eba2aadc85f7773760&amp;refType=RB&amp;originationContext=document&amp;transitionType=DocumentItem&amp;ppcid=6c73ec1ac3354d9283df5aa116d65c9f&amp;contextData=(sc.UserEnteredCitation)" TargetMode="External" /><Relationship Id="rId32" Type="http://schemas.openxmlformats.org/officeDocument/2006/relationships/hyperlink" Target="https://advocacy.sba.gov/wp-content/uploads/2023/03/Frequently-Asked-Questions-About-Small-Business-March-2023-508c.pdf" TargetMode="External" /><Relationship Id="rId33" Type="http://schemas.openxmlformats.org/officeDocument/2006/relationships/hyperlink" Target="https://www.irs.gov/charities-non-profits/annual-electronic-filing-requirement-for-small-exempt-organizations-form-990-n-e-postcard" TargetMode="External" /><Relationship Id="rId34" Type="http://schemas.openxmlformats.org/officeDocument/2006/relationships/hyperlink" Target="https://www.irs.gov/charities-non-profits/exempt-organizations-business-master-file-extract-eo-bmf" TargetMode="External" /><Relationship Id="rId35" Type="http://schemas.openxmlformats.org/officeDocument/2006/relationships/hyperlink" Target="https://www.census.gov/programs-surveys/cog/about.html" TargetMode="External" /><Relationship Id="rId36" Type="http://schemas.openxmlformats.org/officeDocument/2006/relationships/hyperlink" Target="https://www.census.gov/data/tables/2017/econ/gus/2017-governments.html" TargetMode="External" /><Relationship Id="rId37" Type="http://schemas.openxmlformats.org/officeDocument/2006/relationships/hyperlink" Target="https://www.census.gov/naics/?input=517311&amp;year=2017&amp;details=517311" TargetMode="External" /><Relationship Id="rId38" Type="http://schemas.openxmlformats.org/officeDocument/2006/relationships/hyperlink" Target="https://data.census.gov/cedsci/table?y=2017&amp;n=517311&amp;tid=ECNSIZE2017.EC1700SIZEEMPFIRM&amp;hidePreview=false" TargetMode="External" /><Relationship Id="rId39" Type="http://schemas.openxmlformats.org/officeDocument/2006/relationships/hyperlink" Target="https://docs.fcc.gov/public/attachments/DOC-391070A1.pdf" TargetMode="External" /><Relationship Id="rId4" Type="http://schemas.openxmlformats.org/officeDocument/2006/relationships/hyperlink" Target="https://docs.fcc.gov/public/attachments/DOC-391161A1.pdf" TargetMode="External" /><Relationship Id="rId40" Type="http://schemas.openxmlformats.org/officeDocument/2006/relationships/hyperlink" Target="https://www.census.gov/naics/?input=517312&amp;year=2017&amp;details=517312" TargetMode="External" /><Relationship Id="rId41" Type="http://schemas.openxmlformats.org/officeDocument/2006/relationships/hyperlink" Target="https://data.census.gov/cedsci/table?y=2017&amp;n=517312&amp;tid=ECNSIZE2017.EC1700SIZEEMPFIRM&amp;hidePreview=false" TargetMode="External" /><Relationship Id="rId42" Type="http://schemas.openxmlformats.org/officeDocument/2006/relationships/hyperlink" Target="https://www.census.gov/naics/?input=517911&amp;year=2017&amp;details=517911" TargetMode="External" /><Relationship Id="rId43" Type="http://schemas.openxmlformats.org/officeDocument/2006/relationships/hyperlink" Target="https://data.census.gov/cedsci/table?y=2017&amp;n=517911&amp;tid=ECNSIZE2017.EC1700SIZEEMPFIRM&amp;hidePreview=false" TargetMode="External" /><Relationship Id="rId44" Type="http://schemas.openxmlformats.org/officeDocument/2006/relationships/hyperlink" Target="https://www.census.gov/naics/?input=517919&amp;year=2017&amp;details=517919" TargetMode="External" /><Relationship Id="rId45" Type="http://schemas.openxmlformats.org/officeDocument/2006/relationships/hyperlink" Target="https://data.census.gov/cedsci/table?y=2017&amp;n=517919&amp;tid=ECNSIZE2017.EC1700SIZEREVFIRM&amp;hidePreview=false" TargetMode="External" /><Relationship Id="rId46" Type="http://schemas.openxmlformats.org/officeDocument/2006/relationships/hyperlink" Target="https://www.census.gov/glossary/" TargetMode="External" /><Relationship Id="rId47" Type="http://schemas.openxmlformats.org/officeDocument/2006/relationships/hyperlink" Target="https://www.census.gov/naics/?input=621410&amp;year=2017&amp;details=621410" TargetMode="External" /><Relationship Id="rId48" Type="http://schemas.openxmlformats.org/officeDocument/2006/relationships/hyperlink" Target="https://data.census.gov/cedsci/table?y=2017&amp;n=517410&amp;tid=ECNSIZE2017.EC1700SIZEREVFIRM&amp;hidePreview=false" TargetMode="External" /><Relationship Id="rId5" Type="http://schemas.openxmlformats.org/officeDocument/2006/relationships/hyperlink" Target="https://docs.fcc.gov/public/attachments/DOC-368493A1.pdf" TargetMode="External" /><Relationship Id="rId6" Type="http://schemas.openxmlformats.org/officeDocument/2006/relationships/hyperlink" Target="https://www.fcc.gov/consumer-help-center-data" TargetMode="External" /><Relationship Id="rId7" Type="http://schemas.openxmlformats.org/officeDocument/2006/relationships/hyperlink" Target="https://www.fcc.gov/robocall-facilitators-must-cease-and-desist" TargetMode="External" /><Relationship Id="rId8" Type="http://schemas.openxmlformats.org/officeDocument/2006/relationships/hyperlink" Target="https://www.ftc.gov/system/files/documents/reports/consumer-sentinel-network-data-book-2020/csn_annual_data_book_2020.pdf" TargetMode="External" /><Relationship Id="rId9" Type="http://schemas.openxmlformats.org/officeDocument/2006/relationships/hyperlink" Target="https://docs.fcc.gov/public/attachments/DOC-367133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