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D5733" w:rsidP="003D5733" w14:paraId="2BC1976C" w14:textId="17F4E49A">
      <w:pPr>
        <w:widowControl w:val="0"/>
        <w:jc w:val="center"/>
        <w:rPr>
          <w:b/>
          <w:bCs/>
        </w:rPr>
      </w:pPr>
      <w:r w:rsidRPr="00D2293C">
        <w:rPr>
          <w:b/>
          <w:bCs/>
        </w:rPr>
        <w:t>STATEMENT OF</w:t>
      </w:r>
    </w:p>
    <w:p w:rsidR="00D2293C" w:rsidP="00D2293C" w14:paraId="6BFE59BE" w14:textId="5496798A">
      <w:pPr>
        <w:jc w:val="center"/>
      </w:pPr>
      <w:r w:rsidRPr="00D2293C">
        <w:rPr>
          <w:b/>
          <w:bCs/>
        </w:rPr>
        <w:t xml:space="preserve">COMMISSIONER </w:t>
      </w:r>
      <w:r>
        <w:rPr>
          <w:b/>
          <w:bCs/>
        </w:rPr>
        <w:t>NATHAN SIMINGTON</w:t>
      </w:r>
      <w:r>
        <w:t xml:space="preserve"> </w:t>
      </w:r>
    </w:p>
    <w:p w:rsidR="00D2293C" w:rsidP="00D2293C" w14:paraId="1B0992DF" w14:textId="363DDD94">
      <w:pPr>
        <w:jc w:val="center"/>
      </w:pPr>
    </w:p>
    <w:p w:rsidR="003D5733" w:rsidRPr="005D53F6" w:rsidP="003D5733" w14:paraId="33E284C8" w14:textId="77777777">
      <w:pPr>
        <w:widowControl w:val="0"/>
        <w:ind w:left="720" w:hanging="720"/>
        <w:rPr>
          <w:bCs/>
          <w:snapToGrid w:val="0"/>
          <w:kern w:val="28"/>
        </w:rPr>
      </w:pPr>
      <w:r w:rsidRPr="005D53F6">
        <w:rPr>
          <w:iCs/>
          <w:snapToGrid w:val="0"/>
          <w:kern w:val="28"/>
        </w:rPr>
        <w:t>Re:</w:t>
      </w:r>
      <w:r w:rsidRPr="005D53F6">
        <w:rPr>
          <w:snapToGrid w:val="0"/>
          <w:kern w:val="28"/>
        </w:rPr>
        <w:t xml:space="preserve"> </w:t>
      </w:r>
      <w:r w:rsidRPr="005D53F6">
        <w:rPr>
          <w:snapToGrid w:val="0"/>
          <w:kern w:val="28"/>
        </w:rPr>
        <w:tab/>
      </w:r>
      <w:r w:rsidRPr="005D53F6">
        <w:rPr>
          <w:bCs/>
          <w:i/>
          <w:iCs/>
          <w:snapToGrid w:val="0"/>
          <w:kern w:val="28"/>
        </w:rPr>
        <w:t>Unlicensed Use of the 6 GHz Band</w:t>
      </w:r>
      <w:r w:rsidRPr="005D53F6">
        <w:rPr>
          <w:bCs/>
          <w:snapToGrid w:val="0"/>
          <w:kern w:val="28"/>
        </w:rPr>
        <w:t xml:space="preserve">, </w:t>
      </w:r>
      <w:r w:rsidRPr="005D53F6">
        <w:rPr>
          <w:bCs/>
          <w:i/>
          <w:iCs/>
          <w:snapToGrid w:val="0"/>
          <w:kern w:val="28"/>
        </w:rPr>
        <w:t>Expanding Flexible Use in Mid-Band Spectrum Between 3.7 and 24 GHz</w:t>
      </w:r>
      <w:r w:rsidRPr="005D53F6">
        <w:rPr>
          <w:bCs/>
          <w:snapToGrid w:val="0"/>
          <w:kern w:val="28"/>
        </w:rPr>
        <w:t>; ET Docket No. 18-295, GN Docket No. 17-183; Second Report and Order and Second Further Notice of Proposed Rulemaking (October 19, 2023)</w:t>
      </w:r>
    </w:p>
    <w:p w:rsidR="00D2293C" w:rsidRPr="00DA7167" w:rsidP="002D7C67" w14:paraId="0DF265F4" w14:textId="77777777"/>
    <w:p w:rsidR="00AC28E0" w:rsidP="00AC28E0" w14:paraId="28A2E506" w14:textId="6B2B3637">
      <w:pPr>
        <w:ind w:firstLine="720"/>
      </w:pPr>
      <w:r>
        <w:t xml:space="preserve">While I support today’s item, I would be remiss if I did not express my reservations about how the </w:t>
      </w:r>
      <w:r>
        <w:rPr>
          <w:i/>
          <w:iCs/>
        </w:rPr>
        <w:t>Second Report and Order</w:t>
      </w:r>
      <w:r>
        <w:t xml:space="preserve"> dismisses technical arguments made by </w:t>
      </w:r>
      <w:r w:rsidR="008D07A3">
        <w:t xml:space="preserve">certain </w:t>
      </w:r>
      <w:r>
        <w:t xml:space="preserve">commenters.  </w:t>
      </w:r>
      <w:r w:rsidR="002402BD">
        <w:t>T</w:t>
      </w:r>
      <w:r>
        <w:t>h</w:t>
      </w:r>
      <w:r w:rsidR="00F23A2F">
        <w:t>e</w:t>
      </w:r>
      <w:r w:rsidR="002402BD">
        <w:t xml:space="preserve"> analysis </w:t>
      </w:r>
      <w:r w:rsidR="00971262">
        <w:t xml:space="preserve">within the </w:t>
      </w:r>
      <w:r w:rsidR="00971262">
        <w:rPr>
          <w:i/>
          <w:iCs/>
        </w:rPr>
        <w:t>Second Report and Order</w:t>
      </w:r>
      <w:r w:rsidR="00971262">
        <w:t xml:space="preserve"> is</w:t>
      </w:r>
      <w:r w:rsidR="002402BD">
        <w:t xml:space="preserve"> thorough and </w:t>
      </w:r>
      <w:r>
        <w:t>well</w:t>
      </w:r>
      <w:r w:rsidR="002402BD">
        <w:t>-</w:t>
      </w:r>
      <w:r>
        <w:t>reasoned</w:t>
      </w:r>
      <w:r w:rsidR="002402BD">
        <w:t xml:space="preserve"> based on the data and simulations it relies upon</w:t>
      </w:r>
      <w:r w:rsidR="002947CA">
        <w:t>—</w:t>
      </w:r>
      <w:r>
        <w:t xml:space="preserve">the </w:t>
      </w:r>
      <w:r w:rsidR="007B6B3F">
        <w:t xml:space="preserve">San Francisco and Houston </w:t>
      </w:r>
      <w:r>
        <w:t xml:space="preserve">simulations completed by Apple </w:t>
      </w:r>
      <w:r w:rsidR="002947CA">
        <w:t>and</w:t>
      </w:r>
      <w:r w:rsidR="007B6B3F">
        <w:t xml:space="preserve"> </w:t>
      </w:r>
      <w:r>
        <w:t>Broadcom, et al.</w:t>
      </w:r>
      <w:r w:rsidR="002402BD">
        <w:t xml:space="preserve">  But what concer</w:t>
      </w:r>
      <w:r>
        <w:t>ns</w:t>
      </w:r>
      <w:r w:rsidR="002402BD">
        <w:t xml:space="preserve"> me about today’s item is that </w:t>
      </w:r>
      <w:r>
        <w:t xml:space="preserve">it </w:t>
      </w:r>
      <w:r w:rsidR="008D4BC8">
        <w:t xml:space="preserve">does not give adequate consideration </w:t>
      </w:r>
      <w:r w:rsidR="00E07C47">
        <w:t>to</w:t>
      </w:r>
      <w:r w:rsidR="006F6D25">
        <w:t xml:space="preserve"> </w:t>
      </w:r>
      <w:r>
        <w:t xml:space="preserve">many of the arguments made by commenters who raise concerns </w:t>
      </w:r>
      <w:r w:rsidRPr="000F6B31">
        <w:t xml:space="preserve">about </w:t>
      </w:r>
      <w:r w:rsidR="00496229">
        <w:t>lack of access to crucial data that informs th</w:t>
      </w:r>
      <w:r w:rsidR="002947CA">
        <w:t xml:space="preserve">ose </w:t>
      </w:r>
      <w:r w:rsidR="00496229">
        <w:t xml:space="preserve">simulations and the </w:t>
      </w:r>
      <w:r w:rsidRPr="000F6B31">
        <w:t xml:space="preserve">potential for harmful interference to </w:t>
      </w:r>
      <w:r w:rsidR="002947CA">
        <w:t>their</w:t>
      </w:r>
      <w:r w:rsidRPr="000F6B31">
        <w:t xml:space="preserve"> operations from unlicensed </w:t>
      </w:r>
      <w:r w:rsidR="00D448B3">
        <w:t>VLP devices</w:t>
      </w:r>
      <w:r w:rsidRPr="000F6B31">
        <w:t>.</w:t>
      </w:r>
      <w:r>
        <w:rPr>
          <w:rStyle w:val="FootnoteReference"/>
        </w:rPr>
        <w:footnoteReference w:id="2"/>
      </w:r>
      <w:r w:rsidRPr="000F6B31">
        <w:t xml:space="preserve">  </w:t>
      </w:r>
      <w:r w:rsidR="002402BD">
        <w:t xml:space="preserve">It does so </w:t>
      </w:r>
      <w:r w:rsidR="006F6D25">
        <w:t xml:space="preserve">in many instances by </w:t>
      </w:r>
      <w:r w:rsidR="002402BD">
        <w:t xml:space="preserve">pointing to the same simulations </w:t>
      </w:r>
      <w:r w:rsidR="002947CA">
        <w:t>relied</w:t>
      </w:r>
      <w:r w:rsidR="002402BD">
        <w:t xml:space="preserve"> upon to make its conclusions</w:t>
      </w:r>
      <w:r w:rsidR="002947CA">
        <w:t>,</w:t>
      </w:r>
      <w:r w:rsidR="000F48BF">
        <w:t xml:space="preserve"> as evidence </w:t>
      </w:r>
      <w:r w:rsidR="002947CA">
        <w:t xml:space="preserve">that </w:t>
      </w:r>
      <w:r w:rsidR="000F48BF">
        <w:t>the arguments against those conclusions are wrong</w:t>
      </w:r>
      <w:r w:rsidR="002402BD">
        <w:t>.</w:t>
      </w:r>
      <w:r>
        <w:t xml:space="preserve">  </w:t>
      </w:r>
    </w:p>
    <w:p w:rsidR="00423AA5" w:rsidP="00DA7496" w14:paraId="4019832C" w14:textId="77777777"/>
    <w:p w:rsidR="002D69BD" w:rsidP="00AC28E0" w14:paraId="35005D90" w14:textId="1CC8B553">
      <w:pPr>
        <w:ind w:firstLine="720"/>
      </w:pPr>
      <w:r>
        <w:t xml:space="preserve">I fear that without a thorough </w:t>
      </w:r>
      <w:r>
        <w:t>deliberation</w:t>
      </w:r>
      <w:r>
        <w:t xml:space="preserve"> of </w:t>
      </w:r>
      <w:r w:rsidR="006F6D25">
        <w:t>licensed incumbent’s</w:t>
      </w:r>
      <w:r>
        <w:t xml:space="preserve"> </w:t>
      </w:r>
      <w:r w:rsidR="007962DE">
        <w:t xml:space="preserve">substantive technical </w:t>
      </w:r>
      <w:r>
        <w:t xml:space="preserve">arguments, that the Commission may </w:t>
      </w:r>
      <w:r w:rsidR="000F48BF">
        <w:t xml:space="preserve">be failing to </w:t>
      </w:r>
      <w:r>
        <w:t>anticipat</w:t>
      </w:r>
      <w:r w:rsidR="000F48BF">
        <w:t>e</w:t>
      </w:r>
      <w:r>
        <w:t xml:space="preserve"> instances of harmful interference</w:t>
      </w:r>
      <w:r w:rsidR="007764A5">
        <w:t xml:space="preserve"> from VLP devices</w:t>
      </w:r>
      <w:r>
        <w:t>.</w:t>
      </w:r>
      <w:r w:rsidR="002402BD">
        <w:t xml:space="preserve">  And if my fears bear fruit, the Commission could find itself in the posit</w:t>
      </w:r>
      <w:r w:rsidR="000F48BF">
        <w:t>ion of attempting to police interference fights in a heavily congested environment where it proves difficult, if not impossible</w:t>
      </w:r>
      <w:r w:rsidR="00290671">
        <w:t>,</w:t>
      </w:r>
      <w:r w:rsidR="000F48BF">
        <w:t xml:space="preserve"> to enforce</w:t>
      </w:r>
      <w:r w:rsidR="00290671">
        <w:t xml:space="preserve"> </w:t>
      </w:r>
      <w:r w:rsidR="007962DE">
        <w:t>it</w:t>
      </w:r>
      <w:r w:rsidR="00306C21">
        <w:t>s</w:t>
      </w:r>
      <w:r w:rsidR="00290671">
        <w:t xml:space="preserve"> rules</w:t>
      </w:r>
      <w:r w:rsidR="00A83E8E">
        <w:t xml:space="preserve">.  </w:t>
      </w:r>
    </w:p>
    <w:p w:rsidR="002D69BD" w:rsidP="00AC28E0" w14:paraId="581FA1BC" w14:textId="77777777">
      <w:pPr>
        <w:ind w:firstLine="720"/>
      </w:pPr>
    </w:p>
    <w:p w:rsidR="003D5733" w:rsidP="00AC28E0" w14:paraId="49363ACF" w14:textId="77777777">
      <w:pPr>
        <w:ind w:firstLine="720"/>
      </w:pPr>
      <w:r>
        <w:t xml:space="preserve">If 6 GHz licensees are unable to identify the source of the interference, they will be unable to file a complaint </w:t>
      </w:r>
      <w:r w:rsidR="007962DE">
        <w:t xml:space="preserve">with </w:t>
      </w:r>
      <w:r w:rsidR="002D69BD">
        <w:t xml:space="preserve">sufficient information to allow </w:t>
      </w:r>
      <w:r w:rsidR="0018218F">
        <w:t xml:space="preserve">Commission </w:t>
      </w:r>
      <w:r w:rsidR="007962DE">
        <w:t xml:space="preserve">staff </w:t>
      </w:r>
      <w:r w:rsidR="002D69BD">
        <w:t>to conduct any enforcement</w:t>
      </w:r>
      <w:r w:rsidR="007962DE">
        <w:t xml:space="preserve">.  </w:t>
      </w:r>
      <w:r w:rsidR="006F6D25">
        <w:t>I am pleased that the Chairwoman address</w:t>
      </w:r>
      <w:r w:rsidR="001A7D48">
        <w:t>ed</w:t>
      </w:r>
      <w:r w:rsidR="006F6D25">
        <w:t xml:space="preserve"> my concerns by including additional language about rules enforcement </w:t>
      </w:r>
      <w:r w:rsidR="008D07A3">
        <w:t xml:space="preserve">and equipment certification </w:t>
      </w:r>
      <w:r w:rsidR="006F6D25">
        <w:t>for VLP devices</w:t>
      </w:r>
      <w:r w:rsidR="001A7D48">
        <w:t>.</w:t>
      </w:r>
      <w:r w:rsidR="006F6D25">
        <w:t xml:space="preserve"> </w:t>
      </w:r>
      <w:r w:rsidR="001A7D48">
        <w:t xml:space="preserve"> This additional language, in addition to the promising benefits of 6 GHz devices, is why I support this item</w:t>
      </w:r>
      <w:r w:rsidR="006F6D25">
        <w:t>.</w:t>
      </w:r>
      <w:r w:rsidR="002D69BD">
        <w:t xml:space="preserve"> </w:t>
      </w:r>
      <w:r w:rsidR="006F6D25">
        <w:t xml:space="preserve"> We </w:t>
      </w:r>
      <w:r w:rsidR="008D07A3">
        <w:t xml:space="preserve">must </w:t>
      </w:r>
      <w:r w:rsidR="006F6D25">
        <w:t xml:space="preserve">carefully </w:t>
      </w:r>
      <w:r w:rsidR="002D69BD">
        <w:t>consider</w:t>
      </w:r>
      <w:r w:rsidR="0018218F">
        <w:t xml:space="preserve">, </w:t>
      </w:r>
      <w:r w:rsidR="006F6D25">
        <w:t>through the proceeding teed up in</w:t>
      </w:r>
      <w:r w:rsidR="0018218F">
        <w:t xml:space="preserve"> the </w:t>
      </w:r>
      <w:r w:rsidRPr="0018218F" w:rsidR="0018218F">
        <w:rPr>
          <w:i/>
          <w:iCs/>
        </w:rPr>
        <w:t>Second Further Notice</w:t>
      </w:r>
      <w:r w:rsidR="0018218F">
        <w:t xml:space="preserve">, </w:t>
      </w:r>
      <w:r w:rsidR="002D69BD">
        <w:t xml:space="preserve">what additional steps can </w:t>
      </w:r>
      <w:r w:rsidR="008D4BC8">
        <w:t xml:space="preserve">or should </w:t>
      </w:r>
      <w:r w:rsidR="002D69BD">
        <w:t>be taken to mitigate</w:t>
      </w:r>
      <w:r w:rsidR="00F55641">
        <w:t xml:space="preserve"> </w:t>
      </w:r>
      <w:r w:rsidR="008D4BC8">
        <w:t xml:space="preserve">the potential for </w:t>
      </w:r>
      <w:r w:rsidR="00F55641">
        <w:t>harmful interference</w:t>
      </w:r>
      <w:r w:rsidR="006F6D25">
        <w:t xml:space="preserve">.  </w:t>
      </w:r>
    </w:p>
    <w:p w:rsidR="003D5733" w:rsidP="003D5733" w14:paraId="48135794" w14:textId="77777777"/>
    <w:p w:rsidR="00423AA5" w:rsidP="003D5733" w14:paraId="38F56D04" w14:textId="407AF4EF">
      <w:r>
        <w:t>We must be prepared, j</w:t>
      </w:r>
      <w:r w:rsidR="006F6D25">
        <w:t>ust in case i</w:t>
      </w:r>
      <w:r w:rsidR="00E57699">
        <w:t xml:space="preserve">t turns </w:t>
      </w:r>
      <w:r w:rsidR="00CE2E3F">
        <w:t xml:space="preserve">out that </w:t>
      </w:r>
      <w:r w:rsidR="002D69BD">
        <w:t>the simulations are</w:t>
      </w:r>
      <w:r w:rsidR="00E57699">
        <w:t xml:space="preserve"> in certain instances</w:t>
      </w:r>
      <w:r w:rsidR="002D69BD">
        <w:t xml:space="preserve"> wrong, and </w:t>
      </w:r>
      <w:r w:rsidR="00E57699">
        <w:t xml:space="preserve">harmful interference is </w:t>
      </w:r>
      <w:r w:rsidR="0018052C">
        <w:t>caused</w:t>
      </w:r>
      <w:r w:rsidR="00971262">
        <w:t xml:space="preserve"> </w:t>
      </w:r>
      <w:r w:rsidR="0018052C">
        <w:t>by</w:t>
      </w:r>
      <w:r w:rsidR="00971262">
        <w:t xml:space="preserve"> the proliferation of </w:t>
      </w:r>
      <w:r w:rsidR="002D69BD">
        <w:t xml:space="preserve">the VLP devices approved of in today’s </w:t>
      </w:r>
      <w:r w:rsidR="002D69BD">
        <w:rPr>
          <w:i/>
          <w:iCs/>
        </w:rPr>
        <w:t>Second Report and Order</w:t>
      </w:r>
      <w:r w:rsidR="002D69BD">
        <w:t xml:space="preserve">.  </w:t>
      </w:r>
    </w:p>
    <w:p w:rsidR="00290671" w:rsidP="00AC28E0" w14:paraId="4D550CCD" w14:textId="77777777">
      <w:pPr>
        <w:ind w:firstLine="720"/>
      </w:pPr>
    </w:p>
    <w:p w:rsidR="00290671" w:rsidRPr="00A70CDF" w:rsidP="003D5733" w14:paraId="68241A42" w14:textId="1191FD42">
      <w:pPr>
        <w:keepNext/>
        <w:ind w:firstLine="720"/>
      </w:pPr>
      <w:r>
        <w:t>As always, t</w:t>
      </w:r>
      <w:r>
        <w:t>hank you</w:t>
      </w:r>
      <w:r w:rsidR="002947CA">
        <w:t xml:space="preserve"> to the OET staff for all of their </w:t>
      </w:r>
      <w:r>
        <w:t>g</w:t>
      </w:r>
      <w:r w:rsidR="002D69BD">
        <w:t>reat</w:t>
      </w:r>
      <w:r>
        <w:t xml:space="preserve"> work</w:t>
      </w:r>
      <w:r w:rsidR="002947CA">
        <w:t xml:space="preserve">.  </w:t>
      </w:r>
    </w:p>
    <w:sectPr w:rsidSect="003D5733">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750A" w:rsidP="0057750A" w14:paraId="2A748B42" w14:textId="77777777">
      <w:r>
        <w:separator/>
      </w:r>
    </w:p>
  </w:footnote>
  <w:footnote w:type="continuationSeparator" w:id="1">
    <w:p w:rsidR="0057750A" w:rsidP="0057750A" w14:paraId="1FC98A44" w14:textId="77777777">
      <w:r>
        <w:continuationSeparator/>
      </w:r>
    </w:p>
  </w:footnote>
  <w:footnote w:id="2">
    <w:p w:rsidR="0057750A" w:rsidRPr="00C4195B" w:rsidP="00C4195B" w14:paraId="02830112" w14:textId="4B896424">
      <w:pPr>
        <w:pStyle w:val="Default"/>
        <w:rPr>
          <w:sz w:val="20"/>
          <w:szCs w:val="20"/>
        </w:rPr>
      </w:pPr>
      <w:r w:rsidRPr="00C4195B">
        <w:rPr>
          <w:rStyle w:val="FootnoteReference"/>
          <w:sz w:val="20"/>
          <w:szCs w:val="20"/>
        </w:rPr>
        <w:footnoteRef/>
      </w:r>
      <w:r w:rsidRPr="00C4195B">
        <w:rPr>
          <w:sz w:val="20"/>
          <w:szCs w:val="20"/>
        </w:rPr>
        <w:t xml:space="preserve"> </w:t>
      </w:r>
      <w:r w:rsidRPr="00C4195B">
        <w:rPr>
          <w:i/>
          <w:iCs/>
          <w:sz w:val="20"/>
          <w:szCs w:val="20"/>
        </w:rPr>
        <w:t>See, e.g.</w:t>
      </w:r>
      <w:r w:rsidRPr="00C4195B">
        <w:rPr>
          <w:sz w:val="20"/>
          <w:szCs w:val="20"/>
        </w:rPr>
        <w:t>,</w:t>
      </w:r>
      <w:r w:rsidRPr="00C4195B" w:rsidR="00197C8D">
        <w:rPr>
          <w:sz w:val="20"/>
          <w:szCs w:val="20"/>
        </w:rPr>
        <w:t xml:space="preserve"> </w:t>
      </w:r>
      <w:r w:rsidRPr="00C4195B" w:rsidR="00C4195B">
        <w:rPr>
          <w:i/>
          <w:iCs/>
          <w:sz w:val="20"/>
          <w:szCs w:val="20"/>
        </w:rPr>
        <w:t xml:space="preserve">Second Report and </w:t>
      </w:r>
      <w:r w:rsidRPr="007B6B3F" w:rsidR="00C4195B">
        <w:rPr>
          <w:i/>
          <w:iCs/>
          <w:sz w:val="20"/>
          <w:szCs w:val="20"/>
        </w:rPr>
        <w:t>Order</w:t>
      </w:r>
      <w:r w:rsidRPr="007B6B3F" w:rsidR="00C80412">
        <w:rPr>
          <w:sz w:val="20"/>
          <w:szCs w:val="20"/>
        </w:rPr>
        <w:t xml:space="preserve"> at para. 37 (“we do not agree with AT&amp;T that it is necessary for multiple proximate VLP devices communicating with each other to be specifically modeled by the simulations as such use is implicitly accounted for”</w:t>
      </w:r>
      <w:r w:rsidRPr="007B6B3F" w:rsidR="00971262">
        <w:rPr>
          <w:sz w:val="20"/>
          <w:szCs w:val="20"/>
        </w:rPr>
        <w:t>)</w:t>
      </w:r>
      <w:r w:rsidRPr="007B6B3F" w:rsidR="00496229">
        <w:rPr>
          <w:sz w:val="20"/>
          <w:szCs w:val="20"/>
        </w:rPr>
        <w:t xml:space="preserve"> referring to AT&amp;T’s Aug. 29, 2023 </w:t>
      </w:r>
      <w:r w:rsidRPr="007B6B3F" w:rsidR="00496229">
        <w:rPr>
          <w:i/>
          <w:iCs/>
          <w:sz w:val="20"/>
          <w:szCs w:val="20"/>
        </w:rPr>
        <w:t>Ex Parte</w:t>
      </w:r>
      <w:r w:rsidRPr="007B6B3F" w:rsidR="00496229">
        <w:rPr>
          <w:sz w:val="20"/>
          <w:szCs w:val="20"/>
        </w:rPr>
        <w:t xml:space="preserve">; </w:t>
      </w:r>
      <w:r w:rsidRPr="007B6B3F" w:rsidR="00496229">
        <w:rPr>
          <w:i/>
          <w:iCs/>
          <w:sz w:val="20"/>
          <w:szCs w:val="20"/>
        </w:rPr>
        <w:t>id</w:t>
      </w:r>
      <w:r w:rsidRPr="007B6B3F" w:rsidR="00496229">
        <w:rPr>
          <w:sz w:val="20"/>
          <w:szCs w:val="20"/>
        </w:rPr>
        <w:t>. at para. 52 (“[w]</w:t>
      </w:r>
      <w:r w:rsidRPr="007B6B3F" w:rsidR="00496229">
        <w:rPr>
          <w:sz w:val="20"/>
          <w:szCs w:val="20"/>
        </w:rPr>
        <w:t>hile</w:t>
      </w:r>
      <w:r w:rsidRPr="007B6B3F" w:rsidR="00496229">
        <w:rPr>
          <w:sz w:val="20"/>
          <w:szCs w:val="20"/>
        </w:rPr>
        <w:t xml:space="preserve"> Apple Broadcom et al. and Apple have not made their simulation code or the resulting raw data produced by the simulations publicly available, we believe that they have provided sufficient information for knowledgeable engineers to</w:t>
      </w:r>
      <w:r w:rsidRPr="00C4195B" w:rsidR="00496229">
        <w:rPr>
          <w:sz w:val="20"/>
          <w:szCs w:val="20"/>
        </w:rPr>
        <w:t xml:space="preserve"> understand the algorithms and models used in the simulations</w:t>
      </w:r>
      <w:r w:rsidRPr="00C4195B" w:rsidR="002947CA">
        <w:rPr>
          <w:sz w:val="20"/>
          <w:szCs w:val="20"/>
        </w:rPr>
        <w:t>”</w:t>
      </w:r>
      <w:r w:rsidRPr="00C4195B" w:rsidR="00971262">
        <w:rPr>
          <w:sz w:val="20"/>
          <w:szCs w:val="20"/>
        </w:rPr>
        <w:t>)</w:t>
      </w:r>
      <w:r w:rsidRPr="00C4195B" w:rsidR="002947CA">
        <w:rPr>
          <w:sz w:val="20"/>
          <w:szCs w:val="20"/>
        </w:rPr>
        <w:t xml:space="preserve"> </w:t>
      </w:r>
      <w:r w:rsidRPr="00C4195B" w:rsidR="00496229">
        <w:rPr>
          <w:sz w:val="20"/>
          <w:szCs w:val="20"/>
        </w:rPr>
        <w:t xml:space="preserve">referring to </w:t>
      </w:r>
      <w:r w:rsidRPr="00C4195B" w:rsidR="002947CA">
        <w:rPr>
          <w:sz w:val="20"/>
          <w:szCs w:val="20"/>
        </w:rPr>
        <w:t xml:space="preserve">Southern Company Aug. 24, 2023 </w:t>
      </w:r>
      <w:r w:rsidRPr="00C4195B" w:rsidR="002947CA">
        <w:rPr>
          <w:i/>
          <w:iCs/>
          <w:sz w:val="20"/>
          <w:szCs w:val="20"/>
        </w:rPr>
        <w:t>Ex Part</w:t>
      </w:r>
      <w:r w:rsidRPr="00C4195B" w:rsidR="007962DE">
        <w:rPr>
          <w:i/>
          <w:iCs/>
          <w:sz w:val="20"/>
          <w:szCs w:val="20"/>
        </w:rPr>
        <w:t>e</w:t>
      </w:r>
      <w:r w:rsidRPr="00C4195B" w:rsidR="007962DE">
        <w:rPr>
          <w:sz w:val="20"/>
          <w:szCs w:val="20"/>
        </w:rPr>
        <w:t xml:space="preserve">.  </w:t>
      </w:r>
      <w:r w:rsidRPr="00C4195B" w:rsidR="007962DE">
        <w:rPr>
          <w:i/>
          <w:iCs/>
          <w:sz w:val="20"/>
          <w:szCs w:val="20"/>
        </w:rPr>
        <w:t>See also</w:t>
      </w:r>
      <w:r w:rsidRPr="00C4195B" w:rsidR="00A860BC">
        <w:rPr>
          <w:sz w:val="20"/>
          <w:szCs w:val="20"/>
        </w:rPr>
        <w:t xml:space="preserve"> </w:t>
      </w:r>
      <w:r w:rsidRPr="00C4195B" w:rsidR="007C3656">
        <w:rPr>
          <w:sz w:val="20"/>
          <w:szCs w:val="20"/>
        </w:rPr>
        <w:t xml:space="preserve">Letter from Michael P. Goggin, </w:t>
      </w:r>
      <w:r w:rsidRPr="00C4195B" w:rsidR="00A860BC">
        <w:rPr>
          <w:sz w:val="20"/>
          <w:szCs w:val="20"/>
        </w:rPr>
        <w:t xml:space="preserve">AT&amp;T </w:t>
      </w:r>
      <w:r w:rsidRPr="00C4195B" w:rsidR="007C3656">
        <w:rPr>
          <w:sz w:val="20"/>
          <w:szCs w:val="20"/>
        </w:rPr>
        <w:t>to Marlene H. Dortch, Secretary, Federal Communication Commission, ET Docket No. 18-295 (filed Oct. 11, 2023)</w:t>
      </w:r>
      <w:r w:rsidRPr="00C4195B" w:rsidR="00E8333E">
        <w:rPr>
          <w:sz w:val="20"/>
          <w:szCs w:val="20"/>
        </w:rPr>
        <w:t xml:space="preserve"> at 2</w:t>
      </w:r>
      <w:r w:rsidRPr="00C4195B" w:rsidR="007C3656">
        <w:rPr>
          <w:sz w:val="20"/>
          <w:szCs w:val="20"/>
        </w:rPr>
        <w:t xml:space="preserve">; Letter from </w:t>
      </w:r>
      <w:r w:rsidRPr="00C4195B" w:rsidR="00E8333E">
        <w:rPr>
          <w:sz w:val="20"/>
          <w:szCs w:val="20"/>
        </w:rPr>
        <w:t>Patrick McFadden, Senior Vice President and Deputy General Counsel, National Association of Broadcasters, to Marlene H. Dortch, Secretary, Federal Communication Commission, ET Docket No. 18-295 (filed Oct. 11, 2023)</w:t>
      </w:r>
      <w:r w:rsidRPr="00C4195B" w:rsidR="00DA7496">
        <w:rPr>
          <w:sz w:val="20"/>
          <w:szCs w:val="20"/>
        </w:rPr>
        <w:t xml:space="preserve">; </w:t>
      </w:r>
      <w:r w:rsidRPr="00C4195B" w:rsidR="00DA7496">
        <w:rPr>
          <w:i/>
          <w:iCs/>
          <w:sz w:val="20"/>
          <w:szCs w:val="20"/>
        </w:rPr>
        <w:t xml:space="preserve">See </w:t>
      </w:r>
      <w:r w:rsidRPr="00C4195B" w:rsidR="00DA7496">
        <w:rPr>
          <w:sz w:val="20"/>
          <w:szCs w:val="20"/>
        </w:rPr>
        <w:t>Letter from Larry F. Butts, Director, Telecom Services, Southern Company Services, Inc. to Marlene H. Dortch, Secretary, Federal Communication Commission, ET Docket No. 18-295 (filed Oct. 10, 2023)</w:t>
      </w:r>
      <w:r w:rsidRPr="00C4195B" w:rsidR="00C4195B">
        <w:rPr>
          <w:sz w:val="20"/>
          <w:szCs w:val="20"/>
        </w:rPr>
        <w:t>; Letter from Brett Kilbourne, Senior Vice President Policy and General Counsel</w:t>
      </w:r>
      <w:r w:rsidR="00C4195B">
        <w:rPr>
          <w:sz w:val="20"/>
          <w:szCs w:val="20"/>
        </w:rPr>
        <w:t>,</w:t>
      </w:r>
      <w:r w:rsidRPr="00C4195B" w:rsidR="00C4195B">
        <w:rPr>
          <w:sz w:val="20"/>
          <w:szCs w:val="20"/>
        </w:rPr>
        <w:t xml:space="preserve"> Utilities Technology Council to Ms. Marlene H. Dortch Secretary Federal Communications Commission</w:t>
      </w:r>
      <w:r w:rsidR="00C4195B">
        <w:rPr>
          <w:sz w:val="20"/>
          <w:szCs w:val="20"/>
        </w:rPr>
        <w:t>, (ET Docket No. 18-295 (filed Oct</w:t>
      </w:r>
      <w:r w:rsidRPr="00C4195B" w:rsidR="00E8333E">
        <w:rPr>
          <w:sz w:val="20"/>
          <w:szCs w:val="20"/>
        </w:rPr>
        <w:t>.</w:t>
      </w:r>
      <w:r w:rsidR="00C4195B">
        <w:rPr>
          <w:sz w:val="20"/>
          <w:szCs w:val="20"/>
        </w:rPr>
        <w:t xml:space="preserve"> 13,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733" w:rsidRPr="003D5733" w:rsidP="003D5733" w14:paraId="3D720D98" w14:textId="07CF182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550735593"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tab/>
      <w:t>Federal Communications Commission</w:t>
    </w:r>
    <w:r>
      <w:tab/>
      <w:t>FCC  23-86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355A9F"/>
    <w:multiLevelType w:val="hybridMultilevel"/>
    <w:tmpl w:val="813A1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6F"/>
    <w:rsid w:val="00013E89"/>
    <w:rsid w:val="000227CB"/>
    <w:rsid w:val="0003205F"/>
    <w:rsid w:val="0006003F"/>
    <w:rsid w:val="00062DB3"/>
    <w:rsid w:val="00063DA0"/>
    <w:rsid w:val="00074C8B"/>
    <w:rsid w:val="0008248C"/>
    <w:rsid w:val="00082BE8"/>
    <w:rsid w:val="000C6B5A"/>
    <w:rsid w:val="000D5040"/>
    <w:rsid w:val="000E2BC6"/>
    <w:rsid w:val="000E5621"/>
    <w:rsid w:val="000E7FD6"/>
    <w:rsid w:val="000F48BF"/>
    <w:rsid w:val="000F6B31"/>
    <w:rsid w:val="000F759C"/>
    <w:rsid w:val="0012233D"/>
    <w:rsid w:val="00130783"/>
    <w:rsid w:val="00145426"/>
    <w:rsid w:val="001741B0"/>
    <w:rsid w:val="0018052C"/>
    <w:rsid w:val="0018218F"/>
    <w:rsid w:val="001949B1"/>
    <w:rsid w:val="00197C8D"/>
    <w:rsid w:val="001A7D48"/>
    <w:rsid w:val="001B7ED7"/>
    <w:rsid w:val="001C7662"/>
    <w:rsid w:val="00231E6B"/>
    <w:rsid w:val="0023249B"/>
    <w:rsid w:val="00235EB2"/>
    <w:rsid w:val="00237AA9"/>
    <w:rsid w:val="002402BD"/>
    <w:rsid w:val="002625CF"/>
    <w:rsid w:val="002673FB"/>
    <w:rsid w:val="00270769"/>
    <w:rsid w:val="00290671"/>
    <w:rsid w:val="002947CA"/>
    <w:rsid w:val="002A1527"/>
    <w:rsid w:val="002C6635"/>
    <w:rsid w:val="002C68E3"/>
    <w:rsid w:val="002D4477"/>
    <w:rsid w:val="002D69BD"/>
    <w:rsid w:val="002D7C67"/>
    <w:rsid w:val="002E3F6D"/>
    <w:rsid w:val="00306C21"/>
    <w:rsid w:val="00325E5E"/>
    <w:rsid w:val="00341F9D"/>
    <w:rsid w:val="0034756F"/>
    <w:rsid w:val="003525B0"/>
    <w:rsid w:val="00352EFE"/>
    <w:rsid w:val="00361516"/>
    <w:rsid w:val="003718F1"/>
    <w:rsid w:val="003D4E3F"/>
    <w:rsid w:val="003D5733"/>
    <w:rsid w:val="003F344F"/>
    <w:rsid w:val="003F6C9C"/>
    <w:rsid w:val="00403957"/>
    <w:rsid w:val="00405A6E"/>
    <w:rsid w:val="004115F2"/>
    <w:rsid w:val="004130DA"/>
    <w:rsid w:val="004163B8"/>
    <w:rsid w:val="00423AA5"/>
    <w:rsid w:val="00440D53"/>
    <w:rsid w:val="00441CE0"/>
    <w:rsid w:val="00445CA1"/>
    <w:rsid w:val="00461A0B"/>
    <w:rsid w:val="004679DD"/>
    <w:rsid w:val="0048240A"/>
    <w:rsid w:val="00485C54"/>
    <w:rsid w:val="00496229"/>
    <w:rsid w:val="004A2719"/>
    <w:rsid w:val="004A3965"/>
    <w:rsid w:val="004B1C10"/>
    <w:rsid w:val="004B599B"/>
    <w:rsid w:val="004C3622"/>
    <w:rsid w:val="004C3B76"/>
    <w:rsid w:val="004D5AE9"/>
    <w:rsid w:val="004D6251"/>
    <w:rsid w:val="004D6255"/>
    <w:rsid w:val="004F101B"/>
    <w:rsid w:val="005000F3"/>
    <w:rsid w:val="00502CEB"/>
    <w:rsid w:val="0050423A"/>
    <w:rsid w:val="00505E3C"/>
    <w:rsid w:val="005144E3"/>
    <w:rsid w:val="00516365"/>
    <w:rsid w:val="00556A72"/>
    <w:rsid w:val="005622A9"/>
    <w:rsid w:val="00571904"/>
    <w:rsid w:val="0057750A"/>
    <w:rsid w:val="00585F81"/>
    <w:rsid w:val="005925F8"/>
    <w:rsid w:val="005931FF"/>
    <w:rsid w:val="005970CC"/>
    <w:rsid w:val="005A4330"/>
    <w:rsid w:val="005A775E"/>
    <w:rsid w:val="005B58DA"/>
    <w:rsid w:val="005C4CAC"/>
    <w:rsid w:val="005C7377"/>
    <w:rsid w:val="005D117B"/>
    <w:rsid w:val="005D53F6"/>
    <w:rsid w:val="005F7561"/>
    <w:rsid w:val="005F7A3B"/>
    <w:rsid w:val="00613DAC"/>
    <w:rsid w:val="00632C4E"/>
    <w:rsid w:val="0065582D"/>
    <w:rsid w:val="00674EDB"/>
    <w:rsid w:val="006771C6"/>
    <w:rsid w:val="00685549"/>
    <w:rsid w:val="006A73A2"/>
    <w:rsid w:val="006B5BEC"/>
    <w:rsid w:val="006C767A"/>
    <w:rsid w:val="006D35B0"/>
    <w:rsid w:val="006F6D25"/>
    <w:rsid w:val="00704954"/>
    <w:rsid w:val="00734215"/>
    <w:rsid w:val="00745C4B"/>
    <w:rsid w:val="007519A2"/>
    <w:rsid w:val="00756061"/>
    <w:rsid w:val="00756D48"/>
    <w:rsid w:val="00772278"/>
    <w:rsid w:val="007764A5"/>
    <w:rsid w:val="00777F5C"/>
    <w:rsid w:val="00790C08"/>
    <w:rsid w:val="00792EEE"/>
    <w:rsid w:val="007962DE"/>
    <w:rsid w:val="007B1AE0"/>
    <w:rsid w:val="007B6B3F"/>
    <w:rsid w:val="007C3656"/>
    <w:rsid w:val="007C5EA9"/>
    <w:rsid w:val="007F5578"/>
    <w:rsid w:val="00805AD2"/>
    <w:rsid w:val="00820CE5"/>
    <w:rsid w:val="008278F8"/>
    <w:rsid w:val="00830AFF"/>
    <w:rsid w:val="00833DBE"/>
    <w:rsid w:val="00835079"/>
    <w:rsid w:val="00842D30"/>
    <w:rsid w:val="00846509"/>
    <w:rsid w:val="00847941"/>
    <w:rsid w:val="008616AB"/>
    <w:rsid w:val="00867653"/>
    <w:rsid w:val="008768EF"/>
    <w:rsid w:val="00880E8C"/>
    <w:rsid w:val="00884F19"/>
    <w:rsid w:val="008915C1"/>
    <w:rsid w:val="008D02DD"/>
    <w:rsid w:val="008D07A3"/>
    <w:rsid w:val="008D20AF"/>
    <w:rsid w:val="008D4BC8"/>
    <w:rsid w:val="008E305D"/>
    <w:rsid w:val="008F17E3"/>
    <w:rsid w:val="008F6488"/>
    <w:rsid w:val="009143BB"/>
    <w:rsid w:val="00920061"/>
    <w:rsid w:val="00921521"/>
    <w:rsid w:val="0093620C"/>
    <w:rsid w:val="00936EF6"/>
    <w:rsid w:val="00953A1D"/>
    <w:rsid w:val="00971262"/>
    <w:rsid w:val="0097414C"/>
    <w:rsid w:val="00974307"/>
    <w:rsid w:val="00977EED"/>
    <w:rsid w:val="00985719"/>
    <w:rsid w:val="009B5079"/>
    <w:rsid w:val="009B63AF"/>
    <w:rsid w:val="009C5BB0"/>
    <w:rsid w:val="009E01AA"/>
    <w:rsid w:val="009E288B"/>
    <w:rsid w:val="009F0293"/>
    <w:rsid w:val="009F4EFF"/>
    <w:rsid w:val="00A2312B"/>
    <w:rsid w:val="00A23C99"/>
    <w:rsid w:val="00A45C55"/>
    <w:rsid w:val="00A56F0C"/>
    <w:rsid w:val="00A61916"/>
    <w:rsid w:val="00A6506D"/>
    <w:rsid w:val="00A70CDF"/>
    <w:rsid w:val="00A73912"/>
    <w:rsid w:val="00A74838"/>
    <w:rsid w:val="00A81B4A"/>
    <w:rsid w:val="00A83E8E"/>
    <w:rsid w:val="00A860BC"/>
    <w:rsid w:val="00AB5801"/>
    <w:rsid w:val="00AB5DE8"/>
    <w:rsid w:val="00AC28E0"/>
    <w:rsid w:val="00AC3040"/>
    <w:rsid w:val="00AF01C9"/>
    <w:rsid w:val="00AF32AA"/>
    <w:rsid w:val="00B4069D"/>
    <w:rsid w:val="00B41CA8"/>
    <w:rsid w:val="00B5371E"/>
    <w:rsid w:val="00B56B99"/>
    <w:rsid w:val="00B62480"/>
    <w:rsid w:val="00B63CDA"/>
    <w:rsid w:val="00B65883"/>
    <w:rsid w:val="00B82468"/>
    <w:rsid w:val="00BA353A"/>
    <w:rsid w:val="00BB1FFC"/>
    <w:rsid w:val="00BC2709"/>
    <w:rsid w:val="00BE2BEC"/>
    <w:rsid w:val="00C00D54"/>
    <w:rsid w:val="00C05380"/>
    <w:rsid w:val="00C3087A"/>
    <w:rsid w:val="00C4195B"/>
    <w:rsid w:val="00C42129"/>
    <w:rsid w:val="00C502FF"/>
    <w:rsid w:val="00C54089"/>
    <w:rsid w:val="00C62303"/>
    <w:rsid w:val="00C716F9"/>
    <w:rsid w:val="00C73E96"/>
    <w:rsid w:val="00C76C3F"/>
    <w:rsid w:val="00C80412"/>
    <w:rsid w:val="00C81767"/>
    <w:rsid w:val="00C87747"/>
    <w:rsid w:val="00C918FB"/>
    <w:rsid w:val="00C976F3"/>
    <w:rsid w:val="00CA0655"/>
    <w:rsid w:val="00CA0CF0"/>
    <w:rsid w:val="00CA2B74"/>
    <w:rsid w:val="00CA3AC4"/>
    <w:rsid w:val="00CA4F80"/>
    <w:rsid w:val="00CA68E8"/>
    <w:rsid w:val="00CB76F4"/>
    <w:rsid w:val="00CD500A"/>
    <w:rsid w:val="00CD7BAA"/>
    <w:rsid w:val="00CE2888"/>
    <w:rsid w:val="00CE2E3F"/>
    <w:rsid w:val="00CE5101"/>
    <w:rsid w:val="00CF2145"/>
    <w:rsid w:val="00CF4821"/>
    <w:rsid w:val="00D2293C"/>
    <w:rsid w:val="00D32596"/>
    <w:rsid w:val="00D35E01"/>
    <w:rsid w:val="00D361BF"/>
    <w:rsid w:val="00D4337F"/>
    <w:rsid w:val="00D448B3"/>
    <w:rsid w:val="00D55115"/>
    <w:rsid w:val="00D641D3"/>
    <w:rsid w:val="00D8511F"/>
    <w:rsid w:val="00D93A1D"/>
    <w:rsid w:val="00D970C2"/>
    <w:rsid w:val="00DA5AF8"/>
    <w:rsid w:val="00DA7167"/>
    <w:rsid w:val="00DA7496"/>
    <w:rsid w:val="00DB795F"/>
    <w:rsid w:val="00DD4FCA"/>
    <w:rsid w:val="00DE38D2"/>
    <w:rsid w:val="00DF420A"/>
    <w:rsid w:val="00E00835"/>
    <w:rsid w:val="00E07C47"/>
    <w:rsid w:val="00E14BC7"/>
    <w:rsid w:val="00E151EF"/>
    <w:rsid w:val="00E47221"/>
    <w:rsid w:val="00E51C7E"/>
    <w:rsid w:val="00E52B29"/>
    <w:rsid w:val="00E57699"/>
    <w:rsid w:val="00E57F1E"/>
    <w:rsid w:val="00E609D0"/>
    <w:rsid w:val="00E617A7"/>
    <w:rsid w:val="00E714AD"/>
    <w:rsid w:val="00E8333E"/>
    <w:rsid w:val="00E95004"/>
    <w:rsid w:val="00E96C31"/>
    <w:rsid w:val="00EA0D72"/>
    <w:rsid w:val="00EA4700"/>
    <w:rsid w:val="00EB255F"/>
    <w:rsid w:val="00EC19F1"/>
    <w:rsid w:val="00ED39CE"/>
    <w:rsid w:val="00EE3D61"/>
    <w:rsid w:val="00EE658C"/>
    <w:rsid w:val="00EF63F6"/>
    <w:rsid w:val="00EF6E8D"/>
    <w:rsid w:val="00F23A2F"/>
    <w:rsid w:val="00F248F1"/>
    <w:rsid w:val="00F36E4C"/>
    <w:rsid w:val="00F36FAF"/>
    <w:rsid w:val="00F55641"/>
    <w:rsid w:val="00F564C5"/>
    <w:rsid w:val="00F846F1"/>
    <w:rsid w:val="00F9714F"/>
    <w:rsid w:val="00FB21B3"/>
    <w:rsid w:val="00FB496F"/>
    <w:rsid w:val="00FC5DA2"/>
    <w:rsid w:val="00FC62A8"/>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CD9221"/>
  <w15:docId w15:val="{C5335363-3C74-4CCB-825C-78D1F7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658C"/>
    <w:pPr>
      <w:ind w:left="720"/>
    </w:pPr>
    <w:rPr>
      <w:rFonts w:ascii="Calibri" w:hAnsi="Calibri" w:eastAsiaTheme="minorHAnsi" w:cs="Calibri"/>
      <w:sz w:val="22"/>
      <w:szCs w:val="22"/>
      <w14:ligatures w14:val="standardContextual"/>
    </w:rPr>
  </w:style>
  <w:style w:type="paragraph" w:styleId="FootnoteText">
    <w:name w:val="footnote text"/>
    <w:basedOn w:val="Normal"/>
    <w:link w:val="FootnoteTextChar"/>
    <w:uiPriority w:val="99"/>
    <w:semiHidden/>
    <w:unhideWhenUsed/>
    <w:rsid w:val="0057750A"/>
    <w:rPr>
      <w:sz w:val="20"/>
      <w:szCs w:val="20"/>
    </w:rPr>
  </w:style>
  <w:style w:type="character" w:customStyle="1" w:styleId="FootnoteTextChar">
    <w:name w:val="Footnote Text Char"/>
    <w:basedOn w:val="DefaultParagraphFont"/>
    <w:link w:val="FootnoteText"/>
    <w:uiPriority w:val="99"/>
    <w:semiHidden/>
    <w:rsid w:val="005775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750A"/>
    <w:rPr>
      <w:vertAlign w:val="superscript"/>
    </w:rPr>
  </w:style>
  <w:style w:type="character" w:styleId="Hyperlink">
    <w:name w:val="Hyperlink"/>
    <w:basedOn w:val="DefaultParagraphFont"/>
    <w:uiPriority w:val="99"/>
    <w:unhideWhenUsed/>
    <w:rsid w:val="007962DE"/>
    <w:rPr>
      <w:color w:val="0563C1" w:themeColor="hyperlink"/>
      <w:u w:val="single"/>
    </w:rPr>
  </w:style>
  <w:style w:type="character" w:styleId="UnresolvedMention">
    <w:name w:val="Unresolved Mention"/>
    <w:basedOn w:val="DefaultParagraphFont"/>
    <w:uiPriority w:val="99"/>
    <w:rsid w:val="007962DE"/>
    <w:rPr>
      <w:color w:val="605E5C"/>
      <w:shd w:val="clear" w:color="auto" w:fill="E1DFDD"/>
    </w:rPr>
  </w:style>
  <w:style w:type="paragraph" w:styleId="Header">
    <w:name w:val="header"/>
    <w:basedOn w:val="Normal"/>
    <w:link w:val="HeaderChar"/>
    <w:uiPriority w:val="99"/>
    <w:unhideWhenUsed/>
    <w:rsid w:val="003D5733"/>
    <w:pPr>
      <w:tabs>
        <w:tab w:val="center" w:pos="4680"/>
        <w:tab w:val="right" w:pos="9360"/>
      </w:tabs>
    </w:pPr>
  </w:style>
  <w:style w:type="character" w:customStyle="1" w:styleId="HeaderChar">
    <w:name w:val="Header Char"/>
    <w:basedOn w:val="DefaultParagraphFont"/>
    <w:link w:val="Header"/>
    <w:uiPriority w:val="99"/>
    <w:rsid w:val="003D57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5733"/>
    <w:pPr>
      <w:tabs>
        <w:tab w:val="center" w:pos="4680"/>
        <w:tab w:val="right" w:pos="9360"/>
      </w:tabs>
    </w:pPr>
  </w:style>
  <w:style w:type="character" w:customStyle="1" w:styleId="FooterChar">
    <w:name w:val="Footer Char"/>
    <w:basedOn w:val="DefaultParagraphFont"/>
    <w:link w:val="Footer"/>
    <w:uiPriority w:val="99"/>
    <w:rsid w:val="003D57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