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53F73" w:rsidP="00D53F73" w14:paraId="2636D4DC" w14:textId="77777777">
      <w:pPr>
        <w:jc w:val="center"/>
        <w:rPr>
          <w:b/>
        </w:rPr>
      </w:pPr>
      <w:r w:rsidRPr="0070224F">
        <w:rPr>
          <w:rFonts w:ascii="Times New Roman Bold" w:hAnsi="Times New Roman Bold"/>
          <w:b/>
          <w:kern w:val="0"/>
          <w:szCs w:val="22"/>
        </w:rPr>
        <w:t>Before</w:t>
      </w:r>
      <w:r>
        <w:rPr>
          <w:b/>
        </w:rPr>
        <w:t xml:space="preserve"> the</w:t>
      </w:r>
    </w:p>
    <w:p w:rsidR="00D53F73" w:rsidP="00D53F73" w14:paraId="2090CB33" w14:textId="77777777">
      <w:pPr>
        <w:pStyle w:val="StyleBoldCentered"/>
      </w:pPr>
      <w:r>
        <w:t>F</w:t>
      </w:r>
      <w:r>
        <w:rPr>
          <w:caps w:val="0"/>
        </w:rPr>
        <w:t>ederal Communications Commission</w:t>
      </w:r>
    </w:p>
    <w:p w:rsidR="00D53F73" w:rsidP="00D53F73" w14:paraId="6DD01DBF" w14:textId="77777777">
      <w:pPr>
        <w:pStyle w:val="StyleBoldCentered"/>
      </w:pPr>
      <w:r>
        <w:rPr>
          <w:caps w:val="0"/>
        </w:rPr>
        <w:t>Washington, D.C. 20554</w:t>
      </w:r>
    </w:p>
    <w:p w:rsidR="00D53F73" w:rsidP="00D53F73" w14:paraId="64120765" w14:textId="77777777"/>
    <w:p w:rsidR="00D53F73" w:rsidP="00D53F73" w14:paraId="22B293D2" w14:textId="77777777"/>
    <w:tbl>
      <w:tblPr>
        <w:tblW w:w="0" w:type="auto"/>
        <w:tblLayout w:type="fixed"/>
        <w:tblLook w:val="0000"/>
      </w:tblPr>
      <w:tblGrid>
        <w:gridCol w:w="4698"/>
        <w:gridCol w:w="630"/>
        <w:gridCol w:w="4248"/>
      </w:tblGrid>
      <w:tr w14:paraId="612947C8" w14:textId="77777777" w:rsidTr="005B3A95">
        <w:tblPrEx>
          <w:tblW w:w="0" w:type="auto"/>
          <w:tblLayout w:type="fixed"/>
          <w:tblLook w:val="0000"/>
        </w:tblPrEx>
        <w:tc>
          <w:tcPr>
            <w:tcW w:w="4698" w:type="dxa"/>
          </w:tcPr>
          <w:p w:rsidR="00D53F73" w:rsidP="005B3A95" w14:paraId="37DDA8DF" w14:textId="77777777">
            <w:pPr>
              <w:tabs>
                <w:tab w:val="center" w:pos="4680"/>
              </w:tabs>
              <w:suppressAutoHyphens/>
              <w:rPr>
                <w:spacing w:val="-2"/>
              </w:rPr>
            </w:pPr>
            <w:r>
              <w:rPr>
                <w:spacing w:val="-2"/>
              </w:rPr>
              <w:t>In the Matter of</w:t>
            </w:r>
          </w:p>
          <w:p w:rsidR="00D53F73" w:rsidP="005B3A95" w14:paraId="4DA434B9" w14:textId="77777777">
            <w:pPr>
              <w:tabs>
                <w:tab w:val="center" w:pos="4680"/>
              </w:tabs>
              <w:suppressAutoHyphens/>
              <w:rPr>
                <w:spacing w:val="-2"/>
              </w:rPr>
            </w:pPr>
          </w:p>
          <w:p w:rsidR="00D53F73" w:rsidRPr="00DD16B1" w:rsidP="005B3A95" w14:paraId="2F878283" w14:textId="77777777">
            <w:pPr>
              <w:tabs>
                <w:tab w:val="center" w:pos="4680"/>
              </w:tabs>
              <w:suppressAutoHyphens/>
              <w:rPr>
                <w:spacing w:val="-2"/>
              </w:rPr>
            </w:pPr>
            <w:r w:rsidRPr="00DD16B1">
              <w:rPr>
                <w:spacing w:val="-2"/>
              </w:rPr>
              <w:t>Amendment of Part 97 of the Commission’s</w:t>
            </w:r>
          </w:p>
          <w:p w:rsidR="00D53F73" w:rsidRPr="00DD16B1" w:rsidP="005B3A95" w14:paraId="7CA6A53E" w14:textId="77777777">
            <w:pPr>
              <w:tabs>
                <w:tab w:val="center" w:pos="4680"/>
              </w:tabs>
              <w:suppressAutoHyphens/>
              <w:rPr>
                <w:spacing w:val="-2"/>
              </w:rPr>
            </w:pPr>
            <w:r w:rsidRPr="00DD16B1">
              <w:rPr>
                <w:spacing w:val="-2"/>
              </w:rPr>
              <w:t>Amateur Radio Service Rules to Permit Greater</w:t>
            </w:r>
          </w:p>
          <w:p w:rsidR="00D53F73" w:rsidRPr="007115F7" w:rsidP="005B3A95" w14:paraId="201E2A92" w14:textId="77777777">
            <w:pPr>
              <w:tabs>
                <w:tab w:val="center" w:pos="4680"/>
              </w:tabs>
              <w:suppressAutoHyphens/>
              <w:rPr>
                <w:spacing w:val="-2"/>
              </w:rPr>
            </w:pPr>
            <w:r w:rsidRPr="00DD16B1">
              <w:rPr>
                <w:spacing w:val="-2"/>
              </w:rPr>
              <w:t>Flexibility in Data Communications</w:t>
            </w:r>
          </w:p>
        </w:tc>
        <w:tc>
          <w:tcPr>
            <w:tcW w:w="630" w:type="dxa"/>
          </w:tcPr>
          <w:p w:rsidR="00D53F73" w:rsidP="005B3A95" w14:paraId="4053DE02" w14:textId="77777777">
            <w:pPr>
              <w:tabs>
                <w:tab w:val="center" w:pos="4680"/>
              </w:tabs>
              <w:suppressAutoHyphens/>
              <w:rPr>
                <w:b/>
                <w:spacing w:val="-2"/>
              </w:rPr>
            </w:pPr>
            <w:r>
              <w:rPr>
                <w:b/>
                <w:spacing w:val="-2"/>
              </w:rPr>
              <w:t>)</w:t>
            </w:r>
          </w:p>
          <w:p w:rsidR="00D53F73" w:rsidP="005B3A95" w14:paraId="6C78CAB1" w14:textId="77777777">
            <w:pPr>
              <w:tabs>
                <w:tab w:val="center" w:pos="4680"/>
              </w:tabs>
              <w:suppressAutoHyphens/>
              <w:rPr>
                <w:b/>
                <w:spacing w:val="-2"/>
              </w:rPr>
            </w:pPr>
            <w:r>
              <w:rPr>
                <w:b/>
                <w:spacing w:val="-2"/>
              </w:rPr>
              <w:t>)</w:t>
            </w:r>
          </w:p>
          <w:p w:rsidR="00D53F73" w:rsidP="005B3A95" w14:paraId="7104CB94" w14:textId="77777777">
            <w:pPr>
              <w:tabs>
                <w:tab w:val="center" w:pos="4680"/>
              </w:tabs>
              <w:suppressAutoHyphens/>
              <w:rPr>
                <w:b/>
                <w:spacing w:val="-2"/>
              </w:rPr>
            </w:pPr>
            <w:r>
              <w:rPr>
                <w:b/>
                <w:spacing w:val="-2"/>
              </w:rPr>
              <w:t>)</w:t>
            </w:r>
          </w:p>
          <w:p w:rsidR="00D53F73" w:rsidP="005B3A95" w14:paraId="6002E087" w14:textId="77777777">
            <w:pPr>
              <w:tabs>
                <w:tab w:val="center" w:pos="4680"/>
              </w:tabs>
              <w:suppressAutoHyphens/>
              <w:rPr>
                <w:b/>
                <w:spacing w:val="-2"/>
              </w:rPr>
            </w:pPr>
            <w:r>
              <w:rPr>
                <w:b/>
                <w:spacing w:val="-2"/>
              </w:rPr>
              <w:t>)</w:t>
            </w:r>
          </w:p>
          <w:p w:rsidR="00D53F73" w:rsidP="005B3A95" w14:paraId="696C8D4E" w14:textId="77777777">
            <w:pPr>
              <w:tabs>
                <w:tab w:val="center" w:pos="4680"/>
              </w:tabs>
              <w:suppressAutoHyphens/>
              <w:rPr>
                <w:b/>
                <w:spacing w:val="-2"/>
              </w:rPr>
            </w:pPr>
            <w:r>
              <w:rPr>
                <w:b/>
                <w:spacing w:val="-2"/>
              </w:rPr>
              <w:t>)</w:t>
            </w:r>
          </w:p>
          <w:p w:rsidR="00D53F73" w:rsidP="005B3A95" w14:paraId="0475E99E" w14:textId="77777777">
            <w:pPr>
              <w:tabs>
                <w:tab w:val="center" w:pos="4680"/>
              </w:tabs>
              <w:suppressAutoHyphens/>
              <w:rPr>
                <w:b/>
                <w:spacing w:val="-2"/>
              </w:rPr>
            </w:pPr>
            <w:r>
              <w:rPr>
                <w:b/>
                <w:spacing w:val="-2"/>
              </w:rPr>
              <w:t>)</w:t>
            </w:r>
          </w:p>
          <w:p w:rsidR="00D53F73" w:rsidP="005B3A95" w14:paraId="3A9004AD" w14:textId="77777777">
            <w:pPr>
              <w:tabs>
                <w:tab w:val="center" w:pos="4680"/>
              </w:tabs>
              <w:suppressAutoHyphens/>
              <w:rPr>
                <w:b/>
                <w:spacing w:val="-2"/>
              </w:rPr>
            </w:pPr>
            <w:r>
              <w:rPr>
                <w:b/>
                <w:spacing w:val="-2"/>
              </w:rPr>
              <w:t>)</w:t>
            </w:r>
          </w:p>
          <w:p w:rsidR="00D53F73" w:rsidRPr="00DD16B1" w:rsidP="005B3A95" w14:paraId="4210361E" w14:textId="77777777">
            <w:pPr>
              <w:tabs>
                <w:tab w:val="center" w:pos="4680"/>
              </w:tabs>
              <w:suppressAutoHyphens/>
              <w:rPr>
                <w:b/>
                <w:spacing w:val="-2"/>
              </w:rPr>
            </w:pPr>
          </w:p>
        </w:tc>
        <w:tc>
          <w:tcPr>
            <w:tcW w:w="4248" w:type="dxa"/>
          </w:tcPr>
          <w:p w:rsidR="00D53F73" w:rsidP="005B3A95" w14:paraId="02F8EB81" w14:textId="77777777">
            <w:pPr>
              <w:tabs>
                <w:tab w:val="center" w:pos="4680"/>
              </w:tabs>
              <w:suppressAutoHyphens/>
              <w:rPr>
                <w:spacing w:val="-2"/>
              </w:rPr>
            </w:pPr>
          </w:p>
          <w:p w:rsidR="00D53F73" w:rsidP="005B3A95" w14:paraId="226F55BC" w14:textId="77777777">
            <w:pPr>
              <w:pStyle w:val="TOAHeading"/>
              <w:tabs>
                <w:tab w:val="center" w:pos="4680"/>
                <w:tab w:val="clear" w:pos="9360"/>
              </w:tabs>
              <w:rPr>
                <w:spacing w:val="-2"/>
              </w:rPr>
            </w:pPr>
          </w:p>
          <w:p w:rsidR="00D53F73" w:rsidP="005B3A95" w14:paraId="2438C4AC" w14:textId="77777777">
            <w:pPr>
              <w:tabs>
                <w:tab w:val="center" w:pos="4680"/>
              </w:tabs>
              <w:suppressAutoHyphens/>
              <w:rPr>
                <w:spacing w:val="-2"/>
              </w:rPr>
            </w:pPr>
            <w:r>
              <w:rPr>
                <w:spacing w:val="-2"/>
              </w:rPr>
              <w:t>WT Docket No. 16-239</w:t>
            </w:r>
          </w:p>
          <w:p w:rsidR="00D53F73" w:rsidP="005B3A95" w14:paraId="30DDCDE1" w14:textId="77777777">
            <w:pPr>
              <w:tabs>
                <w:tab w:val="center" w:pos="4680"/>
              </w:tabs>
              <w:suppressAutoHyphens/>
              <w:rPr>
                <w:spacing w:val="-2"/>
              </w:rPr>
            </w:pPr>
          </w:p>
          <w:p w:rsidR="00D53F73" w:rsidP="005B3A95" w14:paraId="483010F2" w14:textId="77777777">
            <w:pPr>
              <w:tabs>
                <w:tab w:val="center" w:pos="4680"/>
              </w:tabs>
              <w:suppressAutoHyphens/>
              <w:rPr>
                <w:spacing w:val="-2"/>
              </w:rPr>
            </w:pPr>
          </w:p>
          <w:p w:rsidR="00D53F73" w:rsidP="005B3A95" w14:paraId="7706F671" w14:textId="77777777">
            <w:pPr>
              <w:tabs>
                <w:tab w:val="center" w:pos="4680"/>
              </w:tabs>
              <w:suppressAutoHyphens/>
              <w:rPr>
                <w:spacing w:val="-2"/>
              </w:rPr>
            </w:pPr>
            <w:r>
              <w:rPr>
                <w:spacing w:val="-2"/>
              </w:rPr>
              <w:t>RM-11708 (terminated)</w:t>
            </w:r>
          </w:p>
        </w:tc>
      </w:tr>
    </w:tbl>
    <w:p w:rsidR="00D53F73" w:rsidP="00D53F73" w14:paraId="07B3B1E1" w14:textId="77777777"/>
    <w:p w:rsidR="00D53F73" w:rsidP="00D53F73" w14:paraId="13BBBFA3" w14:textId="77777777">
      <w:pPr>
        <w:pStyle w:val="StyleBoldCentered"/>
      </w:pPr>
      <w:r>
        <w:t>Report and order and further notice of proposed rulemaking</w:t>
      </w:r>
    </w:p>
    <w:p w:rsidR="00D53F73" w:rsidP="00D53F73" w14:paraId="24B37ADA" w14:textId="77777777">
      <w:pPr>
        <w:tabs>
          <w:tab w:val="left" w:pos="-720"/>
        </w:tabs>
        <w:suppressAutoHyphens/>
        <w:spacing w:line="227" w:lineRule="auto"/>
        <w:rPr>
          <w:spacing w:val="-2"/>
        </w:rPr>
      </w:pPr>
    </w:p>
    <w:p w:rsidR="00D53F73" w:rsidP="00D53F73" w14:paraId="147CBE3C" w14:textId="52CD2C01">
      <w:pPr>
        <w:tabs>
          <w:tab w:val="left" w:pos="720"/>
          <w:tab w:val="right" w:pos="9360"/>
        </w:tabs>
        <w:suppressAutoHyphens/>
        <w:spacing w:line="227" w:lineRule="auto"/>
        <w:rPr>
          <w:spacing w:val="-2"/>
        </w:rPr>
      </w:pPr>
      <w:r w:rsidRPr="00551BBE">
        <w:rPr>
          <w:b/>
          <w:spacing w:val="-2"/>
        </w:rPr>
        <w:t xml:space="preserve">Adopted:  </w:t>
      </w:r>
      <w:r>
        <w:rPr>
          <w:b/>
          <w:spacing w:val="-2"/>
        </w:rPr>
        <w:t>November 13, 2023</w:t>
      </w:r>
      <w:r w:rsidRPr="00551BBE">
        <w:rPr>
          <w:b/>
          <w:spacing w:val="-2"/>
        </w:rPr>
        <w:tab/>
        <w:t xml:space="preserve">Released:  </w:t>
      </w:r>
      <w:r w:rsidR="00F012EE">
        <w:rPr>
          <w:b/>
          <w:spacing w:val="-2"/>
        </w:rPr>
        <w:t>November</w:t>
      </w:r>
      <w:r>
        <w:rPr>
          <w:b/>
          <w:spacing w:val="-2"/>
        </w:rPr>
        <w:t xml:space="preserve"> </w:t>
      </w:r>
      <w:r w:rsidR="00F012EE">
        <w:rPr>
          <w:b/>
          <w:spacing w:val="-2"/>
        </w:rPr>
        <w:t>13</w:t>
      </w:r>
      <w:r>
        <w:rPr>
          <w:b/>
          <w:spacing w:val="-2"/>
        </w:rPr>
        <w:t>, 2023</w:t>
      </w:r>
    </w:p>
    <w:p w:rsidR="00D53F73" w:rsidP="00D53F73" w14:paraId="109AD0C0" w14:textId="77777777"/>
    <w:p w:rsidR="00D53F73" w:rsidP="00D53F73" w14:paraId="1E471E22" w14:textId="77777777">
      <w:pPr>
        <w:rPr>
          <w:spacing w:val="-2"/>
        </w:rPr>
      </w:pPr>
      <w:r>
        <w:t xml:space="preserve">By the </w:t>
      </w:r>
      <w:r>
        <w:rPr>
          <w:spacing w:val="-2"/>
        </w:rPr>
        <w:t>Commission:</w:t>
      </w:r>
    </w:p>
    <w:p w:rsidR="00D53F73" w:rsidP="00D53F73" w14:paraId="295BC3A9" w14:textId="77777777">
      <w:pPr>
        <w:rPr>
          <w:spacing w:val="-2"/>
        </w:rPr>
      </w:pPr>
    </w:p>
    <w:p w:rsidR="00D53F73" w:rsidP="00D53F73" w14:paraId="406E04E9" w14:textId="77777777">
      <w:pPr>
        <w:pStyle w:val="TOCTitle"/>
      </w:pPr>
      <w:bookmarkStart w:id="0" w:name="TOChere"/>
      <w:r>
        <w:t>Table of Contents</w:t>
      </w:r>
    </w:p>
    <w:p w:rsidR="00D53F73" w:rsidRPr="00124E0D" w:rsidP="00D53F73" w14:paraId="57BF224E" w14:textId="77777777">
      <w:pPr>
        <w:pStyle w:val="Paratitle"/>
      </w:pPr>
      <w:r w:rsidRPr="00124E0D">
        <w:t>Heading</w:t>
      </w:r>
      <w:r w:rsidRPr="00124E0D">
        <w:tab/>
        <w:t>Paragraph #</w:t>
      </w:r>
      <w:bookmarkStart w:id="1" w:name="start_here"/>
      <w:bookmarkEnd w:id="1"/>
    </w:p>
    <w:p w:rsidR="00D53F73" w:rsidRPr="00124E0D" w:rsidP="00D53F73" w14:paraId="5A93E4FF" w14:textId="77777777">
      <w:pPr>
        <w:pStyle w:val="TOC1"/>
        <w:rPr>
          <w:caps w:val="0"/>
          <w:snapToGrid/>
          <w:kern w:val="2"/>
          <w:szCs w:val="22"/>
        </w:rPr>
      </w:pPr>
      <w:r w:rsidRPr="00124E0D">
        <w:t>I.</w:t>
      </w:r>
      <w:r w:rsidRPr="00124E0D">
        <w:rPr>
          <w:caps w:val="0"/>
          <w:snapToGrid/>
          <w:kern w:val="2"/>
          <w:szCs w:val="22"/>
        </w:rPr>
        <w:tab/>
      </w:r>
      <w:r w:rsidRPr="00124E0D">
        <w:t>introduction</w:t>
      </w:r>
      <w:r w:rsidRPr="00124E0D">
        <w:tab/>
        <w:t>1</w:t>
      </w:r>
    </w:p>
    <w:p w:rsidR="00D53F73" w:rsidRPr="00124E0D" w:rsidP="00D53F73" w14:paraId="76C50298" w14:textId="77777777">
      <w:pPr>
        <w:pStyle w:val="TOC1"/>
        <w:rPr>
          <w:caps w:val="0"/>
          <w:snapToGrid/>
          <w:kern w:val="2"/>
          <w:szCs w:val="22"/>
        </w:rPr>
      </w:pPr>
      <w:r w:rsidRPr="00124E0D">
        <w:t>II.</w:t>
      </w:r>
      <w:r w:rsidRPr="00124E0D">
        <w:rPr>
          <w:caps w:val="0"/>
          <w:snapToGrid/>
          <w:kern w:val="2"/>
          <w:szCs w:val="22"/>
        </w:rPr>
        <w:tab/>
      </w:r>
      <w:r w:rsidRPr="00124E0D">
        <w:t>Background</w:t>
      </w:r>
      <w:r w:rsidRPr="00124E0D">
        <w:tab/>
        <w:t>3</w:t>
      </w:r>
    </w:p>
    <w:p w:rsidR="00D53F73" w:rsidRPr="00124E0D" w:rsidP="00D53F73" w14:paraId="7F017A00" w14:textId="77777777">
      <w:pPr>
        <w:pStyle w:val="TOC1"/>
        <w:rPr>
          <w:caps w:val="0"/>
          <w:snapToGrid/>
          <w:kern w:val="2"/>
          <w:szCs w:val="22"/>
        </w:rPr>
      </w:pPr>
      <w:r w:rsidRPr="00124E0D">
        <w:t>III.</w:t>
      </w:r>
      <w:r w:rsidRPr="00124E0D">
        <w:rPr>
          <w:caps w:val="0"/>
          <w:snapToGrid/>
          <w:kern w:val="2"/>
          <w:szCs w:val="22"/>
        </w:rPr>
        <w:tab/>
      </w:r>
      <w:r w:rsidRPr="00124E0D">
        <w:t>report and order</w:t>
      </w:r>
      <w:r w:rsidRPr="00124E0D">
        <w:tab/>
        <w:t>7</w:t>
      </w:r>
    </w:p>
    <w:p w:rsidR="00D53F73" w:rsidRPr="00124E0D" w:rsidP="00D53F73" w14:paraId="76B24AB5" w14:textId="77777777">
      <w:pPr>
        <w:pStyle w:val="TOC1"/>
        <w:rPr>
          <w:caps w:val="0"/>
          <w:snapToGrid/>
          <w:kern w:val="2"/>
          <w:szCs w:val="22"/>
        </w:rPr>
      </w:pPr>
      <w:r w:rsidRPr="00124E0D">
        <w:t>IV.</w:t>
      </w:r>
      <w:r w:rsidRPr="00124E0D">
        <w:rPr>
          <w:caps w:val="0"/>
          <w:snapToGrid/>
          <w:kern w:val="2"/>
          <w:szCs w:val="22"/>
        </w:rPr>
        <w:tab/>
      </w:r>
      <w:r w:rsidRPr="00124E0D">
        <w:t>further notice of proposed rulemaking</w:t>
      </w:r>
      <w:r w:rsidRPr="00124E0D">
        <w:tab/>
        <w:t>20</w:t>
      </w:r>
    </w:p>
    <w:p w:rsidR="00D53F73" w:rsidRPr="00124E0D" w:rsidP="00D53F73" w14:paraId="30E8F392" w14:textId="77777777">
      <w:pPr>
        <w:pStyle w:val="TOC1"/>
        <w:rPr>
          <w:caps w:val="0"/>
          <w:snapToGrid/>
          <w:kern w:val="2"/>
          <w:szCs w:val="22"/>
        </w:rPr>
      </w:pPr>
      <w:r w:rsidRPr="00124E0D">
        <w:t>V.</w:t>
      </w:r>
      <w:r w:rsidRPr="00124E0D">
        <w:rPr>
          <w:caps w:val="0"/>
          <w:snapToGrid/>
          <w:kern w:val="2"/>
          <w:szCs w:val="22"/>
        </w:rPr>
        <w:tab/>
      </w:r>
      <w:r w:rsidRPr="00124E0D">
        <w:t>Procedural Matters</w:t>
      </w:r>
      <w:r w:rsidRPr="00124E0D">
        <w:tab/>
        <w:t>24</w:t>
      </w:r>
    </w:p>
    <w:p w:rsidR="00D53F73" w:rsidRPr="00124E0D" w:rsidP="00D53F73" w14:paraId="73D4FE94" w14:textId="1FE21FE0">
      <w:pPr>
        <w:pStyle w:val="TOC1"/>
        <w:rPr>
          <w:caps w:val="0"/>
          <w:snapToGrid/>
          <w:kern w:val="2"/>
          <w:szCs w:val="22"/>
        </w:rPr>
      </w:pPr>
      <w:r w:rsidRPr="00124E0D">
        <w:t>VI.</w:t>
      </w:r>
      <w:r w:rsidRPr="00124E0D">
        <w:rPr>
          <w:caps w:val="0"/>
          <w:snapToGrid/>
          <w:kern w:val="2"/>
          <w:szCs w:val="22"/>
        </w:rPr>
        <w:tab/>
      </w:r>
      <w:r w:rsidRPr="00124E0D">
        <w:t>Ordering Clauses</w:t>
      </w:r>
      <w:r w:rsidRPr="00124E0D">
        <w:tab/>
        <w:t>3</w:t>
      </w:r>
      <w:r w:rsidRPr="00124E0D" w:rsidR="006C0127">
        <w:t>1</w:t>
      </w:r>
    </w:p>
    <w:bookmarkEnd w:id="0"/>
    <w:p w:rsidR="00D53F73" w:rsidRPr="00124E0D" w:rsidP="00D53F73" w14:paraId="4D376C1A" w14:textId="77777777">
      <w:pPr>
        <w:rPr>
          <w:spacing w:val="-2"/>
        </w:rPr>
      </w:pPr>
    </w:p>
    <w:p w:rsidR="00D53F73" w:rsidRPr="00124E0D" w:rsidP="00D53F73" w14:paraId="623AF07E" w14:textId="77777777">
      <w:pPr>
        <w:rPr>
          <w:spacing w:val="-2"/>
        </w:rPr>
      </w:pPr>
    </w:p>
    <w:p w:rsidR="00D53F73" w:rsidP="00D53F73" w14:paraId="0A2903D1" w14:textId="77777777">
      <w:pPr>
        <w:pStyle w:val="Heading1"/>
      </w:pPr>
      <w:bookmarkStart w:id="2" w:name="_Toc144384357"/>
      <w:bookmarkStart w:id="3" w:name="_Toc145601958"/>
      <w:r>
        <w:t>introduction</w:t>
      </w:r>
      <w:bookmarkEnd w:id="2"/>
      <w:bookmarkEnd w:id="3"/>
    </w:p>
    <w:p w:rsidR="00D53F73" w:rsidP="00A46CB5" w14:paraId="62842DEF" w14:textId="77777777">
      <w:pPr>
        <w:pStyle w:val="ParaNum"/>
        <w:widowControl/>
      </w:pPr>
      <w:r>
        <w:t xml:space="preserve">In this </w:t>
      </w:r>
      <w:r w:rsidRPr="249C6038">
        <w:rPr>
          <w:i/>
          <w:iCs/>
        </w:rPr>
        <w:t>Report and Order</w:t>
      </w:r>
      <w:r>
        <w:t xml:space="preserve"> (</w:t>
      </w:r>
      <w:r w:rsidRPr="249C6038">
        <w:rPr>
          <w:i/>
          <w:iCs/>
        </w:rPr>
        <w:t>Report and Order</w:t>
      </w:r>
      <w:r>
        <w:t>)</w:t>
      </w:r>
      <w:r w:rsidRPr="249C6038">
        <w:rPr>
          <w:i/>
          <w:iCs/>
        </w:rPr>
        <w:t xml:space="preserve"> and Further Notice of Proposed Rulemaking </w:t>
      </w:r>
      <w:r w:rsidRPr="00FC0F32">
        <w:t>(</w:t>
      </w:r>
      <w:r w:rsidRPr="249C6038">
        <w:rPr>
          <w:i/>
          <w:iCs/>
        </w:rPr>
        <w:t>FNPRM</w:t>
      </w:r>
      <w:r w:rsidRPr="00FC0F32">
        <w:t>)</w:t>
      </w:r>
      <w:r>
        <w:t>, we amend part 97 of the Commission’s rules regarding technical standards applicable to data communications that may be transmitted in the Amateur Radio Service.  Specifically, we remove limitations on the symbol rate (also known as baud rate)—the rate at which the carrier waveform amplitude, frequency, and/or phase is varied to transmit information</w:t>
      </w:r>
      <w:r>
        <w:rPr>
          <w:rStyle w:val="FootnoteReference"/>
        </w:rPr>
        <w:footnoteReference w:id="3"/>
      </w:r>
      <w:r>
        <w:t>—applicable to data emissions in certain amateur bands.</w:t>
      </w:r>
      <w:r>
        <w:rPr>
          <w:rStyle w:val="FootnoteReference"/>
        </w:rPr>
        <w:footnoteReference w:id="4"/>
      </w:r>
      <w:r>
        <w:t xml:space="preserve">  The amateur radio community can play a vital role in emergency response communications, but is often unnecessarily hindered by the baud rate limitations in the rules.  </w:t>
      </w:r>
    </w:p>
    <w:p w:rsidR="00D53F73" w:rsidP="00D53F73" w14:paraId="03E30ED5" w14:textId="77777777">
      <w:pPr>
        <w:pStyle w:val="ParaNum"/>
      </w:pPr>
      <w:r>
        <w:t xml:space="preserve">Today, we remove this outdated restriction to allow the amateur radio community to operate more efficiently, including in support of </w:t>
      </w:r>
      <w:r w:rsidRPr="00AD2EF0">
        <w:t>emergency situations when appropriate.</w:t>
      </w:r>
      <w:r>
        <w:t xml:space="preserve">  In place of the baud rate, we set a bandwidth limitation of 2.8 kilohertz in these amateur bands, consistent with our treatment of other wireless radio services, which also have service-specific bandwidth limitations.  This bandwidth limitation will promote continued sharing in these amateur bands.  We believe that these</w:t>
      </w:r>
      <w:r w:rsidRPr="0054423C">
        <w:t xml:space="preserve"> rule change</w:t>
      </w:r>
      <w:r>
        <w:t>s</w:t>
      </w:r>
      <w:r w:rsidRPr="0054423C">
        <w:t xml:space="preserve"> will </w:t>
      </w:r>
      <w:r>
        <w:t>provide</w:t>
      </w:r>
      <w:r w:rsidRPr="0054423C">
        <w:t xml:space="preserve"> amateur service licensees</w:t>
      </w:r>
      <w:r>
        <w:t xml:space="preserve"> the flexibility</w:t>
      </w:r>
      <w:r w:rsidRPr="0054423C">
        <w:t xml:space="preserve"> to use modern digital emissions, thereby better fulfilling the purposes of the amateur service </w:t>
      </w:r>
      <w:r>
        <w:t>to promote innovation and experimentation</w:t>
      </w:r>
      <w:r w:rsidRPr="0054423C">
        <w:t>.</w:t>
      </w:r>
      <w:r>
        <w:t xml:space="preserve">  We take no further action on other issues pending in the docket at this time.</w:t>
      </w:r>
      <w:r>
        <w:rPr>
          <w:rStyle w:val="FootnoteReference"/>
        </w:rPr>
        <w:footnoteReference w:id="5"/>
      </w:r>
      <w:r>
        <w:t xml:space="preserve">  In the </w:t>
      </w:r>
      <w:r w:rsidRPr="249C6038">
        <w:rPr>
          <w:i/>
          <w:iCs/>
        </w:rPr>
        <w:t>FNPRM</w:t>
      </w:r>
      <w:r>
        <w:rPr>
          <w:i/>
          <w:iCs/>
        </w:rPr>
        <w:t>,</w:t>
      </w:r>
      <w:r>
        <w:t xml:space="preserve"> we propose to remove the baud rate limitation in the 2200 meter band and 630 meter band,</w:t>
      </w:r>
      <w:r>
        <w:t xml:space="preserve"> </w:t>
      </w:r>
      <w:r>
        <w:t xml:space="preserve">which the Commission allocated for amateur radio use after it released the </w:t>
      </w:r>
      <w:r w:rsidRPr="249C6038">
        <w:rPr>
          <w:i/>
          <w:iCs/>
        </w:rPr>
        <w:t>NPRM</w:t>
      </w:r>
      <w:r>
        <w:t xml:space="preserve"> in 2016,</w:t>
      </w:r>
      <w:r>
        <w:rPr>
          <w:rStyle w:val="FootnoteReference"/>
        </w:rPr>
        <w:footnoteReference w:id="6"/>
      </w:r>
      <w:r>
        <w:t xml:space="preserve"> and in the very high frequency (VHF) bands and the ultra-high frequency (UHF) bands.  Additionally, we seek comment on the appropriate bandwidth limitation for the 2200 meter band, the 630 meter band, and the VHF/UHF bands.  </w:t>
      </w:r>
    </w:p>
    <w:p w:rsidR="00D53F73" w:rsidP="00D53F73" w14:paraId="38BCAF29" w14:textId="77777777">
      <w:pPr>
        <w:pStyle w:val="Heading1"/>
      </w:pPr>
      <w:bookmarkStart w:id="4" w:name="_Toc144384358"/>
      <w:bookmarkStart w:id="5" w:name="_Toc145601959"/>
      <w:r>
        <w:t>Background</w:t>
      </w:r>
      <w:bookmarkEnd w:id="4"/>
      <w:bookmarkEnd w:id="5"/>
    </w:p>
    <w:p w:rsidR="00D53F73" w:rsidP="00D53F73" w14:paraId="3998910F" w14:textId="77777777">
      <w:pPr>
        <w:pStyle w:val="ParaNum"/>
      </w:pPr>
      <w:r>
        <w:t>Most amateur bands below 450 MHz are divided between radioteletype (RTTY)</w:t>
      </w:r>
      <w:r>
        <w:rPr>
          <w:rStyle w:val="FootnoteReference"/>
        </w:rPr>
        <w:t xml:space="preserve"> </w:t>
      </w:r>
      <w:r>
        <w:t xml:space="preserve">/data </w:t>
      </w:r>
      <w:r>
        <w:t>subbands</w:t>
      </w:r>
      <w:r>
        <w:t xml:space="preserve"> and phone/image </w:t>
      </w:r>
      <w:r>
        <w:t>subbands</w:t>
      </w:r>
      <w:r>
        <w:t>.</w:t>
      </w:r>
      <w:r>
        <w:rPr>
          <w:rStyle w:val="FootnoteReference"/>
        </w:rPr>
        <w:footnoteReference w:id="7"/>
      </w:r>
      <w:r>
        <w:t xml:space="preserve">  The purpose of separating emission types into groups is to relegate the transmission of certain inharmonious emission types to different segments of amateur service frequency bands,</w:t>
      </w:r>
      <w:r>
        <w:rPr>
          <w:rStyle w:val="FootnoteReference"/>
        </w:rPr>
        <w:footnoteReference w:id="8"/>
      </w:r>
      <w:r>
        <w:t xml:space="preserve"> while still allowing great flexibility in the types of emissions that may be transmitted by amateur stations.</w:t>
      </w:r>
      <w:r>
        <w:rPr>
          <w:rStyle w:val="FootnoteReference"/>
        </w:rPr>
        <w:footnoteReference w:id="9"/>
      </w:r>
      <w:r>
        <w:t xml:space="preserve">  Additional standards and limitations applicable to each band or </w:t>
      </w:r>
      <w:r>
        <w:t>subband</w:t>
      </w:r>
      <w:r>
        <w:t xml:space="preserve"> are set forth in section 97.307(f) of the Commission’s rules.</w:t>
      </w:r>
      <w:r>
        <w:rPr>
          <w:rStyle w:val="FootnoteReference"/>
        </w:rPr>
        <w:footnoteReference w:id="10"/>
      </w:r>
    </w:p>
    <w:p w:rsidR="00D53F73" w:rsidP="00D53F73" w14:paraId="2D01CC22" w14:textId="77777777">
      <w:pPr>
        <w:pStyle w:val="ParaNum"/>
        <w:spacing w:before="240"/>
      </w:pPr>
      <w:r>
        <w:t>The limitations on RTTY and data transmissions below 450 MHz vary depending on the frequency band, and on whether the digital code used to encode the transmitted signal is one of the codes specified in section 97.309(a) of the Commission’s rules</w:t>
      </w:r>
      <w:r w:rsidRPr="007B7C9F">
        <w:t>—</w:t>
      </w:r>
      <w:r>
        <w:t>Baudot</w:t>
      </w:r>
      <w:r>
        <w:t>,</w:t>
      </w:r>
      <w:r>
        <w:rPr>
          <w:rStyle w:val="FootnoteReference"/>
        </w:rPr>
        <w:footnoteReference w:id="11"/>
      </w:r>
      <w:r>
        <w:t xml:space="preserve"> AMTOR,</w:t>
      </w:r>
      <w:r>
        <w:rPr>
          <w:rStyle w:val="FootnoteReference"/>
        </w:rPr>
        <w:footnoteReference w:id="12"/>
      </w:r>
      <w:r>
        <w:t xml:space="preserve"> and ASCII</w:t>
      </w:r>
      <w:r>
        <w:rPr>
          <w:rStyle w:val="FootnoteReference"/>
        </w:rPr>
        <w:footnoteReference w:id="13"/>
      </w:r>
      <w:r>
        <w:t xml:space="preserve"> (the “specified digital codes”).  Sections 97.307 and 97.305 of the Commission’s rules limit the symbol rate </w:t>
      </w:r>
      <w:r>
        <w:t>for the specified digital codes, and the bandwidth for unspecified digital codes, as follows: the specified digital codes may be used with a symbol rate not exceeding 300 bauds for frequencies below 28 MHz (except 60 meter (5.3305–5.4064 MHz band</w:t>
      </w:r>
      <w:r>
        <w:rPr>
          <w:rStyle w:val="FootnoteReference"/>
        </w:rPr>
        <w:footnoteReference w:id="14"/>
      </w:r>
      <w:r>
        <w:t>)), and 1200 bauds in the 10 meter (28.0–28.3 MHz) band;</w:t>
      </w:r>
      <w:r>
        <w:rPr>
          <w:rStyle w:val="FootnoteReference"/>
        </w:rPr>
        <w:footnoteReference w:id="15"/>
      </w:r>
      <w:r>
        <w:t xml:space="preserve"> in the 6 meter (50–54 MHz) and 2 meter (144–148 MHz) bands, the specified digital codes may be used with a symbol rate not exceeding 19.6 kilobauds, and unspecified digital codes may be used with a bandwidth not exceeding 20 kilohertz;</w:t>
      </w:r>
      <w:r>
        <w:rPr>
          <w:rStyle w:val="FootnoteReference"/>
        </w:rPr>
        <w:footnoteReference w:id="16"/>
      </w:r>
      <w:r>
        <w:t xml:space="preserve"> in the 1.25 meter (219–225 MHz) and 70 centimeter (420–450 MHz) bands, the specified digital codes may be used with a bandwidth not exceeding 100 kilohertz and a baud rate limitation not exceeding 56 kilobauds.</w:t>
      </w:r>
      <w:r>
        <w:rPr>
          <w:rStyle w:val="FootnoteReference"/>
        </w:rPr>
        <w:footnoteReference w:id="17"/>
      </w:r>
      <w:r>
        <w:t xml:space="preserve">  The baud rate limits were adopted in 1980, when the Commission amended the rules to specify ASCII as a permissible digital code.</w:t>
      </w:r>
      <w:r>
        <w:rPr>
          <w:rStyle w:val="FootnoteReference"/>
        </w:rPr>
        <w:footnoteReference w:id="18"/>
      </w:r>
      <w:r>
        <w:t xml:space="preserve">  The Commission adopted the limits so that ASCII signals would occupy no more spectrum than traditional </w:t>
      </w:r>
      <w:r>
        <w:t>radioteleprinter</w:t>
      </w:r>
      <w:r>
        <w:t xml:space="preserve"> signals associated with the use of </w:t>
      </w:r>
      <w:r>
        <w:t>Baudot</w:t>
      </w:r>
      <w:r>
        <w:t xml:space="preserve"> code.</w:t>
      </w:r>
      <w:r>
        <w:rPr>
          <w:rStyle w:val="FootnoteReference"/>
        </w:rPr>
        <w:footnoteReference w:id="19"/>
      </w:r>
    </w:p>
    <w:p w:rsidR="00D53F73" w:rsidP="00D53F73" w14:paraId="39010C78" w14:textId="77777777">
      <w:pPr>
        <w:pStyle w:val="ParaNum"/>
      </w:pPr>
      <w:r>
        <w:t>In 2013, the National Association for Amateur Radio (ARRL) filed a petition for rulemaking to modify sections 97.305 and 97.307 of the Commission rules.</w:t>
      </w:r>
      <w:r>
        <w:rPr>
          <w:rStyle w:val="FootnoteReference"/>
        </w:rPr>
        <w:footnoteReference w:id="20"/>
      </w:r>
      <w:r>
        <w:t xml:space="preserve">  Specifically, ARRL asked the Commission to “delete all references to symbol rate from section 97.307(f) of the Commission’s rules; to create a conforming amendment to section 97.305(c) of the rules; and to establish a bandwidth limitation of 2.8 kilohertz for amateur data emissions below 29.7 </w:t>
      </w:r>
      <w:r>
        <w:t>MHz.</w:t>
      </w:r>
      <w:r>
        <w:t>”</w:t>
      </w:r>
      <w:r>
        <w:rPr>
          <w:rStyle w:val="FootnoteReference"/>
        </w:rPr>
        <w:footnoteReference w:id="21"/>
      </w:r>
      <w:r>
        <w:t xml:space="preserve">  The petition argued that the baud rate is an outdated restriction that hampers or precludes amateur radio experimentation with modern high frequency (HF) and other data transmission protocols.</w:t>
      </w:r>
      <w:r>
        <w:rPr>
          <w:rStyle w:val="FootnoteReference"/>
        </w:rPr>
        <w:footnoteReference w:id="22"/>
      </w:r>
      <w:r>
        <w:t xml:space="preserve">  </w:t>
      </w:r>
    </w:p>
    <w:p w:rsidR="00D53F73" w:rsidRPr="00813EA1" w:rsidP="00D53F73" w14:paraId="78482272" w14:textId="77777777">
      <w:pPr>
        <w:pStyle w:val="ParaNum"/>
      </w:pPr>
      <w:r>
        <w:t xml:space="preserve">In 2016, the Commission released a </w:t>
      </w:r>
      <w:r w:rsidRPr="249C6038">
        <w:rPr>
          <w:i/>
          <w:iCs/>
        </w:rPr>
        <w:t>Notice of Proposed Rulemaking</w:t>
      </w:r>
      <w:r>
        <w:t xml:space="preserve"> that sought comment on eliminating the baud rate limit and amending part 97 of the Commission’s rules accordingly.</w:t>
      </w:r>
      <w:r>
        <w:rPr>
          <w:rStyle w:val="FootnoteReference"/>
        </w:rPr>
        <w:footnoteReference w:id="23"/>
      </w:r>
      <w:r>
        <w:t xml:space="preserve">  The </w:t>
      </w:r>
      <w:r w:rsidRPr="249C6038">
        <w:rPr>
          <w:i/>
          <w:iCs/>
        </w:rPr>
        <w:t>NPRM</w:t>
      </w:r>
      <w:r>
        <w:t xml:space="preserve"> also tentatively concluded that a 2.8 kilohertz bandwidth limitation for RTTY and data emissions in the MF/HF bands was not necessary, and sought comment on this conclusion.</w:t>
      </w:r>
      <w:r>
        <w:rPr>
          <w:rStyle w:val="FootnoteReference"/>
        </w:rPr>
        <w:footnoteReference w:id="24"/>
      </w:r>
      <w:r>
        <w:t xml:space="preserve">  The Commission has received over 1200 comments in WT Docket No. 16-239.</w:t>
      </w:r>
      <w:r>
        <w:rPr>
          <w:rStyle w:val="FootnoteReference"/>
        </w:rPr>
        <w:footnoteReference w:id="25"/>
      </w:r>
      <w:r>
        <w:t xml:space="preserve"> </w:t>
      </w:r>
      <w:r>
        <w:t xml:space="preserve"> </w:t>
      </w:r>
    </w:p>
    <w:p w:rsidR="00D53F73" w:rsidP="00D53F73" w14:paraId="025E5ADE" w14:textId="77777777">
      <w:pPr>
        <w:pStyle w:val="Heading1"/>
      </w:pPr>
      <w:bookmarkStart w:id="6" w:name="_Toc144384359"/>
      <w:bookmarkStart w:id="7" w:name="_Toc145601960"/>
      <w:r>
        <w:t>report and order</w:t>
      </w:r>
      <w:bookmarkEnd w:id="6"/>
      <w:bookmarkEnd w:id="7"/>
    </w:p>
    <w:p w:rsidR="00D53F73" w:rsidRPr="0023371E" w:rsidP="00D53F73" w14:paraId="78D0960A" w14:textId="77777777">
      <w:pPr>
        <w:pStyle w:val="ParaNum"/>
      </w:pPr>
      <w:r>
        <w:t xml:space="preserve">In this </w:t>
      </w:r>
      <w:r w:rsidRPr="249C6038">
        <w:rPr>
          <w:i/>
          <w:iCs/>
        </w:rPr>
        <w:t>Report and Order</w:t>
      </w:r>
      <w:r>
        <w:t xml:space="preserve"> we find that it is in the public interest to adopt the Commission’s tentative conclusion in the </w:t>
      </w:r>
      <w:r w:rsidRPr="249C6038">
        <w:rPr>
          <w:i/>
          <w:iCs/>
        </w:rPr>
        <w:t>NPRM</w:t>
      </w:r>
      <w:r>
        <w:t xml:space="preserve"> to remove the limitation on the baud rate applicable to certain data emissions in the amateur bands below 29.7 </w:t>
      </w:r>
      <w:r>
        <w:t>MHz.</w:t>
      </w:r>
      <w:r>
        <w:rPr>
          <w:rStyle w:val="FootnoteReference"/>
        </w:rPr>
        <w:footnoteReference w:id="26"/>
      </w:r>
      <w:r>
        <w:t xml:space="preserve">  In addition, consistent with comments in </w:t>
      </w:r>
      <w:r>
        <w:t>the record, we impose a bandwidth limitation.  Specifically, we find a 2.8 kilohertz bandwidth limitation, as proposed in the ARRL petition, best achieves the goals in this proceeding of promoting innovation, more efficient use of the radio spectrum currently allocated to the amateur service, and the ability of the amateur service to support public safety efforts in the event of an emergency.</w:t>
      </w:r>
      <w:r>
        <w:rPr>
          <w:rStyle w:val="FootnoteReference"/>
        </w:rPr>
        <w:footnoteReference w:id="27"/>
      </w:r>
      <w:r>
        <w:t xml:space="preserve">  </w:t>
      </w:r>
    </w:p>
    <w:p w:rsidR="00D53F73" w:rsidP="00D53F73" w14:paraId="751901F5" w14:textId="77777777">
      <w:pPr>
        <w:pStyle w:val="ParaNum"/>
      </w:pPr>
      <w:r w:rsidRPr="249C6038">
        <w:rPr>
          <w:i/>
          <w:iCs/>
        </w:rPr>
        <w:t>Baud Rate Limitations</w:t>
      </w:r>
      <w:r>
        <w:t xml:space="preserve">.  Consistent with the Commission’s tentative conclusion in the </w:t>
      </w:r>
      <w:r w:rsidRPr="249C6038">
        <w:rPr>
          <w:i/>
          <w:iCs/>
        </w:rPr>
        <w:t>NPRM</w:t>
      </w:r>
      <w:r>
        <w:t>, we find that it is in the public interest to remove the baud rate limitation in section 97.307(f) of the Commission’s rules.</w:t>
      </w:r>
      <w:r>
        <w:rPr>
          <w:rStyle w:val="FootnoteReference"/>
        </w:rPr>
        <w:footnoteReference w:id="28"/>
      </w:r>
      <w:r>
        <w:t xml:space="preserve">  As the Commission observed in 1993, “as technology progresses, the rules may become unnecessarily restrictive, particularly with regard to the permissible baud rate.”</w:t>
      </w:r>
      <w:r>
        <w:rPr>
          <w:rStyle w:val="FootnoteReference"/>
        </w:rPr>
        <w:footnoteReference w:id="29"/>
      </w:r>
      <w:r>
        <w:t xml:space="preserve">  Such is the case here.  Based on the record in this proceeding, we find that the baud rate limitation has become outdated and hampers, rather than promotes, innovation and robust use of the amateur bands.</w:t>
      </w:r>
      <w:r>
        <w:rPr>
          <w:rStyle w:val="FootnoteReference"/>
        </w:rPr>
        <w:footnoteReference w:id="30"/>
      </w:r>
      <w:r>
        <w:t xml:space="preserve">  For example, ARRL argues, the current baud rate limits permit, if not actually encourage, inefficient spectrum utilization.</w:t>
      </w:r>
      <w:r>
        <w:rPr>
          <w:rStyle w:val="FootnoteReference"/>
        </w:rPr>
        <w:footnoteReference w:id="31"/>
      </w:r>
      <w:r>
        <w:t xml:space="preserve">  Similarly, as the Texas Department of Public Safety maintains, eliminating the baud rate limitation will allow messages to “be transmitted at almost twice the speed in the same occupied bandwidth.”</w:t>
      </w:r>
      <w:r>
        <w:rPr>
          <w:rStyle w:val="FootnoteReference"/>
        </w:rPr>
        <w:footnoteReference w:id="32"/>
      </w:r>
      <w:r>
        <w:t xml:space="preserve">  We find that elimination of the baud rate limitation will promote more efficient use of the radio spectrum currently allocated for amateur services and thus amend section 97.307(f) by eliminating the baud rate as proposed in the </w:t>
      </w:r>
      <w:r w:rsidRPr="249C6038">
        <w:rPr>
          <w:i/>
          <w:iCs/>
        </w:rPr>
        <w:t>NPRM</w:t>
      </w:r>
      <w:r>
        <w:t>.</w:t>
      </w:r>
      <w:r>
        <w:rPr>
          <w:rStyle w:val="FootnoteReference"/>
        </w:rPr>
        <w:footnoteReference w:id="33"/>
      </w:r>
    </w:p>
    <w:p w:rsidR="00D53F73" w:rsidP="00D53F73" w14:paraId="5B6CFC61" w14:textId="77777777">
      <w:pPr>
        <w:pStyle w:val="ParaNum"/>
      </w:pPr>
      <w:r>
        <w:t>Eliminating the baud rate limitation has wide support in the record.</w:t>
      </w:r>
      <w:r>
        <w:rPr>
          <w:rStyle w:val="FootnoteReference"/>
        </w:rPr>
        <w:footnoteReference w:id="34"/>
      </w:r>
      <w:r>
        <w:t xml:space="preserve">  Many commenters emphasize the public safety benefits that will result from removing the baud rate limitation.  For example, several state public safety organizations emphasize that they rely “on effective amateur radio communications to provide critical initial information in areas severed from traditional modes of communication.”</w:t>
      </w:r>
      <w:r>
        <w:rPr>
          <w:rStyle w:val="FootnoteReference"/>
        </w:rPr>
        <w:footnoteReference w:id="35"/>
      </w:r>
      <w:r>
        <w:t xml:space="preserve">  Commenters explain that amateur radio operators volunteer during natural disasters and removing the baud rate will allow for faster emergency communications.</w:t>
      </w:r>
      <w:r>
        <w:rPr>
          <w:rStyle w:val="FootnoteReference"/>
        </w:rPr>
        <w:footnoteReference w:id="36"/>
      </w:r>
      <w:r>
        <w:t xml:space="preserve">  As ARRL states, “[</w:t>
      </w:r>
      <w:r>
        <w:t>i</w:t>
      </w:r>
      <w:r>
        <w:t>]</w:t>
      </w:r>
      <w:r>
        <w:t>ncreasing</w:t>
      </w:r>
      <w:r>
        <w:t xml:space="preserve"> speed is especially important when amateurs voluntarily assist during and after hurricanes, </w:t>
      </w:r>
      <w:r>
        <w:t>forest fires, and other disasters.”</w:t>
      </w:r>
      <w:r>
        <w:rPr>
          <w:rStyle w:val="FootnoteReference"/>
        </w:rPr>
        <w:footnoteReference w:id="37"/>
      </w:r>
      <w:r>
        <w:t xml:space="preserve">  Commenters also espouse the benefits of removing the baud rate limitation to promote continued innovation in the amateur bands.</w:t>
      </w:r>
      <w:r>
        <w:rPr>
          <w:rStyle w:val="FootnoteReference"/>
        </w:rPr>
        <w:footnoteReference w:id="38"/>
      </w:r>
      <w:r>
        <w:t xml:space="preserve">  ARRL, for example, contends that eliminating the baud rate limitation will “incentivize innovation by allowing more data to be transmitted within each signal without increasing bandwidth from that currently used.”</w:t>
      </w:r>
      <w:r>
        <w:rPr>
          <w:rStyle w:val="FootnoteReference"/>
        </w:rPr>
        <w:footnoteReference w:id="39"/>
      </w:r>
      <w:r>
        <w:t xml:space="preserve">  For these reasons, we agree with commenters that the baud rate limitation should be eliminated and adopt the proposal in the </w:t>
      </w:r>
      <w:r w:rsidRPr="249C6038">
        <w:rPr>
          <w:i/>
          <w:iCs/>
        </w:rPr>
        <w:t>NPRM</w:t>
      </w:r>
      <w:r>
        <w:t>.</w:t>
      </w:r>
    </w:p>
    <w:p w:rsidR="00D53F73" w:rsidP="00D53F73" w14:paraId="7F1AF01F" w14:textId="77777777">
      <w:pPr>
        <w:pStyle w:val="ParaNum"/>
      </w:pPr>
      <w:r w:rsidRPr="00206F26">
        <w:t>A few commenters oppose any rule change, arguing that the existing rules should be retained in order to protect</w:t>
      </w:r>
      <w:r>
        <w:t xml:space="preserve"> access to amateur bands by </w:t>
      </w:r>
      <w:r w:rsidRPr="00206F26">
        <w:t>Morse code</w:t>
      </w:r>
      <w:r>
        <w:t xml:space="preserve"> and other narrowband transmissions.</w:t>
      </w:r>
      <w:r>
        <w:rPr>
          <w:rStyle w:val="FootnoteReference"/>
        </w:rPr>
        <w:footnoteReference w:id="40"/>
      </w:r>
      <w:r w:rsidRPr="00206F26">
        <w:t xml:space="preserve">  </w:t>
      </w:r>
      <w:r>
        <w:t>While we recognize that there are varying uses for the amateur bands, our decision today does not restrict or promote any particular use.  Amateur licensees engaging in Morse code transmissions will continue to be able to use the amateur bands for such transmissions.  However, amateur</w:t>
      </w:r>
      <w:r w:rsidRPr="60CB9032">
        <w:t xml:space="preserve"> frequenc</w:t>
      </w:r>
      <w:r>
        <w:t>ies</w:t>
      </w:r>
      <w:r w:rsidRPr="60CB9032">
        <w:t xml:space="preserve"> </w:t>
      </w:r>
      <w:r>
        <w:t>are not</w:t>
      </w:r>
      <w:r w:rsidRPr="60CB9032">
        <w:t xml:space="preserve"> assigned for the exclusive use of any station</w:t>
      </w:r>
      <w:r>
        <w:t>.</w:t>
      </w:r>
      <w:r>
        <w:rPr>
          <w:rStyle w:val="FootnoteReference"/>
        </w:rPr>
        <w:footnoteReference w:id="41"/>
      </w:r>
      <w:r>
        <w:t xml:space="preserve">  Rather, e</w:t>
      </w:r>
      <w:r w:rsidRPr="60CB9032">
        <w:t>ach station licensee and each control operator must cooperate in selecting transmitting channels and in making the most effective use of the amateur service frequencies</w:t>
      </w:r>
      <w:r>
        <w:t>.</w:t>
      </w:r>
      <w:r>
        <w:rPr>
          <w:rStyle w:val="FootnoteReference"/>
        </w:rPr>
        <w:footnoteReference w:id="42"/>
      </w:r>
      <w:r>
        <w:t xml:space="preserve">  Thus, our existing rules will continue to promote sharing in the bands and ensure that wideband emissions do not exclude narrowband emission modes such as Morse code.</w:t>
      </w:r>
      <w:r>
        <w:rPr>
          <w:rStyle w:val="FootnoteReference"/>
        </w:rPr>
        <w:footnoteReference w:id="43"/>
      </w:r>
      <w:r>
        <w:t xml:space="preserve">  Consistent with the support of most commenters in the record, our decision to eliminate the baud rate limitation provides amateur licensees with increased flexibility to engage in the innovation and experimentation that are the hallmarks of the amateur radio service.  </w:t>
      </w:r>
    </w:p>
    <w:p w:rsidR="00D53F73" w:rsidP="00D53F73" w14:paraId="477AE220" w14:textId="77777777">
      <w:pPr>
        <w:pStyle w:val="ParaNum"/>
      </w:pPr>
      <w:r>
        <w:t>We also note that the Wireless Telecommunications Bureau’s Mobility Division has issued waivers of section 97.307 allowing amateur operators directly involved with disaster relief efforts to exceed the baud rate limitation in the interest of public safety.</w:t>
      </w:r>
      <w:r>
        <w:rPr>
          <w:rStyle w:val="FootnoteReference"/>
        </w:rPr>
        <w:footnoteReference w:id="44"/>
      </w:r>
      <w:r>
        <w:t xml:space="preserve">  ARRL argues that a waiver approach </w:t>
      </w:r>
      <w:r>
        <w:t>is inadequate because it does not allow amateurs who voluntarily assist during and after hurricanes, forest fires, and other disasters to use and train with the faster modes outside of any waiver period.</w:t>
      </w:r>
      <w:r>
        <w:rPr>
          <w:rStyle w:val="FootnoteReference"/>
        </w:rPr>
        <w:footnoteReference w:id="45"/>
      </w:r>
      <w:r>
        <w:t xml:space="preserve">  Absent a rule change, ARRL maintains that “the effectiveness of responses are impaired during the first hours and days when most critical as many volunteers must download or update the software that enables the faster speeds and solve any system problems that result.”</w:t>
      </w:r>
      <w:r>
        <w:rPr>
          <w:rStyle w:val="FootnoteReference"/>
        </w:rPr>
        <w:footnoteReference w:id="46"/>
      </w:r>
      <w:r>
        <w:t xml:space="preserve">  We agree that an ad hoc waiver approach</w:t>
      </w:r>
      <w:r>
        <w:t xml:space="preserve"> </w:t>
      </w:r>
      <w:r>
        <w:t xml:space="preserve">is not a substitute for amending our rules to eliminate the baud rate limitation in amateur radio </w:t>
      </w:r>
      <w:r w:rsidRPr="0023371E">
        <w:t>bands</w:t>
      </w:r>
      <w:r>
        <w:t xml:space="preserve"> and we amend part 97 of the Commission’s rules accordingly.</w:t>
      </w:r>
      <w:r>
        <w:rPr>
          <w:rStyle w:val="FootnoteReference"/>
        </w:rPr>
        <w:footnoteReference w:id="47"/>
      </w:r>
      <w:r>
        <w:t xml:space="preserve">  </w:t>
      </w:r>
    </w:p>
    <w:p w:rsidR="00D53F73" w:rsidRPr="00815E11" w:rsidP="00D53F73" w14:paraId="5041D20C" w14:textId="77777777">
      <w:pPr>
        <w:pStyle w:val="ParaNum"/>
      </w:pPr>
      <w:r w:rsidRPr="249C6038">
        <w:rPr>
          <w:i/>
          <w:iCs/>
        </w:rPr>
        <w:t>2.8 Kilohertz Bandwidth Limitation</w:t>
      </w:r>
      <w:r>
        <w:t>.  ARRL’s petition requested that the Commission amend its rules by replacing the baud rate limitation with a 2.8 kilohertz bandwidth limitation.</w:t>
      </w:r>
      <w:r>
        <w:rPr>
          <w:rStyle w:val="FootnoteReference"/>
        </w:rPr>
        <w:footnoteReference w:id="48"/>
      </w:r>
      <w:r>
        <w:t xml:space="preserve">  The </w:t>
      </w:r>
      <w:r w:rsidRPr="249C6038">
        <w:rPr>
          <w:i/>
          <w:iCs/>
        </w:rPr>
        <w:t>NPRM</w:t>
      </w:r>
      <w:r>
        <w:t xml:space="preserve"> tentatively concluded that a specific bandwidth limitation for RTTY and data emissions in the amateur radio service bands was not necessary.  However, the </w:t>
      </w:r>
      <w:r w:rsidRPr="249C6038">
        <w:rPr>
          <w:i/>
          <w:iCs/>
        </w:rPr>
        <w:t>NPRM</w:t>
      </w:r>
      <w:r>
        <w:t xml:space="preserve"> observed that a 2.8 kilohertz bandwidth would accommodate HF data emissions that were in common use at that time</w:t>
      </w:r>
      <w:r>
        <w:rPr>
          <w:rStyle w:val="FootnoteReference"/>
        </w:rPr>
        <w:footnoteReference w:id="49"/>
      </w:r>
      <w:r>
        <w:t xml:space="preserve"> and which, we note, remain in use today.  The </w:t>
      </w:r>
      <w:r w:rsidRPr="249C6038">
        <w:rPr>
          <w:i/>
          <w:iCs/>
        </w:rPr>
        <w:t xml:space="preserve">NPRM </w:t>
      </w:r>
      <w:r>
        <w:t>sought comment on its tentative conclusions.</w:t>
      </w:r>
      <w:r>
        <w:rPr>
          <w:rStyle w:val="FootnoteReference"/>
        </w:rPr>
        <w:footnoteReference w:id="50"/>
      </w:r>
      <w:r>
        <w:t xml:space="preserve">  Based on our review of the record, w</w:t>
      </w:r>
      <w:r w:rsidRPr="00815E11">
        <w:t xml:space="preserve">e </w:t>
      </w:r>
      <w:r>
        <w:t xml:space="preserve">now </w:t>
      </w:r>
      <w:r w:rsidRPr="00815E11">
        <w:t xml:space="preserve">agree with ARRL and other commenters that </w:t>
      </w:r>
      <w:r>
        <w:t xml:space="preserve">a </w:t>
      </w:r>
      <w:r w:rsidRPr="00815E11">
        <w:t xml:space="preserve">2.8 kHz bandwidth limit strikes the right balance between operational flexibility and spectrum reuse.  </w:t>
      </w:r>
      <w:r>
        <w:t xml:space="preserve">Accordingly, we adopt a 2.8 kilohertz bandwidth limitation in place of the baud rate limitation applicable to the following amateur radio bands: 160 meter band; 80 meter band; 40 meter band, segments 7.000–7.100 MHz and 7.100–7.125 MHz; 30 meter band; 20 meter band, segment 14.00–14.15 MHz; 17 meter band, segment 18.068–18.110 MHz; 15 meter band segment 21.0–21.2 MHz; 12 meter band segment 24.89–24.93 MHz; and 10 meter band, segment 28.0–28.3 </w:t>
      </w:r>
      <w:r>
        <w:t>MHz.</w:t>
      </w:r>
      <w:r>
        <w:rPr>
          <w:rStyle w:val="FootnoteReference"/>
        </w:rPr>
        <w:footnoteReference w:id="51"/>
      </w:r>
      <w:r>
        <w:t xml:space="preserve">  </w:t>
      </w:r>
    </w:p>
    <w:p w:rsidR="00D53F73" w:rsidP="00D56734" w14:paraId="0823E9D5" w14:textId="77777777">
      <w:pPr>
        <w:pStyle w:val="ParaNum"/>
        <w:widowControl/>
      </w:pPr>
      <w:r>
        <w:t xml:space="preserve">Although the Commission tentatively concluded not to adopt a bandwidth limitation in the </w:t>
      </w:r>
      <w:r w:rsidRPr="00EC2DEF">
        <w:rPr>
          <w:i/>
          <w:iCs/>
        </w:rPr>
        <w:t>NPRM</w:t>
      </w:r>
      <w:r w:rsidRPr="00206F26">
        <w:t xml:space="preserve">, </w:t>
      </w:r>
      <w:r>
        <w:t>commenters generally disagree with that tentative conclusion</w:t>
      </w:r>
      <w:r w:rsidRPr="00206F26">
        <w:t xml:space="preserve">.  </w:t>
      </w:r>
      <w:r>
        <w:t>Most commenters</w:t>
      </w:r>
      <w:r w:rsidRPr="00206F26">
        <w:t xml:space="preserve"> argue that </w:t>
      </w:r>
      <w:r>
        <w:t>if there is</w:t>
      </w:r>
      <w:r w:rsidRPr="00206F26">
        <w:t xml:space="preserve"> no baud rate limit and no bandwidth limit</w:t>
      </w:r>
      <w:r>
        <w:t>,</w:t>
      </w:r>
      <w:r w:rsidRPr="00B00283">
        <w:t xml:space="preserve"> a few wideband emissions could consume the bands and make sharing of the band more difficult during times of heavy use</w:t>
      </w:r>
      <w:r w:rsidRPr="00206F26">
        <w:t>.</w:t>
      </w:r>
      <w:r>
        <w:rPr>
          <w:rStyle w:val="FootnoteReference"/>
        </w:rPr>
        <w:footnoteReference w:id="52"/>
      </w:r>
      <w:r w:rsidRPr="00206F26">
        <w:t xml:space="preserve"> </w:t>
      </w:r>
      <w:r w:rsidRPr="00206F26">
        <w:t xml:space="preserve"> </w:t>
      </w:r>
      <w:r>
        <w:t xml:space="preserve">We agree.  </w:t>
      </w:r>
      <w:r w:rsidRPr="00206F26">
        <w:t>We</w:t>
      </w:r>
      <w:r w:rsidRPr="00206F26">
        <w:t xml:space="preserve"> </w:t>
      </w:r>
      <w:r w:rsidRPr="00206F26">
        <w:t xml:space="preserve">are persuaded </w:t>
      </w:r>
      <w:r>
        <w:t xml:space="preserve">by the weight of the record in this proceeding </w:t>
      </w:r>
      <w:r w:rsidRPr="00206F26">
        <w:t xml:space="preserve">that, without a </w:t>
      </w:r>
      <w:r>
        <w:t>baud rate or</w:t>
      </w:r>
      <w:r w:rsidRPr="00206F26">
        <w:t xml:space="preserve"> bandwidth limit, data stations using a large amount of spectrum for a single emission could do so to the detriment of simultaneous use by other stations using narrowband emission modes. </w:t>
      </w:r>
      <w:r>
        <w:t xml:space="preserve"> For example, ARRL states that “ARRL and most stakeholders favor both deleting the symbol rate and replacing it with a 2.8 kHz individual signal bandwidth limit.”</w:t>
      </w:r>
      <w:r>
        <w:rPr>
          <w:rStyle w:val="FootnoteReference"/>
        </w:rPr>
        <w:footnoteReference w:id="53"/>
      </w:r>
      <w:r>
        <w:t xml:space="preserve">  Based on the record, we conclude that it is in the public interest to set a specific </w:t>
      </w:r>
      <w:r>
        <w:t xml:space="preserve">bandwidth limitation in certain amateur radio bands to better promote sharing among amateur licensees in these bands.  </w:t>
      </w:r>
    </w:p>
    <w:p w:rsidR="00D53F73" w:rsidRPr="00206F26" w:rsidP="00D53F73" w14:paraId="64CE5131" w14:textId="77777777">
      <w:pPr>
        <w:pStyle w:val="ParaNum"/>
      </w:pPr>
      <w:r>
        <w:t>The few commenters that</w:t>
      </w:r>
      <w:r w:rsidRPr="00BE4042">
        <w:t xml:space="preserve"> support</w:t>
      </w:r>
      <w:r>
        <w:t xml:space="preserve"> the</w:t>
      </w:r>
      <w:r w:rsidRPr="00BE4042">
        <w:t xml:space="preserve"> removal of the baud rate limit with no bandwidth limit</w:t>
      </w:r>
      <w:r>
        <w:t>ation</w:t>
      </w:r>
      <w:r w:rsidRPr="00BE4042">
        <w:t xml:space="preserve"> argu</w:t>
      </w:r>
      <w:r>
        <w:t>e</w:t>
      </w:r>
      <w:r w:rsidRPr="00BE4042">
        <w:t xml:space="preserve"> that </w:t>
      </w:r>
      <w:r>
        <w:t>doing so will</w:t>
      </w:r>
      <w:r w:rsidRPr="00BE4042">
        <w:t xml:space="preserve"> facilitate experimentation in the amateur service.</w:t>
      </w:r>
      <w:r>
        <w:rPr>
          <w:rStyle w:val="FootnoteReference"/>
        </w:rPr>
        <w:footnoteReference w:id="54"/>
      </w:r>
      <w:r w:rsidRPr="00BE4042">
        <w:t xml:space="preserve">  </w:t>
      </w:r>
      <w:r>
        <w:t xml:space="preserve">As discussed above, however, the benefit of such wideband experimentation could come at the cost of significantly limiting the wide variety of uses in the amateur bands, which is a hallmark of these bands.  We thus find that a bandwidth limitation is in the public interest and should be adopted here. </w:t>
      </w:r>
    </w:p>
    <w:p w:rsidR="00D53F73" w:rsidP="00D53F73" w14:paraId="5A0DA336" w14:textId="77777777">
      <w:pPr>
        <w:pStyle w:val="ParaNum"/>
      </w:pPr>
      <w:r>
        <w:t>W</w:t>
      </w:r>
      <w:r w:rsidRPr="00206F26">
        <w:t xml:space="preserve">e </w:t>
      </w:r>
      <w:r>
        <w:t>further</w:t>
      </w:r>
      <w:r w:rsidRPr="00206F26">
        <w:t xml:space="preserve"> conclude that 2.8 kilohertz is </w:t>
      </w:r>
      <w:r>
        <w:t xml:space="preserve">the appropriate </w:t>
      </w:r>
      <w:r w:rsidRPr="00206F26">
        <w:t>bandwidth limitation that effectively accomplishes our goals</w:t>
      </w:r>
      <w:r>
        <w:t xml:space="preserve"> in this proceeding of innovation, efficient spectrum use, and aid to public safety, and strikes a balance among differing uses in the amateur bands</w:t>
      </w:r>
      <w:r w:rsidRPr="00206F26">
        <w:t xml:space="preserve">.  </w:t>
      </w:r>
      <w:r>
        <w:t xml:space="preserve">In its comments to the </w:t>
      </w:r>
      <w:r w:rsidRPr="249C6038">
        <w:rPr>
          <w:i/>
          <w:iCs/>
        </w:rPr>
        <w:t>NPRM</w:t>
      </w:r>
      <w:r>
        <w:t>,</w:t>
      </w:r>
      <w:r w:rsidRPr="249C6038">
        <w:rPr>
          <w:i/>
          <w:iCs/>
        </w:rPr>
        <w:t xml:space="preserve"> </w:t>
      </w:r>
      <w:r>
        <w:t>ARRL stated “[a]n occupied bandwidth limit of 2.8 kilohertz is wide enough that it will permit to continue those data emissions currently permitted by the existing rules, and it will permit additional data emissions that are now prohibited because the symbol rate limit of 300 baud applicable to the HF bands below 28 MHz precludes them.”</w:t>
      </w:r>
      <w:r>
        <w:rPr>
          <w:rStyle w:val="FootnoteReference"/>
        </w:rPr>
        <w:footnoteReference w:id="55"/>
      </w:r>
      <w:r>
        <w:t xml:space="preserve">  In addition to being wide enough to allow adequate emissions for amateur radio use, a 2.8 kilohertz bandwidth limitation will also prevent users from usurping large portions of a </w:t>
      </w:r>
      <w:r>
        <w:t>subband</w:t>
      </w:r>
      <w:r>
        <w:t xml:space="preserve">.  As ARRL notes, “a 2.8 kilohertz bandwidth limit is sufficiently narrow that it limits the ability of any given Amateur station using data emissions of that bandwidth or less to usurp overly large portions of the limited, crowded and shared RTTY/data </w:t>
      </w:r>
      <w:r>
        <w:t>subbands</w:t>
      </w:r>
      <w:r>
        <w:t>.”</w:t>
      </w:r>
      <w:r>
        <w:rPr>
          <w:rStyle w:val="FootnoteReference"/>
        </w:rPr>
        <w:footnoteReference w:id="56"/>
      </w:r>
      <w:r>
        <w:t xml:space="preserve">  We agree with ARRL that a 2.8 kilohertz bandwidth limitation will allow for additional emissions currently prohibited under the baud rate limitations while providing sufficient protections in the shared RTTY/data </w:t>
      </w:r>
      <w:r>
        <w:t>subbands</w:t>
      </w:r>
      <w:r>
        <w:t>.</w:t>
      </w:r>
    </w:p>
    <w:p w:rsidR="00D53F73" w:rsidP="00D56734" w14:paraId="583B235C" w14:textId="77777777">
      <w:pPr>
        <w:pStyle w:val="ParaNum"/>
        <w:widowControl/>
      </w:pPr>
      <w:r>
        <w:t>We find that a 2.8 kilohertz bandwidth limitation is in the public interest because it is already used by a range of technologies common in the amateur bands.</w:t>
      </w:r>
      <w:r>
        <w:rPr>
          <w:rStyle w:val="FootnoteReference"/>
        </w:rPr>
        <w:footnoteReference w:id="57"/>
      </w:r>
      <w:r>
        <w:t xml:space="preserve">  As ARRL states, “[a]</w:t>
      </w:r>
      <w:r>
        <w:t>mateurs</w:t>
      </w:r>
      <w:r>
        <w:t xml:space="preserve"> worldwide have informally adopted the 2.8 kHz bandwidth for popular types of digital data transmission on HF frequencies at least in part because all amateur HF transceivers with voice capabilities already are equipped with the filters and/or software for this bandwidth.”</w:t>
      </w:r>
      <w:r>
        <w:rPr>
          <w:rStyle w:val="FootnoteReference"/>
        </w:rPr>
        <w:footnoteReference w:id="58"/>
      </w:r>
      <w:r>
        <w:t xml:space="preserve">  A 2.8 kilohertz bandwidth limitation is also commonly used bandwidth for both data and voice transmissions.</w:t>
      </w:r>
      <w:r>
        <w:rPr>
          <w:rStyle w:val="FootnoteReference"/>
        </w:rPr>
        <w:footnoteReference w:id="59"/>
      </w:r>
      <w:r>
        <w:t xml:space="preserve"> </w:t>
      </w:r>
      <w:r>
        <w:t xml:space="preserve"> Moreover, a </w:t>
      </w:r>
      <w:r w:rsidRPr="00206F26">
        <w:t xml:space="preserve">2.8 kilohertz bandwidth </w:t>
      </w:r>
      <w:r>
        <w:t xml:space="preserve">is consistent with the existing </w:t>
      </w:r>
      <w:r w:rsidRPr="00206F26">
        <w:t>60 meter band’s 2.8 kilohertz bandwidth limitation</w:t>
      </w:r>
      <w:r>
        <w:t xml:space="preserve"> and applying </w:t>
      </w:r>
      <w:r>
        <w:t>a common bandwidth limitation across adjacent bands is consistent with Commission precedent.</w:t>
      </w:r>
      <w:r>
        <w:rPr>
          <w:rStyle w:val="FootnoteReference"/>
        </w:rPr>
        <w:footnoteReference w:id="60"/>
      </w:r>
      <w:r w:rsidRPr="00206F26">
        <w:t xml:space="preserve">  </w:t>
      </w:r>
      <w:r>
        <w:t>We also note that a 2.8 kilohertz bandwidth limitation is in line with the international community.</w:t>
      </w:r>
      <w:r>
        <w:rPr>
          <w:rStyle w:val="FootnoteReference"/>
        </w:rPr>
        <w:footnoteReference w:id="61"/>
      </w:r>
      <w:r w:rsidRPr="008D0566">
        <w:t xml:space="preserve"> </w:t>
      </w:r>
      <w:r>
        <w:t xml:space="preserve"> </w:t>
      </w:r>
    </w:p>
    <w:p w:rsidR="00D53F73" w:rsidP="00D53F73" w14:paraId="6FC86AF8" w14:textId="77777777">
      <w:pPr>
        <w:pStyle w:val="ParaNum"/>
      </w:pPr>
      <w:r>
        <w:t xml:space="preserve">We note that some commenters </w:t>
      </w:r>
      <w:r w:rsidRPr="006215AA">
        <w:t xml:space="preserve">argue for a rigid band plan that would allot portions of the bands for narrowband techniques with bandwidths </w:t>
      </w:r>
      <w:r>
        <w:t>such as</w:t>
      </w:r>
      <w:r w:rsidRPr="006215AA">
        <w:t xml:space="preserve"> 200 </w:t>
      </w:r>
      <w:r>
        <w:t>hertz or</w:t>
      </w:r>
      <w:r w:rsidRPr="006215AA">
        <w:t xml:space="preserve"> 500 </w:t>
      </w:r>
      <w:r>
        <w:t>hertz</w:t>
      </w:r>
      <w:r w:rsidRPr="006215AA">
        <w:t xml:space="preserve"> </w:t>
      </w:r>
      <w:r>
        <w:t>to</w:t>
      </w:r>
      <w:r w:rsidRPr="006215AA">
        <w:t xml:space="preserve"> protect and promote the use of narrowband operating modes</w:t>
      </w:r>
      <w:r>
        <w:t>.</w:t>
      </w:r>
      <w:r>
        <w:rPr>
          <w:rStyle w:val="FootnoteReference"/>
        </w:rPr>
        <w:footnoteReference w:id="62"/>
      </w:r>
      <w:r>
        <w:t xml:space="preserve">  </w:t>
      </w:r>
      <w:r w:rsidRPr="004D0B04">
        <w:t xml:space="preserve">While there </w:t>
      </w:r>
      <w:r w:rsidRPr="009A7096">
        <w:t>is little consensus</w:t>
      </w:r>
      <w:r w:rsidRPr="004D0B04">
        <w:t xml:space="preserve"> </w:t>
      </w:r>
      <w:r>
        <w:t xml:space="preserve">among these commenters </w:t>
      </w:r>
      <w:r w:rsidRPr="004D0B04">
        <w:t>on what the</w:t>
      </w:r>
      <w:r>
        <w:t xml:space="preserve"> optimal</w:t>
      </w:r>
      <w:r w:rsidRPr="004D0B04">
        <w:t xml:space="preserve"> bandwidth limit should be, a number of commenters </w:t>
      </w:r>
      <w:r>
        <w:t>express concern</w:t>
      </w:r>
      <w:r w:rsidRPr="004D0B04">
        <w:t xml:space="preserve"> that without bandwidth limits specifically catered to narrowband applications, wider bandwidth digital modes will interfere with spectrally efficient narrowband modes.</w:t>
      </w:r>
      <w:r>
        <w:rPr>
          <w:vertAlign w:val="superscript"/>
        </w:rPr>
        <w:footnoteReference w:id="63"/>
      </w:r>
      <w:r w:rsidRPr="004D0B04">
        <w:t xml:space="preserve">  </w:t>
      </w:r>
      <w:r>
        <w:t xml:space="preserve">These commenters </w:t>
      </w:r>
      <w:r w:rsidRPr="004D0B04">
        <w:t xml:space="preserve">argue that bandwidths in the RTTY/data </w:t>
      </w:r>
      <w:r w:rsidRPr="004D0B04">
        <w:t>subbands</w:t>
      </w:r>
      <w:r w:rsidRPr="004D0B04">
        <w:t xml:space="preserve"> should be considerably narrower than the 2.8 kilohertz suggested by ARRL to avoid interference to narrowband signals.</w:t>
      </w:r>
      <w:r>
        <w:rPr>
          <w:rStyle w:val="FootnoteReference"/>
        </w:rPr>
        <w:footnoteReference w:id="64"/>
      </w:r>
      <w:r w:rsidRPr="004D0B04">
        <w:t xml:space="preserve"> </w:t>
      </w:r>
      <w:r>
        <w:t xml:space="preserve"> We decline to adopt a rigid band plan.  We set a bandwidth limitation of 2.8 kilohertz as a cap on emissions, which accommodates a wide variety of uses while not precluding narrowband uses.  Our approach</w:t>
      </w:r>
      <w:r w:rsidRPr="00E6129B">
        <w:t xml:space="preserve"> encourage</w:t>
      </w:r>
      <w:r>
        <w:t>s</w:t>
      </w:r>
      <w:r w:rsidRPr="00E6129B">
        <w:t xml:space="preserve"> experimentation and innovation, and permit</w:t>
      </w:r>
      <w:r>
        <w:t>s the</w:t>
      </w:r>
      <w:r w:rsidRPr="00E6129B">
        <w:t xml:space="preserve"> use of existing technologies available in other services.</w:t>
      </w:r>
      <w:r>
        <w:rPr>
          <w:rStyle w:val="FootnoteReference"/>
        </w:rPr>
        <w:footnoteReference w:id="65"/>
      </w:r>
      <w:r w:rsidRPr="00E6129B">
        <w:t xml:space="preserve">  </w:t>
      </w:r>
      <w:r>
        <w:t xml:space="preserve">Moreover, we </w:t>
      </w:r>
      <w:r w:rsidRPr="00E6129B">
        <w:t>note that ARRL maintains a voluntary band plan that outlines suggested portions of the bands for certain applications as well as specifi</w:t>
      </w:r>
      <w:r>
        <w:t>es</w:t>
      </w:r>
      <w:r w:rsidRPr="00E6129B">
        <w:t xml:space="preserve"> limitations contained in our rules.</w:t>
      </w:r>
      <w:r>
        <w:rPr>
          <w:rStyle w:val="FootnoteReference"/>
        </w:rPr>
        <w:footnoteReference w:id="66"/>
      </w:r>
      <w:r w:rsidRPr="00E6129B">
        <w:t xml:space="preserve">  </w:t>
      </w:r>
      <w:r>
        <w:t xml:space="preserve">We find that a community-driven, voluntary band plan that can rapidly be adjusted as technology changes and is consistent with our rules requiring </w:t>
      </w:r>
      <w:r>
        <w:t>cooperation and efficiency</w:t>
      </w:r>
      <w:r>
        <w:rPr>
          <w:rStyle w:val="FootnoteReference"/>
        </w:rPr>
        <w:footnoteReference w:id="67"/>
      </w:r>
      <w:r>
        <w:t xml:space="preserve"> is preferrable to a FCC rule-based mandatory band plan that requires regulatory action to adjust.  Thus, we decline to adopt a mandatory band plan here.</w:t>
      </w:r>
    </w:p>
    <w:p w:rsidR="00D53F73" w:rsidP="00D53F73" w14:paraId="76BC912B" w14:textId="77777777">
      <w:pPr>
        <w:pStyle w:val="ParaNum"/>
      </w:pPr>
      <w:r w:rsidRPr="00206F26">
        <w:t xml:space="preserve">Many commenters express concern that allowing wider data transmissions will encourage the transmission of </w:t>
      </w:r>
      <w:r>
        <w:t>prohibited</w:t>
      </w:r>
      <w:r w:rsidRPr="00206F26">
        <w:t xml:space="preserve"> communications.  We remind licensees that section 97.113 of our rules prohibits amateur stations from transmitting, </w:t>
      </w:r>
      <w:r w:rsidRPr="249C6038">
        <w:rPr>
          <w:i/>
          <w:iCs/>
        </w:rPr>
        <w:t>inter alia</w:t>
      </w:r>
      <w:r w:rsidRPr="00206F26">
        <w:t>, communications in which the station licensee or control operator has a pecuniary interest, communications intended to facilitate a criminal act, or regular transmission of communications that could reasonably be furnished through other radio services.</w:t>
      </w:r>
      <w:r>
        <w:rPr>
          <w:rStyle w:val="FootnoteReference"/>
        </w:rPr>
        <w:footnoteReference w:id="68"/>
      </w:r>
      <w:r w:rsidRPr="00206F26">
        <w:t xml:space="preserve">  Moreover, section 97.101 requires amateur licensees to operate in accordance with good amateur practice and to cooperate in selecting transmitting channels and making the most effective use of amateur spectrum.</w:t>
      </w:r>
      <w:r>
        <w:rPr>
          <w:rStyle w:val="FootnoteReference"/>
        </w:rPr>
        <w:footnoteReference w:id="69"/>
      </w:r>
      <w:r w:rsidRPr="00206F26">
        <w:t xml:space="preserve">  The changes we make herein to the technical rules do not modify any of these operating rules.  As the Commission concluded when it amended its rules to permit PACTOR 3 in the 60 meter band, careful operating practices, sound judgment, and dissemination of information to the amateur community can minimize any potential disruption that the new emission types could cause.</w:t>
      </w:r>
      <w:r>
        <w:rPr>
          <w:rStyle w:val="FootnoteReference"/>
        </w:rPr>
        <w:footnoteReference w:id="70"/>
      </w:r>
    </w:p>
    <w:p w:rsidR="00D53F73" w:rsidP="00D53F73" w14:paraId="3B1A202C" w14:textId="77777777">
      <w:pPr>
        <w:pStyle w:val="ParaNum"/>
      </w:pPr>
      <w:r>
        <w:t>We also take this opportunity to make non-substantive edits to the two rule sections we are otherwise revising, sections 97.305 and 97.307, to conform to the current stylistic requirements of the Federal Register Document Drafting Handbook.</w:t>
      </w:r>
      <w:r>
        <w:rPr>
          <w:rStyle w:val="FootnoteReference"/>
        </w:rPr>
        <w:footnoteReference w:id="71"/>
      </w:r>
    </w:p>
    <w:p w:rsidR="00D53F73" w:rsidRPr="00986EE1" w:rsidP="00D53F73" w14:paraId="74511412" w14:textId="77777777">
      <w:pPr>
        <w:pStyle w:val="Heading1"/>
        <w:rPr>
          <w:rFonts w:ascii="Times New Roman" w:hAnsi="Times New Roman"/>
        </w:rPr>
      </w:pPr>
      <w:bookmarkStart w:id="11" w:name="_Toc144384360"/>
      <w:bookmarkStart w:id="12" w:name="_Toc145601961"/>
      <w:r w:rsidRPr="00986EE1">
        <w:rPr>
          <w:rFonts w:ascii="Times New Roman" w:hAnsi="Times New Roman"/>
        </w:rPr>
        <w:t>further notice of proposed rulemaking</w:t>
      </w:r>
      <w:bookmarkEnd w:id="11"/>
      <w:bookmarkEnd w:id="12"/>
    </w:p>
    <w:p w:rsidR="00D53F73" w:rsidRPr="00986EE1" w:rsidP="00D53F73" w14:paraId="657BD971" w14:textId="1A51983C">
      <w:pPr>
        <w:pStyle w:val="ParaNum"/>
      </w:pPr>
      <w:r>
        <w:t xml:space="preserve">There are multiple bands in the amateur radio service that have baud rate limitations and were not discussed in the </w:t>
      </w:r>
      <w:r w:rsidRPr="249C6038">
        <w:rPr>
          <w:i/>
          <w:iCs/>
        </w:rPr>
        <w:t>NPRM</w:t>
      </w:r>
      <w:r>
        <w:t>.  Two bands—135.7–137.8 kHz (2200 meter) and 472–479 kHz (630 meter)—were allocated for use in the amateur radio service after the Commission released the</w:t>
      </w:r>
      <w:r w:rsidRPr="249C6038">
        <w:rPr>
          <w:i/>
          <w:iCs/>
        </w:rPr>
        <w:t xml:space="preserve"> NPRM</w:t>
      </w:r>
      <w:r>
        <w:t xml:space="preserve"> in 2016.  There are also multiple very high frequency (VHF) bands</w:t>
      </w:r>
      <w:r>
        <w:rPr>
          <w:rStyle w:val="FootnoteReference"/>
        </w:rPr>
        <w:footnoteReference w:id="72"/>
      </w:r>
      <w:r>
        <w:t xml:space="preserve"> and one ultra-high frequency (UHF) band</w:t>
      </w:r>
      <w:r>
        <w:rPr>
          <w:rStyle w:val="FootnoteReference"/>
        </w:rPr>
        <w:footnoteReference w:id="73"/>
      </w:r>
      <w:r>
        <w:t xml:space="preserve"> that have baud rate limitations.  In this </w:t>
      </w:r>
      <w:r w:rsidRPr="249C6038">
        <w:rPr>
          <w:i/>
          <w:iCs/>
        </w:rPr>
        <w:t>Further Notice of Proposed Rulemaking</w:t>
      </w:r>
      <w:r>
        <w:t xml:space="preserve"> (</w:t>
      </w:r>
      <w:r w:rsidRPr="249C6038">
        <w:rPr>
          <w:i/>
          <w:iCs/>
        </w:rPr>
        <w:t>FNPRM</w:t>
      </w:r>
      <w:r>
        <w:t xml:space="preserve">) we propose to remove the baud rate limitation in the two bands allocated for amateur radio use after the Commission released the </w:t>
      </w:r>
      <w:r w:rsidRPr="249C6038">
        <w:rPr>
          <w:i/>
          <w:iCs/>
        </w:rPr>
        <w:t>NPRM</w:t>
      </w:r>
      <w:r>
        <w:t xml:space="preserve"> in 2016 and in the VHF/UHF bands.  Additionally, we seek comment on the appropriate bandwidth limitation for the 2200 meter and 630 meter bands, and propose to maintain the existing bandwidth limitations in the Commission’s rules for VHF/UHF bands.</w:t>
      </w:r>
      <w:r>
        <w:rPr>
          <w:rStyle w:val="FootnoteReference"/>
        </w:rPr>
        <w:footnoteReference w:id="74"/>
      </w:r>
      <w:r>
        <w:t xml:space="preserve">  </w:t>
      </w:r>
    </w:p>
    <w:p w:rsidR="00D53F73" w:rsidP="00D56734" w14:paraId="5B51BB43" w14:textId="77777777">
      <w:pPr>
        <w:pStyle w:val="ParaNum"/>
        <w:widowControl/>
      </w:pPr>
      <w:r>
        <w:t xml:space="preserve">In 2016, the Commission released the </w:t>
      </w:r>
      <w:r w:rsidRPr="249C6038">
        <w:rPr>
          <w:i/>
          <w:iCs/>
        </w:rPr>
        <w:t>NPRM</w:t>
      </w:r>
      <w:r>
        <w:t xml:space="preserve"> seeking comment on eliminating the baud rate limit in certain amateur bands and amending part 97 of the Commission’s rules accordingly.</w:t>
      </w:r>
      <w:r>
        <w:rPr>
          <w:rStyle w:val="FootnoteReference"/>
        </w:rPr>
        <w:footnoteReference w:id="75"/>
      </w:r>
      <w:r>
        <w:t xml:space="preserve">  The </w:t>
      </w:r>
      <w:r w:rsidRPr="249C6038">
        <w:rPr>
          <w:i/>
          <w:iCs/>
        </w:rPr>
        <w:t>NPRM</w:t>
      </w:r>
      <w:r>
        <w:t xml:space="preserve"> also tentatively concluded that a 2.8 kilohertz bandwidth limitation for RTTY and data emissions in the MF/HF bands was not necessary, but sought comment on this conclusion.</w:t>
      </w:r>
      <w:r>
        <w:rPr>
          <w:rStyle w:val="FootnoteReference"/>
        </w:rPr>
        <w:footnoteReference w:id="76"/>
      </w:r>
      <w:r>
        <w:t xml:space="preserve"> </w:t>
      </w:r>
      <w:r>
        <w:t xml:space="preserve"> The </w:t>
      </w:r>
      <w:r w:rsidRPr="249C6038">
        <w:rPr>
          <w:i/>
          <w:iCs/>
        </w:rPr>
        <w:t xml:space="preserve">NPRM </w:t>
      </w:r>
      <w:r>
        <w:t>did not seek comment on eliminating the baud rate limit in the VHF or UHF bands allocated for amateur radio service.  In 2017, the Commission adopted rules permitting fixed amateur radio operations in 135.7–137.8 kHz (2200 meter) and 472–479 kHz (630 meter) bands.</w:t>
      </w:r>
      <w:r>
        <w:rPr>
          <w:rStyle w:val="FootnoteReference"/>
        </w:rPr>
        <w:footnoteReference w:id="77"/>
      </w:r>
      <w:r>
        <w:t xml:space="preserve">  These bands are allocated to the amateur radio service on a secondary basis.</w:t>
      </w:r>
      <w:r>
        <w:rPr>
          <w:rStyle w:val="FootnoteReference"/>
        </w:rPr>
        <w:footnoteReference w:id="78"/>
      </w:r>
      <w:r>
        <w:t xml:space="preserve">  Consistent with the part 97 rules in effect for other amateur bands at that time, the Commission adopted a 300 baud rate limitation for both the 2200 meter band and the 630 meter band.</w:t>
      </w:r>
      <w:r>
        <w:rPr>
          <w:rStyle w:val="FootnoteReference"/>
        </w:rPr>
        <w:footnoteReference w:id="79"/>
      </w:r>
    </w:p>
    <w:p w:rsidR="00D53F73" w:rsidRPr="00E62C3E" w:rsidP="00A95F0C" w14:paraId="6989D2CD" w14:textId="72257325">
      <w:pPr>
        <w:pStyle w:val="ParaNum"/>
      </w:pPr>
      <w:r>
        <w:t xml:space="preserve">For the reasons outlined in the </w:t>
      </w:r>
      <w:r w:rsidRPr="003268D7">
        <w:rPr>
          <w:i/>
          <w:iCs/>
        </w:rPr>
        <w:t>Report and Order</w:t>
      </w:r>
      <w:r>
        <w:t xml:space="preserve"> adopted today, we tentatively conclude that we should eliminate the baud rate limitation in the 2200 meter and 630 meter bands as well as the VHF and UHF amateur radio bands.  These bands present the same technological opportunities for experimentation and innovation as the amateur radio service bands that are the subject of the </w:t>
      </w:r>
      <w:r w:rsidRPr="003268D7">
        <w:rPr>
          <w:i/>
          <w:iCs/>
        </w:rPr>
        <w:t>Report and Order</w:t>
      </w:r>
      <w:r>
        <w:t xml:space="preserve"> and likewise will be limited if a baud rate limitation is allowed to remain for these bands.  Concomitantly, we seek comment on the appropriate bandwidth limitation for the 2200 meter band and the 630 meter band as well as on maintaining the bandwidth li</w:t>
      </w:r>
      <w:r w:rsidRPr="00200EF0">
        <w:t xml:space="preserve">mitations already in the VHF and UHF bands.  We specifically seek comment on these proposals.  </w:t>
      </w:r>
      <w:r w:rsidRPr="00200EF0" w:rsidR="00A95F0C">
        <w:t>Alternatively, should we consider changing any of the existing bandwidth limitations in the VHF and UHF bands allocated to the amateur radio service</w:t>
      </w:r>
      <w:r w:rsidRPr="00200EF0" w:rsidR="00096F31">
        <w:t>?</w:t>
      </w:r>
      <w:r>
        <w:rPr>
          <w:rStyle w:val="FootnoteReference"/>
        </w:rPr>
        <w:footnoteReference w:id="80"/>
      </w:r>
      <w:r w:rsidRPr="00200EF0" w:rsidR="00A95F0C">
        <w:t xml:space="preserve">  Commenters seeking to modify existing bandwidth limitations must provide support for the modification, including any associated costs and benefits.  </w:t>
      </w:r>
      <w:r w:rsidRPr="00200EF0">
        <w:t>Co</w:t>
      </w:r>
      <w:r>
        <w:t xml:space="preserve">mmenters should focus their comments on the VHF and UHF bands and the 2200 meter band and the 630 meter band that were allocated for amateur radio service after the release of the </w:t>
      </w:r>
      <w:r w:rsidRPr="00A95F0C">
        <w:rPr>
          <w:i/>
          <w:iCs/>
        </w:rPr>
        <w:t>NPRM</w:t>
      </w:r>
      <w:r>
        <w:t xml:space="preserve">.  We do not seek comment on other, unrelated issues in the docket at this time. </w:t>
      </w:r>
    </w:p>
    <w:p w:rsidR="00D53F73" w:rsidRPr="00F35F28" w:rsidP="006836EA" w14:paraId="6768FE07" w14:textId="77777777">
      <w:pPr>
        <w:pStyle w:val="ParaNum"/>
        <w:widowControl/>
        <w:rPr>
          <w:snapToGrid/>
          <w:kern w:val="0"/>
          <w:sz w:val="20"/>
        </w:rPr>
      </w:pPr>
      <w:r w:rsidRPr="446A27A5">
        <w:rPr>
          <w:i/>
          <w:iCs/>
        </w:rPr>
        <w:t>Digital Equity and Inclusion.</w:t>
      </w:r>
      <w:r>
        <w:t>  Finally, the Commission, as part of its continuing effort to advance digital equity for all,</w:t>
      </w:r>
      <w:r>
        <w:rPr>
          <w:rStyle w:val="FootnoteReference"/>
        </w:rPr>
        <w:footnoteReference w:id="81"/>
      </w:r>
      <w:r>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82"/>
      </w:r>
      <w:r>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D53F73" w:rsidP="00A46CB5" w14:paraId="41E6408A" w14:textId="77777777">
      <w:pPr>
        <w:pStyle w:val="Heading1"/>
      </w:pPr>
      <w:bookmarkStart w:id="13" w:name="_Toc144384361"/>
      <w:bookmarkStart w:id="14" w:name="_Toc145601962"/>
      <w:r>
        <w:t>Procedural Matters</w:t>
      </w:r>
      <w:bookmarkEnd w:id="13"/>
      <w:bookmarkEnd w:id="14"/>
    </w:p>
    <w:p w:rsidR="00D53F73" w:rsidP="00A46CB5" w14:paraId="3946BA7C" w14:textId="77777777">
      <w:pPr>
        <w:pStyle w:val="ParaNum"/>
        <w:widowControl/>
      </w:pPr>
      <w:r w:rsidRPr="446A27A5">
        <w:rPr>
          <w:i/>
          <w:iCs/>
        </w:rPr>
        <w:t>Regulatory Flexibility Certification</w:t>
      </w:r>
      <w:r w:rsidRPr="00551E8A">
        <w:t>.  The Regulatory Flexibility Act of 1980</w:t>
      </w:r>
      <w:r>
        <w:t xml:space="preserve">, </w:t>
      </w:r>
      <w:r w:rsidRPr="00D273C4">
        <w:t>as amended (RFA)</w:t>
      </w:r>
      <w:r>
        <w:rPr>
          <w:rStyle w:val="FootnoteReference"/>
        </w:rPr>
        <w:footnoteReference w:id="83"/>
      </w:r>
      <w:r w:rsidRPr="00D273C4">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84"/>
      </w:r>
      <w:r w:rsidRPr="00D273C4">
        <w:t xml:space="preserve"> </w:t>
      </w:r>
      <w:r>
        <w:t xml:space="preserve"> The RFA generally defines</w:t>
      </w:r>
      <w:r>
        <w:t xml:space="preserve"> </w:t>
      </w:r>
      <w:r>
        <w:t>the term “small entity” as having</w:t>
      </w:r>
      <w:r>
        <w:t xml:space="preserve"> </w:t>
      </w:r>
      <w:r>
        <w:t>the same meaning as the terms “small business,” “small organization,” and “small governmental jurisdiction.”</w:t>
      </w:r>
      <w:r>
        <w:rPr>
          <w:rStyle w:val="FootnoteReference"/>
        </w:rPr>
        <w:footnoteReference w:id="85"/>
      </w:r>
      <w:r>
        <w:t xml:space="preserve">  In addition, the term “small business” has the same meaning as the term “small business concern” under the Small Business Act.</w:t>
      </w:r>
      <w:r>
        <w:rPr>
          <w:rStyle w:val="FootnoteReference"/>
        </w:rPr>
        <w:footnoteReference w:id="86"/>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87"/>
      </w:r>
    </w:p>
    <w:p w:rsidR="00D53F73" w:rsidP="00D53F73" w14:paraId="696D0468" w14:textId="77777777">
      <w:pPr>
        <w:pStyle w:val="ParaNum"/>
        <w:tabs>
          <w:tab w:val="num" w:pos="1080"/>
          <w:tab w:val="clear" w:pos="1440"/>
        </w:tabs>
      </w:pPr>
      <w:r w:rsidRPr="00E708AE">
        <w:t xml:space="preserve">As required by the RFA, an Initial Regulatory Flexibility Certification (IRFC) was incorporated in the </w:t>
      </w:r>
      <w:r w:rsidRPr="446A27A5">
        <w:rPr>
          <w:i/>
          <w:iCs/>
        </w:rPr>
        <w:t>Notice of Proposed Rulemaking</w:t>
      </w:r>
      <w:r w:rsidRPr="00E708AE">
        <w:t xml:space="preserve"> </w:t>
      </w:r>
      <w:r>
        <w:t>(</w:t>
      </w:r>
      <w:r w:rsidRPr="446A27A5">
        <w:rPr>
          <w:i/>
          <w:iCs/>
        </w:rPr>
        <w:t>NPRM</w:t>
      </w:r>
      <w:r>
        <w:t xml:space="preserve">) </w:t>
      </w:r>
      <w:r w:rsidRPr="00E708AE">
        <w:t>in this proceeding</w:t>
      </w:r>
      <w:r>
        <w:t>.</w:t>
      </w:r>
      <w:r>
        <w:rPr>
          <w:rStyle w:val="FootnoteReference"/>
          <w:rFonts w:cs="Calibri"/>
        </w:rPr>
        <w:footnoteReference w:id="88"/>
      </w:r>
      <w:r w:rsidRPr="00E708AE">
        <w:t xml:space="preserve"> </w:t>
      </w:r>
      <w:r>
        <w:t xml:space="preserve"> In the </w:t>
      </w:r>
      <w:r w:rsidRPr="446A27A5">
        <w:rPr>
          <w:i/>
          <w:iCs/>
        </w:rPr>
        <w:t>NPRM</w:t>
      </w:r>
      <w:r>
        <w:t xml:space="preserve">, we </w:t>
      </w:r>
      <w:r w:rsidRPr="00E708AE">
        <w:t>certifi</w:t>
      </w:r>
      <w:r>
        <w:t>ed</w:t>
      </w:r>
      <w:r w:rsidRPr="00E708AE">
        <w:t xml:space="preserve"> that</w:t>
      </w:r>
      <w:r>
        <w:t xml:space="preserve"> </w:t>
      </w:r>
      <w:r w:rsidRPr="00A7700D">
        <w:t xml:space="preserve">because </w:t>
      </w:r>
      <w:r w:rsidRPr="00374EF8">
        <w:t>the</w:t>
      </w:r>
      <w:r w:rsidRPr="00A7700D">
        <w:t xml:space="preserve"> </w:t>
      </w:r>
      <w:r w:rsidRPr="00374EF8">
        <w:t xml:space="preserve">proposed amendments to </w:t>
      </w:r>
      <w:r w:rsidRPr="00A7700D">
        <w:t>amateur service rules chang</w:t>
      </w:r>
      <w:r>
        <w:t>ing</w:t>
      </w:r>
      <w:r w:rsidRPr="00A7700D">
        <w:t xml:space="preserve"> a technical rule applicable to data emissions that an amateur radio operator may use in his or her communications with other amateur radio operators</w:t>
      </w:r>
      <w:r w:rsidRPr="00374EF8">
        <w:t xml:space="preserve"> applied exclusively to </w:t>
      </w:r>
      <w:r w:rsidRPr="00A7700D">
        <w:t>individuals hold</w:t>
      </w:r>
      <w:r w:rsidRPr="00374EF8">
        <w:t>ing</w:t>
      </w:r>
      <w:r w:rsidRPr="00A7700D">
        <w:t xml:space="preserve"> certain Commission authorizations</w:t>
      </w:r>
      <w:r w:rsidRPr="00374EF8">
        <w:t xml:space="preserve">, rather than “small entities,” as defined in the RFA, the </w:t>
      </w:r>
      <w:r w:rsidRPr="446A27A5">
        <w:rPr>
          <w:i/>
          <w:iCs/>
        </w:rPr>
        <w:t>NPRM</w:t>
      </w:r>
      <w:r w:rsidRPr="00A7700D">
        <w:t xml:space="preserve"> </w:t>
      </w:r>
      <w:r w:rsidRPr="00D36348">
        <w:t xml:space="preserve">would not have a significant economic impact on a substantial number of small entities.  </w:t>
      </w:r>
      <w:r>
        <w:t>We</w:t>
      </w:r>
      <w:r w:rsidRPr="00D36348">
        <w:t xml:space="preserve"> sought written public comment on the proposals in the </w:t>
      </w:r>
      <w:r w:rsidRPr="446A27A5">
        <w:rPr>
          <w:i/>
          <w:iCs/>
        </w:rPr>
        <w:t>NPRM</w:t>
      </w:r>
      <w:r w:rsidRPr="00D36348">
        <w:t xml:space="preserve"> including comment on the IRFC.  No comments were filed addressing the IRFC.</w:t>
      </w:r>
      <w:r>
        <w:t xml:space="preserve">  </w:t>
      </w:r>
      <w:r w:rsidRPr="446A27A5">
        <w:t xml:space="preserve">The two </w:t>
      </w:r>
      <w:r w:rsidRPr="446A27A5">
        <w:rPr>
          <w:snapToGrid/>
        </w:rPr>
        <w:t>statutorily-mandated criteria to be applied in determining the need for an RFA analysis are</w:t>
      </w:r>
      <w:r>
        <w:rPr>
          <w:snapToGrid/>
          <w:szCs w:val="22"/>
        </w:rPr>
        <w:t>:</w:t>
      </w:r>
      <w:r w:rsidRPr="446A27A5">
        <w:rPr>
          <w:snapToGrid/>
        </w:rPr>
        <w:t xml:space="preserve"> (1) whether the proposed rules, if adopted, would have a </w:t>
      </w:r>
      <w:r w:rsidRPr="446A27A5">
        <w:rPr>
          <w:i/>
          <w:iCs/>
          <w:snapToGrid/>
        </w:rPr>
        <w:t>significant economic effect</w:t>
      </w:r>
      <w:r>
        <w:rPr>
          <w:snapToGrid/>
          <w:szCs w:val="22"/>
        </w:rPr>
        <w:t>;</w:t>
      </w:r>
      <w:r w:rsidRPr="446A27A5">
        <w:rPr>
          <w:snapToGrid/>
        </w:rPr>
        <w:t xml:space="preserve"> and (2) if so, whether the economic effect would directly affect</w:t>
      </w:r>
      <w:r w:rsidRPr="446A27A5">
        <w:rPr>
          <w:i/>
          <w:iCs/>
          <w:snapToGrid/>
        </w:rPr>
        <w:t xml:space="preserve"> a substantial number of small entities</w:t>
      </w:r>
      <w:r w:rsidRPr="00030245">
        <w:rPr>
          <w:snapToGrid/>
          <w:szCs w:val="22"/>
        </w:rPr>
        <w:t>.</w:t>
      </w:r>
      <w:r>
        <w:rPr>
          <w:snapToGrid/>
          <w:vertAlign w:val="superscript"/>
        </w:rPr>
        <w:footnoteReference w:id="89"/>
      </w:r>
      <w:r w:rsidRPr="00030245">
        <w:rPr>
          <w:snapToGrid/>
          <w:szCs w:val="22"/>
        </w:rPr>
        <w:t xml:space="preserve">  </w:t>
      </w:r>
      <w:r>
        <w:t xml:space="preserve">In the </w:t>
      </w:r>
      <w:r w:rsidRPr="446A27A5">
        <w:rPr>
          <w:i/>
          <w:iCs/>
        </w:rPr>
        <w:t>Report and Order</w:t>
      </w:r>
      <w:r>
        <w:t xml:space="preserve">, we amend the amateur service rules to change the technical rules applicable to data emissions an amateur radio operator may use in his or her communications with other amateur radio operators.  The RFA’s definition of “small entities,” does not include a “person” or an individual, as the terms are used in this proceeding.  As a result, the rules do not apply to “small entities,” but instead apply exclusively to individuals who hold certain Commission authorizations.  Accordingly, based on our application of the statutorily-mandated criteria we conclude, and therefore certify that the rules in this Final Regulatory Flexibility Certification, that the rules adopted in this </w:t>
      </w:r>
      <w:r w:rsidRPr="446A27A5">
        <w:rPr>
          <w:i/>
          <w:iCs/>
        </w:rPr>
        <w:t>Report and Order</w:t>
      </w:r>
      <w:r>
        <w:t xml:space="preserve"> </w:t>
      </w:r>
      <w:r>
        <w:t xml:space="preserve">will not have a significant economic impact on a substantial number of small entities.  </w:t>
      </w:r>
    </w:p>
    <w:p w:rsidR="00D53F73" w:rsidP="006836EA" w14:paraId="164EF010" w14:textId="52640545">
      <w:pPr>
        <w:pStyle w:val="ParaNum"/>
        <w:widowControl/>
      </w:pPr>
      <w:r w:rsidRPr="00BB40E7">
        <w:t xml:space="preserve">In the </w:t>
      </w:r>
      <w:r w:rsidRPr="249C6038">
        <w:rPr>
          <w:i/>
          <w:iCs/>
        </w:rPr>
        <w:t>FNPRM</w:t>
      </w:r>
      <w:r w:rsidRPr="00BB40E7">
        <w:t>, we propose to amend the amateur service rules to change technical rule</w:t>
      </w:r>
      <w:r>
        <w:t>s</w:t>
      </w:r>
      <w:r w:rsidRPr="00BB40E7">
        <w:t xml:space="preserve"> applicable to data emissions that an amateur radio operator may use in his or her communications with other amateur radio operators</w:t>
      </w:r>
      <w:r>
        <w:t xml:space="preserve"> </w:t>
      </w:r>
      <w:r w:rsidRPr="00100E15">
        <w:t>in</w:t>
      </w:r>
      <w:r>
        <w:t xml:space="preserve"> the</w:t>
      </w:r>
      <w:r w:rsidRPr="00100E15">
        <w:t xml:space="preserve"> 135.7</w:t>
      </w:r>
      <w:r>
        <w:t>–</w:t>
      </w:r>
      <w:r w:rsidRPr="00100E15">
        <w:t>137.8 kHz (2200 meter)</w:t>
      </w:r>
      <w:r>
        <w:t>,</w:t>
      </w:r>
      <w:r w:rsidRPr="00100E15">
        <w:t xml:space="preserve"> 472</w:t>
      </w:r>
      <w:r>
        <w:t>–</w:t>
      </w:r>
      <w:r w:rsidRPr="00100E15">
        <w:t>479 kHz (630 meter) bands</w:t>
      </w:r>
      <w:r>
        <w:t>, very high frequency (VHF) bands, and ultra-high frequency (UHF) bands</w:t>
      </w:r>
      <w:r w:rsidRPr="00BB40E7">
        <w:t xml:space="preserve">.  </w:t>
      </w:r>
      <w:r>
        <w:t xml:space="preserve">As discussed above, the RFA’s definition of </w:t>
      </w:r>
      <w:r w:rsidRPr="00BB40E7">
        <w:t>“small entities” do</w:t>
      </w:r>
      <w:r>
        <w:t>es</w:t>
      </w:r>
      <w:r w:rsidRPr="00BB40E7">
        <w:t xml:space="preserve"> not include a “person” as the term is used in this proceeding or an individual, </w:t>
      </w:r>
      <w:r>
        <w:t>as the terms are used in this proceeding.  As a result,</w:t>
      </w:r>
      <w:r w:rsidRPr="00BB40E7">
        <w:t xml:space="preserve"> the proposed rules do not apply to “small entities</w:t>
      </w:r>
      <w:r>
        <w:t>,</w:t>
      </w:r>
      <w:r w:rsidRPr="00BB40E7">
        <w:t>”</w:t>
      </w:r>
      <w:r>
        <w:t xml:space="preserve"> but instead</w:t>
      </w:r>
      <w:r w:rsidRPr="00BB40E7">
        <w:t xml:space="preserve">, apply exclusively to individuals who hold certain Commission authorizations.  </w:t>
      </w:r>
      <w:r>
        <w:t xml:space="preserve">Accordingly, applying the </w:t>
      </w:r>
      <w:r w:rsidRPr="00165C79">
        <w:t>statutorily-mandated crite</w:t>
      </w:r>
      <w:r w:rsidRPr="00AC39E8">
        <w:t>ria</w:t>
      </w:r>
      <w:r w:rsidRPr="008F7B0A">
        <w:t xml:space="preserve"> </w:t>
      </w:r>
      <w:r>
        <w:rPr>
          <w:rStyle w:val="normaltextrun"/>
          <w:color w:val="000000"/>
          <w:szCs w:val="22"/>
          <w:shd w:val="clear" w:color="auto" w:fill="FFFFFF"/>
        </w:rPr>
        <w:t xml:space="preserve">we conclude, and, </w:t>
      </w:r>
      <w:r>
        <w:t>t</w:t>
      </w:r>
      <w:r w:rsidRPr="00BB40E7">
        <w:t xml:space="preserve">herefore, we certify </w:t>
      </w:r>
      <w:r>
        <w:t>in this Initial Regulatory Flexibility Certification,</w:t>
      </w:r>
      <w:r w:rsidRPr="00BB40E7">
        <w:t xml:space="preserve"> that the </w:t>
      </w:r>
      <w:r>
        <w:t>rules adopted in the</w:t>
      </w:r>
      <w:r w:rsidRPr="00BB40E7">
        <w:t xml:space="preserve"> </w:t>
      </w:r>
      <w:r w:rsidRPr="249C6038">
        <w:rPr>
          <w:i/>
          <w:iCs/>
        </w:rPr>
        <w:t>FNPRM</w:t>
      </w:r>
      <w:r>
        <w:rPr>
          <w:i/>
        </w:rPr>
        <w:t xml:space="preserve"> </w:t>
      </w:r>
      <w:r w:rsidRPr="00BB40E7">
        <w:t xml:space="preserve">will not have a significant economic impact on a substantial number of small entities.  </w:t>
      </w:r>
    </w:p>
    <w:p w:rsidR="00D53F73" w:rsidP="00D53F73" w14:paraId="6D5C46F7" w14:textId="77777777">
      <w:pPr>
        <w:pStyle w:val="ParaNum"/>
      </w:pPr>
      <w:r>
        <w:t xml:space="preserve">The Commission will send copies of the </w:t>
      </w:r>
      <w:r w:rsidRPr="446A27A5">
        <w:rPr>
          <w:i/>
          <w:iCs/>
        </w:rPr>
        <w:t xml:space="preserve">Report and Order </w:t>
      </w:r>
      <w:r w:rsidRPr="00826304">
        <w:t>and the</w:t>
      </w:r>
      <w:r w:rsidRPr="446A27A5">
        <w:rPr>
          <w:i/>
          <w:iCs/>
        </w:rPr>
        <w:t xml:space="preserve"> FNPRM</w:t>
      </w:r>
      <w:r>
        <w:t>, including copies of the Final Regulatory Flexibility Certification and the Initial Regulatory Flexibility Certification, to the Chief Counsel for Advocacy of the SBA.</w:t>
      </w:r>
      <w:r>
        <w:rPr>
          <w:rStyle w:val="FootnoteReference"/>
        </w:rPr>
        <w:footnoteReference w:id="90"/>
      </w:r>
      <w:r>
        <w:t xml:space="preserve">  The Final Regulatory Flexibility Certification and the Initial Regulatory Flexibility Certification will also be published in the Federal Register.</w:t>
      </w:r>
      <w:r>
        <w:rPr>
          <w:rStyle w:val="FootnoteReference"/>
        </w:rPr>
        <w:footnoteReference w:id="91"/>
      </w:r>
    </w:p>
    <w:p w:rsidR="00D53F73" w:rsidP="00D53F73" w14:paraId="081B5191" w14:textId="77777777">
      <w:pPr>
        <w:pStyle w:val="ParaNum"/>
      </w:pPr>
      <w:r w:rsidRPr="446A27A5">
        <w:rPr>
          <w:i/>
          <w:iCs/>
        </w:rPr>
        <w:t>Paperwork Reduction Act</w:t>
      </w:r>
      <w:r>
        <w:t xml:space="preserve">.  This document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446A27A5">
        <w:rPr>
          <w:i/>
          <w:iCs/>
        </w:rPr>
        <w:t>see</w:t>
      </w:r>
      <w:r>
        <w:t xml:space="preserve"> 44 U.S.C. 3506(c)(4).</w:t>
      </w:r>
    </w:p>
    <w:p w:rsidR="00D53F73" w:rsidP="00D53F73" w14:paraId="1B14E771" w14:textId="6536B5C6">
      <w:pPr>
        <w:pStyle w:val="ParaNum"/>
      </w:pPr>
      <w:r w:rsidRPr="446A27A5">
        <w:rPr>
          <w:i/>
          <w:iCs/>
        </w:rPr>
        <w:t>Congressional Review Act</w:t>
      </w:r>
      <w:r>
        <w:t xml:space="preserve">.  </w:t>
      </w:r>
      <w:r w:rsidRPr="00192BB6" w:rsidR="00192BB6">
        <w:t xml:space="preserve">The Commission has determined, and the Administrator of the Office of Information and Regulatory Affairs, Office of Management and Budget, concurs, that this rule is </w:t>
      </w:r>
      <w:r>
        <w:t xml:space="preserve">“non-major” under the Congressional Review Act, 5 U.S.C. § 804(2).  The Commission will send a copy of this </w:t>
      </w:r>
      <w:r w:rsidRPr="446A27A5">
        <w:rPr>
          <w:i/>
          <w:iCs/>
        </w:rPr>
        <w:t>Report and Order</w:t>
      </w:r>
      <w:r>
        <w:t xml:space="preserve"> to Congress and the Government Accountability Office pursuant to 5 U.S.C. § 801(a)(1)(A). </w:t>
      </w:r>
    </w:p>
    <w:p w:rsidR="00D53F73" w:rsidP="00D53F73" w14:paraId="0BFFA3A2" w14:textId="07FF638F">
      <w:pPr>
        <w:pStyle w:val="ParaNum"/>
      </w:pPr>
      <w:r w:rsidRPr="004E6C0F">
        <w:rPr>
          <w:i/>
          <w:iCs/>
        </w:rPr>
        <w:t>Providing Accountability Through Transparency Act</w:t>
      </w:r>
      <w:r w:rsidRPr="004E6C0F">
        <w:t>:  The Providing Accountability Through Transparency Act requires each agency, in providing notice of a rulemaking, to post online a brief plain-language summary of the proposed rule.</w:t>
      </w:r>
      <w:r>
        <w:rPr>
          <w:vertAlign w:val="superscript"/>
        </w:rPr>
        <w:footnoteReference w:id="92"/>
      </w:r>
      <w:r w:rsidRPr="004E6C0F">
        <w:t xml:space="preserve">  Accordingly, the Commission will publish the required summary of this Further Notice of Proposed Rulemaking on </w:t>
      </w:r>
      <w:hyperlink r:id="rId5" w:history="1">
        <w:r w:rsidRPr="004E6C0F">
          <w:rPr>
            <w:rStyle w:val="Hyperlink"/>
          </w:rPr>
          <w:t>https://www.fcc.gov/proposed-rulemakings</w:t>
        </w:r>
      </w:hyperlink>
      <w:r w:rsidRPr="004E6C0F">
        <w:t>.</w:t>
      </w:r>
    </w:p>
    <w:p w:rsidR="00D53F73" w:rsidP="00D53F73" w14:paraId="69353F90" w14:textId="77777777">
      <w:pPr>
        <w:pStyle w:val="Heading1"/>
      </w:pPr>
      <w:bookmarkStart w:id="15" w:name="_Toc144384362"/>
      <w:bookmarkStart w:id="16" w:name="_Toc145601963"/>
      <w:r>
        <w:t>Ordering Clauses</w:t>
      </w:r>
      <w:bookmarkEnd w:id="15"/>
      <w:bookmarkEnd w:id="16"/>
    </w:p>
    <w:p w:rsidR="00D53F73" w:rsidRPr="00206F26" w:rsidP="00D53F73" w14:paraId="3AD45C9E" w14:textId="77777777">
      <w:pPr>
        <w:pStyle w:val="ParaNum"/>
      </w:pPr>
      <w:r>
        <w:t xml:space="preserve">Accordingly, IT IS ORDERED that, pursuant </w:t>
      </w:r>
      <w:bookmarkStart w:id="17" w:name="_Ref127681048"/>
      <w:r>
        <w:t>to Sections 4(</w:t>
      </w:r>
      <w:r>
        <w:t>i</w:t>
      </w:r>
      <w:r>
        <w:t>), 5, 303(r), and 403 of the Communications Act of 1934, 47 U.S.C. §§ 154(</w:t>
      </w:r>
      <w:r>
        <w:t>i</w:t>
      </w:r>
      <w:r>
        <w:t>), 155, 303(r), and 403 of the Commission’s rules, that this Report and Order</w:t>
      </w:r>
      <w:r w:rsidRPr="446A27A5">
        <w:rPr>
          <w:i/>
          <w:iCs/>
        </w:rPr>
        <w:t xml:space="preserve"> </w:t>
      </w:r>
      <w:r>
        <w:t>and Further Notice of Proposed Rulemaking IS HEREBY ADOPTED.  Proceeding RM-11708 is TERMINATED.</w:t>
      </w:r>
    </w:p>
    <w:p w:rsidR="00D53F73" w:rsidRPr="00206F26" w:rsidP="00D53F73" w14:paraId="7FF1E30D" w14:textId="77777777">
      <w:pPr>
        <w:pStyle w:val="ParaNum"/>
      </w:pPr>
      <w:r>
        <w:t>IT IS FURTHER ORDERED that part 97 of the Commission’s Rules IS AMENDED as set forth in the Appendix, effective 30 days after publication in the Federal Register.</w:t>
      </w:r>
    </w:p>
    <w:p w:rsidR="00D53F73" w:rsidP="00D53F73" w14:paraId="7DA058C3" w14:textId="77777777">
      <w:pPr>
        <w:pStyle w:val="ParaNum"/>
      </w:pPr>
      <w:r>
        <w:t xml:space="preserve">IT IS FURTHER ORDERED that the Office of the Managing Director, Performance Program Management, SHALL SEND a copy of this Report &amp; Order in a report to be sent to Congress and the Government Accountability Office pursuant to the Congressional Review Act, 5 U.S.C. </w:t>
      </w:r>
      <w:r w:rsidRPr="446A27A5">
        <w:rPr>
          <w:rFonts w:cs="Calibri"/>
        </w:rPr>
        <w:t>§</w:t>
      </w:r>
      <w:r>
        <w:t xml:space="preserve"> 801(a)(1)(A).</w:t>
      </w:r>
      <w:bookmarkEnd w:id="17"/>
    </w:p>
    <w:p w:rsidR="00D53F73" w:rsidRPr="00203C4E" w:rsidP="00A46CB5" w14:paraId="0B7A388A" w14:textId="77777777">
      <w:pPr>
        <w:pStyle w:val="ParaNum"/>
        <w:keepNext/>
        <w:widowControl/>
      </w:pPr>
      <w:r w:rsidRPr="00206F26">
        <w:t xml:space="preserve">IT IS FURTHER ORDERED </w:t>
      </w:r>
      <w:r w:rsidRPr="446A27A5">
        <w:rPr>
          <w:rFonts w:eastAsia="Calibri"/>
          <w:snapToGrid/>
          <w:kern w:val="0"/>
        </w:rPr>
        <w:t xml:space="preserve">that the Office of the Secretary, Reference Information Center, SHALL SEND a copy of the Report and Order </w:t>
      </w:r>
      <w:r w:rsidRPr="000C319B">
        <w:rPr>
          <w:rFonts w:eastAsia="Calibri"/>
        </w:rPr>
        <w:t>and</w:t>
      </w:r>
      <w:r w:rsidRPr="446A27A5">
        <w:rPr>
          <w:rFonts w:eastAsia="Calibri"/>
          <w:snapToGrid/>
          <w:kern w:val="0"/>
        </w:rPr>
        <w:t xml:space="preserve"> Further Notice of Proposed Rulemaking including the Final Regulatory Flexibility Certification and the Initial Regulatory Flexibility Certification, to the Chief Counsel for Advocacy of the Small Business Administration</w:t>
      </w:r>
      <w:r>
        <w:rPr>
          <w:rFonts w:eastAsia="Calibri"/>
          <w:snapToGrid/>
          <w:kern w:val="0"/>
        </w:rPr>
        <w:t>.</w:t>
      </w:r>
      <w:r w:rsidRPr="446A27A5">
        <w:rPr>
          <w:rFonts w:eastAsia="Calibri"/>
          <w:snapToGrid/>
          <w:kern w:val="0"/>
        </w:rPr>
        <w:t xml:space="preserve"> </w:t>
      </w:r>
    </w:p>
    <w:p w:rsidR="00203C4E" w:rsidP="00AB2C72" w14:paraId="2884974C" w14:textId="77777777">
      <w:pPr>
        <w:keepNext/>
      </w:pPr>
      <w:r>
        <w:tab/>
      </w:r>
      <w:r>
        <w:tab/>
      </w:r>
      <w:r>
        <w:tab/>
      </w:r>
      <w:r>
        <w:tab/>
      </w:r>
      <w:r>
        <w:tab/>
      </w:r>
      <w:r>
        <w:tab/>
        <w:t>FEDERAL COMMUNICATIONS COMMISSION</w:t>
      </w:r>
    </w:p>
    <w:p w:rsidR="00203C4E" w:rsidP="00AB2C72" w14:paraId="01AD1501" w14:textId="77777777">
      <w:pPr>
        <w:keepNext/>
      </w:pPr>
    </w:p>
    <w:p w:rsidR="00203C4E" w:rsidP="00AB2C72" w14:paraId="680B8B65" w14:textId="77777777">
      <w:pPr>
        <w:keepNext/>
      </w:pPr>
    </w:p>
    <w:p w:rsidR="00203C4E" w:rsidP="00AB2C72" w14:paraId="1DEF9F33" w14:textId="77777777">
      <w:pPr>
        <w:keepNext/>
      </w:pPr>
    </w:p>
    <w:p w:rsidR="00203C4E" w:rsidP="00AB2C72" w14:paraId="0CBB3B87" w14:textId="77777777">
      <w:pPr>
        <w:keepNext/>
      </w:pPr>
    </w:p>
    <w:p w:rsidR="00203C4E" w:rsidP="00AB2C72" w14:paraId="05E74EE9" w14:textId="77777777">
      <w:pPr>
        <w:keepNext/>
      </w:pPr>
      <w:r>
        <w:tab/>
      </w:r>
      <w:r>
        <w:tab/>
      </w:r>
      <w:r>
        <w:tab/>
      </w:r>
      <w:r>
        <w:tab/>
      </w:r>
      <w:r>
        <w:tab/>
      </w:r>
      <w:r>
        <w:tab/>
        <w:t>Marlene H. Dortch</w:t>
      </w:r>
    </w:p>
    <w:p w:rsidR="00355EA2" w:rsidP="00AB2C72" w14:paraId="5AF12A3B" w14:textId="6E438211">
      <w:pPr>
        <w:keepNext/>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w:t>
      </w:r>
      <w:r w:rsidR="004F31F3">
        <w:t>y</w:t>
      </w:r>
    </w:p>
    <w:p w:rsidR="00D53F73" w:rsidRPr="00FC7BD1" w:rsidP="00D53F73" w14:paraId="6AD7B7CF" w14:textId="328BA306">
      <w:pPr>
        <w:pStyle w:val="ParaNum"/>
        <w:numPr>
          <w:ilvl w:val="0"/>
          <w:numId w:val="0"/>
        </w:numPr>
        <w:spacing w:after="0"/>
        <w:jc w:val="center"/>
        <w:rPr>
          <w:rFonts w:ascii="Times New Roman Bold" w:hAnsi="Times New Roman Bold"/>
          <w:b/>
          <w:caps/>
        </w:rPr>
      </w:pPr>
      <w:r w:rsidRPr="00D97A23">
        <w:rPr>
          <w:b/>
        </w:rPr>
        <w:t>APPENDIX</w:t>
      </w:r>
      <w:r w:rsidRPr="00FC7BD1">
        <w:rPr>
          <w:rFonts w:ascii="Times New Roman Bold" w:hAnsi="Times New Roman Bold"/>
          <w:b/>
          <w:caps/>
        </w:rPr>
        <w:t xml:space="preserve"> A</w:t>
      </w:r>
    </w:p>
    <w:p w:rsidR="00D53F73" w:rsidRPr="00FC7BD1" w:rsidP="00D53F73" w14:paraId="70B36A72" w14:textId="77777777">
      <w:pPr>
        <w:tabs>
          <w:tab w:val="left" w:pos="4680"/>
        </w:tabs>
        <w:spacing w:after="220"/>
        <w:jc w:val="center"/>
        <w:rPr>
          <w:b/>
          <w:bCs/>
        </w:rPr>
      </w:pPr>
      <w:r w:rsidRPr="00FC7BD1">
        <w:rPr>
          <w:b/>
          <w:bCs/>
        </w:rPr>
        <w:t>Final Rules</w:t>
      </w:r>
    </w:p>
    <w:p w:rsidR="00D53F73" w:rsidP="00D53F73" w14:paraId="2E078722" w14:textId="77777777">
      <w:pPr>
        <w:tabs>
          <w:tab w:val="left" w:pos="4680"/>
        </w:tabs>
        <w:spacing w:after="220"/>
      </w:pPr>
      <w:r w:rsidRPr="00FC7BD1">
        <w:t xml:space="preserve">For the reasons discussed in the preamble, the Federal Communications Commission amends 47 CFR part </w:t>
      </w:r>
      <w:r>
        <w:t>97</w:t>
      </w:r>
      <w:r w:rsidRPr="00FC7BD1">
        <w:t xml:space="preserve"> as follows:</w:t>
      </w:r>
    </w:p>
    <w:p w:rsidR="00D53F73" w:rsidP="00D53F73" w14:paraId="71D7F698" w14:textId="77777777">
      <w:pPr>
        <w:tabs>
          <w:tab w:val="left" w:pos="4680"/>
        </w:tabs>
        <w:spacing w:after="120"/>
        <w:rPr>
          <w:b/>
          <w:bCs/>
        </w:rPr>
      </w:pPr>
      <w:r w:rsidRPr="00FC7BD1">
        <w:rPr>
          <w:b/>
          <w:bCs/>
        </w:rPr>
        <w:t xml:space="preserve">PART </w:t>
      </w:r>
      <w:r>
        <w:rPr>
          <w:b/>
          <w:bCs/>
        </w:rPr>
        <w:t>97</w:t>
      </w:r>
      <w:r w:rsidRPr="00FC7BD1">
        <w:rPr>
          <w:b/>
          <w:bCs/>
        </w:rPr>
        <w:t xml:space="preserve"> – </w:t>
      </w:r>
      <w:r>
        <w:rPr>
          <w:b/>
          <w:bCs/>
        </w:rPr>
        <w:t xml:space="preserve">Amateur Radio Service </w:t>
      </w:r>
    </w:p>
    <w:p w:rsidR="00D53F73" w:rsidRPr="00FC7BD1" w:rsidP="00D53F73" w14:paraId="051C1DDB" w14:textId="77777777">
      <w:pPr>
        <w:ind w:firstLine="720"/>
      </w:pPr>
      <w:r w:rsidRPr="00FC7BD1">
        <w:t>1.</w:t>
      </w:r>
      <w:r w:rsidRPr="00FC7BD1">
        <w:tab/>
        <w:t xml:space="preserve">The authority citation for part </w:t>
      </w:r>
      <w:r>
        <w:t>97</w:t>
      </w:r>
      <w:r w:rsidRPr="00FC7BD1">
        <w:t xml:space="preserve"> continues to read as follows:</w:t>
      </w:r>
    </w:p>
    <w:p w:rsidR="00D53F73" w:rsidRPr="00FC7BD1" w:rsidP="00D53F73" w14:paraId="22B21F1F" w14:textId="77777777">
      <w:pPr>
        <w:tabs>
          <w:tab w:val="left" w:pos="4680"/>
        </w:tabs>
      </w:pPr>
    </w:p>
    <w:p w:rsidR="00D53F73" w:rsidRPr="00206F26" w:rsidP="00D53F73" w14:paraId="2660A375" w14:textId="15C73D1C">
      <w:pPr>
        <w:tabs>
          <w:tab w:val="left" w:pos="4680"/>
        </w:tabs>
        <w:spacing w:after="120"/>
        <w:rPr>
          <w:b/>
        </w:rPr>
      </w:pPr>
      <w:r w:rsidRPr="00FC7BD1">
        <w:t xml:space="preserve">AUTHORITY: </w:t>
      </w:r>
      <w:r w:rsidRPr="00656421">
        <w:t>47 U.S.C. 151</w:t>
      </w:r>
      <w:r w:rsidR="009F04AB">
        <w:t>–</w:t>
      </w:r>
      <w:r w:rsidRPr="00656421">
        <w:t>155, 301</w:t>
      </w:r>
      <w:r w:rsidR="009F04AB">
        <w:t>–</w:t>
      </w:r>
      <w:r w:rsidRPr="00656421">
        <w:t xml:space="preserve">609, unless otherwise noted. </w:t>
      </w:r>
      <w:r w:rsidRPr="00206F26">
        <w:rPr>
          <w:b/>
        </w:rPr>
        <w:t xml:space="preserve"> </w:t>
      </w:r>
    </w:p>
    <w:p w:rsidR="00D53F73" w:rsidRPr="00206F26" w:rsidP="00D53F73" w14:paraId="646B8602" w14:textId="77777777">
      <w:pPr>
        <w:rPr>
          <w:b/>
        </w:rPr>
      </w:pPr>
    </w:p>
    <w:p w:rsidR="00D53F73" w:rsidRPr="00206F26" w:rsidP="00D53F73" w14:paraId="0C00F803" w14:textId="6E35B565">
      <w:r w:rsidRPr="00206F26">
        <w:tab/>
        <w:t xml:space="preserve">2. </w:t>
      </w:r>
      <w:r>
        <w:tab/>
      </w:r>
      <w:r w:rsidRPr="00C045EF">
        <w:t>Amend § 97.305 by revising paragraph (c) to read as follows:</w:t>
      </w:r>
    </w:p>
    <w:p w:rsidR="00D53F73" w:rsidRPr="00D63870" w:rsidP="00D53F73" w14:paraId="1C37332E" w14:textId="77777777">
      <w:pPr>
        <w:rPr>
          <w:b/>
          <w:bCs/>
          <w:kern w:val="0"/>
        </w:rPr>
      </w:pPr>
    </w:p>
    <w:p w:rsidR="00D53F73" w:rsidRPr="00206F26" w:rsidP="00D53F73" w14:paraId="0CB32602" w14:textId="77777777">
      <w:pPr>
        <w:rPr>
          <w:b/>
          <w:kern w:val="0"/>
        </w:rPr>
      </w:pPr>
      <w:r w:rsidRPr="00206F26">
        <w:rPr>
          <w:kern w:val="0"/>
        </w:rPr>
        <w:tab/>
      </w:r>
      <w:r w:rsidRPr="00206F26">
        <w:rPr>
          <w:b/>
          <w:kern w:val="0"/>
        </w:rPr>
        <w:t>§  97.305  Authorized emission types.</w:t>
      </w:r>
    </w:p>
    <w:p w:rsidR="00D53F73" w:rsidRPr="00206F26" w:rsidP="00D53F73" w14:paraId="4FC5DA57" w14:textId="77777777">
      <w:pPr>
        <w:rPr>
          <w:b/>
          <w:kern w:val="0"/>
        </w:rPr>
      </w:pPr>
    </w:p>
    <w:p w:rsidR="00D53F73" w:rsidRPr="00206F26" w:rsidP="00D53F73" w14:paraId="74561D9C" w14:textId="77777777">
      <w:pPr>
        <w:rPr>
          <w:kern w:val="0"/>
        </w:rPr>
      </w:pPr>
      <w:r w:rsidRPr="00206F26">
        <w:rPr>
          <w:b/>
          <w:kern w:val="0"/>
        </w:rPr>
        <w:tab/>
      </w:r>
      <w:r w:rsidRPr="00206F26">
        <w:rPr>
          <w:kern w:val="0"/>
        </w:rPr>
        <w:t>* * * * *</w:t>
      </w:r>
    </w:p>
    <w:p w:rsidR="00D53F73" w:rsidRPr="00206F26" w:rsidP="00D53F73" w14:paraId="26BAD9FE" w14:textId="77777777">
      <w:pPr>
        <w:rPr>
          <w:kern w:val="0"/>
        </w:rPr>
      </w:pPr>
    </w:p>
    <w:p w:rsidR="00D53F73" w:rsidP="00D53F73" w14:paraId="6949A389" w14:textId="77777777">
      <w:r w:rsidRPr="00206F26">
        <w:rPr>
          <w:kern w:val="0"/>
        </w:rPr>
        <w:tab/>
        <w:t xml:space="preserve">(c)  </w:t>
      </w:r>
      <w:r w:rsidRPr="006B53AE">
        <w:rPr>
          <w:kern w:val="0"/>
        </w:rPr>
        <w:t>A station may transmit the following emission types on the frequencies indicated, as authorized to the control operator, subject to the standards specified in § 97.307(f)</w:t>
      </w:r>
      <w:r>
        <w:rPr>
          <w:kern w:val="0"/>
        </w:rPr>
        <w:t>:</w:t>
      </w:r>
      <w:r w:rsidRPr="00206F26">
        <w:rPr>
          <w:kern w:val="0"/>
        </w:rPr>
        <w:t xml:space="preserve"> </w:t>
      </w:r>
    </w:p>
    <w:p w:rsidR="00D53F73" w:rsidP="00D53F73" w14:paraId="4913BCCC" w14:textId="77777777">
      <w:pPr>
        <w:rPr>
          <w:b/>
          <w:bC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71"/>
        <w:gridCol w:w="2587"/>
        <w:gridCol w:w="2745"/>
        <w:gridCol w:w="2567"/>
      </w:tblGrid>
      <w:tr w14:paraId="578B093C" w14:textId="77777777" w:rsidTr="005B3A95">
        <w:tblPrEx>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D53F73" w:rsidRPr="00911295" w:rsidP="005B3A95" w14:paraId="153ECBE2" w14:textId="77777777">
            <w:pPr>
              <w:jc w:val="center"/>
              <w:rPr>
                <w:b/>
                <w:bCs/>
                <w:sz w:val="24"/>
                <w:szCs w:val="24"/>
              </w:rPr>
            </w:pPr>
            <w:r w:rsidRPr="00911295">
              <w:rPr>
                <w:b/>
                <w:bCs/>
                <w:sz w:val="24"/>
                <w:szCs w:val="24"/>
              </w:rPr>
              <w:t xml:space="preserve">Wavelength band </w:t>
            </w:r>
          </w:p>
        </w:tc>
        <w:tc>
          <w:tcPr>
            <w:tcW w:w="0" w:type="auto"/>
            <w:shd w:val="clear" w:color="auto" w:fill="ECECEC"/>
            <w:vAlign w:val="center"/>
            <w:hideMark/>
          </w:tcPr>
          <w:p w:rsidR="00D53F73" w:rsidRPr="00911295" w:rsidP="005B3A95" w14:paraId="2520548D" w14:textId="77777777">
            <w:pPr>
              <w:jc w:val="center"/>
              <w:rPr>
                <w:b/>
                <w:bCs/>
                <w:sz w:val="24"/>
                <w:szCs w:val="24"/>
              </w:rPr>
            </w:pPr>
            <w:r w:rsidRPr="00911295">
              <w:rPr>
                <w:b/>
                <w:bCs/>
                <w:sz w:val="24"/>
                <w:szCs w:val="24"/>
              </w:rPr>
              <w:t xml:space="preserve">Frequencies </w:t>
            </w:r>
          </w:p>
        </w:tc>
        <w:tc>
          <w:tcPr>
            <w:tcW w:w="0" w:type="auto"/>
            <w:shd w:val="clear" w:color="auto" w:fill="ECECEC"/>
            <w:vAlign w:val="center"/>
            <w:hideMark/>
          </w:tcPr>
          <w:p w:rsidR="00D53F73" w:rsidRPr="00911295" w:rsidP="005B3A95" w14:paraId="64586895" w14:textId="77777777">
            <w:pPr>
              <w:jc w:val="center"/>
              <w:rPr>
                <w:b/>
                <w:bCs/>
                <w:sz w:val="24"/>
                <w:szCs w:val="24"/>
              </w:rPr>
            </w:pPr>
            <w:r w:rsidRPr="00911295">
              <w:rPr>
                <w:b/>
                <w:bCs/>
                <w:sz w:val="24"/>
                <w:szCs w:val="24"/>
              </w:rPr>
              <w:t xml:space="preserve">Emission types authorized </w:t>
            </w:r>
          </w:p>
        </w:tc>
        <w:tc>
          <w:tcPr>
            <w:tcW w:w="0" w:type="auto"/>
            <w:shd w:val="clear" w:color="auto" w:fill="ECECEC"/>
            <w:vAlign w:val="center"/>
            <w:hideMark/>
          </w:tcPr>
          <w:p w:rsidR="00D53F73" w:rsidRPr="00911295" w:rsidP="005B3A95" w14:paraId="2EB10149" w14:textId="77777777">
            <w:pPr>
              <w:jc w:val="center"/>
              <w:rPr>
                <w:b/>
                <w:bCs/>
                <w:sz w:val="24"/>
                <w:szCs w:val="24"/>
              </w:rPr>
            </w:pPr>
            <w:r w:rsidRPr="00911295">
              <w:rPr>
                <w:b/>
                <w:bCs/>
                <w:sz w:val="24"/>
                <w:szCs w:val="24"/>
              </w:rPr>
              <w:t>Standards see § 97.307, paragraph</w:t>
            </w:r>
            <w:r>
              <w:rPr>
                <w:b/>
                <w:bCs/>
                <w:sz w:val="24"/>
                <w:szCs w:val="24"/>
              </w:rPr>
              <w:t>(s)</w:t>
            </w:r>
            <w:r w:rsidRPr="00911295">
              <w:rPr>
                <w:b/>
                <w:bCs/>
                <w:sz w:val="24"/>
                <w:szCs w:val="24"/>
              </w:rPr>
              <w:t xml:space="preserve">: </w:t>
            </w:r>
          </w:p>
        </w:tc>
      </w:tr>
      <w:tr w14:paraId="0609E4CB"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0BEE3A16" w14:textId="77777777">
            <w:pPr>
              <w:rPr>
                <w:sz w:val="24"/>
                <w:szCs w:val="24"/>
              </w:rPr>
            </w:pPr>
            <w:r>
              <w:rPr>
                <w:sz w:val="24"/>
                <w:szCs w:val="24"/>
              </w:rPr>
              <w:t xml:space="preserve">(1) </w:t>
            </w:r>
            <w:r w:rsidRPr="00911295">
              <w:rPr>
                <w:sz w:val="24"/>
                <w:szCs w:val="24"/>
              </w:rPr>
              <w:t xml:space="preserve">LF: </w:t>
            </w:r>
          </w:p>
        </w:tc>
        <w:tc>
          <w:tcPr>
            <w:tcW w:w="0" w:type="auto"/>
            <w:vAlign w:val="center"/>
            <w:hideMark/>
          </w:tcPr>
          <w:p w:rsidR="00D53F73" w:rsidRPr="00911295" w:rsidP="005B3A95" w14:paraId="4D371810" w14:textId="77777777">
            <w:pPr>
              <w:rPr>
                <w:sz w:val="24"/>
                <w:szCs w:val="24"/>
              </w:rPr>
            </w:pPr>
          </w:p>
        </w:tc>
        <w:tc>
          <w:tcPr>
            <w:tcW w:w="0" w:type="auto"/>
            <w:vAlign w:val="center"/>
            <w:hideMark/>
          </w:tcPr>
          <w:p w:rsidR="00D53F73" w:rsidRPr="00911295" w:rsidP="005B3A95" w14:paraId="55A2EEE2" w14:textId="77777777">
            <w:pPr>
              <w:rPr>
                <w:sz w:val="20"/>
              </w:rPr>
            </w:pPr>
          </w:p>
        </w:tc>
        <w:tc>
          <w:tcPr>
            <w:tcW w:w="0" w:type="auto"/>
            <w:vAlign w:val="center"/>
            <w:hideMark/>
          </w:tcPr>
          <w:p w:rsidR="00D53F73" w:rsidRPr="00911295" w:rsidP="005B3A95" w14:paraId="66B34278" w14:textId="77777777">
            <w:pPr>
              <w:rPr>
                <w:sz w:val="20"/>
              </w:rPr>
            </w:pPr>
          </w:p>
        </w:tc>
      </w:tr>
      <w:tr w14:paraId="6F10FF19"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449AE223" w14:textId="77777777">
            <w:pPr>
              <w:rPr>
                <w:sz w:val="24"/>
                <w:szCs w:val="24"/>
              </w:rPr>
            </w:pPr>
            <w:r>
              <w:rPr>
                <w:sz w:val="24"/>
                <w:szCs w:val="24"/>
              </w:rPr>
              <w:t>(</w:t>
            </w:r>
            <w:r>
              <w:rPr>
                <w:sz w:val="24"/>
                <w:szCs w:val="24"/>
              </w:rPr>
              <w:t>i</w:t>
            </w:r>
            <w:r>
              <w:rPr>
                <w:sz w:val="24"/>
                <w:szCs w:val="24"/>
              </w:rPr>
              <w:t xml:space="preserve">) </w:t>
            </w:r>
            <w:r w:rsidRPr="00911295">
              <w:rPr>
                <w:sz w:val="24"/>
                <w:szCs w:val="24"/>
              </w:rPr>
              <w:t>2200 m</w:t>
            </w:r>
          </w:p>
        </w:tc>
        <w:tc>
          <w:tcPr>
            <w:tcW w:w="0" w:type="auto"/>
            <w:vAlign w:val="center"/>
            <w:hideMark/>
          </w:tcPr>
          <w:p w:rsidR="00D53F73" w:rsidRPr="00911295" w:rsidP="005B3A95" w14:paraId="04E240DE" w14:textId="77777777">
            <w:pPr>
              <w:rPr>
                <w:sz w:val="24"/>
                <w:szCs w:val="24"/>
              </w:rPr>
            </w:pPr>
            <w:r w:rsidRPr="00911295">
              <w:rPr>
                <w:sz w:val="24"/>
                <w:szCs w:val="24"/>
              </w:rPr>
              <w:t>Entire band</w:t>
            </w:r>
          </w:p>
        </w:tc>
        <w:tc>
          <w:tcPr>
            <w:tcW w:w="0" w:type="auto"/>
            <w:vAlign w:val="center"/>
            <w:hideMark/>
          </w:tcPr>
          <w:p w:rsidR="00D53F73" w:rsidRPr="00911295" w:rsidP="005B3A95" w14:paraId="76DF4A8E" w14:textId="77777777">
            <w:pPr>
              <w:rPr>
                <w:sz w:val="24"/>
                <w:szCs w:val="24"/>
              </w:rPr>
            </w:pPr>
            <w:r w:rsidRPr="00911295">
              <w:rPr>
                <w:sz w:val="24"/>
                <w:szCs w:val="24"/>
              </w:rPr>
              <w:t>RTTY, data</w:t>
            </w:r>
          </w:p>
        </w:tc>
        <w:tc>
          <w:tcPr>
            <w:tcW w:w="0" w:type="auto"/>
            <w:vAlign w:val="center"/>
            <w:hideMark/>
          </w:tcPr>
          <w:p w:rsidR="00D53F73" w:rsidRPr="00911295" w:rsidP="005B3A95" w14:paraId="6F3C157B" w14:textId="77777777">
            <w:pPr>
              <w:rPr>
                <w:sz w:val="24"/>
                <w:szCs w:val="24"/>
              </w:rPr>
            </w:pPr>
            <w:r w:rsidRPr="00911295">
              <w:rPr>
                <w:sz w:val="24"/>
                <w:szCs w:val="24"/>
              </w:rPr>
              <w:t xml:space="preserve">(f) (3). </w:t>
            </w:r>
          </w:p>
        </w:tc>
      </w:tr>
      <w:tr w14:paraId="45D84473"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7A17662D" w14:textId="77777777">
            <w:pPr>
              <w:rPr>
                <w:sz w:val="24"/>
                <w:szCs w:val="24"/>
              </w:rPr>
            </w:pPr>
            <w:r>
              <w:rPr>
                <w:sz w:val="24"/>
                <w:szCs w:val="24"/>
              </w:rPr>
              <w:t xml:space="preserve">(ii) </w:t>
            </w:r>
            <w:r w:rsidRPr="00911295">
              <w:rPr>
                <w:sz w:val="24"/>
                <w:szCs w:val="24"/>
              </w:rPr>
              <w:t>2200 m</w:t>
            </w:r>
          </w:p>
        </w:tc>
        <w:tc>
          <w:tcPr>
            <w:tcW w:w="0" w:type="auto"/>
            <w:vAlign w:val="center"/>
            <w:hideMark/>
          </w:tcPr>
          <w:p w:rsidR="00D53F73" w:rsidRPr="00911295" w:rsidP="005B3A95" w14:paraId="6EB7D58A" w14:textId="77777777">
            <w:pPr>
              <w:rPr>
                <w:sz w:val="24"/>
                <w:szCs w:val="24"/>
              </w:rPr>
            </w:pPr>
            <w:r w:rsidRPr="00911295">
              <w:rPr>
                <w:sz w:val="24"/>
                <w:szCs w:val="24"/>
              </w:rPr>
              <w:t>Entire band</w:t>
            </w:r>
          </w:p>
        </w:tc>
        <w:tc>
          <w:tcPr>
            <w:tcW w:w="0" w:type="auto"/>
            <w:vAlign w:val="center"/>
            <w:hideMark/>
          </w:tcPr>
          <w:p w:rsidR="00D53F73" w:rsidRPr="00911295" w:rsidP="005B3A95" w14:paraId="1D87FF74" w14:textId="77777777">
            <w:pPr>
              <w:rPr>
                <w:sz w:val="24"/>
                <w:szCs w:val="24"/>
              </w:rPr>
            </w:pPr>
            <w:r w:rsidRPr="00911295">
              <w:rPr>
                <w:sz w:val="24"/>
                <w:szCs w:val="24"/>
              </w:rPr>
              <w:t>Phone, image</w:t>
            </w:r>
          </w:p>
        </w:tc>
        <w:tc>
          <w:tcPr>
            <w:tcW w:w="0" w:type="auto"/>
            <w:vAlign w:val="center"/>
            <w:hideMark/>
          </w:tcPr>
          <w:p w:rsidR="00D53F73" w:rsidRPr="00911295" w:rsidP="005B3A95" w14:paraId="055FC369" w14:textId="77777777">
            <w:pPr>
              <w:rPr>
                <w:sz w:val="24"/>
                <w:szCs w:val="24"/>
              </w:rPr>
            </w:pPr>
            <w:r w:rsidRPr="00911295">
              <w:rPr>
                <w:sz w:val="24"/>
                <w:szCs w:val="24"/>
              </w:rPr>
              <w:t xml:space="preserve">(f) (1), (2). </w:t>
            </w:r>
          </w:p>
        </w:tc>
      </w:tr>
      <w:tr w14:paraId="05EE8612"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14C6B730" w14:textId="77777777">
            <w:pPr>
              <w:rPr>
                <w:sz w:val="24"/>
                <w:szCs w:val="24"/>
              </w:rPr>
            </w:pPr>
            <w:r>
              <w:rPr>
                <w:sz w:val="24"/>
                <w:szCs w:val="24"/>
              </w:rPr>
              <w:t xml:space="preserve">(2) </w:t>
            </w:r>
            <w:r w:rsidRPr="00911295">
              <w:rPr>
                <w:sz w:val="24"/>
                <w:szCs w:val="24"/>
              </w:rPr>
              <w:t xml:space="preserve">MF: </w:t>
            </w:r>
          </w:p>
        </w:tc>
        <w:tc>
          <w:tcPr>
            <w:tcW w:w="0" w:type="auto"/>
            <w:vAlign w:val="center"/>
            <w:hideMark/>
          </w:tcPr>
          <w:p w:rsidR="00D53F73" w:rsidRPr="00911295" w:rsidP="005B3A95" w14:paraId="266E63E3" w14:textId="77777777">
            <w:pPr>
              <w:rPr>
                <w:sz w:val="24"/>
                <w:szCs w:val="24"/>
              </w:rPr>
            </w:pPr>
          </w:p>
        </w:tc>
        <w:tc>
          <w:tcPr>
            <w:tcW w:w="0" w:type="auto"/>
            <w:vAlign w:val="center"/>
            <w:hideMark/>
          </w:tcPr>
          <w:p w:rsidR="00D53F73" w:rsidRPr="00911295" w:rsidP="005B3A95" w14:paraId="73FABED3" w14:textId="77777777">
            <w:pPr>
              <w:rPr>
                <w:sz w:val="20"/>
              </w:rPr>
            </w:pPr>
          </w:p>
        </w:tc>
        <w:tc>
          <w:tcPr>
            <w:tcW w:w="0" w:type="auto"/>
            <w:vAlign w:val="center"/>
            <w:hideMark/>
          </w:tcPr>
          <w:p w:rsidR="00D53F73" w:rsidRPr="00911295" w:rsidP="005B3A95" w14:paraId="757789CD" w14:textId="77777777">
            <w:pPr>
              <w:rPr>
                <w:sz w:val="20"/>
              </w:rPr>
            </w:pPr>
          </w:p>
        </w:tc>
      </w:tr>
      <w:tr w14:paraId="0B6856EE"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tcPr>
          <w:p w:rsidR="00D53F73" w:rsidP="005B3A95" w14:paraId="2A9A191D" w14:textId="77777777">
            <w:pPr>
              <w:rPr>
                <w:sz w:val="24"/>
                <w:szCs w:val="24"/>
              </w:rPr>
            </w:pPr>
            <w:r>
              <w:rPr>
                <w:sz w:val="24"/>
                <w:szCs w:val="24"/>
              </w:rPr>
              <w:t>(</w:t>
            </w:r>
            <w:r>
              <w:rPr>
                <w:sz w:val="24"/>
                <w:szCs w:val="24"/>
              </w:rPr>
              <w:t>i</w:t>
            </w:r>
            <w:r>
              <w:rPr>
                <w:sz w:val="24"/>
                <w:szCs w:val="24"/>
              </w:rPr>
              <w:t xml:space="preserve">) </w:t>
            </w:r>
            <w:r w:rsidRPr="00911295">
              <w:rPr>
                <w:sz w:val="24"/>
                <w:szCs w:val="24"/>
              </w:rPr>
              <w:t>630 m</w:t>
            </w:r>
          </w:p>
        </w:tc>
        <w:tc>
          <w:tcPr>
            <w:tcW w:w="0" w:type="auto"/>
            <w:vAlign w:val="center"/>
          </w:tcPr>
          <w:p w:rsidR="00D53F73" w:rsidRPr="00911295" w:rsidP="005B3A95" w14:paraId="74C22654" w14:textId="77777777">
            <w:pPr>
              <w:rPr>
                <w:sz w:val="24"/>
                <w:szCs w:val="24"/>
              </w:rPr>
            </w:pPr>
            <w:r w:rsidRPr="00911295">
              <w:rPr>
                <w:sz w:val="24"/>
                <w:szCs w:val="24"/>
              </w:rPr>
              <w:t>Entire band</w:t>
            </w:r>
          </w:p>
        </w:tc>
        <w:tc>
          <w:tcPr>
            <w:tcW w:w="0" w:type="auto"/>
            <w:vAlign w:val="center"/>
          </w:tcPr>
          <w:p w:rsidR="00D53F73" w:rsidRPr="00911295" w:rsidP="005B3A95" w14:paraId="57455894" w14:textId="77777777">
            <w:pPr>
              <w:rPr>
                <w:sz w:val="24"/>
                <w:szCs w:val="24"/>
              </w:rPr>
            </w:pPr>
            <w:r w:rsidRPr="00911295">
              <w:rPr>
                <w:sz w:val="24"/>
                <w:szCs w:val="24"/>
              </w:rPr>
              <w:t>RTTY, data</w:t>
            </w:r>
          </w:p>
        </w:tc>
        <w:tc>
          <w:tcPr>
            <w:tcW w:w="0" w:type="auto"/>
            <w:vAlign w:val="center"/>
          </w:tcPr>
          <w:p w:rsidR="00D53F73" w:rsidRPr="00911295" w:rsidP="005B3A95" w14:paraId="1A640D8B" w14:textId="77777777">
            <w:pPr>
              <w:rPr>
                <w:sz w:val="24"/>
                <w:szCs w:val="24"/>
              </w:rPr>
            </w:pPr>
            <w:r w:rsidRPr="00911295">
              <w:rPr>
                <w:sz w:val="24"/>
                <w:szCs w:val="24"/>
              </w:rPr>
              <w:t xml:space="preserve">(f) (3). </w:t>
            </w:r>
          </w:p>
        </w:tc>
      </w:tr>
      <w:tr w14:paraId="3BDF8B1D"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tcPr>
          <w:p w:rsidR="00D53F73" w:rsidP="005B3A95" w14:paraId="3CDB9C3D" w14:textId="77777777">
            <w:pPr>
              <w:rPr>
                <w:sz w:val="24"/>
                <w:szCs w:val="24"/>
              </w:rPr>
            </w:pPr>
            <w:r>
              <w:rPr>
                <w:sz w:val="24"/>
                <w:szCs w:val="24"/>
              </w:rPr>
              <w:t xml:space="preserve">(ii) </w:t>
            </w:r>
            <w:r w:rsidRPr="00911295">
              <w:rPr>
                <w:sz w:val="24"/>
                <w:szCs w:val="24"/>
              </w:rPr>
              <w:t>630 m</w:t>
            </w:r>
          </w:p>
        </w:tc>
        <w:tc>
          <w:tcPr>
            <w:tcW w:w="0" w:type="auto"/>
            <w:vAlign w:val="center"/>
          </w:tcPr>
          <w:p w:rsidR="00D53F73" w:rsidRPr="00911295" w:rsidP="005B3A95" w14:paraId="50059757" w14:textId="77777777">
            <w:pPr>
              <w:rPr>
                <w:sz w:val="24"/>
                <w:szCs w:val="24"/>
              </w:rPr>
            </w:pPr>
            <w:r w:rsidRPr="00911295">
              <w:rPr>
                <w:sz w:val="24"/>
                <w:szCs w:val="24"/>
              </w:rPr>
              <w:t>Entire band</w:t>
            </w:r>
          </w:p>
        </w:tc>
        <w:tc>
          <w:tcPr>
            <w:tcW w:w="0" w:type="auto"/>
            <w:vAlign w:val="center"/>
          </w:tcPr>
          <w:p w:rsidR="00D53F73" w:rsidRPr="00911295" w:rsidP="005B3A95" w14:paraId="018BD3E1" w14:textId="77777777">
            <w:pPr>
              <w:rPr>
                <w:sz w:val="24"/>
                <w:szCs w:val="24"/>
              </w:rPr>
            </w:pPr>
            <w:r w:rsidRPr="00911295">
              <w:rPr>
                <w:sz w:val="24"/>
                <w:szCs w:val="24"/>
              </w:rPr>
              <w:t>Phone, image</w:t>
            </w:r>
          </w:p>
        </w:tc>
        <w:tc>
          <w:tcPr>
            <w:tcW w:w="0" w:type="auto"/>
            <w:vAlign w:val="center"/>
          </w:tcPr>
          <w:p w:rsidR="00D53F73" w:rsidRPr="00911295" w:rsidP="005B3A95" w14:paraId="6C4C0819" w14:textId="77777777">
            <w:pPr>
              <w:rPr>
                <w:sz w:val="24"/>
                <w:szCs w:val="24"/>
              </w:rPr>
            </w:pPr>
            <w:r w:rsidRPr="00911295">
              <w:rPr>
                <w:sz w:val="24"/>
                <w:szCs w:val="24"/>
              </w:rPr>
              <w:t xml:space="preserve">(f) (1), (2). </w:t>
            </w:r>
          </w:p>
        </w:tc>
      </w:tr>
      <w:tr w14:paraId="7411911B"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09E8A96F" w14:textId="77777777">
            <w:pPr>
              <w:rPr>
                <w:sz w:val="24"/>
                <w:szCs w:val="24"/>
              </w:rPr>
            </w:pPr>
            <w:r>
              <w:rPr>
                <w:sz w:val="24"/>
                <w:szCs w:val="24"/>
              </w:rPr>
              <w:t xml:space="preserve">(iii) </w:t>
            </w:r>
            <w:r w:rsidRPr="00911295">
              <w:rPr>
                <w:sz w:val="24"/>
                <w:szCs w:val="24"/>
              </w:rPr>
              <w:t>160 m</w:t>
            </w:r>
          </w:p>
        </w:tc>
        <w:tc>
          <w:tcPr>
            <w:tcW w:w="0" w:type="auto"/>
            <w:vAlign w:val="center"/>
            <w:hideMark/>
          </w:tcPr>
          <w:p w:rsidR="00D53F73" w:rsidRPr="00911295" w:rsidP="005B3A95" w14:paraId="3DB8CF41" w14:textId="77777777">
            <w:pPr>
              <w:rPr>
                <w:sz w:val="24"/>
                <w:szCs w:val="24"/>
              </w:rPr>
            </w:pPr>
            <w:r w:rsidRPr="00911295">
              <w:rPr>
                <w:sz w:val="24"/>
                <w:szCs w:val="24"/>
              </w:rPr>
              <w:t>Entire band</w:t>
            </w:r>
          </w:p>
        </w:tc>
        <w:tc>
          <w:tcPr>
            <w:tcW w:w="0" w:type="auto"/>
            <w:vAlign w:val="center"/>
            <w:hideMark/>
          </w:tcPr>
          <w:p w:rsidR="00D53F73" w:rsidRPr="00911295" w:rsidP="005B3A95" w14:paraId="75F3D8D6" w14:textId="77777777">
            <w:pPr>
              <w:rPr>
                <w:sz w:val="24"/>
                <w:szCs w:val="24"/>
              </w:rPr>
            </w:pPr>
            <w:r w:rsidRPr="00911295">
              <w:rPr>
                <w:sz w:val="24"/>
                <w:szCs w:val="24"/>
              </w:rPr>
              <w:t>RTTY, data</w:t>
            </w:r>
          </w:p>
        </w:tc>
        <w:tc>
          <w:tcPr>
            <w:tcW w:w="0" w:type="auto"/>
            <w:vAlign w:val="center"/>
            <w:hideMark/>
          </w:tcPr>
          <w:p w:rsidR="00D53F73" w:rsidRPr="00911295" w:rsidP="005B3A95" w14:paraId="26D27CFC" w14:textId="77777777">
            <w:pPr>
              <w:rPr>
                <w:sz w:val="24"/>
                <w:szCs w:val="24"/>
              </w:rPr>
            </w:pPr>
            <w:r w:rsidRPr="00911295">
              <w:rPr>
                <w:sz w:val="24"/>
                <w:szCs w:val="24"/>
              </w:rPr>
              <w:t xml:space="preserve">(f) (3). </w:t>
            </w:r>
          </w:p>
        </w:tc>
      </w:tr>
      <w:tr w14:paraId="73906C73"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60F8B689" w14:textId="77777777">
            <w:pPr>
              <w:rPr>
                <w:sz w:val="24"/>
                <w:szCs w:val="24"/>
              </w:rPr>
            </w:pPr>
            <w:r>
              <w:rPr>
                <w:sz w:val="24"/>
                <w:szCs w:val="24"/>
              </w:rPr>
              <w:t xml:space="preserve">(iv) </w:t>
            </w:r>
            <w:r w:rsidRPr="00911295">
              <w:rPr>
                <w:sz w:val="24"/>
                <w:szCs w:val="24"/>
              </w:rPr>
              <w:t>160 m</w:t>
            </w:r>
          </w:p>
        </w:tc>
        <w:tc>
          <w:tcPr>
            <w:tcW w:w="0" w:type="auto"/>
            <w:vAlign w:val="center"/>
            <w:hideMark/>
          </w:tcPr>
          <w:p w:rsidR="00D53F73" w:rsidRPr="00911295" w:rsidP="005B3A95" w14:paraId="407F9E2E" w14:textId="77777777">
            <w:pPr>
              <w:rPr>
                <w:sz w:val="24"/>
                <w:szCs w:val="24"/>
              </w:rPr>
            </w:pPr>
            <w:r w:rsidRPr="00911295">
              <w:rPr>
                <w:sz w:val="24"/>
                <w:szCs w:val="24"/>
              </w:rPr>
              <w:t>Entire band</w:t>
            </w:r>
          </w:p>
        </w:tc>
        <w:tc>
          <w:tcPr>
            <w:tcW w:w="0" w:type="auto"/>
            <w:vAlign w:val="center"/>
            <w:hideMark/>
          </w:tcPr>
          <w:p w:rsidR="00D53F73" w:rsidRPr="00911295" w:rsidP="005B3A95" w14:paraId="7AE42093" w14:textId="77777777">
            <w:pPr>
              <w:rPr>
                <w:sz w:val="24"/>
                <w:szCs w:val="24"/>
              </w:rPr>
            </w:pPr>
            <w:r w:rsidRPr="00911295">
              <w:rPr>
                <w:sz w:val="24"/>
                <w:szCs w:val="24"/>
              </w:rPr>
              <w:t>Phone, image</w:t>
            </w:r>
          </w:p>
        </w:tc>
        <w:tc>
          <w:tcPr>
            <w:tcW w:w="0" w:type="auto"/>
            <w:vAlign w:val="center"/>
            <w:hideMark/>
          </w:tcPr>
          <w:p w:rsidR="00D53F73" w:rsidRPr="00911295" w:rsidP="005B3A95" w14:paraId="1CC2ADC0" w14:textId="77777777">
            <w:pPr>
              <w:rPr>
                <w:sz w:val="24"/>
                <w:szCs w:val="24"/>
              </w:rPr>
            </w:pPr>
            <w:r w:rsidRPr="00911295">
              <w:rPr>
                <w:sz w:val="24"/>
                <w:szCs w:val="24"/>
              </w:rPr>
              <w:t xml:space="preserve">(f) (1), (2). </w:t>
            </w:r>
          </w:p>
        </w:tc>
      </w:tr>
      <w:tr w14:paraId="6F9625F4"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069D5F7B" w14:textId="77777777">
            <w:pPr>
              <w:rPr>
                <w:sz w:val="24"/>
                <w:szCs w:val="24"/>
              </w:rPr>
            </w:pPr>
            <w:r>
              <w:rPr>
                <w:sz w:val="24"/>
                <w:szCs w:val="24"/>
              </w:rPr>
              <w:t xml:space="preserve">(3) </w:t>
            </w:r>
            <w:r w:rsidRPr="00911295">
              <w:rPr>
                <w:sz w:val="24"/>
                <w:szCs w:val="24"/>
              </w:rPr>
              <w:t xml:space="preserve">HF: </w:t>
            </w:r>
          </w:p>
        </w:tc>
        <w:tc>
          <w:tcPr>
            <w:tcW w:w="0" w:type="auto"/>
            <w:vAlign w:val="center"/>
            <w:hideMark/>
          </w:tcPr>
          <w:p w:rsidR="00D53F73" w:rsidRPr="00911295" w:rsidP="005B3A95" w14:paraId="5E64B425" w14:textId="77777777">
            <w:pPr>
              <w:rPr>
                <w:sz w:val="24"/>
                <w:szCs w:val="24"/>
              </w:rPr>
            </w:pPr>
          </w:p>
        </w:tc>
        <w:tc>
          <w:tcPr>
            <w:tcW w:w="0" w:type="auto"/>
            <w:vAlign w:val="center"/>
            <w:hideMark/>
          </w:tcPr>
          <w:p w:rsidR="00D53F73" w:rsidRPr="00911295" w:rsidP="005B3A95" w14:paraId="585FCDB3" w14:textId="77777777">
            <w:pPr>
              <w:rPr>
                <w:sz w:val="20"/>
              </w:rPr>
            </w:pPr>
          </w:p>
        </w:tc>
        <w:tc>
          <w:tcPr>
            <w:tcW w:w="0" w:type="auto"/>
            <w:vAlign w:val="center"/>
            <w:hideMark/>
          </w:tcPr>
          <w:p w:rsidR="00D53F73" w:rsidRPr="00911295" w:rsidP="005B3A95" w14:paraId="6E633932" w14:textId="77777777">
            <w:pPr>
              <w:rPr>
                <w:sz w:val="20"/>
              </w:rPr>
            </w:pPr>
          </w:p>
        </w:tc>
      </w:tr>
      <w:tr w14:paraId="13187CDF"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6E3AE5F8" w14:textId="77777777">
            <w:pPr>
              <w:rPr>
                <w:sz w:val="24"/>
                <w:szCs w:val="24"/>
              </w:rPr>
            </w:pPr>
            <w:r>
              <w:rPr>
                <w:sz w:val="24"/>
                <w:szCs w:val="24"/>
              </w:rPr>
              <w:t>(</w:t>
            </w:r>
            <w:r>
              <w:rPr>
                <w:sz w:val="24"/>
                <w:szCs w:val="24"/>
              </w:rPr>
              <w:t>i</w:t>
            </w:r>
            <w:r>
              <w:rPr>
                <w:sz w:val="24"/>
                <w:szCs w:val="24"/>
              </w:rPr>
              <w:t xml:space="preserve">) </w:t>
            </w:r>
            <w:r w:rsidRPr="00911295">
              <w:rPr>
                <w:sz w:val="24"/>
                <w:szCs w:val="24"/>
              </w:rPr>
              <w:t>80 m</w:t>
            </w:r>
          </w:p>
        </w:tc>
        <w:tc>
          <w:tcPr>
            <w:tcW w:w="0" w:type="auto"/>
            <w:vAlign w:val="center"/>
            <w:hideMark/>
          </w:tcPr>
          <w:p w:rsidR="00D53F73" w:rsidRPr="00911295" w:rsidP="005B3A95" w14:paraId="64953D53" w14:textId="77777777">
            <w:pPr>
              <w:rPr>
                <w:sz w:val="24"/>
                <w:szCs w:val="24"/>
              </w:rPr>
            </w:pPr>
            <w:r w:rsidRPr="00911295">
              <w:rPr>
                <w:sz w:val="24"/>
                <w:szCs w:val="24"/>
              </w:rPr>
              <w:t>Entire band</w:t>
            </w:r>
          </w:p>
        </w:tc>
        <w:tc>
          <w:tcPr>
            <w:tcW w:w="0" w:type="auto"/>
            <w:vAlign w:val="center"/>
            <w:hideMark/>
          </w:tcPr>
          <w:p w:rsidR="00D53F73" w:rsidRPr="00911295" w:rsidP="005B3A95" w14:paraId="4C5E7816" w14:textId="77777777">
            <w:pPr>
              <w:rPr>
                <w:sz w:val="24"/>
                <w:szCs w:val="24"/>
              </w:rPr>
            </w:pPr>
            <w:r w:rsidRPr="00911295">
              <w:rPr>
                <w:sz w:val="24"/>
                <w:szCs w:val="24"/>
              </w:rPr>
              <w:t>RTTY, data</w:t>
            </w:r>
          </w:p>
        </w:tc>
        <w:tc>
          <w:tcPr>
            <w:tcW w:w="0" w:type="auto"/>
            <w:vAlign w:val="center"/>
            <w:hideMark/>
          </w:tcPr>
          <w:p w:rsidR="00D53F73" w:rsidRPr="00911295" w:rsidP="005B3A95" w14:paraId="5F31C326" w14:textId="77777777">
            <w:pPr>
              <w:rPr>
                <w:sz w:val="24"/>
                <w:szCs w:val="24"/>
              </w:rPr>
            </w:pPr>
            <w:r w:rsidRPr="00911295">
              <w:rPr>
                <w:sz w:val="24"/>
                <w:szCs w:val="24"/>
              </w:rPr>
              <w:t xml:space="preserve">(f) (3), (9). </w:t>
            </w:r>
          </w:p>
        </w:tc>
      </w:tr>
      <w:tr w14:paraId="605BACC1"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2D7B385A" w14:textId="77777777">
            <w:pPr>
              <w:rPr>
                <w:sz w:val="24"/>
                <w:szCs w:val="24"/>
              </w:rPr>
            </w:pPr>
            <w:r>
              <w:rPr>
                <w:sz w:val="24"/>
                <w:szCs w:val="24"/>
              </w:rPr>
              <w:t xml:space="preserve">(ii) </w:t>
            </w:r>
            <w:r w:rsidRPr="00911295">
              <w:rPr>
                <w:sz w:val="24"/>
                <w:szCs w:val="24"/>
              </w:rPr>
              <w:t>75 m</w:t>
            </w:r>
          </w:p>
        </w:tc>
        <w:tc>
          <w:tcPr>
            <w:tcW w:w="0" w:type="auto"/>
            <w:vAlign w:val="center"/>
            <w:hideMark/>
          </w:tcPr>
          <w:p w:rsidR="00D53F73" w:rsidRPr="00911295" w:rsidP="005B3A95" w14:paraId="6B2D9728" w14:textId="77777777">
            <w:pPr>
              <w:rPr>
                <w:sz w:val="24"/>
                <w:szCs w:val="24"/>
              </w:rPr>
            </w:pPr>
            <w:r w:rsidRPr="00911295">
              <w:rPr>
                <w:sz w:val="24"/>
                <w:szCs w:val="24"/>
              </w:rPr>
              <w:t>Entire band</w:t>
            </w:r>
          </w:p>
        </w:tc>
        <w:tc>
          <w:tcPr>
            <w:tcW w:w="0" w:type="auto"/>
            <w:vAlign w:val="center"/>
            <w:hideMark/>
          </w:tcPr>
          <w:p w:rsidR="00D53F73" w:rsidRPr="00911295" w:rsidP="005B3A95" w14:paraId="4F0CB7CA" w14:textId="77777777">
            <w:pPr>
              <w:rPr>
                <w:sz w:val="24"/>
                <w:szCs w:val="24"/>
              </w:rPr>
            </w:pPr>
            <w:r w:rsidRPr="00911295">
              <w:rPr>
                <w:sz w:val="24"/>
                <w:szCs w:val="24"/>
              </w:rPr>
              <w:t>Phone, image</w:t>
            </w:r>
          </w:p>
        </w:tc>
        <w:tc>
          <w:tcPr>
            <w:tcW w:w="0" w:type="auto"/>
            <w:vAlign w:val="center"/>
            <w:hideMark/>
          </w:tcPr>
          <w:p w:rsidR="00D53F73" w:rsidRPr="00911295" w:rsidP="005B3A95" w14:paraId="35F3ADB4" w14:textId="77777777">
            <w:pPr>
              <w:rPr>
                <w:sz w:val="24"/>
                <w:szCs w:val="24"/>
              </w:rPr>
            </w:pPr>
            <w:r w:rsidRPr="00911295">
              <w:rPr>
                <w:sz w:val="24"/>
                <w:szCs w:val="24"/>
              </w:rPr>
              <w:t xml:space="preserve">(f) (1), (2). </w:t>
            </w:r>
          </w:p>
        </w:tc>
      </w:tr>
      <w:tr w14:paraId="6A9B8FF8"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37FF4433" w14:textId="77777777">
            <w:pPr>
              <w:rPr>
                <w:sz w:val="24"/>
                <w:szCs w:val="24"/>
              </w:rPr>
            </w:pPr>
            <w:r>
              <w:rPr>
                <w:sz w:val="24"/>
                <w:szCs w:val="24"/>
              </w:rPr>
              <w:t xml:space="preserve">(iii) </w:t>
            </w:r>
            <w:r w:rsidRPr="00911295">
              <w:rPr>
                <w:sz w:val="24"/>
                <w:szCs w:val="24"/>
              </w:rPr>
              <w:t>60 m</w:t>
            </w:r>
          </w:p>
        </w:tc>
        <w:tc>
          <w:tcPr>
            <w:tcW w:w="0" w:type="auto"/>
            <w:vAlign w:val="center"/>
            <w:hideMark/>
          </w:tcPr>
          <w:p w:rsidR="00D53F73" w:rsidRPr="00911295" w:rsidP="005B3A95" w14:paraId="56E83B6E" w14:textId="77777777">
            <w:pPr>
              <w:rPr>
                <w:sz w:val="24"/>
                <w:szCs w:val="24"/>
              </w:rPr>
            </w:pPr>
            <w:r w:rsidRPr="00911295">
              <w:rPr>
                <w:sz w:val="24"/>
                <w:szCs w:val="24"/>
              </w:rPr>
              <w:t>5.332, 5.348, 5.3585, 5.373 and 5.405 MHz</w:t>
            </w:r>
          </w:p>
        </w:tc>
        <w:tc>
          <w:tcPr>
            <w:tcW w:w="0" w:type="auto"/>
            <w:vAlign w:val="center"/>
            <w:hideMark/>
          </w:tcPr>
          <w:p w:rsidR="00D53F73" w:rsidRPr="00911295" w:rsidP="005B3A95" w14:paraId="263CE22C" w14:textId="77777777">
            <w:pPr>
              <w:rPr>
                <w:sz w:val="24"/>
                <w:szCs w:val="24"/>
              </w:rPr>
            </w:pPr>
            <w:r w:rsidRPr="00911295">
              <w:rPr>
                <w:sz w:val="24"/>
                <w:szCs w:val="24"/>
              </w:rPr>
              <w:t>Phone, RTTY, data</w:t>
            </w:r>
          </w:p>
        </w:tc>
        <w:tc>
          <w:tcPr>
            <w:tcW w:w="0" w:type="auto"/>
            <w:vAlign w:val="center"/>
            <w:hideMark/>
          </w:tcPr>
          <w:p w:rsidR="00D53F73" w:rsidRPr="00911295" w:rsidP="005B3A95" w14:paraId="08BD8B74" w14:textId="77777777">
            <w:pPr>
              <w:rPr>
                <w:sz w:val="24"/>
                <w:szCs w:val="24"/>
              </w:rPr>
            </w:pPr>
            <w:r w:rsidRPr="00911295">
              <w:rPr>
                <w:sz w:val="24"/>
                <w:szCs w:val="24"/>
              </w:rPr>
              <w:t xml:space="preserve">(f) (14). </w:t>
            </w:r>
          </w:p>
        </w:tc>
      </w:tr>
      <w:tr w14:paraId="576EC8F8"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6CEF0B16" w14:textId="77777777">
            <w:pPr>
              <w:rPr>
                <w:sz w:val="24"/>
                <w:szCs w:val="24"/>
              </w:rPr>
            </w:pPr>
            <w:r>
              <w:rPr>
                <w:sz w:val="24"/>
                <w:szCs w:val="24"/>
              </w:rPr>
              <w:t xml:space="preserve">(iv) </w:t>
            </w:r>
            <w:r w:rsidRPr="00911295">
              <w:rPr>
                <w:sz w:val="24"/>
                <w:szCs w:val="24"/>
              </w:rPr>
              <w:t>40 m</w:t>
            </w:r>
          </w:p>
        </w:tc>
        <w:tc>
          <w:tcPr>
            <w:tcW w:w="0" w:type="auto"/>
            <w:vAlign w:val="center"/>
            <w:hideMark/>
          </w:tcPr>
          <w:p w:rsidR="00D53F73" w:rsidRPr="00911295" w:rsidP="005B3A95" w14:paraId="29893DB6" w14:textId="77777777">
            <w:pPr>
              <w:rPr>
                <w:sz w:val="24"/>
                <w:szCs w:val="24"/>
              </w:rPr>
            </w:pPr>
            <w:r w:rsidRPr="00911295">
              <w:rPr>
                <w:sz w:val="24"/>
                <w:szCs w:val="24"/>
              </w:rPr>
              <w:t>7.000–7.100 MHz</w:t>
            </w:r>
          </w:p>
        </w:tc>
        <w:tc>
          <w:tcPr>
            <w:tcW w:w="0" w:type="auto"/>
            <w:vAlign w:val="center"/>
            <w:hideMark/>
          </w:tcPr>
          <w:p w:rsidR="00D53F73" w:rsidRPr="00911295" w:rsidP="005B3A95" w14:paraId="11112631" w14:textId="77777777">
            <w:pPr>
              <w:rPr>
                <w:sz w:val="24"/>
                <w:szCs w:val="24"/>
              </w:rPr>
            </w:pPr>
            <w:r w:rsidRPr="00911295">
              <w:rPr>
                <w:sz w:val="24"/>
                <w:szCs w:val="24"/>
              </w:rPr>
              <w:t>RTTY, data</w:t>
            </w:r>
          </w:p>
        </w:tc>
        <w:tc>
          <w:tcPr>
            <w:tcW w:w="0" w:type="auto"/>
            <w:vAlign w:val="center"/>
            <w:hideMark/>
          </w:tcPr>
          <w:p w:rsidR="00D53F73" w:rsidRPr="00911295" w:rsidP="005B3A95" w14:paraId="59F2ECAF" w14:textId="77777777">
            <w:pPr>
              <w:rPr>
                <w:sz w:val="24"/>
                <w:szCs w:val="24"/>
              </w:rPr>
            </w:pPr>
            <w:r w:rsidRPr="00911295">
              <w:rPr>
                <w:sz w:val="24"/>
                <w:szCs w:val="24"/>
              </w:rPr>
              <w:t xml:space="preserve">(f) (3), (9) </w:t>
            </w:r>
          </w:p>
        </w:tc>
      </w:tr>
      <w:tr w14:paraId="40F55842"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5020B24D" w14:textId="77777777">
            <w:pPr>
              <w:rPr>
                <w:sz w:val="24"/>
                <w:szCs w:val="24"/>
              </w:rPr>
            </w:pPr>
            <w:r>
              <w:rPr>
                <w:sz w:val="24"/>
                <w:szCs w:val="24"/>
              </w:rPr>
              <w:t xml:space="preserve">(v) </w:t>
            </w:r>
            <w:r w:rsidRPr="00911295">
              <w:rPr>
                <w:sz w:val="24"/>
                <w:szCs w:val="24"/>
              </w:rPr>
              <w:t>40 m</w:t>
            </w:r>
          </w:p>
        </w:tc>
        <w:tc>
          <w:tcPr>
            <w:tcW w:w="0" w:type="auto"/>
            <w:vAlign w:val="center"/>
            <w:hideMark/>
          </w:tcPr>
          <w:p w:rsidR="00D53F73" w:rsidRPr="00911295" w:rsidP="005B3A95" w14:paraId="11651682" w14:textId="77777777">
            <w:pPr>
              <w:rPr>
                <w:sz w:val="24"/>
                <w:szCs w:val="24"/>
              </w:rPr>
            </w:pPr>
            <w:r w:rsidRPr="00911295">
              <w:rPr>
                <w:sz w:val="24"/>
                <w:szCs w:val="24"/>
              </w:rPr>
              <w:t>7.075–7.100 MHz</w:t>
            </w:r>
          </w:p>
        </w:tc>
        <w:tc>
          <w:tcPr>
            <w:tcW w:w="0" w:type="auto"/>
            <w:vAlign w:val="center"/>
            <w:hideMark/>
          </w:tcPr>
          <w:p w:rsidR="00D53F73" w:rsidRPr="00911295" w:rsidP="005B3A95" w14:paraId="6E1D273B" w14:textId="77777777">
            <w:pPr>
              <w:rPr>
                <w:sz w:val="24"/>
                <w:szCs w:val="24"/>
              </w:rPr>
            </w:pPr>
            <w:r w:rsidRPr="00911295">
              <w:rPr>
                <w:sz w:val="24"/>
                <w:szCs w:val="24"/>
              </w:rPr>
              <w:t>Phone, image</w:t>
            </w:r>
          </w:p>
        </w:tc>
        <w:tc>
          <w:tcPr>
            <w:tcW w:w="0" w:type="auto"/>
            <w:vAlign w:val="center"/>
            <w:hideMark/>
          </w:tcPr>
          <w:p w:rsidR="00D53F73" w:rsidRPr="00911295" w:rsidP="005B3A95" w14:paraId="6F76F080" w14:textId="77777777">
            <w:pPr>
              <w:rPr>
                <w:sz w:val="24"/>
                <w:szCs w:val="24"/>
              </w:rPr>
            </w:pPr>
            <w:r w:rsidRPr="00911295">
              <w:rPr>
                <w:sz w:val="24"/>
                <w:szCs w:val="24"/>
              </w:rPr>
              <w:t xml:space="preserve">(f) (1), (2), (9), (11) </w:t>
            </w:r>
          </w:p>
        </w:tc>
      </w:tr>
      <w:tr w14:paraId="78AF2F0F"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1F47BC43" w14:textId="77777777">
            <w:pPr>
              <w:rPr>
                <w:sz w:val="24"/>
                <w:szCs w:val="24"/>
              </w:rPr>
            </w:pPr>
            <w:r>
              <w:rPr>
                <w:sz w:val="24"/>
                <w:szCs w:val="24"/>
              </w:rPr>
              <w:t xml:space="preserve">(vi) </w:t>
            </w:r>
            <w:r w:rsidRPr="00911295">
              <w:rPr>
                <w:sz w:val="24"/>
                <w:szCs w:val="24"/>
              </w:rPr>
              <w:t>40 m</w:t>
            </w:r>
          </w:p>
        </w:tc>
        <w:tc>
          <w:tcPr>
            <w:tcW w:w="0" w:type="auto"/>
            <w:vAlign w:val="center"/>
            <w:hideMark/>
          </w:tcPr>
          <w:p w:rsidR="00D53F73" w:rsidRPr="00911295" w:rsidP="005B3A95" w14:paraId="1E0E197A" w14:textId="77777777">
            <w:pPr>
              <w:rPr>
                <w:sz w:val="24"/>
                <w:szCs w:val="24"/>
              </w:rPr>
            </w:pPr>
            <w:r w:rsidRPr="00911295">
              <w:rPr>
                <w:sz w:val="24"/>
                <w:szCs w:val="24"/>
              </w:rPr>
              <w:t>7.100–7.125 MHz</w:t>
            </w:r>
          </w:p>
        </w:tc>
        <w:tc>
          <w:tcPr>
            <w:tcW w:w="0" w:type="auto"/>
            <w:vAlign w:val="center"/>
            <w:hideMark/>
          </w:tcPr>
          <w:p w:rsidR="00D53F73" w:rsidRPr="00911295" w:rsidP="005B3A95" w14:paraId="1DF42D92" w14:textId="77777777">
            <w:pPr>
              <w:rPr>
                <w:sz w:val="24"/>
                <w:szCs w:val="24"/>
              </w:rPr>
            </w:pPr>
            <w:r w:rsidRPr="00911295">
              <w:rPr>
                <w:sz w:val="24"/>
                <w:szCs w:val="24"/>
              </w:rPr>
              <w:t>RTTY, data</w:t>
            </w:r>
          </w:p>
        </w:tc>
        <w:tc>
          <w:tcPr>
            <w:tcW w:w="0" w:type="auto"/>
            <w:vAlign w:val="center"/>
            <w:hideMark/>
          </w:tcPr>
          <w:p w:rsidR="00D53F73" w:rsidRPr="00911295" w:rsidP="005B3A95" w14:paraId="3B85021F" w14:textId="77777777">
            <w:pPr>
              <w:rPr>
                <w:sz w:val="24"/>
                <w:szCs w:val="24"/>
              </w:rPr>
            </w:pPr>
            <w:r w:rsidRPr="00911295">
              <w:rPr>
                <w:sz w:val="24"/>
                <w:szCs w:val="24"/>
              </w:rPr>
              <w:t xml:space="preserve">(f) (3), (9) </w:t>
            </w:r>
          </w:p>
        </w:tc>
      </w:tr>
      <w:tr w14:paraId="37EE4E81"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73AD3D72" w14:textId="77777777">
            <w:pPr>
              <w:rPr>
                <w:sz w:val="24"/>
                <w:szCs w:val="24"/>
              </w:rPr>
            </w:pPr>
            <w:r>
              <w:rPr>
                <w:sz w:val="24"/>
                <w:szCs w:val="24"/>
              </w:rPr>
              <w:t xml:space="preserve">(vii) </w:t>
            </w:r>
            <w:r w:rsidRPr="00911295">
              <w:rPr>
                <w:sz w:val="24"/>
                <w:szCs w:val="24"/>
              </w:rPr>
              <w:t>40 m</w:t>
            </w:r>
          </w:p>
        </w:tc>
        <w:tc>
          <w:tcPr>
            <w:tcW w:w="0" w:type="auto"/>
            <w:vAlign w:val="center"/>
            <w:hideMark/>
          </w:tcPr>
          <w:p w:rsidR="00D53F73" w:rsidRPr="00911295" w:rsidP="005B3A95" w14:paraId="581B26F0" w14:textId="77777777">
            <w:pPr>
              <w:rPr>
                <w:sz w:val="24"/>
                <w:szCs w:val="24"/>
              </w:rPr>
            </w:pPr>
            <w:r w:rsidRPr="00911295">
              <w:rPr>
                <w:sz w:val="24"/>
                <w:szCs w:val="24"/>
              </w:rPr>
              <w:t>7.125–7.300 MHz</w:t>
            </w:r>
          </w:p>
        </w:tc>
        <w:tc>
          <w:tcPr>
            <w:tcW w:w="0" w:type="auto"/>
            <w:vAlign w:val="center"/>
            <w:hideMark/>
          </w:tcPr>
          <w:p w:rsidR="00D53F73" w:rsidRPr="00911295" w:rsidP="005B3A95" w14:paraId="24B1AE04" w14:textId="77777777">
            <w:pPr>
              <w:rPr>
                <w:sz w:val="24"/>
                <w:szCs w:val="24"/>
              </w:rPr>
            </w:pPr>
            <w:r w:rsidRPr="00911295">
              <w:rPr>
                <w:sz w:val="24"/>
                <w:szCs w:val="24"/>
              </w:rPr>
              <w:t>Phone, image</w:t>
            </w:r>
          </w:p>
        </w:tc>
        <w:tc>
          <w:tcPr>
            <w:tcW w:w="0" w:type="auto"/>
            <w:vAlign w:val="center"/>
            <w:hideMark/>
          </w:tcPr>
          <w:p w:rsidR="00D53F73" w:rsidRPr="00911295" w:rsidP="005B3A95" w14:paraId="4F6D8759" w14:textId="77777777">
            <w:pPr>
              <w:rPr>
                <w:sz w:val="24"/>
                <w:szCs w:val="24"/>
              </w:rPr>
            </w:pPr>
            <w:r w:rsidRPr="00911295">
              <w:rPr>
                <w:sz w:val="24"/>
                <w:szCs w:val="24"/>
              </w:rPr>
              <w:t xml:space="preserve">(f) (1), (2) </w:t>
            </w:r>
          </w:p>
        </w:tc>
      </w:tr>
      <w:tr w14:paraId="73547A99"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4C46774A" w14:textId="77777777">
            <w:pPr>
              <w:rPr>
                <w:sz w:val="24"/>
                <w:szCs w:val="24"/>
              </w:rPr>
            </w:pPr>
            <w:r>
              <w:rPr>
                <w:sz w:val="24"/>
                <w:szCs w:val="24"/>
              </w:rPr>
              <w:t xml:space="preserve">(viii) </w:t>
            </w:r>
            <w:r w:rsidRPr="00911295">
              <w:rPr>
                <w:sz w:val="24"/>
                <w:szCs w:val="24"/>
              </w:rPr>
              <w:t>30 m</w:t>
            </w:r>
          </w:p>
        </w:tc>
        <w:tc>
          <w:tcPr>
            <w:tcW w:w="0" w:type="auto"/>
            <w:vAlign w:val="center"/>
            <w:hideMark/>
          </w:tcPr>
          <w:p w:rsidR="00D53F73" w:rsidRPr="00911295" w:rsidP="005B3A95" w14:paraId="465B3636" w14:textId="77777777">
            <w:pPr>
              <w:rPr>
                <w:sz w:val="24"/>
                <w:szCs w:val="24"/>
              </w:rPr>
            </w:pPr>
            <w:r w:rsidRPr="00911295">
              <w:rPr>
                <w:sz w:val="24"/>
                <w:szCs w:val="24"/>
              </w:rPr>
              <w:t>Entire band</w:t>
            </w:r>
          </w:p>
        </w:tc>
        <w:tc>
          <w:tcPr>
            <w:tcW w:w="0" w:type="auto"/>
            <w:vAlign w:val="center"/>
            <w:hideMark/>
          </w:tcPr>
          <w:p w:rsidR="00D53F73" w:rsidRPr="00911295" w:rsidP="005B3A95" w14:paraId="343B97C6" w14:textId="77777777">
            <w:pPr>
              <w:rPr>
                <w:sz w:val="24"/>
                <w:szCs w:val="24"/>
              </w:rPr>
            </w:pPr>
            <w:r w:rsidRPr="00911295">
              <w:rPr>
                <w:sz w:val="24"/>
                <w:szCs w:val="24"/>
              </w:rPr>
              <w:t>RTTY, data</w:t>
            </w:r>
          </w:p>
        </w:tc>
        <w:tc>
          <w:tcPr>
            <w:tcW w:w="0" w:type="auto"/>
            <w:vAlign w:val="center"/>
            <w:hideMark/>
          </w:tcPr>
          <w:p w:rsidR="00D53F73" w:rsidRPr="00911295" w:rsidP="005B3A95" w14:paraId="6D3A5ED1" w14:textId="77777777">
            <w:pPr>
              <w:rPr>
                <w:sz w:val="24"/>
                <w:szCs w:val="24"/>
              </w:rPr>
            </w:pPr>
            <w:r w:rsidRPr="00911295">
              <w:rPr>
                <w:sz w:val="24"/>
                <w:szCs w:val="24"/>
              </w:rPr>
              <w:t xml:space="preserve">(f) (3). </w:t>
            </w:r>
          </w:p>
        </w:tc>
      </w:tr>
      <w:tr w14:paraId="0AB057AD"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0AF03765" w14:textId="77777777">
            <w:pPr>
              <w:rPr>
                <w:sz w:val="24"/>
                <w:szCs w:val="24"/>
              </w:rPr>
            </w:pPr>
            <w:r>
              <w:rPr>
                <w:sz w:val="24"/>
                <w:szCs w:val="24"/>
              </w:rPr>
              <w:t xml:space="preserve">(ix) </w:t>
            </w:r>
            <w:r w:rsidRPr="00911295">
              <w:rPr>
                <w:sz w:val="24"/>
                <w:szCs w:val="24"/>
              </w:rPr>
              <w:t>20 m</w:t>
            </w:r>
          </w:p>
        </w:tc>
        <w:tc>
          <w:tcPr>
            <w:tcW w:w="0" w:type="auto"/>
            <w:vAlign w:val="center"/>
            <w:hideMark/>
          </w:tcPr>
          <w:p w:rsidR="00D53F73" w:rsidRPr="00911295" w:rsidP="005B3A95" w14:paraId="3C89E240" w14:textId="77777777">
            <w:pPr>
              <w:rPr>
                <w:sz w:val="24"/>
                <w:szCs w:val="24"/>
              </w:rPr>
            </w:pPr>
            <w:r w:rsidRPr="00911295">
              <w:rPr>
                <w:sz w:val="24"/>
                <w:szCs w:val="24"/>
              </w:rPr>
              <w:t>14.00–14.15 MHz</w:t>
            </w:r>
          </w:p>
        </w:tc>
        <w:tc>
          <w:tcPr>
            <w:tcW w:w="0" w:type="auto"/>
            <w:vAlign w:val="center"/>
            <w:hideMark/>
          </w:tcPr>
          <w:p w:rsidR="00D53F73" w:rsidRPr="00911295" w:rsidP="005B3A95" w14:paraId="10B992CF" w14:textId="77777777">
            <w:pPr>
              <w:rPr>
                <w:sz w:val="24"/>
                <w:szCs w:val="24"/>
              </w:rPr>
            </w:pPr>
            <w:r w:rsidRPr="00911295">
              <w:rPr>
                <w:sz w:val="24"/>
                <w:szCs w:val="24"/>
              </w:rPr>
              <w:t>RTTY, data</w:t>
            </w:r>
          </w:p>
        </w:tc>
        <w:tc>
          <w:tcPr>
            <w:tcW w:w="0" w:type="auto"/>
            <w:vAlign w:val="center"/>
            <w:hideMark/>
          </w:tcPr>
          <w:p w:rsidR="00D53F73" w:rsidRPr="00911295" w:rsidP="005B3A95" w14:paraId="3A41D5B5" w14:textId="77777777">
            <w:pPr>
              <w:rPr>
                <w:sz w:val="24"/>
                <w:szCs w:val="24"/>
              </w:rPr>
            </w:pPr>
            <w:r w:rsidRPr="00911295">
              <w:rPr>
                <w:sz w:val="24"/>
                <w:szCs w:val="24"/>
              </w:rPr>
              <w:t xml:space="preserve">(f) (3). </w:t>
            </w:r>
          </w:p>
        </w:tc>
      </w:tr>
      <w:tr w14:paraId="68E3425F"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2A202FF0" w14:textId="77777777">
            <w:pPr>
              <w:rPr>
                <w:sz w:val="24"/>
                <w:szCs w:val="24"/>
              </w:rPr>
            </w:pPr>
            <w:r>
              <w:rPr>
                <w:sz w:val="24"/>
                <w:szCs w:val="24"/>
              </w:rPr>
              <w:t xml:space="preserve">(x) </w:t>
            </w:r>
            <w:r w:rsidRPr="00911295">
              <w:rPr>
                <w:sz w:val="24"/>
                <w:szCs w:val="24"/>
              </w:rPr>
              <w:t>20 m</w:t>
            </w:r>
          </w:p>
        </w:tc>
        <w:tc>
          <w:tcPr>
            <w:tcW w:w="0" w:type="auto"/>
            <w:vAlign w:val="center"/>
            <w:hideMark/>
          </w:tcPr>
          <w:p w:rsidR="00D53F73" w:rsidRPr="00911295" w:rsidP="005B3A95" w14:paraId="2FDBC47C" w14:textId="77777777">
            <w:pPr>
              <w:rPr>
                <w:sz w:val="24"/>
                <w:szCs w:val="24"/>
              </w:rPr>
            </w:pPr>
            <w:r w:rsidRPr="00911295">
              <w:rPr>
                <w:sz w:val="24"/>
                <w:szCs w:val="24"/>
              </w:rPr>
              <w:t>14.15–14.35 MHz</w:t>
            </w:r>
          </w:p>
        </w:tc>
        <w:tc>
          <w:tcPr>
            <w:tcW w:w="0" w:type="auto"/>
            <w:vAlign w:val="center"/>
            <w:hideMark/>
          </w:tcPr>
          <w:p w:rsidR="00D53F73" w:rsidRPr="00911295" w:rsidP="005B3A95" w14:paraId="1D0D88AA" w14:textId="77777777">
            <w:pPr>
              <w:rPr>
                <w:sz w:val="24"/>
                <w:szCs w:val="24"/>
              </w:rPr>
            </w:pPr>
            <w:r w:rsidRPr="00911295">
              <w:rPr>
                <w:sz w:val="24"/>
                <w:szCs w:val="24"/>
              </w:rPr>
              <w:t>Phone, image</w:t>
            </w:r>
          </w:p>
        </w:tc>
        <w:tc>
          <w:tcPr>
            <w:tcW w:w="0" w:type="auto"/>
            <w:vAlign w:val="center"/>
            <w:hideMark/>
          </w:tcPr>
          <w:p w:rsidR="00D53F73" w:rsidRPr="00911295" w:rsidP="005B3A95" w14:paraId="2B409D67" w14:textId="77777777">
            <w:pPr>
              <w:rPr>
                <w:sz w:val="24"/>
                <w:szCs w:val="24"/>
              </w:rPr>
            </w:pPr>
            <w:r w:rsidRPr="00911295">
              <w:rPr>
                <w:sz w:val="24"/>
                <w:szCs w:val="24"/>
              </w:rPr>
              <w:t xml:space="preserve">(f) (1), (2). </w:t>
            </w:r>
          </w:p>
        </w:tc>
      </w:tr>
      <w:tr w14:paraId="0CAA95D6"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71761B10" w14:textId="77777777">
            <w:pPr>
              <w:rPr>
                <w:sz w:val="24"/>
                <w:szCs w:val="24"/>
              </w:rPr>
            </w:pPr>
            <w:r>
              <w:rPr>
                <w:sz w:val="24"/>
                <w:szCs w:val="24"/>
              </w:rPr>
              <w:t xml:space="preserve">(xi) </w:t>
            </w:r>
            <w:r w:rsidRPr="00911295">
              <w:rPr>
                <w:sz w:val="24"/>
                <w:szCs w:val="24"/>
              </w:rPr>
              <w:t>17 m</w:t>
            </w:r>
          </w:p>
        </w:tc>
        <w:tc>
          <w:tcPr>
            <w:tcW w:w="0" w:type="auto"/>
            <w:vAlign w:val="center"/>
            <w:hideMark/>
          </w:tcPr>
          <w:p w:rsidR="00D53F73" w:rsidRPr="00911295" w:rsidP="005B3A95" w14:paraId="5AF92BDF" w14:textId="77777777">
            <w:pPr>
              <w:rPr>
                <w:sz w:val="24"/>
                <w:szCs w:val="24"/>
              </w:rPr>
            </w:pPr>
            <w:r w:rsidRPr="00911295">
              <w:rPr>
                <w:sz w:val="24"/>
                <w:szCs w:val="24"/>
              </w:rPr>
              <w:t>18.068–18.110 MHz</w:t>
            </w:r>
          </w:p>
        </w:tc>
        <w:tc>
          <w:tcPr>
            <w:tcW w:w="0" w:type="auto"/>
            <w:vAlign w:val="center"/>
            <w:hideMark/>
          </w:tcPr>
          <w:p w:rsidR="00D53F73" w:rsidRPr="00911295" w:rsidP="005B3A95" w14:paraId="2414FBFB" w14:textId="77777777">
            <w:pPr>
              <w:rPr>
                <w:sz w:val="24"/>
                <w:szCs w:val="24"/>
              </w:rPr>
            </w:pPr>
            <w:r w:rsidRPr="00911295">
              <w:rPr>
                <w:sz w:val="24"/>
                <w:szCs w:val="24"/>
              </w:rPr>
              <w:t>RTTY, data</w:t>
            </w:r>
          </w:p>
        </w:tc>
        <w:tc>
          <w:tcPr>
            <w:tcW w:w="0" w:type="auto"/>
            <w:vAlign w:val="center"/>
            <w:hideMark/>
          </w:tcPr>
          <w:p w:rsidR="00D53F73" w:rsidRPr="00911295" w:rsidP="005B3A95" w14:paraId="54138A39" w14:textId="77777777">
            <w:pPr>
              <w:rPr>
                <w:sz w:val="24"/>
                <w:szCs w:val="24"/>
              </w:rPr>
            </w:pPr>
            <w:r w:rsidRPr="00911295">
              <w:rPr>
                <w:sz w:val="24"/>
                <w:szCs w:val="24"/>
              </w:rPr>
              <w:t xml:space="preserve">(f) (3). </w:t>
            </w:r>
          </w:p>
        </w:tc>
      </w:tr>
      <w:tr w14:paraId="02AEA588"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0742E027" w14:textId="77777777">
            <w:pPr>
              <w:rPr>
                <w:sz w:val="24"/>
                <w:szCs w:val="24"/>
              </w:rPr>
            </w:pPr>
            <w:r>
              <w:rPr>
                <w:sz w:val="24"/>
                <w:szCs w:val="24"/>
              </w:rPr>
              <w:t xml:space="preserve">(xii) </w:t>
            </w:r>
            <w:r w:rsidRPr="00911295">
              <w:rPr>
                <w:sz w:val="24"/>
                <w:szCs w:val="24"/>
              </w:rPr>
              <w:t>17 m</w:t>
            </w:r>
          </w:p>
        </w:tc>
        <w:tc>
          <w:tcPr>
            <w:tcW w:w="0" w:type="auto"/>
            <w:vAlign w:val="center"/>
            <w:hideMark/>
          </w:tcPr>
          <w:p w:rsidR="00D53F73" w:rsidRPr="00911295" w:rsidP="005B3A95" w14:paraId="2B9DEE7E" w14:textId="77777777">
            <w:pPr>
              <w:rPr>
                <w:sz w:val="24"/>
                <w:szCs w:val="24"/>
              </w:rPr>
            </w:pPr>
            <w:r w:rsidRPr="00911295">
              <w:rPr>
                <w:sz w:val="24"/>
                <w:szCs w:val="24"/>
              </w:rPr>
              <w:t>18.110–18.168 MHz</w:t>
            </w:r>
          </w:p>
        </w:tc>
        <w:tc>
          <w:tcPr>
            <w:tcW w:w="0" w:type="auto"/>
            <w:vAlign w:val="center"/>
            <w:hideMark/>
          </w:tcPr>
          <w:p w:rsidR="00D53F73" w:rsidRPr="00911295" w:rsidP="005B3A95" w14:paraId="64D325B2" w14:textId="77777777">
            <w:pPr>
              <w:rPr>
                <w:sz w:val="24"/>
                <w:szCs w:val="24"/>
              </w:rPr>
            </w:pPr>
            <w:r w:rsidRPr="00911295">
              <w:rPr>
                <w:sz w:val="24"/>
                <w:szCs w:val="24"/>
              </w:rPr>
              <w:t>Phone, image</w:t>
            </w:r>
          </w:p>
        </w:tc>
        <w:tc>
          <w:tcPr>
            <w:tcW w:w="0" w:type="auto"/>
            <w:vAlign w:val="center"/>
            <w:hideMark/>
          </w:tcPr>
          <w:p w:rsidR="00D53F73" w:rsidRPr="00911295" w:rsidP="005B3A95" w14:paraId="135A1A46" w14:textId="77777777">
            <w:pPr>
              <w:rPr>
                <w:sz w:val="24"/>
                <w:szCs w:val="24"/>
              </w:rPr>
            </w:pPr>
            <w:r w:rsidRPr="00911295">
              <w:rPr>
                <w:sz w:val="24"/>
                <w:szCs w:val="24"/>
              </w:rPr>
              <w:t xml:space="preserve">(f) (1), (2). </w:t>
            </w:r>
          </w:p>
        </w:tc>
      </w:tr>
      <w:tr w14:paraId="5629D343"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01110B6E" w14:textId="77777777">
            <w:pPr>
              <w:rPr>
                <w:sz w:val="24"/>
                <w:szCs w:val="24"/>
              </w:rPr>
            </w:pPr>
            <w:r>
              <w:rPr>
                <w:sz w:val="24"/>
                <w:szCs w:val="24"/>
              </w:rPr>
              <w:t xml:space="preserve">(xiii) </w:t>
            </w:r>
            <w:r w:rsidRPr="00911295">
              <w:rPr>
                <w:sz w:val="24"/>
                <w:szCs w:val="24"/>
              </w:rPr>
              <w:t>15 m</w:t>
            </w:r>
          </w:p>
        </w:tc>
        <w:tc>
          <w:tcPr>
            <w:tcW w:w="0" w:type="auto"/>
            <w:vAlign w:val="center"/>
            <w:hideMark/>
          </w:tcPr>
          <w:p w:rsidR="00D53F73" w:rsidRPr="00911295" w:rsidP="005B3A95" w14:paraId="05F03736" w14:textId="77777777">
            <w:pPr>
              <w:rPr>
                <w:sz w:val="24"/>
                <w:szCs w:val="24"/>
              </w:rPr>
            </w:pPr>
            <w:r w:rsidRPr="00911295">
              <w:rPr>
                <w:sz w:val="24"/>
                <w:szCs w:val="24"/>
              </w:rPr>
              <w:t>21.0–21.2 MHz</w:t>
            </w:r>
          </w:p>
        </w:tc>
        <w:tc>
          <w:tcPr>
            <w:tcW w:w="0" w:type="auto"/>
            <w:vAlign w:val="center"/>
            <w:hideMark/>
          </w:tcPr>
          <w:p w:rsidR="00D53F73" w:rsidRPr="00911295" w:rsidP="005B3A95" w14:paraId="6B82B839" w14:textId="77777777">
            <w:pPr>
              <w:rPr>
                <w:sz w:val="24"/>
                <w:szCs w:val="24"/>
              </w:rPr>
            </w:pPr>
            <w:r w:rsidRPr="00911295">
              <w:rPr>
                <w:sz w:val="24"/>
                <w:szCs w:val="24"/>
              </w:rPr>
              <w:t>RTTY, data</w:t>
            </w:r>
          </w:p>
        </w:tc>
        <w:tc>
          <w:tcPr>
            <w:tcW w:w="0" w:type="auto"/>
            <w:vAlign w:val="center"/>
            <w:hideMark/>
          </w:tcPr>
          <w:p w:rsidR="00D53F73" w:rsidRPr="00911295" w:rsidP="005B3A95" w14:paraId="10E256D5" w14:textId="77777777">
            <w:pPr>
              <w:rPr>
                <w:sz w:val="24"/>
                <w:szCs w:val="24"/>
              </w:rPr>
            </w:pPr>
            <w:r w:rsidRPr="00911295">
              <w:rPr>
                <w:sz w:val="24"/>
                <w:szCs w:val="24"/>
              </w:rPr>
              <w:t xml:space="preserve">(f) (3), (9). </w:t>
            </w:r>
          </w:p>
        </w:tc>
      </w:tr>
      <w:tr w14:paraId="6506CBB9"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1D9A9FC9" w14:textId="77777777">
            <w:pPr>
              <w:rPr>
                <w:sz w:val="24"/>
                <w:szCs w:val="24"/>
              </w:rPr>
            </w:pPr>
            <w:r>
              <w:rPr>
                <w:sz w:val="24"/>
                <w:szCs w:val="24"/>
              </w:rPr>
              <w:t xml:space="preserve">(xiv) </w:t>
            </w:r>
            <w:r w:rsidRPr="00911295">
              <w:rPr>
                <w:sz w:val="24"/>
                <w:szCs w:val="24"/>
              </w:rPr>
              <w:t>15 m</w:t>
            </w:r>
          </w:p>
        </w:tc>
        <w:tc>
          <w:tcPr>
            <w:tcW w:w="0" w:type="auto"/>
            <w:vAlign w:val="center"/>
            <w:hideMark/>
          </w:tcPr>
          <w:p w:rsidR="00D53F73" w:rsidRPr="00911295" w:rsidP="005B3A95" w14:paraId="4FF0B1D1" w14:textId="77777777">
            <w:pPr>
              <w:rPr>
                <w:sz w:val="24"/>
                <w:szCs w:val="24"/>
              </w:rPr>
            </w:pPr>
            <w:r w:rsidRPr="00911295">
              <w:rPr>
                <w:sz w:val="24"/>
                <w:szCs w:val="24"/>
              </w:rPr>
              <w:t>21.20–21.45 MHz</w:t>
            </w:r>
          </w:p>
        </w:tc>
        <w:tc>
          <w:tcPr>
            <w:tcW w:w="0" w:type="auto"/>
            <w:vAlign w:val="center"/>
            <w:hideMark/>
          </w:tcPr>
          <w:p w:rsidR="00D53F73" w:rsidRPr="00911295" w:rsidP="005B3A95" w14:paraId="5FE289EC" w14:textId="77777777">
            <w:pPr>
              <w:rPr>
                <w:sz w:val="24"/>
                <w:szCs w:val="24"/>
              </w:rPr>
            </w:pPr>
            <w:r w:rsidRPr="00911295">
              <w:rPr>
                <w:sz w:val="24"/>
                <w:szCs w:val="24"/>
              </w:rPr>
              <w:t>Phone, image</w:t>
            </w:r>
          </w:p>
        </w:tc>
        <w:tc>
          <w:tcPr>
            <w:tcW w:w="0" w:type="auto"/>
            <w:vAlign w:val="center"/>
            <w:hideMark/>
          </w:tcPr>
          <w:p w:rsidR="00D53F73" w:rsidRPr="00911295" w:rsidP="005B3A95" w14:paraId="10D20B43" w14:textId="77777777">
            <w:pPr>
              <w:rPr>
                <w:sz w:val="24"/>
                <w:szCs w:val="24"/>
              </w:rPr>
            </w:pPr>
            <w:r w:rsidRPr="00911295">
              <w:rPr>
                <w:sz w:val="24"/>
                <w:szCs w:val="24"/>
              </w:rPr>
              <w:t xml:space="preserve">(f) (1), (2). </w:t>
            </w:r>
          </w:p>
        </w:tc>
      </w:tr>
      <w:tr w14:paraId="05CE40E1"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50C275DC" w14:textId="77777777">
            <w:pPr>
              <w:rPr>
                <w:sz w:val="24"/>
                <w:szCs w:val="24"/>
              </w:rPr>
            </w:pPr>
            <w:r>
              <w:rPr>
                <w:sz w:val="24"/>
                <w:szCs w:val="24"/>
              </w:rPr>
              <w:t xml:space="preserve">(xv) </w:t>
            </w:r>
            <w:r w:rsidRPr="00911295">
              <w:rPr>
                <w:sz w:val="24"/>
                <w:szCs w:val="24"/>
              </w:rPr>
              <w:t>12 m</w:t>
            </w:r>
          </w:p>
        </w:tc>
        <w:tc>
          <w:tcPr>
            <w:tcW w:w="0" w:type="auto"/>
            <w:vAlign w:val="center"/>
            <w:hideMark/>
          </w:tcPr>
          <w:p w:rsidR="00D53F73" w:rsidRPr="00911295" w:rsidP="005B3A95" w14:paraId="4F306A36" w14:textId="77777777">
            <w:pPr>
              <w:rPr>
                <w:sz w:val="24"/>
                <w:szCs w:val="24"/>
              </w:rPr>
            </w:pPr>
            <w:r w:rsidRPr="00911295">
              <w:rPr>
                <w:sz w:val="24"/>
                <w:szCs w:val="24"/>
              </w:rPr>
              <w:t>24.89–24.93 MHz</w:t>
            </w:r>
          </w:p>
        </w:tc>
        <w:tc>
          <w:tcPr>
            <w:tcW w:w="0" w:type="auto"/>
            <w:vAlign w:val="center"/>
            <w:hideMark/>
          </w:tcPr>
          <w:p w:rsidR="00D53F73" w:rsidRPr="00911295" w:rsidP="005B3A95" w14:paraId="0F678C09" w14:textId="77777777">
            <w:pPr>
              <w:rPr>
                <w:sz w:val="24"/>
                <w:szCs w:val="24"/>
              </w:rPr>
            </w:pPr>
            <w:r w:rsidRPr="00911295">
              <w:rPr>
                <w:sz w:val="24"/>
                <w:szCs w:val="24"/>
              </w:rPr>
              <w:t>RTTY, data</w:t>
            </w:r>
          </w:p>
        </w:tc>
        <w:tc>
          <w:tcPr>
            <w:tcW w:w="0" w:type="auto"/>
            <w:vAlign w:val="center"/>
            <w:hideMark/>
          </w:tcPr>
          <w:p w:rsidR="00D53F73" w:rsidRPr="00911295" w:rsidP="005B3A95" w14:paraId="1273F6C3" w14:textId="77777777">
            <w:pPr>
              <w:rPr>
                <w:sz w:val="24"/>
                <w:szCs w:val="24"/>
              </w:rPr>
            </w:pPr>
            <w:r w:rsidRPr="00911295">
              <w:rPr>
                <w:sz w:val="24"/>
                <w:szCs w:val="24"/>
              </w:rPr>
              <w:t xml:space="preserve">(f) (3). </w:t>
            </w:r>
          </w:p>
        </w:tc>
      </w:tr>
      <w:tr w14:paraId="2DA90F86"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549BA764" w14:textId="77777777">
            <w:pPr>
              <w:rPr>
                <w:sz w:val="24"/>
                <w:szCs w:val="24"/>
              </w:rPr>
            </w:pPr>
            <w:r>
              <w:rPr>
                <w:sz w:val="24"/>
                <w:szCs w:val="24"/>
              </w:rPr>
              <w:t xml:space="preserve">(xvi) </w:t>
            </w:r>
            <w:r w:rsidRPr="00911295">
              <w:rPr>
                <w:sz w:val="24"/>
                <w:szCs w:val="24"/>
              </w:rPr>
              <w:t>12 m</w:t>
            </w:r>
          </w:p>
        </w:tc>
        <w:tc>
          <w:tcPr>
            <w:tcW w:w="0" w:type="auto"/>
            <w:vAlign w:val="center"/>
            <w:hideMark/>
          </w:tcPr>
          <w:p w:rsidR="00D53F73" w:rsidRPr="00911295" w:rsidP="005B3A95" w14:paraId="7271953F" w14:textId="77777777">
            <w:pPr>
              <w:rPr>
                <w:sz w:val="24"/>
                <w:szCs w:val="24"/>
              </w:rPr>
            </w:pPr>
            <w:r w:rsidRPr="00911295">
              <w:rPr>
                <w:sz w:val="24"/>
                <w:szCs w:val="24"/>
              </w:rPr>
              <w:t>24.93–24.99 MHz</w:t>
            </w:r>
          </w:p>
        </w:tc>
        <w:tc>
          <w:tcPr>
            <w:tcW w:w="0" w:type="auto"/>
            <w:vAlign w:val="center"/>
            <w:hideMark/>
          </w:tcPr>
          <w:p w:rsidR="00D53F73" w:rsidRPr="00911295" w:rsidP="005B3A95" w14:paraId="0A777DA3" w14:textId="77777777">
            <w:pPr>
              <w:rPr>
                <w:sz w:val="24"/>
                <w:szCs w:val="24"/>
              </w:rPr>
            </w:pPr>
            <w:r w:rsidRPr="00911295">
              <w:rPr>
                <w:sz w:val="24"/>
                <w:szCs w:val="24"/>
              </w:rPr>
              <w:t>Phone, image</w:t>
            </w:r>
          </w:p>
        </w:tc>
        <w:tc>
          <w:tcPr>
            <w:tcW w:w="0" w:type="auto"/>
            <w:vAlign w:val="center"/>
            <w:hideMark/>
          </w:tcPr>
          <w:p w:rsidR="00D53F73" w:rsidRPr="00911295" w:rsidP="005B3A95" w14:paraId="251B917C" w14:textId="77777777">
            <w:pPr>
              <w:rPr>
                <w:sz w:val="24"/>
                <w:szCs w:val="24"/>
              </w:rPr>
            </w:pPr>
            <w:r w:rsidRPr="00911295">
              <w:rPr>
                <w:sz w:val="24"/>
                <w:szCs w:val="24"/>
              </w:rPr>
              <w:t xml:space="preserve">(f) (1), (2). </w:t>
            </w:r>
          </w:p>
        </w:tc>
      </w:tr>
      <w:tr w14:paraId="40C65A98"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49C55A7A" w14:textId="77777777">
            <w:pPr>
              <w:rPr>
                <w:sz w:val="24"/>
                <w:szCs w:val="24"/>
              </w:rPr>
            </w:pPr>
            <w:r>
              <w:rPr>
                <w:sz w:val="24"/>
                <w:szCs w:val="24"/>
              </w:rPr>
              <w:t xml:space="preserve">(xvii) </w:t>
            </w:r>
            <w:r w:rsidRPr="00911295">
              <w:rPr>
                <w:sz w:val="24"/>
                <w:szCs w:val="24"/>
              </w:rPr>
              <w:t>10 m</w:t>
            </w:r>
          </w:p>
        </w:tc>
        <w:tc>
          <w:tcPr>
            <w:tcW w:w="0" w:type="auto"/>
            <w:vAlign w:val="center"/>
            <w:hideMark/>
          </w:tcPr>
          <w:p w:rsidR="00D53F73" w:rsidRPr="00911295" w:rsidP="005B3A95" w14:paraId="332CC925" w14:textId="77777777">
            <w:pPr>
              <w:rPr>
                <w:sz w:val="24"/>
                <w:szCs w:val="24"/>
              </w:rPr>
            </w:pPr>
            <w:r w:rsidRPr="00911295">
              <w:rPr>
                <w:sz w:val="24"/>
                <w:szCs w:val="24"/>
              </w:rPr>
              <w:t>28.0–28.3 MHz</w:t>
            </w:r>
          </w:p>
        </w:tc>
        <w:tc>
          <w:tcPr>
            <w:tcW w:w="0" w:type="auto"/>
            <w:vAlign w:val="center"/>
            <w:hideMark/>
          </w:tcPr>
          <w:p w:rsidR="00D53F73" w:rsidRPr="00911295" w:rsidP="005B3A95" w14:paraId="582D6D93" w14:textId="77777777">
            <w:pPr>
              <w:rPr>
                <w:sz w:val="24"/>
                <w:szCs w:val="24"/>
              </w:rPr>
            </w:pPr>
            <w:r w:rsidRPr="00911295">
              <w:rPr>
                <w:sz w:val="24"/>
                <w:szCs w:val="24"/>
              </w:rPr>
              <w:t>RTTY, data</w:t>
            </w:r>
          </w:p>
        </w:tc>
        <w:tc>
          <w:tcPr>
            <w:tcW w:w="0" w:type="auto"/>
            <w:vAlign w:val="center"/>
            <w:hideMark/>
          </w:tcPr>
          <w:p w:rsidR="00D53F73" w:rsidRPr="00911295" w:rsidP="005B3A95" w14:paraId="61D19823" w14:textId="77777777">
            <w:pPr>
              <w:rPr>
                <w:sz w:val="24"/>
                <w:szCs w:val="24"/>
              </w:rPr>
            </w:pPr>
            <w:r w:rsidRPr="00911295">
              <w:rPr>
                <w:sz w:val="24"/>
                <w:szCs w:val="24"/>
              </w:rPr>
              <w:t>(f) (</w:t>
            </w:r>
            <w:r>
              <w:rPr>
                <w:sz w:val="24"/>
                <w:szCs w:val="24"/>
              </w:rPr>
              <w:t>3</w:t>
            </w:r>
            <w:r w:rsidRPr="00911295">
              <w:rPr>
                <w:sz w:val="24"/>
                <w:szCs w:val="24"/>
              </w:rPr>
              <w:t xml:space="preserve">). </w:t>
            </w:r>
          </w:p>
        </w:tc>
      </w:tr>
      <w:tr w14:paraId="2C27D5EE"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148E57EE" w14:textId="77777777">
            <w:pPr>
              <w:rPr>
                <w:sz w:val="24"/>
                <w:szCs w:val="24"/>
              </w:rPr>
            </w:pPr>
            <w:r>
              <w:rPr>
                <w:sz w:val="24"/>
                <w:szCs w:val="24"/>
              </w:rPr>
              <w:t xml:space="preserve">(xviii) </w:t>
            </w:r>
            <w:r w:rsidRPr="00911295">
              <w:rPr>
                <w:sz w:val="24"/>
                <w:szCs w:val="24"/>
              </w:rPr>
              <w:t>10 m</w:t>
            </w:r>
          </w:p>
        </w:tc>
        <w:tc>
          <w:tcPr>
            <w:tcW w:w="0" w:type="auto"/>
            <w:vAlign w:val="center"/>
            <w:hideMark/>
          </w:tcPr>
          <w:p w:rsidR="00D53F73" w:rsidRPr="00911295" w:rsidP="005B3A95" w14:paraId="33D00FB7" w14:textId="77777777">
            <w:pPr>
              <w:rPr>
                <w:sz w:val="24"/>
                <w:szCs w:val="24"/>
              </w:rPr>
            </w:pPr>
            <w:r w:rsidRPr="00911295">
              <w:rPr>
                <w:sz w:val="24"/>
                <w:szCs w:val="24"/>
              </w:rPr>
              <w:t>28.3–28.5 MHz</w:t>
            </w:r>
          </w:p>
        </w:tc>
        <w:tc>
          <w:tcPr>
            <w:tcW w:w="0" w:type="auto"/>
            <w:vAlign w:val="center"/>
            <w:hideMark/>
          </w:tcPr>
          <w:p w:rsidR="00D53F73" w:rsidRPr="00911295" w:rsidP="005B3A95" w14:paraId="4FF7B98B" w14:textId="77777777">
            <w:pPr>
              <w:rPr>
                <w:sz w:val="24"/>
                <w:szCs w:val="24"/>
              </w:rPr>
            </w:pPr>
            <w:r w:rsidRPr="00911295">
              <w:rPr>
                <w:sz w:val="24"/>
                <w:szCs w:val="24"/>
              </w:rPr>
              <w:t>Phone, image</w:t>
            </w:r>
          </w:p>
        </w:tc>
        <w:tc>
          <w:tcPr>
            <w:tcW w:w="0" w:type="auto"/>
            <w:vAlign w:val="center"/>
            <w:hideMark/>
          </w:tcPr>
          <w:p w:rsidR="00D53F73" w:rsidRPr="00911295" w:rsidP="005B3A95" w14:paraId="6D95F012" w14:textId="77777777">
            <w:pPr>
              <w:rPr>
                <w:sz w:val="24"/>
                <w:szCs w:val="24"/>
              </w:rPr>
            </w:pPr>
            <w:r w:rsidRPr="00911295">
              <w:rPr>
                <w:sz w:val="24"/>
                <w:szCs w:val="24"/>
              </w:rPr>
              <w:t xml:space="preserve">(f) (1), (2), (10). </w:t>
            </w:r>
          </w:p>
        </w:tc>
      </w:tr>
      <w:tr w14:paraId="07A1B5E8"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0F46DAD0" w14:textId="77777777">
            <w:pPr>
              <w:rPr>
                <w:sz w:val="24"/>
                <w:szCs w:val="24"/>
              </w:rPr>
            </w:pPr>
            <w:r>
              <w:rPr>
                <w:sz w:val="24"/>
                <w:szCs w:val="24"/>
              </w:rPr>
              <w:t xml:space="preserve">(xix) </w:t>
            </w:r>
            <w:r w:rsidRPr="00911295">
              <w:rPr>
                <w:sz w:val="24"/>
                <w:szCs w:val="24"/>
              </w:rPr>
              <w:t>10 m</w:t>
            </w:r>
          </w:p>
        </w:tc>
        <w:tc>
          <w:tcPr>
            <w:tcW w:w="0" w:type="auto"/>
            <w:vAlign w:val="center"/>
            <w:hideMark/>
          </w:tcPr>
          <w:p w:rsidR="00D53F73" w:rsidRPr="00911295" w:rsidP="005B3A95" w14:paraId="2C451EC0" w14:textId="77777777">
            <w:pPr>
              <w:rPr>
                <w:sz w:val="24"/>
                <w:szCs w:val="24"/>
              </w:rPr>
            </w:pPr>
            <w:r w:rsidRPr="00911295">
              <w:rPr>
                <w:sz w:val="24"/>
                <w:szCs w:val="24"/>
              </w:rPr>
              <w:t>28.5–29.0 MHz</w:t>
            </w:r>
          </w:p>
        </w:tc>
        <w:tc>
          <w:tcPr>
            <w:tcW w:w="0" w:type="auto"/>
            <w:vAlign w:val="center"/>
            <w:hideMark/>
          </w:tcPr>
          <w:p w:rsidR="00D53F73" w:rsidRPr="00911295" w:rsidP="005B3A95" w14:paraId="72B986A3" w14:textId="77777777">
            <w:pPr>
              <w:rPr>
                <w:sz w:val="24"/>
                <w:szCs w:val="24"/>
              </w:rPr>
            </w:pPr>
            <w:r w:rsidRPr="00911295">
              <w:rPr>
                <w:sz w:val="24"/>
                <w:szCs w:val="24"/>
              </w:rPr>
              <w:t>Phone, image</w:t>
            </w:r>
          </w:p>
        </w:tc>
        <w:tc>
          <w:tcPr>
            <w:tcW w:w="0" w:type="auto"/>
            <w:vAlign w:val="center"/>
            <w:hideMark/>
          </w:tcPr>
          <w:p w:rsidR="00D53F73" w:rsidRPr="00911295" w:rsidP="005B3A95" w14:paraId="526F01B7" w14:textId="77777777">
            <w:pPr>
              <w:rPr>
                <w:sz w:val="24"/>
                <w:szCs w:val="24"/>
              </w:rPr>
            </w:pPr>
            <w:r w:rsidRPr="00911295">
              <w:rPr>
                <w:sz w:val="24"/>
                <w:szCs w:val="24"/>
              </w:rPr>
              <w:t xml:space="preserve">(f) (1), (2). </w:t>
            </w:r>
          </w:p>
        </w:tc>
      </w:tr>
      <w:tr w14:paraId="18BD30B8"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61CC3263" w14:textId="77777777">
            <w:pPr>
              <w:rPr>
                <w:sz w:val="24"/>
                <w:szCs w:val="24"/>
              </w:rPr>
            </w:pPr>
            <w:r>
              <w:rPr>
                <w:sz w:val="24"/>
                <w:szCs w:val="24"/>
              </w:rPr>
              <w:t xml:space="preserve">(xx) </w:t>
            </w:r>
            <w:r w:rsidRPr="00911295">
              <w:rPr>
                <w:sz w:val="24"/>
                <w:szCs w:val="24"/>
              </w:rPr>
              <w:t>10 m</w:t>
            </w:r>
          </w:p>
        </w:tc>
        <w:tc>
          <w:tcPr>
            <w:tcW w:w="0" w:type="auto"/>
            <w:vAlign w:val="center"/>
            <w:hideMark/>
          </w:tcPr>
          <w:p w:rsidR="00D53F73" w:rsidRPr="00911295" w:rsidP="005B3A95" w14:paraId="71B5E723" w14:textId="77777777">
            <w:pPr>
              <w:rPr>
                <w:sz w:val="24"/>
                <w:szCs w:val="24"/>
              </w:rPr>
            </w:pPr>
            <w:r w:rsidRPr="00911295">
              <w:rPr>
                <w:sz w:val="24"/>
                <w:szCs w:val="24"/>
              </w:rPr>
              <w:t>29.0–29.7 MHz</w:t>
            </w:r>
          </w:p>
        </w:tc>
        <w:tc>
          <w:tcPr>
            <w:tcW w:w="0" w:type="auto"/>
            <w:vAlign w:val="center"/>
            <w:hideMark/>
          </w:tcPr>
          <w:p w:rsidR="00D53F73" w:rsidRPr="00911295" w:rsidP="005B3A95" w14:paraId="6A712E7C" w14:textId="77777777">
            <w:pPr>
              <w:rPr>
                <w:sz w:val="24"/>
                <w:szCs w:val="24"/>
              </w:rPr>
            </w:pPr>
            <w:r w:rsidRPr="00911295">
              <w:rPr>
                <w:sz w:val="24"/>
                <w:szCs w:val="24"/>
              </w:rPr>
              <w:t>Phone, image</w:t>
            </w:r>
          </w:p>
        </w:tc>
        <w:tc>
          <w:tcPr>
            <w:tcW w:w="0" w:type="auto"/>
            <w:vAlign w:val="center"/>
            <w:hideMark/>
          </w:tcPr>
          <w:p w:rsidR="00D53F73" w:rsidRPr="00911295" w:rsidP="005B3A95" w14:paraId="13114628" w14:textId="77777777">
            <w:pPr>
              <w:rPr>
                <w:sz w:val="24"/>
                <w:szCs w:val="24"/>
              </w:rPr>
            </w:pPr>
            <w:r w:rsidRPr="00911295">
              <w:rPr>
                <w:sz w:val="24"/>
                <w:szCs w:val="24"/>
              </w:rPr>
              <w:t xml:space="preserve">(f) (2). </w:t>
            </w:r>
          </w:p>
        </w:tc>
      </w:tr>
      <w:tr w14:paraId="7C645724"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2D02C18F" w14:textId="77777777">
            <w:pPr>
              <w:rPr>
                <w:sz w:val="24"/>
                <w:szCs w:val="24"/>
              </w:rPr>
            </w:pPr>
            <w:r>
              <w:rPr>
                <w:sz w:val="24"/>
                <w:szCs w:val="24"/>
              </w:rPr>
              <w:t xml:space="preserve">(4) </w:t>
            </w:r>
            <w:r w:rsidRPr="00911295">
              <w:rPr>
                <w:sz w:val="24"/>
                <w:szCs w:val="24"/>
              </w:rPr>
              <w:t xml:space="preserve">VHF: </w:t>
            </w:r>
          </w:p>
        </w:tc>
        <w:tc>
          <w:tcPr>
            <w:tcW w:w="0" w:type="auto"/>
            <w:vAlign w:val="center"/>
            <w:hideMark/>
          </w:tcPr>
          <w:p w:rsidR="00D53F73" w:rsidRPr="00911295" w:rsidP="005B3A95" w14:paraId="5DC8660F" w14:textId="77777777">
            <w:pPr>
              <w:rPr>
                <w:sz w:val="24"/>
                <w:szCs w:val="24"/>
              </w:rPr>
            </w:pPr>
          </w:p>
        </w:tc>
        <w:tc>
          <w:tcPr>
            <w:tcW w:w="0" w:type="auto"/>
            <w:vAlign w:val="center"/>
            <w:hideMark/>
          </w:tcPr>
          <w:p w:rsidR="00D53F73" w:rsidRPr="00911295" w:rsidP="005B3A95" w14:paraId="6C0048DB" w14:textId="77777777">
            <w:pPr>
              <w:rPr>
                <w:sz w:val="20"/>
              </w:rPr>
            </w:pPr>
          </w:p>
        </w:tc>
        <w:tc>
          <w:tcPr>
            <w:tcW w:w="0" w:type="auto"/>
            <w:vAlign w:val="center"/>
            <w:hideMark/>
          </w:tcPr>
          <w:p w:rsidR="00D53F73" w:rsidRPr="00911295" w:rsidP="005B3A95" w14:paraId="61F7D99D" w14:textId="77777777">
            <w:pPr>
              <w:rPr>
                <w:sz w:val="20"/>
              </w:rPr>
            </w:pPr>
          </w:p>
        </w:tc>
      </w:tr>
      <w:tr w14:paraId="33E7003F"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306FEAA1" w14:textId="77777777">
            <w:pPr>
              <w:rPr>
                <w:sz w:val="24"/>
                <w:szCs w:val="24"/>
              </w:rPr>
            </w:pPr>
            <w:r>
              <w:rPr>
                <w:sz w:val="24"/>
                <w:szCs w:val="24"/>
              </w:rPr>
              <w:t>(</w:t>
            </w:r>
            <w:r>
              <w:rPr>
                <w:sz w:val="24"/>
                <w:szCs w:val="24"/>
              </w:rPr>
              <w:t>i</w:t>
            </w:r>
            <w:r>
              <w:rPr>
                <w:sz w:val="24"/>
                <w:szCs w:val="24"/>
              </w:rPr>
              <w:t xml:space="preserve">) </w:t>
            </w:r>
            <w:r w:rsidRPr="00911295">
              <w:rPr>
                <w:sz w:val="24"/>
                <w:szCs w:val="24"/>
              </w:rPr>
              <w:t>6 m</w:t>
            </w:r>
          </w:p>
        </w:tc>
        <w:tc>
          <w:tcPr>
            <w:tcW w:w="0" w:type="auto"/>
            <w:vAlign w:val="center"/>
            <w:hideMark/>
          </w:tcPr>
          <w:p w:rsidR="00D53F73" w:rsidRPr="00911295" w:rsidP="005B3A95" w14:paraId="5088E15A" w14:textId="77777777">
            <w:pPr>
              <w:rPr>
                <w:sz w:val="24"/>
                <w:szCs w:val="24"/>
              </w:rPr>
            </w:pPr>
            <w:r w:rsidRPr="00911295">
              <w:rPr>
                <w:sz w:val="24"/>
                <w:szCs w:val="24"/>
              </w:rPr>
              <w:t>50.1–51.0 MHz</w:t>
            </w:r>
          </w:p>
        </w:tc>
        <w:tc>
          <w:tcPr>
            <w:tcW w:w="0" w:type="auto"/>
            <w:vAlign w:val="center"/>
            <w:hideMark/>
          </w:tcPr>
          <w:p w:rsidR="00D53F73" w:rsidRPr="00911295" w:rsidP="005B3A95" w14:paraId="2E3A22BF" w14:textId="77777777">
            <w:pPr>
              <w:rPr>
                <w:sz w:val="24"/>
                <w:szCs w:val="24"/>
              </w:rPr>
            </w:pPr>
            <w:r w:rsidRPr="00911295">
              <w:rPr>
                <w:sz w:val="24"/>
                <w:szCs w:val="24"/>
              </w:rPr>
              <w:t>MCW, phone, image, RTTY, data</w:t>
            </w:r>
          </w:p>
        </w:tc>
        <w:tc>
          <w:tcPr>
            <w:tcW w:w="0" w:type="auto"/>
            <w:vAlign w:val="center"/>
            <w:hideMark/>
          </w:tcPr>
          <w:p w:rsidR="00D53F73" w:rsidRPr="00911295" w:rsidP="005B3A95" w14:paraId="0753C631" w14:textId="77777777">
            <w:pPr>
              <w:rPr>
                <w:sz w:val="24"/>
                <w:szCs w:val="24"/>
              </w:rPr>
            </w:pPr>
            <w:r w:rsidRPr="00911295">
              <w:rPr>
                <w:sz w:val="24"/>
                <w:szCs w:val="24"/>
              </w:rPr>
              <w:t xml:space="preserve">(f) (2), (5). </w:t>
            </w:r>
          </w:p>
        </w:tc>
      </w:tr>
      <w:tr w14:paraId="4BA92E09"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40013E70" w14:textId="77777777">
            <w:pPr>
              <w:rPr>
                <w:sz w:val="24"/>
                <w:szCs w:val="24"/>
              </w:rPr>
            </w:pPr>
            <w:r>
              <w:rPr>
                <w:sz w:val="24"/>
                <w:szCs w:val="24"/>
              </w:rPr>
              <w:t>(ii) 6 m</w:t>
            </w:r>
          </w:p>
        </w:tc>
        <w:tc>
          <w:tcPr>
            <w:tcW w:w="0" w:type="auto"/>
            <w:vAlign w:val="center"/>
            <w:hideMark/>
          </w:tcPr>
          <w:p w:rsidR="00D53F73" w:rsidRPr="00911295" w:rsidP="005B3A95" w14:paraId="0AC52875" w14:textId="77777777">
            <w:pPr>
              <w:rPr>
                <w:sz w:val="24"/>
                <w:szCs w:val="24"/>
              </w:rPr>
            </w:pPr>
            <w:r w:rsidRPr="00911295">
              <w:rPr>
                <w:sz w:val="24"/>
                <w:szCs w:val="24"/>
              </w:rPr>
              <w:t>51.0–54.0 MHz</w:t>
            </w:r>
          </w:p>
        </w:tc>
        <w:tc>
          <w:tcPr>
            <w:tcW w:w="0" w:type="auto"/>
            <w:vAlign w:val="center"/>
            <w:hideMark/>
          </w:tcPr>
          <w:p w:rsidR="00D53F73" w:rsidRPr="00911295" w:rsidP="005B3A95" w14:paraId="48ADB4D8" w14:textId="77777777">
            <w:pPr>
              <w:rPr>
                <w:sz w:val="24"/>
                <w:szCs w:val="24"/>
              </w:rPr>
            </w:pPr>
            <w:r w:rsidRPr="00911295">
              <w:rPr>
                <w:sz w:val="24"/>
                <w:szCs w:val="24"/>
              </w:rPr>
              <w:t>MCW, phone, image, RTTY, data, test</w:t>
            </w:r>
          </w:p>
        </w:tc>
        <w:tc>
          <w:tcPr>
            <w:tcW w:w="0" w:type="auto"/>
            <w:vAlign w:val="center"/>
            <w:hideMark/>
          </w:tcPr>
          <w:p w:rsidR="00D53F73" w:rsidRPr="00911295" w:rsidP="005B3A95" w14:paraId="4AFF9FFB" w14:textId="77777777">
            <w:pPr>
              <w:rPr>
                <w:sz w:val="24"/>
                <w:szCs w:val="24"/>
              </w:rPr>
            </w:pPr>
            <w:r w:rsidRPr="00911295">
              <w:rPr>
                <w:sz w:val="24"/>
                <w:szCs w:val="24"/>
              </w:rPr>
              <w:t xml:space="preserve">(f) (2), (5), (8). </w:t>
            </w:r>
          </w:p>
        </w:tc>
      </w:tr>
      <w:tr w14:paraId="65CD4387"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3457DE8B" w14:textId="77777777">
            <w:pPr>
              <w:rPr>
                <w:sz w:val="24"/>
                <w:szCs w:val="24"/>
              </w:rPr>
            </w:pPr>
            <w:r>
              <w:rPr>
                <w:sz w:val="24"/>
                <w:szCs w:val="24"/>
              </w:rPr>
              <w:t xml:space="preserve">(iii) </w:t>
            </w:r>
            <w:r w:rsidRPr="00911295">
              <w:rPr>
                <w:sz w:val="24"/>
                <w:szCs w:val="24"/>
              </w:rPr>
              <w:t>2 m</w:t>
            </w:r>
          </w:p>
        </w:tc>
        <w:tc>
          <w:tcPr>
            <w:tcW w:w="0" w:type="auto"/>
            <w:vAlign w:val="center"/>
            <w:hideMark/>
          </w:tcPr>
          <w:p w:rsidR="00D53F73" w:rsidRPr="00911295" w:rsidP="005B3A95" w14:paraId="2A015B15" w14:textId="77777777">
            <w:pPr>
              <w:rPr>
                <w:sz w:val="24"/>
                <w:szCs w:val="24"/>
              </w:rPr>
            </w:pPr>
            <w:r w:rsidRPr="00911295">
              <w:rPr>
                <w:sz w:val="24"/>
                <w:szCs w:val="24"/>
              </w:rPr>
              <w:t>144.1–148.0 MHz</w:t>
            </w:r>
          </w:p>
        </w:tc>
        <w:tc>
          <w:tcPr>
            <w:tcW w:w="0" w:type="auto"/>
            <w:vAlign w:val="center"/>
            <w:hideMark/>
          </w:tcPr>
          <w:p w:rsidR="00D53F73" w:rsidRPr="00911295" w:rsidP="005B3A95" w14:paraId="110FED47" w14:textId="77777777">
            <w:pPr>
              <w:rPr>
                <w:sz w:val="24"/>
                <w:szCs w:val="24"/>
              </w:rPr>
            </w:pPr>
            <w:r w:rsidRPr="00911295">
              <w:rPr>
                <w:sz w:val="24"/>
                <w:szCs w:val="24"/>
              </w:rPr>
              <w:t>MCW, phone, image, RTTY, data, test</w:t>
            </w:r>
          </w:p>
        </w:tc>
        <w:tc>
          <w:tcPr>
            <w:tcW w:w="0" w:type="auto"/>
            <w:vAlign w:val="center"/>
            <w:hideMark/>
          </w:tcPr>
          <w:p w:rsidR="00D53F73" w:rsidRPr="00911295" w:rsidP="005B3A95" w14:paraId="2B0E7C8F" w14:textId="77777777">
            <w:pPr>
              <w:rPr>
                <w:sz w:val="24"/>
                <w:szCs w:val="24"/>
              </w:rPr>
            </w:pPr>
            <w:r w:rsidRPr="00911295">
              <w:rPr>
                <w:sz w:val="24"/>
                <w:szCs w:val="24"/>
              </w:rPr>
              <w:t xml:space="preserve">(f) (2), (5), (8). </w:t>
            </w:r>
          </w:p>
        </w:tc>
      </w:tr>
      <w:tr w14:paraId="44982877"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0EA47A1F" w14:textId="77777777">
            <w:pPr>
              <w:rPr>
                <w:sz w:val="24"/>
                <w:szCs w:val="24"/>
              </w:rPr>
            </w:pPr>
            <w:r>
              <w:rPr>
                <w:sz w:val="24"/>
                <w:szCs w:val="24"/>
              </w:rPr>
              <w:t xml:space="preserve">(iv) </w:t>
            </w:r>
            <w:r w:rsidRPr="00911295">
              <w:rPr>
                <w:sz w:val="24"/>
                <w:szCs w:val="24"/>
              </w:rPr>
              <w:t>1.25 m</w:t>
            </w:r>
          </w:p>
        </w:tc>
        <w:tc>
          <w:tcPr>
            <w:tcW w:w="0" w:type="auto"/>
            <w:vAlign w:val="center"/>
            <w:hideMark/>
          </w:tcPr>
          <w:p w:rsidR="00D53F73" w:rsidRPr="00911295" w:rsidP="005B3A95" w14:paraId="56EDB633" w14:textId="77777777">
            <w:pPr>
              <w:rPr>
                <w:sz w:val="24"/>
                <w:szCs w:val="24"/>
              </w:rPr>
            </w:pPr>
            <w:r w:rsidRPr="00911295">
              <w:rPr>
                <w:sz w:val="24"/>
                <w:szCs w:val="24"/>
              </w:rPr>
              <w:t>219–220 MHz</w:t>
            </w:r>
          </w:p>
        </w:tc>
        <w:tc>
          <w:tcPr>
            <w:tcW w:w="0" w:type="auto"/>
            <w:vAlign w:val="center"/>
            <w:hideMark/>
          </w:tcPr>
          <w:p w:rsidR="00D53F73" w:rsidRPr="00911295" w:rsidP="005B3A95" w14:paraId="7873B28B" w14:textId="77777777">
            <w:pPr>
              <w:rPr>
                <w:sz w:val="24"/>
                <w:szCs w:val="24"/>
              </w:rPr>
            </w:pPr>
            <w:r w:rsidRPr="00911295">
              <w:rPr>
                <w:sz w:val="24"/>
                <w:szCs w:val="24"/>
              </w:rPr>
              <w:t>Data</w:t>
            </w:r>
          </w:p>
        </w:tc>
        <w:tc>
          <w:tcPr>
            <w:tcW w:w="0" w:type="auto"/>
            <w:vAlign w:val="center"/>
            <w:hideMark/>
          </w:tcPr>
          <w:p w:rsidR="00D53F73" w:rsidRPr="00911295" w:rsidP="005B3A95" w14:paraId="09956D8B" w14:textId="77777777">
            <w:pPr>
              <w:rPr>
                <w:sz w:val="24"/>
                <w:szCs w:val="24"/>
              </w:rPr>
            </w:pPr>
            <w:r w:rsidRPr="00911295">
              <w:rPr>
                <w:sz w:val="24"/>
                <w:szCs w:val="24"/>
              </w:rPr>
              <w:t xml:space="preserve">(f) (13) </w:t>
            </w:r>
          </w:p>
        </w:tc>
      </w:tr>
      <w:tr w14:paraId="00997A2C"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1C553533" w14:textId="77777777">
            <w:pPr>
              <w:rPr>
                <w:sz w:val="24"/>
                <w:szCs w:val="24"/>
              </w:rPr>
            </w:pPr>
            <w:r>
              <w:rPr>
                <w:sz w:val="24"/>
                <w:szCs w:val="24"/>
              </w:rPr>
              <w:t>(v) 1.25m</w:t>
            </w:r>
          </w:p>
        </w:tc>
        <w:tc>
          <w:tcPr>
            <w:tcW w:w="0" w:type="auto"/>
            <w:vAlign w:val="center"/>
            <w:hideMark/>
          </w:tcPr>
          <w:p w:rsidR="00D53F73" w:rsidRPr="00911295" w:rsidP="005B3A95" w14:paraId="0BE6A273" w14:textId="77777777">
            <w:pPr>
              <w:rPr>
                <w:sz w:val="24"/>
                <w:szCs w:val="24"/>
              </w:rPr>
            </w:pPr>
            <w:r w:rsidRPr="00911295">
              <w:rPr>
                <w:sz w:val="24"/>
                <w:szCs w:val="24"/>
              </w:rPr>
              <w:t>222–225 MHz</w:t>
            </w:r>
          </w:p>
        </w:tc>
        <w:tc>
          <w:tcPr>
            <w:tcW w:w="0" w:type="auto"/>
            <w:vAlign w:val="center"/>
            <w:hideMark/>
          </w:tcPr>
          <w:p w:rsidR="00D53F73" w:rsidRPr="00911295" w:rsidP="005B3A95" w14:paraId="29F2BCBE" w14:textId="77777777">
            <w:pPr>
              <w:rPr>
                <w:sz w:val="24"/>
                <w:szCs w:val="24"/>
              </w:rPr>
            </w:pPr>
            <w:r w:rsidRPr="00911295">
              <w:rPr>
                <w:sz w:val="24"/>
                <w:szCs w:val="24"/>
              </w:rPr>
              <w:t>RTTY, data, test MCW, phone, SS, image</w:t>
            </w:r>
          </w:p>
        </w:tc>
        <w:tc>
          <w:tcPr>
            <w:tcW w:w="0" w:type="auto"/>
            <w:vAlign w:val="center"/>
            <w:hideMark/>
          </w:tcPr>
          <w:p w:rsidR="00D53F73" w:rsidRPr="00911295" w:rsidP="005B3A95" w14:paraId="603F89E2" w14:textId="77777777">
            <w:pPr>
              <w:rPr>
                <w:sz w:val="24"/>
                <w:szCs w:val="24"/>
              </w:rPr>
            </w:pPr>
            <w:r w:rsidRPr="00911295">
              <w:rPr>
                <w:sz w:val="24"/>
                <w:szCs w:val="24"/>
              </w:rPr>
              <w:t xml:space="preserve">(f) (2), (6), (8) </w:t>
            </w:r>
          </w:p>
        </w:tc>
      </w:tr>
      <w:tr w14:paraId="68746ECB"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1AF0A003" w14:textId="77777777">
            <w:pPr>
              <w:rPr>
                <w:sz w:val="24"/>
                <w:szCs w:val="24"/>
              </w:rPr>
            </w:pPr>
            <w:r>
              <w:rPr>
                <w:sz w:val="24"/>
                <w:szCs w:val="24"/>
              </w:rPr>
              <w:t xml:space="preserve">(5) </w:t>
            </w:r>
            <w:r w:rsidRPr="00911295">
              <w:rPr>
                <w:sz w:val="24"/>
                <w:szCs w:val="24"/>
              </w:rPr>
              <w:t xml:space="preserve">UHF: </w:t>
            </w:r>
          </w:p>
        </w:tc>
        <w:tc>
          <w:tcPr>
            <w:tcW w:w="0" w:type="auto"/>
            <w:vAlign w:val="center"/>
            <w:hideMark/>
          </w:tcPr>
          <w:p w:rsidR="00D53F73" w:rsidRPr="00911295" w:rsidP="005B3A95" w14:paraId="1C374525" w14:textId="77777777">
            <w:pPr>
              <w:rPr>
                <w:sz w:val="24"/>
                <w:szCs w:val="24"/>
              </w:rPr>
            </w:pPr>
          </w:p>
        </w:tc>
        <w:tc>
          <w:tcPr>
            <w:tcW w:w="0" w:type="auto"/>
            <w:vAlign w:val="center"/>
            <w:hideMark/>
          </w:tcPr>
          <w:p w:rsidR="00D53F73" w:rsidRPr="00911295" w:rsidP="005B3A95" w14:paraId="0F64684F" w14:textId="77777777">
            <w:pPr>
              <w:rPr>
                <w:sz w:val="20"/>
              </w:rPr>
            </w:pPr>
          </w:p>
        </w:tc>
        <w:tc>
          <w:tcPr>
            <w:tcW w:w="0" w:type="auto"/>
            <w:vAlign w:val="center"/>
            <w:hideMark/>
          </w:tcPr>
          <w:p w:rsidR="00D53F73" w:rsidRPr="00911295" w:rsidP="005B3A95" w14:paraId="1A0261F3" w14:textId="77777777">
            <w:pPr>
              <w:rPr>
                <w:sz w:val="20"/>
              </w:rPr>
            </w:pPr>
          </w:p>
        </w:tc>
      </w:tr>
      <w:tr w14:paraId="191F56ED"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55CB5D30" w14:textId="77777777">
            <w:pPr>
              <w:rPr>
                <w:sz w:val="24"/>
                <w:szCs w:val="24"/>
              </w:rPr>
            </w:pPr>
            <w:r>
              <w:rPr>
                <w:sz w:val="24"/>
                <w:szCs w:val="24"/>
              </w:rPr>
              <w:t>(</w:t>
            </w:r>
            <w:r>
              <w:rPr>
                <w:sz w:val="24"/>
                <w:szCs w:val="24"/>
              </w:rPr>
              <w:t>i</w:t>
            </w:r>
            <w:r>
              <w:rPr>
                <w:sz w:val="24"/>
                <w:szCs w:val="24"/>
              </w:rPr>
              <w:t xml:space="preserve">) </w:t>
            </w:r>
            <w:r w:rsidRPr="00911295">
              <w:rPr>
                <w:sz w:val="24"/>
                <w:szCs w:val="24"/>
              </w:rPr>
              <w:t>70 cm</w:t>
            </w:r>
          </w:p>
        </w:tc>
        <w:tc>
          <w:tcPr>
            <w:tcW w:w="0" w:type="auto"/>
            <w:vAlign w:val="center"/>
            <w:hideMark/>
          </w:tcPr>
          <w:p w:rsidR="00D53F73" w:rsidRPr="00911295" w:rsidP="005B3A95" w14:paraId="75C2F11F" w14:textId="77777777">
            <w:pPr>
              <w:rPr>
                <w:sz w:val="24"/>
                <w:szCs w:val="24"/>
              </w:rPr>
            </w:pPr>
            <w:r w:rsidRPr="00911295">
              <w:rPr>
                <w:sz w:val="24"/>
                <w:szCs w:val="24"/>
              </w:rPr>
              <w:t>Entire band</w:t>
            </w:r>
          </w:p>
        </w:tc>
        <w:tc>
          <w:tcPr>
            <w:tcW w:w="0" w:type="auto"/>
            <w:vAlign w:val="center"/>
            <w:hideMark/>
          </w:tcPr>
          <w:p w:rsidR="00D53F73" w:rsidRPr="00911295" w:rsidP="005B3A95" w14:paraId="52A927AC" w14:textId="77777777">
            <w:pPr>
              <w:rPr>
                <w:sz w:val="24"/>
                <w:szCs w:val="24"/>
              </w:rPr>
            </w:pPr>
            <w:r w:rsidRPr="00911295">
              <w:rPr>
                <w:sz w:val="24"/>
                <w:szCs w:val="24"/>
              </w:rPr>
              <w:t>MCW, phone, image, RTTY, data, SS, test</w:t>
            </w:r>
          </w:p>
        </w:tc>
        <w:tc>
          <w:tcPr>
            <w:tcW w:w="0" w:type="auto"/>
            <w:vAlign w:val="center"/>
            <w:hideMark/>
          </w:tcPr>
          <w:p w:rsidR="00D53F73" w:rsidRPr="00911295" w:rsidP="005B3A95" w14:paraId="3E63E39A" w14:textId="77777777">
            <w:pPr>
              <w:rPr>
                <w:sz w:val="24"/>
                <w:szCs w:val="24"/>
              </w:rPr>
            </w:pPr>
            <w:r w:rsidRPr="00911295">
              <w:rPr>
                <w:sz w:val="24"/>
                <w:szCs w:val="24"/>
              </w:rPr>
              <w:t xml:space="preserve">(f) (6), (8). </w:t>
            </w:r>
          </w:p>
        </w:tc>
      </w:tr>
      <w:tr w14:paraId="6527858B"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62567C9D" w14:textId="77777777">
            <w:pPr>
              <w:rPr>
                <w:sz w:val="24"/>
                <w:szCs w:val="24"/>
              </w:rPr>
            </w:pPr>
            <w:r>
              <w:rPr>
                <w:sz w:val="24"/>
                <w:szCs w:val="24"/>
              </w:rPr>
              <w:t xml:space="preserve">(ii) </w:t>
            </w:r>
            <w:r w:rsidRPr="00911295">
              <w:rPr>
                <w:sz w:val="24"/>
                <w:szCs w:val="24"/>
              </w:rPr>
              <w:t>33 cm</w:t>
            </w:r>
          </w:p>
        </w:tc>
        <w:tc>
          <w:tcPr>
            <w:tcW w:w="0" w:type="auto"/>
            <w:vAlign w:val="center"/>
            <w:hideMark/>
          </w:tcPr>
          <w:p w:rsidR="00D53F73" w:rsidRPr="00911295" w:rsidP="005B3A95" w14:paraId="2AF78DEB" w14:textId="77777777">
            <w:pPr>
              <w:rPr>
                <w:sz w:val="24"/>
                <w:szCs w:val="24"/>
              </w:rPr>
            </w:pPr>
            <w:r w:rsidRPr="00911295">
              <w:rPr>
                <w:sz w:val="24"/>
                <w:szCs w:val="24"/>
              </w:rPr>
              <w:t>Entire band</w:t>
            </w:r>
          </w:p>
        </w:tc>
        <w:tc>
          <w:tcPr>
            <w:tcW w:w="0" w:type="auto"/>
            <w:vAlign w:val="center"/>
            <w:hideMark/>
          </w:tcPr>
          <w:p w:rsidR="00D53F73" w:rsidRPr="00911295" w:rsidP="005B3A95" w14:paraId="760C4603" w14:textId="77777777">
            <w:pPr>
              <w:rPr>
                <w:sz w:val="24"/>
                <w:szCs w:val="24"/>
              </w:rPr>
            </w:pPr>
            <w:r w:rsidRPr="00911295">
              <w:rPr>
                <w:sz w:val="24"/>
                <w:szCs w:val="24"/>
              </w:rPr>
              <w:t>MCW, phone, image, RTTY, data, SS, test, pulse</w:t>
            </w:r>
          </w:p>
        </w:tc>
        <w:tc>
          <w:tcPr>
            <w:tcW w:w="0" w:type="auto"/>
            <w:vAlign w:val="center"/>
            <w:hideMark/>
          </w:tcPr>
          <w:p w:rsidR="00D53F73" w:rsidRPr="00911295" w:rsidP="005B3A95" w14:paraId="4FE6D288" w14:textId="77777777">
            <w:pPr>
              <w:rPr>
                <w:sz w:val="24"/>
                <w:szCs w:val="24"/>
              </w:rPr>
            </w:pPr>
            <w:r w:rsidRPr="00911295">
              <w:rPr>
                <w:sz w:val="24"/>
                <w:szCs w:val="24"/>
              </w:rPr>
              <w:t xml:space="preserve">(f) (7), (8), and (12). </w:t>
            </w:r>
          </w:p>
        </w:tc>
      </w:tr>
      <w:tr w14:paraId="3A379FF5"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383B130B" w14:textId="77777777">
            <w:pPr>
              <w:rPr>
                <w:sz w:val="24"/>
                <w:szCs w:val="24"/>
              </w:rPr>
            </w:pPr>
            <w:r>
              <w:rPr>
                <w:sz w:val="24"/>
                <w:szCs w:val="24"/>
              </w:rPr>
              <w:t xml:space="preserve">(iii) </w:t>
            </w:r>
            <w:r w:rsidRPr="00911295">
              <w:rPr>
                <w:sz w:val="24"/>
                <w:szCs w:val="24"/>
              </w:rPr>
              <w:t>23 cm</w:t>
            </w:r>
          </w:p>
        </w:tc>
        <w:tc>
          <w:tcPr>
            <w:tcW w:w="0" w:type="auto"/>
            <w:vAlign w:val="center"/>
            <w:hideMark/>
          </w:tcPr>
          <w:p w:rsidR="00D53F73" w:rsidRPr="00911295" w:rsidP="005B3A95" w14:paraId="4D5655E7" w14:textId="77777777">
            <w:pPr>
              <w:rPr>
                <w:sz w:val="24"/>
                <w:szCs w:val="24"/>
              </w:rPr>
            </w:pPr>
            <w:r w:rsidRPr="00911295">
              <w:rPr>
                <w:sz w:val="24"/>
                <w:szCs w:val="24"/>
              </w:rPr>
              <w:t>Entire band</w:t>
            </w:r>
          </w:p>
        </w:tc>
        <w:tc>
          <w:tcPr>
            <w:tcW w:w="0" w:type="auto"/>
            <w:vAlign w:val="center"/>
            <w:hideMark/>
          </w:tcPr>
          <w:p w:rsidR="00D53F73" w:rsidRPr="00911295" w:rsidP="005B3A95" w14:paraId="042A4EA5" w14:textId="77777777">
            <w:pPr>
              <w:rPr>
                <w:sz w:val="24"/>
                <w:szCs w:val="24"/>
              </w:rPr>
            </w:pPr>
            <w:r w:rsidRPr="00911295">
              <w:rPr>
                <w:sz w:val="24"/>
                <w:szCs w:val="24"/>
              </w:rPr>
              <w:t>MCW, phone, image, RTTY, data, SS, test</w:t>
            </w:r>
          </w:p>
        </w:tc>
        <w:tc>
          <w:tcPr>
            <w:tcW w:w="0" w:type="auto"/>
            <w:vAlign w:val="center"/>
            <w:hideMark/>
          </w:tcPr>
          <w:p w:rsidR="00D53F73" w:rsidRPr="00911295" w:rsidP="005B3A95" w14:paraId="6617CD9B" w14:textId="77777777">
            <w:pPr>
              <w:rPr>
                <w:sz w:val="24"/>
                <w:szCs w:val="24"/>
              </w:rPr>
            </w:pPr>
            <w:r w:rsidRPr="00911295">
              <w:rPr>
                <w:sz w:val="24"/>
                <w:szCs w:val="24"/>
              </w:rPr>
              <w:t xml:space="preserve">(f) (7), (8), and (12). </w:t>
            </w:r>
          </w:p>
        </w:tc>
      </w:tr>
      <w:tr w14:paraId="23FB9B00"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03003C05" w14:textId="77777777">
            <w:pPr>
              <w:rPr>
                <w:sz w:val="24"/>
                <w:szCs w:val="24"/>
              </w:rPr>
            </w:pPr>
            <w:r>
              <w:rPr>
                <w:sz w:val="24"/>
                <w:szCs w:val="24"/>
              </w:rPr>
              <w:t xml:space="preserve">(iv) </w:t>
            </w:r>
            <w:r w:rsidRPr="00911295">
              <w:rPr>
                <w:sz w:val="24"/>
                <w:szCs w:val="24"/>
              </w:rPr>
              <w:t>13 cm</w:t>
            </w:r>
          </w:p>
        </w:tc>
        <w:tc>
          <w:tcPr>
            <w:tcW w:w="0" w:type="auto"/>
            <w:vAlign w:val="center"/>
            <w:hideMark/>
          </w:tcPr>
          <w:p w:rsidR="00D53F73" w:rsidRPr="00911295" w:rsidP="005B3A95" w14:paraId="3B0B4044" w14:textId="77777777">
            <w:pPr>
              <w:rPr>
                <w:sz w:val="24"/>
                <w:szCs w:val="24"/>
              </w:rPr>
            </w:pPr>
            <w:r w:rsidRPr="00911295">
              <w:rPr>
                <w:sz w:val="24"/>
                <w:szCs w:val="24"/>
              </w:rPr>
              <w:t>Entire band</w:t>
            </w:r>
          </w:p>
        </w:tc>
        <w:tc>
          <w:tcPr>
            <w:tcW w:w="0" w:type="auto"/>
            <w:vAlign w:val="center"/>
            <w:hideMark/>
          </w:tcPr>
          <w:p w:rsidR="00D53F73" w:rsidRPr="00911295" w:rsidP="005B3A95" w14:paraId="39AD503D" w14:textId="77777777">
            <w:pPr>
              <w:rPr>
                <w:sz w:val="24"/>
                <w:szCs w:val="24"/>
              </w:rPr>
            </w:pPr>
            <w:r w:rsidRPr="00911295">
              <w:rPr>
                <w:sz w:val="24"/>
                <w:szCs w:val="24"/>
              </w:rPr>
              <w:t>MCW, phone, image, RTTY, data, SS, test, pulse</w:t>
            </w:r>
          </w:p>
        </w:tc>
        <w:tc>
          <w:tcPr>
            <w:tcW w:w="0" w:type="auto"/>
            <w:vAlign w:val="center"/>
            <w:hideMark/>
          </w:tcPr>
          <w:p w:rsidR="00D53F73" w:rsidRPr="00911295" w:rsidP="005B3A95" w14:paraId="48EC1558" w14:textId="77777777">
            <w:pPr>
              <w:rPr>
                <w:sz w:val="24"/>
                <w:szCs w:val="24"/>
              </w:rPr>
            </w:pPr>
            <w:r w:rsidRPr="00911295">
              <w:rPr>
                <w:sz w:val="24"/>
                <w:szCs w:val="24"/>
              </w:rPr>
              <w:t xml:space="preserve">(f) (7), (8), and (12). </w:t>
            </w:r>
          </w:p>
        </w:tc>
      </w:tr>
      <w:tr w14:paraId="7A34D553"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0676142A" w14:textId="77777777">
            <w:pPr>
              <w:rPr>
                <w:sz w:val="24"/>
                <w:szCs w:val="24"/>
              </w:rPr>
            </w:pPr>
            <w:r>
              <w:rPr>
                <w:sz w:val="24"/>
                <w:szCs w:val="24"/>
              </w:rPr>
              <w:t xml:space="preserve">(6) </w:t>
            </w:r>
            <w:r w:rsidRPr="00911295">
              <w:rPr>
                <w:sz w:val="24"/>
                <w:szCs w:val="24"/>
              </w:rPr>
              <w:t xml:space="preserve">SHF: </w:t>
            </w:r>
          </w:p>
        </w:tc>
        <w:tc>
          <w:tcPr>
            <w:tcW w:w="0" w:type="auto"/>
            <w:vAlign w:val="center"/>
            <w:hideMark/>
          </w:tcPr>
          <w:p w:rsidR="00D53F73" w:rsidRPr="00911295" w:rsidP="005B3A95" w14:paraId="7AF03578" w14:textId="77777777">
            <w:pPr>
              <w:rPr>
                <w:sz w:val="24"/>
                <w:szCs w:val="24"/>
              </w:rPr>
            </w:pPr>
          </w:p>
        </w:tc>
        <w:tc>
          <w:tcPr>
            <w:tcW w:w="0" w:type="auto"/>
            <w:vAlign w:val="center"/>
            <w:hideMark/>
          </w:tcPr>
          <w:p w:rsidR="00D53F73" w:rsidRPr="00911295" w:rsidP="005B3A95" w14:paraId="6C402EDB" w14:textId="77777777">
            <w:pPr>
              <w:rPr>
                <w:sz w:val="20"/>
              </w:rPr>
            </w:pPr>
          </w:p>
        </w:tc>
        <w:tc>
          <w:tcPr>
            <w:tcW w:w="0" w:type="auto"/>
            <w:vAlign w:val="center"/>
            <w:hideMark/>
          </w:tcPr>
          <w:p w:rsidR="00D53F73" w:rsidRPr="00911295" w:rsidP="005B3A95" w14:paraId="755287E8" w14:textId="77777777">
            <w:pPr>
              <w:rPr>
                <w:sz w:val="20"/>
              </w:rPr>
            </w:pPr>
          </w:p>
        </w:tc>
      </w:tr>
      <w:tr w14:paraId="63FCA513"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57E8CFB5" w14:textId="77777777">
            <w:pPr>
              <w:rPr>
                <w:sz w:val="24"/>
                <w:szCs w:val="24"/>
              </w:rPr>
            </w:pPr>
            <w:r>
              <w:rPr>
                <w:sz w:val="24"/>
                <w:szCs w:val="24"/>
              </w:rPr>
              <w:t>(</w:t>
            </w:r>
            <w:r>
              <w:rPr>
                <w:sz w:val="24"/>
                <w:szCs w:val="24"/>
              </w:rPr>
              <w:t>i</w:t>
            </w:r>
            <w:r>
              <w:rPr>
                <w:sz w:val="24"/>
                <w:szCs w:val="24"/>
              </w:rPr>
              <w:t xml:space="preserve">) </w:t>
            </w:r>
            <w:r w:rsidRPr="00911295">
              <w:rPr>
                <w:sz w:val="24"/>
                <w:szCs w:val="24"/>
              </w:rPr>
              <w:t>5 cm</w:t>
            </w:r>
          </w:p>
        </w:tc>
        <w:tc>
          <w:tcPr>
            <w:tcW w:w="0" w:type="auto"/>
            <w:vAlign w:val="center"/>
            <w:hideMark/>
          </w:tcPr>
          <w:p w:rsidR="00D53F73" w:rsidRPr="00911295" w:rsidP="005B3A95" w14:paraId="197524A7" w14:textId="77777777">
            <w:pPr>
              <w:rPr>
                <w:sz w:val="24"/>
                <w:szCs w:val="24"/>
              </w:rPr>
            </w:pPr>
            <w:r w:rsidRPr="00911295">
              <w:rPr>
                <w:sz w:val="24"/>
                <w:szCs w:val="24"/>
              </w:rPr>
              <w:t>Entire band</w:t>
            </w:r>
          </w:p>
        </w:tc>
        <w:tc>
          <w:tcPr>
            <w:tcW w:w="0" w:type="auto"/>
            <w:vAlign w:val="center"/>
            <w:hideMark/>
          </w:tcPr>
          <w:p w:rsidR="00D53F73" w:rsidRPr="00911295" w:rsidP="005B3A95" w14:paraId="3E0BE299" w14:textId="77777777">
            <w:pPr>
              <w:rPr>
                <w:sz w:val="24"/>
                <w:szCs w:val="24"/>
              </w:rPr>
            </w:pPr>
            <w:r w:rsidRPr="00911295">
              <w:rPr>
                <w:sz w:val="24"/>
                <w:szCs w:val="24"/>
              </w:rPr>
              <w:t>MCW, phone, image, RTTY, data, SS, test, pulse</w:t>
            </w:r>
          </w:p>
        </w:tc>
        <w:tc>
          <w:tcPr>
            <w:tcW w:w="0" w:type="auto"/>
            <w:vAlign w:val="center"/>
            <w:hideMark/>
          </w:tcPr>
          <w:p w:rsidR="00D53F73" w:rsidRPr="00911295" w:rsidP="005B3A95" w14:paraId="6900EFCE" w14:textId="77777777">
            <w:pPr>
              <w:rPr>
                <w:sz w:val="24"/>
                <w:szCs w:val="24"/>
              </w:rPr>
            </w:pPr>
            <w:r w:rsidRPr="00911295">
              <w:rPr>
                <w:sz w:val="24"/>
                <w:szCs w:val="24"/>
              </w:rPr>
              <w:t xml:space="preserve">(f) (7), (8), and (12). </w:t>
            </w:r>
          </w:p>
        </w:tc>
      </w:tr>
      <w:tr w14:paraId="20BCE973"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6E55B1AD" w14:textId="77777777">
            <w:pPr>
              <w:rPr>
                <w:sz w:val="24"/>
                <w:szCs w:val="24"/>
              </w:rPr>
            </w:pPr>
            <w:r>
              <w:rPr>
                <w:sz w:val="24"/>
                <w:szCs w:val="24"/>
              </w:rPr>
              <w:t xml:space="preserve">(ii) </w:t>
            </w:r>
            <w:r w:rsidRPr="00911295">
              <w:rPr>
                <w:sz w:val="24"/>
                <w:szCs w:val="24"/>
              </w:rPr>
              <w:t>3 cm</w:t>
            </w:r>
          </w:p>
        </w:tc>
        <w:tc>
          <w:tcPr>
            <w:tcW w:w="0" w:type="auto"/>
            <w:vAlign w:val="center"/>
            <w:hideMark/>
          </w:tcPr>
          <w:p w:rsidR="00D53F73" w:rsidRPr="00911295" w:rsidP="005B3A95" w14:paraId="688E29A3" w14:textId="77777777">
            <w:pPr>
              <w:rPr>
                <w:sz w:val="24"/>
                <w:szCs w:val="24"/>
              </w:rPr>
            </w:pPr>
            <w:r w:rsidRPr="00911295">
              <w:rPr>
                <w:sz w:val="24"/>
                <w:szCs w:val="24"/>
              </w:rPr>
              <w:t>Entire band</w:t>
            </w:r>
          </w:p>
        </w:tc>
        <w:tc>
          <w:tcPr>
            <w:tcW w:w="0" w:type="auto"/>
            <w:vAlign w:val="center"/>
            <w:hideMark/>
          </w:tcPr>
          <w:p w:rsidR="00D53F73" w:rsidRPr="00911295" w:rsidP="005B3A95" w14:paraId="30E052B8" w14:textId="77777777">
            <w:pPr>
              <w:rPr>
                <w:sz w:val="24"/>
                <w:szCs w:val="24"/>
              </w:rPr>
            </w:pPr>
            <w:r w:rsidRPr="00911295">
              <w:rPr>
                <w:sz w:val="24"/>
                <w:szCs w:val="24"/>
              </w:rPr>
              <w:t>MCW, phone, image, RTTY, data, SS, test</w:t>
            </w:r>
          </w:p>
        </w:tc>
        <w:tc>
          <w:tcPr>
            <w:tcW w:w="0" w:type="auto"/>
            <w:vAlign w:val="center"/>
            <w:hideMark/>
          </w:tcPr>
          <w:p w:rsidR="00D53F73" w:rsidRPr="00911295" w:rsidP="005B3A95" w14:paraId="28D22407" w14:textId="77777777">
            <w:pPr>
              <w:rPr>
                <w:sz w:val="24"/>
                <w:szCs w:val="24"/>
              </w:rPr>
            </w:pPr>
            <w:r w:rsidRPr="00911295">
              <w:rPr>
                <w:sz w:val="24"/>
                <w:szCs w:val="24"/>
              </w:rPr>
              <w:t xml:space="preserve">(f) (7), (8), and (12). </w:t>
            </w:r>
          </w:p>
        </w:tc>
      </w:tr>
      <w:tr w14:paraId="1A8A689F"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0A54B081" w14:textId="77777777">
            <w:pPr>
              <w:rPr>
                <w:sz w:val="24"/>
                <w:szCs w:val="24"/>
              </w:rPr>
            </w:pPr>
            <w:r>
              <w:rPr>
                <w:sz w:val="24"/>
                <w:szCs w:val="24"/>
              </w:rPr>
              <w:t xml:space="preserve">(iii) </w:t>
            </w:r>
            <w:r w:rsidRPr="00911295">
              <w:rPr>
                <w:sz w:val="24"/>
                <w:szCs w:val="24"/>
              </w:rPr>
              <w:t>1.2 cm</w:t>
            </w:r>
          </w:p>
        </w:tc>
        <w:tc>
          <w:tcPr>
            <w:tcW w:w="0" w:type="auto"/>
            <w:vAlign w:val="center"/>
            <w:hideMark/>
          </w:tcPr>
          <w:p w:rsidR="00D53F73" w:rsidRPr="00911295" w:rsidP="005B3A95" w14:paraId="6E040287" w14:textId="77777777">
            <w:pPr>
              <w:rPr>
                <w:sz w:val="24"/>
                <w:szCs w:val="24"/>
              </w:rPr>
            </w:pPr>
            <w:r w:rsidRPr="00911295">
              <w:rPr>
                <w:sz w:val="24"/>
                <w:szCs w:val="24"/>
              </w:rPr>
              <w:t>Entire band</w:t>
            </w:r>
          </w:p>
        </w:tc>
        <w:tc>
          <w:tcPr>
            <w:tcW w:w="0" w:type="auto"/>
            <w:vAlign w:val="center"/>
            <w:hideMark/>
          </w:tcPr>
          <w:p w:rsidR="00D53F73" w:rsidRPr="00911295" w:rsidP="005B3A95" w14:paraId="2AE1E1B1" w14:textId="77777777">
            <w:pPr>
              <w:rPr>
                <w:sz w:val="24"/>
                <w:szCs w:val="24"/>
              </w:rPr>
            </w:pPr>
            <w:r w:rsidRPr="00911295">
              <w:rPr>
                <w:sz w:val="24"/>
                <w:szCs w:val="24"/>
              </w:rPr>
              <w:t>MCW, phone, image, RTTY, data, SS, test, pulse</w:t>
            </w:r>
          </w:p>
        </w:tc>
        <w:tc>
          <w:tcPr>
            <w:tcW w:w="0" w:type="auto"/>
            <w:vAlign w:val="center"/>
            <w:hideMark/>
          </w:tcPr>
          <w:p w:rsidR="00D53F73" w:rsidRPr="00911295" w:rsidP="005B3A95" w14:paraId="369C0577" w14:textId="77777777">
            <w:pPr>
              <w:rPr>
                <w:sz w:val="24"/>
                <w:szCs w:val="24"/>
              </w:rPr>
            </w:pPr>
            <w:r w:rsidRPr="00911295">
              <w:rPr>
                <w:sz w:val="24"/>
                <w:szCs w:val="24"/>
              </w:rPr>
              <w:t xml:space="preserve">(f) (7), (8), and (12). </w:t>
            </w:r>
          </w:p>
        </w:tc>
      </w:tr>
      <w:tr w14:paraId="3ED5FB7E"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4ADC4CB1" w14:textId="77777777">
            <w:pPr>
              <w:rPr>
                <w:sz w:val="24"/>
                <w:szCs w:val="24"/>
              </w:rPr>
            </w:pPr>
            <w:r>
              <w:rPr>
                <w:sz w:val="24"/>
                <w:szCs w:val="24"/>
              </w:rPr>
              <w:t xml:space="preserve">(7) </w:t>
            </w:r>
            <w:r w:rsidRPr="00911295">
              <w:rPr>
                <w:sz w:val="24"/>
                <w:szCs w:val="24"/>
              </w:rPr>
              <w:t xml:space="preserve">EHF: </w:t>
            </w:r>
          </w:p>
        </w:tc>
        <w:tc>
          <w:tcPr>
            <w:tcW w:w="0" w:type="auto"/>
            <w:vAlign w:val="center"/>
            <w:hideMark/>
          </w:tcPr>
          <w:p w:rsidR="00D53F73" w:rsidRPr="00911295" w:rsidP="005B3A95" w14:paraId="0076ED3C" w14:textId="77777777">
            <w:pPr>
              <w:rPr>
                <w:sz w:val="24"/>
                <w:szCs w:val="24"/>
              </w:rPr>
            </w:pPr>
          </w:p>
        </w:tc>
        <w:tc>
          <w:tcPr>
            <w:tcW w:w="0" w:type="auto"/>
            <w:vAlign w:val="center"/>
            <w:hideMark/>
          </w:tcPr>
          <w:p w:rsidR="00D53F73" w:rsidRPr="00911295" w:rsidP="005B3A95" w14:paraId="6D77BC7C" w14:textId="77777777">
            <w:pPr>
              <w:rPr>
                <w:sz w:val="20"/>
              </w:rPr>
            </w:pPr>
          </w:p>
        </w:tc>
        <w:tc>
          <w:tcPr>
            <w:tcW w:w="0" w:type="auto"/>
            <w:vAlign w:val="center"/>
            <w:hideMark/>
          </w:tcPr>
          <w:p w:rsidR="00D53F73" w:rsidRPr="00911295" w:rsidP="005B3A95" w14:paraId="2586C8E7" w14:textId="77777777">
            <w:pPr>
              <w:rPr>
                <w:sz w:val="20"/>
              </w:rPr>
            </w:pPr>
          </w:p>
        </w:tc>
      </w:tr>
      <w:tr w14:paraId="3F6F54E4"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321DE5BE" w14:textId="77777777">
            <w:pPr>
              <w:rPr>
                <w:sz w:val="24"/>
                <w:szCs w:val="24"/>
              </w:rPr>
            </w:pPr>
            <w:r>
              <w:rPr>
                <w:sz w:val="24"/>
                <w:szCs w:val="24"/>
              </w:rPr>
              <w:t>(</w:t>
            </w:r>
            <w:r>
              <w:rPr>
                <w:sz w:val="24"/>
                <w:szCs w:val="24"/>
              </w:rPr>
              <w:t>i</w:t>
            </w:r>
            <w:r>
              <w:rPr>
                <w:sz w:val="24"/>
                <w:szCs w:val="24"/>
              </w:rPr>
              <w:t xml:space="preserve">) </w:t>
            </w:r>
            <w:r w:rsidRPr="00911295">
              <w:rPr>
                <w:sz w:val="24"/>
                <w:szCs w:val="24"/>
              </w:rPr>
              <w:t>6 mm</w:t>
            </w:r>
          </w:p>
        </w:tc>
        <w:tc>
          <w:tcPr>
            <w:tcW w:w="0" w:type="auto"/>
            <w:vAlign w:val="center"/>
            <w:hideMark/>
          </w:tcPr>
          <w:p w:rsidR="00D53F73" w:rsidRPr="00911295" w:rsidP="005B3A95" w14:paraId="4003831D" w14:textId="77777777">
            <w:pPr>
              <w:rPr>
                <w:sz w:val="24"/>
                <w:szCs w:val="24"/>
              </w:rPr>
            </w:pPr>
            <w:r w:rsidRPr="00911295">
              <w:rPr>
                <w:sz w:val="24"/>
                <w:szCs w:val="24"/>
              </w:rPr>
              <w:t>Entire band</w:t>
            </w:r>
          </w:p>
        </w:tc>
        <w:tc>
          <w:tcPr>
            <w:tcW w:w="0" w:type="auto"/>
            <w:vAlign w:val="center"/>
            <w:hideMark/>
          </w:tcPr>
          <w:p w:rsidR="00D53F73" w:rsidRPr="00911295" w:rsidP="005B3A95" w14:paraId="61C9C840" w14:textId="77777777">
            <w:pPr>
              <w:rPr>
                <w:sz w:val="24"/>
                <w:szCs w:val="24"/>
              </w:rPr>
            </w:pPr>
            <w:r w:rsidRPr="00911295">
              <w:rPr>
                <w:sz w:val="24"/>
                <w:szCs w:val="24"/>
              </w:rPr>
              <w:t>MCW, phone, image, RTTY, data, SS, test, pulse</w:t>
            </w:r>
          </w:p>
        </w:tc>
        <w:tc>
          <w:tcPr>
            <w:tcW w:w="0" w:type="auto"/>
            <w:vAlign w:val="center"/>
            <w:hideMark/>
          </w:tcPr>
          <w:p w:rsidR="00D53F73" w:rsidRPr="00911295" w:rsidP="005B3A95" w14:paraId="15141B7D" w14:textId="77777777">
            <w:pPr>
              <w:rPr>
                <w:sz w:val="24"/>
                <w:szCs w:val="24"/>
              </w:rPr>
            </w:pPr>
            <w:r w:rsidRPr="00911295">
              <w:rPr>
                <w:sz w:val="24"/>
                <w:szCs w:val="24"/>
              </w:rPr>
              <w:t xml:space="preserve">(f) (7), (8), and (12). </w:t>
            </w:r>
          </w:p>
        </w:tc>
      </w:tr>
      <w:tr w14:paraId="4EB7306F"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2D18776F" w14:textId="77777777">
            <w:pPr>
              <w:rPr>
                <w:sz w:val="24"/>
                <w:szCs w:val="24"/>
              </w:rPr>
            </w:pPr>
            <w:r>
              <w:rPr>
                <w:sz w:val="24"/>
                <w:szCs w:val="24"/>
              </w:rPr>
              <w:t xml:space="preserve">(ii) </w:t>
            </w:r>
            <w:r w:rsidRPr="00911295">
              <w:rPr>
                <w:sz w:val="24"/>
                <w:szCs w:val="24"/>
              </w:rPr>
              <w:t>4 mm</w:t>
            </w:r>
          </w:p>
        </w:tc>
        <w:tc>
          <w:tcPr>
            <w:tcW w:w="0" w:type="auto"/>
            <w:vAlign w:val="center"/>
            <w:hideMark/>
          </w:tcPr>
          <w:p w:rsidR="00D53F73" w:rsidRPr="00911295" w:rsidP="005B3A95" w14:paraId="1EAAB78A" w14:textId="77777777">
            <w:pPr>
              <w:rPr>
                <w:sz w:val="24"/>
                <w:szCs w:val="24"/>
              </w:rPr>
            </w:pPr>
            <w:r w:rsidRPr="00911295">
              <w:rPr>
                <w:sz w:val="24"/>
                <w:szCs w:val="24"/>
              </w:rPr>
              <w:t>Entire band</w:t>
            </w:r>
          </w:p>
        </w:tc>
        <w:tc>
          <w:tcPr>
            <w:tcW w:w="0" w:type="auto"/>
            <w:vAlign w:val="center"/>
            <w:hideMark/>
          </w:tcPr>
          <w:p w:rsidR="00D53F73" w:rsidRPr="00911295" w:rsidP="005B3A95" w14:paraId="164FF749" w14:textId="77777777">
            <w:pPr>
              <w:rPr>
                <w:sz w:val="24"/>
                <w:szCs w:val="24"/>
              </w:rPr>
            </w:pPr>
            <w:r w:rsidRPr="00911295">
              <w:rPr>
                <w:sz w:val="24"/>
                <w:szCs w:val="24"/>
              </w:rPr>
              <w:t>MCW, phone, image, RTTY, data, SS, test, pulse</w:t>
            </w:r>
          </w:p>
        </w:tc>
        <w:tc>
          <w:tcPr>
            <w:tcW w:w="0" w:type="auto"/>
            <w:vAlign w:val="center"/>
            <w:hideMark/>
          </w:tcPr>
          <w:p w:rsidR="00D53F73" w:rsidRPr="00911295" w:rsidP="005B3A95" w14:paraId="14CE704F" w14:textId="77777777">
            <w:pPr>
              <w:rPr>
                <w:sz w:val="24"/>
                <w:szCs w:val="24"/>
              </w:rPr>
            </w:pPr>
            <w:r w:rsidRPr="00911295">
              <w:rPr>
                <w:sz w:val="24"/>
                <w:szCs w:val="24"/>
              </w:rPr>
              <w:t xml:space="preserve">(f) (7), (8), and (12). </w:t>
            </w:r>
          </w:p>
        </w:tc>
      </w:tr>
      <w:tr w14:paraId="7F5DE2D3"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64C9F2D4" w14:textId="77777777">
            <w:pPr>
              <w:rPr>
                <w:sz w:val="24"/>
                <w:szCs w:val="24"/>
              </w:rPr>
            </w:pPr>
            <w:r>
              <w:rPr>
                <w:sz w:val="24"/>
                <w:szCs w:val="24"/>
              </w:rPr>
              <w:t xml:space="preserve">(iii) </w:t>
            </w:r>
            <w:r w:rsidRPr="00911295">
              <w:rPr>
                <w:sz w:val="24"/>
                <w:szCs w:val="24"/>
              </w:rPr>
              <w:t>2.5 mm</w:t>
            </w:r>
          </w:p>
        </w:tc>
        <w:tc>
          <w:tcPr>
            <w:tcW w:w="0" w:type="auto"/>
            <w:vAlign w:val="center"/>
            <w:hideMark/>
          </w:tcPr>
          <w:p w:rsidR="00D53F73" w:rsidRPr="00911295" w:rsidP="005B3A95" w14:paraId="3275AD6C" w14:textId="77777777">
            <w:pPr>
              <w:rPr>
                <w:sz w:val="24"/>
                <w:szCs w:val="24"/>
              </w:rPr>
            </w:pPr>
            <w:r w:rsidRPr="00911295">
              <w:rPr>
                <w:sz w:val="24"/>
                <w:szCs w:val="24"/>
              </w:rPr>
              <w:t>Entire band</w:t>
            </w:r>
          </w:p>
        </w:tc>
        <w:tc>
          <w:tcPr>
            <w:tcW w:w="0" w:type="auto"/>
            <w:vAlign w:val="center"/>
            <w:hideMark/>
          </w:tcPr>
          <w:p w:rsidR="00D53F73" w:rsidRPr="00911295" w:rsidP="005B3A95" w14:paraId="678ACC1E" w14:textId="77777777">
            <w:pPr>
              <w:rPr>
                <w:sz w:val="24"/>
                <w:szCs w:val="24"/>
              </w:rPr>
            </w:pPr>
            <w:r w:rsidRPr="00911295">
              <w:rPr>
                <w:sz w:val="24"/>
                <w:szCs w:val="24"/>
              </w:rPr>
              <w:t>MCW, phone, image, RTTY, data, SS, test, pulse</w:t>
            </w:r>
          </w:p>
        </w:tc>
        <w:tc>
          <w:tcPr>
            <w:tcW w:w="0" w:type="auto"/>
            <w:vAlign w:val="center"/>
            <w:hideMark/>
          </w:tcPr>
          <w:p w:rsidR="00D53F73" w:rsidRPr="00911295" w:rsidP="005B3A95" w14:paraId="52C58A77" w14:textId="77777777">
            <w:pPr>
              <w:rPr>
                <w:sz w:val="24"/>
                <w:szCs w:val="24"/>
              </w:rPr>
            </w:pPr>
            <w:r w:rsidRPr="00911295">
              <w:rPr>
                <w:sz w:val="24"/>
                <w:szCs w:val="24"/>
              </w:rPr>
              <w:t xml:space="preserve">(f) (7), (8), and (12). </w:t>
            </w:r>
          </w:p>
        </w:tc>
      </w:tr>
      <w:tr w14:paraId="62F3FBB2"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4FD3B28F" w14:textId="77777777">
            <w:pPr>
              <w:rPr>
                <w:sz w:val="24"/>
                <w:szCs w:val="24"/>
              </w:rPr>
            </w:pPr>
            <w:r>
              <w:rPr>
                <w:sz w:val="24"/>
                <w:szCs w:val="24"/>
              </w:rPr>
              <w:t xml:space="preserve">(iv) </w:t>
            </w:r>
            <w:r w:rsidRPr="00911295">
              <w:rPr>
                <w:sz w:val="24"/>
                <w:szCs w:val="24"/>
              </w:rPr>
              <w:t>2 mm</w:t>
            </w:r>
          </w:p>
        </w:tc>
        <w:tc>
          <w:tcPr>
            <w:tcW w:w="0" w:type="auto"/>
            <w:vAlign w:val="center"/>
            <w:hideMark/>
          </w:tcPr>
          <w:p w:rsidR="00D53F73" w:rsidRPr="00911295" w:rsidP="005B3A95" w14:paraId="0776062C" w14:textId="77777777">
            <w:pPr>
              <w:rPr>
                <w:sz w:val="24"/>
                <w:szCs w:val="24"/>
              </w:rPr>
            </w:pPr>
            <w:r w:rsidRPr="00911295">
              <w:rPr>
                <w:sz w:val="24"/>
                <w:szCs w:val="24"/>
              </w:rPr>
              <w:t>Entire band</w:t>
            </w:r>
          </w:p>
        </w:tc>
        <w:tc>
          <w:tcPr>
            <w:tcW w:w="0" w:type="auto"/>
            <w:vAlign w:val="center"/>
            <w:hideMark/>
          </w:tcPr>
          <w:p w:rsidR="00D53F73" w:rsidRPr="00911295" w:rsidP="005B3A95" w14:paraId="55D780E1" w14:textId="77777777">
            <w:pPr>
              <w:rPr>
                <w:sz w:val="24"/>
                <w:szCs w:val="24"/>
              </w:rPr>
            </w:pPr>
            <w:r w:rsidRPr="00911295">
              <w:rPr>
                <w:sz w:val="24"/>
                <w:szCs w:val="24"/>
              </w:rPr>
              <w:t>MCW, phone, image, RTTY, data, SS, test, pulse</w:t>
            </w:r>
          </w:p>
        </w:tc>
        <w:tc>
          <w:tcPr>
            <w:tcW w:w="0" w:type="auto"/>
            <w:vAlign w:val="center"/>
            <w:hideMark/>
          </w:tcPr>
          <w:p w:rsidR="00D53F73" w:rsidRPr="00911295" w:rsidP="005B3A95" w14:paraId="477808BC" w14:textId="77777777">
            <w:pPr>
              <w:rPr>
                <w:sz w:val="24"/>
                <w:szCs w:val="24"/>
              </w:rPr>
            </w:pPr>
            <w:r w:rsidRPr="00911295">
              <w:rPr>
                <w:sz w:val="24"/>
                <w:szCs w:val="24"/>
              </w:rPr>
              <w:t xml:space="preserve">(f) (7), (8), and (12). </w:t>
            </w:r>
          </w:p>
        </w:tc>
      </w:tr>
      <w:tr w14:paraId="0B2B4D59"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450BCEFB" w14:textId="77777777">
            <w:pPr>
              <w:rPr>
                <w:sz w:val="24"/>
                <w:szCs w:val="24"/>
              </w:rPr>
            </w:pPr>
            <w:r>
              <w:rPr>
                <w:sz w:val="24"/>
                <w:szCs w:val="24"/>
              </w:rPr>
              <w:t xml:space="preserve">(v) </w:t>
            </w:r>
            <w:r w:rsidRPr="00911295">
              <w:rPr>
                <w:sz w:val="24"/>
                <w:szCs w:val="24"/>
              </w:rPr>
              <w:t>1</w:t>
            </w:r>
            <w:r>
              <w:rPr>
                <w:sz w:val="24"/>
                <w:szCs w:val="24"/>
              </w:rPr>
              <w:t xml:space="preserve"> </w:t>
            </w:r>
            <w:r w:rsidRPr="00911295">
              <w:rPr>
                <w:sz w:val="24"/>
                <w:szCs w:val="24"/>
              </w:rPr>
              <w:t>mm</w:t>
            </w:r>
          </w:p>
        </w:tc>
        <w:tc>
          <w:tcPr>
            <w:tcW w:w="0" w:type="auto"/>
            <w:vAlign w:val="center"/>
            <w:hideMark/>
          </w:tcPr>
          <w:p w:rsidR="00D53F73" w:rsidRPr="00911295" w:rsidP="005B3A95" w14:paraId="71103B90" w14:textId="77777777">
            <w:pPr>
              <w:rPr>
                <w:sz w:val="24"/>
                <w:szCs w:val="24"/>
              </w:rPr>
            </w:pPr>
            <w:r w:rsidRPr="00911295">
              <w:rPr>
                <w:sz w:val="24"/>
                <w:szCs w:val="24"/>
              </w:rPr>
              <w:t>Entire band</w:t>
            </w:r>
          </w:p>
        </w:tc>
        <w:tc>
          <w:tcPr>
            <w:tcW w:w="0" w:type="auto"/>
            <w:vAlign w:val="center"/>
            <w:hideMark/>
          </w:tcPr>
          <w:p w:rsidR="00D53F73" w:rsidRPr="00911295" w:rsidP="005B3A95" w14:paraId="16C9EEFD" w14:textId="77777777">
            <w:pPr>
              <w:rPr>
                <w:sz w:val="24"/>
                <w:szCs w:val="24"/>
              </w:rPr>
            </w:pPr>
            <w:r w:rsidRPr="00911295">
              <w:rPr>
                <w:sz w:val="24"/>
                <w:szCs w:val="24"/>
              </w:rPr>
              <w:t>MCW, phone, image, RTTY, data, SS, test, pulse</w:t>
            </w:r>
          </w:p>
        </w:tc>
        <w:tc>
          <w:tcPr>
            <w:tcW w:w="0" w:type="auto"/>
            <w:vAlign w:val="center"/>
            <w:hideMark/>
          </w:tcPr>
          <w:p w:rsidR="00D53F73" w:rsidRPr="00911295" w:rsidP="005B3A95" w14:paraId="5BE21422" w14:textId="77777777">
            <w:pPr>
              <w:rPr>
                <w:sz w:val="24"/>
                <w:szCs w:val="24"/>
              </w:rPr>
            </w:pPr>
            <w:r w:rsidRPr="00911295">
              <w:rPr>
                <w:sz w:val="24"/>
                <w:szCs w:val="24"/>
              </w:rPr>
              <w:t xml:space="preserve">(f) (7), (8), and (12). </w:t>
            </w:r>
          </w:p>
        </w:tc>
      </w:tr>
      <w:tr w14:paraId="19E5ECD9" w14:textId="77777777" w:rsidTr="005B3A95">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D53F73" w:rsidRPr="00911295" w:rsidP="005B3A95" w14:paraId="1742FF84" w14:textId="77777777">
            <w:pPr>
              <w:rPr>
                <w:sz w:val="24"/>
                <w:szCs w:val="24"/>
              </w:rPr>
            </w:pPr>
            <w:r>
              <w:rPr>
                <w:sz w:val="24"/>
                <w:szCs w:val="24"/>
              </w:rPr>
              <w:t>(vi) 1 mm</w:t>
            </w:r>
          </w:p>
        </w:tc>
        <w:tc>
          <w:tcPr>
            <w:tcW w:w="0" w:type="auto"/>
            <w:vAlign w:val="center"/>
            <w:hideMark/>
          </w:tcPr>
          <w:p w:rsidR="00D53F73" w:rsidRPr="00911295" w:rsidP="005B3A95" w14:paraId="00511691" w14:textId="77777777">
            <w:pPr>
              <w:rPr>
                <w:sz w:val="24"/>
                <w:szCs w:val="24"/>
              </w:rPr>
            </w:pPr>
            <w:r w:rsidRPr="00911295">
              <w:rPr>
                <w:sz w:val="24"/>
                <w:szCs w:val="24"/>
              </w:rPr>
              <w:t>Above 275 GHz</w:t>
            </w:r>
          </w:p>
        </w:tc>
        <w:tc>
          <w:tcPr>
            <w:tcW w:w="0" w:type="auto"/>
            <w:vAlign w:val="center"/>
            <w:hideMark/>
          </w:tcPr>
          <w:p w:rsidR="00D53F73" w:rsidRPr="00911295" w:rsidP="005B3A95" w14:paraId="41DB6136" w14:textId="77777777">
            <w:pPr>
              <w:rPr>
                <w:sz w:val="24"/>
                <w:szCs w:val="24"/>
              </w:rPr>
            </w:pPr>
            <w:r w:rsidRPr="00911295">
              <w:rPr>
                <w:sz w:val="24"/>
                <w:szCs w:val="24"/>
              </w:rPr>
              <w:t>MCW, phone, image, RTTY, data, SS, test, pulse</w:t>
            </w:r>
          </w:p>
        </w:tc>
        <w:tc>
          <w:tcPr>
            <w:tcW w:w="0" w:type="auto"/>
            <w:vAlign w:val="center"/>
            <w:hideMark/>
          </w:tcPr>
          <w:p w:rsidR="00D53F73" w:rsidRPr="00911295" w:rsidP="005B3A95" w14:paraId="182D38BA" w14:textId="77777777">
            <w:pPr>
              <w:rPr>
                <w:sz w:val="24"/>
                <w:szCs w:val="24"/>
              </w:rPr>
            </w:pPr>
            <w:r w:rsidRPr="00911295">
              <w:rPr>
                <w:sz w:val="24"/>
                <w:szCs w:val="24"/>
              </w:rPr>
              <w:t>(f) (7), (8), and (12).</w:t>
            </w:r>
          </w:p>
        </w:tc>
      </w:tr>
    </w:tbl>
    <w:p w:rsidR="00D53F73" w:rsidP="00D53F73" w14:paraId="24BBF9EE" w14:textId="77777777"/>
    <w:p w:rsidR="00D53F73" w:rsidRPr="00206F26" w:rsidP="00D53F73" w14:paraId="5A6FE2AC" w14:textId="77777777"/>
    <w:p w:rsidR="00D53F73" w:rsidP="00D53F73" w14:paraId="1157B7B4" w14:textId="77777777">
      <w:pPr>
        <w:ind w:firstLine="720"/>
        <w:rPr>
          <w:kern w:val="0"/>
        </w:rPr>
      </w:pPr>
      <w:r w:rsidRPr="00206F26">
        <w:t>3.</w:t>
      </w:r>
      <w:r>
        <w:tab/>
      </w:r>
      <w:r w:rsidRPr="00206F26">
        <w:rPr>
          <w:kern w:val="0"/>
        </w:rPr>
        <w:t>Section 97.307 is amended by</w:t>
      </w:r>
      <w:r>
        <w:rPr>
          <w:kern w:val="0"/>
        </w:rPr>
        <w:t>:</w:t>
      </w:r>
    </w:p>
    <w:p w:rsidR="00D53F73" w:rsidRPr="00BF3E34" w:rsidP="00D53F73" w14:paraId="6D2F3859" w14:textId="77777777">
      <w:pPr>
        <w:ind w:firstLine="720"/>
        <w:rPr>
          <w:kern w:val="0"/>
        </w:rPr>
      </w:pPr>
    </w:p>
    <w:p w:rsidR="00D53F73" w:rsidRPr="00BF3E34" w:rsidP="00D53F73" w14:paraId="4791A4DE" w14:textId="77777777">
      <w:pPr>
        <w:numPr>
          <w:ilvl w:val="0"/>
          <w:numId w:val="10"/>
        </w:numPr>
        <w:rPr>
          <w:kern w:val="0"/>
        </w:rPr>
      </w:pPr>
      <w:r w:rsidRPr="00BF3E34">
        <w:rPr>
          <w:kern w:val="0"/>
        </w:rPr>
        <w:t xml:space="preserve">Revising paragraph (f)(3); </w:t>
      </w:r>
    </w:p>
    <w:p w:rsidR="00D53F73" w:rsidRPr="00BF3E34" w:rsidP="00D53F73" w14:paraId="396EC046" w14:textId="77777777">
      <w:pPr>
        <w:ind w:firstLine="720"/>
        <w:rPr>
          <w:kern w:val="0"/>
        </w:rPr>
      </w:pPr>
    </w:p>
    <w:p w:rsidR="00D53F73" w:rsidRPr="00BF3E34" w:rsidP="00D53F73" w14:paraId="68D31F49" w14:textId="77777777">
      <w:pPr>
        <w:numPr>
          <w:ilvl w:val="0"/>
          <w:numId w:val="10"/>
        </w:numPr>
        <w:rPr>
          <w:kern w:val="0"/>
        </w:rPr>
      </w:pPr>
      <w:r w:rsidRPr="00BF3E34">
        <w:rPr>
          <w:kern w:val="0"/>
        </w:rPr>
        <w:t xml:space="preserve">Removing and reserving paragraph (f)(4);  </w:t>
      </w:r>
    </w:p>
    <w:p w:rsidR="00D53F73" w:rsidRPr="00BF3E34" w:rsidP="00D53F73" w14:paraId="066415E7" w14:textId="77777777">
      <w:pPr>
        <w:ind w:firstLine="720"/>
        <w:rPr>
          <w:kern w:val="0"/>
        </w:rPr>
      </w:pPr>
    </w:p>
    <w:p w:rsidR="00D53F73" w:rsidRPr="00BF3E34" w:rsidP="00D53F73" w14:paraId="48A9055A" w14:textId="77777777">
      <w:pPr>
        <w:numPr>
          <w:ilvl w:val="0"/>
          <w:numId w:val="10"/>
        </w:numPr>
        <w:rPr>
          <w:b/>
          <w:bCs/>
          <w:kern w:val="0"/>
        </w:rPr>
      </w:pPr>
      <w:r w:rsidRPr="00BF3E34">
        <w:rPr>
          <w:kern w:val="0"/>
        </w:rPr>
        <w:t>Designating the table in paragraph (f)(14)(</w:t>
      </w:r>
      <w:r w:rsidRPr="00BF3E34">
        <w:rPr>
          <w:kern w:val="0"/>
        </w:rPr>
        <w:t>i</w:t>
      </w:r>
      <w:r w:rsidRPr="00BF3E34">
        <w:rPr>
          <w:kern w:val="0"/>
        </w:rPr>
        <w:t>) as table 1 to paragraph (f)(14)(</w:t>
      </w:r>
      <w:r w:rsidRPr="00BF3E34">
        <w:rPr>
          <w:kern w:val="0"/>
        </w:rPr>
        <w:t>i</w:t>
      </w:r>
      <w:r w:rsidRPr="00BF3E34">
        <w:rPr>
          <w:kern w:val="0"/>
        </w:rPr>
        <w:t xml:space="preserve">); and </w:t>
      </w:r>
    </w:p>
    <w:p w:rsidR="00D53F73" w:rsidRPr="00BF3E34" w:rsidP="00D53F73" w14:paraId="173F1DA6" w14:textId="77777777">
      <w:pPr>
        <w:ind w:firstLine="720"/>
        <w:rPr>
          <w:kern w:val="0"/>
        </w:rPr>
      </w:pPr>
    </w:p>
    <w:p w:rsidR="00D53F73" w:rsidRPr="00BF3E34" w:rsidP="00D53F73" w14:paraId="6B611583" w14:textId="5C4C9DAE">
      <w:pPr>
        <w:numPr>
          <w:ilvl w:val="0"/>
          <w:numId w:val="10"/>
        </w:numPr>
        <w:rPr>
          <w:b/>
          <w:bCs/>
          <w:kern w:val="0"/>
        </w:rPr>
      </w:pPr>
      <w:r w:rsidRPr="00BF3E34">
        <w:rPr>
          <w:kern w:val="0"/>
        </w:rPr>
        <w:t>Removing the text “of this part” wherever it appears</w:t>
      </w:r>
      <w:r w:rsidR="0002024C">
        <w:rPr>
          <w:kern w:val="0"/>
        </w:rPr>
        <w:t>.</w:t>
      </w:r>
    </w:p>
    <w:p w:rsidR="00D53F73" w:rsidRPr="00BF3E34" w:rsidP="00D53F73" w14:paraId="068322E0" w14:textId="77777777">
      <w:pPr>
        <w:ind w:firstLine="720"/>
        <w:rPr>
          <w:kern w:val="0"/>
        </w:rPr>
      </w:pPr>
    </w:p>
    <w:p w:rsidR="00D53F73" w:rsidRPr="00BF3E34" w:rsidP="00D53F73" w14:paraId="6FDDAE95" w14:textId="77777777">
      <w:pPr>
        <w:ind w:firstLine="720"/>
        <w:rPr>
          <w:kern w:val="0"/>
        </w:rPr>
      </w:pPr>
      <w:r w:rsidRPr="00BF3E34">
        <w:rPr>
          <w:kern w:val="0"/>
        </w:rPr>
        <w:t>The revision reads as follows:</w:t>
      </w:r>
    </w:p>
    <w:p w:rsidR="00D53F73" w:rsidRPr="00206F26" w:rsidP="00D53F73" w14:paraId="05861515" w14:textId="77777777">
      <w:pPr>
        <w:autoSpaceDE w:val="0"/>
        <w:autoSpaceDN w:val="0"/>
        <w:adjustRightInd w:val="0"/>
        <w:rPr>
          <w:b/>
          <w:bCs/>
          <w:kern w:val="0"/>
        </w:rPr>
      </w:pPr>
    </w:p>
    <w:p w:rsidR="00D53F73" w:rsidRPr="00206F26" w:rsidP="00D53F73" w14:paraId="03E37071" w14:textId="77777777">
      <w:pPr>
        <w:autoSpaceDE w:val="0"/>
        <w:autoSpaceDN w:val="0"/>
        <w:adjustRightInd w:val="0"/>
        <w:ind w:firstLine="720"/>
        <w:rPr>
          <w:b/>
          <w:kern w:val="0"/>
        </w:rPr>
      </w:pPr>
      <w:r w:rsidRPr="00206F26">
        <w:rPr>
          <w:b/>
          <w:kern w:val="0"/>
        </w:rPr>
        <w:t xml:space="preserve">§  97.307  Emission standards.  </w:t>
      </w:r>
    </w:p>
    <w:p w:rsidR="00D53F73" w:rsidRPr="00206F26" w:rsidP="00D53F73" w14:paraId="475D602A" w14:textId="77777777">
      <w:pPr>
        <w:autoSpaceDE w:val="0"/>
        <w:autoSpaceDN w:val="0"/>
        <w:adjustRightInd w:val="0"/>
        <w:rPr>
          <w:b/>
          <w:kern w:val="0"/>
        </w:rPr>
      </w:pPr>
    </w:p>
    <w:p w:rsidR="00D53F73" w:rsidRPr="00206F26" w:rsidP="00D53F73" w14:paraId="643EFF2D" w14:textId="77777777">
      <w:pPr>
        <w:autoSpaceDE w:val="0"/>
        <w:autoSpaceDN w:val="0"/>
        <w:adjustRightInd w:val="0"/>
        <w:ind w:firstLine="720"/>
        <w:rPr>
          <w:kern w:val="0"/>
        </w:rPr>
      </w:pPr>
      <w:r w:rsidRPr="00206F26">
        <w:rPr>
          <w:kern w:val="0"/>
        </w:rPr>
        <w:t>* * * * *</w:t>
      </w:r>
    </w:p>
    <w:p w:rsidR="00D53F73" w:rsidRPr="00206F26" w:rsidP="00D53F73" w14:paraId="5FD04BF8" w14:textId="77777777">
      <w:pPr>
        <w:autoSpaceDE w:val="0"/>
        <w:autoSpaceDN w:val="0"/>
        <w:adjustRightInd w:val="0"/>
        <w:rPr>
          <w:kern w:val="0"/>
        </w:rPr>
      </w:pPr>
    </w:p>
    <w:p w:rsidR="00D53F73" w:rsidRPr="00206F26" w:rsidP="00D53F73" w14:paraId="54FF5524" w14:textId="77777777">
      <w:pPr>
        <w:autoSpaceDE w:val="0"/>
        <w:autoSpaceDN w:val="0"/>
        <w:adjustRightInd w:val="0"/>
        <w:ind w:firstLine="720"/>
        <w:rPr>
          <w:kern w:val="0"/>
        </w:rPr>
      </w:pPr>
      <w:r w:rsidRPr="00206F26">
        <w:rPr>
          <w:kern w:val="0"/>
        </w:rPr>
        <w:t>(f) * * *</w:t>
      </w:r>
    </w:p>
    <w:p w:rsidR="00D53F73" w:rsidRPr="00206F26" w:rsidP="00D53F73" w14:paraId="62721D11" w14:textId="77777777">
      <w:pPr>
        <w:autoSpaceDE w:val="0"/>
        <w:autoSpaceDN w:val="0"/>
        <w:adjustRightInd w:val="0"/>
        <w:rPr>
          <w:kern w:val="0"/>
        </w:rPr>
      </w:pPr>
    </w:p>
    <w:p w:rsidR="00D53F73" w:rsidRPr="00206F26" w:rsidP="00D53F73" w14:paraId="4ED210F5" w14:textId="77777777">
      <w:pPr>
        <w:autoSpaceDE w:val="0"/>
        <w:autoSpaceDN w:val="0"/>
        <w:adjustRightInd w:val="0"/>
        <w:ind w:firstLine="720"/>
        <w:rPr>
          <w:kern w:val="0"/>
        </w:rPr>
      </w:pPr>
      <w:r w:rsidRPr="00206F26">
        <w:rPr>
          <w:kern w:val="0"/>
        </w:rPr>
        <w:t xml:space="preserve">(3)  </w:t>
      </w:r>
      <w:r>
        <w:rPr>
          <w:kern w:val="0"/>
        </w:rPr>
        <w:t>Only</w:t>
      </w:r>
      <w:r w:rsidRPr="00206F26">
        <w:rPr>
          <w:kern w:val="0"/>
        </w:rPr>
        <w:t xml:space="preserve"> a RTTY or data emission using a specified digital code listed in § 97.309(a) may be transmitted.  The authorized bandwidth is 2.8 kHz</w:t>
      </w:r>
      <w:r>
        <w:rPr>
          <w:kern w:val="0"/>
        </w:rPr>
        <w:t xml:space="preserve"> except in the 2200 m band and 630 m band</w:t>
      </w:r>
      <w:r w:rsidRPr="00206F26">
        <w:rPr>
          <w:kern w:val="0"/>
        </w:rPr>
        <w:t xml:space="preserve">. </w:t>
      </w:r>
      <w:r>
        <w:rPr>
          <w:kern w:val="0"/>
        </w:rPr>
        <w:t xml:space="preserve"> In the 2200 m band and the 630 m band t</w:t>
      </w:r>
      <w:r w:rsidRPr="001E1A9E">
        <w:rPr>
          <w:kern w:val="0"/>
        </w:rPr>
        <w:t xml:space="preserve">he symbol rate must not exceed 300 bauds, or for frequency-shift keying, the frequency shift between mark and space must not exceed 1 kHz. </w:t>
      </w:r>
      <w:r w:rsidRPr="00206F26">
        <w:rPr>
          <w:kern w:val="0"/>
        </w:rPr>
        <w:t xml:space="preserve"> </w:t>
      </w:r>
    </w:p>
    <w:p w:rsidR="00D53F73" w:rsidRPr="00206F26" w:rsidP="00D53F73" w14:paraId="6BE1638A" w14:textId="77777777">
      <w:pPr>
        <w:autoSpaceDE w:val="0"/>
        <w:autoSpaceDN w:val="0"/>
        <w:adjustRightInd w:val="0"/>
        <w:rPr>
          <w:kern w:val="0"/>
        </w:rPr>
      </w:pPr>
    </w:p>
    <w:p w:rsidR="00D53F73" w:rsidP="00D53F73" w14:paraId="40B48B7C" w14:textId="5D65974C">
      <w:pPr>
        <w:autoSpaceDE w:val="0"/>
        <w:autoSpaceDN w:val="0"/>
        <w:adjustRightInd w:val="0"/>
        <w:ind w:firstLine="720"/>
        <w:rPr>
          <w:kern w:val="0"/>
        </w:rPr>
      </w:pPr>
      <w:r w:rsidRPr="00C63C7F">
        <w:rPr>
          <w:kern w:val="0"/>
        </w:rPr>
        <w:t>* * * * *</w:t>
      </w:r>
    </w:p>
    <w:p w:rsidR="00722593" w:rsidP="00D53F73" w14:paraId="23A3B9C3" w14:textId="77777777">
      <w:pPr>
        <w:autoSpaceDE w:val="0"/>
        <w:autoSpaceDN w:val="0"/>
        <w:adjustRightInd w:val="0"/>
        <w:ind w:firstLine="720"/>
        <w:rPr>
          <w:kern w:val="0"/>
        </w:rPr>
        <w:sectPr w:rsidSect="00C81307">
          <w:endnotePr>
            <w:numFmt w:val="decimal"/>
          </w:endnotePr>
          <w:pgSz w:w="12240" w:h="15840"/>
          <w:pgMar w:top="1440" w:right="1440" w:bottom="720" w:left="1440" w:header="720" w:footer="720" w:gutter="0"/>
          <w:pgNumType w:start="1"/>
          <w:cols w:space="720"/>
          <w:noEndnote/>
          <w:docGrid w:linePitch="299"/>
        </w:sectPr>
      </w:pPr>
    </w:p>
    <w:p w:rsidR="00D53F73" w:rsidRPr="00841796" w:rsidP="00D53F73" w14:paraId="7376641B" w14:textId="77777777">
      <w:pPr>
        <w:jc w:val="center"/>
        <w:rPr>
          <w:b/>
          <w:bCs/>
        </w:rPr>
      </w:pPr>
      <w:r>
        <w:rPr>
          <w:b/>
          <w:bCs/>
        </w:rPr>
        <w:t>APPENDIX B</w:t>
      </w:r>
    </w:p>
    <w:p w:rsidR="00D53F73" w:rsidRPr="00FC7BD1" w:rsidP="00D53F73" w14:paraId="1FEB4617" w14:textId="77777777">
      <w:pPr>
        <w:tabs>
          <w:tab w:val="left" w:pos="4680"/>
        </w:tabs>
        <w:spacing w:after="220"/>
        <w:jc w:val="center"/>
        <w:rPr>
          <w:b/>
          <w:bCs/>
        </w:rPr>
      </w:pPr>
      <w:r>
        <w:rPr>
          <w:b/>
          <w:bCs/>
        </w:rPr>
        <w:t>Proposed</w:t>
      </w:r>
      <w:r w:rsidRPr="00FC7BD1">
        <w:rPr>
          <w:b/>
          <w:bCs/>
        </w:rPr>
        <w:t xml:space="preserve"> Rules</w:t>
      </w:r>
    </w:p>
    <w:p w:rsidR="00D53F73" w:rsidP="00D53F73" w14:paraId="1FEC9196" w14:textId="77777777">
      <w:pPr>
        <w:tabs>
          <w:tab w:val="left" w:pos="4680"/>
        </w:tabs>
        <w:spacing w:after="220"/>
      </w:pPr>
      <w:r w:rsidRPr="00FC7BD1">
        <w:t xml:space="preserve">For the reasons discussed in the preamble, the Federal Communications Commission </w:t>
      </w:r>
      <w:r>
        <w:t xml:space="preserve">proposes to </w:t>
      </w:r>
      <w:r w:rsidRPr="00FC7BD1">
        <w:t xml:space="preserve">amend 47 CFR part </w:t>
      </w:r>
      <w:r>
        <w:t>97</w:t>
      </w:r>
      <w:r w:rsidRPr="00FC7BD1">
        <w:t xml:space="preserve"> as follows:</w:t>
      </w:r>
    </w:p>
    <w:p w:rsidR="00D53F73" w:rsidP="00D53F73" w14:paraId="5199E7EE" w14:textId="77777777">
      <w:pPr>
        <w:tabs>
          <w:tab w:val="left" w:pos="4680"/>
        </w:tabs>
        <w:spacing w:after="120"/>
        <w:rPr>
          <w:b/>
          <w:bCs/>
        </w:rPr>
      </w:pPr>
      <w:r w:rsidRPr="00FC7BD1">
        <w:rPr>
          <w:b/>
          <w:bCs/>
        </w:rPr>
        <w:t xml:space="preserve">PART </w:t>
      </w:r>
      <w:r>
        <w:rPr>
          <w:b/>
          <w:bCs/>
        </w:rPr>
        <w:t>97</w:t>
      </w:r>
      <w:r w:rsidRPr="00FC7BD1">
        <w:rPr>
          <w:b/>
          <w:bCs/>
        </w:rPr>
        <w:t xml:space="preserve"> – </w:t>
      </w:r>
      <w:r>
        <w:rPr>
          <w:b/>
          <w:bCs/>
        </w:rPr>
        <w:t xml:space="preserve">Amateur Radio Service </w:t>
      </w:r>
    </w:p>
    <w:p w:rsidR="00D53F73" w:rsidRPr="00FC7BD1" w:rsidP="00D53F73" w14:paraId="18637765" w14:textId="77777777">
      <w:pPr>
        <w:ind w:firstLine="720"/>
      </w:pPr>
      <w:r w:rsidRPr="00FC7BD1">
        <w:t>1.</w:t>
      </w:r>
      <w:r w:rsidRPr="00FC7BD1">
        <w:tab/>
        <w:t xml:space="preserve">The authority citation for part </w:t>
      </w:r>
      <w:r>
        <w:t>97</w:t>
      </w:r>
      <w:r w:rsidRPr="00FC7BD1">
        <w:t xml:space="preserve"> continues to read as follows:</w:t>
      </w:r>
    </w:p>
    <w:p w:rsidR="00D53F73" w:rsidRPr="00FC7BD1" w:rsidP="00D53F73" w14:paraId="3AE820AE" w14:textId="77777777">
      <w:pPr>
        <w:tabs>
          <w:tab w:val="left" w:pos="4680"/>
        </w:tabs>
      </w:pPr>
    </w:p>
    <w:p w:rsidR="00D53F73" w:rsidRPr="00206F26" w:rsidP="00D53F73" w14:paraId="763A7585" w14:textId="74FCB00C">
      <w:pPr>
        <w:tabs>
          <w:tab w:val="left" w:pos="4680"/>
        </w:tabs>
        <w:spacing w:after="120"/>
      </w:pPr>
      <w:r w:rsidRPr="00FC7BD1">
        <w:t xml:space="preserve">AUTHORITY: </w:t>
      </w:r>
      <w:r>
        <w:t>47 U.S.C. 151</w:t>
      </w:r>
      <w:r w:rsidR="009F04AB">
        <w:t>–</w:t>
      </w:r>
      <w:r>
        <w:t>155, 301</w:t>
      </w:r>
      <w:r w:rsidR="009F04AB">
        <w:t>–</w:t>
      </w:r>
      <w:r>
        <w:t xml:space="preserve">609, unless otherwise noted. </w:t>
      </w:r>
      <w:r w:rsidRPr="00206F26">
        <w:rPr>
          <w:kern w:val="0"/>
        </w:rPr>
        <w:tab/>
      </w:r>
    </w:p>
    <w:p w:rsidR="00D53F73" w:rsidRPr="00206F26" w:rsidP="00D53F73" w14:paraId="3BBB6601" w14:textId="77777777">
      <w:pPr>
        <w:ind w:firstLine="720"/>
        <w:rPr>
          <w:kern w:val="0"/>
        </w:rPr>
      </w:pPr>
      <w:r>
        <w:t>2</w:t>
      </w:r>
      <w:r w:rsidRPr="00206F26">
        <w:t>.</w:t>
      </w:r>
      <w:r>
        <w:tab/>
      </w:r>
      <w:r w:rsidRPr="00206F26">
        <w:rPr>
          <w:kern w:val="0"/>
        </w:rPr>
        <w:t xml:space="preserve">Section 97.307 is amended by </w:t>
      </w:r>
      <w:r>
        <w:rPr>
          <w:kern w:val="0"/>
        </w:rPr>
        <w:t xml:space="preserve">revising paragraphs (f)(3), (5), and (6) to read as follows:   </w:t>
      </w:r>
    </w:p>
    <w:p w:rsidR="00D53F73" w:rsidRPr="00206F26" w:rsidP="00D53F73" w14:paraId="1F45036A" w14:textId="77777777">
      <w:pPr>
        <w:autoSpaceDE w:val="0"/>
        <w:autoSpaceDN w:val="0"/>
        <w:adjustRightInd w:val="0"/>
        <w:rPr>
          <w:b/>
          <w:bCs/>
          <w:kern w:val="0"/>
        </w:rPr>
      </w:pPr>
    </w:p>
    <w:p w:rsidR="00D53F73" w:rsidRPr="00206F26" w:rsidP="00D53F73" w14:paraId="35A0C530" w14:textId="77777777">
      <w:pPr>
        <w:autoSpaceDE w:val="0"/>
        <w:autoSpaceDN w:val="0"/>
        <w:adjustRightInd w:val="0"/>
        <w:ind w:firstLine="720"/>
        <w:rPr>
          <w:b/>
          <w:kern w:val="0"/>
        </w:rPr>
      </w:pPr>
      <w:r w:rsidRPr="00206F26">
        <w:rPr>
          <w:b/>
          <w:kern w:val="0"/>
        </w:rPr>
        <w:t xml:space="preserve">§  97.307  Emission standards.  </w:t>
      </w:r>
    </w:p>
    <w:p w:rsidR="00D53F73" w:rsidRPr="00206F26" w:rsidP="00D53F73" w14:paraId="73B98772" w14:textId="77777777">
      <w:pPr>
        <w:autoSpaceDE w:val="0"/>
        <w:autoSpaceDN w:val="0"/>
        <w:adjustRightInd w:val="0"/>
        <w:rPr>
          <w:b/>
          <w:kern w:val="0"/>
        </w:rPr>
      </w:pPr>
    </w:p>
    <w:p w:rsidR="00D53F73" w:rsidRPr="00206F26" w:rsidP="00D53F73" w14:paraId="2F8E056B" w14:textId="77777777">
      <w:pPr>
        <w:autoSpaceDE w:val="0"/>
        <w:autoSpaceDN w:val="0"/>
        <w:adjustRightInd w:val="0"/>
        <w:ind w:firstLine="720"/>
        <w:rPr>
          <w:kern w:val="0"/>
        </w:rPr>
      </w:pPr>
      <w:r w:rsidRPr="00206F26">
        <w:rPr>
          <w:kern w:val="0"/>
        </w:rPr>
        <w:t>* * * * *</w:t>
      </w:r>
    </w:p>
    <w:p w:rsidR="00D53F73" w:rsidRPr="00206F26" w:rsidP="00D53F73" w14:paraId="7672AE03" w14:textId="77777777">
      <w:pPr>
        <w:autoSpaceDE w:val="0"/>
        <w:autoSpaceDN w:val="0"/>
        <w:adjustRightInd w:val="0"/>
        <w:rPr>
          <w:kern w:val="0"/>
        </w:rPr>
      </w:pPr>
    </w:p>
    <w:p w:rsidR="00D53F73" w:rsidP="00D53F73" w14:paraId="288AA89F" w14:textId="77777777">
      <w:pPr>
        <w:autoSpaceDE w:val="0"/>
        <w:autoSpaceDN w:val="0"/>
        <w:adjustRightInd w:val="0"/>
        <w:ind w:firstLine="720"/>
        <w:rPr>
          <w:kern w:val="0"/>
        </w:rPr>
      </w:pPr>
      <w:r w:rsidRPr="00206F26">
        <w:rPr>
          <w:kern w:val="0"/>
        </w:rPr>
        <w:t>(f) * * *</w:t>
      </w:r>
    </w:p>
    <w:p w:rsidR="00D53F73" w:rsidRPr="00206F26" w:rsidP="00D53F73" w14:paraId="6A73953B" w14:textId="77777777">
      <w:pPr>
        <w:autoSpaceDE w:val="0"/>
        <w:autoSpaceDN w:val="0"/>
        <w:adjustRightInd w:val="0"/>
        <w:ind w:firstLine="720"/>
        <w:rPr>
          <w:kern w:val="0"/>
        </w:rPr>
      </w:pPr>
    </w:p>
    <w:p w:rsidR="00D53F73" w:rsidP="00D53F73" w14:paraId="6F30DE7C" w14:textId="77777777">
      <w:pPr>
        <w:autoSpaceDE w:val="0"/>
        <w:autoSpaceDN w:val="0"/>
        <w:adjustRightInd w:val="0"/>
        <w:ind w:firstLine="720"/>
        <w:rPr>
          <w:kern w:val="0"/>
        </w:rPr>
      </w:pPr>
      <w:r w:rsidRPr="00206F26">
        <w:rPr>
          <w:kern w:val="0"/>
        </w:rPr>
        <w:t xml:space="preserve">(3)  Only a RTTY or data emission using a specified digital code listed in § 97.309(a) may be transmitted.  </w:t>
      </w:r>
    </w:p>
    <w:p w:rsidR="00D53F73" w:rsidP="00D53F73" w14:paraId="40D42406" w14:textId="77777777">
      <w:pPr>
        <w:autoSpaceDE w:val="0"/>
        <w:autoSpaceDN w:val="0"/>
        <w:adjustRightInd w:val="0"/>
        <w:ind w:firstLine="720"/>
      </w:pPr>
    </w:p>
    <w:p w:rsidR="00D53F73" w:rsidRPr="00206F26" w:rsidP="00D53F73" w14:paraId="2576C017" w14:textId="77777777">
      <w:pPr>
        <w:autoSpaceDE w:val="0"/>
        <w:autoSpaceDN w:val="0"/>
        <w:adjustRightInd w:val="0"/>
        <w:ind w:firstLine="720"/>
        <w:rPr>
          <w:kern w:val="0"/>
        </w:rPr>
      </w:pPr>
      <w:r w:rsidRPr="00206F26">
        <w:rPr>
          <w:kern w:val="0"/>
        </w:rPr>
        <w:t>* * * * *</w:t>
      </w:r>
    </w:p>
    <w:p w:rsidR="00D53F73" w:rsidP="00D53F73" w14:paraId="57B3F7E3" w14:textId="77777777">
      <w:pPr>
        <w:autoSpaceDE w:val="0"/>
        <w:autoSpaceDN w:val="0"/>
        <w:adjustRightInd w:val="0"/>
        <w:ind w:firstLine="720"/>
        <w:rPr>
          <w:kern w:val="0"/>
        </w:rPr>
      </w:pPr>
    </w:p>
    <w:p w:rsidR="00D53F73" w:rsidP="00D53F73" w14:paraId="2E39AEE2" w14:textId="77777777">
      <w:pPr>
        <w:autoSpaceDE w:val="0"/>
        <w:autoSpaceDN w:val="0"/>
        <w:adjustRightInd w:val="0"/>
        <w:ind w:firstLine="720"/>
        <w:rPr>
          <w:kern w:val="0"/>
        </w:rPr>
      </w:pPr>
      <w:r w:rsidRPr="0062378F">
        <w:rPr>
          <w:kern w:val="0"/>
        </w:rPr>
        <w:t xml:space="preserve">(5) A RTTY, data or multiplexed emission using a specified digital code listed in § 97.309(a), or using an unspecified digital code under the limitations listed in § 97.309(b), may be transmitted.  The authorized bandwidth is 20 kHz.  </w:t>
      </w:r>
    </w:p>
    <w:p w:rsidR="00D53F73" w:rsidRPr="0062378F" w:rsidP="00D53F73" w14:paraId="75F6F1C2" w14:textId="77777777">
      <w:pPr>
        <w:autoSpaceDE w:val="0"/>
        <w:autoSpaceDN w:val="0"/>
        <w:adjustRightInd w:val="0"/>
        <w:ind w:firstLine="720"/>
        <w:rPr>
          <w:kern w:val="0"/>
        </w:rPr>
      </w:pPr>
    </w:p>
    <w:p w:rsidR="00D53F73" w:rsidP="00A46CB5" w14:paraId="76366498" w14:textId="6A708CB6">
      <w:pPr>
        <w:autoSpaceDE w:val="0"/>
        <w:autoSpaceDN w:val="0"/>
        <w:adjustRightInd w:val="0"/>
        <w:ind w:firstLine="720"/>
        <w:rPr>
          <w:kern w:val="0"/>
        </w:rPr>
      </w:pPr>
      <w:r w:rsidRPr="0062378F">
        <w:rPr>
          <w:kern w:val="0"/>
        </w:rPr>
        <w:t xml:space="preserve">(6) A RTTY, data or multiplexed emission using a specified digital code listed in § 97.309(a), or using an unspecified digital code under the limitations listed in § 97.309(b), may be transmitted.  The authorized bandwidth is 100 kHz.  </w:t>
      </w:r>
    </w:p>
    <w:p w:rsidR="00D53F73" w:rsidRPr="00206F26" w:rsidP="00D53F73" w14:paraId="5799D929" w14:textId="77777777">
      <w:pPr>
        <w:autoSpaceDE w:val="0"/>
        <w:autoSpaceDN w:val="0"/>
        <w:adjustRightInd w:val="0"/>
        <w:rPr>
          <w:kern w:val="0"/>
        </w:rPr>
      </w:pPr>
    </w:p>
    <w:p w:rsidR="00412FC5" w:rsidRPr="00D53F73" w:rsidP="00A46CB5" w14:paraId="60C2D60C" w14:textId="3526E754">
      <w:pPr>
        <w:autoSpaceDE w:val="0"/>
        <w:autoSpaceDN w:val="0"/>
        <w:adjustRightInd w:val="0"/>
        <w:ind w:firstLine="720"/>
      </w:pPr>
      <w:r w:rsidRPr="00206F26">
        <w:rPr>
          <w:kern w:val="0"/>
        </w:rPr>
        <w:t>* * * * *</w:t>
      </w:r>
    </w:p>
    <w:sectPr w:rsidSect="00C81307">
      <w:endnotePr>
        <w:numFmt w:val="decimal"/>
      </w:endnotePr>
      <w:pgSz w:w="12240" w:h="15840"/>
      <w:pgMar w:top="1440" w:right="1440" w:bottom="72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A6262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129E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81307" w14:paraId="6EE64772" w14:textId="10F97AF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BC6F0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4193" w14:paraId="5F750D31" w14:textId="77777777">
      <w:r>
        <w:separator/>
      </w:r>
    </w:p>
  </w:footnote>
  <w:footnote w:type="continuationSeparator" w:id="1">
    <w:p w:rsidR="00984193" w:rsidP="00C721AC" w14:paraId="02527AF8" w14:textId="77777777">
      <w:pPr>
        <w:spacing w:before="120"/>
        <w:rPr>
          <w:sz w:val="20"/>
        </w:rPr>
      </w:pPr>
      <w:r>
        <w:rPr>
          <w:sz w:val="20"/>
        </w:rPr>
        <w:t xml:space="preserve">(Continued from previous page)  </w:t>
      </w:r>
      <w:r>
        <w:rPr>
          <w:sz w:val="20"/>
        </w:rPr>
        <w:separator/>
      </w:r>
    </w:p>
  </w:footnote>
  <w:footnote w:type="continuationNotice" w:id="2">
    <w:p w:rsidR="00984193" w:rsidP="00C721AC" w14:paraId="1EA2B412" w14:textId="77777777">
      <w:pPr>
        <w:jc w:val="right"/>
        <w:rPr>
          <w:sz w:val="20"/>
        </w:rPr>
      </w:pPr>
      <w:r>
        <w:rPr>
          <w:sz w:val="20"/>
        </w:rPr>
        <w:t>(continued….)</w:t>
      </w:r>
    </w:p>
  </w:footnote>
  <w:footnote w:id="3">
    <w:p w:rsidR="00D53F73" w:rsidP="00D53F73" w14:paraId="0C86C9D8" w14:textId="77777777">
      <w:pPr>
        <w:pStyle w:val="FootnoteText"/>
      </w:pPr>
      <w:r>
        <w:rPr>
          <w:rStyle w:val="FootnoteReference"/>
        </w:rPr>
        <w:footnoteRef/>
      </w:r>
      <w:r>
        <w:t xml:space="preserve"> “The symbol rate of a digitally-modulated carrier wave is the rate at which the carrier waveform amplitude, frequency, and/or phase is varied to transmit information.”  </w:t>
      </w:r>
      <w:r w:rsidRPr="00A11549">
        <w:rPr>
          <w:i/>
          <w:iCs/>
        </w:rPr>
        <w:t>Comprehensive Review of Licensing and Operating Rules for Satellite Services</w:t>
      </w:r>
      <w:r w:rsidRPr="00A11549">
        <w:t xml:space="preserve">, </w:t>
      </w:r>
      <w:r>
        <w:t xml:space="preserve">IB Docket No. 12-267, </w:t>
      </w:r>
      <w:r w:rsidRPr="00A11549">
        <w:t xml:space="preserve">Notice of Proposed Rulemaking, 27 FCC </w:t>
      </w:r>
      <w:r w:rsidRPr="00A11549">
        <w:t>Rcd</w:t>
      </w:r>
      <w:r w:rsidRPr="00A11549">
        <w:t xml:space="preserve"> 11619, 11661, n.177 (2012)</w:t>
      </w:r>
      <w:r w:rsidRPr="00C047A4">
        <w:t xml:space="preserve">; </w:t>
      </w:r>
      <w:r w:rsidRPr="0040693C">
        <w:rPr>
          <w:i/>
        </w:rPr>
        <w:t>see also</w:t>
      </w:r>
      <w:r w:rsidRPr="00C047A4">
        <w:t xml:space="preserve"> 47 CFR § 101.3 (defining symbol rate as “</w:t>
      </w:r>
      <w:r>
        <w:t>[m]</w:t>
      </w:r>
      <w:r w:rsidRPr="00C047A4">
        <w:t>odulation</w:t>
      </w:r>
      <w:r w:rsidRPr="00C047A4">
        <w:t xml:space="preserve"> rate in bauds</w:t>
      </w:r>
      <w:r>
        <w:t>,” and noting, “[t]</w:t>
      </w:r>
      <w:r w:rsidRPr="00C047A4">
        <w:t>his rate may be higher than the transmitted bit rate as in the case of coded pulses or lower as in the case of multilevel transmission”).</w:t>
      </w:r>
    </w:p>
  </w:footnote>
  <w:footnote w:id="4">
    <w:p w:rsidR="00D53F73" w:rsidRPr="00463736" w:rsidP="00D53F73" w14:paraId="29FA0CC2" w14:textId="5923BD70">
      <w:pPr>
        <w:pStyle w:val="FootnoteText"/>
      </w:pPr>
      <w:r>
        <w:rPr>
          <w:rStyle w:val="FootnoteReference"/>
        </w:rPr>
        <w:footnoteRef/>
      </w:r>
      <w:r>
        <w:t xml:space="preserve"> </w:t>
      </w:r>
      <w:r>
        <w:rPr>
          <w:i/>
          <w:iCs/>
        </w:rPr>
        <w:t>See</w:t>
      </w:r>
      <w:r>
        <w:t xml:space="preserve"> 47 CFR § 97.305(c).  Bands with a 300 baud rate limitation that we eliminate in this </w:t>
      </w:r>
      <w:r>
        <w:rPr>
          <w:i/>
          <w:iCs/>
        </w:rPr>
        <w:t xml:space="preserve">Report and Order </w:t>
      </w:r>
      <w:r>
        <w:t>are: 160 meter band; 80 meter band; 40 meter band segments 7.000–7.100 MHz and 7.100–7.125 MHz; 30 meter band; 20 meter band segment 14.00–14.15 MHz; 17 meter band segment 18.068–18.110 MHz; 15 meter band segment 21.0–21.2 MHz; 12 meter band segment 24.89</w:t>
      </w:r>
      <w:r w:rsidR="009F04AB">
        <w:t>–</w:t>
      </w:r>
      <w:r>
        <w:t xml:space="preserve">24.93 </w:t>
      </w:r>
      <w:r>
        <w:t>MHz.</w:t>
      </w:r>
      <w:r>
        <w:t xml:space="preserve">  The 10 meter band segment 28.0–28.3 MHz has a 1200 baud rate limitation that we eliminate in this </w:t>
      </w:r>
      <w:r>
        <w:rPr>
          <w:i/>
          <w:iCs/>
        </w:rPr>
        <w:t>Report and Order</w:t>
      </w:r>
      <w:r>
        <w:t xml:space="preserve">.  </w:t>
      </w:r>
    </w:p>
  </w:footnote>
  <w:footnote w:id="5">
    <w:p w:rsidR="00D53F73" w:rsidRPr="00BE2E03" w:rsidP="00D53F73" w14:paraId="78C8252C" w14:textId="77777777">
      <w:pPr>
        <w:pStyle w:val="FootnoteText"/>
      </w:pPr>
      <w:r>
        <w:rPr>
          <w:rStyle w:val="FootnoteReference"/>
        </w:rPr>
        <w:footnoteRef/>
      </w:r>
      <w:r>
        <w:t xml:space="preserve"> </w:t>
      </w:r>
      <w:r>
        <w:rPr>
          <w:i/>
          <w:iCs/>
        </w:rPr>
        <w:t>See, e.g.,</w:t>
      </w:r>
      <w:r>
        <w:rPr>
          <w:i/>
        </w:rPr>
        <w:t xml:space="preserve"> </w:t>
      </w:r>
      <w:r>
        <w:rPr>
          <w:i/>
          <w:iCs/>
        </w:rPr>
        <w:t>Wireless Telecommunications Bureau Seeks Comment on New York University Petition for Declaratory Ruling Regarding Amateur Radio Communications</w:t>
      </w:r>
      <w:r>
        <w:t xml:space="preserve">, WT Docket No. 16-239, 34 FCC </w:t>
      </w:r>
      <w:r>
        <w:t>Rcd</w:t>
      </w:r>
      <w:r>
        <w:t xml:space="preserve"> 9916 (WTB 2019). </w:t>
      </w:r>
    </w:p>
  </w:footnote>
  <w:footnote w:id="6">
    <w:p w:rsidR="00D53F73" w:rsidP="00D53F73" w14:paraId="3146F9C1" w14:textId="77777777">
      <w:pPr>
        <w:pStyle w:val="FootnoteText"/>
      </w:pPr>
      <w:r>
        <w:rPr>
          <w:rStyle w:val="FootnoteReference"/>
        </w:rPr>
        <w:footnoteRef/>
      </w:r>
      <w:r>
        <w:t xml:space="preserve"> </w:t>
      </w:r>
      <w:r w:rsidRPr="00D31C1C">
        <w:t xml:space="preserve">In 2017, the Commission amended its </w:t>
      </w:r>
      <w:r>
        <w:t>p</w:t>
      </w:r>
      <w:r w:rsidRPr="00D31C1C">
        <w:t>art 97 rules to provide for amateur service use of the 135.7</w:t>
      </w:r>
      <w:r>
        <w:t>–</w:t>
      </w:r>
      <w:r w:rsidRPr="00D31C1C">
        <w:t>137.8 kHz (2200 meter) and 472</w:t>
      </w:r>
      <w:r>
        <w:t>–</w:t>
      </w:r>
      <w:r w:rsidRPr="00D31C1C">
        <w:t>479 kHz (630 meter) bands.</w:t>
      </w:r>
      <w:r>
        <w:t xml:space="preserve">  </w:t>
      </w:r>
      <w:r w:rsidRPr="008276FE">
        <w:rPr>
          <w:i/>
          <w:iCs/>
        </w:rPr>
        <w:t>See Amendment of Parts 2, 15, 80, 90, 97, and 101 of the Commission's Rules Regarding Implementation of the Final Acts of the World Radiocommunication Conference (Geneva, 2012)(WRC-12), Other Allocation Issues, and Related Rule Updates</w:t>
      </w:r>
      <w:r w:rsidRPr="008276FE">
        <w:t xml:space="preserve">, ET Docket No. 15-99, Report and Order, 32 FCC </w:t>
      </w:r>
      <w:r w:rsidRPr="008276FE">
        <w:t>Rcd</w:t>
      </w:r>
      <w:r w:rsidRPr="008276FE">
        <w:t xml:space="preserve"> 2703, 27</w:t>
      </w:r>
      <w:r>
        <w:t>08</w:t>
      </w:r>
      <w:r w:rsidRPr="008276FE">
        <w:t xml:space="preserve">, para. </w:t>
      </w:r>
      <w:r>
        <w:t>13</w:t>
      </w:r>
      <w:r w:rsidRPr="008276FE">
        <w:t xml:space="preserve"> (2017) (</w:t>
      </w:r>
      <w:r w:rsidRPr="00277AA1">
        <w:rPr>
          <w:i/>
          <w:iCs/>
        </w:rPr>
        <w:t>WRC-12 R&amp;O</w:t>
      </w:r>
      <w:r w:rsidRPr="008276FE">
        <w:t>)</w:t>
      </w:r>
      <w:r>
        <w:t xml:space="preserve"> (adopting </w:t>
      </w:r>
      <w:r w:rsidRPr="00B31D2A">
        <w:t>service rules for the amateur radio service in the 135.7</w:t>
      </w:r>
      <w:r>
        <w:t>–</w:t>
      </w:r>
      <w:r w:rsidRPr="00B31D2A">
        <w:t>137.8 kHz (2200 meter) and 472</w:t>
      </w:r>
      <w:r>
        <w:t>–</w:t>
      </w:r>
      <w:r w:rsidRPr="00B31D2A">
        <w:t>479 kHz (630 meter) bands</w:t>
      </w:r>
      <w:r>
        <w:t xml:space="preserve">). </w:t>
      </w:r>
      <w:r w:rsidRPr="00D31C1C">
        <w:t xml:space="preserve">  </w:t>
      </w:r>
    </w:p>
  </w:footnote>
  <w:footnote w:id="7">
    <w:p w:rsidR="00D53F73" w:rsidP="00D53F73" w14:paraId="0AE822D4" w14:textId="77777777">
      <w:pPr>
        <w:pStyle w:val="FootnoteText"/>
      </w:pPr>
      <w:r>
        <w:rPr>
          <w:rStyle w:val="FootnoteReference"/>
        </w:rPr>
        <w:footnoteRef/>
      </w:r>
      <w:r>
        <w:t xml:space="preserve"> </w:t>
      </w:r>
      <w:r w:rsidRPr="00753397">
        <w:t xml:space="preserve">RTTY emissions are narrow-band direct printing. </w:t>
      </w:r>
      <w:r>
        <w:t xml:space="preserve"> </w:t>
      </w:r>
      <w:r w:rsidRPr="00753397">
        <w:rPr>
          <w:i/>
          <w:iCs/>
        </w:rPr>
        <w:t>See</w:t>
      </w:r>
      <w:r w:rsidRPr="00753397">
        <w:t xml:space="preserve"> 47 CFR § 97.3(c)(7)</w:t>
      </w:r>
      <w:r>
        <w:t>.</w:t>
      </w:r>
      <w:r>
        <w:t xml:space="preserve">  </w:t>
      </w:r>
      <w:r w:rsidRPr="00753397">
        <w:t xml:space="preserve">Data emissions are telemetry, telecommand, and computer communications. </w:t>
      </w:r>
      <w:r>
        <w:t xml:space="preserve"> </w:t>
      </w:r>
      <w:r w:rsidRPr="00753397">
        <w:rPr>
          <w:i/>
          <w:iCs/>
        </w:rPr>
        <w:t>See</w:t>
      </w:r>
      <w:r w:rsidRPr="00753397">
        <w:t xml:space="preserve"> 47 CFR § 97.3(c)(2)</w:t>
      </w:r>
      <w:r>
        <w:t>.</w:t>
      </w:r>
      <w:r>
        <w:t xml:space="preserve">  </w:t>
      </w:r>
      <w:r w:rsidRPr="00753397">
        <w:t>Phone emissions are speech and other sounds.</w:t>
      </w:r>
      <w:r w:rsidRPr="00753397">
        <w:rPr>
          <w:i/>
          <w:iCs/>
        </w:rPr>
        <w:t xml:space="preserve"> </w:t>
      </w:r>
      <w:r>
        <w:rPr>
          <w:i/>
          <w:iCs/>
        </w:rPr>
        <w:t xml:space="preserve"> </w:t>
      </w:r>
      <w:r w:rsidRPr="00753397">
        <w:rPr>
          <w:i/>
          <w:iCs/>
        </w:rPr>
        <w:t>See</w:t>
      </w:r>
      <w:r w:rsidRPr="00753397">
        <w:t xml:space="preserve"> 47 CFR § 97.3(c)(5)</w:t>
      </w:r>
      <w:r>
        <w:t>.</w:t>
      </w:r>
      <w:r>
        <w:t xml:space="preserve">  </w:t>
      </w:r>
      <w:r w:rsidRPr="00DC14F8">
        <w:t xml:space="preserve">Image emissions are facsimile and television. </w:t>
      </w:r>
      <w:r>
        <w:t xml:space="preserve"> </w:t>
      </w:r>
      <w:r w:rsidRPr="00DC14F8">
        <w:rPr>
          <w:i/>
          <w:iCs/>
        </w:rPr>
        <w:t>See</w:t>
      </w:r>
      <w:r w:rsidRPr="00DC14F8">
        <w:t xml:space="preserve"> 47 CFR §§ 97.3(c)(3)</w:t>
      </w:r>
      <w:r>
        <w:t xml:space="preserve">, 97.305.  Additional emission types are permitted in higher frequency bands.  </w:t>
      </w:r>
      <w:r w:rsidRPr="00DC14F8">
        <w:rPr>
          <w:i/>
          <w:iCs/>
        </w:rPr>
        <w:t xml:space="preserve">See </w:t>
      </w:r>
      <w:r>
        <w:t xml:space="preserve">47 CFR </w:t>
      </w:r>
      <w:r w:rsidRPr="00DC14F8">
        <w:t>§§</w:t>
      </w:r>
      <w:r>
        <w:t xml:space="preserve"> 97.3(c), 97.305.</w:t>
      </w:r>
    </w:p>
  </w:footnote>
  <w:footnote w:id="8">
    <w:p w:rsidR="00D53F73" w:rsidP="00D53F73" w14:paraId="068CDDF6" w14:textId="77777777">
      <w:pPr>
        <w:pStyle w:val="FootnoteText"/>
      </w:pPr>
      <w:r>
        <w:rPr>
          <w:rStyle w:val="FootnoteReference"/>
        </w:rPr>
        <w:footnoteRef/>
      </w:r>
      <w:r>
        <w:t xml:space="preserve"> </w:t>
      </w:r>
      <w:r w:rsidRPr="0070279B">
        <w:rPr>
          <w:i/>
          <w:iCs/>
        </w:rPr>
        <w:t>See Reorganization and Deregulation of Part 97 of the Rules Governing the Amateur Radio Services</w:t>
      </w:r>
      <w:r>
        <w:t xml:space="preserve">, PR Docket No. 88-139, Notice of Proposed Rule Making, 3 FCC </w:t>
      </w:r>
      <w:r>
        <w:t>Rcd</w:t>
      </w:r>
      <w:r>
        <w:t xml:space="preserve"> 2076, 2078, para. 19 (1988).</w:t>
      </w:r>
    </w:p>
  </w:footnote>
  <w:footnote w:id="9">
    <w:p w:rsidR="00D53F73" w:rsidP="00D53F73" w14:paraId="652BC9A8" w14:textId="77777777">
      <w:pPr>
        <w:pStyle w:val="FootnoteText"/>
      </w:pPr>
      <w:r>
        <w:rPr>
          <w:rStyle w:val="FootnoteReference"/>
        </w:rPr>
        <w:footnoteRef/>
      </w:r>
      <w:r>
        <w:t xml:space="preserve"> </w:t>
      </w:r>
      <w:r w:rsidRPr="0070279B">
        <w:rPr>
          <w:i/>
          <w:iCs/>
        </w:rPr>
        <w:t>See Reorganization and Deregulation of Part 97 of the Rules Governing the Amateur Radio Services</w:t>
      </w:r>
      <w:r>
        <w:t xml:space="preserve">, PR Docket No. 88-139, Report and Order, 4 FCC </w:t>
      </w:r>
      <w:r>
        <w:t>Rcd</w:t>
      </w:r>
      <w:r>
        <w:t xml:space="preserve"> 4719, 4720, para. 9 (1989).</w:t>
      </w:r>
    </w:p>
  </w:footnote>
  <w:footnote w:id="10">
    <w:p w:rsidR="00D53F73" w:rsidRPr="008F59D1" w:rsidP="00D53F73" w14:paraId="5BE42113" w14:textId="77777777">
      <w:pPr>
        <w:pStyle w:val="FootnoteText"/>
      </w:pPr>
      <w:r>
        <w:rPr>
          <w:rStyle w:val="FootnoteReference"/>
        </w:rPr>
        <w:footnoteRef/>
      </w:r>
      <w:r>
        <w:t xml:space="preserve"> </w:t>
      </w:r>
      <w:r>
        <w:rPr>
          <w:i/>
          <w:iCs/>
        </w:rPr>
        <w:t>See</w:t>
      </w:r>
      <w:r>
        <w:t xml:space="preserve"> 47 CFR </w:t>
      </w:r>
      <w:r w:rsidRPr="00174757">
        <w:t>§</w:t>
      </w:r>
      <w:r>
        <w:t xml:space="preserve"> 97.307(f). </w:t>
      </w:r>
    </w:p>
  </w:footnote>
  <w:footnote w:id="11">
    <w:p w:rsidR="00D53F73" w:rsidRPr="00FC24AB" w:rsidP="00D53F73" w14:paraId="59D5B715" w14:textId="77777777">
      <w:pPr>
        <w:pStyle w:val="FootnoteText"/>
      </w:pPr>
      <w:r>
        <w:rPr>
          <w:rStyle w:val="FootnoteReference"/>
        </w:rPr>
        <w:footnoteRef/>
      </w:r>
      <w:r>
        <w:t xml:space="preserve"> </w:t>
      </w:r>
      <w:r>
        <w:rPr>
          <w:i/>
          <w:iCs/>
        </w:rPr>
        <w:t>See</w:t>
      </w:r>
      <w:r>
        <w:t xml:space="preserve"> 47 CFR </w:t>
      </w:r>
      <w:r w:rsidRPr="00174757">
        <w:t>§</w:t>
      </w:r>
      <w:r>
        <w:t xml:space="preserve"> 97.309(a)(1).</w:t>
      </w:r>
    </w:p>
  </w:footnote>
  <w:footnote w:id="12">
    <w:p w:rsidR="00D53F73" w:rsidP="00D53F73" w14:paraId="76DD9105" w14:textId="77777777">
      <w:pPr>
        <w:pStyle w:val="FootnoteText"/>
      </w:pPr>
      <w:r>
        <w:rPr>
          <w:rStyle w:val="FootnoteReference"/>
        </w:rPr>
        <w:footnoteRef/>
      </w:r>
      <w:r>
        <w:t xml:space="preserve"> </w:t>
      </w:r>
      <w:r>
        <w:rPr>
          <w:i/>
          <w:iCs/>
        </w:rPr>
        <w:t>See</w:t>
      </w:r>
      <w:r>
        <w:t xml:space="preserve"> 47 CFR </w:t>
      </w:r>
      <w:r w:rsidRPr="00174757">
        <w:t>§</w:t>
      </w:r>
      <w:r>
        <w:t xml:space="preserve"> 97.309(a)(2).</w:t>
      </w:r>
    </w:p>
  </w:footnote>
  <w:footnote w:id="13">
    <w:p w:rsidR="00D53F73" w:rsidP="00D53F73" w14:paraId="2D115857" w14:textId="77777777">
      <w:pPr>
        <w:pStyle w:val="FootnoteText"/>
      </w:pPr>
      <w:r>
        <w:rPr>
          <w:rStyle w:val="FootnoteReference"/>
        </w:rPr>
        <w:footnoteRef/>
      </w:r>
      <w:r>
        <w:t xml:space="preserve"> </w:t>
      </w:r>
      <w:r>
        <w:rPr>
          <w:i/>
          <w:iCs/>
        </w:rPr>
        <w:t>See</w:t>
      </w:r>
      <w:r>
        <w:t xml:space="preserve"> 47 CFR </w:t>
      </w:r>
      <w:r w:rsidRPr="00174757">
        <w:t>§</w:t>
      </w:r>
      <w:r>
        <w:t xml:space="preserve"> 97.309(a)(3).</w:t>
      </w:r>
    </w:p>
  </w:footnote>
  <w:footnote w:id="14">
    <w:p w:rsidR="00D53F73" w:rsidRPr="00CD07AE" w:rsidP="00D53F73" w14:paraId="0D76CE43" w14:textId="77777777">
      <w:pPr>
        <w:pStyle w:val="FootnoteText"/>
        <w:rPr>
          <w:i/>
          <w:iCs/>
        </w:rPr>
      </w:pPr>
      <w:r>
        <w:rPr>
          <w:rStyle w:val="FootnoteReference"/>
        </w:rPr>
        <w:footnoteRef/>
      </w:r>
      <w:r>
        <w:t xml:space="preserve"> </w:t>
      </w:r>
      <w:r>
        <w:rPr>
          <w:i/>
          <w:iCs/>
        </w:rPr>
        <w:t>See</w:t>
      </w:r>
      <w:r>
        <w:t xml:space="preserve"> 47 CFR </w:t>
      </w:r>
      <w:r w:rsidRPr="00174757">
        <w:t>§</w:t>
      </w:r>
      <w:r>
        <w:t xml:space="preserve"> 97.307(f)(14).</w:t>
      </w:r>
    </w:p>
  </w:footnote>
  <w:footnote w:id="15">
    <w:p w:rsidR="00D53F73" w:rsidP="00D53F73" w14:paraId="21D38CD9" w14:textId="77777777">
      <w:pPr>
        <w:pStyle w:val="FootnoteText"/>
      </w:pPr>
      <w:r>
        <w:rPr>
          <w:rStyle w:val="FootnoteReference"/>
        </w:rPr>
        <w:footnoteRef/>
      </w:r>
      <w:r>
        <w:t xml:space="preserve"> </w:t>
      </w:r>
      <w:r>
        <w:rPr>
          <w:i/>
          <w:iCs/>
        </w:rPr>
        <w:t>See</w:t>
      </w:r>
      <w:r>
        <w:t xml:space="preserve"> 47 CFR </w:t>
      </w:r>
      <w:r w:rsidRPr="00174757">
        <w:t>§</w:t>
      </w:r>
      <w:r>
        <w:t xml:space="preserve"> 97.307(f)(3),(4).</w:t>
      </w:r>
    </w:p>
  </w:footnote>
  <w:footnote w:id="16">
    <w:p w:rsidR="00D53F73" w:rsidP="00D53F73" w14:paraId="4BCF36A0" w14:textId="77777777">
      <w:pPr>
        <w:pStyle w:val="FootnoteText"/>
      </w:pPr>
      <w:r>
        <w:rPr>
          <w:rStyle w:val="FootnoteReference"/>
        </w:rPr>
        <w:footnoteRef/>
      </w:r>
      <w:r>
        <w:t xml:space="preserve"> </w:t>
      </w:r>
      <w:r>
        <w:rPr>
          <w:i/>
          <w:iCs/>
        </w:rPr>
        <w:t>See</w:t>
      </w:r>
      <w:r>
        <w:t xml:space="preserve"> 47 CFR </w:t>
      </w:r>
      <w:r w:rsidRPr="00174757">
        <w:t>§</w:t>
      </w:r>
      <w:r>
        <w:t xml:space="preserve"> 97.307(f)(5).</w:t>
      </w:r>
    </w:p>
  </w:footnote>
  <w:footnote w:id="17">
    <w:p w:rsidR="00D53F73" w:rsidP="00D53F73" w14:paraId="676F7123" w14:textId="77777777">
      <w:pPr>
        <w:pStyle w:val="FootnoteText"/>
      </w:pPr>
      <w:r>
        <w:rPr>
          <w:rStyle w:val="FootnoteReference"/>
        </w:rPr>
        <w:footnoteRef/>
      </w:r>
      <w:r>
        <w:t xml:space="preserve"> </w:t>
      </w:r>
      <w:r>
        <w:rPr>
          <w:i/>
          <w:iCs/>
        </w:rPr>
        <w:t>See</w:t>
      </w:r>
      <w:r>
        <w:t xml:space="preserve"> 47 CFR </w:t>
      </w:r>
      <w:r w:rsidRPr="00174757">
        <w:t>§</w:t>
      </w:r>
      <w:r>
        <w:t xml:space="preserve"> 97.307(f)(6), (13).</w:t>
      </w:r>
    </w:p>
  </w:footnote>
  <w:footnote w:id="18">
    <w:p w:rsidR="00D53F73" w:rsidP="00D53F73" w14:paraId="395443D3" w14:textId="77777777">
      <w:pPr>
        <w:pStyle w:val="FootnoteText"/>
      </w:pPr>
      <w:r>
        <w:rPr>
          <w:rStyle w:val="FootnoteReference"/>
        </w:rPr>
        <w:footnoteRef/>
      </w:r>
      <w:r>
        <w:t xml:space="preserve"> </w:t>
      </w:r>
      <w:r w:rsidRPr="005A3F38">
        <w:rPr>
          <w:i/>
          <w:iCs/>
        </w:rPr>
        <w:t>See Deregulation of Part 97 of the Rules Regarding Emissions Authorized in the Amateur Service</w:t>
      </w:r>
      <w:r>
        <w:t>, Docket No. 20777, Third Report and Order, 45 Fed. Reg. 8990, 8991, para. 4 (1980) (</w:t>
      </w:r>
      <w:r w:rsidRPr="005A3F38">
        <w:rPr>
          <w:i/>
          <w:iCs/>
        </w:rPr>
        <w:t>ASCII Report and Order</w:t>
      </w:r>
      <w:r>
        <w:t>).</w:t>
      </w:r>
    </w:p>
  </w:footnote>
  <w:footnote w:id="19">
    <w:p w:rsidR="00D53F73" w:rsidP="00D53F73" w14:paraId="70BAD602" w14:textId="77777777">
      <w:pPr>
        <w:pStyle w:val="FootnoteText"/>
      </w:pPr>
      <w:r>
        <w:rPr>
          <w:rStyle w:val="FootnoteReference"/>
        </w:rPr>
        <w:footnoteRef/>
      </w:r>
      <w:r>
        <w:t xml:space="preserve"> </w:t>
      </w:r>
      <w:r>
        <w:rPr>
          <w:i/>
          <w:iCs/>
        </w:rPr>
        <w:t>Id</w:t>
      </w:r>
      <w:r>
        <w:t>.</w:t>
      </w:r>
    </w:p>
  </w:footnote>
  <w:footnote w:id="20">
    <w:p w:rsidR="00D53F73" w:rsidP="00D53F73" w14:paraId="4AB0FB32" w14:textId="77777777">
      <w:pPr>
        <w:pStyle w:val="FootnoteText"/>
      </w:pPr>
      <w:r>
        <w:rPr>
          <w:rStyle w:val="FootnoteReference"/>
        </w:rPr>
        <w:footnoteRef/>
      </w:r>
      <w:r>
        <w:t xml:space="preserve"> Petition of the National Association for Amateur Radio for Rulemaking, WT Docket No. 16-239, at 1 (filed Nov. 15, 2013), </w:t>
      </w:r>
      <w:hyperlink r:id="rId1" w:history="1">
        <w:r w:rsidRPr="00FC4ECC">
          <w:rPr>
            <w:rStyle w:val="Hyperlink"/>
          </w:rPr>
          <w:t>https://www.fcc.gov/ecfs/document/6017477458/1</w:t>
        </w:r>
      </w:hyperlink>
      <w:r>
        <w:t xml:space="preserve"> (ARRL Petition). </w:t>
      </w:r>
    </w:p>
  </w:footnote>
  <w:footnote w:id="21">
    <w:p w:rsidR="00D53F73" w:rsidRPr="00CB2DEE" w:rsidP="00D53F73" w14:paraId="02A1795F" w14:textId="77777777">
      <w:pPr>
        <w:pStyle w:val="FootnoteText"/>
      </w:pPr>
      <w:r>
        <w:rPr>
          <w:rStyle w:val="FootnoteReference"/>
        </w:rPr>
        <w:footnoteRef/>
      </w:r>
      <w:r>
        <w:t xml:space="preserve"> </w:t>
      </w:r>
      <w:r>
        <w:rPr>
          <w:i/>
          <w:iCs/>
        </w:rPr>
        <w:t>Id.</w:t>
      </w:r>
      <w:r>
        <w:t xml:space="preserve"> </w:t>
      </w:r>
    </w:p>
  </w:footnote>
  <w:footnote w:id="22">
    <w:p w:rsidR="00D53F73" w:rsidRPr="006812AA" w:rsidP="00D53F73" w14:paraId="07B9DA94" w14:textId="77777777">
      <w:pPr>
        <w:pStyle w:val="FootnoteText"/>
      </w:pPr>
      <w:r>
        <w:rPr>
          <w:rStyle w:val="FootnoteReference"/>
        </w:rPr>
        <w:footnoteRef/>
      </w:r>
      <w:r>
        <w:t xml:space="preserve"> </w:t>
      </w:r>
      <w:r>
        <w:rPr>
          <w:i/>
          <w:iCs/>
        </w:rPr>
        <w:t>Id.</w:t>
      </w:r>
      <w:r>
        <w:t xml:space="preserve"> </w:t>
      </w:r>
    </w:p>
  </w:footnote>
  <w:footnote w:id="23">
    <w:p w:rsidR="00D53F73" w:rsidRPr="00647237" w:rsidP="00D53F73" w14:paraId="00030191" w14:textId="77777777">
      <w:pPr>
        <w:pStyle w:val="FootnoteText"/>
      </w:pPr>
      <w:r>
        <w:rPr>
          <w:rStyle w:val="FootnoteReference"/>
        </w:rPr>
        <w:footnoteRef/>
      </w:r>
      <w:r>
        <w:t xml:space="preserve"> </w:t>
      </w:r>
      <w:r w:rsidRPr="00F84408">
        <w:rPr>
          <w:i/>
          <w:iCs/>
        </w:rPr>
        <w:t>Amendment of Part 97 of the Commission's Amateur Radio Service Rules to Permit Greater Flexibility in Data Communications</w:t>
      </w:r>
      <w:r>
        <w:t xml:space="preserve">, WT Docket No. 16-239, Notice of Proposed Rulemaking, 31 FCC </w:t>
      </w:r>
      <w:r>
        <w:t>Rcd</w:t>
      </w:r>
      <w:r>
        <w:t xml:space="preserve"> 8485 (2016) (</w:t>
      </w:r>
      <w:r>
        <w:rPr>
          <w:i/>
          <w:iCs/>
        </w:rPr>
        <w:t>NPRM</w:t>
      </w:r>
      <w:r>
        <w:t xml:space="preserve">). </w:t>
      </w:r>
    </w:p>
  </w:footnote>
  <w:footnote w:id="24">
    <w:p w:rsidR="00D53F73" w:rsidP="00D53F73" w14:paraId="0E5FB8B7" w14:textId="77777777">
      <w:pPr>
        <w:pStyle w:val="FootnoteText"/>
      </w:pPr>
      <w:r>
        <w:rPr>
          <w:rStyle w:val="FootnoteReference"/>
        </w:rPr>
        <w:footnoteRef/>
      </w:r>
      <w:r>
        <w:t xml:space="preserve"> </w:t>
      </w:r>
      <w:r>
        <w:rPr>
          <w:i/>
          <w:iCs/>
        </w:rPr>
        <w:t>Id.</w:t>
      </w:r>
      <w:r>
        <w:t xml:space="preserve"> at</w:t>
      </w:r>
      <w:r>
        <w:rPr>
          <w:i/>
          <w:iCs/>
        </w:rPr>
        <w:t xml:space="preserve"> </w:t>
      </w:r>
      <w:r w:rsidRPr="00D05F97">
        <w:t>8489</w:t>
      </w:r>
      <w:r>
        <w:t xml:space="preserve">, para 10. </w:t>
      </w:r>
    </w:p>
  </w:footnote>
  <w:footnote w:id="25">
    <w:p w:rsidR="00D53F73" w:rsidP="00D53F73" w14:paraId="093DECAD" w14:textId="77777777">
      <w:pPr>
        <w:pStyle w:val="FootnoteText"/>
      </w:pPr>
      <w:r>
        <w:rPr>
          <w:rStyle w:val="FootnoteReference"/>
        </w:rPr>
        <w:footnoteRef/>
      </w:r>
      <w:r>
        <w:t xml:space="preserve"> The docket includes comments to the </w:t>
      </w:r>
      <w:r w:rsidRPr="00122C95">
        <w:rPr>
          <w:i/>
        </w:rPr>
        <w:t>NPRM</w:t>
      </w:r>
      <w:r>
        <w:t xml:space="preserve"> and other, unrelated petitions. </w:t>
      </w:r>
    </w:p>
  </w:footnote>
  <w:footnote w:id="26">
    <w:p w:rsidR="00D53F73" w:rsidP="00D53F73" w14:paraId="27AD58FE" w14:textId="77777777">
      <w:pPr>
        <w:pStyle w:val="FootnoteText"/>
      </w:pPr>
      <w:r>
        <w:rPr>
          <w:rStyle w:val="FootnoteReference"/>
        </w:rPr>
        <w:footnoteRef/>
      </w:r>
      <w:r>
        <w:t xml:space="preserve"> We do not remove the baud rate limitation in the 2200 meter band, the 630 meter band or in the VHF and UHF bands.  In the </w:t>
      </w:r>
      <w:r w:rsidRPr="249C6038">
        <w:rPr>
          <w:i/>
          <w:iCs/>
        </w:rPr>
        <w:t>FNPRM</w:t>
      </w:r>
      <w:r>
        <w:rPr>
          <w:i/>
          <w:iCs/>
        </w:rPr>
        <w:t>,</w:t>
      </w:r>
      <w:r>
        <w:t xml:space="preserve"> we propose to remove the baud rate limitation in the 2200 meter band and 630 meter band,</w:t>
      </w:r>
      <w:r>
        <w:t xml:space="preserve"> </w:t>
      </w:r>
      <w:r>
        <w:t xml:space="preserve">which the Commission allocated for amateur radio use after it released the </w:t>
      </w:r>
      <w:r w:rsidRPr="249C6038">
        <w:rPr>
          <w:i/>
          <w:iCs/>
        </w:rPr>
        <w:t>NPRM</w:t>
      </w:r>
      <w:r>
        <w:t xml:space="preserve"> in 2016, and in the very high frequency (VHF) bands and the ultra-high frequency (UHF) bands.  </w:t>
      </w:r>
    </w:p>
  </w:footnote>
  <w:footnote w:id="27">
    <w:p w:rsidR="00D53F73" w:rsidRPr="00FF2334" w:rsidP="00D53F73" w14:paraId="403BC394" w14:textId="77777777">
      <w:pPr>
        <w:pStyle w:val="FootnoteText"/>
      </w:pPr>
      <w:r>
        <w:rPr>
          <w:rStyle w:val="FootnoteReference"/>
        </w:rPr>
        <w:footnoteRef/>
      </w:r>
      <w:r>
        <w:t xml:space="preserve"> </w:t>
      </w:r>
      <w:r>
        <w:rPr>
          <w:i/>
          <w:iCs/>
        </w:rPr>
        <w:t>NPRM</w:t>
      </w:r>
      <w:r>
        <w:t xml:space="preserve">, 31 FCC </w:t>
      </w:r>
      <w:r>
        <w:t>Rcd</w:t>
      </w:r>
      <w:r>
        <w:t xml:space="preserve"> at 8488, para 8.</w:t>
      </w:r>
    </w:p>
  </w:footnote>
  <w:footnote w:id="28">
    <w:p w:rsidR="00D53F73" w:rsidRPr="00F435A0" w:rsidP="00D53F73" w14:paraId="4FCAE8E8" w14:textId="77777777">
      <w:pPr>
        <w:pStyle w:val="FootnoteText"/>
      </w:pPr>
      <w:r>
        <w:rPr>
          <w:rStyle w:val="FootnoteReference"/>
        </w:rPr>
        <w:footnoteRef/>
      </w:r>
      <w:r>
        <w:t xml:space="preserve"> </w:t>
      </w:r>
      <w:r>
        <w:rPr>
          <w:i/>
          <w:iCs/>
        </w:rPr>
        <w:t>Id.</w:t>
      </w:r>
    </w:p>
  </w:footnote>
  <w:footnote w:id="29">
    <w:p w:rsidR="00D53F73" w:rsidRPr="00C9670C" w:rsidP="00D53F73" w14:paraId="3655F03D" w14:textId="77777777">
      <w:pPr>
        <w:pStyle w:val="FootnoteText"/>
      </w:pPr>
      <w:r>
        <w:rPr>
          <w:rStyle w:val="FootnoteReference"/>
        </w:rPr>
        <w:footnoteRef/>
      </w:r>
      <w:r>
        <w:t xml:space="preserve"> </w:t>
      </w:r>
      <w:r>
        <w:rPr>
          <w:i/>
          <w:iCs/>
        </w:rPr>
        <w:t>Allocation of the 219–220 MHz Band for Use by the Amateur Radio Service</w:t>
      </w:r>
      <w:r>
        <w:t xml:space="preserve">, ET Docket No. 93-40, Notice of Proposed Rulemaking, 8 FCC </w:t>
      </w:r>
      <w:r>
        <w:t>Rcd</w:t>
      </w:r>
      <w:r>
        <w:t xml:space="preserve"> 2352, 2356, para. 30 (1993). </w:t>
      </w:r>
    </w:p>
  </w:footnote>
  <w:footnote w:id="30">
    <w:p w:rsidR="00D53F73" w:rsidP="00D53F73" w14:paraId="19EE137A" w14:textId="77777777">
      <w:pPr>
        <w:pStyle w:val="FootnoteText"/>
      </w:pPr>
      <w:r>
        <w:rPr>
          <w:rStyle w:val="FootnoteReference"/>
        </w:rPr>
        <w:footnoteRef/>
      </w:r>
      <w:r>
        <w:t xml:space="preserve"> </w:t>
      </w:r>
      <w:r>
        <w:rPr>
          <w:i/>
          <w:iCs/>
        </w:rPr>
        <w:t xml:space="preserve">See </w:t>
      </w:r>
      <w:r>
        <w:t xml:space="preserve">Janis Carson Comments at 1 (Sept. 1, 2016) (stating that the baud rate limit is obsolete).  </w:t>
      </w:r>
    </w:p>
  </w:footnote>
  <w:footnote w:id="31">
    <w:p w:rsidR="00D53F73" w:rsidRPr="007936B2" w:rsidP="00D53F73" w14:paraId="5D6DF574" w14:textId="77777777">
      <w:pPr>
        <w:pStyle w:val="FootnoteText"/>
      </w:pPr>
      <w:r>
        <w:rPr>
          <w:rStyle w:val="FootnoteReference"/>
        </w:rPr>
        <w:footnoteRef/>
      </w:r>
      <w:r>
        <w:t xml:space="preserve"> ARRL Petition at 3. </w:t>
      </w:r>
    </w:p>
  </w:footnote>
  <w:footnote w:id="32">
    <w:p w:rsidR="00D53F73" w:rsidRPr="00A51983" w:rsidP="00D53F73" w14:paraId="5E6E3D94" w14:textId="77777777">
      <w:pPr>
        <w:pStyle w:val="FootnoteText"/>
      </w:pPr>
      <w:r>
        <w:rPr>
          <w:rStyle w:val="FootnoteReference"/>
        </w:rPr>
        <w:footnoteRef/>
      </w:r>
      <w:r>
        <w:t xml:space="preserve"> Letter to Jessica </w:t>
      </w:r>
      <w:r>
        <w:t>Rosenworcel</w:t>
      </w:r>
      <w:r>
        <w:t xml:space="preserve">, Chairwoman, Federal Communications Commission, from Karla Jurren, Statewide Interoperability Coordinator, Texas Department of Public Safety, WT Docket No. 16-239, (filed July 10, 2023) (Texas Department of Public Safety </w:t>
      </w:r>
      <w:r>
        <w:rPr>
          <w:i/>
          <w:iCs/>
        </w:rPr>
        <w:t>Ex Parte</w:t>
      </w:r>
      <w:r>
        <w:t xml:space="preserve">). </w:t>
      </w:r>
    </w:p>
  </w:footnote>
  <w:footnote w:id="33">
    <w:p w:rsidR="00D53F73" w:rsidP="00D53F73" w14:paraId="463D39D2" w14:textId="77777777">
      <w:pPr>
        <w:pStyle w:val="FootnoteText"/>
      </w:pPr>
      <w:r>
        <w:rPr>
          <w:rStyle w:val="FootnoteReference"/>
        </w:rPr>
        <w:footnoteRef/>
      </w:r>
      <w:r>
        <w:t xml:space="preserve"> </w:t>
      </w:r>
      <w:r>
        <w:rPr>
          <w:i/>
          <w:iCs/>
        </w:rPr>
        <w:t>NPRM</w:t>
      </w:r>
      <w:r>
        <w:t xml:space="preserve">, 31 FCC </w:t>
      </w:r>
      <w:r>
        <w:t>Rcd</w:t>
      </w:r>
      <w:r>
        <w:t xml:space="preserve"> at 8488, para. 8.</w:t>
      </w:r>
    </w:p>
  </w:footnote>
  <w:footnote w:id="34">
    <w:p w:rsidR="00D53F73" w:rsidRPr="00B552C3" w:rsidP="00D53F73" w14:paraId="35E00C13" w14:textId="77777777">
      <w:pPr>
        <w:pStyle w:val="FootnoteText"/>
        <w:rPr>
          <w:i/>
          <w:iCs/>
        </w:rPr>
      </w:pPr>
      <w:r>
        <w:rPr>
          <w:rStyle w:val="FootnoteReference"/>
        </w:rPr>
        <w:footnoteRef/>
      </w:r>
      <w:r>
        <w:t xml:space="preserve"> “There is no technical reason for the symbol rate limit in 2019.”  Letter from Paul C. Steinhardt, Amateur Radio Safety Foundation Inc., to Marlene H. Dortch, Secretary, FCC, Docket No. 16-239, (filed Nov. 06, 2019) (</w:t>
      </w:r>
      <w:r w:rsidRPr="007E7965">
        <w:t>ARSFI Nov. 6, 2019</w:t>
      </w:r>
      <w:r>
        <w:rPr>
          <w:i/>
          <w:iCs/>
        </w:rPr>
        <w:t xml:space="preserve"> Ex Parte</w:t>
      </w:r>
      <w:r>
        <w:t xml:space="preserve">).  “We are the only country in the world that limits the symbol rate of amateur digital signals in this manner.”  Letter from David R. Siddall, Counsel to ARRL, to Marlene H. Dortch, Secretary, FCC, WT Docket No. 16-239, attached Letter from Roger Lord, Florida Statewide Interoperability Coordinator, Florida Division of Emergency Management, to Jessica </w:t>
      </w:r>
      <w:r>
        <w:t>Rosenworcel</w:t>
      </w:r>
      <w:r>
        <w:t xml:space="preserve">, Chairwoman, FCC, at 2 (filed on July 18, 2023) (ARRL July 18, 2023 </w:t>
      </w:r>
      <w:r>
        <w:rPr>
          <w:i/>
          <w:iCs/>
        </w:rPr>
        <w:t>Ex Parte</w:t>
      </w:r>
      <w:r>
        <w:t xml:space="preserve">). </w:t>
      </w:r>
    </w:p>
  </w:footnote>
  <w:footnote w:id="35">
    <w:p w:rsidR="00D53F73" w:rsidP="00D53F73" w14:paraId="6F3C061F" w14:textId="77777777">
      <w:pPr>
        <w:pStyle w:val="FootnoteText"/>
      </w:pPr>
      <w:r>
        <w:rPr>
          <w:rStyle w:val="FootnoteReference"/>
        </w:rPr>
        <w:footnoteRef/>
      </w:r>
      <w:r>
        <w:t xml:space="preserve"> </w:t>
      </w:r>
      <w:bookmarkStart w:id="8" w:name="_Hlk143167302"/>
      <w:r>
        <w:t xml:space="preserve">ARRL July 18, 2023 </w:t>
      </w:r>
      <w:r>
        <w:rPr>
          <w:i/>
          <w:iCs/>
        </w:rPr>
        <w:t>Ex Parte</w:t>
      </w:r>
      <w:r>
        <w:t xml:space="preserve"> at 2. </w:t>
      </w:r>
      <w:bookmarkEnd w:id="8"/>
    </w:p>
  </w:footnote>
  <w:footnote w:id="36">
    <w:p w:rsidR="00D53F73" w:rsidRPr="009B0831" w:rsidP="00D53F73" w14:paraId="6CC3CF91" w14:textId="24E1D52C">
      <w:pPr>
        <w:pStyle w:val="FootnoteText"/>
      </w:pPr>
      <w:r>
        <w:rPr>
          <w:rStyle w:val="FootnoteReference"/>
        </w:rPr>
        <w:footnoteRef/>
      </w:r>
      <w:r>
        <w:t xml:space="preserve"> </w:t>
      </w:r>
      <w:r>
        <w:rPr>
          <w:i/>
          <w:iCs/>
        </w:rPr>
        <w:t>See</w:t>
      </w:r>
      <w:r w:rsidR="00B34740">
        <w:rPr>
          <w:i/>
          <w:iCs/>
        </w:rPr>
        <w:t>,</w:t>
      </w:r>
      <w:r>
        <w:t xml:space="preserve"> </w:t>
      </w:r>
      <w:r>
        <w:rPr>
          <w:i/>
          <w:iCs/>
        </w:rPr>
        <w:t>e.g.</w:t>
      </w:r>
      <w:r>
        <w:t xml:space="preserve">, Mark Williams Comments (Dec. 16, 2019); Howard Evans Comments (Dec. 14, 2019); Texas Department of Public Safety </w:t>
      </w:r>
      <w:r>
        <w:rPr>
          <w:i/>
          <w:iCs/>
        </w:rPr>
        <w:t>Ex Parte</w:t>
      </w:r>
      <w:r>
        <w:t xml:space="preserve">. </w:t>
      </w:r>
    </w:p>
  </w:footnote>
  <w:footnote w:id="37">
    <w:p w:rsidR="00D53F73" w:rsidRPr="00D835DA" w:rsidP="00D53F73" w14:paraId="2EFED4B4" w14:textId="77777777">
      <w:pPr>
        <w:pStyle w:val="FootnoteText"/>
      </w:pPr>
      <w:r>
        <w:rPr>
          <w:rStyle w:val="FootnoteReference"/>
        </w:rPr>
        <w:footnoteRef/>
      </w:r>
      <w:r>
        <w:t xml:space="preserve"> Letter from David R. Siddall, Counsel to ARRL, to Marlene H. Dortch, Secretary, FCC, WT Docket No. 16-239, at 2 (filed on July 2, 2023) (ARRL July 2, 2023 </w:t>
      </w:r>
      <w:r>
        <w:rPr>
          <w:i/>
          <w:iCs/>
        </w:rPr>
        <w:t>Ex Parte</w:t>
      </w:r>
      <w:r>
        <w:t xml:space="preserve">). </w:t>
      </w:r>
    </w:p>
  </w:footnote>
  <w:footnote w:id="38">
    <w:p w:rsidR="00D53F73" w:rsidP="00D53F73" w14:paraId="0132CDF1" w14:textId="77777777">
      <w:pPr>
        <w:pStyle w:val="FootnoteText"/>
      </w:pPr>
      <w:r>
        <w:rPr>
          <w:rStyle w:val="FootnoteReference"/>
        </w:rPr>
        <w:footnoteRef/>
      </w:r>
      <w:r>
        <w:t xml:space="preserve"> “Given advancement in radio technology, [baud rates] no longer make sense, and they stifle innovation and experimentation by amateurs.”  Michael Adams Comments at 1 (Aug. 31, 2016). </w:t>
      </w:r>
    </w:p>
  </w:footnote>
  <w:footnote w:id="39">
    <w:p w:rsidR="00D53F73" w:rsidRPr="00172CB8" w:rsidP="00D53F73" w14:paraId="15135425" w14:textId="77777777">
      <w:pPr>
        <w:pStyle w:val="FootnoteText"/>
      </w:pPr>
      <w:r>
        <w:rPr>
          <w:rStyle w:val="FootnoteReference"/>
        </w:rPr>
        <w:footnoteRef/>
      </w:r>
      <w:r>
        <w:t xml:space="preserve"> Letter from David R. Siddall, Counsel to ARRL, to Marlene H. Dortch, Secretary, FCC, WT Docket No. 16-239, at 2 (filed on July 24, 2023) (ARRL July 24, 2023 </w:t>
      </w:r>
      <w:r>
        <w:rPr>
          <w:i/>
          <w:iCs/>
        </w:rPr>
        <w:t>Ex Parte</w:t>
      </w:r>
      <w:r>
        <w:t>).</w:t>
      </w:r>
    </w:p>
  </w:footnote>
  <w:footnote w:id="40">
    <w:p w:rsidR="00D53F73" w:rsidRPr="00AA2165" w:rsidP="00D53F73" w14:paraId="218FCEC2" w14:textId="77777777">
      <w:pPr>
        <w:pStyle w:val="FootnoteText"/>
      </w:pPr>
      <w:r>
        <w:rPr>
          <w:rStyle w:val="FootnoteReference"/>
        </w:rPr>
        <w:footnoteRef/>
      </w:r>
      <w:r>
        <w:t xml:space="preserve"> </w:t>
      </w:r>
      <w:r>
        <w:rPr>
          <w:i/>
        </w:rPr>
        <w:t xml:space="preserve">See, e.g., </w:t>
      </w:r>
      <w:r>
        <w:rPr>
          <w:iCs/>
        </w:rPr>
        <w:t xml:space="preserve">Nickolaus E. Leggett Comments at 2 (Aug. 1, 2026) (arguing that before changing the rules, the Commission should allow the amateur community to conduct on-air testing to demonstrate that </w:t>
      </w:r>
      <w:r>
        <w:t>broader bandwidth digital communications will not displace narrowband emissions</w:t>
      </w:r>
      <w:r>
        <w:rPr>
          <w:iCs/>
        </w:rPr>
        <w:t xml:space="preserve">); Dan White Comments at 7 (Aug. 8, 2016) (arguing that </w:t>
      </w:r>
      <w:r>
        <w:t>wideband unlimited data emissions “will overwhelm and eliminate the ability of current narrow band operators to enjoy the Amateur Radio Service”)</w:t>
      </w:r>
      <w:r>
        <w:rPr>
          <w:iCs/>
        </w:rPr>
        <w:t xml:space="preserve">.  </w:t>
      </w:r>
      <w:r>
        <w:t xml:space="preserve">Many comments filed during the </w:t>
      </w:r>
      <w:r w:rsidRPr="00B458F9">
        <w:rPr>
          <w:i/>
        </w:rPr>
        <w:t>NPRM</w:t>
      </w:r>
      <w:r>
        <w:t xml:space="preserve"> comment/reply period were submitted under the rulemaking number for one or both of the ARRL rulemaking petitions instead of or in addition to the docket number for the </w:t>
      </w:r>
      <w:r>
        <w:rPr>
          <w:i/>
        </w:rPr>
        <w:t>NPRM</w:t>
      </w:r>
      <w:r>
        <w:t>.  Our citations to comments identify the proceeding(s) in which they were filed.</w:t>
      </w:r>
    </w:p>
  </w:footnote>
  <w:footnote w:id="41">
    <w:p w:rsidR="00D53F73" w:rsidP="00D53F73" w14:paraId="24FBBA1D" w14:textId="77777777">
      <w:pPr>
        <w:pStyle w:val="FootnoteText"/>
      </w:pPr>
      <w:r>
        <w:rPr>
          <w:rStyle w:val="FootnoteReference"/>
        </w:rPr>
        <w:footnoteRef/>
      </w:r>
      <w:r>
        <w:t xml:space="preserve"> 47 CFR § 97.101(b) (“</w:t>
      </w:r>
      <w:r w:rsidRPr="004C04E7">
        <w:t xml:space="preserve">Each station licensee and each control operator must cooperate in selecting transmitting channels and in making the most effective use of the amateur service frequencies. </w:t>
      </w:r>
      <w:r>
        <w:t xml:space="preserve"> </w:t>
      </w:r>
      <w:r w:rsidRPr="004C04E7">
        <w:t>No frequency will be assigned for the exclusive use of any station.</w:t>
      </w:r>
      <w:r>
        <w:t>”); 47 CFR § 97.101(d) (“</w:t>
      </w:r>
      <w:r w:rsidRPr="000729C8">
        <w:t>No amateur operator shall willfully or maliciously interfere with or cause interference to any radio communication or signal.</w:t>
      </w:r>
      <w:r>
        <w:t>”).</w:t>
      </w:r>
    </w:p>
  </w:footnote>
  <w:footnote w:id="42">
    <w:p w:rsidR="00D53F73" w:rsidP="00D53F73" w14:paraId="681FAD42" w14:textId="77777777">
      <w:pPr>
        <w:pStyle w:val="FootnoteText"/>
      </w:pPr>
      <w:r>
        <w:rPr>
          <w:rStyle w:val="FootnoteReference"/>
        </w:rPr>
        <w:footnoteRef/>
      </w:r>
      <w:r>
        <w:t xml:space="preserve"> 47 CFR §§ 97.101(b), 97.101(d). </w:t>
      </w:r>
    </w:p>
  </w:footnote>
  <w:footnote w:id="43">
    <w:p w:rsidR="00D53F73" w:rsidRPr="00E7314F" w:rsidP="00D53F73" w14:paraId="2246A072" w14:textId="06BBC424">
      <w:pPr>
        <w:pStyle w:val="FootnoteText"/>
      </w:pPr>
      <w:r>
        <w:rPr>
          <w:rStyle w:val="FootnoteReference"/>
        </w:rPr>
        <w:footnoteRef/>
      </w:r>
      <w:r>
        <w:t xml:space="preserve"> </w:t>
      </w:r>
      <w:r w:rsidRPr="00E7314F">
        <w:rPr>
          <w:i/>
          <w:iCs/>
        </w:rPr>
        <w:t>See, e.g.,</w:t>
      </w:r>
      <w:r w:rsidRPr="00E7314F">
        <w:t xml:space="preserve"> 47 CFR § 97.101(b)</w:t>
      </w:r>
      <w:r w:rsidRPr="00E7314F">
        <w:rPr>
          <w:rStyle w:val="cf01"/>
          <w:rFonts w:ascii="Times New Roman" w:hAnsi="Times New Roman" w:cs="Times New Roman"/>
          <w:sz w:val="20"/>
          <w:szCs w:val="20"/>
        </w:rPr>
        <w:t>; 47 CFR § 97.307 (“</w:t>
      </w:r>
      <w:r w:rsidRPr="00E7314F">
        <w:t>No amateur station transmission shall occupy more bandwidth than necessary for the information rate and emission type being transmitted, in accordance with good amateur practice.”)</w:t>
      </w:r>
      <w:r w:rsidRPr="00E7314F">
        <w:rPr>
          <w:rStyle w:val="cf01"/>
          <w:rFonts w:ascii="Times New Roman" w:hAnsi="Times New Roman" w:cs="Times New Roman"/>
          <w:sz w:val="20"/>
          <w:szCs w:val="20"/>
        </w:rPr>
        <w:t xml:space="preserve">; </w:t>
      </w:r>
      <w:r w:rsidRPr="00E7314F">
        <w:t>47 CFR § 97.113 (amateur licensees</w:t>
      </w:r>
      <w:r w:rsidRPr="00E7314F">
        <w:rPr>
          <w:rStyle w:val="cf01"/>
          <w:rFonts w:ascii="Times New Roman" w:hAnsi="Times New Roman" w:cs="Times New Roman"/>
          <w:sz w:val="20"/>
          <w:szCs w:val="20"/>
        </w:rPr>
        <w:t xml:space="preserve"> must not transmit</w:t>
      </w:r>
      <w:r w:rsidRPr="00E7314F">
        <w:t xml:space="preserve"> communications, on a regular basis, which could reasonably be furnished alternatively through other radio services)</w:t>
      </w:r>
      <w:r w:rsidRPr="00E7314F">
        <w:rPr>
          <w:rStyle w:val="cf01"/>
          <w:rFonts w:ascii="Times New Roman" w:hAnsi="Times New Roman" w:cs="Times New Roman"/>
          <w:sz w:val="20"/>
          <w:szCs w:val="20"/>
        </w:rPr>
        <w:t>.</w:t>
      </w:r>
    </w:p>
  </w:footnote>
  <w:footnote w:id="44">
    <w:p w:rsidR="00D53F73" w:rsidRPr="0053651E" w:rsidP="00D53F73" w14:paraId="0A8600F2" w14:textId="77777777">
      <w:pPr>
        <w:pStyle w:val="FootnoteText"/>
      </w:pPr>
      <w:r>
        <w:rPr>
          <w:rStyle w:val="FootnoteReference"/>
        </w:rPr>
        <w:footnoteRef/>
      </w:r>
      <w:r>
        <w:t xml:space="preserve"> ARRL July 2, 2023 </w:t>
      </w:r>
      <w:r>
        <w:rPr>
          <w:i/>
          <w:iCs/>
        </w:rPr>
        <w:t xml:space="preserve">Ex Parte </w:t>
      </w:r>
      <w:r>
        <w:t xml:space="preserve">at 2; </w:t>
      </w:r>
      <w:r>
        <w:rPr>
          <w:i/>
          <w:iCs/>
        </w:rPr>
        <w:t>American Radio Relay League, Inc. Emergency Request for a Temporary Waiver of Section 97.307(f) of the Commission’s Rules</w:t>
      </w:r>
      <w:r>
        <w:t xml:space="preserve">, Order, 35 FCC </w:t>
      </w:r>
      <w:r>
        <w:t>Rcd</w:t>
      </w:r>
      <w:r>
        <w:t xml:space="preserve"> 10393, 10393 para. 1 (WTB 2020) (granting a temporary waiver “to permit amateur data transmissions at a higher symbol rate than currently is permitted by section 97.307(f) of the Commission’s rules, in order to facilitate hurricane and wildfire relief communications within the United States and its territories”); </w:t>
      </w:r>
      <w:r>
        <w:rPr>
          <w:i/>
          <w:iCs/>
        </w:rPr>
        <w:t>see also American Radio Relay League, Inc. Emergency Request for a Temporary Waiver of Section 97.307(f) of the Commission’s Rules</w:t>
      </w:r>
      <w:r>
        <w:t xml:space="preserve">, Order, 33 FCC </w:t>
      </w:r>
      <w:r>
        <w:t>Rcd</w:t>
      </w:r>
      <w:r>
        <w:t xml:space="preserve"> 8758 (WTB 2018); </w:t>
      </w:r>
      <w:r>
        <w:rPr>
          <w:i/>
          <w:iCs/>
        </w:rPr>
        <w:t>American Radio Relay League, Inc. Emergency Request for a Temporary Waiver of Section 97.307(f) of the Commission’s Rules</w:t>
      </w:r>
      <w:r>
        <w:t>, Order, DA 22-1011 (WTB 2022</w:t>
      </w:r>
      <w:r w:rsidRPr="00A801E0">
        <w:t>)</w:t>
      </w:r>
      <w:r>
        <w:t xml:space="preserve">; </w:t>
      </w:r>
      <w:r>
        <w:rPr>
          <w:i/>
          <w:iCs/>
        </w:rPr>
        <w:t>American Radio Relay League, Inc. Emergency Request for a Temporary Waiver of Section 97.307(f) of the Commission’s Rules</w:t>
      </w:r>
      <w:r>
        <w:t xml:space="preserve">, Order, 32 FCC </w:t>
      </w:r>
      <w:r>
        <w:t>Rcd</w:t>
      </w:r>
      <w:r>
        <w:t xml:space="preserve"> 7428 (WTB 2017); </w:t>
      </w:r>
      <w:r>
        <w:rPr>
          <w:i/>
          <w:iCs/>
        </w:rPr>
        <w:t>American Radio Relay League, Inc. Emergency Request for a Temporary Waiver of Section 97.307(f) of the Commission’s Rules</w:t>
      </w:r>
      <w:r>
        <w:t xml:space="preserve">, Order, 35 FCC </w:t>
      </w:r>
      <w:r>
        <w:t>Rcd</w:t>
      </w:r>
      <w:r>
        <w:t xml:space="preserve"> 9924 (WTB 2020); </w:t>
      </w:r>
      <w:r>
        <w:rPr>
          <w:i/>
          <w:iCs/>
        </w:rPr>
        <w:t>American Radio Relay League, Inc. Emergency Request for a Temporary Waiver of Section 97.307(f) of the Commission’s Rules</w:t>
      </w:r>
      <w:r>
        <w:t xml:space="preserve">, Order, 34 FCC </w:t>
      </w:r>
      <w:r>
        <w:t>Rcd</w:t>
      </w:r>
      <w:r>
        <w:t xml:space="preserve"> 7956 (WTB 2019).</w:t>
      </w:r>
    </w:p>
  </w:footnote>
  <w:footnote w:id="45">
    <w:p w:rsidR="00D53F73" w:rsidP="00D53F73" w14:paraId="51DEFAFC" w14:textId="77777777">
      <w:pPr>
        <w:pStyle w:val="FootnoteText"/>
      </w:pPr>
      <w:r>
        <w:rPr>
          <w:rStyle w:val="FootnoteReference"/>
        </w:rPr>
        <w:footnoteRef/>
      </w:r>
      <w:r>
        <w:t xml:space="preserve"> ARRL July 2, 2023 </w:t>
      </w:r>
      <w:r>
        <w:rPr>
          <w:i/>
          <w:iCs/>
        </w:rPr>
        <w:t xml:space="preserve">Ex Parte </w:t>
      </w:r>
      <w:r>
        <w:t>at 2.</w:t>
      </w:r>
    </w:p>
  </w:footnote>
  <w:footnote w:id="46">
    <w:p w:rsidR="00D53F73" w:rsidRPr="00551864" w:rsidP="00D53F73" w14:paraId="724F82CA" w14:textId="77777777">
      <w:pPr>
        <w:pStyle w:val="FootnoteText"/>
      </w:pPr>
      <w:r>
        <w:rPr>
          <w:rStyle w:val="FootnoteReference"/>
        </w:rPr>
        <w:footnoteRef/>
      </w:r>
      <w:r>
        <w:t xml:space="preserve"> </w:t>
      </w:r>
      <w:r>
        <w:rPr>
          <w:i/>
          <w:iCs/>
        </w:rPr>
        <w:t>Id.</w:t>
      </w:r>
      <w:r>
        <w:t xml:space="preserve"> </w:t>
      </w:r>
    </w:p>
  </w:footnote>
  <w:footnote w:id="47">
    <w:p w:rsidR="00D53F73" w:rsidP="00D53F73" w14:paraId="6F597924" w14:textId="77777777">
      <w:pPr>
        <w:pStyle w:val="FootnoteText"/>
      </w:pPr>
      <w:r>
        <w:rPr>
          <w:rStyle w:val="FootnoteReference"/>
        </w:rPr>
        <w:footnoteRef/>
      </w:r>
      <w:r>
        <w:t xml:space="preserve"> </w:t>
      </w:r>
      <w:r w:rsidRPr="00CC1249">
        <w:rPr>
          <w:i/>
          <w:iCs/>
        </w:rPr>
        <w:t>Id</w:t>
      </w:r>
      <w:r>
        <w:t>.</w:t>
      </w:r>
    </w:p>
  </w:footnote>
  <w:footnote w:id="48">
    <w:p w:rsidR="00D53F73" w:rsidP="00D53F73" w14:paraId="56893A5C" w14:textId="77777777">
      <w:pPr>
        <w:pStyle w:val="FootnoteText"/>
      </w:pPr>
      <w:r>
        <w:rPr>
          <w:rStyle w:val="FootnoteReference"/>
        </w:rPr>
        <w:footnoteRef/>
      </w:r>
      <w:r>
        <w:t xml:space="preserve"> ARRL Petition</w:t>
      </w:r>
      <w:r>
        <w:t xml:space="preserve"> </w:t>
      </w:r>
      <w:r>
        <w:t>at 1.</w:t>
      </w:r>
    </w:p>
  </w:footnote>
  <w:footnote w:id="49">
    <w:p w:rsidR="00D53F73" w:rsidP="00D53F73" w14:paraId="6990C4FE" w14:textId="77777777">
      <w:pPr>
        <w:pStyle w:val="FootnoteText"/>
      </w:pPr>
      <w:r>
        <w:rPr>
          <w:rStyle w:val="FootnoteReference"/>
        </w:rPr>
        <w:footnoteRef/>
      </w:r>
      <w:r>
        <w:t xml:space="preserve"> </w:t>
      </w:r>
      <w:r>
        <w:rPr>
          <w:i/>
          <w:iCs/>
        </w:rPr>
        <w:t>NPRM</w:t>
      </w:r>
      <w:r>
        <w:t xml:space="preserve">, 31 FCC </w:t>
      </w:r>
      <w:r>
        <w:t>Rcd</w:t>
      </w:r>
      <w:r>
        <w:t xml:space="preserve"> at 8489, para. 10.</w:t>
      </w:r>
    </w:p>
  </w:footnote>
  <w:footnote w:id="50">
    <w:p w:rsidR="00D53F73" w:rsidP="00D53F73" w14:paraId="71E241DA" w14:textId="77777777">
      <w:pPr>
        <w:pStyle w:val="FootnoteText"/>
      </w:pPr>
      <w:r>
        <w:rPr>
          <w:rStyle w:val="FootnoteReference"/>
        </w:rPr>
        <w:footnoteRef/>
      </w:r>
      <w:r>
        <w:t xml:space="preserve"> </w:t>
      </w:r>
      <w:r>
        <w:rPr>
          <w:i/>
          <w:iCs/>
        </w:rPr>
        <w:t>Id</w:t>
      </w:r>
      <w:r>
        <w:t>.</w:t>
      </w:r>
    </w:p>
  </w:footnote>
  <w:footnote w:id="51">
    <w:p w:rsidR="00D53F73" w:rsidP="00D53F73" w14:paraId="10053286" w14:textId="77777777">
      <w:pPr>
        <w:pStyle w:val="FootnoteText"/>
      </w:pPr>
      <w:r>
        <w:rPr>
          <w:rStyle w:val="FootnoteReference"/>
        </w:rPr>
        <w:footnoteRef/>
      </w:r>
      <w:r>
        <w:t xml:space="preserve"> 47 CFR § 97.305. </w:t>
      </w:r>
    </w:p>
  </w:footnote>
  <w:footnote w:id="52">
    <w:p w:rsidR="00D53F73" w:rsidRPr="00594C57" w:rsidP="00D53F73" w14:paraId="326FE891" w14:textId="77777777">
      <w:pPr>
        <w:pStyle w:val="FootnoteText"/>
      </w:pPr>
      <w:r>
        <w:rPr>
          <w:rStyle w:val="FootnoteReference"/>
        </w:rPr>
        <w:footnoteRef/>
      </w:r>
      <w:r>
        <w:t xml:space="preserve"> </w:t>
      </w:r>
      <w:r>
        <w:rPr>
          <w:i/>
        </w:rPr>
        <w:t xml:space="preserve">See, </w:t>
      </w:r>
      <w:r>
        <w:rPr>
          <w:i/>
        </w:rPr>
        <w:t>e,g</w:t>
      </w:r>
      <w:r>
        <w:rPr>
          <w:i/>
        </w:rPr>
        <w:t xml:space="preserve">. </w:t>
      </w:r>
      <w:r>
        <w:t xml:space="preserve">Dan Zeitlin Comments, at 1 (Nov. 10, 2016) (Zeitlin Comments); Chuck Crisler Comments at 3 (Oct. 18, 2016); Dan White Comments, </w:t>
      </w:r>
      <w:r w:rsidRPr="00F33FFF">
        <w:t>1</w:t>
      </w:r>
      <w:r>
        <w:t xml:space="preserve"> (Aug. 8, 2016); David Jaksa Comments (Oct. 12, 2016); Jory McIntosh Comments at 2 (Aug. 8, 2016); Richard Cochran Comments at 1 (Aug. 31, 2016); ARRL July 24, 2023 </w:t>
      </w:r>
      <w:r>
        <w:rPr>
          <w:i/>
          <w:iCs/>
        </w:rPr>
        <w:t>Ex Parte</w:t>
      </w:r>
      <w:r>
        <w:t xml:space="preserve"> at 2.</w:t>
      </w:r>
    </w:p>
  </w:footnote>
  <w:footnote w:id="53">
    <w:p w:rsidR="00D53F73" w:rsidRPr="00524303" w:rsidP="00D53F73" w14:paraId="0A39CAC3" w14:textId="77777777">
      <w:pPr>
        <w:pStyle w:val="FootnoteText"/>
      </w:pPr>
      <w:r>
        <w:rPr>
          <w:rStyle w:val="FootnoteReference"/>
        </w:rPr>
        <w:footnoteRef/>
      </w:r>
      <w:r>
        <w:t xml:space="preserve"> ARRL July 2, 2023 </w:t>
      </w:r>
      <w:r>
        <w:rPr>
          <w:i/>
          <w:iCs/>
        </w:rPr>
        <w:t>Ex Parte</w:t>
      </w:r>
      <w:r>
        <w:t xml:space="preserve"> at 2. </w:t>
      </w:r>
    </w:p>
  </w:footnote>
  <w:footnote w:id="54">
    <w:p w:rsidR="00D53F73" w:rsidP="00D53F73" w14:paraId="66244446" w14:textId="1E91C4AD">
      <w:pPr>
        <w:pStyle w:val="FootnoteText"/>
      </w:pPr>
      <w:r>
        <w:rPr>
          <w:rStyle w:val="FootnoteReference"/>
        </w:rPr>
        <w:footnoteRef/>
      </w:r>
      <w:r>
        <w:t xml:space="preserve"> </w:t>
      </w:r>
      <w:r w:rsidRPr="00C64B1B">
        <w:rPr>
          <w:i/>
          <w:iCs/>
        </w:rPr>
        <w:t>See</w:t>
      </w:r>
      <w:r w:rsidR="006269F7">
        <w:rPr>
          <w:i/>
          <w:iCs/>
        </w:rPr>
        <w:t>,</w:t>
      </w:r>
      <w:r w:rsidR="00324EE0">
        <w:rPr>
          <w:i/>
          <w:iCs/>
        </w:rPr>
        <w:t xml:space="preserve"> </w:t>
      </w:r>
      <w:r w:rsidRPr="00C64B1B">
        <w:rPr>
          <w:i/>
          <w:iCs/>
        </w:rPr>
        <w:t>e.g.,</w:t>
      </w:r>
      <w:r>
        <w:t xml:space="preserve"> Michael Peak Comments at 1. </w:t>
      </w:r>
    </w:p>
  </w:footnote>
  <w:footnote w:id="55">
    <w:p w:rsidR="00D53F73" w:rsidP="00D53F73" w14:paraId="185C1C6E" w14:textId="77777777">
      <w:pPr>
        <w:pStyle w:val="FootnoteText"/>
      </w:pPr>
      <w:r>
        <w:rPr>
          <w:rStyle w:val="FootnoteReference"/>
        </w:rPr>
        <w:footnoteRef/>
      </w:r>
      <w:r>
        <w:t xml:space="preserve"> ARRL Comments at 6 (Oct. 11, 2016).</w:t>
      </w:r>
    </w:p>
  </w:footnote>
  <w:footnote w:id="56">
    <w:p w:rsidR="00D53F73" w:rsidP="00D53F73" w14:paraId="20BB6A20" w14:textId="77777777">
      <w:pPr>
        <w:pStyle w:val="FootnoteText"/>
      </w:pPr>
      <w:r>
        <w:rPr>
          <w:rStyle w:val="FootnoteReference"/>
        </w:rPr>
        <w:footnoteRef/>
      </w:r>
      <w:r>
        <w:t xml:space="preserve"> </w:t>
      </w:r>
      <w:r w:rsidRPr="00A7510D">
        <w:rPr>
          <w:i/>
          <w:iCs/>
        </w:rPr>
        <w:t>Id</w:t>
      </w:r>
      <w:r>
        <w:t>.</w:t>
      </w:r>
    </w:p>
  </w:footnote>
  <w:footnote w:id="57">
    <w:p w:rsidR="00D53F73" w:rsidRPr="009204E8" w:rsidP="00D53F73" w14:paraId="50E31003" w14:textId="77777777">
      <w:pPr>
        <w:pStyle w:val="FootnoteText"/>
      </w:pPr>
      <w:r>
        <w:rPr>
          <w:rStyle w:val="FootnoteReference"/>
        </w:rPr>
        <w:footnoteRef/>
      </w:r>
      <w:r>
        <w:t xml:space="preserve"> ARRL July 24, 2023 </w:t>
      </w:r>
      <w:r>
        <w:rPr>
          <w:i/>
          <w:iCs/>
        </w:rPr>
        <w:t>Ex Parte</w:t>
      </w:r>
      <w:r>
        <w:t xml:space="preserve"> at 1.  </w:t>
      </w:r>
    </w:p>
  </w:footnote>
  <w:footnote w:id="58">
    <w:p w:rsidR="00D53F73" w:rsidRPr="00B52DDE" w:rsidP="00D53F73" w14:paraId="31EA1A62" w14:textId="77777777">
      <w:pPr>
        <w:pStyle w:val="FootnoteText"/>
      </w:pPr>
      <w:r>
        <w:rPr>
          <w:rStyle w:val="FootnoteReference"/>
        </w:rPr>
        <w:footnoteRef/>
      </w:r>
      <w:r>
        <w:t xml:space="preserve"> “Employing this bandwidth for digital signals eliminated any need to purchase costly new transceivers and facilitated the rapid deployment of the newer digital technologies on HF.”  </w:t>
      </w:r>
      <w:r>
        <w:rPr>
          <w:i/>
          <w:iCs/>
        </w:rPr>
        <w:t>Id.</w:t>
      </w:r>
      <w:r w:rsidRPr="00E43E25">
        <w:t xml:space="preserve"> </w:t>
      </w:r>
      <w:r>
        <w:t xml:space="preserve"> “The ARRL digital guide ‘Get on the Air with HF Digital’ advises that the ‘most popular HF digital modes use wide </w:t>
      </w:r>
      <w:r>
        <w:t>receive</w:t>
      </w:r>
      <w:r>
        <w:t xml:space="preserve">-audio bandwidths for reception . . . of about 2.8 kHz.  All SSB transceivers meet this requirement.’”  </w:t>
      </w:r>
      <w:r>
        <w:rPr>
          <w:i/>
          <w:iCs/>
        </w:rPr>
        <w:t>Id</w:t>
      </w:r>
      <w:r>
        <w:t>.</w:t>
      </w:r>
    </w:p>
  </w:footnote>
  <w:footnote w:id="59">
    <w:p w:rsidR="00D53F73" w:rsidRPr="009204E8" w:rsidP="00D53F73" w14:paraId="7D02EC87" w14:textId="788460F4">
      <w:pPr>
        <w:pStyle w:val="FootnoteText"/>
      </w:pPr>
      <w:r>
        <w:rPr>
          <w:rStyle w:val="FootnoteReference"/>
        </w:rPr>
        <w:footnoteRef/>
      </w:r>
      <w:r>
        <w:t xml:space="preserve"> </w:t>
      </w:r>
      <w:r>
        <w:rPr>
          <w:i/>
          <w:iCs/>
        </w:rPr>
        <w:t>See</w:t>
      </w:r>
      <w:r w:rsidR="00F838F9">
        <w:rPr>
          <w:i/>
          <w:iCs/>
        </w:rPr>
        <w:t>,</w:t>
      </w:r>
      <w:r>
        <w:rPr>
          <w:i/>
          <w:iCs/>
        </w:rPr>
        <w:t xml:space="preserve"> e.g.</w:t>
      </w:r>
      <w:r>
        <w:t xml:space="preserve">, 47 CFR § 80.205 (bandwidth limitations in the maritime bands); 47 CFR § 97.303(h) (“Amateur operators shall ensure that their emission do not occupy more than 2.8 kHz centered on each of these center frequencies” in the 60 meter band); ARRL July 24, 2023 </w:t>
      </w:r>
      <w:r>
        <w:rPr>
          <w:i/>
          <w:iCs/>
        </w:rPr>
        <w:t>Ex Parte</w:t>
      </w:r>
      <w:r>
        <w:t xml:space="preserve"> at 1 (“Amateurs worldwide have informally adopted the 2.8 kHz bandwidth for popular types of digital data transmission on HF frequencies at least in part because all amateur HF transceivers with voice capabilities already are equipped with the filters and/or software for this bandwidth.  Employing this bandwidth for digital signals eliminated any need to purchase costly new transceivers and facilitated the rapid deployment of the newer digital technologies on HF.”); ARRL July 24, 2023 </w:t>
      </w:r>
      <w:r>
        <w:rPr>
          <w:i/>
          <w:iCs/>
        </w:rPr>
        <w:t>Ex Parte</w:t>
      </w:r>
      <w:r>
        <w:t xml:space="preserve"> at 1 (“The ARRL digital guide ‘Get on the Air with HF Digital’ advises that the ‘most popular HF digital modes use wide </w:t>
      </w:r>
      <w:r>
        <w:t>receive</w:t>
      </w:r>
      <w:r>
        <w:t xml:space="preserve">-audio bandwidths for reception … of about 2.8 kHz.  All SSB transceivers meet this requirement.’”).   </w:t>
      </w:r>
    </w:p>
  </w:footnote>
  <w:footnote w:id="60">
    <w:p w:rsidR="00D53F73" w:rsidRPr="002E2396" w:rsidP="00D53F73" w14:paraId="7438E975" w14:textId="77777777">
      <w:pPr>
        <w:pStyle w:val="FootnoteText"/>
      </w:pPr>
      <w:r>
        <w:rPr>
          <w:rStyle w:val="FootnoteReference"/>
        </w:rPr>
        <w:footnoteRef/>
      </w:r>
      <w:r>
        <w:t xml:space="preserve"> </w:t>
      </w:r>
      <w:r>
        <w:rPr>
          <w:i/>
        </w:rPr>
        <w:t>See Amendment of Parts 1, 2, 15, 90 and 95 of the Commission’s Rules to Permit Radar Services in the 76–81 GHz Band</w:t>
      </w:r>
      <w:r>
        <w:t xml:space="preserve">, Report and Order, 32 FCC </w:t>
      </w:r>
      <w:r>
        <w:t>Rcd</w:t>
      </w:r>
      <w:r>
        <w:t xml:space="preserve"> 8822, 8832, n.70 (2017) (adopting a single emissions limit for amateur stations in the 4 mm band rather than a sliding scale based on distance to the nearest road); </w:t>
      </w:r>
      <w:r>
        <w:rPr>
          <w:i/>
        </w:rPr>
        <w:t>see also</w:t>
      </w:r>
      <w:r>
        <w:t xml:space="preserve">, </w:t>
      </w:r>
      <w:r>
        <w:rPr>
          <w:i/>
        </w:rPr>
        <w:t>e.g.</w:t>
      </w:r>
      <w:r>
        <w:t xml:space="preserve">, </w:t>
      </w:r>
      <w:r>
        <w:rPr>
          <w:i/>
        </w:rPr>
        <w:t>Amendment of the Commission’s Rules with Regard to Commercial Operations in the 1695–1710 MHz, 1755–1780 MHz, and 2155–2180 MHz Bands</w:t>
      </w:r>
      <w:r>
        <w:t xml:space="preserve">, Report and Order, 29 FCC </w:t>
      </w:r>
      <w:r>
        <w:t>Rcd</w:t>
      </w:r>
      <w:r>
        <w:t xml:space="preserve"> 4610, 4642, para. 82 (2014) (“The Commission typically adopts the same rules for similar adjacent band services, and we see no compelling reason to do otherwise here.”).</w:t>
      </w:r>
    </w:p>
  </w:footnote>
  <w:footnote w:id="61">
    <w:p w:rsidR="00D53F73" w:rsidP="00D53F73" w14:paraId="4661156E" w14:textId="77777777">
      <w:pPr>
        <w:pStyle w:val="FootnoteText"/>
      </w:pPr>
      <w:r>
        <w:rPr>
          <w:rStyle w:val="FootnoteReference"/>
        </w:rPr>
        <w:footnoteRef/>
      </w:r>
      <w:r>
        <w:t xml:space="preserve"> </w:t>
      </w:r>
      <w:r>
        <w:rPr>
          <w:i/>
        </w:rPr>
        <w:t xml:space="preserve">See </w:t>
      </w:r>
      <w:r>
        <w:t>International Telecommunication Union Recommendation ITU-R M.1732-2, “Characteristics of systems operating in the amateur and amateur-satellite services for use in sharing studies,” at Table 3A (01/2017) (using 2.7 kilohertz as the necessary bandwidth for representative amateur data, digital voice, and multimedia systems in the MF and HF bands).</w:t>
      </w:r>
    </w:p>
  </w:footnote>
  <w:footnote w:id="62">
    <w:p w:rsidR="00D53F73" w:rsidP="00D53F73" w14:paraId="157FF468" w14:textId="77777777">
      <w:pPr>
        <w:pStyle w:val="FootnoteText"/>
      </w:pPr>
      <w:r>
        <w:rPr>
          <w:rStyle w:val="FootnoteReference"/>
        </w:rPr>
        <w:footnoteRef/>
      </w:r>
      <w:r>
        <w:t xml:space="preserve"> </w:t>
      </w:r>
      <w:r w:rsidRPr="00741C4B">
        <w:rPr>
          <w:i/>
        </w:rPr>
        <w:t xml:space="preserve">See, </w:t>
      </w:r>
      <w:r w:rsidRPr="00741C4B">
        <w:rPr>
          <w:i/>
        </w:rPr>
        <w:t>e,g</w:t>
      </w:r>
      <w:r w:rsidRPr="00741C4B">
        <w:rPr>
          <w:i/>
        </w:rPr>
        <w:t>.</w:t>
      </w:r>
      <w:r>
        <w:rPr>
          <w:iCs/>
        </w:rPr>
        <w:t>,</w:t>
      </w:r>
      <w:r>
        <w:t xml:space="preserve"> </w:t>
      </w:r>
      <w:r w:rsidRPr="00741C4B">
        <w:t>Samuel Leslie Comments</w:t>
      </w:r>
      <w:r>
        <w:t>,</w:t>
      </w:r>
      <w:r w:rsidRPr="00741C4B">
        <w:t xml:space="preserve"> at </w:t>
      </w:r>
      <w:r>
        <w:t xml:space="preserve">7 (Sept. 13, 2016) (suggesting splitting amateur bands in to three segments); David Jaksa Comments (Oct. 12, 2016) (suggesting </w:t>
      </w:r>
      <w:r w:rsidRPr="00D02715">
        <w:t>an HF data bandwidth in 97.307(f)(3) of 500 Hz with no limit on symbol rate</w:t>
      </w:r>
      <w:r>
        <w:t>); Chuck Crisler Comments at 1 (Sept. 21, 2016) (“</w:t>
      </w:r>
      <w:r w:rsidRPr="004061DD">
        <w:t xml:space="preserve">Amateurs should be encouraged to innovate with narrowband technology, 1.0 </w:t>
      </w:r>
      <w:r w:rsidRPr="004061DD">
        <w:t>Khz.</w:t>
      </w:r>
      <w:r w:rsidRPr="004061DD">
        <w:t xml:space="preserve"> Or less, not the 2.8 </w:t>
      </w:r>
      <w:r w:rsidRPr="004061DD">
        <w:t>Khz.</w:t>
      </w:r>
      <w:r w:rsidRPr="004061DD">
        <w:t xml:space="preserve"> </w:t>
      </w:r>
      <w:r>
        <w:t xml:space="preserve"> </w:t>
      </w:r>
      <w:r w:rsidRPr="004061DD">
        <w:t>That was suggested by ARRL.</w:t>
      </w:r>
      <w:r>
        <w:t xml:space="preserve">”).  </w:t>
      </w:r>
    </w:p>
  </w:footnote>
  <w:footnote w:id="63">
    <w:p w:rsidR="00D53F73" w:rsidRPr="000815E2" w:rsidP="00D53F73" w14:paraId="68CFEC48" w14:textId="58C9744B">
      <w:pPr>
        <w:pStyle w:val="FootnoteText"/>
      </w:pPr>
      <w:r>
        <w:rPr>
          <w:rStyle w:val="FootnoteReference"/>
        </w:rPr>
        <w:footnoteRef/>
      </w:r>
      <w:r>
        <w:t xml:space="preserve"> </w:t>
      </w:r>
      <w:r w:rsidRPr="00741C4B">
        <w:rPr>
          <w:i/>
        </w:rPr>
        <w:t xml:space="preserve">See, </w:t>
      </w:r>
      <w:r w:rsidRPr="00741C4B">
        <w:rPr>
          <w:i/>
        </w:rPr>
        <w:t>e,g</w:t>
      </w:r>
      <w:r w:rsidRPr="00741C4B">
        <w:rPr>
          <w:i/>
        </w:rPr>
        <w:t>.</w:t>
      </w:r>
      <w:r>
        <w:rPr>
          <w:iCs/>
        </w:rPr>
        <w:t>,</w:t>
      </w:r>
      <w:r w:rsidRPr="00741C4B">
        <w:rPr>
          <w:i/>
        </w:rPr>
        <w:t xml:space="preserve"> </w:t>
      </w:r>
      <w:r w:rsidRPr="00741C4B">
        <w:t>Mi</w:t>
      </w:r>
      <w:r>
        <w:t xml:space="preserve">chael Adams Comments, RM-11708, at 2 (Aug. 8, </w:t>
      </w:r>
      <w:r w:rsidRPr="000815E2">
        <w:t xml:space="preserve">2016); </w:t>
      </w:r>
      <w:r w:rsidRPr="003313AF">
        <w:t xml:space="preserve">Arthur C. </w:t>
      </w:r>
      <w:r w:rsidRPr="000815E2">
        <w:t xml:space="preserve">Peters, RM-11708, Comments at 1–2 (Aug. 16, 2016); Samuel Leslie Comments at 5 (Sept. 14, 2016); Salvatore </w:t>
      </w:r>
      <w:r w:rsidRPr="000815E2">
        <w:t>Irato</w:t>
      </w:r>
      <w:r w:rsidRPr="000815E2">
        <w:t xml:space="preserve"> Comments at 4 (Aug. 22, 2016) (noting commercial wider bandwidth modems do not have the ability to recognize any other signal than the one transmitted by a similar or complementary signal, </w:t>
      </w:r>
      <w:r w:rsidRPr="000815E2">
        <w:rPr>
          <w:i/>
        </w:rPr>
        <w:t>i.e</w:t>
      </w:r>
      <w:r w:rsidRPr="000815E2">
        <w:t>., a data signal); Letter from Janis Carson, Ron Kolarik, Lee McVey, and Dan White to Nellie Foosaner, Senior Attorney Advisor, Mobility Division, Federal Communications Commission, WTB Docket No. 16-239 at 2 (filed July 28, 2023)</w:t>
      </w:r>
      <w:r w:rsidRPr="000815E2">
        <w:rPr>
          <w:i/>
          <w:iCs/>
        </w:rPr>
        <w:t xml:space="preserve"> </w:t>
      </w:r>
      <w:r w:rsidRPr="000815E2">
        <w:t xml:space="preserve">(Carson July 28, 2023 </w:t>
      </w:r>
      <w:r w:rsidRPr="000815E2">
        <w:rPr>
          <w:i/>
          <w:iCs/>
        </w:rPr>
        <w:t>Ex Parte</w:t>
      </w:r>
      <w:r w:rsidRPr="000815E2">
        <w:t>) (arguing that digital mode FT8 with a bandwidth of 50 Hz has become more popular than all other digital modes combined).</w:t>
      </w:r>
    </w:p>
  </w:footnote>
  <w:footnote w:id="64">
    <w:p w:rsidR="00D53F73" w:rsidP="00D53F73" w14:paraId="0BA87055" w14:textId="50525875">
      <w:pPr>
        <w:pStyle w:val="FootnoteText"/>
      </w:pPr>
      <w:r w:rsidRPr="000815E2">
        <w:rPr>
          <w:rStyle w:val="FootnoteReference"/>
        </w:rPr>
        <w:footnoteRef/>
      </w:r>
      <w:r w:rsidRPr="000815E2">
        <w:t xml:space="preserve"> </w:t>
      </w:r>
      <w:r w:rsidRPr="000815E2">
        <w:rPr>
          <w:i/>
          <w:iCs/>
        </w:rPr>
        <w:t>See, e.g.</w:t>
      </w:r>
      <w:r w:rsidRPr="000815E2">
        <w:t xml:space="preserve">, Theodore Rappaport Comments at 3 (proposing that the lowest 100 kHz of every HF band for emissions less than 500 Hz); Dan White Comments at 2 </w:t>
      </w:r>
      <w:r w:rsidRPr="003313AF">
        <w:t>(</w:t>
      </w:r>
      <w:r w:rsidRPr="000815E2">
        <w:t xml:space="preserve">(Aug. 8, 2016); David Rogers Comments at 2 (Sept. 16, 2016) (proposing a 200 Hz bandwidth limit on the bottom 50 </w:t>
      </w:r>
      <w:r w:rsidRPr="000815E2">
        <w:t>KHz</w:t>
      </w:r>
      <w:r w:rsidRPr="000815E2">
        <w:t xml:space="preserve"> and a 500 Hz bandwidth limit</w:t>
      </w:r>
      <w:r w:rsidRPr="004D0B04">
        <w:t xml:space="preserve"> on the bottom 100 </w:t>
      </w:r>
      <w:r w:rsidRPr="004D0B04">
        <w:t>KHz</w:t>
      </w:r>
      <w:r w:rsidRPr="004D0B04">
        <w:t xml:space="preserve"> portion of every HF and MF band</w:t>
      </w:r>
      <w:r>
        <w:t xml:space="preserve">); Samuel </w:t>
      </w:r>
      <w:r w:rsidRPr="00741C4B">
        <w:t>Leslie Comments</w:t>
      </w:r>
      <w:r w:rsidRPr="00741C4B">
        <w:t xml:space="preserve"> </w:t>
      </w:r>
      <w:r w:rsidRPr="00741C4B">
        <w:t xml:space="preserve">at </w:t>
      </w:r>
      <w:r>
        <w:t>7; J. Douglas Reid Comments, WT Docket No. 16-239, RM-11708, at 1 (filed Oct. 5, 2016)</w:t>
      </w:r>
      <w:r w:rsidR="00421A21">
        <w:t xml:space="preserve">; Letter from W. Lee McVey, to Jessica </w:t>
      </w:r>
      <w:r w:rsidR="00421A21">
        <w:t>Rosenworcel</w:t>
      </w:r>
      <w:r w:rsidR="00421A21">
        <w:t>, Chairwoman, FCC, WT Docket No. 16-239, at 5</w:t>
      </w:r>
      <w:r w:rsidR="00042086">
        <w:t>–</w:t>
      </w:r>
      <w:r w:rsidR="00421A21">
        <w:t>6, (filed Oct. 29, 2023)</w:t>
      </w:r>
      <w:r>
        <w:t xml:space="preserve">.  </w:t>
      </w:r>
      <w:r>
        <w:rPr>
          <w:i/>
        </w:rPr>
        <w:t xml:space="preserve">See generally </w:t>
      </w:r>
      <w:r>
        <w:t xml:space="preserve">Petition of Janis Carson for Rulemaking/Comments and Informal Request in the Nature of Rulemaking (filed Aug. 20, 2016, amended Sept. 6 and Nov. 10, 2016).  Because this petition raises issues that are substantially the same as those addressed in the </w:t>
      </w:r>
      <w:r>
        <w:rPr>
          <w:i/>
        </w:rPr>
        <w:t>NPRM</w:t>
      </w:r>
      <w:r>
        <w:t xml:space="preserve"> and was filed during the comment period, we it as a comment in WT Docket No. 16-239. </w:t>
      </w:r>
    </w:p>
  </w:footnote>
  <w:footnote w:id="65">
    <w:p w:rsidR="00D53F73" w:rsidP="00D53F73" w14:paraId="57EA2F1D" w14:textId="77777777">
      <w:pPr>
        <w:pStyle w:val="FootnoteText"/>
      </w:pPr>
      <w:r>
        <w:rPr>
          <w:rStyle w:val="FootnoteReference"/>
        </w:rPr>
        <w:footnoteRef/>
      </w:r>
      <w:r>
        <w:t xml:space="preserve"> </w:t>
      </w:r>
      <w:r>
        <w:rPr>
          <w:i/>
          <w:iCs/>
        </w:rPr>
        <w:t>NPRM</w:t>
      </w:r>
      <w:r>
        <w:t xml:space="preserve">, 31 FCC </w:t>
      </w:r>
      <w:r>
        <w:t>Rcd</w:t>
      </w:r>
      <w:r>
        <w:t xml:space="preserve"> at 8488, para 3.</w:t>
      </w:r>
    </w:p>
  </w:footnote>
  <w:footnote w:id="66">
    <w:p w:rsidR="00D53F73" w:rsidRPr="00E6129B" w:rsidP="00D53F73" w14:paraId="4E1E5B41" w14:textId="77777777">
      <w:pPr>
        <w:pStyle w:val="FootnoteText"/>
      </w:pPr>
      <w:r>
        <w:rPr>
          <w:rStyle w:val="FootnoteReference"/>
        </w:rPr>
        <w:footnoteRef/>
      </w:r>
      <w:r>
        <w:t xml:space="preserve"> ARRL, </w:t>
      </w:r>
      <w:r>
        <w:rPr>
          <w:i/>
          <w:iCs/>
        </w:rPr>
        <w:t>Band Plan</w:t>
      </w:r>
      <w:r>
        <w:t xml:space="preserve">, </w:t>
      </w:r>
      <w:hyperlink r:id="rId2" w:history="1">
        <w:r w:rsidRPr="00B345F2">
          <w:rPr>
            <w:rStyle w:val="Hyperlink"/>
          </w:rPr>
          <w:t>http://www.arrl.org/band-plan</w:t>
        </w:r>
      </w:hyperlink>
      <w:r>
        <w:t xml:space="preserve"> (last visited Oct. 17, 2023). </w:t>
      </w:r>
    </w:p>
  </w:footnote>
  <w:footnote w:id="67">
    <w:p w:rsidR="00D53F73" w:rsidP="00D53F73" w14:paraId="7D9F9FC8" w14:textId="77777777">
      <w:pPr>
        <w:pStyle w:val="FootnoteText"/>
      </w:pPr>
      <w:r>
        <w:rPr>
          <w:rStyle w:val="FootnoteReference"/>
        </w:rPr>
        <w:footnoteRef/>
      </w:r>
      <w:r>
        <w:t xml:space="preserve"> </w:t>
      </w:r>
      <w:bookmarkStart w:id="9" w:name="_Hlk142040746"/>
      <w:r>
        <w:t xml:space="preserve">Amateur </w:t>
      </w:r>
      <w:r w:rsidRPr="00BC6B99">
        <w:t xml:space="preserve">licensees </w:t>
      </w:r>
      <w:r>
        <w:t>must</w:t>
      </w:r>
      <w:r w:rsidRPr="00BC6B99">
        <w:t xml:space="preserve"> cooperate in the selection of frequencies and make the most efficient use of the amateur frequencies</w:t>
      </w:r>
      <w:r>
        <w:t xml:space="preserve">. </w:t>
      </w:r>
      <w:r w:rsidRPr="00BC6B99">
        <w:t xml:space="preserve"> </w:t>
      </w:r>
      <w:r w:rsidRPr="00A11AA2">
        <w:rPr>
          <w:i/>
          <w:iCs/>
        </w:rPr>
        <w:t>See</w:t>
      </w:r>
      <w:r w:rsidRPr="00A11AA2">
        <w:t xml:space="preserve"> 47 CFR § 97</w:t>
      </w:r>
      <w:r>
        <w:t>.1</w:t>
      </w:r>
      <w:bookmarkEnd w:id="9"/>
      <w:r>
        <w:t>01(b).  Amateur transmissions may</w:t>
      </w:r>
      <w:r w:rsidRPr="00B8686A">
        <w:t xml:space="preserve"> not occupy more bandwidth than necessary for the information rate and emission type being transmitted</w:t>
      </w:r>
      <w:r>
        <w:t xml:space="preserve">.  </w:t>
      </w:r>
      <w:r w:rsidRPr="0038223D">
        <w:rPr>
          <w:i/>
          <w:iCs/>
        </w:rPr>
        <w:t>See</w:t>
      </w:r>
      <w:r w:rsidRPr="0038223D">
        <w:t xml:space="preserve"> 47 CFR § 97.</w:t>
      </w:r>
      <w:r>
        <w:t xml:space="preserve">307(a).  </w:t>
      </w:r>
    </w:p>
  </w:footnote>
  <w:footnote w:id="68">
    <w:p w:rsidR="00D53F73" w:rsidRPr="004C1ACF" w:rsidP="00D53F73" w14:paraId="6FC1AD52" w14:textId="77777777">
      <w:pPr>
        <w:pStyle w:val="FootnoteText"/>
      </w:pPr>
      <w:r>
        <w:rPr>
          <w:rStyle w:val="FootnoteReference"/>
        </w:rPr>
        <w:footnoteRef/>
      </w:r>
      <w:r>
        <w:t xml:space="preserve"> </w:t>
      </w:r>
      <w:r>
        <w:rPr>
          <w:i/>
        </w:rPr>
        <w:t xml:space="preserve">See </w:t>
      </w:r>
      <w:r>
        <w:t>47 CFR § 97.113(a)(3)–(5).</w:t>
      </w:r>
    </w:p>
  </w:footnote>
  <w:footnote w:id="69">
    <w:p w:rsidR="00D53F73" w:rsidP="00D53F73" w14:paraId="742311C1" w14:textId="77777777">
      <w:pPr>
        <w:pStyle w:val="FootnoteText"/>
      </w:pPr>
      <w:r>
        <w:rPr>
          <w:rStyle w:val="FootnoteReference"/>
        </w:rPr>
        <w:footnoteRef/>
      </w:r>
      <w:r>
        <w:t xml:space="preserve"> </w:t>
      </w:r>
      <w:r>
        <w:rPr>
          <w:i/>
        </w:rPr>
        <w:t xml:space="preserve">See </w:t>
      </w:r>
      <w:r>
        <w:t xml:space="preserve">47 CFR </w:t>
      </w:r>
      <w:bookmarkStart w:id="10" w:name="_Hlk505677318"/>
      <w:r>
        <w:t>§</w:t>
      </w:r>
      <w:bookmarkEnd w:id="10"/>
      <w:r>
        <w:t xml:space="preserve"> 97.101(a), (b).</w:t>
      </w:r>
    </w:p>
  </w:footnote>
  <w:footnote w:id="70">
    <w:p w:rsidR="00D53F73" w:rsidP="00D53F73" w14:paraId="006D19C5" w14:textId="77777777">
      <w:pPr>
        <w:pStyle w:val="FootnoteText"/>
      </w:pPr>
      <w:r>
        <w:rPr>
          <w:rStyle w:val="FootnoteReference"/>
        </w:rPr>
        <w:footnoteRef/>
      </w:r>
      <w:r>
        <w:t xml:space="preserve"> </w:t>
      </w:r>
      <w:r>
        <w:rPr>
          <w:i/>
        </w:rPr>
        <w:t>See Amendment of Parts 2 and 97 of the Commission’s Rules to Facilitate Use by the Amateur Radio Service of the Allocation at 5 MHz</w:t>
      </w:r>
      <w:r>
        <w:t xml:space="preserve">, Report and Order, 26 FCC </w:t>
      </w:r>
      <w:r>
        <w:t>Rcd</w:t>
      </w:r>
      <w:r>
        <w:t xml:space="preserve"> 16551, 16659, paras. 26–27 (2011).</w:t>
      </w:r>
    </w:p>
  </w:footnote>
  <w:footnote w:id="71">
    <w:p w:rsidR="00D53F73" w:rsidRPr="009E14F0" w:rsidP="00D53F73" w14:paraId="74824965" w14:textId="77777777">
      <w:pPr>
        <w:pStyle w:val="FootnoteText"/>
      </w:pPr>
      <w:r>
        <w:rPr>
          <w:rStyle w:val="FootnoteReference"/>
        </w:rPr>
        <w:footnoteRef/>
      </w:r>
      <w:r>
        <w:t xml:space="preserve"> Office of the Federal Register, National Archives and Records Administration, </w:t>
      </w:r>
      <w:r>
        <w:rPr>
          <w:i/>
          <w:iCs/>
        </w:rPr>
        <w:t>Document Drafting Handbook</w:t>
      </w:r>
      <w:r>
        <w:t xml:space="preserve"> (Aug. 2023 Edition, rev. 2, dated Aug. 2023), </w:t>
      </w:r>
      <w:r>
        <w:rPr>
          <w:i/>
          <w:iCs/>
        </w:rPr>
        <w:t xml:space="preserve">available at </w:t>
      </w:r>
      <w:hyperlink r:id="rId3" w:history="1">
        <w:r>
          <w:rPr>
            <w:rStyle w:val="Hyperlink"/>
          </w:rPr>
          <w:t>https://www.archives.gov/files/federal-register/write/handbook/ddh.pdf</w:t>
        </w:r>
      </w:hyperlink>
      <w:r>
        <w:t xml:space="preserve"> (last visited Oct. 4, 2023); Office of the Federal Register, National Archives and Records Administration, </w:t>
      </w:r>
      <w:r>
        <w:rPr>
          <w:i/>
          <w:iCs/>
        </w:rPr>
        <w:t xml:space="preserve">Incorporation by Reference Handbook </w:t>
      </w:r>
      <w:r>
        <w:t xml:space="preserve">(June 2023 Edition, ed. Rev. Aug. 28, 2023), </w:t>
      </w:r>
      <w:r>
        <w:rPr>
          <w:i/>
          <w:iCs/>
        </w:rPr>
        <w:t xml:space="preserve">available at </w:t>
      </w:r>
      <w:hyperlink r:id="rId4" w:history="1">
        <w:r>
          <w:rPr>
            <w:rStyle w:val="Hyperlink"/>
          </w:rPr>
          <w:t>https://www.archives.gov/files/federal-register/write/handbook/ibr.pdf</w:t>
        </w:r>
      </w:hyperlink>
      <w:r>
        <w:t xml:space="preserve"> (last visited Oct. 4, 2023).</w:t>
      </w:r>
    </w:p>
  </w:footnote>
  <w:footnote w:id="72">
    <w:p w:rsidR="00D53F73" w:rsidP="00D53F73" w14:paraId="454695B0" w14:textId="77777777">
      <w:pPr>
        <w:pStyle w:val="FootnoteText"/>
      </w:pPr>
      <w:r>
        <w:rPr>
          <w:rStyle w:val="FootnoteReference"/>
        </w:rPr>
        <w:footnoteRef/>
      </w:r>
      <w:r>
        <w:t xml:space="preserve"> 6 meter band (50.1–51.0 MHz), (51.0–54.0 MHz); 2 meter band (144.1–148.0 MHz); 1.25 meter band (222–225 MHz).  47 CFR § 97.305(c).</w:t>
      </w:r>
    </w:p>
  </w:footnote>
  <w:footnote w:id="73">
    <w:p w:rsidR="00D53F73" w:rsidP="00D53F73" w14:paraId="3FE958D4" w14:textId="77777777">
      <w:pPr>
        <w:pStyle w:val="FootnoteText"/>
      </w:pPr>
      <w:r>
        <w:rPr>
          <w:rStyle w:val="FootnoteReference"/>
        </w:rPr>
        <w:footnoteRef/>
      </w:r>
      <w:r>
        <w:t xml:space="preserve"> 70 centimeter band (420–450 MHz).  47 CFR § 97.305(c).</w:t>
      </w:r>
    </w:p>
  </w:footnote>
  <w:footnote w:id="74">
    <w:p w:rsidR="00D53F73" w:rsidP="00D53F73" w14:paraId="76019953" w14:textId="51733619">
      <w:pPr>
        <w:pStyle w:val="FootnoteText"/>
      </w:pPr>
      <w:r>
        <w:rPr>
          <w:rStyle w:val="FootnoteReference"/>
        </w:rPr>
        <w:footnoteRef/>
      </w:r>
      <w:r>
        <w:t xml:space="preserve"> 47 CFR § 97.307</w:t>
      </w:r>
      <w:r w:rsidR="001839D3">
        <w:t>(f)</w:t>
      </w:r>
      <w:r>
        <w:t xml:space="preserve">(5)–(6). </w:t>
      </w:r>
    </w:p>
  </w:footnote>
  <w:footnote w:id="75">
    <w:p w:rsidR="00D53F73" w:rsidRPr="00647237" w:rsidP="00D53F73" w14:paraId="3663FCF7" w14:textId="77777777">
      <w:pPr>
        <w:pStyle w:val="FootnoteText"/>
      </w:pPr>
      <w:r>
        <w:rPr>
          <w:rStyle w:val="FootnoteReference"/>
        </w:rPr>
        <w:footnoteRef/>
      </w:r>
      <w:r>
        <w:t xml:space="preserve"> </w:t>
      </w:r>
      <w:r>
        <w:rPr>
          <w:i/>
          <w:iCs/>
        </w:rPr>
        <w:t>NPRM</w:t>
      </w:r>
      <w:r>
        <w:t xml:space="preserve">, 31 FCC </w:t>
      </w:r>
      <w:r>
        <w:t>Rcd</w:t>
      </w:r>
      <w:r>
        <w:t xml:space="preserve"> 8485. </w:t>
      </w:r>
    </w:p>
  </w:footnote>
  <w:footnote w:id="76">
    <w:p w:rsidR="00D53F73" w:rsidP="00D53F73" w14:paraId="34EC544A" w14:textId="77777777">
      <w:pPr>
        <w:pStyle w:val="FootnoteText"/>
      </w:pPr>
      <w:r>
        <w:rPr>
          <w:rStyle w:val="FootnoteReference"/>
        </w:rPr>
        <w:footnoteRef/>
      </w:r>
      <w:r>
        <w:t xml:space="preserve"> </w:t>
      </w:r>
      <w:r>
        <w:rPr>
          <w:i/>
          <w:iCs/>
        </w:rPr>
        <w:t>Id.</w:t>
      </w:r>
      <w:r>
        <w:t xml:space="preserve"> at</w:t>
      </w:r>
      <w:r>
        <w:rPr>
          <w:i/>
          <w:iCs/>
        </w:rPr>
        <w:t xml:space="preserve"> </w:t>
      </w:r>
      <w:r w:rsidRPr="00D05F97">
        <w:t>8489</w:t>
      </w:r>
      <w:r>
        <w:t xml:space="preserve">, para 10. </w:t>
      </w:r>
    </w:p>
  </w:footnote>
  <w:footnote w:id="77">
    <w:p w:rsidR="00D53F73" w:rsidP="00D53F73" w14:paraId="696A7C70" w14:textId="77777777">
      <w:pPr>
        <w:pStyle w:val="FootnoteText"/>
      </w:pPr>
      <w:r>
        <w:rPr>
          <w:rStyle w:val="FootnoteReference"/>
        </w:rPr>
        <w:footnoteRef/>
      </w:r>
      <w:r>
        <w:t xml:space="preserve"> </w:t>
      </w:r>
      <w:r>
        <w:rPr>
          <w:i/>
          <w:iCs/>
        </w:rPr>
        <w:t xml:space="preserve">See </w:t>
      </w:r>
      <w:r w:rsidRPr="00FC598C">
        <w:rPr>
          <w:i/>
          <w:iCs/>
        </w:rPr>
        <w:t>WRC-12 R&amp;O</w:t>
      </w:r>
      <w:r w:rsidRPr="00251B90">
        <w:t xml:space="preserve">, 32 FCC </w:t>
      </w:r>
      <w:r w:rsidRPr="00251B90">
        <w:t>Rcd</w:t>
      </w:r>
      <w:r w:rsidRPr="00251B90">
        <w:t xml:space="preserve"> </w:t>
      </w:r>
      <w:r>
        <w:t xml:space="preserve">at </w:t>
      </w:r>
      <w:r w:rsidRPr="008276FE">
        <w:t>27</w:t>
      </w:r>
      <w:r>
        <w:t>08</w:t>
      </w:r>
      <w:r w:rsidRPr="008276FE">
        <w:t xml:space="preserve">, para. </w:t>
      </w:r>
      <w:r>
        <w:t>13.</w:t>
      </w:r>
    </w:p>
  </w:footnote>
  <w:footnote w:id="78">
    <w:p w:rsidR="00D53F73" w:rsidRPr="00FC598C" w:rsidP="00D53F73" w14:paraId="3534C18F" w14:textId="77777777">
      <w:pPr>
        <w:pStyle w:val="FootnoteText"/>
      </w:pPr>
      <w:r>
        <w:rPr>
          <w:rStyle w:val="FootnoteReference"/>
        </w:rPr>
        <w:footnoteRef/>
      </w:r>
      <w:r>
        <w:t xml:space="preserve"> </w:t>
      </w:r>
      <w:r>
        <w:rPr>
          <w:i/>
          <w:iCs/>
        </w:rPr>
        <w:t>Id.</w:t>
      </w:r>
      <w:r>
        <w:t xml:space="preserve"> </w:t>
      </w:r>
    </w:p>
  </w:footnote>
  <w:footnote w:id="79">
    <w:p w:rsidR="00D53F73" w:rsidP="00D53F73" w14:paraId="43F261DE" w14:textId="77777777">
      <w:pPr>
        <w:pStyle w:val="FootnoteText"/>
      </w:pPr>
      <w:r>
        <w:rPr>
          <w:rStyle w:val="FootnoteReference"/>
        </w:rPr>
        <w:footnoteRef/>
      </w:r>
      <w:r>
        <w:t xml:space="preserve"> 47 CFR § 97.305; 47 CFR § 97.303(f)(3). </w:t>
      </w:r>
    </w:p>
  </w:footnote>
  <w:footnote w:id="80">
    <w:p w:rsidR="00E62C3E" w:rsidP="00E62C3E" w14:paraId="0116F790" w14:textId="11334827">
      <w:pPr>
        <w:pStyle w:val="FootnoteText"/>
      </w:pPr>
      <w:r>
        <w:rPr>
          <w:rStyle w:val="FootnoteReference"/>
        </w:rPr>
        <w:footnoteRef/>
      </w:r>
      <w:r>
        <w:t xml:space="preserve"> </w:t>
      </w:r>
      <w:r w:rsidR="00E20399">
        <w:rPr>
          <w:i/>
          <w:iCs/>
          <w:snapToGrid w:val="0"/>
        </w:rPr>
        <w:t>See, e.g</w:t>
      </w:r>
      <w:r w:rsidR="00E20399">
        <w:rPr>
          <w:snapToGrid w:val="0"/>
        </w:rPr>
        <w:t>., Letter from David R. Siddall, Counsel to ARRL, to Marlene H. Dortch, Secretary, FCC, WT Docket No. 16-239, at 1 (filed on Nov. 8, 2023) (requesting that the Commission seek comment on changing the 100 kHz bandwidth limitation in the 219–220 MHz segment of the 1.25 meter VHF band, which does not have a baud rate limitation).</w:t>
      </w:r>
    </w:p>
  </w:footnote>
  <w:footnote w:id="81">
    <w:p w:rsidR="00D53F73" w:rsidP="00D53F73" w14:paraId="44A15019" w14:textId="77777777">
      <w:pPr>
        <w:pStyle w:val="FootnoteText"/>
      </w:pPr>
      <w:r>
        <w:rPr>
          <w:rStyle w:val="FootnoteReference"/>
        </w:rPr>
        <w:footnoteRef/>
      </w:r>
      <w:r>
        <w:t xml:space="preserve"> Section 1 of the Communications Act of 1934 as amended provides that the FCC “</w:t>
      </w:r>
      <w:r>
        <w:t>regulat</w:t>
      </w:r>
      <w:r>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82">
    <w:p w:rsidR="00D53F73" w:rsidP="00D53F73" w14:paraId="7B8AAFBC" w14:textId="77777777">
      <w:pPr>
        <w:pStyle w:val="FootnoteText"/>
      </w:pPr>
      <w:r>
        <w:rPr>
          <w:rStyle w:val="FootnoteReference"/>
        </w:rPr>
        <w:footnoteRef/>
      </w:r>
      <w:r>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Pr>
          <w:i/>
          <w:iCs/>
        </w:rPr>
        <w:t>See</w:t>
      </w:r>
      <w:r>
        <w:t xml:space="preserve"> Exec. Order No. 13985, 86 Fed. Reg. 7009, Executive Order on Advancing Racial Equity and Support for Underserved Communities Through the Federal Government (January 20, 2021).</w:t>
      </w:r>
    </w:p>
  </w:footnote>
  <w:footnote w:id="83">
    <w:p w:rsidR="00D53F73" w:rsidP="00D53F73" w14:paraId="1284CBA4" w14:textId="77777777">
      <w:pPr>
        <w:pStyle w:val="FootnoteText"/>
      </w:pPr>
      <w:r>
        <w:rPr>
          <w:rStyle w:val="FootnoteReference"/>
        </w:rPr>
        <w:footnoteRef/>
      </w:r>
      <w:r>
        <w:t xml:space="preserve"> </w:t>
      </w:r>
      <w:r w:rsidRPr="0068065B">
        <w:rPr>
          <w:i/>
        </w:rPr>
        <w:t>See</w:t>
      </w:r>
      <w:r w:rsidRPr="0068065B">
        <w:t xml:space="preserve"> 5 U.S.C. § 60</w:t>
      </w:r>
      <w:r>
        <w:t>4</w:t>
      </w:r>
      <w:r w:rsidRPr="0068065B">
        <w:t>.  The RFA, 5 U.S.C. §§ 601–612, was amended by the Small Business Regulatory Enforcement Fairness Act of 1996 (SBREFA), Pub. L. No. 104-121, Title II, 110 Stat. 857 (1996)</w:t>
      </w:r>
      <w:r>
        <w:t xml:space="preserve"> (FRFA).</w:t>
      </w:r>
    </w:p>
  </w:footnote>
  <w:footnote w:id="84">
    <w:p w:rsidR="00D53F73" w:rsidP="00D53F73" w14:paraId="0B850E4D" w14:textId="77777777">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rStyle w:val="FootnoteReference"/>
        </w:rPr>
        <w:footnoteRef/>
      </w:r>
      <w:r>
        <w:rPr>
          <w:sz w:val="20"/>
        </w:rPr>
        <w:t xml:space="preserve"> 5 U.S.C. § 605(b).</w:t>
      </w:r>
    </w:p>
  </w:footnote>
  <w:footnote w:id="85">
    <w:p w:rsidR="00D53F73" w:rsidP="00D53F73" w14:paraId="0A824A89" w14:textId="77777777">
      <w:pPr>
        <w:pStyle w:val="FootnoteText"/>
      </w:pPr>
      <w:r>
        <w:rPr>
          <w:rStyle w:val="FootnoteReference"/>
        </w:rPr>
        <w:footnoteRef/>
      </w:r>
      <w:r>
        <w:t xml:space="preserve"> </w:t>
      </w:r>
      <w:r>
        <w:rPr>
          <w:i/>
          <w:iCs/>
        </w:rPr>
        <w:t>See</w:t>
      </w:r>
      <w:r>
        <w:t xml:space="preserve"> 5 U.S.C. § 601(6). </w:t>
      </w:r>
    </w:p>
  </w:footnote>
  <w:footnote w:id="86">
    <w:p w:rsidR="00D53F73" w:rsidP="00D53F73" w14:paraId="437223D7" w14:textId="77777777">
      <w:pPr>
        <w:pStyle w:val="FootnoteText"/>
      </w:pPr>
      <w:r>
        <w:rPr>
          <w:rStyle w:val="FootnoteReference"/>
        </w:rPr>
        <w:footnoteRef/>
      </w:r>
      <w:r>
        <w:t xml:space="preserve"> </w:t>
      </w:r>
      <w:r>
        <w:rPr>
          <w:i/>
          <w:iCs/>
        </w:rPr>
        <w:t>See</w:t>
      </w:r>
      <w: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w:t>
      </w:r>
      <w:r>
        <w:t xml:space="preserve"> </w:t>
      </w:r>
      <w:r>
        <w:t xml:space="preserve">establishes one or more definitions of such term which are appropriate to the activities of the agency and publishes such definition(s) in the Federal Register.” </w:t>
      </w:r>
    </w:p>
  </w:footnote>
  <w:footnote w:id="87">
    <w:p w:rsidR="00D53F73" w:rsidP="00D53F73" w14:paraId="0CD5C02E" w14:textId="77777777">
      <w:pPr>
        <w:pStyle w:val="FootnoteText"/>
      </w:pPr>
      <w:r>
        <w:rPr>
          <w:rStyle w:val="FootnoteReference"/>
        </w:rPr>
        <w:footnoteRef/>
      </w:r>
      <w:r>
        <w:t xml:space="preserve"> </w:t>
      </w:r>
      <w:r>
        <w:rPr>
          <w:i/>
          <w:iCs/>
        </w:rPr>
        <w:t>See</w:t>
      </w:r>
      <w:r>
        <w:t xml:space="preserve"> 15 U.S.C. § 632.</w:t>
      </w:r>
    </w:p>
  </w:footnote>
  <w:footnote w:id="88">
    <w:p w:rsidR="00D53F73" w:rsidP="00D53F73" w14:paraId="7F3A6CB7" w14:textId="77777777">
      <w:pPr>
        <w:pStyle w:val="FootnoteText"/>
      </w:pPr>
      <w:r>
        <w:rPr>
          <w:rStyle w:val="FootnoteReference"/>
        </w:rPr>
        <w:footnoteRef/>
      </w:r>
      <w:r>
        <w:t xml:space="preserve"> </w:t>
      </w:r>
      <w:r w:rsidRPr="00F84408">
        <w:rPr>
          <w:i/>
          <w:iCs/>
        </w:rPr>
        <w:t>Amendment of Part 97 of the Commission's Amateur Radio Service Rules to Permit Greater Flexibility in Data Communications</w:t>
      </w:r>
      <w:r>
        <w:t xml:space="preserve">, WT Docket No. 16-239, Notice of Proposed Rulemaking, 31 FCC </w:t>
      </w:r>
      <w:r>
        <w:t>Rcd</w:t>
      </w:r>
      <w:r>
        <w:t xml:space="preserve"> 8485 (2016) (</w:t>
      </w:r>
      <w:r>
        <w:rPr>
          <w:i/>
          <w:iCs/>
        </w:rPr>
        <w:t>NPRM</w:t>
      </w:r>
      <w:r>
        <w:t xml:space="preserve">). </w:t>
      </w:r>
    </w:p>
  </w:footnote>
  <w:footnote w:id="89">
    <w:p w:rsidR="00D53F73" w:rsidP="00D53F73" w14:paraId="7F6997AC" w14:textId="77777777">
      <w:pPr>
        <w:pStyle w:val="FootnoteText"/>
      </w:pPr>
      <w:r>
        <w:rPr>
          <w:rStyle w:val="FootnoteReference"/>
        </w:rPr>
        <w:footnoteRef/>
      </w:r>
      <w:r>
        <w:t xml:space="preserve"> 5 U.S.C.</w:t>
      </w:r>
      <w:r>
        <w:rPr>
          <w:i/>
          <w:iCs/>
        </w:rPr>
        <w:t xml:space="preserve"> </w:t>
      </w:r>
      <w:r>
        <w:t xml:space="preserve">§ 603, </w:t>
      </w:r>
      <w:r>
        <w:rPr>
          <w:i/>
        </w:rPr>
        <w:t>et seq</w:t>
      </w:r>
      <w:r>
        <w:t xml:space="preserve">.  </w:t>
      </w:r>
      <w:r>
        <w:rPr>
          <w:i/>
        </w:rPr>
        <w:t>See also Mid-Tex Electric Cooperative, Inc., v. FERC</w:t>
      </w:r>
      <w:r>
        <w:t>, 773 F.2d 327, 342–343 (D.C. Cir. 1985) (</w:t>
      </w:r>
      <w:r>
        <w:rPr>
          <w:i/>
        </w:rPr>
        <w:t>Mid-Tex Electric</w:t>
      </w:r>
      <w:r>
        <w:t xml:space="preserve">).  </w:t>
      </w:r>
    </w:p>
  </w:footnote>
  <w:footnote w:id="90">
    <w:p w:rsidR="00D53F73" w:rsidP="00D53F73" w14:paraId="10EC909B" w14:textId="77777777">
      <w:pPr>
        <w:pStyle w:val="FootnoteText"/>
      </w:pPr>
      <w:r>
        <w:rPr>
          <w:rStyle w:val="FootnoteReference"/>
        </w:rPr>
        <w:footnoteRef/>
      </w:r>
      <w:r>
        <w:t xml:space="preserve"> </w:t>
      </w:r>
      <w:r>
        <w:rPr>
          <w:i/>
          <w:iCs/>
        </w:rPr>
        <w:t xml:space="preserve">See </w:t>
      </w:r>
      <w:r>
        <w:t>5 U.S.C. § 605(b).</w:t>
      </w:r>
    </w:p>
  </w:footnote>
  <w:footnote w:id="91">
    <w:p w:rsidR="00D53F73" w:rsidP="00D53F73" w14:paraId="5E744C2B" w14:textId="77777777">
      <w:pPr>
        <w:pStyle w:val="FootnoteText"/>
      </w:pPr>
      <w:r>
        <w:rPr>
          <w:rStyle w:val="FootnoteReference"/>
        </w:rPr>
        <w:footnoteRef/>
      </w:r>
      <w:r>
        <w:t xml:space="preserve"> </w:t>
      </w:r>
      <w:r>
        <w:rPr>
          <w:i/>
          <w:iCs/>
        </w:rPr>
        <w:t>Id.</w:t>
      </w:r>
      <w:r>
        <w:t xml:space="preserve"> </w:t>
      </w:r>
    </w:p>
  </w:footnote>
  <w:footnote w:id="92">
    <w:p w:rsidR="00D53F73" w:rsidP="00D53F73" w14:paraId="2E9B00DD" w14:textId="77777777">
      <w:pPr>
        <w:pStyle w:val="FootnoteText"/>
      </w:pPr>
      <w:r>
        <w:rPr>
          <w:rStyle w:val="FootnoteReference"/>
        </w:rPr>
        <w:footnoteRef/>
      </w:r>
      <w:r>
        <w:t xml:space="preserve"> 5 U.S.C. § 553(b)(4).  The Providing Accountability Through Transparency Act, Pub. L. No. 118-9 (2023), amended section 553(b) of the Administrative Procedure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95BC073" w14:textId="5ED4B222">
    <w:pPr>
      <w:pStyle w:val="Header"/>
      <w:rPr>
        <w:b w:val="0"/>
      </w:rPr>
    </w:pPr>
    <w:r>
      <w:tab/>
      <w:t>Federal Communications Commission</w:t>
    </w:r>
    <w:r>
      <w:tab/>
    </w:r>
    <w:r w:rsidR="00D0213E">
      <w:t>FCC 23-93</w:t>
    </w:r>
  </w:p>
  <w:p w:rsidR="00D25FB5" w14:paraId="1FF2B19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C933E4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7DC5C6D" w14:textId="699A7C4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0213E">
      <w:rPr>
        <w:spacing w:val="-2"/>
      </w:rPr>
      <w:t>FCC 23-93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3CB4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65916D4"/>
    <w:multiLevelType w:val="hybridMultilevel"/>
    <w:tmpl w:val="BFB87D14"/>
    <w:lvl w:ilvl="0">
      <w:start w:val="1"/>
      <w:numFmt w:val="lowerLetter"/>
      <w:lvlText w:val="%1."/>
      <w:lvlJc w:val="left"/>
      <w:pPr>
        <w:ind w:left="1080" w:hanging="360"/>
      </w:pPr>
      <w:rPr>
        <w:rFonts w:hint="default"/>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7"/>
    <w:lvlOverride w:ilvl="0">
      <w:startOverride w:val="1"/>
    </w:lvlOverride>
  </w:num>
  <w:num w:numId="9">
    <w:abstractNumId w:val="7"/>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0F"/>
    <w:rsid w:val="0002024C"/>
    <w:rsid w:val="00030245"/>
    <w:rsid w:val="00036039"/>
    <w:rsid w:val="000363AE"/>
    <w:rsid w:val="00037F90"/>
    <w:rsid w:val="00042086"/>
    <w:rsid w:val="000729C8"/>
    <w:rsid w:val="00074BE5"/>
    <w:rsid w:val="000815E2"/>
    <w:rsid w:val="000875BF"/>
    <w:rsid w:val="00096D8C"/>
    <w:rsid w:val="00096F31"/>
    <w:rsid w:val="000C0B65"/>
    <w:rsid w:val="000C319B"/>
    <w:rsid w:val="000E05FE"/>
    <w:rsid w:val="000E3D42"/>
    <w:rsid w:val="00100E15"/>
    <w:rsid w:val="00122BD5"/>
    <w:rsid w:val="00122C95"/>
    <w:rsid w:val="00124E0D"/>
    <w:rsid w:val="00133F79"/>
    <w:rsid w:val="00165C79"/>
    <w:rsid w:val="00172CB8"/>
    <w:rsid w:val="00174757"/>
    <w:rsid w:val="001839D3"/>
    <w:rsid w:val="00192BB6"/>
    <w:rsid w:val="00194A66"/>
    <w:rsid w:val="001C73A7"/>
    <w:rsid w:val="001D527F"/>
    <w:rsid w:val="001D6BCF"/>
    <w:rsid w:val="001E01CA"/>
    <w:rsid w:val="001E1A9E"/>
    <w:rsid w:val="00200EF0"/>
    <w:rsid w:val="00203C4E"/>
    <w:rsid w:val="00206F26"/>
    <w:rsid w:val="00211D87"/>
    <w:rsid w:val="002150CC"/>
    <w:rsid w:val="0023371E"/>
    <w:rsid w:val="00251B90"/>
    <w:rsid w:val="00275CF5"/>
    <w:rsid w:val="00277AA1"/>
    <w:rsid w:val="0028301F"/>
    <w:rsid w:val="00285017"/>
    <w:rsid w:val="002A2D2E"/>
    <w:rsid w:val="002A4AB3"/>
    <w:rsid w:val="002C00E8"/>
    <w:rsid w:val="002E2396"/>
    <w:rsid w:val="00324EE0"/>
    <w:rsid w:val="003268D7"/>
    <w:rsid w:val="003313AF"/>
    <w:rsid w:val="00343749"/>
    <w:rsid w:val="00345674"/>
    <w:rsid w:val="00355EA2"/>
    <w:rsid w:val="003660ED"/>
    <w:rsid w:val="00371A67"/>
    <w:rsid w:val="00374EF8"/>
    <w:rsid w:val="0038223D"/>
    <w:rsid w:val="003A7154"/>
    <w:rsid w:val="003B0550"/>
    <w:rsid w:val="003B1713"/>
    <w:rsid w:val="003B694F"/>
    <w:rsid w:val="003E5CDE"/>
    <w:rsid w:val="003E6BC7"/>
    <w:rsid w:val="003F171C"/>
    <w:rsid w:val="003F22A8"/>
    <w:rsid w:val="004061DD"/>
    <w:rsid w:val="0040693C"/>
    <w:rsid w:val="00412FC5"/>
    <w:rsid w:val="00421A21"/>
    <w:rsid w:val="00422276"/>
    <w:rsid w:val="004242F1"/>
    <w:rsid w:val="004243E1"/>
    <w:rsid w:val="00445A00"/>
    <w:rsid w:val="00451B0F"/>
    <w:rsid w:val="00463736"/>
    <w:rsid w:val="004C04E7"/>
    <w:rsid w:val="004C1ACF"/>
    <w:rsid w:val="004C2EE3"/>
    <w:rsid w:val="004D0B04"/>
    <w:rsid w:val="004E4A22"/>
    <w:rsid w:val="004E6C0F"/>
    <w:rsid w:val="004F31F3"/>
    <w:rsid w:val="00500DB1"/>
    <w:rsid w:val="00506CB0"/>
    <w:rsid w:val="00511968"/>
    <w:rsid w:val="00524303"/>
    <w:rsid w:val="0053651E"/>
    <w:rsid w:val="0054423C"/>
    <w:rsid w:val="00551864"/>
    <w:rsid w:val="00551BBE"/>
    <w:rsid w:val="00551E8A"/>
    <w:rsid w:val="0055614C"/>
    <w:rsid w:val="00556F12"/>
    <w:rsid w:val="00566D06"/>
    <w:rsid w:val="00594C57"/>
    <w:rsid w:val="005A3F38"/>
    <w:rsid w:val="005A7433"/>
    <w:rsid w:val="005B3A95"/>
    <w:rsid w:val="005B6359"/>
    <w:rsid w:val="005E14C2"/>
    <w:rsid w:val="005F7725"/>
    <w:rsid w:val="00606495"/>
    <w:rsid w:val="00607310"/>
    <w:rsid w:val="00607BA5"/>
    <w:rsid w:val="0061180A"/>
    <w:rsid w:val="006215AA"/>
    <w:rsid w:val="0062378F"/>
    <w:rsid w:val="006269F7"/>
    <w:rsid w:val="00626EB6"/>
    <w:rsid w:val="00647237"/>
    <w:rsid w:val="00655D03"/>
    <w:rsid w:val="00656421"/>
    <w:rsid w:val="0068065B"/>
    <w:rsid w:val="006812AA"/>
    <w:rsid w:val="00683388"/>
    <w:rsid w:val="006836EA"/>
    <w:rsid w:val="00683F84"/>
    <w:rsid w:val="00696BBD"/>
    <w:rsid w:val="006A6A81"/>
    <w:rsid w:val="006B53AE"/>
    <w:rsid w:val="006C0127"/>
    <w:rsid w:val="006F7393"/>
    <w:rsid w:val="0070224F"/>
    <w:rsid w:val="0070279B"/>
    <w:rsid w:val="007115F7"/>
    <w:rsid w:val="00722593"/>
    <w:rsid w:val="00741C4B"/>
    <w:rsid w:val="00741F5A"/>
    <w:rsid w:val="00750734"/>
    <w:rsid w:val="00753397"/>
    <w:rsid w:val="00761F9C"/>
    <w:rsid w:val="00775183"/>
    <w:rsid w:val="00785689"/>
    <w:rsid w:val="007936B2"/>
    <w:rsid w:val="007966F4"/>
    <w:rsid w:val="0079754B"/>
    <w:rsid w:val="007A140F"/>
    <w:rsid w:val="007A1E6D"/>
    <w:rsid w:val="007A685D"/>
    <w:rsid w:val="007B0EB2"/>
    <w:rsid w:val="007B7C9F"/>
    <w:rsid w:val="007C29C7"/>
    <w:rsid w:val="007C5F5A"/>
    <w:rsid w:val="007E7965"/>
    <w:rsid w:val="007F2F7C"/>
    <w:rsid w:val="00804C6A"/>
    <w:rsid w:val="008079D8"/>
    <w:rsid w:val="00810B6F"/>
    <w:rsid w:val="00813EA1"/>
    <w:rsid w:val="00815E11"/>
    <w:rsid w:val="00822CE0"/>
    <w:rsid w:val="00826304"/>
    <w:rsid w:val="008276FE"/>
    <w:rsid w:val="00841796"/>
    <w:rsid w:val="00841AB1"/>
    <w:rsid w:val="008C68F1"/>
    <w:rsid w:val="008D0566"/>
    <w:rsid w:val="008F383D"/>
    <w:rsid w:val="008F59D1"/>
    <w:rsid w:val="008F6DC1"/>
    <w:rsid w:val="008F7B0A"/>
    <w:rsid w:val="00911295"/>
    <w:rsid w:val="009204E8"/>
    <w:rsid w:val="0092154B"/>
    <w:rsid w:val="00921803"/>
    <w:rsid w:val="00926503"/>
    <w:rsid w:val="009300A5"/>
    <w:rsid w:val="009726D8"/>
    <w:rsid w:val="00984193"/>
    <w:rsid w:val="00986EE1"/>
    <w:rsid w:val="009A0CF8"/>
    <w:rsid w:val="009A7096"/>
    <w:rsid w:val="009B0831"/>
    <w:rsid w:val="009D7308"/>
    <w:rsid w:val="009E14F0"/>
    <w:rsid w:val="009F04AB"/>
    <w:rsid w:val="009F76DB"/>
    <w:rsid w:val="009F789D"/>
    <w:rsid w:val="00A015F4"/>
    <w:rsid w:val="00A11549"/>
    <w:rsid w:val="00A11AA2"/>
    <w:rsid w:val="00A20014"/>
    <w:rsid w:val="00A2213B"/>
    <w:rsid w:val="00A32C3B"/>
    <w:rsid w:val="00A45F4F"/>
    <w:rsid w:val="00A46CB5"/>
    <w:rsid w:val="00A51983"/>
    <w:rsid w:val="00A600A9"/>
    <w:rsid w:val="00A7510D"/>
    <w:rsid w:val="00A7700D"/>
    <w:rsid w:val="00A801E0"/>
    <w:rsid w:val="00A92EDF"/>
    <w:rsid w:val="00A95F0C"/>
    <w:rsid w:val="00AA0404"/>
    <w:rsid w:val="00AA2165"/>
    <w:rsid w:val="00AA55B7"/>
    <w:rsid w:val="00AA5B9E"/>
    <w:rsid w:val="00AB2407"/>
    <w:rsid w:val="00AB2C72"/>
    <w:rsid w:val="00AB53DF"/>
    <w:rsid w:val="00AC39E8"/>
    <w:rsid w:val="00AD2EF0"/>
    <w:rsid w:val="00B00283"/>
    <w:rsid w:val="00B07E5C"/>
    <w:rsid w:val="00B140A4"/>
    <w:rsid w:val="00B31D2A"/>
    <w:rsid w:val="00B328E9"/>
    <w:rsid w:val="00B345F2"/>
    <w:rsid w:val="00B34740"/>
    <w:rsid w:val="00B458F9"/>
    <w:rsid w:val="00B52A57"/>
    <w:rsid w:val="00B52DDE"/>
    <w:rsid w:val="00B552C3"/>
    <w:rsid w:val="00B740CF"/>
    <w:rsid w:val="00B811F7"/>
    <w:rsid w:val="00B8686A"/>
    <w:rsid w:val="00BA5DC6"/>
    <w:rsid w:val="00BA6196"/>
    <w:rsid w:val="00BB40E7"/>
    <w:rsid w:val="00BC6B99"/>
    <w:rsid w:val="00BC6D8C"/>
    <w:rsid w:val="00BE2E03"/>
    <w:rsid w:val="00BE4042"/>
    <w:rsid w:val="00BF3E34"/>
    <w:rsid w:val="00C045EF"/>
    <w:rsid w:val="00C047A4"/>
    <w:rsid w:val="00C154BA"/>
    <w:rsid w:val="00C24D48"/>
    <w:rsid w:val="00C34006"/>
    <w:rsid w:val="00C36B4C"/>
    <w:rsid w:val="00C426B1"/>
    <w:rsid w:val="00C63C7F"/>
    <w:rsid w:val="00C64B1B"/>
    <w:rsid w:val="00C66160"/>
    <w:rsid w:val="00C721AC"/>
    <w:rsid w:val="00C76849"/>
    <w:rsid w:val="00C81307"/>
    <w:rsid w:val="00C90D6A"/>
    <w:rsid w:val="00C9670C"/>
    <w:rsid w:val="00CA247E"/>
    <w:rsid w:val="00CA6D21"/>
    <w:rsid w:val="00CB1A23"/>
    <w:rsid w:val="00CB2DEE"/>
    <w:rsid w:val="00CC1249"/>
    <w:rsid w:val="00CC72B6"/>
    <w:rsid w:val="00CD07AE"/>
    <w:rsid w:val="00D0213E"/>
    <w:rsid w:val="00D0218D"/>
    <w:rsid w:val="00D02715"/>
    <w:rsid w:val="00D05F97"/>
    <w:rsid w:val="00D16A3C"/>
    <w:rsid w:val="00D245DA"/>
    <w:rsid w:val="00D25FB5"/>
    <w:rsid w:val="00D273C4"/>
    <w:rsid w:val="00D31C1C"/>
    <w:rsid w:val="00D36348"/>
    <w:rsid w:val="00D43918"/>
    <w:rsid w:val="00D44223"/>
    <w:rsid w:val="00D53F73"/>
    <w:rsid w:val="00D56734"/>
    <w:rsid w:val="00D63870"/>
    <w:rsid w:val="00D835DA"/>
    <w:rsid w:val="00D97A23"/>
    <w:rsid w:val="00DA2529"/>
    <w:rsid w:val="00DB130A"/>
    <w:rsid w:val="00DB2EBB"/>
    <w:rsid w:val="00DC10A1"/>
    <w:rsid w:val="00DC14F8"/>
    <w:rsid w:val="00DC655F"/>
    <w:rsid w:val="00DD0B59"/>
    <w:rsid w:val="00DD16B1"/>
    <w:rsid w:val="00DD7EBD"/>
    <w:rsid w:val="00DF62B6"/>
    <w:rsid w:val="00E07225"/>
    <w:rsid w:val="00E20399"/>
    <w:rsid w:val="00E344C7"/>
    <w:rsid w:val="00E43E25"/>
    <w:rsid w:val="00E53CC6"/>
    <w:rsid w:val="00E5409F"/>
    <w:rsid w:val="00E6129B"/>
    <w:rsid w:val="00E62C3E"/>
    <w:rsid w:val="00E645D8"/>
    <w:rsid w:val="00E64FC8"/>
    <w:rsid w:val="00E66A7D"/>
    <w:rsid w:val="00E708AE"/>
    <w:rsid w:val="00E7314F"/>
    <w:rsid w:val="00EB114C"/>
    <w:rsid w:val="00EC2DEF"/>
    <w:rsid w:val="00EC7885"/>
    <w:rsid w:val="00ED095C"/>
    <w:rsid w:val="00EE6488"/>
    <w:rsid w:val="00F012EE"/>
    <w:rsid w:val="00F021FA"/>
    <w:rsid w:val="00F0229E"/>
    <w:rsid w:val="00F12C71"/>
    <w:rsid w:val="00F33FFF"/>
    <w:rsid w:val="00F35F28"/>
    <w:rsid w:val="00F369D0"/>
    <w:rsid w:val="00F435A0"/>
    <w:rsid w:val="00F62E97"/>
    <w:rsid w:val="00F64209"/>
    <w:rsid w:val="00F72769"/>
    <w:rsid w:val="00F838F9"/>
    <w:rsid w:val="00F84408"/>
    <w:rsid w:val="00F93BF5"/>
    <w:rsid w:val="00FC0F32"/>
    <w:rsid w:val="00FC24AB"/>
    <w:rsid w:val="00FC4ECC"/>
    <w:rsid w:val="00FC598C"/>
    <w:rsid w:val="00FC7BD1"/>
    <w:rsid w:val="00FF2334"/>
    <w:rsid w:val="249C6038"/>
    <w:rsid w:val="446A27A5"/>
    <w:rsid w:val="60CB90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0CE215"/>
  <w15:chartTrackingRefBased/>
  <w15:docId w15:val="{B8183A50-677D-41AA-B527-3D724645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5674"/>
    <w:pPr>
      <w:widowControl w:val="0"/>
    </w:pPr>
    <w:rPr>
      <w:snapToGrid w:val="0"/>
      <w:kern w:val="28"/>
      <w:sz w:val="22"/>
    </w:rPr>
  </w:style>
  <w:style w:type="paragraph" w:styleId="Heading1">
    <w:name w:val="heading 1"/>
    <w:basedOn w:val="Normal"/>
    <w:next w:val="ParaNum"/>
    <w:link w:val="Heading1Char"/>
    <w:qFormat/>
    <w:rsid w:val="0034567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45674"/>
    <w:pPr>
      <w:keepNext/>
      <w:numPr>
        <w:ilvl w:val="1"/>
        <w:numId w:val="3"/>
      </w:numPr>
      <w:spacing w:after="120"/>
      <w:outlineLvl w:val="1"/>
    </w:pPr>
    <w:rPr>
      <w:b/>
    </w:rPr>
  </w:style>
  <w:style w:type="paragraph" w:styleId="Heading3">
    <w:name w:val="heading 3"/>
    <w:basedOn w:val="Normal"/>
    <w:next w:val="ParaNum"/>
    <w:link w:val="Heading3Char"/>
    <w:qFormat/>
    <w:rsid w:val="0034567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4567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4567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4567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4567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4567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4567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456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5674"/>
  </w:style>
  <w:style w:type="paragraph" w:customStyle="1" w:styleId="ParaNum">
    <w:name w:val="ParaNum"/>
    <w:basedOn w:val="Normal"/>
    <w:link w:val="ParaNumChar"/>
    <w:rsid w:val="00345674"/>
    <w:pPr>
      <w:numPr>
        <w:numId w:val="2"/>
      </w:numPr>
      <w:tabs>
        <w:tab w:val="clear" w:pos="1080"/>
        <w:tab w:val="num" w:pos="1440"/>
      </w:tabs>
      <w:spacing w:after="120"/>
    </w:pPr>
  </w:style>
  <w:style w:type="paragraph" w:styleId="EndnoteText">
    <w:name w:val="endnote text"/>
    <w:basedOn w:val="Normal"/>
    <w:link w:val="EndnoteTextChar"/>
    <w:semiHidden/>
    <w:rsid w:val="00345674"/>
    <w:rPr>
      <w:sz w:val="20"/>
    </w:rPr>
  </w:style>
  <w:style w:type="character" w:styleId="EndnoteReference">
    <w:name w:val="endnote reference"/>
    <w:semiHidden/>
    <w:rsid w:val="00345674"/>
    <w:rPr>
      <w:vertAlign w:val="superscript"/>
    </w:rPr>
  </w:style>
  <w:style w:type="paragraph" w:styleId="FootnoteText">
    <w:name w:val="footnote text"/>
    <w:aliases w:val="Footnote Text Char Char Char,Footnote Text Char Char Char Char1 Char,Footnote Text Char Char2,Footnote Text Char1 Char,Footnote Text Char1 Char Char Char,Footnote Text Char1 Char Char Char Char Char,Footnote Text Char6,f"/>
    <w:link w:val="FootnoteTextChar1"/>
    <w:rsid w:val="0034567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45674"/>
    <w:rPr>
      <w:rFonts w:ascii="Times New Roman" w:hAnsi="Times New Roman"/>
      <w:dstrike w:val="0"/>
      <w:color w:val="auto"/>
      <w:sz w:val="20"/>
      <w:vertAlign w:val="superscript"/>
    </w:rPr>
  </w:style>
  <w:style w:type="paragraph" w:styleId="TOC1">
    <w:name w:val="toc 1"/>
    <w:basedOn w:val="Normal"/>
    <w:next w:val="Normal"/>
    <w:rsid w:val="0034567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45674"/>
    <w:pPr>
      <w:tabs>
        <w:tab w:val="left" w:pos="720"/>
        <w:tab w:val="right" w:leader="dot" w:pos="9360"/>
      </w:tabs>
      <w:suppressAutoHyphens/>
      <w:ind w:left="720" w:right="720" w:hanging="360"/>
    </w:pPr>
    <w:rPr>
      <w:noProof/>
    </w:rPr>
  </w:style>
  <w:style w:type="paragraph" w:styleId="TOC3">
    <w:name w:val="toc 3"/>
    <w:basedOn w:val="Normal"/>
    <w:next w:val="Normal"/>
    <w:semiHidden/>
    <w:rsid w:val="0034567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4567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4567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4567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4567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4567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4567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45674"/>
    <w:pPr>
      <w:tabs>
        <w:tab w:val="right" w:pos="9360"/>
      </w:tabs>
      <w:suppressAutoHyphens/>
    </w:pPr>
  </w:style>
  <w:style w:type="character" w:customStyle="1" w:styleId="EquationCaption">
    <w:name w:val="_Equation Caption"/>
    <w:rsid w:val="00345674"/>
  </w:style>
  <w:style w:type="paragraph" w:styleId="Header">
    <w:name w:val="header"/>
    <w:basedOn w:val="Normal"/>
    <w:link w:val="HeaderChar"/>
    <w:autoRedefine/>
    <w:rsid w:val="00345674"/>
    <w:pPr>
      <w:tabs>
        <w:tab w:val="center" w:pos="4680"/>
        <w:tab w:val="right" w:pos="9360"/>
      </w:tabs>
    </w:pPr>
    <w:rPr>
      <w:b/>
    </w:rPr>
  </w:style>
  <w:style w:type="paragraph" w:styleId="Footer">
    <w:name w:val="footer"/>
    <w:basedOn w:val="Normal"/>
    <w:link w:val="FooterChar"/>
    <w:uiPriority w:val="99"/>
    <w:rsid w:val="00345674"/>
    <w:pPr>
      <w:tabs>
        <w:tab w:val="center" w:pos="4320"/>
        <w:tab w:val="right" w:pos="8640"/>
      </w:tabs>
    </w:pPr>
  </w:style>
  <w:style w:type="character" w:styleId="PageNumber">
    <w:name w:val="page number"/>
    <w:basedOn w:val="DefaultParagraphFont"/>
    <w:rsid w:val="00345674"/>
  </w:style>
  <w:style w:type="paragraph" w:styleId="BlockText">
    <w:name w:val="Block Text"/>
    <w:basedOn w:val="Normal"/>
    <w:rsid w:val="00345674"/>
    <w:pPr>
      <w:spacing w:after="240"/>
      <w:ind w:left="1440" w:right="1440"/>
    </w:pPr>
  </w:style>
  <w:style w:type="paragraph" w:customStyle="1" w:styleId="Paratitle">
    <w:name w:val="Para title"/>
    <w:basedOn w:val="Normal"/>
    <w:rsid w:val="00345674"/>
    <w:pPr>
      <w:tabs>
        <w:tab w:val="center" w:pos="9270"/>
      </w:tabs>
      <w:spacing w:after="240"/>
    </w:pPr>
    <w:rPr>
      <w:spacing w:val="-2"/>
    </w:rPr>
  </w:style>
  <w:style w:type="paragraph" w:customStyle="1" w:styleId="Bullet">
    <w:name w:val="Bullet"/>
    <w:basedOn w:val="Normal"/>
    <w:rsid w:val="00345674"/>
    <w:pPr>
      <w:tabs>
        <w:tab w:val="left" w:pos="2160"/>
      </w:tabs>
      <w:spacing w:after="220"/>
      <w:ind w:left="2160" w:hanging="720"/>
    </w:pPr>
  </w:style>
  <w:style w:type="paragraph" w:customStyle="1" w:styleId="TableFormat">
    <w:name w:val="TableFormat"/>
    <w:basedOn w:val="Bullet"/>
    <w:rsid w:val="00345674"/>
    <w:pPr>
      <w:tabs>
        <w:tab w:val="clear" w:pos="2160"/>
        <w:tab w:val="left" w:pos="5040"/>
      </w:tabs>
      <w:ind w:left="5040" w:hanging="3600"/>
    </w:pPr>
  </w:style>
  <w:style w:type="paragraph" w:customStyle="1" w:styleId="TOCTitle">
    <w:name w:val="TOC Title"/>
    <w:basedOn w:val="Normal"/>
    <w:rsid w:val="0034567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45674"/>
    <w:pPr>
      <w:jc w:val="center"/>
    </w:pPr>
    <w:rPr>
      <w:rFonts w:ascii="Times New Roman Bold" w:hAnsi="Times New Roman Bold"/>
      <w:b/>
      <w:bCs/>
      <w:caps/>
      <w:szCs w:val="22"/>
    </w:rPr>
  </w:style>
  <w:style w:type="character" w:styleId="Hyperlink">
    <w:name w:val="Hyperlink"/>
    <w:rsid w:val="00345674"/>
    <w:rPr>
      <w:color w:val="0000FF"/>
      <w:u w:val="single"/>
    </w:rPr>
  </w:style>
  <w:style w:type="character" w:customStyle="1" w:styleId="FooterChar">
    <w:name w:val="Footer Char"/>
    <w:link w:val="Footer"/>
    <w:uiPriority w:val="99"/>
    <w:rsid w:val="00345674"/>
    <w:rPr>
      <w:snapToGrid w:val="0"/>
      <w:kern w:val="28"/>
      <w:sz w:val="22"/>
    </w:rPr>
  </w:style>
  <w:style w:type="character" w:customStyle="1" w:styleId="Heading1Char">
    <w:name w:val="Heading 1 Char"/>
    <w:link w:val="Heading1"/>
    <w:rsid w:val="00D53F73"/>
    <w:rPr>
      <w:rFonts w:ascii="Times New Roman Bold" w:hAnsi="Times New Roman Bold"/>
      <w:b/>
      <w:caps/>
      <w:snapToGrid w:val="0"/>
      <w:kern w:val="28"/>
      <w:sz w:val="22"/>
    </w:rPr>
  </w:style>
  <w:style w:type="character" w:customStyle="1" w:styleId="Heading2Char">
    <w:name w:val="Heading 2 Char"/>
    <w:link w:val="Heading2"/>
    <w:rsid w:val="00D53F73"/>
    <w:rPr>
      <w:b/>
      <w:snapToGrid w:val="0"/>
      <w:kern w:val="28"/>
      <w:sz w:val="22"/>
    </w:rPr>
  </w:style>
  <w:style w:type="character" w:customStyle="1" w:styleId="Heading3Char">
    <w:name w:val="Heading 3 Char"/>
    <w:link w:val="Heading3"/>
    <w:rsid w:val="00D53F73"/>
    <w:rPr>
      <w:b/>
      <w:snapToGrid w:val="0"/>
      <w:kern w:val="28"/>
      <w:sz w:val="22"/>
    </w:rPr>
  </w:style>
  <w:style w:type="character" w:customStyle="1" w:styleId="Heading4Char">
    <w:name w:val="Heading 4 Char"/>
    <w:link w:val="Heading4"/>
    <w:rsid w:val="00D53F73"/>
    <w:rPr>
      <w:b/>
      <w:snapToGrid w:val="0"/>
      <w:kern w:val="28"/>
      <w:sz w:val="22"/>
    </w:rPr>
  </w:style>
  <w:style w:type="character" w:customStyle="1" w:styleId="Heading5Char">
    <w:name w:val="Heading 5 Char"/>
    <w:link w:val="Heading5"/>
    <w:rsid w:val="00D53F73"/>
    <w:rPr>
      <w:b/>
      <w:snapToGrid w:val="0"/>
      <w:kern w:val="28"/>
      <w:sz w:val="22"/>
    </w:rPr>
  </w:style>
  <w:style w:type="character" w:customStyle="1" w:styleId="Heading6Char">
    <w:name w:val="Heading 6 Char"/>
    <w:link w:val="Heading6"/>
    <w:rsid w:val="00D53F73"/>
    <w:rPr>
      <w:b/>
      <w:snapToGrid w:val="0"/>
      <w:kern w:val="28"/>
      <w:sz w:val="22"/>
    </w:rPr>
  </w:style>
  <w:style w:type="character" w:customStyle="1" w:styleId="Heading7Char">
    <w:name w:val="Heading 7 Char"/>
    <w:link w:val="Heading7"/>
    <w:rsid w:val="00D53F73"/>
    <w:rPr>
      <w:b/>
      <w:snapToGrid w:val="0"/>
      <w:kern w:val="28"/>
      <w:sz w:val="22"/>
    </w:rPr>
  </w:style>
  <w:style w:type="character" w:customStyle="1" w:styleId="Heading8Char">
    <w:name w:val="Heading 8 Char"/>
    <w:link w:val="Heading8"/>
    <w:rsid w:val="00D53F73"/>
    <w:rPr>
      <w:b/>
      <w:snapToGrid w:val="0"/>
      <w:kern w:val="28"/>
      <w:sz w:val="22"/>
    </w:rPr>
  </w:style>
  <w:style w:type="character" w:customStyle="1" w:styleId="Heading9Char">
    <w:name w:val="Heading 9 Char"/>
    <w:link w:val="Heading9"/>
    <w:rsid w:val="00D53F73"/>
    <w:rPr>
      <w:b/>
      <w:snapToGrid w:val="0"/>
      <w:kern w:val="28"/>
      <w:sz w:val="22"/>
    </w:rPr>
  </w:style>
  <w:style w:type="character" w:customStyle="1" w:styleId="EndnoteTextChar">
    <w:name w:val="Endnote Text Char"/>
    <w:link w:val="EndnoteText"/>
    <w:semiHidden/>
    <w:rsid w:val="00D53F73"/>
    <w:rPr>
      <w:snapToGrid w:val="0"/>
      <w:kern w:val="28"/>
    </w:rPr>
  </w:style>
  <w:style w:type="character" w:customStyle="1" w:styleId="FootnoteTextChar">
    <w:name w:val="Footnote Text Char"/>
    <w:semiHidden/>
    <w:rsid w:val="00D53F73"/>
    <w:rPr>
      <w:snapToGrid w:val="0"/>
      <w:kern w:val="28"/>
    </w:rPr>
  </w:style>
  <w:style w:type="character" w:customStyle="1" w:styleId="HeaderChar">
    <w:name w:val="Header Char"/>
    <w:link w:val="Header"/>
    <w:rsid w:val="00D53F73"/>
    <w:rPr>
      <w:b/>
      <w:snapToGrid w:val="0"/>
      <w:kern w:val="28"/>
      <w:sz w:val="22"/>
    </w:rPr>
  </w:style>
  <w:style w:type="character" w:customStyle="1" w:styleId="ParaNumChar">
    <w:name w:val="ParaNum Char"/>
    <w:link w:val="ParaNum"/>
    <w:rsid w:val="00D53F73"/>
    <w:rPr>
      <w:snapToGrid w:val="0"/>
      <w:kern w:val="28"/>
      <w:sz w:val="22"/>
    </w:rPr>
  </w:style>
  <w:style w:type="character" w:styleId="CommentReference">
    <w:name w:val="annotation reference"/>
    <w:uiPriority w:val="99"/>
    <w:rsid w:val="00D53F73"/>
    <w:rPr>
      <w:sz w:val="16"/>
      <w:szCs w:val="16"/>
    </w:rPr>
  </w:style>
  <w:style w:type="paragraph" w:styleId="CommentText">
    <w:name w:val="annotation text"/>
    <w:basedOn w:val="Normal"/>
    <w:link w:val="CommentTextChar"/>
    <w:uiPriority w:val="99"/>
    <w:rsid w:val="00D53F73"/>
    <w:rPr>
      <w:sz w:val="20"/>
    </w:rPr>
  </w:style>
  <w:style w:type="character" w:customStyle="1" w:styleId="CommentTextChar">
    <w:name w:val="Comment Text Char"/>
    <w:link w:val="CommentText"/>
    <w:uiPriority w:val="99"/>
    <w:rsid w:val="00D53F73"/>
    <w:rPr>
      <w:snapToGrid w:val="0"/>
      <w:kern w:val="28"/>
    </w:rPr>
  </w:style>
  <w:style w:type="paragraph" w:styleId="CommentSubject">
    <w:name w:val="annotation subject"/>
    <w:basedOn w:val="CommentText"/>
    <w:next w:val="CommentText"/>
    <w:link w:val="CommentSubjectChar"/>
    <w:rsid w:val="00D53F73"/>
    <w:rPr>
      <w:b/>
      <w:bCs/>
    </w:rPr>
  </w:style>
  <w:style w:type="character" w:customStyle="1" w:styleId="CommentSubjectChar">
    <w:name w:val="Comment Subject Char"/>
    <w:link w:val="CommentSubject"/>
    <w:rsid w:val="00D53F73"/>
    <w:rPr>
      <w:b/>
      <w:bCs/>
      <w:snapToGrid w:val="0"/>
      <w:kern w:val="28"/>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 Char Char Char Char Char,Footnote Text Char6 Char,f Char"/>
    <w:link w:val="FootnoteText"/>
    <w:rsid w:val="00D53F73"/>
  </w:style>
  <w:style w:type="character" w:styleId="UnresolvedMention">
    <w:name w:val="Unresolved Mention"/>
    <w:uiPriority w:val="99"/>
    <w:semiHidden/>
    <w:unhideWhenUsed/>
    <w:rsid w:val="00D53F73"/>
    <w:rPr>
      <w:color w:val="605E5C"/>
      <w:shd w:val="clear" w:color="auto" w:fill="E1DFDD"/>
    </w:rPr>
  </w:style>
  <w:style w:type="character" w:styleId="Mention">
    <w:name w:val="Mention"/>
    <w:uiPriority w:val="99"/>
    <w:unhideWhenUsed/>
    <w:rsid w:val="00D53F73"/>
    <w:rPr>
      <w:color w:val="2B579A"/>
      <w:shd w:val="clear" w:color="auto" w:fill="E1DFDD"/>
    </w:rPr>
  </w:style>
  <w:style w:type="paragraph" w:customStyle="1" w:styleId="FootnoteTex">
    <w:name w:val="Footnote Tex"/>
    <w:basedOn w:val="Normal"/>
    <w:rsid w:val="00D53F73"/>
    <w:rPr>
      <w:rFonts w:eastAsia="SimSun"/>
      <w:kern w:val="0"/>
      <w:sz w:val="24"/>
    </w:rPr>
  </w:style>
  <w:style w:type="paragraph" w:styleId="Revision">
    <w:name w:val="Revision"/>
    <w:hidden/>
    <w:uiPriority w:val="99"/>
    <w:semiHidden/>
    <w:rsid w:val="00D53F73"/>
    <w:rPr>
      <w:snapToGrid w:val="0"/>
      <w:kern w:val="28"/>
      <w:sz w:val="22"/>
    </w:rPr>
  </w:style>
  <w:style w:type="character" w:styleId="FollowedHyperlink">
    <w:name w:val="FollowedHyperlink"/>
    <w:rsid w:val="00D53F73"/>
    <w:rPr>
      <w:color w:val="954F72"/>
      <w:u w:val="single"/>
    </w:rPr>
  </w:style>
  <w:style w:type="character" w:customStyle="1" w:styleId="cf01">
    <w:name w:val="cf01"/>
    <w:rsid w:val="00D53F73"/>
    <w:rPr>
      <w:rFonts w:ascii="Segoe UI" w:hAnsi="Segoe UI" w:cs="Segoe UI" w:hint="default"/>
      <w:sz w:val="18"/>
      <w:szCs w:val="18"/>
    </w:rPr>
  </w:style>
  <w:style w:type="character" w:customStyle="1" w:styleId="normaltextrun">
    <w:name w:val="normaltextrun"/>
    <w:basedOn w:val="DefaultParagraphFont"/>
    <w:rsid w:val="00D53F73"/>
  </w:style>
  <w:style w:type="paragraph" w:styleId="ListParagraph">
    <w:name w:val="List Paragraph"/>
    <w:basedOn w:val="Normal"/>
    <w:uiPriority w:val="34"/>
    <w:qFormat/>
    <w:rsid w:val="00D53F73"/>
    <w:pPr>
      <w:ind w:left="720"/>
      <w:contextualSpacing/>
    </w:pPr>
  </w:style>
  <w:style w:type="character" w:customStyle="1" w:styleId="FootnoteTextChar2">
    <w:name w:val="Footnote Text Char2"/>
    <w:aliases w:val="Footnote Text Char Char Char1,Footnote Text Char Char Char1 Char Char1,Footnote Text Char1 Char Char Char Char Char1,Footnote Text Char1 Char1,Footnote Text Char1 Char1 Char Char Char1,Footnote Text Char1 Char2 Char Char1,fn Char"/>
    <w:basedOn w:val="DefaultParagraphFont"/>
    <w:uiPriority w:val="99"/>
    <w:semiHidden/>
    <w:locked/>
    <w:rsid w:val="00D53F73"/>
  </w:style>
  <w:style w:type="character" w:customStyle="1" w:styleId="contextualspellingandgrammarerror">
    <w:name w:val="contextualspellingandgrammarerror"/>
    <w:basedOn w:val="DefaultParagraphFont"/>
    <w:rsid w:val="00D53F73"/>
  </w:style>
  <w:style w:type="paragraph" w:customStyle="1" w:styleId="table-title">
    <w:name w:val="table-title"/>
    <w:basedOn w:val="Normal"/>
    <w:rsid w:val="00D53F73"/>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proposed-rulemaking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6017477458/1" TargetMode="External" /><Relationship Id="rId2" Type="http://schemas.openxmlformats.org/officeDocument/2006/relationships/hyperlink" Target="http://www.arrl.org/band-plan" TargetMode="External" /><Relationship Id="rId3" Type="http://schemas.openxmlformats.org/officeDocument/2006/relationships/hyperlink" Target="https://www.archives.gov/files/federal-register/write/handbook/ddh.pdf" TargetMode="External" /><Relationship Id="rId4" Type="http://schemas.openxmlformats.org/officeDocument/2006/relationships/hyperlink" Target="https://www.archives.gov/files/federal-register/write/handbook/ibr.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