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91A07" w:rsidP="00491A07" w14:paraId="1AF425D4" w14:textId="77777777">
      <w:pPr>
        <w:widowControl w:val="0"/>
        <w:spacing w:after="0" w:line="240" w:lineRule="auto"/>
        <w:jc w:val="center"/>
        <w:rPr>
          <w:rFonts w:ascii="Times New Roman" w:eastAsia="Times New Roman" w:hAnsi="Times New Roman" w:cs="Times New Roman"/>
          <w:b/>
          <w:bCs/>
          <w:snapToGrid w:val="0"/>
          <w:kern w:val="28"/>
          <w14:ligatures w14:val="none"/>
        </w:rPr>
      </w:pPr>
      <w:r>
        <w:rPr>
          <w:rFonts w:ascii="Times New Roman" w:eastAsia="Times New Roman" w:hAnsi="Times New Roman" w:cs="Times New Roman"/>
          <w:b/>
          <w:bCs/>
          <w:snapToGrid w:val="0"/>
          <w:kern w:val="28"/>
          <w14:ligatures w14:val="none"/>
        </w:rPr>
        <w:t xml:space="preserve">DISSENTING </w:t>
      </w:r>
      <w:r w:rsidRPr="002328AC">
        <w:rPr>
          <w:rFonts w:ascii="Times New Roman" w:eastAsia="Times New Roman" w:hAnsi="Times New Roman" w:cs="Times New Roman"/>
          <w:b/>
          <w:bCs/>
          <w:snapToGrid w:val="0"/>
          <w:kern w:val="28"/>
          <w14:ligatures w14:val="none"/>
        </w:rPr>
        <w:t>STATEMENT OF</w:t>
      </w:r>
    </w:p>
    <w:p w:rsidR="00491A07" w:rsidP="00491A07" w14:paraId="235BF7CE" w14:textId="77777777">
      <w:pPr>
        <w:widowControl w:val="0"/>
        <w:spacing w:after="0" w:line="240" w:lineRule="auto"/>
        <w:jc w:val="center"/>
        <w:rPr>
          <w:rFonts w:ascii="Times New Roman" w:eastAsia="Times New Roman" w:hAnsi="Times New Roman" w:cs="Times New Roman"/>
          <w:b/>
          <w:bCs/>
          <w:snapToGrid w:val="0"/>
          <w:kern w:val="28"/>
          <w14:ligatures w14:val="none"/>
        </w:rPr>
      </w:pPr>
      <w:r w:rsidRPr="002328AC">
        <w:rPr>
          <w:rFonts w:ascii="Times New Roman" w:eastAsia="Times New Roman" w:hAnsi="Times New Roman" w:cs="Times New Roman"/>
          <w:b/>
          <w:bCs/>
          <w:snapToGrid w:val="0"/>
          <w:kern w:val="28"/>
          <w14:ligatures w14:val="none"/>
        </w:rPr>
        <w:t>COMMISSIONER BRENDAN CARR</w:t>
      </w:r>
    </w:p>
    <w:p w:rsidR="00491A07" w:rsidRPr="002328AC" w:rsidP="00491A07" w14:paraId="1A3E5FBF" w14:textId="77777777">
      <w:pPr>
        <w:widowControl w:val="0"/>
        <w:spacing w:after="0" w:line="240" w:lineRule="auto"/>
        <w:jc w:val="center"/>
        <w:rPr>
          <w:rFonts w:ascii="Times New Roman" w:eastAsia="Times New Roman" w:hAnsi="Times New Roman" w:cs="Times New Roman"/>
          <w:b/>
          <w:bCs/>
          <w:snapToGrid w:val="0"/>
          <w:kern w:val="28"/>
          <w14:ligatures w14:val="none"/>
        </w:rPr>
      </w:pPr>
    </w:p>
    <w:p w:rsidR="00491A07" w:rsidRPr="003A55C6" w:rsidP="00491A07" w14:paraId="65EBE7EB" w14:textId="77777777">
      <w:pPr>
        <w:widowControl w:val="0"/>
        <w:spacing w:after="0" w:line="240" w:lineRule="auto"/>
        <w:ind w:left="720" w:hanging="720"/>
        <w:rPr>
          <w:rFonts w:ascii="Times New Roman" w:eastAsia="Times New Roman" w:hAnsi="Times New Roman" w:cs="Times New Roman"/>
          <w:snapToGrid w:val="0"/>
          <w:kern w:val="28"/>
          <w14:ligatures w14:val="none"/>
        </w:rPr>
      </w:pPr>
      <w:r w:rsidRPr="003A55C6">
        <w:rPr>
          <w:rFonts w:ascii="Times New Roman" w:eastAsia="Times New Roman" w:hAnsi="Times New Roman" w:cs="Times New Roman"/>
          <w:snapToGrid w:val="0"/>
          <w:kern w:val="28"/>
          <w14:ligatures w14:val="none"/>
        </w:rPr>
        <w:t xml:space="preserve">Re: </w:t>
      </w:r>
      <w:r w:rsidRPr="003A55C6">
        <w:rPr>
          <w:rFonts w:ascii="Times New Roman" w:eastAsia="Times New Roman" w:hAnsi="Times New Roman" w:cs="Times New Roman"/>
          <w:snapToGrid w:val="0"/>
          <w:kern w:val="28"/>
          <w14:ligatures w14:val="none"/>
        </w:rPr>
        <w:tab/>
      </w:r>
      <w:r w:rsidRPr="00D6525B">
        <w:rPr>
          <w:rFonts w:ascii="Times New Roman" w:hAnsi="Times New Roman" w:cs="Times New Roman"/>
          <w:i/>
          <w:iCs/>
          <w:spacing w:val="-2"/>
        </w:rPr>
        <w:t>Review of the Commission’s Broadcast and Cable Equal Employment Opportunity Rules and Policies</w:t>
      </w:r>
      <w:r w:rsidRPr="003A55C6">
        <w:rPr>
          <w:rFonts w:ascii="Times New Roman" w:eastAsia="Times New Roman" w:hAnsi="Times New Roman" w:cs="Times New Roman"/>
          <w:snapToGrid w:val="0"/>
          <w:kern w:val="28"/>
          <w14:ligatures w14:val="none"/>
        </w:rPr>
        <w:t>; Fourth Report and Order, Order on Reconsideration, and Second Further Notice of Proposed Rulemaking; MB Docket No. 98-204</w:t>
      </w:r>
      <w:r>
        <w:rPr>
          <w:rFonts w:ascii="Times New Roman" w:eastAsia="Times New Roman" w:hAnsi="Times New Roman" w:cs="Times New Roman"/>
          <w:snapToGrid w:val="0"/>
          <w:kern w:val="28"/>
          <w14:ligatures w14:val="none"/>
        </w:rPr>
        <w:t>.</w:t>
      </w:r>
    </w:p>
    <w:p w:rsidR="00491A07" w:rsidP="00491A07" w14:paraId="262D11CB" w14:textId="77777777">
      <w:pPr>
        <w:spacing w:after="0" w:line="240" w:lineRule="auto"/>
        <w:ind w:firstLine="720"/>
        <w:rPr>
          <w:rFonts w:ascii="Times New Roman" w:hAnsi="Times New Roman" w:cs="Times New Roman"/>
        </w:rPr>
      </w:pPr>
    </w:p>
    <w:p w:rsidR="00491A07" w:rsidP="00491A07" w14:paraId="2A10500B" w14:textId="77777777">
      <w:pPr>
        <w:spacing w:after="0" w:line="240" w:lineRule="auto"/>
        <w:ind w:firstLine="720"/>
        <w:rPr>
          <w:rFonts w:ascii="Times New Roman" w:hAnsi="Times New Roman" w:cs="Times New Roman"/>
        </w:rPr>
      </w:pPr>
      <w:r>
        <w:rPr>
          <w:rFonts w:ascii="Times New Roman" w:hAnsi="Times New Roman" w:cs="Times New Roman"/>
        </w:rPr>
        <w:t>Today’s FCC Order takes two separate actions.</w:t>
      </w:r>
    </w:p>
    <w:p w:rsidR="00491A07" w:rsidP="00491A07" w14:paraId="4EDB91C8" w14:textId="77777777">
      <w:pPr>
        <w:spacing w:after="0" w:line="240" w:lineRule="auto"/>
        <w:ind w:firstLine="720"/>
        <w:rPr>
          <w:rFonts w:ascii="Times New Roman" w:hAnsi="Times New Roman" w:cs="Times New Roman"/>
        </w:rPr>
      </w:pPr>
    </w:p>
    <w:p w:rsidR="00491A07" w:rsidP="00491A07" w14:paraId="5874930D" w14:textId="77777777">
      <w:pPr>
        <w:spacing w:after="0" w:line="240" w:lineRule="auto"/>
        <w:ind w:firstLine="720"/>
        <w:rPr>
          <w:rFonts w:ascii="Times New Roman" w:hAnsi="Times New Roman" w:cs="Times New Roman"/>
        </w:rPr>
      </w:pPr>
      <w:r>
        <w:rPr>
          <w:rFonts w:ascii="Times New Roman" w:hAnsi="Times New Roman" w:cs="Times New Roman"/>
        </w:rPr>
        <w:t>First, it reinstates the federal requirement that broadcasters file a document (known as Form 395-B) every year with the FCC that lists the race and gender of their employees.  I would have had no objection here to an FCC decision limited to requiring broadcasters to file Form 395-B data with the agency—after all, Congress passed a statute that directs the FCC to collect this information.</w:t>
      </w:r>
      <w:r>
        <w:rPr>
          <w:rStyle w:val="FootnoteReference"/>
          <w:rFonts w:cs="Times New Roman"/>
        </w:rPr>
        <w:footnoteReference w:id="2"/>
      </w:r>
      <w:r>
        <w:rPr>
          <w:rFonts w:ascii="Times New Roman" w:hAnsi="Times New Roman" w:cs="Times New Roman"/>
        </w:rPr>
        <w:t xml:space="preserve">  The FCC could also have made this data available on an anonymized or otherwise aggregated basis that does not disclose information about specific broadcast stations.  Indeed, the </w:t>
      </w:r>
      <w:r w:rsidRPr="002F7D3C">
        <w:rPr>
          <w:rFonts w:ascii="Times New Roman" w:hAnsi="Times New Roman" w:cs="Times New Roman"/>
        </w:rPr>
        <w:t>Civil Rights Act of 1964</w:t>
      </w:r>
      <w:r>
        <w:rPr>
          <w:rFonts w:ascii="Times New Roman" w:hAnsi="Times New Roman" w:cs="Times New Roman"/>
        </w:rPr>
        <w:t xml:space="preserve"> expressly requires that the government keep this type of race and gender data confidential when it is collected by the Equal Opportunity Employment Commission.</w:t>
      </w:r>
      <w:r>
        <w:rPr>
          <w:rStyle w:val="FootnoteReference"/>
          <w:rFonts w:cs="Times New Roman"/>
        </w:rPr>
        <w:footnoteReference w:id="3"/>
      </w:r>
      <w:r>
        <w:rPr>
          <w:rFonts w:ascii="Times New Roman" w:hAnsi="Times New Roman" w:cs="Times New Roman"/>
        </w:rPr>
        <w:t xml:space="preserve">  But instead of confining today’s decision to lawful agency action, the FCC chooses a different course—one that violates the Constitution, as the D.C. Circuit has already determined in not one but two separate FCC cases.</w:t>
      </w:r>
    </w:p>
    <w:p w:rsidR="00491A07" w:rsidP="00491A07" w14:paraId="0B3A3B0F" w14:textId="77777777">
      <w:pPr>
        <w:spacing w:after="0" w:line="240" w:lineRule="auto"/>
        <w:ind w:firstLine="720"/>
        <w:rPr>
          <w:rFonts w:ascii="Times New Roman" w:hAnsi="Times New Roman" w:cs="Times New Roman"/>
        </w:rPr>
      </w:pPr>
    </w:p>
    <w:p w:rsidR="00491A07" w:rsidP="00491A07" w14:paraId="53F8600D" w14:textId="77777777">
      <w:pPr>
        <w:spacing w:after="0" w:line="240" w:lineRule="auto"/>
        <w:ind w:firstLine="720"/>
        <w:rPr>
          <w:rFonts w:ascii="Times New Roman" w:hAnsi="Times New Roman" w:cs="Times New Roman"/>
        </w:rPr>
      </w:pPr>
      <w:r>
        <w:rPr>
          <w:rFonts w:ascii="Times New Roman" w:hAnsi="Times New Roman" w:cs="Times New Roman"/>
        </w:rPr>
        <w:t>In particular, in the second part of today’s Order, the FCC decides that it will take the Form 395-B demographic data and publish it on a station-by-station basis—meaning that the FCC will now post a race and gender scorecard for each and every TV and radio broadcast station in the country.</w:t>
      </w:r>
      <w:r>
        <w:rPr>
          <w:rStyle w:val="FootnoteReference"/>
          <w:rFonts w:cs="Times New Roman"/>
        </w:rPr>
        <w:footnoteReference w:id="4"/>
      </w:r>
      <w:r>
        <w:rPr>
          <w:rFonts w:ascii="Times New Roman" w:hAnsi="Times New Roman" w:cs="Times New Roman"/>
        </w:rPr>
        <w:t xml:space="preserve">  In doing so, the FCC caves to the demands of activist groups that have worked for years and across different industries to persuade the federal government to obtain—and most importantly publish—this type of data about individual businesses.  This is no benign disclosure regime.  The record makes clear that the FCC is choosing to publish these scorecard for one and only one reason:  to ensure that individual businesses are targeted and pressured into making decisions based on race and gender.  This is the exact same type of pressure that the FCC created in at least two prior cases.  In both instances, the D.C. Circuit invalided the FCC’s rules because they violated the equal protection guarantees of the Due Process Clause of the Fifth Amendment.</w:t>
      </w:r>
      <w:r>
        <w:rPr>
          <w:rStyle w:val="FootnoteReference"/>
          <w:rFonts w:cs="Times New Roman"/>
        </w:rPr>
        <w:footnoteReference w:id="5"/>
      </w:r>
      <w:r>
        <w:rPr>
          <w:rFonts w:ascii="Times New Roman" w:hAnsi="Times New Roman" w:cs="Times New Roman"/>
        </w:rPr>
        <w:t xml:space="preserve">  The only difference this time around is that the FCC has violated the First Amendment as well.  </w:t>
      </w:r>
    </w:p>
    <w:p w:rsidR="00491A07" w:rsidP="00491A07" w14:paraId="7A89B600" w14:textId="77777777">
      <w:pPr>
        <w:spacing w:after="0" w:line="240" w:lineRule="auto"/>
        <w:ind w:firstLine="720"/>
        <w:rPr>
          <w:rFonts w:ascii="Times New Roman" w:hAnsi="Times New Roman" w:cs="Times New Roman"/>
        </w:rPr>
      </w:pPr>
    </w:p>
    <w:p w:rsidR="00491A07" w:rsidP="00491A07" w14:paraId="101811B1" w14:textId="77777777">
      <w:pPr>
        <w:spacing w:after="0" w:line="240" w:lineRule="auto"/>
        <w:ind w:firstLine="720"/>
        <w:rPr>
          <w:rFonts w:ascii="Times New Roman" w:hAnsi="Times New Roman" w:cs="Times New Roman"/>
        </w:rPr>
      </w:pPr>
      <w:r>
        <w:rPr>
          <w:rFonts w:ascii="Times New Roman" w:hAnsi="Times New Roman" w:cs="Times New Roman"/>
        </w:rPr>
        <w:t xml:space="preserve">In the Further Notice portion of today’s decision, the FCC proposes to extend this same approach to additional industries.  </w:t>
      </w:r>
    </w:p>
    <w:p w:rsidR="00491A07" w:rsidP="00491A07" w14:paraId="066B782A" w14:textId="77777777">
      <w:pPr>
        <w:spacing w:after="0" w:line="240" w:lineRule="auto"/>
        <w:ind w:firstLine="720"/>
        <w:rPr>
          <w:rFonts w:ascii="Times New Roman" w:hAnsi="Times New Roman" w:cs="Times New Roman"/>
        </w:rPr>
      </w:pPr>
    </w:p>
    <w:p w:rsidR="00491A07" w:rsidP="00491A07" w14:paraId="63ED93F6" w14:textId="77777777">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491A07" w:rsidRPr="00EC6004" w:rsidP="00491A07" w14:paraId="2C5220C1" w14:textId="77777777">
      <w:pPr>
        <w:spacing w:after="0" w:line="240" w:lineRule="auto"/>
        <w:rPr>
          <w:rFonts w:ascii="Times New Roman" w:hAnsi="Times New Roman" w:cs="Times New Roman"/>
        </w:rPr>
      </w:pPr>
    </w:p>
    <w:p w:rsidR="00491A07" w:rsidRPr="00EC6004" w:rsidP="00491A07" w14:paraId="65BF6487" w14:textId="77777777">
      <w:pPr>
        <w:spacing w:after="0" w:line="240" w:lineRule="auto"/>
        <w:ind w:firstLine="720"/>
        <w:rPr>
          <w:rFonts w:ascii="Times New Roman" w:hAnsi="Times New Roman" w:cs="Times New Roman"/>
        </w:rPr>
      </w:pPr>
      <w:r w:rsidRPr="00EC6004">
        <w:rPr>
          <w:rFonts w:ascii="Times New Roman" w:hAnsi="Times New Roman" w:cs="Times New Roman"/>
        </w:rPr>
        <w:t xml:space="preserve">Let’s start with the FCC’s </w:t>
      </w:r>
      <w:r>
        <w:rPr>
          <w:rFonts w:ascii="Times New Roman" w:hAnsi="Times New Roman" w:cs="Times New Roman"/>
        </w:rPr>
        <w:t>record</w:t>
      </w:r>
      <w:r w:rsidRPr="00EC6004">
        <w:rPr>
          <w:rFonts w:ascii="Times New Roman" w:hAnsi="Times New Roman" w:cs="Times New Roman"/>
        </w:rPr>
        <w:t xml:space="preserve"> of encouraging </w:t>
      </w:r>
      <w:r>
        <w:rPr>
          <w:rFonts w:ascii="Times New Roman" w:hAnsi="Times New Roman" w:cs="Times New Roman"/>
        </w:rPr>
        <w:t xml:space="preserve">this type of </w:t>
      </w:r>
      <w:r w:rsidRPr="00EC6004">
        <w:rPr>
          <w:rFonts w:ascii="Times New Roman" w:hAnsi="Times New Roman" w:cs="Times New Roman"/>
        </w:rPr>
        <w:t xml:space="preserve">discrimination.  In </w:t>
      </w:r>
      <w:r w:rsidRPr="00EC6004">
        <w:rPr>
          <w:rFonts w:ascii="Times New Roman" w:hAnsi="Times New Roman" w:cs="Times New Roman"/>
          <w:i/>
          <w:iCs/>
        </w:rPr>
        <w:t>Lutheran Church</w:t>
      </w:r>
      <w:r w:rsidRPr="00EC6004">
        <w:rPr>
          <w:rFonts w:ascii="Times New Roman" w:hAnsi="Times New Roman" w:cs="Times New Roman"/>
        </w:rPr>
        <w:t xml:space="preserve">, the D.C. Circuit reviewed an earlier FCC effort to use Form 395-B (the same form that is at issue in </w:t>
      </w:r>
      <w:r w:rsidRPr="00EC6004">
        <w:rPr>
          <w:rFonts w:ascii="Times New Roman" w:hAnsi="Times New Roman" w:cs="Times New Roman"/>
        </w:rPr>
        <w:t>today’s decision) as part of a set of agency regulations aimed at influencing broadcasters’ hiring practices.  As with today’s new rules, those FCC regulations did not expressly require broadcasters to hire employees in accordance with fixed quot</w:t>
      </w:r>
      <w:r>
        <w:rPr>
          <w:rFonts w:ascii="Times New Roman" w:hAnsi="Times New Roman" w:cs="Times New Roman"/>
        </w:rPr>
        <w:t>a</w:t>
      </w:r>
      <w:r w:rsidRPr="00EC6004">
        <w:rPr>
          <w:rFonts w:ascii="Times New Roman" w:hAnsi="Times New Roman" w:cs="Times New Roman"/>
        </w:rPr>
        <w:t>s.</w:t>
      </w:r>
      <w:r>
        <w:rPr>
          <w:rStyle w:val="FootnoteReference"/>
          <w:rFonts w:cs="Times New Roman"/>
        </w:rPr>
        <w:footnoteReference w:id="6"/>
      </w:r>
      <w:r w:rsidRPr="00EC6004">
        <w:rPr>
          <w:rFonts w:ascii="Times New Roman" w:hAnsi="Times New Roman" w:cs="Times New Roman"/>
        </w:rPr>
        <w:t xml:space="preserve">  Instead, those earlier FCC rules required broadcasters to compare the composition of their workforce with the availability of minorities and women in its area.  On review, the D.C. Circuit found that those rules would operate, in the real world, in a manner that would “oblige stations to grant some degree of preference to minorities in hiring.”</w:t>
      </w:r>
      <w:r>
        <w:rPr>
          <w:rStyle w:val="FootnoteReference"/>
          <w:rFonts w:cs="Times New Roman"/>
        </w:rPr>
        <w:footnoteReference w:id="7"/>
      </w:r>
      <w:r w:rsidRPr="00EC6004">
        <w:rPr>
          <w:rFonts w:ascii="Times New Roman" w:hAnsi="Times New Roman" w:cs="Times New Roman"/>
        </w:rPr>
        <w:t xml:space="preserve">  In particular, the court found that the FCC’s approach of mandating the comparison of employees with the general population across race and gender categories operated to “pressure license holders to engage in race-conscious hiring.”</w:t>
      </w:r>
      <w:r>
        <w:rPr>
          <w:rStyle w:val="FootnoteReference"/>
          <w:rFonts w:cs="Times New Roman"/>
        </w:rPr>
        <w:footnoteReference w:id="8"/>
      </w:r>
      <w:r w:rsidRPr="00EC6004">
        <w:rPr>
          <w:rFonts w:ascii="Times New Roman" w:hAnsi="Times New Roman" w:cs="Times New Roman"/>
        </w:rPr>
        <w:t xml:space="preserve">  The D.C. Circuit concluded that the FCC violated the Constitution because its “regulations pressure stations to maintain a workforce that mirrors the racial breakdown of their [area].”</w:t>
      </w:r>
      <w:r>
        <w:rPr>
          <w:rStyle w:val="FootnoteReference"/>
          <w:rFonts w:cs="Times New Roman"/>
        </w:rPr>
        <w:footnoteReference w:id="9"/>
      </w:r>
      <w:r w:rsidRPr="00EC6004">
        <w:rPr>
          <w:rFonts w:ascii="Times New Roman" w:hAnsi="Times New Roman" w:cs="Times New Roman"/>
        </w:rPr>
        <w:t xml:space="preserve">  </w:t>
      </w:r>
    </w:p>
    <w:p w:rsidR="00491A07" w:rsidRPr="00EC6004" w:rsidP="00491A07" w14:paraId="7A8075C4" w14:textId="77777777">
      <w:pPr>
        <w:spacing w:after="0" w:line="240" w:lineRule="auto"/>
        <w:ind w:firstLine="720"/>
        <w:rPr>
          <w:rFonts w:ascii="Times New Roman" w:hAnsi="Times New Roman" w:cs="Times New Roman"/>
        </w:rPr>
      </w:pPr>
    </w:p>
    <w:p w:rsidR="00491A07" w:rsidRPr="00EC6004" w:rsidP="00491A07" w14:paraId="2D32E188" w14:textId="77777777">
      <w:pPr>
        <w:spacing w:after="0" w:line="240" w:lineRule="auto"/>
        <w:ind w:firstLine="720"/>
        <w:rPr>
          <w:rFonts w:ascii="Times New Roman" w:hAnsi="Times New Roman" w:cs="Times New Roman"/>
        </w:rPr>
      </w:pPr>
      <w:r w:rsidRPr="00EC6004">
        <w:rPr>
          <w:rFonts w:ascii="Times New Roman" w:hAnsi="Times New Roman" w:cs="Times New Roman"/>
        </w:rPr>
        <w:t xml:space="preserve">After that appellate court loss, the FCC suspended the relevant regulations and sought comment on a set of replacement rules.  Those substitute rules required broadcasters to report the race and sex of each job applicant.  The FCC made clear that if the data collected did not demonstrate that a broadcaster’s outreach efforts were reaching the entire community, then the FCC expected the broadcaster to modify those efforts and in some cases face an FCC investigation.  On appeal, the FCC once again claimed that its regime did not impose any undue pressure on broadcasters to discriminate on the basis of race or gender and only sought to encourage broad outreach on a race- and gender-neutral basis.  Focusing on how the rules would operate in the real world, the D.C. Circuit disagreed and struck them down in </w:t>
      </w:r>
      <w:r w:rsidRPr="00EC6004">
        <w:rPr>
          <w:rFonts w:ascii="Times New Roman" w:hAnsi="Times New Roman" w:cs="Times New Roman"/>
          <w:i/>
          <w:iCs/>
        </w:rPr>
        <w:t>MD/DC/DE Broadcasters Association</w:t>
      </w:r>
      <w:r w:rsidRPr="00EC6004">
        <w:rPr>
          <w:rFonts w:ascii="Times New Roman" w:hAnsi="Times New Roman" w:cs="Times New Roman"/>
        </w:rPr>
        <w:t>.</w:t>
      </w:r>
      <w:r>
        <w:rPr>
          <w:rStyle w:val="FootnoteReference"/>
          <w:rFonts w:cs="Times New Roman"/>
        </w:rPr>
        <w:footnoteReference w:id="10"/>
      </w:r>
      <w:r w:rsidRPr="00EC6004">
        <w:rPr>
          <w:rFonts w:ascii="Times New Roman" w:hAnsi="Times New Roman" w:cs="Times New Roman"/>
        </w:rPr>
        <w:t xml:space="preserve">  The court found that the regulations did more than encourage broad outreach—they made clear that “the agency with life and death power over the licensee is interested in results, not process, and it is determined to get them.”</w:t>
      </w:r>
      <w:r>
        <w:rPr>
          <w:rStyle w:val="FootnoteReference"/>
          <w:rFonts w:cs="Times New Roman"/>
        </w:rPr>
        <w:footnoteReference w:id="11"/>
      </w:r>
      <w:r w:rsidRPr="00EC6004">
        <w:rPr>
          <w:rFonts w:ascii="Times New Roman" w:hAnsi="Times New Roman" w:cs="Times New Roman"/>
        </w:rPr>
        <w:t xml:space="preserve">  The FCC’s approach “clearly does create pressure to focus recruiting efforts upon women and minorities” in violation of the Fifth Amendment, the court determined.</w:t>
      </w:r>
      <w:r>
        <w:rPr>
          <w:rStyle w:val="FootnoteReference"/>
          <w:rFonts w:cs="Times New Roman"/>
        </w:rPr>
        <w:footnoteReference w:id="12"/>
      </w:r>
      <w:r w:rsidRPr="00EC6004">
        <w:rPr>
          <w:rFonts w:ascii="Times New Roman" w:hAnsi="Times New Roman" w:cs="Times New Roman"/>
        </w:rPr>
        <w:t xml:space="preserve">  Ultimately, the court held that those FCC rules created “a race-based classification that is not narrowly tailored to support a compelling governmental interest and is therefore unconstitutional.”</w:t>
      </w:r>
      <w:r>
        <w:rPr>
          <w:rStyle w:val="FootnoteReference"/>
          <w:rFonts w:cs="Times New Roman"/>
        </w:rPr>
        <w:footnoteReference w:id="13"/>
      </w:r>
    </w:p>
    <w:p w:rsidR="00491A07" w:rsidRPr="00EC6004" w:rsidP="00491A07" w14:paraId="1402E5AB" w14:textId="77777777">
      <w:pPr>
        <w:spacing w:after="0" w:line="240" w:lineRule="auto"/>
        <w:ind w:firstLine="720"/>
        <w:rPr>
          <w:rFonts w:ascii="Times New Roman" w:hAnsi="Times New Roman" w:cs="Times New Roman"/>
        </w:rPr>
      </w:pPr>
    </w:p>
    <w:p w:rsidR="00491A07" w:rsidP="00491A07" w14:paraId="4E317AA1" w14:textId="77777777">
      <w:pPr>
        <w:shd w:val="clear" w:color="auto" w:fill="FFFFFF"/>
        <w:spacing w:after="0" w:line="240" w:lineRule="auto"/>
        <w:ind w:firstLine="720"/>
        <w:rPr>
          <w:rFonts w:ascii="Times New Roman" w:eastAsia="Times New Roman" w:hAnsi="Times New Roman" w:cs="Times New Roman"/>
          <w:color w:val="000000"/>
          <w:kern w:val="0"/>
          <w14:ligatures w14:val="none"/>
        </w:rPr>
      </w:pPr>
      <w:r w:rsidRPr="00EC6004">
        <w:rPr>
          <w:rFonts w:ascii="Times New Roman" w:hAnsi="Times New Roman" w:cs="Times New Roman"/>
        </w:rPr>
        <w:t xml:space="preserve">The FCC’s history of unconstitutional conduct is not a trivial matter.  </w:t>
      </w:r>
      <w:r>
        <w:rPr>
          <w:rFonts w:ascii="Times New Roman" w:hAnsi="Times New Roman" w:cs="Times New Roman"/>
        </w:rPr>
        <w:t xml:space="preserve">The </w:t>
      </w:r>
      <w:r w:rsidRPr="00EC6004">
        <w:rPr>
          <w:rFonts w:ascii="Times New Roman" w:hAnsi="Times New Roman" w:cs="Times New Roman"/>
        </w:rPr>
        <w:t>Supreme Court has stated</w:t>
      </w:r>
      <w:r>
        <w:rPr>
          <w:rFonts w:ascii="Times New Roman" w:hAnsi="Times New Roman" w:cs="Times New Roman"/>
        </w:rPr>
        <w:t xml:space="preserve"> that</w:t>
      </w:r>
      <w:r w:rsidRPr="00EC6004">
        <w:rPr>
          <w:rFonts w:ascii="Times New Roman" w:hAnsi="Times New Roman" w:cs="Times New Roman"/>
        </w:rPr>
        <w:t xml:space="preserve"> “‘</w:t>
      </w:r>
      <w:r>
        <w:rPr>
          <w:rFonts w:ascii="Times New Roman" w:hAnsi="Times New Roman" w:cs="Times New Roman"/>
        </w:rPr>
        <w:t>[d]</w:t>
      </w:r>
      <w:r w:rsidRPr="00EC6004">
        <w:rPr>
          <w:rFonts w:ascii="Times New Roman" w:hAnsi="Times New Roman" w:cs="Times New Roman"/>
        </w:rPr>
        <w:t>istinctions</w:t>
      </w:r>
      <w:r w:rsidRPr="00EC6004">
        <w:rPr>
          <w:rFonts w:ascii="Times New Roman" w:hAnsi="Times New Roman" w:cs="Times New Roman"/>
        </w:rPr>
        <w:t xml:space="preserve"> between citizens solely because of their ancestry are by their very nature odious to a free people whose institutions are founded upon the doctrine of equality.’”</w:t>
      </w:r>
      <w:r>
        <w:rPr>
          <w:rStyle w:val="FootnoteReference"/>
          <w:rFonts w:cs="Times New Roman"/>
        </w:rPr>
        <w:footnoteReference w:id="14"/>
      </w:r>
      <w:r w:rsidRPr="00EC6004">
        <w:rPr>
          <w:rFonts w:ascii="Times New Roman" w:hAnsi="Times New Roman" w:cs="Times New Roman"/>
        </w:rPr>
        <w:t xml:space="preserve">  </w:t>
      </w:r>
      <w:r>
        <w:rPr>
          <w:rFonts w:ascii="Times New Roman" w:hAnsi="Times New Roman" w:cs="Times New Roman"/>
        </w:rPr>
        <w:t>Likewise, the Supreme Court has written that r</w:t>
      </w:r>
      <w:r w:rsidRPr="00EC6004">
        <w:rPr>
          <w:rFonts w:ascii="Times New Roman" w:hAnsi="Times New Roman" w:cs="Times New Roman"/>
        </w:rPr>
        <w:t>acial classifications “</w:t>
      </w:r>
      <w:r w:rsidRPr="00D6525B">
        <w:rPr>
          <w:rFonts w:ascii="Times New Roman" w:hAnsi="Times New Roman" w:cs="Times New Roman"/>
          <w:color w:val="000000"/>
          <w:shd w:val="clear" w:color="auto" w:fill="FFFFFF"/>
        </w:rPr>
        <w:t>threaten to stigmatize individuals by reason of their membership in a racial group and to incite racial hostility.”</w:t>
      </w:r>
      <w:r>
        <w:rPr>
          <w:rStyle w:val="FootnoteReference"/>
          <w:rFonts w:cs="Times New Roman"/>
          <w:shd w:val="clear" w:color="auto" w:fill="FFFFFF"/>
        </w:rPr>
        <w:footnoteReference w:id="15"/>
      </w:r>
      <w:r w:rsidRPr="00D6525B">
        <w:rPr>
          <w:rFonts w:ascii="Times New Roman" w:hAnsi="Times New Roman" w:cs="Times New Roman"/>
          <w:color w:val="000000"/>
          <w:shd w:val="clear" w:color="auto" w:fill="FFFFFF"/>
        </w:rPr>
        <w:t xml:space="preserve">  </w:t>
      </w:r>
      <w:r w:rsidRPr="00EC6004">
        <w:rPr>
          <w:rFonts w:ascii="Times New Roman" w:hAnsi="Times New Roman" w:cs="Times New Roman"/>
        </w:rPr>
        <w:t>For this reason,</w:t>
      </w:r>
      <w:r>
        <w:rPr>
          <w:rFonts w:ascii="Times New Roman" w:hAnsi="Times New Roman" w:cs="Times New Roman"/>
        </w:rPr>
        <w:t xml:space="preserve"> the Supreme Court has said,</w:t>
      </w:r>
      <w:r w:rsidRPr="00EC6004">
        <w:rPr>
          <w:rFonts w:ascii="Times New Roman" w:hAnsi="Times New Roman" w:cs="Times New Roman"/>
        </w:rPr>
        <w:t xml:space="preserve"> “</w:t>
      </w:r>
      <w:r w:rsidRPr="00D6525B">
        <w:rPr>
          <w:rFonts w:ascii="Times New Roman" w:eastAsia="Times New Roman" w:hAnsi="Times New Roman" w:cs="Times New Roman"/>
          <w:color w:val="000000"/>
          <w:kern w:val="0"/>
          <w14:ligatures w14:val="none"/>
        </w:rPr>
        <w:t xml:space="preserve">governmental action based on race—a </w:t>
      </w:r>
      <w:r w:rsidRPr="00D6525B">
        <w:rPr>
          <w:rFonts w:ascii="Times New Roman" w:eastAsia="Times New Roman" w:hAnsi="Times New Roman" w:cs="Times New Roman"/>
          <w:i/>
          <w:iCs/>
          <w:color w:val="3D3D3D"/>
          <w:kern w:val="0"/>
          <w:bdr w:val="none" w:sz="0" w:space="0" w:color="auto" w:frame="1"/>
          <w14:ligatures w14:val="none"/>
        </w:rPr>
        <w:t>group</w:t>
      </w:r>
      <w:r w:rsidRPr="00D6525B">
        <w:rPr>
          <w:rFonts w:ascii="Times New Roman" w:eastAsia="Times New Roman" w:hAnsi="Times New Roman" w:cs="Times New Roman"/>
          <w:color w:val="000000"/>
          <w:kern w:val="0"/>
          <w14:ligatures w14:val="none"/>
        </w:rPr>
        <w:t xml:space="preserve"> classification long recognized as in most circumstances irrelevant and therefore prohibited</w:t>
      </w:r>
      <w:r w:rsidRPr="00EC6004">
        <w:rPr>
          <w:rFonts w:ascii="Times New Roman" w:eastAsia="Times New Roman" w:hAnsi="Times New Roman" w:cs="Times New Roman"/>
          <w:color w:val="000000"/>
          <w:kern w:val="0"/>
          <w14:ligatures w14:val="none"/>
        </w:rPr>
        <w:t>—</w:t>
      </w:r>
      <w:r w:rsidRPr="00D6525B">
        <w:rPr>
          <w:rFonts w:ascii="Times New Roman" w:eastAsia="Times New Roman" w:hAnsi="Times New Roman" w:cs="Times New Roman"/>
          <w:color w:val="000000"/>
          <w:kern w:val="0"/>
          <w14:ligatures w14:val="none"/>
        </w:rPr>
        <w:t xml:space="preserve">should be subjected to detailed judicial inquiry to ensure that the </w:t>
      </w:r>
      <w:r w:rsidRPr="00D6525B">
        <w:rPr>
          <w:rFonts w:ascii="Times New Roman" w:eastAsia="Times New Roman" w:hAnsi="Times New Roman" w:cs="Times New Roman"/>
          <w:i/>
          <w:iCs/>
          <w:color w:val="3D3D3D"/>
          <w:kern w:val="0"/>
          <w:bdr w:val="none" w:sz="0" w:space="0" w:color="auto" w:frame="1"/>
          <w14:ligatures w14:val="none"/>
        </w:rPr>
        <w:t>personal</w:t>
      </w:r>
      <w:r w:rsidRPr="00D6525B">
        <w:rPr>
          <w:rFonts w:ascii="Times New Roman" w:eastAsia="Times New Roman" w:hAnsi="Times New Roman" w:cs="Times New Roman"/>
          <w:color w:val="000000"/>
          <w:kern w:val="0"/>
          <w14:ligatures w14:val="none"/>
        </w:rPr>
        <w:t xml:space="preserve"> right to equal protection of the laws has not been infringed.”</w:t>
      </w:r>
      <w:r>
        <w:rPr>
          <w:rStyle w:val="FootnoteReference"/>
          <w:rFonts w:eastAsia="Times New Roman" w:cs="Times New Roman"/>
          <w:kern w:val="0"/>
          <w14:ligatures w14:val="none"/>
        </w:rPr>
        <w:footnoteReference w:id="16"/>
      </w:r>
    </w:p>
    <w:p w:rsidR="00491A07" w:rsidRPr="00EC6004" w:rsidP="00491A07" w14:paraId="5B3A6474" w14:textId="77777777">
      <w:pPr>
        <w:shd w:val="clear" w:color="auto" w:fill="FFFFFF"/>
        <w:spacing w:after="0" w:line="240" w:lineRule="auto"/>
        <w:ind w:firstLine="720"/>
        <w:rPr>
          <w:rFonts w:ascii="Times New Roman" w:hAnsi="Times New Roman" w:cs="Times New Roman"/>
        </w:rPr>
      </w:pPr>
    </w:p>
    <w:p w:rsidR="00491A07" w:rsidRPr="00EC6004" w:rsidP="00491A07" w14:paraId="6A2C9A8B" w14:textId="77777777">
      <w:pPr>
        <w:spacing w:after="0" w:line="240" w:lineRule="auto"/>
        <w:ind w:firstLine="720"/>
        <w:rPr>
          <w:rFonts w:ascii="Times New Roman" w:hAnsi="Times New Roman" w:cs="Times New Roman"/>
        </w:rPr>
      </w:pPr>
      <w:r w:rsidRPr="00EC6004">
        <w:rPr>
          <w:rFonts w:ascii="Times New Roman" w:hAnsi="Times New Roman" w:cs="Times New Roman"/>
        </w:rPr>
        <w:t>Today, for at least the third time now, the FCC once again seeks to pressure broadcasters into making hiring decisions on the basis of race and gender.  It does so, as noted above, by requiring broadcasters to publicly disclose, on a station by station basis, a scorecard that lists the racial and gender breakdown of every employee.</w:t>
      </w:r>
    </w:p>
    <w:p w:rsidR="00491A07" w:rsidRPr="00EC6004" w:rsidP="00491A07" w14:paraId="4C31AF9F" w14:textId="77777777">
      <w:pPr>
        <w:spacing w:after="0" w:line="240" w:lineRule="auto"/>
        <w:ind w:firstLine="720"/>
        <w:rPr>
          <w:rFonts w:ascii="Times New Roman" w:hAnsi="Times New Roman" w:cs="Times New Roman"/>
        </w:rPr>
      </w:pPr>
    </w:p>
    <w:p w:rsidR="00491A07" w:rsidRPr="00EC6004" w:rsidP="00491A07" w14:paraId="292B3A89" w14:textId="77777777">
      <w:pPr>
        <w:spacing w:after="0" w:line="240" w:lineRule="auto"/>
        <w:ind w:firstLine="720"/>
        <w:rPr>
          <w:rFonts w:ascii="Times New Roman" w:hAnsi="Times New Roman" w:cs="Times New Roman"/>
        </w:rPr>
      </w:pPr>
      <w:r w:rsidRPr="00EC6004">
        <w:rPr>
          <w:rFonts w:ascii="Times New Roman" w:hAnsi="Times New Roman" w:cs="Times New Roman"/>
        </w:rPr>
        <w:t>As a threshold matter, the FCC argues that its decision merely adopts a disclosure regime and involves no pressure at all on broadcasters to engage in race- or gender-based discrimination.  But this argument ignores both the Commission’s own history with Form 395-B and the rulemaking record here.  Indeed, the FCC Order goes so far as to assert that, “[b]</w:t>
      </w:r>
      <w:r w:rsidRPr="00EC6004">
        <w:rPr>
          <w:rFonts w:ascii="Times New Roman" w:hAnsi="Times New Roman" w:cs="Times New Roman"/>
        </w:rPr>
        <w:t>ased</w:t>
      </w:r>
      <w:r w:rsidRPr="00EC6004">
        <w:rPr>
          <w:rFonts w:ascii="Times New Roman" w:hAnsi="Times New Roman" w:cs="Times New Roman"/>
        </w:rPr>
        <w:t xml:space="preserve"> on the record before us, we find no basis to conclude that the demographic data on a station’s annual Form 395-B filing would lead to undue public pressure.”</w:t>
      </w:r>
      <w:r>
        <w:rPr>
          <w:rStyle w:val="FootnoteReference"/>
          <w:rFonts w:cs="Times New Roman"/>
        </w:rPr>
        <w:footnoteReference w:id="17"/>
      </w:r>
    </w:p>
    <w:p w:rsidR="00491A07" w:rsidRPr="00EC6004" w:rsidP="00491A07" w14:paraId="7A715017" w14:textId="77777777">
      <w:pPr>
        <w:spacing w:after="0" w:line="240" w:lineRule="auto"/>
        <w:ind w:firstLine="720"/>
        <w:rPr>
          <w:rFonts w:ascii="Times New Roman" w:hAnsi="Times New Roman" w:cs="Times New Roman"/>
        </w:rPr>
      </w:pPr>
    </w:p>
    <w:p w:rsidR="00491A07" w:rsidRPr="00EC6004" w:rsidP="00491A07" w14:paraId="681A76A4" w14:textId="77777777">
      <w:pPr>
        <w:spacing w:after="0" w:line="240" w:lineRule="auto"/>
        <w:ind w:firstLine="720"/>
        <w:rPr>
          <w:rFonts w:ascii="Times New Roman" w:hAnsi="Times New Roman" w:cs="Times New Roman"/>
        </w:rPr>
      </w:pPr>
      <w:r w:rsidRPr="00EC6004">
        <w:rPr>
          <w:rFonts w:ascii="Times New Roman" w:hAnsi="Times New Roman" w:cs="Times New Roman"/>
        </w:rPr>
        <w:t>To the contrary, the record is overflowing with this type of evidence.  For instance, one filer states: “We, the undersigned investors, with collective assets under management or advisement of approximately $266 billion, write to urge the . . . [FCC] to require the disclosure of equal opportunity employment statistics among the companies it regulates” because doing so “allows market participants to assess whether companies stand by their public commitments to pursue diversity, equity and inclusion.”</w:t>
      </w:r>
      <w:r>
        <w:rPr>
          <w:rStyle w:val="FootnoteReference"/>
          <w:rFonts w:cs="Times New Roman"/>
        </w:rPr>
        <w:footnoteReference w:id="18"/>
      </w:r>
      <w:r w:rsidRPr="00EC6004">
        <w:rPr>
          <w:rFonts w:ascii="Times New Roman" w:hAnsi="Times New Roman" w:cs="Times New Roman"/>
        </w:rPr>
        <w:t xml:space="preserve">  You don’t have to read between the lines on that one.  Or, as the D.C. Circuit stated in </w:t>
      </w:r>
      <w:r w:rsidRPr="00EC6004">
        <w:rPr>
          <w:rFonts w:ascii="Times New Roman" w:hAnsi="Times New Roman" w:cs="Times New Roman"/>
          <w:i/>
          <w:iCs/>
        </w:rPr>
        <w:t xml:space="preserve">Lutheran Church </w:t>
      </w:r>
      <w:r w:rsidRPr="00EC6004">
        <w:rPr>
          <w:rFonts w:ascii="Times New Roman" w:hAnsi="Times New Roman" w:cs="Times New Roman"/>
        </w:rPr>
        <w:t xml:space="preserve">when it struck down one of the FCC’s prior attempts at imposing unconstitutional pressure on broadcasters: </w:t>
      </w:r>
      <w:r>
        <w:rPr>
          <w:rFonts w:ascii="Times New Roman" w:hAnsi="Times New Roman" w:cs="Times New Roman"/>
        </w:rPr>
        <w:t xml:space="preserve"> </w:t>
      </w:r>
      <w:r w:rsidRPr="00EC6004">
        <w:rPr>
          <w:rFonts w:ascii="Times New Roman" w:hAnsi="Times New Roman" w:cs="Times New Roman"/>
        </w:rPr>
        <w:t>“The risk lies not only in attracting the Commission’s attention, but also that of third parties.”</w:t>
      </w:r>
      <w:r>
        <w:rPr>
          <w:rStyle w:val="FootnoteReference"/>
          <w:rFonts w:cs="Times New Roman"/>
        </w:rPr>
        <w:footnoteReference w:id="19"/>
      </w:r>
      <w:r w:rsidRPr="00EC6004">
        <w:rPr>
          <w:rFonts w:ascii="Times New Roman" w:hAnsi="Times New Roman" w:cs="Times New Roman"/>
        </w:rPr>
        <w:t xml:space="preserve">  Like those investors, other organizations wrote that publicizing this data would be consistent with President Biden’s Executive Order on Advancing Racial Equity and “allow the public to hold these companies accountable.”</w:t>
      </w:r>
      <w:r>
        <w:rPr>
          <w:rStyle w:val="FootnoteReference"/>
          <w:rFonts w:cs="Times New Roman"/>
        </w:rPr>
        <w:footnoteReference w:id="20"/>
      </w:r>
      <w:r w:rsidRPr="00EC6004">
        <w:rPr>
          <w:rFonts w:ascii="Times New Roman" w:hAnsi="Times New Roman" w:cs="Times New Roman"/>
        </w:rPr>
        <w:t xml:space="preserve">  Other commenters made similar points.  So the FCC’s ostrich-like claim that the record is devoid of any evidence that this public scorecard will be used to pressure broadcasters into making race- and gender-based hiring decisions does not withstand even casual scrutiny</w:t>
      </w:r>
      <w:r>
        <w:rPr>
          <w:rFonts w:ascii="Times New Roman" w:hAnsi="Times New Roman" w:cs="Times New Roman"/>
        </w:rPr>
        <w:t xml:space="preserve">; indeed, it </w:t>
      </w:r>
      <w:r w:rsidRPr="00EC6004">
        <w:rPr>
          <w:rFonts w:ascii="Times New Roman" w:hAnsi="Times New Roman" w:cs="Times New Roman"/>
        </w:rPr>
        <w:t>only raises additional questions under the law.</w:t>
      </w:r>
      <w:r>
        <w:rPr>
          <w:rStyle w:val="FootnoteReference"/>
          <w:rFonts w:cs="Times New Roman"/>
        </w:rPr>
        <w:footnoteReference w:id="21"/>
      </w:r>
    </w:p>
    <w:p w:rsidR="00491A07" w:rsidRPr="00EC6004" w:rsidP="00491A07" w14:paraId="5A466E2F" w14:textId="77777777">
      <w:pPr>
        <w:spacing w:after="0" w:line="240" w:lineRule="auto"/>
        <w:ind w:firstLine="720"/>
        <w:rPr>
          <w:rFonts w:ascii="Times New Roman" w:hAnsi="Times New Roman" w:cs="Times New Roman"/>
        </w:rPr>
      </w:pPr>
    </w:p>
    <w:p w:rsidR="00491A07" w:rsidRPr="00EC6004" w:rsidP="00491A07" w14:paraId="5AFDDD89" w14:textId="45B809D0">
      <w:pPr>
        <w:spacing w:after="0" w:line="240" w:lineRule="auto"/>
        <w:ind w:firstLine="720"/>
        <w:rPr>
          <w:rFonts w:ascii="Times New Roman" w:hAnsi="Times New Roman" w:cs="Times New Roman"/>
        </w:rPr>
      </w:pPr>
      <w:r w:rsidRPr="00EC6004">
        <w:rPr>
          <w:rFonts w:ascii="Times New Roman" w:hAnsi="Times New Roman" w:cs="Times New Roman"/>
        </w:rPr>
        <w:t>But even if the record were more opaque, the FCC would still not be in the clear.  As the D.C. Circuit stated in</w:t>
      </w:r>
      <w:r w:rsidRPr="00EC6004">
        <w:rPr>
          <w:rFonts w:ascii="Times New Roman" w:hAnsi="Times New Roman" w:cs="Times New Roman"/>
          <w:i/>
          <w:iCs/>
        </w:rPr>
        <w:t xml:space="preserve"> MD/DC/DE Broadcasters</w:t>
      </w:r>
      <w:r>
        <w:rPr>
          <w:rFonts w:ascii="Times New Roman" w:hAnsi="Times New Roman" w:cs="Times New Roman"/>
          <w:i/>
          <w:iCs/>
        </w:rPr>
        <w:t xml:space="preserve"> Association</w:t>
      </w:r>
      <w:r w:rsidRPr="00EC6004">
        <w:rPr>
          <w:rFonts w:ascii="Times New Roman" w:hAnsi="Times New Roman" w:cs="Times New Roman"/>
        </w:rPr>
        <w:t xml:space="preserve">, a “regulatory agency may be able to put pressure upon a regulated firm in a number of ways, some more subtle than others.  The Commission in particular has a long history of employing: [‘]a variety of </w:t>
      </w:r>
      <w:r w:rsidRPr="00EC6004">
        <w:rPr>
          <w:rFonts w:ascii="Times New Roman" w:hAnsi="Times New Roman" w:cs="Times New Roman"/>
          <w:i/>
          <w:iCs/>
        </w:rPr>
        <w:t>sub silentio</w:t>
      </w:r>
      <w:r w:rsidRPr="00EC6004">
        <w:rPr>
          <w:rFonts w:ascii="Times New Roman" w:hAnsi="Times New Roman" w:cs="Times New Roman"/>
        </w:rPr>
        <w:t xml:space="preserve"> pressures and ‘raised eyebrow’ regulation . . . all serv[</w:t>
      </w:r>
      <w:r w:rsidRPr="00EC6004">
        <w:rPr>
          <w:rFonts w:ascii="Times New Roman" w:hAnsi="Times New Roman" w:cs="Times New Roman"/>
        </w:rPr>
        <w:t>ing</w:t>
      </w:r>
      <w:r w:rsidRPr="00EC6004">
        <w:rPr>
          <w:rFonts w:ascii="Times New Roman" w:hAnsi="Times New Roman" w:cs="Times New Roman"/>
        </w:rPr>
        <w:t>] as means for communicating official pressures to the licensee.’”</w:t>
      </w:r>
      <w:r>
        <w:rPr>
          <w:rStyle w:val="FootnoteReference"/>
          <w:rFonts w:cs="Times New Roman"/>
        </w:rPr>
        <w:footnoteReference w:id="22"/>
      </w:r>
      <w:r w:rsidRPr="00EC6004">
        <w:rPr>
          <w:rFonts w:ascii="Times New Roman" w:hAnsi="Times New Roman" w:cs="Times New Roman"/>
        </w:rPr>
        <w:t xml:space="preserve">  So too here.  It is obvious to everyone what is going on—or it should be.  By requiring the public disclosure of these race and gender scorecards, the FCC is ensuring that broadcast stations will be targeted by activist groups, media campaigns, and</w:t>
      </w:r>
      <w:r>
        <w:rPr>
          <w:rFonts w:ascii="Times New Roman" w:hAnsi="Times New Roman" w:cs="Times New Roman"/>
        </w:rPr>
        <w:t xml:space="preserve"> conceivably </w:t>
      </w:r>
      <w:r w:rsidRPr="00EC6004">
        <w:rPr>
          <w:rFonts w:ascii="Times New Roman" w:hAnsi="Times New Roman" w:cs="Times New Roman"/>
        </w:rPr>
        <w:t xml:space="preserve">the government itself—unless those broadcasters hire the right (if </w:t>
      </w:r>
      <w:r w:rsidRPr="00EC6004">
        <w:rPr>
          <w:rFonts w:ascii="Times New Roman" w:hAnsi="Times New Roman" w:cs="Times New Roman"/>
        </w:rPr>
        <w:t>unspecified) mix and type of employees.</w:t>
      </w:r>
      <w:r>
        <w:rPr>
          <w:rStyle w:val="FootnoteReference"/>
          <w:rFonts w:cs="Times New Roman"/>
        </w:rPr>
        <w:footnoteReference w:id="23"/>
      </w:r>
      <w:r w:rsidRPr="00EC6004">
        <w:rPr>
          <w:rFonts w:ascii="Times New Roman" w:hAnsi="Times New Roman" w:cs="Times New Roman"/>
        </w:rPr>
        <w:t xml:space="preserve">  In other words, the FCC is standing up the same type of race- and gender-based pressure campaign that the D.C. Circuit invalidated twice before.  It is just doing so in a more roundabout way.  But the bank shot still counts.</w:t>
      </w:r>
      <w:r w:rsidRPr="0012194D" w:rsidR="0012194D">
        <w:rPr>
          <w:rStyle w:val="FootnoteReference"/>
          <w:rFonts w:cs="Times New Roman"/>
        </w:rPr>
        <w:t xml:space="preserve"> </w:t>
      </w:r>
      <w:r>
        <w:rPr>
          <w:rStyle w:val="FootnoteReference"/>
          <w:rFonts w:cs="Times New Roman"/>
        </w:rPr>
        <w:footnoteReference w:id="24"/>
      </w:r>
      <w:r w:rsidRPr="00EC6004">
        <w:rPr>
          <w:rFonts w:ascii="Times New Roman" w:hAnsi="Times New Roman" w:cs="Times New Roman"/>
        </w:rPr>
        <w:t xml:space="preserve">  Particularly given the FCC’s long history here, broadcasters know the message the FCC is delivering and the results it wants to see.  In cases like these, “we are ‘not required to exhibit a naiveté from which ordinary citizens are free.’”</w:t>
      </w:r>
      <w:r>
        <w:rPr>
          <w:rStyle w:val="FootnoteReference"/>
          <w:rFonts w:cs="Times New Roman"/>
        </w:rPr>
        <w:footnoteReference w:id="25"/>
      </w:r>
    </w:p>
    <w:p w:rsidR="00491A07" w:rsidRPr="00EC6004" w:rsidP="00491A07" w14:paraId="5828B027" w14:textId="77777777">
      <w:pPr>
        <w:spacing w:after="0" w:line="240" w:lineRule="auto"/>
        <w:ind w:firstLine="720"/>
        <w:rPr>
          <w:rFonts w:ascii="Times New Roman" w:hAnsi="Times New Roman" w:cs="Times New Roman"/>
        </w:rPr>
      </w:pPr>
    </w:p>
    <w:p w:rsidR="00491A07" w:rsidRPr="00EC6004" w:rsidP="00491A07" w14:paraId="2BFAAAC6" w14:textId="77777777">
      <w:pPr>
        <w:spacing w:after="0" w:line="240" w:lineRule="auto"/>
        <w:ind w:firstLine="720"/>
        <w:rPr>
          <w:rFonts w:ascii="Times New Roman" w:hAnsi="Times New Roman" w:cs="Times New Roman"/>
        </w:rPr>
      </w:pPr>
      <w:r w:rsidRPr="00EC6004">
        <w:rPr>
          <w:rFonts w:ascii="Times New Roman" w:hAnsi="Times New Roman" w:cs="Times New Roman"/>
        </w:rPr>
        <w:t>This conclusion is only reinforced when one examines the reasons the FCC proffers for requiring the public disclosure of these scorecards—rather than making the data available on a</w:t>
      </w:r>
      <w:r>
        <w:rPr>
          <w:rFonts w:ascii="Times New Roman" w:hAnsi="Times New Roman" w:cs="Times New Roman"/>
        </w:rPr>
        <w:t>n anonymized or</w:t>
      </w:r>
      <w:r w:rsidRPr="00EC6004">
        <w:rPr>
          <w:rFonts w:ascii="Times New Roman" w:hAnsi="Times New Roman" w:cs="Times New Roman"/>
        </w:rPr>
        <w:t xml:space="preserve"> non-station-identifiable basis.  It is quite obvious that the FCC’s stated rationales are nothing more than pretext.  And none of them establish a government interest sufficient to survive Fifth Amendment review. </w:t>
      </w:r>
      <w:r>
        <w:rPr>
          <w:rFonts w:ascii="Times New Roman" w:hAnsi="Times New Roman" w:cs="Times New Roman"/>
        </w:rPr>
        <w:t xml:space="preserve"> Let’s go through all three of them.</w:t>
      </w:r>
    </w:p>
    <w:p w:rsidR="00491A07" w:rsidRPr="00EC6004" w:rsidP="00491A07" w14:paraId="4A764944" w14:textId="77777777">
      <w:pPr>
        <w:spacing w:after="0" w:line="240" w:lineRule="auto"/>
        <w:ind w:firstLine="720"/>
        <w:rPr>
          <w:rFonts w:ascii="Times New Roman" w:hAnsi="Times New Roman" w:cs="Times New Roman"/>
        </w:rPr>
      </w:pPr>
      <w:r w:rsidRPr="00EC6004">
        <w:rPr>
          <w:rFonts w:ascii="Times New Roman" w:hAnsi="Times New Roman" w:cs="Times New Roman"/>
        </w:rPr>
        <w:t xml:space="preserve"> </w:t>
      </w:r>
    </w:p>
    <w:p w:rsidR="00491A07" w:rsidRPr="00EC6004" w:rsidP="00491A07" w14:paraId="36E59FA7" w14:textId="77777777">
      <w:pPr>
        <w:spacing w:after="0" w:line="240" w:lineRule="auto"/>
        <w:ind w:firstLine="720"/>
        <w:rPr>
          <w:rFonts w:ascii="Times New Roman" w:hAnsi="Times New Roman" w:cs="Times New Roman"/>
        </w:rPr>
      </w:pPr>
      <w:r w:rsidRPr="00EC6004">
        <w:rPr>
          <w:rFonts w:ascii="Times New Roman" w:hAnsi="Times New Roman" w:cs="Times New Roman"/>
        </w:rPr>
        <w:t>First, the FCC argues that it is requiring these scorecards to be publicly disclosed because doing so “will increase the likelihood that erroneous data will be discovered and corrected.”</w:t>
      </w:r>
      <w:r>
        <w:rPr>
          <w:rStyle w:val="FootnoteReference"/>
          <w:rFonts w:cs="Times New Roman"/>
        </w:rPr>
        <w:footnoteReference w:id="26"/>
      </w:r>
      <w:r w:rsidRPr="00EC6004">
        <w:rPr>
          <w:rFonts w:ascii="Times New Roman" w:hAnsi="Times New Roman" w:cs="Times New Roman"/>
        </w:rPr>
        <w:t xml:space="preserve">  But there is no record support at all for the agency’s claim that publicizing this data will render it more reliable.  This is not surprising.  After all, how exactly does the FCC anticipate that a member of the public will verify the reported race, ethnicity, and gender of an individual employee</w:t>
      </w:r>
      <w:r>
        <w:rPr>
          <w:rFonts w:ascii="Times New Roman" w:hAnsi="Times New Roman" w:cs="Times New Roman"/>
        </w:rPr>
        <w:t>—including those that the FCC now says can report as gender non-binary</w:t>
      </w:r>
      <w:r w:rsidRPr="00EC6004">
        <w:rPr>
          <w:rFonts w:ascii="Times New Roman" w:hAnsi="Times New Roman" w:cs="Times New Roman"/>
        </w:rPr>
        <w:t>?  It doesn’t.  And, in any event, I don’t think the FCC should be encouraging the public to engage in that type of conduct.</w:t>
      </w:r>
    </w:p>
    <w:p w:rsidR="00491A07" w:rsidRPr="00EC6004" w:rsidP="00491A07" w14:paraId="222A9D5D" w14:textId="77777777">
      <w:pPr>
        <w:spacing w:after="0" w:line="240" w:lineRule="auto"/>
        <w:ind w:firstLine="720"/>
        <w:rPr>
          <w:rFonts w:ascii="Times New Roman" w:hAnsi="Times New Roman" w:cs="Times New Roman"/>
        </w:rPr>
      </w:pPr>
    </w:p>
    <w:p w:rsidR="00491A07" w:rsidRPr="00EC6004" w:rsidP="00491A07" w14:paraId="57E3CE81" w14:textId="77777777">
      <w:pPr>
        <w:spacing w:after="0" w:line="240" w:lineRule="auto"/>
        <w:ind w:firstLine="720"/>
        <w:rPr>
          <w:rFonts w:ascii="Times New Roman" w:hAnsi="Times New Roman" w:cs="Times New Roman"/>
        </w:rPr>
      </w:pPr>
      <w:r w:rsidRPr="00EC6004">
        <w:rPr>
          <w:rFonts w:ascii="Times New Roman" w:hAnsi="Times New Roman" w:cs="Times New Roman"/>
        </w:rPr>
        <w:t>Second, the FCC argues that publicly disclosing the data is consistent with Congress’s goal of maximizing the utility of data an agency collects.</w:t>
      </w:r>
      <w:r>
        <w:rPr>
          <w:rStyle w:val="FootnoteReference"/>
          <w:rFonts w:cs="Times New Roman"/>
        </w:rPr>
        <w:footnoteReference w:id="27"/>
      </w:r>
      <w:r w:rsidRPr="00EC6004">
        <w:rPr>
          <w:rFonts w:ascii="Times New Roman" w:hAnsi="Times New Roman" w:cs="Times New Roman"/>
        </w:rPr>
        <w:t xml:space="preserve">  But this argument proves too much.  It says nothing at all about the propriety of disclosing this particular set of data on a station-specific basis in light of the FCC’s history of pressuring broadcasters and the agency’s own rulemaking </w:t>
      </w:r>
      <w:r>
        <w:rPr>
          <w:rFonts w:ascii="Times New Roman" w:hAnsi="Times New Roman" w:cs="Times New Roman"/>
        </w:rPr>
        <w:t>record here, which counsels against public disclosure</w:t>
      </w:r>
      <w:r w:rsidRPr="00EC6004">
        <w:rPr>
          <w:rFonts w:ascii="Times New Roman" w:hAnsi="Times New Roman" w:cs="Times New Roman"/>
        </w:rPr>
        <w:t>.</w:t>
      </w:r>
      <w:r>
        <w:rPr>
          <w:rFonts w:ascii="Times New Roman" w:hAnsi="Times New Roman" w:cs="Times New Roman"/>
        </w:rPr>
        <w:t xml:space="preserve">  Indeed, the FCC’s normal practice is not to make all of the data it collects publicly available in the interest of maximizing utility; it makes decisions based on the facts and circumstances relevant to each data set. </w:t>
      </w:r>
    </w:p>
    <w:p w:rsidR="00491A07" w:rsidRPr="00EC6004" w:rsidP="00491A07" w14:paraId="5975FCE9" w14:textId="77777777">
      <w:pPr>
        <w:spacing w:after="0" w:line="240" w:lineRule="auto"/>
        <w:ind w:firstLine="720"/>
        <w:rPr>
          <w:rFonts w:ascii="Times New Roman" w:hAnsi="Times New Roman" w:cs="Times New Roman"/>
        </w:rPr>
      </w:pPr>
    </w:p>
    <w:p w:rsidR="00491A07" w:rsidRPr="00EC6004" w:rsidP="00491A07" w14:paraId="1E744C84" w14:textId="77777777">
      <w:pPr>
        <w:spacing w:after="0" w:line="240" w:lineRule="auto"/>
        <w:ind w:firstLine="720"/>
        <w:rPr>
          <w:rFonts w:ascii="Times New Roman" w:hAnsi="Times New Roman" w:cs="Times New Roman"/>
        </w:rPr>
      </w:pPr>
      <w:r w:rsidRPr="00EC6004">
        <w:rPr>
          <w:rFonts w:ascii="Times New Roman" w:hAnsi="Times New Roman" w:cs="Times New Roman"/>
        </w:rPr>
        <w:t xml:space="preserve">Third, the FCC argues that by publicly disclosing all of the data about every covered broadcaster, rather than disclosing it on an anonymous or non-station-identifiable basis, the FCC avoids the problem of </w:t>
      </w:r>
      <w:r>
        <w:rPr>
          <w:rFonts w:ascii="Times New Roman" w:hAnsi="Times New Roman" w:cs="Times New Roman"/>
        </w:rPr>
        <w:t xml:space="preserve">accidentally </w:t>
      </w:r>
      <w:r w:rsidRPr="00EC6004">
        <w:rPr>
          <w:rFonts w:ascii="Times New Roman" w:hAnsi="Times New Roman" w:cs="Times New Roman"/>
        </w:rPr>
        <w:t>disclosing data about a specific station.</w:t>
      </w:r>
      <w:r>
        <w:rPr>
          <w:rStyle w:val="FootnoteReference"/>
          <w:rFonts w:cs="Times New Roman"/>
        </w:rPr>
        <w:footnoteReference w:id="28"/>
      </w:r>
      <w:r w:rsidRPr="00EC6004">
        <w:rPr>
          <w:rFonts w:ascii="Times New Roman" w:hAnsi="Times New Roman" w:cs="Times New Roman"/>
        </w:rPr>
        <w:t xml:space="preserve">  What?  That is like deciding to sink a ship to </w:t>
      </w:r>
      <w:r w:rsidRPr="00EC6004">
        <w:rPr>
          <w:rFonts w:ascii="Times New Roman" w:hAnsi="Times New Roman" w:cs="Times New Roman"/>
        </w:rPr>
        <w:t>avoid the risk that it might spring a leak.  It makes no sense</w:t>
      </w:r>
      <w:r>
        <w:rPr>
          <w:rFonts w:ascii="Times New Roman" w:hAnsi="Times New Roman" w:cs="Times New Roman"/>
        </w:rPr>
        <w:t>, particularly in light of the fact that the FCC regularly obtains and refrains from inadvertently disclosing a large and wide range of secret, sensitive, and/or confidential data sets.</w:t>
      </w:r>
    </w:p>
    <w:p w:rsidR="00491A07" w:rsidRPr="00EC6004" w:rsidP="00491A07" w14:paraId="6EA81D92" w14:textId="77777777">
      <w:pPr>
        <w:spacing w:after="0" w:line="240" w:lineRule="auto"/>
        <w:ind w:firstLine="720"/>
        <w:rPr>
          <w:rFonts w:ascii="Times New Roman" w:hAnsi="Times New Roman" w:cs="Times New Roman"/>
        </w:rPr>
      </w:pPr>
    </w:p>
    <w:p w:rsidR="00491A07" w:rsidRPr="00EC6004" w:rsidP="00491A07" w14:paraId="42835E07" w14:textId="77777777">
      <w:pPr>
        <w:spacing w:after="0" w:line="240" w:lineRule="auto"/>
        <w:ind w:firstLine="720"/>
        <w:rPr>
          <w:rFonts w:ascii="Times New Roman" w:hAnsi="Times New Roman" w:cs="Times New Roman"/>
        </w:rPr>
      </w:pPr>
      <w:r w:rsidRPr="00EC6004">
        <w:rPr>
          <w:rFonts w:ascii="Times New Roman" w:hAnsi="Times New Roman" w:cs="Times New Roman"/>
        </w:rPr>
        <w:t>In other words, the only r</w:t>
      </w:r>
      <w:r>
        <w:rPr>
          <w:rFonts w:ascii="Times New Roman" w:hAnsi="Times New Roman" w:cs="Times New Roman"/>
        </w:rPr>
        <w:t>ationales t</w:t>
      </w:r>
      <w:r w:rsidRPr="00EC6004">
        <w:rPr>
          <w:rFonts w:ascii="Times New Roman" w:hAnsi="Times New Roman" w:cs="Times New Roman"/>
        </w:rPr>
        <w:t xml:space="preserve">he FCC </w:t>
      </w:r>
      <w:r>
        <w:rPr>
          <w:rFonts w:ascii="Times New Roman" w:hAnsi="Times New Roman" w:cs="Times New Roman"/>
        </w:rPr>
        <w:t>offers</w:t>
      </w:r>
      <w:r w:rsidRPr="00EC6004">
        <w:rPr>
          <w:rFonts w:ascii="Times New Roman" w:hAnsi="Times New Roman" w:cs="Times New Roman"/>
        </w:rPr>
        <w:t xml:space="preserve"> for </w:t>
      </w:r>
      <w:r>
        <w:rPr>
          <w:rFonts w:ascii="Times New Roman" w:hAnsi="Times New Roman" w:cs="Times New Roman"/>
        </w:rPr>
        <w:t xml:space="preserve">deciding to </w:t>
      </w:r>
      <w:r w:rsidRPr="00EC6004">
        <w:rPr>
          <w:rFonts w:ascii="Times New Roman" w:hAnsi="Times New Roman" w:cs="Times New Roman"/>
        </w:rPr>
        <w:t>publicly disclos</w:t>
      </w:r>
      <w:r>
        <w:rPr>
          <w:rFonts w:ascii="Times New Roman" w:hAnsi="Times New Roman" w:cs="Times New Roman"/>
        </w:rPr>
        <w:t>e</w:t>
      </w:r>
      <w:r w:rsidRPr="00EC6004">
        <w:rPr>
          <w:rFonts w:ascii="Times New Roman" w:hAnsi="Times New Roman" w:cs="Times New Roman"/>
        </w:rPr>
        <w:t xml:space="preserve"> individual b</w:t>
      </w:r>
      <w:r>
        <w:rPr>
          <w:rFonts w:ascii="Times New Roman" w:hAnsi="Times New Roman" w:cs="Times New Roman"/>
        </w:rPr>
        <w:t xml:space="preserve">roadcasters’ race and gender </w:t>
      </w:r>
      <w:r w:rsidRPr="00EC6004">
        <w:rPr>
          <w:rFonts w:ascii="Times New Roman" w:hAnsi="Times New Roman" w:cs="Times New Roman"/>
        </w:rPr>
        <w:t>scorecard</w:t>
      </w:r>
      <w:r>
        <w:rPr>
          <w:rFonts w:ascii="Times New Roman" w:hAnsi="Times New Roman" w:cs="Times New Roman"/>
        </w:rPr>
        <w:t>s</w:t>
      </w:r>
      <w:r w:rsidRPr="00EC6004">
        <w:rPr>
          <w:rFonts w:ascii="Times New Roman" w:hAnsi="Times New Roman" w:cs="Times New Roman"/>
        </w:rPr>
        <w:t xml:space="preserve"> are pretextual.  They only serve to confirm the FCC is acting for the same reasons it did in </w:t>
      </w:r>
      <w:r w:rsidRPr="00EC6004">
        <w:rPr>
          <w:rFonts w:ascii="Times New Roman" w:hAnsi="Times New Roman" w:cs="Times New Roman"/>
          <w:i/>
          <w:iCs/>
        </w:rPr>
        <w:t xml:space="preserve">Lutheran Church </w:t>
      </w:r>
      <w:r w:rsidRPr="00EC6004">
        <w:rPr>
          <w:rFonts w:ascii="Times New Roman" w:hAnsi="Times New Roman" w:cs="Times New Roman"/>
        </w:rPr>
        <w:t xml:space="preserve">and in </w:t>
      </w:r>
      <w:r w:rsidRPr="00EC6004">
        <w:rPr>
          <w:rFonts w:ascii="Times New Roman" w:hAnsi="Times New Roman" w:cs="Times New Roman"/>
          <w:i/>
          <w:iCs/>
        </w:rPr>
        <w:t>MD/DC/DE Broadcasters Association</w:t>
      </w:r>
      <w:r w:rsidRPr="00EC6004">
        <w:rPr>
          <w:rFonts w:ascii="Times New Roman" w:hAnsi="Times New Roman" w:cs="Times New Roman"/>
        </w:rPr>
        <w:t>—to pressure broadcasters into making race- and gender-based hiring decisions.</w:t>
      </w:r>
    </w:p>
    <w:p w:rsidR="00491A07" w:rsidRPr="00EC6004" w:rsidP="00491A07" w14:paraId="44BB1347" w14:textId="77777777">
      <w:pPr>
        <w:spacing w:after="0" w:line="240" w:lineRule="auto"/>
        <w:ind w:firstLine="720"/>
        <w:rPr>
          <w:rFonts w:ascii="Times New Roman" w:hAnsi="Times New Roman" w:cs="Times New Roman"/>
        </w:rPr>
      </w:pPr>
    </w:p>
    <w:p w:rsidR="00491A07" w:rsidRPr="00EC6004" w:rsidP="00491A07" w14:paraId="57DF5160" w14:textId="1B03B2F9">
      <w:pPr>
        <w:spacing w:after="0" w:line="240" w:lineRule="auto"/>
        <w:ind w:firstLine="720"/>
        <w:rPr>
          <w:rFonts w:ascii="Times New Roman" w:hAnsi="Times New Roman" w:cs="Times New Roman"/>
        </w:rPr>
      </w:pPr>
      <w:r w:rsidRPr="00EC6004">
        <w:rPr>
          <w:rFonts w:ascii="Times New Roman" w:hAnsi="Times New Roman" w:cs="Times New Roman"/>
        </w:rPr>
        <w:t xml:space="preserve">But the Fifth Amendment is not the only portion of the Constitution that the FCC violates today.  For similar reasons, today’s Order also runs </w:t>
      </w:r>
      <w:r>
        <w:rPr>
          <w:rFonts w:ascii="Times New Roman" w:hAnsi="Times New Roman" w:cs="Times New Roman"/>
        </w:rPr>
        <w:t>afoul of</w:t>
      </w:r>
      <w:r w:rsidRPr="00EC6004">
        <w:rPr>
          <w:rFonts w:ascii="Times New Roman" w:hAnsi="Times New Roman" w:cs="Times New Roman"/>
        </w:rPr>
        <w:t xml:space="preserve"> the First Amendment.  By requiring stations to publicly disclose their workforce composition, the Order compels speech on matters of race and gender.  Compelled disclosures are typically subject to heightened First Amendment scrutiny.  </w:t>
      </w:r>
      <w:r>
        <w:rPr>
          <w:rFonts w:ascii="Times New Roman" w:hAnsi="Times New Roman" w:cs="Times New Roman"/>
        </w:rPr>
        <w:t xml:space="preserve">And the exception for </w:t>
      </w:r>
      <w:r w:rsidRPr="00EC6004">
        <w:rPr>
          <w:rFonts w:ascii="Times New Roman" w:hAnsi="Times New Roman" w:cs="Times New Roman"/>
        </w:rPr>
        <w:t>disclosures of “purely factual and uncontroversial information”</w:t>
      </w:r>
      <w:r>
        <w:rPr>
          <w:rStyle w:val="FootnoteReference"/>
          <w:rFonts w:cs="Times New Roman"/>
        </w:rPr>
        <w:footnoteReference w:id="29"/>
      </w:r>
      <w:r>
        <w:rPr>
          <w:rFonts w:ascii="Times New Roman" w:hAnsi="Times New Roman" w:cs="Times New Roman"/>
        </w:rPr>
        <w:t xml:space="preserve"> plainly does not apply here because </w:t>
      </w:r>
      <w:r w:rsidRPr="00EC6004">
        <w:rPr>
          <w:rFonts w:ascii="Times New Roman" w:hAnsi="Times New Roman" w:cs="Times New Roman"/>
        </w:rPr>
        <w:t>that exception is “limited to cases in which disclosure requirements are reasonably related to the State’s interest in preventing deception of consumers.”</w:t>
      </w:r>
      <w:r>
        <w:rPr>
          <w:rStyle w:val="FootnoteReference"/>
          <w:rFonts w:cs="Times New Roman"/>
        </w:rPr>
        <w:footnoteReference w:id="30"/>
      </w:r>
      <w:r>
        <w:rPr>
          <w:rFonts w:ascii="Times New Roman" w:hAnsi="Times New Roman" w:cs="Times New Roman"/>
        </w:rPr>
        <w:t xml:space="preserve">  The FCC has made no claim that the p</w:t>
      </w:r>
      <w:r w:rsidRPr="00EC6004">
        <w:rPr>
          <w:rFonts w:ascii="Times New Roman" w:hAnsi="Times New Roman" w:cs="Times New Roman"/>
        </w:rPr>
        <w:t xml:space="preserve">ublic disclosure of </w:t>
      </w:r>
      <w:r>
        <w:rPr>
          <w:rFonts w:ascii="Times New Roman" w:hAnsi="Times New Roman" w:cs="Times New Roman"/>
        </w:rPr>
        <w:t xml:space="preserve">these </w:t>
      </w:r>
      <w:r w:rsidRPr="00EC6004">
        <w:rPr>
          <w:rFonts w:ascii="Times New Roman" w:hAnsi="Times New Roman" w:cs="Times New Roman"/>
        </w:rPr>
        <w:t xml:space="preserve">scorecards bears </w:t>
      </w:r>
      <w:r>
        <w:rPr>
          <w:rFonts w:ascii="Times New Roman" w:hAnsi="Times New Roman" w:cs="Times New Roman"/>
        </w:rPr>
        <w:t>any</w:t>
      </w:r>
      <w:r w:rsidRPr="00EC6004">
        <w:rPr>
          <w:rFonts w:ascii="Times New Roman" w:hAnsi="Times New Roman" w:cs="Times New Roman"/>
        </w:rPr>
        <w:t xml:space="preserve"> resemblance </w:t>
      </w:r>
      <w:r>
        <w:rPr>
          <w:rFonts w:ascii="Times New Roman" w:hAnsi="Times New Roman" w:cs="Times New Roman"/>
        </w:rPr>
        <w:t xml:space="preserve">to </w:t>
      </w:r>
      <w:r w:rsidRPr="00EC6004">
        <w:rPr>
          <w:rFonts w:ascii="Times New Roman" w:hAnsi="Times New Roman" w:cs="Times New Roman"/>
        </w:rPr>
        <w:t xml:space="preserve">consumer protection labels upheld under </w:t>
      </w:r>
      <w:r>
        <w:rPr>
          <w:rFonts w:ascii="Times New Roman" w:hAnsi="Times New Roman" w:cs="Times New Roman"/>
          <w:i/>
          <w:iCs/>
        </w:rPr>
        <w:t>Zauderer</w:t>
      </w:r>
      <w:r w:rsidRPr="00EC6004">
        <w:rPr>
          <w:rFonts w:ascii="Times New Roman" w:hAnsi="Times New Roman" w:cs="Times New Roman"/>
        </w:rPr>
        <w:t>.</w:t>
      </w:r>
    </w:p>
    <w:p w:rsidR="00491A07" w:rsidRPr="00EC6004" w:rsidP="00491A07" w14:paraId="2D41ADC3" w14:textId="77777777">
      <w:pPr>
        <w:spacing w:after="0" w:line="240" w:lineRule="auto"/>
        <w:ind w:firstLine="720"/>
        <w:rPr>
          <w:rFonts w:ascii="Times New Roman" w:hAnsi="Times New Roman" w:cs="Times New Roman"/>
        </w:rPr>
      </w:pPr>
    </w:p>
    <w:p w:rsidR="00491A07" w:rsidP="00491A07" w14:paraId="4BB3DC2B" w14:textId="77777777">
      <w:pPr>
        <w:spacing w:after="0" w:line="240" w:lineRule="auto"/>
        <w:ind w:firstLine="720"/>
        <w:rPr>
          <w:rFonts w:ascii="Times New Roman" w:hAnsi="Times New Roman" w:cs="Times New Roman"/>
        </w:rPr>
      </w:pPr>
      <w:r w:rsidRPr="00EC6004">
        <w:rPr>
          <w:rFonts w:ascii="Times New Roman" w:hAnsi="Times New Roman" w:cs="Times New Roman"/>
        </w:rPr>
        <w:t xml:space="preserve">The Order </w:t>
      </w:r>
      <w:r>
        <w:rPr>
          <w:rFonts w:ascii="Times New Roman" w:hAnsi="Times New Roman" w:cs="Times New Roman"/>
        </w:rPr>
        <w:t>also flunks</w:t>
      </w:r>
      <w:r w:rsidRPr="00EC6004">
        <w:rPr>
          <w:rFonts w:ascii="Times New Roman" w:hAnsi="Times New Roman" w:cs="Times New Roman"/>
        </w:rPr>
        <w:t xml:space="preserve"> heightened First Amendment review, whether intermediate or strict scrutiny.  As noted above, the three governmental interests </w:t>
      </w:r>
      <w:r>
        <w:rPr>
          <w:rFonts w:ascii="Times New Roman" w:hAnsi="Times New Roman" w:cs="Times New Roman"/>
        </w:rPr>
        <w:t xml:space="preserve">the FCC asserts for </w:t>
      </w:r>
      <w:r w:rsidRPr="00EC6004">
        <w:rPr>
          <w:rFonts w:ascii="Times New Roman" w:hAnsi="Times New Roman" w:cs="Times New Roman"/>
        </w:rPr>
        <w:t xml:space="preserve">publicizing </w:t>
      </w:r>
      <w:r>
        <w:rPr>
          <w:rFonts w:ascii="Times New Roman" w:hAnsi="Times New Roman" w:cs="Times New Roman"/>
        </w:rPr>
        <w:t>this content</w:t>
      </w:r>
      <w:r w:rsidRPr="00EC6004">
        <w:rPr>
          <w:rFonts w:ascii="Times New Roman" w:hAnsi="Times New Roman" w:cs="Times New Roman"/>
        </w:rPr>
        <w:t xml:space="preserve"> ring hollow.  They are either generic rationales applicable to any disclosure or unsupported in the record.  </w:t>
      </w:r>
      <w:r>
        <w:rPr>
          <w:rFonts w:ascii="Times New Roman" w:hAnsi="Times New Roman" w:cs="Times New Roman"/>
        </w:rPr>
        <w:t>No other justification can save the</w:t>
      </w:r>
      <w:r w:rsidRPr="00EC6004">
        <w:rPr>
          <w:rFonts w:ascii="Times New Roman" w:hAnsi="Times New Roman" w:cs="Times New Roman"/>
        </w:rPr>
        <w:t xml:space="preserve"> Order</w:t>
      </w:r>
      <w:r>
        <w:rPr>
          <w:rFonts w:ascii="Times New Roman" w:hAnsi="Times New Roman" w:cs="Times New Roman"/>
        </w:rPr>
        <w:t>, for it</w:t>
      </w:r>
      <w:r w:rsidRPr="00EC6004">
        <w:rPr>
          <w:rFonts w:ascii="Times New Roman" w:hAnsi="Times New Roman" w:cs="Times New Roman"/>
        </w:rPr>
        <w:t xml:space="preserve"> disclaims a governmental interest in using the data for any other purpose, whether license renewal,</w:t>
      </w:r>
      <w:r>
        <w:rPr>
          <w:rStyle w:val="FootnoteReference"/>
          <w:rFonts w:cs="Times New Roman"/>
        </w:rPr>
        <w:footnoteReference w:id="31"/>
      </w:r>
      <w:r w:rsidRPr="00EC6004">
        <w:rPr>
          <w:rFonts w:ascii="Times New Roman" w:hAnsi="Times New Roman" w:cs="Times New Roman"/>
        </w:rPr>
        <w:t xml:space="preserve"> EEO compliance,</w:t>
      </w:r>
      <w:r>
        <w:rPr>
          <w:rStyle w:val="FootnoteReference"/>
          <w:rFonts w:cs="Times New Roman"/>
        </w:rPr>
        <w:footnoteReference w:id="32"/>
      </w:r>
      <w:r w:rsidRPr="00EC6004">
        <w:rPr>
          <w:rFonts w:ascii="Times New Roman" w:hAnsi="Times New Roman" w:cs="Times New Roman"/>
        </w:rPr>
        <w:t xml:space="preserve"> audits,</w:t>
      </w:r>
      <w:r>
        <w:rPr>
          <w:rStyle w:val="FootnoteReference"/>
          <w:rFonts w:cs="Times New Roman"/>
        </w:rPr>
        <w:footnoteReference w:id="33"/>
      </w:r>
      <w:r w:rsidRPr="00EC6004">
        <w:rPr>
          <w:rFonts w:ascii="Times New Roman" w:hAnsi="Times New Roman" w:cs="Times New Roman"/>
        </w:rPr>
        <w:t xml:space="preserve"> FCC enforcement,</w:t>
      </w:r>
      <w:r>
        <w:rPr>
          <w:rStyle w:val="FootnoteReference"/>
          <w:rFonts w:cs="Times New Roman"/>
        </w:rPr>
        <w:footnoteReference w:id="34"/>
      </w:r>
      <w:r w:rsidRPr="00EC6004">
        <w:rPr>
          <w:rFonts w:ascii="Times New Roman" w:hAnsi="Times New Roman" w:cs="Times New Roman"/>
        </w:rPr>
        <w:t xml:space="preserve"> or third-party filings.</w:t>
      </w:r>
      <w:r>
        <w:rPr>
          <w:rStyle w:val="FootnoteReference"/>
          <w:rFonts w:cs="Times New Roman"/>
        </w:rPr>
        <w:footnoteReference w:id="35"/>
      </w:r>
      <w:r w:rsidRPr="00EC6004">
        <w:rPr>
          <w:rFonts w:ascii="Times New Roman" w:hAnsi="Times New Roman" w:cs="Times New Roman"/>
        </w:rPr>
        <w:t xml:space="preserve">  </w:t>
      </w:r>
      <w:r>
        <w:rPr>
          <w:rFonts w:ascii="Times New Roman" w:hAnsi="Times New Roman" w:cs="Times New Roman"/>
        </w:rPr>
        <w:t>Even if a valid governmental interest existed,</w:t>
      </w:r>
      <w:r w:rsidRPr="00EC6004">
        <w:rPr>
          <w:rFonts w:ascii="Times New Roman" w:hAnsi="Times New Roman" w:cs="Times New Roman"/>
        </w:rPr>
        <w:t xml:space="preserve"> disclosure </w:t>
      </w:r>
      <w:r>
        <w:rPr>
          <w:rFonts w:ascii="Times New Roman" w:hAnsi="Times New Roman" w:cs="Times New Roman"/>
        </w:rPr>
        <w:t xml:space="preserve">would not be </w:t>
      </w:r>
      <w:r w:rsidRPr="00EC6004">
        <w:rPr>
          <w:rFonts w:ascii="Times New Roman" w:hAnsi="Times New Roman" w:cs="Times New Roman"/>
        </w:rPr>
        <w:t xml:space="preserve">narrowly tailored.  The Order provides no reason why publicizing race and gender data on a station-specific basis is necessary for the Commission to conduct analysis or stay abreast of </w:t>
      </w:r>
      <w:r>
        <w:rPr>
          <w:rFonts w:ascii="Times New Roman" w:hAnsi="Times New Roman" w:cs="Times New Roman"/>
        </w:rPr>
        <w:t xml:space="preserve">industry </w:t>
      </w:r>
      <w:r w:rsidRPr="00EC6004">
        <w:rPr>
          <w:rFonts w:ascii="Times New Roman" w:hAnsi="Times New Roman" w:cs="Times New Roman"/>
        </w:rPr>
        <w:t>trends</w:t>
      </w:r>
      <w:r>
        <w:rPr>
          <w:rFonts w:ascii="Times New Roman" w:hAnsi="Times New Roman" w:cs="Times New Roman"/>
        </w:rPr>
        <w:t>, at least compared to a less restrictive alternative, like requiring broadcasters to submit the forms to the FCC on a confidential or non-station identifiable basis</w:t>
      </w:r>
      <w:r w:rsidRPr="00EC6004">
        <w:rPr>
          <w:rFonts w:ascii="Times New Roman" w:hAnsi="Times New Roman" w:cs="Times New Roman"/>
        </w:rPr>
        <w:t xml:space="preserve">.  In short, the disclosures do not accomplish </w:t>
      </w:r>
      <w:r>
        <w:rPr>
          <w:rFonts w:ascii="Times New Roman" w:hAnsi="Times New Roman" w:cs="Times New Roman"/>
        </w:rPr>
        <w:t>cognizable</w:t>
      </w:r>
      <w:r w:rsidRPr="00EC6004">
        <w:rPr>
          <w:rFonts w:ascii="Times New Roman" w:hAnsi="Times New Roman" w:cs="Times New Roman"/>
        </w:rPr>
        <w:t xml:space="preserve"> governmental interests in a narrowly tailored manner.  </w:t>
      </w:r>
    </w:p>
    <w:p w:rsidR="00491A07" w:rsidP="00491A07" w14:paraId="4E123EA7" w14:textId="77777777">
      <w:pPr>
        <w:spacing w:after="0" w:line="240" w:lineRule="auto"/>
        <w:ind w:firstLine="720"/>
        <w:rPr>
          <w:rFonts w:ascii="Times New Roman" w:hAnsi="Times New Roman" w:cs="Times New Roman"/>
        </w:rPr>
      </w:pPr>
    </w:p>
    <w:p w:rsidR="00491A07" w:rsidRPr="00EC6004" w:rsidP="00F5750E" w14:paraId="1E85EC07" w14:textId="0C320087">
      <w:pPr>
        <w:spacing w:after="0" w:line="240" w:lineRule="auto"/>
        <w:ind w:firstLine="720"/>
        <w:rPr>
          <w:rFonts w:ascii="Times New Roman" w:hAnsi="Times New Roman" w:cs="Times New Roman"/>
        </w:rPr>
      </w:pPr>
      <w:r>
        <w:rPr>
          <w:rFonts w:ascii="Times New Roman" w:hAnsi="Times New Roman" w:cs="Times New Roman"/>
        </w:rPr>
        <w:t xml:space="preserve">We are thus left with one of two possibilities.  </w:t>
      </w:r>
      <w:r w:rsidRPr="00EC6004">
        <w:rPr>
          <w:rFonts w:ascii="Times New Roman" w:hAnsi="Times New Roman" w:cs="Times New Roman"/>
        </w:rPr>
        <w:t xml:space="preserve">At worst, the Order pretextually seeks to force broadcasters into making race- and gender-based hiring decisions, a constitutionally offensive rationale that cannot justify any rules.  </w:t>
      </w:r>
      <w:r>
        <w:rPr>
          <w:rFonts w:ascii="Times New Roman" w:hAnsi="Times New Roman" w:cs="Times New Roman"/>
        </w:rPr>
        <w:t>Or a</w:t>
      </w:r>
      <w:r w:rsidRPr="00EC6004">
        <w:rPr>
          <w:rFonts w:ascii="Times New Roman" w:hAnsi="Times New Roman" w:cs="Times New Roman"/>
        </w:rPr>
        <w:t xml:space="preserve">t best, Order pursues disclosure for </w:t>
      </w:r>
      <w:r>
        <w:rPr>
          <w:rFonts w:ascii="Times New Roman" w:hAnsi="Times New Roman" w:cs="Times New Roman"/>
        </w:rPr>
        <w:t>disclosure’s</w:t>
      </w:r>
      <w:r w:rsidRPr="00EC6004">
        <w:rPr>
          <w:rFonts w:ascii="Times New Roman" w:hAnsi="Times New Roman" w:cs="Times New Roman"/>
        </w:rPr>
        <w:t xml:space="preserve"> sake, which violates the First Amendment.</w:t>
      </w:r>
      <w:r>
        <w:rPr>
          <w:rStyle w:val="FootnoteReference"/>
          <w:rFonts w:cs="Times New Roman"/>
        </w:rPr>
        <w:footnoteReference w:id="36"/>
      </w:r>
    </w:p>
    <w:p w:rsidR="00491A07" w:rsidRPr="00EC6004" w:rsidP="00491A07" w14:paraId="12BC9460" w14:textId="77777777">
      <w:pPr>
        <w:spacing w:after="0" w:line="240" w:lineRule="auto"/>
        <w:jc w:val="center"/>
        <w:rPr>
          <w:rFonts w:ascii="Times New Roman" w:hAnsi="Times New Roman" w:cs="Times New Roman"/>
        </w:rPr>
      </w:pPr>
      <w:r w:rsidRPr="00EC6004">
        <w:rPr>
          <w:rFonts w:ascii="Times New Roman" w:hAnsi="Times New Roman" w:cs="Times New Roman"/>
        </w:rPr>
        <w:t>*</w:t>
      </w:r>
      <w:r w:rsidRPr="00EC6004">
        <w:rPr>
          <w:rFonts w:ascii="Times New Roman" w:hAnsi="Times New Roman" w:cs="Times New Roman"/>
        </w:rPr>
        <w:tab/>
        <w:t>*</w:t>
      </w:r>
      <w:r w:rsidRPr="00EC6004">
        <w:rPr>
          <w:rFonts w:ascii="Times New Roman" w:hAnsi="Times New Roman" w:cs="Times New Roman"/>
        </w:rPr>
        <w:tab/>
        <w:t>*</w:t>
      </w:r>
    </w:p>
    <w:p w:rsidR="00491A07" w:rsidRPr="00EC6004" w:rsidP="00491A07" w14:paraId="6794D375" w14:textId="77777777">
      <w:pPr>
        <w:spacing w:after="0" w:line="240" w:lineRule="auto"/>
        <w:ind w:firstLine="720"/>
        <w:rPr>
          <w:rFonts w:ascii="Times New Roman" w:hAnsi="Times New Roman" w:cs="Times New Roman"/>
        </w:rPr>
      </w:pPr>
    </w:p>
    <w:p w:rsidR="00491A07" w:rsidRPr="004A73E7" w:rsidP="00491A07" w14:paraId="53810C44" w14:textId="77777777">
      <w:pPr>
        <w:spacing w:after="0" w:line="240" w:lineRule="auto"/>
        <w:ind w:firstLine="720"/>
        <w:rPr>
          <w:rFonts w:ascii="Times New Roman" w:hAnsi="Times New Roman" w:cs="Times New Roman"/>
        </w:rPr>
      </w:pPr>
      <w:r w:rsidRPr="00EC6004">
        <w:rPr>
          <w:rFonts w:ascii="Times New Roman" w:hAnsi="Times New Roman" w:cs="Times New Roman"/>
        </w:rPr>
        <w:t xml:space="preserve">It did not have to be this way.  As I conveyed to my Commission colleagues before casting my vote, I would have supported today’s decision if it eliminated the public disclosure component and instead required broadcasters to complete and file Form 395-B with the FCC on a non-public or non-station-identifiable basis consistent with </w:t>
      </w:r>
      <w:r>
        <w:rPr>
          <w:rFonts w:ascii="Times New Roman" w:hAnsi="Times New Roman" w:cs="Times New Roman"/>
        </w:rPr>
        <w:t>the way the Equal Employment Opportunity Commission treats this type of data</w:t>
      </w:r>
      <w:r w:rsidRPr="00EC6004">
        <w:rPr>
          <w:rFonts w:ascii="Times New Roman" w:hAnsi="Times New Roman" w:cs="Times New Roman"/>
        </w:rPr>
        <w:t xml:space="preserve">.  Narrowly tailoring what is made public would have avoided </w:t>
      </w:r>
      <w:r>
        <w:rPr>
          <w:rFonts w:ascii="Times New Roman" w:hAnsi="Times New Roman" w:cs="Times New Roman"/>
        </w:rPr>
        <w:t xml:space="preserve">the FCC playing a part in </w:t>
      </w:r>
      <w:r w:rsidRPr="00EC6004">
        <w:rPr>
          <w:rFonts w:ascii="Times New Roman" w:hAnsi="Times New Roman" w:cs="Times New Roman"/>
        </w:rPr>
        <w:t>pressuring broadcasters into making hiring decisions on the basis of race and gender in violation of the Fifth Amendment.  And it would have sidestepped a compelled disclosure that runs afoul of the First Amendment.  My suggestions were ultimately rejected, and we are now left with an item that runs headlong into the Constitution.  I dissent.</w:t>
      </w:r>
    </w:p>
    <w:p w:rsidR="00491A07" w14:paraId="18C06199" w14:textId="77777777"/>
    <w:sectPr w:rsidSect="007971EF">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50E" w14:paraId="5C6296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71EF" w:rsidP="00491A07" w14:paraId="1D5B18F5" w14:textId="77777777">
      <w:pPr>
        <w:spacing w:after="0" w:line="240" w:lineRule="auto"/>
      </w:pPr>
      <w:r>
        <w:separator/>
      </w:r>
    </w:p>
  </w:footnote>
  <w:footnote w:type="continuationSeparator" w:id="1">
    <w:p w:rsidR="007971EF" w:rsidP="00491A07" w14:paraId="0B7367AA" w14:textId="77777777">
      <w:pPr>
        <w:spacing w:after="0" w:line="240" w:lineRule="auto"/>
      </w:pPr>
      <w:r>
        <w:continuationSeparator/>
      </w:r>
    </w:p>
  </w:footnote>
  <w:footnote w:id="2">
    <w:p w:rsidR="00491A07" w:rsidRPr="00234F10" w:rsidP="00491A07" w14:paraId="0E29E4CF" w14:textId="77777777">
      <w:pPr>
        <w:pStyle w:val="FootnoteText"/>
      </w:pPr>
      <w:r>
        <w:rPr>
          <w:rStyle w:val="FootnoteReference"/>
          <w:rFonts w:eastAsiaTheme="majorEastAsia"/>
        </w:rPr>
        <w:footnoteRef/>
      </w:r>
      <w:r>
        <w:t xml:space="preserve"> </w:t>
      </w:r>
      <w:r>
        <w:rPr>
          <w:i/>
          <w:iCs/>
        </w:rPr>
        <w:t xml:space="preserve">See </w:t>
      </w:r>
      <w:r>
        <w:t xml:space="preserve">47 U.S.C. </w:t>
      </w:r>
      <w:r w:rsidRPr="002D1E83">
        <w:t>§</w:t>
      </w:r>
      <w:r>
        <w:t xml:space="preserve"> 334.  Notably, however, federal law prohibits the FCC from making any changes to Form 395-B unless those changes are “</w:t>
      </w:r>
      <w:r w:rsidRPr="007E0540">
        <w:t>nonsubstantive</w:t>
      </w:r>
      <w:r w:rsidRPr="007E0540">
        <w:t xml:space="preserve"> technical or clerical revisions</w:t>
      </w:r>
      <w:r>
        <w:t xml:space="preserve">,” </w:t>
      </w:r>
      <w:r>
        <w:rPr>
          <w:i/>
          <w:iCs/>
        </w:rPr>
        <w:t>id.</w:t>
      </w:r>
      <w:r>
        <w:t xml:space="preserve"> at 334(c).  Nonetheless, the FCC adds an entirely new category of “gender non-binary” to Form 395-B today.  In doing so, the FCC makes no argument that adding this box constitutes a lawful addition that is either a </w:t>
      </w:r>
      <w:r>
        <w:t>nonsubstantive</w:t>
      </w:r>
      <w:r>
        <w:t xml:space="preserve"> technical or clerical revision.      </w:t>
      </w:r>
    </w:p>
  </w:footnote>
  <w:footnote w:id="3">
    <w:p w:rsidR="00491A07" w:rsidRPr="0047610A" w:rsidP="00491A07" w14:paraId="783B98BC" w14:textId="77777777">
      <w:pPr>
        <w:pStyle w:val="FootnoteText"/>
      </w:pPr>
      <w:r>
        <w:rPr>
          <w:rStyle w:val="FootnoteReference"/>
          <w:rFonts w:eastAsiaTheme="majorEastAsia"/>
        </w:rPr>
        <w:footnoteRef/>
      </w:r>
      <w:r>
        <w:t xml:space="preserve"> </w:t>
      </w:r>
      <w:r w:rsidRPr="00673C6F">
        <w:t>Civil Rights Act of 1964, Pub. L. No. 88-352, 78 Stat. 241, 264, § 709(e) (1964)</w:t>
      </w:r>
      <w:r>
        <w:t xml:space="preserve">; </w:t>
      </w:r>
      <w:r>
        <w:rPr>
          <w:i/>
          <w:iCs/>
        </w:rPr>
        <w:t xml:space="preserve">see also </w:t>
      </w:r>
      <w:r w:rsidRPr="00673C6F">
        <w:t>42 U.S.C. § 2000e-8(e).</w:t>
      </w:r>
    </w:p>
  </w:footnote>
  <w:footnote w:id="4">
    <w:p w:rsidR="00491A07" w:rsidP="00491A07" w14:paraId="215F65B3" w14:textId="77777777">
      <w:pPr>
        <w:pStyle w:val="FootnoteText"/>
      </w:pPr>
      <w:r>
        <w:rPr>
          <w:rStyle w:val="FootnoteReference"/>
          <w:rFonts w:eastAsiaTheme="majorEastAsia"/>
        </w:rPr>
        <w:footnoteRef/>
      </w:r>
      <w:r>
        <w:t xml:space="preserve"> The only exception is for stations with four or fewer full-time employees.</w:t>
      </w:r>
    </w:p>
  </w:footnote>
  <w:footnote w:id="5">
    <w:p w:rsidR="00491A07" w:rsidRPr="002D1E83" w:rsidP="00491A07" w14:paraId="63CD522D" w14:textId="77777777">
      <w:pPr>
        <w:pStyle w:val="FootnoteText"/>
      </w:pPr>
      <w:r w:rsidRPr="002D1E83">
        <w:rPr>
          <w:rStyle w:val="FootnoteReference"/>
          <w:rFonts w:eastAsiaTheme="majorEastAsia"/>
        </w:rPr>
        <w:footnoteRef/>
      </w:r>
      <w:r w:rsidRPr="002D1E83">
        <w:t xml:space="preserve"> </w:t>
      </w:r>
      <w:r w:rsidRPr="002D1E83">
        <w:rPr>
          <w:i/>
          <w:iCs/>
        </w:rPr>
        <w:t>Lutheran Church-Missouri Synod v. FCC</w:t>
      </w:r>
      <w:r w:rsidRPr="002D1E83">
        <w:t xml:space="preserve">, 141 F.3d 344 (D.C. Cir. 1988); </w:t>
      </w:r>
      <w:r w:rsidRPr="002D1E83">
        <w:rPr>
          <w:i/>
          <w:iCs/>
        </w:rPr>
        <w:t xml:space="preserve">MD/DC/DE Broadcasters </w:t>
      </w:r>
      <w:r w:rsidRPr="002D1E83">
        <w:rPr>
          <w:i/>
          <w:iCs/>
        </w:rPr>
        <w:t>Ass’n</w:t>
      </w:r>
      <w:r w:rsidRPr="002D1E83">
        <w:rPr>
          <w:i/>
          <w:iCs/>
        </w:rPr>
        <w:t xml:space="preserve"> v. FCC</w:t>
      </w:r>
      <w:r w:rsidRPr="002D1E83">
        <w:t xml:space="preserve">, 236 F.3d 13 (D.C. Cir. 2001); </w:t>
      </w:r>
      <w:r w:rsidRPr="002D1E83">
        <w:rPr>
          <w:i/>
          <w:iCs/>
        </w:rPr>
        <w:t xml:space="preserve">see also </w:t>
      </w:r>
      <w:r w:rsidRPr="002D1E83">
        <w:rPr>
          <w:i/>
          <w:color w:val="000000"/>
        </w:rPr>
        <w:t>Adarand Constructors Inc. v. Pena</w:t>
      </w:r>
      <w:r w:rsidRPr="002D1E83">
        <w:rPr>
          <w:color w:val="000000"/>
        </w:rPr>
        <w:t xml:space="preserve">, 515 U.S. 200 (1995) (overruling </w:t>
      </w:r>
      <w:r w:rsidRPr="002D1E83">
        <w:rPr>
          <w:i/>
          <w:iCs/>
          <w:color w:val="000000"/>
        </w:rPr>
        <w:t>Metro Broadcasting, Inc., v. FCC</w:t>
      </w:r>
      <w:r w:rsidRPr="002D1E83">
        <w:rPr>
          <w:color w:val="000000"/>
        </w:rPr>
        <w:t>, 497 U.S. 547 (1990)).</w:t>
      </w:r>
    </w:p>
  </w:footnote>
  <w:footnote w:id="6">
    <w:p w:rsidR="00491A07" w:rsidRPr="002D1E83" w:rsidP="00491A07" w14:paraId="56D6737E" w14:textId="77777777">
      <w:pPr>
        <w:pStyle w:val="FootnoteText"/>
      </w:pPr>
      <w:r w:rsidRPr="002D1E83">
        <w:rPr>
          <w:rStyle w:val="FootnoteReference"/>
          <w:rFonts w:eastAsiaTheme="majorEastAsia"/>
        </w:rPr>
        <w:footnoteRef/>
      </w:r>
      <w:r w:rsidRPr="002D1E83">
        <w:t xml:space="preserve"> </w:t>
      </w:r>
      <w:r w:rsidRPr="002D1E83">
        <w:rPr>
          <w:i/>
          <w:iCs/>
        </w:rPr>
        <w:t>Lutheran Church</w:t>
      </w:r>
      <w:r w:rsidRPr="002D1E83">
        <w:t>, 141 F.3d at 351.</w:t>
      </w:r>
    </w:p>
  </w:footnote>
  <w:footnote w:id="7">
    <w:p w:rsidR="00491A07" w:rsidRPr="002D1E83" w:rsidP="00491A07" w14:paraId="7C199F3B" w14:textId="77777777">
      <w:pPr>
        <w:pStyle w:val="FootnoteText"/>
      </w:pPr>
      <w:r w:rsidRPr="002D1E83">
        <w:rPr>
          <w:rStyle w:val="FootnoteReference"/>
          <w:rFonts w:eastAsiaTheme="majorEastAsia"/>
        </w:rPr>
        <w:footnoteRef/>
      </w:r>
      <w:r w:rsidRPr="002D1E83">
        <w:t xml:space="preserve"> </w:t>
      </w:r>
      <w:r w:rsidRPr="002D1E83">
        <w:rPr>
          <w:i/>
          <w:iCs/>
        </w:rPr>
        <w:t>Lutheran Church</w:t>
      </w:r>
      <w:r w:rsidRPr="002D1E83">
        <w:t>, 141 F.3d at 351.</w:t>
      </w:r>
    </w:p>
  </w:footnote>
  <w:footnote w:id="8">
    <w:p w:rsidR="00491A07" w:rsidRPr="002D1E83" w:rsidP="00491A07" w14:paraId="7DFEA14D" w14:textId="77777777">
      <w:pPr>
        <w:pStyle w:val="FootnoteText"/>
      </w:pPr>
      <w:r w:rsidRPr="002D1E83">
        <w:rPr>
          <w:rStyle w:val="FootnoteReference"/>
          <w:rFonts w:eastAsiaTheme="majorEastAsia"/>
        </w:rPr>
        <w:footnoteRef/>
      </w:r>
      <w:r w:rsidRPr="002D1E83">
        <w:t xml:space="preserve"> </w:t>
      </w:r>
      <w:r w:rsidRPr="002D1E83">
        <w:rPr>
          <w:i/>
          <w:iCs/>
        </w:rPr>
        <w:t>Lutheran Church</w:t>
      </w:r>
      <w:r w:rsidRPr="002D1E83">
        <w:t>, 141 F.3d at 352.</w:t>
      </w:r>
    </w:p>
  </w:footnote>
  <w:footnote w:id="9">
    <w:p w:rsidR="00491A07" w:rsidRPr="002D1E83" w:rsidP="00491A07" w14:paraId="2C7F0561" w14:textId="77777777">
      <w:pPr>
        <w:pStyle w:val="FootnoteText"/>
      </w:pPr>
      <w:r w:rsidRPr="002D1E83">
        <w:rPr>
          <w:rStyle w:val="FootnoteReference"/>
          <w:rFonts w:eastAsiaTheme="majorEastAsia"/>
        </w:rPr>
        <w:footnoteRef/>
      </w:r>
      <w:r w:rsidRPr="002D1E83">
        <w:t xml:space="preserve"> </w:t>
      </w:r>
      <w:r w:rsidRPr="002D1E83">
        <w:rPr>
          <w:i/>
          <w:iCs/>
        </w:rPr>
        <w:t>Lutheran Church</w:t>
      </w:r>
      <w:r w:rsidRPr="002D1E83">
        <w:t>, 141 F.3d at 352.</w:t>
      </w:r>
    </w:p>
  </w:footnote>
  <w:footnote w:id="10">
    <w:p w:rsidR="00491A07" w:rsidRPr="002D1E83" w:rsidP="00491A07" w14:paraId="1FFE1E33" w14:textId="77777777">
      <w:pPr>
        <w:pStyle w:val="FootnoteText"/>
      </w:pPr>
      <w:r w:rsidRPr="002D1E83">
        <w:rPr>
          <w:rStyle w:val="FootnoteReference"/>
          <w:rFonts w:eastAsiaTheme="majorEastAsia"/>
        </w:rPr>
        <w:footnoteRef/>
      </w:r>
      <w:r w:rsidRPr="002D1E83">
        <w:t xml:space="preserve"> </w:t>
      </w:r>
      <w:r w:rsidRPr="002D1E83">
        <w:rPr>
          <w:i/>
          <w:iCs/>
        </w:rPr>
        <w:t xml:space="preserve">MD/DC/DE Broadcasters </w:t>
      </w:r>
      <w:r w:rsidRPr="002D1E83">
        <w:rPr>
          <w:i/>
          <w:iCs/>
        </w:rPr>
        <w:t>Ass’n</w:t>
      </w:r>
      <w:r>
        <w:t xml:space="preserve">, </w:t>
      </w:r>
      <w:r w:rsidRPr="002D1E83">
        <w:t>236 F.3d</w:t>
      </w:r>
      <w:r>
        <w:t xml:space="preserve"> at</w:t>
      </w:r>
      <w:r w:rsidRPr="002D1E83">
        <w:t xml:space="preserve"> 13.</w:t>
      </w:r>
    </w:p>
  </w:footnote>
  <w:footnote w:id="11">
    <w:p w:rsidR="00491A07" w:rsidRPr="002D1E83" w:rsidP="00491A07" w14:paraId="72D95AB3" w14:textId="77777777">
      <w:pPr>
        <w:pStyle w:val="FootnoteText"/>
      </w:pPr>
      <w:r w:rsidRPr="002D1E83">
        <w:rPr>
          <w:rStyle w:val="FootnoteReference"/>
          <w:rFonts w:eastAsiaTheme="majorEastAsia"/>
        </w:rPr>
        <w:footnoteRef/>
      </w:r>
      <w:r w:rsidRPr="002D1E83">
        <w:t xml:space="preserve"> </w:t>
      </w:r>
      <w:r w:rsidRPr="002D1E83">
        <w:rPr>
          <w:i/>
          <w:iCs/>
        </w:rPr>
        <w:t xml:space="preserve">MD/DC/DE Broadcasters </w:t>
      </w:r>
      <w:r w:rsidRPr="002D1E83">
        <w:rPr>
          <w:i/>
          <w:iCs/>
        </w:rPr>
        <w:t>Ass’n</w:t>
      </w:r>
      <w:r w:rsidRPr="002D1E83">
        <w:t xml:space="preserve">, 236 F.3d </w:t>
      </w:r>
      <w:r>
        <w:t xml:space="preserve">at </w:t>
      </w:r>
      <w:r w:rsidRPr="002D1E83">
        <w:t>19.</w:t>
      </w:r>
    </w:p>
  </w:footnote>
  <w:footnote w:id="12">
    <w:p w:rsidR="00491A07" w:rsidRPr="002D1E83" w:rsidP="00491A07" w14:paraId="17796C82" w14:textId="77777777">
      <w:pPr>
        <w:pStyle w:val="FootnoteText"/>
      </w:pPr>
      <w:r w:rsidRPr="002D1E83">
        <w:rPr>
          <w:rStyle w:val="FootnoteReference"/>
          <w:rFonts w:eastAsiaTheme="majorEastAsia"/>
        </w:rPr>
        <w:footnoteRef/>
      </w:r>
      <w:r w:rsidRPr="002D1E83">
        <w:t xml:space="preserve"> </w:t>
      </w:r>
      <w:r w:rsidRPr="002D1E83">
        <w:rPr>
          <w:i/>
          <w:iCs/>
        </w:rPr>
        <w:t xml:space="preserve">MD/DC/DE Broadcasters </w:t>
      </w:r>
      <w:r w:rsidRPr="002D1E83">
        <w:rPr>
          <w:i/>
          <w:iCs/>
        </w:rPr>
        <w:t>Ass’n</w:t>
      </w:r>
      <w:r w:rsidRPr="002D1E83">
        <w:t xml:space="preserve">, 236 F.3d </w:t>
      </w:r>
      <w:r>
        <w:t xml:space="preserve">at </w:t>
      </w:r>
      <w:r w:rsidRPr="002D1E83">
        <w:t>19.</w:t>
      </w:r>
    </w:p>
  </w:footnote>
  <w:footnote w:id="13">
    <w:p w:rsidR="00491A07" w:rsidRPr="002D1E83" w:rsidP="00491A07" w14:paraId="284464DC" w14:textId="77777777">
      <w:pPr>
        <w:pStyle w:val="FootnoteText"/>
      </w:pPr>
      <w:r w:rsidRPr="002D1E83">
        <w:rPr>
          <w:rStyle w:val="FootnoteReference"/>
          <w:rFonts w:eastAsiaTheme="majorEastAsia"/>
        </w:rPr>
        <w:footnoteRef/>
      </w:r>
      <w:r w:rsidRPr="002D1E83">
        <w:t xml:space="preserve"> </w:t>
      </w:r>
      <w:r w:rsidRPr="002D1E83">
        <w:rPr>
          <w:i/>
          <w:iCs/>
        </w:rPr>
        <w:t xml:space="preserve">MD/DC/DE Broadcasters </w:t>
      </w:r>
      <w:r w:rsidRPr="002D1E83">
        <w:rPr>
          <w:i/>
          <w:iCs/>
        </w:rPr>
        <w:t>Ass’n</w:t>
      </w:r>
      <w:r w:rsidRPr="002D1E83">
        <w:t xml:space="preserve">, 236 F.3d </w:t>
      </w:r>
      <w:r>
        <w:t xml:space="preserve">at </w:t>
      </w:r>
      <w:r w:rsidRPr="002D1E83">
        <w:t>15.</w:t>
      </w:r>
    </w:p>
  </w:footnote>
  <w:footnote w:id="14">
    <w:p w:rsidR="00491A07" w:rsidRPr="002D1E83" w:rsidP="00491A07" w14:paraId="62DE1726" w14:textId="77777777">
      <w:pPr>
        <w:pStyle w:val="FootnoteText"/>
      </w:pPr>
      <w:r w:rsidRPr="002D1E83">
        <w:rPr>
          <w:rStyle w:val="FootnoteReference"/>
          <w:rFonts w:eastAsiaTheme="majorEastAsia"/>
        </w:rPr>
        <w:footnoteRef/>
      </w:r>
      <w:r w:rsidRPr="002D1E83">
        <w:t xml:space="preserve"> </w:t>
      </w:r>
      <w:r w:rsidRPr="002D1E83">
        <w:rPr>
          <w:i/>
          <w:iCs/>
        </w:rPr>
        <w:t>Rice v. Cayetano</w:t>
      </w:r>
      <w:r w:rsidRPr="002D1E83">
        <w:t xml:space="preserve">, 528 U.S. 495, 517 (2000) (quoting </w:t>
      </w:r>
      <w:r w:rsidRPr="002D1E83">
        <w:rPr>
          <w:i/>
          <w:iCs/>
        </w:rPr>
        <w:t>Hirabayashi v. United States</w:t>
      </w:r>
      <w:r w:rsidRPr="002D1E83">
        <w:t>, 320 U.S. 81, 100 (1943)).</w:t>
      </w:r>
    </w:p>
  </w:footnote>
  <w:footnote w:id="15">
    <w:p w:rsidR="00491A07" w:rsidRPr="002D1E83" w:rsidP="00491A07" w14:paraId="7D2AF4BA" w14:textId="77777777">
      <w:pPr>
        <w:pStyle w:val="FootnoteText"/>
        <w:spacing w:after="0"/>
      </w:pPr>
      <w:r w:rsidRPr="002D1E83">
        <w:rPr>
          <w:rStyle w:val="FootnoteReference"/>
          <w:rFonts w:eastAsiaTheme="majorEastAsia"/>
        </w:rPr>
        <w:footnoteRef/>
      </w:r>
      <w:r w:rsidRPr="002D1E83">
        <w:t xml:space="preserve"> </w:t>
      </w:r>
      <w:r w:rsidRPr="00A7626A">
        <w:rPr>
          <w:i/>
          <w:iCs/>
        </w:rPr>
        <w:t>Shaw v. Reno</w:t>
      </w:r>
      <w:r w:rsidRPr="002D1E83">
        <w:t>, 509 U.S. 630, 643 (1993).</w:t>
      </w:r>
    </w:p>
  </w:footnote>
  <w:footnote w:id="16">
    <w:p w:rsidR="00491A07" w:rsidRPr="00D6525B" w:rsidP="00491A07" w14:paraId="73FB814C" w14:textId="77777777">
      <w:pPr>
        <w:shd w:val="clear" w:color="auto" w:fill="FFFFFF"/>
        <w:spacing w:after="120" w:line="320" w:lineRule="atLeast"/>
        <w:rPr>
          <w:rFonts w:ascii="Times New Roman" w:eastAsia="Times New Roman" w:hAnsi="Times New Roman" w:cs="Times New Roman"/>
          <w:color w:val="000000"/>
          <w:kern w:val="0"/>
          <w:sz w:val="20"/>
          <w:szCs w:val="20"/>
          <w14:ligatures w14:val="none"/>
        </w:rPr>
      </w:pPr>
      <w:r w:rsidRPr="002D1E83">
        <w:rPr>
          <w:rStyle w:val="FootnoteReference"/>
          <w:rFonts w:cs="Times New Roman"/>
          <w:szCs w:val="20"/>
        </w:rPr>
        <w:footnoteRef/>
      </w:r>
      <w:r w:rsidRPr="00D6525B">
        <w:rPr>
          <w:rFonts w:ascii="Times New Roman" w:hAnsi="Times New Roman" w:cs="Times New Roman"/>
          <w:sz w:val="20"/>
          <w:szCs w:val="20"/>
        </w:rPr>
        <w:t xml:space="preserve"> </w:t>
      </w:r>
      <w:r w:rsidRPr="006137DE">
        <w:rPr>
          <w:rFonts w:ascii="Times New Roman" w:eastAsia="Times New Roman" w:hAnsi="Times New Roman" w:cs="Times New Roman"/>
          <w:i/>
          <w:iCs/>
          <w:color w:val="000000" w:themeColor="text1"/>
          <w:kern w:val="0"/>
          <w:sz w:val="20"/>
          <w:szCs w:val="20"/>
          <w:bdr w:val="none" w:sz="0" w:space="0" w:color="auto" w:frame="1"/>
          <w14:ligatures w14:val="none"/>
        </w:rPr>
        <w:t>Adarand</w:t>
      </w:r>
      <w:r>
        <w:rPr>
          <w:rFonts w:ascii="Times New Roman" w:eastAsia="Times New Roman" w:hAnsi="Times New Roman" w:cs="Times New Roman"/>
          <w:color w:val="3D3D3D"/>
          <w:kern w:val="0"/>
          <w:sz w:val="20"/>
          <w:szCs w:val="20"/>
          <w:bdr w:val="none" w:sz="0" w:space="0" w:color="auto" w:frame="1"/>
          <w14:ligatures w14:val="none"/>
        </w:rPr>
        <w:t>,</w:t>
      </w:r>
      <w:r>
        <w:rPr>
          <w:rFonts w:ascii="Times New Roman" w:eastAsia="Times New Roman" w:hAnsi="Times New Roman" w:cs="Times New Roman"/>
          <w:i/>
          <w:iCs/>
          <w:color w:val="3D3D3D"/>
          <w:kern w:val="0"/>
          <w:sz w:val="20"/>
          <w:szCs w:val="20"/>
          <w:bdr w:val="none" w:sz="0" w:space="0" w:color="auto" w:frame="1"/>
          <w14:ligatures w14:val="none"/>
        </w:rPr>
        <w:t xml:space="preserve"> </w:t>
      </w:r>
      <w:r w:rsidRPr="00D6525B">
        <w:rPr>
          <w:rFonts w:ascii="Times New Roman" w:eastAsia="Times New Roman" w:hAnsi="Times New Roman" w:cs="Times New Roman"/>
          <w:color w:val="000000"/>
          <w:kern w:val="0"/>
          <w:sz w:val="20"/>
          <w:szCs w:val="20"/>
          <w14:ligatures w14:val="none"/>
        </w:rPr>
        <w:t xml:space="preserve">515 U.S. </w:t>
      </w:r>
      <w:r>
        <w:rPr>
          <w:rFonts w:ascii="Times New Roman" w:eastAsia="Times New Roman" w:hAnsi="Times New Roman" w:cs="Times New Roman"/>
          <w:color w:val="000000"/>
          <w:kern w:val="0"/>
          <w:sz w:val="20"/>
          <w:szCs w:val="20"/>
          <w14:ligatures w14:val="none"/>
        </w:rPr>
        <w:t xml:space="preserve">at </w:t>
      </w:r>
      <w:r w:rsidRPr="00D6525B">
        <w:rPr>
          <w:rFonts w:ascii="Times New Roman" w:eastAsia="Times New Roman" w:hAnsi="Times New Roman" w:cs="Times New Roman"/>
          <w:color w:val="000000"/>
          <w:kern w:val="0"/>
          <w:sz w:val="20"/>
          <w:szCs w:val="20"/>
          <w14:ligatures w14:val="none"/>
        </w:rPr>
        <w:t>227 (cleaned up).</w:t>
      </w:r>
    </w:p>
  </w:footnote>
  <w:footnote w:id="17">
    <w:p w:rsidR="00491A07" w:rsidRPr="002D1E83" w:rsidP="00491A07" w14:paraId="129C3906" w14:textId="77777777">
      <w:pPr>
        <w:pStyle w:val="FootnoteText"/>
      </w:pPr>
      <w:r w:rsidRPr="002D1E83">
        <w:rPr>
          <w:rStyle w:val="FootnoteReference"/>
          <w:rFonts w:eastAsiaTheme="majorEastAsia"/>
        </w:rPr>
        <w:footnoteRef/>
      </w:r>
      <w:r w:rsidRPr="002D1E83">
        <w:t xml:space="preserve"> Order at para. 17; </w:t>
      </w:r>
      <w:r w:rsidRPr="002D1E83">
        <w:rPr>
          <w:i/>
          <w:iCs/>
        </w:rPr>
        <w:t>see also id.</w:t>
      </w:r>
      <w:r w:rsidRPr="002D1E83">
        <w:t xml:space="preserve"> (“the record contains no evidence of use of such data in this manner”).</w:t>
      </w:r>
    </w:p>
  </w:footnote>
  <w:footnote w:id="18">
    <w:p w:rsidR="00491A07" w:rsidRPr="002D1E83" w:rsidP="00491A07" w14:paraId="0E444AC3" w14:textId="77777777">
      <w:pPr>
        <w:pStyle w:val="FootnoteText"/>
      </w:pPr>
      <w:r w:rsidRPr="002D1E83">
        <w:rPr>
          <w:rStyle w:val="FootnoteReference"/>
          <w:rFonts w:eastAsiaTheme="majorEastAsia"/>
        </w:rPr>
        <w:footnoteRef/>
      </w:r>
      <w:r w:rsidRPr="002D1E83">
        <w:t xml:space="preserve"> Letter from Investors to FCC Chairwoman Jessica Rosenworcel, MB Docket Nos. 19-177, 98-204 (Nov. 16, 2022).</w:t>
      </w:r>
    </w:p>
  </w:footnote>
  <w:footnote w:id="19">
    <w:p w:rsidR="00491A07" w:rsidRPr="002D1E83" w:rsidP="00491A07" w14:paraId="6CF4DB6D" w14:textId="77777777">
      <w:pPr>
        <w:pStyle w:val="FootnoteText"/>
      </w:pPr>
      <w:r w:rsidRPr="002D1E83">
        <w:rPr>
          <w:rStyle w:val="FootnoteReference"/>
          <w:rFonts w:eastAsiaTheme="majorEastAsia"/>
        </w:rPr>
        <w:footnoteRef/>
      </w:r>
      <w:r w:rsidRPr="002D1E83">
        <w:t xml:space="preserve"> </w:t>
      </w:r>
      <w:r w:rsidRPr="002D1E83">
        <w:rPr>
          <w:i/>
          <w:iCs/>
        </w:rPr>
        <w:t>Lutheran Church</w:t>
      </w:r>
      <w:r w:rsidRPr="002D1E83">
        <w:t>, 141 F.3d at 353.</w:t>
      </w:r>
    </w:p>
  </w:footnote>
  <w:footnote w:id="20">
    <w:p w:rsidR="00491A07" w:rsidRPr="002D1E83" w:rsidP="00491A07" w14:paraId="0892D478" w14:textId="77777777">
      <w:pPr>
        <w:pStyle w:val="FootnoteText"/>
      </w:pPr>
      <w:r w:rsidRPr="002D1E83">
        <w:rPr>
          <w:rStyle w:val="FootnoteReference"/>
          <w:rFonts w:eastAsiaTheme="majorEastAsia"/>
        </w:rPr>
        <w:footnoteRef/>
      </w:r>
      <w:r w:rsidRPr="002D1E83">
        <w:t xml:space="preserve"> Letter from The Leadership Conference on Civil and Human Rights to FCC Chairwoman Jessica Rosenworcel, MB Docket Nos. 19-177, 98-204 (Sept. 29, 2022).</w:t>
      </w:r>
    </w:p>
  </w:footnote>
  <w:footnote w:id="21">
    <w:p w:rsidR="00491A07" w:rsidRPr="002D1E83" w:rsidP="00491A07" w14:paraId="03EDBA6B" w14:textId="77777777">
      <w:pPr>
        <w:pStyle w:val="FootnoteText"/>
      </w:pPr>
      <w:r w:rsidRPr="002D1E83">
        <w:rPr>
          <w:rStyle w:val="FootnoteReference"/>
          <w:rFonts w:eastAsiaTheme="majorEastAsia"/>
        </w:rPr>
        <w:footnoteRef/>
      </w:r>
      <w:r w:rsidRPr="002D1E83">
        <w:t xml:space="preserve"> 5 U.S.C. § 706; </w:t>
      </w:r>
      <w:r w:rsidRPr="002D1E83">
        <w:rPr>
          <w:i/>
          <w:iCs/>
        </w:rPr>
        <w:t xml:space="preserve">see also </w:t>
      </w:r>
      <w:r w:rsidRPr="00D6525B">
        <w:rPr>
          <w:i/>
          <w:iCs/>
        </w:rPr>
        <w:t xml:space="preserve">Motor Vehicle </w:t>
      </w:r>
      <w:r>
        <w:rPr>
          <w:i/>
          <w:iCs/>
        </w:rPr>
        <w:t>Mfrs. Assn.</w:t>
      </w:r>
      <w:r w:rsidRPr="00D6525B">
        <w:rPr>
          <w:i/>
          <w:iCs/>
        </w:rPr>
        <w:t xml:space="preserve"> v. State Farm </w:t>
      </w:r>
      <w:r>
        <w:rPr>
          <w:i/>
          <w:iCs/>
        </w:rPr>
        <w:t xml:space="preserve">Mut. </w:t>
      </w:r>
      <w:r w:rsidRPr="00D6525B">
        <w:rPr>
          <w:i/>
          <w:iCs/>
        </w:rPr>
        <w:t>Auto</w:t>
      </w:r>
      <w:r>
        <w:rPr>
          <w:i/>
          <w:iCs/>
        </w:rPr>
        <w:t>mobile</w:t>
      </w:r>
      <w:r w:rsidRPr="00D6525B">
        <w:rPr>
          <w:i/>
          <w:iCs/>
        </w:rPr>
        <w:t xml:space="preserve"> </w:t>
      </w:r>
      <w:r>
        <w:rPr>
          <w:i/>
          <w:iCs/>
        </w:rPr>
        <w:t>Ins.</w:t>
      </w:r>
      <w:r w:rsidRPr="00D6525B">
        <w:rPr>
          <w:i/>
          <w:iCs/>
        </w:rPr>
        <w:t xml:space="preserve"> Co</w:t>
      </w:r>
      <w:r w:rsidRPr="002D1E83">
        <w:t>., 463 U.S. 29, 42-44 (1983) (noting that agencies have an APA obligation to make reasoned decisions that account for record-based evidence).</w:t>
      </w:r>
    </w:p>
  </w:footnote>
  <w:footnote w:id="22">
    <w:p w:rsidR="00491A07" w:rsidRPr="002D1E83" w:rsidP="00491A07" w14:paraId="52153E89" w14:textId="77777777">
      <w:pPr>
        <w:pStyle w:val="FootnoteText"/>
      </w:pPr>
      <w:r w:rsidRPr="002D1E83">
        <w:rPr>
          <w:rStyle w:val="FootnoteReference"/>
          <w:rFonts w:eastAsiaTheme="majorEastAsia"/>
        </w:rPr>
        <w:footnoteRef/>
      </w:r>
      <w:r w:rsidRPr="002D1E83">
        <w:t xml:space="preserve"> </w:t>
      </w:r>
      <w:r w:rsidRPr="002D1E83">
        <w:rPr>
          <w:i/>
          <w:iCs/>
        </w:rPr>
        <w:t xml:space="preserve">MC/DC/DE Broadcasters </w:t>
      </w:r>
      <w:r w:rsidRPr="002D1E83">
        <w:rPr>
          <w:i/>
          <w:iCs/>
        </w:rPr>
        <w:t>Ass’n</w:t>
      </w:r>
      <w:r w:rsidRPr="002D1E83">
        <w:t xml:space="preserve">, 236 F.3d at 19 (quoting </w:t>
      </w:r>
      <w:r w:rsidRPr="002D1E83">
        <w:rPr>
          <w:i/>
          <w:iCs/>
        </w:rPr>
        <w:t>Community-Service Broadcasting of Mid-America, Inc. v. FCC</w:t>
      </w:r>
      <w:r w:rsidRPr="002D1E83">
        <w:t>, 593 F.2d 1102, 1116 (D.C. Cir. 1978)).</w:t>
      </w:r>
    </w:p>
  </w:footnote>
  <w:footnote w:id="23">
    <w:p w:rsidR="00491A07" w:rsidRPr="002D1E83" w:rsidP="00491A07" w14:paraId="140CF94B" w14:textId="77777777">
      <w:pPr>
        <w:pStyle w:val="FootnoteText"/>
      </w:pPr>
      <w:r w:rsidRPr="002D1E83">
        <w:rPr>
          <w:rStyle w:val="FootnoteReference"/>
          <w:rFonts w:eastAsiaTheme="majorEastAsia"/>
        </w:rPr>
        <w:footnoteRef/>
      </w:r>
      <w:r w:rsidRPr="002D1E83">
        <w:t xml:space="preserve"> The FCC makes no claim in this Order—nor could it—that government officials from State AGs to Congress to the FCC itself in a future rulemaking proceeding will not use this data to take action against broadcasters for failing to meet some as-yet undefined hiring targets.  This threat of potential future government action will naturally operate to pressure broadcasters today—pressure that is not materially different than the forms the D.C. Circuit addressed in </w:t>
      </w:r>
      <w:r w:rsidRPr="002D1E83">
        <w:rPr>
          <w:i/>
          <w:iCs/>
        </w:rPr>
        <w:t xml:space="preserve">Lutheran Church </w:t>
      </w:r>
      <w:r w:rsidRPr="002D1E83">
        <w:t xml:space="preserve">and </w:t>
      </w:r>
      <w:r w:rsidRPr="002D1E83">
        <w:rPr>
          <w:i/>
          <w:iCs/>
        </w:rPr>
        <w:t>MC/DC/DE Broadcasters Association</w:t>
      </w:r>
      <w:r w:rsidRPr="002D1E83">
        <w:t xml:space="preserve">. </w:t>
      </w:r>
    </w:p>
  </w:footnote>
  <w:footnote w:id="24">
    <w:p w:rsidR="0012194D" w:rsidP="0012194D" w14:paraId="77E27539" w14:textId="77777777">
      <w:pPr>
        <w:pStyle w:val="FootnoteText"/>
      </w:pPr>
      <w:r>
        <w:rPr>
          <w:rStyle w:val="FootnoteReference"/>
        </w:rPr>
        <w:footnoteRef/>
      </w:r>
      <w:r>
        <w:t xml:space="preserve"> </w:t>
      </w:r>
      <w:r w:rsidRPr="00E13E76">
        <w:rPr>
          <w:i/>
          <w:iCs/>
        </w:rPr>
        <w:t>See, e.g</w:t>
      </w:r>
      <w:r>
        <w:t xml:space="preserve">., </w:t>
      </w:r>
      <w:r w:rsidRPr="00E13E76">
        <w:rPr>
          <w:i/>
          <w:iCs/>
        </w:rPr>
        <w:t>Students for Fair Admissions, Inc. v. President &amp; Fellows of Harvard Coll</w:t>
      </w:r>
      <w:r w:rsidRPr="00DD2065">
        <w:t xml:space="preserve">., 600 U.S. 181, 230 (2023) (quoting </w:t>
      </w:r>
      <w:r w:rsidRPr="00E13E76">
        <w:rPr>
          <w:i/>
          <w:iCs/>
        </w:rPr>
        <w:t>Cummings v. Missouri</w:t>
      </w:r>
      <w:r w:rsidRPr="00DD2065">
        <w:t>, 71 U.S. (4 Wall.) 277, 325 (1866))</w:t>
      </w:r>
      <w:r>
        <w:t xml:space="preserve"> (“‘</w:t>
      </w:r>
      <w:r w:rsidRPr="00DD2065">
        <w:t>[W]hat cannot be done directly cannot be done indirectly.</w:t>
      </w:r>
      <w:r>
        <w:t xml:space="preserve">  </w:t>
      </w:r>
      <w:r w:rsidRPr="00DD2065">
        <w:t>The Constitution deals with substance, not shadows,</w:t>
      </w:r>
      <w:r>
        <w:t>’</w:t>
      </w:r>
      <w:r w:rsidRPr="00DD2065">
        <w:t xml:space="preserve"> and the prohibition against racial discrimination is </w:t>
      </w:r>
      <w:r>
        <w:t>‘</w:t>
      </w:r>
      <w:r w:rsidRPr="00DD2065">
        <w:t>levelled at the thing, not the name.</w:t>
      </w:r>
      <w:r>
        <w:t>’</w:t>
      </w:r>
      <w:r w:rsidRPr="00DD2065">
        <w:t>”</w:t>
      </w:r>
      <w:r>
        <w:t>)</w:t>
      </w:r>
      <w:r w:rsidRPr="00DD2065">
        <w:t xml:space="preserve">; </w:t>
      </w:r>
      <w:r w:rsidRPr="00E13E76">
        <w:rPr>
          <w:i/>
          <w:iCs/>
        </w:rPr>
        <w:t>see also Norwood v. Harrison</w:t>
      </w:r>
      <w:r w:rsidRPr="00DD2065">
        <w:t>, 413 U.S. 455, 465 (1973) (cleaned up)</w:t>
      </w:r>
      <w:r>
        <w:t xml:space="preserve"> (</w:t>
      </w:r>
      <w:r w:rsidRPr="00DD2065">
        <w:t>“</w:t>
      </w:r>
      <w:r>
        <w:t xml:space="preserve">It is </w:t>
      </w:r>
      <w:r w:rsidRPr="00DD2065">
        <w:t>axiomatic that [the government] may not induce, encourage or promote private persons to accomplish what it is constitutionally forbidden to accomplish.”</w:t>
      </w:r>
      <w:r>
        <w:t>).</w:t>
      </w:r>
    </w:p>
  </w:footnote>
  <w:footnote w:id="25">
    <w:p w:rsidR="00491A07" w:rsidRPr="002D1E83" w:rsidP="00491A07" w14:paraId="50C47ED2" w14:textId="77777777">
      <w:pPr>
        <w:pStyle w:val="FootnoteText"/>
      </w:pPr>
      <w:r w:rsidRPr="002D1E83">
        <w:rPr>
          <w:rStyle w:val="FootnoteReference"/>
          <w:rFonts w:eastAsiaTheme="majorEastAsia"/>
        </w:rPr>
        <w:footnoteRef/>
      </w:r>
      <w:r w:rsidRPr="002D1E83">
        <w:t xml:space="preserve"> </w:t>
      </w:r>
      <w:r w:rsidRPr="002D1E83">
        <w:rPr>
          <w:i/>
          <w:iCs/>
        </w:rPr>
        <w:t>Dep’t</w:t>
      </w:r>
      <w:r w:rsidRPr="002D1E83">
        <w:rPr>
          <w:i/>
          <w:iCs/>
        </w:rPr>
        <w:t xml:space="preserve"> of Commerce v. New York</w:t>
      </w:r>
      <w:r w:rsidRPr="002D1E83">
        <w:t xml:space="preserve">, 139 </w:t>
      </w:r>
      <w:r w:rsidRPr="002D1E83">
        <w:t>S.Ct</w:t>
      </w:r>
      <w:r w:rsidRPr="002D1E83">
        <w:t xml:space="preserve">. 2551, 2575–76 (2019) (quoting </w:t>
      </w:r>
      <w:r w:rsidRPr="002D1E83">
        <w:rPr>
          <w:i/>
          <w:iCs/>
        </w:rPr>
        <w:t xml:space="preserve">United States v. </w:t>
      </w:r>
      <w:r w:rsidRPr="002D1E83">
        <w:rPr>
          <w:i/>
          <w:iCs/>
        </w:rPr>
        <w:t>Stanchich</w:t>
      </w:r>
      <w:r w:rsidRPr="002D1E83">
        <w:t>, 550 F.2d 1294, 1300 (2nd Cir. 1977) (Friendly, J.)).</w:t>
      </w:r>
    </w:p>
  </w:footnote>
  <w:footnote w:id="26">
    <w:p w:rsidR="00491A07" w:rsidRPr="002D1E83" w:rsidP="00491A07" w14:paraId="1D42308F" w14:textId="77777777">
      <w:pPr>
        <w:pStyle w:val="FootnoteText"/>
      </w:pPr>
      <w:r w:rsidRPr="002D1E83">
        <w:rPr>
          <w:rStyle w:val="FootnoteReference"/>
          <w:rFonts w:eastAsiaTheme="majorEastAsia"/>
        </w:rPr>
        <w:footnoteRef/>
      </w:r>
      <w:r w:rsidRPr="002D1E83">
        <w:t xml:space="preserve"> Order at para. 15.</w:t>
      </w:r>
    </w:p>
  </w:footnote>
  <w:footnote w:id="27">
    <w:p w:rsidR="00491A07" w:rsidRPr="002D1E83" w:rsidP="00491A07" w14:paraId="0F4D9181" w14:textId="77777777">
      <w:pPr>
        <w:pStyle w:val="FootnoteText"/>
      </w:pPr>
      <w:r w:rsidRPr="002D1E83">
        <w:rPr>
          <w:rStyle w:val="FootnoteReference"/>
          <w:rFonts w:eastAsiaTheme="majorEastAsia"/>
        </w:rPr>
        <w:footnoteRef/>
      </w:r>
      <w:r w:rsidRPr="002D1E83">
        <w:t xml:space="preserve"> Order at para. 15</w:t>
      </w:r>
      <w:r>
        <w:t xml:space="preserve"> (citing </w:t>
      </w:r>
      <w:r w:rsidRPr="00673C6F">
        <w:t>The OPEN Government Data Act</w:t>
      </w:r>
      <w:r>
        <w:t>)</w:t>
      </w:r>
      <w:r w:rsidRPr="002D1E83">
        <w:t>.</w:t>
      </w:r>
    </w:p>
  </w:footnote>
  <w:footnote w:id="28">
    <w:p w:rsidR="00491A07" w:rsidP="00491A07" w14:paraId="2DD3B424" w14:textId="77777777">
      <w:pPr>
        <w:pStyle w:val="FootnoteText"/>
      </w:pPr>
      <w:r>
        <w:rPr>
          <w:rStyle w:val="FootnoteReference"/>
          <w:rFonts w:eastAsiaTheme="majorEastAsia"/>
        </w:rPr>
        <w:footnoteRef/>
      </w:r>
      <w:r>
        <w:t xml:space="preserve"> </w:t>
      </w:r>
      <w:r w:rsidRPr="002D1E83">
        <w:t>Order at para. 15.</w:t>
      </w:r>
      <w:r>
        <w:t xml:space="preserve">  The FCC also proffers an interest in potentially using the data to run unspecified analyses or for drafting yet-to-be-conceived reports.  But that interest is not relevant to the question of posting the data publicly on a station-by-station basis because the FCC could pursue those interests while keeping the data confidential, anonymized, or aggregated.</w:t>
      </w:r>
    </w:p>
  </w:footnote>
  <w:footnote w:id="29">
    <w:p w:rsidR="00491A07" w:rsidRPr="002D1E83" w:rsidP="00491A07" w14:paraId="2DB29E59" w14:textId="77777777">
      <w:pPr>
        <w:pStyle w:val="FootnoteText"/>
      </w:pPr>
      <w:r w:rsidRPr="002D1E83">
        <w:rPr>
          <w:rStyle w:val="FootnoteReference"/>
          <w:rFonts w:eastAsiaTheme="majorEastAsia"/>
        </w:rPr>
        <w:footnoteRef/>
      </w:r>
      <w:r w:rsidRPr="002D1E83">
        <w:t xml:space="preserve"> </w:t>
      </w:r>
      <w:r w:rsidRPr="002D1E83">
        <w:rPr>
          <w:i/>
          <w:iCs/>
        </w:rPr>
        <w:t>Zauderer v. Office of Disciplinary Counsel</w:t>
      </w:r>
      <w:r w:rsidRPr="002D1E83">
        <w:t xml:space="preserve">, 471 U.S. 626, 651 (1985).   </w:t>
      </w:r>
    </w:p>
  </w:footnote>
  <w:footnote w:id="30">
    <w:p w:rsidR="00491A07" w:rsidRPr="002D1E83" w:rsidP="00491A07" w14:paraId="38718AEF" w14:textId="77777777">
      <w:pPr>
        <w:pStyle w:val="FootnoteText"/>
      </w:pPr>
      <w:r w:rsidRPr="002D1E83">
        <w:rPr>
          <w:rStyle w:val="FootnoteReference"/>
          <w:rFonts w:eastAsiaTheme="majorEastAsia"/>
        </w:rPr>
        <w:footnoteRef/>
      </w:r>
      <w:r w:rsidRPr="002D1E83">
        <w:t xml:space="preserve"> </w:t>
      </w:r>
      <w:r w:rsidRPr="002D1E83">
        <w:rPr>
          <w:i/>
          <w:iCs/>
        </w:rPr>
        <w:t>R.J. Reynolds Tobacco Co. v. FDA</w:t>
      </w:r>
      <w:r w:rsidRPr="002D1E83">
        <w:t>, 696 F.3d 1205, 1213 (D.C. Cir. 2012) (cleaned up).</w:t>
      </w:r>
    </w:p>
  </w:footnote>
  <w:footnote w:id="31">
    <w:p w:rsidR="00491A07" w:rsidRPr="002D1E83" w:rsidP="00491A07" w14:paraId="76EBBB0D" w14:textId="77777777">
      <w:pPr>
        <w:pStyle w:val="FootnoteText"/>
      </w:pPr>
      <w:r w:rsidRPr="002D1E83">
        <w:rPr>
          <w:rStyle w:val="FootnoteReference"/>
          <w:rFonts w:eastAsiaTheme="majorEastAsia"/>
        </w:rPr>
        <w:footnoteRef/>
      </w:r>
      <w:r w:rsidRPr="002D1E83">
        <w:t xml:space="preserve"> </w:t>
      </w:r>
      <w:r w:rsidRPr="00D6525B">
        <w:rPr>
          <w:i/>
          <w:iCs/>
        </w:rPr>
        <w:t xml:space="preserve">See </w:t>
      </w:r>
      <w:r w:rsidRPr="002D1E83">
        <w:t>Order at para. 7.</w:t>
      </w:r>
    </w:p>
  </w:footnote>
  <w:footnote w:id="32">
    <w:p w:rsidR="00491A07" w:rsidRPr="002D1E83" w:rsidP="00491A07" w14:paraId="4C73E5D2" w14:textId="77777777">
      <w:pPr>
        <w:pStyle w:val="FootnoteText"/>
      </w:pPr>
      <w:r w:rsidRPr="002D1E83">
        <w:rPr>
          <w:rStyle w:val="FootnoteReference"/>
          <w:rFonts w:eastAsiaTheme="majorEastAsia"/>
        </w:rPr>
        <w:footnoteRef/>
      </w:r>
      <w:r w:rsidRPr="002D1E83">
        <w:t xml:space="preserve"> </w:t>
      </w:r>
      <w:r w:rsidRPr="002D1E83">
        <w:rPr>
          <w:i/>
          <w:iCs/>
        </w:rPr>
        <w:t xml:space="preserve">See </w:t>
      </w:r>
      <w:r w:rsidRPr="002D1E83">
        <w:t>Order at para. 45.</w:t>
      </w:r>
    </w:p>
  </w:footnote>
  <w:footnote w:id="33">
    <w:p w:rsidR="00491A07" w:rsidRPr="002D1E83" w:rsidP="00491A07" w14:paraId="15448C1F" w14:textId="77777777">
      <w:pPr>
        <w:pStyle w:val="FootnoteText"/>
      </w:pPr>
      <w:r w:rsidRPr="002D1E83">
        <w:rPr>
          <w:rStyle w:val="FootnoteReference"/>
          <w:rFonts w:eastAsiaTheme="majorEastAsia"/>
        </w:rPr>
        <w:footnoteRef/>
      </w:r>
      <w:r w:rsidRPr="002D1E83">
        <w:t xml:space="preserve"> </w:t>
      </w:r>
      <w:r w:rsidRPr="002D1E83">
        <w:rPr>
          <w:i/>
          <w:iCs/>
        </w:rPr>
        <w:t xml:space="preserve">See </w:t>
      </w:r>
      <w:r w:rsidRPr="002D1E83">
        <w:t>Order at para. 18.</w:t>
      </w:r>
    </w:p>
  </w:footnote>
  <w:footnote w:id="34">
    <w:p w:rsidR="00491A07" w:rsidRPr="002D1E83" w:rsidP="00491A07" w14:paraId="01C04B25" w14:textId="77777777">
      <w:pPr>
        <w:pStyle w:val="FootnoteText"/>
      </w:pPr>
      <w:r w:rsidRPr="002D1E83">
        <w:rPr>
          <w:rStyle w:val="FootnoteReference"/>
          <w:rFonts w:eastAsiaTheme="majorEastAsia"/>
        </w:rPr>
        <w:footnoteRef/>
      </w:r>
      <w:r w:rsidRPr="002D1E83">
        <w:t xml:space="preserve"> </w:t>
      </w:r>
      <w:r w:rsidRPr="002D1E83">
        <w:rPr>
          <w:i/>
          <w:iCs/>
        </w:rPr>
        <w:t xml:space="preserve">See </w:t>
      </w:r>
      <w:r w:rsidRPr="002D1E83">
        <w:t>Order at para. 20.</w:t>
      </w:r>
    </w:p>
  </w:footnote>
  <w:footnote w:id="35">
    <w:p w:rsidR="00491A07" w:rsidRPr="002D1E83" w:rsidP="00491A07" w14:paraId="490F81AA" w14:textId="77777777">
      <w:pPr>
        <w:pStyle w:val="FootnoteText"/>
      </w:pPr>
      <w:r w:rsidRPr="002D1E83">
        <w:rPr>
          <w:rStyle w:val="FootnoteReference"/>
          <w:rFonts w:eastAsiaTheme="majorEastAsia"/>
        </w:rPr>
        <w:footnoteRef/>
      </w:r>
      <w:r w:rsidRPr="002D1E83">
        <w:t xml:space="preserve"> </w:t>
      </w:r>
      <w:r w:rsidRPr="002D1E83">
        <w:rPr>
          <w:i/>
          <w:iCs/>
        </w:rPr>
        <w:t xml:space="preserve">See </w:t>
      </w:r>
      <w:r w:rsidRPr="002D1E83">
        <w:t>Order at para. 17.</w:t>
      </w:r>
    </w:p>
  </w:footnote>
  <w:footnote w:id="36">
    <w:p w:rsidR="00491A07" w:rsidRPr="006137DE" w:rsidP="00491A07" w14:paraId="72EE2B94" w14:textId="77777777">
      <w:pPr>
        <w:pStyle w:val="FootnoteText"/>
        <w:rPr>
          <w:color w:val="000000" w:themeColor="text1"/>
        </w:rPr>
      </w:pPr>
      <w:r w:rsidRPr="006137DE">
        <w:rPr>
          <w:rStyle w:val="FootnoteReference"/>
          <w:rFonts w:eastAsiaTheme="majorEastAsia"/>
          <w:color w:val="000000" w:themeColor="text1"/>
        </w:rPr>
        <w:footnoteRef/>
      </w:r>
      <w:r w:rsidRPr="006137DE">
        <w:rPr>
          <w:color w:val="000000" w:themeColor="text1"/>
        </w:rPr>
        <w:t xml:space="preserve"> </w:t>
      </w:r>
      <w:r>
        <w:rPr>
          <w:i/>
          <w:iCs/>
          <w:color w:val="000000" w:themeColor="text1"/>
        </w:rPr>
        <w:t>See, e.g.</w:t>
      </w:r>
      <w:r>
        <w:rPr>
          <w:color w:val="000000" w:themeColor="text1"/>
        </w:rPr>
        <w:t xml:space="preserve">, </w:t>
      </w:r>
      <w:r w:rsidRPr="006137DE">
        <w:rPr>
          <w:rStyle w:val="Emphasis"/>
          <w:rFonts w:eastAsiaTheme="majorEastAsia"/>
          <w:color w:val="000000" w:themeColor="text1"/>
          <w:shd w:val="clear" w:color="auto" w:fill="FFFFFF"/>
        </w:rPr>
        <w:t>National Institute of Family and Life Advocates v. Becerra</w:t>
      </w:r>
      <w:r w:rsidRPr="006137DE">
        <w:rPr>
          <w:color w:val="000000" w:themeColor="text1"/>
          <w:shd w:val="clear" w:color="auto" w:fill="FFFFFF"/>
        </w:rPr>
        <w:t xml:space="preserve">, 138 S. Ct. 2361, 2373 (2018) (invalidating abortion-related disclosures in medical facilities); </w:t>
      </w:r>
      <w:r w:rsidRPr="006137DE">
        <w:rPr>
          <w:i/>
          <w:iCs/>
          <w:color w:val="000000" w:themeColor="text1"/>
          <w:shd w:val="clear" w:color="auto" w:fill="FFFFFF"/>
        </w:rPr>
        <w:t>Nat'l</w:t>
      </w:r>
      <w:r w:rsidRPr="006137DE">
        <w:rPr>
          <w:i/>
          <w:iCs/>
          <w:color w:val="000000" w:themeColor="text1"/>
          <w:shd w:val="clear" w:color="auto" w:fill="FFFFFF"/>
        </w:rPr>
        <w:t xml:space="preserve"> </w:t>
      </w:r>
      <w:r w:rsidRPr="006137DE">
        <w:rPr>
          <w:i/>
          <w:iCs/>
          <w:color w:val="000000" w:themeColor="text1"/>
          <w:shd w:val="clear" w:color="auto" w:fill="FFFFFF"/>
        </w:rPr>
        <w:t>Ass'n</w:t>
      </w:r>
      <w:r w:rsidRPr="006137DE">
        <w:rPr>
          <w:i/>
          <w:iCs/>
          <w:color w:val="000000" w:themeColor="text1"/>
          <w:shd w:val="clear" w:color="auto" w:fill="FFFFFF"/>
        </w:rPr>
        <w:t xml:space="preserve"> of Mfrs. v. SEC</w:t>
      </w:r>
      <w:r w:rsidRPr="006137DE">
        <w:rPr>
          <w:color w:val="000000" w:themeColor="text1"/>
          <w:shd w:val="clear" w:color="auto" w:fill="FFFFFF"/>
        </w:rPr>
        <w:t xml:space="preserve">, 800 F.3d 518, 524 (D.C. Cir. 2015) (invalidating conflict mineral disclosures); </w:t>
      </w:r>
      <w:r w:rsidRPr="006137DE">
        <w:rPr>
          <w:i/>
          <w:iCs/>
          <w:color w:val="000000" w:themeColor="text1"/>
          <w:shd w:val="clear" w:color="auto" w:fill="FFFFFF"/>
        </w:rPr>
        <w:t xml:space="preserve">Int'l Dairy Foods </w:t>
      </w:r>
      <w:r w:rsidRPr="006137DE">
        <w:rPr>
          <w:i/>
          <w:iCs/>
          <w:color w:val="000000" w:themeColor="text1"/>
          <w:shd w:val="clear" w:color="auto" w:fill="FFFFFF"/>
        </w:rPr>
        <w:t>Ass'n</w:t>
      </w:r>
      <w:r w:rsidRPr="006137DE">
        <w:rPr>
          <w:i/>
          <w:iCs/>
          <w:color w:val="000000" w:themeColor="text1"/>
          <w:shd w:val="clear" w:color="auto" w:fill="FFFFFF"/>
        </w:rPr>
        <w:t xml:space="preserve"> v. Amestoy</w:t>
      </w:r>
      <w:r w:rsidRPr="006137DE">
        <w:rPr>
          <w:color w:val="000000" w:themeColor="text1"/>
          <w:shd w:val="clear" w:color="auto" w:fill="FFFFFF"/>
        </w:rPr>
        <w:t>, 92 F.3d 67, 7</w:t>
      </w:r>
      <w:r>
        <w:rPr>
          <w:color w:val="000000" w:themeColor="text1"/>
          <w:shd w:val="clear" w:color="auto" w:fill="FFFFFF"/>
        </w:rPr>
        <w:t>4</w:t>
      </w:r>
      <w:r w:rsidRPr="006137DE">
        <w:rPr>
          <w:color w:val="000000" w:themeColor="text1"/>
          <w:shd w:val="clear" w:color="auto" w:fill="FFFFFF"/>
        </w:rPr>
        <w:t xml:space="preserve"> (2d Cir. 1996) (invalidating hormone labeling requirement for milk) </w:t>
      </w:r>
      <w:r w:rsidRPr="006137DE">
        <w:rPr>
          <w:color w:val="000000" w:themeColor="text1"/>
        </w:rPr>
        <w:t>(“[W]e hold that consumer curiosity alone is not a strong enough state interest to sustain the compulsion of even an accurate, factual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A07" w:rsidRPr="00D6525B" w:rsidP="00D6525B" w14:paraId="7BE42399" w14:textId="77F5BEF0">
    <w:pPr>
      <w:widowControl w:val="0"/>
      <w:tabs>
        <w:tab w:val="center" w:pos="4680"/>
        <w:tab w:val="right" w:pos="9360"/>
      </w:tabs>
      <w:spacing w:after="0" w:line="240" w:lineRule="auto"/>
      <w:rPr>
        <w:rFonts w:ascii="Times New Roman" w:eastAsia="Times New Roman" w:hAnsi="Times New Roman" w:cs="Times New Roman"/>
        <w:snapToGrid w:val="0"/>
        <w:kern w:val="28"/>
        <w:szCs w:val="20"/>
        <w14:ligatures w14:val="none"/>
      </w:rPr>
    </w:pPr>
    <w:r w:rsidRPr="00906434">
      <w:rPr>
        <w:rFonts w:ascii="Times New Roman" w:eastAsia="Times New Roman" w:hAnsi="Times New Roman" w:cs="Times New Roman"/>
        <w:b/>
        <w:noProof/>
        <w:snapToGrid w:val="0"/>
        <w:kern w:val="28"/>
        <w:szCs w:val="20"/>
        <w14:ligatures w14:val="none"/>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22155099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06434">
      <w:rPr>
        <w:rFonts w:ascii="Times New Roman" w:eastAsia="Times New Roman" w:hAnsi="Times New Roman" w:cs="Times New Roman"/>
        <w:b/>
        <w:snapToGrid w:val="0"/>
        <w:kern w:val="28"/>
        <w:szCs w:val="20"/>
        <w14:ligatures w14:val="none"/>
      </w:rPr>
      <w:tab/>
      <w:t>Federal Communications Commission</w:t>
    </w:r>
    <w:r w:rsidRPr="00906434">
      <w:rPr>
        <w:rFonts w:ascii="Times New Roman" w:eastAsia="Times New Roman" w:hAnsi="Times New Roman" w:cs="Times New Roman"/>
        <w:b/>
        <w:snapToGrid w:val="0"/>
        <w:kern w:val="28"/>
        <w:szCs w:val="20"/>
        <w14:ligatures w14:val="none"/>
      </w:rPr>
      <w:tab/>
    </w:r>
    <w:r w:rsidRPr="00906434">
      <w:rPr>
        <w:rFonts w:ascii="Times New Roman" w:eastAsia="Times New Roman" w:hAnsi="Times New Roman" w:cs="Times New Roman"/>
        <w:b/>
        <w:snapToGrid w:val="0"/>
        <w:spacing w:val="-2"/>
        <w:kern w:val="28"/>
        <w:szCs w:val="20"/>
        <w14:ligatures w14:val="none"/>
      </w:rPr>
      <w:t xml:space="preserve">FCC </w:t>
    </w:r>
    <w:r w:rsidR="0012194D">
      <w:rPr>
        <w:rFonts w:ascii="Times New Roman" w:eastAsia="Times New Roman" w:hAnsi="Times New Roman" w:cs="Times New Roman"/>
        <w:b/>
        <w:snapToGrid w:val="0"/>
        <w:spacing w:val="-2"/>
        <w:kern w:val="28"/>
        <w:szCs w:val="20"/>
        <w14:ligatures w14:val="none"/>
      </w:rPr>
      <w:t>24-18</w:t>
    </w:r>
    <w:r w:rsidR="0012194D">
      <w:rPr>
        <w:rFonts w:ascii="Times New Roman" w:eastAsia="Times New Roman" w:hAnsi="Times New Roman" w:cs="Times New Roman"/>
        <w:b/>
        <w:snapToGrid w:val="0"/>
        <w:spacing w:val="-2"/>
        <w:kern w:val="28"/>
        <w:szCs w:val="20"/>
        <w14:ligatures w14: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07"/>
    <w:rsid w:val="0012194D"/>
    <w:rsid w:val="001835EA"/>
    <w:rsid w:val="002328AC"/>
    <w:rsid w:val="00234F10"/>
    <w:rsid w:val="002D1E83"/>
    <w:rsid w:val="002F7D3C"/>
    <w:rsid w:val="003A55C6"/>
    <w:rsid w:val="0047610A"/>
    <w:rsid w:val="00491A07"/>
    <w:rsid w:val="004A73E7"/>
    <w:rsid w:val="006137DE"/>
    <w:rsid w:val="00641A73"/>
    <w:rsid w:val="00673C6F"/>
    <w:rsid w:val="007971EF"/>
    <w:rsid w:val="007E03B2"/>
    <w:rsid w:val="007E0540"/>
    <w:rsid w:val="00906434"/>
    <w:rsid w:val="009A23F5"/>
    <w:rsid w:val="00A7626A"/>
    <w:rsid w:val="00AF6397"/>
    <w:rsid w:val="00D6525B"/>
    <w:rsid w:val="00DD2065"/>
    <w:rsid w:val="00E13E76"/>
    <w:rsid w:val="00EC6004"/>
    <w:rsid w:val="00F32239"/>
    <w:rsid w:val="00F575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983B3C"/>
  <w15:chartTrackingRefBased/>
  <w15:docId w15:val="{81831C22-4F4C-45B7-95FC-147F734D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A07"/>
    <w:pPr>
      <w:spacing w:line="259" w:lineRule="auto"/>
    </w:pPr>
    <w:rPr>
      <w:sz w:val="22"/>
      <w:szCs w:val="22"/>
    </w:rPr>
  </w:style>
  <w:style w:type="paragraph" w:styleId="Heading1">
    <w:name w:val="heading 1"/>
    <w:basedOn w:val="Normal"/>
    <w:next w:val="Normal"/>
    <w:link w:val="Heading1Char"/>
    <w:uiPriority w:val="9"/>
    <w:qFormat/>
    <w:rsid w:val="00491A07"/>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A07"/>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A07"/>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A07"/>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491A07"/>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491A07"/>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491A07"/>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91A07"/>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491A07"/>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A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A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A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A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A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A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A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A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A07"/>
    <w:rPr>
      <w:rFonts w:eastAsiaTheme="majorEastAsia" w:cstheme="majorBidi"/>
      <w:color w:val="272727" w:themeColor="text1" w:themeTint="D8"/>
    </w:rPr>
  </w:style>
  <w:style w:type="paragraph" w:styleId="Title">
    <w:name w:val="Title"/>
    <w:basedOn w:val="Normal"/>
    <w:next w:val="Normal"/>
    <w:link w:val="TitleChar"/>
    <w:uiPriority w:val="10"/>
    <w:qFormat/>
    <w:rsid w:val="00491A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A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A07"/>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A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A07"/>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491A07"/>
    <w:rPr>
      <w:i/>
      <w:iCs/>
      <w:color w:val="404040" w:themeColor="text1" w:themeTint="BF"/>
    </w:rPr>
  </w:style>
  <w:style w:type="paragraph" w:styleId="ListParagraph">
    <w:name w:val="List Paragraph"/>
    <w:basedOn w:val="Normal"/>
    <w:uiPriority w:val="34"/>
    <w:qFormat/>
    <w:rsid w:val="00491A07"/>
    <w:pPr>
      <w:spacing w:line="278" w:lineRule="auto"/>
      <w:ind w:left="720"/>
      <w:contextualSpacing/>
    </w:pPr>
    <w:rPr>
      <w:sz w:val="24"/>
      <w:szCs w:val="24"/>
    </w:rPr>
  </w:style>
  <w:style w:type="character" w:styleId="IntenseEmphasis">
    <w:name w:val="Intense Emphasis"/>
    <w:basedOn w:val="DefaultParagraphFont"/>
    <w:uiPriority w:val="21"/>
    <w:qFormat/>
    <w:rsid w:val="00491A07"/>
    <w:rPr>
      <w:i/>
      <w:iCs/>
      <w:color w:val="0F4761" w:themeColor="accent1" w:themeShade="BF"/>
    </w:rPr>
  </w:style>
  <w:style w:type="paragraph" w:styleId="IntenseQuote">
    <w:name w:val="Intense Quote"/>
    <w:basedOn w:val="Normal"/>
    <w:next w:val="Normal"/>
    <w:link w:val="IntenseQuoteChar"/>
    <w:uiPriority w:val="30"/>
    <w:qFormat/>
    <w:rsid w:val="00491A0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491A07"/>
    <w:rPr>
      <w:i/>
      <w:iCs/>
      <w:color w:val="0F4761" w:themeColor="accent1" w:themeShade="BF"/>
    </w:rPr>
  </w:style>
  <w:style w:type="character" w:styleId="IntenseReference">
    <w:name w:val="Intense Reference"/>
    <w:basedOn w:val="DefaultParagraphFont"/>
    <w:uiPriority w:val="32"/>
    <w:qFormat/>
    <w:rsid w:val="00491A07"/>
    <w:rPr>
      <w:b/>
      <w:bCs/>
      <w:smallCaps/>
      <w:color w:val="0F4761" w:themeColor="accent1" w:themeShade="BF"/>
      <w:spacing w:val="5"/>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rsid w:val="00491A07"/>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491A07"/>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91A07"/>
    <w:rPr>
      <w:rFonts w:ascii="Times New Roman" w:hAnsi="Times New Roman"/>
      <w:dstrike w:val="0"/>
      <w:color w:val="auto"/>
      <w:sz w:val="20"/>
      <w:vertAlign w:val="superscript"/>
    </w:rPr>
  </w:style>
  <w:style w:type="character" w:styleId="Emphasis">
    <w:name w:val="Emphasis"/>
    <w:basedOn w:val="DefaultParagraphFont"/>
    <w:uiPriority w:val="20"/>
    <w:qFormat/>
    <w:rsid w:val="00491A07"/>
    <w:rPr>
      <w:i/>
      <w:iCs/>
    </w:rPr>
  </w:style>
  <w:style w:type="paragraph" w:styleId="Revision">
    <w:name w:val="Revision"/>
    <w:hidden/>
    <w:uiPriority w:val="99"/>
    <w:semiHidden/>
    <w:rsid w:val="00DD2065"/>
    <w:pPr>
      <w:spacing w:after="0" w:line="240" w:lineRule="auto"/>
    </w:pPr>
    <w:rPr>
      <w:sz w:val="22"/>
      <w:szCs w:val="22"/>
    </w:rPr>
  </w:style>
  <w:style w:type="paragraph" w:styleId="Header">
    <w:name w:val="header"/>
    <w:basedOn w:val="Normal"/>
    <w:link w:val="HeaderChar"/>
    <w:uiPriority w:val="99"/>
    <w:unhideWhenUsed/>
    <w:rsid w:val="00E1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76"/>
    <w:rPr>
      <w:sz w:val="22"/>
      <w:szCs w:val="22"/>
    </w:rPr>
  </w:style>
  <w:style w:type="paragraph" w:styleId="Footer">
    <w:name w:val="footer"/>
    <w:basedOn w:val="Normal"/>
    <w:link w:val="FooterChar"/>
    <w:uiPriority w:val="99"/>
    <w:unhideWhenUsed/>
    <w:rsid w:val="00E1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