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C1F56" w:rsidP="00AC1F56" w14:paraId="112C272B" w14:textId="77777777">
      <w:pPr>
        <w:spacing w:after="0"/>
        <w:jc w:val="center"/>
        <w:rPr>
          <w:rFonts w:ascii="Times New Roman" w:hAnsi="Times New Roman" w:cs="Times New Roman"/>
          <w:b/>
          <w:bCs/>
        </w:rPr>
      </w:pPr>
      <w:r w:rsidRPr="002B12F8">
        <w:rPr>
          <w:rFonts w:ascii="Times New Roman" w:hAnsi="Times New Roman" w:cs="Times New Roman"/>
          <w:b/>
          <w:bCs/>
        </w:rPr>
        <w:t>STATEMENT OF</w:t>
      </w:r>
    </w:p>
    <w:p w:rsidR="00AC1F56" w:rsidP="00AC1F56" w14:paraId="65E74C6C" w14:textId="77777777">
      <w:pPr>
        <w:spacing w:after="0"/>
        <w:jc w:val="center"/>
        <w:rPr>
          <w:rFonts w:ascii="Times New Roman" w:hAnsi="Times New Roman" w:cs="Times New Roman"/>
          <w:b/>
          <w:bCs/>
        </w:rPr>
      </w:pPr>
      <w:r w:rsidRPr="002B12F8">
        <w:rPr>
          <w:rFonts w:ascii="Times New Roman" w:hAnsi="Times New Roman" w:cs="Times New Roman"/>
          <w:b/>
          <w:bCs/>
        </w:rPr>
        <w:t>COMMISSIONER GEOFFREY STARKS</w:t>
      </w:r>
    </w:p>
    <w:p w:rsidR="00AC1F56" w:rsidP="00AC1F56" w14:paraId="756BC717" w14:textId="77777777">
      <w:pPr>
        <w:spacing w:after="0"/>
        <w:jc w:val="center"/>
        <w:rPr>
          <w:rFonts w:ascii="Times New Roman" w:hAnsi="Times New Roman" w:cs="Times New Roman"/>
          <w:b/>
          <w:bCs/>
        </w:rPr>
      </w:pPr>
    </w:p>
    <w:p w:rsidR="00AC1F56" w:rsidP="00AC1F56" w14:paraId="1944FA28" w14:textId="47168433">
      <w:pPr>
        <w:spacing w:after="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r>
      <w:r w:rsidRPr="002E4438">
        <w:rPr>
          <w:rFonts w:ascii="Times New Roman" w:eastAsia="Times New Roman" w:hAnsi="Times New Roman" w:cs="Times New Roman"/>
          <w:i/>
          <w:iCs/>
          <w:snapToGrid w:val="0"/>
          <w:kern w:val="28"/>
        </w:rPr>
        <w:t>In the Matter of</w:t>
      </w:r>
      <w:r w:rsidRPr="002E4438">
        <w:rPr>
          <w:rFonts w:ascii="Times New Roman" w:eastAsia="Times New Roman" w:hAnsi="Times New Roman" w:cs="Times New Roman"/>
          <w:snapToGrid w:val="0"/>
          <w:kern w:val="28"/>
        </w:rPr>
        <w:t xml:space="preserve"> </w:t>
      </w:r>
      <w:r w:rsidRPr="002E4438">
        <w:rPr>
          <w:rFonts w:ascii="Times New Roman" w:eastAsia="Times New Roman" w:hAnsi="Times New Roman" w:cs="Times New Roman"/>
          <w:i/>
          <w:iCs/>
          <w:snapToGrid w:val="0"/>
          <w:kern w:val="28"/>
        </w:rPr>
        <w:t>Single Network Future: Supplemental Coverage from Space</w:t>
      </w:r>
      <w:r w:rsidRPr="002E4438">
        <w:rPr>
          <w:rFonts w:ascii="Times New Roman" w:eastAsia="Times New Roman" w:hAnsi="Times New Roman" w:cs="Times New Roman"/>
          <w:snapToGrid w:val="0"/>
          <w:kern w:val="28"/>
        </w:rPr>
        <w:t xml:space="preserve">, </w:t>
      </w:r>
      <w:r w:rsidRPr="002E4438">
        <w:rPr>
          <w:rFonts w:ascii="Times New Roman" w:eastAsia="Times New Roman" w:hAnsi="Times New Roman" w:cs="Times New Roman"/>
          <w:i/>
          <w:iCs/>
          <w:snapToGrid w:val="0"/>
          <w:kern w:val="28"/>
        </w:rPr>
        <w:t>Space Innovation</w:t>
      </w:r>
      <w:r w:rsidRPr="002E4438">
        <w:rPr>
          <w:rFonts w:ascii="Times New Roman" w:eastAsia="Times New Roman" w:hAnsi="Times New Roman" w:cs="Times New Roman"/>
          <w:snapToGrid w:val="0"/>
          <w:kern w:val="28"/>
        </w:rPr>
        <w:t>, GN Docket No. 23-65, IB Docket No. 22-271, Report and Order and Further Notice of Proposed Rulemaking (March 14, 2024)</w:t>
      </w:r>
    </w:p>
    <w:p w:rsidR="00AC1F56" w:rsidRPr="00AC1F56" w:rsidP="00AC1F56" w14:paraId="69764567" w14:textId="77777777">
      <w:pPr>
        <w:spacing w:after="0"/>
        <w:ind w:left="720" w:hanging="720"/>
        <w:rPr>
          <w:rFonts w:ascii="Times New Roman" w:hAnsi="Times New Roman" w:cs="Times New Roman"/>
        </w:rPr>
      </w:pPr>
    </w:p>
    <w:p w:rsidR="00AC1F56" w:rsidRPr="004D607A" w:rsidP="00AC1F56" w14:paraId="063D8908" w14:textId="77777777">
      <w:pPr>
        <w:spacing w:after="120"/>
        <w:ind w:firstLine="720"/>
        <w:rPr>
          <w:rFonts w:ascii="Times New Roman" w:hAnsi="Times New Roman" w:cs="Times New Roman"/>
        </w:rPr>
      </w:pPr>
      <w:r>
        <w:rPr>
          <w:rFonts w:ascii="Times New Roman" w:hAnsi="Times New Roman" w:cs="Times New Roman"/>
        </w:rPr>
        <w:t xml:space="preserve">Just about a year has passed since we proposed a framework for launching cell towers in space.  During that time, we’ve seen greater promise.  More rescues of </w:t>
      </w:r>
      <w:hyperlink r:id="rId4" w:history="1">
        <w:r w:rsidRPr="004F36E8">
          <w:rPr>
            <w:rStyle w:val="Hyperlink"/>
            <w:rFonts w:ascii="Times New Roman" w:hAnsi="Times New Roman" w:cs="Times New Roman"/>
          </w:rPr>
          <w:t>hikers</w:t>
        </w:r>
      </w:hyperlink>
      <w:r>
        <w:rPr>
          <w:rFonts w:ascii="Times New Roman" w:hAnsi="Times New Roman" w:cs="Times New Roman"/>
        </w:rPr>
        <w:t xml:space="preserve">, </w:t>
      </w:r>
      <w:hyperlink r:id="rId5" w:history="1">
        <w:r>
          <w:rPr>
            <w:rStyle w:val="Hyperlink"/>
            <w:rFonts w:ascii="Times New Roman" w:hAnsi="Times New Roman" w:cs="Times New Roman"/>
          </w:rPr>
          <w:t>stranded motorists</w:t>
        </w:r>
      </w:hyperlink>
      <w:r>
        <w:rPr>
          <w:rFonts w:ascii="Times New Roman" w:hAnsi="Times New Roman" w:cs="Times New Roman"/>
        </w:rPr>
        <w:t xml:space="preserve">, and </w:t>
      </w:r>
      <w:hyperlink r:id="rId6" w:history="1">
        <w:r w:rsidRPr="00D05423">
          <w:rPr>
            <w:rStyle w:val="Hyperlink"/>
            <w:rFonts w:ascii="Times New Roman" w:hAnsi="Times New Roman" w:cs="Times New Roman"/>
          </w:rPr>
          <w:t>crash victims</w:t>
        </w:r>
      </w:hyperlink>
      <w:r>
        <w:rPr>
          <w:rFonts w:ascii="Times New Roman" w:hAnsi="Times New Roman" w:cs="Times New Roman"/>
        </w:rPr>
        <w:t xml:space="preserve"> who reached emergency services with a satellite text.  More testing of capabilities that go beyond texting, including the </w:t>
      </w:r>
      <w:hyperlink r:id="rId7" w:history="1">
        <w:r w:rsidRPr="0011524C">
          <w:rPr>
            <w:rStyle w:val="Hyperlink"/>
            <w:rFonts w:ascii="Times New Roman" w:hAnsi="Times New Roman" w:cs="Times New Roman"/>
          </w:rPr>
          <w:t xml:space="preserve">first two-way </w:t>
        </w:r>
        <w:r>
          <w:rPr>
            <w:rStyle w:val="Hyperlink"/>
            <w:rFonts w:ascii="Times New Roman" w:hAnsi="Times New Roman" w:cs="Times New Roman"/>
          </w:rPr>
          <w:t xml:space="preserve">satellite-to-cell </w:t>
        </w:r>
        <w:r w:rsidRPr="0011524C">
          <w:rPr>
            <w:rStyle w:val="Hyperlink"/>
            <w:rFonts w:ascii="Times New Roman" w:hAnsi="Times New Roman" w:cs="Times New Roman"/>
          </w:rPr>
          <w:t>phone calls</w:t>
        </w:r>
      </w:hyperlink>
      <w:r>
        <w:rPr>
          <w:rFonts w:ascii="Times New Roman" w:hAnsi="Times New Roman" w:cs="Times New Roman"/>
        </w:rPr>
        <w:t xml:space="preserve">, the first </w:t>
      </w:r>
      <w:hyperlink r:id="rId8" w:history="1">
        <w:r w:rsidRPr="0011524C">
          <w:rPr>
            <w:rStyle w:val="Hyperlink"/>
            <w:rFonts w:ascii="Times New Roman" w:hAnsi="Times New Roman" w:cs="Times New Roman"/>
          </w:rPr>
          <w:t xml:space="preserve">5G </w:t>
        </w:r>
        <w:r>
          <w:rPr>
            <w:rStyle w:val="Hyperlink"/>
            <w:rFonts w:ascii="Times New Roman" w:hAnsi="Times New Roman" w:cs="Times New Roman"/>
          </w:rPr>
          <w:t xml:space="preserve">satellite-to-cell </w:t>
        </w:r>
        <w:r w:rsidRPr="0011524C">
          <w:rPr>
            <w:rStyle w:val="Hyperlink"/>
            <w:rFonts w:ascii="Times New Roman" w:hAnsi="Times New Roman" w:cs="Times New Roman"/>
          </w:rPr>
          <w:t>phone call</w:t>
        </w:r>
      </w:hyperlink>
      <w:r>
        <w:rPr>
          <w:rFonts w:ascii="Times New Roman" w:hAnsi="Times New Roman" w:cs="Times New Roman"/>
        </w:rPr>
        <w:t xml:space="preserve">, and satellite-to-cell data downloads peaking at </w:t>
      </w:r>
      <w:hyperlink r:id="rId9" w:history="1">
        <w:r w:rsidRPr="00612943">
          <w:rPr>
            <w:rStyle w:val="Hyperlink"/>
            <w:rFonts w:ascii="Times New Roman" w:hAnsi="Times New Roman" w:cs="Times New Roman"/>
          </w:rPr>
          <w:t>14</w:t>
        </w:r>
      </w:hyperlink>
      <w:r>
        <w:rPr>
          <w:rFonts w:ascii="Times New Roman" w:hAnsi="Times New Roman" w:cs="Times New Roman"/>
        </w:rPr>
        <w:t xml:space="preserve"> and </w:t>
      </w:r>
      <w:hyperlink r:id="rId10" w:history="1">
        <w:r w:rsidRPr="00612943">
          <w:rPr>
            <w:rStyle w:val="Hyperlink"/>
            <w:rFonts w:ascii="Times New Roman" w:hAnsi="Times New Roman" w:cs="Times New Roman"/>
          </w:rPr>
          <w:t>17</w:t>
        </w:r>
      </w:hyperlink>
      <w:r>
        <w:rPr>
          <w:rFonts w:ascii="Times New Roman" w:hAnsi="Times New Roman" w:cs="Times New Roman"/>
        </w:rPr>
        <w:t xml:space="preserve"> Mbps.  We’ve also seen more investment to bring those </w:t>
      </w:r>
      <w:r w:rsidRPr="004D607A">
        <w:rPr>
          <w:rFonts w:ascii="Times New Roman" w:hAnsi="Times New Roman" w:cs="Times New Roman"/>
        </w:rPr>
        <w:t>capabilities out of the lab and into the hands of consumers.  Not to mention much greater international interest and focus, much of it galvanized at last year’s World Radio Conference.</w:t>
      </w:r>
    </w:p>
    <w:p w:rsidR="00AC1F56" w:rsidRPr="004D607A" w:rsidP="00AC1F56" w14:paraId="01BEA9BD" w14:textId="77777777">
      <w:pPr>
        <w:spacing w:after="120"/>
        <w:ind w:firstLine="720"/>
        <w:rPr>
          <w:rFonts w:ascii="Times New Roman" w:hAnsi="Times New Roman" w:cs="Times New Roman"/>
        </w:rPr>
      </w:pPr>
      <w:r w:rsidRPr="004D607A">
        <w:rPr>
          <w:rFonts w:ascii="Times New Roman" w:hAnsi="Times New Roman" w:cs="Times New Roman"/>
        </w:rPr>
        <w:t>Where we’ve</w:t>
      </w:r>
      <w:r>
        <w:rPr>
          <w:rFonts w:ascii="Times New Roman" w:hAnsi="Times New Roman" w:cs="Times New Roman"/>
        </w:rPr>
        <w:t xml:space="preserve"> seen promise, we’ve also seen pivots.  We’ve seen partners </w:t>
      </w:r>
      <w:hyperlink r:id="rId11" w:history="1">
        <w:r>
          <w:rPr>
            <w:rStyle w:val="Hyperlink"/>
            <w:rFonts w:ascii="Times New Roman" w:hAnsi="Times New Roman" w:cs="Times New Roman"/>
          </w:rPr>
          <w:t>end</w:t>
        </w:r>
      </w:hyperlink>
      <w:r>
        <w:rPr>
          <w:rFonts w:ascii="Times New Roman" w:hAnsi="Times New Roman" w:cs="Times New Roman"/>
        </w:rPr>
        <w:t xml:space="preserve"> work on a proprietary satellite-to-cell solution.  We’ve seen analysts and </w:t>
      </w:r>
      <w:r w:rsidRPr="00A85190">
        <w:rPr>
          <w:rFonts w:ascii="Times New Roman" w:hAnsi="Times New Roman" w:cs="Times New Roman"/>
        </w:rPr>
        <w:t>executives</w:t>
      </w:r>
      <w:r>
        <w:rPr>
          <w:rFonts w:ascii="Times New Roman" w:hAnsi="Times New Roman" w:cs="Times New Roman"/>
        </w:rPr>
        <w:t xml:space="preserve"> shift away from the hype in favor of a more </w:t>
      </w:r>
      <w:hyperlink r:id="rId12" w:history="1">
        <w:r>
          <w:rPr>
            <w:rStyle w:val="Hyperlink"/>
            <w:rFonts w:ascii="Times New Roman" w:hAnsi="Times New Roman" w:cs="Times New Roman"/>
          </w:rPr>
          <w:t>measured</w:t>
        </w:r>
        <w:r w:rsidRPr="009A2F9F">
          <w:rPr>
            <w:rStyle w:val="Hyperlink"/>
            <w:rFonts w:ascii="Times New Roman" w:hAnsi="Times New Roman" w:cs="Times New Roman"/>
          </w:rPr>
          <w:t xml:space="preserve"> debate</w:t>
        </w:r>
      </w:hyperlink>
      <w:r>
        <w:rPr>
          <w:rFonts w:ascii="Times New Roman" w:hAnsi="Times New Roman" w:cs="Times New Roman"/>
        </w:rPr>
        <w:t xml:space="preserve"> about the satellite-to-cell business plan.  We’ve also seen companies fill-in connectivity gaps the old fashioned way—by pairing </w:t>
      </w:r>
      <w:hyperlink r:id="rId13" w:history="1">
        <w:r w:rsidRPr="00ED736B">
          <w:rPr>
            <w:rStyle w:val="Hyperlink"/>
            <w:rFonts w:ascii="Times New Roman" w:hAnsi="Times New Roman" w:cs="Times New Roman"/>
          </w:rPr>
          <w:t>purpose-built satellite termina</w:t>
        </w:r>
        <w:r>
          <w:rPr>
            <w:rStyle w:val="Hyperlink"/>
            <w:rFonts w:ascii="Times New Roman" w:hAnsi="Times New Roman" w:cs="Times New Roman"/>
          </w:rPr>
          <w:t>ls</w:t>
        </w:r>
      </w:hyperlink>
      <w:r>
        <w:rPr>
          <w:rFonts w:ascii="Times New Roman" w:hAnsi="Times New Roman" w:cs="Times New Roman"/>
        </w:rPr>
        <w:t xml:space="preserve"> with cellular devices instead of combining them into a direct-to-cell solution.  Promises and pivots.  Those are the hallmarks of a technology that is as </w:t>
      </w:r>
      <w:r w:rsidRPr="004D607A">
        <w:rPr>
          <w:rFonts w:ascii="Times New Roman" w:hAnsi="Times New Roman" w:cs="Times New Roman"/>
        </w:rPr>
        <w:t>exciting as it is fluid.</w:t>
      </w:r>
    </w:p>
    <w:p w:rsidR="00AC1F56" w:rsidRPr="004D607A" w:rsidP="00AC1F56" w14:paraId="0A82631F" w14:textId="77777777">
      <w:pPr>
        <w:spacing w:after="120"/>
        <w:ind w:firstLine="720"/>
        <w:rPr>
          <w:rFonts w:ascii="Times New Roman" w:hAnsi="Times New Roman" w:cs="Times New Roman"/>
        </w:rPr>
      </w:pPr>
      <w:r w:rsidRPr="004D607A">
        <w:rPr>
          <w:rFonts w:ascii="Times New Roman" w:hAnsi="Times New Roman" w:cs="Times New Roman"/>
        </w:rPr>
        <w:t xml:space="preserve">That’s why I’m glad we’re pursuing what this Order calls a “hybrid approach” to authorizing SCS.  That approach creates an enduring, rules-based framework for less complicated SCS deployments.  At the same time, it doesn’t limit SCS to proposals that fit its mold.  It commits to taking a serious, evidence-based look at any reasonable proposal that deserves our attention, whether that proposal meets the criteria set forth in our rules or charts a different course.  In other words, it commits to keeping up not just with the promise, but with the pivots as well.  And in doing so, it gives every innovator—large and small, old and new—a path to see their promise reached.  This was an important aspect of the framework to me, and I’m thankful that we tweaked the item to put all SCS players on firm footing. </w:t>
      </w:r>
    </w:p>
    <w:p w:rsidR="00AC1F56" w:rsidP="00AC1F56" w14:paraId="47215D3A" w14:textId="77777777">
      <w:pPr>
        <w:spacing w:after="120"/>
        <w:ind w:firstLine="720"/>
        <w:rPr>
          <w:rFonts w:ascii="Times New Roman" w:hAnsi="Times New Roman" w:cs="Times New Roman"/>
        </w:rPr>
      </w:pPr>
      <w:r w:rsidRPr="004D607A">
        <w:rPr>
          <w:rFonts w:ascii="Times New Roman" w:hAnsi="Times New Roman" w:cs="Times New Roman"/>
        </w:rPr>
        <w:t>I thank the Chairwoman for her leadership</w:t>
      </w:r>
      <w:r>
        <w:rPr>
          <w:rFonts w:ascii="Times New Roman" w:hAnsi="Times New Roman" w:cs="Times New Roman"/>
        </w:rPr>
        <w:t xml:space="preserve"> on this item and for forging new ground so quickly in an area as novel as SCS.  I’d also like to thank everyone on our staff who worked on this challenging item.  It’s terrific work, and it has my full support.</w:t>
      </w:r>
    </w:p>
    <w:p w:rsidR="001C3C3B" w:rsidRPr="008C5C8D" w:rsidP="008C5C8D" w14:paraId="02E2E537" w14:textId="1E0A4CC1"/>
    <w:sectPr w:rsidSect="00B16106">
      <w:headerReference w:type="default" r:id="rId14"/>
      <w:headerReference w:type="first" r:id="rId1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82D" w:rsidRPr="00B8282D" w:rsidP="00B8282D" w14:paraId="250F6455" w14:textId="0BF44658">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B8282D">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Pr="00B8282D">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EditPoints="1" noChangeArrowheads="1" noChangeShapeType="1" noTextEdit="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o:lock v:ext="edit" aspectratio="t" verticies="t" text="t" shapetype="t"/>
              <w10:wrap anchorx="margin"/>
            </v:rect>
          </w:pict>
        </mc:Fallback>
      </mc:AlternateContent>
    </w:r>
    <w:r w:rsidRPr="00B8282D">
      <w:rPr>
        <w:rFonts w:ascii="Times New Roman" w:eastAsia="Times New Roman" w:hAnsi="Times New Roman" w:cs="Times New Roman"/>
        <w:b/>
        <w:snapToGrid w:val="0"/>
        <w:kern w:val="28"/>
        <w:szCs w:val="20"/>
      </w:rPr>
      <w:tab/>
      <w:t>Federal Communications Commission</w:t>
    </w:r>
    <w:r w:rsidRPr="00B8282D">
      <w:rPr>
        <w:rFonts w:ascii="Times New Roman" w:eastAsia="Times New Roman" w:hAnsi="Times New Roman" w:cs="Times New Roman"/>
        <w:b/>
        <w:snapToGrid w:val="0"/>
        <w:kern w:val="28"/>
        <w:szCs w:val="20"/>
      </w:rPr>
      <w:tab/>
      <w:t xml:space="preserve">FCC </w:t>
    </w:r>
    <w:r w:rsidR="000A5744">
      <w:rPr>
        <w:rFonts w:ascii="Times New Roman" w:eastAsia="Times New Roman" w:hAnsi="Times New Roman" w:cs="Times New Roman"/>
        <w:b/>
        <w:snapToGrid w:val="0"/>
        <w:kern w:val="28"/>
        <w:szCs w:val="20"/>
      </w:rPr>
      <w:t>24</w:t>
    </w:r>
    <w:r w:rsidRPr="00B8282D">
      <w:rPr>
        <w:rFonts w:ascii="Times New Roman" w:eastAsia="Times New Roman" w:hAnsi="Times New Roman" w:cs="Times New Roman"/>
        <w:b/>
        <w:snapToGrid w:val="0"/>
        <w:kern w:val="28"/>
        <w:szCs w:val="20"/>
      </w:rPr>
      <w:t>-</w:t>
    </w:r>
    <w:r w:rsidR="006C0048">
      <w:rPr>
        <w:rFonts w:ascii="Times New Roman" w:eastAsia="Times New Roman" w:hAnsi="Times New Roman" w:cs="Times New Roman"/>
        <w:b/>
        <w:snapToGrid w:val="0"/>
        <w:kern w:val="28"/>
        <w:szCs w:val="20"/>
      </w:rPr>
      <w:t>28</w:t>
    </w:r>
  </w:p>
  <w:p w:rsidR="00B8282D" w14:paraId="5CA1049E" w14:textId="49210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2FA" w:rsidRPr="00F82918" w:rsidP="00A352FA" w14:paraId="236E9C6D" w14:textId="69C9A6D8">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F82918">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rsidRPr="00F82918">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EditPoints="1" noChangeArrowheads="1" noChangeShapeType="1" noTextEdit="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o:lock v:ext="edit" aspectratio="t" verticies="t" text="t" shapetype="t"/>
              <w10:wrap anchorx="margin"/>
            </v:rect>
          </w:pict>
        </mc:Fallback>
      </mc:AlternateContent>
    </w:r>
    <w:r w:rsidRPr="00F82918">
      <w:rPr>
        <w:rFonts w:ascii="Times New Roman" w:eastAsia="Times New Roman" w:hAnsi="Times New Roman" w:cs="Times New Roman"/>
        <w:b/>
        <w:snapToGrid w:val="0"/>
        <w:kern w:val="28"/>
        <w:szCs w:val="20"/>
      </w:rPr>
      <w:tab/>
      <w:t>Federal Communications Commission</w:t>
    </w:r>
    <w:r w:rsidRPr="00F82918">
      <w:rPr>
        <w:rFonts w:ascii="Times New Roman" w:eastAsia="Times New Roman" w:hAnsi="Times New Roman" w:cs="Times New Roman"/>
        <w:b/>
        <w:snapToGrid w:val="0"/>
        <w:kern w:val="28"/>
        <w:szCs w:val="20"/>
      </w:rPr>
      <w:tab/>
      <w:t xml:space="preserve">FCC </w:t>
    </w:r>
    <w:r w:rsidR="000A5744">
      <w:rPr>
        <w:rFonts w:ascii="Times New Roman" w:eastAsia="Times New Roman" w:hAnsi="Times New Roman" w:cs="Times New Roman"/>
        <w:b/>
        <w:snapToGrid w:val="0"/>
        <w:kern w:val="28"/>
        <w:szCs w:val="20"/>
      </w:rPr>
      <w:t>24</w:t>
    </w:r>
    <w:r w:rsidRPr="00F82918">
      <w:rPr>
        <w:rFonts w:ascii="Times New Roman" w:eastAsia="Times New Roman" w:hAnsi="Times New Roman" w:cs="Times New Roman"/>
        <w:b/>
        <w:snapToGrid w:val="0"/>
        <w:kern w:val="28"/>
        <w:szCs w:val="20"/>
      </w:rPr>
      <w:t>-</w:t>
    </w:r>
    <w:r w:rsidR="006C0048">
      <w:rPr>
        <w:rFonts w:ascii="Times New Roman" w:eastAsia="Times New Roman" w:hAnsi="Times New Roman" w:cs="Times New Roman"/>
        <w:b/>
        <w:snapToGrid w:val="0"/>
        <w:kern w:val="28"/>
        <w:szCs w:val="20"/>
      </w:rPr>
      <w:t>28</w:t>
    </w:r>
  </w:p>
  <w:p w:rsidR="00037534" w:rsidP="00037534" w14:paraId="79335CA3" w14:textId="777777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9E"/>
    <w:rsid w:val="000076F0"/>
    <w:rsid w:val="00037534"/>
    <w:rsid w:val="000428FB"/>
    <w:rsid w:val="000448C3"/>
    <w:rsid w:val="0005524B"/>
    <w:rsid w:val="0006133F"/>
    <w:rsid w:val="0006780B"/>
    <w:rsid w:val="00081371"/>
    <w:rsid w:val="000A5744"/>
    <w:rsid w:val="000B3E95"/>
    <w:rsid w:val="000F7F97"/>
    <w:rsid w:val="0011524C"/>
    <w:rsid w:val="00115848"/>
    <w:rsid w:val="00116A09"/>
    <w:rsid w:val="00123FDB"/>
    <w:rsid w:val="00137A38"/>
    <w:rsid w:val="00144E1F"/>
    <w:rsid w:val="001911CD"/>
    <w:rsid w:val="0019326C"/>
    <w:rsid w:val="001A10B4"/>
    <w:rsid w:val="001B0140"/>
    <w:rsid w:val="001B4D04"/>
    <w:rsid w:val="001C3C3B"/>
    <w:rsid w:val="001D3241"/>
    <w:rsid w:val="001D3BD7"/>
    <w:rsid w:val="00215920"/>
    <w:rsid w:val="00221395"/>
    <w:rsid w:val="002278B2"/>
    <w:rsid w:val="00281FEC"/>
    <w:rsid w:val="00292717"/>
    <w:rsid w:val="00292B7E"/>
    <w:rsid w:val="002B12F8"/>
    <w:rsid w:val="002B230F"/>
    <w:rsid w:val="002D7139"/>
    <w:rsid w:val="002E4438"/>
    <w:rsid w:val="002F3639"/>
    <w:rsid w:val="003050AE"/>
    <w:rsid w:val="00313E58"/>
    <w:rsid w:val="00317529"/>
    <w:rsid w:val="003318E5"/>
    <w:rsid w:val="003602C7"/>
    <w:rsid w:val="00361E70"/>
    <w:rsid w:val="003A4DC9"/>
    <w:rsid w:val="003B6F8A"/>
    <w:rsid w:val="003C6500"/>
    <w:rsid w:val="00414626"/>
    <w:rsid w:val="004207F0"/>
    <w:rsid w:val="00445F4D"/>
    <w:rsid w:val="004478B8"/>
    <w:rsid w:val="004547D3"/>
    <w:rsid w:val="00461CDD"/>
    <w:rsid w:val="004B450D"/>
    <w:rsid w:val="004B69B9"/>
    <w:rsid w:val="004C7618"/>
    <w:rsid w:val="004D4B10"/>
    <w:rsid w:val="004D607A"/>
    <w:rsid w:val="004E46FA"/>
    <w:rsid w:val="004F36E8"/>
    <w:rsid w:val="004F75B3"/>
    <w:rsid w:val="00523310"/>
    <w:rsid w:val="00550074"/>
    <w:rsid w:val="00554989"/>
    <w:rsid w:val="005701AD"/>
    <w:rsid w:val="00583ABB"/>
    <w:rsid w:val="0059732E"/>
    <w:rsid w:val="00597FA4"/>
    <w:rsid w:val="005B1EA8"/>
    <w:rsid w:val="005B5387"/>
    <w:rsid w:val="005D2308"/>
    <w:rsid w:val="00611705"/>
    <w:rsid w:val="00612943"/>
    <w:rsid w:val="00633BE2"/>
    <w:rsid w:val="00637CA5"/>
    <w:rsid w:val="00640B40"/>
    <w:rsid w:val="00643D99"/>
    <w:rsid w:val="00662B0D"/>
    <w:rsid w:val="006A04C3"/>
    <w:rsid w:val="006C0048"/>
    <w:rsid w:val="006D4BF2"/>
    <w:rsid w:val="006E681F"/>
    <w:rsid w:val="006F26ED"/>
    <w:rsid w:val="006F6E1D"/>
    <w:rsid w:val="00711310"/>
    <w:rsid w:val="00754584"/>
    <w:rsid w:val="00764CF1"/>
    <w:rsid w:val="0077035A"/>
    <w:rsid w:val="007723D0"/>
    <w:rsid w:val="00787010"/>
    <w:rsid w:val="00787058"/>
    <w:rsid w:val="007C55DD"/>
    <w:rsid w:val="007E0E56"/>
    <w:rsid w:val="007E1656"/>
    <w:rsid w:val="007F4E64"/>
    <w:rsid w:val="008106F3"/>
    <w:rsid w:val="00811800"/>
    <w:rsid w:val="00814B48"/>
    <w:rsid w:val="00815930"/>
    <w:rsid w:val="00853076"/>
    <w:rsid w:val="00857DEC"/>
    <w:rsid w:val="008A251D"/>
    <w:rsid w:val="008A31ED"/>
    <w:rsid w:val="008A5836"/>
    <w:rsid w:val="008C5C8D"/>
    <w:rsid w:val="008C6781"/>
    <w:rsid w:val="008D07AC"/>
    <w:rsid w:val="008E5F9A"/>
    <w:rsid w:val="008E6A18"/>
    <w:rsid w:val="00906D91"/>
    <w:rsid w:val="00914C2A"/>
    <w:rsid w:val="00916FA0"/>
    <w:rsid w:val="009219FF"/>
    <w:rsid w:val="009231C2"/>
    <w:rsid w:val="0093229E"/>
    <w:rsid w:val="00943F34"/>
    <w:rsid w:val="0096754C"/>
    <w:rsid w:val="00973AAA"/>
    <w:rsid w:val="00981115"/>
    <w:rsid w:val="00984B7D"/>
    <w:rsid w:val="009855E2"/>
    <w:rsid w:val="00986EB8"/>
    <w:rsid w:val="009A2F9F"/>
    <w:rsid w:val="009B4175"/>
    <w:rsid w:val="009D095A"/>
    <w:rsid w:val="009E4CA7"/>
    <w:rsid w:val="009F0823"/>
    <w:rsid w:val="00A00705"/>
    <w:rsid w:val="00A352FA"/>
    <w:rsid w:val="00A66B6E"/>
    <w:rsid w:val="00A67458"/>
    <w:rsid w:val="00A71668"/>
    <w:rsid w:val="00A85190"/>
    <w:rsid w:val="00A92F91"/>
    <w:rsid w:val="00AB3064"/>
    <w:rsid w:val="00AC1F56"/>
    <w:rsid w:val="00AC4B20"/>
    <w:rsid w:val="00AD27E2"/>
    <w:rsid w:val="00B16106"/>
    <w:rsid w:val="00B5790A"/>
    <w:rsid w:val="00B60058"/>
    <w:rsid w:val="00B61179"/>
    <w:rsid w:val="00B8282D"/>
    <w:rsid w:val="00BB54E4"/>
    <w:rsid w:val="00BC1A9D"/>
    <w:rsid w:val="00BD40B7"/>
    <w:rsid w:val="00BE6EFD"/>
    <w:rsid w:val="00BF54ED"/>
    <w:rsid w:val="00C109C0"/>
    <w:rsid w:val="00C169BE"/>
    <w:rsid w:val="00C3753E"/>
    <w:rsid w:val="00C379BD"/>
    <w:rsid w:val="00C4518D"/>
    <w:rsid w:val="00C56EB0"/>
    <w:rsid w:val="00C60C41"/>
    <w:rsid w:val="00C87E8E"/>
    <w:rsid w:val="00CA7AFB"/>
    <w:rsid w:val="00CB3689"/>
    <w:rsid w:val="00CF1535"/>
    <w:rsid w:val="00D05423"/>
    <w:rsid w:val="00D15704"/>
    <w:rsid w:val="00D16D92"/>
    <w:rsid w:val="00D7252D"/>
    <w:rsid w:val="00D834A5"/>
    <w:rsid w:val="00DA127E"/>
    <w:rsid w:val="00DF1C3A"/>
    <w:rsid w:val="00DF204B"/>
    <w:rsid w:val="00DF7130"/>
    <w:rsid w:val="00E770A0"/>
    <w:rsid w:val="00E81C0D"/>
    <w:rsid w:val="00EB2242"/>
    <w:rsid w:val="00ED736B"/>
    <w:rsid w:val="00F06293"/>
    <w:rsid w:val="00F07D31"/>
    <w:rsid w:val="00F274B6"/>
    <w:rsid w:val="00F4689C"/>
    <w:rsid w:val="00F67128"/>
    <w:rsid w:val="00F72D93"/>
    <w:rsid w:val="00F82918"/>
    <w:rsid w:val="00F82EB2"/>
    <w:rsid w:val="00F96B59"/>
    <w:rsid w:val="00FA6338"/>
    <w:rsid w:val="00FA75B0"/>
    <w:rsid w:val="00FB05E2"/>
    <w:rsid w:val="00FC2550"/>
    <w:rsid w:val="00FC502E"/>
    <w:rsid w:val="00FD60B2"/>
    <w:rsid w:val="00FD685F"/>
    <w:rsid w:val="00FE62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995E44"/>
  <w15:chartTrackingRefBased/>
  <w15:docId w15:val="{C590F7CB-9A21-4EF0-BDC4-209CDC74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B3064"/>
    <w:pPr>
      <w:spacing w:after="0" w:line="240" w:lineRule="auto"/>
    </w:pPr>
  </w:style>
  <w:style w:type="paragraph" w:styleId="Header">
    <w:name w:val="header"/>
    <w:basedOn w:val="Normal"/>
    <w:link w:val="HeaderChar"/>
    <w:uiPriority w:val="99"/>
    <w:unhideWhenUsed/>
    <w:rsid w:val="00B82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82D"/>
  </w:style>
  <w:style w:type="paragraph" w:styleId="Footer">
    <w:name w:val="footer"/>
    <w:basedOn w:val="Normal"/>
    <w:link w:val="FooterChar"/>
    <w:uiPriority w:val="99"/>
    <w:unhideWhenUsed/>
    <w:rsid w:val="00B82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82D"/>
  </w:style>
  <w:style w:type="character" w:styleId="Hyperlink">
    <w:name w:val="Hyperlink"/>
    <w:basedOn w:val="DefaultParagraphFont"/>
    <w:uiPriority w:val="99"/>
    <w:unhideWhenUsed/>
    <w:rsid w:val="001B01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cmag.com/news/spacexs-cellular-starlink-hits-17mbps-download-speed-to-android-phone" TargetMode="External" /><Relationship Id="rId11" Type="http://schemas.openxmlformats.org/officeDocument/2006/relationships/hyperlink" Target="https://spacenews.com/qualcomm-ends-partnership-for-connecting-android-phones-to-iridium-satellites/" TargetMode="External" /><Relationship Id="rId12" Type="http://schemas.openxmlformats.org/officeDocument/2006/relationships/hyperlink" Target="https://spacenews.com/satellite-industry-debates-size-of-direct-to-device-market/" TargetMode="External" /><Relationship Id="rId13" Type="http://schemas.openxmlformats.org/officeDocument/2006/relationships/hyperlink" Target="https://www.satellitetoday.com/connectivity/2024/01/16/john-deere-selects-starlink-for-agriculture-connectivity-solution/"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ktla.com/news/local-news/hiker-rescued-in-southern-california-using-apple-iphone-sos-feature/" TargetMode="External" /><Relationship Id="rId5" Type="http://schemas.openxmlformats.org/officeDocument/2006/relationships/hyperlink" Target="https://gizmodo.com/maui-fires-apple-iphone-emergency-sos-1850726280" TargetMode="External" /><Relationship Id="rId6" Type="http://schemas.openxmlformats.org/officeDocument/2006/relationships/hyperlink" Target="https://www.kgw.com/article/news/local/woman-rescued-iphone-sos-oregon/283-e6d759a3-0aa9-4430-9b9e-ed352753407d" TargetMode="External" /><Relationship Id="rId7" Type="http://schemas.openxmlformats.org/officeDocument/2006/relationships/hyperlink" Target="https://www.fiercewireless.com/tech/lynk-demonstrates-two-way-voice-calls-satellite" TargetMode="External" /><Relationship Id="rId8" Type="http://schemas.openxmlformats.org/officeDocument/2006/relationships/hyperlink" Target="https://www.fiercewireless.com/5g/ast-spacemobile-makes-historic-space-mobile-5g-call" TargetMode="External" /><Relationship Id="rId9" Type="http://schemas.openxmlformats.org/officeDocument/2006/relationships/hyperlink" Target="https://www.pcmag.com/news/asts-bluewalker-satellite-achieves-14mbps-download-5g-voice-cal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