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7C5C" w:rsidRPr="001202CC" w:rsidP="004B0D32" w14:paraId="038A59EF" w14:textId="77777777">
      <w:pPr>
        <w:tabs>
          <w:tab w:val="left" w:pos="3600"/>
        </w:tabs>
        <w:jc w:val="center"/>
        <w:rPr>
          <w:b/>
          <w:kern w:val="0"/>
        </w:rPr>
      </w:pPr>
    </w:p>
    <w:p w:rsidR="00E273E3" w:rsidRPr="001202CC" w:rsidP="002659F3" w14:paraId="6DA8C883" w14:textId="77777777">
      <w:pPr>
        <w:jc w:val="center"/>
        <w:rPr>
          <w:b/>
        </w:rPr>
      </w:pPr>
      <w:r w:rsidRPr="001202CC">
        <w:rPr>
          <w:b/>
          <w:kern w:val="0"/>
        </w:rPr>
        <w:t>Before</w:t>
      </w:r>
      <w:r w:rsidRPr="001202CC">
        <w:rPr>
          <w:b/>
        </w:rPr>
        <w:t xml:space="preserve"> the</w:t>
      </w:r>
    </w:p>
    <w:p w:rsidR="00E273E3" w:rsidRPr="001202CC" w:rsidP="002659F3" w14:paraId="7F214D9C" w14:textId="77777777">
      <w:pPr>
        <w:pStyle w:val="StyleBoldCentered"/>
        <w:rPr>
          <w:rFonts w:ascii="Times New Roman" w:hAnsi="Times New Roman"/>
        </w:rPr>
      </w:pPr>
      <w:r w:rsidRPr="001202CC">
        <w:rPr>
          <w:rFonts w:ascii="Times New Roman" w:hAnsi="Times New Roman"/>
        </w:rPr>
        <w:t>F</w:t>
      </w:r>
      <w:r w:rsidRPr="001202CC">
        <w:rPr>
          <w:rFonts w:ascii="Times New Roman" w:hAnsi="Times New Roman"/>
          <w:caps w:val="0"/>
        </w:rPr>
        <w:t>ederal Communications Commission</w:t>
      </w:r>
    </w:p>
    <w:p w:rsidR="00E273E3" w:rsidRPr="001202CC" w:rsidP="002659F3" w14:paraId="3BAB5BF9" w14:textId="4AABFDFD">
      <w:pPr>
        <w:pStyle w:val="StyleBoldCentered"/>
        <w:rPr>
          <w:rFonts w:ascii="Times New Roman" w:hAnsi="Times New Roman"/>
        </w:rPr>
      </w:pPr>
      <w:r w:rsidRPr="001202CC">
        <w:rPr>
          <w:rFonts w:ascii="Times New Roman" w:hAnsi="Times New Roman"/>
          <w:caps w:val="0"/>
        </w:rPr>
        <w:t>Washington</w:t>
      </w:r>
      <w:r w:rsidRPr="001202CC">
        <w:rPr>
          <w:rFonts w:ascii="Times New Roman" w:hAnsi="Times New Roman"/>
        </w:rPr>
        <w:t>, D</w:t>
      </w:r>
      <w:r w:rsidRPr="001202CC" w:rsidR="00B35FDF">
        <w:rPr>
          <w:rFonts w:ascii="Times New Roman" w:hAnsi="Times New Roman"/>
        </w:rPr>
        <w:t>.</w:t>
      </w:r>
      <w:r w:rsidRPr="001202CC">
        <w:rPr>
          <w:rFonts w:ascii="Times New Roman" w:hAnsi="Times New Roman"/>
        </w:rPr>
        <w:t>C</w:t>
      </w:r>
      <w:r w:rsidRPr="001202CC" w:rsidR="00B35FDF">
        <w:rPr>
          <w:rFonts w:ascii="Times New Roman" w:hAnsi="Times New Roman"/>
        </w:rPr>
        <w:t>.</w:t>
      </w:r>
      <w:r w:rsidRPr="001202CC">
        <w:rPr>
          <w:rFonts w:ascii="Times New Roman" w:hAnsi="Times New Roman"/>
        </w:rPr>
        <w:t xml:space="preserve"> 20554</w:t>
      </w:r>
    </w:p>
    <w:p w:rsidR="00E273E3" w:rsidRPr="001202CC" w:rsidP="002659F3" w14:paraId="37F43480" w14:textId="77777777"/>
    <w:tbl>
      <w:tblPr>
        <w:tblW w:w="0" w:type="auto"/>
        <w:tblLayout w:type="fixed"/>
        <w:tblLook w:val="0000"/>
      </w:tblPr>
      <w:tblGrid>
        <w:gridCol w:w="4698"/>
        <w:gridCol w:w="630"/>
        <w:gridCol w:w="4248"/>
      </w:tblGrid>
      <w:tr w14:paraId="0F5D7486" w14:textId="77777777">
        <w:tblPrEx>
          <w:tblW w:w="0" w:type="auto"/>
          <w:tblLayout w:type="fixed"/>
          <w:tblLook w:val="0000"/>
        </w:tblPrEx>
        <w:tc>
          <w:tcPr>
            <w:tcW w:w="4698" w:type="dxa"/>
          </w:tcPr>
          <w:p w:rsidR="00E273E3" w:rsidRPr="001202CC" w:rsidP="002659F3" w14:paraId="2E8EF28F" w14:textId="77777777">
            <w:pPr>
              <w:suppressAutoHyphens/>
              <w:rPr>
                <w:spacing w:val="-2"/>
              </w:rPr>
            </w:pPr>
            <w:r w:rsidRPr="001202CC">
              <w:rPr>
                <w:spacing w:val="-2"/>
              </w:rPr>
              <w:t>In the Matter of</w:t>
            </w:r>
          </w:p>
          <w:p w:rsidR="00E273E3" w:rsidRPr="001202CC" w:rsidP="002659F3" w14:paraId="3CFC2C8B" w14:textId="77777777">
            <w:pPr>
              <w:suppressAutoHyphens/>
              <w:rPr>
                <w:spacing w:val="-2"/>
              </w:rPr>
            </w:pPr>
          </w:p>
          <w:p w:rsidR="001A3968" w:rsidP="001A3968" w14:paraId="622B8E62" w14:textId="77777777">
            <w:pPr>
              <w:suppressAutoHyphens/>
              <w:rPr>
                <w:spacing w:val="-2"/>
              </w:rPr>
            </w:pPr>
            <w:r w:rsidRPr="001202CC">
              <w:rPr>
                <w:spacing w:val="-2"/>
              </w:rPr>
              <w:t>Cumulus Licensing LLC</w:t>
            </w:r>
          </w:p>
          <w:p w:rsidR="000304B7" w:rsidRPr="001202CC" w:rsidP="001A3968" w14:paraId="67B82871" w14:textId="77777777">
            <w:pPr>
              <w:suppressAutoHyphens/>
              <w:rPr>
                <w:spacing w:val="-2"/>
              </w:rPr>
            </w:pPr>
          </w:p>
          <w:p w:rsidR="001A3968" w:rsidRPr="001202CC" w:rsidP="001A3968" w14:paraId="3C022583" w14:textId="77777777">
            <w:pPr>
              <w:suppressAutoHyphens/>
              <w:rPr>
                <w:spacing w:val="-2"/>
              </w:rPr>
            </w:pPr>
            <w:r w:rsidRPr="001202CC">
              <w:rPr>
                <w:spacing w:val="-2"/>
              </w:rPr>
              <w:t>Former Licensee of Stations</w:t>
            </w:r>
          </w:p>
          <w:p w:rsidR="001A3968" w:rsidRPr="001202CC" w:rsidP="001A3968" w14:paraId="3965D93F" w14:textId="77777777">
            <w:pPr>
              <w:suppressAutoHyphens/>
              <w:rPr>
                <w:spacing w:val="-2"/>
              </w:rPr>
            </w:pPr>
            <w:r w:rsidRPr="001202CC">
              <w:rPr>
                <w:spacing w:val="-2"/>
              </w:rPr>
              <w:t>WEGC(FM), Sasser, GA</w:t>
            </w:r>
          </w:p>
          <w:p w:rsidR="001A3968" w:rsidRPr="001202CC" w:rsidP="001A3968" w14:paraId="134C2ABE" w14:textId="77777777">
            <w:pPr>
              <w:suppressAutoHyphens/>
              <w:rPr>
                <w:spacing w:val="-2"/>
              </w:rPr>
            </w:pPr>
            <w:r w:rsidRPr="001202CC">
              <w:rPr>
                <w:spacing w:val="-2"/>
              </w:rPr>
              <w:t>Facility ID Number: 40463;</w:t>
            </w:r>
          </w:p>
          <w:p w:rsidR="001A3968" w:rsidRPr="001202CC" w:rsidP="001A3968" w14:paraId="6C10813B" w14:textId="77777777">
            <w:pPr>
              <w:suppressAutoHyphens/>
              <w:rPr>
                <w:spacing w:val="-2"/>
              </w:rPr>
            </w:pPr>
            <w:r w:rsidRPr="001202CC">
              <w:rPr>
                <w:spacing w:val="-2"/>
              </w:rPr>
              <w:t>WJAD(FM), Leesburg, GA</w:t>
            </w:r>
          </w:p>
          <w:p w:rsidR="001A3968" w:rsidRPr="001202CC" w:rsidP="001A3968" w14:paraId="503A95D7" w14:textId="77777777">
            <w:pPr>
              <w:suppressAutoHyphens/>
              <w:rPr>
                <w:spacing w:val="-2"/>
              </w:rPr>
            </w:pPr>
            <w:r w:rsidRPr="001202CC">
              <w:rPr>
                <w:spacing w:val="-2"/>
              </w:rPr>
              <w:t>Facility ID Number: 57782;</w:t>
            </w:r>
          </w:p>
          <w:p w:rsidR="001A3968" w:rsidRPr="001202CC" w:rsidP="001A3968" w14:paraId="72933809" w14:textId="77777777">
            <w:pPr>
              <w:suppressAutoHyphens/>
              <w:rPr>
                <w:spacing w:val="-2"/>
              </w:rPr>
            </w:pPr>
            <w:r w:rsidRPr="001202CC">
              <w:rPr>
                <w:spacing w:val="-2"/>
              </w:rPr>
              <w:t>WKAK(FM), Albany, GA</w:t>
            </w:r>
          </w:p>
          <w:p w:rsidR="001A3968" w:rsidRPr="001202CC" w:rsidP="001A3968" w14:paraId="14D9B6CB" w14:textId="77777777">
            <w:pPr>
              <w:suppressAutoHyphens/>
              <w:rPr>
                <w:spacing w:val="-2"/>
              </w:rPr>
            </w:pPr>
            <w:r w:rsidRPr="001202CC">
              <w:rPr>
                <w:spacing w:val="-2"/>
              </w:rPr>
              <w:t>Facility ID Number: 831;</w:t>
            </w:r>
          </w:p>
          <w:p w:rsidR="001A3968" w:rsidRPr="001202CC" w:rsidP="001A3968" w14:paraId="7F465798" w14:textId="77777777">
            <w:pPr>
              <w:suppressAutoHyphens/>
              <w:rPr>
                <w:spacing w:val="-2"/>
              </w:rPr>
            </w:pPr>
            <w:r w:rsidRPr="001202CC">
              <w:rPr>
                <w:spacing w:val="-2"/>
              </w:rPr>
              <w:t>WQVE(FM), Albany, GA</w:t>
            </w:r>
          </w:p>
          <w:p w:rsidR="001A3968" w:rsidRPr="001202CC" w:rsidP="001A3968" w14:paraId="489B57DB" w14:textId="77777777">
            <w:pPr>
              <w:suppressAutoHyphens/>
              <w:rPr>
                <w:spacing w:val="-2"/>
              </w:rPr>
            </w:pPr>
            <w:r w:rsidRPr="001202CC">
              <w:rPr>
                <w:spacing w:val="-2"/>
              </w:rPr>
              <w:t>Facility ID Number: 54704; and</w:t>
            </w:r>
          </w:p>
          <w:p w:rsidR="001A3968" w:rsidRPr="001202CC" w:rsidP="001A3968" w14:paraId="0A864D4B" w14:textId="77777777">
            <w:pPr>
              <w:suppressAutoHyphens/>
              <w:rPr>
                <w:spacing w:val="-2"/>
              </w:rPr>
            </w:pPr>
            <w:r w:rsidRPr="001202CC">
              <w:rPr>
                <w:spacing w:val="-2"/>
              </w:rPr>
              <w:t>WALG(AM), Albany, GA</w:t>
            </w:r>
          </w:p>
          <w:p w:rsidR="00E273E3" w:rsidRPr="001202CC" w:rsidP="001A3968" w14:paraId="3145AD1C" w14:textId="5D4FFCD4">
            <w:pPr>
              <w:suppressAutoHyphens/>
              <w:rPr>
                <w:spacing w:val="-2"/>
              </w:rPr>
            </w:pPr>
            <w:r w:rsidRPr="001202CC">
              <w:rPr>
                <w:spacing w:val="-2"/>
              </w:rPr>
              <w:t>Facility ID Number: 54703</w:t>
            </w:r>
          </w:p>
        </w:tc>
        <w:tc>
          <w:tcPr>
            <w:tcW w:w="630" w:type="dxa"/>
          </w:tcPr>
          <w:p w:rsidR="00E273E3" w:rsidRPr="001202CC" w:rsidP="002659F3" w14:paraId="590ED221" w14:textId="77777777">
            <w:pPr>
              <w:suppressAutoHyphens/>
              <w:rPr>
                <w:spacing w:val="-2"/>
              </w:rPr>
            </w:pPr>
            <w:r w:rsidRPr="001202CC">
              <w:rPr>
                <w:spacing w:val="-2"/>
              </w:rPr>
              <w:t>)</w:t>
            </w:r>
          </w:p>
          <w:p w:rsidR="00E273E3" w:rsidRPr="001202CC" w:rsidP="002659F3" w14:paraId="28A0165B" w14:textId="77777777">
            <w:pPr>
              <w:suppressAutoHyphens/>
              <w:rPr>
                <w:spacing w:val="-2"/>
              </w:rPr>
            </w:pPr>
            <w:r w:rsidRPr="001202CC">
              <w:rPr>
                <w:spacing w:val="-2"/>
              </w:rPr>
              <w:t>)</w:t>
            </w:r>
          </w:p>
          <w:p w:rsidR="00E273E3" w:rsidRPr="001202CC" w:rsidP="002659F3" w14:paraId="208656C9" w14:textId="77777777">
            <w:pPr>
              <w:suppressAutoHyphens/>
              <w:rPr>
                <w:spacing w:val="-2"/>
              </w:rPr>
            </w:pPr>
            <w:r w:rsidRPr="001202CC">
              <w:rPr>
                <w:spacing w:val="-2"/>
              </w:rPr>
              <w:t>)</w:t>
            </w:r>
          </w:p>
          <w:p w:rsidR="00E273E3" w:rsidRPr="001202CC" w:rsidP="002659F3" w14:paraId="5CBC198F" w14:textId="77777777">
            <w:pPr>
              <w:suppressAutoHyphens/>
              <w:rPr>
                <w:spacing w:val="-2"/>
              </w:rPr>
            </w:pPr>
            <w:r w:rsidRPr="001202CC">
              <w:rPr>
                <w:spacing w:val="-2"/>
              </w:rPr>
              <w:t>)</w:t>
            </w:r>
          </w:p>
          <w:p w:rsidR="00E273E3" w:rsidRPr="001202CC" w:rsidP="002659F3" w14:paraId="59496387" w14:textId="77777777">
            <w:pPr>
              <w:suppressAutoHyphens/>
              <w:rPr>
                <w:spacing w:val="-2"/>
              </w:rPr>
            </w:pPr>
            <w:r w:rsidRPr="001202CC">
              <w:rPr>
                <w:spacing w:val="-2"/>
              </w:rPr>
              <w:t>)</w:t>
            </w:r>
          </w:p>
          <w:p w:rsidR="001A3968" w:rsidRPr="001202CC" w:rsidP="002659F3" w14:paraId="2C73B333" w14:textId="77777777">
            <w:pPr>
              <w:suppressAutoHyphens/>
              <w:rPr>
                <w:spacing w:val="-2"/>
              </w:rPr>
            </w:pPr>
            <w:r w:rsidRPr="001202CC">
              <w:rPr>
                <w:spacing w:val="-2"/>
              </w:rPr>
              <w:t>)</w:t>
            </w:r>
          </w:p>
          <w:p w:rsidR="001A3968" w:rsidRPr="001202CC" w:rsidP="002659F3" w14:paraId="0DEC4B85" w14:textId="77777777">
            <w:pPr>
              <w:suppressAutoHyphens/>
              <w:rPr>
                <w:spacing w:val="-2"/>
              </w:rPr>
            </w:pPr>
            <w:r w:rsidRPr="001202CC">
              <w:rPr>
                <w:spacing w:val="-2"/>
              </w:rPr>
              <w:t>)</w:t>
            </w:r>
          </w:p>
          <w:p w:rsidR="001A3968" w:rsidRPr="001202CC" w:rsidP="002659F3" w14:paraId="04B236E1" w14:textId="77777777">
            <w:pPr>
              <w:suppressAutoHyphens/>
              <w:rPr>
                <w:spacing w:val="-2"/>
              </w:rPr>
            </w:pPr>
            <w:r w:rsidRPr="001202CC">
              <w:rPr>
                <w:spacing w:val="-2"/>
              </w:rPr>
              <w:t>)</w:t>
            </w:r>
          </w:p>
          <w:p w:rsidR="001A3968" w:rsidRPr="001202CC" w:rsidP="002659F3" w14:paraId="2252F90D" w14:textId="77777777">
            <w:pPr>
              <w:suppressAutoHyphens/>
              <w:rPr>
                <w:spacing w:val="-2"/>
              </w:rPr>
            </w:pPr>
            <w:r w:rsidRPr="001202CC">
              <w:rPr>
                <w:spacing w:val="-2"/>
              </w:rPr>
              <w:t>)</w:t>
            </w:r>
          </w:p>
          <w:p w:rsidR="001A3968" w:rsidRPr="001202CC" w:rsidP="002659F3" w14:paraId="7708B2E2" w14:textId="77777777">
            <w:pPr>
              <w:suppressAutoHyphens/>
              <w:rPr>
                <w:spacing w:val="-2"/>
              </w:rPr>
            </w:pPr>
            <w:r w:rsidRPr="001202CC">
              <w:rPr>
                <w:spacing w:val="-2"/>
              </w:rPr>
              <w:t>)</w:t>
            </w:r>
          </w:p>
          <w:p w:rsidR="001A3968" w:rsidRPr="001202CC" w:rsidP="002659F3" w14:paraId="473C7EB4" w14:textId="77777777">
            <w:pPr>
              <w:suppressAutoHyphens/>
              <w:rPr>
                <w:spacing w:val="-2"/>
              </w:rPr>
            </w:pPr>
            <w:r w:rsidRPr="001202CC">
              <w:rPr>
                <w:spacing w:val="-2"/>
              </w:rPr>
              <w:t>)</w:t>
            </w:r>
          </w:p>
          <w:p w:rsidR="001A3968" w:rsidRPr="001202CC" w:rsidP="002659F3" w14:paraId="53F9A7E7" w14:textId="77777777">
            <w:pPr>
              <w:suppressAutoHyphens/>
              <w:rPr>
                <w:spacing w:val="-2"/>
              </w:rPr>
            </w:pPr>
            <w:r w:rsidRPr="001202CC">
              <w:rPr>
                <w:spacing w:val="-2"/>
              </w:rPr>
              <w:t>)</w:t>
            </w:r>
          </w:p>
          <w:p w:rsidR="001A3968" w:rsidRPr="001202CC" w:rsidP="002659F3" w14:paraId="28820C83" w14:textId="77777777">
            <w:pPr>
              <w:suppressAutoHyphens/>
              <w:rPr>
                <w:spacing w:val="-2"/>
              </w:rPr>
            </w:pPr>
            <w:r w:rsidRPr="001202CC">
              <w:rPr>
                <w:spacing w:val="-2"/>
              </w:rPr>
              <w:t>)</w:t>
            </w:r>
          </w:p>
          <w:p w:rsidR="001A3968" w:rsidRPr="001202CC" w:rsidP="002659F3" w14:paraId="372D7A29" w14:textId="2026D0EA">
            <w:pPr>
              <w:suppressAutoHyphens/>
              <w:rPr>
                <w:spacing w:val="-2"/>
              </w:rPr>
            </w:pPr>
            <w:r w:rsidRPr="001202CC">
              <w:rPr>
                <w:spacing w:val="-2"/>
              </w:rPr>
              <w:t>)</w:t>
            </w:r>
          </w:p>
        </w:tc>
        <w:tc>
          <w:tcPr>
            <w:tcW w:w="4248" w:type="dxa"/>
          </w:tcPr>
          <w:p w:rsidR="00E273E3" w:rsidRPr="001202CC" w:rsidP="002659F3" w14:paraId="66B4505B" w14:textId="77777777">
            <w:pPr>
              <w:suppressAutoHyphens/>
              <w:rPr>
                <w:spacing w:val="-2"/>
              </w:rPr>
            </w:pPr>
          </w:p>
          <w:p w:rsidR="00E273E3" w:rsidRPr="001202CC" w:rsidP="002659F3" w14:paraId="2E7BAE9E" w14:textId="77777777">
            <w:pPr>
              <w:suppressAutoHyphens/>
              <w:rPr>
                <w:spacing w:val="-2"/>
              </w:rPr>
            </w:pPr>
          </w:p>
          <w:p w:rsidR="00E273E3" w:rsidRPr="001202CC" w:rsidP="00EE05DB" w14:paraId="59E6AB07" w14:textId="7693F06B">
            <w:pPr>
              <w:suppressAutoHyphens/>
              <w:ind w:left="432"/>
              <w:rPr>
                <w:spacing w:val="-2"/>
              </w:rPr>
            </w:pPr>
            <w:r w:rsidRPr="001202CC">
              <w:rPr>
                <w:spacing w:val="-2"/>
              </w:rPr>
              <w:t xml:space="preserve">File No.:  </w:t>
            </w:r>
            <w:bookmarkStart w:id="0" w:name="_Hlk109049934"/>
            <w:r w:rsidRPr="001202CC" w:rsidR="000869F8">
              <w:rPr>
                <w:spacing w:val="-2"/>
              </w:rPr>
              <w:t>EB-IHD-20-00031223</w:t>
            </w:r>
            <w:bookmarkEnd w:id="0"/>
          </w:p>
          <w:p w:rsidR="00E273E3" w:rsidRPr="001202CC" w:rsidP="00EE05DB" w14:paraId="013C1E43" w14:textId="23E15F49">
            <w:pPr>
              <w:suppressAutoHyphens/>
              <w:ind w:left="432"/>
              <w:rPr>
                <w:spacing w:val="-2"/>
              </w:rPr>
            </w:pPr>
            <w:r w:rsidRPr="001202CC">
              <w:rPr>
                <w:spacing w:val="-2"/>
              </w:rPr>
              <w:t xml:space="preserve">NAL/Acct. No.:  </w:t>
            </w:r>
            <w:r w:rsidRPr="001202CC" w:rsidR="000869F8">
              <w:rPr>
                <w:spacing w:val="-2"/>
              </w:rPr>
              <w:t>202132080015</w:t>
            </w:r>
          </w:p>
          <w:p w:rsidR="00E273E3" w:rsidRPr="001202CC" w:rsidP="00153904" w14:paraId="7A61A755" w14:textId="00643D35">
            <w:pPr>
              <w:suppressAutoHyphens/>
              <w:ind w:left="432"/>
              <w:rPr>
                <w:spacing w:val="-2"/>
              </w:rPr>
            </w:pPr>
            <w:r w:rsidRPr="001202CC">
              <w:rPr>
                <w:spacing w:val="-2"/>
              </w:rPr>
              <w:t xml:space="preserve">FRN:  </w:t>
            </w:r>
            <w:r w:rsidRPr="001202CC" w:rsidR="000869F8">
              <w:rPr>
                <w:spacing w:val="-2"/>
              </w:rPr>
              <w:t>0002834810</w:t>
            </w:r>
          </w:p>
        </w:tc>
      </w:tr>
    </w:tbl>
    <w:p w:rsidR="00E273E3" w:rsidRPr="001202CC" w:rsidP="002659F3" w14:paraId="0F4BF573" w14:textId="77777777"/>
    <w:p w:rsidR="00E273E3" w:rsidRPr="001202CC" w:rsidP="002659F3" w14:paraId="7013FC2A" w14:textId="77777777">
      <w:pPr>
        <w:pStyle w:val="StyleBoldCentered"/>
        <w:spacing w:after="220"/>
        <w:rPr>
          <w:rFonts w:ascii="Times New Roman" w:hAnsi="Times New Roman"/>
        </w:rPr>
      </w:pPr>
      <w:r w:rsidRPr="001202CC">
        <w:rPr>
          <w:rFonts w:ascii="Times New Roman" w:hAnsi="Times New Roman"/>
        </w:rPr>
        <w:t>forfeiture ORDER</w:t>
      </w:r>
    </w:p>
    <w:p w:rsidR="00E273E3" w:rsidRPr="001202CC" w:rsidP="00226191" w14:paraId="49BDCAB9" w14:textId="7DA2D126">
      <w:pPr>
        <w:tabs>
          <w:tab w:val="right" w:pos="9360"/>
        </w:tabs>
        <w:suppressAutoHyphens/>
        <w:rPr>
          <w:spacing w:val="-2"/>
        </w:rPr>
      </w:pPr>
      <w:r w:rsidRPr="001202CC">
        <w:rPr>
          <w:b/>
          <w:spacing w:val="-2"/>
        </w:rPr>
        <w:t xml:space="preserve">Adopted:  </w:t>
      </w:r>
      <w:r w:rsidR="00B46013">
        <w:rPr>
          <w:b/>
          <w:spacing w:val="-2"/>
        </w:rPr>
        <w:t>January 12, 2024</w:t>
      </w:r>
      <w:r w:rsidRPr="001202CC" w:rsidR="006D2212">
        <w:rPr>
          <w:b/>
          <w:spacing w:val="-2"/>
        </w:rPr>
        <w:tab/>
        <w:t xml:space="preserve">Released:  </w:t>
      </w:r>
      <w:r w:rsidR="00B46013">
        <w:rPr>
          <w:b/>
          <w:spacing w:val="-2"/>
        </w:rPr>
        <w:t>January 16, 2024</w:t>
      </w:r>
    </w:p>
    <w:p w:rsidR="00E273E3" w:rsidRPr="001202CC" w:rsidP="00EE05DB" w14:paraId="1116F19A" w14:textId="77777777">
      <w:pPr>
        <w:jc w:val="center"/>
      </w:pPr>
    </w:p>
    <w:p w:rsidR="00E273E3" w:rsidRPr="001202CC" w:rsidP="004024B5" w14:paraId="383F64FB" w14:textId="6E1F4B58">
      <w:pPr>
        <w:rPr>
          <w:spacing w:val="-2"/>
        </w:rPr>
      </w:pPr>
      <w:r w:rsidRPr="001202CC">
        <w:t xml:space="preserve">By the </w:t>
      </w:r>
      <w:r w:rsidRPr="001202CC" w:rsidR="003343CA">
        <w:t>Commission</w:t>
      </w:r>
      <w:r w:rsidRPr="001202CC">
        <w:rPr>
          <w:spacing w:val="-2"/>
        </w:rPr>
        <w:t>:</w:t>
      </w:r>
    </w:p>
    <w:p w:rsidR="00E273E3" w:rsidRPr="001202CC" w:rsidP="004024B5" w14:paraId="7311C853" w14:textId="77777777">
      <w:pPr>
        <w:rPr>
          <w:spacing w:val="-2"/>
        </w:rPr>
      </w:pPr>
    </w:p>
    <w:p w:rsidR="00E273E3" w:rsidRPr="001202CC" w:rsidP="004024B5" w14:paraId="0C3EFB83" w14:textId="77777777">
      <w:pPr>
        <w:pStyle w:val="Heading1"/>
        <w:rPr>
          <w:rFonts w:ascii="Times New Roman" w:hAnsi="Times New Roman"/>
        </w:rPr>
      </w:pPr>
      <w:bookmarkStart w:id="1" w:name="_Toc379288998"/>
      <w:bookmarkStart w:id="2" w:name="_Toc379365499"/>
      <w:r w:rsidRPr="001202CC">
        <w:rPr>
          <w:rFonts w:ascii="Times New Roman" w:hAnsi="Times New Roman"/>
        </w:rPr>
        <w:t>INTRODUCTION</w:t>
      </w:r>
      <w:bookmarkEnd w:id="1"/>
      <w:bookmarkEnd w:id="2"/>
    </w:p>
    <w:p w:rsidR="00E273E3" w:rsidRPr="001202CC" w:rsidP="00DF1B16" w14:paraId="52388955" w14:textId="1ECCBB7F">
      <w:pPr>
        <w:pStyle w:val="ParaNum"/>
      </w:pPr>
      <w:r w:rsidRPr="001202CC">
        <w:t xml:space="preserve">The Federal Communication Commission’s </w:t>
      </w:r>
      <w:r w:rsidRPr="001202CC" w:rsidR="00FC6840">
        <w:t xml:space="preserve">(FCC or Commission) </w:t>
      </w:r>
      <w:r w:rsidRPr="001202CC">
        <w:t xml:space="preserve">equal employment opportunity (EEO) rules prohibit broadcasters from discriminating in hiring on the basis of race, color, religion, national origin or gender, and require most broadcasters to conduct and document broad recruitment efforts.  </w:t>
      </w:r>
      <w:r w:rsidRPr="001202CC" w:rsidR="00FC6840">
        <w:t xml:space="preserve">On February 25, 2022, the Commission issued a </w:t>
      </w:r>
      <w:r w:rsidRPr="001202CC" w:rsidR="00FC6840">
        <w:rPr>
          <w:i/>
          <w:iCs/>
        </w:rPr>
        <w:t xml:space="preserve">Notice of Apparent Liability for Forfeiture </w:t>
      </w:r>
      <w:r w:rsidRPr="001202CC" w:rsidR="00FC6840">
        <w:t>(</w:t>
      </w:r>
      <w:r w:rsidRPr="001202CC" w:rsidR="00FC6840">
        <w:rPr>
          <w:i/>
          <w:iCs/>
        </w:rPr>
        <w:t>NAL</w:t>
      </w:r>
      <w:r w:rsidRPr="001202CC" w:rsidR="00FC6840">
        <w:t xml:space="preserve">) for </w:t>
      </w:r>
      <w:r w:rsidRPr="001202CC">
        <w:t>$</w:t>
      </w:r>
      <w:r w:rsidRPr="001202CC" w:rsidR="00C258F0">
        <w:t>32,000</w:t>
      </w:r>
      <w:r w:rsidRPr="001202CC" w:rsidR="009C65FA">
        <w:t xml:space="preserve"> </w:t>
      </w:r>
      <w:r w:rsidRPr="001202CC">
        <w:t xml:space="preserve">against </w:t>
      </w:r>
      <w:r w:rsidRPr="001202CC" w:rsidR="009C65FA">
        <w:t>Cumulus Licensing LLC (Cumulus), former licensee of WEGC(FM), Sasser, Georgia; WJAD(FM), Leesburg, Georgia; WKAK(FM), Albany, Georgia; WQVE(FM), Albany, Georgia; and WALG(AM), Albany, Georgia (</w:t>
      </w:r>
      <w:r w:rsidR="002C6767">
        <w:t>collectiv</w:t>
      </w:r>
      <w:r w:rsidR="00960DB8">
        <w:t xml:space="preserve">ely, the </w:t>
      </w:r>
      <w:r w:rsidRPr="001202CC" w:rsidR="009C65FA">
        <w:t>Stations)</w:t>
      </w:r>
      <w:r w:rsidRPr="001202CC">
        <w:t>,</w:t>
      </w:r>
      <w:r w:rsidRPr="001202CC" w:rsidR="009C65FA">
        <w:t xml:space="preserve"> </w:t>
      </w:r>
      <w:r w:rsidRPr="001202CC">
        <w:t>for</w:t>
      </w:r>
      <w:r w:rsidRPr="001202CC" w:rsidR="009C65FA">
        <w:t xml:space="preserve"> </w:t>
      </w:r>
      <w:r w:rsidRPr="001202CC" w:rsidR="00FC6840">
        <w:t xml:space="preserve">apparently </w:t>
      </w:r>
      <w:r w:rsidRPr="001202CC" w:rsidR="009C65FA">
        <w:t>violating the Commission’s EEO rules by failing to (i) upload its annual EEO public file report (Annual Report) in the Stations’ online public inspection files; (ii) upload its Annual Report to the Stations’ websites; and (iii) analyze its EEO program</w:t>
      </w:r>
      <w:r w:rsidRPr="001202CC" w:rsidR="009C448C">
        <w:t>.</w:t>
      </w:r>
      <w:r>
        <w:rPr>
          <w:rStyle w:val="FootnoteReference"/>
          <w:sz w:val="22"/>
        </w:rPr>
        <w:footnoteReference w:id="3"/>
      </w:r>
      <w:r w:rsidRPr="001202CC" w:rsidR="006B0C02">
        <w:t xml:space="preserve">  Cumulus filed a </w:t>
      </w:r>
      <w:r w:rsidRPr="001202CC" w:rsidR="00484868">
        <w:t>R</w:t>
      </w:r>
      <w:r w:rsidRPr="001202CC" w:rsidR="006B0C02">
        <w:t>esponse</w:t>
      </w:r>
      <w:r w:rsidRPr="001202CC" w:rsidR="00484868">
        <w:t xml:space="preserve"> to the </w:t>
      </w:r>
      <w:r w:rsidRPr="001202CC" w:rsidR="00484868">
        <w:rPr>
          <w:i/>
          <w:iCs/>
        </w:rPr>
        <w:t>NAL</w:t>
      </w:r>
      <w:r w:rsidRPr="001202CC" w:rsidR="00484868">
        <w:t xml:space="preserve"> </w:t>
      </w:r>
      <w:r w:rsidRPr="001202CC" w:rsidR="008608C8">
        <w:t xml:space="preserve">(NAL Response) </w:t>
      </w:r>
      <w:r w:rsidRPr="001202CC" w:rsidR="00484868">
        <w:t>on March 28, 2022</w:t>
      </w:r>
      <w:r w:rsidR="00D3480C">
        <w:t>,</w:t>
      </w:r>
      <w:r w:rsidRPr="001202CC" w:rsidR="00484868">
        <w:t xml:space="preserve"> in which </w:t>
      </w:r>
      <w:r w:rsidR="00AE62AF">
        <w:t>it</w:t>
      </w:r>
      <w:r w:rsidRPr="001202CC" w:rsidR="00AE62AF">
        <w:t xml:space="preserve"> </w:t>
      </w:r>
      <w:r w:rsidRPr="001202CC" w:rsidR="00484868">
        <w:t xml:space="preserve">urged the Commission to </w:t>
      </w:r>
      <w:r w:rsidR="00137493">
        <w:t>“</w:t>
      </w:r>
      <w:r w:rsidRPr="001202CC" w:rsidR="00484868">
        <w:t>correct the record</w:t>
      </w:r>
      <w:r w:rsidR="00137493">
        <w:t>”</w:t>
      </w:r>
      <w:r w:rsidRPr="001202CC" w:rsidR="00484868">
        <w:t xml:space="preserve"> in this proceeding and reconsider the proposed forfeiture.</w:t>
      </w:r>
      <w:r>
        <w:rPr>
          <w:rStyle w:val="FootnoteReference"/>
          <w:sz w:val="22"/>
        </w:rPr>
        <w:footnoteReference w:id="4"/>
      </w:r>
      <w:r w:rsidRPr="001202CC" w:rsidR="00020DD2">
        <w:t xml:space="preserve">  </w:t>
      </w:r>
      <w:r w:rsidR="00AE62AF">
        <w:t>F</w:t>
      </w:r>
      <w:r w:rsidRPr="001202CC" w:rsidR="00DF1B16">
        <w:t xml:space="preserve">or the reasons discussed below, </w:t>
      </w:r>
      <w:r w:rsidRPr="001202CC" w:rsidR="0078649E">
        <w:t xml:space="preserve">we assess </w:t>
      </w:r>
      <w:r w:rsidR="00C11580">
        <w:t xml:space="preserve">a forfeiture of </w:t>
      </w:r>
      <w:r w:rsidRPr="001202CC" w:rsidR="0078649E">
        <w:t>$</w:t>
      </w:r>
      <w:r w:rsidR="00C11580">
        <w:t>26</w:t>
      </w:r>
      <w:r w:rsidRPr="001202CC">
        <w:t>,000</w:t>
      </w:r>
      <w:r w:rsidR="00AE62AF">
        <w:t>.</w:t>
      </w:r>
      <w:r w:rsidRPr="001202CC">
        <w:t xml:space="preserve">    </w:t>
      </w:r>
    </w:p>
    <w:p w:rsidR="00E273E3" w:rsidRPr="001202CC" w:rsidP="004024B5" w14:paraId="5DF96502" w14:textId="77777777">
      <w:pPr>
        <w:pStyle w:val="Heading1"/>
        <w:rPr>
          <w:rFonts w:ascii="Times New Roman" w:hAnsi="Times New Roman"/>
        </w:rPr>
      </w:pPr>
      <w:bookmarkStart w:id="3" w:name="_Toc379288999"/>
      <w:bookmarkStart w:id="4" w:name="_Toc379365500"/>
      <w:r w:rsidRPr="001202CC">
        <w:rPr>
          <w:rFonts w:ascii="Times New Roman" w:hAnsi="Times New Roman"/>
        </w:rPr>
        <w:t>BACKGROUND</w:t>
      </w:r>
      <w:bookmarkEnd w:id="3"/>
      <w:bookmarkEnd w:id="4"/>
    </w:p>
    <w:p w:rsidR="00A65C5B" w:rsidRPr="001202CC" w:rsidP="004024B5" w14:paraId="5178B9DE" w14:textId="1FE5F897">
      <w:pPr>
        <w:pStyle w:val="ParaNum"/>
      </w:pPr>
      <w:r w:rsidRPr="001202CC">
        <w:rPr>
          <w:i/>
          <w:iCs/>
        </w:rPr>
        <w:t>Legal Framework</w:t>
      </w:r>
      <w:r w:rsidRPr="001202CC">
        <w:t xml:space="preserve">. </w:t>
      </w:r>
      <w:r w:rsidR="00490D29">
        <w:t xml:space="preserve"> </w:t>
      </w:r>
      <w:r w:rsidRPr="001202CC">
        <w:t xml:space="preserve">Section 73.2080(c)(6) of the Commission’s rules requires a licensee to place its station’s </w:t>
      </w:r>
      <w:r w:rsidRPr="001202CC" w:rsidR="00A7026B">
        <w:t>A</w:t>
      </w:r>
      <w:r w:rsidRPr="001202CC">
        <w:t xml:space="preserve">nnual </w:t>
      </w:r>
      <w:r w:rsidRPr="001202CC" w:rsidR="00A7026B">
        <w:t>R</w:t>
      </w:r>
      <w:r w:rsidRPr="001202CC">
        <w:t>eport in its public inspection file and on its website, if it has one.</w:t>
      </w:r>
      <w:r>
        <w:rPr>
          <w:rStyle w:val="FootnoteReference"/>
          <w:sz w:val="22"/>
        </w:rPr>
        <w:footnoteReference w:id="5"/>
      </w:r>
      <w:r w:rsidRPr="001202CC">
        <w:t xml:space="preserve">  A station’s </w:t>
      </w:r>
      <w:r w:rsidRPr="001202CC" w:rsidR="00A7026B">
        <w:t>A</w:t>
      </w:r>
      <w:r w:rsidRPr="001202CC">
        <w:t xml:space="preserve">nnual </w:t>
      </w:r>
      <w:r w:rsidRPr="001202CC" w:rsidR="00A7026B">
        <w:t>R</w:t>
      </w:r>
      <w:r w:rsidRPr="001202CC">
        <w:t>eport includes</w:t>
      </w:r>
      <w:r w:rsidR="00D27BB8">
        <w:t xml:space="preserve"> critical</w:t>
      </w:r>
      <w:r w:rsidRPr="001202CC">
        <w:t xml:space="preserve"> information concerning its</w:t>
      </w:r>
      <w:r w:rsidR="00D27BB8">
        <w:t xml:space="preserve"> recruitment activity</w:t>
      </w:r>
      <w:r w:rsidR="00101F98">
        <w:t>, including</w:t>
      </w:r>
      <w:r w:rsidR="00445E0D">
        <w:t>: (i)</w:t>
      </w:r>
      <w:r w:rsidR="00101F98">
        <w:t xml:space="preserve"> a list of</w:t>
      </w:r>
      <w:r w:rsidRPr="001202CC">
        <w:t xml:space="preserve"> full-time vacancies over the prior year; </w:t>
      </w:r>
      <w:r w:rsidR="00445E0D">
        <w:t>(ii)</w:t>
      </w:r>
      <w:r w:rsidR="008C3FCD">
        <w:t xml:space="preserve"> </w:t>
      </w:r>
      <w:r w:rsidRPr="001202CC">
        <w:t xml:space="preserve">the recruitment sources utilized to fill full-time </w:t>
      </w:r>
      <w:r w:rsidRPr="001202CC">
        <w:t xml:space="preserve">vacancies; </w:t>
      </w:r>
      <w:r w:rsidR="00914B54">
        <w:t>(iii)</w:t>
      </w:r>
      <w:r w:rsidR="009C7A36">
        <w:t xml:space="preserve"> </w:t>
      </w:r>
      <w:r w:rsidRPr="001202CC">
        <w:t xml:space="preserve">the recruitment source that referred the hiree for each full-time vacancy; </w:t>
      </w:r>
      <w:r w:rsidR="008C3FCD">
        <w:t>(</w:t>
      </w:r>
      <w:r w:rsidR="00B82193">
        <w:t>iv</w:t>
      </w:r>
      <w:r w:rsidR="008C3FCD">
        <w:t xml:space="preserve">) </w:t>
      </w:r>
      <w:r w:rsidRPr="001202CC">
        <w:t>data reflecting the total number of persons interviewed for full-time vacancies</w:t>
      </w:r>
      <w:r w:rsidR="003649AC">
        <w:t xml:space="preserve"> and</w:t>
      </w:r>
      <w:r w:rsidRPr="001202CC">
        <w:t xml:space="preserve"> the total number of interviewees referred by each recruitment source; and </w:t>
      </w:r>
      <w:r w:rsidR="00880A2A">
        <w:t>(v)</w:t>
      </w:r>
      <w:r w:rsidR="00180987">
        <w:t xml:space="preserve"> </w:t>
      </w:r>
      <w:r w:rsidRPr="001202CC">
        <w:t>a list and brief description of its recruitment initiatives.</w:t>
      </w:r>
      <w:r>
        <w:rPr>
          <w:rStyle w:val="FootnoteReference"/>
          <w:sz w:val="22"/>
        </w:rPr>
        <w:footnoteReference w:id="6"/>
      </w:r>
      <w:r w:rsidRPr="001202CC">
        <w:t xml:space="preserve">  Section 73.2080(c)(3) of the Commission’s rules requires a licensee to analyze its EEO recruitment program for its employment unit on an ongoing basis to ensure that it is effective in achieving broad outreach to potential applicants, and address any problems found as a result of its analysis.</w:t>
      </w:r>
      <w:r>
        <w:rPr>
          <w:rStyle w:val="FootnoteReference"/>
          <w:sz w:val="22"/>
        </w:rPr>
        <w:footnoteReference w:id="7"/>
      </w:r>
      <w:r w:rsidRPr="001202CC">
        <w:t xml:space="preserve">  In addition, section 73.3526(e)(7) of the Commission’s rules requires that a licensee place required information, including EEO files such as its Annual Report, in its station’s public inspection file.</w:t>
      </w:r>
      <w:r>
        <w:rPr>
          <w:rStyle w:val="FootnoteReference"/>
          <w:sz w:val="22"/>
        </w:rPr>
        <w:footnoteReference w:id="8"/>
      </w:r>
    </w:p>
    <w:p w:rsidR="002B17E2" w:rsidRPr="001202CC" w:rsidP="00A24434" w14:paraId="43A4E37B" w14:textId="7DAC2E52">
      <w:pPr>
        <w:pStyle w:val="ParaNum"/>
        <w:widowControl/>
      </w:pPr>
      <w:r w:rsidRPr="001202CC">
        <w:rPr>
          <w:i/>
          <w:iCs/>
        </w:rPr>
        <w:t>Factual Background</w:t>
      </w:r>
      <w:r w:rsidRPr="001202CC">
        <w:t xml:space="preserve">.  </w:t>
      </w:r>
      <w:r w:rsidRPr="001202CC" w:rsidR="009031D2">
        <w:t>Cumulus is an indirect subsidiary of Cumulus Media, Inc., which, on its website, reports that it owns and operates 40</w:t>
      </w:r>
      <w:r w:rsidR="00DB0673">
        <w:t>3</w:t>
      </w:r>
      <w:r w:rsidRPr="001202CC" w:rsidR="009031D2">
        <w:t xml:space="preserve"> </w:t>
      </w:r>
      <w:r w:rsidRPr="001202CC" w:rsidR="00014521">
        <w:t>radio</w:t>
      </w:r>
      <w:r w:rsidRPr="001202CC" w:rsidR="009031D2">
        <w:t xml:space="preserve"> stations across 8</w:t>
      </w:r>
      <w:r w:rsidRPr="001202CC" w:rsidR="0091739A">
        <w:t>5</w:t>
      </w:r>
      <w:r w:rsidRPr="001202CC" w:rsidR="009031D2">
        <w:t xml:space="preserve"> media markets,</w:t>
      </w:r>
      <w:r>
        <w:rPr>
          <w:rStyle w:val="FootnoteReference"/>
          <w:sz w:val="22"/>
        </w:rPr>
        <w:footnoteReference w:id="9"/>
      </w:r>
      <w:r w:rsidRPr="001202CC" w:rsidR="009031D2">
        <w:t xml:space="preserve"> as well as Westwood One, </w:t>
      </w:r>
      <w:r w:rsidRPr="001202CC" w:rsidR="00014521">
        <w:t>the largest audio network in America</w:t>
      </w:r>
      <w:r w:rsidRPr="001202CC" w:rsidR="009031D2">
        <w:t>.</w:t>
      </w:r>
      <w:r>
        <w:rPr>
          <w:rStyle w:val="FootnoteReference"/>
          <w:sz w:val="22"/>
        </w:rPr>
        <w:footnoteReference w:id="10"/>
      </w:r>
      <w:r w:rsidRPr="001202CC" w:rsidR="009031D2">
        <w:t xml:space="preserve">  </w:t>
      </w:r>
      <w:r w:rsidRPr="001202CC">
        <w:t xml:space="preserve">In the Stations’ most recent </w:t>
      </w:r>
      <w:r w:rsidR="00600E02">
        <w:t xml:space="preserve">license </w:t>
      </w:r>
      <w:r w:rsidRPr="001202CC">
        <w:t xml:space="preserve">renewal applications (Renewal Applications), Cumulus </w:t>
      </w:r>
      <w:r w:rsidRPr="00D2210C" w:rsidR="00D812E3">
        <w:t xml:space="preserve">stated </w:t>
      </w:r>
      <w:r w:rsidRPr="00D2210C">
        <w:t xml:space="preserve">that it had not uploaded its EEO files to the Stations’ </w:t>
      </w:r>
      <w:r w:rsidRPr="00D2210C" w:rsidR="0017410C">
        <w:t xml:space="preserve">online </w:t>
      </w:r>
      <w:r w:rsidRPr="00D2210C">
        <w:t xml:space="preserve">public inspection files </w:t>
      </w:r>
      <w:r w:rsidRPr="00D2210C" w:rsidR="00155F46">
        <w:t>in a timely manner</w:t>
      </w:r>
      <w:r w:rsidRPr="00D2210C">
        <w:t>.</w:t>
      </w:r>
      <w:r>
        <w:rPr>
          <w:rStyle w:val="FootnoteReference"/>
          <w:sz w:val="22"/>
        </w:rPr>
        <w:footnoteReference w:id="11"/>
      </w:r>
      <w:r w:rsidRPr="00D2210C">
        <w:t xml:space="preserve">  In response to a Letter of Inquiry issued by the </w:t>
      </w:r>
      <w:r w:rsidRPr="00D2210C" w:rsidR="00FB4951">
        <w:t xml:space="preserve">FCC </w:t>
      </w:r>
      <w:r w:rsidRPr="00D2210C">
        <w:t>Enforcement Bureau’s Investigations and Hearings Division,</w:t>
      </w:r>
      <w:r>
        <w:rPr>
          <w:rStyle w:val="FootnoteReference"/>
          <w:sz w:val="22"/>
        </w:rPr>
        <w:footnoteReference w:id="12"/>
      </w:r>
      <w:r w:rsidRPr="001202CC">
        <w:t xml:space="preserve"> Cumulus acknowledged that the Stations’ 2018 Annual Report</w:t>
      </w:r>
      <w:r w:rsidR="00600E02">
        <w:t>,</w:t>
      </w:r>
      <w:r w:rsidR="0017410C">
        <w:t xml:space="preserve"> co</w:t>
      </w:r>
      <w:r w:rsidR="00107B93">
        <w:t>ve</w:t>
      </w:r>
      <w:r w:rsidR="003743EE">
        <w:t>r</w:t>
      </w:r>
      <w:r w:rsidR="0017410C">
        <w:t>ing the December 1, 2017</w:t>
      </w:r>
      <w:r w:rsidR="00FB4951">
        <w:t xml:space="preserve"> to</w:t>
      </w:r>
      <w:r w:rsidR="00155F46">
        <w:t xml:space="preserve"> </w:t>
      </w:r>
      <w:r w:rsidR="0017410C">
        <w:t>November 30, 2018</w:t>
      </w:r>
      <w:r w:rsidR="00C173EB">
        <w:t xml:space="preserve"> reporting </w:t>
      </w:r>
      <w:r w:rsidR="00731134">
        <w:t>period</w:t>
      </w:r>
      <w:r w:rsidR="00600E02">
        <w:t>,</w:t>
      </w:r>
      <w:r w:rsidRPr="001202CC">
        <w:t xml:space="preserve"> had not been added to the Stations’ public inspection files and websites until September 11, 2019</w:t>
      </w:r>
      <w:r>
        <w:rPr>
          <w:rStyle w:val="FootnoteReference"/>
          <w:sz w:val="22"/>
        </w:rPr>
        <w:footnoteReference w:id="13"/>
      </w:r>
      <w:r w:rsidRPr="001202CC">
        <w:t>—</w:t>
      </w:r>
      <w:r w:rsidRPr="001202CC">
        <w:t xml:space="preserve">more than nine months after the December 3, 2018 deadline. </w:t>
      </w:r>
      <w:r w:rsidR="00FB070A">
        <w:t xml:space="preserve"> </w:t>
      </w:r>
      <w:r w:rsidRPr="001202CC">
        <w:t>Cumulus explained that this failure was due to a “routine administrative change” and the loss of a former employee.</w:t>
      </w:r>
      <w:r>
        <w:rPr>
          <w:rStyle w:val="FootnoteReference"/>
          <w:sz w:val="22"/>
        </w:rPr>
        <w:footnoteReference w:id="14"/>
      </w:r>
      <w:r w:rsidRPr="001202CC" w:rsidR="00DD7B34">
        <w:t xml:space="preserve"> </w:t>
      </w:r>
    </w:p>
    <w:p w:rsidR="00E273E3" w:rsidRPr="001202CC" w:rsidP="00827FCD" w14:paraId="4D529F56" w14:textId="6F49292D">
      <w:pPr>
        <w:pStyle w:val="ParaNum"/>
      </w:pPr>
      <w:r w:rsidRPr="001202CC">
        <w:t xml:space="preserve">On </w:t>
      </w:r>
      <w:r w:rsidRPr="001202CC" w:rsidR="006A6839">
        <w:t>February 25, 2022</w:t>
      </w:r>
      <w:r w:rsidRPr="001202CC">
        <w:t xml:space="preserve">, the </w:t>
      </w:r>
      <w:r w:rsidRPr="001202CC" w:rsidR="00C339C4">
        <w:t>Commission</w:t>
      </w:r>
      <w:r w:rsidRPr="001202CC" w:rsidR="006A6839">
        <w:t xml:space="preserve"> </w:t>
      </w:r>
      <w:r w:rsidRPr="001202CC">
        <w:t xml:space="preserve">issued </w:t>
      </w:r>
      <w:r w:rsidRPr="001202CC" w:rsidR="00CB6E37">
        <w:t xml:space="preserve">the </w:t>
      </w:r>
      <w:r w:rsidRPr="001202CC">
        <w:rPr>
          <w:i/>
        </w:rPr>
        <w:t>NAL</w:t>
      </w:r>
      <w:r>
        <w:rPr>
          <w:rStyle w:val="FootnoteReference"/>
          <w:iCs/>
        </w:rPr>
        <w:footnoteReference w:id="15"/>
      </w:r>
      <w:r w:rsidRPr="001202CC">
        <w:rPr>
          <w:i/>
        </w:rPr>
        <w:t xml:space="preserve"> </w:t>
      </w:r>
      <w:r w:rsidRPr="001202CC" w:rsidR="00154A5C">
        <w:t xml:space="preserve">against </w:t>
      </w:r>
      <w:r w:rsidRPr="001202CC" w:rsidR="00F03E26">
        <w:t xml:space="preserve">Cumulus </w:t>
      </w:r>
      <w:r w:rsidRPr="001202CC">
        <w:t xml:space="preserve">for its apparent willful and repeated violation of </w:t>
      </w:r>
      <w:r w:rsidRPr="001202CC" w:rsidR="00F03E26">
        <w:t>sections 73.2080(c)(6), 73.2080(c)(3), and 73.3526(e)(7) of the Commission’s rules</w:t>
      </w:r>
      <w:r w:rsidRPr="001202CC" w:rsidR="008D7AB0">
        <w:t>.</w:t>
      </w:r>
      <w:r>
        <w:rPr>
          <w:rStyle w:val="FootnoteReference"/>
          <w:sz w:val="22"/>
        </w:rPr>
        <w:footnoteReference w:id="16"/>
      </w:r>
      <w:r w:rsidRPr="001202CC" w:rsidR="008D7AB0">
        <w:t xml:space="preserve">  Specifically, the Commission found that Cumulus apparently violated section 73.2080(c)(6) by failing to upload the Stations’ 2018 Annual Report </w:t>
      </w:r>
      <w:r w:rsidR="008A28D9">
        <w:t>to</w:t>
      </w:r>
      <w:r w:rsidRPr="001202CC" w:rsidR="008A28D9">
        <w:t xml:space="preserve"> </w:t>
      </w:r>
      <w:r w:rsidRPr="001202CC" w:rsidR="008D7AB0">
        <w:t xml:space="preserve">the Stations’ </w:t>
      </w:r>
      <w:r w:rsidR="00F26864">
        <w:t xml:space="preserve">online </w:t>
      </w:r>
      <w:r w:rsidRPr="001202CC" w:rsidR="008D7AB0">
        <w:t>public inspection files and websites</w:t>
      </w:r>
      <w:r w:rsidR="00C2529B">
        <w:t xml:space="preserve"> in a timely manner</w:t>
      </w:r>
      <w:r w:rsidRPr="001202CC" w:rsidR="008D7AB0">
        <w:t>.</w:t>
      </w:r>
      <w:r>
        <w:rPr>
          <w:rStyle w:val="FootnoteReference"/>
          <w:sz w:val="22"/>
        </w:rPr>
        <w:footnoteReference w:id="17"/>
      </w:r>
      <w:r w:rsidRPr="001202CC" w:rsidR="008D7AB0">
        <w:t xml:space="preserve">  The Commission further found that these failures reveal a continuing lack of EEO assessment, in apparent violation of section 73.2080(c)(3).</w:t>
      </w:r>
      <w:r>
        <w:rPr>
          <w:rStyle w:val="FootnoteReference"/>
          <w:sz w:val="22"/>
        </w:rPr>
        <w:footnoteReference w:id="18"/>
      </w:r>
      <w:r w:rsidRPr="001202CC" w:rsidR="0091488B">
        <w:t xml:space="preserve">  The Commission also found that by failing to upload its 2018 Annual Report into its public inspection files</w:t>
      </w:r>
      <w:r w:rsidR="00C276AE">
        <w:t xml:space="preserve"> in a timely manner</w:t>
      </w:r>
      <w:r w:rsidRPr="001202CC" w:rsidR="0091488B">
        <w:t>, Cumulus apparently violated section 73.3526(e)(7) of the Commission’s rules.</w:t>
      </w:r>
      <w:r>
        <w:rPr>
          <w:rStyle w:val="FootnoteReference"/>
          <w:sz w:val="22"/>
        </w:rPr>
        <w:footnoteReference w:id="19"/>
      </w:r>
      <w:r w:rsidRPr="001202CC" w:rsidR="00B430B2">
        <w:t xml:space="preserve">  The Commission proposed a total forfeiture of $32,000 for Cumulus’</w:t>
      </w:r>
      <w:r w:rsidR="00CF5332">
        <w:t>s</w:t>
      </w:r>
      <w:r w:rsidRPr="001202CC" w:rsidR="00B430B2">
        <w:t xml:space="preserve"> apparent violations of the EEO rules in this case.</w:t>
      </w:r>
      <w:r>
        <w:rPr>
          <w:rStyle w:val="FootnoteReference"/>
          <w:sz w:val="22"/>
        </w:rPr>
        <w:footnoteReference w:id="20"/>
      </w:r>
    </w:p>
    <w:p w:rsidR="000B29ED" w:rsidP="007F57A0" w14:paraId="58579084" w14:textId="209FC615">
      <w:pPr>
        <w:pStyle w:val="ParaNum"/>
      </w:pPr>
      <w:r w:rsidRPr="001202CC">
        <w:t xml:space="preserve">On </w:t>
      </w:r>
      <w:r w:rsidRPr="001202CC" w:rsidR="00F03E26">
        <w:t>March 28, 2022</w:t>
      </w:r>
      <w:r w:rsidRPr="001202CC">
        <w:t xml:space="preserve">, </w:t>
      </w:r>
      <w:r w:rsidRPr="001202CC" w:rsidR="00F03E26">
        <w:t xml:space="preserve">Cumulus </w:t>
      </w:r>
      <w:r w:rsidRPr="001202CC">
        <w:t xml:space="preserve">filed a </w:t>
      </w:r>
      <w:r w:rsidRPr="001202CC" w:rsidR="00C54798">
        <w:t>R</w:t>
      </w:r>
      <w:r w:rsidRPr="001202CC">
        <w:t xml:space="preserve">esponse to the </w:t>
      </w:r>
      <w:r w:rsidRPr="001202CC">
        <w:rPr>
          <w:i/>
        </w:rPr>
        <w:t>NAL</w:t>
      </w:r>
      <w:r w:rsidRPr="001202CC">
        <w:t>.</w:t>
      </w:r>
      <w:r>
        <w:rPr>
          <w:rStyle w:val="FootnoteReference"/>
          <w:sz w:val="22"/>
        </w:rPr>
        <w:footnoteReference w:id="21"/>
      </w:r>
      <w:r w:rsidRPr="001202CC">
        <w:t xml:space="preserve">  </w:t>
      </w:r>
      <w:r w:rsidRPr="001202CC" w:rsidR="00F03E26">
        <w:t>Cumulus</w:t>
      </w:r>
      <w:r w:rsidRPr="001202CC">
        <w:t xml:space="preserve"> makes a number of arguments as to why </w:t>
      </w:r>
      <w:r w:rsidRPr="001202CC" w:rsidR="00E564B0">
        <w:t xml:space="preserve">the Commission should correct the record in this proceeding and reconsider the proposed forfeiture in the </w:t>
      </w:r>
      <w:r w:rsidRPr="001202CC" w:rsidR="00E564B0">
        <w:rPr>
          <w:i/>
          <w:iCs/>
        </w:rPr>
        <w:t>NAL</w:t>
      </w:r>
      <w:r w:rsidRPr="001202CC" w:rsidR="00E564B0">
        <w:t>.</w:t>
      </w:r>
      <w:r>
        <w:rPr>
          <w:rStyle w:val="FootnoteReference"/>
          <w:sz w:val="22"/>
        </w:rPr>
        <w:footnoteReference w:id="22"/>
      </w:r>
      <w:r w:rsidRPr="001202CC" w:rsidR="00E564B0">
        <w:t xml:space="preserve">  Specifically, Cumulus argues that</w:t>
      </w:r>
      <w:r w:rsidRPr="001202CC" w:rsidR="007F57A0">
        <w:t xml:space="preserve"> (</w:t>
      </w:r>
      <w:r w:rsidR="001B7DBA">
        <w:t>i</w:t>
      </w:r>
      <w:r w:rsidRPr="001202CC" w:rsidR="007F57A0">
        <w:t xml:space="preserve">) there </w:t>
      </w:r>
      <w:r w:rsidRPr="001202CC" w:rsidR="008859D6">
        <w:t xml:space="preserve">is no basis for assuming that Cumulus </w:t>
      </w:r>
      <w:r w:rsidR="00C70E02">
        <w:t xml:space="preserve">could </w:t>
      </w:r>
      <w:r w:rsidRPr="001202CC" w:rsidR="008859D6">
        <w:t xml:space="preserve">not </w:t>
      </w:r>
      <w:r w:rsidR="00047F59">
        <w:t xml:space="preserve">have adequately analyzed </w:t>
      </w:r>
      <w:r w:rsidR="00ED6782">
        <w:t xml:space="preserve">the </w:t>
      </w:r>
      <w:r w:rsidR="007725B7">
        <w:t>Stations’</w:t>
      </w:r>
      <w:r w:rsidRPr="001202CC" w:rsidR="008859D6">
        <w:t xml:space="preserve"> EEO program</w:t>
      </w:r>
      <w:r w:rsidRPr="001202CC" w:rsidR="007F57A0">
        <w:t>;</w:t>
      </w:r>
      <w:r>
        <w:rPr>
          <w:rStyle w:val="FootnoteReference"/>
          <w:sz w:val="22"/>
        </w:rPr>
        <w:footnoteReference w:id="23"/>
      </w:r>
      <w:r w:rsidRPr="001202CC" w:rsidR="00E564B0">
        <w:t xml:space="preserve"> (</w:t>
      </w:r>
      <w:r w:rsidR="001B7DBA">
        <w:t>ii</w:t>
      </w:r>
      <w:r w:rsidRPr="001202CC" w:rsidR="00E564B0">
        <w:t>) the proposed f</w:t>
      </w:r>
      <w:r w:rsidRPr="001202CC" w:rsidR="008859D6">
        <w:t>orfeiture</w:t>
      </w:r>
      <w:r w:rsidRPr="001202CC" w:rsidR="00E564B0">
        <w:t xml:space="preserve"> is unprecedented</w:t>
      </w:r>
      <w:r w:rsidRPr="001202CC" w:rsidR="0073477E">
        <w:t xml:space="preserve"> for one late upload</w:t>
      </w:r>
      <w:r w:rsidRPr="001202CC" w:rsidR="00E564B0">
        <w:t>;</w:t>
      </w:r>
      <w:r>
        <w:rPr>
          <w:rStyle w:val="FootnoteReference"/>
          <w:sz w:val="22"/>
        </w:rPr>
        <w:footnoteReference w:id="24"/>
      </w:r>
      <w:r w:rsidRPr="001202CC" w:rsidR="00E564B0">
        <w:t xml:space="preserve"> (</w:t>
      </w:r>
      <w:r w:rsidR="001B7DBA">
        <w:t>iii</w:t>
      </w:r>
      <w:r w:rsidRPr="001202CC" w:rsidR="00E564B0">
        <w:t xml:space="preserve">) </w:t>
      </w:r>
      <w:r w:rsidRPr="001202CC" w:rsidR="003D6011">
        <w:t>the upward adjustment</w:t>
      </w:r>
      <w:r w:rsidRPr="001202CC" w:rsidR="00AA0F76">
        <w:t xml:space="preserve"> based on past violations</w:t>
      </w:r>
      <w:r w:rsidRPr="001202CC" w:rsidR="003D6011">
        <w:t xml:space="preserve"> is unjust;</w:t>
      </w:r>
      <w:r>
        <w:rPr>
          <w:rStyle w:val="FootnoteReference"/>
          <w:sz w:val="22"/>
        </w:rPr>
        <w:footnoteReference w:id="25"/>
      </w:r>
      <w:r w:rsidRPr="001202CC" w:rsidR="003D6011">
        <w:t xml:space="preserve"> </w:t>
      </w:r>
      <w:r w:rsidRPr="001202CC" w:rsidR="007F57A0">
        <w:t xml:space="preserve">and </w:t>
      </w:r>
      <w:r w:rsidRPr="001202CC" w:rsidR="003D6011">
        <w:t>(</w:t>
      </w:r>
      <w:r w:rsidR="001B7DBA">
        <w:t>iv</w:t>
      </w:r>
      <w:r w:rsidRPr="001202CC" w:rsidR="003D6011">
        <w:t>) increasing the forfeiture amount based on pre-reorganization conduct is inconsistent with federal bankruptcy law and Commission precedent</w:t>
      </w:r>
      <w:r w:rsidRPr="001202CC" w:rsidR="007F57A0">
        <w:t>.</w:t>
      </w:r>
      <w:r>
        <w:rPr>
          <w:rStyle w:val="FootnoteReference"/>
          <w:sz w:val="22"/>
        </w:rPr>
        <w:footnoteReference w:id="26"/>
      </w:r>
    </w:p>
    <w:p w:rsidR="00757050" w:rsidRPr="001202CC" w:rsidP="00A24434" w14:paraId="74631F52" w14:textId="3CCCAEAE">
      <w:pPr>
        <w:pStyle w:val="ParaNum"/>
        <w:widowControl/>
      </w:pPr>
      <w:r>
        <w:t>On</w:t>
      </w:r>
      <w:r>
        <w:t xml:space="preserve"> March 28, 2022,</w:t>
      </w:r>
      <w:r w:rsidR="00EC7FAD">
        <w:t xml:space="preserve"> </w:t>
      </w:r>
      <w:r w:rsidR="009B0051">
        <w:t xml:space="preserve">the National Association of Broadcasters (NAB) filed </w:t>
      </w:r>
      <w:r w:rsidR="00EC7FAD">
        <w:t xml:space="preserve">“Comments” in response to the </w:t>
      </w:r>
      <w:r w:rsidRPr="006316BD" w:rsidR="00EC7FAD">
        <w:rPr>
          <w:i/>
          <w:iCs/>
        </w:rPr>
        <w:t>NAL</w:t>
      </w:r>
      <w:r w:rsidR="003852EC">
        <w:t>,</w:t>
      </w:r>
      <w:r>
        <w:rPr>
          <w:rStyle w:val="FootnoteReference"/>
        </w:rPr>
        <w:footnoteReference w:id="27"/>
      </w:r>
      <w:r w:rsidR="003852EC">
        <w:t xml:space="preserve"> an enforcement matter </w:t>
      </w:r>
      <w:r w:rsidR="00F47E09">
        <w:t>that</w:t>
      </w:r>
      <w:r w:rsidR="003852EC">
        <w:t xml:space="preserve"> concerns Cumulus’</w:t>
      </w:r>
      <w:r w:rsidR="00CF5332">
        <w:t>s</w:t>
      </w:r>
      <w:r w:rsidR="003852EC">
        <w:t xml:space="preserve"> compliance with our EEO rules.</w:t>
      </w:r>
      <w:r w:rsidR="009B0051">
        <w:t xml:space="preserve">  NAB is </w:t>
      </w:r>
      <w:r w:rsidR="00EC7FAD">
        <w:t>not a party to</w:t>
      </w:r>
      <w:r w:rsidR="003F58FF">
        <w:t xml:space="preserve"> </w:t>
      </w:r>
      <w:r w:rsidR="009B0051">
        <w:t>this adjudicatory proceeding, n</w:t>
      </w:r>
      <w:r w:rsidR="003F58FF">
        <w:t xml:space="preserve">or </w:t>
      </w:r>
      <w:r w:rsidR="009B0051">
        <w:t xml:space="preserve">is it </w:t>
      </w:r>
      <w:r w:rsidR="003F58FF">
        <w:t xml:space="preserve">named </w:t>
      </w:r>
      <w:r w:rsidR="009B0051">
        <w:t>or addressed in</w:t>
      </w:r>
      <w:r w:rsidR="00EC7FAD">
        <w:t xml:space="preserve"> the </w:t>
      </w:r>
      <w:r w:rsidR="00EC7FAD">
        <w:rPr>
          <w:i/>
          <w:iCs/>
        </w:rPr>
        <w:t>NAL</w:t>
      </w:r>
      <w:r>
        <w:rPr>
          <w:i/>
          <w:iCs/>
        </w:rPr>
        <w:t>.</w:t>
      </w:r>
      <w:r w:rsidR="00093672">
        <w:t xml:space="preserve"> </w:t>
      </w:r>
      <w:r w:rsidR="009B0051">
        <w:t xml:space="preserve"> </w:t>
      </w:r>
      <w:r w:rsidR="008D6F5D">
        <w:t>NAB offers</w:t>
      </w:r>
      <w:r w:rsidR="00093672">
        <w:t xml:space="preserve"> no legal</w:t>
      </w:r>
      <w:r w:rsidR="00140839">
        <w:t xml:space="preserve"> or procedural</w:t>
      </w:r>
      <w:r w:rsidR="00093672">
        <w:t xml:space="preserve"> basis</w:t>
      </w:r>
      <w:r w:rsidR="003F58FF">
        <w:t xml:space="preserve"> for</w:t>
      </w:r>
      <w:r>
        <w:t xml:space="preserve"> submitting</w:t>
      </w:r>
      <w:r w:rsidR="00093672">
        <w:t xml:space="preserve"> </w:t>
      </w:r>
      <w:r w:rsidR="0083584E">
        <w:t>its</w:t>
      </w:r>
      <w:r w:rsidR="00093672">
        <w:t xml:space="preserve"> </w:t>
      </w:r>
      <w:r w:rsidR="0083584E">
        <w:t>non</w:t>
      </w:r>
      <w:r w:rsidR="00093672">
        <w:t>party filing.</w:t>
      </w:r>
      <w:r>
        <w:rPr>
          <w:rStyle w:val="FootnoteReference"/>
        </w:rPr>
        <w:footnoteReference w:id="28"/>
      </w:r>
      <w:r w:rsidR="00843B07">
        <w:t xml:space="preserve">  </w:t>
      </w:r>
      <w:r w:rsidR="003852EC">
        <w:t>The</w:t>
      </w:r>
      <w:r w:rsidRPr="000E64BB" w:rsidR="00843B07">
        <w:t xml:space="preserve"> NAB Comments largely duplicate Cumulus’</w:t>
      </w:r>
      <w:r w:rsidR="00CF5332">
        <w:t>s</w:t>
      </w:r>
      <w:r w:rsidRPr="000E64BB" w:rsidR="00843B07">
        <w:t xml:space="preserve"> arguments in its NAL Response, which we already address in this Forfeiture Order</w:t>
      </w:r>
      <w:r w:rsidR="00843B07">
        <w:t>.</w:t>
      </w:r>
      <w:r>
        <w:rPr>
          <w:rStyle w:val="FootnoteReference"/>
        </w:rPr>
        <w:footnoteReference w:id="29"/>
      </w:r>
      <w:r w:rsidR="00140839">
        <w:t xml:space="preserve">  </w:t>
      </w:r>
      <w:r w:rsidR="003852EC">
        <w:t>More broadly, NAB urges</w:t>
      </w:r>
      <w:r w:rsidRPr="000E64BB" w:rsidR="00140839">
        <w:t xml:space="preserve"> the </w:t>
      </w:r>
      <w:r w:rsidR="00140839">
        <w:t>Commission to</w:t>
      </w:r>
      <w:r w:rsidRPr="000E64BB" w:rsidR="00140839">
        <w:t xml:space="preserve"> apply a more balanced and reasonable approach to proposed forfeitures going forward</w:t>
      </w:r>
      <w:r w:rsidR="000F255A">
        <w:t>,</w:t>
      </w:r>
      <w:r>
        <w:rPr>
          <w:rStyle w:val="FootnoteReference"/>
        </w:rPr>
        <w:footnoteReference w:id="30"/>
      </w:r>
      <w:r w:rsidR="00140839">
        <w:t xml:space="preserve"> </w:t>
      </w:r>
      <w:r w:rsidR="000F255A">
        <w:t xml:space="preserve">claims </w:t>
      </w:r>
      <w:r w:rsidR="003852EC">
        <w:t xml:space="preserve">that </w:t>
      </w:r>
      <w:r w:rsidR="000F255A">
        <w:t>are more appropriately raised in a petition for declaratory ruling or other proceeding of general applicability</w:t>
      </w:r>
      <w:r w:rsidR="006E41F3">
        <w:t>, rather than in an individual enforcement matter</w:t>
      </w:r>
      <w:r w:rsidR="00C11244">
        <w:t xml:space="preserve"> such as this</w:t>
      </w:r>
      <w:r w:rsidRPr="000E64BB" w:rsidR="00140839">
        <w:t>.</w:t>
      </w:r>
      <w:r>
        <w:rPr>
          <w:rStyle w:val="FootnoteReference"/>
        </w:rPr>
        <w:footnoteReference w:id="31"/>
      </w:r>
      <w:r w:rsidR="006E41F3">
        <w:t xml:space="preserve">  Indeed, as courts have held, the fact that a decision would apply to similarly situated nonparties does not provide a basis </w:t>
      </w:r>
      <w:r w:rsidR="00C11244">
        <w:t xml:space="preserve">to </w:t>
      </w:r>
      <w:r w:rsidR="006E41F3">
        <w:t>challenge that decision</w:t>
      </w:r>
      <w:r w:rsidR="00AC69AE">
        <w:t xml:space="preserve"> formally</w:t>
      </w:r>
      <w:r w:rsidR="006E41F3">
        <w:t>.</w:t>
      </w:r>
      <w:r>
        <w:rPr>
          <w:rStyle w:val="FootnoteReference"/>
        </w:rPr>
        <w:footnoteReference w:id="32"/>
      </w:r>
      <w:r w:rsidR="00C11244">
        <w:t xml:space="preserve">  </w:t>
      </w:r>
      <w:r w:rsidR="000F313E">
        <w:t xml:space="preserve">Accordingly, we dismiss </w:t>
      </w:r>
      <w:r w:rsidR="006F5554">
        <w:t>N</w:t>
      </w:r>
      <w:r w:rsidR="000F313E">
        <w:t>AB’s</w:t>
      </w:r>
      <w:r w:rsidR="006F5554">
        <w:t xml:space="preserve"> Comments.  On alternativ</w:t>
      </w:r>
      <w:r w:rsidR="00EE554C">
        <w:t>e and independent grounds,</w:t>
      </w:r>
      <w:r w:rsidR="000F313E">
        <w:t xml:space="preserve"> </w:t>
      </w:r>
      <w:r w:rsidR="00781C0D">
        <w:t>and for the limited purpose of helping to inform our discussion of Cumulus’</w:t>
      </w:r>
      <w:r w:rsidR="00CF5332">
        <w:t>s</w:t>
      </w:r>
      <w:r w:rsidR="00781C0D">
        <w:t xml:space="preserve"> violation of our EEO rules, </w:t>
      </w:r>
      <w:r w:rsidR="00C11244">
        <w:t xml:space="preserve">we consider </w:t>
      </w:r>
      <w:r w:rsidR="00781C0D">
        <w:t xml:space="preserve">and reject the </w:t>
      </w:r>
      <w:r w:rsidR="00C11244">
        <w:t xml:space="preserve">arguments raised </w:t>
      </w:r>
      <w:r w:rsidR="00E90227">
        <w:t xml:space="preserve">in </w:t>
      </w:r>
      <w:r w:rsidR="00830014">
        <w:t>the</w:t>
      </w:r>
      <w:r w:rsidR="00EE554C">
        <w:t xml:space="preserve"> NAB Comments</w:t>
      </w:r>
      <w:r w:rsidR="00781C0D">
        <w:t>.</w:t>
      </w:r>
      <w:r w:rsidR="00C11244">
        <w:t xml:space="preserve">  In doing so, </w:t>
      </w:r>
      <w:r w:rsidR="0083584E">
        <w:t xml:space="preserve">we </w:t>
      </w:r>
      <w:r w:rsidR="00AC69AE">
        <w:t>do not</w:t>
      </w:r>
      <w:r w:rsidR="00C11244">
        <w:t xml:space="preserve"> bestow, or intend to bestow, party status on NAB.</w:t>
      </w:r>
      <w:r>
        <w:rPr>
          <w:rStyle w:val="FootnoteReference"/>
        </w:rPr>
        <w:footnoteReference w:id="33"/>
      </w:r>
      <w:r w:rsidR="00C11244">
        <w:t xml:space="preserve">   </w:t>
      </w:r>
      <w:r w:rsidR="006E41F3">
        <w:t xml:space="preserve">   </w:t>
      </w:r>
      <w:r w:rsidR="000F255A">
        <w:t xml:space="preserve">  </w:t>
      </w:r>
      <w:r w:rsidR="00843B07">
        <w:t xml:space="preserve"> </w:t>
      </w:r>
      <w:r w:rsidR="00093672">
        <w:t xml:space="preserve">  </w:t>
      </w:r>
      <w:r>
        <w:t xml:space="preserve">   </w:t>
      </w:r>
    </w:p>
    <w:p w:rsidR="00E273E3" w:rsidRPr="001202CC" w:rsidP="00A24434" w14:paraId="324FFDB5" w14:textId="77777777">
      <w:pPr>
        <w:pStyle w:val="Heading1"/>
        <w:widowControl/>
        <w:rPr>
          <w:rFonts w:ascii="Times New Roman" w:hAnsi="Times New Roman"/>
        </w:rPr>
      </w:pPr>
      <w:bookmarkStart w:id="7" w:name="_Toc379289000"/>
      <w:bookmarkStart w:id="8" w:name="_Toc379365501"/>
      <w:r w:rsidRPr="001202CC">
        <w:rPr>
          <w:rFonts w:ascii="Times New Roman" w:hAnsi="Times New Roman"/>
        </w:rPr>
        <w:t>DISCUSSION</w:t>
      </w:r>
      <w:bookmarkEnd w:id="7"/>
      <w:bookmarkEnd w:id="8"/>
    </w:p>
    <w:p w:rsidR="00765619" w:rsidRPr="001202CC" w:rsidP="00A24434" w14:paraId="4B17974D" w14:textId="00B7D1CD">
      <w:pPr>
        <w:pStyle w:val="ParaNum"/>
        <w:widowControl/>
      </w:pPr>
      <w:r w:rsidRPr="001202CC">
        <w:t xml:space="preserve">The Commission </w:t>
      </w:r>
      <w:r w:rsidRPr="001202CC" w:rsidR="00E273E3">
        <w:t xml:space="preserve">proposed </w:t>
      </w:r>
      <w:r w:rsidRPr="001202CC">
        <w:t xml:space="preserve">a </w:t>
      </w:r>
      <w:r w:rsidRPr="001202CC" w:rsidR="00E273E3">
        <w:t xml:space="preserve">forfeiture in this case in accordance with </w:t>
      </w:r>
      <w:r w:rsidRPr="001202CC" w:rsidR="002722DC">
        <w:t>s</w:t>
      </w:r>
      <w:r w:rsidRPr="001202CC" w:rsidR="00E273E3">
        <w:t>ection 503(b) of the Communications Act of 1934, as amended (Act),</w:t>
      </w:r>
      <w:r>
        <w:rPr>
          <w:rStyle w:val="FootnoteReference"/>
          <w:sz w:val="22"/>
        </w:rPr>
        <w:footnoteReference w:id="34"/>
      </w:r>
      <w:r w:rsidRPr="001202CC" w:rsidR="00E273E3">
        <w:t xml:space="preserve"> </w:t>
      </w:r>
      <w:r w:rsidRPr="001202CC" w:rsidR="002722DC">
        <w:t>s</w:t>
      </w:r>
      <w:r w:rsidRPr="001202CC" w:rsidR="00E273E3">
        <w:t xml:space="preserve">ection 1.80 of the </w:t>
      </w:r>
      <w:r w:rsidRPr="001202CC" w:rsidR="00C339C4">
        <w:t>Commission’s r</w:t>
      </w:r>
      <w:r w:rsidRPr="001202CC" w:rsidR="00E273E3">
        <w:t>ules,</w:t>
      </w:r>
      <w:r>
        <w:rPr>
          <w:vertAlign w:val="superscript"/>
        </w:rPr>
        <w:footnoteReference w:id="35"/>
      </w:r>
      <w:r w:rsidRPr="001202CC" w:rsidR="00E273E3">
        <w:t xml:space="preserve"> and the Commission’s </w:t>
      </w:r>
      <w:r w:rsidRPr="001202CC" w:rsidR="00E273E3">
        <w:rPr>
          <w:i/>
        </w:rPr>
        <w:t xml:space="preserve">Forfeiture Policy </w:t>
      </w:r>
      <w:r w:rsidRPr="001202CC" w:rsidR="00E273E3">
        <w:rPr>
          <w:rFonts w:eastAsia="MS Mincho"/>
          <w:i/>
        </w:rPr>
        <w:t>Statement</w:t>
      </w:r>
      <w:r w:rsidRPr="001202CC" w:rsidR="00E273E3">
        <w:t>.</w:t>
      </w:r>
      <w:r>
        <w:rPr>
          <w:rStyle w:val="FootnoteReference"/>
          <w:sz w:val="22"/>
        </w:rPr>
        <w:footnoteReference w:id="36"/>
      </w:r>
      <w:r w:rsidRPr="001202CC" w:rsidR="00E273E3">
        <w:t xml:space="preserve">  </w:t>
      </w:r>
      <w:r w:rsidRPr="001202CC">
        <w:t>When we assess</w:t>
      </w:r>
      <w:r w:rsidRPr="001202CC" w:rsidR="00E273E3">
        <w:t xml:space="preserve"> forfeitures, </w:t>
      </w:r>
      <w:r w:rsidRPr="001202CC" w:rsidR="002722DC">
        <w:t>s</w:t>
      </w:r>
      <w:r w:rsidRPr="001202CC" w:rsidR="00E273E3">
        <w:t>ection 503(b)(2)(E)</w:t>
      </w:r>
      <w:r w:rsidRPr="001202CC" w:rsidR="004D1941">
        <w:t xml:space="preserve"> of the Act</w:t>
      </w:r>
      <w:r w:rsidRPr="001202CC" w:rsidR="00E273E3">
        <w:t xml:space="preserve">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37"/>
      </w:r>
      <w:r w:rsidRPr="001202CC" w:rsidR="00E273E3">
        <w:t xml:space="preserve">  </w:t>
      </w:r>
      <w:r w:rsidRPr="001202CC" w:rsidR="00AB203D">
        <w:t>W</w:t>
      </w:r>
      <w:r w:rsidRPr="001202CC" w:rsidR="006B685D">
        <w:t>e</w:t>
      </w:r>
      <w:r w:rsidRPr="001202CC">
        <w:t xml:space="preserve"> have </w:t>
      </w:r>
      <w:r w:rsidRPr="001202CC" w:rsidR="006B685D">
        <w:t xml:space="preserve">fully </w:t>
      </w:r>
      <w:r w:rsidRPr="001202CC">
        <w:t xml:space="preserve">considered </w:t>
      </w:r>
      <w:r w:rsidRPr="001202CC" w:rsidR="00C54798">
        <w:t>Cumulus’</w:t>
      </w:r>
      <w:r w:rsidR="00CF5332">
        <w:t>s</w:t>
      </w:r>
      <w:r w:rsidRPr="001202CC" w:rsidR="00C54798">
        <w:t xml:space="preserve"> NAL Response</w:t>
      </w:r>
      <w:r w:rsidRPr="001202CC">
        <w:t xml:space="preserve">, which includes a variety of </w:t>
      </w:r>
      <w:r w:rsidRPr="001202CC" w:rsidR="00AB1F3E">
        <w:t xml:space="preserve">factual and </w:t>
      </w:r>
      <w:r w:rsidRPr="001202CC">
        <w:t xml:space="preserve">legal arguments, but we find </w:t>
      </w:r>
      <w:r w:rsidRPr="001202CC" w:rsidR="005E7EDA">
        <w:t>none</w:t>
      </w:r>
      <w:r w:rsidRPr="001202CC" w:rsidR="00A22204">
        <w:t xml:space="preserve"> of</w:t>
      </w:r>
      <w:r w:rsidRPr="001202CC">
        <w:t xml:space="preserve"> them persuasive.  </w:t>
      </w:r>
    </w:p>
    <w:p w:rsidR="00086824" w:rsidRPr="001202CC" w:rsidP="00B30E1B" w14:paraId="63143DC3" w14:textId="16D07F4B">
      <w:pPr>
        <w:pStyle w:val="Heading2"/>
      </w:pPr>
      <w:bookmarkStart w:id="9" w:name="FN[FN51]"/>
      <w:bookmarkStart w:id="10" w:name="FN[FN52]"/>
      <w:bookmarkStart w:id="11" w:name="FN[FN53]"/>
      <w:bookmarkStart w:id="12" w:name="FN[FN55]"/>
      <w:bookmarkEnd w:id="9"/>
      <w:bookmarkEnd w:id="10"/>
      <w:bookmarkEnd w:id="11"/>
      <w:bookmarkEnd w:id="12"/>
      <w:r w:rsidRPr="001202CC">
        <w:t>Cumulus Violated the EEO Rules</w:t>
      </w:r>
    </w:p>
    <w:p w:rsidR="00086824" w:rsidRPr="001202CC" w:rsidP="004024B5" w14:paraId="1A92450C" w14:textId="5200D9F5">
      <w:pPr>
        <w:pStyle w:val="ParaNum"/>
      </w:pPr>
      <w:r w:rsidRPr="001202CC">
        <w:t>Cumulus does not contest the Commission’s conclusion that it</w:t>
      </w:r>
      <w:r w:rsidRPr="001202CC" w:rsidR="00227C75">
        <w:t xml:space="preserve"> apparently violated </w:t>
      </w:r>
      <w:r w:rsidRPr="001202CC" w:rsidR="00E20679">
        <w:t>sections 73.2080(c)(6)</w:t>
      </w:r>
      <w:r w:rsidRPr="001202CC" w:rsidR="00567952">
        <w:t xml:space="preserve"> and 73.3526(e)(7) </w:t>
      </w:r>
      <w:r w:rsidRPr="001202CC" w:rsidR="00E20679">
        <w:t>of the Commission’s rules</w:t>
      </w:r>
      <w:r w:rsidRPr="001202CC" w:rsidR="00A31219">
        <w:t xml:space="preserve">, as described in the </w:t>
      </w:r>
      <w:r w:rsidRPr="001202CC" w:rsidR="00A31219">
        <w:rPr>
          <w:i/>
          <w:iCs/>
        </w:rPr>
        <w:t>NAL</w:t>
      </w:r>
      <w:r w:rsidRPr="001202CC" w:rsidR="00A31219">
        <w:t>.</w:t>
      </w:r>
      <w:r>
        <w:rPr>
          <w:rStyle w:val="FootnoteReference"/>
          <w:sz w:val="22"/>
        </w:rPr>
        <w:footnoteReference w:id="38"/>
      </w:r>
      <w:r w:rsidRPr="001202CC" w:rsidR="00567952">
        <w:t xml:space="preserve">  </w:t>
      </w:r>
      <w:r w:rsidRPr="001202CC" w:rsidR="00E20679">
        <w:t xml:space="preserve">Thus, we need not </w:t>
      </w:r>
      <w:r w:rsidR="00F84BE4">
        <w:t>address</w:t>
      </w:r>
      <w:r w:rsidRPr="001202CC" w:rsidR="00F84BE4">
        <w:t xml:space="preserve"> </w:t>
      </w:r>
      <w:r w:rsidRPr="001202CC" w:rsidR="00E20679">
        <w:t xml:space="preserve">these conclusions made in the </w:t>
      </w:r>
      <w:r w:rsidRPr="001202CC" w:rsidR="00E20679">
        <w:rPr>
          <w:i/>
          <w:iCs/>
        </w:rPr>
        <w:t>NAL</w:t>
      </w:r>
      <w:r w:rsidRPr="001202CC" w:rsidR="00E20679">
        <w:t xml:space="preserve"> and affirm that Cumulus violated </w:t>
      </w:r>
      <w:r w:rsidRPr="001202CC" w:rsidR="00567952">
        <w:t xml:space="preserve">sections 73.2080(c)(6) and 73.3526(e)(7) </w:t>
      </w:r>
      <w:r w:rsidRPr="001202CC" w:rsidR="00E20679">
        <w:t>of the Commission’s rules.</w:t>
      </w:r>
      <w:r>
        <w:rPr>
          <w:rStyle w:val="FootnoteReference"/>
          <w:sz w:val="22"/>
        </w:rPr>
        <w:footnoteReference w:id="39"/>
      </w:r>
      <w:r w:rsidRPr="001202CC">
        <w:t xml:space="preserve"> </w:t>
      </w:r>
    </w:p>
    <w:p w:rsidR="00055C21" w:rsidRPr="001202CC" w:rsidP="00055C21" w14:paraId="1897C1D1" w14:textId="343EE68A">
      <w:pPr>
        <w:pStyle w:val="ParaNum"/>
      </w:pPr>
      <w:r w:rsidRPr="001202CC">
        <w:t>The Commission properly found that Cumulus apparently violated section 73.2080(c)(3) of the Commission’s rules by failing to analyze the Stations’ EEO program.</w:t>
      </w:r>
      <w:r>
        <w:rPr>
          <w:rStyle w:val="FootnoteReference"/>
        </w:rPr>
        <w:footnoteReference w:id="40"/>
      </w:r>
      <w:r w:rsidRPr="001202CC">
        <w:t xml:space="preserve">  Cumulus contends that there is no basis for the </w:t>
      </w:r>
      <w:r w:rsidRPr="005D0018">
        <w:rPr>
          <w:i/>
          <w:iCs/>
        </w:rPr>
        <w:t>NAL</w:t>
      </w:r>
      <w:r w:rsidRPr="001202CC">
        <w:t xml:space="preserve"> holding that Cumulus’</w:t>
      </w:r>
      <w:r w:rsidR="00CF5332">
        <w:t>s</w:t>
      </w:r>
      <w:r w:rsidRPr="001202CC">
        <w:t xml:space="preserve"> Albany market employees could not have evaluated </w:t>
      </w:r>
      <w:r w:rsidR="00AB2FB2">
        <w:t>the Stations’</w:t>
      </w:r>
      <w:r w:rsidRPr="001202CC">
        <w:t xml:space="preserve"> EEO program because they failed to upload the Annual Report on time.</w:t>
      </w:r>
      <w:r>
        <w:rPr>
          <w:rStyle w:val="FootnoteReference"/>
        </w:rPr>
        <w:footnoteReference w:id="41"/>
      </w:r>
      <w:r w:rsidRPr="001202CC">
        <w:t xml:space="preserve">  Cumulus argues that those employees properly </w:t>
      </w:r>
      <w:r w:rsidR="006475F0">
        <w:t>analyzed</w:t>
      </w:r>
      <w:r w:rsidRPr="001202CC" w:rsidR="006475F0">
        <w:t xml:space="preserve"> </w:t>
      </w:r>
      <w:r w:rsidRPr="001202CC">
        <w:t xml:space="preserve">the Stations’ EEO program by preparing the Annual Report on time, </w:t>
      </w:r>
      <w:r w:rsidR="00A14E3F">
        <w:t xml:space="preserve">and </w:t>
      </w:r>
      <w:r>
        <w:t xml:space="preserve">maintains that uploading the Annual Report </w:t>
      </w:r>
      <w:r w:rsidR="00A14E3F">
        <w:t xml:space="preserve">to the public inspection file </w:t>
      </w:r>
      <w:r>
        <w:t>does not involve any such analysis.</w:t>
      </w:r>
      <w:r>
        <w:rPr>
          <w:rStyle w:val="FootnoteReference"/>
        </w:rPr>
        <w:footnoteReference w:id="42"/>
      </w:r>
      <w:r>
        <w:t xml:space="preserve">  Accordingly</w:t>
      </w:r>
      <w:r w:rsidRPr="001202CC">
        <w:t>, Cumulus</w:t>
      </w:r>
      <w:r>
        <w:t xml:space="preserve"> contends that the violation does not apply here and</w:t>
      </w:r>
      <w:r w:rsidRPr="001202CC">
        <w:t xml:space="preserve"> requests elimination of the $6,000 forfeiture for its failure to evaluate its EEO program.</w:t>
      </w:r>
      <w:r>
        <w:rPr>
          <w:rStyle w:val="FootnoteReference"/>
        </w:rPr>
        <w:footnoteReference w:id="43"/>
      </w:r>
    </w:p>
    <w:p w:rsidR="00DD4D78" w:rsidP="00DD4D78" w14:paraId="227B553A" w14:textId="6447FD21">
      <w:pPr>
        <w:pStyle w:val="ParaNum"/>
      </w:pPr>
      <w:r w:rsidRPr="001202CC">
        <w:t xml:space="preserve">We affirm the </w:t>
      </w:r>
      <w:r w:rsidRPr="005D75D0">
        <w:rPr>
          <w:i/>
          <w:iCs/>
        </w:rPr>
        <w:t>NAL</w:t>
      </w:r>
      <w:r w:rsidRPr="001202CC">
        <w:t>’s finding that Cumulus apparently violated section 73.2080(c)(3) of the Commission’s rules.</w:t>
      </w:r>
      <w:r>
        <w:rPr>
          <w:rStyle w:val="FootnoteReference"/>
        </w:rPr>
        <w:footnoteReference w:id="44"/>
      </w:r>
      <w:r w:rsidRPr="001202CC">
        <w:t xml:space="preserve">  Section 73.2080(c)(3) of the Commission’s rules requires a licensee analyze its station’s EEO recruitment program on an ongoing basis to ensure that it is effective in achieving broad outreach to potential applicants, and to address any problems found as a result of such analysis.</w:t>
      </w:r>
      <w:r>
        <w:rPr>
          <w:rStyle w:val="FootnoteReference"/>
        </w:rPr>
        <w:footnoteReference w:id="45"/>
      </w:r>
      <w:r w:rsidRPr="001202CC">
        <w:t xml:space="preserve"> </w:t>
      </w:r>
      <w:r>
        <w:t xml:space="preserve"> </w:t>
      </w:r>
      <w:r w:rsidR="0067329F">
        <w:t>I</w:t>
      </w:r>
      <w:r>
        <w:t xml:space="preserve">n its implementing order, the Commission held that the public has an important role in monitoring broadcaster compliance with our EEO </w:t>
      </w:r>
      <w:r w:rsidR="00D357AF">
        <w:t>r</w:t>
      </w:r>
      <w:r>
        <w:t>ule and that the Annual Report is designed to facilitate meaningful public input.</w:t>
      </w:r>
      <w:r>
        <w:rPr>
          <w:rStyle w:val="FootnoteReference"/>
        </w:rPr>
        <w:footnoteReference w:id="46"/>
      </w:r>
      <w:r>
        <w:t xml:space="preserve">  The Commission also held that it would sanction licensees for their “failure to analyze routinely </w:t>
      </w:r>
      <w:r>
        <w:t>the adequacy of the various program elements in achieving broad outreach to all segments of the community.”</w:t>
      </w:r>
      <w:r>
        <w:rPr>
          <w:rStyle w:val="FootnoteReference"/>
        </w:rPr>
        <w:footnoteReference w:id="47"/>
      </w:r>
      <w:r>
        <w:t xml:space="preserve"> </w:t>
      </w:r>
    </w:p>
    <w:p w:rsidR="00E51746" w:rsidP="0016240A" w14:paraId="282F3D5B" w14:textId="403A40D1">
      <w:pPr>
        <w:pStyle w:val="ParaNum"/>
      </w:pPr>
      <w:r w:rsidRPr="001202CC">
        <w:t>Cumulus</w:t>
      </w:r>
      <w:r w:rsidR="00E7367F">
        <w:t>’</w:t>
      </w:r>
      <w:r w:rsidR="00CF5332">
        <w:t>s</w:t>
      </w:r>
      <w:r w:rsidR="00A73BA2">
        <w:t xml:space="preserve"> </w:t>
      </w:r>
      <w:r w:rsidR="00663A8D">
        <w:t xml:space="preserve">admitted </w:t>
      </w:r>
      <w:r w:rsidRPr="001202CC">
        <w:t xml:space="preserve">failure to upload the Stations’ Annual Report to </w:t>
      </w:r>
      <w:r w:rsidR="00663A8D">
        <w:t>its</w:t>
      </w:r>
      <w:r w:rsidRPr="001202CC">
        <w:t xml:space="preserve"> online public inspection files and websites </w:t>
      </w:r>
      <w:r w:rsidR="00740321">
        <w:t xml:space="preserve">in a timely manner </w:t>
      </w:r>
      <w:r w:rsidR="00444C81">
        <w:t xml:space="preserve">impacted the public’s </w:t>
      </w:r>
      <w:r w:rsidR="00F17352">
        <w:t xml:space="preserve">essential </w:t>
      </w:r>
      <w:r w:rsidR="00444C81">
        <w:t>right</w:t>
      </w:r>
      <w:r w:rsidRPr="001202CC">
        <w:t xml:space="preserve"> to participate in monitoring and providing input on Cumulus’</w:t>
      </w:r>
      <w:r w:rsidR="00CF5332">
        <w:t>s</w:t>
      </w:r>
      <w:r w:rsidRPr="001202CC">
        <w:t xml:space="preserve"> EEO program at the Stations.</w:t>
      </w:r>
      <w:r>
        <w:rPr>
          <w:rStyle w:val="FootnoteReference"/>
        </w:rPr>
        <w:footnoteReference w:id="48"/>
      </w:r>
      <w:r w:rsidRPr="001202CC">
        <w:t xml:space="preserve">  </w:t>
      </w:r>
      <w:r w:rsidRPr="005D75D0" w:rsidR="000867E3">
        <w:t xml:space="preserve">Merely compiling an Annual Report without </w:t>
      </w:r>
      <w:r w:rsidR="000867E3">
        <w:t>also</w:t>
      </w:r>
      <w:r w:rsidRPr="005D75D0" w:rsidR="000867E3">
        <w:t xml:space="preserve"> posting</w:t>
      </w:r>
      <w:r w:rsidR="000867E3">
        <w:t xml:space="preserve"> it</w:t>
      </w:r>
      <w:r w:rsidRPr="005D75D0" w:rsidR="000867E3">
        <w:t xml:space="preserve"> </w:t>
      </w:r>
      <w:r w:rsidR="000867E3">
        <w:t xml:space="preserve">to publicly accessible locations </w:t>
      </w:r>
      <w:r w:rsidR="0067037C">
        <w:t>may,</w:t>
      </w:r>
      <w:r w:rsidR="00AB0955">
        <w:t xml:space="preserve"> in certain circumstances (such as those present here)</w:t>
      </w:r>
      <w:r w:rsidR="008457AB">
        <w:t xml:space="preserve">, prevent </w:t>
      </w:r>
      <w:r w:rsidR="00A73BA2">
        <w:t>the Stations from fulfilling their obligation</w:t>
      </w:r>
      <w:r w:rsidRPr="005D75D0" w:rsidR="000867E3">
        <w:t xml:space="preserve"> to </w:t>
      </w:r>
      <w:r w:rsidR="00A73BA2">
        <w:t xml:space="preserve">analyze </w:t>
      </w:r>
      <w:r w:rsidR="00271E57">
        <w:t>their</w:t>
      </w:r>
      <w:r w:rsidRPr="005D75D0" w:rsidR="000867E3">
        <w:t xml:space="preserve"> recruitment program</w:t>
      </w:r>
      <w:r w:rsidR="00871986">
        <w:t xml:space="preserve"> </w:t>
      </w:r>
      <w:r w:rsidRPr="00871986" w:rsidR="00871986">
        <w:t>“on an ongoing basis” in response to public input</w:t>
      </w:r>
      <w:r w:rsidRPr="005D75D0" w:rsidR="000867E3">
        <w:t xml:space="preserve">. </w:t>
      </w:r>
      <w:r w:rsidR="00FF312C">
        <w:t xml:space="preserve"> </w:t>
      </w:r>
      <w:r w:rsidR="00E7367F">
        <w:t xml:space="preserve">The </w:t>
      </w:r>
      <w:r w:rsidR="00ED5E57">
        <w:t>A</w:t>
      </w:r>
      <w:r w:rsidR="00E7367F">
        <w:t xml:space="preserve">nnual </w:t>
      </w:r>
      <w:r w:rsidR="00ED5E57">
        <w:t>R</w:t>
      </w:r>
      <w:r w:rsidR="00E7367F">
        <w:t xml:space="preserve">eport </w:t>
      </w:r>
      <w:r>
        <w:t>constitutes</w:t>
      </w:r>
      <w:r w:rsidRPr="00CB348B">
        <w:t xml:space="preserve"> the only public record </w:t>
      </w:r>
      <w:r w:rsidR="00222AB4">
        <w:t>summarizing</w:t>
      </w:r>
      <w:r w:rsidRPr="00CB348B" w:rsidR="00222AB4">
        <w:t xml:space="preserve"> </w:t>
      </w:r>
      <w:r w:rsidRPr="00CB348B">
        <w:t>a station’s recruitment program</w:t>
      </w:r>
      <w:r w:rsidR="00E7367F">
        <w:t xml:space="preserve"> </w:t>
      </w:r>
      <w:r w:rsidR="006867D7">
        <w:t xml:space="preserve">under FCC EEO rules </w:t>
      </w:r>
      <w:r w:rsidR="00913B79">
        <w:t xml:space="preserve">for that 12-month period </w:t>
      </w:r>
      <w:r w:rsidR="00E7367F">
        <w:t>and its label</w:t>
      </w:r>
      <w:r w:rsidR="00CA2DED">
        <w:t>,</w:t>
      </w:r>
      <w:r w:rsidR="00ED5E57">
        <w:t xml:space="preserve"> “annual EEO public file report</w:t>
      </w:r>
      <w:r w:rsidR="00A73BA2">
        <w:t>,</w:t>
      </w:r>
      <w:r w:rsidR="00ED5E57">
        <w:t>”</w:t>
      </w:r>
      <w:r w:rsidR="00E7367F">
        <w:t xml:space="preserve"> signifies </w:t>
      </w:r>
      <w:r w:rsidR="00ED6797">
        <w:t>a</w:t>
      </w:r>
      <w:r w:rsidR="00550D90">
        <w:t>n important</w:t>
      </w:r>
      <w:r w:rsidR="00E7367F">
        <w:t xml:space="preserve"> purpose is review</w:t>
      </w:r>
      <w:r w:rsidR="003F2B53">
        <w:t xml:space="preserve"> by both the Commission and the public</w:t>
      </w:r>
      <w:r w:rsidR="00E7367F">
        <w:t>.</w:t>
      </w:r>
      <w:r w:rsidRPr="009E5542" w:rsidR="009E5542">
        <w:t xml:space="preserve"> </w:t>
      </w:r>
      <w:r w:rsidR="00FF312C">
        <w:t xml:space="preserve"> </w:t>
      </w:r>
      <w:r w:rsidRPr="00CB348B" w:rsidR="00395469">
        <w:t xml:space="preserve">Public input, initiated on the basis of </w:t>
      </w:r>
      <w:r w:rsidR="00395469">
        <w:t>an Annual Report</w:t>
      </w:r>
      <w:r w:rsidR="0083623B">
        <w:t>,</w:t>
      </w:r>
      <w:r w:rsidR="00C51AB6">
        <w:t xml:space="preserve"> </w:t>
      </w:r>
      <w:r w:rsidR="00286494">
        <w:t>can be</w:t>
      </w:r>
      <w:r w:rsidRPr="00CB348B" w:rsidR="00286494">
        <w:t xml:space="preserve"> </w:t>
      </w:r>
      <w:r w:rsidRPr="00CB348B">
        <w:t xml:space="preserve">instrumental in </w:t>
      </w:r>
      <w:r w:rsidR="0083623B">
        <w:t>the</w:t>
      </w:r>
      <w:r w:rsidRPr="00CB348B">
        <w:t xml:space="preserve"> </w:t>
      </w:r>
      <w:r w:rsidR="00286494">
        <w:t xml:space="preserve">evaluation of </w:t>
      </w:r>
      <w:r w:rsidR="0083623B">
        <w:t xml:space="preserve">a licensee’s </w:t>
      </w:r>
      <w:r w:rsidRPr="00CB348B">
        <w:t>effectiveness in achieving broad outreach to potential applicants</w:t>
      </w:r>
      <w:r w:rsidR="00754719">
        <w:t xml:space="preserve"> and </w:t>
      </w:r>
      <w:r w:rsidR="00B72896">
        <w:t>ensuring that</w:t>
      </w:r>
      <w:r w:rsidR="00754719">
        <w:t xml:space="preserve"> any problems </w:t>
      </w:r>
      <w:r w:rsidR="00B72896">
        <w:t>can be addressed</w:t>
      </w:r>
      <w:r w:rsidR="00754719">
        <w:t xml:space="preserve"> on a timely basis</w:t>
      </w:r>
      <w:r w:rsidRPr="00CB348B">
        <w:t>.</w:t>
      </w:r>
      <w:r>
        <w:rPr>
          <w:rStyle w:val="FootnoteReference"/>
        </w:rPr>
        <w:footnoteReference w:id="49"/>
      </w:r>
      <w:r>
        <w:t xml:space="preserve">  </w:t>
      </w:r>
      <w:r w:rsidR="00E85C47">
        <w:t xml:space="preserve">As a result, </w:t>
      </w:r>
      <w:r>
        <w:t>Cumulus’</w:t>
      </w:r>
      <w:r w:rsidR="00CF5332">
        <w:t>s</w:t>
      </w:r>
      <w:r w:rsidR="00E70CEF">
        <w:t xml:space="preserve"> </w:t>
      </w:r>
      <w:r w:rsidR="00222AB4">
        <w:t>characteriz</w:t>
      </w:r>
      <w:r w:rsidR="0030085C">
        <w:t>ation</w:t>
      </w:r>
      <w:r w:rsidR="00D16175">
        <w:t xml:space="preserve"> of</w:t>
      </w:r>
      <w:r w:rsidRPr="001F2ADC" w:rsidR="00222AB4">
        <w:t xml:space="preserve"> </w:t>
      </w:r>
      <w:r w:rsidR="00CA578B">
        <w:t xml:space="preserve">the requirement </w:t>
      </w:r>
      <w:r w:rsidR="0051152C">
        <w:t>to</w:t>
      </w:r>
      <w:r w:rsidR="00CA578B">
        <w:t xml:space="preserve"> </w:t>
      </w:r>
      <w:r w:rsidRPr="001F2ADC">
        <w:t xml:space="preserve">upload </w:t>
      </w:r>
      <w:r>
        <w:t>an Annual Report</w:t>
      </w:r>
      <w:r w:rsidRPr="001F2ADC">
        <w:t xml:space="preserve"> to </w:t>
      </w:r>
      <w:r w:rsidR="00222AB4">
        <w:t xml:space="preserve">the station online public inspection file and website as </w:t>
      </w:r>
      <w:r w:rsidR="008457AB">
        <w:t>a mere</w:t>
      </w:r>
      <w:r>
        <w:t xml:space="preserve"> </w:t>
      </w:r>
      <w:r w:rsidRPr="001F2ADC">
        <w:t xml:space="preserve">administrative task </w:t>
      </w:r>
      <w:r>
        <w:t>undermines</w:t>
      </w:r>
      <w:r w:rsidRPr="001F2ADC">
        <w:t xml:space="preserve"> the </w:t>
      </w:r>
      <w:r>
        <w:t xml:space="preserve">Commission’s </w:t>
      </w:r>
      <w:r w:rsidR="00BC18C7">
        <w:t>goal</w:t>
      </w:r>
      <w:r w:rsidRPr="001F2ADC">
        <w:t xml:space="preserve"> of </w:t>
      </w:r>
      <w:r w:rsidR="007542B8">
        <w:t xml:space="preserve">ensuring </w:t>
      </w:r>
      <w:r>
        <w:t>meaningful</w:t>
      </w:r>
      <w:r w:rsidRPr="001F2ADC">
        <w:t xml:space="preserve"> public </w:t>
      </w:r>
      <w:r>
        <w:t xml:space="preserve">input </w:t>
      </w:r>
      <w:r w:rsidR="00564068">
        <w:t>via</w:t>
      </w:r>
      <w:r>
        <w:t xml:space="preserve"> public access to the Annual Report.</w:t>
      </w:r>
      <w:r>
        <w:rPr>
          <w:rStyle w:val="FootnoteReference"/>
        </w:rPr>
        <w:footnoteReference w:id="50"/>
      </w:r>
    </w:p>
    <w:p w:rsidR="0016240A" w:rsidRPr="00EB6FC7" w:rsidP="001B260C" w14:paraId="66E673AD" w14:textId="6AAE0E04">
      <w:pPr>
        <w:pStyle w:val="ParaNum"/>
      </w:pPr>
      <w:r>
        <w:t>Further, compiling the Annual Report alone, without also uploading it to its intended destination</w:t>
      </w:r>
      <w:r w:rsidR="00E43571">
        <w:t xml:space="preserve"> in a timely manner, here more than </w:t>
      </w:r>
      <w:r w:rsidR="00216602">
        <w:t>nine months</w:t>
      </w:r>
      <w:r w:rsidR="00FC25D1">
        <w:t xml:space="preserve"> late</w:t>
      </w:r>
      <w:r>
        <w:t>,</w:t>
      </w:r>
      <w:r w:rsidR="006B35F0">
        <w:t xml:space="preserve"> </w:t>
      </w:r>
      <w:r w:rsidR="00A37A88">
        <w:t>may</w:t>
      </w:r>
      <w:r w:rsidR="00B74CF8">
        <w:t>, in certain circumstances,</w:t>
      </w:r>
      <w:r w:rsidR="003E79C6">
        <w:t xml:space="preserve"> constitute (and here does constitute) a violation of</w:t>
      </w:r>
      <w:r w:rsidR="006B35F0">
        <w:t xml:space="preserve"> the </w:t>
      </w:r>
      <w:r w:rsidR="00FF368C">
        <w:t>requirements</w:t>
      </w:r>
      <w:r w:rsidR="000E28B7">
        <w:t xml:space="preserve"> to analyze the Stations</w:t>
      </w:r>
      <w:r w:rsidR="00136D9B">
        <w:t>’ EEO program.</w:t>
      </w:r>
      <w:r w:rsidR="009A68D5">
        <w:t xml:space="preserve">  The length of time during which</w:t>
      </w:r>
      <w:r w:rsidR="009B3330">
        <w:t xml:space="preserve"> </w:t>
      </w:r>
      <w:r w:rsidR="00D13AD2">
        <w:t xml:space="preserve">Cumulus </w:t>
      </w:r>
      <w:r w:rsidR="009A68D5">
        <w:t xml:space="preserve">failed to upload </w:t>
      </w:r>
      <w:r w:rsidR="004A2F8C">
        <w:t xml:space="preserve">its Annual Report </w:t>
      </w:r>
      <w:r w:rsidR="00F62E33">
        <w:t xml:space="preserve">is persuasive evidence that Cumulus </w:t>
      </w:r>
      <w:r w:rsidR="00D13AD2">
        <w:t xml:space="preserve">did not “routinely analyze the adequacy </w:t>
      </w:r>
      <w:r w:rsidR="000C1654">
        <w:t xml:space="preserve">of their various EEO program elements in achieving broad outreach </w:t>
      </w:r>
      <w:r w:rsidR="00C742E9">
        <w:t xml:space="preserve">to all segments of the community” and </w:t>
      </w:r>
      <w:r w:rsidRPr="001202CC" w:rsidR="00CA578B">
        <w:t>address any problems found as a result of such analysis.</w:t>
      </w:r>
      <w:r>
        <w:rPr>
          <w:rStyle w:val="FootnoteReference"/>
        </w:rPr>
        <w:footnoteReference w:id="51"/>
      </w:r>
      <w:r>
        <w:t xml:space="preserve"> </w:t>
      </w:r>
      <w:r w:rsidR="00804EE2">
        <w:t xml:space="preserve"> </w:t>
      </w:r>
      <w:r w:rsidR="00805574">
        <w:t>Even assuming</w:t>
      </w:r>
      <w:r w:rsidRPr="001202CC" w:rsidR="00805574">
        <w:t xml:space="preserve"> </w:t>
      </w:r>
      <w:r w:rsidRPr="001202CC">
        <w:t>Cumulus may have engaged in some self-</w:t>
      </w:r>
      <w:r w:rsidRPr="0090070D" w:rsidR="004B0F11">
        <w:t>e</w:t>
      </w:r>
      <w:r w:rsidRPr="001202CC">
        <w:t>valuation,</w:t>
      </w:r>
      <w:r>
        <w:rPr>
          <w:rStyle w:val="FootnoteReference"/>
        </w:rPr>
        <w:footnoteReference w:id="52"/>
      </w:r>
      <w:r w:rsidRPr="001202CC">
        <w:t xml:space="preserve"> </w:t>
      </w:r>
      <w:r>
        <w:t>we affirm</w:t>
      </w:r>
      <w:r w:rsidRPr="001202CC">
        <w:t xml:space="preserve"> the </w:t>
      </w:r>
      <w:r w:rsidRPr="00FB2EDF">
        <w:rPr>
          <w:i/>
          <w:iCs/>
        </w:rPr>
        <w:t>NAL</w:t>
      </w:r>
      <w:r w:rsidRPr="001202CC">
        <w:t xml:space="preserve">’s </w:t>
      </w:r>
      <w:r w:rsidRPr="001202CC">
        <w:t xml:space="preserve">finding that </w:t>
      </w:r>
      <w:r w:rsidR="00094CFF">
        <w:t xml:space="preserve">the record supports a finding that </w:t>
      </w:r>
      <w:r w:rsidRPr="001202CC">
        <w:t>Cumulus</w:t>
      </w:r>
      <w:r w:rsidR="00094CFF">
        <w:t xml:space="preserve"> failed to</w:t>
      </w:r>
      <w:r w:rsidRPr="001202CC">
        <w:t xml:space="preserve"> analyze its Stations’ program </w:t>
      </w:r>
      <w:r w:rsidR="00871986">
        <w:t>“</w:t>
      </w:r>
      <w:r w:rsidRPr="001202CC">
        <w:t>on an ongoing basis</w:t>
      </w:r>
      <w:r w:rsidR="00871986">
        <w:t>” in response to public input</w:t>
      </w:r>
      <w:r w:rsidR="00CD220C">
        <w:t xml:space="preserve"> </w:t>
      </w:r>
      <w:r w:rsidRPr="0090070D" w:rsidR="00CD220C">
        <w:t xml:space="preserve">as required under </w:t>
      </w:r>
      <w:r w:rsidR="00AA1C2C">
        <w:t>s</w:t>
      </w:r>
      <w:r w:rsidRPr="0090070D" w:rsidR="00CD220C">
        <w:t>ection 73.2080(c)(3)</w:t>
      </w:r>
      <w:r w:rsidRPr="0090070D" w:rsidR="00B72896">
        <w:t xml:space="preserve">.  </w:t>
      </w:r>
      <w:r w:rsidRPr="0090070D" w:rsidR="00184B56">
        <w:t>H</w:t>
      </w:r>
      <w:r w:rsidR="00B72896">
        <w:t>ere the record shows that</w:t>
      </w:r>
      <w:r w:rsidRPr="001202CC">
        <w:t xml:space="preserve"> for</w:t>
      </w:r>
      <w:r w:rsidR="006365FF">
        <w:t xml:space="preserve"> more than</w:t>
      </w:r>
      <w:r w:rsidRPr="001202CC">
        <w:t xml:space="preserve"> nine months</w:t>
      </w:r>
      <w:r w:rsidR="00B72896">
        <w:t xml:space="preserve"> </w:t>
      </w:r>
      <w:r w:rsidR="001B2C7D">
        <w:t>t</w:t>
      </w:r>
      <w:r w:rsidR="00B72896">
        <w:t>he licensee</w:t>
      </w:r>
      <w:r w:rsidRPr="001202CC">
        <w:t xml:space="preserve"> failed to</w:t>
      </w:r>
      <w:r w:rsidR="00B72896">
        <w:t xml:space="preserve"> even</w:t>
      </w:r>
      <w:r w:rsidRPr="001202CC">
        <w:t xml:space="preserve"> realize that it had not uploaded its 2018 Annual Report to the Stations’ public inspection files and websites</w:t>
      </w:r>
      <w:r w:rsidR="00B72896">
        <w:t xml:space="preserve">, </w:t>
      </w:r>
      <w:r w:rsidR="001B2C7D">
        <w:t xml:space="preserve">and </w:t>
      </w:r>
      <w:r w:rsidR="007B231A">
        <w:t>thereby deprived the public of any opportunity to identify areas of concern that could be considered</w:t>
      </w:r>
      <w:r w:rsidRPr="001202CC">
        <w:t>.</w:t>
      </w:r>
      <w:r>
        <w:rPr>
          <w:rStyle w:val="FootnoteReference"/>
        </w:rPr>
        <w:footnoteReference w:id="53"/>
      </w:r>
      <w:r w:rsidR="00B06B7A">
        <w:t xml:space="preserve"> </w:t>
      </w:r>
      <w:r w:rsidR="001B2C7D">
        <w:t xml:space="preserve"> </w:t>
      </w:r>
      <w:r w:rsidR="007B231A">
        <w:t xml:space="preserve">Consequently, </w:t>
      </w:r>
      <w:r w:rsidR="00FB2EDF">
        <w:t xml:space="preserve">given the </w:t>
      </w:r>
      <w:r w:rsidR="0067350A">
        <w:t xml:space="preserve">specific </w:t>
      </w:r>
      <w:r w:rsidR="00FB2EDF">
        <w:t xml:space="preserve">circumstances of this case, </w:t>
      </w:r>
      <w:r w:rsidRPr="0090070D" w:rsidR="00184B56">
        <w:t>we reject</w:t>
      </w:r>
      <w:r w:rsidR="001B2C7D">
        <w:t xml:space="preserve"> Cumulus</w:t>
      </w:r>
      <w:r w:rsidRPr="0090070D" w:rsidR="00184B56">
        <w:t>’</w:t>
      </w:r>
      <w:r w:rsidR="00CF5332">
        <w:t>s</w:t>
      </w:r>
      <w:r w:rsidRPr="00DB0C00" w:rsidR="00184B56">
        <w:t xml:space="preserve"> </w:t>
      </w:r>
      <w:r w:rsidRPr="0090070D" w:rsidR="00184B56">
        <w:t>argument that any self-evaluation it</w:t>
      </w:r>
      <w:r w:rsidR="00EA4E47">
        <w:t xml:space="preserve"> did in fact undertake</w:t>
      </w:r>
      <w:r w:rsidR="001B2C7D">
        <w:t xml:space="preserve"> </w:t>
      </w:r>
      <w:r w:rsidRPr="0090070D" w:rsidR="001B2C7D">
        <w:t xml:space="preserve">was adequate </w:t>
      </w:r>
      <w:r w:rsidRPr="0090070D" w:rsidR="00B91060">
        <w:t xml:space="preserve">and </w:t>
      </w:r>
      <w:r w:rsidRPr="0090070D" w:rsidR="00184B56">
        <w:t>satisf</w:t>
      </w:r>
      <w:r w:rsidRPr="0090070D" w:rsidR="00BA116F">
        <w:t>ied</w:t>
      </w:r>
      <w:r w:rsidRPr="0090070D" w:rsidR="00184B56">
        <w:t xml:space="preserve"> the self-assessment rule</w:t>
      </w:r>
      <w:r w:rsidR="00184B56">
        <w:t>.</w:t>
      </w:r>
      <w:r w:rsidR="001B2C7D">
        <w:t xml:space="preserve"> </w:t>
      </w:r>
      <w:r w:rsidR="0090070D">
        <w:t xml:space="preserve"> </w:t>
      </w:r>
      <w:r w:rsidRPr="00EB6FC7">
        <w:t>Thus, we affirm that Cumulus violated section 73.2080(c)(3) of the Commission’s rules.</w:t>
      </w:r>
      <w:r>
        <w:rPr>
          <w:rStyle w:val="FootnoteReference"/>
        </w:rPr>
        <w:footnoteReference w:id="54"/>
      </w:r>
      <w:r w:rsidR="005719D5">
        <w:t xml:space="preserve">  </w:t>
      </w:r>
    </w:p>
    <w:p w:rsidR="0066537F" w:rsidRPr="001202CC" w:rsidP="00B30E1B" w14:paraId="0108F2B3" w14:textId="111F94EE">
      <w:pPr>
        <w:pStyle w:val="Heading2"/>
      </w:pPr>
      <w:r w:rsidRPr="001202CC">
        <w:t xml:space="preserve">The </w:t>
      </w:r>
      <w:r w:rsidRPr="001202CC" w:rsidR="00150648">
        <w:t xml:space="preserve">FCC Properly Determined the </w:t>
      </w:r>
      <w:r w:rsidR="00B30E1B">
        <w:t xml:space="preserve">Original Basis </w:t>
      </w:r>
      <w:r w:rsidR="00C61DE6">
        <w:t xml:space="preserve">for the </w:t>
      </w:r>
      <w:r w:rsidRPr="001202CC" w:rsidR="00150648">
        <w:t>Proposed Forfeiture</w:t>
      </w:r>
      <w:r w:rsidR="00B30E1B">
        <w:t xml:space="preserve"> </w:t>
      </w:r>
    </w:p>
    <w:p w:rsidR="003343CA" w:rsidRPr="001202CC" w:rsidP="006C67AB" w14:paraId="4BFF19D8" w14:textId="58C9B312">
      <w:pPr>
        <w:pStyle w:val="ParaNum"/>
      </w:pPr>
      <w:bookmarkStart w:id="14" w:name="_Hlk148014772"/>
      <w:r w:rsidRPr="00354E1C">
        <w:t xml:space="preserve">The </w:t>
      </w:r>
      <w:r w:rsidRPr="007B06C7">
        <w:rPr>
          <w:i/>
          <w:iCs/>
        </w:rPr>
        <w:t>NAL</w:t>
      </w:r>
      <w:r w:rsidRPr="00354E1C">
        <w:t xml:space="preserve"> found Cumulus </w:t>
      </w:r>
      <w:r w:rsidR="00C11580">
        <w:t xml:space="preserve">apparently </w:t>
      </w:r>
      <w:r w:rsidRPr="00354E1C">
        <w:t xml:space="preserve">liable for the following forfeitures: </w:t>
      </w:r>
      <w:r>
        <w:t xml:space="preserve"> </w:t>
      </w:r>
      <w:r w:rsidRPr="001202CC" w:rsidR="00A024D7">
        <w:t>(</w:t>
      </w:r>
      <w:r w:rsidR="00AC69AE">
        <w:t>i</w:t>
      </w:r>
      <w:r w:rsidRPr="001202CC" w:rsidR="00A024D7">
        <w:t>)</w:t>
      </w:r>
      <w:r w:rsidRPr="001202CC" w:rsidR="00891D11">
        <w:t xml:space="preserve"> $26,000 for Cumulus</w:t>
      </w:r>
      <w:r w:rsidRPr="001202CC" w:rsidR="00A024D7">
        <w:t>’</w:t>
      </w:r>
      <w:r w:rsidR="00CF5332">
        <w:t>s</w:t>
      </w:r>
      <w:r w:rsidRPr="001202CC" w:rsidR="00891D11">
        <w:t xml:space="preserve"> apparent violations of section 73.2080(c)(6) for failing to upload and maintain the Stations</w:t>
      </w:r>
      <w:r w:rsidRPr="001202CC" w:rsidR="00A7026B">
        <w:t xml:space="preserve">’ </w:t>
      </w:r>
      <w:r w:rsidRPr="001202CC" w:rsidR="00891D11">
        <w:t>2018 Annual Reports in their public</w:t>
      </w:r>
      <w:r w:rsidRPr="001202CC" w:rsidR="00A024D7">
        <w:t xml:space="preserve"> </w:t>
      </w:r>
      <w:r w:rsidRPr="001202CC" w:rsidR="00891D11">
        <w:t>inspection files and on the Stations</w:t>
      </w:r>
      <w:r w:rsidR="00D51409">
        <w:t>’</w:t>
      </w:r>
      <w:r w:rsidRPr="001202CC" w:rsidR="00891D11">
        <w:t xml:space="preserve"> websites for over nine months</w:t>
      </w:r>
      <w:r w:rsidRPr="001202CC" w:rsidR="00A024D7">
        <w:t>,</w:t>
      </w:r>
      <w:r>
        <w:rPr>
          <w:rStyle w:val="FootnoteReference"/>
          <w:sz w:val="22"/>
        </w:rPr>
        <w:footnoteReference w:id="55"/>
      </w:r>
      <w:r w:rsidRPr="001202CC" w:rsidR="00A024D7">
        <w:t xml:space="preserve"> plus (</w:t>
      </w:r>
      <w:r w:rsidR="00AC69AE">
        <w:t>ii</w:t>
      </w:r>
      <w:r w:rsidRPr="001202CC" w:rsidR="00A024D7">
        <w:t xml:space="preserve">) </w:t>
      </w:r>
      <w:r w:rsidRPr="001202CC" w:rsidR="00184013">
        <w:t>$6,000 for Cumulus’</w:t>
      </w:r>
      <w:r w:rsidR="00CF5332">
        <w:t>s</w:t>
      </w:r>
      <w:r w:rsidRPr="001202CC" w:rsidR="00184013">
        <w:t xml:space="preserve"> apparent failure to analyze its stations’ EEO program</w:t>
      </w:r>
      <w:r w:rsidR="00D17F6E">
        <w:t xml:space="preserve"> </w:t>
      </w:r>
      <w:r w:rsidR="00763F04">
        <w:t xml:space="preserve">adequately </w:t>
      </w:r>
      <w:r w:rsidRPr="001202CC" w:rsidR="00184013">
        <w:t>in apparent violation of section 73.2080(c)(3) of the Commission’s rules.</w:t>
      </w:r>
      <w:r>
        <w:rPr>
          <w:rStyle w:val="FootnoteReference"/>
          <w:sz w:val="22"/>
        </w:rPr>
        <w:footnoteReference w:id="56"/>
      </w:r>
      <w:r w:rsidRPr="001202CC" w:rsidR="00184013">
        <w:t xml:space="preserve">  The $26,000 and $6,000 amounts each reflect an upward adjustment of the base forfeiture</w:t>
      </w:r>
      <w:r w:rsidRPr="001202CC" w:rsidR="00E213AC">
        <w:t>s</w:t>
      </w:r>
      <w:r w:rsidRPr="001202CC" w:rsidR="00AA7758">
        <w:t xml:space="preserve"> of $10,000 and $2,000, respectively,</w:t>
      </w:r>
      <w:r w:rsidRPr="001202CC" w:rsidR="00080A74">
        <w:t xml:space="preserve"> considering the circumstances of this case</w:t>
      </w:r>
      <w:r w:rsidRPr="001202CC" w:rsidR="00184013">
        <w:t>, including Cumulus’</w:t>
      </w:r>
      <w:r w:rsidR="00CF5332">
        <w:t>s</w:t>
      </w:r>
      <w:r w:rsidRPr="001202CC" w:rsidR="00184013">
        <w:t xml:space="preserve"> history of prior offenses.</w:t>
      </w:r>
      <w:r>
        <w:rPr>
          <w:rStyle w:val="FootnoteReference"/>
          <w:sz w:val="22"/>
        </w:rPr>
        <w:footnoteReference w:id="57"/>
      </w:r>
      <w:r w:rsidRPr="001202CC" w:rsidR="00080A74">
        <w:t xml:space="preserve">  </w:t>
      </w:r>
      <w:r w:rsidRPr="001202CC" w:rsidR="00046DF4">
        <w:t xml:space="preserve">The proposed base forfeiture amounts and upward adjustments are consistent with our rules and precedent.  </w:t>
      </w:r>
      <w:r w:rsidRPr="001202CC" w:rsidR="00080A74">
        <w:t>The Commission declined to issue a separate forfeiture for Cumulus’</w:t>
      </w:r>
      <w:r w:rsidR="00CF5332">
        <w:t>s</w:t>
      </w:r>
      <w:r w:rsidRPr="001202CC" w:rsidR="00080A74">
        <w:t xml:space="preserve"> apparent violation of section 73.3526(e)(7) of the Commission’s rules in this case.</w:t>
      </w:r>
      <w:r>
        <w:rPr>
          <w:rStyle w:val="FootnoteReference"/>
          <w:sz w:val="22"/>
        </w:rPr>
        <w:footnoteReference w:id="58"/>
      </w:r>
      <w:r w:rsidRPr="001202CC" w:rsidR="00AD750D">
        <w:t xml:space="preserve">  In applying the applicable statutory factors, we also considered whether there may be any basis for a downward adjustment of the proposed forfeiture, and we f</w:t>
      </w:r>
      <w:r w:rsidRPr="001202CC" w:rsidR="002335AD">
        <w:t>ound none</w:t>
      </w:r>
      <w:r w:rsidRPr="001202CC" w:rsidR="00046DF4">
        <w:t>.</w:t>
      </w:r>
      <w:r>
        <w:rPr>
          <w:rStyle w:val="FootnoteReference"/>
          <w:sz w:val="22"/>
        </w:rPr>
        <w:footnoteReference w:id="59"/>
      </w:r>
      <w:r w:rsidRPr="001202CC" w:rsidR="00046DF4">
        <w:t xml:space="preserve">  </w:t>
      </w:r>
      <w:bookmarkEnd w:id="14"/>
    </w:p>
    <w:p w:rsidR="003343CA" w:rsidRPr="001202CC" w:rsidP="004024B5" w14:paraId="148F3E7A" w14:textId="353C0828">
      <w:pPr>
        <w:pStyle w:val="Heading3"/>
      </w:pPr>
      <w:r>
        <w:t xml:space="preserve">Cumulus Failed to Provide a Valid </w:t>
      </w:r>
      <w:r w:rsidR="00933C47">
        <w:t>Justification</w:t>
      </w:r>
      <w:r w:rsidR="00AD0D6D">
        <w:t xml:space="preserve"> for R</w:t>
      </w:r>
      <w:r w:rsidR="00896880">
        <w:t xml:space="preserve">educing the </w:t>
      </w:r>
      <w:r w:rsidRPr="001202CC" w:rsidR="00E95F03">
        <w:t>Proposed</w:t>
      </w:r>
      <w:r w:rsidR="00354E1C">
        <w:t xml:space="preserve"> </w:t>
      </w:r>
      <w:r w:rsidRPr="001202CC" w:rsidR="00150648">
        <w:t>Forfeiture</w:t>
      </w:r>
    </w:p>
    <w:p w:rsidR="00DD0A29" w:rsidRPr="001202CC" w:rsidP="006B6840" w14:paraId="527537BD" w14:textId="589B47E7">
      <w:pPr>
        <w:pStyle w:val="ParaNum"/>
        <w:widowControl/>
      </w:pPr>
      <w:r w:rsidRPr="001202CC">
        <w:t xml:space="preserve">Cumulus </w:t>
      </w:r>
      <w:r w:rsidRPr="001202CC" w:rsidR="00110790">
        <w:t>contends</w:t>
      </w:r>
      <w:r w:rsidRPr="001202CC">
        <w:t xml:space="preserve"> that the proposed</w:t>
      </w:r>
      <w:r w:rsidRPr="001202CC" w:rsidR="00ED3555">
        <w:t xml:space="preserve"> $32,000</w:t>
      </w:r>
      <w:r w:rsidRPr="001202CC">
        <w:t xml:space="preserve"> </w:t>
      </w:r>
      <w:r w:rsidRPr="001202CC" w:rsidR="00A163EC">
        <w:t>forfeiture</w:t>
      </w:r>
      <w:r w:rsidRPr="001202CC" w:rsidR="00FC12E6">
        <w:t xml:space="preserve"> for just one late upload</w:t>
      </w:r>
      <w:r w:rsidRPr="001202CC" w:rsidR="00A163EC">
        <w:t xml:space="preserve"> of </w:t>
      </w:r>
      <w:r w:rsidRPr="001202CC" w:rsidR="0047361D">
        <w:t>an</w:t>
      </w:r>
      <w:r w:rsidRPr="001202CC" w:rsidR="00A163EC">
        <w:t xml:space="preserve"> EEO report</w:t>
      </w:r>
      <w:r w:rsidRPr="001202CC">
        <w:t xml:space="preserve"> is unprecedented</w:t>
      </w:r>
      <w:r w:rsidRPr="001202CC" w:rsidR="00ED3555">
        <w:t xml:space="preserve"> </w:t>
      </w:r>
      <w:r w:rsidRPr="001202CC" w:rsidR="00A163EC">
        <w:t>since there are no other comparable fines for such a violation</w:t>
      </w:r>
      <w:r w:rsidRPr="001202CC" w:rsidR="0095016A">
        <w:t>.</w:t>
      </w:r>
      <w:r>
        <w:rPr>
          <w:rStyle w:val="FootnoteReference"/>
          <w:sz w:val="22"/>
        </w:rPr>
        <w:footnoteReference w:id="60"/>
      </w:r>
      <w:r w:rsidRPr="001202CC" w:rsidR="00C916BB">
        <w:t xml:space="preserve">  </w:t>
      </w:r>
      <w:r w:rsidRPr="001202CC" w:rsidR="00ED3555">
        <w:t xml:space="preserve">Cumulus </w:t>
      </w:r>
      <w:r w:rsidR="00513BA5">
        <w:t xml:space="preserve">states that it </w:t>
      </w:r>
      <w:r w:rsidRPr="001202CC" w:rsidR="00ED3555">
        <w:t>is not able to find any instances</w:t>
      </w:r>
      <w:r w:rsidRPr="001202CC" w:rsidR="00C916BB">
        <w:t xml:space="preserve"> during the last renewal cycle</w:t>
      </w:r>
      <w:r w:rsidRPr="001202CC" w:rsidR="00ED3555">
        <w:t xml:space="preserve"> where the Commission imposed a forfeiture for uploading just one EEO Public File Report to its online files </w:t>
      </w:r>
      <w:r w:rsidRPr="001202CC" w:rsidR="00C916BB">
        <w:t>and websites late.</w:t>
      </w:r>
      <w:r>
        <w:rPr>
          <w:rStyle w:val="FootnoteReference"/>
          <w:sz w:val="22"/>
        </w:rPr>
        <w:footnoteReference w:id="61"/>
      </w:r>
      <w:r w:rsidRPr="001202CC" w:rsidR="00C916BB">
        <w:t xml:space="preserve">  Cumulus</w:t>
      </w:r>
      <w:r w:rsidR="009541B3">
        <w:t xml:space="preserve"> argues that its</w:t>
      </w:r>
      <w:r w:rsidRPr="001202CC" w:rsidR="00C916BB">
        <w:t xml:space="preserve"> research indicates that monetary forfeitures were imposed for failing to upload multiple documents timely rather than just one, and those forfeitures were substantially lower than the forfeiture proposed here.</w:t>
      </w:r>
      <w:r>
        <w:rPr>
          <w:rStyle w:val="FootnoteReference"/>
          <w:sz w:val="22"/>
        </w:rPr>
        <w:footnoteReference w:id="62"/>
      </w:r>
      <w:r w:rsidRPr="001202CC" w:rsidR="00726508">
        <w:t xml:space="preserve">  </w:t>
      </w:r>
      <w:r w:rsidRPr="001202CC" w:rsidR="00836BAA">
        <w:t>However, review of our EEO case law is not limited to the previous renewal cycle,</w:t>
      </w:r>
      <w:r w:rsidRPr="001202CC" w:rsidR="00600D18">
        <w:t xml:space="preserve"> </w:t>
      </w:r>
      <w:r w:rsidRPr="001202CC" w:rsidR="00836BAA">
        <w:t xml:space="preserve">and Cumulus cites no authority for this proposition.  </w:t>
      </w:r>
      <w:r w:rsidRPr="001202CC" w:rsidR="00A37F6D">
        <w:t xml:space="preserve">To the extent this case includes a larger forfeiture than prior cases, it is fully justified given the facts and circumstances of this case, </w:t>
      </w:r>
      <w:r w:rsidR="00E90A61">
        <w:t>considering</w:t>
      </w:r>
      <w:r w:rsidRPr="001202CC" w:rsidR="00E90A61">
        <w:t xml:space="preserve"> </w:t>
      </w:r>
      <w:r w:rsidRPr="001202CC" w:rsidR="00A37F6D">
        <w:t>Cumulus’</w:t>
      </w:r>
      <w:r w:rsidR="00CF5332">
        <w:t>s</w:t>
      </w:r>
      <w:r w:rsidRPr="001202CC" w:rsidR="00A37F6D">
        <w:t xml:space="preserve"> prior </w:t>
      </w:r>
      <w:r w:rsidRPr="001202CC" w:rsidR="00A37F6D">
        <w:t>history of rule violations, including violations of the EEO rules.</w:t>
      </w:r>
      <w:r>
        <w:rPr>
          <w:rStyle w:val="FootnoteReference"/>
          <w:sz w:val="22"/>
        </w:rPr>
        <w:footnoteReference w:id="63"/>
      </w:r>
      <w:r w:rsidRPr="001202CC" w:rsidR="00A37F6D">
        <w:t xml:space="preserve">  </w:t>
      </w:r>
      <w:r w:rsidRPr="001202CC" w:rsidR="00B06A2C">
        <w:t>Thus, contrary to Cumulus’</w:t>
      </w:r>
      <w:r w:rsidR="00CF5332">
        <w:t>s</w:t>
      </w:r>
      <w:r w:rsidRPr="001202CC" w:rsidR="00B06A2C">
        <w:t xml:space="preserve"> allegation otherwise, this case is consistent with </w:t>
      </w:r>
      <w:r w:rsidR="00A24236">
        <w:t xml:space="preserve">Commission </w:t>
      </w:r>
      <w:r w:rsidRPr="001202CC" w:rsidR="00B06A2C">
        <w:t>precedent.</w:t>
      </w:r>
      <w:r>
        <w:rPr>
          <w:rStyle w:val="FootnoteReference"/>
        </w:rPr>
        <w:footnoteReference w:id="64"/>
      </w:r>
    </w:p>
    <w:p w:rsidR="005A01B2" w:rsidP="005A01B2" w14:paraId="5ADC2373" w14:textId="147B6ED1">
      <w:pPr>
        <w:pStyle w:val="ParaNum"/>
        <w:widowControl/>
      </w:pPr>
      <w:r>
        <w:t>We disagree with</w:t>
      </w:r>
      <w:r w:rsidRPr="001202CC" w:rsidR="00B023AE">
        <w:t xml:space="preserve"> </w:t>
      </w:r>
      <w:r w:rsidRPr="001202CC" w:rsidR="00B16EC8">
        <w:t xml:space="preserve">Cumulus that </w:t>
      </w:r>
      <w:r w:rsidRPr="001202CC" w:rsidR="00567FA1">
        <w:t>a substantially lesser forfeiture or an admonishment would be more appropriate</w:t>
      </w:r>
      <w:r w:rsidRPr="001202CC" w:rsidR="00DA5AA2">
        <w:t>.</w:t>
      </w:r>
      <w:r>
        <w:rPr>
          <w:rStyle w:val="FootnoteReference"/>
          <w:sz w:val="22"/>
        </w:rPr>
        <w:footnoteReference w:id="65"/>
      </w:r>
      <w:r w:rsidRPr="001202CC" w:rsidR="00DA5AA2">
        <w:t xml:space="preserve">  Cumulus notes that </w:t>
      </w:r>
      <w:r w:rsidRPr="001202CC" w:rsidR="00B16EC8">
        <w:t xml:space="preserve">the FCC recognizes that </w:t>
      </w:r>
      <w:r w:rsidRPr="001202CC" w:rsidR="00F6487A">
        <w:t xml:space="preserve">certain </w:t>
      </w:r>
      <w:r w:rsidRPr="001202CC" w:rsidR="00B16EC8">
        <w:t>new online public file uploading requirements</w:t>
      </w:r>
      <w:r w:rsidRPr="001202CC" w:rsidR="00F6487A">
        <w:t>, which began March 1, 2018</w:t>
      </w:r>
      <w:r w:rsidR="00A24236">
        <w:t>,</w:t>
      </w:r>
      <w:r w:rsidRPr="001202CC" w:rsidR="00F6487A">
        <w:t xml:space="preserve"> for most stations, were often challenging for licensees,</w:t>
      </w:r>
      <w:r w:rsidRPr="001202CC" w:rsidR="00B16EC8">
        <w:t xml:space="preserve"> and</w:t>
      </w:r>
      <w:r w:rsidR="00E92325">
        <w:t xml:space="preserve">, </w:t>
      </w:r>
      <w:r w:rsidR="00951A31">
        <w:t>further,</w:t>
      </w:r>
      <w:r w:rsidRPr="001202CC" w:rsidR="00B16EC8">
        <w:t xml:space="preserve"> C</w:t>
      </w:r>
      <w:r w:rsidR="00E92325">
        <w:t>OVID</w:t>
      </w:r>
      <w:r w:rsidRPr="001202CC" w:rsidR="00B16EC8">
        <w:t>-19 caused</w:t>
      </w:r>
      <w:r w:rsidRPr="001202CC" w:rsidR="00F6487A">
        <w:t xml:space="preserve"> disruptions to station operations, resulting in alternative non-forfeiture penalties in other situations</w:t>
      </w:r>
      <w:r w:rsidRPr="001202CC" w:rsidR="00D85138">
        <w:t>.</w:t>
      </w:r>
      <w:r>
        <w:rPr>
          <w:rStyle w:val="FootnoteReference"/>
          <w:sz w:val="22"/>
        </w:rPr>
        <w:footnoteReference w:id="66"/>
      </w:r>
      <w:r w:rsidRPr="001202CC" w:rsidR="00D85138">
        <w:t xml:space="preserve">  </w:t>
      </w:r>
      <w:r w:rsidRPr="001202CC" w:rsidR="009C56FC">
        <w:t xml:space="preserve">Here, </w:t>
      </w:r>
      <w:r w:rsidRPr="001202CC" w:rsidR="005609B6">
        <w:t xml:space="preserve">Cumulus </w:t>
      </w:r>
      <w:r w:rsidRPr="001202CC" w:rsidR="008558D6">
        <w:t>claims</w:t>
      </w:r>
      <w:r w:rsidRPr="001202CC" w:rsidR="005609B6">
        <w:t xml:space="preserve"> it was the first time that an</w:t>
      </w:r>
      <w:r w:rsidRPr="001202CC" w:rsidR="0095016A">
        <w:t xml:space="preserve"> EEO report was to be uploaded into the online public files and websites for this market under the new rules,</w:t>
      </w:r>
      <w:r w:rsidRPr="001202CC" w:rsidR="008558D6">
        <w:rPr>
          <w:rStyle w:val="FootnoteReference"/>
          <w:sz w:val="22"/>
        </w:rPr>
        <w:t xml:space="preserve"> </w:t>
      </w:r>
      <w:r w:rsidRPr="001202CC" w:rsidR="0095016A">
        <w:t>the person responsible for uploading this report is a former employee</w:t>
      </w:r>
      <w:r w:rsidRPr="001202CC" w:rsidR="00DA5AA2">
        <w:t>, and the report, although uploaded late, was timely prepared.</w:t>
      </w:r>
      <w:r>
        <w:rPr>
          <w:rStyle w:val="FootnoteReference"/>
          <w:sz w:val="22"/>
        </w:rPr>
        <w:footnoteReference w:id="67"/>
      </w:r>
      <w:r w:rsidRPr="001202CC" w:rsidR="00567FA1">
        <w:t xml:space="preserve">  </w:t>
      </w:r>
      <w:r w:rsidRPr="001202CC" w:rsidR="006E57BC">
        <w:t>According to Cumulus, based on past enforcement cases</w:t>
      </w:r>
      <w:r w:rsidR="00A24236">
        <w:t>,</w:t>
      </w:r>
      <w:r w:rsidRPr="001202CC" w:rsidR="006E57BC">
        <w:t xml:space="preserve"> and the inadvertent failure of a former employee to upload one EEO public file report late, it would be more appropriate to issue an admonishment or lower forfeiture here, consistent with the treatment of other FCC licensees.</w:t>
      </w:r>
      <w:r>
        <w:rPr>
          <w:rStyle w:val="FootnoteReference"/>
          <w:sz w:val="22"/>
        </w:rPr>
        <w:footnoteReference w:id="68"/>
      </w:r>
      <w:r w:rsidRPr="001202CC" w:rsidR="005E0657">
        <w:t xml:space="preserve">  We disagree</w:t>
      </w:r>
      <w:r w:rsidRPr="001202CC" w:rsidR="00631CAC">
        <w:t>.</w:t>
      </w:r>
      <w:r w:rsidRPr="001202CC" w:rsidR="005E0657">
        <w:t xml:space="preserve">  </w:t>
      </w:r>
      <w:r w:rsidRPr="001202CC" w:rsidR="00FD06CC">
        <w:t xml:space="preserve">We </w:t>
      </w:r>
      <w:r w:rsidR="00396AB9">
        <w:t>previously</w:t>
      </w:r>
      <w:r w:rsidRPr="001202CC" w:rsidR="00396AB9">
        <w:t xml:space="preserve"> </w:t>
      </w:r>
      <w:r w:rsidRPr="001202CC" w:rsidR="00FD06CC">
        <w:t>rejected Cumulus’</w:t>
      </w:r>
      <w:r w:rsidR="00CF5332">
        <w:t>s</w:t>
      </w:r>
      <w:r w:rsidRPr="001202CC" w:rsidR="00FD06CC">
        <w:t xml:space="preserve"> argument</w:t>
      </w:r>
      <w:r w:rsidR="00A24236">
        <w:t>s</w:t>
      </w:r>
      <w:r w:rsidRPr="001202CC" w:rsidR="00FD06CC">
        <w:t xml:space="preserve"> that the forfeiture penalty should be adjusted downward as Cumulus’</w:t>
      </w:r>
      <w:r w:rsidR="00CF5332">
        <w:t>s</w:t>
      </w:r>
      <w:r w:rsidRPr="001202CC" w:rsidR="00FD06CC">
        <w:t xml:space="preserve"> parent emerged from bankruptcy in 2018 and because the C</w:t>
      </w:r>
      <w:r w:rsidR="00951A31">
        <w:t>OVID</w:t>
      </w:r>
      <w:r w:rsidRPr="001202CC" w:rsidR="00FD06CC">
        <w:t>-19 pandemic negatively impacted its 2020 advertising revenue.</w:t>
      </w:r>
      <w:r>
        <w:rPr>
          <w:rStyle w:val="FootnoteReference"/>
          <w:sz w:val="22"/>
        </w:rPr>
        <w:footnoteReference w:id="69"/>
      </w:r>
      <w:r w:rsidRPr="001202CC" w:rsidR="004C38F3">
        <w:t xml:space="preserve">  Cumulus failed to submit any evidence </w:t>
      </w:r>
      <w:r w:rsidR="005B72AC">
        <w:t xml:space="preserve">in response to the NAL </w:t>
      </w:r>
      <w:r w:rsidRPr="001202CC" w:rsidR="004C38F3">
        <w:t xml:space="preserve">to alter our prior finding.  </w:t>
      </w:r>
      <w:r w:rsidRPr="001202CC" w:rsidR="00DC15B6">
        <w:t>Moreover,</w:t>
      </w:r>
      <w:r w:rsidRPr="001202CC" w:rsidR="007678A2">
        <w:t xml:space="preserve"> Cumulus was required to upload the Stations’ 2018 Annual Report into the Stations</w:t>
      </w:r>
      <w:r w:rsidRPr="001202CC" w:rsidR="00367FB3">
        <w:t>’</w:t>
      </w:r>
      <w:r w:rsidRPr="001202CC" w:rsidR="007678A2">
        <w:t xml:space="preserve"> public inspection files and on their websites by December 3, 2018</w:t>
      </w:r>
      <w:r>
        <w:rPr>
          <w:rStyle w:val="FootnoteReference"/>
          <w:sz w:val="22"/>
        </w:rPr>
        <w:footnoteReference w:id="70"/>
      </w:r>
      <w:r w:rsidRPr="001202CC" w:rsidR="007678A2">
        <w:t xml:space="preserve"> </w:t>
      </w:r>
      <w:r w:rsidR="00A24236">
        <w:t>—</w:t>
      </w:r>
      <w:r w:rsidR="00F86A7E">
        <w:t xml:space="preserve"> over </w:t>
      </w:r>
      <w:r w:rsidRPr="001202CC" w:rsidR="00114FBC">
        <w:t xml:space="preserve">nine months after the new uploading requirements </w:t>
      </w:r>
      <w:r w:rsidR="006C25CD">
        <w:t>became</w:t>
      </w:r>
      <w:r w:rsidRPr="001202CC" w:rsidR="00114FBC">
        <w:t xml:space="preserve"> effect</w:t>
      </w:r>
      <w:r w:rsidR="006C25CD">
        <w:t>ive</w:t>
      </w:r>
      <w:r w:rsidRPr="001202CC" w:rsidR="00114FBC">
        <w:t xml:space="preserve"> on March 1, 2018</w:t>
      </w:r>
      <w:r w:rsidR="00CA578B">
        <w:t>.</w:t>
      </w:r>
      <w:r>
        <w:rPr>
          <w:rStyle w:val="FootnoteReference"/>
          <w:sz w:val="22"/>
        </w:rPr>
        <w:footnoteReference w:id="71"/>
      </w:r>
      <w:r w:rsidRPr="001202CC" w:rsidR="00E95CD6">
        <w:t xml:space="preserve"> </w:t>
      </w:r>
      <w:r w:rsidR="00A24236">
        <w:t xml:space="preserve"> </w:t>
      </w:r>
      <w:r w:rsidRPr="001202CC" w:rsidR="00C81FCA">
        <w:t>Cumulus</w:t>
      </w:r>
      <w:r w:rsidRPr="001202CC" w:rsidR="000D2EA9">
        <w:t xml:space="preserve"> </w:t>
      </w:r>
      <w:r w:rsidR="00CA578B">
        <w:t xml:space="preserve">had </w:t>
      </w:r>
      <w:r w:rsidR="000E482A">
        <w:t>enough</w:t>
      </w:r>
      <w:r w:rsidR="00CA578B">
        <w:t xml:space="preserve"> time </w:t>
      </w:r>
      <w:r w:rsidRPr="001202CC" w:rsidR="000D2EA9">
        <w:t>to learn</w:t>
      </w:r>
      <w:r w:rsidRPr="001202CC" w:rsidR="00B4571C">
        <w:t xml:space="preserve"> about</w:t>
      </w:r>
      <w:r w:rsidRPr="001202CC" w:rsidR="000D2EA9">
        <w:t xml:space="preserve"> and follow the new rules.  </w:t>
      </w:r>
      <w:r w:rsidR="00AD14E0">
        <w:t>In 201</w:t>
      </w:r>
      <w:r w:rsidR="00E71BEA">
        <w:t>4</w:t>
      </w:r>
      <w:r w:rsidR="00AD14E0">
        <w:t>, t</w:t>
      </w:r>
      <w:r w:rsidR="006C25CD">
        <w:t>he</w:t>
      </w:r>
      <w:r w:rsidR="005C2678">
        <w:t xml:space="preserve"> Commission</w:t>
      </w:r>
      <w:r w:rsidR="006C25CD">
        <w:t xml:space="preserve"> began</w:t>
      </w:r>
      <w:r w:rsidR="005C2678">
        <w:t xml:space="preserve"> </w:t>
      </w:r>
      <w:r w:rsidR="006C25CD">
        <w:t>alerting</w:t>
      </w:r>
      <w:r w:rsidR="005C2678">
        <w:t xml:space="preserve"> broadcast licensees to the </w:t>
      </w:r>
      <w:r w:rsidR="00F90396">
        <w:t xml:space="preserve">proposed </w:t>
      </w:r>
      <w:r w:rsidR="005C2678">
        <w:t>new online public inspection file requirements</w:t>
      </w:r>
      <w:r w:rsidR="00EE785C">
        <w:t xml:space="preserve"> </w:t>
      </w:r>
      <w:r w:rsidR="004769BC">
        <w:t xml:space="preserve">for </w:t>
      </w:r>
      <w:r w:rsidR="0037518D">
        <w:t>radio licensees</w:t>
      </w:r>
      <w:r w:rsidR="00745396">
        <w:t xml:space="preserve"> by initiating a rulemaking</w:t>
      </w:r>
      <w:r>
        <w:rPr>
          <w:rStyle w:val="FootnoteReference"/>
        </w:rPr>
        <w:footnoteReference w:id="72"/>
      </w:r>
      <w:r w:rsidR="0037518D">
        <w:t xml:space="preserve"> and </w:t>
      </w:r>
      <w:r w:rsidR="000B6EDE">
        <w:t>issued new rules in 2016.</w:t>
      </w:r>
      <w:r>
        <w:rPr>
          <w:rStyle w:val="FootnoteReference"/>
        </w:rPr>
        <w:footnoteReference w:id="73"/>
      </w:r>
      <w:r w:rsidR="001C061D">
        <w:t xml:space="preserve">  </w:t>
      </w:r>
      <w:r w:rsidR="000E50B8">
        <w:t xml:space="preserve">Further, there was at least a two-year plus transition </w:t>
      </w:r>
      <w:r w:rsidR="000E50B8">
        <w:t xml:space="preserve">period—from the adoption </w:t>
      </w:r>
      <w:r w:rsidR="00C52966">
        <w:t xml:space="preserve">of </w:t>
      </w:r>
      <w:r w:rsidR="00174820">
        <w:t xml:space="preserve">the </w:t>
      </w:r>
      <w:r w:rsidR="000E50B8">
        <w:t>rules in January 2016 to the aforementioned March 2018 deadline—before c</w:t>
      </w:r>
      <w:r w:rsidRPr="00FF53CC" w:rsidR="000E50B8">
        <w:t xml:space="preserve">ommercial broadcast radio stations outside the top 50 </w:t>
      </w:r>
      <w:r w:rsidR="000E50B8">
        <w:t>markets were required to upload new public file materials.</w:t>
      </w:r>
      <w:r>
        <w:rPr>
          <w:rStyle w:val="FootnoteReference"/>
        </w:rPr>
        <w:footnoteReference w:id="74"/>
      </w:r>
      <w:r w:rsidR="005C2678">
        <w:t xml:space="preserve">  </w:t>
      </w:r>
      <w:r w:rsidR="00E44EC4">
        <w:t xml:space="preserve">Finally, </w:t>
      </w:r>
      <w:r w:rsidR="005C7733">
        <w:t>contrary to Cumulus’</w:t>
      </w:r>
      <w:r w:rsidR="00CF5332">
        <w:t>s</w:t>
      </w:r>
      <w:r w:rsidR="005C7733">
        <w:t xml:space="preserve"> statement, </w:t>
      </w:r>
      <w:r w:rsidR="00E44EC4">
        <w:t>the responsibility to place the Annual Report on a station’s website</w:t>
      </w:r>
      <w:r w:rsidR="00522BA0">
        <w:t xml:space="preserve"> was not a new one in 2018</w:t>
      </w:r>
      <w:r w:rsidR="000D3E55">
        <w:t xml:space="preserve">.  </w:t>
      </w:r>
      <w:r w:rsidR="006E174B">
        <w:t xml:space="preserve">Indeed, </w:t>
      </w:r>
      <w:r w:rsidR="005A4F36">
        <w:t xml:space="preserve">the </w:t>
      </w:r>
      <w:r w:rsidR="006E174B">
        <w:t>s</w:t>
      </w:r>
      <w:r w:rsidR="000D3E55">
        <w:t xml:space="preserve">tation website posting </w:t>
      </w:r>
      <w:r w:rsidR="005A4F36">
        <w:t xml:space="preserve">obligation </w:t>
      </w:r>
      <w:r w:rsidR="00522BA0">
        <w:t>has been in place since</w:t>
      </w:r>
      <w:r w:rsidR="00FB653D">
        <w:t xml:space="preserve"> the adoption of the </w:t>
      </w:r>
      <w:r w:rsidR="00725F3E">
        <w:t>current EEO regulatory program in 2003</w:t>
      </w:r>
      <w:r w:rsidR="003F664B">
        <w:t>.</w:t>
      </w:r>
      <w:r>
        <w:rPr>
          <w:rStyle w:val="FootnoteReference"/>
        </w:rPr>
        <w:footnoteReference w:id="75"/>
      </w:r>
    </w:p>
    <w:p w:rsidR="00FD3262" w:rsidP="00677E9C" w14:paraId="591B6A51" w14:textId="240F2945">
      <w:pPr>
        <w:pStyle w:val="ParaNum"/>
        <w:widowControl/>
      </w:pPr>
      <w:r w:rsidRPr="001202CC">
        <w:t xml:space="preserve">Additionally, as we already </w:t>
      </w:r>
      <w:r w:rsidRPr="001202CC" w:rsidR="006F4D3C">
        <w:t>stated</w:t>
      </w:r>
      <w:r w:rsidRPr="001202CC">
        <w:t xml:space="preserve">, </w:t>
      </w:r>
      <w:r w:rsidRPr="001202CC" w:rsidR="006A60AB">
        <w:t>where lapses occur in maintaining the public file, neither the negligent acts or omissions of station employees or agents, nor the subsequent remedial actions undertaken by the licensee, excuse or nullify a licensee</w:t>
      </w:r>
      <w:r w:rsidRPr="001202CC">
        <w:t>’</w:t>
      </w:r>
      <w:r w:rsidRPr="001202CC" w:rsidR="006A60AB">
        <w:t>s rule violation</w:t>
      </w:r>
      <w:r w:rsidRPr="001202CC">
        <w:t>.</w:t>
      </w:r>
      <w:r>
        <w:rPr>
          <w:rStyle w:val="FootnoteReference"/>
          <w:sz w:val="22"/>
        </w:rPr>
        <w:footnoteReference w:id="76"/>
      </w:r>
      <w:r w:rsidRPr="001202CC" w:rsidR="00FD06CC">
        <w:t xml:space="preserve">  </w:t>
      </w:r>
      <w:r w:rsidR="00155D6B">
        <w:t xml:space="preserve">Although </w:t>
      </w:r>
      <w:r w:rsidR="00AB6D16">
        <w:t xml:space="preserve">Cumulus contends that </w:t>
      </w:r>
      <w:r w:rsidR="00155D6B">
        <w:t>the employee responsible for uploading the</w:t>
      </w:r>
      <w:r w:rsidR="005F1A89">
        <w:t xml:space="preserve"> Annual Report is no longer employed with </w:t>
      </w:r>
      <w:r w:rsidR="00AB6D16">
        <w:t>it</w:t>
      </w:r>
      <w:r w:rsidR="005F1A89">
        <w:t xml:space="preserve">, </w:t>
      </w:r>
      <w:r w:rsidR="000E0487">
        <w:t xml:space="preserve">Commission precedent has held </w:t>
      </w:r>
      <w:r w:rsidR="005C40CE">
        <w:t>a licensee liable</w:t>
      </w:r>
      <w:r w:rsidR="00DF35F4">
        <w:t xml:space="preserve"> </w:t>
      </w:r>
      <w:r w:rsidR="005C40CE">
        <w:t xml:space="preserve">for the actions of </w:t>
      </w:r>
      <w:r w:rsidR="00340877">
        <w:t>a</w:t>
      </w:r>
      <w:r w:rsidR="00083D3C">
        <w:t xml:space="preserve"> </w:t>
      </w:r>
      <w:r w:rsidR="00D12647">
        <w:t>terminated</w:t>
      </w:r>
      <w:r w:rsidR="00083D3C">
        <w:t xml:space="preserve"> </w:t>
      </w:r>
      <w:r w:rsidR="00340877">
        <w:t>employee</w:t>
      </w:r>
      <w:r w:rsidR="000E0487">
        <w:t xml:space="preserve"> </w:t>
      </w:r>
      <w:r w:rsidR="004E021A">
        <w:t>whe</w:t>
      </w:r>
      <w:r w:rsidR="00D12647">
        <w:t>re</w:t>
      </w:r>
      <w:r w:rsidR="000E0487">
        <w:t xml:space="preserve"> </w:t>
      </w:r>
      <w:r w:rsidR="00083D3C">
        <w:t xml:space="preserve">the </w:t>
      </w:r>
      <w:r w:rsidR="000F107B">
        <w:t>violative conduct</w:t>
      </w:r>
      <w:r w:rsidR="00D747D9">
        <w:t xml:space="preserve"> arose during the </w:t>
      </w:r>
      <w:r w:rsidR="00A56C77">
        <w:t>time of employment.</w:t>
      </w:r>
      <w:r>
        <w:rPr>
          <w:rStyle w:val="FootnoteReference"/>
        </w:rPr>
        <w:footnoteReference w:id="77"/>
      </w:r>
      <w:r w:rsidR="00A56C77">
        <w:t xml:space="preserve">  </w:t>
      </w:r>
      <w:r w:rsidRPr="001202CC" w:rsidR="00114FBC">
        <w:t>Thus,</w:t>
      </w:r>
      <w:r w:rsidRPr="001202CC">
        <w:t xml:space="preserve"> </w:t>
      </w:r>
      <w:r w:rsidRPr="001202CC" w:rsidR="00114FBC">
        <w:t xml:space="preserve">Cumulus has provided no justification for </w:t>
      </w:r>
      <w:r w:rsidRPr="001202CC" w:rsidR="00E95CD6">
        <w:t>a lower forfeiture or</w:t>
      </w:r>
      <w:r w:rsidRPr="001202CC" w:rsidR="00367FB3">
        <w:t xml:space="preserve"> admonishment </w:t>
      </w:r>
      <w:r w:rsidRPr="001202CC" w:rsidR="00114FBC">
        <w:t>on these bases</w:t>
      </w:r>
      <w:r w:rsidR="00B4194B">
        <w:t>.</w:t>
      </w:r>
    </w:p>
    <w:p w:rsidR="00D156B8" w:rsidP="00FF0954" w14:paraId="479BDEC7" w14:textId="02A05E3D">
      <w:pPr>
        <w:pStyle w:val="Heading3"/>
      </w:pPr>
      <w:r w:rsidRPr="00D2210C">
        <w:t xml:space="preserve">Although We Affirm </w:t>
      </w:r>
      <w:r w:rsidR="00FE4C3F">
        <w:t>t</w:t>
      </w:r>
      <w:r w:rsidRPr="00D2210C">
        <w:t xml:space="preserve">he Violations </w:t>
      </w:r>
      <w:r w:rsidR="00FE4C3F">
        <w:t>i</w:t>
      </w:r>
      <w:r w:rsidRPr="00D2210C">
        <w:t xml:space="preserve">n the </w:t>
      </w:r>
      <w:r w:rsidRPr="007B06C7">
        <w:rPr>
          <w:i/>
          <w:iCs/>
        </w:rPr>
        <w:t>NAL</w:t>
      </w:r>
      <w:r w:rsidR="003152F5">
        <w:t>,</w:t>
      </w:r>
      <w:r w:rsidRPr="00D2210C">
        <w:t xml:space="preserve"> We Rescind </w:t>
      </w:r>
      <w:r w:rsidR="00FE4C3F">
        <w:t>t</w:t>
      </w:r>
      <w:r w:rsidRPr="00D2210C">
        <w:t>he Forfeiture Amount for One Violation</w:t>
      </w:r>
      <w:r>
        <w:rPr>
          <w:rStyle w:val="cf01"/>
        </w:rPr>
        <w:t xml:space="preserve"> </w:t>
      </w:r>
    </w:p>
    <w:p w:rsidR="00402B61" w:rsidRPr="0090070D" w:rsidP="009C0155" w14:paraId="48AD7E04" w14:textId="1363CB64">
      <w:pPr>
        <w:pStyle w:val="ParaNum"/>
        <w:widowControl/>
      </w:pPr>
      <w:r w:rsidRPr="0090070D">
        <w:t xml:space="preserve">We recognize, however, that we have not previously imposed a forfeiture for failing to analyze a station’s EEO program in violation of section 73.2080(c)(3) based solely on the failure to post or upload an annual EEO public file report in a timely manner.  Although nothing in our case law suggests that such </w:t>
      </w:r>
      <w:r w:rsidR="001A1870">
        <w:t xml:space="preserve">a </w:t>
      </w:r>
      <w:r w:rsidRPr="0090070D">
        <w:t xml:space="preserve">failure does not also amount to a violation of our self-assessment rule, Cumulus may not have had the requisite notice of the imposition of a separate forfeiture associated with its violation of section 73.2080(c)(3) in this particular instance.  </w:t>
      </w:r>
      <w:r w:rsidRPr="0090070D" w:rsidR="001B5B9D">
        <w:t xml:space="preserve">Accordingly, we rescind the forfeiture amount of $6,000 for </w:t>
      </w:r>
      <w:r w:rsidRPr="0090070D">
        <w:t>the</w:t>
      </w:r>
      <w:r w:rsidRPr="0090070D" w:rsidR="001B5B9D">
        <w:t xml:space="preserve"> violation </w:t>
      </w:r>
      <w:r w:rsidRPr="0090070D">
        <w:t xml:space="preserve">of section 73.2080(c)(3).  We reiterate that making an EEO report publicly available is an essential part of the self-assessment required of broadcast stations under section 73.2080(c)(3).  Going forward, </w:t>
      </w:r>
      <w:r w:rsidRPr="0090070D" w:rsidR="001B5B9D">
        <w:t>Cumulus and all other licensees</w:t>
      </w:r>
      <w:r w:rsidRPr="0090070D">
        <w:t xml:space="preserve"> are on notice that the Commission in the future will consider </w:t>
      </w:r>
      <w:r w:rsidR="00E44F9E">
        <w:t>the timeliness</w:t>
      </w:r>
      <w:r w:rsidR="000D6FF2">
        <w:t xml:space="preserve"> of </w:t>
      </w:r>
      <w:r w:rsidR="00FE6A8F">
        <w:t xml:space="preserve">posting </w:t>
      </w:r>
      <w:r w:rsidR="000D6FF2">
        <w:t>an Annual Report</w:t>
      </w:r>
      <w:r w:rsidR="000E4AE2">
        <w:t xml:space="preserve"> to the public inspection file</w:t>
      </w:r>
      <w:r w:rsidR="000D6FF2">
        <w:t xml:space="preserve">, including specifically the length of </w:t>
      </w:r>
      <w:r w:rsidR="00DA34FC">
        <w:t xml:space="preserve">time constituting a failure to timely </w:t>
      </w:r>
      <w:r w:rsidR="00B81E96">
        <w:t xml:space="preserve">post </w:t>
      </w:r>
      <w:r w:rsidR="00DA34FC">
        <w:t>such a report, as one factor among the totality of circumstances</w:t>
      </w:r>
      <w:r w:rsidR="008941F3">
        <w:t xml:space="preserve"> indicating</w:t>
      </w:r>
      <w:r w:rsidR="00DA34FC">
        <w:t xml:space="preserve"> </w:t>
      </w:r>
      <w:r w:rsidR="008941F3">
        <w:t xml:space="preserve">whether </w:t>
      </w:r>
      <w:r w:rsidR="00902EDA">
        <w:t xml:space="preserve">a Station </w:t>
      </w:r>
      <w:r w:rsidR="00DA2B23">
        <w:t>has met its obligation</w:t>
      </w:r>
      <w:r w:rsidR="00777FED">
        <w:t>s under our section 73.2080(c)(3) EEO self-assessment rule.</w:t>
      </w:r>
      <w:r w:rsidRPr="0090070D" w:rsidR="001B5B9D">
        <w:t xml:space="preserve">  </w:t>
      </w:r>
    </w:p>
    <w:p w:rsidR="003343CA" w:rsidRPr="001202CC" w:rsidP="004024B5" w14:paraId="02ED271E" w14:textId="1EBD674F">
      <w:pPr>
        <w:pStyle w:val="Heading3"/>
      </w:pPr>
      <w:r w:rsidRPr="001202CC">
        <w:t>The FCC</w:t>
      </w:r>
      <w:r w:rsidRPr="001202CC" w:rsidR="00B4571C">
        <w:t xml:space="preserve"> Appropriately Considered </w:t>
      </w:r>
      <w:r w:rsidRPr="001202CC" w:rsidR="00367FB3">
        <w:t>Past Violations</w:t>
      </w:r>
    </w:p>
    <w:p w:rsidR="006E4D71" w:rsidRPr="001202CC" w:rsidP="008A154E" w14:paraId="5E788C01" w14:textId="629B568D">
      <w:pPr>
        <w:pStyle w:val="ParaNum"/>
      </w:pPr>
      <w:r w:rsidRPr="001202CC">
        <w:t xml:space="preserve">We properly </w:t>
      </w:r>
      <w:r w:rsidRPr="001202CC" w:rsidR="002B3114">
        <w:t>considered Cumulus’</w:t>
      </w:r>
      <w:r w:rsidR="00CF5332">
        <w:t>s</w:t>
      </w:r>
      <w:r w:rsidRPr="001202CC" w:rsidR="002B3114">
        <w:t xml:space="preserve"> prior history of Commission rule violations</w:t>
      </w:r>
      <w:r w:rsidR="001A1870">
        <w:t>—</w:t>
      </w:r>
      <w:r w:rsidRPr="001202CC" w:rsidR="002B3114">
        <w:t>particularly, Cumulus’</w:t>
      </w:r>
      <w:r w:rsidR="00CF5332">
        <w:t>s</w:t>
      </w:r>
      <w:r w:rsidRPr="001202CC" w:rsidR="002B3114">
        <w:t xml:space="preserve"> prior violations of the EEO rules</w:t>
      </w:r>
      <w:r w:rsidR="001A1870">
        <w:t>—</w:t>
      </w:r>
      <w:r w:rsidRPr="001202CC" w:rsidR="002B3114">
        <w:t>when setting the penalty in this case.</w:t>
      </w:r>
      <w:r w:rsidRPr="001202CC" w:rsidR="00F44178">
        <w:t xml:space="preserve">  Cumulus claims the upward adjustment from $10,000 to $26,0000 based on past </w:t>
      </w:r>
      <w:r w:rsidRPr="001202CC" w:rsidR="003814E3">
        <w:t xml:space="preserve">EEO </w:t>
      </w:r>
      <w:r w:rsidRPr="001202CC" w:rsidR="00F44178">
        <w:t>violations</w:t>
      </w:r>
      <w:r w:rsidRPr="001202CC" w:rsidR="003814E3">
        <w:t xml:space="preserve"> in 2008 and 2017</w:t>
      </w:r>
      <w:r w:rsidR="001A1870">
        <w:t>,</w:t>
      </w:r>
      <w:r w:rsidRPr="001202CC" w:rsidR="00F44178">
        <w:t xml:space="preserve"> </w:t>
      </w:r>
      <w:r w:rsidRPr="001202CC" w:rsidR="003814E3">
        <w:t xml:space="preserve">and a variety of unrelated past violations dating </w:t>
      </w:r>
      <w:r w:rsidR="001A1870">
        <w:t xml:space="preserve">back </w:t>
      </w:r>
      <w:r w:rsidRPr="001202CC" w:rsidR="003814E3">
        <w:t xml:space="preserve">to </w:t>
      </w:r>
      <w:r w:rsidRPr="001202CC" w:rsidR="00F44178">
        <w:t>2003 is unjust</w:t>
      </w:r>
      <w:r w:rsidRPr="001202CC" w:rsidR="00D056BF">
        <w:t>,</w:t>
      </w:r>
      <w:r>
        <w:rPr>
          <w:rStyle w:val="FootnoteReference"/>
          <w:sz w:val="22"/>
        </w:rPr>
        <w:footnoteReference w:id="78"/>
      </w:r>
      <w:r w:rsidRPr="001202CC" w:rsidR="00D056BF">
        <w:t xml:space="preserve"> as the upward </w:t>
      </w:r>
      <w:r w:rsidRPr="001202CC" w:rsidR="00D056BF">
        <w:t>adjustment amounts to a punishment for the past misdeeds of others</w:t>
      </w:r>
      <w:r>
        <w:rPr>
          <w:rStyle w:val="FootnoteReference"/>
          <w:sz w:val="22"/>
        </w:rPr>
        <w:footnoteReference w:id="79"/>
      </w:r>
      <w:r w:rsidRPr="001202CC" w:rsidR="00683332">
        <w:t xml:space="preserve"> given that Cumulus’</w:t>
      </w:r>
      <w:r w:rsidR="00CF5332">
        <w:t>s</w:t>
      </w:r>
      <w:r w:rsidRPr="001202CC" w:rsidR="00683332">
        <w:t xml:space="preserve"> ownership structure changed substantially during the time of the cited violations (2003 to the present).</w:t>
      </w:r>
      <w:r>
        <w:rPr>
          <w:rStyle w:val="FootnoteReference"/>
          <w:sz w:val="22"/>
        </w:rPr>
        <w:footnoteReference w:id="80"/>
      </w:r>
      <w:r w:rsidRPr="001202CC" w:rsidR="00683332">
        <w:t xml:space="preserve">  </w:t>
      </w:r>
      <w:r w:rsidRPr="001202CC" w:rsidR="00F44178">
        <w:t xml:space="preserve">Cumulus </w:t>
      </w:r>
      <w:r w:rsidRPr="001202CC" w:rsidR="0025078C">
        <w:t>acknowledges</w:t>
      </w:r>
      <w:r w:rsidRPr="001202CC" w:rsidR="00F44178">
        <w:t xml:space="preserve"> that a licensee is accountable for the base forfeiture for past violations despite a subsequent transfer of control, as the licensee remains responsible for </w:t>
      </w:r>
      <w:r w:rsidRPr="001202CC" w:rsidR="0025078C">
        <w:t xml:space="preserve">such </w:t>
      </w:r>
      <w:r w:rsidRPr="001202CC" w:rsidR="00F44178">
        <w:t>past violations.</w:t>
      </w:r>
      <w:r>
        <w:rPr>
          <w:rStyle w:val="FootnoteReference"/>
          <w:sz w:val="22"/>
        </w:rPr>
        <w:footnoteReference w:id="81"/>
      </w:r>
      <w:r w:rsidRPr="001202CC" w:rsidR="00F44178">
        <w:t xml:space="preserve">  Nevertheless, Cumulus claims that the FCC is not required to adjust a base forfeiture</w:t>
      </w:r>
      <w:r w:rsidR="001A1870">
        <w:t xml:space="preserve"> upwardly</w:t>
      </w:r>
      <w:r w:rsidRPr="001202CC" w:rsidR="00F44178">
        <w:t xml:space="preserve"> based on past violations despite a subsequent transfer of control.</w:t>
      </w:r>
      <w:r>
        <w:rPr>
          <w:rStyle w:val="FootnoteReference"/>
          <w:sz w:val="22"/>
        </w:rPr>
        <w:footnoteReference w:id="82"/>
      </w:r>
      <w:r w:rsidRPr="001202CC" w:rsidR="00F44178">
        <w:t xml:space="preserve">  According to Cumulus, the FCC should consider “specific factors,” citing </w:t>
      </w:r>
      <w:r w:rsidRPr="001202CC" w:rsidR="00F44178">
        <w:rPr>
          <w:i/>
          <w:iCs/>
        </w:rPr>
        <w:t>WLDI</w:t>
      </w:r>
      <w:r w:rsidRPr="001202CC" w:rsidR="00E81F36">
        <w:rPr>
          <w:i/>
          <w:iCs/>
        </w:rPr>
        <w:t>, Inc.</w:t>
      </w:r>
      <w:r>
        <w:rPr>
          <w:rStyle w:val="FootnoteReference"/>
          <w:sz w:val="22"/>
        </w:rPr>
        <w:footnoteReference w:id="83"/>
      </w:r>
      <w:r w:rsidR="003D1AE2">
        <w:rPr>
          <w:i/>
          <w:iCs/>
        </w:rPr>
        <w:t xml:space="preserve"> </w:t>
      </w:r>
      <w:r w:rsidRPr="001202CC" w:rsidR="00F44178">
        <w:t xml:space="preserve">and </w:t>
      </w:r>
      <w:r w:rsidRPr="001202CC" w:rsidR="00F44178">
        <w:rPr>
          <w:i/>
          <w:iCs/>
        </w:rPr>
        <w:t xml:space="preserve">Citadel </w:t>
      </w:r>
      <w:r w:rsidRPr="001202CC" w:rsidR="00E81F36">
        <w:rPr>
          <w:i/>
          <w:iCs/>
        </w:rPr>
        <w:t>Broadcasting Company</w:t>
      </w:r>
      <w:r>
        <w:rPr>
          <w:rStyle w:val="FootnoteReference"/>
          <w:sz w:val="22"/>
        </w:rPr>
        <w:footnoteReference w:id="84"/>
      </w:r>
      <w:r w:rsidRPr="001202CC" w:rsidR="00787322">
        <w:t xml:space="preserve"> </w:t>
      </w:r>
      <w:r w:rsidRPr="001202CC" w:rsidR="00F44178">
        <w:t xml:space="preserve">and pointing to the fact that the employee responsible for the violation left the company soon after the uploading deadline, </w:t>
      </w:r>
      <w:r w:rsidR="00D3480C">
        <w:t>followed by</w:t>
      </w:r>
      <w:r w:rsidRPr="001202CC" w:rsidR="00D3480C">
        <w:t xml:space="preserve"> </w:t>
      </w:r>
      <w:r w:rsidRPr="001202CC" w:rsidR="00F44178">
        <w:t xml:space="preserve">the </w:t>
      </w:r>
      <w:r w:rsidR="00D3480C">
        <w:t xml:space="preserve">sale of the </w:t>
      </w:r>
      <w:r w:rsidRPr="001202CC" w:rsidR="00F44178">
        <w:t xml:space="preserve">Albany stations to a new owner, and </w:t>
      </w:r>
      <w:r w:rsidR="00D3480C">
        <w:t xml:space="preserve">the departure </w:t>
      </w:r>
      <w:r w:rsidRPr="001202CC" w:rsidR="00F44178">
        <w:t xml:space="preserve">of </w:t>
      </w:r>
      <w:r w:rsidR="00D3480C">
        <w:t xml:space="preserve">all </w:t>
      </w:r>
      <w:r w:rsidRPr="001202CC" w:rsidR="00F44178">
        <w:t xml:space="preserve">the market employees </w:t>
      </w:r>
      <w:r w:rsidR="00D3480C">
        <w:t>from</w:t>
      </w:r>
      <w:r w:rsidRPr="001202CC" w:rsidR="00D3480C">
        <w:t xml:space="preserve"> </w:t>
      </w:r>
      <w:r w:rsidRPr="001202CC" w:rsidR="00F44178">
        <w:t>Cumulus.</w:t>
      </w:r>
      <w:r>
        <w:rPr>
          <w:rStyle w:val="FootnoteReference"/>
          <w:sz w:val="22"/>
        </w:rPr>
        <w:footnoteReference w:id="85"/>
      </w:r>
      <w:r w:rsidRPr="001202CC" w:rsidR="00F44178">
        <w:t xml:space="preserve">  </w:t>
      </w:r>
      <w:r w:rsidRPr="001202CC" w:rsidR="00D67CDF">
        <w:t>Cumulus argues that</w:t>
      </w:r>
      <w:r w:rsidRPr="001202CC" w:rsidR="00F44178">
        <w:t xml:space="preserve"> the FCC improperly failed to consider the degree of culpability in prior violations cited in the </w:t>
      </w:r>
      <w:r w:rsidRPr="001202CC" w:rsidR="00F44178">
        <w:rPr>
          <w:i/>
          <w:iCs/>
        </w:rPr>
        <w:t>NAL</w:t>
      </w:r>
      <w:r w:rsidRPr="001202CC" w:rsidR="00F44178">
        <w:t>, including that</w:t>
      </w:r>
      <w:r w:rsidRPr="001202CC" w:rsidR="00D67CDF">
        <w:t xml:space="preserve"> </w:t>
      </w:r>
      <w:r w:rsidRPr="001202CC" w:rsidR="00F44178">
        <w:t>Cumulus underwent transfers of control in 2012 and 2018</w:t>
      </w:r>
      <w:r w:rsidRPr="001202CC" w:rsidR="00D67CDF">
        <w:t xml:space="preserve"> and </w:t>
      </w:r>
      <w:r w:rsidRPr="001202CC" w:rsidR="00F44178">
        <w:t>the management team in charge of Cumulus changed substantially since those prior violations occurred</w:t>
      </w:r>
      <w:r w:rsidRPr="001202CC" w:rsidR="00EC5BB1">
        <w:t>; according to Cumulus, there was no participation nor any degree of culpability by the board members or the management team in earlier violations.</w:t>
      </w:r>
      <w:r>
        <w:rPr>
          <w:rStyle w:val="FootnoteReference"/>
          <w:sz w:val="22"/>
        </w:rPr>
        <w:footnoteReference w:id="86"/>
      </w:r>
      <w:r w:rsidRPr="001202CC" w:rsidR="008A154E">
        <w:t xml:space="preserve">  Accordingly, </w:t>
      </w:r>
      <w:r w:rsidRPr="001202CC" w:rsidR="00F44178">
        <w:t>Cumulus urges the FCC to use its discretion and reconsider its upward adjustment of the proposed forfeiture.</w:t>
      </w:r>
      <w:r>
        <w:rPr>
          <w:rStyle w:val="FootnoteReference"/>
          <w:sz w:val="22"/>
        </w:rPr>
        <w:footnoteReference w:id="87"/>
      </w:r>
      <w:r w:rsidRPr="001202CC" w:rsidR="00F44178">
        <w:t xml:space="preserve">   </w:t>
      </w:r>
      <w:r w:rsidRPr="001202CC" w:rsidR="008169AE">
        <w:t xml:space="preserve">  </w:t>
      </w:r>
      <w:r w:rsidRPr="001202CC" w:rsidR="002B3114">
        <w:t xml:space="preserve"> </w:t>
      </w:r>
    </w:p>
    <w:p w:rsidR="00A33633" w:rsidRPr="001202CC" w:rsidP="004F2A7B" w14:paraId="0C6535EE" w14:textId="4BDB5301">
      <w:pPr>
        <w:pStyle w:val="ParaNum"/>
      </w:pPr>
      <w:r w:rsidRPr="001202CC">
        <w:t>We d</w:t>
      </w:r>
      <w:r w:rsidRPr="001202CC" w:rsidR="0065504B">
        <w:t>ecline to reduce or eliminate our upward adjustment of the proposed forfeiture based on Cumulus’</w:t>
      </w:r>
      <w:r w:rsidR="00CF5332">
        <w:t>s</w:t>
      </w:r>
      <w:r w:rsidRPr="001202CC" w:rsidR="0065504B">
        <w:t xml:space="preserve"> arguments concerning its past violations.</w:t>
      </w:r>
      <w:r w:rsidRPr="001202CC" w:rsidR="00C109D0">
        <w:t xml:space="preserve">  </w:t>
      </w:r>
      <w:r w:rsidRPr="001202CC" w:rsidR="0079362D">
        <w:t>As Cumulus knows, we previously addressed</w:t>
      </w:r>
      <w:r w:rsidRPr="001202CC" w:rsidR="00504B2F">
        <w:t xml:space="preserve"> and rejected</w:t>
      </w:r>
      <w:r w:rsidRPr="001202CC" w:rsidR="0079362D">
        <w:t xml:space="preserve"> similar arguments in a case</w:t>
      </w:r>
      <w:r w:rsidRPr="001202CC" w:rsidR="00AE40C0">
        <w:t xml:space="preserve"> against Cumulus entities</w:t>
      </w:r>
      <w:r w:rsidRPr="001202CC" w:rsidR="0079362D">
        <w:t>.</w:t>
      </w:r>
      <w:r>
        <w:rPr>
          <w:rStyle w:val="FootnoteReference"/>
          <w:sz w:val="22"/>
        </w:rPr>
        <w:footnoteReference w:id="88"/>
      </w:r>
      <w:r w:rsidRPr="001202CC" w:rsidR="0079362D">
        <w:t xml:space="preserve">  As we explained</w:t>
      </w:r>
      <w:r w:rsidRPr="001202CC" w:rsidR="00AB6292">
        <w:t xml:space="preserve"> in that case</w:t>
      </w:r>
      <w:r w:rsidRPr="001202CC" w:rsidR="0079362D">
        <w:t>, c</w:t>
      </w:r>
      <w:r w:rsidRPr="001202CC" w:rsidR="00C109D0">
        <w:t>onsideration of a licensee’s full enforcement history, including all its prior rule violations, is relevant to the issue of whether upward adjustment is appropriate in a particular proceeding, notwithstanding that those violations occurred prior to that licensee’s transfer of control.</w:t>
      </w:r>
      <w:r>
        <w:rPr>
          <w:rStyle w:val="FootnoteReference"/>
          <w:sz w:val="22"/>
        </w:rPr>
        <w:footnoteReference w:id="89"/>
      </w:r>
      <w:r w:rsidRPr="001202CC" w:rsidR="00852869">
        <w:t xml:space="preserve">  Such an evaluation is consistent with long-settled Commission precedent that licensees remain liable for rule violations even when the violations occur prior to transfer of control of a licensee’s stock.</w:t>
      </w:r>
      <w:r>
        <w:rPr>
          <w:rStyle w:val="FootnoteReference"/>
          <w:sz w:val="22"/>
        </w:rPr>
        <w:footnoteReference w:id="90"/>
      </w:r>
      <w:r w:rsidRPr="001202CC" w:rsidR="00282B89">
        <w:t xml:space="preserve">  Indeed, when considering forfeitures, the Commission is </w:t>
      </w:r>
      <w:r w:rsidRPr="001202CC" w:rsidR="00282B89">
        <w:rPr>
          <w:i/>
          <w:iCs/>
        </w:rPr>
        <w:t>required</w:t>
      </w:r>
      <w:r w:rsidRPr="001202CC" w:rsidR="00282B89">
        <w:t xml:space="preserve"> under the Act to consider a violator’s history of prior </w:t>
      </w:r>
      <w:r w:rsidRPr="001202CC" w:rsidR="00282B89">
        <w:t>offenses.</w:t>
      </w:r>
      <w:r>
        <w:rPr>
          <w:rStyle w:val="FootnoteReference"/>
          <w:sz w:val="22"/>
        </w:rPr>
        <w:footnoteReference w:id="91"/>
      </w:r>
      <w:r w:rsidRPr="001202CC" w:rsidR="004F2A7B">
        <w:t xml:space="preserve">  Further, the Commission has held that when determining the amount of a forfeiture, it is not significant that control of a company was acquired after the violation occurred.</w:t>
      </w:r>
      <w:r>
        <w:rPr>
          <w:rStyle w:val="FootnoteReference"/>
          <w:sz w:val="22"/>
        </w:rPr>
        <w:footnoteReference w:id="92"/>
      </w:r>
      <w:r w:rsidRPr="001202CC" w:rsidR="0065504B">
        <w:t xml:space="preserve"> </w:t>
      </w:r>
    </w:p>
    <w:p w:rsidR="00E91E79" w:rsidRPr="001202CC" w:rsidP="004E215B" w14:paraId="53A24845" w14:textId="5ACEBF0F">
      <w:pPr>
        <w:pStyle w:val="ParaNum"/>
      </w:pPr>
      <w:r w:rsidRPr="001202CC">
        <w:t>Cumulus’</w:t>
      </w:r>
      <w:r w:rsidR="00CF5332">
        <w:t>s</w:t>
      </w:r>
      <w:r w:rsidRPr="001202CC">
        <w:t xml:space="preserve"> reliance on Enforcement Bureau case </w:t>
      </w:r>
      <w:r w:rsidRPr="001202CC">
        <w:rPr>
          <w:i/>
          <w:iCs/>
        </w:rPr>
        <w:t>WLDI, Inc.</w:t>
      </w:r>
      <w:r>
        <w:rPr>
          <w:rStyle w:val="FootnoteReference"/>
          <w:sz w:val="22"/>
        </w:rPr>
        <w:footnoteReference w:id="93"/>
      </w:r>
      <w:r w:rsidR="00B1500C">
        <w:rPr>
          <w:i/>
          <w:iCs/>
        </w:rPr>
        <w:t xml:space="preserve"> </w:t>
      </w:r>
      <w:r w:rsidRPr="001202CC">
        <w:t xml:space="preserve">and Media Bureau’s Audio Division case </w:t>
      </w:r>
      <w:r w:rsidRPr="001202CC">
        <w:rPr>
          <w:i/>
          <w:iCs/>
        </w:rPr>
        <w:t>Citadel Broadcasting Company</w:t>
      </w:r>
      <w:r>
        <w:rPr>
          <w:rStyle w:val="FootnoteReference"/>
          <w:sz w:val="22"/>
        </w:rPr>
        <w:footnoteReference w:id="94"/>
      </w:r>
      <w:r w:rsidRPr="001202CC">
        <w:t xml:space="preserve"> is misplaced</w:t>
      </w:r>
      <w:r w:rsidRPr="001202CC" w:rsidR="008A186B">
        <w:t>.  The Commission is not bound by any decision of one of its bureaus</w:t>
      </w:r>
      <w:r w:rsidRPr="001202CC" w:rsidR="00D25AE8">
        <w:t>.</w:t>
      </w:r>
      <w:r>
        <w:rPr>
          <w:rStyle w:val="FootnoteReference"/>
          <w:sz w:val="22"/>
        </w:rPr>
        <w:footnoteReference w:id="95"/>
      </w:r>
      <w:r w:rsidRPr="001202CC" w:rsidR="004B6FF9">
        <w:t xml:space="preserve">  In addition, the Commission has discretion to increase or decrease a forfeiture based on the unique facts of a case and is not bound by forfeitures in other cases involving different circumstances.</w:t>
      </w:r>
      <w:r>
        <w:rPr>
          <w:rStyle w:val="FootnoteReference"/>
          <w:sz w:val="22"/>
        </w:rPr>
        <w:footnoteReference w:id="96"/>
      </w:r>
      <w:r w:rsidRPr="001202CC" w:rsidR="00AB341E">
        <w:t xml:space="preserve">  </w:t>
      </w:r>
    </w:p>
    <w:p w:rsidR="0063675E" w:rsidRPr="001202CC" w:rsidP="006113AC" w14:paraId="380D164F" w14:textId="19AFAE39">
      <w:pPr>
        <w:pStyle w:val="ParaNum"/>
      </w:pPr>
      <w:r w:rsidRPr="001202CC">
        <w:t>Moreover, Cumulus’</w:t>
      </w:r>
      <w:r w:rsidR="00CF5332">
        <w:t>s</w:t>
      </w:r>
      <w:r w:rsidRPr="001202CC">
        <w:t xml:space="preserve"> implication that it is a </w:t>
      </w:r>
      <w:bookmarkStart w:id="17" w:name="_Hlk146883665"/>
      <w:r w:rsidRPr="001202CC">
        <w:t xml:space="preserve">drastically different organization post-transfer </w:t>
      </w:r>
      <w:bookmarkEnd w:id="17"/>
      <w:r w:rsidRPr="001202CC">
        <w:t xml:space="preserve">is belied by the fact that its core senior management </w:t>
      </w:r>
      <w:r w:rsidR="00A041CB">
        <w:t xml:space="preserve">team </w:t>
      </w:r>
      <w:r w:rsidRPr="001202CC">
        <w:t>remained unchanged by the 2018 transfer of control.</w:t>
      </w:r>
      <w:r w:rsidRPr="001202CC" w:rsidR="00874478">
        <w:t xml:space="preserve">  Cumulus Media, Inc.’s President and Chief Executive Officer, Mary G. Berner, continued to serve in the same capacity.</w:t>
      </w:r>
      <w:r>
        <w:rPr>
          <w:rStyle w:val="FootnoteReference"/>
          <w:sz w:val="22"/>
        </w:rPr>
        <w:footnoteReference w:id="97"/>
      </w:r>
      <w:r w:rsidRPr="001202CC" w:rsidR="002823CF">
        <w:t xml:space="preserve">  Likewise, the transfer of control left the company’s chief financial officer and general counsel in place</w:t>
      </w:r>
      <w:r w:rsidRPr="001202CC" w:rsidR="00692D2E">
        <w:t>.</w:t>
      </w:r>
      <w:r>
        <w:rPr>
          <w:rStyle w:val="FootnoteReference"/>
          <w:sz w:val="22"/>
        </w:rPr>
        <w:footnoteReference w:id="98"/>
      </w:r>
      <w:r w:rsidRPr="001202CC" w:rsidR="00692D2E">
        <w:t xml:space="preserve">  Even Cumulus acknowledges that the general counsel remained in his position during this period, </w:t>
      </w:r>
      <w:r w:rsidRPr="001202CC" w:rsidR="008859D6">
        <w:t>though also noting</w:t>
      </w:r>
      <w:r w:rsidRPr="001202CC" w:rsidR="00692D2E">
        <w:t xml:space="preserve"> his role is “advisory” without ultimate decision-making over station employees and their job responsibilities.</w:t>
      </w:r>
      <w:r>
        <w:rPr>
          <w:rStyle w:val="FootnoteReference"/>
          <w:sz w:val="22"/>
        </w:rPr>
        <w:footnoteReference w:id="99"/>
      </w:r>
      <w:r w:rsidRPr="001202CC" w:rsidR="00692D2E">
        <w:t xml:space="preserve"> </w:t>
      </w:r>
    </w:p>
    <w:p w:rsidR="003343CA" w:rsidRPr="001202CC" w:rsidP="004024B5" w14:paraId="76A2D61E" w14:textId="5A700B82">
      <w:pPr>
        <w:pStyle w:val="Heading3"/>
      </w:pPr>
      <w:r w:rsidRPr="001202CC">
        <w:t xml:space="preserve">The FCC </w:t>
      </w:r>
      <w:r w:rsidRPr="001202CC" w:rsidR="00CC7CF5">
        <w:t>Properly</w:t>
      </w:r>
      <w:r w:rsidRPr="001202CC">
        <w:t xml:space="preserve"> Considered</w:t>
      </w:r>
      <w:r w:rsidRPr="001202CC" w:rsidR="00A67746">
        <w:t xml:space="preserve"> Cumulus’</w:t>
      </w:r>
      <w:r w:rsidR="00CF5332">
        <w:t>s</w:t>
      </w:r>
      <w:r w:rsidRPr="001202CC">
        <w:t xml:space="preserve"> Pre-Reorganization Conduct</w:t>
      </w:r>
      <w:r w:rsidRPr="001202CC" w:rsidR="00A67746">
        <w:t xml:space="preserve"> </w:t>
      </w:r>
      <w:r w:rsidRPr="001202CC">
        <w:t xml:space="preserve"> </w:t>
      </w:r>
    </w:p>
    <w:p w:rsidR="00D42FEB" w:rsidRPr="001202CC" w:rsidP="008F7F22" w14:paraId="31D6DCD2" w14:textId="34039943">
      <w:pPr>
        <w:pStyle w:val="ParaNum"/>
      </w:pPr>
      <w:r w:rsidRPr="001202CC">
        <w:t xml:space="preserve">We </w:t>
      </w:r>
      <w:r w:rsidRPr="001202CC" w:rsidR="00CC7CF5">
        <w:t>appropriately</w:t>
      </w:r>
      <w:r w:rsidRPr="001202CC">
        <w:t xml:space="preserve"> considered </w:t>
      </w:r>
      <w:r w:rsidRPr="001202CC" w:rsidR="007A7ADA">
        <w:t>Cumulus’</w:t>
      </w:r>
      <w:r w:rsidR="00CF5332">
        <w:t>s</w:t>
      </w:r>
      <w:r w:rsidRPr="001202CC" w:rsidR="007A7ADA">
        <w:t xml:space="preserve"> </w:t>
      </w:r>
      <w:r w:rsidRPr="001202CC">
        <w:t>pre-</w:t>
      </w:r>
      <w:r w:rsidRPr="001202CC" w:rsidR="007A7ADA">
        <w:t>re</w:t>
      </w:r>
      <w:r w:rsidRPr="001202CC">
        <w:t>organization</w:t>
      </w:r>
      <w:r w:rsidRPr="001202CC" w:rsidR="007A7ADA">
        <w:t xml:space="preserve"> conduct when </w:t>
      </w:r>
      <w:r w:rsidRPr="001202CC" w:rsidR="00A67746">
        <w:t>increasing</w:t>
      </w:r>
      <w:r w:rsidRPr="001202CC" w:rsidR="007A7ADA">
        <w:t xml:space="preserve"> the forfeiture amount.  Cumulus argues that the FCC improperly considered Cumulus’</w:t>
      </w:r>
      <w:r w:rsidR="00CF5332">
        <w:t>s</w:t>
      </w:r>
      <w:r w:rsidRPr="001202CC" w:rsidR="007A7ADA">
        <w:t xml:space="preserve"> history of violations which occurred prior to Cumulus’</w:t>
      </w:r>
      <w:r w:rsidR="00CF5332">
        <w:t>s</w:t>
      </w:r>
      <w:r w:rsidRPr="001202CC" w:rsidR="007A7ADA">
        <w:t xml:space="preserve"> reorganization under Chapter 11 of the U</w:t>
      </w:r>
      <w:r w:rsidR="00A041CB">
        <w:t>.</w:t>
      </w:r>
      <w:r w:rsidRPr="001202CC" w:rsidR="007A7ADA">
        <w:t>S</w:t>
      </w:r>
      <w:r w:rsidR="00A041CB">
        <w:t>.</w:t>
      </w:r>
      <w:r w:rsidRPr="001202CC" w:rsidR="007A7ADA">
        <w:t xml:space="preserve"> Bankruptcy Code on June 4, 2018</w:t>
      </w:r>
      <w:r w:rsidR="007C0908">
        <w:t>,</w:t>
      </w:r>
      <w:r w:rsidRPr="001202CC" w:rsidR="007A7ADA">
        <w:t xml:space="preserve"> when </w:t>
      </w:r>
      <w:r w:rsidRPr="001202CC" w:rsidR="00F715BB">
        <w:t>increasing</w:t>
      </w:r>
      <w:r w:rsidRPr="001202CC" w:rsidR="00EC1DA7">
        <w:t xml:space="preserve"> the</w:t>
      </w:r>
      <w:r w:rsidRPr="001202CC" w:rsidR="007A7ADA">
        <w:t xml:space="preserve"> forfeiture amount</w:t>
      </w:r>
      <w:r w:rsidRPr="001202CC" w:rsidR="00F715BB">
        <w:t>, as it causes the new stockholders of Cumulus (i.e., its creditors) to suffer a reducti</w:t>
      </w:r>
      <w:r w:rsidRPr="001202CC" w:rsidR="00F002E7">
        <w:t>on in the value of the consideration provided to them under the reorganization plan approved by the Bankruptcy Court pursuant to the Bankruptcy Code.</w:t>
      </w:r>
      <w:r>
        <w:rPr>
          <w:rStyle w:val="FootnoteReference"/>
          <w:sz w:val="22"/>
        </w:rPr>
        <w:footnoteReference w:id="100"/>
      </w:r>
      <w:r w:rsidRPr="001202CC" w:rsidR="00F002E7">
        <w:t xml:space="preserve">  According to Cumulus, </w:t>
      </w:r>
      <w:r w:rsidRPr="001202CC" w:rsidR="00002F7E">
        <w:t>encumber</w:t>
      </w:r>
      <w:r w:rsidRPr="001202CC" w:rsidR="00A67746">
        <w:t>ing</w:t>
      </w:r>
      <w:r w:rsidRPr="001202CC" w:rsidR="00002F7E">
        <w:t xml:space="preserve"> Cumulus’</w:t>
      </w:r>
      <w:r w:rsidR="00CF5332">
        <w:t>s</w:t>
      </w:r>
      <w:r w:rsidRPr="001202CC" w:rsidR="00002F7E">
        <w:t xml:space="preserve"> post-bankruptcy fresh start with acts of pre-reorganization Cumulus</w:t>
      </w:r>
      <w:r w:rsidRPr="001202CC" w:rsidR="00F002E7">
        <w:t xml:space="preserve"> </w:t>
      </w:r>
      <w:r w:rsidRPr="001202CC" w:rsidR="00002F7E">
        <w:t xml:space="preserve">is </w:t>
      </w:r>
      <w:r w:rsidRPr="001202CC" w:rsidR="00002F7E">
        <w:t>inconsistent</w:t>
      </w:r>
      <w:r w:rsidRPr="001202CC" w:rsidR="00F002E7">
        <w:t xml:space="preserve"> with the Commission’s obligation to reconcile its policies with federal bankruptcy laws</w:t>
      </w:r>
      <w:r w:rsidRPr="001202CC" w:rsidR="004179AE">
        <w:t xml:space="preserve">, one of which is to maximize the amount creditors can realize on their claims, </w:t>
      </w:r>
      <w:r w:rsidRPr="001202CC" w:rsidR="00002F7E">
        <w:t xml:space="preserve">policies embodied in other federal statutes, and </w:t>
      </w:r>
      <w:r w:rsidRPr="001202CC" w:rsidR="004179AE">
        <w:t>Commission principles</w:t>
      </w:r>
      <w:r w:rsidRPr="001202CC" w:rsidR="007363DC">
        <w:t xml:space="preserve"> underpinning its </w:t>
      </w:r>
      <w:r w:rsidRPr="001202CC" w:rsidR="007363DC">
        <w:rPr>
          <w:i/>
          <w:iCs/>
        </w:rPr>
        <w:t>Second Thursday</w:t>
      </w:r>
      <w:r w:rsidRPr="001202CC" w:rsidR="007363DC">
        <w:t xml:space="preserve"> decision</w:t>
      </w:r>
      <w:r w:rsidR="003B6214">
        <w:t>,</w:t>
      </w:r>
      <w:r>
        <w:rPr>
          <w:rStyle w:val="FootnoteReference"/>
          <w:sz w:val="22"/>
        </w:rPr>
        <w:footnoteReference w:id="101"/>
      </w:r>
      <w:r w:rsidRPr="001202CC" w:rsidR="004179AE">
        <w:t xml:space="preserve"> which focus on the protection of innocent third-party creditors.</w:t>
      </w:r>
      <w:r>
        <w:rPr>
          <w:rStyle w:val="FootnoteReference"/>
          <w:sz w:val="22"/>
        </w:rPr>
        <w:footnoteReference w:id="102"/>
      </w:r>
      <w:r w:rsidRPr="001202CC" w:rsidR="00F002E7">
        <w:t xml:space="preserve"> </w:t>
      </w:r>
      <w:r w:rsidRPr="001202CC">
        <w:t xml:space="preserve"> </w:t>
      </w:r>
    </w:p>
    <w:p w:rsidR="003343CA" w:rsidRPr="001202CC" w:rsidP="000461E5" w14:paraId="5FFD3D06" w14:textId="7C545874">
      <w:pPr>
        <w:pStyle w:val="ParaNum"/>
      </w:pPr>
      <w:r w:rsidRPr="001202CC">
        <w:t xml:space="preserve">We </w:t>
      </w:r>
      <w:r w:rsidRPr="001202CC" w:rsidR="00CC7CF5">
        <w:t xml:space="preserve">properly </w:t>
      </w:r>
      <w:r w:rsidRPr="001202CC" w:rsidR="00A67746">
        <w:t>considered Cumulus’</w:t>
      </w:r>
      <w:r w:rsidR="00CF5332">
        <w:t>s</w:t>
      </w:r>
      <w:r w:rsidRPr="001202CC" w:rsidR="00A67746">
        <w:t xml:space="preserve"> violations prior to its reorganization when increasing the forfeiture amount</w:t>
      </w:r>
      <w:r w:rsidRPr="001202CC">
        <w:t>.</w:t>
      </w:r>
      <w:r>
        <w:rPr>
          <w:rStyle w:val="FootnoteReference"/>
        </w:rPr>
        <w:footnoteReference w:id="103"/>
      </w:r>
      <w:r w:rsidRPr="001202CC" w:rsidR="000650F8">
        <w:t xml:space="preserve">  </w:t>
      </w:r>
      <w:r w:rsidR="00B65A0D">
        <w:t xml:space="preserve">Despite its claims, </w:t>
      </w:r>
      <w:r w:rsidRPr="001202CC" w:rsidR="00532330">
        <w:t xml:space="preserve">Cumulus has not shown that the forfeiture </w:t>
      </w:r>
      <w:r w:rsidR="00874E70">
        <w:t xml:space="preserve">we impose today in any way </w:t>
      </w:r>
      <w:r w:rsidRPr="001202CC" w:rsidR="00532330">
        <w:t>diminishe</w:t>
      </w:r>
      <w:r w:rsidR="00874E70">
        <w:t>s</w:t>
      </w:r>
      <w:r w:rsidRPr="001202CC" w:rsidR="00532330">
        <w:t xml:space="preserve"> any consideration </w:t>
      </w:r>
      <w:r w:rsidR="00874E70">
        <w:t>provided</w:t>
      </w:r>
      <w:r w:rsidRPr="001202CC" w:rsidR="00532330">
        <w:t xml:space="preserve"> to innocent creditors</w:t>
      </w:r>
      <w:r w:rsidR="00874E70">
        <w:t xml:space="preserve"> in connection with Cumulus’</w:t>
      </w:r>
      <w:r w:rsidR="00CF5332">
        <w:t>s</w:t>
      </w:r>
      <w:r w:rsidR="00874E70">
        <w:t xml:space="preserve"> emergence from bankruptcy in 2018</w:t>
      </w:r>
      <w:r w:rsidRPr="001202CC" w:rsidR="00532330">
        <w:t>.</w:t>
      </w:r>
      <w:r w:rsidRPr="001202CC" w:rsidR="000461E5">
        <w:t xml:space="preserve">  </w:t>
      </w:r>
      <w:r w:rsidRPr="0048328D" w:rsidR="00785647">
        <w:rPr>
          <w:rStyle w:val="Emphasis"/>
          <w:i w:val="0"/>
          <w:iCs w:val="0"/>
          <w:color w:val="000000" w:themeColor="text1"/>
        </w:rPr>
        <w:t>While Cumulus claims our action here is inconsistent with the goal of bankruptcy law to provide a debtor with a “fresh start,”</w:t>
      </w:r>
      <w:r>
        <w:rPr>
          <w:rStyle w:val="FootnoteReference"/>
          <w:color w:val="000000" w:themeColor="text1"/>
        </w:rPr>
        <w:footnoteReference w:id="104"/>
      </w:r>
      <w:r w:rsidRPr="0048328D" w:rsidR="00785647">
        <w:rPr>
          <w:rStyle w:val="Emphasis"/>
          <w:i w:val="0"/>
          <w:iCs w:val="0"/>
          <w:color w:val="000000" w:themeColor="text1"/>
        </w:rPr>
        <w:t xml:space="preserve"> it provides no support for the notion that this policy was intended to absolve licensees of the consequences of pre-bankruptcy violations of the FCC’s rules.</w:t>
      </w:r>
      <w:r>
        <w:rPr>
          <w:rStyle w:val="FootnoteReference"/>
        </w:rPr>
        <w:footnoteReference w:id="105"/>
      </w:r>
      <w:r w:rsidR="00785647">
        <w:rPr>
          <w:rStyle w:val="Emphasis"/>
          <w:i w:val="0"/>
          <w:iCs w:val="0"/>
          <w:color w:val="000000" w:themeColor="text1"/>
        </w:rPr>
        <w:t xml:space="preserve">  </w:t>
      </w:r>
      <w:r w:rsidRPr="00A06B38" w:rsidR="00B63898">
        <w:rPr>
          <w:rStyle w:val="Emphasis"/>
          <w:i w:val="0"/>
          <w:iCs w:val="0"/>
          <w:color w:val="000000" w:themeColor="text1"/>
          <w:szCs w:val="22"/>
        </w:rPr>
        <w:t>In addition, despite Cumulus’</w:t>
      </w:r>
      <w:r w:rsidR="00CF5332">
        <w:rPr>
          <w:rStyle w:val="Emphasis"/>
          <w:i w:val="0"/>
          <w:iCs w:val="0"/>
          <w:color w:val="000000" w:themeColor="text1"/>
          <w:szCs w:val="22"/>
        </w:rPr>
        <w:t>s</w:t>
      </w:r>
      <w:r w:rsidRPr="00A06B38" w:rsidR="00B63898">
        <w:rPr>
          <w:rStyle w:val="Emphasis"/>
          <w:i w:val="0"/>
          <w:iCs w:val="0"/>
          <w:color w:val="000000" w:themeColor="text1"/>
          <w:szCs w:val="22"/>
        </w:rPr>
        <w:t xml:space="preserve"> claims, we find no inconsistency between the principles underlying the </w:t>
      </w:r>
      <w:r w:rsidRPr="00A06B38" w:rsidR="00B63898">
        <w:rPr>
          <w:i/>
          <w:iCs/>
          <w:color w:val="000000" w:themeColor="text1"/>
          <w:szCs w:val="22"/>
        </w:rPr>
        <w:t>Second Thursday</w:t>
      </w:r>
      <w:r w:rsidRPr="00A06B38" w:rsidR="00B63898">
        <w:rPr>
          <w:color w:val="000000" w:themeColor="text1"/>
          <w:szCs w:val="22"/>
        </w:rPr>
        <w:t xml:space="preserve"> exception to </w:t>
      </w:r>
      <w:r w:rsidRPr="00A06B38" w:rsidR="00B63898">
        <w:rPr>
          <w:color w:val="000000" w:themeColor="text1"/>
          <w:szCs w:val="22"/>
          <w:shd w:val="clear" w:color="auto" w:fill="FFFFFF"/>
        </w:rPr>
        <w:t>the </w:t>
      </w:r>
      <w:r w:rsidRPr="00A06B38" w:rsidR="00B63898">
        <w:rPr>
          <w:rStyle w:val="Emphasis"/>
          <w:color w:val="000000" w:themeColor="text1"/>
          <w:szCs w:val="22"/>
          <w:bdr w:val="none" w:sz="0" w:space="0" w:color="auto" w:frame="1"/>
          <w:shd w:val="clear" w:color="auto" w:fill="FFFFFF"/>
        </w:rPr>
        <w:t>Jefferson Radio</w:t>
      </w:r>
      <w:r w:rsidRPr="00A06B38" w:rsidR="00B63898">
        <w:rPr>
          <w:color w:val="000000" w:themeColor="text1"/>
          <w:szCs w:val="22"/>
          <w:shd w:val="clear" w:color="auto" w:fill="FFFFFF"/>
        </w:rPr>
        <w:t> policy</w:t>
      </w:r>
      <w:r w:rsidRPr="00A06B38" w:rsidR="00B63898">
        <w:rPr>
          <w:color w:val="000000" w:themeColor="text1"/>
          <w:szCs w:val="22"/>
        </w:rPr>
        <w:t xml:space="preserve"> and our decision to increase forfeiture amounts based on pre-bankruptcy violations.</w:t>
      </w:r>
      <w:r>
        <w:rPr>
          <w:rStyle w:val="FootnoteReference"/>
          <w:color w:val="000000" w:themeColor="text1"/>
          <w:sz w:val="22"/>
          <w:szCs w:val="22"/>
        </w:rPr>
        <w:footnoteReference w:id="106"/>
      </w:r>
      <w:r w:rsidRPr="00A06B38" w:rsidR="00B63898">
        <w:rPr>
          <w:color w:val="000000" w:themeColor="text1"/>
          <w:szCs w:val="22"/>
        </w:rPr>
        <w:t xml:space="preserve">  As an initial matter, we note that the </w:t>
      </w:r>
      <w:r w:rsidRPr="00A06B38" w:rsidR="00B63898">
        <w:rPr>
          <w:i/>
          <w:iCs/>
          <w:color w:val="000000" w:themeColor="text1"/>
          <w:szCs w:val="22"/>
        </w:rPr>
        <w:t>Second Thursday</w:t>
      </w:r>
      <w:r w:rsidRPr="00A06B38" w:rsidR="00B63898">
        <w:rPr>
          <w:color w:val="000000" w:themeColor="text1"/>
          <w:szCs w:val="22"/>
        </w:rPr>
        <w:t xml:space="preserve"> exception applies when character qualifications are at issue, which are not present in the current matter.  Moreover, unlike the considerations underlying </w:t>
      </w:r>
      <w:r w:rsidRPr="00A06B38" w:rsidR="00B63898">
        <w:rPr>
          <w:i/>
          <w:iCs/>
          <w:color w:val="000000" w:themeColor="text1"/>
          <w:szCs w:val="22"/>
        </w:rPr>
        <w:t>Second Thursday</w:t>
      </w:r>
      <w:r w:rsidRPr="00A06B38" w:rsidR="00B63898">
        <w:rPr>
          <w:color w:val="000000" w:themeColor="text1"/>
          <w:szCs w:val="22"/>
        </w:rPr>
        <w:t>, the record reflects that at least some Cumulus officials involved with pre-bankruptcy Cumulus remain in those positions.</w:t>
      </w:r>
      <w:r>
        <w:rPr>
          <w:rStyle w:val="FootnoteReference"/>
          <w:szCs w:val="22"/>
        </w:rPr>
        <w:footnoteReference w:id="107"/>
      </w:r>
      <w:r w:rsidR="00B63898">
        <w:rPr>
          <w:rFonts w:asciiTheme="minorHAnsi" w:hAnsiTheme="minorHAnsi" w:cstheme="minorHAnsi"/>
          <w:color w:val="000000" w:themeColor="text1"/>
          <w:sz w:val="24"/>
          <w:szCs w:val="24"/>
        </w:rPr>
        <w:t xml:space="preserve">  </w:t>
      </w:r>
      <w:r w:rsidR="00785647">
        <w:t xml:space="preserve">We conclude that </w:t>
      </w:r>
      <w:r w:rsidRPr="001202CC" w:rsidR="000461E5">
        <w:t>the increased forfeiture serves the public interest, as Cumulus’</w:t>
      </w:r>
      <w:r w:rsidR="00CF5332">
        <w:t>s</w:t>
      </w:r>
      <w:r w:rsidRPr="001202CC" w:rsidR="000461E5">
        <w:t xml:space="preserve"> repeated disregard of the Commission’s rules is contrary to the public interest</w:t>
      </w:r>
      <w:r w:rsidRPr="001202CC" w:rsidR="009D0B68">
        <w:t>.</w:t>
      </w:r>
      <w:r>
        <w:rPr>
          <w:rStyle w:val="FootnoteReference"/>
          <w:sz w:val="22"/>
        </w:rPr>
        <w:footnoteReference w:id="108"/>
      </w:r>
      <w:r w:rsidRPr="001202CC" w:rsidR="00E003C9">
        <w:t xml:space="preserve">  </w:t>
      </w:r>
      <w:r w:rsidRPr="001202CC">
        <w:t xml:space="preserve">Accordingly, we </w:t>
      </w:r>
      <w:r w:rsidRPr="001202CC" w:rsidR="000650F8">
        <w:t>affirm our upward adjustment of the forfeiture based on Cumulus’</w:t>
      </w:r>
      <w:r w:rsidR="00CF5332">
        <w:t>s</w:t>
      </w:r>
      <w:r w:rsidRPr="001202CC" w:rsidR="000650F8">
        <w:t xml:space="preserve"> violations prior to its reorganization.</w:t>
      </w:r>
    </w:p>
    <w:p w:rsidR="005B4CEA" w:rsidRPr="001202CC" w:rsidP="006B6840" w14:paraId="7B8A40AF" w14:textId="020BAD12">
      <w:pPr>
        <w:pStyle w:val="Heading1"/>
        <w:widowControl/>
        <w:rPr>
          <w:rFonts w:ascii="Times New Roman" w:hAnsi="Times New Roman"/>
        </w:rPr>
      </w:pPr>
      <w:bookmarkStart w:id="19" w:name="SR;716"/>
      <w:bookmarkStart w:id="20" w:name="SR;717"/>
      <w:bookmarkEnd w:id="19"/>
      <w:bookmarkEnd w:id="20"/>
      <w:r w:rsidRPr="001202CC">
        <w:rPr>
          <w:rFonts w:ascii="Times New Roman" w:hAnsi="Times New Roman"/>
        </w:rPr>
        <w:t>CONCLUSION</w:t>
      </w:r>
    </w:p>
    <w:p w:rsidR="005B4CEA" w:rsidRPr="001202CC" w:rsidP="006B6840" w14:paraId="01E06FF7" w14:textId="74160DFE">
      <w:pPr>
        <w:pStyle w:val="ParaNum"/>
        <w:widowControl/>
      </w:pPr>
      <w:r w:rsidRPr="001202CC">
        <w:t xml:space="preserve">Based on the record before us and in light of the applicable statutory factors, we </w:t>
      </w:r>
      <w:r w:rsidRPr="001202CC" w:rsidR="000145C6">
        <w:t>conclude</w:t>
      </w:r>
      <w:r w:rsidRPr="001202CC">
        <w:t xml:space="preserve"> that </w:t>
      </w:r>
      <w:r w:rsidRPr="001202CC" w:rsidR="0058057B">
        <w:t>Cumulus</w:t>
      </w:r>
      <w:r w:rsidRPr="001202CC">
        <w:t xml:space="preserve"> willfully and repeatedly violated</w:t>
      </w:r>
      <w:r w:rsidRPr="001202CC" w:rsidR="00BD69CA">
        <w:t xml:space="preserve"> sections 73.2080(c)(3)</w:t>
      </w:r>
      <w:r w:rsidRPr="001202CC" w:rsidR="00670600">
        <w:t xml:space="preserve">, </w:t>
      </w:r>
      <w:r w:rsidRPr="001202CC" w:rsidR="00BD69CA">
        <w:t>73.2080(c)(6)</w:t>
      </w:r>
      <w:r w:rsidRPr="001202CC" w:rsidR="00670600">
        <w:t xml:space="preserve"> and 73.3526(e)(7)</w:t>
      </w:r>
      <w:r>
        <w:rPr>
          <w:rStyle w:val="FootnoteReference"/>
          <w:sz w:val="22"/>
        </w:rPr>
        <w:footnoteReference w:id="109"/>
      </w:r>
      <w:r w:rsidRPr="001202CC" w:rsidR="00BD69CA">
        <w:t xml:space="preserve"> </w:t>
      </w:r>
      <w:r w:rsidRPr="001202CC">
        <w:t>by</w:t>
      </w:r>
      <w:r w:rsidRPr="001202CC" w:rsidR="00F8374B">
        <w:t xml:space="preserve"> failing to (i) upload its Annual Report in the Stations</w:t>
      </w:r>
      <w:r w:rsidRPr="001202CC" w:rsidR="000D3783">
        <w:t xml:space="preserve">’ </w:t>
      </w:r>
      <w:r w:rsidRPr="001202CC" w:rsidR="00F8374B">
        <w:t>online public inspection files; (ii) upload its Annual Report to the Stations</w:t>
      </w:r>
      <w:r w:rsidRPr="001202CC" w:rsidR="000D3783">
        <w:t>’</w:t>
      </w:r>
      <w:r w:rsidRPr="001202CC" w:rsidR="00F8374B">
        <w:t xml:space="preserve"> websites; and (iii) analyze its</w:t>
      </w:r>
      <w:r w:rsidRPr="001202CC" w:rsidR="000D3783">
        <w:t xml:space="preserve"> </w:t>
      </w:r>
      <w:r w:rsidRPr="001202CC" w:rsidR="00F8374B">
        <w:t xml:space="preserve">EEO program. </w:t>
      </w:r>
      <w:r w:rsidR="00304F82">
        <w:t xml:space="preserve"> </w:t>
      </w:r>
      <w:r w:rsidRPr="00304F82" w:rsidR="00304F82">
        <w:t>As discussed herein, we rescind the forfeiture amount of $6,000 for Cumulus’</w:t>
      </w:r>
      <w:r w:rsidR="00CF5332">
        <w:t>s</w:t>
      </w:r>
      <w:r w:rsidRPr="00304F82" w:rsidR="00304F82">
        <w:t xml:space="preserve"> violation of section 73.2080(c)(3) of the Commission’s rules and thereby reduce the $32,000 forfeiture amount proposed in the </w:t>
      </w:r>
      <w:r w:rsidRPr="009C0155" w:rsidR="00304F82">
        <w:rPr>
          <w:i/>
          <w:iCs/>
        </w:rPr>
        <w:t>NAL</w:t>
      </w:r>
      <w:r w:rsidRPr="00304F82" w:rsidR="00304F82">
        <w:t xml:space="preserve"> to $26,000.</w:t>
      </w:r>
    </w:p>
    <w:p w:rsidR="003343CA" w:rsidRPr="001202CC" w:rsidP="004024B5" w14:paraId="1A3409E9" w14:textId="77777777">
      <w:pPr>
        <w:pStyle w:val="Heading1"/>
        <w:rPr>
          <w:rFonts w:ascii="Times New Roman" w:hAnsi="Times New Roman"/>
        </w:rPr>
      </w:pPr>
      <w:r w:rsidRPr="001202CC">
        <w:rPr>
          <w:rFonts w:ascii="Times New Roman" w:hAnsi="Times New Roman"/>
        </w:rPr>
        <w:t>ORDERING CLAUSES</w:t>
      </w:r>
    </w:p>
    <w:p w:rsidR="00D92D7C" w:rsidP="004024B5" w14:paraId="309CF943" w14:textId="6B450349">
      <w:pPr>
        <w:pStyle w:val="ParaNum"/>
      </w:pPr>
      <w:r w:rsidRPr="00F13841">
        <w:t xml:space="preserve">Accordingly, </w:t>
      </w:r>
      <w:r w:rsidRPr="009C0155">
        <w:rPr>
          <w:b/>
          <w:bCs/>
        </w:rPr>
        <w:t>IT IS ORDERED</w:t>
      </w:r>
      <w:r w:rsidRPr="00F13841">
        <w:t xml:space="preserve"> that the comments filed by the National Association of Broadcasters ARE DISMISSED and alternatively ARE DENIED as discussed herein.</w:t>
      </w:r>
    </w:p>
    <w:p w:rsidR="003343CA" w:rsidRPr="001202CC" w:rsidP="004024B5" w14:paraId="596CE572" w14:textId="0B673575">
      <w:pPr>
        <w:pStyle w:val="ParaNum"/>
      </w:pPr>
      <w:r w:rsidRPr="001202CC">
        <w:rPr>
          <w:b/>
        </w:rPr>
        <w:t xml:space="preserve">IT IS </w:t>
      </w:r>
      <w:r w:rsidR="00D92D7C">
        <w:rPr>
          <w:b/>
        </w:rPr>
        <w:t xml:space="preserve">FURTHER </w:t>
      </w:r>
      <w:r w:rsidRPr="001202CC">
        <w:rPr>
          <w:b/>
        </w:rPr>
        <w:t>ORDERED</w:t>
      </w:r>
      <w:r w:rsidRPr="001202CC" w:rsidR="00F23F1E">
        <w:rPr>
          <w:b/>
        </w:rPr>
        <w:t xml:space="preserve"> </w:t>
      </w:r>
      <w:r w:rsidRPr="001202CC" w:rsidR="00F23F1E">
        <w:t>that</w:t>
      </w:r>
      <w:r w:rsidRPr="001202CC">
        <w:t xml:space="preserve">, pursuant to </w:t>
      </w:r>
      <w:r w:rsidRPr="001202CC" w:rsidR="002722DC">
        <w:t>s</w:t>
      </w:r>
      <w:r w:rsidRPr="001202CC">
        <w:t>ection 503(b) of the</w:t>
      </w:r>
      <w:r w:rsidRPr="001202CC" w:rsidR="00F23F1E">
        <w:t xml:space="preserve"> Act</w:t>
      </w:r>
      <w:r w:rsidRPr="001202CC">
        <w:t>,</w:t>
      </w:r>
      <w:r w:rsidR="00CF5332">
        <w:t xml:space="preserve"> 47 U.S.C. </w:t>
      </w:r>
      <w:bookmarkStart w:id="21" w:name="_Hlk149226600"/>
      <w:r w:rsidR="00CF5332">
        <w:t>§</w:t>
      </w:r>
      <w:bookmarkEnd w:id="21"/>
      <w:r w:rsidR="00CF5332">
        <w:t xml:space="preserve"> 503(b),</w:t>
      </w:r>
      <w:r w:rsidRPr="001202CC">
        <w:t xml:space="preserve"> and </w:t>
      </w:r>
      <w:r w:rsidRPr="001202CC" w:rsidR="002722DC">
        <w:t>s</w:t>
      </w:r>
      <w:r w:rsidRPr="001202CC">
        <w:t xml:space="preserve">ection 1.80 of the </w:t>
      </w:r>
      <w:r w:rsidRPr="001202CC" w:rsidR="002722DC">
        <w:t>Commission’s r</w:t>
      </w:r>
      <w:r w:rsidRPr="001202CC">
        <w:t>ules,</w:t>
      </w:r>
      <w:r w:rsidR="00CF5332">
        <w:t xml:space="preserve"> 47 CFR § 1.80, </w:t>
      </w:r>
      <w:r w:rsidRPr="001202CC" w:rsidR="002B3AC0">
        <w:t>Cumulus Licensing LLC</w:t>
      </w:r>
      <w:r w:rsidRPr="001202CC">
        <w:t xml:space="preserve"> </w:t>
      </w:r>
      <w:r w:rsidRPr="001202CC">
        <w:rPr>
          <w:b/>
        </w:rPr>
        <w:t>IS LIABLE FOR A MONETARY FORFEITURE</w:t>
      </w:r>
      <w:r w:rsidRPr="001202CC">
        <w:t xml:space="preserve"> in the amount of </w:t>
      </w:r>
      <w:r w:rsidR="003E200A">
        <w:t>twenty-six</w:t>
      </w:r>
      <w:r w:rsidRPr="001202CC" w:rsidR="00634FE7">
        <w:t xml:space="preserve"> thousand dollars </w:t>
      </w:r>
      <w:r w:rsidRPr="001202CC">
        <w:t>(</w:t>
      </w:r>
      <w:r w:rsidRPr="001202CC" w:rsidR="00634FE7">
        <w:t>$</w:t>
      </w:r>
      <w:r w:rsidR="003E200A">
        <w:t>26</w:t>
      </w:r>
      <w:r w:rsidRPr="001202CC" w:rsidR="00634FE7">
        <w:t>,000</w:t>
      </w:r>
      <w:r w:rsidRPr="001202CC">
        <w:t>) for willfully</w:t>
      </w:r>
      <w:r w:rsidRPr="001202CC" w:rsidR="00634FE7">
        <w:t xml:space="preserve"> </w:t>
      </w:r>
      <w:r w:rsidRPr="001202CC" w:rsidR="00F23F1E">
        <w:t xml:space="preserve">and repeatedly </w:t>
      </w:r>
      <w:r w:rsidRPr="001202CC">
        <w:t xml:space="preserve">violating </w:t>
      </w:r>
      <w:r w:rsidRPr="001202CC" w:rsidR="002722DC">
        <w:t>s</w:t>
      </w:r>
      <w:r w:rsidRPr="001202CC">
        <w:t>ection</w:t>
      </w:r>
      <w:r w:rsidRPr="001202CC" w:rsidR="00F13AF3">
        <w:t xml:space="preserve"> </w:t>
      </w:r>
      <w:r w:rsidRPr="001202CC" w:rsidR="00634FE7">
        <w:t>73.2080(c)(6)</w:t>
      </w:r>
      <w:r w:rsidR="00AD1EE7">
        <w:t xml:space="preserve"> </w:t>
      </w:r>
      <w:r w:rsidRPr="001202CC">
        <w:t xml:space="preserve">of the </w:t>
      </w:r>
      <w:r w:rsidRPr="001202CC" w:rsidR="002722DC">
        <w:t>Commission’s r</w:t>
      </w:r>
      <w:r w:rsidRPr="001202CC">
        <w:t>ules</w:t>
      </w:r>
      <w:r w:rsidR="007C0908">
        <w:t>,</w:t>
      </w:r>
      <w:r w:rsidRPr="007C0908" w:rsidR="007C0908">
        <w:t xml:space="preserve"> </w:t>
      </w:r>
      <w:r w:rsidRPr="000E64BB" w:rsidR="007C0908">
        <w:t>47 CFR § 73.2080(c)(6)</w:t>
      </w:r>
      <w:r w:rsidRPr="001202CC">
        <w:t>.</w:t>
      </w:r>
    </w:p>
    <w:p w:rsidR="003343CA" w:rsidRPr="001202CC" w:rsidP="004024B5" w14:paraId="41AB20ED" w14:textId="4CE9A1CF">
      <w:pPr>
        <w:pStyle w:val="ParaNum"/>
      </w:pPr>
      <w:r w:rsidRPr="001202CC">
        <w:t xml:space="preserve">Payment of the forfeiture shall be made in the manner provided for in </w:t>
      </w:r>
      <w:r w:rsidRPr="001202CC" w:rsidR="002722DC">
        <w:t>s</w:t>
      </w:r>
      <w:r w:rsidRPr="001202CC">
        <w:t xml:space="preserve">ection 1.80 of the </w:t>
      </w:r>
      <w:r w:rsidRPr="001202CC" w:rsidR="002722DC">
        <w:t>Commission’s r</w:t>
      </w:r>
      <w:r w:rsidRPr="001202CC">
        <w:t xml:space="preserve">ules within </w:t>
      </w:r>
      <w:r w:rsidRPr="001202CC" w:rsidR="00225854">
        <w:t>thirty (30</w:t>
      </w:r>
      <w:r w:rsidRPr="001202CC">
        <w:t>) calendar days after the release of this Forfeiture Order.</w:t>
      </w:r>
      <w:r>
        <w:rPr>
          <w:rStyle w:val="FootnoteReference"/>
          <w:sz w:val="22"/>
        </w:rPr>
        <w:footnoteReference w:id="110"/>
      </w:r>
      <w:bookmarkStart w:id="22" w:name="_Hlk10631341"/>
      <w:r w:rsidRPr="001202CC" w:rsidR="00634FE7">
        <w:t xml:space="preserve">  Cumulus Licensing LLC</w:t>
      </w:r>
      <w:r w:rsidRPr="001202CC" w:rsidR="008D115E">
        <w:t xml:space="preserve"> shall send electronic notification of payment to </w:t>
      </w:r>
      <w:r w:rsidRPr="001202CC" w:rsidR="008F7854">
        <w:t>Patrick McGrath</w:t>
      </w:r>
      <w:r w:rsidRPr="001202CC" w:rsidR="002E0173">
        <w:t xml:space="preserve">, Chief, </w:t>
      </w:r>
      <w:r w:rsidRPr="001202CC" w:rsidR="00D3480C">
        <w:t xml:space="preserve">Investigations </w:t>
      </w:r>
      <w:r w:rsidR="00D3480C">
        <w:t xml:space="preserve"> and </w:t>
      </w:r>
      <w:r w:rsidRPr="001202CC" w:rsidR="002E0173">
        <w:t xml:space="preserve">Hearings Division, Enforcement Bureau, Federal Communications Commission, at </w:t>
      </w:r>
      <w:bookmarkEnd w:id="22"/>
      <w:hyperlink r:id="rId5" w:history="1">
        <w:r w:rsidRPr="001202CC" w:rsidR="004A5CAA">
          <w:rPr>
            <w:rStyle w:val="Hyperlink"/>
          </w:rPr>
          <w:t>Patrick.McGrath@fcc.gov</w:t>
        </w:r>
      </w:hyperlink>
      <w:r w:rsidRPr="001202CC" w:rsidR="004A5CAA">
        <w:t xml:space="preserve">, </w:t>
      </w:r>
      <w:r w:rsidRPr="001202CC" w:rsidR="002E0173">
        <w:t xml:space="preserve">with a copy to </w:t>
      </w:r>
      <w:hyperlink r:id="rId6" w:history="1">
        <w:r w:rsidRPr="001202CC" w:rsidR="002E0173">
          <w:rPr>
            <w:rStyle w:val="Hyperlink"/>
          </w:rPr>
          <w:t>Estella.Salvatierra@fcc.gov</w:t>
        </w:r>
      </w:hyperlink>
      <w:r w:rsidRPr="001202CC" w:rsidR="002E0173">
        <w:t>, on the date said payment is made</w:t>
      </w:r>
      <w:r w:rsidRPr="001202CC" w:rsidR="008D115E">
        <w:t xml:space="preserve">.  </w:t>
      </w:r>
      <w:r w:rsidRPr="001202CC">
        <w:t xml:space="preserve">If the forfeiture is not paid within the period specified, the case may be referred to the U.S. Department of Justice for enforcement of the forfeiture pursuant to </w:t>
      </w:r>
      <w:r w:rsidRPr="001202CC" w:rsidR="002722DC">
        <w:t>s</w:t>
      </w:r>
      <w:r w:rsidRPr="001202CC">
        <w:t>ection 504(a) of the Act.</w:t>
      </w:r>
      <w:r>
        <w:rPr>
          <w:rStyle w:val="FootnoteReference"/>
          <w:sz w:val="22"/>
        </w:rPr>
        <w:footnoteReference w:id="111"/>
      </w:r>
      <w:r w:rsidRPr="001202CC">
        <w:t xml:space="preserve">  </w:t>
      </w:r>
    </w:p>
    <w:p w:rsidR="00AB2847" w:rsidRPr="009716F7" w:rsidP="00AB2847" w14:paraId="14C20992" w14:textId="12DD9E27">
      <w:pPr>
        <w:pStyle w:val="ParaNum"/>
        <w:widowControl/>
      </w:pPr>
      <w:r>
        <w:t xml:space="preserve">In order for Cumulus Licensing LLC to pay the proposed forfeiture, Cumulus Licensing LLC shall notify Patrick McGrath at </w:t>
      </w:r>
      <w:hyperlink r:id="rId5" w:history="1">
        <w:r w:rsidRPr="000F07C4">
          <w:rPr>
            <w:rStyle w:val="Hyperlink"/>
          </w:rPr>
          <w:t>Patrick.McGrath@fcc.gov</w:t>
        </w:r>
      </w:hyperlink>
      <w:r w:rsidR="00734B4C">
        <w:t xml:space="preserve"> </w:t>
      </w:r>
      <w:r>
        <w:t xml:space="preserve">and Estella Salvatierra at </w:t>
      </w:r>
      <w:hyperlink r:id="rId6" w:history="1">
        <w:r w:rsidRPr="000F07C4">
          <w:rPr>
            <w:rStyle w:val="Hyperlink"/>
          </w:rPr>
          <w:t>Estella.Salvatierra@fcc.gov</w:t>
        </w:r>
      </w:hyperlink>
      <w:r>
        <w:t xml:space="preserve"> of its intent to pay, whereupon an invoice will be posted in the Commission’s Registration System (CORES) at </w:t>
      </w:r>
      <w:hyperlink r:id="rId7" w:history="1">
        <w:r w:rsidRPr="00BA069F">
          <w:rPr>
            <w:rStyle w:val="Hyperlink"/>
          </w:rPr>
          <w:t>https://apps.fcc.gov/cores/userLogin.do</w:t>
        </w:r>
      </w:hyperlink>
      <w:r>
        <w:rPr>
          <w:rStyle w:val="Hyperlink"/>
        </w:rPr>
        <w:t>.</w:t>
      </w:r>
      <w:r w:rsidRPr="00EF52A6">
        <w:t xml:space="preserve">  </w:t>
      </w:r>
      <w:r w:rsidRPr="00AD0726">
        <w:t xml:space="preserve">Payment of the </w:t>
      </w:r>
      <w:r>
        <w:t>forfeiture</w:t>
      </w:r>
      <w:r w:rsidRPr="00AD0726">
        <w:t xml:space="preserve"> must be made by credit card</w:t>
      </w:r>
      <w:r w:rsidRPr="004C5D2B">
        <w:t xml:space="preserve"> </w:t>
      </w:r>
      <w:r>
        <w:t xml:space="preserve">using CORES at </w:t>
      </w:r>
      <w:hyperlink r:id="rId7" w:history="1">
        <w:r w:rsidRPr="00BA069F">
          <w:rPr>
            <w:rStyle w:val="Hyperlink"/>
          </w:rPr>
          <w:t>https://apps.fcc.gov/cores/userLogin.do</w:t>
        </w:r>
      </w:hyperlink>
      <w:r w:rsidRPr="00AD0726">
        <w:t>, ACH (Automated Clearing House) debit from a bank account</w:t>
      </w:r>
      <w:r w:rsidRPr="009716F7">
        <w:t xml:space="preserve">, or by wire transfer </w:t>
      </w:r>
      <w:r>
        <w:t>from a bank account.</w:t>
      </w:r>
      <w:r w:rsidRPr="009716F7">
        <w:t xml:space="preserve">  The Commission no longer accepts </w:t>
      </w:r>
      <w:r>
        <w:t>forfeiture</w:t>
      </w:r>
      <w:r w:rsidRPr="009716F7">
        <w:t xml:space="preserve"> payments by check or money order.  Below are instructions that payors should follow based on the form of payment selected:</w:t>
      </w:r>
      <w:r>
        <w:rPr>
          <w:rStyle w:val="FootnoteReference"/>
        </w:rPr>
        <w:footnoteReference w:id="112"/>
      </w:r>
    </w:p>
    <w:p w:rsidR="00485522" w:rsidRPr="001202CC" w:rsidP="004024B5" w14:paraId="5CF9D1F8" w14:textId="00B769E6">
      <w:pPr>
        <w:numPr>
          <w:ilvl w:val="0"/>
          <w:numId w:val="11"/>
        </w:numPr>
        <w:snapToGrid w:val="0"/>
        <w:spacing w:after="120"/>
        <w:ind w:left="720"/>
      </w:pPr>
      <w:bookmarkStart w:id="23" w:name="_Hlk106710814"/>
      <w:r w:rsidRPr="001202CC">
        <w:t>Payment by wire transfer must be made to ABA Number 021030004, receiving bank TREAS/NYC, and Account Number 27000001.  In the OBI field, enter the FRN(s) captioned above and the letters “FORF”.  In addition, a completed Form 159</w:t>
      </w:r>
      <w:r>
        <w:rPr>
          <w:rStyle w:val="FootnoteReference"/>
          <w:sz w:val="22"/>
        </w:rPr>
        <w:footnoteReference w:id="113"/>
      </w:r>
      <w:r w:rsidRPr="001202CC">
        <w:t xml:space="preserve"> or printed CORES form</w:t>
      </w:r>
      <w:r>
        <w:rPr>
          <w:rStyle w:val="FootnoteReference"/>
          <w:sz w:val="22"/>
        </w:rPr>
        <w:footnoteReference w:id="114"/>
      </w:r>
      <w:r w:rsidRPr="001202CC">
        <w:t xml:space="preserve"> must be faxed to the Federal Communications Commission at 202-418-2843 or e-mailed to </w:t>
      </w:r>
      <w:hyperlink r:id="rId8" w:history="1">
        <w:r w:rsidRPr="001202CC">
          <w:rPr>
            <w:rStyle w:val="Hyperlink"/>
          </w:rPr>
          <w:t>RROGWireFaxes@fcc.gov</w:t>
        </w:r>
      </w:hyperlink>
      <w:r w:rsidRPr="001202CC">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w:t>
      </w:r>
      <w:r w:rsidRPr="001202CC">
        <w:t>number 24A (payment type code), and enter in block number 11 the FRN(s) captioned above (Payor FRN).</w:t>
      </w:r>
      <w:r>
        <w:rPr>
          <w:rStyle w:val="FootnoteReference"/>
          <w:sz w:val="22"/>
        </w:rPr>
        <w:footnoteReference w:id="115"/>
      </w:r>
      <w:r w:rsidRPr="001202CC">
        <w:t xml:space="preserve">  For additional detail and wire transfer instructions, go to </w:t>
      </w:r>
      <w:bookmarkEnd w:id="23"/>
      <w:hyperlink r:id="rId9" w:history="1">
        <w:r w:rsidRPr="001202CC">
          <w:rPr>
            <w:rStyle w:val="Hyperlink"/>
          </w:rPr>
          <w:t>https://www.fcc.gov/licensing-databases/fees/wire-transfer</w:t>
        </w:r>
      </w:hyperlink>
      <w:r w:rsidRPr="001202CC">
        <w:t>. </w:t>
      </w:r>
    </w:p>
    <w:p w:rsidR="00485522" w:rsidRPr="001202CC" w:rsidP="004024B5" w14:paraId="76F8FDAB" w14:textId="7C5F8F16">
      <w:pPr>
        <w:numPr>
          <w:ilvl w:val="0"/>
          <w:numId w:val="11"/>
        </w:numPr>
        <w:snapToGrid w:val="0"/>
        <w:spacing w:after="120"/>
        <w:ind w:left="720"/>
      </w:pPr>
      <w:r w:rsidRPr="001202CC">
        <w:t>Payment by credit card must be made by using CORES at</w:t>
      </w:r>
      <w:r w:rsidRPr="001202CC">
        <w:rPr>
          <w:rStyle w:val="Hyperlink"/>
        </w:rPr>
        <w:t xml:space="preserve"> </w:t>
      </w:r>
      <w:hyperlink r:id="rId7" w:history="1">
        <w:r w:rsidRPr="001202CC">
          <w:rPr>
            <w:rStyle w:val="Hyperlink"/>
          </w:rPr>
          <w:t>https://apps.fcc.gov/cores/userLogin.do</w:t>
        </w:r>
      </w:hyperlink>
      <w:r w:rsidRPr="001202CC">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sidRPr="001202CC" w:rsidR="005F47D8">
        <w:t xml:space="preserve">NAL </w:t>
      </w:r>
      <w:r w:rsidRPr="001202CC">
        <w:t xml:space="preserve">Acct. No.  The bill number is the  </w:t>
      </w:r>
      <w:r w:rsidRPr="001202CC" w:rsidR="005F47D8">
        <w:t xml:space="preserve">NAL </w:t>
      </w:r>
      <w:r w:rsidRPr="001202CC">
        <w:t xml:space="preserve">Acct. No. with the first two digits excluded (e.g., </w:t>
      </w:r>
      <w:r w:rsidRPr="001202CC" w:rsidR="005F47D8">
        <w:t xml:space="preserve">NAL </w:t>
      </w:r>
      <w:r w:rsidRPr="001202CC">
        <w:t>1912345678 would be associated with FCC Bill Number 12345678).  After selecting the bill for payment, choose the “Pay by Credit Card” option.  Please note that there is a $24,999.99 limit on credit card transactions.</w:t>
      </w:r>
    </w:p>
    <w:p w:rsidR="00485522" w:rsidRPr="001202CC" w:rsidP="004024B5" w14:paraId="1C682DDA" w14:textId="502C6194">
      <w:pPr>
        <w:numPr>
          <w:ilvl w:val="0"/>
          <w:numId w:val="11"/>
        </w:numPr>
        <w:snapToGrid w:val="0"/>
        <w:spacing w:after="120"/>
        <w:ind w:left="720"/>
      </w:pPr>
      <w:r w:rsidRPr="001202CC">
        <w:t xml:space="preserve">Payment by ACH must be made by using CORES at </w:t>
      </w:r>
      <w:hyperlink r:id="rId10" w:history="1">
        <w:r w:rsidRPr="001202CC">
          <w:rPr>
            <w:rStyle w:val="Hyperlink"/>
          </w:rPr>
          <w:t>https://apps.fcc.gov/cores/</w:t>
        </w:r>
        <w:r w:rsidRPr="001202CC" w:rsidR="00C81B07">
          <w:rPr>
            <w:rStyle w:val="Hyperlink"/>
          </w:rPr>
          <w:t>user</w:t>
        </w:r>
        <w:r w:rsidRPr="001202CC">
          <w:rPr>
            <w:rStyle w:val="Hyperlink"/>
          </w:rPr>
          <w:t>Login.do</w:t>
        </w:r>
      </w:hyperlink>
      <w:r w:rsidRPr="001202CC">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1202CC">
        <w:t xml:space="preserve"> </w:t>
      </w:r>
      <w:r w:rsidRPr="001202CC">
        <w:t xml:space="preserve">number associated with the  </w:t>
      </w:r>
      <w:r w:rsidRPr="001202CC" w:rsidR="005F47D8">
        <w:t xml:space="preserve">NAL </w:t>
      </w:r>
      <w:r w:rsidRPr="001202CC">
        <w:t xml:space="preserve">Acct. No.  The bill number is the </w:t>
      </w:r>
      <w:r w:rsidRPr="001202CC" w:rsidR="005F47D8">
        <w:t xml:space="preserve">NAL </w:t>
      </w:r>
      <w:r w:rsidRPr="001202CC">
        <w:t xml:space="preserve">Acct. No. with the first two digits excluded (e.g., </w:t>
      </w:r>
      <w:r w:rsidRPr="001202CC" w:rsidR="005F47D8">
        <w:t xml:space="preserve">NAL </w:t>
      </w:r>
      <w:r w:rsidRPr="001202CC">
        <w:t>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363FF2" w:rsidRPr="001202CC" w:rsidP="00DD361D" w14:paraId="68EEE759" w14:textId="6F6023BB">
      <w:pPr>
        <w:pStyle w:val="ParaNum"/>
        <w:rPr>
          <w:bCs/>
        </w:rPr>
      </w:pPr>
      <w:r w:rsidRPr="001202CC">
        <w:rPr>
          <w:bCs/>
        </w:rPr>
        <w:t xml:space="preserve">Any request for making full payment over time under an installment plan should be sent to: Chief Financial Officer — Financial Operations, Federal Communications Commission, 45 L Street NE, Washington, D.C. 20554. Questions regarding payment procedures should be directed to the Financial Operations Group Help Desk by telephone, 1-877-480-3201, or by e-mail, </w:t>
      </w:r>
      <w:hyperlink r:id="rId11" w:history="1">
        <w:r w:rsidRPr="00362EF6" w:rsidR="00362EF6">
          <w:rPr>
            <w:rStyle w:val="Hyperlink"/>
            <w:bCs/>
          </w:rPr>
          <w:t>ARINQUIRIES@fcc.gov</w:t>
        </w:r>
      </w:hyperlink>
      <w:r w:rsidRPr="001202CC">
        <w:rPr>
          <w:bCs/>
        </w:rPr>
        <w:t>.</w:t>
      </w:r>
    </w:p>
    <w:p w:rsidR="00DD361D" w:rsidRPr="001202CC" w:rsidP="00DD361D" w14:paraId="37DD45E9" w14:textId="30D14FCB">
      <w:pPr>
        <w:pStyle w:val="ParaNum"/>
      </w:pPr>
      <w:r w:rsidRPr="001202CC">
        <w:rPr>
          <w:b/>
        </w:rPr>
        <w:t>IT IS FURTHER ORDERED</w:t>
      </w:r>
      <w:r w:rsidRPr="001202CC">
        <w:t xml:space="preserve"> that a copy of this Forfeiture Order shall be sent by first class mail and certified mail, return receipt requested, to Richard S. Denning, Executive Vice President and General Counsel, Cumulus Licensing LLC, 3280 Peachtree Road, NW, Suite 2200, Atlanta, GA 30305, and to Mark N. Lipp, Esq., Counsel for Cumulus Licensing LLC, Fletcher Heald &amp; Hildreth, PLC, 1300 N. 17</w:t>
      </w:r>
      <w:r w:rsidRPr="001202CC">
        <w:rPr>
          <w:vertAlign w:val="superscript"/>
        </w:rPr>
        <w:t>th</w:t>
      </w:r>
      <w:r w:rsidRPr="001202CC">
        <w:t xml:space="preserve"> Street, Suite 1100, Arlington, VA 22209.</w:t>
      </w:r>
    </w:p>
    <w:p w:rsidR="003343CA" w:rsidRPr="001202CC" w:rsidP="004024B5" w14:paraId="3C474640" w14:textId="77777777"/>
    <w:p w:rsidR="003343CA" w:rsidRPr="001202CC" w:rsidP="004024B5" w14:paraId="155ED101" w14:textId="77777777"/>
    <w:p w:rsidR="003343CA" w:rsidRPr="001202CC" w:rsidP="004024B5" w14:paraId="7184DF56" w14:textId="77777777">
      <w:pPr>
        <w:ind w:left="4410"/>
      </w:pPr>
      <w:r w:rsidRPr="001202CC">
        <w:t>FEDERAL COMMUNICATIONS COMMISSION</w:t>
      </w:r>
    </w:p>
    <w:p w:rsidR="003343CA" w:rsidRPr="001202CC" w:rsidP="004024B5" w14:paraId="1178ED7E" w14:textId="77777777">
      <w:pPr>
        <w:ind w:left="4410"/>
      </w:pPr>
    </w:p>
    <w:p w:rsidR="003343CA" w:rsidRPr="001202CC" w:rsidP="004024B5" w14:paraId="673BA901" w14:textId="77777777">
      <w:pPr>
        <w:ind w:left="4410"/>
      </w:pPr>
    </w:p>
    <w:p w:rsidR="003343CA" w:rsidRPr="001202CC" w:rsidP="004024B5" w14:paraId="76CF67F9" w14:textId="77777777">
      <w:pPr>
        <w:ind w:left="4410"/>
      </w:pPr>
    </w:p>
    <w:p w:rsidR="003343CA" w:rsidRPr="001202CC" w:rsidP="004024B5" w14:paraId="0DD4A8C8" w14:textId="77777777">
      <w:pPr>
        <w:ind w:left="4410"/>
      </w:pPr>
    </w:p>
    <w:p w:rsidR="009B0223" w:rsidRPr="001202CC" w:rsidP="004024B5" w14:paraId="325BB4BC" w14:textId="2D73FB0B">
      <w:pPr>
        <w:ind w:left="4410"/>
      </w:pPr>
      <w:r w:rsidRPr="001202CC">
        <w:t>Marlene H. Dortch</w:t>
      </w:r>
    </w:p>
    <w:p w:rsidR="009B0223" w:rsidRPr="001202CC" w:rsidP="004024B5" w14:paraId="03314CFE" w14:textId="77777777">
      <w:pPr>
        <w:ind w:left="4410"/>
      </w:pPr>
      <w:r w:rsidRPr="001202CC">
        <w:t>Secretary</w:t>
      </w:r>
    </w:p>
    <w:p w:rsidR="009B0223" w:rsidRPr="001B3C2E" w:rsidP="001B3C2E" w14:paraId="6D4F3278" w14:textId="6C6C3127">
      <w:pPr>
        <w:rPr>
          <w:i/>
        </w:rPr>
      </w:pPr>
    </w:p>
    <w:p w:rsidR="00E273E3" w:rsidP="004024B5" w14:paraId="724C3850" w14:textId="5572A492">
      <w:pPr>
        <w:ind w:left="4410"/>
      </w:pPr>
    </w:p>
    <w:sectPr w:rsidSect="00D417DA">
      <w:headerReference w:type="default" r:id="rId12"/>
      <w:footerReference w:type="even" r:id="rId13"/>
      <w:footerReference w:type="default" r:id="rId14"/>
      <w:head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14:paraId="71B341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E273E3" w14:paraId="04D7F9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14:paraId="575F2CE1" w14:textId="77777777">
    <w:pPr>
      <w:pStyle w:val="Footer"/>
      <w:framePr w:wrap="around" w:vAnchor="text" w:hAnchor="margin" w:xAlign="center" w:y="1"/>
    </w:pPr>
    <w:r>
      <w:fldChar w:fldCharType="begin"/>
    </w:r>
    <w:r>
      <w:instrText xml:space="preserve">PAGE  </w:instrText>
    </w:r>
    <w:r>
      <w:fldChar w:fldCharType="separate"/>
    </w:r>
    <w:r w:rsidR="004C7C5C">
      <w:rPr>
        <w:noProof/>
      </w:rPr>
      <w:t>2</w:t>
    </w:r>
    <w:r>
      <w:rPr>
        <w:noProof/>
      </w:rPr>
      <w:fldChar w:fldCharType="end"/>
    </w:r>
  </w:p>
  <w:p w:rsidR="00E273E3" w14:paraId="7949A70D"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46C0" w14:paraId="076CCAF6" w14:textId="77777777">
      <w:r>
        <w:separator/>
      </w:r>
    </w:p>
  </w:footnote>
  <w:footnote w:type="continuationSeparator" w:id="1">
    <w:p w:rsidR="006E46C0" w14:paraId="32DEBCDC" w14:textId="77777777">
      <w:pPr>
        <w:rPr>
          <w:sz w:val="20"/>
        </w:rPr>
      </w:pPr>
      <w:r>
        <w:rPr>
          <w:sz w:val="20"/>
        </w:rPr>
        <w:t xml:space="preserve">(Continued from previous page)  </w:t>
      </w:r>
      <w:r>
        <w:rPr>
          <w:sz w:val="20"/>
        </w:rPr>
        <w:separator/>
      </w:r>
    </w:p>
  </w:footnote>
  <w:footnote w:type="continuationNotice" w:id="2">
    <w:p w:rsidR="006E46C0" w14:paraId="692D056E" w14:textId="77777777">
      <w:pPr>
        <w:rPr>
          <w:sz w:val="20"/>
        </w:rPr>
      </w:pPr>
      <w:r>
        <w:rPr>
          <w:sz w:val="20"/>
        </w:rPr>
        <w:t>(continued….)</w:t>
      </w:r>
    </w:p>
  </w:footnote>
  <w:footnote w:id="3">
    <w:p w:rsidR="004D106F" w:rsidRPr="000E64BB" w:rsidP="000E64BB" w14:paraId="61B7577A" w14:textId="2CB35C09">
      <w:pPr>
        <w:pStyle w:val="FootnoteText"/>
      </w:pPr>
      <w:r w:rsidRPr="000E64BB">
        <w:rPr>
          <w:rStyle w:val="FootnoteReference"/>
        </w:rPr>
        <w:footnoteRef/>
      </w:r>
      <w:r w:rsidRPr="000E64BB">
        <w:t xml:space="preserve"> </w:t>
      </w:r>
      <w:r w:rsidRPr="000E64BB">
        <w:rPr>
          <w:i/>
          <w:iCs/>
        </w:rPr>
        <w:t>Cumulus Licensing LLC</w:t>
      </w:r>
      <w:r w:rsidRPr="000E64BB">
        <w:t xml:space="preserve">, Notice of Apparent Liability for Forfeiture, </w:t>
      </w:r>
      <w:r w:rsidR="000E726B">
        <w:t>37 FCC Rcd</w:t>
      </w:r>
      <w:r w:rsidR="004E5898">
        <w:t xml:space="preserve"> 3461</w:t>
      </w:r>
      <w:r w:rsidRPr="000E64BB">
        <w:t xml:space="preserve"> (2022)</w:t>
      </w:r>
      <w:r w:rsidRPr="000E64BB" w:rsidR="008608C8">
        <w:t xml:space="preserve"> (</w:t>
      </w:r>
      <w:r w:rsidRPr="000E64BB" w:rsidR="008608C8">
        <w:rPr>
          <w:i/>
          <w:iCs/>
        </w:rPr>
        <w:t>NAL</w:t>
      </w:r>
      <w:r w:rsidRPr="000E64BB" w:rsidR="008608C8">
        <w:t>)</w:t>
      </w:r>
      <w:r w:rsidRPr="000E64BB">
        <w:t>.</w:t>
      </w:r>
    </w:p>
  </w:footnote>
  <w:footnote w:id="4">
    <w:p w:rsidR="001013B7" w:rsidRPr="000E64BB" w:rsidP="000E64BB" w14:paraId="573A3E6D" w14:textId="445D007E">
      <w:pPr>
        <w:pStyle w:val="FootnoteText"/>
      </w:pPr>
      <w:r w:rsidRPr="000E64BB">
        <w:rPr>
          <w:rStyle w:val="FootnoteReference"/>
        </w:rPr>
        <w:footnoteRef/>
      </w:r>
      <w:r w:rsidRPr="000E64BB">
        <w:t xml:space="preserve"> </w:t>
      </w:r>
      <w:r w:rsidRPr="000E64BB">
        <w:t xml:space="preserve">Cumulus Licensing LLC, </w:t>
      </w:r>
      <w:r w:rsidRPr="000E64BB">
        <w:t>Response to Notice of Apparent Liability for Forfeiture</w:t>
      </w:r>
      <w:r w:rsidRPr="000E64BB" w:rsidR="009C448C">
        <w:t xml:space="preserve"> </w:t>
      </w:r>
      <w:r w:rsidRPr="000E64BB">
        <w:t>(</w:t>
      </w:r>
      <w:r w:rsidRPr="000E64BB" w:rsidR="00507832">
        <w:t>Mar</w:t>
      </w:r>
      <w:r w:rsidRPr="000E64BB">
        <w:t>. 2</w:t>
      </w:r>
      <w:r w:rsidRPr="000E64BB" w:rsidR="00507832">
        <w:t>8</w:t>
      </w:r>
      <w:r w:rsidRPr="000E64BB">
        <w:t>, 20</w:t>
      </w:r>
      <w:r w:rsidRPr="000E64BB" w:rsidR="00507832">
        <w:t>22</w:t>
      </w:r>
      <w:r w:rsidRPr="000E64BB">
        <w:t xml:space="preserve">) (on file in </w:t>
      </w:r>
      <w:r w:rsidRPr="000E64BB" w:rsidR="00507832">
        <w:t>EB-IHD-20-00031223</w:t>
      </w:r>
      <w:r w:rsidRPr="000E64BB">
        <w:t>) (NAL Response).</w:t>
      </w:r>
      <w:r w:rsidRPr="000E64BB">
        <w:t xml:space="preserve"> </w:t>
      </w:r>
    </w:p>
  </w:footnote>
  <w:footnote w:id="5">
    <w:p w:rsidR="00A65C5B" w:rsidRPr="000E64BB" w:rsidP="000E64BB" w14:paraId="70D58375" w14:textId="56846D9C">
      <w:pPr>
        <w:pStyle w:val="FootnoteText"/>
      </w:pPr>
      <w:r w:rsidRPr="000E64BB">
        <w:rPr>
          <w:rStyle w:val="FootnoteReference"/>
        </w:rPr>
        <w:footnoteRef/>
      </w:r>
      <w:r w:rsidRPr="000E64BB">
        <w:t xml:space="preserve"> 47 CFR § 73.2080(c)(6).</w:t>
      </w:r>
    </w:p>
  </w:footnote>
  <w:footnote w:id="6">
    <w:p w:rsidR="00A65C5B" w:rsidRPr="000E64BB" w:rsidP="000E64BB" w14:paraId="240D5E5E" w14:textId="07CBB359">
      <w:pPr>
        <w:pStyle w:val="FootnoteText"/>
      </w:pPr>
      <w:r w:rsidRPr="000E64BB">
        <w:rPr>
          <w:rStyle w:val="FootnoteReference"/>
        </w:rPr>
        <w:footnoteRef/>
      </w:r>
      <w:r w:rsidRPr="000E64BB">
        <w:t xml:space="preserve"> </w:t>
      </w:r>
      <w:r w:rsidRPr="000E64BB">
        <w:rPr>
          <w:i/>
          <w:iCs/>
        </w:rPr>
        <w:t>Id</w:t>
      </w:r>
      <w:r w:rsidRPr="000E64BB">
        <w:t>.</w:t>
      </w:r>
    </w:p>
  </w:footnote>
  <w:footnote w:id="7">
    <w:p w:rsidR="00A65C5B" w:rsidRPr="000E64BB" w:rsidP="000E64BB" w14:paraId="5B99B8D2" w14:textId="611158CA">
      <w:pPr>
        <w:pStyle w:val="FootnoteText"/>
      </w:pPr>
      <w:r w:rsidRPr="000E64BB">
        <w:rPr>
          <w:rStyle w:val="FootnoteReference"/>
        </w:rPr>
        <w:footnoteRef/>
      </w:r>
      <w:r w:rsidRPr="000E64BB">
        <w:t xml:space="preserve"> </w:t>
      </w:r>
      <w:r w:rsidR="00C46F23">
        <w:rPr>
          <w:i/>
          <w:iCs/>
        </w:rPr>
        <w:t>Id.</w:t>
      </w:r>
      <w:r w:rsidRPr="000E64BB">
        <w:t xml:space="preserve"> § 73.2080(c)(3).</w:t>
      </w:r>
    </w:p>
  </w:footnote>
  <w:footnote w:id="8">
    <w:p w:rsidR="00A65C5B" w:rsidRPr="000E64BB" w:rsidP="000E64BB" w14:paraId="5C9D4BFD" w14:textId="71883052">
      <w:pPr>
        <w:pStyle w:val="FootnoteText"/>
      </w:pPr>
      <w:r w:rsidRPr="000E64BB">
        <w:rPr>
          <w:rStyle w:val="FootnoteReference"/>
        </w:rPr>
        <w:footnoteRef/>
      </w:r>
      <w:r w:rsidRPr="000E64BB">
        <w:t xml:space="preserve"> </w:t>
      </w:r>
      <w:r w:rsidR="00C46F23">
        <w:rPr>
          <w:i/>
          <w:iCs/>
        </w:rPr>
        <w:t>Id.</w:t>
      </w:r>
      <w:r w:rsidRPr="000E64BB" w:rsidR="001211C2">
        <w:t xml:space="preserve"> § 73.3526(e)(7).  </w:t>
      </w:r>
    </w:p>
  </w:footnote>
  <w:footnote w:id="9">
    <w:p w:rsidR="009031D2" w:rsidRPr="000E64BB" w:rsidP="000E64BB" w14:paraId="50B41215" w14:textId="7CA93C40">
      <w:pPr>
        <w:pStyle w:val="FootnoteText"/>
      </w:pPr>
      <w:r w:rsidRPr="000E64BB">
        <w:rPr>
          <w:rStyle w:val="FootnoteReference"/>
        </w:rPr>
        <w:footnoteRef/>
      </w:r>
      <w:r w:rsidRPr="000E64BB">
        <w:t xml:space="preserve"> </w:t>
      </w:r>
      <w:r w:rsidRPr="000E64BB">
        <w:rPr>
          <w:i/>
          <w:iCs/>
        </w:rPr>
        <w:t xml:space="preserve">See </w:t>
      </w:r>
      <w:r w:rsidRPr="000E64BB">
        <w:t>Cumulus Media,</w:t>
      </w:r>
      <w:r w:rsidRPr="000E64BB" w:rsidR="0054123B">
        <w:t xml:space="preserve"> </w:t>
      </w:r>
      <w:r w:rsidRPr="000E64BB" w:rsidR="0054123B">
        <w:rPr>
          <w:i/>
          <w:iCs/>
        </w:rPr>
        <w:t>About Us</w:t>
      </w:r>
      <w:r w:rsidRPr="000E64BB" w:rsidR="0054123B">
        <w:t xml:space="preserve">, </w:t>
      </w:r>
      <w:r w:rsidR="00FB4951">
        <w:t>https://</w:t>
      </w:r>
      <w:hyperlink r:id="rId1" w:history="1">
        <w:r w:rsidRPr="00FB4951" w:rsidR="00FB4951">
          <w:rPr>
            <w:rStyle w:val="Hyperlink"/>
          </w:rPr>
          <w:t>www.cumulusmedia.com</w:t>
        </w:r>
      </w:hyperlink>
      <w:r w:rsidRPr="000E64BB">
        <w:t xml:space="preserve"> (last visited </w:t>
      </w:r>
      <w:r w:rsidR="0029145B">
        <w:t>Sept</w:t>
      </w:r>
      <w:r w:rsidR="00FB4951">
        <w:t>.</w:t>
      </w:r>
      <w:r w:rsidR="0029145B">
        <w:t xml:space="preserve"> 1</w:t>
      </w:r>
      <w:r w:rsidRPr="000E64BB">
        <w:t>, 202</w:t>
      </w:r>
      <w:r w:rsidR="0091739A">
        <w:t>3</w:t>
      </w:r>
      <w:r w:rsidRPr="000E64BB">
        <w:t>).</w:t>
      </w:r>
    </w:p>
  </w:footnote>
  <w:footnote w:id="10">
    <w:p w:rsidR="00014521" w:rsidRPr="000E64BB" w:rsidP="000E64BB" w14:paraId="17B9EA99" w14:textId="59C59CE5">
      <w:pPr>
        <w:pStyle w:val="FootnoteText"/>
      </w:pPr>
      <w:r w:rsidRPr="000E64BB">
        <w:rPr>
          <w:rStyle w:val="FootnoteReference"/>
        </w:rPr>
        <w:footnoteRef/>
      </w:r>
      <w:r w:rsidRPr="000E64BB">
        <w:t xml:space="preserve"> </w:t>
      </w:r>
      <w:r w:rsidRPr="000E64BB">
        <w:rPr>
          <w:i/>
          <w:iCs/>
        </w:rPr>
        <w:t>Id.</w:t>
      </w:r>
    </w:p>
  </w:footnote>
  <w:footnote w:id="11">
    <w:p w:rsidR="00D76C03" w:rsidRPr="000E64BB" w:rsidP="000E64BB" w14:paraId="55420DF6" w14:textId="18E49749">
      <w:pPr>
        <w:pStyle w:val="FootnoteText"/>
      </w:pPr>
      <w:r w:rsidRPr="000E64BB">
        <w:rPr>
          <w:rStyle w:val="FootnoteReference"/>
        </w:rPr>
        <w:footnoteRef/>
      </w:r>
      <w:r w:rsidRPr="000E64BB">
        <w:t xml:space="preserve"> 47 CFR § 73.3526.</w:t>
      </w:r>
      <w:r w:rsidRPr="000E64BB" w:rsidR="00C61B9E">
        <w:t xml:space="preserve">  </w:t>
      </w:r>
      <w:r w:rsidRPr="000E64BB">
        <w:rPr>
          <w:i/>
          <w:iCs/>
        </w:rPr>
        <w:t xml:space="preserve">See </w:t>
      </w:r>
      <w:r w:rsidRPr="000E64BB">
        <w:t xml:space="preserve">Form 303-S Applications for Renewal of Broadcast Station License, WEGC(FM), Sasser, GA (Facility ID Number 40463), Renewal File No. 0000098498 (filed Aug. 25, 2020), </w:t>
      </w:r>
      <w:hyperlink r:id="rId2" w:history="1">
        <w:r w:rsidRPr="000E64BB">
          <w:rPr>
            <w:rStyle w:val="Hyperlink"/>
          </w:rPr>
          <w:t>https://enterpriseefiling.fcc.gov/dataentry/public/tv/draftCopy.html?displayType=html&amp;appKey=25076ff37414384b0174271ea2051252&amp;id=25076ff37414384b0174271ea2051252&amp;goBack=N</w:t>
        </w:r>
      </w:hyperlink>
      <w:r w:rsidRPr="000E64BB">
        <w:t xml:space="preserve">; WJAD(FM), Leesburg, GA (Facility ID Number 57782), Renewal File No. 0000098499 (filed Aug. 25, 2020), </w:t>
      </w:r>
      <w:hyperlink r:id="rId3" w:history="1">
        <w:r w:rsidRPr="000E64BB">
          <w:rPr>
            <w:rStyle w:val="Hyperlink"/>
          </w:rPr>
          <w:t>https://enterpriseefiling.fcc.gov/dataentry/public/tv/draftCopy.html?displayType=html&amp;appKey=25076ff37414384b017427295ecb1271&amp;id=25076ff37414384b017427295ecb1271&amp;goBack=N)</w:t>
        </w:r>
      </w:hyperlink>
      <w:r w:rsidRPr="000E64BB">
        <w:t xml:space="preserve">; WKAK(FM), Albany, GA (Facility ID Number 831), Renewal File No. 0000098501(filed Aug. 25, 2020), </w:t>
      </w:r>
      <w:hyperlink r:id="rId4" w:history="1">
        <w:r w:rsidRPr="000E64BB">
          <w:rPr>
            <w:rStyle w:val="Hyperlink"/>
          </w:rPr>
          <w:t>https://enterpriseefiling.fcc.gov/dataentry/public/tv/draftCopy.html?displayType=html&amp;appKey=25076ff37414384b0174272d723c128e&amp;id=25076ff37414384b0174272d723c128e&amp;goBack=N</w:t>
        </w:r>
      </w:hyperlink>
      <w:r w:rsidRPr="000E64BB">
        <w:t xml:space="preserve">; WQVE(FM), Albany, GA (Facility ID Number 54704), Renewal File No. 0000098500 (filed Aug. 25, 2020), </w:t>
      </w:r>
      <w:hyperlink r:id="rId5" w:history="1">
        <w:r w:rsidRPr="000E64BB">
          <w:rPr>
            <w:rStyle w:val="Hyperlink"/>
          </w:rPr>
          <w:t>https://enterpriseefiling.fcc.gov/dataentry/public/tv/draftCopy.html?displayType=html&amp;appKey=25076ff37414384b01742730ae1e12ad&amp;id=25076ff37414384b01742730ae1e12ad&amp;goBack=N</w:t>
        </w:r>
      </w:hyperlink>
      <w:r w:rsidRPr="000E64BB">
        <w:t xml:space="preserve">; WALG(AM), Albany, GA (Facility ID Number 54703), Renewal File No. 0000098497 (filed Aug. 25, 2020), </w:t>
      </w:r>
      <w:hyperlink r:id="rId6" w:history="1">
        <w:r w:rsidRPr="000E64BB">
          <w:rPr>
            <w:rStyle w:val="Hyperlink"/>
          </w:rPr>
          <w:t>https://enterpriseefiling.fcc.gov/dataentry/public/tv/draftCopy.html?displayType=html&amp;appKey=25076ff37414384b0174271781c61234&amp;id=25076ff37414384b0174271781c61234&amp;goBack=N</w:t>
        </w:r>
      </w:hyperlink>
      <w:r w:rsidRPr="000E64BB">
        <w:t xml:space="preserve">.  </w:t>
      </w:r>
    </w:p>
  </w:footnote>
  <w:footnote w:id="12">
    <w:p w:rsidR="00D76C03" w:rsidRPr="000E64BB" w:rsidP="000E64BB" w14:paraId="6F64653B" w14:textId="58CA9E03">
      <w:pPr>
        <w:pStyle w:val="FootnoteText"/>
      </w:pPr>
      <w:r w:rsidRPr="000E64BB">
        <w:rPr>
          <w:rStyle w:val="FootnoteReference"/>
        </w:rPr>
        <w:footnoteRef/>
      </w:r>
      <w:r w:rsidRPr="000E64BB">
        <w:t xml:space="preserve"> </w:t>
      </w:r>
      <w:r w:rsidRPr="000E64BB" w:rsidR="009013AA">
        <w:t>Letter from Christopher J. Sova, Deputy Chief, Investigations and Hearings Division, FCC Enforcement Bureau, to Richard S. Denning, Executive Vice President, Secretary and General Counsel, Cumulus Licensing LLC (July 23, 2020) (on file in EB-IHD-20-00031223) (LOI).</w:t>
      </w:r>
    </w:p>
  </w:footnote>
  <w:footnote w:id="13">
    <w:p w:rsidR="009013AA" w:rsidRPr="000E64BB" w:rsidP="000E64BB" w14:paraId="3F973667" w14:textId="44176CBB">
      <w:pPr>
        <w:pStyle w:val="FootnoteText"/>
      </w:pPr>
      <w:r w:rsidRPr="000E64BB">
        <w:rPr>
          <w:rStyle w:val="FootnoteReference"/>
        </w:rPr>
        <w:footnoteRef/>
      </w:r>
      <w:r w:rsidRPr="000E64BB">
        <w:t xml:space="preserve"> Letter from Richard S. Denning, Executive Vice President, Secretary and General Counsel, Cumulus Licensing LLC and Mark Lipp, Esq., Fletcher, Heald &amp; Hildreth, counsel to Cumulus Licensing LLC, to EEO Staff, Investigations and Hearings Division, FCC Enforcement Bureau, at Response to Questions 3, 5 (Aug. 20, 2020) (on file in EB-IHD-20-00031223) (LOI Response). </w:t>
      </w:r>
      <w:r w:rsidR="00C46F23">
        <w:t xml:space="preserve"> </w:t>
      </w:r>
      <w:r w:rsidR="00600E02">
        <w:t>Every eight years, t</w:t>
      </w:r>
      <w:r w:rsidR="00835D91">
        <w:t xml:space="preserve">he filing deadline for </w:t>
      </w:r>
      <w:r w:rsidRPr="000E64BB">
        <w:t xml:space="preserve">Georgia radio station </w:t>
      </w:r>
      <w:r w:rsidR="00F91491">
        <w:t xml:space="preserve">license </w:t>
      </w:r>
      <w:r w:rsidRPr="000E64BB">
        <w:t xml:space="preserve">renewal applications </w:t>
      </w:r>
      <w:r w:rsidR="00B921EB">
        <w:t>falls on</w:t>
      </w:r>
      <w:r w:rsidR="001931DB">
        <w:t xml:space="preserve"> </w:t>
      </w:r>
      <w:r w:rsidRPr="000E64BB">
        <w:t>December 1</w:t>
      </w:r>
      <w:r w:rsidR="003840F4">
        <w:t xml:space="preserve">, and </w:t>
      </w:r>
      <w:r w:rsidR="005746E9">
        <w:t xml:space="preserve">those </w:t>
      </w:r>
      <w:r w:rsidR="003840F4">
        <w:t>s</w:t>
      </w:r>
      <w:r w:rsidRPr="000E64BB">
        <w:t xml:space="preserve">tations must upload their Annual Report on </w:t>
      </w:r>
      <w:r w:rsidR="00707403">
        <w:t xml:space="preserve">or before </w:t>
      </w:r>
      <w:r w:rsidR="00600E02">
        <w:t xml:space="preserve">December 1 </w:t>
      </w:r>
      <w:r w:rsidR="00007817">
        <w:t>on an annual basis</w:t>
      </w:r>
      <w:r w:rsidRPr="000E64BB">
        <w:t xml:space="preserve">. </w:t>
      </w:r>
      <w:r w:rsidR="00C46F23">
        <w:t xml:space="preserve"> </w:t>
      </w:r>
      <w:r w:rsidRPr="004B0D32" w:rsidR="00C357FE">
        <w:rPr>
          <w:i/>
          <w:iCs/>
        </w:rPr>
        <w:t>See</w:t>
      </w:r>
      <w:r w:rsidR="00C357FE">
        <w:t xml:space="preserve"> 47 CFR </w:t>
      </w:r>
      <w:r w:rsidRPr="000E64BB" w:rsidR="00C357FE">
        <w:t>§</w:t>
      </w:r>
      <w:r w:rsidRPr="000E64BB" w:rsidR="00D4334A">
        <w:t>§</w:t>
      </w:r>
      <w:r w:rsidR="00C357FE">
        <w:t xml:space="preserve"> </w:t>
      </w:r>
      <w:r w:rsidR="000F313E">
        <w:t>73.</w:t>
      </w:r>
      <w:r w:rsidR="00C357FE">
        <w:t>3539</w:t>
      </w:r>
      <w:r w:rsidR="00C46F23">
        <w:t>,</w:t>
      </w:r>
      <w:r w:rsidR="006F3D4C">
        <w:t xml:space="preserve"> </w:t>
      </w:r>
      <w:r w:rsidR="000F313E">
        <w:t>73.</w:t>
      </w:r>
      <w:r w:rsidR="00EA6B0B">
        <w:t>2080</w:t>
      </w:r>
      <w:r w:rsidR="0067093B">
        <w:t>(c)</w:t>
      </w:r>
      <w:r w:rsidR="00EA6B0B">
        <w:t xml:space="preserve">(6).  </w:t>
      </w:r>
      <w:r w:rsidRPr="000E64BB">
        <w:t>In 2018, however, December 1 fell on a Saturda</w:t>
      </w:r>
      <w:r w:rsidR="000509F8">
        <w:t>y, a</w:t>
      </w:r>
      <w:r w:rsidR="00007817">
        <w:t>nd t</w:t>
      </w:r>
      <w:r w:rsidRPr="000E64BB">
        <w:t>he 2018 Annual Report was therefore due on the next business day, i.e., December 3, 2018.</w:t>
      </w:r>
    </w:p>
  </w:footnote>
  <w:footnote w:id="14">
    <w:p w:rsidR="009013AA" w:rsidRPr="000E64BB" w:rsidP="000E64BB" w14:paraId="33E7E874" w14:textId="1AB6C3E5">
      <w:pPr>
        <w:pStyle w:val="FootnoteText"/>
      </w:pPr>
      <w:r w:rsidRPr="000E64BB">
        <w:rPr>
          <w:rStyle w:val="FootnoteReference"/>
        </w:rPr>
        <w:footnoteRef/>
      </w:r>
      <w:r w:rsidRPr="000E64BB">
        <w:t xml:space="preserve"> LOI Response at 4.  </w:t>
      </w:r>
    </w:p>
  </w:footnote>
  <w:footnote w:id="15">
    <w:p w:rsidR="00A3768D" w14:paraId="7977CF80" w14:textId="0B5DD198">
      <w:pPr>
        <w:pStyle w:val="FootnoteText"/>
      </w:pPr>
      <w:r>
        <w:rPr>
          <w:rStyle w:val="FootnoteReference"/>
        </w:rPr>
        <w:footnoteRef/>
      </w:r>
      <w:r>
        <w:t xml:space="preserve"> </w:t>
      </w:r>
      <w:r w:rsidRPr="000E64BB" w:rsidR="005326E2">
        <w:t>On November 24, 2020, the Commission and Cumulus executed a tolling agreement which, among other things, preserved the Commission’s legal rights to issue one or more NALs and initiate collection proceedings, as applicable, with respect to the potential violations, while allowing for the grant of the Renewal Applications and for the consummation of the assignment of the licenses for the Stations in connection with Cumulus’</w:t>
      </w:r>
      <w:r w:rsidR="00CF5332">
        <w:t>s</w:t>
      </w:r>
      <w:r w:rsidRPr="000E64BB" w:rsidR="005326E2">
        <w:t xml:space="preserve"> sale of the Stations to a third party. </w:t>
      </w:r>
      <w:r w:rsidR="00C46F23">
        <w:t xml:space="preserve"> </w:t>
      </w:r>
      <w:r w:rsidRPr="000E64BB" w:rsidR="005326E2">
        <w:rPr>
          <w:i/>
          <w:iCs/>
        </w:rPr>
        <w:t xml:space="preserve">See </w:t>
      </w:r>
      <w:r w:rsidRPr="000E64BB" w:rsidR="005326E2">
        <w:t>Agreement Regarding Assignment Applications executed by Jeffrey J. Gee, Chief, Investigations and Hearings Division, FCC Enforcement Bureau, and Richard S. Denning, Executive Vice President, Secretary and General Counsel, Cumulus Licensing LLC (Nov. 24, 2020) (on file in EB-IHD-20-00031223). Cumulus sold the Stations to First Media Services, LLC on Dec</w:t>
      </w:r>
      <w:r w:rsidR="001B7DBA">
        <w:t>ember</w:t>
      </w:r>
      <w:r w:rsidRPr="000E64BB" w:rsidR="005326E2">
        <w:t xml:space="preserve"> 15, 2020</w:t>
      </w:r>
      <w:r w:rsidR="001B7DBA">
        <w:t>,</w:t>
      </w:r>
      <w:r w:rsidRPr="000E64BB" w:rsidR="005326E2">
        <w:t xml:space="preserve"> pursuant to assignment applications BAL-20200429AAB, and BALH-20200429AAC-F; Consummation Notice of Cumulus Licensing LLC, File Nos. BAL-20200429AAB et al. (filed Dec. 17, 2020).</w:t>
      </w:r>
      <w:r w:rsidR="00C46F23">
        <w:t xml:space="preserve"> </w:t>
      </w:r>
      <w:r w:rsidRPr="000E64BB" w:rsidR="005326E2">
        <w:t xml:space="preserve"> Pursuant to the tolling agreement, Cumulus agreed</w:t>
      </w:r>
      <w:r w:rsidR="00A13CB9">
        <w:t>, among other things,</w:t>
      </w:r>
      <w:r w:rsidRPr="000E64BB" w:rsidR="005326E2">
        <w:t xml:space="preserve"> to waive any right it might otherwise have to assert that it is no longer a holder of the Commission-issued licenses for the Stations.  </w:t>
      </w:r>
    </w:p>
  </w:footnote>
  <w:footnote w:id="16">
    <w:p w:rsidR="00F03E26" w:rsidRPr="000E64BB" w:rsidP="000E64BB" w14:paraId="3CDA0C58" w14:textId="1A9BC8DA">
      <w:pPr>
        <w:pStyle w:val="FootnoteText"/>
      </w:pPr>
      <w:r w:rsidRPr="000E64BB">
        <w:rPr>
          <w:rStyle w:val="FootnoteReference"/>
        </w:rPr>
        <w:footnoteRef/>
      </w:r>
      <w:r w:rsidRPr="000E64BB">
        <w:t xml:space="preserve"> </w:t>
      </w:r>
      <w:r w:rsidRPr="000E64BB" w:rsidR="00C61B9E">
        <w:rPr>
          <w:i/>
          <w:iCs/>
        </w:rPr>
        <w:t>NAL</w:t>
      </w:r>
      <w:r w:rsidRPr="000E64BB" w:rsidR="00C61B9E">
        <w:t xml:space="preserve">, </w:t>
      </w:r>
      <w:bookmarkStart w:id="5" w:name="_Hlk146612738"/>
      <w:bookmarkStart w:id="6" w:name="_Hlk138859827"/>
      <w:r w:rsidR="009A5F26">
        <w:rPr>
          <w:i/>
          <w:iCs/>
        </w:rPr>
        <w:t xml:space="preserve">supra </w:t>
      </w:r>
      <w:r w:rsidR="009A5F26">
        <w:t>note 1</w:t>
      </w:r>
      <w:bookmarkEnd w:id="5"/>
      <w:bookmarkEnd w:id="6"/>
      <w:r w:rsidRPr="000E64BB" w:rsidR="00C61B9E">
        <w:t>, at *1-</w:t>
      </w:r>
      <w:r w:rsidRPr="000E64BB" w:rsidR="00EE050D">
        <w:t>6, paras. 1-20</w:t>
      </w:r>
      <w:r w:rsidRPr="000E64BB" w:rsidR="000A66A1">
        <w:t>.</w:t>
      </w:r>
      <w:r w:rsidRPr="000E64BB" w:rsidR="00B4134E">
        <w:t xml:space="preserve">  </w:t>
      </w:r>
      <w:r w:rsidRPr="000E64BB" w:rsidR="00B4134E">
        <w:rPr>
          <w:iCs/>
          <w:color w:val="000000"/>
        </w:rPr>
        <w:t xml:space="preserve">The </w:t>
      </w:r>
      <w:r w:rsidRPr="000E64BB" w:rsidR="00B4134E">
        <w:rPr>
          <w:i/>
          <w:iCs/>
          <w:color w:val="000000"/>
        </w:rPr>
        <w:t>NAL</w:t>
      </w:r>
      <w:r w:rsidRPr="000E64BB" w:rsidR="00B4134E">
        <w:rPr>
          <w:iCs/>
          <w:color w:val="000000"/>
        </w:rPr>
        <w:t xml:space="preserve"> includes a more complete discussion of the facts and history of this case and is incorporated herein by reference.</w:t>
      </w:r>
      <w:r w:rsidRPr="000E64BB" w:rsidR="00B4134E">
        <w:t xml:space="preserve">  </w:t>
      </w:r>
      <w:r w:rsidRPr="000E64BB" w:rsidR="00B4134E">
        <w:rPr>
          <w:i/>
        </w:rPr>
        <w:t xml:space="preserve">See </w:t>
      </w:r>
      <w:r w:rsidRPr="000E64BB" w:rsidR="00EE050D">
        <w:rPr>
          <w:i/>
          <w:iCs/>
        </w:rPr>
        <w:t>id</w:t>
      </w:r>
      <w:r w:rsidRPr="000E64BB" w:rsidR="00B4134E">
        <w:t>.</w:t>
      </w:r>
    </w:p>
  </w:footnote>
  <w:footnote w:id="17">
    <w:p w:rsidR="00871CC4" w:rsidRPr="000E64BB" w:rsidP="000E64BB" w14:paraId="6B4E0A9A" w14:textId="22D06C5D">
      <w:pPr>
        <w:pStyle w:val="FootnoteText"/>
      </w:pPr>
      <w:r w:rsidRPr="000E64BB">
        <w:rPr>
          <w:rStyle w:val="FootnoteReference"/>
        </w:rPr>
        <w:footnoteRef/>
      </w:r>
      <w:r w:rsidRPr="000E64BB">
        <w:t xml:space="preserve"> </w:t>
      </w:r>
      <w:r w:rsidRPr="00DB2F5B" w:rsidR="001B7DBA">
        <w:rPr>
          <w:i/>
          <w:iCs/>
        </w:rPr>
        <w:t>Id.</w:t>
      </w:r>
      <w:r w:rsidRPr="000E64BB" w:rsidR="0091488B">
        <w:t xml:space="preserve"> at *2, paras. 5-6.</w:t>
      </w:r>
    </w:p>
  </w:footnote>
  <w:footnote w:id="18">
    <w:p w:rsidR="0091488B" w:rsidRPr="000E64BB" w:rsidP="000E64BB" w14:paraId="09E0449D" w14:textId="54180504">
      <w:pPr>
        <w:pStyle w:val="FootnoteText"/>
      </w:pPr>
      <w:r w:rsidRPr="000E64BB">
        <w:rPr>
          <w:rStyle w:val="FootnoteReference"/>
        </w:rPr>
        <w:footnoteRef/>
      </w:r>
      <w:r w:rsidRPr="000E64BB">
        <w:t xml:space="preserve"> </w:t>
      </w:r>
      <w:r w:rsidRPr="00DB2F5B" w:rsidR="001B7DBA">
        <w:rPr>
          <w:i/>
          <w:iCs/>
        </w:rPr>
        <w:t>Id.</w:t>
      </w:r>
      <w:r w:rsidRPr="000E64BB">
        <w:t xml:space="preserve"> at *3, paras. 8-9.</w:t>
      </w:r>
    </w:p>
  </w:footnote>
  <w:footnote w:id="19">
    <w:p w:rsidR="0091488B" w:rsidRPr="000E64BB" w:rsidP="000E64BB" w14:paraId="76FA2128" w14:textId="3446B85D">
      <w:pPr>
        <w:pStyle w:val="FootnoteText"/>
      </w:pPr>
      <w:r w:rsidRPr="000E64BB">
        <w:rPr>
          <w:rStyle w:val="FootnoteReference"/>
        </w:rPr>
        <w:footnoteRef/>
      </w:r>
      <w:r w:rsidRPr="000E64BB">
        <w:t xml:space="preserve"> </w:t>
      </w:r>
      <w:r w:rsidRPr="00DB2F5B" w:rsidR="001B7DBA">
        <w:rPr>
          <w:i/>
          <w:iCs/>
        </w:rPr>
        <w:t>Id.</w:t>
      </w:r>
      <w:r w:rsidRPr="000E64BB">
        <w:t xml:space="preserve"> at *2, para. 7.</w:t>
      </w:r>
    </w:p>
  </w:footnote>
  <w:footnote w:id="20">
    <w:p w:rsidR="00B430B2" w:rsidRPr="000E64BB" w:rsidP="000E64BB" w14:paraId="3B272140" w14:textId="5086EF22">
      <w:pPr>
        <w:pStyle w:val="FootnoteText"/>
      </w:pPr>
      <w:r w:rsidRPr="000E64BB">
        <w:rPr>
          <w:rStyle w:val="FootnoteReference"/>
        </w:rPr>
        <w:footnoteRef/>
      </w:r>
      <w:r w:rsidRPr="000E64BB">
        <w:t xml:space="preserve"> </w:t>
      </w:r>
      <w:r w:rsidRPr="00DB2F5B" w:rsidR="001B7DBA">
        <w:rPr>
          <w:i/>
          <w:iCs/>
        </w:rPr>
        <w:t>Id.</w:t>
      </w:r>
      <w:r w:rsidRPr="000E64BB">
        <w:t xml:space="preserve"> at *3-5, paras. 10-18.</w:t>
      </w:r>
    </w:p>
  </w:footnote>
  <w:footnote w:id="21">
    <w:p w:rsidR="00E273E3" w:rsidRPr="000E64BB" w:rsidP="000E64BB" w14:paraId="70BC9B48" w14:textId="2E0A63A3">
      <w:pPr>
        <w:pStyle w:val="FootnoteText"/>
      </w:pPr>
      <w:r w:rsidRPr="000E64BB">
        <w:rPr>
          <w:rStyle w:val="FootnoteReference"/>
        </w:rPr>
        <w:footnoteRef/>
      </w:r>
      <w:r w:rsidRPr="000E64BB">
        <w:t xml:space="preserve"> </w:t>
      </w:r>
      <w:r w:rsidRPr="000E64BB" w:rsidR="00E564B0">
        <w:t>NAL Response</w:t>
      </w:r>
      <w:r w:rsidR="009A5F26">
        <w:t xml:space="preserve">, </w:t>
      </w:r>
      <w:r w:rsidR="009A5F26">
        <w:rPr>
          <w:i/>
          <w:iCs/>
        </w:rPr>
        <w:t xml:space="preserve">supra </w:t>
      </w:r>
      <w:r w:rsidR="009A5F26">
        <w:t>note 2</w:t>
      </w:r>
      <w:r w:rsidRPr="000E64BB" w:rsidR="00E564B0">
        <w:t>.</w:t>
      </w:r>
      <w:r w:rsidRPr="000E64BB" w:rsidR="00020DD2">
        <w:t xml:space="preserve">  </w:t>
      </w:r>
      <w:r w:rsidRPr="000E64BB" w:rsidR="0000000B">
        <w:t xml:space="preserve"> </w:t>
      </w:r>
    </w:p>
  </w:footnote>
  <w:footnote w:id="22">
    <w:p w:rsidR="00F6326F" w:rsidRPr="000E64BB" w:rsidP="000E64BB" w14:paraId="4A5025D2" w14:textId="68F6F0FC">
      <w:pPr>
        <w:pStyle w:val="FootnoteText"/>
      </w:pPr>
      <w:r w:rsidRPr="000E64BB">
        <w:rPr>
          <w:rStyle w:val="FootnoteReference"/>
        </w:rPr>
        <w:footnoteRef/>
      </w:r>
      <w:r w:rsidRPr="000E64BB">
        <w:t xml:space="preserve"> </w:t>
      </w:r>
      <w:r w:rsidRPr="000E64BB">
        <w:rPr>
          <w:i/>
          <w:iCs/>
        </w:rPr>
        <w:t>See</w:t>
      </w:r>
      <w:r w:rsidRPr="000E64BB">
        <w:t xml:space="preserve"> </w:t>
      </w:r>
      <w:r w:rsidRPr="00DB2F5B" w:rsidR="001B7DBA">
        <w:rPr>
          <w:i/>
          <w:iCs/>
        </w:rPr>
        <w:t>id.</w:t>
      </w:r>
      <w:r w:rsidRPr="000E64BB">
        <w:t xml:space="preserve"> at 1-10, paras. 1-15.</w:t>
      </w:r>
    </w:p>
  </w:footnote>
  <w:footnote w:id="23">
    <w:p w:rsidR="007F57A0" w:rsidRPr="000E64BB" w:rsidP="000E64BB" w14:paraId="3B0AE501" w14:textId="755E9831">
      <w:pPr>
        <w:pStyle w:val="FootnoteText"/>
      </w:pPr>
      <w:r w:rsidRPr="000E64BB">
        <w:rPr>
          <w:rStyle w:val="FootnoteReference"/>
        </w:rPr>
        <w:footnoteRef/>
      </w:r>
      <w:r w:rsidRPr="000E64BB">
        <w:t xml:space="preserve"> </w:t>
      </w:r>
      <w:r w:rsidRPr="00DB2F5B" w:rsidR="001B7DBA">
        <w:rPr>
          <w:i/>
          <w:iCs/>
        </w:rPr>
        <w:t>Id.</w:t>
      </w:r>
      <w:r w:rsidRPr="000E64BB">
        <w:t xml:space="preserve"> at 8-9, para. 13.</w:t>
      </w:r>
    </w:p>
  </w:footnote>
  <w:footnote w:id="24">
    <w:p w:rsidR="00F46F12" w:rsidRPr="000E64BB" w:rsidP="000E64BB" w14:paraId="796F5089" w14:textId="28661EA8">
      <w:pPr>
        <w:pStyle w:val="FootnoteText"/>
      </w:pPr>
      <w:r w:rsidRPr="000E64BB">
        <w:rPr>
          <w:rStyle w:val="FootnoteReference"/>
        </w:rPr>
        <w:footnoteRef/>
      </w:r>
      <w:r w:rsidRPr="000E64BB">
        <w:t xml:space="preserve"> </w:t>
      </w:r>
      <w:r w:rsidRPr="00DB2F5B" w:rsidR="001B7DBA">
        <w:rPr>
          <w:i/>
          <w:iCs/>
        </w:rPr>
        <w:t>Id.</w:t>
      </w:r>
      <w:r w:rsidRPr="000E64BB">
        <w:t xml:space="preserve"> at 1-4, paras. 1-3.</w:t>
      </w:r>
    </w:p>
  </w:footnote>
  <w:footnote w:id="25">
    <w:p w:rsidR="00F46F12" w:rsidRPr="000E64BB" w:rsidP="000E64BB" w14:paraId="3DF4C0A1" w14:textId="121D865B">
      <w:pPr>
        <w:pStyle w:val="FootnoteText"/>
      </w:pPr>
      <w:r w:rsidRPr="000E64BB">
        <w:rPr>
          <w:rStyle w:val="FootnoteReference"/>
        </w:rPr>
        <w:footnoteRef/>
      </w:r>
      <w:r w:rsidRPr="000E64BB">
        <w:t xml:space="preserve"> </w:t>
      </w:r>
      <w:r w:rsidRPr="00DB2F5B" w:rsidR="001B7DBA">
        <w:rPr>
          <w:i/>
          <w:iCs/>
        </w:rPr>
        <w:t>Id.</w:t>
      </w:r>
      <w:r w:rsidRPr="000E64BB">
        <w:t xml:space="preserve"> at 4-6, paras. 4-8.</w:t>
      </w:r>
    </w:p>
  </w:footnote>
  <w:footnote w:id="26">
    <w:p w:rsidR="00F46F12" w:rsidRPr="000E64BB" w:rsidP="000E64BB" w14:paraId="1D6D94BE" w14:textId="13624A0F">
      <w:pPr>
        <w:pStyle w:val="FootnoteText"/>
      </w:pPr>
      <w:r w:rsidRPr="000E64BB">
        <w:rPr>
          <w:rStyle w:val="FootnoteReference"/>
        </w:rPr>
        <w:footnoteRef/>
      </w:r>
      <w:r w:rsidRPr="000E64BB">
        <w:t xml:space="preserve"> </w:t>
      </w:r>
      <w:r w:rsidRPr="00DB2F5B" w:rsidR="001B7DBA">
        <w:rPr>
          <w:i/>
          <w:iCs/>
        </w:rPr>
        <w:t>Id.</w:t>
      </w:r>
      <w:r w:rsidRPr="000E64BB">
        <w:t xml:space="preserve"> at </w:t>
      </w:r>
      <w:r w:rsidRPr="000E64BB" w:rsidR="00195FB8">
        <w:t>6-8, paras. 9-12.</w:t>
      </w:r>
    </w:p>
  </w:footnote>
  <w:footnote w:id="27">
    <w:p w:rsidR="009B0051" w:rsidP="009B0051" w14:paraId="1F0738F8" w14:textId="77777777">
      <w:pPr>
        <w:pStyle w:val="FootnoteText"/>
      </w:pPr>
      <w:r>
        <w:rPr>
          <w:rStyle w:val="FootnoteReference"/>
        </w:rPr>
        <w:footnoteRef/>
      </w:r>
      <w:r>
        <w:t xml:space="preserve"> </w:t>
      </w:r>
      <w:r w:rsidRPr="000E64BB">
        <w:t>The National Association of Broadcasters, Comments of The National Association of Broadcasters (Mar. 28, 2022) (on file in EB-IHD-20-00031223) (NAB Comments).</w:t>
      </w:r>
      <w:r>
        <w:t xml:space="preserve">  </w:t>
      </w:r>
    </w:p>
  </w:footnote>
  <w:footnote w:id="28">
    <w:p w:rsidR="00093672" w:rsidRPr="009B0051" w14:paraId="71F704AA" w14:textId="2E8537EE">
      <w:pPr>
        <w:pStyle w:val="FootnoteText"/>
      </w:pPr>
      <w:r>
        <w:rPr>
          <w:rStyle w:val="FootnoteReference"/>
        </w:rPr>
        <w:footnoteRef/>
      </w:r>
      <w:r>
        <w:t xml:space="preserve"> NAB simply states in a footnote that it “is the nonprofit trade association that advocates on behalf of free local radio and television stations and broadcast networks before Congress, the Federal Communications Commission and other federal agencies, and the courts.”</w:t>
      </w:r>
      <w:r w:rsidR="009B0051">
        <w:t xml:space="preserve">  </w:t>
      </w:r>
      <w:r w:rsidR="009B0051">
        <w:rPr>
          <w:i/>
          <w:iCs/>
        </w:rPr>
        <w:t>Id.</w:t>
      </w:r>
    </w:p>
  </w:footnote>
  <w:footnote w:id="29">
    <w:p w:rsidR="00843B07" w14:paraId="3366EA1C" w14:textId="29DDE104">
      <w:pPr>
        <w:pStyle w:val="FootnoteText"/>
      </w:pPr>
      <w:r>
        <w:rPr>
          <w:rStyle w:val="FootnoteReference"/>
        </w:rPr>
        <w:footnoteRef/>
      </w:r>
      <w:r>
        <w:t xml:space="preserve"> </w:t>
      </w:r>
      <w:r w:rsidRPr="000E64BB">
        <w:t xml:space="preserve">NAB argues that the </w:t>
      </w:r>
      <w:r w:rsidRPr="000E64BB">
        <w:rPr>
          <w:i/>
          <w:iCs/>
        </w:rPr>
        <w:t>NAL</w:t>
      </w:r>
      <w:r w:rsidRPr="000E64BB">
        <w:t xml:space="preserve"> improperly “elevates ministerial compliance over substance, unfairly penalizing Cumulus for understandable and inevitable human error that ultimately caused no harm.”  </w:t>
      </w:r>
      <w:r w:rsidRPr="000E64BB">
        <w:rPr>
          <w:i/>
          <w:iCs/>
        </w:rPr>
        <w:t>Id</w:t>
      </w:r>
      <w:r w:rsidRPr="000E64BB">
        <w:t xml:space="preserve">. at 2.  NAB urges the FCC to eliminate the </w:t>
      </w:r>
      <w:r w:rsidRPr="000E64BB">
        <w:rPr>
          <w:i/>
          <w:iCs/>
        </w:rPr>
        <w:t>NAL</w:t>
      </w:r>
      <w:r w:rsidRPr="000E64BB">
        <w:t>’s proposed forfeiture</w:t>
      </w:r>
      <w:r w:rsidR="00324DF9">
        <w:t xml:space="preserve">, alleging that </w:t>
      </w:r>
      <w:r w:rsidRPr="000E64BB">
        <w:t xml:space="preserve">the </w:t>
      </w:r>
      <w:r w:rsidRPr="000E64BB">
        <w:rPr>
          <w:i/>
          <w:iCs/>
        </w:rPr>
        <w:t>NAL</w:t>
      </w:r>
      <w:r w:rsidRPr="000E64BB">
        <w:t xml:space="preserve"> turns on a purely ministerial error – the failure to upload the reports </w:t>
      </w:r>
      <w:r w:rsidR="00E0142C">
        <w:t xml:space="preserve">in a timely manner </w:t>
      </w:r>
      <w:r w:rsidRPr="000E64BB">
        <w:t xml:space="preserve">– that generated no public complaint and created no consumer harm but was an unintentional oversight that led to a temporary failure to comply with an administrative requirement that Cumulus discovered and promptly corrected.  </w:t>
      </w:r>
      <w:r w:rsidRPr="000E64BB">
        <w:rPr>
          <w:i/>
          <w:iCs/>
        </w:rPr>
        <w:t>Id</w:t>
      </w:r>
      <w:r w:rsidRPr="000E64BB">
        <w:t xml:space="preserve">. at 2-5.  NAB </w:t>
      </w:r>
      <w:r>
        <w:t xml:space="preserve">asks </w:t>
      </w:r>
      <w:r w:rsidRPr="000E64BB">
        <w:t xml:space="preserve">the FCC revisit its conclusion that prior Cumulus rule violations warrant upward adjustment of the base forfeiture amount here, noting that the majority of the prior violations cited </w:t>
      </w:r>
      <w:r>
        <w:t>in</w:t>
      </w:r>
      <w:r w:rsidRPr="000E64BB">
        <w:t xml:space="preserve"> the </w:t>
      </w:r>
      <w:r w:rsidRPr="000E64BB">
        <w:rPr>
          <w:i/>
          <w:iCs/>
        </w:rPr>
        <w:t>NAL</w:t>
      </w:r>
      <w:r w:rsidRPr="000E64BB">
        <w:t xml:space="preserve"> predate Cumulus’</w:t>
      </w:r>
      <w:r w:rsidR="00CF5332">
        <w:t>s</w:t>
      </w:r>
      <w:r w:rsidRPr="000E64BB">
        <w:t xml:space="preserve"> 2018 transfer of control, the oldest of the prior violations occurred in 2003, and several cited prior violations are more than ten years old.  </w:t>
      </w:r>
      <w:r w:rsidRPr="000E64BB">
        <w:rPr>
          <w:i/>
          <w:iCs/>
        </w:rPr>
        <w:t>Id</w:t>
      </w:r>
      <w:r w:rsidRPr="000E64BB">
        <w:t xml:space="preserve">. at 2, 5-6.  NAB </w:t>
      </w:r>
      <w:r>
        <w:t xml:space="preserve">also </w:t>
      </w:r>
      <w:r w:rsidRPr="000E64BB">
        <w:t xml:space="preserve">argues that the FCC unlawfully equates failure to upload </w:t>
      </w:r>
      <w:r>
        <w:t xml:space="preserve">an annual EEO public file report </w:t>
      </w:r>
      <w:r w:rsidRPr="000E64BB">
        <w:t>with failure to analyze</w:t>
      </w:r>
      <w:r>
        <w:t xml:space="preserve"> a licensee’s EEO program</w:t>
      </w:r>
      <w:r w:rsidRPr="000E64BB">
        <w:t xml:space="preserve">, </w:t>
      </w:r>
      <w:r w:rsidR="000F313E">
        <w:t>alleging</w:t>
      </w:r>
      <w:r w:rsidRPr="000E64BB">
        <w:t xml:space="preserve"> there was no public complaint regarding the failure to upload the annual report, and the FCC presents no factual or logical basis for its conclusion that Cumulus’</w:t>
      </w:r>
      <w:r w:rsidR="00CF5332">
        <w:t>s</w:t>
      </w:r>
      <w:r w:rsidRPr="000E64BB">
        <w:t xml:space="preserve"> administrative failure to upload its completed annual EEO report necessarily means that Cumulus failed to analyze its EEO programs.  </w:t>
      </w:r>
      <w:r w:rsidRPr="000E64BB">
        <w:rPr>
          <w:i/>
          <w:iCs/>
        </w:rPr>
        <w:t>Id</w:t>
      </w:r>
      <w:r w:rsidRPr="000E64BB">
        <w:t xml:space="preserve">. at 2-3, 6-7.  According to NAB, the FCC cannot lawfully assess penalties based on </w:t>
      </w:r>
      <w:r w:rsidR="000F313E">
        <w:t xml:space="preserve">what it claims is </w:t>
      </w:r>
      <w:r w:rsidRPr="000E64BB">
        <w:t xml:space="preserve">unsubstantiated conjecture, especially when faced with evidence to the contrary.  </w:t>
      </w:r>
      <w:r w:rsidRPr="000E64BB">
        <w:rPr>
          <w:i/>
          <w:iCs/>
        </w:rPr>
        <w:t>Id</w:t>
      </w:r>
      <w:r w:rsidRPr="000E64BB">
        <w:t>. at 2-3.  NAB urges the FCC to treat Cumulus’</w:t>
      </w:r>
      <w:r w:rsidR="00CF5332">
        <w:t>s</w:t>
      </w:r>
      <w:r w:rsidRPr="000E64BB">
        <w:t xml:space="preserve"> failure to upload a completed report,</w:t>
      </w:r>
      <w:r w:rsidR="000F313E">
        <w:t xml:space="preserve"> which it claims is</w:t>
      </w:r>
      <w:r w:rsidRPr="000E64BB">
        <w:t xml:space="preserve"> a simple administrative error, as a minor violation, subject to admonishment, or exercise its discretion to reduce the forfeiture amount rather than impose upward adjustments.  </w:t>
      </w:r>
      <w:r w:rsidRPr="000E64BB">
        <w:rPr>
          <w:i/>
          <w:iCs/>
        </w:rPr>
        <w:t>Id</w:t>
      </w:r>
      <w:r w:rsidRPr="000E64BB">
        <w:t xml:space="preserve">. at 7.  </w:t>
      </w:r>
    </w:p>
  </w:footnote>
  <w:footnote w:id="30">
    <w:p w:rsidR="000F255A" w:rsidP="000F255A" w14:paraId="2379DFEB" w14:textId="77777777">
      <w:pPr>
        <w:pStyle w:val="FootnoteText"/>
      </w:pPr>
      <w:r>
        <w:rPr>
          <w:rStyle w:val="FootnoteReference"/>
        </w:rPr>
        <w:footnoteRef/>
      </w:r>
      <w:r>
        <w:t xml:space="preserve"> </w:t>
      </w:r>
      <w:r w:rsidRPr="000E64BB">
        <w:rPr>
          <w:i/>
          <w:iCs/>
        </w:rPr>
        <w:t>Id</w:t>
      </w:r>
      <w:r w:rsidRPr="000E64BB">
        <w:t>. at 3</w:t>
      </w:r>
      <w:r>
        <w:t>.</w:t>
      </w:r>
    </w:p>
  </w:footnote>
  <w:footnote w:id="31">
    <w:p w:rsidR="000F255A" w:rsidRPr="003C3535" w14:paraId="429D7B28" w14:textId="2F16A29F">
      <w:pPr>
        <w:pStyle w:val="FootnoteText"/>
      </w:pPr>
      <w:r>
        <w:rPr>
          <w:rStyle w:val="FootnoteReference"/>
        </w:rPr>
        <w:footnoteRef/>
      </w:r>
      <w:r>
        <w:t xml:space="preserve"> </w:t>
      </w:r>
      <w:r>
        <w:rPr>
          <w:i/>
          <w:iCs/>
        </w:rPr>
        <w:t>See, e.g.</w:t>
      </w:r>
      <w:r w:rsidRPr="00E175B5">
        <w:t>,</w:t>
      </w:r>
      <w:r>
        <w:rPr>
          <w:i/>
          <w:iCs/>
        </w:rPr>
        <w:t xml:space="preserve"> </w:t>
      </w:r>
      <w:r w:rsidR="003C3535">
        <w:rPr>
          <w:i/>
          <w:iCs/>
        </w:rPr>
        <w:t xml:space="preserve">T-Mobile USA, Inc., A Subsidiary of T-Mobile US, Inc., </w:t>
      </w:r>
      <w:r w:rsidR="003C3535">
        <w:t>Forfeiture Order, 29 FCC Rcd 10752, 10755, 10762-63 paras. 9, 24 (2014)</w:t>
      </w:r>
      <w:r w:rsidR="008D6F5D">
        <w:t xml:space="preserve"> (dismissing third-party comments filed in response to an NAL which presented questions concerning the Commission’s methodology for calculating forfeitures in circumstances not presented in the NAL)</w:t>
      </w:r>
      <w:r w:rsidR="006E41F3">
        <w:t>.</w:t>
      </w:r>
    </w:p>
  </w:footnote>
  <w:footnote w:id="32">
    <w:p w:rsidR="006E41F3" w:rsidRPr="006E41F3" w14:paraId="0FCC2C74" w14:textId="3EF74443">
      <w:pPr>
        <w:pStyle w:val="FootnoteText"/>
      </w:pPr>
      <w:r>
        <w:rPr>
          <w:rStyle w:val="FootnoteReference"/>
        </w:rPr>
        <w:footnoteRef/>
      </w:r>
      <w:r>
        <w:t xml:space="preserve"> </w:t>
      </w:r>
      <w:r>
        <w:rPr>
          <w:i/>
          <w:iCs/>
        </w:rPr>
        <w:t>See, e.g.</w:t>
      </w:r>
      <w:r w:rsidRPr="00985A56">
        <w:t xml:space="preserve">, </w:t>
      </w:r>
      <w:r>
        <w:rPr>
          <w:i/>
          <w:iCs/>
        </w:rPr>
        <w:t xml:space="preserve">The Conference Group, LLC v. FCC, </w:t>
      </w:r>
      <w:r>
        <w:t xml:space="preserve">720 F.3d 957, 958-59 (D.C. Cir. 2013) (“Because the decision was an adjudication and the </w:t>
      </w:r>
      <w:r w:rsidR="00DC6BA8">
        <w:t>[third-party challenger]</w:t>
      </w:r>
      <w:r>
        <w:t xml:space="preserve"> was not a party, it lacks standing to challenge the merits of that adjudication.  Although the Commission stated its decision would apply to </w:t>
      </w:r>
      <w:r w:rsidR="000F313E">
        <w:t>‘</w:t>
      </w:r>
      <w:r>
        <w:t>similarly situated</w:t>
      </w:r>
      <w:r w:rsidR="000F313E">
        <w:t>’</w:t>
      </w:r>
      <w:r>
        <w:t xml:space="preserve"> providers, that is true of all precedents.  And this court has held that the mere fact that an adjudication creates a precedent that could harm a nonparty does not create the injury-in-fact required for Article III standing</w:t>
      </w:r>
      <w:r w:rsidR="000F313E">
        <w:t>.</w:t>
      </w:r>
      <w:r>
        <w:t xml:space="preserve">”). </w:t>
      </w:r>
    </w:p>
  </w:footnote>
  <w:footnote w:id="33">
    <w:p w:rsidR="00830014" w:rsidRPr="00830014" w14:paraId="5DC5C82A" w14:textId="3CBFD407">
      <w:pPr>
        <w:pStyle w:val="FootnoteText"/>
      </w:pPr>
      <w:r>
        <w:rPr>
          <w:rStyle w:val="FootnoteReference"/>
        </w:rPr>
        <w:footnoteRef/>
      </w:r>
      <w:r>
        <w:t xml:space="preserve"> </w:t>
      </w:r>
      <w:r>
        <w:rPr>
          <w:i/>
          <w:iCs/>
        </w:rPr>
        <w:t xml:space="preserve">See </w:t>
      </w:r>
      <w:r>
        <w:t xml:space="preserve">47 CFR </w:t>
      </w:r>
      <w:r w:rsidRPr="000E64BB">
        <w:rPr>
          <w:color w:val="000000"/>
        </w:rPr>
        <w:t>§</w:t>
      </w:r>
      <w:r>
        <w:rPr>
          <w:color w:val="000000"/>
        </w:rPr>
        <w:t xml:space="preserve"> 1.1202(d)(3) (</w:t>
      </w:r>
      <w:r w:rsidR="00AC69AE">
        <w:rPr>
          <w:color w:val="000000"/>
        </w:rPr>
        <w:t>explaining</w:t>
      </w:r>
      <w:r w:rsidR="002404C4">
        <w:rPr>
          <w:color w:val="000000"/>
        </w:rPr>
        <w:t xml:space="preserve"> that</w:t>
      </w:r>
      <w:r w:rsidR="00AC69AE">
        <w:rPr>
          <w:color w:val="000000"/>
        </w:rPr>
        <w:t xml:space="preserve"> unless otherwise ordered by the Commission,</w:t>
      </w:r>
      <w:r w:rsidR="002404C4">
        <w:rPr>
          <w:color w:val="000000"/>
        </w:rPr>
        <w:t xml:space="preserve"> only the</w:t>
      </w:r>
      <w:r>
        <w:rPr>
          <w:color w:val="000000"/>
        </w:rPr>
        <w:t xml:space="preserve"> subject of a notice of apparent liability</w:t>
      </w:r>
      <w:r w:rsidR="002404C4">
        <w:rPr>
          <w:color w:val="000000"/>
        </w:rPr>
        <w:t xml:space="preserve"> is considered a party</w:t>
      </w:r>
      <w:r>
        <w:rPr>
          <w:color w:val="000000"/>
        </w:rPr>
        <w:t>)</w:t>
      </w:r>
      <w:r w:rsidR="002404C4">
        <w:rPr>
          <w:color w:val="000000"/>
        </w:rPr>
        <w:t>.</w:t>
      </w:r>
    </w:p>
  </w:footnote>
  <w:footnote w:id="34">
    <w:p w:rsidR="00E273E3" w:rsidRPr="000E64BB" w:rsidP="000E64BB" w14:paraId="0E9E0030" w14:textId="77777777">
      <w:pPr>
        <w:pStyle w:val="FootnoteText"/>
      </w:pPr>
      <w:r w:rsidRPr="000E64BB">
        <w:rPr>
          <w:rStyle w:val="FootnoteReference"/>
        </w:rPr>
        <w:footnoteRef/>
      </w:r>
      <w:r w:rsidRPr="000E64BB">
        <w:t xml:space="preserve"> </w:t>
      </w:r>
      <w:r w:rsidRPr="000E64BB">
        <w:rPr>
          <w:color w:val="000000"/>
        </w:rPr>
        <w:t>47 U.S.C. § 503(b).</w:t>
      </w:r>
    </w:p>
  </w:footnote>
  <w:footnote w:id="35">
    <w:p w:rsidR="00E273E3" w:rsidRPr="000E64BB" w:rsidP="000E64BB" w14:paraId="5E79DB9F" w14:textId="77777777">
      <w:pPr>
        <w:pStyle w:val="FootnoteText"/>
      </w:pPr>
      <w:r w:rsidRPr="000E64BB">
        <w:rPr>
          <w:rStyle w:val="FootnoteReference"/>
        </w:rPr>
        <w:footnoteRef/>
      </w:r>
      <w:r w:rsidRPr="000E64BB">
        <w:t xml:space="preserve"> 47 CFR § 1.80.</w:t>
      </w:r>
    </w:p>
  </w:footnote>
  <w:footnote w:id="36">
    <w:p w:rsidR="00E273E3" w:rsidRPr="000E64BB" w:rsidP="000E64BB" w14:paraId="03EB46B8" w14:textId="77777777">
      <w:pPr>
        <w:pStyle w:val="FootnoteText"/>
      </w:pPr>
      <w:r w:rsidRPr="000E64BB">
        <w:rPr>
          <w:rStyle w:val="FootnoteReference"/>
        </w:rPr>
        <w:footnoteRef/>
      </w:r>
      <w:r w:rsidRPr="000E64BB">
        <w:rPr>
          <w:i/>
        </w:rPr>
        <w:t xml:space="preserve"> The Commission’s Forfeiture Policy Statement and Amendment of Section 1.80 of the Rules to Incorporate the Forfeiture Guidelines</w:t>
      </w:r>
      <w:r w:rsidRPr="000E64BB">
        <w:t>, Report and Order, 12 FCC Rcd 17087 (1997) (</w:t>
      </w:r>
      <w:r w:rsidRPr="000E64BB">
        <w:rPr>
          <w:i/>
        </w:rPr>
        <w:t>Forfeiture Policy Statement</w:t>
      </w:r>
      <w:r w:rsidRPr="000E64BB">
        <w:t xml:space="preserve">), </w:t>
      </w:r>
      <w:r w:rsidRPr="000E64BB">
        <w:rPr>
          <w:i/>
        </w:rPr>
        <w:t>recons. denied</w:t>
      </w:r>
      <w:r w:rsidRPr="000E64BB">
        <w:t xml:space="preserve">, Memorandum Opinion and Order, 15 FCC Rcd 303 (1999). </w:t>
      </w:r>
    </w:p>
  </w:footnote>
  <w:footnote w:id="37">
    <w:p w:rsidR="00E273E3" w:rsidRPr="000E64BB" w:rsidP="000E64BB" w14:paraId="7404C028" w14:textId="77777777">
      <w:pPr>
        <w:pStyle w:val="FootnoteText"/>
      </w:pPr>
      <w:r w:rsidRPr="000E64BB">
        <w:rPr>
          <w:rStyle w:val="FootnoteReference"/>
        </w:rPr>
        <w:footnoteRef/>
      </w:r>
      <w:r w:rsidRPr="000E64BB">
        <w:t xml:space="preserve"> 47 U.S.C. § 503(b)(2)(E).</w:t>
      </w:r>
    </w:p>
  </w:footnote>
  <w:footnote w:id="38">
    <w:p w:rsidR="00E20679" w:rsidRPr="000E64BB" w:rsidP="000E64BB" w14:paraId="733411D4" w14:textId="41AF1327">
      <w:pPr>
        <w:pStyle w:val="FootnoteText"/>
      </w:pPr>
      <w:r w:rsidRPr="000E64BB">
        <w:rPr>
          <w:rStyle w:val="FootnoteReference"/>
        </w:rPr>
        <w:footnoteRef/>
      </w:r>
      <w:r w:rsidRPr="000E64BB">
        <w:t xml:space="preserve"> </w:t>
      </w:r>
      <w:r w:rsidRPr="000E64BB">
        <w:rPr>
          <w:i/>
          <w:iCs/>
        </w:rPr>
        <w:t xml:space="preserve">See </w:t>
      </w:r>
      <w:r w:rsidRPr="000E64BB" w:rsidR="00567952">
        <w:rPr>
          <w:i/>
          <w:iCs/>
        </w:rPr>
        <w:t>NAL</w:t>
      </w:r>
      <w:r w:rsidRPr="000E64BB" w:rsidR="00567952">
        <w:t xml:space="preserve">, </w:t>
      </w:r>
      <w:r w:rsidR="009A5F26">
        <w:rPr>
          <w:i/>
          <w:iCs/>
        </w:rPr>
        <w:t xml:space="preserve">supra </w:t>
      </w:r>
      <w:r w:rsidR="009A5F26">
        <w:t>note 1</w:t>
      </w:r>
      <w:r w:rsidRPr="000E64BB" w:rsidR="00567952">
        <w:t>, at *2, paras. 5-</w:t>
      </w:r>
      <w:r w:rsidRPr="000E64BB" w:rsidR="00044151">
        <w:t>7.</w:t>
      </w:r>
    </w:p>
  </w:footnote>
  <w:footnote w:id="39">
    <w:p w:rsidR="00A81E44" w:rsidRPr="000E64BB" w:rsidP="000E64BB" w14:paraId="4C82A85D" w14:textId="6B6DC454">
      <w:pPr>
        <w:pStyle w:val="FootnoteText"/>
      </w:pPr>
      <w:r w:rsidRPr="000E64BB">
        <w:rPr>
          <w:rStyle w:val="FootnoteReference"/>
        </w:rPr>
        <w:footnoteRef/>
      </w:r>
      <w:r w:rsidRPr="000E64BB">
        <w:t xml:space="preserve"> </w:t>
      </w:r>
      <w:r w:rsidRPr="000E64BB">
        <w:rPr>
          <w:i/>
          <w:iCs/>
        </w:rPr>
        <w:t>See id</w:t>
      </w:r>
      <w:r w:rsidRPr="000E64BB">
        <w:t>.</w:t>
      </w:r>
    </w:p>
  </w:footnote>
  <w:footnote w:id="40">
    <w:p w:rsidR="00055C21" w:rsidRPr="000E64BB" w:rsidP="00055C21" w14:paraId="10F33476" w14:textId="2635DB53">
      <w:pPr>
        <w:pStyle w:val="FootnoteText"/>
      </w:pPr>
      <w:r w:rsidRPr="000E64BB">
        <w:rPr>
          <w:rStyle w:val="FootnoteReference"/>
        </w:rPr>
        <w:footnoteRef/>
      </w:r>
      <w:r w:rsidRPr="000E64BB">
        <w:t xml:space="preserve"> </w:t>
      </w:r>
      <w:r w:rsidRPr="000E64BB">
        <w:rPr>
          <w:i/>
          <w:iCs/>
        </w:rPr>
        <w:t xml:space="preserve">See </w:t>
      </w:r>
      <w:r w:rsidR="00AC69AE">
        <w:rPr>
          <w:i/>
          <w:iCs/>
        </w:rPr>
        <w:t>id.</w:t>
      </w:r>
      <w:r w:rsidRPr="000E64BB">
        <w:t xml:space="preserve">, </w:t>
      </w:r>
      <w:r w:rsidR="009A5F26">
        <w:rPr>
          <w:i/>
          <w:iCs/>
        </w:rPr>
        <w:t xml:space="preserve">supra </w:t>
      </w:r>
      <w:r w:rsidR="009A5F26">
        <w:t>note 1</w:t>
      </w:r>
      <w:r w:rsidRPr="000E64BB">
        <w:t>, at *3, paras. 8-9.</w:t>
      </w:r>
    </w:p>
  </w:footnote>
  <w:footnote w:id="41">
    <w:p w:rsidR="00055C21" w:rsidRPr="000E64BB" w:rsidP="00055C21" w14:paraId="5D305BEC" w14:textId="379E5ACE">
      <w:pPr>
        <w:pStyle w:val="FootnoteText"/>
      </w:pPr>
      <w:r w:rsidRPr="000E64BB">
        <w:rPr>
          <w:rStyle w:val="FootnoteReference"/>
        </w:rPr>
        <w:footnoteRef/>
      </w:r>
      <w:r w:rsidRPr="000E64BB">
        <w:t xml:space="preserve"> NAL Response</w:t>
      </w:r>
      <w:r w:rsidR="009A5F26">
        <w:t xml:space="preserve">, </w:t>
      </w:r>
      <w:r w:rsidR="009A5F26">
        <w:rPr>
          <w:i/>
          <w:iCs/>
        </w:rPr>
        <w:t xml:space="preserve">supra </w:t>
      </w:r>
      <w:r w:rsidR="009A5F26">
        <w:t>note 2,</w:t>
      </w:r>
      <w:r w:rsidRPr="000E64BB">
        <w:t xml:space="preserve"> at 8-9, para. 13.</w:t>
      </w:r>
    </w:p>
  </w:footnote>
  <w:footnote w:id="42">
    <w:p w:rsidR="00055C21" w:rsidP="00055C21" w14:paraId="6789E07A" w14:textId="4E5C1A93">
      <w:pPr>
        <w:pStyle w:val="FootnoteText"/>
      </w:pPr>
      <w:r>
        <w:rPr>
          <w:rStyle w:val="FootnoteReference"/>
        </w:rPr>
        <w:footnoteRef/>
      </w:r>
      <w:r>
        <w:t xml:space="preserve"> </w:t>
      </w:r>
      <w:r w:rsidRPr="000E64BB">
        <w:rPr>
          <w:i/>
          <w:iCs/>
        </w:rPr>
        <w:t>Id</w:t>
      </w:r>
      <w:r w:rsidRPr="000E64BB">
        <w:t>.</w:t>
      </w:r>
      <w:r w:rsidR="009F0F85">
        <w:t xml:space="preserve"> (citing </w:t>
      </w:r>
      <w:r w:rsidR="00DC4941">
        <w:t>Declaration of</w:t>
      </w:r>
      <w:r w:rsidR="004A2760">
        <w:t xml:space="preserve"> April Bail</w:t>
      </w:r>
      <w:r w:rsidR="00CD6877">
        <w:t>e</w:t>
      </w:r>
      <w:r w:rsidR="004A2760">
        <w:t xml:space="preserve">y, </w:t>
      </w:r>
      <w:r w:rsidR="0045481C">
        <w:t>Exh. 6 of LOI Response)</w:t>
      </w:r>
      <w:r w:rsidR="00311C45">
        <w:t xml:space="preserve"> (Bail</w:t>
      </w:r>
      <w:r w:rsidR="00CD6877">
        <w:t>e</w:t>
      </w:r>
      <w:r w:rsidR="00311C45">
        <w:t xml:space="preserve">y </w:t>
      </w:r>
      <w:r w:rsidR="00CD6877">
        <w:t>Decl</w:t>
      </w:r>
      <w:r w:rsidR="00311C45">
        <w:t>.)</w:t>
      </w:r>
      <w:r w:rsidR="00374A54">
        <w:t xml:space="preserve">.  </w:t>
      </w:r>
    </w:p>
  </w:footnote>
  <w:footnote w:id="43">
    <w:p w:rsidR="00055C21" w:rsidRPr="000E64BB" w:rsidP="00055C21" w14:paraId="2F7595B8" w14:textId="77777777">
      <w:pPr>
        <w:pStyle w:val="FootnoteText"/>
      </w:pPr>
      <w:r w:rsidRPr="000E64BB">
        <w:rPr>
          <w:rStyle w:val="FootnoteReference"/>
        </w:rPr>
        <w:footnoteRef/>
      </w:r>
      <w:r w:rsidRPr="000E64BB">
        <w:t xml:space="preserve"> </w:t>
      </w:r>
      <w:r w:rsidRPr="000E64BB">
        <w:rPr>
          <w:i/>
          <w:iCs/>
        </w:rPr>
        <w:t>Id</w:t>
      </w:r>
      <w:r w:rsidRPr="000E64BB">
        <w:t>.</w:t>
      </w:r>
    </w:p>
  </w:footnote>
  <w:footnote w:id="44">
    <w:p w:rsidR="00DD4D78" w:rsidRPr="000E64BB" w:rsidP="00DD4D78" w14:paraId="70815B1F" w14:textId="592EE3C8">
      <w:pPr>
        <w:pStyle w:val="FootnoteText"/>
      </w:pPr>
      <w:r w:rsidRPr="000E64BB">
        <w:rPr>
          <w:rStyle w:val="FootnoteReference"/>
        </w:rPr>
        <w:footnoteRef/>
      </w:r>
      <w:r w:rsidRPr="000E64BB">
        <w:t xml:space="preserve"> </w:t>
      </w:r>
      <w:r w:rsidRPr="000E64BB">
        <w:rPr>
          <w:i/>
          <w:iCs/>
        </w:rPr>
        <w:t>See NAL</w:t>
      </w:r>
      <w:r w:rsidRPr="000E64BB">
        <w:t xml:space="preserve">, </w:t>
      </w:r>
      <w:r w:rsidR="009A5F26">
        <w:rPr>
          <w:i/>
          <w:iCs/>
        </w:rPr>
        <w:t xml:space="preserve">supra </w:t>
      </w:r>
      <w:r w:rsidR="009A5F26">
        <w:t>note 1,</w:t>
      </w:r>
      <w:r w:rsidR="000D28C5">
        <w:t xml:space="preserve"> </w:t>
      </w:r>
      <w:r w:rsidRPr="000E64BB">
        <w:t>at *3, paras. 8-9.</w:t>
      </w:r>
    </w:p>
  </w:footnote>
  <w:footnote w:id="45">
    <w:p w:rsidR="00DD4D78" w:rsidRPr="000E64BB" w:rsidP="00DD4D78" w14:paraId="2D91B849" w14:textId="77777777">
      <w:pPr>
        <w:pStyle w:val="FootnoteText"/>
      </w:pPr>
      <w:r w:rsidRPr="000E64BB">
        <w:rPr>
          <w:rStyle w:val="FootnoteReference"/>
        </w:rPr>
        <w:footnoteRef/>
      </w:r>
      <w:r w:rsidRPr="000E64BB">
        <w:t xml:space="preserve"> 47 CFR § 73.2080(c)(3).</w:t>
      </w:r>
    </w:p>
  </w:footnote>
  <w:footnote w:id="46">
    <w:p w:rsidR="00DD4D78" w:rsidP="00DD4D78" w14:paraId="4A57A475" w14:textId="6DABF861">
      <w:pPr>
        <w:pStyle w:val="FootnoteText"/>
      </w:pPr>
      <w:r>
        <w:rPr>
          <w:rStyle w:val="FootnoteReference"/>
        </w:rPr>
        <w:footnoteRef/>
      </w:r>
      <w:r>
        <w:t xml:space="preserve"> </w:t>
      </w:r>
      <w:r w:rsidRPr="005D75D0">
        <w:rPr>
          <w:i/>
          <w:iCs/>
        </w:rPr>
        <w:t xml:space="preserve">Review of the Commission’s Broadcast and Cable </w:t>
      </w:r>
      <w:r w:rsidRPr="005D75D0" w:rsidR="00122EBD">
        <w:rPr>
          <w:i/>
          <w:iCs/>
        </w:rPr>
        <w:t>E</w:t>
      </w:r>
      <w:r w:rsidR="00122EBD">
        <w:rPr>
          <w:i/>
          <w:iCs/>
        </w:rPr>
        <w:t>qual Employment Opportunity</w:t>
      </w:r>
      <w:r w:rsidRPr="005D75D0" w:rsidR="00122EBD">
        <w:rPr>
          <w:i/>
          <w:iCs/>
        </w:rPr>
        <w:t xml:space="preserve"> </w:t>
      </w:r>
      <w:r w:rsidRPr="005D75D0">
        <w:rPr>
          <w:i/>
          <w:iCs/>
        </w:rPr>
        <w:t>Rules and Policies</w:t>
      </w:r>
      <w:r w:rsidR="00FC296F">
        <w:t xml:space="preserve">, MM Docket No. </w:t>
      </w:r>
      <w:r w:rsidR="00932C75">
        <w:t xml:space="preserve">98-204, </w:t>
      </w:r>
      <w:r w:rsidRPr="009C0155">
        <w:t>Second Report and Order and Third Notice of Proposed Rule Making</w:t>
      </w:r>
      <w:r>
        <w:t>, 17 FCC Rcd 24018, 24062, para. 140 (2002)</w:t>
      </w:r>
      <w:r w:rsidR="00D619DE">
        <w:t xml:space="preserve"> (</w:t>
      </w:r>
      <w:r w:rsidRPr="009B4EBC" w:rsidR="009B4EBC">
        <w:rPr>
          <w:i/>
          <w:iCs/>
        </w:rPr>
        <w:t>Broadcast and Cable EEO Rules and Policies</w:t>
      </w:r>
      <w:r w:rsidR="009B4EBC">
        <w:t>)</w:t>
      </w:r>
      <w:r>
        <w:t>.</w:t>
      </w:r>
    </w:p>
  </w:footnote>
  <w:footnote w:id="47">
    <w:p w:rsidR="00DD4D78" w:rsidP="00DD4D78" w14:paraId="1F4CF17A" w14:textId="77777777">
      <w:pPr>
        <w:pStyle w:val="FootnoteText"/>
      </w:pPr>
      <w:r>
        <w:rPr>
          <w:rStyle w:val="FootnoteReference"/>
        </w:rPr>
        <w:footnoteRef/>
      </w:r>
      <w:r>
        <w:t xml:space="preserve"> </w:t>
      </w:r>
      <w:r w:rsidRPr="005D75D0">
        <w:rPr>
          <w:i/>
          <w:iCs/>
        </w:rPr>
        <w:t>Id</w:t>
      </w:r>
      <w:r>
        <w:t>. at 24067, para. 156.</w:t>
      </w:r>
    </w:p>
  </w:footnote>
  <w:footnote w:id="48">
    <w:p w:rsidR="00965C23" w:rsidRPr="000E64BB" w:rsidP="00965C23" w14:paraId="64C011C1" w14:textId="0EE47A36">
      <w:pPr>
        <w:pStyle w:val="FootnoteText"/>
      </w:pPr>
      <w:r w:rsidRPr="000E64BB">
        <w:rPr>
          <w:rStyle w:val="FootnoteReference"/>
        </w:rPr>
        <w:footnoteRef/>
      </w:r>
      <w:r w:rsidRPr="000E64BB">
        <w:t xml:space="preserve"> </w:t>
      </w:r>
      <w:r w:rsidRPr="000E64BB">
        <w:rPr>
          <w:i/>
          <w:iCs/>
        </w:rPr>
        <w:t>NAL</w:t>
      </w:r>
      <w:r w:rsidRPr="000E64BB">
        <w:t xml:space="preserve">, </w:t>
      </w:r>
      <w:r w:rsidRPr="001218B0" w:rsidR="001218B0">
        <w:rPr>
          <w:i/>
          <w:iCs/>
        </w:rPr>
        <w:t>supra</w:t>
      </w:r>
      <w:r w:rsidR="001218B0">
        <w:t xml:space="preserve"> note 1</w:t>
      </w:r>
      <w:r w:rsidRPr="000E64BB">
        <w:t>, at *3, para. 8.</w:t>
      </w:r>
    </w:p>
  </w:footnote>
  <w:footnote w:id="49">
    <w:p w:rsidR="009A6E39" w:rsidRPr="000E3B4D" w:rsidP="00A020E6" w14:paraId="47E9FE41" w14:textId="1A87ED86">
      <w:pPr>
        <w:pStyle w:val="FootnoteText"/>
        <w:rPr>
          <w:rFonts w:ascii="TimesNewRoman" w:hAnsi="TimesNewRoman" w:cs="TimesNewRoman"/>
        </w:rPr>
      </w:pPr>
      <w:r w:rsidRPr="002B1D51">
        <w:rPr>
          <w:rStyle w:val="FootnoteReference"/>
        </w:rPr>
        <w:footnoteRef/>
      </w:r>
      <w:r w:rsidRPr="000E3B4D">
        <w:t xml:space="preserve"> For example, without details of a station’s employment outreach, qualifying organizations in the community are unable to </w:t>
      </w:r>
      <w:r w:rsidR="003A78A9">
        <w:t>review</w:t>
      </w:r>
      <w:r w:rsidRPr="000E3B4D">
        <w:t xml:space="preserve"> a station’s outreach to potential applicants and request notification of future full-time vacancies. </w:t>
      </w:r>
      <w:r w:rsidRPr="002B1D51">
        <w:rPr>
          <w:rFonts w:ascii="TimesNewRoman" w:hAnsi="TimesNewRoman" w:cs="TimesNewRoman"/>
        </w:rPr>
        <w:t xml:space="preserve"> </w:t>
      </w:r>
      <w:r w:rsidRPr="002F5508">
        <w:t>47 CFR § 73.2080(c)(2)</w:t>
      </w:r>
      <w:r>
        <w:t>.</w:t>
      </w:r>
      <w:r w:rsidRPr="002F5508">
        <w:t xml:space="preserve"> </w:t>
      </w:r>
      <w:r>
        <w:t xml:space="preserve"> </w:t>
      </w:r>
      <w:r w:rsidRPr="000E3B4D">
        <w:t xml:space="preserve">As noted in the implementing order, </w:t>
      </w:r>
      <w:r>
        <w:t>this</w:t>
      </w:r>
      <w:r w:rsidRPr="000E3B4D">
        <w:rPr>
          <w:rFonts w:ascii="TimesNewRoman" w:hAnsi="TimesNewRoman" w:cs="TimesNewRoman"/>
        </w:rPr>
        <w:t xml:space="preserve"> </w:t>
      </w:r>
      <w:r w:rsidRPr="00A73BA2">
        <w:rPr>
          <w:rFonts w:ascii="TimesNewRoman" w:hAnsi="TimesNewRoman" w:cs="TimesNewRoman"/>
        </w:rPr>
        <w:t xml:space="preserve">notification requirement </w:t>
      </w:r>
      <w:r w:rsidRPr="000E3B4D">
        <w:rPr>
          <w:rFonts w:ascii="TimesNewRoman" w:hAnsi="TimesNewRoman" w:cs="TimesNewRoman"/>
        </w:rPr>
        <w:t>provides a “safety valve” to</w:t>
      </w:r>
      <w:r w:rsidRPr="00A73BA2">
        <w:rPr>
          <w:rFonts w:ascii="TimesNewRoman" w:hAnsi="TimesNewRoman" w:cs="TimesNewRoman"/>
        </w:rPr>
        <w:t xml:space="preserve"> ensure that no segment of the community is inadvertently omitted from recruitment efforts.</w:t>
      </w:r>
      <w:r>
        <w:rPr>
          <w:rFonts w:ascii="TimesNewRoman" w:hAnsi="TimesNewRoman" w:cs="TimesNewRoman"/>
        </w:rPr>
        <w:t xml:space="preserve">  </w:t>
      </w:r>
      <w:r w:rsidRPr="008D3FDB" w:rsidR="008D3FDB">
        <w:rPr>
          <w:rFonts w:ascii="TimesNewRoman" w:hAnsi="TimesNewRoman" w:cs="TimesNewRoman"/>
          <w:i/>
          <w:iCs/>
        </w:rPr>
        <w:t>See</w:t>
      </w:r>
      <w:r w:rsidR="008D3FDB">
        <w:rPr>
          <w:rFonts w:ascii="TimesNewRoman" w:hAnsi="TimesNewRoman" w:cs="TimesNewRoman"/>
        </w:rPr>
        <w:t xml:space="preserve"> </w:t>
      </w:r>
      <w:r w:rsidRPr="002B00A8" w:rsidR="002B00A8">
        <w:rPr>
          <w:rFonts w:ascii="TimesNewRoman" w:hAnsi="TimesNewRoman" w:cs="TimesNewRoman"/>
          <w:i/>
          <w:iCs/>
        </w:rPr>
        <w:t>Broadcast and Cable EEO Rules and Policies</w:t>
      </w:r>
      <w:r w:rsidR="008D3FDB">
        <w:rPr>
          <w:rFonts w:ascii="TimesNewRoman" w:hAnsi="TimesNewRoman" w:cs="TimesNewRoman"/>
        </w:rPr>
        <w:t xml:space="preserve">, </w:t>
      </w:r>
      <w:r w:rsidRPr="00562FEF" w:rsidR="0094654A">
        <w:rPr>
          <w:rFonts w:ascii="TimesNewRoman" w:hAnsi="TimesNewRoman" w:cs="TimesNewRoman"/>
          <w:i/>
          <w:iCs/>
        </w:rPr>
        <w:t>supra</w:t>
      </w:r>
      <w:r w:rsidR="0094654A">
        <w:rPr>
          <w:rFonts w:ascii="TimesNewRoman" w:hAnsi="TimesNewRoman" w:cs="TimesNewRoman"/>
        </w:rPr>
        <w:t xml:space="preserve"> note 44</w:t>
      </w:r>
      <w:r w:rsidR="00A634C4">
        <w:rPr>
          <w:rFonts w:ascii="TimesNewRoman" w:hAnsi="TimesNewRoman" w:cs="TimesNewRoman"/>
        </w:rPr>
        <w:t>,</w:t>
      </w:r>
      <w:r w:rsidR="0094654A">
        <w:rPr>
          <w:rFonts w:ascii="TimesNewRoman" w:hAnsi="TimesNewRoman" w:cs="TimesNewRoman"/>
        </w:rPr>
        <w:t xml:space="preserve"> </w:t>
      </w:r>
      <w:r w:rsidR="00662578">
        <w:rPr>
          <w:rFonts w:ascii="TimesNewRoman" w:hAnsi="TimesNewRoman" w:cs="TimesNewRoman"/>
        </w:rPr>
        <w:t>at</w:t>
      </w:r>
      <w:r w:rsidR="00581DA0">
        <w:rPr>
          <w:rFonts w:ascii="TimesNewRoman" w:hAnsi="TimesNewRoman" w:cs="TimesNewRoman"/>
        </w:rPr>
        <w:t xml:space="preserve"> </w:t>
      </w:r>
      <w:r w:rsidR="00642B93">
        <w:rPr>
          <w:rFonts w:ascii="TimesNewRoman" w:hAnsi="TimesNewRoman" w:cs="TimesNewRoman"/>
        </w:rPr>
        <w:t>24053</w:t>
      </w:r>
      <w:r w:rsidR="00591572">
        <w:rPr>
          <w:rFonts w:ascii="TimesNewRoman" w:hAnsi="TimesNewRoman" w:cs="TimesNewRoman"/>
        </w:rPr>
        <w:t xml:space="preserve">, para. </w:t>
      </w:r>
      <w:r w:rsidR="00C20B12">
        <w:rPr>
          <w:rFonts w:ascii="TimesNewRoman" w:hAnsi="TimesNewRoman" w:cs="TimesNewRoman"/>
        </w:rPr>
        <w:t>106</w:t>
      </w:r>
      <w:r w:rsidR="00037117">
        <w:rPr>
          <w:rFonts w:ascii="TimesNewRoman" w:hAnsi="TimesNewRoman" w:cs="TimesNewRoman"/>
        </w:rPr>
        <w:t>.</w:t>
      </w:r>
    </w:p>
  </w:footnote>
  <w:footnote w:id="50">
    <w:p w:rsidR="009A40A3" w:rsidRPr="009C0155" w:rsidP="00D4334A" w14:paraId="3CD8E3F0" w14:textId="6B30F10B">
      <w:pPr>
        <w:pStyle w:val="FootnoteText"/>
        <w:rPr>
          <w:sz w:val="24"/>
          <w:szCs w:val="24"/>
        </w:rPr>
      </w:pPr>
      <w:r>
        <w:rPr>
          <w:rStyle w:val="FootnoteReference"/>
        </w:rPr>
        <w:footnoteRef/>
      </w:r>
      <w:r>
        <w:t xml:space="preserve"> </w:t>
      </w:r>
      <w:r w:rsidRPr="009A40A3">
        <w:t xml:space="preserve">NAB </w:t>
      </w:r>
      <w:r w:rsidR="00850E04">
        <w:t xml:space="preserve">alleges that </w:t>
      </w:r>
      <w:r>
        <w:t xml:space="preserve">the stations did not receive any </w:t>
      </w:r>
      <w:r w:rsidRPr="009A40A3">
        <w:t>public complaint</w:t>
      </w:r>
      <w:r w:rsidR="003C2D72">
        <w:t xml:space="preserve"> </w:t>
      </w:r>
      <w:r w:rsidRPr="009A40A3" w:rsidR="003C2D72">
        <w:t xml:space="preserve">about the missing </w:t>
      </w:r>
      <w:r w:rsidR="003C2D72">
        <w:t>Annual Report</w:t>
      </w:r>
      <w:r w:rsidR="00333030">
        <w:t xml:space="preserve">, a fact </w:t>
      </w:r>
      <w:r w:rsidR="003C2D72">
        <w:t>not present in the record</w:t>
      </w:r>
      <w:r w:rsidRPr="009A40A3">
        <w:t xml:space="preserve">, </w:t>
      </w:r>
      <w:r w:rsidR="00850E04">
        <w:t xml:space="preserve">and therefore </w:t>
      </w:r>
      <w:r w:rsidRPr="009A40A3">
        <w:t xml:space="preserve">there is “no reason to </w:t>
      </w:r>
      <w:r w:rsidR="002029C2">
        <w:t xml:space="preserve">believe there would have been any public input …and thus no reason to </w:t>
      </w:r>
      <w:r w:rsidRPr="009A40A3">
        <w:t>impute to Cumulus a failure to analyze based on lack of public input</w:t>
      </w:r>
      <w:r w:rsidR="0057401E">
        <w:t>”</w:t>
      </w:r>
      <w:r w:rsidR="00275068">
        <w:t xml:space="preserve"> and that </w:t>
      </w:r>
      <w:r w:rsidR="00DE05CF">
        <w:t xml:space="preserve">“the Commission does not point to a single instance in this or any other circumstance where the public has viewed </w:t>
      </w:r>
      <w:r w:rsidR="00CC4593">
        <w:t xml:space="preserve">a station’s annual EEO reports for this purpose.” </w:t>
      </w:r>
      <w:r w:rsidR="0057401E">
        <w:t xml:space="preserve"> </w:t>
      </w:r>
      <w:r w:rsidRPr="00951AB2">
        <w:rPr>
          <w:i/>
          <w:iCs/>
        </w:rPr>
        <w:t>NAB Comments</w:t>
      </w:r>
      <w:r w:rsidR="00A723D3">
        <w:t xml:space="preserve">, </w:t>
      </w:r>
      <w:r w:rsidR="00A723D3">
        <w:rPr>
          <w:i/>
          <w:iCs/>
        </w:rPr>
        <w:t xml:space="preserve">supra </w:t>
      </w:r>
      <w:r w:rsidR="00A723D3">
        <w:t>note 19,</w:t>
      </w:r>
      <w:r>
        <w:t xml:space="preserve"> at </w:t>
      </w:r>
      <w:r w:rsidR="00D1329F">
        <w:t xml:space="preserve">6.  </w:t>
      </w:r>
      <w:r w:rsidR="00850E04">
        <w:t>Moreover, NAB contends that the “</w:t>
      </w:r>
      <w:r w:rsidR="00A735B3">
        <w:t xml:space="preserve">NAL conflates the substantive analysis of an EEO program with ministerial compliance and then accepts this conflation as conclusive.”  </w:t>
      </w:r>
      <w:r w:rsidR="0083623B">
        <w:rPr>
          <w:i/>
          <w:iCs/>
        </w:rPr>
        <w:t xml:space="preserve">Id </w:t>
      </w:r>
      <w:r w:rsidR="0083623B">
        <w:t xml:space="preserve">at 7.  </w:t>
      </w:r>
      <w:r w:rsidR="00850E04">
        <w:t xml:space="preserve">As an initial matter, we give no weight to NAB’s allegation about the lack of complaints considering that Cumulus itself does not claim that it did not receive complaints about </w:t>
      </w:r>
      <w:r w:rsidRPr="009A40A3" w:rsidR="00850E04">
        <w:t xml:space="preserve">the missing </w:t>
      </w:r>
      <w:r w:rsidR="00850E04">
        <w:t>Annual Report.  In any event</w:t>
      </w:r>
      <w:r w:rsidR="00D3480C">
        <w:t>, t</w:t>
      </w:r>
      <w:r>
        <w:t xml:space="preserve">he FCC is not required to rely on a complaint from the public </w:t>
      </w:r>
      <w:r w:rsidR="007C22C9">
        <w:t>or instances</w:t>
      </w:r>
      <w:r w:rsidR="00B17846">
        <w:t xml:space="preserve"> of </w:t>
      </w:r>
      <w:r w:rsidR="002D221A">
        <w:t xml:space="preserve">public </w:t>
      </w:r>
      <w:r w:rsidR="000D49E1">
        <w:t xml:space="preserve">viewing </w:t>
      </w:r>
      <w:r w:rsidR="00E67ABA">
        <w:t xml:space="preserve">behavior </w:t>
      </w:r>
      <w:r>
        <w:t xml:space="preserve">to find a licensee failed to comply with one of its obligations. </w:t>
      </w:r>
      <w:r w:rsidR="00082780">
        <w:t xml:space="preserve"> </w:t>
      </w:r>
      <w:r w:rsidR="00C02ACB">
        <w:t>Further,</w:t>
      </w:r>
      <w:r w:rsidR="00F344F9">
        <w:t xml:space="preserve"> </w:t>
      </w:r>
      <w:r w:rsidR="00EB0AD3">
        <w:t xml:space="preserve">it </w:t>
      </w:r>
      <w:r w:rsidR="008918BC">
        <w:t xml:space="preserve">is unknowable </w:t>
      </w:r>
      <w:r w:rsidR="008E2857">
        <w:t>whether</w:t>
      </w:r>
      <w:r w:rsidR="009C0D62">
        <w:t>,</w:t>
      </w:r>
      <w:r w:rsidR="008E2857">
        <w:t xml:space="preserve"> </w:t>
      </w:r>
      <w:r w:rsidR="009C0D62">
        <w:t xml:space="preserve">if the Annual Report had been posted to the public file and website </w:t>
      </w:r>
      <w:r w:rsidR="002029C2">
        <w:t xml:space="preserve">in a timely fashion </w:t>
      </w:r>
      <w:r w:rsidR="009C0D62">
        <w:t xml:space="preserve">as required, it </w:t>
      </w:r>
      <w:r w:rsidR="00F344F9">
        <w:t>would</w:t>
      </w:r>
      <w:r w:rsidR="00780B3C">
        <w:t xml:space="preserve"> </w:t>
      </w:r>
      <w:r w:rsidR="00F344F9">
        <w:t>n</w:t>
      </w:r>
      <w:r w:rsidR="00780B3C">
        <w:t>o</w:t>
      </w:r>
      <w:r w:rsidR="00F344F9">
        <w:t>t</w:t>
      </w:r>
      <w:r w:rsidR="007F2562">
        <w:t xml:space="preserve"> have</w:t>
      </w:r>
      <w:r w:rsidR="00EB0AD3">
        <w:t xml:space="preserve"> generated comment from the public</w:t>
      </w:r>
      <w:r w:rsidR="00A735B3">
        <w:t xml:space="preserve"> during the timeframe it was missing</w:t>
      </w:r>
      <w:r w:rsidR="001636E8">
        <w:t>.</w:t>
      </w:r>
      <w:r w:rsidR="00B86424">
        <w:t xml:space="preserve"> </w:t>
      </w:r>
      <w:r w:rsidR="00C71ECA">
        <w:t xml:space="preserve"> </w:t>
      </w:r>
      <w:r w:rsidR="00D3480C">
        <w:t>At its heart, Cumulus’</w:t>
      </w:r>
      <w:r w:rsidR="00CF5332">
        <w:t>s</w:t>
      </w:r>
      <w:r w:rsidR="00D3480C">
        <w:t xml:space="preserve"> failure to upload the Annual Report denied</w:t>
      </w:r>
      <w:r w:rsidR="001937FA">
        <w:t xml:space="preserve"> </w:t>
      </w:r>
      <w:r w:rsidR="002029C2">
        <w:t xml:space="preserve">the public its opportunity to weigh in, either positively or constructively, regarding a licensee’s employment outreach. </w:t>
      </w:r>
      <w:r w:rsidR="00CE65B9">
        <w:t xml:space="preserve"> </w:t>
      </w:r>
      <w:r w:rsidR="002029C2">
        <w:t>This lack of opportunity for the public to participate directly impacts the licensee’s ability to</w:t>
      </w:r>
      <w:r w:rsidR="00CE65B9">
        <w:t xml:space="preserve"> evaluate its EEO program as required.</w:t>
      </w:r>
      <w:r w:rsidR="002226D6">
        <w:t xml:space="preserve"> </w:t>
      </w:r>
    </w:p>
  </w:footnote>
  <w:footnote w:id="51">
    <w:p w:rsidR="00CA578B" w:rsidRPr="00D4334A" w:rsidP="00A020E6" w14:paraId="7420221C" w14:textId="51817E50">
      <w:pPr>
        <w:pStyle w:val="FootnoteText"/>
        <w:rPr>
          <w:rFonts w:eastAsia="Calibri"/>
          <w:kern w:val="2"/>
          <w14:ligatures w14:val="standardContextual"/>
        </w:rPr>
      </w:pPr>
      <w:r w:rsidRPr="001F2C16">
        <w:rPr>
          <w:rStyle w:val="FootnoteReference"/>
        </w:rPr>
        <w:footnoteRef/>
      </w:r>
      <w:r w:rsidRPr="009C0155">
        <w:t xml:space="preserve"> </w:t>
      </w:r>
      <w:r w:rsidRPr="009C0155" w:rsidR="006824CF">
        <w:rPr>
          <w:i/>
          <w:iCs/>
        </w:rPr>
        <w:t>See Broadcast and Cable EEO Rules and Policies</w:t>
      </w:r>
      <w:r w:rsidRPr="009C0155" w:rsidR="006824CF">
        <w:t xml:space="preserve">, </w:t>
      </w:r>
      <w:r w:rsidRPr="009C0155" w:rsidR="00A723D3">
        <w:rPr>
          <w:i/>
          <w:iCs/>
        </w:rPr>
        <w:t>supra</w:t>
      </w:r>
      <w:r w:rsidRPr="009C0155" w:rsidR="00A723D3">
        <w:t xml:space="preserve"> note </w:t>
      </w:r>
      <w:r w:rsidRPr="009C0155" w:rsidR="00FC25D3">
        <w:t>44</w:t>
      </w:r>
      <w:r w:rsidRPr="009C0155" w:rsidR="00A723D3">
        <w:t>,</w:t>
      </w:r>
      <w:r w:rsidRPr="009C0155" w:rsidR="000D28C5">
        <w:t xml:space="preserve"> </w:t>
      </w:r>
      <w:r w:rsidRPr="009C0155" w:rsidR="006824CF">
        <w:t>at 24067, para. 156</w:t>
      </w:r>
      <w:r w:rsidRPr="009C0155" w:rsidR="00EB45F0">
        <w:t>;</w:t>
      </w:r>
      <w:r w:rsidRPr="009C0155" w:rsidR="00F50B2A">
        <w:t xml:space="preserve"> </w:t>
      </w:r>
      <w:r w:rsidRPr="009C0155" w:rsidR="00D81CF8">
        <w:rPr>
          <w:rFonts w:eastAsia="Calibri"/>
          <w:i/>
          <w:iCs/>
          <w:kern w:val="2"/>
          <w14:ligatures w14:val="standardContextual"/>
        </w:rPr>
        <w:t>see also</w:t>
      </w:r>
      <w:r w:rsidRPr="009C0155" w:rsidR="00D81CF8">
        <w:rPr>
          <w:rFonts w:eastAsia="Calibri"/>
          <w:kern w:val="2"/>
          <w14:ligatures w14:val="standardContextual"/>
        </w:rPr>
        <w:t xml:space="preserve"> </w:t>
      </w:r>
      <w:r w:rsidRPr="009C0155" w:rsidR="00D81CF8">
        <w:t>47 CFR § 73.2080(c)</w:t>
      </w:r>
      <w:r w:rsidR="00624A1C">
        <w:t xml:space="preserve"> (</w:t>
      </w:r>
      <w:r w:rsidR="007278F2">
        <w:t>specific EEO program requirements).</w:t>
      </w:r>
    </w:p>
  </w:footnote>
  <w:footnote w:id="52">
    <w:p w:rsidR="0016240A" w:rsidRPr="000E64BB" w:rsidP="00D4334A" w14:paraId="31F0B2DA" w14:textId="1A3CEBF3">
      <w:pPr>
        <w:pStyle w:val="FootnoteText"/>
      </w:pPr>
      <w:r w:rsidRPr="000E64BB">
        <w:rPr>
          <w:rStyle w:val="FootnoteReference"/>
        </w:rPr>
        <w:footnoteRef/>
      </w:r>
      <w:r w:rsidRPr="000E64BB">
        <w:t xml:space="preserve"> </w:t>
      </w:r>
      <w:r w:rsidRPr="000E64BB">
        <w:rPr>
          <w:i/>
          <w:iCs/>
        </w:rPr>
        <w:t>See</w:t>
      </w:r>
      <w:r w:rsidRPr="000E64BB">
        <w:t xml:space="preserve"> NAL Response</w:t>
      </w:r>
      <w:r w:rsidR="00A723D3">
        <w:t xml:space="preserve">, </w:t>
      </w:r>
      <w:r w:rsidR="00A723D3">
        <w:rPr>
          <w:i/>
          <w:iCs/>
        </w:rPr>
        <w:t xml:space="preserve">supra </w:t>
      </w:r>
      <w:r w:rsidR="00A723D3">
        <w:t>note 2,</w:t>
      </w:r>
      <w:r w:rsidRPr="000E64BB">
        <w:t xml:space="preserve"> at 8-9, para. 13</w:t>
      </w:r>
      <w:r w:rsidR="002273F9">
        <w:t>;</w:t>
      </w:r>
      <w:r w:rsidRPr="000E64BB">
        <w:t xml:space="preserve"> </w:t>
      </w:r>
      <w:r w:rsidR="00E61CD6">
        <w:t xml:space="preserve">Bailey Decl; </w:t>
      </w:r>
      <w:r w:rsidRPr="000E64BB">
        <w:t>Statement of Ron Giovanniello, Market Manager of Harrisburg, PA stations (describing the process for preparing annual EEO report, allegedly typical of various Cumulus markets)</w:t>
      </w:r>
      <w:r w:rsidR="00CA6DEB">
        <w:t>.</w:t>
      </w:r>
    </w:p>
  </w:footnote>
  <w:footnote w:id="53">
    <w:p w:rsidR="0016240A" w:rsidRPr="000E64BB" w:rsidP="0016240A" w14:paraId="7A0A2A76" w14:textId="04A88B51">
      <w:pPr>
        <w:pStyle w:val="FootnoteText"/>
      </w:pPr>
      <w:r w:rsidRPr="000E64BB">
        <w:rPr>
          <w:rStyle w:val="FootnoteReference"/>
        </w:rPr>
        <w:footnoteRef/>
      </w:r>
      <w:r w:rsidRPr="000E64BB">
        <w:t xml:space="preserve"> </w:t>
      </w:r>
      <w:r w:rsidRPr="000E64BB">
        <w:rPr>
          <w:i/>
          <w:iCs/>
        </w:rPr>
        <w:t>NAL</w:t>
      </w:r>
      <w:r w:rsidRPr="000E64BB">
        <w:t xml:space="preserve">, </w:t>
      </w:r>
      <w:bookmarkStart w:id="13" w:name="_Hlk146618149"/>
      <w:r w:rsidRPr="00625208" w:rsidR="001A60D6">
        <w:rPr>
          <w:i/>
          <w:iCs/>
        </w:rPr>
        <w:t>supra</w:t>
      </w:r>
      <w:r w:rsidR="00326277">
        <w:t xml:space="preserve"> note 1</w:t>
      </w:r>
      <w:bookmarkEnd w:id="13"/>
      <w:r w:rsidRPr="000E64BB">
        <w:t>, at *3, para. 9.</w:t>
      </w:r>
    </w:p>
  </w:footnote>
  <w:footnote w:id="54">
    <w:p w:rsidR="0016240A" w:rsidRPr="000E64BB" w:rsidP="0016240A" w14:paraId="730BE5D4" w14:textId="2DB7618A">
      <w:pPr>
        <w:pStyle w:val="FootnoteText"/>
      </w:pPr>
      <w:r w:rsidRPr="000E64BB">
        <w:rPr>
          <w:rStyle w:val="FootnoteReference"/>
        </w:rPr>
        <w:footnoteRef/>
      </w:r>
      <w:r w:rsidRPr="000E64BB">
        <w:t xml:space="preserve"> </w:t>
      </w:r>
      <w:r w:rsidRPr="000E64BB">
        <w:rPr>
          <w:i/>
          <w:iCs/>
        </w:rPr>
        <w:t xml:space="preserve">See </w:t>
      </w:r>
      <w:r w:rsidR="00A24236">
        <w:rPr>
          <w:i/>
          <w:iCs/>
        </w:rPr>
        <w:t>id.</w:t>
      </w:r>
      <w:r w:rsidRPr="000E64BB">
        <w:t xml:space="preserve"> at *3, paras. 8-9.</w:t>
      </w:r>
    </w:p>
  </w:footnote>
  <w:footnote w:id="55">
    <w:p w:rsidR="00A024D7" w:rsidRPr="000E64BB" w:rsidP="000E64BB" w14:paraId="059C8F24" w14:textId="2DBB682B">
      <w:pPr>
        <w:pStyle w:val="FootnoteText"/>
      </w:pPr>
      <w:r w:rsidRPr="000E64BB">
        <w:rPr>
          <w:rStyle w:val="FootnoteReference"/>
        </w:rPr>
        <w:footnoteRef/>
      </w:r>
      <w:r w:rsidRPr="000E64BB">
        <w:t xml:space="preserve"> </w:t>
      </w:r>
      <w:r w:rsidRPr="000E64BB" w:rsidR="00EB1EEA">
        <w:rPr>
          <w:i/>
          <w:iCs/>
        </w:rPr>
        <w:t xml:space="preserve">See </w:t>
      </w:r>
      <w:r w:rsidR="00A24236">
        <w:rPr>
          <w:i/>
          <w:iCs/>
        </w:rPr>
        <w:t>id.</w:t>
      </w:r>
      <w:r w:rsidRPr="000E64BB" w:rsidR="00EB1EEA">
        <w:t xml:space="preserve"> at *4-5, paras. 11-15.</w:t>
      </w:r>
    </w:p>
  </w:footnote>
  <w:footnote w:id="56">
    <w:p w:rsidR="00184013" w:rsidRPr="000E64BB" w:rsidP="000E64BB" w14:paraId="0DAA2A53" w14:textId="687F292C">
      <w:pPr>
        <w:pStyle w:val="FootnoteText"/>
      </w:pPr>
      <w:r w:rsidRPr="000E64BB">
        <w:rPr>
          <w:rStyle w:val="FootnoteReference"/>
        </w:rPr>
        <w:footnoteRef/>
      </w:r>
      <w:r w:rsidRPr="000E64BB">
        <w:t xml:space="preserve"> </w:t>
      </w:r>
      <w:r w:rsidRPr="000E64BB">
        <w:rPr>
          <w:i/>
          <w:iCs/>
        </w:rPr>
        <w:t xml:space="preserve">See </w:t>
      </w:r>
      <w:r w:rsidR="00A24236">
        <w:rPr>
          <w:i/>
          <w:iCs/>
        </w:rPr>
        <w:t>id.</w:t>
      </w:r>
      <w:r w:rsidRPr="000E64BB">
        <w:t xml:space="preserve"> at</w:t>
      </w:r>
      <w:r w:rsidRPr="000E64BB" w:rsidR="002D6389">
        <w:t xml:space="preserve"> *5, para. 16.</w:t>
      </w:r>
    </w:p>
  </w:footnote>
  <w:footnote w:id="57">
    <w:p w:rsidR="002D6389" w:rsidRPr="000E64BB" w:rsidP="000E64BB" w14:paraId="3D0FAE3A" w14:textId="2BE330C4">
      <w:pPr>
        <w:pStyle w:val="FootnoteText"/>
      </w:pPr>
      <w:r w:rsidRPr="000E64BB">
        <w:rPr>
          <w:rStyle w:val="FootnoteReference"/>
        </w:rPr>
        <w:footnoteRef/>
      </w:r>
      <w:r w:rsidRPr="000E64BB">
        <w:t xml:space="preserve"> </w:t>
      </w:r>
      <w:r w:rsidRPr="000E64BB">
        <w:rPr>
          <w:i/>
          <w:iCs/>
        </w:rPr>
        <w:t xml:space="preserve">See </w:t>
      </w:r>
      <w:r w:rsidR="00A24236">
        <w:rPr>
          <w:i/>
          <w:iCs/>
        </w:rPr>
        <w:t>id.</w:t>
      </w:r>
      <w:r w:rsidRPr="000E64BB">
        <w:t xml:space="preserve"> at *4-5, paras. 11-16.</w:t>
      </w:r>
    </w:p>
  </w:footnote>
  <w:footnote w:id="58">
    <w:p w:rsidR="00080A74" w:rsidRPr="000E64BB" w:rsidP="000E64BB" w14:paraId="2A5C4B93" w14:textId="2791875B">
      <w:pPr>
        <w:pStyle w:val="FootnoteText"/>
      </w:pPr>
      <w:r w:rsidRPr="000E64BB">
        <w:rPr>
          <w:rStyle w:val="FootnoteReference"/>
        </w:rPr>
        <w:footnoteRef/>
      </w:r>
      <w:r w:rsidRPr="000E64BB">
        <w:t xml:space="preserve"> </w:t>
      </w:r>
      <w:r w:rsidRPr="000E64BB" w:rsidR="001F3D61">
        <w:rPr>
          <w:i/>
          <w:iCs/>
        </w:rPr>
        <w:t xml:space="preserve">See </w:t>
      </w:r>
      <w:r w:rsidR="00A24236">
        <w:rPr>
          <w:i/>
          <w:iCs/>
        </w:rPr>
        <w:t>id.</w:t>
      </w:r>
      <w:r w:rsidRPr="000E64BB" w:rsidR="001F3D61">
        <w:t xml:space="preserve"> at *5, para. 17</w:t>
      </w:r>
      <w:r w:rsidR="00C158D7">
        <w:t xml:space="preserve"> (further noting that the Commission has previously issued separate forfeitures for violations of section 73.3526(e) and reserving the right to do so when considering future such violations)</w:t>
      </w:r>
      <w:r w:rsidRPr="000E64BB" w:rsidR="001F3D61">
        <w:t>.</w:t>
      </w:r>
    </w:p>
  </w:footnote>
  <w:footnote w:id="59">
    <w:p w:rsidR="002335AD" w:rsidRPr="000E64BB" w:rsidP="000E64BB" w14:paraId="0ED8547C" w14:textId="333B7CF7">
      <w:pPr>
        <w:pStyle w:val="FootnoteText"/>
      </w:pPr>
      <w:r w:rsidRPr="000E64BB">
        <w:rPr>
          <w:rStyle w:val="FootnoteReference"/>
        </w:rPr>
        <w:footnoteRef/>
      </w:r>
      <w:r w:rsidRPr="000E64BB">
        <w:t xml:space="preserve"> </w:t>
      </w:r>
      <w:r w:rsidRPr="000E64BB">
        <w:rPr>
          <w:i/>
          <w:iCs/>
        </w:rPr>
        <w:t xml:space="preserve">See </w:t>
      </w:r>
      <w:r w:rsidR="00A24236">
        <w:rPr>
          <w:i/>
          <w:iCs/>
        </w:rPr>
        <w:t>id.</w:t>
      </w:r>
      <w:r w:rsidRPr="000E64BB">
        <w:t xml:space="preserve"> at *5, para. 18.</w:t>
      </w:r>
    </w:p>
  </w:footnote>
  <w:footnote w:id="60">
    <w:p w:rsidR="003343F6" w:rsidRPr="000E64BB" w:rsidP="000E64BB" w14:paraId="2FD03B7C" w14:textId="067B7B66">
      <w:pPr>
        <w:pStyle w:val="FootnoteText"/>
      </w:pPr>
      <w:r w:rsidRPr="000E64BB">
        <w:rPr>
          <w:rStyle w:val="FootnoteReference"/>
        </w:rPr>
        <w:footnoteRef/>
      </w:r>
      <w:r w:rsidRPr="000E64BB">
        <w:t xml:space="preserve"> NAL Response</w:t>
      </w:r>
      <w:r w:rsidR="00777EA4">
        <w:t xml:space="preserve">, </w:t>
      </w:r>
      <w:bookmarkStart w:id="15" w:name="_Hlk146618706"/>
      <w:r w:rsidR="00777EA4">
        <w:rPr>
          <w:i/>
          <w:iCs/>
        </w:rPr>
        <w:t xml:space="preserve">supra </w:t>
      </w:r>
      <w:r w:rsidR="00777EA4">
        <w:t>note 2</w:t>
      </w:r>
      <w:r w:rsidR="001F1926">
        <w:t>,</w:t>
      </w:r>
      <w:r w:rsidRPr="000E64BB">
        <w:t xml:space="preserve"> </w:t>
      </w:r>
      <w:bookmarkEnd w:id="15"/>
      <w:r w:rsidRPr="000E64BB">
        <w:t>at 1-4, paras. 1-3</w:t>
      </w:r>
      <w:r w:rsidRPr="000E64BB" w:rsidR="00285C78">
        <w:t>, and at 9, para. 14</w:t>
      </w:r>
      <w:r w:rsidRPr="000E64BB">
        <w:t>.</w:t>
      </w:r>
    </w:p>
  </w:footnote>
  <w:footnote w:id="61">
    <w:p w:rsidR="00C916BB" w:rsidRPr="000E64BB" w:rsidP="000E64BB" w14:paraId="02778E43" w14:textId="47C84732">
      <w:pPr>
        <w:pStyle w:val="FootnoteText"/>
      </w:pPr>
      <w:r w:rsidRPr="000E64BB">
        <w:rPr>
          <w:rStyle w:val="FootnoteReference"/>
        </w:rPr>
        <w:footnoteRef/>
      </w:r>
      <w:r w:rsidRPr="000E64BB">
        <w:t xml:space="preserve"> </w:t>
      </w:r>
      <w:r w:rsidRPr="00DB2F5B" w:rsidR="00A24236">
        <w:rPr>
          <w:i/>
          <w:iCs/>
        </w:rPr>
        <w:t>Id.</w:t>
      </w:r>
      <w:r w:rsidRPr="000E64BB" w:rsidR="001F1926">
        <w:t xml:space="preserve"> </w:t>
      </w:r>
      <w:r w:rsidRPr="000E64BB">
        <w:t>at 2, para. 2.</w:t>
      </w:r>
    </w:p>
  </w:footnote>
  <w:footnote w:id="62">
    <w:p w:rsidR="00C916BB" w:rsidRPr="000E64BB" w:rsidP="000E64BB" w14:paraId="2BA4B949" w14:textId="27592E42">
      <w:pPr>
        <w:pStyle w:val="FootnoteText"/>
      </w:pPr>
      <w:r w:rsidRPr="000E64BB">
        <w:rPr>
          <w:rStyle w:val="FootnoteReference"/>
        </w:rPr>
        <w:footnoteRef/>
      </w:r>
      <w:r w:rsidRPr="000E64BB">
        <w:t xml:space="preserve"> </w:t>
      </w:r>
      <w:r w:rsidRPr="00DB2F5B" w:rsidR="00A24236">
        <w:rPr>
          <w:i/>
          <w:iCs/>
        </w:rPr>
        <w:t>Id.</w:t>
      </w:r>
      <w:r w:rsidRPr="000E64BB" w:rsidR="001D03AA">
        <w:t xml:space="preserve"> </w:t>
      </w:r>
      <w:r w:rsidRPr="000E64BB">
        <w:t>at 2, para. 2.</w:t>
      </w:r>
      <w:r w:rsidRPr="000E64BB" w:rsidR="000C6370">
        <w:t xml:space="preserve">  </w:t>
      </w:r>
      <w:r w:rsidR="00E938EC">
        <w:t>Notably</w:t>
      </w:r>
      <w:r w:rsidRPr="000E64BB" w:rsidR="0071765D">
        <w:t xml:space="preserve">, Cumulus cites EEO cases dating back to 1997 in support of its argument.  </w:t>
      </w:r>
      <w:r w:rsidRPr="000E64BB" w:rsidR="0071765D">
        <w:rPr>
          <w:i/>
          <w:iCs/>
        </w:rPr>
        <w:t>See id</w:t>
      </w:r>
      <w:r w:rsidRPr="000E64BB" w:rsidR="0071765D">
        <w:t xml:space="preserve">. at n.3. </w:t>
      </w:r>
    </w:p>
  </w:footnote>
  <w:footnote w:id="63">
    <w:p w:rsidR="000C6370" w:rsidRPr="000E64BB" w:rsidP="000E64BB" w14:paraId="48A9B806" w14:textId="6CBBB6D4">
      <w:pPr>
        <w:pStyle w:val="FootnoteText"/>
      </w:pPr>
      <w:r w:rsidRPr="000E64BB">
        <w:rPr>
          <w:rStyle w:val="FootnoteReference"/>
        </w:rPr>
        <w:footnoteRef/>
      </w:r>
      <w:r w:rsidRPr="000E64BB">
        <w:t xml:space="preserve"> </w:t>
      </w:r>
      <w:r w:rsidRPr="000E64BB">
        <w:rPr>
          <w:i/>
          <w:iCs/>
        </w:rPr>
        <w:t>See NAL</w:t>
      </w:r>
      <w:r w:rsidRPr="000E64BB">
        <w:t xml:space="preserve">, </w:t>
      </w:r>
      <w:r w:rsidR="00756268">
        <w:rPr>
          <w:i/>
          <w:iCs/>
        </w:rPr>
        <w:t xml:space="preserve">supra </w:t>
      </w:r>
      <w:r w:rsidR="00756268">
        <w:t>note 1</w:t>
      </w:r>
      <w:r w:rsidRPr="000E64BB">
        <w:t>, at *1-6, paras. 3-19.</w:t>
      </w:r>
    </w:p>
  </w:footnote>
  <w:footnote w:id="64">
    <w:p w:rsidR="005816C2" w:rsidRPr="009C0155" w:rsidP="005816C2" w14:paraId="7319CCDE" w14:textId="35604847">
      <w:pPr>
        <w:pStyle w:val="FootnoteText"/>
      </w:pPr>
      <w:r>
        <w:rPr>
          <w:rStyle w:val="FootnoteReference"/>
        </w:rPr>
        <w:footnoteRef/>
      </w:r>
      <w:r>
        <w:t xml:space="preserve"> Indeed, the imposition of meaningful forfeitures for failing to file FCC forms has long been recognized under Commission precedent.  </w:t>
      </w:r>
      <w:r>
        <w:rPr>
          <w:i/>
          <w:iCs/>
        </w:rPr>
        <w:t>See, e.g.</w:t>
      </w:r>
      <w:r w:rsidRPr="00985A56">
        <w:t>,</w:t>
      </w:r>
      <w:r>
        <w:rPr>
          <w:i/>
          <w:iCs/>
        </w:rPr>
        <w:t xml:space="preserve"> Standard Communications Corp., </w:t>
      </w:r>
      <w:r>
        <w:t>Memorandum Opinion and Order, 1 FCC Rcd 358, para. 4 (1986) (finding that the violator’s “contention that their omission of required forms ‘constitutes no more than a technical or a clerical error’ implies the type of indifference to Commission Rules that justifies the imposition of forfeitures….Employee acts or omissions, such as clerical errors in failing to file required forms, do not excuse violations….Failures  to file required Commission documents are considered serious violations which often result in substantial forfeitures”) (citations omitted).</w:t>
      </w:r>
      <w:r w:rsidR="00340030">
        <w:t xml:space="preserve"> </w:t>
      </w:r>
      <w:r w:rsidR="00BE62C4">
        <w:t xml:space="preserve"> </w:t>
      </w:r>
      <w:r w:rsidRPr="009B669B" w:rsidR="009B669B">
        <w:t xml:space="preserve">Moreover, Cumulus has a prior history of violating the Commission’s EEO rules.  </w:t>
      </w:r>
      <w:r w:rsidRPr="009B669B" w:rsidR="009B669B">
        <w:rPr>
          <w:i/>
          <w:iCs/>
        </w:rPr>
        <w:t>See</w:t>
      </w:r>
      <w:r w:rsidRPr="009B669B" w:rsidR="009B669B">
        <w:t xml:space="preserve"> </w:t>
      </w:r>
      <w:r w:rsidRPr="009B669B" w:rsidR="009B669B">
        <w:rPr>
          <w:i/>
          <w:iCs/>
        </w:rPr>
        <w:t>Cumulus Licensing LLC</w:t>
      </w:r>
      <w:r w:rsidRPr="009B669B" w:rsidR="009B669B">
        <w:t xml:space="preserve">, Notice of Apparent Liability for Forfeiture, 23 FCC Rcd 18433 (MB 2008) (forfeiture paid) (finding that Cumulus violated the EEO rules by failing to perform an EEO recruitment initiative, analyze its EEO program, maintain EEO recruitment records, report EEO recruitment sources, report interviewee data, and maintain required EEO information in its stations’ public inspection files); </w:t>
      </w:r>
      <w:r w:rsidRPr="009B669B" w:rsidR="009B669B">
        <w:rPr>
          <w:i/>
          <w:iCs/>
        </w:rPr>
        <w:t>Cumulus Licensing LLC</w:t>
      </w:r>
      <w:r w:rsidRPr="009B669B" w:rsidR="009B669B">
        <w:t>, Notice of Apparent Liability for Forfeiture, 32 FCC Rcd 10285 (MB 2017) (forfeiture paid) (finding that Cumulus has a history of violations relating to the EEO rules).</w:t>
      </w:r>
    </w:p>
  </w:footnote>
  <w:footnote w:id="65">
    <w:p w:rsidR="00567FA1" w:rsidRPr="000E64BB" w:rsidP="000E64BB" w14:paraId="12CDC622" w14:textId="7861DA73">
      <w:pPr>
        <w:pStyle w:val="FootnoteText"/>
      </w:pPr>
      <w:r w:rsidRPr="000E64BB">
        <w:rPr>
          <w:rStyle w:val="FootnoteReference"/>
        </w:rPr>
        <w:footnoteRef/>
      </w:r>
      <w:r w:rsidRPr="000E64BB">
        <w:t xml:space="preserve"> NAL Response</w:t>
      </w:r>
      <w:r w:rsidR="00482E49">
        <w:t xml:space="preserve">, </w:t>
      </w:r>
      <w:r w:rsidRPr="00625208" w:rsidR="00482E49">
        <w:rPr>
          <w:i/>
          <w:iCs/>
        </w:rPr>
        <w:t>supra</w:t>
      </w:r>
      <w:r w:rsidRPr="00482E49" w:rsidR="00482E49">
        <w:t xml:space="preserve"> note 2, </w:t>
      </w:r>
      <w:r w:rsidRPr="000E64BB">
        <w:t>at 3-4, para. 3.</w:t>
      </w:r>
    </w:p>
  </w:footnote>
  <w:footnote w:id="66">
    <w:p w:rsidR="00010FEF" w:rsidRPr="000E64BB" w:rsidP="000E64BB" w14:paraId="300BCF83" w14:textId="18432E39">
      <w:pPr>
        <w:pStyle w:val="FootnoteText"/>
      </w:pPr>
      <w:r w:rsidRPr="000E64BB">
        <w:rPr>
          <w:rStyle w:val="FootnoteReference"/>
        </w:rPr>
        <w:footnoteRef/>
      </w:r>
      <w:r w:rsidRPr="000E64BB">
        <w:t xml:space="preserve"> </w:t>
      </w:r>
      <w:r w:rsidRPr="00DB2F5B" w:rsidR="00A24236">
        <w:rPr>
          <w:i/>
          <w:iCs/>
        </w:rPr>
        <w:t>Id.</w:t>
      </w:r>
      <w:r w:rsidRPr="000E64BB" w:rsidR="00DB3E1C">
        <w:t xml:space="preserve"> </w:t>
      </w:r>
      <w:r w:rsidRPr="000E64BB">
        <w:t>at 2-4, paras. 2-3.</w:t>
      </w:r>
    </w:p>
  </w:footnote>
  <w:footnote w:id="67">
    <w:p w:rsidR="00D80320" w:rsidRPr="000E64BB" w:rsidP="000E64BB" w14:paraId="6289F291" w14:textId="5220AC72">
      <w:pPr>
        <w:pStyle w:val="FootnoteText"/>
      </w:pPr>
      <w:r w:rsidRPr="000E64BB">
        <w:rPr>
          <w:rStyle w:val="FootnoteReference"/>
        </w:rPr>
        <w:footnoteRef/>
      </w:r>
      <w:r w:rsidRPr="000E64BB">
        <w:t xml:space="preserve"> </w:t>
      </w:r>
      <w:r w:rsidRPr="00DB2F5B" w:rsidR="00A24236">
        <w:rPr>
          <w:i/>
          <w:iCs/>
        </w:rPr>
        <w:t>Id.</w:t>
      </w:r>
      <w:r w:rsidRPr="000E64BB" w:rsidR="00DB3E1C">
        <w:t xml:space="preserve"> </w:t>
      </w:r>
      <w:r w:rsidRPr="000E64BB">
        <w:t>at 3, para. 3.</w:t>
      </w:r>
    </w:p>
  </w:footnote>
  <w:footnote w:id="68">
    <w:p w:rsidR="006E57BC" w:rsidRPr="000E64BB" w:rsidP="000E64BB" w14:paraId="25705C89" w14:textId="67F1FF80">
      <w:pPr>
        <w:pStyle w:val="FootnoteText"/>
      </w:pPr>
      <w:r w:rsidRPr="000E64BB">
        <w:rPr>
          <w:rStyle w:val="FootnoteReference"/>
        </w:rPr>
        <w:footnoteRef/>
      </w:r>
      <w:r w:rsidRPr="000E64BB">
        <w:t xml:space="preserve"> </w:t>
      </w:r>
      <w:r w:rsidRPr="00DB2F5B" w:rsidR="00A24236">
        <w:rPr>
          <w:i/>
          <w:iCs/>
        </w:rPr>
        <w:t>Id.</w:t>
      </w:r>
      <w:r w:rsidRPr="000E64BB" w:rsidR="00AE310F">
        <w:t xml:space="preserve"> </w:t>
      </w:r>
      <w:r w:rsidRPr="000E64BB">
        <w:t>at 3-4, para. 3.</w:t>
      </w:r>
    </w:p>
  </w:footnote>
  <w:footnote w:id="69">
    <w:p w:rsidR="004C38F3" w:rsidRPr="000E64BB" w:rsidP="000E64BB" w14:paraId="34FD25DE" w14:textId="7B06F389">
      <w:pPr>
        <w:pStyle w:val="FootnoteText"/>
      </w:pPr>
      <w:r w:rsidRPr="000E64BB">
        <w:rPr>
          <w:rStyle w:val="FootnoteReference"/>
        </w:rPr>
        <w:footnoteRef/>
      </w:r>
      <w:r w:rsidRPr="000E64BB">
        <w:t xml:space="preserve"> </w:t>
      </w:r>
      <w:r w:rsidRPr="003B6638">
        <w:rPr>
          <w:i/>
          <w:iCs/>
        </w:rPr>
        <w:t>See</w:t>
      </w:r>
      <w:r w:rsidRPr="000E64BB">
        <w:t xml:space="preserve"> </w:t>
      </w:r>
      <w:r w:rsidRPr="000E64BB">
        <w:rPr>
          <w:i/>
          <w:iCs/>
        </w:rPr>
        <w:t>NAL</w:t>
      </w:r>
      <w:r w:rsidRPr="000E64BB">
        <w:t xml:space="preserve">, </w:t>
      </w:r>
      <w:r w:rsidR="00246AD4">
        <w:rPr>
          <w:i/>
          <w:iCs/>
        </w:rPr>
        <w:t xml:space="preserve">supra </w:t>
      </w:r>
      <w:r w:rsidR="00246AD4">
        <w:t>note 1</w:t>
      </w:r>
      <w:r w:rsidRPr="000E64BB">
        <w:t>, at</w:t>
      </w:r>
      <w:r w:rsidRPr="000E64BB" w:rsidR="00F47EFC">
        <w:t xml:space="preserve"> *5, para. 18.</w:t>
      </w:r>
    </w:p>
  </w:footnote>
  <w:footnote w:id="70">
    <w:p w:rsidR="007678A2" w:rsidRPr="000E64BB" w:rsidP="000E64BB" w14:paraId="26E3025F" w14:textId="60474EA2">
      <w:pPr>
        <w:pStyle w:val="FootnoteText"/>
      </w:pPr>
      <w:r w:rsidRPr="000E64BB">
        <w:rPr>
          <w:rStyle w:val="FootnoteReference"/>
        </w:rPr>
        <w:footnoteRef/>
      </w:r>
      <w:r w:rsidRPr="000E64BB">
        <w:t xml:space="preserve"> </w:t>
      </w:r>
      <w:r w:rsidRPr="000E64BB">
        <w:rPr>
          <w:i/>
          <w:iCs/>
        </w:rPr>
        <w:t xml:space="preserve">See </w:t>
      </w:r>
      <w:r w:rsidRPr="00DB2F5B" w:rsidR="00A24236">
        <w:rPr>
          <w:i/>
          <w:iCs/>
        </w:rPr>
        <w:t>id.</w:t>
      </w:r>
      <w:r w:rsidRPr="000E64BB">
        <w:t xml:space="preserve"> at *2, para. 5.</w:t>
      </w:r>
    </w:p>
  </w:footnote>
  <w:footnote w:id="71">
    <w:p w:rsidR="001355A7" w:rsidRPr="000E64BB" w:rsidP="000E64BB" w14:paraId="4D28ED21" w14:textId="22D93240">
      <w:pPr>
        <w:pStyle w:val="FootnoteText"/>
      </w:pPr>
      <w:r w:rsidRPr="000E64BB">
        <w:rPr>
          <w:rStyle w:val="FootnoteReference"/>
        </w:rPr>
        <w:footnoteRef/>
      </w:r>
      <w:r w:rsidRPr="000E64BB">
        <w:t xml:space="preserve"> </w:t>
      </w:r>
      <w:r w:rsidRPr="000E64BB" w:rsidR="00CE34EC">
        <w:rPr>
          <w:i/>
          <w:iCs/>
        </w:rPr>
        <w:t>See</w:t>
      </w:r>
      <w:r w:rsidRPr="000E64BB" w:rsidR="00CE34EC">
        <w:t xml:space="preserve"> </w:t>
      </w:r>
      <w:r w:rsidRPr="000E64BB" w:rsidR="00CE34EC">
        <w:rPr>
          <w:i/>
          <w:iCs/>
        </w:rPr>
        <w:t>Expansion of Online Public File Obligations To Cable and Satellite TV Operators and Broadcast and Satellite Radio Licensees</w:t>
      </w:r>
      <w:r w:rsidRPr="000E64BB" w:rsidR="00CE34EC">
        <w:t xml:space="preserve">, </w:t>
      </w:r>
      <w:r w:rsidRPr="000E64BB" w:rsidR="00CC656D">
        <w:t xml:space="preserve">Report and Order, </w:t>
      </w:r>
      <w:r w:rsidRPr="000E64BB" w:rsidR="00CE34EC">
        <w:t xml:space="preserve">31 FCC Rcd 526, </w:t>
      </w:r>
      <w:r w:rsidRPr="000E64BB" w:rsidR="003748D3">
        <w:t xml:space="preserve">558-59, para. 83 (2016) </w:t>
      </w:r>
      <w:r w:rsidR="002C0F63">
        <w:t>(</w:t>
      </w:r>
      <w:r w:rsidRPr="00562FEF" w:rsidR="002C0F63">
        <w:rPr>
          <w:i/>
          <w:iCs/>
        </w:rPr>
        <w:t>2016 Report and Order</w:t>
      </w:r>
      <w:r w:rsidR="002C0F63">
        <w:t xml:space="preserve">) </w:t>
      </w:r>
      <w:r w:rsidRPr="000E64BB" w:rsidR="003748D3">
        <w:t>(determining, among other things, that online public file requirements would be implemented on a rolling basis for AM and FM broadcast radio licensees with a final deadline of March 1, 2018).</w:t>
      </w:r>
    </w:p>
  </w:footnote>
  <w:footnote w:id="72">
    <w:p w:rsidR="000B6EDE" w14:paraId="440F6F04" w14:textId="4BB0CB10">
      <w:pPr>
        <w:pStyle w:val="FootnoteText"/>
      </w:pPr>
      <w:r>
        <w:rPr>
          <w:rStyle w:val="FootnoteReference"/>
        </w:rPr>
        <w:footnoteRef/>
      </w:r>
      <w:r>
        <w:t xml:space="preserve"> </w:t>
      </w:r>
      <w:r w:rsidRPr="000E64BB" w:rsidR="007B037A">
        <w:rPr>
          <w:i/>
          <w:iCs/>
        </w:rPr>
        <w:t>See</w:t>
      </w:r>
      <w:r w:rsidRPr="000E64BB" w:rsidR="007B037A">
        <w:t xml:space="preserve"> </w:t>
      </w:r>
      <w:r w:rsidRPr="000E64BB" w:rsidR="007B037A">
        <w:rPr>
          <w:i/>
          <w:iCs/>
        </w:rPr>
        <w:t>Expansion of Online Public File Obligations To Cable and Satellite TV Operators and Broadcast and Satellite Radio Licensees</w:t>
      </w:r>
      <w:r w:rsidRPr="000E64BB" w:rsidR="007B037A">
        <w:t>,</w:t>
      </w:r>
      <w:r w:rsidR="007B037A">
        <w:t xml:space="preserve"> Notice of Proposed Rulemaking, </w:t>
      </w:r>
      <w:r w:rsidR="008B3283">
        <w:t xml:space="preserve">29 FCC Rcd 15943 (2014).  </w:t>
      </w:r>
    </w:p>
  </w:footnote>
  <w:footnote w:id="73">
    <w:p w:rsidR="000B6EDE" w14:paraId="39492760" w14:textId="06D34A2D">
      <w:pPr>
        <w:pStyle w:val="FootnoteText"/>
      </w:pPr>
      <w:r>
        <w:rPr>
          <w:rStyle w:val="FootnoteReference"/>
        </w:rPr>
        <w:footnoteRef/>
      </w:r>
      <w:r>
        <w:t xml:space="preserve"> </w:t>
      </w:r>
      <w:r w:rsidRPr="00DB2F5B" w:rsidR="00A24236">
        <w:rPr>
          <w:i/>
          <w:iCs/>
        </w:rPr>
        <w:t>See</w:t>
      </w:r>
      <w:r w:rsidR="00A24236">
        <w:t xml:space="preserve"> </w:t>
      </w:r>
      <w:r w:rsidRPr="00562FEF" w:rsidR="00DC588A">
        <w:rPr>
          <w:i/>
          <w:iCs/>
        </w:rPr>
        <w:t>2016 Report and Order</w:t>
      </w:r>
      <w:r w:rsidR="00454F03">
        <w:t xml:space="preserve"> </w:t>
      </w:r>
      <w:r w:rsidR="008D2E4E">
        <w:t xml:space="preserve">at </w:t>
      </w:r>
      <w:r w:rsidR="00874D13">
        <w:t>5</w:t>
      </w:r>
      <w:r w:rsidR="005359AC">
        <w:t>67</w:t>
      </w:r>
      <w:r w:rsidR="003D6F96">
        <w:t>, para. 104</w:t>
      </w:r>
      <w:r w:rsidR="001D3902">
        <w:t xml:space="preserve">.  </w:t>
      </w:r>
    </w:p>
  </w:footnote>
  <w:footnote w:id="74">
    <w:p w:rsidR="005C2678" w14:paraId="37B59F45" w14:textId="44C83109">
      <w:pPr>
        <w:pStyle w:val="FootnoteText"/>
      </w:pPr>
      <w:r>
        <w:rPr>
          <w:rStyle w:val="FootnoteReference"/>
        </w:rPr>
        <w:footnoteRef/>
      </w:r>
      <w:r>
        <w:t xml:space="preserve"> </w:t>
      </w:r>
      <w:r w:rsidRPr="005C2678">
        <w:rPr>
          <w:i/>
          <w:iCs/>
        </w:rPr>
        <w:t>Id</w:t>
      </w:r>
      <w:r>
        <w:t>. at 52</w:t>
      </w:r>
      <w:r w:rsidR="00D836A4">
        <w:t>8, para. 3</w:t>
      </w:r>
      <w:r>
        <w:t>.</w:t>
      </w:r>
    </w:p>
  </w:footnote>
  <w:footnote w:id="75">
    <w:p w:rsidR="00CD6AF6" w14:paraId="769CBF42" w14:textId="7A2CF386">
      <w:pPr>
        <w:pStyle w:val="FootnoteText"/>
      </w:pPr>
      <w:r>
        <w:rPr>
          <w:rStyle w:val="FootnoteReference"/>
        </w:rPr>
        <w:footnoteRef/>
      </w:r>
      <w:r>
        <w:t xml:space="preserve"> </w:t>
      </w:r>
      <w:r w:rsidRPr="00A22A59" w:rsidR="009E0FC7">
        <w:rPr>
          <w:i/>
          <w:iCs/>
        </w:rPr>
        <w:t>Broadcast and Cable EEO Rules and Policies</w:t>
      </w:r>
      <w:r w:rsidR="009E0FC7">
        <w:t xml:space="preserve">, </w:t>
      </w:r>
      <w:r w:rsidRPr="00A22A59" w:rsidR="00F159F3">
        <w:rPr>
          <w:i/>
          <w:iCs/>
        </w:rPr>
        <w:t>supra</w:t>
      </w:r>
      <w:r w:rsidR="00F159F3">
        <w:t xml:space="preserve"> note </w:t>
      </w:r>
      <w:r w:rsidR="003D2C4B">
        <w:t>44</w:t>
      </w:r>
      <w:r w:rsidR="00F159F3">
        <w:t xml:space="preserve">, </w:t>
      </w:r>
      <w:r w:rsidR="00EE21B7">
        <w:t xml:space="preserve">at </w:t>
      </w:r>
      <w:r w:rsidR="00BE1DC4">
        <w:t xml:space="preserve">24062, para. 141.  </w:t>
      </w:r>
    </w:p>
  </w:footnote>
  <w:footnote w:id="76">
    <w:p w:rsidR="00574C56" w:rsidRPr="000E64BB" w:rsidP="000E64BB" w14:paraId="1D3AFD9C" w14:textId="72D1608F">
      <w:pPr>
        <w:pStyle w:val="FootnoteText"/>
      </w:pPr>
      <w:r w:rsidRPr="000E64BB">
        <w:rPr>
          <w:rStyle w:val="FootnoteReference"/>
        </w:rPr>
        <w:footnoteRef/>
      </w:r>
      <w:r w:rsidRPr="000E64BB">
        <w:t xml:space="preserve"> </w:t>
      </w:r>
      <w:r w:rsidRPr="000E64BB">
        <w:rPr>
          <w:i/>
          <w:iCs/>
        </w:rPr>
        <w:t>See NAL</w:t>
      </w:r>
      <w:r w:rsidRPr="000E64BB">
        <w:t xml:space="preserve">, </w:t>
      </w:r>
      <w:r w:rsidR="009F73B7">
        <w:rPr>
          <w:i/>
          <w:iCs/>
        </w:rPr>
        <w:t xml:space="preserve">supra </w:t>
      </w:r>
      <w:r w:rsidR="009F73B7">
        <w:t>note 1</w:t>
      </w:r>
      <w:r w:rsidRPr="000E64BB">
        <w:t>, at *2, para. 6</w:t>
      </w:r>
      <w:r w:rsidR="009923FE">
        <w:t xml:space="preserve">; </w:t>
      </w:r>
      <w:r w:rsidR="009923FE">
        <w:rPr>
          <w:i/>
          <w:iCs/>
        </w:rPr>
        <w:t xml:space="preserve">see also PTT Phone Cards, Inc., </w:t>
      </w:r>
      <w:r w:rsidR="009923FE">
        <w:t>Forfeiture Order, 30 FCC Rcd 14701, 14704 para. 10 &amp; n.23 (2015) (rejecting the argument that a forfeiture should be reduced because the violation was “inadvertent” as a result of “ignorance of the law through administrative oversight”)</w:t>
      </w:r>
      <w:r w:rsidRPr="000E64BB">
        <w:t>.</w:t>
      </w:r>
      <w:r w:rsidR="009C691A">
        <w:t xml:space="preserve"> </w:t>
      </w:r>
    </w:p>
  </w:footnote>
  <w:footnote w:id="77">
    <w:p w:rsidR="00084B06" w14:paraId="72DA6715" w14:textId="7995C02F">
      <w:pPr>
        <w:pStyle w:val="FootnoteText"/>
      </w:pPr>
      <w:r>
        <w:rPr>
          <w:rStyle w:val="FootnoteReference"/>
        </w:rPr>
        <w:footnoteRef/>
      </w:r>
      <w:r>
        <w:t xml:space="preserve"> </w:t>
      </w:r>
      <w:r w:rsidRPr="002808E1" w:rsidR="00316166">
        <w:rPr>
          <w:i/>
          <w:iCs/>
        </w:rPr>
        <w:t>See Dial-A-Page, Inc.,</w:t>
      </w:r>
      <w:r w:rsidRPr="002808E1" w:rsidR="00316166">
        <w:t xml:space="preserve"> Memorandum Opinion and Order, 8 FCC Rcd 2767, </w:t>
      </w:r>
      <w:r w:rsidR="00316166">
        <w:t>2768</w:t>
      </w:r>
      <w:r w:rsidRPr="002808E1" w:rsidR="00316166">
        <w:t xml:space="preserve"> (1993)</w:t>
      </w:r>
      <w:r w:rsidR="00316166">
        <w:t xml:space="preserve">, </w:t>
      </w:r>
      <w:r w:rsidRPr="00BB5425" w:rsidR="00316166">
        <w:rPr>
          <w:i/>
          <w:iCs/>
        </w:rPr>
        <w:t>recon. denied</w:t>
      </w:r>
      <w:r w:rsidRPr="00BB5425" w:rsidR="00316166">
        <w:t>, First Report and Order, 10 FCC Rcd 8825 (1995)</w:t>
      </w:r>
      <w:r w:rsidRPr="002808E1" w:rsidR="00316166">
        <w:t xml:space="preserve"> (</w:t>
      </w:r>
      <w:r w:rsidR="00316166">
        <w:t>“T</w:t>
      </w:r>
      <w:r w:rsidRPr="002808E1" w:rsidR="00316166">
        <w:t xml:space="preserve">he fact that the misconduct was attributable to an employee is not relevant.  A licensee is fully responsible under the doctrine of </w:t>
      </w:r>
      <w:r w:rsidRPr="002808E1" w:rsidR="00316166">
        <w:rPr>
          <w:i/>
          <w:iCs/>
        </w:rPr>
        <w:t>respondeat superior</w:t>
      </w:r>
      <w:r w:rsidRPr="002808E1" w:rsidR="00316166">
        <w:t>, whether or not violations were intentional or inadvertent.”)</w:t>
      </w:r>
      <w:r w:rsidR="00316166">
        <w:t xml:space="preserve">.  </w:t>
      </w:r>
      <w:r w:rsidRPr="00BB5425" w:rsidR="00316166">
        <w:rPr>
          <w:i/>
          <w:iCs/>
        </w:rPr>
        <w:t>See also</w:t>
      </w:r>
      <w:r w:rsidR="00316166">
        <w:rPr>
          <w:i/>
          <w:iCs/>
        </w:rPr>
        <w:t xml:space="preserve"> </w:t>
      </w:r>
      <w:r w:rsidRPr="002808E1" w:rsidR="00316166">
        <w:rPr>
          <w:i/>
          <w:iCs/>
        </w:rPr>
        <w:t>American Paging, Inc.</w:t>
      </w:r>
      <w:r w:rsidRPr="002808E1" w:rsidR="00316166">
        <w:t xml:space="preserve">, Memorandum Opinion and Order, 12 FCC Rcd 10417, 10419-20 (WTB 1997) (rejecting the licensee’s “attempts to divert its responsibility” for the violation because a terminated manager “failed to take the proper steps” and explaining </w:t>
      </w:r>
      <w:r w:rsidR="00316166">
        <w:t>“t</w:t>
      </w:r>
      <w:r w:rsidRPr="00A8737B" w:rsidR="00316166">
        <w:rPr>
          <w:color w:val="3D3D3D"/>
          <w:shd w:val="clear" w:color="auto" w:fill="FFFFFF"/>
        </w:rPr>
        <w:t>hat the actions of an employee are imputed to the employer is a basic tenet of agency law</w:t>
      </w:r>
      <w:r w:rsidR="00316166">
        <w:rPr>
          <w:color w:val="3D3D3D"/>
          <w:shd w:val="clear" w:color="auto" w:fill="FFFFFF"/>
        </w:rPr>
        <w:t>.”);</w:t>
      </w:r>
      <w:r w:rsidRPr="002808E1" w:rsidR="00316166">
        <w:rPr>
          <w:i/>
          <w:iCs/>
        </w:rPr>
        <w:t xml:space="preserve"> Eure Family Limited Partnership</w:t>
      </w:r>
      <w:r w:rsidRPr="002808E1" w:rsidR="00316166">
        <w:t xml:space="preserve">, 17 FCC Rcd 7042, 7044 (EB 2002) (“Indeed, it is a basic tenet of agency law that the actions of an employee or contractor are imputed to the employer and ‘the Commission has consistently refused to excuse licensees from forfeiture penalties where actions of employees or independent contractors have resulted in violations.’”) (citations omitted).  </w:t>
      </w:r>
    </w:p>
  </w:footnote>
  <w:footnote w:id="78">
    <w:p w:rsidR="00F44178" w:rsidRPr="000E64BB" w:rsidP="000E64BB" w14:paraId="13B93C61" w14:textId="61C51DF9">
      <w:pPr>
        <w:pStyle w:val="FootnoteText"/>
      </w:pPr>
      <w:r w:rsidRPr="000E64BB">
        <w:rPr>
          <w:rStyle w:val="FootnoteReference"/>
        </w:rPr>
        <w:footnoteRef/>
      </w:r>
      <w:r w:rsidRPr="000E64BB">
        <w:t xml:space="preserve"> NAL Response</w:t>
      </w:r>
      <w:r w:rsidR="002D269E">
        <w:t xml:space="preserve">, </w:t>
      </w:r>
      <w:r w:rsidR="002D269E">
        <w:rPr>
          <w:i/>
          <w:iCs/>
        </w:rPr>
        <w:t xml:space="preserve">supra </w:t>
      </w:r>
      <w:r w:rsidR="002D269E">
        <w:t>note 2,</w:t>
      </w:r>
      <w:r w:rsidRPr="000E64BB" w:rsidR="002D269E">
        <w:t xml:space="preserve"> </w:t>
      </w:r>
      <w:r w:rsidRPr="000E64BB">
        <w:t>at 4, para. 4.</w:t>
      </w:r>
    </w:p>
  </w:footnote>
  <w:footnote w:id="79">
    <w:p w:rsidR="00D056BF" w:rsidRPr="000E64BB" w:rsidP="000E64BB" w14:paraId="1CB51B78" w14:textId="28A2A7D7">
      <w:pPr>
        <w:pStyle w:val="FootnoteText"/>
      </w:pPr>
      <w:r w:rsidRPr="000E64BB">
        <w:rPr>
          <w:rStyle w:val="FootnoteReference"/>
        </w:rPr>
        <w:footnoteRef/>
      </w:r>
      <w:r w:rsidRPr="000E64BB">
        <w:t xml:space="preserve"> </w:t>
      </w:r>
      <w:r w:rsidRPr="00DB2F5B" w:rsidR="00A041CB">
        <w:rPr>
          <w:i/>
          <w:iCs/>
        </w:rPr>
        <w:t>Id.</w:t>
      </w:r>
      <w:r w:rsidRPr="000E64BB" w:rsidR="002D269E">
        <w:t xml:space="preserve"> </w:t>
      </w:r>
      <w:r w:rsidRPr="000E64BB">
        <w:t>at 9, para</w:t>
      </w:r>
      <w:r w:rsidRPr="000E64BB" w:rsidR="00D603B7">
        <w:t>s</w:t>
      </w:r>
      <w:r w:rsidRPr="000E64BB">
        <w:t>. 1</w:t>
      </w:r>
      <w:r w:rsidRPr="000E64BB" w:rsidR="00D603B7">
        <w:t>4-15</w:t>
      </w:r>
      <w:r w:rsidRPr="000E64BB">
        <w:t>.</w:t>
      </w:r>
    </w:p>
  </w:footnote>
  <w:footnote w:id="80">
    <w:p w:rsidR="00683332" w:rsidRPr="000E64BB" w:rsidP="000E64BB" w14:paraId="497A9B69" w14:textId="2EB7E37F">
      <w:pPr>
        <w:pStyle w:val="FootnoteText"/>
      </w:pPr>
      <w:r w:rsidRPr="000E64BB">
        <w:rPr>
          <w:rStyle w:val="FootnoteReference"/>
        </w:rPr>
        <w:footnoteRef/>
      </w:r>
      <w:r w:rsidRPr="000E64BB">
        <w:t xml:space="preserve"> </w:t>
      </w:r>
      <w:r w:rsidRPr="00DB2F5B" w:rsidR="00A041CB">
        <w:rPr>
          <w:i/>
          <w:iCs/>
        </w:rPr>
        <w:t>Id.</w:t>
      </w:r>
      <w:r w:rsidRPr="000E64BB" w:rsidR="002D269E">
        <w:t xml:space="preserve"> </w:t>
      </w:r>
      <w:r w:rsidRPr="000E64BB">
        <w:t>at 4, para. 5.</w:t>
      </w:r>
    </w:p>
  </w:footnote>
  <w:footnote w:id="81">
    <w:p w:rsidR="0025078C" w:rsidRPr="000E64BB" w:rsidP="000E64BB" w14:paraId="02552E7C" w14:textId="033D3519">
      <w:pPr>
        <w:pStyle w:val="FootnoteText"/>
      </w:pPr>
      <w:r w:rsidRPr="000E64BB">
        <w:rPr>
          <w:rStyle w:val="FootnoteReference"/>
        </w:rPr>
        <w:footnoteRef/>
      </w:r>
      <w:r w:rsidRPr="000E64BB">
        <w:t xml:space="preserve"> </w:t>
      </w:r>
      <w:r w:rsidRPr="00DB2F5B" w:rsidR="00A041CB">
        <w:rPr>
          <w:i/>
          <w:iCs/>
        </w:rPr>
        <w:t>Id.</w:t>
      </w:r>
      <w:r w:rsidRPr="000E64BB" w:rsidR="002D269E">
        <w:t xml:space="preserve"> </w:t>
      </w:r>
      <w:r w:rsidRPr="000E64BB">
        <w:t>at 4-5, para. 5.</w:t>
      </w:r>
    </w:p>
  </w:footnote>
  <w:footnote w:id="82">
    <w:p w:rsidR="00B8182F" w:rsidRPr="000E64BB" w:rsidP="000E64BB" w14:paraId="58BE28DD" w14:textId="4CF6672A">
      <w:pPr>
        <w:pStyle w:val="FootnoteText"/>
      </w:pPr>
      <w:r w:rsidRPr="000E64BB">
        <w:rPr>
          <w:rStyle w:val="FootnoteReference"/>
        </w:rPr>
        <w:footnoteRef/>
      </w:r>
      <w:r w:rsidRPr="000E64BB">
        <w:t xml:space="preserve"> </w:t>
      </w:r>
      <w:r w:rsidRPr="00DB2F5B" w:rsidR="00A041CB">
        <w:rPr>
          <w:i/>
          <w:iCs/>
        </w:rPr>
        <w:t>Id.</w:t>
      </w:r>
      <w:r w:rsidRPr="000E64BB" w:rsidR="00AE3F61">
        <w:t xml:space="preserve"> </w:t>
      </w:r>
      <w:r w:rsidRPr="000E64BB">
        <w:t>at 4-6, paras. 5-8.</w:t>
      </w:r>
    </w:p>
  </w:footnote>
  <w:footnote w:id="83">
    <w:p w:rsidR="00E81F36" w:rsidRPr="000E64BB" w:rsidP="000E64BB" w14:paraId="21FCCCFD" w14:textId="545BF6BC">
      <w:pPr>
        <w:pStyle w:val="FootnoteText"/>
      </w:pPr>
      <w:r w:rsidRPr="000E64BB">
        <w:rPr>
          <w:rStyle w:val="FootnoteReference"/>
        </w:rPr>
        <w:footnoteRef/>
      </w:r>
      <w:r w:rsidRPr="000E64BB">
        <w:t xml:space="preserve"> </w:t>
      </w:r>
      <w:r w:rsidRPr="000E64BB">
        <w:rPr>
          <w:i/>
          <w:iCs/>
        </w:rPr>
        <w:t>WLDI, Inc</w:t>
      </w:r>
      <w:r w:rsidRPr="000E64BB">
        <w:t>.</w:t>
      </w:r>
      <w:r w:rsidR="00185AE9">
        <w:t>,</w:t>
      </w:r>
      <w:r w:rsidRPr="000E64BB">
        <w:t xml:space="preserve"> Order, 17 FCC Rcd 14750 (EB 2002) (reaffirming $16,800 forfeiture against WLDI, Inc. for broadcasting indecent material)</w:t>
      </w:r>
      <w:r w:rsidR="003D1AE2">
        <w:t xml:space="preserve"> (</w:t>
      </w:r>
      <w:r w:rsidRPr="000E64BB" w:rsidR="003D1AE2">
        <w:rPr>
          <w:i/>
          <w:iCs/>
        </w:rPr>
        <w:t>WLDI, Inc</w:t>
      </w:r>
      <w:r w:rsidRPr="000E64BB" w:rsidR="003D1AE2">
        <w:t>.</w:t>
      </w:r>
      <w:r w:rsidR="003D1AE2">
        <w:t>).</w:t>
      </w:r>
    </w:p>
  </w:footnote>
  <w:footnote w:id="84">
    <w:p w:rsidR="00787322" w:rsidRPr="000E64BB" w:rsidP="000E64BB" w14:paraId="16A350B1" w14:textId="08B49FD2">
      <w:pPr>
        <w:pStyle w:val="FootnoteText"/>
      </w:pPr>
      <w:r w:rsidRPr="000E64BB">
        <w:rPr>
          <w:rStyle w:val="FootnoteReference"/>
        </w:rPr>
        <w:footnoteRef/>
      </w:r>
      <w:r w:rsidRPr="000E64BB">
        <w:t xml:space="preserve"> </w:t>
      </w:r>
      <w:bookmarkStart w:id="16" w:name="_Hlk142305688"/>
      <w:r w:rsidRPr="000E64BB">
        <w:rPr>
          <w:i/>
          <w:iCs/>
        </w:rPr>
        <w:t>Citadel Broadcasting</w:t>
      </w:r>
      <w:bookmarkEnd w:id="16"/>
      <w:r w:rsidRPr="000E64BB">
        <w:rPr>
          <w:i/>
          <w:iCs/>
        </w:rPr>
        <w:t xml:space="preserve"> Company</w:t>
      </w:r>
      <w:r w:rsidRPr="000E64BB">
        <w:t>, Forfeiture Order, 25 FCC Rcd 15060 (MB-Aud. Div. 2010) (issuing $8,000 forfeiture for Citadel's failure to properly maintain stations’ public inspection files)</w:t>
      </w:r>
      <w:r w:rsidR="003832D9">
        <w:t xml:space="preserve"> (</w:t>
      </w:r>
      <w:r w:rsidRPr="003832D9" w:rsidR="003832D9">
        <w:rPr>
          <w:i/>
          <w:iCs/>
        </w:rPr>
        <w:t>Citadel Broadcasting</w:t>
      </w:r>
      <w:r w:rsidR="003832D9">
        <w:t>)</w:t>
      </w:r>
      <w:r w:rsidRPr="000E64BB">
        <w:t>.</w:t>
      </w:r>
    </w:p>
  </w:footnote>
  <w:footnote w:id="85">
    <w:p w:rsidR="00B8182F" w:rsidRPr="000E64BB" w:rsidP="000E64BB" w14:paraId="4B69E729" w14:textId="504E78D6">
      <w:pPr>
        <w:pStyle w:val="FootnoteText"/>
      </w:pPr>
      <w:r w:rsidRPr="000E64BB">
        <w:rPr>
          <w:rStyle w:val="FootnoteReference"/>
        </w:rPr>
        <w:footnoteRef/>
      </w:r>
      <w:r w:rsidRPr="000E64BB">
        <w:t xml:space="preserve"> NAL Response</w:t>
      </w:r>
      <w:r w:rsidR="00AE3F61">
        <w:t xml:space="preserve">, </w:t>
      </w:r>
      <w:r w:rsidRPr="00625208" w:rsidR="00AE3F61">
        <w:rPr>
          <w:i/>
          <w:iCs/>
        </w:rPr>
        <w:t>supra</w:t>
      </w:r>
      <w:r w:rsidRPr="00AE3F61" w:rsidR="00AE3F61">
        <w:t xml:space="preserve"> note 2, </w:t>
      </w:r>
      <w:r w:rsidRPr="000E64BB">
        <w:t>at 5-6, paras. 5-8.</w:t>
      </w:r>
    </w:p>
  </w:footnote>
  <w:footnote w:id="86">
    <w:p w:rsidR="008A154E" w:rsidRPr="000E64BB" w:rsidP="000E64BB" w14:paraId="568D53ED" w14:textId="0C59EE2D">
      <w:pPr>
        <w:pStyle w:val="FootnoteText"/>
      </w:pPr>
      <w:r w:rsidRPr="000E64BB">
        <w:rPr>
          <w:rStyle w:val="FootnoteReference"/>
        </w:rPr>
        <w:footnoteRef/>
      </w:r>
      <w:r w:rsidRPr="000E64BB">
        <w:t xml:space="preserve"> </w:t>
      </w:r>
      <w:r w:rsidRPr="00DB2F5B" w:rsidR="00A041CB">
        <w:rPr>
          <w:i/>
          <w:iCs/>
        </w:rPr>
        <w:t>Id.</w:t>
      </w:r>
      <w:r w:rsidRPr="000E64BB" w:rsidR="00B3630D">
        <w:t xml:space="preserve"> </w:t>
      </w:r>
      <w:r w:rsidRPr="000E64BB">
        <w:t>at 5-6, paras. 7-8.</w:t>
      </w:r>
    </w:p>
  </w:footnote>
  <w:footnote w:id="87">
    <w:p w:rsidR="008A154E" w:rsidRPr="000E64BB" w:rsidP="000E64BB" w14:paraId="0DA70D70" w14:textId="10985E4D">
      <w:pPr>
        <w:pStyle w:val="FootnoteText"/>
      </w:pPr>
      <w:r w:rsidRPr="000E64BB">
        <w:rPr>
          <w:rStyle w:val="FootnoteReference"/>
        </w:rPr>
        <w:footnoteRef/>
      </w:r>
      <w:r w:rsidRPr="000E64BB">
        <w:t xml:space="preserve"> </w:t>
      </w:r>
      <w:r w:rsidRPr="00DB2F5B" w:rsidR="00A041CB">
        <w:rPr>
          <w:i/>
          <w:iCs/>
        </w:rPr>
        <w:t>Id.</w:t>
      </w:r>
      <w:r w:rsidRPr="000E64BB" w:rsidR="00B3630D">
        <w:t xml:space="preserve"> </w:t>
      </w:r>
      <w:r w:rsidRPr="000E64BB">
        <w:t>at 6, para. 8.</w:t>
      </w:r>
    </w:p>
  </w:footnote>
  <w:footnote w:id="88">
    <w:p w:rsidR="0079362D" w:rsidRPr="000E64BB" w:rsidP="000E64BB" w14:paraId="02E87A6D" w14:textId="508BA15C">
      <w:pPr>
        <w:pStyle w:val="FootnoteText"/>
      </w:pPr>
      <w:r w:rsidRPr="000E64BB">
        <w:rPr>
          <w:rStyle w:val="FootnoteReference"/>
        </w:rPr>
        <w:footnoteRef/>
      </w:r>
      <w:r w:rsidRPr="000E64BB">
        <w:t xml:space="preserve"> </w:t>
      </w:r>
      <w:r w:rsidRPr="000E64BB" w:rsidR="00504B2F">
        <w:rPr>
          <w:i/>
          <w:iCs/>
        </w:rPr>
        <w:t xml:space="preserve">Cumulus Radio LLC; </w:t>
      </w:r>
      <w:r w:rsidRPr="000E64BB" w:rsidR="00504B2F">
        <w:rPr>
          <w:i/>
          <w:iCs/>
          <w:color w:val="252525"/>
        </w:rPr>
        <w:t>Radio License Holding CBC, LLC; Cumulus Licensing LLC; and Radio License Holdings LLC</w:t>
      </w:r>
      <w:r w:rsidRPr="000E64BB" w:rsidR="00504B2F">
        <w:rPr>
          <w:color w:val="252525"/>
        </w:rPr>
        <w:t xml:space="preserve">, Forfeiture Order, </w:t>
      </w:r>
      <w:r w:rsidRPr="000E64BB" w:rsidR="00504B2F">
        <w:t>36 FCC Rcd 738</w:t>
      </w:r>
      <w:r w:rsidRPr="000E64BB" w:rsidR="00F90970">
        <w:t xml:space="preserve">, </w:t>
      </w:r>
      <w:r w:rsidRPr="000E64BB" w:rsidR="007E6B6A">
        <w:t>744-45</w:t>
      </w:r>
      <w:r w:rsidRPr="000E64BB" w:rsidR="00C2433C">
        <w:t>, paras. 17-20</w:t>
      </w:r>
      <w:r w:rsidRPr="000E64BB" w:rsidR="00504B2F">
        <w:t xml:space="preserve"> (2021)</w:t>
      </w:r>
      <w:r w:rsidRPr="000E64BB" w:rsidR="004E5D0F">
        <w:t xml:space="preserve"> </w:t>
      </w:r>
      <w:r w:rsidRPr="000E64BB" w:rsidR="00504B2F">
        <w:t>(</w:t>
      </w:r>
      <w:r w:rsidRPr="000E64BB" w:rsidR="00F90970">
        <w:t>finding the FCC appropriately considered past violations despite those violations occurring under the authority of a corporate board different from that which currently governs its operations)</w:t>
      </w:r>
      <w:r w:rsidR="00875C2F">
        <w:t xml:space="preserve"> (</w:t>
      </w:r>
      <w:r w:rsidRPr="009C0155" w:rsidR="00875C2F">
        <w:rPr>
          <w:i/>
          <w:iCs/>
        </w:rPr>
        <w:t>Cumulus Radio LLC</w:t>
      </w:r>
      <w:r w:rsidR="00875C2F">
        <w:t>)</w:t>
      </w:r>
      <w:r w:rsidRPr="000E64BB" w:rsidR="00F90970">
        <w:t>.</w:t>
      </w:r>
    </w:p>
  </w:footnote>
  <w:footnote w:id="89">
    <w:p w:rsidR="00860A5E" w:rsidRPr="000E64BB" w:rsidP="00A020E6" w14:paraId="29FB9889" w14:textId="301299B1">
      <w:pPr>
        <w:pStyle w:val="FootnoteText"/>
        <w:rPr>
          <w:color w:val="252525"/>
        </w:rPr>
      </w:pPr>
      <w:r w:rsidRPr="000E64BB">
        <w:rPr>
          <w:rStyle w:val="FootnoteReference"/>
        </w:rPr>
        <w:footnoteRef/>
      </w:r>
      <w:r w:rsidRPr="000E64BB">
        <w:t xml:space="preserve"> </w:t>
      </w:r>
      <w:r w:rsidR="00124B3E">
        <w:rPr>
          <w:i/>
          <w:iCs/>
        </w:rPr>
        <w:t>Id.</w:t>
      </w:r>
      <w:r w:rsidRPr="000E64BB" w:rsidR="0079362D">
        <w:t xml:space="preserve"> </w:t>
      </w:r>
      <w:r w:rsidRPr="000E64BB" w:rsidR="004E5D0F">
        <w:t xml:space="preserve">at </w:t>
      </w:r>
      <w:r w:rsidRPr="000E64BB" w:rsidR="007E6B6A">
        <w:t>744</w:t>
      </w:r>
      <w:r w:rsidRPr="000E64BB" w:rsidR="004E5D0F">
        <w:t>, para. 18</w:t>
      </w:r>
      <w:r w:rsidRPr="000E64BB" w:rsidR="0079362D">
        <w:t>.</w:t>
      </w:r>
    </w:p>
  </w:footnote>
  <w:footnote w:id="90">
    <w:p w:rsidR="00852869" w:rsidRPr="000E64BB" w:rsidP="000E64BB" w14:paraId="56280606" w14:textId="40667651">
      <w:pPr>
        <w:pStyle w:val="FootnoteText"/>
        <w:rPr>
          <w:i/>
          <w:iCs/>
        </w:rPr>
      </w:pPr>
      <w:r w:rsidRPr="000E64BB">
        <w:rPr>
          <w:rStyle w:val="FootnoteReference"/>
        </w:rPr>
        <w:footnoteRef/>
      </w:r>
      <w:r w:rsidRPr="000E64BB">
        <w:t xml:space="preserve"> </w:t>
      </w:r>
      <w:r w:rsidRPr="000E64BB">
        <w:rPr>
          <w:i/>
          <w:iCs/>
        </w:rPr>
        <w:t>Id</w:t>
      </w:r>
      <w:r w:rsidRPr="000E64BB">
        <w:t xml:space="preserve">. </w:t>
      </w:r>
      <w:r w:rsidR="00A041CB">
        <w:t>(citing</w:t>
      </w:r>
      <w:r w:rsidRPr="000E64BB">
        <w:rPr>
          <w:i/>
          <w:iCs/>
        </w:rPr>
        <w:t xml:space="preserve"> EZ Sacramento, Inc. and Infinity Broadcasting Corp. of Washington, D.C</w:t>
      </w:r>
      <w:r w:rsidRPr="000E64BB">
        <w:t>., Memorandum Opinion and Order, 16 FCC Rcd 4958, 4959, para. 3 (2001) (finding the fact ownership of the company changed hands does not affect the company’s liability)</w:t>
      </w:r>
      <w:r w:rsidRPr="000E64BB" w:rsidR="004F2A7B">
        <w:t xml:space="preserve"> (</w:t>
      </w:r>
      <w:r w:rsidRPr="000E64BB" w:rsidR="004F2A7B">
        <w:rPr>
          <w:i/>
          <w:iCs/>
        </w:rPr>
        <w:t>EZ Sacramento</w:t>
      </w:r>
      <w:r w:rsidRPr="000E64BB" w:rsidR="004F2A7B">
        <w:t xml:space="preserve">), </w:t>
      </w:r>
      <w:r w:rsidRPr="000E64BB">
        <w:rPr>
          <w:i/>
          <w:iCs/>
        </w:rPr>
        <w:t>recons. dismissed</w:t>
      </w:r>
      <w:r w:rsidRPr="000E64BB">
        <w:t>, Memorandum Opinion and Order, 16 FCC Rcd 15605 (2001)</w:t>
      </w:r>
      <w:r w:rsidR="00A041CB">
        <w:t>)</w:t>
      </w:r>
      <w:r w:rsidRPr="000E64BB">
        <w:t xml:space="preserve">; </w:t>
      </w:r>
      <w:r w:rsidRPr="00DB2F5B" w:rsidR="00A041CB">
        <w:rPr>
          <w:i/>
          <w:iCs/>
        </w:rPr>
        <w:t>see also</w:t>
      </w:r>
      <w:r w:rsidR="00A041CB">
        <w:t xml:space="preserve"> </w:t>
      </w:r>
      <w:r w:rsidRPr="000E64BB">
        <w:rPr>
          <w:i/>
          <w:iCs/>
        </w:rPr>
        <w:t>Winslow Communications, Inc</w:t>
      </w:r>
      <w:r w:rsidRPr="000E64BB">
        <w:t>., Memorandum Opinion and Order, 45 FCC2d 662 (1974) (rejecting licensee’s argument that it should not be liable for violation when violation occurred prior to transfer of control of licensee’s stock).</w:t>
      </w:r>
    </w:p>
  </w:footnote>
  <w:footnote w:id="91">
    <w:p w:rsidR="00282B89" w:rsidRPr="000E64BB" w:rsidP="00A020E6" w14:paraId="7B0AFC9F" w14:textId="39BA4B6A">
      <w:pPr>
        <w:pStyle w:val="FootnoteText"/>
      </w:pPr>
      <w:r w:rsidRPr="000E64BB">
        <w:rPr>
          <w:rStyle w:val="FootnoteReference"/>
        </w:rPr>
        <w:footnoteRef/>
      </w:r>
      <w:r w:rsidRPr="000E64BB">
        <w:t xml:space="preserve"> 47 U.S.C. § 503(b)(2)(E) (“In determining the amount of such a forfeiture penalty, the Commission or its designee</w:t>
      </w:r>
      <w:r w:rsidRPr="000E64BB" w:rsidR="004F2A7B">
        <w:t xml:space="preserve"> </w:t>
      </w:r>
      <w:r w:rsidRPr="000E64BB">
        <w:t>shall take into account the nature, circumstances, extent, and gravity of the violation and, with respect to the</w:t>
      </w:r>
      <w:r w:rsidRPr="000E64BB" w:rsidR="004F2A7B">
        <w:t xml:space="preserve"> </w:t>
      </w:r>
      <w:r w:rsidRPr="000E64BB">
        <w:t xml:space="preserve">violator, the degree of culpability, </w:t>
      </w:r>
      <w:r w:rsidRPr="000E64BB">
        <w:rPr>
          <w:i/>
          <w:iCs/>
        </w:rPr>
        <w:t>any history of prior offenses</w:t>
      </w:r>
      <w:r w:rsidRPr="000E64BB">
        <w:t>, ability to pay, and such other matters as justice may</w:t>
      </w:r>
      <w:r w:rsidRPr="000E64BB" w:rsidR="004F2A7B">
        <w:t xml:space="preserve"> </w:t>
      </w:r>
      <w:r w:rsidRPr="000E64BB">
        <w:t>require.”) (emphasis added).</w:t>
      </w:r>
    </w:p>
  </w:footnote>
  <w:footnote w:id="92">
    <w:p w:rsidR="004F2A7B" w:rsidRPr="000E64BB" w:rsidP="000E64BB" w14:paraId="19C974D0" w14:textId="6601E5A6">
      <w:pPr>
        <w:pStyle w:val="FootnoteText"/>
      </w:pPr>
      <w:r w:rsidRPr="000E64BB">
        <w:rPr>
          <w:rStyle w:val="FootnoteReference"/>
        </w:rPr>
        <w:footnoteRef/>
      </w:r>
      <w:r w:rsidRPr="000E64BB">
        <w:t xml:space="preserve"> </w:t>
      </w:r>
      <w:r w:rsidRPr="000E64BB">
        <w:rPr>
          <w:i/>
          <w:iCs/>
        </w:rPr>
        <w:t>See, e.g.</w:t>
      </w:r>
      <w:r w:rsidRPr="00625208">
        <w:t>,</w:t>
      </w:r>
      <w:r w:rsidRPr="000E64BB">
        <w:rPr>
          <w:i/>
          <w:iCs/>
        </w:rPr>
        <w:t xml:space="preserve"> EZ Sacramento</w:t>
      </w:r>
      <w:r w:rsidRPr="000E64BB">
        <w:t xml:space="preserve"> at 4959, para. 3.</w:t>
      </w:r>
    </w:p>
  </w:footnote>
  <w:footnote w:id="93">
    <w:p w:rsidR="00AE40C0" w:rsidRPr="000E64BB" w:rsidP="000E64BB" w14:paraId="1E3AF21D" w14:textId="49DF7335">
      <w:pPr>
        <w:pStyle w:val="FootnoteText"/>
      </w:pPr>
      <w:r w:rsidRPr="000E64BB">
        <w:rPr>
          <w:rStyle w:val="FootnoteReference"/>
        </w:rPr>
        <w:footnoteRef/>
      </w:r>
      <w:r w:rsidRPr="000E64BB">
        <w:t xml:space="preserve"> </w:t>
      </w:r>
      <w:r w:rsidRPr="000E64BB">
        <w:rPr>
          <w:i/>
          <w:iCs/>
        </w:rPr>
        <w:t>WLDI, Inc</w:t>
      </w:r>
      <w:r w:rsidRPr="000E64BB">
        <w:t xml:space="preserve">., </w:t>
      </w:r>
      <w:r w:rsidRPr="00EF1573" w:rsidR="00D17696">
        <w:rPr>
          <w:i/>
          <w:iCs/>
        </w:rPr>
        <w:t xml:space="preserve">supra </w:t>
      </w:r>
      <w:r w:rsidR="00D17696">
        <w:t xml:space="preserve">note </w:t>
      </w:r>
      <w:r w:rsidR="00F45697">
        <w:t>81</w:t>
      </w:r>
      <w:r w:rsidR="00EF1573">
        <w:t>,</w:t>
      </w:r>
      <w:r w:rsidRPr="000E64BB">
        <w:t xml:space="preserve"> </w:t>
      </w:r>
      <w:r w:rsidR="00712328">
        <w:t xml:space="preserve">at </w:t>
      </w:r>
      <w:r w:rsidRPr="000E64BB">
        <w:t>14750</w:t>
      </w:r>
      <w:r w:rsidR="00EC2F4F">
        <w:t>.</w:t>
      </w:r>
    </w:p>
  </w:footnote>
  <w:footnote w:id="94">
    <w:p w:rsidR="00AE40C0" w:rsidRPr="000E64BB" w:rsidP="000E64BB" w14:paraId="566705AB" w14:textId="1C53A55A">
      <w:pPr>
        <w:pStyle w:val="FootnoteText"/>
      </w:pPr>
      <w:r w:rsidRPr="000E64BB">
        <w:rPr>
          <w:rStyle w:val="FootnoteReference"/>
        </w:rPr>
        <w:footnoteRef/>
      </w:r>
      <w:r w:rsidRPr="000E64BB">
        <w:t xml:space="preserve"> </w:t>
      </w:r>
      <w:r w:rsidRPr="000E64BB">
        <w:rPr>
          <w:i/>
          <w:iCs/>
        </w:rPr>
        <w:t>Citadel Broadcasting Company</w:t>
      </w:r>
      <w:r w:rsidRPr="000E64BB">
        <w:t xml:space="preserve">, </w:t>
      </w:r>
      <w:r w:rsidRPr="00EF1573" w:rsidR="00292AF5">
        <w:rPr>
          <w:i/>
          <w:iCs/>
        </w:rPr>
        <w:t xml:space="preserve">supra </w:t>
      </w:r>
      <w:r w:rsidR="00292AF5">
        <w:t xml:space="preserve">note </w:t>
      </w:r>
      <w:r w:rsidR="00902640">
        <w:t>8</w:t>
      </w:r>
      <w:r w:rsidR="00351FA1">
        <w:t>2</w:t>
      </w:r>
      <w:r w:rsidR="00A027DD">
        <w:t>,</w:t>
      </w:r>
      <w:r w:rsidRPr="000E64BB">
        <w:t xml:space="preserve"> </w:t>
      </w:r>
      <w:r w:rsidR="00712328">
        <w:t xml:space="preserve">at </w:t>
      </w:r>
      <w:r w:rsidRPr="000E64BB">
        <w:t>15060.</w:t>
      </w:r>
    </w:p>
  </w:footnote>
  <w:footnote w:id="95">
    <w:p w:rsidR="008A186B" w:rsidRPr="000E64BB" w:rsidP="000E64BB" w14:paraId="5D90D693" w14:textId="11DAEE3E">
      <w:pPr>
        <w:pStyle w:val="FootnoteText"/>
      </w:pPr>
      <w:r w:rsidRPr="000E64BB">
        <w:rPr>
          <w:rStyle w:val="FootnoteReference"/>
        </w:rPr>
        <w:footnoteRef/>
      </w:r>
      <w:r w:rsidRPr="000E64BB">
        <w:t xml:space="preserve"> </w:t>
      </w:r>
      <w:r w:rsidRPr="000E64BB">
        <w:rPr>
          <w:i/>
          <w:iCs/>
        </w:rPr>
        <w:t>See, e.g.</w:t>
      </w:r>
      <w:r w:rsidRPr="00625208">
        <w:t>,</w:t>
      </w:r>
      <w:r w:rsidRPr="000E64BB">
        <w:rPr>
          <w:i/>
          <w:iCs/>
        </w:rPr>
        <w:t xml:space="preserve"> Comcast Corp. v. FCC</w:t>
      </w:r>
      <w:r w:rsidRPr="000E64BB">
        <w:t>, 526 F. 3d 763, 769-70 (D.C. Cir. 2008).</w:t>
      </w:r>
    </w:p>
  </w:footnote>
  <w:footnote w:id="96">
    <w:p w:rsidR="004B6FF9" w:rsidRPr="000E64BB" w:rsidP="000E64BB" w14:paraId="05893438" w14:textId="6AB43351">
      <w:pPr>
        <w:pStyle w:val="FootnoteText"/>
      </w:pPr>
      <w:r w:rsidRPr="000E64BB">
        <w:rPr>
          <w:rStyle w:val="FootnoteReference"/>
        </w:rPr>
        <w:footnoteRef/>
      </w:r>
      <w:r w:rsidRPr="000E64BB">
        <w:t xml:space="preserve"> </w:t>
      </w:r>
      <w:r w:rsidRPr="000E64BB">
        <w:rPr>
          <w:i/>
          <w:iCs/>
        </w:rPr>
        <w:t>Continental Broadcasting Co. v. FCC</w:t>
      </w:r>
      <w:r w:rsidRPr="000E64BB">
        <w:t>, 439 F.</w:t>
      </w:r>
      <w:r w:rsidR="00EC53CA">
        <w:t xml:space="preserve"> </w:t>
      </w:r>
      <w:r w:rsidRPr="000E64BB">
        <w:t xml:space="preserve">2d 580, 583 (D.C. Cir. 1971), </w:t>
      </w:r>
      <w:r w:rsidRPr="000E64BB">
        <w:rPr>
          <w:i/>
          <w:iCs/>
        </w:rPr>
        <w:t>cert. denied</w:t>
      </w:r>
      <w:r w:rsidRPr="000E64BB">
        <w:t xml:space="preserve">, 403 U.S. 905 (1971) (finding the Commission is not bound to treat cases similarly solely because they appear comparable); </w:t>
      </w:r>
      <w:r w:rsidRPr="000E64BB">
        <w:rPr>
          <w:i/>
          <w:iCs/>
        </w:rPr>
        <w:t>see also</w:t>
      </w:r>
      <w:r w:rsidRPr="000E64BB">
        <w:t xml:space="preserve"> </w:t>
      </w:r>
      <w:r w:rsidRPr="000E64BB">
        <w:rPr>
          <w:i/>
          <w:iCs/>
        </w:rPr>
        <w:t>Forfeiture Policy Statement</w:t>
      </w:r>
      <w:r w:rsidRPr="000E64BB">
        <w:t xml:space="preserve">, </w:t>
      </w:r>
      <w:r w:rsidRPr="00DB2F5B" w:rsidR="00A041CB">
        <w:rPr>
          <w:i/>
          <w:iCs/>
        </w:rPr>
        <w:t>supra</w:t>
      </w:r>
      <w:r w:rsidR="00A041CB">
        <w:t xml:space="preserve"> note 34,</w:t>
      </w:r>
      <w:r w:rsidRPr="000E64BB">
        <w:t xml:space="preserve"> at 17100, para. 26 (noting “the Commission</w:t>
      </w:r>
      <w:r w:rsidR="00A041CB">
        <w:t>’</w:t>
      </w:r>
      <w:r w:rsidRPr="000E64BB">
        <w:t>s discretion to increase or reduce a forfeiture penalty as much as warranted based on the unique facts of each case”).</w:t>
      </w:r>
    </w:p>
  </w:footnote>
  <w:footnote w:id="97">
    <w:p w:rsidR="00874478" w:rsidRPr="000E64BB" w:rsidP="000E64BB" w14:paraId="70BE19CD" w14:textId="3FE8DE30">
      <w:pPr>
        <w:pStyle w:val="FootnoteText"/>
      </w:pPr>
      <w:r w:rsidRPr="000E64BB">
        <w:rPr>
          <w:rStyle w:val="FootnoteReference"/>
        </w:rPr>
        <w:footnoteRef/>
      </w:r>
      <w:r w:rsidRPr="000E64BB">
        <w:t xml:space="preserve"> </w:t>
      </w:r>
      <w:r w:rsidRPr="000E64BB" w:rsidR="006D51EF">
        <w:rPr>
          <w:i/>
          <w:iCs/>
        </w:rPr>
        <w:t>See, e.g.</w:t>
      </w:r>
      <w:r w:rsidRPr="00625208" w:rsidR="006D51EF">
        <w:t>,</w:t>
      </w:r>
      <w:r w:rsidRPr="004009AE" w:rsidR="006D51EF">
        <w:t xml:space="preserve"> </w:t>
      </w:r>
      <w:r w:rsidRPr="000E64BB" w:rsidR="0054123B">
        <w:t xml:space="preserve">Cumulus Media, </w:t>
      </w:r>
      <w:r w:rsidRPr="000E64BB" w:rsidR="0054123B">
        <w:rPr>
          <w:i/>
          <w:iCs/>
        </w:rPr>
        <w:t>Executive Leadership – Mary Berner</w:t>
      </w:r>
      <w:r w:rsidRPr="000E64BB" w:rsidR="0054123B">
        <w:t xml:space="preserve">, </w:t>
      </w:r>
      <w:hyperlink r:id="rId7" w:history="1">
        <w:r w:rsidRPr="000E64BB" w:rsidR="0054123B">
          <w:rPr>
            <w:rStyle w:val="Hyperlink"/>
          </w:rPr>
          <w:t>https://www.cumulusmedia.com/about-us/executive-leadership-team/</w:t>
        </w:r>
      </w:hyperlink>
      <w:r w:rsidRPr="000E64BB" w:rsidR="0054123B">
        <w:t xml:space="preserve"> (last visited </w:t>
      </w:r>
      <w:r w:rsidR="00C35EF8">
        <w:t>Sept</w:t>
      </w:r>
      <w:r w:rsidR="00A041CB">
        <w:t>.</w:t>
      </w:r>
      <w:r w:rsidR="00C35EF8">
        <w:t xml:space="preserve"> 1</w:t>
      </w:r>
      <w:r w:rsidR="00630151">
        <w:t>, 2023</w:t>
      </w:r>
      <w:r w:rsidRPr="000E64BB" w:rsidR="0054123B">
        <w:t>) (</w:t>
      </w:r>
      <w:r w:rsidRPr="000E64BB" w:rsidR="002823CF">
        <w:t>Berner was named President and Chief Executive Officer of Cumulus Media Inc. in October 2015, after having served on the company’s Board of Directors for six months)</w:t>
      </w:r>
      <w:r w:rsidRPr="000E64BB" w:rsidR="0054123B">
        <w:t xml:space="preserve">; </w:t>
      </w:r>
      <w:r w:rsidRPr="000E64BB">
        <w:t>Cumulus Media, Inc., Debtor-in-Possession, Applications to Transfer Control of and Assign FCC</w:t>
      </w:r>
      <w:r w:rsidRPr="000E64BB" w:rsidR="006D51EF">
        <w:t xml:space="preserve"> </w:t>
      </w:r>
      <w:r w:rsidRPr="000E64BB">
        <w:t xml:space="preserve">Authorizations and Licenses, BTC-20180322ABI, </w:t>
      </w:r>
      <w:r w:rsidRPr="00173116">
        <w:rPr>
          <w:i/>
          <w:iCs/>
        </w:rPr>
        <w:t>et al</w:t>
      </w:r>
      <w:r w:rsidRPr="000E64BB">
        <w:t xml:space="preserve">., Comprehensive Exh. (Mar. 22, 2018), </w:t>
      </w:r>
      <w:r w:rsidRPr="00A0024E">
        <w:t>granted with conditions</w:t>
      </w:r>
      <w:r w:rsidRPr="000E64BB">
        <w:t xml:space="preserve">, </w:t>
      </w:r>
      <w:r w:rsidRPr="00300669">
        <w:rPr>
          <w:i/>
          <w:iCs/>
        </w:rPr>
        <w:t>Cumulus Media, Inc.</w:t>
      </w:r>
      <w:r w:rsidRPr="000E64BB">
        <w:t>, Memorandum Opinion and Order, 33 FCC Rcd 5243</w:t>
      </w:r>
      <w:r w:rsidRPr="000E64BB" w:rsidR="006D51EF">
        <w:t xml:space="preserve">, 5244, para. 2 </w:t>
      </w:r>
      <w:r w:rsidRPr="000E64BB">
        <w:t>(MB-AD 2018)</w:t>
      </w:r>
      <w:r w:rsidRPr="000E64BB" w:rsidR="006D51EF">
        <w:t xml:space="preserve"> </w:t>
      </w:r>
      <w:r w:rsidRPr="000E64BB">
        <w:t>(granting transfer of control of Commission authorizations, with</w:t>
      </w:r>
      <w:r w:rsidRPr="000E64BB" w:rsidR="006D51EF">
        <w:t xml:space="preserve"> </w:t>
      </w:r>
      <w:r w:rsidRPr="000E64BB">
        <w:t>conditions, in connection with Cumulus Media, Inc.’s reorganization)</w:t>
      </w:r>
      <w:r w:rsidRPr="000E64BB" w:rsidR="006D51EF">
        <w:t>.</w:t>
      </w:r>
    </w:p>
  </w:footnote>
  <w:footnote w:id="98">
    <w:p w:rsidR="002823CF" w:rsidRPr="000E64BB" w:rsidP="00A020E6" w14:paraId="227C5C6B" w14:textId="1C5DE960">
      <w:pPr>
        <w:pStyle w:val="FootnoteText"/>
        <w:rPr>
          <w:color w:val="000000"/>
        </w:rPr>
      </w:pPr>
      <w:r w:rsidRPr="000E64BB">
        <w:rPr>
          <w:rStyle w:val="FootnoteReference"/>
        </w:rPr>
        <w:footnoteRef/>
      </w:r>
      <w:r w:rsidRPr="000E64BB">
        <w:t xml:space="preserve"> </w:t>
      </w:r>
      <w:r w:rsidRPr="000E64BB">
        <w:rPr>
          <w:i/>
          <w:iCs/>
          <w:color w:val="000000"/>
        </w:rPr>
        <w:t>See Emerging From Chapter 11, Cumulus Turns Page On New Chapter</w:t>
      </w:r>
      <w:r w:rsidRPr="000E64BB">
        <w:rPr>
          <w:color w:val="000000"/>
        </w:rPr>
        <w:t>, Inside Radio (June 5, 2018),</w:t>
      </w:r>
      <w:r w:rsidRPr="000E64BB" w:rsidR="003A65C6">
        <w:rPr>
          <w:color w:val="000000"/>
        </w:rPr>
        <w:t xml:space="preserve"> </w:t>
      </w:r>
      <w:hyperlink r:id="rId8" w:history="1">
        <w:r w:rsidRPr="003B6214" w:rsidR="003B6214">
          <w:rPr>
            <w:rStyle w:val="Hyperlink"/>
          </w:rPr>
          <w:t>https://www.insideradio.com/emerging-from-chapter-11-cumulus-turns-page-on-new-chapter/article_b6193d3c-6882-11e8-85d1-0b7d91a4acdb.html?utm_medium=social&amp;utm_source=email&amp;utm_campaign=user-share</w:t>
        </w:r>
      </w:hyperlink>
      <w:r w:rsidRPr="000E64BB">
        <w:rPr>
          <w:color w:val="000000"/>
        </w:rPr>
        <w:t>.</w:t>
      </w:r>
    </w:p>
  </w:footnote>
  <w:footnote w:id="99">
    <w:p w:rsidR="00692D2E" w:rsidRPr="000E64BB" w:rsidP="000E64BB" w14:paraId="519C6B2E" w14:textId="1606BB02">
      <w:pPr>
        <w:pStyle w:val="FootnoteText"/>
      </w:pPr>
      <w:r w:rsidRPr="000E64BB">
        <w:rPr>
          <w:rStyle w:val="FootnoteReference"/>
        </w:rPr>
        <w:footnoteRef/>
      </w:r>
      <w:r w:rsidRPr="000E64BB">
        <w:t xml:space="preserve"> NAL Response</w:t>
      </w:r>
      <w:r w:rsidR="00B3630D">
        <w:t xml:space="preserve">, </w:t>
      </w:r>
      <w:r w:rsidR="00B3630D">
        <w:rPr>
          <w:i/>
          <w:iCs/>
        </w:rPr>
        <w:t xml:space="preserve">supra </w:t>
      </w:r>
      <w:r w:rsidR="00B3630D">
        <w:t>note 2,</w:t>
      </w:r>
      <w:r w:rsidRPr="000E64BB" w:rsidR="00B3630D">
        <w:t xml:space="preserve"> </w:t>
      </w:r>
      <w:r w:rsidRPr="000E64BB">
        <w:t>at 6, n.15.</w:t>
      </w:r>
    </w:p>
  </w:footnote>
  <w:footnote w:id="100">
    <w:p w:rsidR="00EC1DA7" w:rsidRPr="000E64BB" w:rsidP="000E64BB" w14:paraId="137BBBE0" w14:textId="7ECF8CDB">
      <w:pPr>
        <w:pStyle w:val="FootnoteText"/>
      </w:pPr>
      <w:r w:rsidRPr="000E64BB">
        <w:rPr>
          <w:rStyle w:val="FootnoteReference"/>
        </w:rPr>
        <w:footnoteRef/>
      </w:r>
      <w:r w:rsidRPr="000E64BB">
        <w:t xml:space="preserve"> </w:t>
      </w:r>
      <w:r w:rsidRPr="00DB2F5B" w:rsidR="003B6214">
        <w:rPr>
          <w:i/>
          <w:iCs/>
        </w:rPr>
        <w:t>Id.</w:t>
      </w:r>
      <w:r w:rsidRPr="000E64BB" w:rsidR="00F27F37">
        <w:t xml:space="preserve"> </w:t>
      </w:r>
      <w:r w:rsidRPr="000E64BB">
        <w:t>at 6</w:t>
      </w:r>
      <w:r w:rsidRPr="000E64BB" w:rsidR="00F715BB">
        <w:t>-7</w:t>
      </w:r>
      <w:r w:rsidRPr="000E64BB">
        <w:t>, para</w:t>
      </w:r>
      <w:r w:rsidRPr="000E64BB" w:rsidR="00F002E7">
        <w:t>s</w:t>
      </w:r>
      <w:r w:rsidRPr="000E64BB">
        <w:t>. 9</w:t>
      </w:r>
      <w:r w:rsidRPr="000E64BB" w:rsidR="00F002E7">
        <w:t>-11</w:t>
      </w:r>
      <w:r w:rsidRPr="000E64BB">
        <w:t>.</w:t>
      </w:r>
    </w:p>
  </w:footnote>
  <w:footnote w:id="101">
    <w:p w:rsidR="007363DC" w:rsidRPr="000E64BB" w:rsidP="000E64BB" w14:paraId="11989500" w14:textId="484CE07B">
      <w:pPr>
        <w:pStyle w:val="FootnoteText"/>
      </w:pPr>
      <w:r w:rsidRPr="000E64BB">
        <w:rPr>
          <w:rStyle w:val="FootnoteReference"/>
        </w:rPr>
        <w:footnoteRef/>
      </w:r>
      <w:r w:rsidRPr="000E64BB">
        <w:t xml:space="preserve"> </w:t>
      </w:r>
      <w:r w:rsidRPr="000E64BB">
        <w:rPr>
          <w:i/>
          <w:iCs/>
        </w:rPr>
        <w:t>See Second Thursday Corp</w:t>
      </w:r>
      <w:r w:rsidRPr="000E64BB">
        <w:t>., Memorandum Opinion and Order, 22 FCC 2d 515,</w:t>
      </w:r>
      <w:r w:rsidRPr="000E64BB" w:rsidR="009563FF">
        <w:t xml:space="preserve"> </w:t>
      </w:r>
      <w:r w:rsidRPr="000E64BB">
        <w:rPr>
          <w:i/>
          <w:iCs/>
        </w:rPr>
        <w:t>recon. granted in part</w:t>
      </w:r>
      <w:r w:rsidRPr="000E64BB">
        <w:t xml:space="preserve">, Memorandum Opinion and Order, </w:t>
      </w:r>
      <w:r w:rsidRPr="0095192A">
        <w:t>25</w:t>
      </w:r>
      <w:r w:rsidRPr="000E64BB">
        <w:t xml:space="preserve"> FCC 2d </w:t>
      </w:r>
      <w:r w:rsidRPr="0095192A">
        <w:t>112</w:t>
      </w:r>
      <w:r w:rsidRPr="000E64BB">
        <w:t xml:space="preserve"> (1970)</w:t>
      </w:r>
      <w:r w:rsidR="0081240D">
        <w:t xml:space="preserve"> (“</w:t>
      </w:r>
      <w:r w:rsidRPr="000E64BB" w:rsidR="0081240D">
        <w:rPr>
          <w:i/>
          <w:iCs/>
        </w:rPr>
        <w:t>Second Thursday</w:t>
      </w:r>
      <w:r w:rsidR="0081240D">
        <w:t>”)</w:t>
      </w:r>
      <w:r w:rsidRPr="000E64BB" w:rsidR="009563FF">
        <w:t>.</w:t>
      </w:r>
    </w:p>
  </w:footnote>
  <w:footnote w:id="102">
    <w:p w:rsidR="00F002E7" w:rsidRPr="000E64BB" w:rsidP="000E64BB" w14:paraId="75FBEBFE" w14:textId="1FE1894C">
      <w:pPr>
        <w:pStyle w:val="FootnoteText"/>
      </w:pPr>
      <w:r w:rsidRPr="000E64BB">
        <w:rPr>
          <w:rStyle w:val="FootnoteReference"/>
        </w:rPr>
        <w:footnoteRef/>
      </w:r>
      <w:r w:rsidRPr="000E64BB">
        <w:t xml:space="preserve"> NAL Response</w:t>
      </w:r>
      <w:r w:rsidR="00F27F37">
        <w:t xml:space="preserve">, </w:t>
      </w:r>
      <w:r w:rsidR="00F27F37">
        <w:rPr>
          <w:i/>
          <w:iCs/>
        </w:rPr>
        <w:t xml:space="preserve">supra </w:t>
      </w:r>
      <w:r w:rsidR="00F27F37">
        <w:t>note 2,</w:t>
      </w:r>
      <w:r w:rsidRPr="000E64BB" w:rsidR="00F27F37">
        <w:t xml:space="preserve"> </w:t>
      </w:r>
      <w:r w:rsidRPr="000E64BB">
        <w:t>at 7-8, para</w:t>
      </w:r>
      <w:r w:rsidRPr="000E64BB" w:rsidR="004179AE">
        <w:t>s</w:t>
      </w:r>
      <w:r w:rsidRPr="000E64BB">
        <w:t>. 11</w:t>
      </w:r>
      <w:r w:rsidRPr="000E64BB" w:rsidR="004179AE">
        <w:t>-12</w:t>
      </w:r>
      <w:r w:rsidRPr="000E64BB">
        <w:t>.</w:t>
      </w:r>
    </w:p>
  </w:footnote>
  <w:footnote w:id="103">
    <w:p w:rsidR="00874E70" w14:paraId="4C67D78C" w14:textId="16E5D07E">
      <w:pPr>
        <w:pStyle w:val="FootnoteText"/>
      </w:pPr>
      <w:r>
        <w:rPr>
          <w:rStyle w:val="FootnoteReference"/>
        </w:rPr>
        <w:footnoteRef/>
      </w:r>
      <w:r>
        <w:t xml:space="preserve"> </w:t>
      </w:r>
      <w:r>
        <w:rPr>
          <w:rStyle w:val="Emphasis"/>
          <w:i w:val="0"/>
          <w:iCs w:val="0"/>
          <w:color w:val="212121"/>
        </w:rPr>
        <w:t>We note that t</w:t>
      </w:r>
      <w:r w:rsidRPr="001202CC">
        <w:t>he mere fact of a bankruptcy is not dispositive as to whether a party is able to pay a forfeiture.</w:t>
      </w:r>
      <w:r>
        <w:t xml:space="preserve">  </w:t>
      </w:r>
      <w:r w:rsidRPr="000E64BB">
        <w:t xml:space="preserve">In a number of forfeiture proceedings, the Commission has denied requests for both cancellation and reduction of forfeitures, imposing forfeiture amounts in full on parties involved in bankruptcy proceedings.  </w:t>
      </w:r>
      <w:r w:rsidRPr="000E64BB">
        <w:rPr>
          <w:i/>
          <w:iCs/>
        </w:rPr>
        <w:t>See, e.g</w:t>
      </w:r>
      <w:r w:rsidRPr="000E64BB">
        <w:t xml:space="preserve">., </w:t>
      </w:r>
      <w:r w:rsidRPr="006629C4" w:rsidR="006629C4">
        <w:rPr>
          <w:i/>
          <w:iCs/>
        </w:rPr>
        <w:t>STI Telecom Inc</w:t>
      </w:r>
      <w:r w:rsidR="006629C4">
        <w:t xml:space="preserve">., Forfeiture Order, 30 FCC Rcd 11742, 11757-78, para. 35 (2015); </w:t>
      </w:r>
      <w:r w:rsidRPr="000E64BB" w:rsidR="00632C4F">
        <w:rPr>
          <w:i/>
          <w:iCs/>
        </w:rPr>
        <w:t>Coleman Enters., Inc</w:t>
      </w:r>
      <w:r w:rsidRPr="000E64BB" w:rsidR="00632C4F">
        <w:t>., Order of Reconsideration, 16 FCC Rcd 10016, 10027-28, para. 11 (2001) (“purported cooperation with the Commission after its violations, whether standing alone or coupled with its Chapter 11 bankruptcy filing, is not an adequate basis for reducing the forfeiture in this case.”)</w:t>
      </w:r>
      <w:r w:rsidR="00632C4F">
        <w:t xml:space="preserve">.  </w:t>
      </w:r>
      <w:r w:rsidRPr="00632C4F" w:rsidR="00632C4F">
        <w:rPr>
          <w:i/>
          <w:iCs/>
        </w:rPr>
        <w:t>See also</w:t>
      </w:r>
      <w:r w:rsidR="00632C4F">
        <w:t xml:space="preserve"> </w:t>
      </w:r>
      <w:r w:rsidRPr="000E64BB">
        <w:rPr>
          <w:i/>
          <w:iCs/>
        </w:rPr>
        <w:t>N. Am. Telecomms. Corp</w:t>
      </w:r>
      <w:r w:rsidRPr="000E64BB">
        <w:t>., Forfeiture Order, 18 FCC Rcd 1868, 1869, para. 5 (</w:t>
      </w:r>
      <w:r w:rsidR="00632C4F">
        <w:t xml:space="preserve">EB, </w:t>
      </w:r>
      <w:r w:rsidRPr="000E64BB">
        <w:t xml:space="preserve">2003) ( “filing for bankruptcy does not preclude the Commission from issuing an order imposing a forfeiture ....”); </w:t>
      </w:r>
      <w:r w:rsidRPr="000E64BB">
        <w:rPr>
          <w:i/>
          <w:iCs/>
        </w:rPr>
        <w:t>William Flippo</w:t>
      </w:r>
      <w:r w:rsidRPr="000E64BB">
        <w:t>, Forfeiture Order, 15 FCC Rcd 23340, 23340, para. 3 (</w:t>
      </w:r>
      <w:r w:rsidR="00632C4F">
        <w:t xml:space="preserve">EB, </w:t>
      </w:r>
      <w:r w:rsidRPr="000E64BB">
        <w:t>2000) (“we are not inclined to adjust the forfeiture amount even where the recipient has filed for bankruptcy protection”).</w:t>
      </w:r>
      <w:r>
        <w:t xml:space="preserve">  </w:t>
      </w:r>
      <w:r w:rsidRPr="001202CC">
        <w:t>We already considered and rejected Cumulus’</w:t>
      </w:r>
      <w:r w:rsidR="00CF5332">
        <w:t>s</w:t>
      </w:r>
      <w:r w:rsidRPr="001202CC">
        <w:t xml:space="preserve"> argument that the forfeiture penalty should be adjusted downward as Cumulus’</w:t>
      </w:r>
      <w:r w:rsidR="00CF5332">
        <w:t>s</w:t>
      </w:r>
      <w:r w:rsidRPr="001202CC">
        <w:t xml:space="preserve"> parent emerged from bankruptcy in 2018, noting Cumulus failed to submit any evidence of inability to pay a forfeiture.</w:t>
      </w:r>
      <w:r>
        <w:t xml:space="preserve">  </w:t>
      </w:r>
      <w:r w:rsidRPr="000E64BB">
        <w:rPr>
          <w:i/>
          <w:iCs/>
        </w:rPr>
        <w:t>NAL</w:t>
      </w:r>
      <w:r w:rsidRPr="000E64BB">
        <w:t xml:space="preserve">, </w:t>
      </w:r>
      <w:r>
        <w:rPr>
          <w:i/>
          <w:iCs/>
        </w:rPr>
        <w:t xml:space="preserve">supra </w:t>
      </w:r>
      <w:r>
        <w:t>note 1</w:t>
      </w:r>
      <w:r w:rsidRPr="000E64BB">
        <w:t>, at *5, para. 18.</w:t>
      </w:r>
      <w:r>
        <w:t xml:space="preserve">  </w:t>
      </w:r>
      <w:r w:rsidRPr="001202CC">
        <w:t xml:space="preserve">Since the </w:t>
      </w:r>
      <w:r w:rsidRPr="001202CC">
        <w:rPr>
          <w:i/>
          <w:iCs/>
        </w:rPr>
        <w:t>NAL</w:t>
      </w:r>
      <w:r w:rsidRPr="001202CC">
        <w:t>, Cumulus still has not submitted any such evidence.</w:t>
      </w:r>
    </w:p>
  </w:footnote>
  <w:footnote w:id="104">
    <w:p w:rsidR="00785647" w:rsidP="00785647" w14:paraId="1B64C171" w14:textId="481A5294">
      <w:pPr>
        <w:pStyle w:val="FootnoteText"/>
      </w:pPr>
      <w:r>
        <w:rPr>
          <w:rStyle w:val="FootnoteReference"/>
        </w:rPr>
        <w:footnoteRef/>
      </w:r>
      <w:r>
        <w:t xml:space="preserve"> </w:t>
      </w:r>
      <w:r w:rsidRPr="000E64BB">
        <w:t>NAL Response</w:t>
      </w:r>
      <w:r>
        <w:t xml:space="preserve">, </w:t>
      </w:r>
      <w:r>
        <w:rPr>
          <w:i/>
          <w:iCs/>
        </w:rPr>
        <w:t xml:space="preserve">supra </w:t>
      </w:r>
      <w:r>
        <w:t>note 2,</w:t>
      </w:r>
      <w:r w:rsidRPr="000E64BB">
        <w:t xml:space="preserve"> at </w:t>
      </w:r>
      <w:r>
        <w:t>8.</w:t>
      </w:r>
    </w:p>
  </w:footnote>
  <w:footnote w:id="105">
    <w:p w:rsidR="0002197B" w14:paraId="65E5DE51" w14:textId="4FFB3327">
      <w:pPr>
        <w:pStyle w:val="FootnoteText"/>
      </w:pPr>
      <w:r>
        <w:rPr>
          <w:rStyle w:val="FootnoteReference"/>
        </w:rPr>
        <w:footnoteRef/>
      </w:r>
      <w:r>
        <w:t xml:space="preserve"> </w:t>
      </w:r>
      <w:r w:rsidRPr="0005461D" w:rsidR="0005461D">
        <w:rPr>
          <w:i/>
          <w:iCs/>
        </w:rPr>
        <w:t>See Cumulus Radio LLC</w:t>
      </w:r>
      <w:r w:rsidRPr="0005461D" w:rsidR="0005461D">
        <w:t xml:space="preserve">, </w:t>
      </w:r>
      <w:r w:rsidRPr="007153D7" w:rsidR="0005461D">
        <w:rPr>
          <w:i/>
          <w:iCs/>
        </w:rPr>
        <w:t xml:space="preserve">supra </w:t>
      </w:r>
      <w:r w:rsidRPr="0005461D" w:rsidR="0005461D">
        <w:t>note 8</w:t>
      </w:r>
      <w:r w:rsidR="003B694F">
        <w:t>8</w:t>
      </w:r>
      <w:r w:rsidRPr="0005461D" w:rsidR="0005461D">
        <w:t xml:space="preserve">, at 744-45, paras. 17-20 (The Commission rejected an argument by Cumulus that past violations involving licensees prior to bankruptcy reorganization should not be considered in making an upward adjustment.). </w:t>
      </w:r>
    </w:p>
  </w:footnote>
  <w:footnote w:id="106">
    <w:p w:rsidR="00B63898" w:rsidRPr="00BE56F6" w:rsidP="00B63898" w14:paraId="04BDC073" w14:textId="08FFE00E">
      <w:pPr>
        <w:pStyle w:val="FootnoteText"/>
      </w:pPr>
      <w:r w:rsidRPr="00BE56F6">
        <w:rPr>
          <w:rStyle w:val="FootnoteReference"/>
        </w:rPr>
        <w:footnoteRef/>
      </w:r>
      <w:r w:rsidRPr="00BE56F6">
        <w:t xml:space="preserve"> </w:t>
      </w:r>
      <w:r w:rsidRPr="00602E4E" w:rsidR="00602E4E">
        <w:t xml:space="preserve">NAL Response, </w:t>
      </w:r>
      <w:r w:rsidRPr="002D2C7E" w:rsidR="00602E4E">
        <w:rPr>
          <w:i/>
          <w:iCs/>
        </w:rPr>
        <w:t>supra</w:t>
      </w:r>
      <w:r w:rsidRPr="00602E4E" w:rsidR="00602E4E">
        <w:t xml:space="preserve"> note 2, </w:t>
      </w:r>
      <w:r w:rsidRPr="00BE56F6">
        <w:t xml:space="preserve">at 7-8.  </w:t>
      </w:r>
      <w:r w:rsidRPr="00BE56F6">
        <w:rPr>
          <w:color w:val="000000" w:themeColor="text1"/>
        </w:rPr>
        <w:t xml:space="preserve">The </w:t>
      </w:r>
      <w:r w:rsidRPr="00BE56F6">
        <w:rPr>
          <w:i/>
          <w:iCs/>
          <w:color w:val="000000" w:themeColor="text1"/>
        </w:rPr>
        <w:t>Second Thursday</w:t>
      </w:r>
      <w:r w:rsidRPr="00BE56F6">
        <w:rPr>
          <w:color w:val="000000" w:themeColor="text1"/>
        </w:rPr>
        <w:t xml:space="preserve"> exception allows for the assignment of a license despite unresolved character questions </w:t>
      </w:r>
      <w:r w:rsidRPr="00BE56F6">
        <w:rPr>
          <w:color w:val="000000" w:themeColor="text1"/>
          <w:shd w:val="clear" w:color="auto" w:fill="FFFFFF"/>
        </w:rPr>
        <w:t>when the assignment will benefit innocent creditors and the persons charged with misconduct will have no part in the proposed operation and will derive either no benefit or minimal benefits that are outweighed by equitable considerations in favor of innocent creditors.</w:t>
      </w:r>
      <w:r w:rsidRPr="00BE56F6">
        <w:rPr>
          <w:color w:val="000000" w:themeColor="text1"/>
          <w:sz w:val="24"/>
          <w:szCs w:val="24"/>
          <w:shd w:val="clear" w:color="auto" w:fill="FFFFFF"/>
        </w:rPr>
        <w:t xml:space="preserve">  </w:t>
      </w:r>
      <w:bookmarkStart w:id="18" w:name="_Hlk148092039"/>
      <w:r w:rsidRPr="000E64BB">
        <w:rPr>
          <w:i/>
          <w:iCs/>
        </w:rPr>
        <w:t>Second Thursday Corp</w:t>
      </w:r>
      <w:r w:rsidRPr="000E64BB">
        <w:t xml:space="preserve">., 22 FCC 2d </w:t>
      </w:r>
      <w:r w:rsidR="005341E2">
        <w:t xml:space="preserve">at </w:t>
      </w:r>
      <w:r w:rsidRPr="000E64BB">
        <w:t>51</w:t>
      </w:r>
      <w:r w:rsidR="005341E2">
        <w:t>6</w:t>
      </w:r>
      <w:r>
        <w:t>, para. 5.</w:t>
      </w:r>
      <w:bookmarkEnd w:id="18"/>
    </w:p>
  </w:footnote>
  <w:footnote w:id="107">
    <w:p w:rsidR="00B63898" w14:paraId="2B33E688" w14:textId="5B431E2D">
      <w:pPr>
        <w:pStyle w:val="FootnoteText"/>
      </w:pPr>
      <w:r>
        <w:rPr>
          <w:rStyle w:val="FootnoteReference"/>
        </w:rPr>
        <w:footnoteRef/>
      </w:r>
      <w:r>
        <w:t xml:space="preserve"> </w:t>
      </w:r>
      <w:r w:rsidRPr="00B63898">
        <w:rPr>
          <w:i/>
          <w:iCs/>
        </w:rPr>
        <w:t>See supra</w:t>
      </w:r>
      <w:r>
        <w:t xml:space="preserve"> para. 2</w:t>
      </w:r>
      <w:r w:rsidR="00574B7C">
        <w:t>1</w:t>
      </w:r>
      <w:r>
        <w:t>.</w:t>
      </w:r>
    </w:p>
  </w:footnote>
  <w:footnote w:id="108">
    <w:p w:rsidR="00532330" w:rsidRPr="000E64BB" w:rsidP="000E64BB" w14:paraId="23D0BF3B" w14:textId="4A6807A7">
      <w:pPr>
        <w:pStyle w:val="FootnoteText"/>
      </w:pPr>
      <w:r w:rsidRPr="000E64BB">
        <w:rPr>
          <w:rStyle w:val="FootnoteReference"/>
        </w:rPr>
        <w:footnoteRef/>
      </w:r>
      <w:r w:rsidRPr="000E64BB">
        <w:t xml:space="preserve"> </w:t>
      </w:r>
      <w:r w:rsidRPr="000E64BB">
        <w:rPr>
          <w:i/>
          <w:iCs/>
        </w:rPr>
        <w:t>NAL</w:t>
      </w:r>
      <w:r w:rsidRPr="000E64BB">
        <w:t xml:space="preserve">, </w:t>
      </w:r>
      <w:r w:rsidR="006C1FF6">
        <w:rPr>
          <w:i/>
          <w:iCs/>
        </w:rPr>
        <w:t xml:space="preserve">supra </w:t>
      </w:r>
      <w:r w:rsidR="006C1FF6">
        <w:t>note 1</w:t>
      </w:r>
      <w:r w:rsidRPr="000E64BB">
        <w:t>, at *4, para. 14.</w:t>
      </w:r>
    </w:p>
  </w:footnote>
  <w:footnote w:id="109">
    <w:p w:rsidR="00BD69CA" w:rsidRPr="000E64BB" w:rsidP="000E64BB" w14:paraId="0744ED02" w14:textId="47B9BB24">
      <w:pPr>
        <w:pStyle w:val="FootnoteText"/>
      </w:pPr>
      <w:r w:rsidRPr="000E64BB">
        <w:rPr>
          <w:rStyle w:val="FootnoteReference"/>
        </w:rPr>
        <w:footnoteRef/>
      </w:r>
      <w:r w:rsidRPr="000E64BB">
        <w:t xml:space="preserve"> 47 CFR §§ 73.2080(c)(3), 73.2080(c)(6), and 73.3526(e)(7).</w:t>
      </w:r>
    </w:p>
  </w:footnote>
  <w:footnote w:id="110">
    <w:p w:rsidR="003343CA" w:rsidRPr="000E64BB" w:rsidP="000E64BB" w14:paraId="7B3E0421" w14:textId="040C8749">
      <w:pPr>
        <w:pStyle w:val="FootnoteText"/>
      </w:pPr>
      <w:r w:rsidRPr="000E64BB">
        <w:rPr>
          <w:rStyle w:val="FootnoteReference"/>
        </w:rPr>
        <w:footnoteRef/>
      </w:r>
      <w:r w:rsidRPr="000E64BB">
        <w:t xml:space="preserve"> </w:t>
      </w:r>
      <w:r w:rsidRPr="00DB2F5B" w:rsidR="00CF5332">
        <w:rPr>
          <w:iCs/>
        </w:rPr>
        <w:t xml:space="preserve">47 CFR </w:t>
      </w:r>
      <w:r w:rsidRPr="00CF5332" w:rsidR="00CF5332">
        <w:rPr>
          <w:iCs/>
        </w:rPr>
        <w:t>§ 1.80</w:t>
      </w:r>
      <w:r w:rsidR="00CF5332">
        <w:rPr>
          <w:iCs/>
        </w:rPr>
        <w:t>.</w:t>
      </w:r>
    </w:p>
  </w:footnote>
  <w:footnote w:id="111">
    <w:p w:rsidR="003343CA" w:rsidRPr="000E64BB" w:rsidP="000E64BB" w14:paraId="1531721B" w14:textId="77777777">
      <w:pPr>
        <w:pStyle w:val="FootnoteText"/>
      </w:pPr>
      <w:r w:rsidRPr="000E64BB">
        <w:rPr>
          <w:rStyle w:val="FootnoteReference"/>
        </w:rPr>
        <w:footnoteRef/>
      </w:r>
      <w:r w:rsidRPr="000E64BB">
        <w:t xml:space="preserve"> 47 U.S.C. § 504(a).</w:t>
      </w:r>
    </w:p>
  </w:footnote>
  <w:footnote w:id="112">
    <w:p w:rsidR="00AB2847" w:rsidRPr="003433FA" w:rsidP="00AB2847" w14:paraId="72F5EA4C" w14:textId="77777777">
      <w:pPr>
        <w:pStyle w:val="FootnoteText"/>
      </w:pPr>
      <w:r w:rsidRPr="009716F7">
        <w:rPr>
          <w:rStyle w:val="FootnoteReference"/>
        </w:rPr>
        <w:footnoteRef/>
      </w:r>
      <w:r w:rsidRPr="009716F7">
        <w:t xml:space="preserve"> For questions </w:t>
      </w:r>
      <w:r w:rsidRPr="003433FA">
        <w:t>regarding payment procedures, please contact the Financial Operations Group Help Desk by phone at 1-877-480-3201 (option #</w:t>
      </w:r>
      <w:r>
        <w:t>1</w:t>
      </w:r>
      <w:r w:rsidRPr="003433FA">
        <w:t>)</w:t>
      </w:r>
      <w:r>
        <w:t>.</w:t>
      </w:r>
    </w:p>
  </w:footnote>
  <w:footnote w:id="113">
    <w:p w:rsidR="008B27BA" w:rsidRPr="000E64BB" w:rsidP="000E64BB" w14:paraId="43F75E42" w14:textId="231C1D76">
      <w:pPr>
        <w:pStyle w:val="FootnoteText"/>
      </w:pPr>
      <w:r w:rsidRPr="000E64BB">
        <w:rPr>
          <w:rStyle w:val="FootnoteReference"/>
        </w:rPr>
        <w:footnoteRef/>
      </w:r>
      <w:r w:rsidRPr="000E64BB">
        <w:t xml:space="preserve"> FCC Form 159 is accessible at </w:t>
      </w:r>
      <w:hyperlink r:id="rId9" w:history="1">
        <w:r w:rsidRPr="000E64BB">
          <w:rPr>
            <w:rStyle w:val="Hyperlink"/>
          </w:rPr>
          <w:t>https://www.fcc.gov/licensing-databases/fees/fcc-remittance-advice-form-159</w:t>
        </w:r>
      </w:hyperlink>
      <w:r w:rsidRPr="000E64BB">
        <w:rPr>
          <w:rStyle w:val="Hyperlink"/>
        </w:rPr>
        <w:t>.</w:t>
      </w:r>
    </w:p>
  </w:footnote>
  <w:footnote w:id="114">
    <w:p w:rsidR="008B27BA" w:rsidRPr="000E64BB" w:rsidP="000E64BB" w14:paraId="03E7F2F5" w14:textId="201875A9">
      <w:pPr>
        <w:pStyle w:val="FootnoteText"/>
      </w:pPr>
      <w:r w:rsidRPr="000E64BB">
        <w:rPr>
          <w:rStyle w:val="FootnoteReference"/>
        </w:rPr>
        <w:footnoteRef/>
      </w:r>
      <w:r w:rsidRPr="000E64BB">
        <w:t xml:space="preserve"> Information completed using the Commission’s Registration System (CORES) does not require the submission of an FCC Form 159.  CORES is accessible at </w:t>
      </w:r>
      <w:hyperlink r:id="rId10" w:history="1">
        <w:r w:rsidRPr="000E64BB">
          <w:rPr>
            <w:rStyle w:val="Hyperlink"/>
          </w:rPr>
          <w:t>https://apps.fcc.gov/cores/userLogin.do</w:t>
        </w:r>
      </w:hyperlink>
      <w:r w:rsidRPr="000E64BB">
        <w:t>.</w:t>
      </w:r>
    </w:p>
  </w:footnote>
  <w:footnote w:id="115">
    <w:p w:rsidR="008B27BA" w:rsidRPr="000E64BB" w:rsidP="000E64BB" w14:paraId="2B9646E3" w14:textId="138EA726">
      <w:pPr>
        <w:pStyle w:val="FootnoteText"/>
      </w:pPr>
      <w:r w:rsidRPr="000E64BB">
        <w:rPr>
          <w:rStyle w:val="FootnoteReference"/>
        </w:rPr>
        <w:footnoteRef/>
      </w:r>
      <w:r w:rsidRPr="000E64BB">
        <w:t xml:space="preserve"> Instructions for completing the form may be obtained at </w:t>
      </w:r>
      <w:hyperlink r:id="rId11" w:history="1">
        <w:r w:rsidRPr="00D329BA" w:rsidR="00AE3464">
          <w:rPr>
            <w:rStyle w:val="Hyperlink"/>
          </w:rPr>
          <w:t>https://www.fcc.gov/Forms/Form159/159.pdf</w:t>
        </w:r>
      </w:hyperlink>
      <w:r w:rsidR="00AE346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rsidRPr="0012096B" w:rsidP="0012096B" w14:paraId="76EB4B18" w14:textId="232AE61A">
    <w:pPr>
      <w:pStyle w:val="Header"/>
    </w:pPr>
    <w:r w:rsidRPr="0012096B">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12096B">
      <w:tab/>
      <w:t>Federal Communications Commission</w:t>
    </w:r>
    <w:r w:rsidRPr="0012096B">
      <w:tab/>
    </w:r>
    <w:r w:rsidRPr="0012096B" w:rsidR="00FF10F5">
      <w:t>FCC</w:t>
    </w:r>
    <w:r w:rsidRPr="0012096B" w:rsidR="001A3968">
      <w:t xml:space="preserve"> </w:t>
    </w:r>
    <w:r w:rsidR="00B46013">
      <w:rPr>
        <w:spacing w:val="-2"/>
      </w:rPr>
      <w:t>24-3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3E3" w:rsidRPr="000D7B21" w:rsidP="0012096B" w14:paraId="44024DC4" w14:textId="51E9C328">
    <w:pPr>
      <w:pStyle w:val="Header"/>
    </w:pPr>
    <w:r w:rsidRPr="000D7B21">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0D7B21">
      <w:tab/>
      <w:t>Federal Communications Commission</w:t>
    </w:r>
    <w:r w:rsidRPr="000D7B21">
      <w:tab/>
    </w:r>
    <w:r w:rsidRPr="000D7B21" w:rsidR="00FF10F5">
      <w:t>FCC</w:t>
    </w:r>
    <w:r w:rsidRPr="000D7B21" w:rsidR="001A3968">
      <w:t xml:space="preserve"> </w:t>
    </w:r>
    <w:r w:rsidR="00B46013">
      <w:rPr>
        <w:spacing w:val="-2"/>
      </w:rPr>
      <w:t>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4"/>
      <w:numFmt w:val="bullet"/>
      <w:lvlText w:val="—"/>
      <w:lvlJc w:val="left"/>
      <w:pPr>
        <w:ind w:left="2160" w:hanging="360"/>
      </w:pPr>
      <w:rPr>
        <w:rFonts w:ascii="Times New Roman" w:eastAsia="Times New Roman" w:hAnsi="Times New Roman" w:cs="Times New Roman"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4"/>
  </w:num>
  <w:num w:numId="2">
    <w:abstractNumId w:val="8"/>
  </w:num>
  <w:num w:numId="3">
    <w:abstractNumId w:val="3"/>
  </w:num>
  <w:num w:numId="4">
    <w:abstractNumId w:val="10"/>
  </w:num>
  <w:num w:numId="5">
    <w:abstractNumId w:val="2"/>
  </w:num>
  <w:num w:numId="6">
    <w:abstractNumId w:val="9"/>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13"/>
  </w:num>
  <w:num w:numId="9">
    <w:abstractNumId w:val="12"/>
  </w:num>
  <w:num w:numId="10">
    <w:abstractNumId w:val="1"/>
  </w:num>
  <w:num w:numId="11">
    <w:abstractNumId w:val="5"/>
  </w:num>
  <w:num w:numId="12">
    <w:abstractNumId w:val="6"/>
  </w:num>
  <w:num w:numId="13">
    <w:abstractNumId w:val="11"/>
  </w:num>
  <w:num w:numId="14">
    <w:abstractNumId w:val="7"/>
  </w:num>
  <w:num w:numId="15">
    <w:abstractNumId w:val="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000B"/>
    <w:rsid w:val="00000418"/>
    <w:rsid w:val="00000D9F"/>
    <w:rsid w:val="00001670"/>
    <w:rsid w:val="000024CA"/>
    <w:rsid w:val="00002F7E"/>
    <w:rsid w:val="00003668"/>
    <w:rsid w:val="00003672"/>
    <w:rsid w:val="00005148"/>
    <w:rsid w:val="00005C58"/>
    <w:rsid w:val="0000624E"/>
    <w:rsid w:val="00007817"/>
    <w:rsid w:val="00010673"/>
    <w:rsid w:val="00010FA7"/>
    <w:rsid w:val="00010FEF"/>
    <w:rsid w:val="00011158"/>
    <w:rsid w:val="00011275"/>
    <w:rsid w:val="00011A1A"/>
    <w:rsid w:val="00012EEC"/>
    <w:rsid w:val="00013568"/>
    <w:rsid w:val="00014462"/>
    <w:rsid w:val="0001449C"/>
    <w:rsid w:val="00014521"/>
    <w:rsid w:val="000145C6"/>
    <w:rsid w:val="00016B15"/>
    <w:rsid w:val="000174F9"/>
    <w:rsid w:val="00020DD2"/>
    <w:rsid w:val="0002197B"/>
    <w:rsid w:val="000223C3"/>
    <w:rsid w:val="00025038"/>
    <w:rsid w:val="000255C0"/>
    <w:rsid w:val="000256CB"/>
    <w:rsid w:val="000264B4"/>
    <w:rsid w:val="000304B7"/>
    <w:rsid w:val="00031AE8"/>
    <w:rsid w:val="00034FB7"/>
    <w:rsid w:val="00035BEE"/>
    <w:rsid w:val="00035FE5"/>
    <w:rsid w:val="00036D58"/>
    <w:rsid w:val="00037117"/>
    <w:rsid w:val="0004040E"/>
    <w:rsid w:val="00041488"/>
    <w:rsid w:val="00043856"/>
    <w:rsid w:val="00043C9B"/>
    <w:rsid w:val="00044151"/>
    <w:rsid w:val="0004581B"/>
    <w:rsid w:val="00045EE5"/>
    <w:rsid w:val="000461E5"/>
    <w:rsid w:val="00046801"/>
    <w:rsid w:val="00046CFD"/>
    <w:rsid w:val="00046DF4"/>
    <w:rsid w:val="0004713B"/>
    <w:rsid w:val="00047F59"/>
    <w:rsid w:val="000509F8"/>
    <w:rsid w:val="000510BD"/>
    <w:rsid w:val="000517B5"/>
    <w:rsid w:val="0005461D"/>
    <w:rsid w:val="00055C21"/>
    <w:rsid w:val="00056151"/>
    <w:rsid w:val="000562B6"/>
    <w:rsid w:val="00056F0F"/>
    <w:rsid w:val="000572B2"/>
    <w:rsid w:val="000576FE"/>
    <w:rsid w:val="000604EB"/>
    <w:rsid w:val="00061418"/>
    <w:rsid w:val="000618F6"/>
    <w:rsid w:val="00062C44"/>
    <w:rsid w:val="0006472D"/>
    <w:rsid w:val="0006497E"/>
    <w:rsid w:val="000649FE"/>
    <w:rsid w:val="000650F8"/>
    <w:rsid w:val="00071808"/>
    <w:rsid w:val="00071E3F"/>
    <w:rsid w:val="00072D7D"/>
    <w:rsid w:val="00074717"/>
    <w:rsid w:val="0007571D"/>
    <w:rsid w:val="00076965"/>
    <w:rsid w:val="00077A7A"/>
    <w:rsid w:val="00080535"/>
    <w:rsid w:val="00080753"/>
    <w:rsid w:val="00080A74"/>
    <w:rsid w:val="00080B8A"/>
    <w:rsid w:val="000811AB"/>
    <w:rsid w:val="00082780"/>
    <w:rsid w:val="000830F0"/>
    <w:rsid w:val="00083D3C"/>
    <w:rsid w:val="00084B06"/>
    <w:rsid w:val="000853AD"/>
    <w:rsid w:val="00085F6A"/>
    <w:rsid w:val="000867E3"/>
    <w:rsid w:val="00086824"/>
    <w:rsid w:val="000869F8"/>
    <w:rsid w:val="000870AB"/>
    <w:rsid w:val="000908AF"/>
    <w:rsid w:val="00090F0D"/>
    <w:rsid w:val="00091AE4"/>
    <w:rsid w:val="000923A2"/>
    <w:rsid w:val="00092506"/>
    <w:rsid w:val="000933F3"/>
    <w:rsid w:val="00093672"/>
    <w:rsid w:val="00094CFF"/>
    <w:rsid w:val="00095595"/>
    <w:rsid w:val="00095716"/>
    <w:rsid w:val="0009610D"/>
    <w:rsid w:val="000962DF"/>
    <w:rsid w:val="00097F82"/>
    <w:rsid w:val="000A0654"/>
    <w:rsid w:val="000A3089"/>
    <w:rsid w:val="000A3E68"/>
    <w:rsid w:val="000A467D"/>
    <w:rsid w:val="000A4776"/>
    <w:rsid w:val="000A66A1"/>
    <w:rsid w:val="000B0225"/>
    <w:rsid w:val="000B14A7"/>
    <w:rsid w:val="000B14C3"/>
    <w:rsid w:val="000B1C2B"/>
    <w:rsid w:val="000B29ED"/>
    <w:rsid w:val="000B3298"/>
    <w:rsid w:val="000B3991"/>
    <w:rsid w:val="000B4656"/>
    <w:rsid w:val="000B4F13"/>
    <w:rsid w:val="000B55F6"/>
    <w:rsid w:val="000B6EDE"/>
    <w:rsid w:val="000B7657"/>
    <w:rsid w:val="000B79BB"/>
    <w:rsid w:val="000C011A"/>
    <w:rsid w:val="000C092B"/>
    <w:rsid w:val="000C1636"/>
    <w:rsid w:val="000C1654"/>
    <w:rsid w:val="000C196F"/>
    <w:rsid w:val="000C1A34"/>
    <w:rsid w:val="000C2B88"/>
    <w:rsid w:val="000C33C7"/>
    <w:rsid w:val="000C3C80"/>
    <w:rsid w:val="000C4594"/>
    <w:rsid w:val="000C52B5"/>
    <w:rsid w:val="000C52DD"/>
    <w:rsid w:val="000C5FEE"/>
    <w:rsid w:val="000C6050"/>
    <w:rsid w:val="000C6370"/>
    <w:rsid w:val="000C719B"/>
    <w:rsid w:val="000C7732"/>
    <w:rsid w:val="000D0264"/>
    <w:rsid w:val="000D03AE"/>
    <w:rsid w:val="000D1041"/>
    <w:rsid w:val="000D1391"/>
    <w:rsid w:val="000D1E6C"/>
    <w:rsid w:val="000D22A6"/>
    <w:rsid w:val="000D28C5"/>
    <w:rsid w:val="000D2EA9"/>
    <w:rsid w:val="000D3783"/>
    <w:rsid w:val="000D3E55"/>
    <w:rsid w:val="000D49E1"/>
    <w:rsid w:val="000D529E"/>
    <w:rsid w:val="000D670A"/>
    <w:rsid w:val="000D6FF2"/>
    <w:rsid w:val="000D7B21"/>
    <w:rsid w:val="000E0487"/>
    <w:rsid w:val="000E1951"/>
    <w:rsid w:val="000E234E"/>
    <w:rsid w:val="000E2707"/>
    <w:rsid w:val="000E2734"/>
    <w:rsid w:val="000E28B7"/>
    <w:rsid w:val="000E3B4D"/>
    <w:rsid w:val="000E482A"/>
    <w:rsid w:val="000E4986"/>
    <w:rsid w:val="000E4AE2"/>
    <w:rsid w:val="000E50B8"/>
    <w:rsid w:val="000E599E"/>
    <w:rsid w:val="000E64BB"/>
    <w:rsid w:val="000E726B"/>
    <w:rsid w:val="000F07C4"/>
    <w:rsid w:val="000F107B"/>
    <w:rsid w:val="000F1155"/>
    <w:rsid w:val="000F255A"/>
    <w:rsid w:val="000F313E"/>
    <w:rsid w:val="000F49FC"/>
    <w:rsid w:val="000F5E56"/>
    <w:rsid w:val="000F7C09"/>
    <w:rsid w:val="001004BD"/>
    <w:rsid w:val="00100623"/>
    <w:rsid w:val="00100646"/>
    <w:rsid w:val="001013B7"/>
    <w:rsid w:val="00101F98"/>
    <w:rsid w:val="0010569A"/>
    <w:rsid w:val="0010578D"/>
    <w:rsid w:val="00105A35"/>
    <w:rsid w:val="00105E37"/>
    <w:rsid w:val="001067B6"/>
    <w:rsid w:val="00106B0C"/>
    <w:rsid w:val="00107B93"/>
    <w:rsid w:val="00110790"/>
    <w:rsid w:val="001108B2"/>
    <w:rsid w:val="0011167B"/>
    <w:rsid w:val="00111F29"/>
    <w:rsid w:val="00112107"/>
    <w:rsid w:val="0011337B"/>
    <w:rsid w:val="00113912"/>
    <w:rsid w:val="00114FBC"/>
    <w:rsid w:val="00115414"/>
    <w:rsid w:val="0011687C"/>
    <w:rsid w:val="001169A7"/>
    <w:rsid w:val="001202CC"/>
    <w:rsid w:val="001205FE"/>
    <w:rsid w:val="0012096B"/>
    <w:rsid w:val="001211C2"/>
    <w:rsid w:val="001218B0"/>
    <w:rsid w:val="00122EBD"/>
    <w:rsid w:val="00123020"/>
    <w:rsid w:val="0012427E"/>
    <w:rsid w:val="00124B3E"/>
    <w:rsid w:val="00126C88"/>
    <w:rsid w:val="00126EC6"/>
    <w:rsid w:val="00130BB2"/>
    <w:rsid w:val="00132356"/>
    <w:rsid w:val="001355A7"/>
    <w:rsid w:val="00135F6E"/>
    <w:rsid w:val="00135F7F"/>
    <w:rsid w:val="00136476"/>
    <w:rsid w:val="00136D9B"/>
    <w:rsid w:val="00137493"/>
    <w:rsid w:val="001375A6"/>
    <w:rsid w:val="00140839"/>
    <w:rsid w:val="00140ABB"/>
    <w:rsid w:val="00141411"/>
    <w:rsid w:val="00142609"/>
    <w:rsid w:val="001426F0"/>
    <w:rsid w:val="00143AD8"/>
    <w:rsid w:val="00145B3B"/>
    <w:rsid w:val="00145E08"/>
    <w:rsid w:val="00150648"/>
    <w:rsid w:val="001532B1"/>
    <w:rsid w:val="00153904"/>
    <w:rsid w:val="00153BB6"/>
    <w:rsid w:val="00153CE0"/>
    <w:rsid w:val="00153CF0"/>
    <w:rsid w:val="00154A5C"/>
    <w:rsid w:val="00155D6B"/>
    <w:rsid w:val="00155F46"/>
    <w:rsid w:val="00156629"/>
    <w:rsid w:val="00157297"/>
    <w:rsid w:val="001578FD"/>
    <w:rsid w:val="00162161"/>
    <w:rsid w:val="0016240A"/>
    <w:rsid w:val="00162F77"/>
    <w:rsid w:val="001636E8"/>
    <w:rsid w:val="00164840"/>
    <w:rsid w:val="00164D9B"/>
    <w:rsid w:val="0016746E"/>
    <w:rsid w:val="00167C8A"/>
    <w:rsid w:val="001707D4"/>
    <w:rsid w:val="001715BD"/>
    <w:rsid w:val="00171BE6"/>
    <w:rsid w:val="00172581"/>
    <w:rsid w:val="00173116"/>
    <w:rsid w:val="001740BB"/>
    <w:rsid w:val="0017410C"/>
    <w:rsid w:val="00174820"/>
    <w:rsid w:val="00176449"/>
    <w:rsid w:val="00176970"/>
    <w:rsid w:val="00176FC0"/>
    <w:rsid w:val="00177284"/>
    <w:rsid w:val="0017799A"/>
    <w:rsid w:val="00180026"/>
    <w:rsid w:val="00180987"/>
    <w:rsid w:val="001819AF"/>
    <w:rsid w:val="00184013"/>
    <w:rsid w:val="00184AC3"/>
    <w:rsid w:val="00184B56"/>
    <w:rsid w:val="00184F2D"/>
    <w:rsid w:val="00185075"/>
    <w:rsid w:val="00185AE9"/>
    <w:rsid w:val="00190739"/>
    <w:rsid w:val="00190F53"/>
    <w:rsid w:val="0019124D"/>
    <w:rsid w:val="00192667"/>
    <w:rsid w:val="00193031"/>
    <w:rsid w:val="001931DB"/>
    <w:rsid w:val="001937FA"/>
    <w:rsid w:val="00195FB8"/>
    <w:rsid w:val="00196D5F"/>
    <w:rsid w:val="00196E93"/>
    <w:rsid w:val="001A12ED"/>
    <w:rsid w:val="001A1870"/>
    <w:rsid w:val="001A29EF"/>
    <w:rsid w:val="001A2F40"/>
    <w:rsid w:val="001A3968"/>
    <w:rsid w:val="001A60D6"/>
    <w:rsid w:val="001A69BA"/>
    <w:rsid w:val="001A79FB"/>
    <w:rsid w:val="001B036C"/>
    <w:rsid w:val="001B048F"/>
    <w:rsid w:val="001B16EB"/>
    <w:rsid w:val="001B260C"/>
    <w:rsid w:val="001B29B0"/>
    <w:rsid w:val="001B2C7D"/>
    <w:rsid w:val="001B3C2E"/>
    <w:rsid w:val="001B4BC1"/>
    <w:rsid w:val="001B4CCF"/>
    <w:rsid w:val="001B5124"/>
    <w:rsid w:val="001B5B9D"/>
    <w:rsid w:val="001B5BEA"/>
    <w:rsid w:val="001B7DBA"/>
    <w:rsid w:val="001C061D"/>
    <w:rsid w:val="001C1EDA"/>
    <w:rsid w:val="001C3156"/>
    <w:rsid w:val="001C3B35"/>
    <w:rsid w:val="001C42B3"/>
    <w:rsid w:val="001C4AA6"/>
    <w:rsid w:val="001D03AA"/>
    <w:rsid w:val="001D08D6"/>
    <w:rsid w:val="001D09E4"/>
    <w:rsid w:val="001D11CF"/>
    <w:rsid w:val="001D1CEF"/>
    <w:rsid w:val="001D3902"/>
    <w:rsid w:val="001D79F7"/>
    <w:rsid w:val="001E00CA"/>
    <w:rsid w:val="001E135C"/>
    <w:rsid w:val="001E1906"/>
    <w:rsid w:val="001E401B"/>
    <w:rsid w:val="001E62B8"/>
    <w:rsid w:val="001E7ED4"/>
    <w:rsid w:val="001F081D"/>
    <w:rsid w:val="001F1926"/>
    <w:rsid w:val="001F1DD9"/>
    <w:rsid w:val="001F2ADC"/>
    <w:rsid w:val="001F2B76"/>
    <w:rsid w:val="001F2C16"/>
    <w:rsid w:val="001F3946"/>
    <w:rsid w:val="001F3D61"/>
    <w:rsid w:val="001F3DE7"/>
    <w:rsid w:val="001F5AA4"/>
    <w:rsid w:val="001F7EE0"/>
    <w:rsid w:val="002003E1"/>
    <w:rsid w:val="00200EAE"/>
    <w:rsid w:val="002013B3"/>
    <w:rsid w:val="002029C2"/>
    <w:rsid w:val="002037C2"/>
    <w:rsid w:val="00203853"/>
    <w:rsid w:val="0020461E"/>
    <w:rsid w:val="002100D8"/>
    <w:rsid w:val="00211936"/>
    <w:rsid w:val="0021315C"/>
    <w:rsid w:val="002146E2"/>
    <w:rsid w:val="00216602"/>
    <w:rsid w:val="0022202F"/>
    <w:rsid w:val="002226D6"/>
    <w:rsid w:val="00222AB4"/>
    <w:rsid w:val="00223173"/>
    <w:rsid w:val="0022391C"/>
    <w:rsid w:val="00223C5B"/>
    <w:rsid w:val="00223D71"/>
    <w:rsid w:val="00225854"/>
    <w:rsid w:val="00226191"/>
    <w:rsid w:val="0022665A"/>
    <w:rsid w:val="002273F9"/>
    <w:rsid w:val="00227C75"/>
    <w:rsid w:val="00227EC7"/>
    <w:rsid w:val="00232245"/>
    <w:rsid w:val="002335AD"/>
    <w:rsid w:val="00236820"/>
    <w:rsid w:val="00237F66"/>
    <w:rsid w:val="002404C4"/>
    <w:rsid w:val="002412C7"/>
    <w:rsid w:val="002427E3"/>
    <w:rsid w:val="00246222"/>
    <w:rsid w:val="00246AD4"/>
    <w:rsid w:val="00247A80"/>
    <w:rsid w:val="00250607"/>
    <w:rsid w:val="0025078C"/>
    <w:rsid w:val="00250EDF"/>
    <w:rsid w:val="00251F09"/>
    <w:rsid w:val="002522FE"/>
    <w:rsid w:val="002523B2"/>
    <w:rsid w:val="0025270F"/>
    <w:rsid w:val="00252799"/>
    <w:rsid w:val="002543E8"/>
    <w:rsid w:val="0025596A"/>
    <w:rsid w:val="00256904"/>
    <w:rsid w:val="00256B42"/>
    <w:rsid w:val="00256BCA"/>
    <w:rsid w:val="00261C34"/>
    <w:rsid w:val="00264B45"/>
    <w:rsid w:val="002651E9"/>
    <w:rsid w:val="002659F3"/>
    <w:rsid w:val="00265FC9"/>
    <w:rsid w:val="002676CE"/>
    <w:rsid w:val="00270CD1"/>
    <w:rsid w:val="002710C5"/>
    <w:rsid w:val="002718D7"/>
    <w:rsid w:val="00271E57"/>
    <w:rsid w:val="002722DC"/>
    <w:rsid w:val="002733C3"/>
    <w:rsid w:val="002734B4"/>
    <w:rsid w:val="002734D3"/>
    <w:rsid w:val="00274873"/>
    <w:rsid w:val="00275068"/>
    <w:rsid w:val="00275C12"/>
    <w:rsid w:val="00276ABD"/>
    <w:rsid w:val="0027755F"/>
    <w:rsid w:val="00277905"/>
    <w:rsid w:val="002808E1"/>
    <w:rsid w:val="002817BA"/>
    <w:rsid w:val="002823CF"/>
    <w:rsid w:val="00282B89"/>
    <w:rsid w:val="0028332D"/>
    <w:rsid w:val="00283655"/>
    <w:rsid w:val="00283958"/>
    <w:rsid w:val="00283AD3"/>
    <w:rsid w:val="00283E59"/>
    <w:rsid w:val="00284073"/>
    <w:rsid w:val="00285C78"/>
    <w:rsid w:val="00286494"/>
    <w:rsid w:val="00287564"/>
    <w:rsid w:val="0029145B"/>
    <w:rsid w:val="002918A2"/>
    <w:rsid w:val="00292AF5"/>
    <w:rsid w:val="00293ACC"/>
    <w:rsid w:val="00296250"/>
    <w:rsid w:val="002966A1"/>
    <w:rsid w:val="0029681D"/>
    <w:rsid w:val="00297424"/>
    <w:rsid w:val="002A0491"/>
    <w:rsid w:val="002A0614"/>
    <w:rsid w:val="002A1963"/>
    <w:rsid w:val="002A1DE3"/>
    <w:rsid w:val="002A2305"/>
    <w:rsid w:val="002A6225"/>
    <w:rsid w:val="002A6C7D"/>
    <w:rsid w:val="002B00A8"/>
    <w:rsid w:val="002B14D6"/>
    <w:rsid w:val="002B17E2"/>
    <w:rsid w:val="002B1A00"/>
    <w:rsid w:val="002B1B6F"/>
    <w:rsid w:val="002B1D51"/>
    <w:rsid w:val="002B2C0D"/>
    <w:rsid w:val="002B3114"/>
    <w:rsid w:val="002B3AC0"/>
    <w:rsid w:val="002B7493"/>
    <w:rsid w:val="002C079C"/>
    <w:rsid w:val="002C0F63"/>
    <w:rsid w:val="002C12AD"/>
    <w:rsid w:val="002C2858"/>
    <w:rsid w:val="002C28F4"/>
    <w:rsid w:val="002C2921"/>
    <w:rsid w:val="002C47C3"/>
    <w:rsid w:val="002C50FD"/>
    <w:rsid w:val="002C66A2"/>
    <w:rsid w:val="002C6767"/>
    <w:rsid w:val="002C6A95"/>
    <w:rsid w:val="002D1675"/>
    <w:rsid w:val="002D1C7C"/>
    <w:rsid w:val="002D221A"/>
    <w:rsid w:val="002D269E"/>
    <w:rsid w:val="002D2C7E"/>
    <w:rsid w:val="002D35A7"/>
    <w:rsid w:val="002D3A88"/>
    <w:rsid w:val="002D3B45"/>
    <w:rsid w:val="002D4CD9"/>
    <w:rsid w:val="002D6389"/>
    <w:rsid w:val="002D6A81"/>
    <w:rsid w:val="002D74C4"/>
    <w:rsid w:val="002E0173"/>
    <w:rsid w:val="002E046E"/>
    <w:rsid w:val="002E0499"/>
    <w:rsid w:val="002E134D"/>
    <w:rsid w:val="002E1671"/>
    <w:rsid w:val="002E2050"/>
    <w:rsid w:val="002E2C21"/>
    <w:rsid w:val="002E3F11"/>
    <w:rsid w:val="002E43B6"/>
    <w:rsid w:val="002E5F11"/>
    <w:rsid w:val="002E6027"/>
    <w:rsid w:val="002E61F7"/>
    <w:rsid w:val="002E620C"/>
    <w:rsid w:val="002E674C"/>
    <w:rsid w:val="002E6935"/>
    <w:rsid w:val="002F1E33"/>
    <w:rsid w:val="002F2ACB"/>
    <w:rsid w:val="002F4389"/>
    <w:rsid w:val="002F4628"/>
    <w:rsid w:val="002F5508"/>
    <w:rsid w:val="002F6644"/>
    <w:rsid w:val="002F7DC9"/>
    <w:rsid w:val="00300303"/>
    <w:rsid w:val="00300669"/>
    <w:rsid w:val="0030085C"/>
    <w:rsid w:val="00302117"/>
    <w:rsid w:val="003029C9"/>
    <w:rsid w:val="00303843"/>
    <w:rsid w:val="003046AA"/>
    <w:rsid w:val="00304F82"/>
    <w:rsid w:val="003050C8"/>
    <w:rsid w:val="00306C34"/>
    <w:rsid w:val="00306C50"/>
    <w:rsid w:val="003072CC"/>
    <w:rsid w:val="00307BA6"/>
    <w:rsid w:val="00310BD3"/>
    <w:rsid w:val="00311C45"/>
    <w:rsid w:val="00314948"/>
    <w:rsid w:val="0031496E"/>
    <w:rsid w:val="003152F5"/>
    <w:rsid w:val="0031590E"/>
    <w:rsid w:val="00316166"/>
    <w:rsid w:val="00317F93"/>
    <w:rsid w:val="0032053D"/>
    <w:rsid w:val="00322113"/>
    <w:rsid w:val="0032244D"/>
    <w:rsid w:val="00322CBA"/>
    <w:rsid w:val="00324DF9"/>
    <w:rsid w:val="00325463"/>
    <w:rsid w:val="00325E22"/>
    <w:rsid w:val="00325F7A"/>
    <w:rsid w:val="00326277"/>
    <w:rsid w:val="003265D1"/>
    <w:rsid w:val="00330D0E"/>
    <w:rsid w:val="00331100"/>
    <w:rsid w:val="00331920"/>
    <w:rsid w:val="00331B47"/>
    <w:rsid w:val="00331D4E"/>
    <w:rsid w:val="0033219C"/>
    <w:rsid w:val="00333030"/>
    <w:rsid w:val="003343CA"/>
    <w:rsid w:val="003343F6"/>
    <w:rsid w:val="00334F47"/>
    <w:rsid w:val="00335814"/>
    <w:rsid w:val="00336668"/>
    <w:rsid w:val="003368A3"/>
    <w:rsid w:val="003368E2"/>
    <w:rsid w:val="00340030"/>
    <w:rsid w:val="003400E9"/>
    <w:rsid w:val="00340246"/>
    <w:rsid w:val="00340877"/>
    <w:rsid w:val="0034198D"/>
    <w:rsid w:val="003433FA"/>
    <w:rsid w:val="00344871"/>
    <w:rsid w:val="00344C0B"/>
    <w:rsid w:val="0034574F"/>
    <w:rsid w:val="00345B1B"/>
    <w:rsid w:val="00345F40"/>
    <w:rsid w:val="00346755"/>
    <w:rsid w:val="00346DCB"/>
    <w:rsid w:val="003472A7"/>
    <w:rsid w:val="00347397"/>
    <w:rsid w:val="00347B2E"/>
    <w:rsid w:val="00350FB9"/>
    <w:rsid w:val="00351FA1"/>
    <w:rsid w:val="003525FE"/>
    <w:rsid w:val="00353C49"/>
    <w:rsid w:val="00353E9D"/>
    <w:rsid w:val="00354757"/>
    <w:rsid w:val="00354E1C"/>
    <w:rsid w:val="0035519A"/>
    <w:rsid w:val="003563C1"/>
    <w:rsid w:val="00356443"/>
    <w:rsid w:val="00356923"/>
    <w:rsid w:val="00361043"/>
    <w:rsid w:val="00361434"/>
    <w:rsid w:val="003617C1"/>
    <w:rsid w:val="00361B43"/>
    <w:rsid w:val="00362113"/>
    <w:rsid w:val="003623B1"/>
    <w:rsid w:val="00362EF6"/>
    <w:rsid w:val="00362FAD"/>
    <w:rsid w:val="0036323E"/>
    <w:rsid w:val="00363FF2"/>
    <w:rsid w:val="00364684"/>
    <w:rsid w:val="003649AC"/>
    <w:rsid w:val="0036648F"/>
    <w:rsid w:val="00367FB3"/>
    <w:rsid w:val="00372966"/>
    <w:rsid w:val="00373276"/>
    <w:rsid w:val="003743EE"/>
    <w:rsid w:val="003748D3"/>
    <w:rsid w:val="00374A54"/>
    <w:rsid w:val="00374F7A"/>
    <w:rsid w:val="0037518D"/>
    <w:rsid w:val="00375FA7"/>
    <w:rsid w:val="0038136A"/>
    <w:rsid w:val="003814E3"/>
    <w:rsid w:val="00381DF2"/>
    <w:rsid w:val="003832D9"/>
    <w:rsid w:val="00383A33"/>
    <w:rsid w:val="00383C71"/>
    <w:rsid w:val="003840F4"/>
    <w:rsid w:val="003852EC"/>
    <w:rsid w:val="003863C9"/>
    <w:rsid w:val="00386642"/>
    <w:rsid w:val="0038698F"/>
    <w:rsid w:val="0038780D"/>
    <w:rsid w:val="00387D1E"/>
    <w:rsid w:val="003903D7"/>
    <w:rsid w:val="00393FC0"/>
    <w:rsid w:val="00395469"/>
    <w:rsid w:val="00395EDF"/>
    <w:rsid w:val="00396AB9"/>
    <w:rsid w:val="0039768C"/>
    <w:rsid w:val="003A0779"/>
    <w:rsid w:val="003A07BF"/>
    <w:rsid w:val="003A0DB7"/>
    <w:rsid w:val="003A1EA5"/>
    <w:rsid w:val="003A2EB7"/>
    <w:rsid w:val="003A32FD"/>
    <w:rsid w:val="003A36F4"/>
    <w:rsid w:val="003A3FC5"/>
    <w:rsid w:val="003A4346"/>
    <w:rsid w:val="003A4767"/>
    <w:rsid w:val="003A5530"/>
    <w:rsid w:val="003A558C"/>
    <w:rsid w:val="003A5D05"/>
    <w:rsid w:val="003A64A6"/>
    <w:rsid w:val="003A65C6"/>
    <w:rsid w:val="003A6F0A"/>
    <w:rsid w:val="003A78A9"/>
    <w:rsid w:val="003B023F"/>
    <w:rsid w:val="003B1D2A"/>
    <w:rsid w:val="003B26ED"/>
    <w:rsid w:val="003B30F3"/>
    <w:rsid w:val="003B4544"/>
    <w:rsid w:val="003B5341"/>
    <w:rsid w:val="003B5BE1"/>
    <w:rsid w:val="003B5EF6"/>
    <w:rsid w:val="003B6214"/>
    <w:rsid w:val="003B6421"/>
    <w:rsid w:val="003B6638"/>
    <w:rsid w:val="003B694F"/>
    <w:rsid w:val="003B6F75"/>
    <w:rsid w:val="003B7230"/>
    <w:rsid w:val="003C0BCF"/>
    <w:rsid w:val="003C14FD"/>
    <w:rsid w:val="003C1D26"/>
    <w:rsid w:val="003C2504"/>
    <w:rsid w:val="003C2D72"/>
    <w:rsid w:val="003C3535"/>
    <w:rsid w:val="003C450D"/>
    <w:rsid w:val="003C50D0"/>
    <w:rsid w:val="003C5EF1"/>
    <w:rsid w:val="003C6559"/>
    <w:rsid w:val="003C6DAF"/>
    <w:rsid w:val="003D04DA"/>
    <w:rsid w:val="003D06C8"/>
    <w:rsid w:val="003D07C4"/>
    <w:rsid w:val="003D1AE2"/>
    <w:rsid w:val="003D2C21"/>
    <w:rsid w:val="003D2C4B"/>
    <w:rsid w:val="003D3927"/>
    <w:rsid w:val="003D5B63"/>
    <w:rsid w:val="003D5BD6"/>
    <w:rsid w:val="003D6011"/>
    <w:rsid w:val="003D6F96"/>
    <w:rsid w:val="003D7BD0"/>
    <w:rsid w:val="003E0825"/>
    <w:rsid w:val="003E0E4C"/>
    <w:rsid w:val="003E200A"/>
    <w:rsid w:val="003E2AD1"/>
    <w:rsid w:val="003E36EC"/>
    <w:rsid w:val="003E4BA1"/>
    <w:rsid w:val="003E5275"/>
    <w:rsid w:val="003E5CB1"/>
    <w:rsid w:val="003E6270"/>
    <w:rsid w:val="003E6D85"/>
    <w:rsid w:val="003E7003"/>
    <w:rsid w:val="003E79C6"/>
    <w:rsid w:val="003E7EED"/>
    <w:rsid w:val="003F012B"/>
    <w:rsid w:val="003F1EBE"/>
    <w:rsid w:val="003F2B53"/>
    <w:rsid w:val="003F2F66"/>
    <w:rsid w:val="003F58FF"/>
    <w:rsid w:val="003F664B"/>
    <w:rsid w:val="003F6977"/>
    <w:rsid w:val="004009AE"/>
    <w:rsid w:val="004016AD"/>
    <w:rsid w:val="00401B30"/>
    <w:rsid w:val="004024B5"/>
    <w:rsid w:val="00402797"/>
    <w:rsid w:val="00402B61"/>
    <w:rsid w:val="004030AC"/>
    <w:rsid w:val="00403291"/>
    <w:rsid w:val="00403B86"/>
    <w:rsid w:val="00404AEB"/>
    <w:rsid w:val="00404D1E"/>
    <w:rsid w:val="00407CCC"/>
    <w:rsid w:val="004100E9"/>
    <w:rsid w:val="00410D0E"/>
    <w:rsid w:val="00414A15"/>
    <w:rsid w:val="0041541F"/>
    <w:rsid w:val="00416F51"/>
    <w:rsid w:val="004179AE"/>
    <w:rsid w:val="004200CE"/>
    <w:rsid w:val="0042056B"/>
    <w:rsid w:val="00424709"/>
    <w:rsid w:val="0042576B"/>
    <w:rsid w:val="004262D5"/>
    <w:rsid w:val="004263D4"/>
    <w:rsid w:val="004271B6"/>
    <w:rsid w:val="004277E5"/>
    <w:rsid w:val="00431572"/>
    <w:rsid w:val="00434BD5"/>
    <w:rsid w:val="004362F0"/>
    <w:rsid w:val="00436A9E"/>
    <w:rsid w:val="004408D7"/>
    <w:rsid w:val="004411C3"/>
    <w:rsid w:val="00441CED"/>
    <w:rsid w:val="004437A8"/>
    <w:rsid w:val="00444C81"/>
    <w:rsid w:val="004453E9"/>
    <w:rsid w:val="00445E0D"/>
    <w:rsid w:val="004522B4"/>
    <w:rsid w:val="00452C14"/>
    <w:rsid w:val="00453A23"/>
    <w:rsid w:val="00453B73"/>
    <w:rsid w:val="0045481C"/>
    <w:rsid w:val="00454EFD"/>
    <w:rsid w:val="00454F03"/>
    <w:rsid w:val="004571AA"/>
    <w:rsid w:val="00457AE7"/>
    <w:rsid w:val="00457B61"/>
    <w:rsid w:val="00457DBE"/>
    <w:rsid w:val="00457F31"/>
    <w:rsid w:val="00460537"/>
    <w:rsid w:val="004633D4"/>
    <w:rsid w:val="004636A0"/>
    <w:rsid w:val="00466CC6"/>
    <w:rsid w:val="00466F8F"/>
    <w:rsid w:val="00467A9A"/>
    <w:rsid w:val="00472243"/>
    <w:rsid w:val="00472C1A"/>
    <w:rsid w:val="00472F76"/>
    <w:rsid w:val="004730EC"/>
    <w:rsid w:val="0047361D"/>
    <w:rsid w:val="004736A1"/>
    <w:rsid w:val="00474D99"/>
    <w:rsid w:val="004769BC"/>
    <w:rsid w:val="00480714"/>
    <w:rsid w:val="00481965"/>
    <w:rsid w:val="0048209B"/>
    <w:rsid w:val="00482E49"/>
    <w:rsid w:val="0048328D"/>
    <w:rsid w:val="0048363C"/>
    <w:rsid w:val="00483766"/>
    <w:rsid w:val="004847B2"/>
    <w:rsid w:val="00484868"/>
    <w:rsid w:val="0048496C"/>
    <w:rsid w:val="00484F1B"/>
    <w:rsid w:val="00485522"/>
    <w:rsid w:val="00486F0A"/>
    <w:rsid w:val="00490691"/>
    <w:rsid w:val="00490D29"/>
    <w:rsid w:val="00493B9B"/>
    <w:rsid w:val="00493EB0"/>
    <w:rsid w:val="00495BB5"/>
    <w:rsid w:val="00495F5B"/>
    <w:rsid w:val="004A111E"/>
    <w:rsid w:val="004A2760"/>
    <w:rsid w:val="004A2F8C"/>
    <w:rsid w:val="004A400F"/>
    <w:rsid w:val="004A4509"/>
    <w:rsid w:val="004A5958"/>
    <w:rsid w:val="004A5CAA"/>
    <w:rsid w:val="004A7755"/>
    <w:rsid w:val="004A7825"/>
    <w:rsid w:val="004B01F3"/>
    <w:rsid w:val="004B0D32"/>
    <w:rsid w:val="004B0F11"/>
    <w:rsid w:val="004B2599"/>
    <w:rsid w:val="004B3404"/>
    <w:rsid w:val="004B405F"/>
    <w:rsid w:val="004B44F4"/>
    <w:rsid w:val="004B5FCE"/>
    <w:rsid w:val="004B62B5"/>
    <w:rsid w:val="004B67BB"/>
    <w:rsid w:val="004B6FF9"/>
    <w:rsid w:val="004C0831"/>
    <w:rsid w:val="004C1903"/>
    <w:rsid w:val="004C38F3"/>
    <w:rsid w:val="004C3EDB"/>
    <w:rsid w:val="004C40D8"/>
    <w:rsid w:val="004C4957"/>
    <w:rsid w:val="004C5D2B"/>
    <w:rsid w:val="004C6152"/>
    <w:rsid w:val="004C67B6"/>
    <w:rsid w:val="004C7C5C"/>
    <w:rsid w:val="004D106F"/>
    <w:rsid w:val="004D14D6"/>
    <w:rsid w:val="004D1941"/>
    <w:rsid w:val="004D5DDE"/>
    <w:rsid w:val="004E021A"/>
    <w:rsid w:val="004E09D0"/>
    <w:rsid w:val="004E1835"/>
    <w:rsid w:val="004E1BC5"/>
    <w:rsid w:val="004E215B"/>
    <w:rsid w:val="004E218D"/>
    <w:rsid w:val="004E2BE6"/>
    <w:rsid w:val="004E3809"/>
    <w:rsid w:val="004E4FD9"/>
    <w:rsid w:val="004E5898"/>
    <w:rsid w:val="004E5D01"/>
    <w:rsid w:val="004E5D0F"/>
    <w:rsid w:val="004E72AE"/>
    <w:rsid w:val="004E7892"/>
    <w:rsid w:val="004E7B36"/>
    <w:rsid w:val="004F0990"/>
    <w:rsid w:val="004F2A7B"/>
    <w:rsid w:val="004F783B"/>
    <w:rsid w:val="004F7840"/>
    <w:rsid w:val="004F7CE0"/>
    <w:rsid w:val="00502FB6"/>
    <w:rsid w:val="0050316C"/>
    <w:rsid w:val="00503CCA"/>
    <w:rsid w:val="00504B2F"/>
    <w:rsid w:val="00505616"/>
    <w:rsid w:val="0050678B"/>
    <w:rsid w:val="005071F3"/>
    <w:rsid w:val="0050766E"/>
    <w:rsid w:val="00507832"/>
    <w:rsid w:val="00510D9C"/>
    <w:rsid w:val="005111F8"/>
    <w:rsid w:val="0051152C"/>
    <w:rsid w:val="00511E0E"/>
    <w:rsid w:val="00512A5C"/>
    <w:rsid w:val="00512D98"/>
    <w:rsid w:val="0051325F"/>
    <w:rsid w:val="00513BA5"/>
    <w:rsid w:val="00514466"/>
    <w:rsid w:val="00514726"/>
    <w:rsid w:val="00514B5F"/>
    <w:rsid w:val="00515701"/>
    <w:rsid w:val="0051792C"/>
    <w:rsid w:val="0052014F"/>
    <w:rsid w:val="00520F8C"/>
    <w:rsid w:val="005214C9"/>
    <w:rsid w:val="00522727"/>
    <w:rsid w:val="00522BA0"/>
    <w:rsid w:val="00523B75"/>
    <w:rsid w:val="00525DEE"/>
    <w:rsid w:val="00526086"/>
    <w:rsid w:val="00526174"/>
    <w:rsid w:val="00530A1F"/>
    <w:rsid w:val="00530E68"/>
    <w:rsid w:val="00531A30"/>
    <w:rsid w:val="00532330"/>
    <w:rsid w:val="005326E2"/>
    <w:rsid w:val="005341E2"/>
    <w:rsid w:val="005354F9"/>
    <w:rsid w:val="005359AC"/>
    <w:rsid w:val="00535D18"/>
    <w:rsid w:val="0053676F"/>
    <w:rsid w:val="00536EDA"/>
    <w:rsid w:val="00537EE6"/>
    <w:rsid w:val="005406BA"/>
    <w:rsid w:val="0054123B"/>
    <w:rsid w:val="005415C8"/>
    <w:rsid w:val="0054220C"/>
    <w:rsid w:val="005440C1"/>
    <w:rsid w:val="00544238"/>
    <w:rsid w:val="00545EF8"/>
    <w:rsid w:val="00546172"/>
    <w:rsid w:val="0054674E"/>
    <w:rsid w:val="00547654"/>
    <w:rsid w:val="00550099"/>
    <w:rsid w:val="00550D90"/>
    <w:rsid w:val="00551513"/>
    <w:rsid w:val="00551A9F"/>
    <w:rsid w:val="00551CD3"/>
    <w:rsid w:val="00552923"/>
    <w:rsid w:val="005576EC"/>
    <w:rsid w:val="00557BF1"/>
    <w:rsid w:val="00560703"/>
    <w:rsid w:val="005609B6"/>
    <w:rsid w:val="00562FEF"/>
    <w:rsid w:val="005635F4"/>
    <w:rsid w:val="00563902"/>
    <w:rsid w:val="00564068"/>
    <w:rsid w:val="005646D7"/>
    <w:rsid w:val="0056704D"/>
    <w:rsid w:val="00567952"/>
    <w:rsid w:val="00567C95"/>
    <w:rsid w:val="00567D8D"/>
    <w:rsid w:val="00567FA1"/>
    <w:rsid w:val="005715D8"/>
    <w:rsid w:val="005719D5"/>
    <w:rsid w:val="005729EA"/>
    <w:rsid w:val="00572F06"/>
    <w:rsid w:val="00573B7F"/>
    <w:rsid w:val="0057401E"/>
    <w:rsid w:val="005746E9"/>
    <w:rsid w:val="00574B7C"/>
    <w:rsid w:val="00574C56"/>
    <w:rsid w:val="0057614F"/>
    <w:rsid w:val="0057694A"/>
    <w:rsid w:val="00577FE3"/>
    <w:rsid w:val="005800D8"/>
    <w:rsid w:val="0058057B"/>
    <w:rsid w:val="005816C2"/>
    <w:rsid w:val="00581DA0"/>
    <w:rsid w:val="0058232C"/>
    <w:rsid w:val="00584D51"/>
    <w:rsid w:val="005854D9"/>
    <w:rsid w:val="00585ED4"/>
    <w:rsid w:val="0058648A"/>
    <w:rsid w:val="00586F02"/>
    <w:rsid w:val="00590457"/>
    <w:rsid w:val="00591572"/>
    <w:rsid w:val="00593146"/>
    <w:rsid w:val="00595145"/>
    <w:rsid w:val="00595402"/>
    <w:rsid w:val="005959C7"/>
    <w:rsid w:val="00596011"/>
    <w:rsid w:val="0059665C"/>
    <w:rsid w:val="0059732E"/>
    <w:rsid w:val="005A01B2"/>
    <w:rsid w:val="005A2B00"/>
    <w:rsid w:val="005A48B8"/>
    <w:rsid w:val="005A4F36"/>
    <w:rsid w:val="005A72DD"/>
    <w:rsid w:val="005A7AA6"/>
    <w:rsid w:val="005B2008"/>
    <w:rsid w:val="005B205E"/>
    <w:rsid w:val="005B21E2"/>
    <w:rsid w:val="005B3158"/>
    <w:rsid w:val="005B4474"/>
    <w:rsid w:val="005B4516"/>
    <w:rsid w:val="005B4CEA"/>
    <w:rsid w:val="005B67ED"/>
    <w:rsid w:val="005B72AC"/>
    <w:rsid w:val="005B7900"/>
    <w:rsid w:val="005B7A69"/>
    <w:rsid w:val="005C0637"/>
    <w:rsid w:val="005C2678"/>
    <w:rsid w:val="005C2A5A"/>
    <w:rsid w:val="005C30D4"/>
    <w:rsid w:val="005C40CE"/>
    <w:rsid w:val="005C7733"/>
    <w:rsid w:val="005D0018"/>
    <w:rsid w:val="005D250F"/>
    <w:rsid w:val="005D34EC"/>
    <w:rsid w:val="005D364B"/>
    <w:rsid w:val="005D4042"/>
    <w:rsid w:val="005D47FA"/>
    <w:rsid w:val="005D4E8C"/>
    <w:rsid w:val="005D4F7D"/>
    <w:rsid w:val="005D4FDE"/>
    <w:rsid w:val="005D7256"/>
    <w:rsid w:val="005D75D0"/>
    <w:rsid w:val="005E05EB"/>
    <w:rsid w:val="005E0657"/>
    <w:rsid w:val="005E141D"/>
    <w:rsid w:val="005E216A"/>
    <w:rsid w:val="005E3D9F"/>
    <w:rsid w:val="005E40B9"/>
    <w:rsid w:val="005E4C76"/>
    <w:rsid w:val="005E7EDA"/>
    <w:rsid w:val="005F1945"/>
    <w:rsid w:val="005F1A89"/>
    <w:rsid w:val="005F47D8"/>
    <w:rsid w:val="005F77B4"/>
    <w:rsid w:val="006003B2"/>
    <w:rsid w:val="00600D18"/>
    <w:rsid w:val="00600E02"/>
    <w:rsid w:val="006020E8"/>
    <w:rsid w:val="00602E4E"/>
    <w:rsid w:val="00603106"/>
    <w:rsid w:val="006045F0"/>
    <w:rsid w:val="006106BA"/>
    <w:rsid w:val="006113AC"/>
    <w:rsid w:val="00611BBF"/>
    <w:rsid w:val="006141D6"/>
    <w:rsid w:val="00615BB4"/>
    <w:rsid w:val="0061603C"/>
    <w:rsid w:val="006168A4"/>
    <w:rsid w:val="00622170"/>
    <w:rsid w:val="00622396"/>
    <w:rsid w:val="00624A1C"/>
    <w:rsid w:val="00624D02"/>
    <w:rsid w:val="00624EEA"/>
    <w:rsid w:val="00625208"/>
    <w:rsid w:val="00626F46"/>
    <w:rsid w:val="006272D0"/>
    <w:rsid w:val="00630151"/>
    <w:rsid w:val="0063038A"/>
    <w:rsid w:val="006316BD"/>
    <w:rsid w:val="00631CAC"/>
    <w:rsid w:val="00632226"/>
    <w:rsid w:val="00632B02"/>
    <w:rsid w:val="00632C4F"/>
    <w:rsid w:val="00634F84"/>
    <w:rsid w:val="00634FE7"/>
    <w:rsid w:val="00635854"/>
    <w:rsid w:val="00635B61"/>
    <w:rsid w:val="006365FF"/>
    <w:rsid w:val="0063675E"/>
    <w:rsid w:val="00637D3F"/>
    <w:rsid w:val="00637D76"/>
    <w:rsid w:val="00640EAA"/>
    <w:rsid w:val="00641135"/>
    <w:rsid w:val="00641198"/>
    <w:rsid w:val="00641F32"/>
    <w:rsid w:val="0064263A"/>
    <w:rsid w:val="00642B93"/>
    <w:rsid w:val="00644983"/>
    <w:rsid w:val="0064498D"/>
    <w:rsid w:val="006472F4"/>
    <w:rsid w:val="006475F0"/>
    <w:rsid w:val="00650C92"/>
    <w:rsid w:val="006520A7"/>
    <w:rsid w:val="00653DFB"/>
    <w:rsid w:val="006549F4"/>
    <w:rsid w:val="00654CCE"/>
    <w:rsid w:val="0065504B"/>
    <w:rsid w:val="006550AE"/>
    <w:rsid w:val="0065556C"/>
    <w:rsid w:val="006557D7"/>
    <w:rsid w:val="00655B5D"/>
    <w:rsid w:val="0065677C"/>
    <w:rsid w:val="006606A3"/>
    <w:rsid w:val="00660993"/>
    <w:rsid w:val="006614C4"/>
    <w:rsid w:val="00661DE5"/>
    <w:rsid w:val="00662578"/>
    <w:rsid w:val="0066259D"/>
    <w:rsid w:val="006629C4"/>
    <w:rsid w:val="006635BB"/>
    <w:rsid w:val="00663A8D"/>
    <w:rsid w:val="0066537F"/>
    <w:rsid w:val="00665AC7"/>
    <w:rsid w:val="00667A1F"/>
    <w:rsid w:val="0067037C"/>
    <w:rsid w:val="00670600"/>
    <w:rsid w:val="0067093B"/>
    <w:rsid w:val="00671666"/>
    <w:rsid w:val="00672014"/>
    <w:rsid w:val="0067261C"/>
    <w:rsid w:val="006726B9"/>
    <w:rsid w:val="0067329F"/>
    <w:rsid w:val="006733A8"/>
    <w:rsid w:val="0067350A"/>
    <w:rsid w:val="00673674"/>
    <w:rsid w:val="00673738"/>
    <w:rsid w:val="00674658"/>
    <w:rsid w:val="00674B18"/>
    <w:rsid w:val="00675BF4"/>
    <w:rsid w:val="0067766A"/>
    <w:rsid w:val="00677E9C"/>
    <w:rsid w:val="006824CF"/>
    <w:rsid w:val="00683332"/>
    <w:rsid w:val="0068340D"/>
    <w:rsid w:val="00683AA3"/>
    <w:rsid w:val="00683E53"/>
    <w:rsid w:val="006842A1"/>
    <w:rsid w:val="006867D7"/>
    <w:rsid w:val="00686968"/>
    <w:rsid w:val="006877BD"/>
    <w:rsid w:val="006877E7"/>
    <w:rsid w:val="00687AC8"/>
    <w:rsid w:val="00691533"/>
    <w:rsid w:val="00692AB7"/>
    <w:rsid w:val="00692BF2"/>
    <w:rsid w:val="00692D2E"/>
    <w:rsid w:val="00695882"/>
    <w:rsid w:val="00696585"/>
    <w:rsid w:val="00697174"/>
    <w:rsid w:val="0069790E"/>
    <w:rsid w:val="006A1D5C"/>
    <w:rsid w:val="006A2564"/>
    <w:rsid w:val="006A3456"/>
    <w:rsid w:val="006A43A4"/>
    <w:rsid w:val="006A60AB"/>
    <w:rsid w:val="006A619C"/>
    <w:rsid w:val="006A6839"/>
    <w:rsid w:val="006A6A42"/>
    <w:rsid w:val="006A6FD0"/>
    <w:rsid w:val="006B080E"/>
    <w:rsid w:val="006B0C02"/>
    <w:rsid w:val="006B124E"/>
    <w:rsid w:val="006B35F0"/>
    <w:rsid w:val="006B6187"/>
    <w:rsid w:val="006B6840"/>
    <w:rsid w:val="006B685D"/>
    <w:rsid w:val="006C18BE"/>
    <w:rsid w:val="006C1FF6"/>
    <w:rsid w:val="006C25CD"/>
    <w:rsid w:val="006C282A"/>
    <w:rsid w:val="006C312B"/>
    <w:rsid w:val="006C31AA"/>
    <w:rsid w:val="006C34E5"/>
    <w:rsid w:val="006C4FD6"/>
    <w:rsid w:val="006C6461"/>
    <w:rsid w:val="006C67AB"/>
    <w:rsid w:val="006D2212"/>
    <w:rsid w:val="006D298F"/>
    <w:rsid w:val="006D36D0"/>
    <w:rsid w:val="006D4529"/>
    <w:rsid w:val="006D51EF"/>
    <w:rsid w:val="006D550A"/>
    <w:rsid w:val="006D5DD8"/>
    <w:rsid w:val="006D7E80"/>
    <w:rsid w:val="006D7FF3"/>
    <w:rsid w:val="006E0134"/>
    <w:rsid w:val="006E077A"/>
    <w:rsid w:val="006E174B"/>
    <w:rsid w:val="006E1C6B"/>
    <w:rsid w:val="006E20F9"/>
    <w:rsid w:val="006E2837"/>
    <w:rsid w:val="006E3B0D"/>
    <w:rsid w:val="006E41F3"/>
    <w:rsid w:val="006E46C0"/>
    <w:rsid w:val="006E4D71"/>
    <w:rsid w:val="006E4FC0"/>
    <w:rsid w:val="006E5277"/>
    <w:rsid w:val="006E57BC"/>
    <w:rsid w:val="006E6868"/>
    <w:rsid w:val="006E728E"/>
    <w:rsid w:val="006E7A5F"/>
    <w:rsid w:val="006F3803"/>
    <w:rsid w:val="006F3D4C"/>
    <w:rsid w:val="006F493A"/>
    <w:rsid w:val="006F4A05"/>
    <w:rsid w:val="006F4D3C"/>
    <w:rsid w:val="006F504D"/>
    <w:rsid w:val="006F5554"/>
    <w:rsid w:val="006F56B8"/>
    <w:rsid w:val="006F64A2"/>
    <w:rsid w:val="0070361F"/>
    <w:rsid w:val="0070460D"/>
    <w:rsid w:val="00704843"/>
    <w:rsid w:val="007048BD"/>
    <w:rsid w:val="00704AB9"/>
    <w:rsid w:val="007050EC"/>
    <w:rsid w:val="007060C6"/>
    <w:rsid w:val="00707143"/>
    <w:rsid w:val="00707403"/>
    <w:rsid w:val="00707C97"/>
    <w:rsid w:val="00710C4B"/>
    <w:rsid w:val="007110C2"/>
    <w:rsid w:val="007112FE"/>
    <w:rsid w:val="007115F7"/>
    <w:rsid w:val="00711EAE"/>
    <w:rsid w:val="00712328"/>
    <w:rsid w:val="00712B4F"/>
    <w:rsid w:val="00714FD7"/>
    <w:rsid w:val="007152E7"/>
    <w:rsid w:val="007153D7"/>
    <w:rsid w:val="00715666"/>
    <w:rsid w:val="00715A4E"/>
    <w:rsid w:val="00716E78"/>
    <w:rsid w:val="0071765D"/>
    <w:rsid w:val="00723D2F"/>
    <w:rsid w:val="00723ECE"/>
    <w:rsid w:val="00725F3E"/>
    <w:rsid w:val="00726508"/>
    <w:rsid w:val="00726AFF"/>
    <w:rsid w:val="0072734B"/>
    <w:rsid w:val="0072776E"/>
    <w:rsid w:val="007278F2"/>
    <w:rsid w:val="00727BD0"/>
    <w:rsid w:val="00731134"/>
    <w:rsid w:val="00731211"/>
    <w:rsid w:val="00731463"/>
    <w:rsid w:val="007325C3"/>
    <w:rsid w:val="0073326F"/>
    <w:rsid w:val="00733766"/>
    <w:rsid w:val="0073477E"/>
    <w:rsid w:val="00734B4C"/>
    <w:rsid w:val="00735418"/>
    <w:rsid w:val="00735503"/>
    <w:rsid w:val="00735979"/>
    <w:rsid w:val="007363DC"/>
    <w:rsid w:val="00737EC9"/>
    <w:rsid w:val="00740321"/>
    <w:rsid w:val="00741019"/>
    <w:rsid w:val="007424FB"/>
    <w:rsid w:val="0074314D"/>
    <w:rsid w:val="00743885"/>
    <w:rsid w:val="00743CDB"/>
    <w:rsid w:val="00744356"/>
    <w:rsid w:val="00744849"/>
    <w:rsid w:val="00745396"/>
    <w:rsid w:val="00745510"/>
    <w:rsid w:val="00745AB4"/>
    <w:rsid w:val="00745DD4"/>
    <w:rsid w:val="007470B5"/>
    <w:rsid w:val="007470E1"/>
    <w:rsid w:val="007479D6"/>
    <w:rsid w:val="00750A87"/>
    <w:rsid w:val="00752D0E"/>
    <w:rsid w:val="007542B8"/>
    <w:rsid w:val="00754719"/>
    <w:rsid w:val="00754CC7"/>
    <w:rsid w:val="00755564"/>
    <w:rsid w:val="00756268"/>
    <w:rsid w:val="00756438"/>
    <w:rsid w:val="00757050"/>
    <w:rsid w:val="00757E63"/>
    <w:rsid w:val="007600A0"/>
    <w:rsid w:val="0076219B"/>
    <w:rsid w:val="00762AC6"/>
    <w:rsid w:val="00763F04"/>
    <w:rsid w:val="00765619"/>
    <w:rsid w:val="007678A2"/>
    <w:rsid w:val="00770420"/>
    <w:rsid w:val="0077103F"/>
    <w:rsid w:val="007725B7"/>
    <w:rsid w:val="00772E5F"/>
    <w:rsid w:val="007765EC"/>
    <w:rsid w:val="00777EA4"/>
    <w:rsid w:val="00777FED"/>
    <w:rsid w:val="007801C6"/>
    <w:rsid w:val="00780B3C"/>
    <w:rsid w:val="00781088"/>
    <w:rsid w:val="00781BFC"/>
    <w:rsid w:val="00781C0D"/>
    <w:rsid w:val="00782257"/>
    <w:rsid w:val="00783C13"/>
    <w:rsid w:val="00783FB2"/>
    <w:rsid w:val="00785647"/>
    <w:rsid w:val="00785772"/>
    <w:rsid w:val="0078649E"/>
    <w:rsid w:val="0078672F"/>
    <w:rsid w:val="00787322"/>
    <w:rsid w:val="00787DBC"/>
    <w:rsid w:val="00790B4B"/>
    <w:rsid w:val="00791577"/>
    <w:rsid w:val="00792AD9"/>
    <w:rsid w:val="0079362D"/>
    <w:rsid w:val="00793905"/>
    <w:rsid w:val="00797672"/>
    <w:rsid w:val="00797F4A"/>
    <w:rsid w:val="007A2AF2"/>
    <w:rsid w:val="007A2CDE"/>
    <w:rsid w:val="007A400F"/>
    <w:rsid w:val="007A5D33"/>
    <w:rsid w:val="007A68E0"/>
    <w:rsid w:val="007A7ADA"/>
    <w:rsid w:val="007B037A"/>
    <w:rsid w:val="007B06C7"/>
    <w:rsid w:val="007B1B20"/>
    <w:rsid w:val="007B231A"/>
    <w:rsid w:val="007B25BE"/>
    <w:rsid w:val="007B4792"/>
    <w:rsid w:val="007B4F99"/>
    <w:rsid w:val="007B7FF3"/>
    <w:rsid w:val="007C0908"/>
    <w:rsid w:val="007C13E7"/>
    <w:rsid w:val="007C197B"/>
    <w:rsid w:val="007C1EBF"/>
    <w:rsid w:val="007C22C9"/>
    <w:rsid w:val="007C27A8"/>
    <w:rsid w:val="007C28D5"/>
    <w:rsid w:val="007C30F8"/>
    <w:rsid w:val="007C3802"/>
    <w:rsid w:val="007C3FB4"/>
    <w:rsid w:val="007C416C"/>
    <w:rsid w:val="007C44A2"/>
    <w:rsid w:val="007C4795"/>
    <w:rsid w:val="007C4E48"/>
    <w:rsid w:val="007C5808"/>
    <w:rsid w:val="007D0FEC"/>
    <w:rsid w:val="007D28F5"/>
    <w:rsid w:val="007D2F57"/>
    <w:rsid w:val="007D3A8B"/>
    <w:rsid w:val="007D5BA0"/>
    <w:rsid w:val="007D6357"/>
    <w:rsid w:val="007D78E9"/>
    <w:rsid w:val="007E10B6"/>
    <w:rsid w:val="007E163C"/>
    <w:rsid w:val="007E396A"/>
    <w:rsid w:val="007E39BB"/>
    <w:rsid w:val="007E55D6"/>
    <w:rsid w:val="007E580B"/>
    <w:rsid w:val="007E6B6A"/>
    <w:rsid w:val="007F10BF"/>
    <w:rsid w:val="007F164A"/>
    <w:rsid w:val="007F1D00"/>
    <w:rsid w:val="007F2562"/>
    <w:rsid w:val="007F29BF"/>
    <w:rsid w:val="007F3637"/>
    <w:rsid w:val="007F3C22"/>
    <w:rsid w:val="007F4377"/>
    <w:rsid w:val="007F46FB"/>
    <w:rsid w:val="007F57A0"/>
    <w:rsid w:val="0080144D"/>
    <w:rsid w:val="008041D2"/>
    <w:rsid w:val="00804AA7"/>
    <w:rsid w:val="00804EE2"/>
    <w:rsid w:val="00805144"/>
    <w:rsid w:val="00805574"/>
    <w:rsid w:val="00805F4A"/>
    <w:rsid w:val="00806AEF"/>
    <w:rsid w:val="00806BA8"/>
    <w:rsid w:val="0081240D"/>
    <w:rsid w:val="00813F43"/>
    <w:rsid w:val="008169AE"/>
    <w:rsid w:val="00816C10"/>
    <w:rsid w:val="00817123"/>
    <w:rsid w:val="00817946"/>
    <w:rsid w:val="008218CC"/>
    <w:rsid w:val="00823395"/>
    <w:rsid w:val="0082378C"/>
    <w:rsid w:val="008246DD"/>
    <w:rsid w:val="008257A3"/>
    <w:rsid w:val="00827BE8"/>
    <w:rsid w:val="00827FCD"/>
    <w:rsid w:val="00830014"/>
    <w:rsid w:val="00832371"/>
    <w:rsid w:val="00832427"/>
    <w:rsid w:val="00832765"/>
    <w:rsid w:val="00832969"/>
    <w:rsid w:val="00833539"/>
    <w:rsid w:val="00833803"/>
    <w:rsid w:val="00835794"/>
    <w:rsid w:val="0083584E"/>
    <w:rsid w:val="00835D91"/>
    <w:rsid w:val="0083623B"/>
    <w:rsid w:val="00836BAA"/>
    <w:rsid w:val="00836DF6"/>
    <w:rsid w:val="0084056F"/>
    <w:rsid w:val="00843B07"/>
    <w:rsid w:val="00844716"/>
    <w:rsid w:val="008457AB"/>
    <w:rsid w:val="00845CF8"/>
    <w:rsid w:val="00847903"/>
    <w:rsid w:val="00847C8F"/>
    <w:rsid w:val="00850009"/>
    <w:rsid w:val="00850283"/>
    <w:rsid w:val="00850312"/>
    <w:rsid w:val="00850779"/>
    <w:rsid w:val="00850E04"/>
    <w:rsid w:val="00850EA8"/>
    <w:rsid w:val="00851A00"/>
    <w:rsid w:val="00852869"/>
    <w:rsid w:val="00852CB4"/>
    <w:rsid w:val="00853B59"/>
    <w:rsid w:val="00854197"/>
    <w:rsid w:val="008558D6"/>
    <w:rsid w:val="00856F4C"/>
    <w:rsid w:val="00857B4D"/>
    <w:rsid w:val="00857E27"/>
    <w:rsid w:val="008608C8"/>
    <w:rsid w:val="00860A5E"/>
    <w:rsid w:val="00862B6D"/>
    <w:rsid w:val="00862BB3"/>
    <w:rsid w:val="00862DA2"/>
    <w:rsid w:val="00863497"/>
    <w:rsid w:val="008635E6"/>
    <w:rsid w:val="008666BC"/>
    <w:rsid w:val="00867A33"/>
    <w:rsid w:val="008704E1"/>
    <w:rsid w:val="00870D66"/>
    <w:rsid w:val="00870E89"/>
    <w:rsid w:val="00871171"/>
    <w:rsid w:val="00871485"/>
    <w:rsid w:val="00871646"/>
    <w:rsid w:val="00871986"/>
    <w:rsid w:val="00871CC4"/>
    <w:rsid w:val="00873450"/>
    <w:rsid w:val="0087371E"/>
    <w:rsid w:val="00873DEB"/>
    <w:rsid w:val="008742A5"/>
    <w:rsid w:val="00874478"/>
    <w:rsid w:val="00874CFC"/>
    <w:rsid w:val="00874D13"/>
    <w:rsid w:val="00874E70"/>
    <w:rsid w:val="00875C2F"/>
    <w:rsid w:val="00877548"/>
    <w:rsid w:val="008806F8"/>
    <w:rsid w:val="00880A2A"/>
    <w:rsid w:val="0088212F"/>
    <w:rsid w:val="008830E7"/>
    <w:rsid w:val="008859D6"/>
    <w:rsid w:val="0088674C"/>
    <w:rsid w:val="00887040"/>
    <w:rsid w:val="008905C7"/>
    <w:rsid w:val="00890DC3"/>
    <w:rsid w:val="008918BC"/>
    <w:rsid w:val="00891D11"/>
    <w:rsid w:val="00893B51"/>
    <w:rsid w:val="008941F3"/>
    <w:rsid w:val="00896880"/>
    <w:rsid w:val="008A0B16"/>
    <w:rsid w:val="008A0C1D"/>
    <w:rsid w:val="008A154E"/>
    <w:rsid w:val="008A1693"/>
    <w:rsid w:val="008A186B"/>
    <w:rsid w:val="008A1A2C"/>
    <w:rsid w:val="008A28D9"/>
    <w:rsid w:val="008A2988"/>
    <w:rsid w:val="008A4A4F"/>
    <w:rsid w:val="008A5AC7"/>
    <w:rsid w:val="008A5D9B"/>
    <w:rsid w:val="008A62FF"/>
    <w:rsid w:val="008B10EA"/>
    <w:rsid w:val="008B1964"/>
    <w:rsid w:val="008B27BA"/>
    <w:rsid w:val="008B2E54"/>
    <w:rsid w:val="008B3283"/>
    <w:rsid w:val="008B359B"/>
    <w:rsid w:val="008B4120"/>
    <w:rsid w:val="008B78BB"/>
    <w:rsid w:val="008C0A46"/>
    <w:rsid w:val="008C112D"/>
    <w:rsid w:val="008C1D0E"/>
    <w:rsid w:val="008C2833"/>
    <w:rsid w:val="008C3FCD"/>
    <w:rsid w:val="008C4519"/>
    <w:rsid w:val="008C4807"/>
    <w:rsid w:val="008C5416"/>
    <w:rsid w:val="008C7FE2"/>
    <w:rsid w:val="008D115E"/>
    <w:rsid w:val="008D1B3F"/>
    <w:rsid w:val="008D1BE7"/>
    <w:rsid w:val="008D2C69"/>
    <w:rsid w:val="008D2E4E"/>
    <w:rsid w:val="008D3C62"/>
    <w:rsid w:val="008D3FDB"/>
    <w:rsid w:val="008D6AFE"/>
    <w:rsid w:val="008D6F5D"/>
    <w:rsid w:val="008D7AB0"/>
    <w:rsid w:val="008D7CBA"/>
    <w:rsid w:val="008E03CD"/>
    <w:rsid w:val="008E0D87"/>
    <w:rsid w:val="008E15F5"/>
    <w:rsid w:val="008E2449"/>
    <w:rsid w:val="008E2857"/>
    <w:rsid w:val="008E4357"/>
    <w:rsid w:val="008E6924"/>
    <w:rsid w:val="008F0F79"/>
    <w:rsid w:val="008F2D7A"/>
    <w:rsid w:val="008F3161"/>
    <w:rsid w:val="008F3F11"/>
    <w:rsid w:val="008F47C0"/>
    <w:rsid w:val="008F5960"/>
    <w:rsid w:val="008F6BF5"/>
    <w:rsid w:val="008F6EE2"/>
    <w:rsid w:val="008F6F13"/>
    <w:rsid w:val="008F7854"/>
    <w:rsid w:val="008F7BA7"/>
    <w:rsid w:val="008F7F22"/>
    <w:rsid w:val="0090070D"/>
    <w:rsid w:val="00900B0F"/>
    <w:rsid w:val="009012DC"/>
    <w:rsid w:val="009013AA"/>
    <w:rsid w:val="00901EA9"/>
    <w:rsid w:val="00902640"/>
    <w:rsid w:val="00902ACF"/>
    <w:rsid w:val="00902B6B"/>
    <w:rsid w:val="00902EDA"/>
    <w:rsid w:val="009031D2"/>
    <w:rsid w:val="00910008"/>
    <w:rsid w:val="00913177"/>
    <w:rsid w:val="00913674"/>
    <w:rsid w:val="00913B0B"/>
    <w:rsid w:val="00913B79"/>
    <w:rsid w:val="0091488B"/>
    <w:rsid w:val="00914B54"/>
    <w:rsid w:val="009150E9"/>
    <w:rsid w:val="0091739A"/>
    <w:rsid w:val="00917669"/>
    <w:rsid w:val="009203BB"/>
    <w:rsid w:val="00920FB9"/>
    <w:rsid w:val="00922924"/>
    <w:rsid w:val="00922BC7"/>
    <w:rsid w:val="00923A6B"/>
    <w:rsid w:val="00924198"/>
    <w:rsid w:val="009244F0"/>
    <w:rsid w:val="009246BF"/>
    <w:rsid w:val="00926301"/>
    <w:rsid w:val="00930626"/>
    <w:rsid w:val="00930DCE"/>
    <w:rsid w:val="00932396"/>
    <w:rsid w:val="009325DD"/>
    <w:rsid w:val="009325E5"/>
    <w:rsid w:val="00932C75"/>
    <w:rsid w:val="00932FF9"/>
    <w:rsid w:val="00933C47"/>
    <w:rsid w:val="009352E9"/>
    <w:rsid w:val="0093638C"/>
    <w:rsid w:val="00936543"/>
    <w:rsid w:val="00937449"/>
    <w:rsid w:val="00937A4E"/>
    <w:rsid w:val="0094654A"/>
    <w:rsid w:val="009500E5"/>
    <w:rsid w:val="0095016A"/>
    <w:rsid w:val="0095192A"/>
    <w:rsid w:val="00951A31"/>
    <w:rsid w:val="00951AB2"/>
    <w:rsid w:val="009541B3"/>
    <w:rsid w:val="00955661"/>
    <w:rsid w:val="00955CCA"/>
    <w:rsid w:val="009563FF"/>
    <w:rsid w:val="00956666"/>
    <w:rsid w:val="00957948"/>
    <w:rsid w:val="00960995"/>
    <w:rsid w:val="00960DB8"/>
    <w:rsid w:val="00962D9B"/>
    <w:rsid w:val="00964559"/>
    <w:rsid w:val="009652F3"/>
    <w:rsid w:val="009655CE"/>
    <w:rsid w:val="00965C23"/>
    <w:rsid w:val="00966093"/>
    <w:rsid w:val="00966654"/>
    <w:rsid w:val="009708B5"/>
    <w:rsid w:val="009714F0"/>
    <w:rsid w:val="009716F7"/>
    <w:rsid w:val="00971C0B"/>
    <w:rsid w:val="00971DD0"/>
    <w:rsid w:val="00971E8D"/>
    <w:rsid w:val="0097217A"/>
    <w:rsid w:val="00973B1B"/>
    <w:rsid w:val="00974A8A"/>
    <w:rsid w:val="0097633D"/>
    <w:rsid w:val="00980AA0"/>
    <w:rsid w:val="00980D0D"/>
    <w:rsid w:val="00981A39"/>
    <w:rsid w:val="009823D9"/>
    <w:rsid w:val="00983C89"/>
    <w:rsid w:val="009842D5"/>
    <w:rsid w:val="009847FB"/>
    <w:rsid w:val="00985084"/>
    <w:rsid w:val="0098551B"/>
    <w:rsid w:val="00985A56"/>
    <w:rsid w:val="00987811"/>
    <w:rsid w:val="00990196"/>
    <w:rsid w:val="009901D6"/>
    <w:rsid w:val="00990378"/>
    <w:rsid w:val="00991A70"/>
    <w:rsid w:val="00992277"/>
    <w:rsid w:val="009923FE"/>
    <w:rsid w:val="00992A29"/>
    <w:rsid w:val="00992BB1"/>
    <w:rsid w:val="009A09C6"/>
    <w:rsid w:val="009A2403"/>
    <w:rsid w:val="009A323D"/>
    <w:rsid w:val="009A3AE5"/>
    <w:rsid w:val="009A40A3"/>
    <w:rsid w:val="009A4C09"/>
    <w:rsid w:val="009A5EC8"/>
    <w:rsid w:val="009A5F26"/>
    <w:rsid w:val="009A68D5"/>
    <w:rsid w:val="009A6E39"/>
    <w:rsid w:val="009A6EE1"/>
    <w:rsid w:val="009B0051"/>
    <w:rsid w:val="009B00B1"/>
    <w:rsid w:val="009B0223"/>
    <w:rsid w:val="009B1061"/>
    <w:rsid w:val="009B1F8D"/>
    <w:rsid w:val="009B2C59"/>
    <w:rsid w:val="009B2CE0"/>
    <w:rsid w:val="009B3330"/>
    <w:rsid w:val="009B3E58"/>
    <w:rsid w:val="009B4BBF"/>
    <w:rsid w:val="009B4EBC"/>
    <w:rsid w:val="009B64EF"/>
    <w:rsid w:val="009B6500"/>
    <w:rsid w:val="009B669B"/>
    <w:rsid w:val="009B6F55"/>
    <w:rsid w:val="009C0155"/>
    <w:rsid w:val="009C0CD1"/>
    <w:rsid w:val="009C0D62"/>
    <w:rsid w:val="009C2411"/>
    <w:rsid w:val="009C2D61"/>
    <w:rsid w:val="009C3321"/>
    <w:rsid w:val="009C448C"/>
    <w:rsid w:val="009C46AB"/>
    <w:rsid w:val="009C4767"/>
    <w:rsid w:val="009C56FC"/>
    <w:rsid w:val="009C65FA"/>
    <w:rsid w:val="009C691A"/>
    <w:rsid w:val="009C6AD9"/>
    <w:rsid w:val="009C7A36"/>
    <w:rsid w:val="009D0B68"/>
    <w:rsid w:val="009D0C63"/>
    <w:rsid w:val="009D2480"/>
    <w:rsid w:val="009D2801"/>
    <w:rsid w:val="009D3642"/>
    <w:rsid w:val="009D51D1"/>
    <w:rsid w:val="009D5355"/>
    <w:rsid w:val="009D5AF9"/>
    <w:rsid w:val="009D79A5"/>
    <w:rsid w:val="009E0252"/>
    <w:rsid w:val="009E0AD4"/>
    <w:rsid w:val="009E0FC7"/>
    <w:rsid w:val="009E234F"/>
    <w:rsid w:val="009E274F"/>
    <w:rsid w:val="009E44EE"/>
    <w:rsid w:val="009E5542"/>
    <w:rsid w:val="009E6E6C"/>
    <w:rsid w:val="009E708F"/>
    <w:rsid w:val="009E7CC3"/>
    <w:rsid w:val="009F00A7"/>
    <w:rsid w:val="009F0DE1"/>
    <w:rsid w:val="009F0F85"/>
    <w:rsid w:val="009F12D1"/>
    <w:rsid w:val="009F216F"/>
    <w:rsid w:val="009F3228"/>
    <w:rsid w:val="009F4C8C"/>
    <w:rsid w:val="009F73B7"/>
    <w:rsid w:val="00A0024E"/>
    <w:rsid w:val="00A002F4"/>
    <w:rsid w:val="00A00AE0"/>
    <w:rsid w:val="00A01D1A"/>
    <w:rsid w:val="00A020A9"/>
    <w:rsid w:val="00A020E6"/>
    <w:rsid w:val="00A02148"/>
    <w:rsid w:val="00A024D7"/>
    <w:rsid w:val="00A027DD"/>
    <w:rsid w:val="00A041CB"/>
    <w:rsid w:val="00A047AF"/>
    <w:rsid w:val="00A0567A"/>
    <w:rsid w:val="00A06B38"/>
    <w:rsid w:val="00A06C7D"/>
    <w:rsid w:val="00A07DB6"/>
    <w:rsid w:val="00A07EB9"/>
    <w:rsid w:val="00A1004F"/>
    <w:rsid w:val="00A10460"/>
    <w:rsid w:val="00A126E5"/>
    <w:rsid w:val="00A13CB9"/>
    <w:rsid w:val="00A14E35"/>
    <w:rsid w:val="00A14E3F"/>
    <w:rsid w:val="00A163EC"/>
    <w:rsid w:val="00A1682F"/>
    <w:rsid w:val="00A174D4"/>
    <w:rsid w:val="00A200DA"/>
    <w:rsid w:val="00A204BA"/>
    <w:rsid w:val="00A20570"/>
    <w:rsid w:val="00A21D30"/>
    <w:rsid w:val="00A22204"/>
    <w:rsid w:val="00A223C9"/>
    <w:rsid w:val="00A22A59"/>
    <w:rsid w:val="00A230E1"/>
    <w:rsid w:val="00A23665"/>
    <w:rsid w:val="00A2369A"/>
    <w:rsid w:val="00A24236"/>
    <w:rsid w:val="00A24336"/>
    <w:rsid w:val="00A24434"/>
    <w:rsid w:val="00A24549"/>
    <w:rsid w:val="00A24716"/>
    <w:rsid w:val="00A24CD1"/>
    <w:rsid w:val="00A26C54"/>
    <w:rsid w:val="00A27ACE"/>
    <w:rsid w:val="00A27CDF"/>
    <w:rsid w:val="00A30D33"/>
    <w:rsid w:val="00A31219"/>
    <w:rsid w:val="00A31CF2"/>
    <w:rsid w:val="00A3270F"/>
    <w:rsid w:val="00A33633"/>
    <w:rsid w:val="00A3768D"/>
    <w:rsid w:val="00A3796D"/>
    <w:rsid w:val="00A37A88"/>
    <w:rsid w:val="00A37F6D"/>
    <w:rsid w:val="00A40439"/>
    <w:rsid w:val="00A41565"/>
    <w:rsid w:val="00A42154"/>
    <w:rsid w:val="00A42341"/>
    <w:rsid w:val="00A43CCF"/>
    <w:rsid w:val="00A4424E"/>
    <w:rsid w:val="00A44B4F"/>
    <w:rsid w:val="00A45420"/>
    <w:rsid w:val="00A50882"/>
    <w:rsid w:val="00A5202F"/>
    <w:rsid w:val="00A52CEE"/>
    <w:rsid w:val="00A5463F"/>
    <w:rsid w:val="00A55B2B"/>
    <w:rsid w:val="00A55C7C"/>
    <w:rsid w:val="00A56C77"/>
    <w:rsid w:val="00A56CDB"/>
    <w:rsid w:val="00A60293"/>
    <w:rsid w:val="00A60EDE"/>
    <w:rsid w:val="00A620A1"/>
    <w:rsid w:val="00A634C4"/>
    <w:rsid w:val="00A65C5B"/>
    <w:rsid w:val="00A67746"/>
    <w:rsid w:val="00A6786B"/>
    <w:rsid w:val="00A67CC2"/>
    <w:rsid w:val="00A70116"/>
    <w:rsid w:val="00A7026B"/>
    <w:rsid w:val="00A71671"/>
    <w:rsid w:val="00A71910"/>
    <w:rsid w:val="00A71DD1"/>
    <w:rsid w:val="00A7225B"/>
    <w:rsid w:val="00A723D3"/>
    <w:rsid w:val="00A72920"/>
    <w:rsid w:val="00A735B3"/>
    <w:rsid w:val="00A73BA2"/>
    <w:rsid w:val="00A74413"/>
    <w:rsid w:val="00A74710"/>
    <w:rsid w:val="00A74C57"/>
    <w:rsid w:val="00A807D6"/>
    <w:rsid w:val="00A81794"/>
    <w:rsid w:val="00A81E44"/>
    <w:rsid w:val="00A8544A"/>
    <w:rsid w:val="00A8598B"/>
    <w:rsid w:val="00A8737B"/>
    <w:rsid w:val="00A87B98"/>
    <w:rsid w:val="00A918AE"/>
    <w:rsid w:val="00A922AF"/>
    <w:rsid w:val="00A93675"/>
    <w:rsid w:val="00A945F9"/>
    <w:rsid w:val="00A94ABE"/>
    <w:rsid w:val="00A94BDF"/>
    <w:rsid w:val="00A95983"/>
    <w:rsid w:val="00A9748B"/>
    <w:rsid w:val="00A977AB"/>
    <w:rsid w:val="00A97D25"/>
    <w:rsid w:val="00AA0646"/>
    <w:rsid w:val="00AA0A3B"/>
    <w:rsid w:val="00AA0F76"/>
    <w:rsid w:val="00AA19E7"/>
    <w:rsid w:val="00AA1A81"/>
    <w:rsid w:val="00AA1C2C"/>
    <w:rsid w:val="00AA1C42"/>
    <w:rsid w:val="00AA3D8F"/>
    <w:rsid w:val="00AA3D9B"/>
    <w:rsid w:val="00AA5268"/>
    <w:rsid w:val="00AA56B1"/>
    <w:rsid w:val="00AA57E5"/>
    <w:rsid w:val="00AA614F"/>
    <w:rsid w:val="00AA669E"/>
    <w:rsid w:val="00AA7758"/>
    <w:rsid w:val="00AA7C33"/>
    <w:rsid w:val="00AB0955"/>
    <w:rsid w:val="00AB1F3E"/>
    <w:rsid w:val="00AB203D"/>
    <w:rsid w:val="00AB2461"/>
    <w:rsid w:val="00AB2847"/>
    <w:rsid w:val="00AB298B"/>
    <w:rsid w:val="00AB2A81"/>
    <w:rsid w:val="00AB2AC0"/>
    <w:rsid w:val="00AB2FB2"/>
    <w:rsid w:val="00AB341E"/>
    <w:rsid w:val="00AB3C82"/>
    <w:rsid w:val="00AB3FF0"/>
    <w:rsid w:val="00AB50A6"/>
    <w:rsid w:val="00AB6292"/>
    <w:rsid w:val="00AB6D16"/>
    <w:rsid w:val="00AB704A"/>
    <w:rsid w:val="00AB7BD2"/>
    <w:rsid w:val="00AC0202"/>
    <w:rsid w:val="00AC04E8"/>
    <w:rsid w:val="00AC08EF"/>
    <w:rsid w:val="00AC0A30"/>
    <w:rsid w:val="00AC1BBE"/>
    <w:rsid w:val="00AC2DFB"/>
    <w:rsid w:val="00AC408A"/>
    <w:rsid w:val="00AC4425"/>
    <w:rsid w:val="00AC69AE"/>
    <w:rsid w:val="00AC7682"/>
    <w:rsid w:val="00AC7905"/>
    <w:rsid w:val="00AC7B8E"/>
    <w:rsid w:val="00AD0192"/>
    <w:rsid w:val="00AD0726"/>
    <w:rsid w:val="00AD08E3"/>
    <w:rsid w:val="00AD0D6D"/>
    <w:rsid w:val="00AD14E0"/>
    <w:rsid w:val="00AD1EE7"/>
    <w:rsid w:val="00AD2854"/>
    <w:rsid w:val="00AD2FED"/>
    <w:rsid w:val="00AD35D3"/>
    <w:rsid w:val="00AD428F"/>
    <w:rsid w:val="00AD4922"/>
    <w:rsid w:val="00AD525D"/>
    <w:rsid w:val="00AD6E62"/>
    <w:rsid w:val="00AD750D"/>
    <w:rsid w:val="00AE1781"/>
    <w:rsid w:val="00AE310F"/>
    <w:rsid w:val="00AE3464"/>
    <w:rsid w:val="00AE3BFD"/>
    <w:rsid w:val="00AE3F61"/>
    <w:rsid w:val="00AE40C0"/>
    <w:rsid w:val="00AE485E"/>
    <w:rsid w:val="00AE4E71"/>
    <w:rsid w:val="00AE5191"/>
    <w:rsid w:val="00AE62AF"/>
    <w:rsid w:val="00AE6CDF"/>
    <w:rsid w:val="00AF08F6"/>
    <w:rsid w:val="00AF112F"/>
    <w:rsid w:val="00AF1E4F"/>
    <w:rsid w:val="00AF2483"/>
    <w:rsid w:val="00AF55FA"/>
    <w:rsid w:val="00AF6122"/>
    <w:rsid w:val="00B023AE"/>
    <w:rsid w:val="00B037F9"/>
    <w:rsid w:val="00B046DF"/>
    <w:rsid w:val="00B05CB3"/>
    <w:rsid w:val="00B05DC8"/>
    <w:rsid w:val="00B0601B"/>
    <w:rsid w:val="00B06A2C"/>
    <w:rsid w:val="00B06B7A"/>
    <w:rsid w:val="00B102D9"/>
    <w:rsid w:val="00B106C6"/>
    <w:rsid w:val="00B10F1C"/>
    <w:rsid w:val="00B11473"/>
    <w:rsid w:val="00B1191B"/>
    <w:rsid w:val="00B1198F"/>
    <w:rsid w:val="00B14996"/>
    <w:rsid w:val="00B1500C"/>
    <w:rsid w:val="00B15FA0"/>
    <w:rsid w:val="00B16325"/>
    <w:rsid w:val="00B163BD"/>
    <w:rsid w:val="00B16B3C"/>
    <w:rsid w:val="00B16EC8"/>
    <w:rsid w:val="00B17015"/>
    <w:rsid w:val="00B17846"/>
    <w:rsid w:val="00B1789B"/>
    <w:rsid w:val="00B20811"/>
    <w:rsid w:val="00B211A1"/>
    <w:rsid w:val="00B21753"/>
    <w:rsid w:val="00B244EF"/>
    <w:rsid w:val="00B246DD"/>
    <w:rsid w:val="00B2497C"/>
    <w:rsid w:val="00B25841"/>
    <w:rsid w:val="00B26603"/>
    <w:rsid w:val="00B27731"/>
    <w:rsid w:val="00B307A4"/>
    <w:rsid w:val="00B308AF"/>
    <w:rsid w:val="00B30BDA"/>
    <w:rsid w:val="00B30E1B"/>
    <w:rsid w:val="00B342FB"/>
    <w:rsid w:val="00B34B41"/>
    <w:rsid w:val="00B352D2"/>
    <w:rsid w:val="00B35FDF"/>
    <w:rsid w:val="00B3630D"/>
    <w:rsid w:val="00B3657C"/>
    <w:rsid w:val="00B37684"/>
    <w:rsid w:val="00B4134E"/>
    <w:rsid w:val="00B4194B"/>
    <w:rsid w:val="00B42E81"/>
    <w:rsid w:val="00B430B2"/>
    <w:rsid w:val="00B45339"/>
    <w:rsid w:val="00B4571C"/>
    <w:rsid w:val="00B46013"/>
    <w:rsid w:val="00B467B7"/>
    <w:rsid w:val="00B47FA0"/>
    <w:rsid w:val="00B50E84"/>
    <w:rsid w:val="00B5182F"/>
    <w:rsid w:val="00B519C2"/>
    <w:rsid w:val="00B52F5E"/>
    <w:rsid w:val="00B53347"/>
    <w:rsid w:val="00B53E28"/>
    <w:rsid w:val="00B57487"/>
    <w:rsid w:val="00B57BA5"/>
    <w:rsid w:val="00B608F3"/>
    <w:rsid w:val="00B63366"/>
    <w:rsid w:val="00B63539"/>
    <w:rsid w:val="00B63898"/>
    <w:rsid w:val="00B659A5"/>
    <w:rsid w:val="00B65A0D"/>
    <w:rsid w:val="00B65ED3"/>
    <w:rsid w:val="00B661C1"/>
    <w:rsid w:val="00B70A0B"/>
    <w:rsid w:val="00B70B36"/>
    <w:rsid w:val="00B70D9B"/>
    <w:rsid w:val="00B71121"/>
    <w:rsid w:val="00B71E52"/>
    <w:rsid w:val="00B72707"/>
    <w:rsid w:val="00B72896"/>
    <w:rsid w:val="00B7385F"/>
    <w:rsid w:val="00B73C34"/>
    <w:rsid w:val="00B742FE"/>
    <w:rsid w:val="00B74CF8"/>
    <w:rsid w:val="00B7505B"/>
    <w:rsid w:val="00B8182F"/>
    <w:rsid w:val="00B81E96"/>
    <w:rsid w:val="00B82193"/>
    <w:rsid w:val="00B83192"/>
    <w:rsid w:val="00B84DAA"/>
    <w:rsid w:val="00B85EB2"/>
    <w:rsid w:val="00B86424"/>
    <w:rsid w:val="00B86B94"/>
    <w:rsid w:val="00B86D7C"/>
    <w:rsid w:val="00B8795F"/>
    <w:rsid w:val="00B91060"/>
    <w:rsid w:val="00B921EB"/>
    <w:rsid w:val="00B935D4"/>
    <w:rsid w:val="00B944B4"/>
    <w:rsid w:val="00B95545"/>
    <w:rsid w:val="00B977BC"/>
    <w:rsid w:val="00B979D1"/>
    <w:rsid w:val="00BA069F"/>
    <w:rsid w:val="00BA0DEA"/>
    <w:rsid w:val="00BA116F"/>
    <w:rsid w:val="00BA1E24"/>
    <w:rsid w:val="00BA2D62"/>
    <w:rsid w:val="00BA350C"/>
    <w:rsid w:val="00BA42AE"/>
    <w:rsid w:val="00BA6EBA"/>
    <w:rsid w:val="00BA7899"/>
    <w:rsid w:val="00BA7D0C"/>
    <w:rsid w:val="00BA7F41"/>
    <w:rsid w:val="00BB18C9"/>
    <w:rsid w:val="00BB2B10"/>
    <w:rsid w:val="00BB3706"/>
    <w:rsid w:val="00BB3C3D"/>
    <w:rsid w:val="00BB4888"/>
    <w:rsid w:val="00BB4A9F"/>
    <w:rsid w:val="00BB4B26"/>
    <w:rsid w:val="00BB5425"/>
    <w:rsid w:val="00BB6D6F"/>
    <w:rsid w:val="00BC15F0"/>
    <w:rsid w:val="00BC18C7"/>
    <w:rsid w:val="00BC3C88"/>
    <w:rsid w:val="00BC3FB6"/>
    <w:rsid w:val="00BC40DA"/>
    <w:rsid w:val="00BC60B6"/>
    <w:rsid w:val="00BC7AC8"/>
    <w:rsid w:val="00BD42A7"/>
    <w:rsid w:val="00BD5C10"/>
    <w:rsid w:val="00BD69CA"/>
    <w:rsid w:val="00BD70F2"/>
    <w:rsid w:val="00BD747D"/>
    <w:rsid w:val="00BE1424"/>
    <w:rsid w:val="00BE1DC4"/>
    <w:rsid w:val="00BE3F97"/>
    <w:rsid w:val="00BE56F6"/>
    <w:rsid w:val="00BE5988"/>
    <w:rsid w:val="00BE62C4"/>
    <w:rsid w:val="00BF01A1"/>
    <w:rsid w:val="00BF0CB5"/>
    <w:rsid w:val="00BF1360"/>
    <w:rsid w:val="00BF1C15"/>
    <w:rsid w:val="00BF1C63"/>
    <w:rsid w:val="00BF262C"/>
    <w:rsid w:val="00BF2E85"/>
    <w:rsid w:val="00BF3677"/>
    <w:rsid w:val="00BF3FB3"/>
    <w:rsid w:val="00BF689C"/>
    <w:rsid w:val="00C01288"/>
    <w:rsid w:val="00C02572"/>
    <w:rsid w:val="00C02ACB"/>
    <w:rsid w:val="00C04BDA"/>
    <w:rsid w:val="00C0537C"/>
    <w:rsid w:val="00C063BE"/>
    <w:rsid w:val="00C109D0"/>
    <w:rsid w:val="00C11244"/>
    <w:rsid w:val="00C11580"/>
    <w:rsid w:val="00C11948"/>
    <w:rsid w:val="00C11CF4"/>
    <w:rsid w:val="00C11F33"/>
    <w:rsid w:val="00C12AAE"/>
    <w:rsid w:val="00C1337E"/>
    <w:rsid w:val="00C133AC"/>
    <w:rsid w:val="00C1347A"/>
    <w:rsid w:val="00C135FF"/>
    <w:rsid w:val="00C138D9"/>
    <w:rsid w:val="00C14EBB"/>
    <w:rsid w:val="00C15447"/>
    <w:rsid w:val="00C157CE"/>
    <w:rsid w:val="00C158D7"/>
    <w:rsid w:val="00C16119"/>
    <w:rsid w:val="00C16C03"/>
    <w:rsid w:val="00C173EB"/>
    <w:rsid w:val="00C20B12"/>
    <w:rsid w:val="00C211BD"/>
    <w:rsid w:val="00C22051"/>
    <w:rsid w:val="00C22130"/>
    <w:rsid w:val="00C23262"/>
    <w:rsid w:val="00C23391"/>
    <w:rsid w:val="00C2400C"/>
    <w:rsid w:val="00C2433C"/>
    <w:rsid w:val="00C24471"/>
    <w:rsid w:val="00C2483C"/>
    <w:rsid w:val="00C2529B"/>
    <w:rsid w:val="00C255CD"/>
    <w:rsid w:val="00C258F0"/>
    <w:rsid w:val="00C25EAE"/>
    <w:rsid w:val="00C26770"/>
    <w:rsid w:val="00C26850"/>
    <w:rsid w:val="00C26AE8"/>
    <w:rsid w:val="00C26FAC"/>
    <w:rsid w:val="00C2764A"/>
    <w:rsid w:val="00C276AE"/>
    <w:rsid w:val="00C30356"/>
    <w:rsid w:val="00C30B5C"/>
    <w:rsid w:val="00C31D3A"/>
    <w:rsid w:val="00C32B5E"/>
    <w:rsid w:val="00C33623"/>
    <w:rsid w:val="00C339C4"/>
    <w:rsid w:val="00C3419D"/>
    <w:rsid w:val="00C34FC0"/>
    <w:rsid w:val="00C357FE"/>
    <w:rsid w:val="00C35EF8"/>
    <w:rsid w:val="00C37B84"/>
    <w:rsid w:val="00C37DEA"/>
    <w:rsid w:val="00C40BAE"/>
    <w:rsid w:val="00C41CC1"/>
    <w:rsid w:val="00C41D40"/>
    <w:rsid w:val="00C41E60"/>
    <w:rsid w:val="00C4427D"/>
    <w:rsid w:val="00C4474C"/>
    <w:rsid w:val="00C44D50"/>
    <w:rsid w:val="00C45A83"/>
    <w:rsid w:val="00C46F23"/>
    <w:rsid w:val="00C47F66"/>
    <w:rsid w:val="00C50773"/>
    <w:rsid w:val="00C51AB6"/>
    <w:rsid w:val="00C52966"/>
    <w:rsid w:val="00C5393D"/>
    <w:rsid w:val="00C53F46"/>
    <w:rsid w:val="00C54798"/>
    <w:rsid w:val="00C5575E"/>
    <w:rsid w:val="00C56B7C"/>
    <w:rsid w:val="00C619BD"/>
    <w:rsid w:val="00C61B9E"/>
    <w:rsid w:val="00C61DE6"/>
    <w:rsid w:val="00C6331A"/>
    <w:rsid w:val="00C6387E"/>
    <w:rsid w:val="00C65165"/>
    <w:rsid w:val="00C66031"/>
    <w:rsid w:val="00C67723"/>
    <w:rsid w:val="00C67968"/>
    <w:rsid w:val="00C70E02"/>
    <w:rsid w:val="00C710A4"/>
    <w:rsid w:val="00C71ECA"/>
    <w:rsid w:val="00C73686"/>
    <w:rsid w:val="00C742E9"/>
    <w:rsid w:val="00C74FDD"/>
    <w:rsid w:val="00C755CF"/>
    <w:rsid w:val="00C7583B"/>
    <w:rsid w:val="00C7593B"/>
    <w:rsid w:val="00C76711"/>
    <w:rsid w:val="00C771F0"/>
    <w:rsid w:val="00C77265"/>
    <w:rsid w:val="00C80AB7"/>
    <w:rsid w:val="00C81248"/>
    <w:rsid w:val="00C815B7"/>
    <w:rsid w:val="00C81B07"/>
    <w:rsid w:val="00C81D6B"/>
    <w:rsid w:val="00C81DFC"/>
    <w:rsid w:val="00C81FCA"/>
    <w:rsid w:val="00C82A24"/>
    <w:rsid w:val="00C835A2"/>
    <w:rsid w:val="00C839BD"/>
    <w:rsid w:val="00C83A4D"/>
    <w:rsid w:val="00C84B3C"/>
    <w:rsid w:val="00C855E5"/>
    <w:rsid w:val="00C90189"/>
    <w:rsid w:val="00C90207"/>
    <w:rsid w:val="00C916BB"/>
    <w:rsid w:val="00C92D1A"/>
    <w:rsid w:val="00C94064"/>
    <w:rsid w:val="00C953F4"/>
    <w:rsid w:val="00C9559E"/>
    <w:rsid w:val="00C95B56"/>
    <w:rsid w:val="00C966C5"/>
    <w:rsid w:val="00C9673A"/>
    <w:rsid w:val="00C9795A"/>
    <w:rsid w:val="00C97F25"/>
    <w:rsid w:val="00CA0224"/>
    <w:rsid w:val="00CA0508"/>
    <w:rsid w:val="00CA214C"/>
    <w:rsid w:val="00CA2D5B"/>
    <w:rsid w:val="00CA2DED"/>
    <w:rsid w:val="00CA4277"/>
    <w:rsid w:val="00CA493D"/>
    <w:rsid w:val="00CA578B"/>
    <w:rsid w:val="00CA5F46"/>
    <w:rsid w:val="00CA60E2"/>
    <w:rsid w:val="00CA6CDE"/>
    <w:rsid w:val="00CA6DEB"/>
    <w:rsid w:val="00CA74A0"/>
    <w:rsid w:val="00CA75E9"/>
    <w:rsid w:val="00CB348B"/>
    <w:rsid w:val="00CB4798"/>
    <w:rsid w:val="00CB5165"/>
    <w:rsid w:val="00CB6E37"/>
    <w:rsid w:val="00CB6FCB"/>
    <w:rsid w:val="00CB7226"/>
    <w:rsid w:val="00CB7EAB"/>
    <w:rsid w:val="00CC2626"/>
    <w:rsid w:val="00CC3E7E"/>
    <w:rsid w:val="00CC4593"/>
    <w:rsid w:val="00CC48B6"/>
    <w:rsid w:val="00CC50CE"/>
    <w:rsid w:val="00CC5CE4"/>
    <w:rsid w:val="00CC656D"/>
    <w:rsid w:val="00CC660D"/>
    <w:rsid w:val="00CC6B2D"/>
    <w:rsid w:val="00CC7CF5"/>
    <w:rsid w:val="00CD01AA"/>
    <w:rsid w:val="00CD0311"/>
    <w:rsid w:val="00CD220C"/>
    <w:rsid w:val="00CD6877"/>
    <w:rsid w:val="00CD6AF6"/>
    <w:rsid w:val="00CD6D93"/>
    <w:rsid w:val="00CD7A1B"/>
    <w:rsid w:val="00CE19B0"/>
    <w:rsid w:val="00CE2752"/>
    <w:rsid w:val="00CE34EC"/>
    <w:rsid w:val="00CE3AA3"/>
    <w:rsid w:val="00CE57A9"/>
    <w:rsid w:val="00CE65B9"/>
    <w:rsid w:val="00CE6C13"/>
    <w:rsid w:val="00CE6D7A"/>
    <w:rsid w:val="00CF0BCD"/>
    <w:rsid w:val="00CF1380"/>
    <w:rsid w:val="00CF21CD"/>
    <w:rsid w:val="00CF2340"/>
    <w:rsid w:val="00CF3363"/>
    <w:rsid w:val="00CF399A"/>
    <w:rsid w:val="00CF419F"/>
    <w:rsid w:val="00CF524B"/>
    <w:rsid w:val="00CF5332"/>
    <w:rsid w:val="00CF537E"/>
    <w:rsid w:val="00CF5F44"/>
    <w:rsid w:val="00CF5FF9"/>
    <w:rsid w:val="00CF66B3"/>
    <w:rsid w:val="00CF6B67"/>
    <w:rsid w:val="00D01497"/>
    <w:rsid w:val="00D01D45"/>
    <w:rsid w:val="00D04683"/>
    <w:rsid w:val="00D056BF"/>
    <w:rsid w:val="00D05D13"/>
    <w:rsid w:val="00D06089"/>
    <w:rsid w:val="00D07162"/>
    <w:rsid w:val="00D12647"/>
    <w:rsid w:val="00D1329F"/>
    <w:rsid w:val="00D13468"/>
    <w:rsid w:val="00D137D5"/>
    <w:rsid w:val="00D13AD2"/>
    <w:rsid w:val="00D13E4A"/>
    <w:rsid w:val="00D14E24"/>
    <w:rsid w:val="00D14F67"/>
    <w:rsid w:val="00D15253"/>
    <w:rsid w:val="00D15376"/>
    <w:rsid w:val="00D156B8"/>
    <w:rsid w:val="00D15C2F"/>
    <w:rsid w:val="00D15DD7"/>
    <w:rsid w:val="00D16175"/>
    <w:rsid w:val="00D17696"/>
    <w:rsid w:val="00D17C57"/>
    <w:rsid w:val="00D17F6E"/>
    <w:rsid w:val="00D2210C"/>
    <w:rsid w:val="00D222C1"/>
    <w:rsid w:val="00D223A2"/>
    <w:rsid w:val="00D2245C"/>
    <w:rsid w:val="00D22497"/>
    <w:rsid w:val="00D22D89"/>
    <w:rsid w:val="00D230DB"/>
    <w:rsid w:val="00D23588"/>
    <w:rsid w:val="00D23943"/>
    <w:rsid w:val="00D2490B"/>
    <w:rsid w:val="00D249F3"/>
    <w:rsid w:val="00D25AE8"/>
    <w:rsid w:val="00D27BB8"/>
    <w:rsid w:val="00D31E04"/>
    <w:rsid w:val="00D329BA"/>
    <w:rsid w:val="00D335F7"/>
    <w:rsid w:val="00D33BFF"/>
    <w:rsid w:val="00D3480C"/>
    <w:rsid w:val="00D3572C"/>
    <w:rsid w:val="00D357AF"/>
    <w:rsid w:val="00D36C24"/>
    <w:rsid w:val="00D417DA"/>
    <w:rsid w:val="00D420C1"/>
    <w:rsid w:val="00D42FEB"/>
    <w:rsid w:val="00D4319D"/>
    <w:rsid w:val="00D4334A"/>
    <w:rsid w:val="00D43DCE"/>
    <w:rsid w:val="00D44E44"/>
    <w:rsid w:val="00D45B9B"/>
    <w:rsid w:val="00D465F3"/>
    <w:rsid w:val="00D51409"/>
    <w:rsid w:val="00D5359C"/>
    <w:rsid w:val="00D53ED8"/>
    <w:rsid w:val="00D542D1"/>
    <w:rsid w:val="00D54DB6"/>
    <w:rsid w:val="00D55192"/>
    <w:rsid w:val="00D57572"/>
    <w:rsid w:val="00D603B7"/>
    <w:rsid w:val="00D60EEA"/>
    <w:rsid w:val="00D619DE"/>
    <w:rsid w:val="00D644FE"/>
    <w:rsid w:val="00D64582"/>
    <w:rsid w:val="00D646D0"/>
    <w:rsid w:val="00D65573"/>
    <w:rsid w:val="00D663FB"/>
    <w:rsid w:val="00D66B98"/>
    <w:rsid w:val="00D67CDF"/>
    <w:rsid w:val="00D70582"/>
    <w:rsid w:val="00D70B70"/>
    <w:rsid w:val="00D70FC6"/>
    <w:rsid w:val="00D72827"/>
    <w:rsid w:val="00D747D9"/>
    <w:rsid w:val="00D752FE"/>
    <w:rsid w:val="00D75D1C"/>
    <w:rsid w:val="00D76C03"/>
    <w:rsid w:val="00D76F75"/>
    <w:rsid w:val="00D777A8"/>
    <w:rsid w:val="00D77881"/>
    <w:rsid w:val="00D77EE0"/>
    <w:rsid w:val="00D80320"/>
    <w:rsid w:val="00D809FB"/>
    <w:rsid w:val="00D812E3"/>
    <w:rsid w:val="00D81CF8"/>
    <w:rsid w:val="00D81E7C"/>
    <w:rsid w:val="00D836A4"/>
    <w:rsid w:val="00D85138"/>
    <w:rsid w:val="00D86C62"/>
    <w:rsid w:val="00D8794B"/>
    <w:rsid w:val="00D92D7C"/>
    <w:rsid w:val="00D92EDC"/>
    <w:rsid w:val="00D93F80"/>
    <w:rsid w:val="00D9747A"/>
    <w:rsid w:val="00D978C1"/>
    <w:rsid w:val="00DA16F6"/>
    <w:rsid w:val="00DA2119"/>
    <w:rsid w:val="00DA2B23"/>
    <w:rsid w:val="00DA34FC"/>
    <w:rsid w:val="00DA4A80"/>
    <w:rsid w:val="00DA4BE9"/>
    <w:rsid w:val="00DA5AA2"/>
    <w:rsid w:val="00DA67BE"/>
    <w:rsid w:val="00DB04B0"/>
    <w:rsid w:val="00DB0673"/>
    <w:rsid w:val="00DB0C00"/>
    <w:rsid w:val="00DB110F"/>
    <w:rsid w:val="00DB1E3F"/>
    <w:rsid w:val="00DB209B"/>
    <w:rsid w:val="00DB2F5B"/>
    <w:rsid w:val="00DB3E1C"/>
    <w:rsid w:val="00DC15B6"/>
    <w:rsid w:val="00DC35CB"/>
    <w:rsid w:val="00DC3B17"/>
    <w:rsid w:val="00DC4941"/>
    <w:rsid w:val="00DC4E6D"/>
    <w:rsid w:val="00DC588A"/>
    <w:rsid w:val="00DC5EAC"/>
    <w:rsid w:val="00DC6553"/>
    <w:rsid w:val="00DC68F5"/>
    <w:rsid w:val="00DC6BA8"/>
    <w:rsid w:val="00DD066D"/>
    <w:rsid w:val="00DD0A29"/>
    <w:rsid w:val="00DD0B67"/>
    <w:rsid w:val="00DD0EF0"/>
    <w:rsid w:val="00DD17B4"/>
    <w:rsid w:val="00DD2AB7"/>
    <w:rsid w:val="00DD354D"/>
    <w:rsid w:val="00DD355E"/>
    <w:rsid w:val="00DD361D"/>
    <w:rsid w:val="00DD4142"/>
    <w:rsid w:val="00DD4D78"/>
    <w:rsid w:val="00DD6CC6"/>
    <w:rsid w:val="00DD716E"/>
    <w:rsid w:val="00DD7441"/>
    <w:rsid w:val="00DD7B34"/>
    <w:rsid w:val="00DD7C4B"/>
    <w:rsid w:val="00DE032A"/>
    <w:rsid w:val="00DE05CF"/>
    <w:rsid w:val="00DE102A"/>
    <w:rsid w:val="00DF1B16"/>
    <w:rsid w:val="00DF219E"/>
    <w:rsid w:val="00DF2FC3"/>
    <w:rsid w:val="00DF32F2"/>
    <w:rsid w:val="00DF3333"/>
    <w:rsid w:val="00DF35F4"/>
    <w:rsid w:val="00DF3905"/>
    <w:rsid w:val="00DF4260"/>
    <w:rsid w:val="00DF49C5"/>
    <w:rsid w:val="00DF7D8C"/>
    <w:rsid w:val="00DF7F19"/>
    <w:rsid w:val="00E003C9"/>
    <w:rsid w:val="00E007F0"/>
    <w:rsid w:val="00E0142C"/>
    <w:rsid w:val="00E01C0F"/>
    <w:rsid w:val="00E02A90"/>
    <w:rsid w:val="00E02E98"/>
    <w:rsid w:val="00E03C5E"/>
    <w:rsid w:val="00E03D76"/>
    <w:rsid w:val="00E0401A"/>
    <w:rsid w:val="00E07FA5"/>
    <w:rsid w:val="00E111DC"/>
    <w:rsid w:val="00E1144C"/>
    <w:rsid w:val="00E11FB4"/>
    <w:rsid w:val="00E127C3"/>
    <w:rsid w:val="00E136B4"/>
    <w:rsid w:val="00E16E73"/>
    <w:rsid w:val="00E175B5"/>
    <w:rsid w:val="00E20614"/>
    <w:rsid w:val="00E20679"/>
    <w:rsid w:val="00E20EDD"/>
    <w:rsid w:val="00E213AC"/>
    <w:rsid w:val="00E21650"/>
    <w:rsid w:val="00E216B3"/>
    <w:rsid w:val="00E21E65"/>
    <w:rsid w:val="00E26B97"/>
    <w:rsid w:val="00E26CB7"/>
    <w:rsid w:val="00E273E3"/>
    <w:rsid w:val="00E30C4F"/>
    <w:rsid w:val="00E31B90"/>
    <w:rsid w:val="00E32B89"/>
    <w:rsid w:val="00E32CAE"/>
    <w:rsid w:val="00E33C57"/>
    <w:rsid w:val="00E353AC"/>
    <w:rsid w:val="00E35EB3"/>
    <w:rsid w:val="00E36E4B"/>
    <w:rsid w:val="00E376E2"/>
    <w:rsid w:val="00E40344"/>
    <w:rsid w:val="00E40986"/>
    <w:rsid w:val="00E41348"/>
    <w:rsid w:val="00E41DA0"/>
    <w:rsid w:val="00E42B3B"/>
    <w:rsid w:val="00E43571"/>
    <w:rsid w:val="00E44BA5"/>
    <w:rsid w:val="00E44EC4"/>
    <w:rsid w:val="00E44F9E"/>
    <w:rsid w:val="00E50D6B"/>
    <w:rsid w:val="00E51553"/>
    <w:rsid w:val="00E51746"/>
    <w:rsid w:val="00E51F9F"/>
    <w:rsid w:val="00E5266F"/>
    <w:rsid w:val="00E53287"/>
    <w:rsid w:val="00E538A3"/>
    <w:rsid w:val="00E538B4"/>
    <w:rsid w:val="00E53F00"/>
    <w:rsid w:val="00E564B0"/>
    <w:rsid w:val="00E57ED1"/>
    <w:rsid w:val="00E6009E"/>
    <w:rsid w:val="00E61780"/>
    <w:rsid w:val="00E61CD6"/>
    <w:rsid w:val="00E61FA6"/>
    <w:rsid w:val="00E6265E"/>
    <w:rsid w:val="00E636D6"/>
    <w:rsid w:val="00E63FE4"/>
    <w:rsid w:val="00E645E8"/>
    <w:rsid w:val="00E65045"/>
    <w:rsid w:val="00E650AE"/>
    <w:rsid w:val="00E66ADC"/>
    <w:rsid w:val="00E670C7"/>
    <w:rsid w:val="00E6792A"/>
    <w:rsid w:val="00E67ABA"/>
    <w:rsid w:val="00E7010F"/>
    <w:rsid w:val="00E704FB"/>
    <w:rsid w:val="00E70B7E"/>
    <w:rsid w:val="00E70CEF"/>
    <w:rsid w:val="00E71BEA"/>
    <w:rsid w:val="00E7367F"/>
    <w:rsid w:val="00E7408F"/>
    <w:rsid w:val="00E7449E"/>
    <w:rsid w:val="00E74600"/>
    <w:rsid w:val="00E776CD"/>
    <w:rsid w:val="00E77C25"/>
    <w:rsid w:val="00E81F36"/>
    <w:rsid w:val="00E841AF"/>
    <w:rsid w:val="00E8497D"/>
    <w:rsid w:val="00E84CD1"/>
    <w:rsid w:val="00E84FFA"/>
    <w:rsid w:val="00E85C47"/>
    <w:rsid w:val="00E85E97"/>
    <w:rsid w:val="00E86C69"/>
    <w:rsid w:val="00E90227"/>
    <w:rsid w:val="00E908FC"/>
    <w:rsid w:val="00E90A61"/>
    <w:rsid w:val="00E91E79"/>
    <w:rsid w:val="00E92325"/>
    <w:rsid w:val="00E92848"/>
    <w:rsid w:val="00E92BA6"/>
    <w:rsid w:val="00E938DF"/>
    <w:rsid w:val="00E938EC"/>
    <w:rsid w:val="00E9402D"/>
    <w:rsid w:val="00E95342"/>
    <w:rsid w:val="00E95CD6"/>
    <w:rsid w:val="00E95F03"/>
    <w:rsid w:val="00E97DB6"/>
    <w:rsid w:val="00EA01A8"/>
    <w:rsid w:val="00EA0BA5"/>
    <w:rsid w:val="00EA13A2"/>
    <w:rsid w:val="00EA13CF"/>
    <w:rsid w:val="00EA1724"/>
    <w:rsid w:val="00EA4E47"/>
    <w:rsid w:val="00EA5B85"/>
    <w:rsid w:val="00EA5FBE"/>
    <w:rsid w:val="00EA6A67"/>
    <w:rsid w:val="00EA6B0B"/>
    <w:rsid w:val="00EA6CC0"/>
    <w:rsid w:val="00EA7BC5"/>
    <w:rsid w:val="00EB0AD3"/>
    <w:rsid w:val="00EB1EEA"/>
    <w:rsid w:val="00EB2942"/>
    <w:rsid w:val="00EB3E10"/>
    <w:rsid w:val="00EB45F0"/>
    <w:rsid w:val="00EB5C8E"/>
    <w:rsid w:val="00EB63A7"/>
    <w:rsid w:val="00EB6D86"/>
    <w:rsid w:val="00EB6FC7"/>
    <w:rsid w:val="00EC01C8"/>
    <w:rsid w:val="00EC0701"/>
    <w:rsid w:val="00EC0BF3"/>
    <w:rsid w:val="00EC11B6"/>
    <w:rsid w:val="00EC1DA7"/>
    <w:rsid w:val="00EC2F4F"/>
    <w:rsid w:val="00EC389E"/>
    <w:rsid w:val="00EC53CA"/>
    <w:rsid w:val="00EC59F7"/>
    <w:rsid w:val="00EC5BB1"/>
    <w:rsid w:val="00EC6192"/>
    <w:rsid w:val="00EC6333"/>
    <w:rsid w:val="00EC7583"/>
    <w:rsid w:val="00EC7FAD"/>
    <w:rsid w:val="00ED001A"/>
    <w:rsid w:val="00ED11F6"/>
    <w:rsid w:val="00ED12FA"/>
    <w:rsid w:val="00ED1435"/>
    <w:rsid w:val="00ED1CD0"/>
    <w:rsid w:val="00ED2ADC"/>
    <w:rsid w:val="00ED2B3B"/>
    <w:rsid w:val="00ED3555"/>
    <w:rsid w:val="00ED3E9A"/>
    <w:rsid w:val="00ED4059"/>
    <w:rsid w:val="00ED45E3"/>
    <w:rsid w:val="00ED50F4"/>
    <w:rsid w:val="00ED5E57"/>
    <w:rsid w:val="00ED61B5"/>
    <w:rsid w:val="00ED6782"/>
    <w:rsid w:val="00ED6797"/>
    <w:rsid w:val="00ED7F11"/>
    <w:rsid w:val="00EE050D"/>
    <w:rsid w:val="00EE05DB"/>
    <w:rsid w:val="00EE194C"/>
    <w:rsid w:val="00EE21B7"/>
    <w:rsid w:val="00EE34B3"/>
    <w:rsid w:val="00EE36E5"/>
    <w:rsid w:val="00EE554C"/>
    <w:rsid w:val="00EE5BAD"/>
    <w:rsid w:val="00EE7218"/>
    <w:rsid w:val="00EE76B3"/>
    <w:rsid w:val="00EE785C"/>
    <w:rsid w:val="00EF0E34"/>
    <w:rsid w:val="00EF1141"/>
    <w:rsid w:val="00EF137A"/>
    <w:rsid w:val="00EF1573"/>
    <w:rsid w:val="00EF18BF"/>
    <w:rsid w:val="00EF1EDF"/>
    <w:rsid w:val="00EF23E9"/>
    <w:rsid w:val="00EF2D22"/>
    <w:rsid w:val="00EF3412"/>
    <w:rsid w:val="00EF49F0"/>
    <w:rsid w:val="00EF4FEC"/>
    <w:rsid w:val="00EF51FE"/>
    <w:rsid w:val="00EF52A6"/>
    <w:rsid w:val="00EF5B91"/>
    <w:rsid w:val="00EF7F67"/>
    <w:rsid w:val="00F002E7"/>
    <w:rsid w:val="00F00AB6"/>
    <w:rsid w:val="00F0262C"/>
    <w:rsid w:val="00F03DF9"/>
    <w:rsid w:val="00F03E26"/>
    <w:rsid w:val="00F0411D"/>
    <w:rsid w:val="00F0797D"/>
    <w:rsid w:val="00F07C8E"/>
    <w:rsid w:val="00F10291"/>
    <w:rsid w:val="00F10519"/>
    <w:rsid w:val="00F11D5D"/>
    <w:rsid w:val="00F122FD"/>
    <w:rsid w:val="00F13841"/>
    <w:rsid w:val="00F13AF3"/>
    <w:rsid w:val="00F14290"/>
    <w:rsid w:val="00F14BED"/>
    <w:rsid w:val="00F156C3"/>
    <w:rsid w:val="00F159F3"/>
    <w:rsid w:val="00F15E74"/>
    <w:rsid w:val="00F15FAD"/>
    <w:rsid w:val="00F16485"/>
    <w:rsid w:val="00F17352"/>
    <w:rsid w:val="00F176D6"/>
    <w:rsid w:val="00F2014B"/>
    <w:rsid w:val="00F210EF"/>
    <w:rsid w:val="00F210F9"/>
    <w:rsid w:val="00F21DEF"/>
    <w:rsid w:val="00F236FE"/>
    <w:rsid w:val="00F23EB0"/>
    <w:rsid w:val="00F23F1E"/>
    <w:rsid w:val="00F2547C"/>
    <w:rsid w:val="00F25AA8"/>
    <w:rsid w:val="00F26864"/>
    <w:rsid w:val="00F26BD1"/>
    <w:rsid w:val="00F279D7"/>
    <w:rsid w:val="00F27F37"/>
    <w:rsid w:val="00F31F32"/>
    <w:rsid w:val="00F324CA"/>
    <w:rsid w:val="00F344F9"/>
    <w:rsid w:val="00F3460A"/>
    <w:rsid w:val="00F35452"/>
    <w:rsid w:val="00F35991"/>
    <w:rsid w:val="00F368C8"/>
    <w:rsid w:val="00F4175B"/>
    <w:rsid w:val="00F4375C"/>
    <w:rsid w:val="00F44178"/>
    <w:rsid w:val="00F45697"/>
    <w:rsid w:val="00F46F12"/>
    <w:rsid w:val="00F47A4B"/>
    <w:rsid w:val="00F47E09"/>
    <w:rsid w:val="00F47EFC"/>
    <w:rsid w:val="00F50B2A"/>
    <w:rsid w:val="00F51AF3"/>
    <w:rsid w:val="00F55707"/>
    <w:rsid w:val="00F56F27"/>
    <w:rsid w:val="00F572F7"/>
    <w:rsid w:val="00F60A0B"/>
    <w:rsid w:val="00F62E33"/>
    <w:rsid w:val="00F6326F"/>
    <w:rsid w:val="00F6361A"/>
    <w:rsid w:val="00F6487A"/>
    <w:rsid w:val="00F649A1"/>
    <w:rsid w:val="00F675C3"/>
    <w:rsid w:val="00F70692"/>
    <w:rsid w:val="00F70C89"/>
    <w:rsid w:val="00F715BB"/>
    <w:rsid w:val="00F74589"/>
    <w:rsid w:val="00F76695"/>
    <w:rsid w:val="00F76CAD"/>
    <w:rsid w:val="00F76E4D"/>
    <w:rsid w:val="00F772AA"/>
    <w:rsid w:val="00F80BCB"/>
    <w:rsid w:val="00F8124D"/>
    <w:rsid w:val="00F8374B"/>
    <w:rsid w:val="00F83951"/>
    <w:rsid w:val="00F84343"/>
    <w:rsid w:val="00F84BE4"/>
    <w:rsid w:val="00F8613C"/>
    <w:rsid w:val="00F86A7E"/>
    <w:rsid w:val="00F90362"/>
    <w:rsid w:val="00F90396"/>
    <w:rsid w:val="00F90970"/>
    <w:rsid w:val="00F91491"/>
    <w:rsid w:val="00F920B5"/>
    <w:rsid w:val="00F92CD6"/>
    <w:rsid w:val="00F92DDC"/>
    <w:rsid w:val="00F93126"/>
    <w:rsid w:val="00F9326A"/>
    <w:rsid w:val="00F93825"/>
    <w:rsid w:val="00F94BB0"/>
    <w:rsid w:val="00F95A12"/>
    <w:rsid w:val="00F95BE8"/>
    <w:rsid w:val="00F968BB"/>
    <w:rsid w:val="00F97658"/>
    <w:rsid w:val="00F9792A"/>
    <w:rsid w:val="00FA02C7"/>
    <w:rsid w:val="00FA07BF"/>
    <w:rsid w:val="00FA13AD"/>
    <w:rsid w:val="00FA16EB"/>
    <w:rsid w:val="00FA2BC9"/>
    <w:rsid w:val="00FA30E0"/>
    <w:rsid w:val="00FA3463"/>
    <w:rsid w:val="00FA3B1B"/>
    <w:rsid w:val="00FA3DFA"/>
    <w:rsid w:val="00FA3E11"/>
    <w:rsid w:val="00FA4305"/>
    <w:rsid w:val="00FA49AE"/>
    <w:rsid w:val="00FA4C0E"/>
    <w:rsid w:val="00FA557C"/>
    <w:rsid w:val="00FA581C"/>
    <w:rsid w:val="00FA74BB"/>
    <w:rsid w:val="00FA7A3F"/>
    <w:rsid w:val="00FA7A7B"/>
    <w:rsid w:val="00FA7DB3"/>
    <w:rsid w:val="00FA7EAA"/>
    <w:rsid w:val="00FB070A"/>
    <w:rsid w:val="00FB158D"/>
    <w:rsid w:val="00FB2EDF"/>
    <w:rsid w:val="00FB34A4"/>
    <w:rsid w:val="00FB4458"/>
    <w:rsid w:val="00FB450C"/>
    <w:rsid w:val="00FB4599"/>
    <w:rsid w:val="00FB4802"/>
    <w:rsid w:val="00FB4951"/>
    <w:rsid w:val="00FB4CF8"/>
    <w:rsid w:val="00FB653D"/>
    <w:rsid w:val="00FB692A"/>
    <w:rsid w:val="00FC12E6"/>
    <w:rsid w:val="00FC1C58"/>
    <w:rsid w:val="00FC25D1"/>
    <w:rsid w:val="00FC25D3"/>
    <w:rsid w:val="00FC296F"/>
    <w:rsid w:val="00FC3383"/>
    <w:rsid w:val="00FC432B"/>
    <w:rsid w:val="00FC4630"/>
    <w:rsid w:val="00FC6840"/>
    <w:rsid w:val="00FC7548"/>
    <w:rsid w:val="00FD0346"/>
    <w:rsid w:val="00FD06CC"/>
    <w:rsid w:val="00FD15FC"/>
    <w:rsid w:val="00FD233C"/>
    <w:rsid w:val="00FD2585"/>
    <w:rsid w:val="00FD278F"/>
    <w:rsid w:val="00FD3262"/>
    <w:rsid w:val="00FD4BBA"/>
    <w:rsid w:val="00FD5AC5"/>
    <w:rsid w:val="00FD666C"/>
    <w:rsid w:val="00FD778E"/>
    <w:rsid w:val="00FD79D8"/>
    <w:rsid w:val="00FD7B7D"/>
    <w:rsid w:val="00FE2FF4"/>
    <w:rsid w:val="00FE4C3F"/>
    <w:rsid w:val="00FE6960"/>
    <w:rsid w:val="00FE6A8F"/>
    <w:rsid w:val="00FE74AF"/>
    <w:rsid w:val="00FE7A19"/>
    <w:rsid w:val="00FF0865"/>
    <w:rsid w:val="00FF0954"/>
    <w:rsid w:val="00FF10F5"/>
    <w:rsid w:val="00FF1FFD"/>
    <w:rsid w:val="00FF2B3C"/>
    <w:rsid w:val="00FF312C"/>
    <w:rsid w:val="00FF368C"/>
    <w:rsid w:val="00FF3957"/>
    <w:rsid w:val="00FF5375"/>
    <w:rsid w:val="00FF53CC"/>
    <w:rsid w:val="00FF75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6D2B168"/>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54D"/>
    <w:pPr>
      <w:widowControl w:val="0"/>
    </w:pPr>
    <w:rPr>
      <w:snapToGrid w:val="0"/>
      <w:kern w:val="28"/>
      <w:szCs w:val="20"/>
    </w:rPr>
  </w:style>
  <w:style w:type="paragraph" w:styleId="Heading1">
    <w:name w:val="heading 1"/>
    <w:basedOn w:val="Normal"/>
    <w:next w:val="ParaNum"/>
    <w:link w:val="Heading1Char"/>
    <w:qFormat/>
    <w:rsid w:val="00DD354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D354D"/>
    <w:pPr>
      <w:keepNext/>
      <w:numPr>
        <w:ilvl w:val="1"/>
        <w:numId w:val="2"/>
      </w:numPr>
      <w:spacing w:after="120"/>
      <w:outlineLvl w:val="1"/>
    </w:pPr>
    <w:rPr>
      <w:b/>
    </w:rPr>
  </w:style>
  <w:style w:type="paragraph" w:styleId="Heading3">
    <w:name w:val="heading 3"/>
    <w:basedOn w:val="Normal"/>
    <w:next w:val="ParaNum"/>
    <w:link w:val="Heading3Char"/>
    <w:qFormat/>
    <w:rsid w:val="00DD354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DD354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DD354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DD354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DD354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DD354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DD354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D35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354D"/>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B30E1B"/>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DD354D"/>
    <w:pPr>
      <w:numPr>
        <w:numId w:val="1"/>
      </w:numPr>
      <w:tabs>
        <w:tab w:val="clear" w:pos="1080"/>
        <w:tab w:val="num" w:pos="1440"/>
      </w:tabs>
      <w:spacing w:after="120"/>
    </w:pPr>
  </w:style>
  <w:style w:type="paragraph" w:styleId="EndnoteText">
    <w:name w:val="endnote text"/>
    <w:basedOn w:val="Normal"/>
    <w:link w:val="EndnoteTextChar"/>
    <w:semiHidden/>
    <w:rsid w:val="00DD354D"/>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DD354D"/>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DD354D"/>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DD354D"/>
    <w:rPr>
      <w:rFonts w:ascii="Times New Roman" w:hAnsi="Times New Roman"/>
      <w:dstrike w:val="0"/>
      <w:color w:val="auto"/>
      <w:sz w:val="20"/>
      <w:vertAlign w:val="superscript"/>
    </w:rPr>
  </w:style>
  <w:style w:type="paragraph" w:styleId="TOC1">
    <w:name w:val="toc 1"/>
    <w:basedOn w:val="Normal"/>
    <w:next w:val="Normal"/>
    <w:rsid w:val="00DD354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D354D"/>
    <w:pPr>
      <w:tabs>
        <w:tab w:val="left" w:pos="720"/>
        <w:tab w:val="right" w:leader="dot" w:pos="9360"/>
      </w:tabs>
      <w:suppressAutoHyphens/>
      <w:ind w:left="720" w:right="720" w:hanging="360"/>
    </w:pPr>
    <w:rPr>
      <w:noProof/>
    </w:rPr>
  </w:style>
  <w:style w:type="paragraph" w:styleId="TOC3">
    <w:name w:val="toc 3"/>
    <w:basedOn w:val="Normal"/>
    <w:next w:val="Normal"/>
    <w:semiHidden/>
    <w:rsid w:val="00DD35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D35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35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35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35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35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35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354D"/>
    <w:pPr>
      <w:tabs>
        <w:tab w:val="right" w:pos="9360"/>
      </w:tabs>
      <w:suppressAutoHyphens/>
    </w:pPr>
  </w:style>
  <w:style w:type="character" w:customStyle="1" w:styleId="EquationCaption">
    <w:name w:val="_Equation Caption"/>
    <w:rsid w:val="00DD354D"/>
  </w:style>
  <w:style w:type="paragraph" w:styleId="Header">
    <w:name w:val="header"/>
    <w:basedOn w:val="Normal"/>
    <w:link w:val="HeaderChar"/>
    <w:autoRedefine/>
    <w:rsid w:val="00DD354D"/>
    <w:pPr>
      <w:tabs>
        <w:tab w:val="center" w:pos="4680"/>
        <w:tab w:val="right" w:pos="9360"/>
      </w:tabs>
    </w:pPr>
    <w:rPr>
      <w:b/>
    </w:rPr>
  </w:style>
  <w:style w:type="character" w:customStyle="1" w:styleId="HeaderChar">
    <w:name w:val="Header Char"/>
    <w:basedOn w:val="DefaultParagraphFont"/>
    <w:link w:val="Header"/>
    <w:locked/>
    <w:rsid w:val="0012096B"/>
    <w:rPr>
      <w:b/>
      <w:snapToGrid w:val="0"/>
      <w:kern w:val="28"/>
      <w:szCs w:val="20"/>
    </w:rPr>
  </w:style>
  <w:style w:type="paragraph" w:styleId="Footer">
    <w:name w:val="footer"/>
    <w:basedOn w:val="Normal"/>
    <w:link w:val="FooterChar"/>
    <w:uiPriority w:val="99"/>
    <w:rsid w:val="00DD354D"/>
    <w:pPr>
      <w:tabs>
        <w:tab w:val="center" w:pos="4320"/>
        <w:tab w:val="right" w:pos="8640"/>
      </w:tabs>
    </w:pPr>
  </w:style>
  <w:style w:type="character" w:customStyle="1" w:styleId="FooterChar">
    <w:name w:val="Footer Char"/>
    <w:link w:val="Footer"/>
    <w:uiPriority w:val="99"/>
    <w:locked/>
    <w:rsid w:val="00DD354D"/>
    <w:rPr>
      <w:snapToGrid w:val="0"/>
      <w:kern w:val="28"/>
      <w:szCs w:val="20"/>
    </w:rPr>
  </w:style>
  <w:style w:type="character" w:styleId="PageNumber">
    <w:name w:val="page number"/>
    <w:basedOn w:val="DefaultParagraphFont"/>
    <w:rsid w:val="00DD354D"/>
  </w:style>
  <w:style w:type="paragraph" w:styleId="BlockText">
    <w:name w:val="Block Text"/>
    <w:basedOn w:val="Normal"/>
    <w:rsid w:val="00DD354D"/>
    <w:pPr>
      <w:spacing w:after="240"/>
      <w:ind w:left="1440" w:right="1440"/>
    </w:pPr>
  </w:style>
  <w:style w:type="paragraph" w:customStyle="1" w:styleId="Paratitle">
    <w:name w:val="Para title"/>
    <w:basedOn w:val="Normal"/>
    <w:rsid w:val="00DD354D"/>
    <w:pPr>
      <w:tabs>
        <w:tab w:val="center" w:pos="9270"/>
      </w:tabs>
      <w:spacing w:after="240"/>
    </w:pPr>
    <w:rPr>
      <w:spacing w:val="-2"/>
    </w:rPr>
  </w:style>
  <w:style w:type="paragraph" w:customStyle="1" w:styleId="Bullet">
    <w:name w:val="Bullet"/>
    <w:basedOn w:val="Normal"/>
    <w:rsid w:val="00DD354D"/>
    <w:pPr>
      <w:tabs>
        <w:tab w:val="left" w:pos="2160"/>
      </w:tabs>
      <w:spacing w:after="220"/>
      <w:ind w:left="2160" w:hanging="720"/>
    </w:pPr>
  </w:style>
  <w:style w:type="paragraph" w:customStyle="1" w:styleId="TableFormat">
    <w:name w:val="TableFormat"/>
    <w:basedOn w:val="Bullet"/>
    <w:rsid w:val="00DD354D"/>
    <w:pPr>
      <w:tabs>
        <w:tab w:val="clear" w:pos="2160"/>
        <w:tab w:val="left" w:pos="5040"/>
      </w:tabs>
      <w:ind w:left="5040" w:hanging="3600"/>
    </w:pPr>
  </w:style>
  <w:style w:type="paragraph" w:customStyle="1" w:styleId="TOCTitle">
    <w:name w:val="TOC Title"/>
    <w:basedOn w:val="Normal"/>
    <w:rsid w:val="00DD35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D354D"/>
    <w:pPr>
      <w:jc w:val="center"/>
    </w:pPr>
    <w:rPr>
      <w:rFonts w:ascii="Times New Roman Bold" w:hAnsi="Times New Roman Bold"/>
      <w:b/>
      <w:bCs/>
      <w:caps/>
      <w:szCs w:val="22"/>
    </w:rPr>
  </w:style>
  <w:style w:type="character" w:styleId="Hyperlink">
    <w:name w:val="Hyperlink"/>
    <w:rsid w:val="00DD354D"/>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 w:type="character" w:styleId="UnresolvedMention">
    <w:name w:val="Unresolved Mention"/>
    <w:basedOn w:val="DefaultParagraphFont"/>
    <w:uiPriority w:val="99"/>
    <w:semiHidden/>
    <w:unhideWhenUsed/>
    <w:rsid w:val="00930DCE"/>
    <w:rPr>
      <w:color w:val="605E5C"/>
      <w:shd w:val="clear" w:color="auto" w:fill="E1DFDD"/>
    </w:rPr>
  </w:style>
  <w:style w:type="character" w:styleId="Emphasis">
    <w:name w:val="Emphasis"/>
    <w:uiPriority w:val="20"/>
    <w:qFormat/>
    <w:locked/>
    <w:rsid w:val="007F1D00"/>
    <w:rPr>
      <w:i/>
      <w:iCs/>
    </w:rPr>
  </w:style>
  <w:style w:type="character" w:customStyle="1" w:styleId="rrfootnoteCharCharChar">
    <w:name w:val="rrfootnote Char Char Char"/>
    <w:aliases w:val="Style 5 Char Char Char,fn Char"/>
    <w:locked/>
    <w:rsid w:val="008B27BA"/>
  </w:style>
  <w:style w:type="character" w:customStyle="1" w:styleId="cosearchterm">
    <w:name w:val="co_searchterm"/>
    <w:basedOn w:val="DefaultParagraphFont"/>
    <w:rsid w:val="00D15DD7"/>
  </w:style>
  <w:style w:type="paragraph" w:customStyle="1" w:styleId="Default">
    <w:name w:val="Default"/>
    <w:rsid w:val="00093672"/>
    <w:pPr>
      <w:autoSpaceDE w:val="0"/>
      <w:autoSpaceDN w:val="0"/>
      <w:adjustRightInd w:val="0"/>
    </w:pPr>
    <w:rPr>
      <w:rFonts w:ascii="Franklin Gothic Book" w:hAnsi="Franklin Gothic Book" w:cs="Franklin Gothic Book"/>
      <w:color w:val="000000"/>
      <w:sz w:val="24"/>
      <w:szCs w:val="24"/>
    </w:rPr>
  </w:style>
  <w:style w:type="character" w:customStyle="1" w:styleId="cf01">
    <w:name w:val="cf01"/>
    <w:basedOn w:val="DefaultParagraphFont"/>
    <w:rsid w:val="00A442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paymentFrnLogin.do" TargetMode="External" /><Relationship Id="rId11" Type="http://schemas.openxmlformats.org/officeDocument/2006/relationships/hyperlink" Target="mailto:ARINQUIRIES@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atrick.McGrath@fcc.gov" TargetMode="External" /><Relationship Id="rId6" Type="http://schemas.openxmlformats.org/officeDocument/2006/relationships/hyperlink" Target="mailto:Estella.Salvatierra@fcc.gov" TargetMode="External" /><Relationship Id="rId7" Type="http://schemas.openxmlformats.org/officeDocument/2006/relationships/hyperlink" Target="https://apps.fcc.gov/cores/userLogin.do" TargetMode="External" /><Relationship Id="rId8" Type="http://schemas.openxmlformats.org/officeDocument/2006/relationships/hyperlink" Target="mailto:RROGWireFaxes@fcc.gov" TargetMode="External" /><Relationship Id="rId9" Type="http://schemas.openxmlformats.org/officeDocument/2006/relationships/hyperlink" Target="https://www.fcc.gov/licensing-databases/fees/wire-transfer"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www.cumulusmedia.com/" TargetMode="External" /><Relationship Id="rId10" Type="http://schemas.openxmlformats.org/officeDocument/2006/relationships/hyperlink" Target="https://apps.fcc.gov/cores/userLogin.do" TargetMode="External" /><Relationship Id="rId11" Type="http://schemas.openxmlformats.org/officeDocument/2006/relationships/hyperlink" Target="https://www.fcc.gov/Forms/Form159/159.pdf" TargetMode="External" /><Relationship Id="rId2" Type="http://schemas.openxmlformats.org/officeDocument/2006/relationships/hyperlink" Target="https://enterpriseefiling.fcc.gov/dataentry/public/tv/draftCopy.html?displayType=html&amp;appKey=25076ff37414384b0174271ea2051252&amp;id=25076ff37414384b0174271ea2051252&amp;goBack=N" TargetMode="External" /><Relationship Id="rId3" Type="http://schemas.openxmlformats.org/officeDocument/2006/relationships/hyperlink" Target="https://enterpriseefiling.fcc.gov/dataentry/public/tv/draftCopy.html?displayType=html&amp;appKey=25076ff37414384b017427295ecb1271&amp;id=25076ff37414384b017427295ecb1271&amp;goBack=N)" TargetMode="External" /><Relationship Id="rId4" Type="http://schemas.openxmlformats.org/officeDocument/2006/relationships/hyperlink" Target="https://enterpriseefiling.fcc.gov/dataentry/public/tv/draftCopy.html?displayType=html&amp;appKey=25076ff37414384b0174272d723c128e&amp;id=25076ff37414384b0174272d723c128e&amp;goBack=N" TargetMode="External" /><Relationship Id="rId5" Type="http://schemas.openxmlformats.org/officeDocument/2006/relationships/hyperlink" Target="https://enterpriseefiling.fcc.gov/dataentry/public/tv/draftCopy.html?displayType=html&amp;appKey=25076ff37414384b01742730ae1e12ad&amp;id=25076ff37414384b01742730ae1e12ad&amp;goBack=N" TargetMode="External" /><Relationship Id="rId6" Type="http://schemas.openxmlformats.org/officeDocument/2006/relationships/hyperlink" Target="https://enterpriseefiling.fcc.gov/dataentry/public/tv/draftCopy.html?displayType=html&amp;appKey=25076ff37414384b0174271781c61234&amp;id=25076ff37414384b0174271781c61234&amp;goBack=N" TargetMode="External" /><Relationship Id="rId7" Type="http://schemas.openxmlformats.org/officeDocument/2006/relationships/hyperlink" Target="https://www.cumulusmedia.com/about-us/executive-leadership-team/" TargetMode="External" /><Relationship Id="rId8" Type="http://schemas.openxmlformats.org/officeDocument/2006/relationships/hyperlink" Target="https://www.insideradio.com/emerging-from-chapter-11-cumulus-turns-page-on-new-chapter/article_b6193d3c-6882-11e8-85d1-0b7d91a4acdb.html?utm_medium=social&amp;utm_source=email&amp;utm_campaign=user-share" TargetMode="External" /><Relationship Id="rId9" Type="http://schemas.openxmlformats.org/officeDocument/2006/relationships/hyperlink" Target="https://www.fcc.gov/licensing-databases/fees/fcc-remittance-advice-form-159"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