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42DAE" w:rsidRPr="003E0585" w:rsidP="00B42DAE" w14:paraId="7715BEBB" w14:textId="77777777">
      <w:pPr>
        <w:ind w:firstLine="720"/>
        <w:jc w:val="center"/>
        <w:rPr>
          <w:b/>
          <w:bCs/>
          <w:szCs w:val="22"/>
        </w:rPr>
      </w:pPr>
      <w:r w:rsidRPr="003E0585">
        <w:rPr>
          <w:b/>
          <w:bCs/>
          <w:szCs w:val="22"/>
        </w:rPr>
        <w:t>DISSENTING STATEMENT OF</w:t>
      </w:r>
    </w:p>
    <w:p w:rsidR="00B42DAE" w:rsidRPr="003E0585" w:rsidP="00B42DAE" w14:paraId="18430339" w14:textId="77777777">
      <w:pPr>
        <w:ind w:firstLine="720"/>
        <w:jc w:val="center"/>
        <w:rPr>
          <w:b/>
          <w:bCs/>
          <w:szCs w:val="22"/>
        </w:rPr>
      </w:pPr>
      <w:r w:rsidRPr="003E0585">
        <w:rPr>
          <w:b/>
          <w:bCs/>
          <w:szCs w:val="22"/>
        </w:rPr>
        <w:t xml:space="preserve"> COMMISSIONER NATHAN SIMINGTON</w:t>
      </w:r>
    </w:p>
    <w:p w:rsidR="00B42DAE" w:rsidRPr="003E0585" w:rsidP="00B42DAE" w14:paraId="5DDF5BC6" w14:textId="77777777">
      <w:pPr>
        <w:ind w:firstLine="720"/>
        <w:jc w:val="center"/>
        <w:rPr>
          <w:b/>
          <w:bCs/>
          <w:szCs w:val="22"/>
        </w:rPr>
      </w:pPr>
    </w:p>
    <w:p w:rsidR="00B42DAE" w:rsidRPr="00BC7A91" w:rsidP="00B42DAE" w14:paraId="5CD0B25D" w14:textId="77777777">
      <w:pPr>
        <w:tabs>
          <w:tab w:val="center" w:pos="4680"/>
        </w:tabs>
        <w:suppressAutoHyphens/>
        <w:ind w:left="720" w:hanging="720"/>
        <w:rPr>
          <w:spacing w:val="-2"/>
          <w:szCs w:val="22"/>
        </w:rPr>
      </w:pPr>
      <w:r w:rsidRPr="00BC7A91">
        <w:rPr>
          <w:szCs w:val="22"/>
        </w:rPr>
        <w:t>Re:</w:t>
      </w:r>
      <w:r w:rsidRPr="00BC7A91">
        <w:rPr>
          <w:szCs w:val="22"/>
        </w:rPr>
        <w:tab/>
      </w:r>
      <w:r w:rsidRPr="003E0585">
        <w:rPr>
          <w:i/>
          <w:iCs/>
          <w:szCs w:val="22"/>
        </w:rPr>
        <w:t>In the Matter of</w:t>
      </w:r>
      <w:r>
        <w:rPr>
          <w:szCs w:val="22"/>
        </w:rPr>
        <w:t xml:space="preserve"> </w:t>
      </w:r>
      <w:r w:rsidRPr="00BC7A91">
        <w:rPr>
          <w:i/>
          <w:iCs/>
          <w:szCs w:val="22"/>
        </w:rPr>
        <w:t>Verizon Communications</w:t>
      </w:r>
      <w:r w:rsidRPr="00BC7A91">
        <w:rPr>
          <w:szCs w:val="22"/>
        </w:rPr>
        <w:t>, Forfeiture Order, File No.:  EB-TCD-18-00027698</w:t>
      </w:r>
      <w:r>
        <w:rPr>
          <w:szCs w:val="22"/>
        </w:rPr>
        <w:t xml:space="preserve"> (April 17, 2024)</w:t>
      </w:r>
    </w:p>
    <w:p w:rsidR="00B42DAE" w:rsidRPr="003E0585" w:rsidP="00B42DAE" w14:paraId="4D578827" w14:textId="77777777">
      <w:pPr>
        <w:pStyle w:val="xmsonormal"/>
        <w:rPr>
          <w:rFonts w:ascii="Times New Roman" w:hAnsi="Times New Roman" w:cs="Times New Roman"/>
        </w:rPr>
      </w:pPr>
    </w:p>
    <w:p w:rsidR="00B42DAE" w:rsidRPr="003E0585" w:rsidP="00B42DAE" w14:paraId="320F2F5D" w14:textId="77777777">
      <w:pPr>
        <w:pStyle w:val="xmsonormal"/>
        <w:spacing w:after="120"/>
        <w:rPr>
          <w:rFonts w:ascii="Times New Roman" w:hAnsi="Times New Roman" w:cs="Times New Roman"/>
        </w:rPr>
      </w:pPr>
      <w:r w:rsidRPr="003E0585">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B42DAE" w:rsidRPr="003E0585" w:rsidP="00B42DAE" w14:paraId="0B98CB8B" w14:textId="77777777">
      <w:pPr>
        <w:pStyle w:val="xmsonormal"/>
        <w:spacing w:after="120"/>
        <w:ind w:firstLine="720"/>
        <w:rPr>
          <w:rFonts w:ascii="Times New Roman" w:hAnsi="Times New Roman" w:cs="Times New Roman"/>
        </w:rPr>
      </w:pPr>
      <w:r w:rsidRPr="003E0585">
        <w:rPr>
          <w:rFonts w:ascii="Times New Roman" w:hAnsi="Times New Roman" w:cs="Times New Roman"/>
        </w:rPr>
        <w:t xml:space="preserve">There is no valid basis for the arbitrary and capricious finding—enunciated in the Commission's erroneous rationale in </w:t>
      </w:r>
      <w:r w:rsidRPr="003E0585">
        <w:rPr>
          <w:rFonts w:ascii="Times New Roman" w:hAnsi="Times New Roman" w:cs="Times New Roman"/>
          <w:i/>
          <w:iCs/>
        </w:rPr>
        <w:t>TerraCom</w:t>
      </w:r>
      <w:r w:rsidRPr="003E0585">
        <w:rPr>
          <w:rFonts w:ascii="Times New Roman" w:hAnsi="Times New Roman" w:cs="Times New Roman"/>
          <w:i/>
          <w:iCs/>
        </w:rPr>
        <w:t xml:space="preserve"> Inc. and </w:t>
      </w:r>
      <w:r w:rsidRPr="003E0585">
        <w:rPr>
          <w:rFonts w:ascii="Times New Roman" w:hAnsi="Times New Roman" w:cs="Times New Roman"/>
          <w:i/>
          <w:iCs/>
        </w:rPr>
        <w:t>YourTel</w:t>
      </w:r>
      <w:r w:rsidRPr="003E0585">
        <w:rPr>
          <w:rFonts w:ascii="Times New Roman" w:hAnsi="Times New Roman" w:cs="Times New Roman"/>
          <w:i/>
          <w:iCs/>
        </w:rPr>
        <w:t xml:space="preserve"> America, Inc.</w:t>
      </w:r>
      <w:r w:rsidRPr="003E0585">
        <w:rPr>
          <w:rFonts w:ascii="Times New Roman" w:hAnsi="Times New Roman" w:cs="Times New Roman"/>
        </w:rPr>
        <w:t xml:space="preserve">, Notice of Apparent Liability for Forfeiture, 29 FCC </w:t>
      </w:r>
      <w:r w:rsidRPr="003E0585">
        <w:rPr>
          <w:rFonts w:ascii="Times New Roman" w:hAnsi="Times New Roman" w:cs="Times New Roman"/>
        </w:rPr>
        <w:t>Rcd</w:t>
      </w:r>
      <w:r w:rsidRPr="003E0585">
        <w:rPr>
          <w:rFonts w:ascii="Times New Roman" w:hAnsi="Times New Roman" w:cs="Times New Roman"/>
        </w:rPr>
        <w:t xml:space="preserve"> 13325 (2014) (</w:t>
      </w:r>
      <w:r w:rsidRPr="003E0585">
        <w:rPr>
          <w:rFonts w:ascii="Times New Roman" w:hAnsi="Times New Roman" w:cs="Times New Roman"/>
          <w:i/>
          <w:iCs/>
        </w:rPr>
        <w:t>'</w:t>
      </w:r>
      <w:r w:rsidRPr="003E0585">
        <w:rPr>
          <w:rFonts w:ascii="Times New Roman" w:hAnsi="Times New Roman" w:cs="Times New Roman"/>
          <w:i/>
          <w:iCs/>
        </w:rPr>
        <w:t>TerraCom</w:t>
      </w:r>
      <w:r w:rsidRPr="003E0585">
        <w:rPr>
          <w:rFonts w:ascii="Times New Roman" w:hAnsi="Times New Roman" w:cs="Times New Roman"/>
          <w:i/>
          <w:iCs/>
        </w:rPr>
        <w:t>'</w:t>
      </w:r>
      <w:r w:rsidRPr="003E0585">
        <w:rPr>
          <w:rFonts w:ascii="Times New Roman" w:hAnsi="Times New Roman" w:cs="Times New Roman"/>
        </w:rPr>
        <w:t xml:space="preserve">) and relied upon today—that a single, systemic failure to follow the Commission's rules (in that case, violations of </w:t>
      </w:r>
      <w:r>
        <w:rPr>
          <w:rFonts w:ascii="Times New Roman" w:hAnsi="Times New Roman" w:cs="Times New Roman"/>
        </w:rPr>
        <w:t>s</w:t>
      </w:r>
      <w:r w:rsidRPr="003E0585">
        <w:rPr>
          <w:rFonts w:ascii="Times New Roman" w:hAnsi="Times New Roman" w:cs="Times New Roman"/>
        </w:rPr>
        <w:t xml:space="preserve">ections 201(b) and 222(a) of the Act; here, a violation of </w:t>
      </w:r>
      <w:r>
        <w:rPr>
          <w:rFonts w:ascii="Times New Roman" w:hAnsi="Times New Roman" w:cs="Times New Roman"/>
        </w:rPr>
        <w:t>s</w:t>
      </w:r>
      <w:r w:rsidRPr="003E0585">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3E0585">
        <w:rPr>
          <w:rFonts w:ascii="Times New Roman" w:hAnsi="Times New Roman" w:cs="Times New Roman"/>
          <w:i/>
          <w:iCs/>
        </w:rPr>
        <w:t>TerraCom</w:t>
      </w:r>
      <w:r w:rsidRPr="003E0585">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B42DAE" w:rsidRPr="003E0585" w:rsidP="00B42DAE" w14:paraId="7FC55548" w14:textId="77777777">
      <w:pPr>
        <w:pStyle w:val="xmsonormal"/>
        <w:spacing w:after="120"/>
        <w:ind w:firstLine="720"/>
        <w:rPr>
          <w:rFonts w:ascii="Times New Roman" w:hAnsi="Times New Roman" w:cs="Times New Roman"/>
        </w:rPr>
      </w:pPr>
      <w:r w:rsidRPr="003E0585">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w:t>
      </w:r>
      <w:r w:rsidRPr="003E0585">
        <w:rPr>
          <w:rFonts w:ascii="Times New Roman" w:hAnsi="Times New Roman" w:cs="Times New Roman"/>
        </w:rPr>
        <w:t>regulatee</w:t>
      </w:r>
      <w:r w:rsidRPr="003E0585">
        <w:rPr>
          <w:rFonts w:ascii="Times New Roman" w:hAnsi="Times New Roman" w:cs="Times New Roman"/>
        </w:rPr>
        <w:t xml:space="preserve"> alleged to be in violation of our rules is to exceed our </w:t>
      </w:r>
      <w:r>
        <w:rPr>
          <w:rFonts w:ascii="Times New Roman" w:hAnsi="Times New Roman" w:cs="Times New Roman"/>
        </w:rPr>
        <w:t>s</w:t>
      </w:r>
      <w:r w:rsidRPr="003E0585">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3E0585">
        <w:rPr>
          <w:rFonts w:ascii="Times New Roman" w:hAnsi="Times New Roman" w:cs="Times New Roman"/>
          <w:i/>
          <w:iCs/>
        </w:rPr>
        <w:t>TerraCom</w:t>
      </w:r>
      <w:r w:rsidRPr="003E0585">
        <w:rPr>
          <w:rFonts w:ascii="Times New Roman" w:hAnsi="Times New Roman" w:cs="Times New Roman"/>
        </w:rPr>
        <w:t>, we asserted the right to exceed it by thousands.</w:t>
      </w:r>
    </w:p>
    <w:p w:rsidR="00B42DAE" w:rsidRPr="003E0585" w:rsidP="00B42DAE" w14:paraId="5065976D" w14:textId="77777777">
      <w:pPr>
        <w:pStyle w:val="xmsonormal"/>
        <w:spacing w:after="120"/>
        <w:ind w:firstLine="720"/>
        <w:rPr>
          <w:rFonts w:ascii="Times New Roman" w:hAnsi="Times New Roman" w:cs="Times New Roman"/>
        </w:rPr>
      </w:pPr>
      <w:r w:rsidRPr="003E0585">
        <w:rPr>
          <w:rFonts w:ascii="Times New Roman" w:hAnsi="Times New Roman" w:cs="Times New Roman"/>
        </w:rPr>
        <w:t xml:space="preserve">What's more, the Commission ought to act prudentially here: even assuming, purely </w:t>
      </w:r>
      <w:r w:rsidRPr="003E0585">
        <w:rPr>
          <w:rFonts w:ascii="Times New Roman" w:hAnsi="Times New Roman" w:cs="Times New Roman"/>
          <w:i/>
          <w:iCs/>
        </w:rPr>
        <w:t>arguendo</w:t>
      </w:r>
      <w:r w:rsidRPr="003E0585">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B42DAE" w:rsidRPr="008928BF" w:rsidP="00B42DAE" w14:paraId="646F1C91" w14:textId="77777777">
      <w:pPr>
        <w:pStyle w:val="xmsonormal"/>
        <w:spacing w:after="120"/>
        <w:ind w:firstLine="720"/>
        <w:rPr>
          <w:rFonts w:ascii="Times New Roman" w:hAnsi="Times New Roman" w:cs="Times New Roman"/>
        </w:rPr>
      </w:pPr>
      <w:r w:rsidRPr="003E0585">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p w:rsidR="00B42DAE" w14:paraId="210E116C" w14:textId="77777777"/>
    <w:sectPr w:rsidSect="00B42DAE">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DAE" w:rsidRPr="00B42DAE" w14:paraId="115E79E3" w14:textId="2DD43857">
    <w:pPr>
      <w:pStyle w:val="Header"/>
      <w:rPr>
        <w:rFonts w:ascii="Times New Roman" w:hAnsi="Times New Roman" w:cs="Times New Roman"/>
        <w:b/>
        <w:bCs/>
        <w:sz w:val="22"/>
        <w:szCs w:val="22"/>
      </w:rPr>
    </w:pPr>
    <w:r w:rsidRPr="00B42DAE">
      <w:rPr>
        <w:rFonts w:ascii="Times New Roman" w:hAnsi="Times New Roman" w:cs="Times New Roman"/>
        <w:b/>
        <w:bCs/>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B42DAE">
      <w:rPr>
        <w:rFonts w:ascii="Times New Roman" w:hAnsi="Times New Roman" w:cs="Times New Roman"/>
        <w:b/>
        <w:bCs/>
        <w:sz w:val="22"/>
        <w:szCs w:val="22"/>
      </w:rPr>
      <w:tab/>
      <w:t>Federal Communications Commission</w:t>
    </w:r>
    <w:r w:rsidRPr="00B42DAE">
      <w:rPr>
        <w:rFonts w:ascii="Times New Roman" w:hAnsi="Times New Roman" w:cs="Times New Roman"/>
        <w:b/>
        <w:bCs/>
        <w:sz w:val="22"/>
        <w:szCs w:val="22"/>
      </w:rPr>
      <w:tab/>
      <w:t>FCC 24</w:t>
    </w:r>
    <w:r w:rsidRPr="00B42DAE">
      <w:rPr>
        <w:rFonts w:ascii="Times New Roman" w:hAnsi="Times New Roman" w:cs="Times New Roman"/>
        <w:b/>
        <w:bCs/>
        <w:spacing w:val="-2"/>
        <w:sz w:val="22"/>
        <w:szCs w:val="22"/>
      </w:rPr>
      <w:t>-41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AE"/>
    <w:rsid w:val="003E0585"/>
    <w:rsid w:val="008928BF"/>
    <w:rsid w:val="00B42DAE"/>
    <w:rsid w:val="00BC7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F75FB0"/>
  <w15:chartTrackingRefBased/>
  <w15:docId w15:val="{ED070E8D-B87F-4A29-87D4-344F7745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DAE"/>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B42DAE"/>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42DAE"/>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42DAE"/>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42DAE"/>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42DAE"/>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42DAE"/>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42DAE"/>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42DAE"/>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42DAE"/>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2D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2D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2D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D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D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D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D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DAE"/>
    <w:rPr>
      <w:rFonts w:eastAsiaTheme="majorEastAsia" w:cstheme="majorBidi"/>
      <w:color w:val="272727" w:themeColor="text1" w:themeTint="D8"/>
    </w:rPr>
  </w:style>
  <w:style w:type="paragraph" w:styleId="Title">
    <w:name w:val="Title"/>
    <w:basedOn w:val="Normal"/>
    <w:next w:val="Normal"/>
    <w:link w:val="TitleChar"/>
    <w:uiPriority w:val="10"/>
    <w:qFormat/>
    <w:rsid w:val="00B42DAE"/>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B42D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DAE"/>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42D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DAE"/>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42DAE"/>
    <w:rPr>
      <w:i/>
      <w:iCs/>
      <w:color w:val="404040" w:themeColor="text1" w:themeTint="BF"/>
    </w:rPr>
  </w:style>
  <w:style w:type="paragraph" w:styleId="ListParagraph">
    <w:name w:val="List Paragraph"/>
    <w:basedOn w:val="Normal"/>
    <w:uiPriority w:val="34"/>
    <w:qFormat/>
    <w:rsid w:val="00B42DAE"/>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B42DAE"/>
    <w:rPr>
      <w:i/>
      <w:iCs/>
      <w:color w:val="0F4761" w:themeColor="accent1" w:themeShade="BF"/>
    </w:rPr>
  </w:style>
  <w:style w:type="paragraph" w:styleId="IntenseQuote">
    <w:name w:val="Intense Quote"/>
    <w:basedOn w:val="Normal"/>
    <w:next w:val="Normal"/>
    <w:link w:val="IntenseQuoteChar"/>
    <w:uiPriority w:val="30"/>
    <w:qFormat/>
    <w:rsid w:val="00B42DAE"/>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42DAE"/>
    <w:rPr>
      <w:i/>
      <w:iCs/>
      <w:color w:val="0F4761" w:themeColor="accent1" w:themeShade="BF"/>
    </w:rPr>
  </w:style>
  <w:style w:type="character" w:styleId="IntenseReference">
    <w:name w:val="Intense Reference"/>
    <w:basedOn w:val="DefaultParagraphFont"/>
    <w:uiPriority w:val="32"/>
    <w:qFormat/>
    <w:rsid w:val="00B42DAE"/>
    <w:rPr>
      <w:b/>
      <w:bCs/>
      <w:smallCaps/>
      <w:color w:val="0F4761" w:themeColor="accent1" w:themeShade="BF"/>
      <w:spacing w:val="5"/>
    </w:rPr>
  </w:style>
  <w:style w:type="paragraph" w:styleId="Header">
    <w:name w:val="header"/>
    <w:basedOn w:val="Normal"/>
    <w:link w:val="HeaderChar"/>
    <w:unhideWhenUsed/>
    <w:rsid w:val="00B42DAE"/>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rsid w:val="00B42DAE"/>
  </w:style>
  <w:style w:type="paragraph" w:styleId="Footer">
    <w:name w:val="footer"/>
    <w:basedOn w:val="Normal"/>
    <w:link w:val="FooterChar"/>
    <w:uiPriority w:val="99"/>
    <w:unhideWhenUsed/>
    <w:rsid w:val="00B42DAE"/>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B42DAE"/>
  </w:style>
  <w:style w:type="paragraph" w:customStyle="1" w:styleId="xmsonormal">
    <w:name w:val="x_msonormal"/>
    <w:basedOn w:val="Normal"/>
    <w:rsid w:val="00B42DAE"/>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