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B334E" w:rsidRPr="00854105" w:rsidP="005B334E" w14:paraId="276EB8B5" w14:textId="77777777">
      <w:pPr>
        <w:tabs>
          <w:tab w:val="left" w:pos="2475"/>
          <w:tab w:val="center" w:pos="4680"/>
        </w:tabs>
        <w:jc w:val="center"/>
        <w:rPr>
          <w:b/>
          <w:szCs w:val="22"/>
        </w:rPr>
      </w:pPr>
      <w:r w:rsidRPr="00854105">
        <w:rPr>
          <w:b/>
          <w:szCs w:val="22"/>
        </w:rPr>
        <w:t>STATEMENT OF</w:t>
      </w:r>
    </w:p>
    <w:p w:rsidR="005B334E" w:rsidRPr="00854105" w:rsidP="005B334E" w14:paraId="5DB0BF9C" w14:textId="77777777">
      <w:pPr>
        <w:jc w:val="center"/>
        <w:rPr>
          <w:b/>
          <w:szCs w:val="22"/>
        </w:rPr>
      </w:pPr>
      <w:r w:rsidRPr="00854105">
        <w:rPr>
          <w:b/>
          <w:szCs w:val="22"/>
        </w:rPr>
        <w:t>CHAIRWOMAN JESSICA ROSENWORCEL</w:t>
      </w:r>
    </w:p>
    <w:p w:rsidR="005B334E" w:rsidRPr="00854105" w:rsidP="005B334E" w14:paraId="60B3A4ED" w14:textId="77777777">
      <w:pPr>
        <w:jc w:val="center"/>
        <w:rPr>
          <w:b/>
          <w:szCs w:val="22"/>
        </w:rPr>
      </w:pPr>
    </w:p>
    <w:p w:rsidR="005B334E" w:rsidRPr="00854105" w:rsidP="005B334E" w14:paraId="66CB0F75" w14:textId="77777777">
      <w:pPr>
        <w:tabs>
          <w:tab w:val="center" w:pos="4680"/>
        </w:tabs>
        <w:suppressAutoHyphens/>
        <w:ind w:left="720" w:hanging="720"/>
        <w:rPr>
          <w:spacing w:val="-2"/>
          <w:szCs w:val="22"/>
        </w:rPr>
      </w:pPr>
      <w:r w:rsidRPr="00854105">
        <w:rPr>
          <w:szCs w:val="22"/>
        </w:rPr>
        <w:t>Re:</w:t>
      </w:r>
      <w:r w:rsidRPr="00854105">
        <w:rPr>
          <w:szCs w:val="22"/>
        </w:rPr>
        <w:tab/>
      </w:r>
      <w:r w:rsidRPr="001F5335">
        <w:rPr>
          <w:i/>
          <w:iCs/>
          <w:szCs w:val="22"/>
        </w:rPr>
        <w:t>In the Matter of</w:t>
      </w:r>
      <w:r>
        <w:rPr>
          <w:szCs w:val="22"/>
        </w:rPr>
        <w:t xml:space="preserve"> </w:t>
      </w:r>
      <w:r w:rsidRPr="001F5335">
        <w:rPr>
          <w:i/>
          <w:iCs/>
          <w:szCs w:val="22"/>
        </w:rPr>
        <w:t>Sprint Corporation</w:t>
      </w:r>
      <w:r w:rsidRPr="001F5335">
        <w:rPr>
          <w:szCs w:val="22"/>
        </w:rPr>
        <w:t>, Forfeiture Order, File No.:  EB-TCD-18-00027700</w:t>
      </w:r>
      <w:r>
        <w:rPr>
          <w:szCs w:val="22"/>
        </w:rPr>
        <w:t xml:space="preserve"> (April 17, 2024)</w:t>
      </w:r>
    </w:p>
    <w:p w:rsidR="005B334E" w:rsidRPr="00854105" w:rsidP="005B334E" w14:paraId="171CE2E8" w14:textId="77777777">
      <w:pPr>
        <w:rPr>
          <w:szCs w:val="22"/>
        </w:rPr>
      </w:pPr>
    </w:p>
    <w:p w:rsidR="005B334E" w:rsidP="005B334E" w14:paraId="4A39AB3B" w14:textId="77777777">
      <w:pPr>
        <w:ind w:firstLine="720"/>
        <w:rPr>
          <w:szCs w:val="22"/>
        </w:r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p>
    <w:p w:rsidR="005B334E" w:rsidP="005B334E" w14:paraId="216AE52E" w14:textId="77777777">
      <w:pPr>
        <w:rPr>
          <w:szCs w:val="22"/>
        </w:rPr>
      </w:pPr>
    </w:p>
    <w:p w:rsidR="005B334E" w:rsidP="005B334E" w14:paraId="1CE6DB06" w14:textId="77777777">
      <w:pPr>
        <w:rPr>
          <w:szCs w:val="22"/>
        </w:rPr>
      </w:pPr>
    </w:p>
    <w:p w:rsidR="005B334E" w:rsidP="005B334E" w14:paraId="5F6D2954" w14:textId="77777777">
      <w:pPr>
        <w:rPr>
          <w:szCs w:val="22"/>
        </w:rPr>
      </w:pPr>
    </w:p>
    <w:p w:rsidR="005B334E" w14:paraId="7084A467" w14:textId="77777777"/>
    <w:sectPr w:rsidSect="005B334E">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34E" w:rsidRPr="005B334E" w:rsidP="005B334E" w14:paraId="1544833E" w14:textId="77777777">
    <w:pPr>
      <w:tabs>
        <w:tab w:val="center" w:pos="4680"/>
        <w:tab w:val="right" w:pos="9360"/>
      </w:tabs>
    </w:pPr>
    <w:r w:rsidRPr="005B334E">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5B334E">
      <w:rPr>
        <w:b/>
      </w:rPr>
      <w:tab/>
      <w:t>Federal Communications Commission</w:t>
    </w:r>
    <w:r w:rsidRPr="005B334E">
      <w:rPr>
        <w:b/>
      </w:rPr>
      <w:tab/>
    </w:r>
    <w:r w:rsidRPr="005B334E">
      <w:rPr>
        <w:b/>
        <w:spacing w:val="-2"/>
      </w:rPr>
      <w:t>FCC 24-42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4E"/>
    <w:rsid w:val="001F5335"/>
    <w:rsid w:val="005B334E"/>
    <w:rsid w:val="008541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751DE8"/>
  <w15:chartTrackingRefBased/>
  <w15:docId w15:val="{9C05EA28-AC4D-41BA-A868-87BC7A85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34E"/>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5B334E"/>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B334E"/>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B334E"/>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B334E"/>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B334E"/>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B334E"/>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B334E"/>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B334E"/>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B334E"/>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3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33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33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33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33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33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33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33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334E"/>
    <w:rPr>
      <w:rFonts w:eastAsiaTheme="majorEastAsia" w:cstheme="majorBidi"/>
      <w:color w:val="272727" w:themeColor="text1" w:themeTint="D8"/>
    </w:rPr>
  </w:style>
  <w:style w:type="paragraph" w:styleId="Title">
    <w:name w:val="Title"/>
    <w:basedOn w:val="Normal"/>
    <w:next w:val="Normal"/>
    <w:link w:val="TitleChar"/>
    <w:uiPriority w:val="10"/>
    <w:qFormat/>
    <w:rsid w:val="005B334E"/>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5B3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334E"/>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B33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334E"/>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B334E"/>
    <w:rPr>
      <w:i/>
      <w:iCs/>
      <w:color w:val="404040" w:themeColor="text1" w:themeTint="BF"/>
    </w:rPr>
  </w:style>
  <w:style w:type="paragraph" w:styleId="ListParagraph">
    <w:name w:val="List Paragraph"/>
    <w:basedOn w:val="Normal"/>
    <w:uiPriority w:val="34"/>
    <w:qFormat/>
    <w:rsid w:val="005B334E"/>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5B334E"/>
    <w:rPr>
      <w:i/>
      <w:iCs/>
      <w:color w:val="0F4761" w:themeColor="accent1" w:themeShade="BF"/>
    </w:rPr>
  </w:style>
  <w:style w:type="paragraph" w:styleId="IntenseQuote">
    <w:name w:val="Intense Quote"/>
    <w:basedOn w:val="Normal"/>
    <w:next w:val="Normal"/>
    <w:link w:val="IntenseQuoteChar"/>
    <w:uiPriority w:val="30"/>
    <w:qFormat/>
    <w:rsid w:val="005B334E"/>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B334E"/>
    <w:rPr>
      <w:i/>
      <w:iCs/>
      <w:color w:val="0F4761" w:themeColor="accent1" w:themeShade="BF"/>
    </w:rPr>
  </w:style>
  <w:style w:type="character" w:styleId="IntenseReference">
    <w:name w:val="Intense Reference"/>
    <w:basedOn w:val="DefaultParagraphFont"/>
    <w:uiPriority w:val="32"/>
    <w:qFormat/>
    <w:rsid w:val="005B334E"/>
    <w:rPr>
      <w:b/>
      <w:bCs/>
      <w:smallCaps/>
      <w:color w:val="0F4761" w:themeColor="accent1" w:themeShade="BF"/>
      <w:spacing w:val="5"/>
    </w:rPr>
  </w:style>
  <w:style w:type="paragraph" w:styleId="Header">
    <w:name w:val="header"/>
    <w:basedOn w:val="Normal"/>
    <w:link w:val="HeaderChar"/>
    <w:uiPriority w:val="99"/>
    <w:unhideWhenUsed/>
    <w:rsid w:val="005B334E"/>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5B334E"/>
  </w:style>
  <w:style w:type="paragraph" w:styleId="Footer">
    <w:name w:val="footer"/>
    <w:basedOn w:val="Normal"/>
    <w:link w:val="FooterChar"/>
    <w:uiPriority w:val="99"/>
    <w:unhideWhenUsed/>
    <w:rsid w:val="005B334E"/>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5B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