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E1671" w:rsidRPr="00DD307B" w:rsidP="00FE1671" w14:paraId="14103564" w14:textId="77777777">
      <w:pPr>
        <w:shd w:val="clear" w:color="auto" w:fill="FFFFFF"/>
        <w:jc w:val="center"/>
        <w:rPr>
          <w:b/>
          <w:bCs/>
          <w:caps/>
          <w:szCs w:val="22"/>
        </w:rPr>
      </w:pPr>
      <w:r w:rsidRPr="00DD307B">
        <w:rPr>
          <w:b/>
          <w:bCs/>
          <w:caps/>
          <w:szCs w:val="22"/>
        </w:rPr>
        <w:t>Dissenting Statement of</w:t>
      </w:r>
    </w:p>
    <w:p w:rsidR="00FE1671" w:rsidP="00FE1671" w14:paraId="4CDD0BB4" w14:textId="77777777">
      <w:pPr>
        <w:shd w:val="clear" w:color="auto" w:fill="FFFFFF"/>
        <w:jc w:val="center"/>
        <w:rPr>
          <w:b/>
          <w:bCs/>
          <w:caps/>
          <w:szCs w:val="22"/>
        </w:rPr>
      </w:pPr>
      <w:r w:rsidRPr="00DD307B">
        <w:rPr>
          <w:b/>
          <w:bCs/>
          <w:caps/>
          <w:szCs w:val="22"/>
        </w:rPr>
        <w:t>Commissioner Brendan Carr</w:t>
      </w:r>
    </w:p>
    <w:p w:rsidR="00FE1671" w:rsidP="00FE1671" w14:paraId="5716D214" w14:textId="77777777">
      <w:pPr>
        <w:shd w:val="clear" w:color="auto" w:fill="FFFFFF"/>
        <w:rPr>
          <w:szCs w:val="22"/>
        </w:rPr>
      </w:pPr>
    </w:p>
    <w:p w:rsidR="00FE1671" w:rsidRPr="00204F6E" w:rsidP="00FE1671" w14:paraId="2186335E" w14:textId="77777777">
      <w:pPr>
        <w:ind w:left="720" w:hanging="720"/>
        <w:rPr>
          <w:szCs w:val="22"/>
        </w:rPr>
      </w:pPr>
      <w:r w:rsidRPr="00204F6E">
        <w:rPr>
          <w:iCs/>
          <w:szCs w:val="22"/>
        </w:rPr>
        <w:t>Re:</w:t>
      </w:r>
      <w:r w:rsidRPr="00204F6E">
        <w:rPr>
          <w:szCs w:val="22"/>
        </w:rPr>
        <w:t xml:space="preserve"> </w:t>
      </w:r>
      <w:r w:rsidRPr="00204F6E">
        <w:rPr>
          <w:szCs w:val="22"/>
        </w:rPr>
        <w:tab/>
      </w:r>
      <w:r w:rsidRPr="001F5335">
        <w:rPr>
          <w:i/>
          <w:iCs/>
          <w:szCs w:val="22"/>
        </w:rPr>
        <w:t>In the Matter of</w:t>
      </w:r>
      <w:r>
        <w:rPr>
          <w:szCs w:val="22"/>
        </w:rPr>
        <w:t xml:space="preserve"> </w:t>
      </w:r>
      <w:r w:rsidRPr="001F5335">
        <w:rPr>
          <w:i/>
          <w:iCs/>
          <w:szCs w:val="22"/>
        </w:rPr>
        <w:t>Sprint Corporation</w:t>
      </w:r>
      <w:r w:rsidRPr="001F5335">
        <w:rPr>
          <w:szCs w:val="22"/>
        </w:rPr>
        <w:t>, Forfeiture Order, File No.:  EB-TCD-18-00027700</w:t>
      </w:r>
      <w:r>
        <w:rPr>
          <w:szCs w:val="22"/>
        </w:rPr>
        <w:t xml:space="preserve"> (April 17, 2024)</w:t>
      </w:r>
    </w:p>
    <w:p w:rsidR="00FE1671" w:rsidP="00FE1671" w14:paraId="346D586B" w14:textId="77777777">
      <w:pPr>
        <w:shd w:val="clear" w:color="auto" w:fill="FFFFFF"/>
        <w:rPr>
          <w:szCs w:val="22"/>
        </w:rPr>
      </w:pPr>
    </w:p>
    <w:p w:rsidR="00FE1671" w:rsidP="00FE1671" w14:paraId="61E5CE58" w14:textId="77777777">
      <w:pPr>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FE1671" w:rsidP="00FE1671" w14:paraId="4829FF21" w14:textId="77777777">
      <w:pPr>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FE1671" w:rsidRPr="00DD307B" w:rsidP="00FE1671" w14:paraId="0E2D63D1" w14:textId="77777777">
      <w:pPr>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FE1671" w:rsidP="00FE1671" w14:paraId="7E5AFFB2" w14:textId="77777777">
      <w:pPr>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FE1671" w:rsidRPr="00DD307B" w:rsidP="00FE1671" w14:paraId="04104767" w14:textId="77777777">
      <w:pPr>
        <w:shd w:val="clear" w:color="auto" w:fill="FFFFFF"/>
        <w:spacing w:after="120"/>
        <w:ind w:firstLine="720"/>
        <w:rPr>
          <w:szCs w:val="22"/>
        </w:rPr>
      </w:pPr>
      <w:r>
        <w:rPr>
          <w:szCs w:val="22"/>
        </w:rPr>
        <w:t>Here’s why.  Unlike the FTC, Congress has provided the FCC with both limited and circumscribed authority over privacy.  Congress delineated the narrow contours of our authority in section 222 of the Communications Act.  The services at issue in these cases plainly fall outside the scope of the FCC’s section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FE1671" w:rsidP="00FE1671" w14:paraId="7F8FF815" w14:textId="77777777">
      <w:pPr>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FE1671" w:rsidP="00FE1671" w14:paraId="512D2A46" w14:textId="77777777">
      <w:pPr>
        <w:shd w:val="clear" w:color="auto" w:fill="FFFFFF"/>
        <w:spacing w:after="120"/>
        <w:ind w:firstLine="720"/>
        <w:rPr>
          <w:szCs w:val="22"/>
        </w:rPr>
      </w:pPr>
      <w:r w:rsidRPr="00DD307B">
        <w:rPr>
          <w:szCs w:val="22"/>
        </w:rPr>
        <w:t xml:space="preserve">That cannot be right.  Start with the definition of CPNI, which </w:t>
      </w:r>
      <w:r>
        <w:rPr>
          <w:szCs w:val="22"/>
        </w:rPr>
        <w:t>s</w:t>
      </w:r>
      <w:r w:rsidRPr="00DD307B">
        <w:rPr>
          <w:szCs w:val="22"/>
        </w:rPr>
        <w:t xml:space="preserve">ection 222 of the Communications Act defines as:  </w:t>
      </w:r>
    </w:p>
    <w:p w:rsidR="00FE1671" w:rsidRPr="00DD307B" w:rsidP="00FE1671" w14:paraId="4CBBA7F4" w14:textId="77777777">
      <w:pPr>
        <w:widowControl/>
        <w:shd w:val="clear" w:color="auto" w:fill="FFFFFF"/>
        <w:spacing w:after="120"/>
        <w:ind w:left="720"/>
        <w:rPr>
          <w:szCs w:val="22"/>
        </w:rPr>
      </w:pPr>
      <w:r w:rsidRPr="00DD307B">
        <w:rPr>
          <w:szCs w:val="22"/>
        </w:rPr>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rPr>
          <w:rStyle w:val="FootnoteReference"/>
          <w:rFonts w:eastAsiaTheme="majorEastAsia"/>
          <w:szCs w:val="22"/>
        </w:rPr>
        <w:footnoteReference w:id="2"/>
      </w:r>
      <w:r w:rsidRPr="00DD307B">
        <w:rPr>
          <w:szCs w:val="22"/>
        </w:rPr>
        <w:t xml:space="preserve"> </w:t>
      </w:r>
    </w:p>
    <w:p w:rsidR="00FE1671" w:rsidRPr="00DD307B" w:rsidP="00FE1671" w14:paraId="56272464"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FE1671" w:rsidRPr="00DD307B" w:rsidP="00FE1671" w14:paraId="36ABE79F"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rFonts w:eastAsiaTheme="majorEastAsia"/>
          <w:szCs w:val="22"/>
        </w:rPr>
        <w:footnoteReference w:id="3"/>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FE1671" w:rsidRPr="00DD307B" w:rsidP="00FE1671" w14:paraId="7BE189B0"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rFonts w:eastAsiaTheme="majorEastAsia"/>
          <w:szCs w:val="22"/>
        </w:rPr>
        <w:footnoteReference w:id="4"/>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rFonts w:eastAsiaTheme="majorEastAsia"/>
          <w:szCs w:val="22"/>
        </w:rPr>
        <w:footnoteReference w:id="5"/>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rFonts w:eastAsiaTheme="majorEastAsia"/>
          <w:szCs w:val="22"/>
        </w:rPr>
        <w:footnoteReference w:id="6"/>
      </w:r>
      <w:r w:rsidRPr="00DD307B">
        <w:rPr>
          <w:szCs w:val="22"/>
        </w:rPr>
        <w:t xml:space="preserve">  </w:t>
      </w:r>
    </w:p>
    <w:p w:rsidR="00FE1671" w:rsidRPr="00DD307B" w:rsidP="00FE1671" w14:paraId="166C175B"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FE1671" w:rsidRPr="00DD307B" w:rsidP="00FE1671" w14:paraId="4BC8BF9F" w14:textId="77777777">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FE1671" w:rsidP="00FE1671" w14:paraId="6F6C0E20"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FE1671" w:rsidRPr="007B6912" w:rsidP="00FE1671" w14:paraId="1F66D9E3" w14:textId="77777777">
      <w:pPr>
        <w:keepNext/>
        <w:keepLines/>
        <w:shd w:val="clear" w:color="auto" w:fill="FFFFFF"/>
        <w:spacing w:after="120"/>
        <w:ind w:firstLine="720"/>
        <w:rPr>
          <w:szCs w:val="22"/>
        </w:r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rFonts w:eastAsiaTheme="majorEastAsia"/>
          <w:szCs w:val="22"/>
        </w:rPr>
        <w:footnoteReference w:id="7"/>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FE1671" w:rsidRPr="00D55B45" w:rsidP="00FE1671" w14:paraId="47C1A179" w14:textId="77777777">
      <w:pPr>
        <w:keepNext/>
        <w:keepLines/>
        <w:shd w:val="clear" w:color="auto" w:fill="FFFFFF"/>
        <w:spacing w:after="120"/>
        <w:ind w:firstLine="720"/>
        <w:rPr>
          <w:color w:val="333333"/>
          <w:kern w:val="0"/>
          <w:szCs w:val="22"/>
        </w:rPr>
      </w:pPr>
    </w:p>
    <w:p w:rsidR="00FE1671" w:rsidRPr="00854105" w:rsidP="00FE1671" w14:paraId="6A5C67C9" w14:textId="77777777">
      <w:pPr>
        <w:rPr>
          <w:szCs w:val="22"/>
        </w:rPr>
      </w:pPr>
    </w:p>
    <w:p w:rsidR="00FE1671" w14:paraId="76067923" w14:textId="77777777"/>
    <w:sectPr w:rsidSect="00FE1671">
      <w:headerReference w:type="default" r:id="rId5"/>
      <w:headerReference w:type="first" r:id="rId6"/>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1671" w:rsidP="00FE1671" w14:paraId="2C114D10" w14:textId="77777777">
      <w:r>
        <w:separator/>
      </w:r>
    </w:p>
  </w:footnote>
  <w:footnote w:type="continuationSeparator" w:id="1">
    <w:p w:rsidR="00FE1671" w:rsidP="00FE1671" w14:paraId="03366A57" w14:textId="77777777">
      <w:r>
        <w:continuationSeparator/>
      </w:r>
    </w:p>
  </w:footnote>
  <w:footnote w:id="2">
    <w:p w:rsidR="00FE1671" w:rsidRPr="009E055B" w:rsidP="00FE1671" w14:paraId="4CD43D44" w14:textId="77777777">
      <w:pPr>
        <w:pStyle w:val="FootnoteText"/>
      </w:pPr>
      <w:r w:rsidRPr="009E055B">
        <w:rPr>
          <w:rStyle w:val="FootnoteReference"/>
          <w:rFonts w:eastAsiaTheme="majorEastAsia"/>
        </w:rPr>
        <w:footnoteRef/>
      </w:r>
      <w:r w:rsidRPr="009E055B">
        <w:t xml:space="preserve"> 47 U.S.C. § 222(h)(1)(A).</w:t>
      </w:r>
    </w:p>
  </w:footnote>
  <w:footnote w:id="3">
    <w:p w:rsidR="00FE1671" w:rsidRPr="009E055B" w:rsidP="00FE1671" w14:paraId="053F327F" w14:textId="77777777">
      <w:pPr>
        <w:pStyle w:val="FootnoteText"/>
      </w:pPr>
      <w:r w:rsidRPr="009E055B">
        <w:rPr>
          <w:rStyle w:val="FootnoteReference"/>
          <w:rFonts w:eastAsiaTheme="majorEastAsia"/>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4">
    <w:p w:rsidR="00FE1671" w:rsidRPr="009E055B" w:rsidP="00FE1671" w14:paraId="6480EEFA" w14:textId="77777777">
      <w:pPr>
        <w:pStyle w:val="FootnoteText"/>
      </w:pPr>
      <w:r w:rsidRPr="009E055B">
        <w:rPr>
          <w:rStyle w:val="FootnoteReference"/>
          <w:rFonts w:eastAsiaTheme="majorEastAsia"/>
        </w:rPr>
        <w:footnoteRef/>
      </w:r>
      <w:r w:rsidRPr="009E055B">
        <w:t xml:space="preserve"> </w:t>
      </w:r>
      <w:r w:rsidRPr="009E055B">
        <w:rPr>
          <w:i/>
          <w:iCs/>
        </w:rPr>
        <w:t>Telecommunications Carriers’ Use of Customer Proprietary Network Information and Other Customer Information</w:t>
      </w:r>
      <w:r w:rsidRPr="009E055B">
        <w:t xml:space="preserve">, Declaratory Ruling, 28 FCC </w:t>
      </w:r>
      <w:r w:rsidRPr="009E055B">
        <w:t>Rcd</w:t>
      </w:r>
      <w:r w:rsidRPr="009E055B">
        <w:t xml:space="preserve"> 9609</w:t>
      </w:r>
      <w:r>
        <w:t>, para.</w:t>
      </w:r>
      <w:r w:rsidRPr="009E055B">
        <w:t xml:space="preserve"> 22 (2013).  </w:t>
      </w:r>
    </w:p>
  </w:footnote>
  <w:footnote w:id="5">
    <w:p w:rsidR="00FE1671" w:rsidRPr="009E055B" w:rsidP="00FE1671" w14:paraId="415CD98B" w14:textId="77777777">
      <w:pPr>
        <w:pStyle w:val="FootnoteText"/>
      </w:pPr>
      <w:r w:rsidRPr="009E055B">
        <w:rPr>
          <w:rStyle w:val="FootnoteReference"/>
          <w:rFonts w:eastAsiaTheme="majorEastAsia"/>
        </w:rPr>
        <w:footnoteRef/>
      </w:r>
      <w:r w:rsidRPr="009E055B">
        <w:t xml:space="preserve"> </w:t>
      </w:r>
      <w:r w:rsidRPr="009E055B">
        <w:rPr>
          <w:i/>
          <w:iCs/>
        </w:rPr>
        <w:t>Id.</w:t>
      </w:r>
      <w:r w:rsidRPr="009E055B">
        <w:t xml:space="preserve"> </w:t>
      </w:r>
      <w:r>
        <w:t>at para.</w:t>
      </w:r>
      <w:r w:rsidRPr="009E055B">
        <w:t xml:space="preserve"> 22.  </w:t>
      </w:r>
    </w:p>
  </w:footnote>
  <w:footnote w:id="6">
    <w:p w:rsidR="00FE1671" w:rsidRPr="009E055B" w:rsidP="00FE1671" w14:paraId="2212727A" w14:textId="77777777">
      <w:pPr>
        <w:pStyle w:val="FootnoteText"/>
      </w:pPr>
      <w:r w:rsidRPr="009E055B">
        <w:rPr>
          <w:rStyle w:val="FootnoteReference"/>
          <w:rFonts w:eastAsiaTheme="majorEastAsia"/>
        </w:rPr>
        <w:footnoteRef/>
      </w:r>
      <w:r w:rsidRPr="009E055B">
        <w:t xml:space="preserve"> </w:t>
      </w:r>
      <w:r w:rsidRPr="009E055B">
        <w:rPr>
          <w:i/>
          <w:iCs/>
        </w:rPr>
        <w:t>Id.</w:t>
      </w:r>
      <w:r w:rsidRPr="009E055B">
        <w:t xml:space="preserve"> </w:t>
      </w:r>
      <w:r>
        <w:t xml:space="preserve">at para. </w:t>
      </w:r>
      <w:r w:rsidRPr="009E055B">
        <w:t xml:space="preserve">25.  </w:t>
      </w:r>
    </w:p>
  </w:footnote>
  <w:footnote w:id="7">
    <w:p w:rsidR="00FE1671" w:rsidP="00FE1671" w14:paraId="38BE8903" w14:textId="77777777">
      <w:pPr>
        <w:pStyle w:val="FootnoteText"/>
      </w:pPr>
      <w:r w:rsidRPr="009E055B">
        <w:rPr>
          <w:rStyle w:val="FootnoteReference"/>
          <w:rFonts w:eastAsiaTheme="majorEastAsia"/>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 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671" w:rsidRPr="00FE1671" w:rsidP="00FE1671" w14:paraId="7363C4CF" w14:textId="77777777">
    <w:pPr>
      <w:tabs>
        <w:tab w:val="center" w:pos="4680"/>
        <w:tab w:val="right" w:pos="9360"/>
      </w:tabs>
    </w:pPr>
    <w:r w:rsidRPr="00FE1671">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FE1671">
      <w:rPr>
        <w:b/>
      </w:rPr>
      <w:tab/>
      <w:t>Federal Communications Commission</w:t>
    </w:r>
    <w:r w:rsidRPr="00FE1671">
      <w:rPr>
        <w:b/>
      </w:rPr>
      <w:tab/>
    </w:r>
    <w:r w:rsidRPr="00FE1671">
      <w:rPr>
        <w:b/>
        <w:spacing w:val="-2"/>
      </w:rPr>
      <w:t>FCC 24-42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1671" w:rsidP="00FE1671" w14:paraId="03EA23B4" w14:textId="672FDC56">
    <w:pPr>
      <w:tabs>
        <w:tab w:val="center" w:pos="4680"/>
        <w:tab w:val="right" w:pos="9360"/>
      </w:tabs>
    </w:pPr>
    <w:r w:rsidRPr="00FE1671">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01990283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FE1671">
      <w:rPr>
        <w:b/>
      </w:rPr>
      <w:tab/>
      <w:t>Federal Communications Commission</w:t>
    </w:r>
    <w:r w:rsidRPr="00FE1671">
      <w:rPr>
        <w:b/>
      </w:rPr>
      <w:tab/>
    </w:r>
    <w:r w:rsidRPr="00FE1671">
      <w:rPr>
        <w:b/>
        <w:spacing w:val="-2"/>
      </w:rPr>
      <w:t>FCC 24-42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71"/>
    <w:rsid w:val="001F5335"/>
    <w:rsid w:val="00204F6E"/>
    <w:rsid w:val="007B6912"/>
    <w:rsid w:val="00854105"/>
    <w:rsid w:val="009E055B"/>
    <w:rsid w:val="00D55B45"/>
    <w:rsid w:val="00DD307B"/>
    <w:rsid w:val="00FE16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9E4624"/>
  <w15:chartTrackingRefBased/>
  <w15:docId w15:val="{891A8BF9-AF18-4C81-8381-1654220D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671"/>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FE1671"/>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E1671"/>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E1671"/>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E1671"/>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E1671"/>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E1671"/>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E1671"/>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E1671"/>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E1671"/>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6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6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6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6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6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6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6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6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671"/>
    <w:rPr>
      <w:rFonts w:eastAsiaTheme="majorEastAsia" w:cstheme="majorBidi"/>
      <w:color w:val="272727" w:themeColor="text1" w:themeTint="D8"/>
    </w:rPr>
  </w:style>
  <w:style w:type="paragraph" w:styleId="Title">
    <w:name w:val="Title"/>
    <w:basedOn w:val="Normal"/>
    <w:next w:val="Normal"/>
    <w:link w:val="TitleChar"/>
    <w:uiPriority w:val="10"/>
    <w:qFormat/>
    <w:rsid w:val="00FE1671"/>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FE16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671"/>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E16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671"/>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E1671"/>
    <w:rPr>
      <w:i/>
      <w:iCs/>
      <w:color w:val="404040" w:themeColor="text1" w:themeTint="BF"/>
    </w:rPr>
  </w:style>
  <w:style w:type="paragraph" w:styleId="ListParagraph">
    <w:name w:val="List Paragraph"/>
    <w:basedOn w:val="Normal"/>
    <w:uiPriority w:val="34"/>
    <w:qFormat/>
    <w:rsid w:val="00FE1671"/>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FE1671"/>
    <w:rPr>
      <w:i/>
      <w:iCs/>
      <w:color w:val="0F4761" w:themeColor="accent1" w:themeShade="BF"/>
    </w:rPr>
  </w:style>
  <w:style w:type="paragraph" w:styleId="IntenseQuote">
    <w:name w:val="Intense Quote"/>
    <w:basedOn w:val="Normal"/>
    <w:next w:val="Normal"/>
    <w:link w:val="IntenseQuoteChar"/>
    <w:uiPriority w:val="30"/>
    <w:qFormat/>
    <w:rsid w:val="00FE1671"/>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E1671"/>
    <w:rPr>
      <w:i/>
      <w:iCs/>
      <w:color w:val="0F4761" w:themeColor="accent1" w:themeShade="BF"/>
    </w:rPr>
  </w:style>
  <w:style w:type="character" w:styleId="IntenseReference">
    <w:name w:val="Intense Reference"/>
    <w:basedOn w:val="DefaultParagraphFont"/>
    <w:uiPriority w:val="32"/>
    <w:qFormat/>
    <w:rsid w:val="00FE1671"/>
    <w:rPr>
      <w:b/>
      <w:bCs/>
      <w:smallCaps/>
      <w:color w:val="0F4761" w:themeColor="accent1" w:themeShade="BF"/>
      <w:spacing w:val="5"/>
    </w:rPr>
  </w:style>
  <w:style w:type="paragraph" w:styleId="Header">
    <w:name w:val="header"/>
    <w:basedOn w:val="Normal"/>
    <w:link w:val="HeaderChar"/>
    <w:uiPriority w:val="99"/>
    <w:unhideWhenUsed/>
    <w:rsid w:val="00FE1671"/>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FE1671"/>
  </w:style>
  <w:style w:type="paragraph" w:styleId="Footer">
    <w:name w:val="footer"/>
    <w:basedOn w:val="Normal"/>
    <w:link w:val="FooterChar"/>
    <w:uiPriority w:val="99"/>
    <w:unhideWhenUsed/>
    <w:rsid w:val="00FE1671"/>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FE1671"/>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2"/>
    <w:rsid w:val="00FE1671"/>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FE1671"/>
    <w:rPr>
      <w:rFonts w:ascii="Times New Roman" w:eastAsia="Times New Roman" w:hAnsi="Times New Roman" w:cs="Times New Roman"/>
      <w:snapToGrid w:val="0"/>
      <w:kern w:val="28"/>
      <w:sz w:val="20"/>
      <w:szCs w:val="20"/>
      <w14:ligatures w14:val="none"/>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E1671"/>
    <w:rPr>
      <w:rFonts w:ascii="Times New Roman" w:hAnsi="Times New Roman"/>
      <w:dstrike w:val="0"/>
      <w:color w:val="auto"/>
      <w:sz w:val="20"/>
      <w:vertAlign w:val="superscript"/>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FE1671"/>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