
<file path=[Content_Types].xml><?xml version="1.0" encoding="utf-8"?>
<Types xmlns="http://schemas.openxmlformats.org/package/2006/content-types">
  <Default Extension="rels" ContentType="application/vnd.openxmlformats-package.relationships+xml"/>
  <Default Extension="xml" ContentType="application/xml"/>
  <Override PartName="/docMetadata/LabelInfo.xml" ContentType="application/vnd.ms-office.classificationlabel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 Id="rId4" Type="http://schemas.microsoft.com/office/2020/02/relationships/classificationlabels" Target="docMetadata/LabelInfo.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F541A7" w:rsidRPr="00434176" w:rsidP="00513ECB" w14:paraId="0AF7DCDC" w14:textId="77777777">
      <w:pPr>
        <w:jc w:val="center"/>
        <w:rPr>
          <w:b/>
          <w:bCs/>
        </w:rPr>
      </w:pPr>
      <w:r w:rsidRPr="00434176">
        <w:rPr>
          <w:b/>
          <w:bCs/>
          <w:kern w:val="0"/>
        </w:rPr>
        <w:t>Before</w:t>
      </w:r>
      <w:r w:rsidRPr="00434176">
        <w:rPr>
          <w:b/>
          <w:bCs/>
        </w:rPr>
        <w:t xml:space="preserve"> the</w:t>
      </w:r>
    </w:p>
    <w:p w:rsidR="00F541A7" w:rsidP="00F541A7" w14:paraId="61E09E97" w14:textId="77777777">
      <w:pPr>
        <w:pStyle w:val="StyleBoldCentered"/>
      </w:pPr>
      <w:r>
        <w:t>F</w:t>
      </w:r>
      <w:r>
        <w:rPr>
          <w:caps w:val="0"/>
        </w:rPr>
        <w:t>ederal Communications Commission</w:t>
      </w:r>
    </w:p>
    <w:p w:rsidR="00F541A7" w:rsidP="00F541A7" w14:paraId="0130E951" w14:textId="77777777">
      <w:pPr>
        <w:pStyle w:val="StyleBoldCentered"/>
      </w:pPr>
      <w:r>
        <w:rPr>
          <w:caps w:val="0"/>
        </w:rPr>
        <w:t>Washington, D.C. 20554</w:t>
      </w:r>
    </w:p>
    <w:p w:rsidR="00F541A7" w:rsidP="00F541A7" w14:paraId="4C736F77" w14:textId="77777777"/>
    <w:tbl>
      <w:tblPr>
        <w:tblW w:w="0" w:type="auto"/>
        <w:tblLayout w:type="fixed"/>
        <w:tblLook w:val="0000"/>
      </w:tblPr>
      <w:tblGrid>
        <w:gridCol w:w="4698"/>
        <w:gridCol w:w="630"/>
        <w:gridCol w:w="4248"/>
      </w:tblGrid>
      <w:tr w14:paraId="46503DE3" w14:textId="77777777" w:rsidTr="0051087D">
        <w:tblPrEx>
          <w:tblW w:w="0" w:type="auto"/>
          <w:tblLayout w:type="fixed"/>
          <w:tblLook w:val="0000"/>
        </w:tblPrEx>
        <w:tc>
          <w:tcPr>
            <w:tcW w:w="4698" w:type="dxa"/>
          </w:tcPr>
          <w:p w:rsidR="00F541A7" w:rsidP="0051087D" w14:paraId="0387F410" w14:textId="77777777">
            <w:pPr>
              <w:tabs>
                <w:tab w:val="center" w:pos="4680"/>
              </w:tabs>
              <w:suppressAutoHyphens/>
              <w:rPr>
                <w:spacing w:val="-2"/>
              </w:rPr>
            </w:pPr>
            <w:r>
              <w:rPr>
                <w:spacing w:val="-2"/>
              </w:rPr>
              <w:t>In the Matter of</w:t>
            </w:r>
          </w:p>
          <w:p w:rsidR="00F541A7" w:rsidP="0051087D" w14:paraId="11AAC1DD" w14:textId="77777777">
            <w:pPr>
              <w:tabs>
                <w:tab w:val="center" w:pos="4680"/>
              </w:tabs>
              <w:suppressAutoHyphens/>
              <w:rPr>
                <w:spacing w:val="-2"/>
              </w:rPr>
            </w:pPr>
          </w:p>
          <w:p w:rsidR="00F541A7" w:rsidP="0051087D" w14:paraId="5EDBE9AA" w14:textId="77777777">
            <w:pPr>
              <w:tabs>
                <w:tab w:val="center" w:pos="4680"/>
              </w:tabs>
              <w:suppressAutoHyphens/>
              <w:rPr>
                <w:spacing w:val="-2"/>
              </w:rPr>
            </w:pPr>
            <w:r>
              <w:rPr>
                <w:spacing w:val="-2"/>
              </w:rPr>
              <w:t>2022 Quadrennial Regulatory Review – Review of the Commission’s Broadcast Ownership Rules and Other Rules Adopted Pursuant to Section 202 of the Telecommunications Act of 1996</w:t>
            </w:r>
          </w:p>
          <w:p w:rsidR="00E35854" w:rsidP="00E35854" w14:paraId="35A0094F" w14:textId="77777777">
            <w:pPr>
              <w:tabs>
                <w:tab w:val="center" w:pos="4680"/>
              </w:tabs>
              <w:suppressAutoHyphens/>
              <w:rPr>
                <w:spacing w:val="-2"/>
              </w:rPr>
            </w:pPr>
          </w:p>
          <w:p w:rsidR="00E35854" w:rsidRPr="007115F7" w:rsidP="00E35854" w14:paraId="5791DA6A" w14:textId="77777777">
            <w:pPr>
              <w:tabs>
                <w:tab w:val="center" w:pos="4680"/>
              </w:tabs>
              <w:suppressAutoHyphens/>
              <w:rPr>
                <w:spacing w:val="-2"/>
              </w:rPr>
            </w:pPr>
          </w:p>
        </w:tc>
        <w:tc>
          <w:tcPr>
            <w:tcW w:w="630" w:type="dxa"/>
          </w:tcPr>
          <w:p w:rsidR="00F541A7" w:rsidP="0051087D" w14:paraId="1174EFA0" w14:textId="77777777">
            <w:pPr>
              <w:tabs>
                <w:tab w:val="center" w:pos="4680"/>
              </w:tabs>
              <w:suppressAutoHyphens/>
              <w:rPr>
                <w:b/>
                <w:spacing w:val="-2"/>
              </w:rPr>
            </w:pPr>
            <w:r>
              <w:rPr>
                <w:b/>
                <w:spacing w:val="-2"/>
              </w:rPr>
              <w:t>)</w:t>
            </w:r>
          </w:p>
          <w:p w:rsidR="00F541A7" w:rsidP="0051087D" w14:paraId="4E197BCE" w14:textId="77777777">
            <w:pPr>
              <w:tabs>
                <w:tab w:val="center" w:pos="4680"/>
              </w:tabs>
              <w:suppressAutoHyphens/>
              <w:rPr>
                <w:b/>
                <w:spacing w:val="-2"/>
              </w:rPr>
            </w:pPr>
            <w:r>
              <w:rPr>
                <w:b/>
                <w:spacing w:val="-2"/>
              </w:rPr>
              <w:t>)</w:t>
            </w:r>
          </w:p>
          <w:p w:rsidR="00F541A7" w:rsidP="0051087D" w14:paraId="42AF6DE5" w14:textId="77777777">
            <w:pPr>
              <w:tabs>
                <w:tab w:val="center" w:pos="4680"/>
              </w:tabs>
              <w:suppressAutoHyphens/>
              <w:rPr>
                <w:b/>
                <w:spacing w:val="-2"/>
              </w:rPr>
            </w:pPr>
            <w:r>
              <w:rPr>
                <w:b/>
                <w:spacing w:val="-2"/>
              </w:rPr>
              <w:t>)</w:t>
            </w:r>
          </w:p>
          <w:p w:rsidR="00F541A7" w:rsidP="0051087D" w14:paraId="5F17BEC9" w14:textId="77777777">
            <w:pPr>
              <w:tabs>
                <w:tab w:val="center" w:pos="4680"/>
              </w:tabs>
              <w:suppressAutoHyphens/>
              <w:rPr>
                <w:b/>
                <w:spacing w:val="-2"/>
              </w:rPr>
            </w:pPr>
            <w:r>
              <w:rPr>
                <w:b/>
                <w:spacing w:val="-2"/>
              </w:rPr>
              <w:t>)</w:t>
            </w:r>
          </w:p>
          <w:p w:rsidR="00F541A7" w:rsidP="0051087D" w14:paraId="2CFF01A2" w14:textId="77777777">
            <w:pPr>
              <w:tabs>
                <w:tab w:val="center" w:pos="4680"/>
              </w:tabs>
              <w:suppressAutoHyphens/>
              <w:rPr>
                <w:b/>
                <w:spacing w:val="-2"/>
              </w:rPr>
            </w:pPr>
            <w:r>
              <w:rPr>
                <w:b/>
                <w:spacing w:val="-2"/>
              </w:rPr>
              <w:t>)</w:t>
            </w:r>
          </w:p>
          <w:p w:rsidR="00E35854" w:rsidP="0051087D" w14:paraId="4DEE6ACF" w14:textId="77777777">
            <w:pPr>
              <w:tabs>
                <w:tab w:val="center" w:pos="4680"/>
              </w:tabs>
              <w:suppressAutoHyphens/>
              <w:rPr>
                <w:b/>
                <w:spacing w:val="-2"/>
              </w:rPr>
            </w:pPr>
            <w:r>
              <w:rPr>
                <w:b/>
                <w:spacing w:val="-2"/>
              </w:rPr>
              <w:t>)</w:t>
            </w:r>
          </w:p>
          <w:p w:rsidR="00E35854" w:rsidRPr="00B12C9D" w:rsidP="0051087D" w14:paraId="4E846190" w14:textId="77777777">
            <w:pPr>
              <w:tabs>
                <w:tab w:val="center" w:pos="4680"/>
              </w:tabs>
              <w:suppressAutoHyphens/>
              <w:rPr>
                <w:b/>
                <w:spacing w:val="-2"/>
              </w:rPr>
            </w:pPr>
            <w:r>
              <w:rPr>
                <w:b/>
                <w:spacing w:val="-2"/>
              </w:rPr>
              <w:t>)</w:t>
            </w:r>
          </w:p>
        </w:tc>
        <w:tc>
          <w:tcPr>
            <w:tcW w:w="4248" w:type="dxa"/>
          </w:tcPr>
          <w:p w:rsidR="00F541A7" w:rsidP="0051087D" w14:paraId="479FAD66" w14:textId="77777777">
            <w:pPr>
              <w:tabs>
                <w:tab w:val="center" w:pos="4680"/>
              </w:tabs>
              <w:suppressAutoHyphens/>
              <w:rPr>
                <w:spacing w:val="-2"/>
              </w:rPr>
            </w:pPr>
          </w:p>
          <w:p w:rsidR="00F541A7" w:rsidP="0051087D" w14:paraId="53CC04F6" w14:textId="77777777">
            <w:pPr>
              <w:pStyle w:val="TOAHeading"/>
              <w:tabs>
                <w:tab w:val="center" w:pos="4680"/>
                <w:tab w:val="clear" w:pos="9360"/>
              </w:tabs>
              <w:rPr>
                <w:spacing w:val="-2"/>
              </w:rPr>
            </w:pPr>
          </w:p>
          <w:p w:rsidR="00F541A7" w:rsidP="0051087D" w14:paraId="54E72237" w14:textId="77777777">
            <w:pPr>
              <w:tabs>
                <w:tab w:val="center" w:pos="4680"/>
              </w:tabs>
              <w:suppressAutoHyphens/>
              <w:rPr>
                <w:spacing w:val="-2"/>
              </w:rPr>
            </w:pPr>
            <w:r>
              <w:rPr>
                <w:spacing w:val="-2"/>
              </w:rPr>
              <w:t>MB Docket No. 2</w:t>
            </w:r>
            <w:r w:rsidR="00E145C3">
              <w:rPr>
                <w:spacing w:val="-2"/>
              </w:rPr>
              <w:t>2</w:t>
            </w:r>
            <w:r>
              <w:rPr>
                <w:spacing w:val="-2"/>
              </w:rPr>
              <w:t>-</w:t>
            </w:r>
            <w:r w:rsidRPr="00242472" w:rsidR="00E145C3">
              <w:rPr>
                <w:spacing w:val="-2"/>
              </w:rPr>
              <w:t>459</w:t>
            </w:r>
          </w:p>
          <w:p w:rsidR="00F541A7" w:rsidP="0051087D" w14:paraId="42187172" w14:textId="77777777">
            <w:pPr>
              <w:tabs>
                <w:tab w:val="center" w:pos="4680"/>
              </w:tabs>
              <w:suppressAutoHyphens/>
              <w:rPr>
                <w:spacing w:val="-2"/>
              </w:rPr>
            </w:pPr>
          </w:p>
          <w:p w:rsidR="00E35854" w:rsidP="0051087D" w14:paraId="3EC4F79C" w14:textId="77777777">
            <w:pPr>
              <w:tabs>
                <w:tab w:val="center" w:pos="4680"/>
              </w:tabs>
              <w:suppressAutoHyphens/>
              <w:rPr>
                <w:spacing w:val="-2"/>
              </w:rPr>
            </w:pPr>
          </w:p>
          <w:p w:rsidR="00E35854" w:rsidP="0051087D" w14:paraId="255BE34E" w14:textId="77777777">
            <w:pPr>
              <w:tabs>
                <w:tab w:val="center" w:pos="4680"/>
              </w:tabs>
              <w:suppressAutoHyphens/>
              <w:rPr>
                <w:spacing w:val="-2"/>
              </w:rPr>
            </w:pPr>
          </w:p>
          <w:p w:rsidR="003E4156" w:rsidP="0051087D" w14:paraId="512BF3B0" w14:textId="77777777">
            <w:pPr>
              <w:tabs>
                <w:tab w:val="center" w:pos="4680"/>
              </w:tabs>
              <w:suppressAutoHyphens/>
              <w:rPr>
                <w:spacing w:val="-2"/>
              </w:rPr>
            </w:pPr>
          </w:p>
          <w:p w:rsidR="003E4156" w:rsidP="0051087D" w14:paraId="1E30844D" w14:textId="77777777">
            <w:pPr>
              <w:tabs>
                <w:tab w:val="center" w:pos="4680"/>
              </w:tabs>
              <w:suppressAutoHyphens/>
              <w:rPr>
                <w:spacing w:val="-2"/>
              </w:rPr>
            </w:pPr>
          </w:p>
        </w:tc>
      </w:tr>
    </w:tbl>
    <w:p w:rsidR="00F541A7" w:rsidP="00F541A7" w14:paraId="0F6304FC" w14:textId="77777777"/>
    <w:p w:rsidR="00F541A7" w:rsidP="00F541A7" w14:paraId="64C2F104" w14:textId="77777777">
      <w:pPr>
        <w:pStyle w:val="StyleBoldCentered"/>
      </w:pPr>
      <w:r>
        <w:t>notice of proposed rulemaking</w:t>
      </w:r>
    </w:p>
    <w:p w:rsidR="00F541A7" w:rsidP="00F541A7" w14:paraId="25A50C82" w14:textId="77777777">
      <w:pPr>
        <w:tabs>
          <w:tab w:val="left" w:pos="-720"/>
        </w:tabs>
        <w:suppressAutoHyphens/>
        <w:spacing w:line="227" w:lineRule="auto"/>
        <w:rPr>
          <w:spacing w:val="-2"/>
        </w:rPr>
      </w:pPr>
    </w:p>
    <w:p w:rsidR="00F541A7" w:rsidP="00F541A7" w14:paraId="47DD99D6" w14:textId="5115CE9C">
      <w:pPr>
        <w:tabs>
          <w:tab w:val="left" w:pos="720"/>
          <w:tab w:val="right" w:pos="9360"/>
        </w:tabs>
        <w:suppressAutoHyphens/>
        <w:spacing w:line="227" w:lineRule="auto"/>
        <w:rPr>
          <w:spacing w:val="-2"/>
        </w:rPr>
      </w:pPr>
      <w:r>
        <w:rPr>
          <w:b/>
          <w:spacing w:val="-2"/>
        </w:rPr>
        <w:t xml:space="preserve">Adopted: </w:t>
      </w:r>
      <w:r w:rsidR="002D4B2D">
        <w:rPr>
          <w:b/>
          <w:spacing w:val="-2"/>
        </w:rPr>
        <w:t xml:space="preserve">September </w:t>
      </w:r>
      <w:r w:rsidR="00217A09">
        <w:rPr>
          <w:b/>
          <w:spacing w:val="-2"/>
        </w:rPr>
        <w:t>30</w:t>
      </w:r>
      <w:r w:rsidR="002D4B2D">
        <w:rPr>
          <w:b/>
          <w:spacing w:val="-2"/>
        </w:rPr>
        <w:t>, 2025</w:t>
      </w:r>
      <w:r>
        <w:rPr>
          <w:b/>
          <w:spacing w:val="-2"/>
        </w:rPr>
        <w:tab/>
        <w:t>Releas</w:t>
      </w:r>
      <w:r w:rsidR="002D4B2D">
        <w:rPr>
          <w:b/>
          <w:spacing w:val="-2"/>
        </w:rPr>
        <w:t xml:space="preserve">ed: September </w:t>
      </w:r>
      <w:r w:rsidR="00217A09">
        <w:rPr>
          <w:b/>
          <w:spacing w:val="-2"/>
        </w:rPr>
        <w:t>30</w:t>
      </w:r>
      <w:r w:rsidR="002D4B2D">
        <w:rPr>
          <w:b/>
          <w:spacing w:val="-2"/>
        </w:rPr>
        <w:t>, 2025</w:t>
      </w:r>
    </w:p>
    <w:p w:rsidR="00F541A7" w:rsidP="00F541A7" w14:paraId="1B6392F1" w14:textId="77777777"/>
    <w:p w:rsidR="00F541A7" w:rsidRPr="00434176" w:rsidP="00F541A7" w14:paraId="5608E61D" w14:textId="77777777">
      <w:pPr>
        <w:rPr>
          <w:b/>
        </w:rPr>
      </w:pPr>
      <w:r w:rsidRPr="00434176">
        <w:rPr>
          <w:b/>
        </w:rPr>
        <w:t>Comment Date:  [</w:t>
      </w:r>
      <w:r w:rsidRPr="00434176" w:rsidR="00513F2A">
        <w:rPr>
          <w:b/>
        </w:rPr>
        <w:t>3</w:t>
      </w:r>
      <w:r w:rsidRPr="00434176">
        <w:rPr>
          <w:b/>
        </w:rPr>
        <w:t>0 days after publication in the Federal Register]</w:t>
      </w:r>
    </w:p>
    <w:p w:rsidR="0046576B" w:rsidP="00F541A7" w14:paraId="2E70DA13" w14:textId="77777777">
      <w:pPr>
        <w:rPr>
          <w:b/>
        </w:rPr>
      </w:pPr>
      <w:r w:rsidRPr="00434176">
        <w:rPr>
          <w:b/>
        </w:rPr>
        <w:t>Reply Comment Date:  [</w:t>
      </w:r>
      <w:r w:rsidRPr="00434176" w:rsidR="00513F2A">
        <w:rPr>
          <w:b/>
        </w:rPr>
        <w:t>6</w:t>
      </w:r>
      <w:r w:rsidRPr="00434176">
        <w:rPr>
          <w:b/>
        </w:rPr>
        <w:t>0 days after publication in the Federal Register]</w:t>
      </w:r>
    </w:p>
    <w:p w:rsidR="00E64617" w:rsidP="00F541A7" w14:paraId="3A6AE830" w14:textId="77777777">
      <w:pPr>
        <w:rPr>
          <w:b/>
        </w:rPr>
      </w:pPr>
    </w:p>
    <w:p w:rsidR="00E64617" w:rsidRPr="00E64617" w:rsidP="00F541A7" w14:paraId="325A58BF" w14:textId="5AB7A0E0">
      <w:pPr>
        <w:rPr>
          <w:bCs/>
        </w:rPr>
      </w:pPr>
      <w:r w:rsidRPr="00842F8E">
        <w:rPr>
          <w:bCs/>
        </w:rPr>
        <w:t>By the Commission:  Chairman Carr and Commissioners Gomez and Trusty issuing separate statement</w:t>
      </w:r>
      <w:r>
        <w:rPr>
          <w:bCs/>
        </w:rPr>
        <w:t xml:space="preserve">s. </w:t>
      </w:r>
    </w:p>
    <w:p w:rsidR="0046576B" w:rsidP="0046576B" w14:paraId="4F0B7306" w14:textId="77777777">
      <w:pPr>
        <w:pStyle w:val="TOCTitle"/>
      </w:pPr>
      <w:bookmarkStart w:id="0" w:name="TOChere"/>
      <w:r>
        <w:t>Table of Contents</w:t>
      </w:r>
    </w:p>
    <w:p w:rsidR="0046576B" w:rsidP="0046576B" w14:paraId="05488CA4" w14:textId="77777777">
      <w:pPr>
        <w:pStyle w:val="Paratitle"/>
      </w:pPr>
      <w:r>
        <w:t>Heading</w:t>
      </w:r>
      <w:r>
        <w:tab/>
        <w:t>Paragraph #</w:t>
      </w:r>
      <w:bookmarkStart w:id="1" w:name="start_here"/>
      <w:bookmarkEnd w:id="1"/>
    </w:p>
    <w:p w:rsidR="0046576B" w:rsidP="0046576B" w14:paraId="4B4832CA" w14:textId="77777777">
      <w:pPr>
        <w:pStyle w:val="TOC1"/>
        <w:rPr>
          <w:rFonts w:asciiTheme="minorHAnsi" w:eastAsiaTheme="minorEastAsia" w:hAnsiTheme="minorHAnsi" w:cstheme="minorBidi"/>
          <w:caps w:val="0"/>
          <w:snapToGrid/>
          <w:kern w:val="2"/>
          <w:sz w:val="24"/>
          <w:szCs w:val="24"/>
          <w14:ligatures w14:val="standardContextual"/>
        </w:rPr>
      </w:pPr>
      <w:r>
        <w:t>I.</w:t>
      </w:r>
      <w:r>
        <w:rPr>
          <w:rFonts w:asciiTheme="minorHAnsi" w:eastAsiaTheme="minorEastAsia" w:hAnsiTheme="minorHAnsi" w:cstheme="minorBidi"/>
          <w:caps w:val="0"/>
          <w:snapToGrid/>
          <w:kern w:val="2"/>
          <w:sz w:val="24"/>
          <w:szCs w:val="24"/>
          <w14:ligatures w14:val="standardContextual"/>
        </w:rPr>
        <w:tab/>
      </w:r>
      <w:r>
        <w:t>Introduction</w:t>
      </w:r>
      <w:r>
        <w:tab/>
        <w:t>1</w:t>
      </w:r>
    </w:p>
    <w:p w:rsidR="0046576B" w:rsidP="0046576B" w14:paraId="2BD1469A" w14:textId="77777777">
      <w:pPr>
        <w:pStyle w:val="TOC1"/>
        <w:rPr>
          <w:rFonts w:asciiTheme="minorHAnsi" w:eastAsiaTheme="minorEastAsia" w:hAnsiTheme="minorHAnsi" w:cstheme="minorBidi"/>
          <w:caps w:val="0"/>
          <w:snapToGrid/>
          <w:kern w:val="2"/>
          <w:sz w:val="24"/>
          <w:szCs w:val="24"/>
          <w14:ligatures w14:val="standardContextual"/>
        </w:rPr>
      </w:pPr>
      <w:r>
        <w:t>II.</w:t>
      </w:r>
      <w:r>
        <w:rPr>
          <w:rFonts w:asciiTheme="minorHAnsi" w:eastAsiaTheme="minorEastAsia" w:hAnsiTheme="minorHAnsi" w:cstheme="minorBidi"/>
          <w:caps w:val="0"/>
          <w:snapToGrid/>
          <w:kern w:val="2"/>
          <w:sz w:val="24"/>
          <w:szCs w:val="24"/>
          <w14:ligatures w14:val="standardContextual"/>
        </w:rPr>
        <w:tab/>
      </w:r>
      <w:r>
        <w:t>background</w:t>
      </w:r>
      <w:r>
        <w:tab/>
        <w:t>2</w:t>
      </w:r>
    </w:p>
    <w:p w:rsidR="0046576B" w:rsidP="0046576B" w14:paraId="168E45E8" w14:textId="77777777">
      <w:pPr>
        <w:pStyle w:val="TOC1"/>
        <w:rPr>
          <w:rFonts w:asciiTheme="minorHAnsi" w:eastAsiaTheme="minorEastAsia" w:hAnsiTheme="minorHAnsi" w:cstheme="minorBidi"/>
          <w:caps w:val="0"/>
          <w:snapToGrid/>
          <w:kern w:val="2"/>
          <w:sz w:val="24"/>
          <w:szCs w:val="24"/>
          <w14:ligatures w14:val="standardContextual"/>
        </w:rPr>
      </w:pPr>
      <w:r w:rsidRPr="00853719">
        <w:rPr>
          <w:snapToGrid/>
        </w:rPr>
        <w:t>III.</w:t>
      </w:r>
      <w:r>
        <w:rPr>
          <w:rFonts w:asciiTheme="minorHAnsi" w:eastAsiaTheme="minorEastAsia" w:hAnsiTheme="minorHAnsi" w:cstheme="minorBidi"/>
          <w:caps w:val="0"/>
          <w:snapToGrid/>
          <w:kern w:val="2"/>
          <w:sz w:val="24"/>
          <w:szCs w:val="24"/>
          <w14:ligatures w14:val="standardContextual"/>
        </w:rPr>
        <w:tab/>
      </w:r>
      <w:r>
        <w:t>policy goals</w:t>
      </w:r>
      <w:r>
        <w:tab/>
        <w:t>7</w:t>
      </w:r>
    </w:p>
    <w:p w:rsidR="0046576B" w:rsidP="0046576B" w14:paraId="6B1CA574" w14:textId="77777777">
      <w:pPr>
        <w:pStyle w:val="TOC1"/>
        <w:rPr>
          <w:rFonts w:asciiTheme="minorHAnsi" w:eastAsiaTheme="minorEastAsia" w:hAnsiTheme="minorHAnsi" w:cstheme="minorBidi"/>
          <w:caps w:val="0"/>
          <w:snapToGrid/>
          <w:kern w:val="2"/>
          <w:sz w:val="24"/>
          <w:szCs w:val="24"/>
          <w14:ligatures w14:val="standardContextual"/>
        </w:rPr>
      </w:pPr>
      <w:r>
        <w:t>IV.</w:t>
      </w:r>
      <w:r>
        <w:rPr>
          <w:rFonts w:asciiTheme="minorHAnsi" w:eastAsiaTheme="minorEastAsia" w:hAnsiTheme="minorHAnsi" w:cstheme="minorBidi"/>
          <w:caps w:val="0"/>
          <w:snapToGrid/>
          <w:kern w:val="2"/>
          <w:sz w:val="24"/>
          <w:szCs w:val="24"/>
          <w14:ligatures w14:val="standardContextual"/>
        </w:rPr>
        <w:tab/>
      </w:r>
      <w:r>
        <w:t>media ownership rules</w:t>
      </w:r>
      <w:r>
        <w:tab/>
        <w:t>11</w:t>
      </w:r>
    </w:p>
    <w:p w:rsidR="0046576B" w:rsidP="0046576B" w14:paraId="45043A9E" w14:textId="77777777">
      <w:pPr>
        <w:pStyle w:val="TOC2"/>
        <w:tabs>
          <w:tab w:val="left" w:pos="360"/>
        </w:tabs>
        <w:rPr>
          <w:rFonts w:asciiTheme="minorHAnsi" w:eastAsiaTheme="minorEastAsia" w:hAnsiTheme="minorHAnsi" w:cstheme="minorBidi"/>
          <w:snapToGrid/>
          <w:kern w:val="2"/>
          <w:sz w:val="24"/>
          <w:szCs w:val="24"/>
          <w14:ligatures w14:val="standardContextual"/>
        </w:rPr>
      </w:pPr>
      <w:r>
        <w:t>A.</w:t>
      </w:r>
      <w:r>
        <w:rPr>
          <w:rFonts w:asciiTheme="minorHAnsi" w:eastAsiaTheme="minorEastAsia" w:hAnsiTheme="minorHAnsi" w:cstheme="minorBidi"/>
          <w:snapToGrid/>
          <w:kern w:val="2"/>
          <w:sz w:val="24"/>
          <w:szCs w:val="24"/>
          <w14:ligatures w14:val="standardContextual"/>
        </w:rPr>
        <w:tab/>
      </w:r>
      <w:r>
        <w:t>Local Radio Ownership Rule</w:t>
      </w:r>
      <w:r>
        <w:tab/>
        <w:t>11</w:t>
      </w:r>
    </w:p>
    <w:p w:rsidR="0046576B" w:rsidP="0046576B" w14:paraId="4E499364" w14:textId="77777777">
      <w:pPr>
        <w:pStyle w:val="TOC2"/>
        <w:tabs>
          <w:tab w:val="left" w:pos="360"/>
        </w:tabs>
        <w:rPr>
          <w:rFonts w:asciiTheme="minorHAnsi" w:eastAsiaTheme="minorEastAsia" w:hAnsiTheme="minorHAnsi" w:cstheme="minorBidi"/>
          <w:snapToGrid/>
          <w:kern w:val="2"/>
          <w:sz w:val="24"/>
          <w:szCs w:val="24"/>
          <w14:ligatures w14:val="standardContextual"/>
        </w:rPr>
      </w:pPr>
      <w:r>
        <w:t>B.</w:t>
      </w:r>
      <w:r>
        <w:rPr>
          <w:rFonts w:asciiTheme="minorHAnsi" w:eastAsiaTheme="minorEastAsia" w:hAnsiTheme="minorHAnsi" w:cstheme="minorBidi"/>
          <w:snapToGrid/>
          <w:kern w:val="2"/>
          <w:sz w:val="24"/>
          <w:szCs w:val="24"/>
          <w14:ligatures w14:val="standardContextual"/>
        </w:rPr>
        <w:tab/>
      </w:r>
      <w:r>
        <w:t>Local Television Ownership Rule</w:t>
      </w:r>
      <w:r>
        <w:tab/>
        <w:t>2</w:t>
      </w:r>
      <w:r w:rsidR="000626CA">
        <w:t>2</w:t>
      </w:r>
    </w:p>
    <w:p w:rsidR="0046576B" w:rsidP="0046576B" w14:paraId="77A854EB" w14:textId="77777777">
      <w:pPr>
        <w:pStyle w:val="TOC2"/>
        <w:tabs>
          <w:tab w:val="left" w:pos="360"/>
        </w:tabs>
        <w:rPr>
          <w:rFonts w:asciiTheme="minorHAnsi" w:eastAsiaTheme="minorEastAsia" w:hAnsiTheme="minorHAnsi" w:cstheme="minorBidi"/>
          <w:snapToGrid/>
          <w:kern w:val="2"/>
          <w:sz w:val="24"/>
          <w:szCs w:val="24"/>
          <w14:ligatures w14:val="standardContextual"/>
        </w:rPr>
      </w:pPr>
      <w:r>
        <w:t>C.</w:t>
      </w:r>
      <w:r>
        <w:rPr>
          <w:rFonts w:asciiTheme="minorHAnsi" w:eastAsiaTheme="minorEastAsia" w:hAnsiTheme="minorHAnsi" w:cstheme="minorBidi"/>
          <w:snapToGrid/>
          <w:kern w:val="2"/>
          <w:sz w:val="24"/>
          <w:szCs w:val="24"/>
          <w14:ligatures w14:val="standardContextual"/>
        </w:rPr>
        <w:tab/>
      </w:r>
      <w:r>
        <w:t>Dual Network Rule</w:t>
      </w:r>
      <w:r>
        <w:tab/>
        <w:t>3</w:t>
      </w:r>
      <w:r w:rsidR="00DE7164">
        <w:t>2</w:t>
      </w:r>
    </w:p>
    <w:p w:rsidR="0046576B" w:rsidP="0046576B" w14:paraId="0FCEA34D" w14:textId="77777777">
      <w:pPr>
        <w:pStyle w:val="TOC1"/>
        <w:rPr>
          <w:rFonts w:asciiTheme="minorHAnsi" w:eastAsiaTheme="minorEastAsia" w:hAnsiTheme="minorHAnsi" w:cstheme="minorBidi"/>
          <w:caps w:val="0"/>
          <w:snapToGrid/>
          <w:kern w:val="2"/>
          <w:sz w:val="24"/>
          <w:szCs w:val="24"/>
          <w14:ligatures w14:val="standardContextual"/>
        </w:rPr>
      </w:pPr>
      <w:r>
        <w:t>V.</w:t>
      </w:r>
      <w:r>
        <w:rPr>
          <w:rFonts w:asciiTheme="minorHAnsi" w:eastAsiaTheme="minorEastAsia" w:hAnsiTheme="minorHAnsi" w:cstheme="minorBidi"/>
          <w:caps w:val="0"/>
          <w:snapToGrid/>
          <w:kern w:val="2"/>
          <w:sz w:val="24"/>
          <w:szCs w:val="24"/>
          <w14:ligatures w14:val="standardContextual"/>
        </w:rPr>
        <w:tab/>
      </w:r>
      <w:r>
        <w:t>procedural matters</w:t>
      </w:r>
      <w:r>
        <w:tab/>
      </w:r>
      <w:r w:rsidR="000626CA">
        <w:t>4</w:t>
      </w:r>
      <w:r w:rsidR="00DE7164">
        <w:t>5</w:t>
      </w:r>
    </w:p>
    <w:p w:rsidR="0046576B" w:rsidP="0046576B" w14:paraId="055B720E" w14:textId="77777777">
      <w:pPr>
        <w:pStyle w:val="TOC1"/>
        <w:rPr>
          <w:rFonts w:asciiTheme="minorHAnsi" w:eastAsiaTheme="minorEastAsia" w:hAnsiTheme="minorHAnsi" w:cstheme="minorBidi"/>
          <w:caps w:val="0"/>
          <w:snapToGrid/>
          <w:kern w:val="2"/>
          <w:sz w:val="24"/>
          <w:szCs w:val="24"/>
          <w14:ligatures w14:val="standardContextual"/>
        </w:rPr>
      </w:pPr>
      <w:r>
        <w:t>VI.</w:t>
      </w:r>
      <w:r>
        <w:rPr>
          <w:rFonts w:asciiTheme="minorHAnsi" w:eastAsiaTheme="minorEastAsia" w:hAnsiTheme="minorHAnsi" w:cstheme="minorBidi"/>
          <w:caps w:val="0"/>
          <w:snapToGrid/>
          <w:kern w:val="2"/>
          <w:sz w:val="24"/>
          <w:szCs w:val="24"/>
          <w14:ligatures w14:val="standardContextual"/>
        </w:rPr>
        <w:tab/>
      </w:r>
      <w:r>
        <w:t>ordering clauses</w:t>
      </w:r>
      <w:r>
        <w:tab/>
        <w:t>5</w:t>
      </w:r>
      <w:r w:rsidR="00DE7164">
        <w:t>2</w:t>
      </w:r>
    </w:p>
    <w:p w:rsidR="0046576B" w:rsidRPr="00407FCD" w:rsidP="00407FCD" w14:paraId="20333597" w14:textId="77777777">
      <w:pPr>
        <w:pStyle w:val="TOC1"/>
        <w:rPr>
          <w:rFonts w:asciiTheme="minorHAnsi" w:eastAsiaTheme="minorEastAsia" w:hAnsiTheme="minorHAnsi" w:cstheme="minorBidi"/>
          <w:snapToGrid/>
          <w:kern w:val="2"/>
          <w:sz w:val="24"/>
          <w:szCs w:val="24"/>
          <w14:ligatures w14:val="standardContextual"/>
        </w:rPr>
      </w:pPr>
      <w:r w:rsidRPr="0046576B">
        <w:t>APPENDIX</w:t>
      </w:r>
      <w:r>
        <w:rPr>
          <w:rFonts w:asciiTheme="minorHAnsi" w:eastAsiaTheme="minorEastAsia" w:hAnsiTheme="minorHAnsi" w:cstheme="minorBidi"/>
          <w:snapToGrid/>
          <w:kern w:val="2"/>
          <w:sz w:val="24"/>
          <w:szCs w:val="24"/>
          <w14:ligatures w14:val="standardContextual"/>
        </w:rPr>
        <w:t xml:space="preserve"> — </w:t>
      </w:r>
      <w:r w:rsidRPr="0046576B">
        <w:rPr>
          <w:bCs/>
          <w:szCs w:val="22"/>
        </w:rPr>
        <w:t>Initial Regulatory Flexibility Analysis</w:t>
      </w:r>
      <w:r>
        <w:rPr>
          <w:rFonts w:asciiTheme="minorHAnsi" w:eastAsiaTheme="minorEastAsia" w:hAnsiTheme="minorHAnsi" w:cstheme="minorBidi"/>
          <w:snapToGrid/>
          <w:kern w:val="2"/>
          <w:sz w:val="24"/>
          <w:szCs w:val="24"/>
          <w14:ligatures w14:val="standardContextual"/>
        </w:rPr>
        <w:t xml:space="preserve"> </w:t>
      </w:r>
      <w:bookmarkEnd w:id="0"/>
    </w:p>
    <w:p w:rsidR="00F541A7" w:rsidP="00F541A7" w14:paraId="679BA5AA" w14:textId="77777777"/>
    <w:p w:rsidR="00F541A7" w:rsidP="00DE3616" w14:paraId="592F535B" w14:textId="77777777">
      <w:pPr>
        <w:pStyle w:val="Heading1"/>
      </w:pPr>
      <w:bookmarkStart w:id="2" w:name="_Toc527713802"/>
      <w:bookmarkStart w:id="3" w:name="_Toc532379620"/>
      <w:bookmarkStart w:id="4" w:name="_Toc532379662"/>
      <w:bookmarkStart w:id="5" w:name="_Toc119934577"/>
      <w:bookmarkStart w:id="6" w:name="_Toc119934932"/>
      <w:bookmarkStart w:id="7" w:name="_Toc119936945"/>
      <w:bookmarkStart w:id="8" w:name="_Toc119937142"/>
      <w:bookmarkStart w:id="9" w:name="_Toc119937301"/>
      <w:bookmarkStart w:id="10" w:name="_Toc119937377"/>
      <w:bookmarkStart w:id="11" w:name="_Toc119937421"/>
      <w:bookmarkStart w:id="12" w:name="_Toc119937468"/>
      <w:bookmarkStart w:id="13" w:name="_Toc119937536"/>
      <w:bookmarkStart w:id="14" w:name="_Toc147923061"/>
      <w:bookmarkStart w:id="15" w:name="_Toc150243932"/>
      <w:bookmarkStart w:id="16" w:name="_Toc156913543"/>
      <w:bookmarkStart w:id="17" w:name="_Toc202958349"/>
      <w:r>
        <w:t>Introduction</w:t>
      </w:r>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p>
    <w:p w:rsidR="00820D1E" w:rsidP="007805CD" w14:paraId="079DB9C8" w14:textId="77777777">
      <w:pPr>
        <w:pStyle w:val="ParaNum"/>
        <w:numPr>
          <w:ilvl w:val="0"/>
          <w:numId w:val="3"/>
        </w:numPr>
        <w:tabs>
          <w:tab w:val="clear" w:pos="1080"/>
          <w:tab w:val="num" w:pos="1440"/>
        </w:tabs>
        <w:snapToGrid w:val="0"/>
      </w:pPr>
      <w:r>
        <w:t xml:space="preserve">With this Notice of Proposed Rulemaking (NPRM), we </w:t>
      </w:r>
      <w:r w:rsidR="003A459F">
        <w:t>seek comment on the Commission’s</w:t>
      </w:r>
      <w:r>
        <w:t xml:space="preserve"> media ownership rules pursuant to </w:t>
      </w:r>
      <w:r w:rsidR="00CF2CB2">
        <w:t>s</w:t>
      </w:r>
      <w:r>
        <w:t xml:space="preserve">ection 202(h) of the </w:t>
      </w:r>
      <w:bookmarkStart w:id="18" w:name="_Hlk206174731"/>
      <w:r>
        <w:t>Telecommunications Act of 1996</w:t>
      </w:r>
      <w:bookmarkEnd w:id="18"/>
      <w:r>
        <w:t>, which directs the Commission to review such rules every four years to determine whether they remain “necessary in the public interest as the result of competition” and to “repeal or modify any regulation [that it] determines to be no longer in the public interest.”</w:t>
      </w:r>
      <w:r>
        <w:rPr>
          <w:rStyle w:val="FootnoteReference"/>
        </w:rPr>
        <w:footnoteReference w:id="3"/>
      </w:r>
      <w:r>
        <w:t xml:space="preserve">  This periodic review aims to ensure that the media ownership rules continue to </w:t>
      </w:r>
      <w:r w:rsidR="003A459F">
        <w:t>serve the public interest in light of</w:t>
      </w:r>
      <w:r>
        <w:t xml:space="preserve"> new and emerging technologies and </w:t>
      </w:r>
      <w:r w:rsidR="003A459F">
        <w:t>ever-</w:t>
      </w:r>
      <w:r>
        <w:t xml:space="preserve">evolving marketplace conditions.  The rules subject to our review in this proceeding are:  (1) the </w:t>
      </w:r>
      <w:bookmarkStart w:id="20" w:name="_Hlk144466214"/>
      <w:r>
        <w:t xml:space="preserve">Local </w:t>
      </w:r>
      <w:r>
        <w:t>Radio Ownership Rule</w:t>
      </w:r>
      <w:bookmarkEnd w:id="20"/>
      <w:r>
        <w:t>;</w:t>
      </w:r>
      <w:r>
        <w:rPr>
          <w:rStyle w:val="FootnoteReference"/>
        </w:rPr>
        <w:footnoteReference w:id="4"/>
      </w:r>
      <w:r>
        <w:t xml:space="preserve"> (2) the Local Television Ownership Rule;</w:t>
      </w:r>
      <w:r>
        <w:rPr>
          <w:rStyle w:val="FootnoteReference"/>
        </w:rPr>
        <w:footnoteReference w:id="5"/>
      </w:r>
      <w:r>
        <w:t xml:space="preserve"> and (3) the Dual Network Rule.</w:t>
      </w:r>
      <w:r>
        <w:rPr>
          <w:rStyle w:val="FootnoteReference"/>
        </w:rPr>
        <w:footnoteReference w:id="6"/>
      </w:r>
      <w:r>
        <w:t xml:space="preserve">  </w:t>
      </w:r>
      <w:r w:rsidR="003A459F">
        <w:t xml:space="preserve">As discussed below, </w:t>
      </w:r>
      <w:r>
        <w:t>we seek comment on whether the</w:t>
      </w:r>
      <w:r w:rsidR="003A459F">
        <w:t>se</w:t>
      </w:r>
      <w:r>
        <w:t xml:space="preserve"> rules remain necessary in their existing form, or whether any such rules should be modified or repealed.</w:t>
      </w:r>
    </w:p>
    <w:p w:rsidR="00F541A7" w:rsidP="00F541A7" w14:paraId="48ECDA77" w14:textId="77777777">
      <w:pPr>
        <w:pStyle w:val="Heading1"/>
        <w:tabs>
          <w:tab w:val="num" w:pos="720"/>
        </w:tabs>
      </w:pPr>
      <w:bookmarkStart w:id="21" w:name="_Toc527713803"/>
      <w:bookmarkStart w:id="22" w:name="_Toc532379621"/>
      <w:bookmarkStart w:id="23" w:name="_Toc532379663"/>
      <w:bookmarkStart w:id="24" w:name="_Toc119934578"/>
      <w:bookmarkStart w:id="25" w:name="_Toc119934933"/>
      <w:bookmarkStart w:id="26" w:name="_Toc119936946"/>
      <w:bookmarkStart w:id="27" w:name="_Toc119937143"/>
      <w:bookmarkStart w:id="28" w:name="_Toc119937302"/>
      <w:bookmarkStart w:id="29" w:name="_Toc119937378"/>
      <w:bookmarkStart w:id="30" w:name="_Toc119937422"/>
      <w:bookmarkStart w:id="31" w:name="_Toc119937469"/>
      <w:bookmarkStart w:id="32" w:name="_Toc119937537"/>
      <w:bookmarkStart w:id="33" w:name="_Toc147923062"/>
      <w:bookmarkStart w:id="34" w:name="_Toc150243933"/>
      <w:bookmarkStart w:id="35" w:name="_Toc156913544"/>
      <w:bookmarkStart w:id="36" w:name="_Toc202958350"/>
      <w:r>
        <w:t>background</w:t>
      </w:r>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p>
    <w:p w:rsidR="00F541A7" w:rsidP="00EA1768" w14:paraId="4185D289" w14:textId="77777777">
      <w:pPr>
        <w:pStyle w:val="ParaNum"/>
        <w:numPr>
          <w:ilvl w:val="0"/>
          <w:numId w:val="3"/>
        </w:numPr>
        <w:tabs>
          <w:tab w:val="clear" w:pos="1080"/>
          <w:tab w:val="num" w:pos="1440"/>
        </w:tabs>
        <w:snapToGrid w:val="0"/>
      </w:pPr>
      <w:r>
        <w:t>The three rules within the scope of our review in this proceeding have been part of the Commission’s broadcast regulatory framework for more than half a century.</w:t>
      </w:r>
      <w:r>
        <w:rPr>
          <w:rStyle w:val="FootnoteReference"/>
        </w:rPr>
        <w:footnoteReference w:id="7"/>
      </w:r>
      <w:r>
        <w:t xml:space="preserve">  The Commission concluded the most recent of these statutorily mandated periodic reviews in </w:t>
      </w:r>
      <w:r w:rsidR="00384290">
        <w:t>December 2023</w:t>
      </w:r>
      <w:r>
        <w:t>, with the issuance of a Report and Order in its 2018 Quadrennial Review proceeding.</w:t>
      </w:r>
      <w:r>
        <w:rPr>
          <w:rStyle w:val="FootnoteReference"/>
        </w:rPr>
        <w:footnoteReference w:id="8"/>
      </w:r>
      <w:r>
        <w:t xml:space="preserve">  </w:t>
      </w:r>
    </w:p>
    <w:p w:rsidR="00F541A7" w:rsidRPr="00AE4A44" w:rsidP="009B45F4" w14:paraId="45EA9A4D" w14:textId="77777777">
      <w:pPr>
        <w:pStyle w:val="ParaNum"/>
        <w:widowControl/>
        <w:numPr>
          <w:ilvl w:val="0"/>
          <w:numId w:val="3"/>
        </w:numPr>
        <w:tabs>
          <w:tab w:val="clear" w:pos="1080"/>
          <w:tab w:val="num" w:pos="1440"/>
        </w:tabs>
        <w:snapToGrid w:val="0"/>
      </w:pPr>
      <w:r>
        <w:t xml:space="preserve">The </w:t>
      </w:r>
      <w:r w:rsidRPr="00D41471">
        <w:rPr>
          <w:i/>
          <w:iCs/>
        </w:rPr>
        <w:t>2018 Quadrennial Review Order</w:t>
      </w:r>
      <w:r w:rsidRPr="00D41471">
        <w:rPr>
          <w:iCs/>
        </w:rPr>
        <w:t xml:space="preserve">, </w:t>
      </w:r>
      <w:r w:rsidRPr="00C6461F">
        <w:t>among</w:t>
      </w:r>
      <w:r w:rsidRPr="00D41471">
        <w:rPr>
          <w:iCs/>
        </w:rPr>
        <w:t xml:space="preserve"> other things, </w:t>
      </w:r>
      <w:r>
        <w:t xml:space="preserve">reaffirmed the relevant legal framework for evaluating </w:t>
      </w:r>
      <w:r w:rsidR="00AF68EA">
        <w:t xml:space="preserve">the Commission’s </w:t>
      </w:r>
      <w:r>
        <w:t xml:space="preserve">media ownership rules pursuant to </w:t>
      </w:r>
      <w:r w:rsidR="003704F3">
        <w:t>s</w:t>
      </w:r>
      <w:r>
        <w:t>ection 202(h).</w:t>
      </w:r>
      <w:r>
        <w:rPr>
          <w:rStyle w:val="FootnoteReference"/>
        </w:rPr>
        <w:footnoteReference w:id="9"/>
      </w:r>
      <w:r>
        <w:t xml:space="preserve">  First, </w:t>
      </w:r>
      <w:r w:rsidR="007713E3">
        <w:rPr>
          <w:szCs w:val="22"/>
        </w:rPr>
        <w:t>the Commission</w:t>
      </w:r>
      <w:r w:rsidRPr="00D41471">
        <w:rPr>
          <w:szCs w:val="22"/>
        </w:rPr>
        <w:t xml:space="preserve"> </w:t>
      </w:r>
      <w:r w:rsidR="00C006B9">
        <w:rPr>
          <w:szCs w:val="22"/>
        </w:rPr>
        <w:t>stated</w:t>
      </w:r>
      <w:r w:rsidRPr="00D41471">
        <w:rPr>
          <w:szCs w:val="22"/>
        </w:rPr>
        <w:t xml:space="preserve"> that the phrase </w:t>
      </w:r>
      <w:r>
        <w:rPr>
          <w:szCs w:val="22"/>
        </w:rPr>
        <w:t>“</w:t>
      </w:r>
      <w:r w:rsidRPr="00D41471">
        <w:rPr>
          <w:szCs w:val="22"/>
        </w:rPr>
        <w:t>necessary in the public interest</w:t>
      </w:r>
      <w:r>
        <w:rPr>
          <w:szCs w:val="22"/>
        </w:rPr>
        <w:t>”</w:t>
      </w:r>
      <w:r w:rsidRPr="00D41471">
        <w:rPr>
          <w:szCs w:val="22"/>
        </w:rPr>
        <w:t xml:space="preserve"> in </w:t>
      </w:r>
      <w:r w:rsidR="003704F3">
        <w:rPr>
          <w:szCs w:val="22"/>
        </w:rPr>
        <w:t>s</w:t>
      </w:r>
      <w:r w:rsidRPr="00D41471">
        <w:rPr>
          <w:szCs w:val="22"/>
        </w:rPr>
        <w:t xml:space="preserve">ection 202(h) establishes a </w:t>
      </w:r>
      <w:r>
        <w:rPr>
          <w:szCs w:val="22"/>
        </w:rPr>
        <w:t>‘“</w:t>
      </w:r>
      <w:r w:rsidRPr="00D41471">
        <w:rPr>
          <w:szCs w:val="22"/>
        </w:rPr>
        <w:t>plain public interest</w:t>
      </w:r>
      <w:r>
        <w:rPr>
          <w:szCs w:val="22"/>
        </w:rPr>
        <w:t>’</w:t>
      </w:r>
      <w:r w:rsidRPr="00D41471">
        <w:rPr>
          <w:szCs w:val="22"/>
        </w:rPr>
        <w:t xml:space="preserve"> standard under which </w:t>
      </w:r>
      <w:r>
        <w:rPr>
          <w:szCs w:val="22"/>
        </w:rPr>
        <w:t>‘</w:t>
      </w:r>
      <w:r w:rsidRPr="00D41471">
        <w:rPr>
          <w:szCs w:val="22"/>
        </w:rPr>
        <w:t>necessary</w:t>
      </w:r>
      <w:r>
        <w:rPr>
          <w:szCs w:val="22"/>
        </w:rPr>
        <w:t>’</w:t>
      </w:r>
      <w:r w:rsidRPr="00D41471">
        <w:rPr>
          <w:szCs w:val="22"/>
        </w:rPr>
        <w:t xml:space="preserve"> means </w:t>
      </w:r>
      <w:r>
        <w:rPr>
          <w:szCs w:val="22"/>
        </w:rPr>
        <w:t>‘</w:t>
      </w:r>
      <w:r w:rsidRPr="00D41471">
        <w:rPr>
          <w:szCs w:val="22"/>
        </w:rPr>
        <w:t>convenient,</w:t>
      </w:r>
      <w:r>
        <w:rPr>
          <w:szCs w:val="22"/>
        </w:rPr>
        <w:t>’</w:t>
      </w:r>
      <w:r w:rsidRPr="00D41471">
        <w:rPr>
          <w:szCs w:val="22"/>
        </w:rPr>
        <w:t xml:space="preserve"> </w:t>
      </w:r>
      <w:r>
        <w:rPr>
          <w:szCs w:val="22"/>
        </w:rPr>
        <w:t>‘</w:t>
      </w:r>
      <w:r w:rsidRPr="00D41471">
        <w:rPr>
          <w:szCs w:val="22"/>
        </w:rPr>
        <w:t>useful,</w:t>
      </w:r>
      <w:r>
        <w:rPr>
          <w:szCs w:val="22"/>
        </w:rPr>
        <w:t>’</w:t>
      </w:r>
      <w:r w:rsidRPr="00D41471">
        <w:rPr>
          <w:szCs w:val="22"/>
        </w:rPr>
        <w:t xml:space="preserve"> or </w:t>
      </w:r>
      <w:r>
        <w:rPr>
          <w:szCs w:val="22"/>
        </w:rPr>
        <w:t>‘</w:t>
      </w:r>
      <w:r w:rsidRPr="00D41471">
        <w:rPr>
          <w:szCs w:val="22"/>
        </w:rPr>
        <w:t>helpful,</w:t>
      </w:r>
      <w:r>
        <w:rPr>
          <w:szCs w:val="22"/>
        </w:rPr>
        <w:t>’</w:t>
      </w:r>
      <w:r w:rsidRPr="00D41471">
        <w:rPr>
          <w:szCs w:val="22"/>
        </w:rPr>
        <w:t xml:space="preserve"> </w:t>
      </w:r>
      <w:r w:rsidR="001F3706">
        <w:rPr>
          <w:szCs w:val="22"/>
        </w:rPr>
        <w:t>not</w:t>
      </w:r>
      <w:r w:rsidRPr="00D41471">
        <w:rPr>
          <w:szCs w:val="22"/>
        </w:rPr>
        <w:t xml:space="preserve"> </w:t>
      </w:r>
      <w:r>
        <w:rPr>
          <w:szCs w:val="22"/>
        </w:rPr>
        <w:t>‘</w:t>
      </w:r>
      <w:r w:rsidRPr="00D41471">
        <w:rPr>
          <w:szCs w:val="22"/>
        </w:rPr>
        <w:t>essential</w:t>
      </w:r>
      <w:r>
        <w:rPr>
          <w:szCs w:val="22"/>
        </w:rPr>
        <w:t>’</w:t>
      </w:r>
      <w:r w:rsidRPr="00D41471">
        <w:rPr>
          <w:szCs w:val="22"/>
        </w:rPr>
        <w:t xml:space="preserve"> or </w:t>
      </w:r>
      <w:r>
        <w:rPr>
          <w:szCs w:val="22"/>
        </w:rPr>
        <w:t>‘</w:t>
      </w:r>
      <w:r w:rsidRPr="00D41471">
        <w:rPr>
          <w:szCs w:val="22"/>
        </w:rPr>
        <w:t>indispensable.</w:t>
      </w:r>
      <w:r>
        <w:rPr>
          <w:szCs w:val="22"/>
        </w:rPr>
        <w:t>’”</w:t>
      </w:r>
      <w:r>
        <w:rPr>
          <w:szCs w:val="22"/>
          <w:vertAlign w:val="superscript"/>
        </w:rPr>
        <w:footnoteReference w:id="10"/>
      </w:r>
      <w:r w:rsidRPr="00D41471">
        <w:rPr>
          <w:szCs w:val="22"/>
        </w:rPr>
        <w:t xml:space="preserve">  Second</w:t>
      </w:r>
      <w:r w:rsidRPr="00CF3CA3">
        <w:t xml:space="preserve">, </w:t>
      </w:r>
      <w:r w:rsidR="007713E3">
        <w:t>the Commission</w:t>
      </w:r>
      <w:r w:rsidRPr="00CF3CA3">
        <w:t xml:space="preserve"> </w:t>
      </w:r>
      <w:r w:rsidR="00F45DE5">
        <w:t xml:space="preserve">stated then </w:t>
      </w:r>
      <w:r w:rsidRPr="00CF3CA3">
        <w:t xml:space="preserve">the principle that </w:t>
      </w:r>
      <w:r w:rsidR="003704F3">
        <w:t>s</w:t>
      </w:r>
      <w:r>
        <w:t>ection 202(h) creates no “</w:t>
      </w:r>
      <w:r w:rsidRPr="00CF3CA3">
        <w:t>presumption in favor of repealing or modifying the ownership rules</w:t>
      </w:r>
      <w:r>
        <w:t>,”</w:t>
      </w:r>
      <w:r>
        <w:rPr>
          <w:rStyle w:val="FootnoteReference"/>
          <w:szCs w:val="22"/>
        </w:rPr>
        <w:footnoteReference w:id="11"/>
      </w:r>
      <w:r>
        <w:t xml:space="preserve"> and that the agency, therefore, </w:t>
      </w:r>
      <w:r w:rsidRPr="00CF3CA3">
        <w:t xml:space="preserve">has discretion </w:t>
      </w:r>
      <w:r>
        <w:t>“</w:t>
      </w:r>
      <w:r w:rsidRPr="00CF3CA3">
        <w:t>to make [the rules] more or less stringent.</w:t>
      </w:r>
      <w:r>
        <w:t>”</w:t>
      </w:r>
      <w:r>
        <w:rPr>
          <w:rStyle w:val="FootnoteReference"/>
          <w:szCs w:val="22"/>
        </w:rPr>
        <w:footnoteReference w:id="12"/>
      </w:r>
      <w:r w:rsidRPr="00CF3CA3">
        <w:t xml:space="preserve">  </w:t>
      </w:r>
      <w:r w:rsidRPr="00D41471">
        <w:rPr>
          <w:szCs w:val="22"/>
        </w:rPr>
        <w:t xml:space="preserve">Third, </w:t>
      </w:r>
      <w:r w:rsidR="007713E3">
        <w:rPr>
          <w:szCs w:val="22"/>
        </w:rPr>
        <w:t>the Commission</w:t>
      </w:r>
      <w:r w:rsidR="00253EFF">
        <w:rPr>
          <w:szCs w:val="22"/>
        </w:rPr>
        <w:t xml:space="preserve"> </w:t>
      </w:r>
      <w:r w:rsidR="00C006B9">
        <w:rPr>
          <w:szCs w:val="22"/>
        </w:rPr>
        <w:t xml:space="preserve">then </w:t>
      </w:r>
      <w:r w:rsidRPr="00D41471">
        <w:rPr>
          <w:szCs w:val="22"/>
        </w:rPr>
        <w:t xml:space="preserve">reaffirmed </w:t>
      </w:r>
      <w:r w:rsidR="007713E3">
        <w:rPr>
          <w:szCs w:val="22"/>
        </w:rPr>
        <w:t>its</w:t>
      </w:r>
      <w:r w:rsidRPr="00D41471">
        <w:rPr>
          <w:szCs w:val="22"/>
        </w:rPr>
        <w:t xml:space="preserve"> broad statutory authority, </w:t>
      </w:r>
      <w:r>
        <w:rPr>
          <w:szCs w:val="22"/>
        </w:rPr>
        <w:t xml:space="preserve">as </w:t>
      </w:r>
      <w:r w:rsidRPr="00D41471">
        <w:rPr>
          <w:szCs w:val="22"/>
        </w:rPr>
        <w:t xml:space="preserve">validated by the Supreme Court in </w:t>
      </w:r>
      <w:r w:rsidRPr="00D41471">
        <w:rPr>
          <w:i/>
          <w:iCs/>
          <w:szCs w:val="22"/>
        </w:rPr>
        <w:t>FCC v. Prometheus</w:t>
      </w:r>
      <w:r w:rsidRPr="00D41471">
        <w:rPr>
          <w:iCs/>
          <w:szCs w:val="22"/>
        </w:rPr>
        <w:t xml:space="preserve">, </w:t>
      </w:r>
      <w:r w:rsidRPr="00D41471">
        <w:rPr>
          <w:szCs w:val="22"/>
        </w:rPr>
        <w:t>to regulate broadcast stations in the public interest.</w:t>
      </w:r>
      <w:r>
        <w:rPr>
          <w:rStyle w:val="FootnoteReference"/>
          <w:szCs w:val="22"/>
        </w:rPr>
        <w:footnoteReference w:id="13"/>
      </w:r>
      <w:r>
        <w:t xml:space="preserve">  In particular, </w:t>
      </w:r>
      <w:r w:rsidR="007713E3">
        <w:t>the Commission</w:t>
      </w:r>
      <w:r>
        <w:t xml:space="preserve"> </w:t>
      </w:r>
      <w:r w:rsidRPr="00D41471">
        <w:rPr>
          <w:szCs w:val="22"/>
        </w:rPr>
        <w:t xml:space="preserve">reaffirmed that </w:t>
      </w:r>
      <w:r w:rsidR="00C30E3E">
        <w:rPr>
          <w:szCs w:val="22"/>
        </w:rPr>
        <w:t>the</w:t>
      </w:r>
      <w:r w:rsidRPr="00D41471" w:rsidR="00C30E3E">
        <w:rPr>
          <w:szCs w:val="22"/>
        </w:rPr>
        <w:t xml:space="preserve"> </w:t>
      </w:r>
      <w:r w:rsidRPr="00D41471">
        <w:rPr>
          <w:szCs w:val="22"/>
        </w:rPr>
        <w:t xml:space="preserve">public interest analysis under </w:t>
      </w:r>
      <w:r w:rsidR="00D904C5">
        <w:rPr>
          <w:szCs w:val="22"/>
        </w:rPr>
        <w:t>s</w:t>
      </w:r>
      <w:r w:rsidRPr="00D41471">
        <w:rPr>
          <w:szCs w:val="22"/>
        </w:rPr>
        <w:t>ection 202(h) should continue to focus on whether the ownership rules remain necessary to advance the agency</w:t>
      </w:r>
      <w:r>
        <w:rPr>
          <w:szCs w:val="22"/>
        </w:rPr>
        <w:t>’</w:t>
      </w:r>
      <w:r w:rsidRPr="00D41471">
        <w:rPr>
          <w:szCs w:val="22"/>
        </w:rPr>
        <w:t xml:space="preserve">s three traditional policy goals of competition, localism, and </w:t>
      </w:r>
      <w:r w:rsidR="009225DD">
        <w:t xml:space="preserve">viewpoint </w:t>
      </w:r>
      <w:r w:rsidRPr="00D41471">
        <w:rPr>
          <w:szCs w:val="22"/>
        </w:rPr>
        <w:t>diversity</w:t>
      </w:r>
      <w:r>
        <w:rPr>
          <w:szCs w:val="22"/>
        </w:rPr>
        <w:t>, and that the Commission</w:t>
      </w:r>
      <w:r w:rsidRPr="00D41471">
        <w:rPr>
          <w:szCs w:val="22"/>
        </w:rPr>
        <w:t xml:space="preserve"> should not abandon this approach in favor of an approach that elevates one public interest goal (</w:t>
      </w:r>
      <w:r w:rsidRPr="004F16FC">
        <w:rPr>
          <w:iCs/>
          <w:szCs w:val="22"/>
        </w:rPr>
        <w:t>e.g.</w:t>
      </w:r>
      <w:r w:rsidRPr="007713E3">
        <w:rPr>
          <w:iCs/>
          <w:szCs w:val="22"/>
        </w:rPr>
        <w:t>,</w:t>
      </w:r>
      <w:r w:rsidRPr="00D41471">
        <w:rPr>
          <w:szCs w:val="22"/>
        </w:rPr>
        <w:t xml:space="preserve"> competition) over another.</w:t>
      </w:r>
      <w:r>
        <w:rPr>
          <w:rStyle w:val="FootnoteReference"/>
          <w:szCs w:val="22"/>
        </w:rPr>
        <w:footnoteReference w:id="14"/>
      </w:r>
      <w:r w:rsidRPr="00D41471">
        <w:rPr>
          <w:szCs w:val="22"/>
        </w:rPr>
        <w:t xml:space="preserve">   </w:t>
      </w:r>
      <w:r w:rsidRPr="5E9F55F4">
        <w:t xml:space="preserve">  </w:t>
      </w:r>
    </w:p>
    <w:p w:rsidR="00F541A7" w:rsidP="00EA1768" w14:paraId="542E4F38" w14:textId="3B2DDEFC">
      <w:pPr>
        <w:pStyle w:val="ParaNum"/>
        <w:numPr>
          <w:ilvl w:val="0"/>
          <w:numId w:val="3"/>
        </w:numPr>
        <w:tabs>
          <w:tab w:val="clear" w:pos="1080"/>
          <w:tab w:val="num" w:pos="1440"/>
        </w:tabs>
        <w:snapToGrid w:val="0"/>
      </w:pPr>
      <w:r>
        <w:t xml:space="preserve">In applying this framework, </w:t>
      </w:r>
      <w:r w:rsidR="00C42EF6">
        <w:t>the Commission</w:t>
      </w:r>
      <w:r>
        <w:t xml:space="preserve"> concluded</w:t>
      </w:r>
      <w:r w:rsidRPr="00DC4D42">
        <w:t xml:space="preserve"> </w:t>
      </w:r>
      <w:r>
        <w:t>in the 2018 proceeding that two of the three rules noted above—the</w:t>
      </w:r>
      <w:r w:rsidRPr="00D94087">
        <w:t xml:space="preserve"> Local Radio Ownership Rule</w:t>
      </w:r>
      <w:r>
        <w:t xml:space="preserve"> and</w:t>
      </w:r>
      <w:r w:rsidRPr="00D94087">
        <w:t xml:space="preserve"> the Local Television Ownership Rule</w:t>
      </w:r>
      <w:r>
        <w:t>—</w:t>
      </w:r>
      <w:r w:rsidRPr="00E42CB0">
        <w:t>remain necessary in the public interest</w:t>
      </w:r>
      <w:r>
        <w:t>,</w:t>
      </w:r>
      <w:r w:rsidRPr="00E42CB0">
        <w:t xml:space="preserve"> </w:t>
      </w:r>
      <w:r w:rsidRPr="00D465DA">
        <w:t xml:space="preserve">with </w:t>
      </w:r>
      <w:r>
        <w:t>some</w:t>
      </w:r>
      <w:r w:rsidRPr="00D465DA">
        <w:t xml:space="preserve"> modifications.</w:t>
      </w:r>
      <w:r>
        <w:rPr>
          <w:rStyle w:val="FootnoteReference"/>
        </w:rPr>
        <w:footnoteReference w:id="15"/>
      </w:r>
      <w:r w:rsidRPr="00D465DA">
        <w:t xml:space="preserve">  </w:t>
      </w:r>
      <w:r>
        <w:t>Specifically</w:t>
      </w:r>
      <w:r w:rsidRPr="00D465DA">
        <w:t xml:space="preserve">, </w:t>
      </w:r>
      <w:r w:rsidR="00C42EF6">
        <w:t>the Commission</w:t>
      </w:r>
      <w:r w:rsidRPr="00D465DA">
        <w:t xml:space="preserve"> </w:t>
      </w:r>
      <w:r>
        <w:t xml:space="preserve">found that the </w:t>
      </w:r>
      <w:r w:rsidRPr="00EA1768">
        <w:rPr>
          <w:szCs w:val="22"/>
        </w:rPr>
        <w:t>public</w:t>
      </w:r>
      <w:r>
        <w:t xml:space="preserve"> interest would be served by revising the </w:t>
      </w:r>
      <w:r w:rsidRPr="00D465DA">
        <w:t xml:space="preserve">Local Radio Ownership Rule </w:t>
      </w:r>
      <w:r>
        <w:t>to</w:t>
      </w:r>
      <w:r w:rsidRPr="00D465DA">
        <w:t xml:space="preserve"> mak</w:t>
      </w:r>
      <w:r>
        <w:t>e</w:t>
      </w:r>
      <w:r w:rsidRPr="00D465DA">
        <w:t xml:space="preserve"> permanent the interim contour-overlap methodology </w:t>
      </w:r>
      <w:r>
        <w:t xml:space="preserve">historically </w:t>
      </w:r>
      <w:r w:rsidRPr="00D465DA">
        <w:t>used to determine ownership limits in areas outside the boundaries of defined Nielsen Audio Metro markets and in Puerto Rico</w:t>
      </w:r>
      <w:r>
        <w:t>.</w:t>
      </w:r>
      <w:r>
        <w:rPr>
          <w:rStyle w:val="FootnoteReference"/>
        </w:rPr>
        <w:footnoteReference w:id="16"/>
      </w:r>
      <w:r>
        <w:t xml:space="preserve">  </w:t>
      </w:r>
      <w:r w:rsidR="00524FE5">
        <w:t xml:space="preserve">The Commission determined that </w:t>
      </w:r>
      <w:r w:rsidRPr="00D465DA" w:rsidR="00524FE5">
        <w:t>the</w:t>
      </w:r>
      <w:r w:rsidR="00524FE5">
        <w:t>se</w:t>
      </w:r>
      <w:r w:rsidRPr="00D465DA" w:rsidR="00524FE5">
        <w:t xml:space="preserve"> </w:t>
      </w:r>
      <w:r w:rsidR="00524FE5">
        <w:t xml:space="preserve">minor </w:t>
      </w:r>
      <w:r w:rsidRPr="00D465DA" w:rsidR="00524FE5">
        <w:t>modifications w</w:t>
      </w:r>
      <w:r w:rsidR="00524FE5">
        <w:t>ould</w:t>
      </w:r>
      <w:r w:rsidRPr="00D465DA" w:rsidR="00524FE5">
        <w:t xml:space="preserve"> enable </w:t>
      </w:r>
      <w:r w:rsidR="00524FE5">
        <w:t xml:space="preserve">the </w:t>
      </w:r>
      <w:r w:rsidRPr="00D465DA" w:rsidR="00524FE5">
        <w:t xml:space="preserve">Local Radio Ownership Rule to promote </w:t>
      </w:r>
      <w:r w:rsidR="003C2304">
        <w:t xml:space="preserve">the public interest </w:t>
      </w:r>
      <w:r w:rsidRPr="00885AEC" w:rsidR="00524FE5">
        <w:t xml:space="preserve">more effectively </w:t>
      </w:r>
      <w:r w:rsidRPr="00D465DA" w:rsidR="00524FE5">
        <w:t>going forward.</w:t>
      </w:r>
      <w:r>
        <w:rPr>
          <w:rStyle w:val="FootnoteReference"/>
        </w:rPr>
        <w:footnoteReference w:id="17"/>
      </w:r>
      <w:r w:rsidR="00524FE5">
        <w:t xml:space="preserve">  </w:t>
      </w:r>
      <w:r w:rsidR="009636B2">
        <w:t>The Commission</w:t>
      </w:r>
      <w:r>
        <w:t xml:space="preserve"> also found that it was necessary to revise the </w:t>
      </w:r>
      <w:r w:rsidRPr="00D94087">
        <w:t xml:space="preserve">Local Television Ownership Rule </w:t>
      </w:r>
      <w:r>
        <w:t xml:space="preserve">by (1) </w:t>
      </w:r>
      <w:r w:rsidRPr="00D94087">
        <w:t>updat</w:t>
      </w:r>
      <w:r>
        <w:t>ing</w:t>
      </w:r>
      <w:r w:rsidRPr="00D94087">
        <w:t xml:space="preserve"> the methodology for determining station ranking within a </w:t>
      </w:r>
      <w:r>
        <w:t xml:space="preserve">geographic </w:t>
      </w:r>
      <w:r w:rsidRPr="00D94087">
        <w:t xml:space="preserve">market </w:t>
      </w:r>
      <w:r>
        <w:t xml:space="preserve">and (2) </w:t>
      </w:r>
      <w:r w:rsidRPr="00D94087">
        <w:t>expand</w:t>
      </w:r>
      <w:r>
        <w:t>ing</w:t>
      </w:r>
      <w:r w:rsidRPr="00D94087">
        <w:t xml:space="preserve"> the existing prohibition on </w:t>
      </w:r>
      <w:r w:rsidR="0079099C">
        <w:t>transactions involving certain network</w:t>
      </w:r>
      <w:r w:rsidRPr="00D94087">
        <w:t xml:space="preserve"> affiliation</w:t>
      </w:r>
      <w:r w:rsidR="0079099C">
        <w:t>s</w:t>
      </w:r>
      <w:r w:rsidRPr="00D94087">
        <w:t xml:space="preserve"> in a market.</w:t>
      </w:r>
      <w:r>
        <w:rPr>
          <w:rStyle w:val="FootnoteReference"/>
        </w:rPr>
        <w:footnoteReference w:id="18"/>
      </w:r>
      <w:r w:rsidRPr="00D94087">
        <w:t xml:space="preserve"> </w:t>
      </w:r>
      <w:r>
        <w:t xml:space="preserve"> As for the Dual Network Rule, </w:t>
      </w:r>
      <w:r w:rsidR="009E3C6B">
        <w:t>the Commission</w:t>
      </w:r>
      <w:r>
        <w:t xml:space="preserve"> concluded that</w:t>
      </w:r>
      <w:r w:rsidR="006D6ACD">
        <w:t>,</w:t>
      </w:r>
      <w:r>
        <w:t xml:space="preserve"> despite marketplace changes, the rule remains necessary in the public interest</w:t>
      </w:r>
      <w:r w:rsidR="00C30E3E">
        <w:t xml:space="preserve"> without modification</w:t>
      </w:r>
      <w:r>
        <w:t>.</w:t>
      </w:r>
      <w:r>
        <w:rPr>
          <w:rStyle w:val="FootnoteReference"/>
        </w:rPr>
        <w:footnoteReference w:id="19"/>
      </w:r>
      <w:r>
        <w:t xml:space="preserve">  </w:t>
      </w:r>
    </w:p>
    <w:p w:rsidR="00637A18" w:rsidP="00486212" w14:paraId="0FA1E99E" w14:textId="35F975CC">
      <w:pPr>
        <w:pStyle w:val="ParaNum"/>
        <w:widowControl/>
        <w:numPr>
          <w:ilvl w:val="0"/>
          <w:numId w:val="3"/>
        </w:numPr>
        <w:tabs>
          <w:tab w:val="clear" w:pos="1080"/>
          <w:tab w:val="num" w:pos="1440"/>
        </w:tabs>
        <w:snapToGrid w:val="0"/>
      </w:pPr>
      <w:r w:rsidRPr="00637A18">
        <w:t xml:space="preserve">Parties raised legal challenges to the </w:t>
      </w:r>
      <w:r w:rsidRPr="0068082A">
        <w:rPr>
          <w:i/>
          <w:iCs/>
        </w:rPr>
        <w:t>2018 Quadrennial Review Order</w:t>
      </w:r>
      <w:r w:rsidRPr="00637A18">
        <w:t xml:space="preserve"> shortly after its adoption</w:t>
      </w:r>
      <w:r w:rsidR="0030088D">
        <w:t>,</w:t>
      </w:r>
      <w:r>
        <w:rPr>
          <w:rStyle w:val="FootnoteReference"/>
        </w:rPr>
        <w:footnoteReference w:id="20"/>
      </w:r>
      <w:r w:rsidR="0030088D">
        <w:t xml:space="preserve"> which were decided by the </w:t>
      </w:r>
      <w:r w:rsidRPr="003575E5" w:rsidR="0030088D">
        <w:t>United States Court of Appeals for the Eighth Circuit</w:t>
      </w:r>
      <w:r w:rsidRPr="00637A18">
        <w:t>.</w:t>
      </w:r>
      <w:r>
        <w:rPr>
          <w:rStyle w:val="FootnoteReference"/>
        </w:rPr>
        <w:footnoteReference w:id="21"/>
      </w:r>
      <w:r w:rsidR="006C0681">
        <w:t xml:space="preserve">  </w:t>
      </w:r>
      <w:r w:rsidR="00C03ECD">
        <w:t xml:space="preserve">On July 23, 2025, the court </w:t>
      </w:r>
      <w:r w:rsidR="00F70323">
        <w:t xml:space="preserve">largely </w:t>
      </w:r>
      <w:r w:rsidR="00C03ECD">
        <w:t xml:space="preserve">upheld the </w:t>
      </w:r>
      <w:r w:rsidRPr="0068082A" w:rsidR="00C03ECD">
        <w:rPr>
          <w:i/>
          <w:iCs/>
        </w:rPr>
        <w:t>2018 Quadrennial Review Order</w:t>
      </w:r>
      <w:r w:rsidR="00C03ECD">
        <w:rPr>
          <w:i/>
          <w:iCs/>
        </w:rPr>
        <w:t xml:space="preserve"> </w:t>
      </w:r>
      <w:r w:rsidR="00C03ECD">
        <w:t xml:space="preserve">but vacated and remanded components of the </w:t>
      </w:r>
      <w:r w:rsidRPr="00D94087" w:rsidR="00C03ECD">
        <w:t>Local Television Ownership Rule</w:t>
      </w:r>
      <w:r w:rsidR="00C03ECD">
        <w:t>.</w:t>
      </w:r>
      <w:r>
        <w:rPr>
          <w:rStyle w:val="FootnoteReference"/>
        </w:rPr>
        <w:footnoteReference w:id="22"/>
      </w:r>
      <w:r w:rsidR="00C03ECD">
        <w:t xml:space="preserve">  The court found that the Commission </w:t>
      </w:r>
      <w:r w:rsidRPr="00C03ECD" w:rsidR="00C03ECD">
        <w:t>acted arbitrarily and capriciously in retaining the</w:t>
      </w:r>
      <w:r w:rsidR="00C03ECD">
        <w:t xml:space="preserve"> Top-Four Prohibition</w:t>
      </w:r>
      <w:r w:rsidR="001C334B">
        <w:t xml:space="preserve">—the provision requiring that, </w:t>
      </w:r>
      <w:r w:rsidRPr="008359F8" w:rsidR="001C334B">
        <w:t xml:space="preserve">at the time </w:t>
      </w:r>
      <w:r w:rsidR="001C334B">
        <w:t>an</w:t>
      </w:r>
      <w:r w:rsidRPr="008359F8" w:rsidR="001C334B">
        <w:t xml:space="preserve"> application to acquire or construct </w:t>
      </w:r>
      <w:r w:rsidR="001C334B">
        <w:t xml:space="preserve">a television </w:t>
      </w:r>
      <w:r w:rsidRPr="008359F8" w:rsidR="001C334B">
        <w:t>statio</w:t>
      </w:r>
      <w:r w:rsidR="001C334B">
        <w:t>n</w:t>
      </w:r>
      <w:r w:rsidRPr="008359F8" w:rsidR="001C334B">
        <w:t xml:space="preserve"> is filed, at least one of the stations is not ranked among the top-four stations in </w:t>
      </w:r>
      <w:r w:rsidR="001C334B">
        <w:t xml:space="preserve">terms of audience share in </w:t>
      </w:r>
      <w:r w:rsidRPr="008359F8" w:rsidR="001C334B">
        <w:t>the</w:t>
      </w:r>
      <w:r w:rsidR="001C334B">
        <w:t xml:space="preserve"> local television market</w:t>
      </w:r>
      <w:r w:rsidR="00C03ECD">
        <w:t xml:space="preserve">.  The court also held that the Commission’s expansion of the </w:t>
      </w:r>
      <w:r w:rsidRPr="00D94087" w:rsidR="00C03ECD">
        <w:t xml:space="preserve">existing prohibition on </w:t>
      </w:r>
      <w:r w:rsidR="004F682F">
        <w:t xml:space="preserve">television </w:t>
      </w:r>
      <w:r w:rsidR="00C03ECD">
        <w:t>transactions involving certain network</w:t>
      </w:r>
      <w:r w:rsidRPr="00D94087" w:rsidR="00C03ECD">
        <w:t xml:space="preserve"> affiliation</w:t>
      </w:r>
      <w:r w:rsidR="00C03ECD">
        <w:t xml:space="preserve">s </w:t>
      </w:r>
      <w:r w:rsidRPr="00C03ECD" w:rsidR="00C03ECD">
        <w:t xml:space="preserve">was adopted in excess of </w:t>
      </w:r>
      <w:r w:rsidR="00C03ECD">
        <w:t>s</w:t>
      </w:r>
      <w:r w:rsidRPr="00C03ECD" w:rsidR="00C03ECD">
        <w:t>ection 202(h)</w:t>
      </w:r>
      <w:r w:rsidR="00C03ECD">
        <w:t xml:space="preserve">’s </w:t>
      </w:r>
      <w:r w:rsidR="002158F1">
        <w:t xml:space="preserve">grant of </w:t>
      </w:r>
      <w:r w:rsidR="00C03ECD">
        <w:t xml:space="preserve">statutory authority. </w:t>
      </w:r>
      <w:r w:rsidR="000D0AF4">
        <w:t xml:space="preserve"> </w:t>
      </w:r>
      <w:r w:rsidR="000D0AF4">
        <w:t xml:space="preserve">Regarding </w:t>
      </w:r>
      <w:r w:rsidRPr="00C03ECD" w:rsidR="000D0AF4">
        <w:t>202(h)</w:t>
      </w:r>
      <w:r w:rsidR="000D0AF4">
        <w:t>’s grant of statutory authority, the court held that the statute allows the Commission to loosen regulations but not tighten them.</w:t>
      </w:r>
      <w:r>
        <w:rPr>
          <w:rStyle w:val="FootnoteReference"/>
        </w:rPr>
        <w:footnoteReference w:id="23"/>
      </w:r>
    </w:p>
    <w:p w:rsidR="00F541A7" w:rsidRPr="002A40FE" w:rsidP="00EA1768" w14:paraId="518C16CF" w14:textId="77777777">
      <w:pPr>
        <w:pStyle w:val="ParaNum"/>
        <w:numPr>
          <w:ilvl w:val="0"/>
          <w:numId w:val="3"/>
        </w:numPr>
        <w:tabs>
          <w:tab w:val="clear" w:pos="1080"/>
          <w:tab w:val="num" w:pos="1440"/>
        </w:tabs>
        <w:snapToGrid w:val="0"/>
      </w:pPr>
      <w:r w:rsidRPr="00693911">
        <w:rPr>
          <w:snapToGrid/>
          <w:color w:val="010101"/>
          <w:kern w:val="0"/>
          <w:szCs w:val="22"/>
        </w:rPr>
        <w:t xml:space="preserve">The Media Bureau </w:t>
      </w:r>
      <w:r w:rsidR="0079099C">
        <w:rPr>
          <w:snapToGrid/>
          <w:color w:val="010101"/>
          <w:kern w:val="0"/>
          <w:szCs w:val="22"/>
        </w:rPr>
        <w:t>sought comment on the media ownership rules</w:t>
      </w:r>
      <w:r w:rsidRPr="00693911">
        <w:rPr>
          <w:snapToGrid/>
          <w:color w:val="010101"/>
          <w:kern w:val="0"/>
          <w:szCs w:val="22"/>
        </w:rPr>
        <w:t xml:space="preserve"> with a December 22, 2022 Public Notice (</w:t>
      </w:r>
      <w:r w:rsidRPr="00917E39">
        <w:rPr>
          <w:i/>
          <w:iCs/>
          <w:snapToGrid/>
          <w:color w:val="010101"/>
          <w:kern w:val="0"/>
          <w:szCs w:val="22"/>
        </w:rPr>
        <w:t xml:space="preserve">2022 Quadrennial Review </w:t>
      </w:r>
      <w:r w:rsidR="00917E39">
        <w:rPr>
          <w:i/>
          <w:iCs/>
          <w:snapToGrid/>
          <w:color w:val="010101"/>
          <w:kern w:val="0"/>
          <w:szCs w:val="22"/>
        </w:rPr>
        <w:t xml:space="preserve">Public </w:t>
      </w:r>
      <w:r w:rsidRPr="00917E39">
        <w:rPr>
          <w:i/>
          <w:iCs/>
          <w:snapToGrid/>
          <w:color w:val="010101"/>
          <w:kern w:val="0"/>
          <w:szCs w:val="22"/>
        </w:rPr>
        <w:t>Notice</w:t>
      </w:r>
      <w:r w:rsidRPr="00693911">
        <w:rPr>
          <w:snapToGrid/>
          <w:color w:val="010101"/>
          <w:kern w:val="0"/>
          <w:szCs w:val="22"/>
        </w:rPr>
        <w:t>).</w:t>
      </w:r>
      <w:r>
        <w:rPr>
          <w:rStyle w:val="FootnoteReference"/>
          <w:snapToGrid/>
          <w:kern w:val="0"/>
          <w:szCs w:val="22"/>
        </w:rPr>
        <w:footnoteReference w:id="24"/>
      </w:r>
      <w:r w:rsidR="00E00D5F">
        <w:rPr>
          <w:snapToGrid/>
          <w:color w:val="010101"/>
          <w:kern w:val="0"/>
          <w:szCs w:val="22"/>
        </w:rPr>
        <w:t xml:space="preserve">  </w:t>
      </w:r>
      <w:r w:rsidR="00E00D5F">
        <w:t xml:space="preserve">We received </w:t>
      </w:r>
      <w:r w:rsidRPr="00693911" w:rsidR="00E00D5F">
        <w:t xml:space="preserve">comments from </w:t>
      </w:r>
      <w:r w:rsidR="00E00D5F">
        <w:t>various</w:t>
      </w:r>
      <w:r w:rsidRPr="00693911" w:rsidR="00E00D5F">
        <w:t xml:space="preserve"> parties in response </w:t>
      </w:r>
      <w:r w:rsidRPr="00693911" w:rsidR="00E00D5F">
        <w:rPr>
          <w:iCs/>
          <w:szCs w:val="22"/>
        </w:rPr>
        <w:t>to</w:t>
      </w:r>
      <w:r w:rsidRPr="00693911" w:rsidR="00E00D5F">
        <w:t xml:space="preserve"> </w:t>
      </w:r>
      <w:r w:rsidR="0079099C">
        <w:t>this notice</w:t>
      </w:r>
      <w:r w:rsidRPr="00693911" w:rsidR="00E00D5F">
        <w:t>, including broadcasters, network affiliates, trade associations, public interest groups, academics, and individuals.</w:t>
      </w:r>
      <w:r>
        <w:rPr>
          <w:rStyle w:val="FootnoteReference"/>
          <w:color w:val="010101"/>
          <w:kern w:val="0"/>
        </w:rPr>
        <w:footnoteReference w:id="25"/>
      </w:r>
      <w:r w:rsidRPr="00693911" w:rsidR="00E00D5F">
        <w:t xml:space="preserve">  Those comments</w:t>
      </w:r>
      <w:r w:rsidR="00E00D5F">
        <w:t xml:space="preserve"> helped to inform the </w:t>
      </w:r>
      <w:r w:rsidR="004B65E3">
        <w:t>discussion</w:t>
      </w:r>
      <w:r w:rsidR="00E00D5F">
        <w:t xml:space="preserve"> that follow</w:t>
      </w:r>
      <w:r w:rsidR="004B65E3">
        <w:t>s</w:t>
      </w:r>
      <w:r w:rsidR="00E00D5F">
        <w:t xml:space="preserve"> below.</w:t>
      </w:r>
      <w:r w:rsidRPr="00693911">
        <w:rPr>
          <w:snapToGrid/>
          <w:color w:val="010101"/>
          <w:kern w:val="0"/>
          <w:szCs w:val="22"/>
        </w:rPr>
        <w:t xml:space="preserve"> </w:t>
      </w:r>
      <w:r w:rsidRPr="00693911">
        <w:rPr>
          <w:snapToGrid/>
          <w:color w:val="010101"/>
          <w:kern w:val="0"/>
          <w:sz w:val="14"/>
          <w:szCs w:val="14"/>
        </w:rPr>
        <w:t xml:space="preserve"> </w:t>
      </w:r>
      <w:r>
        <w:rPr>
          <w:szCs w:val="22"/>
        </w:rPr>
        <w:t xml:space="preserve">  </w:t>
      </w:r>
    </w:p>
    <w:p w:rsidR="00F541A7" w:rsidP="00F541A7" w14:paraId="0653D6D3" w14:textId="77777777">
      <w:pPr>
        <w:pStyle w:val="Heading1"/>
        <w:tabs>
          <w:tab w:val="num" w:pos="720"/>
        </w:tabs>
        <w:rPr>
          <w:snapToGrid/>
        </w:rPr>
      </w:pPr>
      <w:bookmarkStart w:id="37" w:name="_Toc119934579"/>
      <w:bookmarkStart w:id="38" w:name="_Toc119934934"/>
      <w:bookmarkStart w:id="39" w:name="_Toc119936947"/>
      <w:bookmarkStart w:id="40" w:name="_Toc119937144"/>
      <w:bookmarkStart w:id="41" w:name="_Toc119937303"/>
      <w:bookmarkStart w:id="42" w:name="_Toc119937379"/>
      <w:bookmarkStart w:id="43" w:name="_Toc119937423"/>
      <w:bookmarkStart w:id="44" w:name="_Toc119937470"/>
      <w:bookmarkStart w:id="45" w:name="_Toc119937538"/>
      <w:bookmarkStart w:id="46" w:name="_Toc147923063"/>
      <w:bookmarkStart w:id="47" w:name="_Toc150243934"/>
      <w:bookmarkStart w:id="48" w:name="_Toc156913545"/>
      <w:bookmarkStart w:id="49" w:name="_Toc202958351"/>
      <w:bookmarkStart w:id="50" w:name="_Toc527713804"/>
      <w:bookmarkStart w:id="51" w:name="_Toc532379622"/>
      <w:bookmarkStart w:id="52" w:name="_Toc532379664"/>
      <w:r>
        <w:t>policy goals</w:t>
      </w:r>
      <w:bookmarkEnd w:id="37"/>
      <w:bookmarkEnd w:id="38"/>
      <w:bookmarkEnd w:id="39"/>
      <w:bookmarkEnd w:id="40"/>
      <w:bookmarkEnd w:id="41"/>
      <w:bookmarkEnd w:id="42"/>
      <w:bookmarkEnd w:id="43"/>
      <w:bookmarkEnd w:id="44"/>
      <w:bookmarkEnd w:id="45"/>
      <w:bookmarkEnd w:id="46"/>
      <w:bookmarkEnd w:id="47"/>
      <w:bookmarkEnd w:id="48"/>
      <w:bookmarkEnd w:id="49"/>
    </w:p>
    <w:p w:rsidR="00F541A7" w:rsidRPr="003055AD" w:rsidP="007168B6" w14:paraId="5965050A" w14:textId="77777777">
      <w:pPr>
        <w:pStyle w:val="ParaNum"/>
        <w:numPr>
          <w:ilvl w:val="0"/>
          <w:numId w:val="3"/>
        </w:numPr>
        <w:tabs>
          <w:tab w:val="clear" w:pos="1080"/>
        </w:tabs>
        <w:snapToGrid w:val="0"/>
        <w:rPr>
          <w:i/>
          <w:szCs w:val="22"/>
        </w:rPr>
      </w:pPr>
      <w:r>
        <w:rPr>
          <w:szCs w:val="22"/>
        </w:rPr>
        <w:t xml:space="preserve">As discussed above, </w:t>
      </w:r>
      <w:r>
        <w:t>the</w:t>
      </w:r>
      <w:r>
        <w:rPr>
          <w:szCs w:val="22"/>
        </w:rPr>
        <w:t xml:space="preserve"> Commission historically has reviewed its ownership rules with the express purpose of determining whether such rules remain necessary in the public interest</w:t>
      </w:r>
      <w:r w:rsidR="005522A3">
        <w:rPr>
          <w:szCs w:val="22"/>
        </w:rPr>
        <w:t xml:space="preserve">. </w:t>
      </w:r>
      <w:r>
        <w:rPr>
          <w:szCs w:val="22"/>
        </w:rPr>
        <w:t xml:space="preserve"> </w:t>
      </w:r>
      <w:r w:rsidR="005522A3">
        <w:rPr>
          <w:szCs w:val="22"/>
        </w:rPr>
        <w:t>This</w:t>
      </w:r>
      <w:r>
        <w:rPr>
          <w:szCs w:val="22"/>
        </w:rPr>
        <w:t xml:space="preserve"> analysis </w:t>
      </w:r>
      <w:r w:rsidR="00BA115F">
        <w:rPr>
          <w:szCs w:val="22"/>
        </w:rPr>
        <w:t xml:space="preserve">has </w:t>
      </w:r>
      <w:r>
        <w:rPr>
          <w:szCs w:val="22"/>
        </w:rPr>
        <w:t>focuse</w:t>
      </w:r>
      <w:r w:rsidR="00BA115F">
        <w:rPr>
          <w:szCs w:val="22"/>
        </w:rPr>
        <w:t>d</w:t>
      </w:r>
      <w:r>
        <w:rPr>
          <w:szCs w:val="22"/>
        </w:rPr>
        <w:t xml:space="preserve"> principally on whether the </w:t>
      </w:r>
      <w:r w:rsidR="00C30E3E">
        <w:rPr>
          <w:szCs w:val="22"/>
        </w:rPr>
        <w:t xml:space="preserve">particular </w:t>
      </w:r>
      <w:r>
        <w:rPr>
          <w:szCs w:val="22"/>
        </w:rPr>
        <w:t xml:space="preserve">rule continues to advance the agency’s traditional </w:t>
      </w:r>
      <w:r w:rsidRPr="00953B91">
        <w:rPr>
          <w:szCs w:val="22"/>
        </w:rPr>
        <w:t xml:space="preserve">policy goals of competition, localism, and </w:t>
      </w:r>
      <w:r w:rsidRPr="00953B91" w:rsidR="009225DD">
        <w:t xml:space="preserve">viewpoint </w:t>
      </w:r>
      <w:r w:rsidRPr="00953B91">
        <w:rPr>
          <w:szCs w:val="22"/>
        </w:rPr>
        <w:t>diversity.</w:t>
      </w:r>
      <w:r>
        <w:rPr>
          <w:rStyle w:val="FootnoteReference"/>
          <w:szCs w:val="22"/>
        </w:rPr>
        <w:footnoteReference w:id="26"/>
      </w:r>
      <w:r w:rsidRPr="00953B91">
        <w:rPr>
          <w:szCs w:val="22"/>
        </w:rPr>
        <w:t xml:space="preserve">  </w:t>
      </w:r>
      <w:r w:rsidRPr="00953B91" w:rsidR="00EE68B5">
        <w:rPr>
          <w:szCs w:val="22"/>
        </w:rPr>
        <w:t>W</w:t>
      </w:r>
      <w:r w:rsidRPr="00953B91">
        <w:rPr>
          <w:iCs/>
          <w:szCs w:val="22"/>
        </w:rPr>
        <w:t>here</w:t>
      </w:r>
      <w:r>
        <w:rPr>
          <w:iCs/>
          <w:szCs w:val="22"/>
        </w:rPr>
        <w:t xml:space="preserve"> there is a conflict between competing goals, the Commission </w:t>
      </w:r>
      <w:r w:rsidR="00BA115F">
        <w:rPr>
          <w:iCs/>
          <w:szCs w:val="22"/>
        </w:rPr>
        <w:t xml:space="preserve">has </w:t>
      </w:r>
      <w:r>
        <w:rPr>
          <w:iCs/>
          <w:szCs w:val="22"/>
        </w:rPr>
        <w:t>weigh</w:t>
      </w:r>
      <w:r w:rsidR="00BA115F">
        <w:rPr>
          <w:iCs/>
          <w:szCs w:val="22"/>
        </w:rPr>
        <w:t>ed</w:t>
      </w:r>
      <w:r>
        <w:rPr>
          <w:iCs/>
          <w:szCs w:val="22"/>
        </w:rPr>
        <w:t xml:space="preserve"> the potential effects to determine whether, on balance, the rule continues to serve the public interest.</w:t>
      </w:r>
      <w:r>
        <w:rPr>
          <w:rStyle w:val="FootnoteReference"/>
          <w:iCs/>
          <w:szCs w:val="22"/>
        </w:rPr>
        <w:footnoteReference w:id="27"/>
      </w:r>
      <w:r>
        <w:rPr>
          <w:iCs/>
          <w:szCs w:val="22"/>
        </w:rPr>
        <w:t xml:space="preserve">  As such, the public interest analysis under </w:t>
      </w:r>
      <w:r w:rsidR="00186CA6">
        <w:rPr>
          <w:iCs/>
          <w:szCs w:val="22"/>
        </w:rPr>
        <w:t>s</w:t>
      </w:r>
      <w:r>
        <w:rPr>
          <w:iCs/>
          <w:szCs w:val="22"/>
        </w:rPr>
        <w:t xml:space="preserve">ection 202(h) </w:t>
      </w:r>
      <w:r w:rsidR="00BA115F">
        <w:rPr>
          <w:iCs/>
          <w:szCs w:val="22"/>
        </w:rPr>
        <w:t>has been</w:t>
      </w:r>
      <w:r>
        <w:rPr>
          <w:iCs/>
          <w:szCs w:val="22"/>
        </w:rPr>
        <w:t xml:space="preserve"> conducted as a multi-factor review in which no one factor is controlling.</w:t>
      </w:r>
      <w:r>
        <w:rPr>
          <w:rStyle w:val="FootnoteReference"/>
          <w:iCs/>
          <w:szCs w:val="22"/>
        </w:rPr>
        <w:footnoteReference w:id="28"/>
      </w:r>
      <w:r>
        <w:rPr>
          <w:iCs/>
          <w:szCs w:val="22"/>
        </w:rPr>
        <w:t xml:space="preserve">  </w:t>
      </w:r>
    </w:p>
    <w:p w:rsidR="0002322F" w:rsidRPr="00C05D58" w:rsidP="00486212" w14:paraId="137F26CE" w14:textId="23AB974C">
      <w:pPr>
        <w:pStyle w:val="ParaNum"/>
        <w:widowControl/>
        <w:numPr>
          <w:ilvl w:val="0"/>
          <w:numId w:val="3"/>
        </w:numPr>
        <w:tabs>
          <w:tab w:val="clear" w:pos="1080"/>
        </w:tabs>
        <w:snapToGrid w:val="0"/>
        <w:rPr>
          <w:iCs/>
          <w:szCs w:val="22"/>
        </w:rPr>
      </w:pPr>
      <w:r>
        <w:t>We seek comment on the three traditional policy goals of competition, localism, and viewpoint diversity.</w:t>
      </w:r>
      <w:r w:rsidR="000613D7">
        <w:t xml:space="preserve">  As prescribed by section 202(h), competition is a central policy goal of our quadrennial review.</w:t>
      </w:r>
      <w:r>
        <w:rPr>
          <w:rStyle w:val="FootnoteReference"/>
        </w:rPr>
        <w:footnoteReference w:id="29"/>
      </w:r>
      <w:r w:rsidR="00985FBA">
        <w:t xml:space="preserve">  </w:t>
      </w:r>
      <w:r w:rsidR="00D80214">
        <w:t xml:space="preserve">In addition, </w:t>
      </w:r>
      <w:r w:rsidR="00985FBA">
        <w:t>we weigh and balance tradeoffs among the</w:t>
      </w:r>
      <w:r w:rsidR="00D80214">
        <w:t xml:space="preserve"> three</w:t>
      </w:r>
      <w:r w:rsidR="00985FBA">
        <w:t xml:space="preserve"> goals where they arise, </w:t>
      </w:r>
      <w:r w:rsidR="00514E20">
        <w:t xml:space="preserve">as </w:t>
      </w:r>
      <w:r w:rsidR="00985FBA">
        <w:t>the goals are not always discrete and mutually exclusive.</w:t>
      </w:r>
      <w:r>
        <w:rPr>
          <w:rStyle w:val="FootnoteReference"/>
        </w:rPr>
        <w:footnoteReference w:id="30"/>
      </w:r>
      <w:r w:rsidR="00985FBA">
        <w:t xml:space="preserve">  We recognize that, in some respects, they may overlap and complement each other.</w:t>
      </w:r>
      <w:r w:rsidR="00365CF0">
        <w:t xml:space="preserve">  Accordingly, we seek </w:t>
      </w:r>
      <w:r w:rsidR="008648DC">
        <w:t>comment</w:t>
      </w:r>
      <w:r w:rsidR="00365CF0">
        <w:t xml:space="preserve"> on whether t</w:t>
      </w:r>
      <w:r w:rsidR="00ED5B7B">
        <w:t>here are new ways to think about or define these goals and how best to balance them in the course of this review.</w:t>
      </w:r>
      <w:r>
        <w:t xml:space="preserve">  </w:t>
      </w:r>
      <w:r w:rsidRPr="00A544C9" w:rsidR="007E36EF">
        <w:rPr>
          <w:szCs w:val="22"/>
        </w:rPr>
        <w:t>We also seek comment on how to measure localism, viewpoint diversity, and competition.</w:t>
      </w:r>
      <w:r w:rsidR="00BA115F">
        <w:rPr>
          <w:szCs w:val="22"/>
        </w:rPr>
        <w:t xml:space="preserve">  Have changes in </w:t>
      </w:r>
      <w:r w:rsidR="00BA115F">
        <w:rPr>
          <w:szCs w:val="22"/>
        </w:rPr>
        <w:t>the marketplace rendered certain of these goals obsolete in the context of this review?  If so, how should we refine our analysis to reflect these changes?</w:t>
      </w:r>
    </w:p>
    <w:p w:rsidR="00C05D58" w:rsidRPr="00C05D58" w:rsidP="00C05D58" w14:paraId="10005BF8" w14:textId="77777777">
      <w:pPr>
        <w:pStyle w:val="ParaNum"/>
        <w:numPr>
          <w:ilvl w:val="0"/>
          <w:numId w:val="3"/>
        </w:numPr>
        <w:tabs>
          <w:tab w:val="clear" w:pos="1080"/>
        </w:tabs>
        <w:snapToGrid w:val="0"/>
        <w:rPr>
          <w:iCs/>
          <w:szCs w:val="22"/>
        </w:rPr>
      </w:pPr>
      <w:r>
        <w:rPr>
          <w:iCs/>
          <w:szCs w:val="22"/>
        </w:rPr>
        <w:t xml:space="preserve">In </w:t>
      </w:r>
      <w:r w:rsidRPr="001C334B">
        <w:rPr>
          <w:i/>
          <w:iCs/>
        </w:rPr>
        <w:t>Zimmer v. FCC</w:t>
      </w:r>
      <w:r>
        <w:rPr>
          <w:iCs/>
          <w:szCs w:val="22"/>
        </w:rPr>
        <w:t>,</w:t>
      </w:r>
      <w:r>
        <w:rPr>
          <w:rStyle w:val="FootnoteReference"/>
          <w:iCs/>
          <w:szCs w:val="22"/>
        </w:rPr>
        <w:footnoteReference w:id="31"/>
      </w:r>
      <w:r>
        <w:rPr>
          <w:iCs/>
          <w:szCs w:val="22"/>
        </w:rPr>
        <w:t xml:space="preserve"> the </w:t>
      </w:r>
      <w:r w:rsidRPr="003575E5">
        <w:t>United States Court of Appeals for the Eighth Circuit</w:t>
      </w:r>
      <w:r>
        <w:rPr>
          <w:iCs/>
          <w:szCs w:val="22"/>
        </w:rPr>
        <w:t xml:space="preserve"> held </w:t>
      </w:r>
      <w:r w:rsidR="00833DA1">
        <w:rPr>
          <w:iCs/>
          <w:szCs w:val="22"/>
        </w:rPr>
        <w:t>that</w:t>
      </w:r>
      <w:r w:rsidR="004D537C">
        <w:rPr>
          <w:iCs/>
          <w:szCs w:val="22"/>
        </w:rPr>
        <w:t xml:space="preserve"> the Commission’s prior definition of competition was consistent with section 202(h).</w:t>
      </w:r>
      <w:r>
        <w:rPr>
          <w:rStyle w:val="FootnoteReference"/>
          <w:iCs/>
          <w:szCs w:val="22"/>
        </w:rPr>
        <w:footnoteReference w:id="32"/>
      </w:r>
      <w:r w:rsidR="004D537C">
        <w:rPr>
          <w:iCs/>
          <w:szCs w:val="22"/>
        </w:rPr>
        <w:t xml:space="preserve">  The court found that</w:t>
      </w:r>
      <w:r w:rsidR="00833DA1">
        <w:rPr>
          <w:iCs/>
          <w:szCs w:val="22"/>
        </w:rPr>
        <w:t xml:space="preserve"> section 202(h)’s public interest standard provides significant discretion to </w:t>
      </w:r>
      <w:r>
        <w:rPr>
          <w:iCs/>
          <w:szCs w:val="22"/>
        </w:rPr>
        <w:t>the Commission</w:t>
      </w:r>
      <w:r w:rsidR="00833DA1">
        <w:rPr>
          <w:iCs/>
          <w:szCs w:val="22"/>
        </w:rPr>
        <w:t>.</w:t>
      </w:r>
      <w:r>
        <w:rPr>
          <w:rStyle w:val="FootnoteReference"/>
          <w:iCs/>
          <w:szCs w:val="22"/>
        </w:rPr>
        <w:footnoteReference w:id="33"/>
      </w:r>
      <w:r w:rsidR="00833DA1">
        <w:rPr>
          <w:iCs/>
          <w:szCs w:val="22"/>
        </w:rPr>
        <w:t xml:space="preserve">  The court also held that the Commission likewise has </w:t>
      </w:r>
      <w:r w:rsidRPr="00833DA1" w:rsidR="00833DA1">
        <w:rPr>
          <w:iCs/>
          <w:szCs w:val="22"/>
        </w:rPr>
        <w:t>discretion to interpret “competition”</w:t>
      </w:r>
      <w:r w:rsidR="00C0462A">
        <w:rPr>
          <w:iCs/>
          <w:szCs w:val="22"/>
        </w:rPr>
        <w:t xml:space="preserve"> so as to</w:t>
      </w:r>
      <w:r w:rsidRPr="00833DA1" w:rsidR="00833DA1">
        <w:rPr>
          <w:iCs/>
          <w:szCs w:val="22"/>
        </w:rPr>
        <w:t xml:space="preserve"> serve the public interest</w:t>
      </w:r>
      <w:r w:rsidR="004D537C">
        <w:rPr>
          <w:iCs/>
          <w:szCs w:val="22"/>
        </w:rPr>
        <w:t xml:space="preserve"> most effectively</w:t>
      </w:r>
      <w:r w:rsidR="00833DA1">
        <w:rPr>
          <w:iCs/>
          <w:szCs w:val="22"/>
        </w:rPr>
        <w:t>.</w:t>
      </w:r>
      <w:r>
        <w:rPr>
          <w:rStyle w:val="FootnoteReference"/>
          <w:iCs/>
          <w:szCs w:val="22"/>
        </w:rPr>
        <w:footnoteReference w:id="34"/>
      </w:r>
      <w:r w:rsidR="00833DA1">
        <w:rPr>
          <w:iCs/>
          <w:szCs w:val="22"/>
        </w:rPr>
        <w:t xml:space="preserve">  </w:t>
      </w:r>
      <w:r w:rsidR="004D537C">
        <w:rPr>
          <w:iCs/>
          <w:szCs w:val="22"/>
        </w:rPr>
        <w:t xml:space="preserve">The court noted that the Commission’s exercise of its discretion must be consistent with the law and </w:t>
      </w:r>
      <w:r w:rsidRPr="000D42B7" w:rsidR="000D42B7">
        <w:rPr>
          <w:iCs/>
          <w:szCs w:val="22"/>
        </w:rPr>
        <w:t>does not operate outside the constraints of the A</w:t>
      </w:r>
      <w:r w:rsidR="000D42B7">
        <w:rPr>
          <w:iCs/>
          <w:szCs w:val="22"/>
        </w:rPr>
        <w:t xml:space="preserve">dministrative </w:t>
      </w:r>
      <w:r w:rsidRPr="000D42B7" w:rsidR="000D42B7">
        <w:rPr>
          <w:iCs/>
          <w:szCs w:val="22"/>
        </w:rPr>
        <w:t>P</w:t>
      </w:r>
      <w:r w:rsidR="000D42B7">
        <w:rPr>
          <w:iCs/>
          <w:szCs w:val="22"/>
        </w:rPr>
        <w:t xml:space="preserve">rocedure </w:t>
      </w:r>
      <w:r w:rsidRPr="000D42B7" w:rsidR="000D42B7">
        <w:rPr>
          <w:iCs/>
          <w:szCs w:val="22"/>
        </w:rPr>
        <w:t>A</w:t>
      </w:r>
      <w:r w:rsidR="000D42B7">
        <w:rPr>
          <w:iCs/>
          <w:szCs w:val="22"/>
        </w:rPr>
        <w:t>ct</w:t>
      </w:r>
      <w:r w:rsidRPr="000D42B7" w:rsidR="000D42B7">
        <w:rPr>
          <w:iCs/>
          <w:szCs w:val="22"/>
        </w:rPr>
        <w:t>’s arbitrary-and-capricious review</w:t>
      </w:r>
      <w:r w:rsidR="000D42B7">
        <w:rPr>
          <w:iCs/>
          <w:szCs w:val="22"/>
        </w:rPr>
        <w:t>.</w:t>
      </w:r>
      <w:r>
        <w:rPr>
          <w:rStyle w:val="FootnoteReference"/>
          <w:iCs/>
          <w:szCs w:val="22"/>
        </w:rPr>
        <w:footnoteReference w:id="35"/>
      </w:r>
      <w:r w:rsidR="000D42B7">
        <w:rPr>
          <w:iCs/>
          <w:szCs w:val="22"/>
        </w:rPr>
        <w:t xml:space="preserve">  </w:t>
      </w:r>
      <w:r w:rsidR="00833DA1">
        <w:rPr>
          <w:iCs/>
          <w:szCs w:val="22"/>
        </w:rPr>
        <w:t xml:space="preserve">We seek comment </w:t>
      </w:r>
      <w:r w:rsidR="000D42B7">
        <w:rPr>
          <w:iCs/>
          <w:szCs w:val="22"/>
        </w:rPr>
        <w:t>on</w:t>
      </w:r>
      <w:r w:rsidR="00951D3A">
        <w:rPr>
          <w:iCs/>
          <w:szCs w:val="22"/>
        </w:rPr>
        <w:t xml:space="preserve"> how</w:t>
      </w:r>
      <w:r w:rsidR="00E274E1">
        <w:rPr>
          <w:iCs/>
          <w:szCs w:val="22"/>
        </w:rPr>
        <w:t xml:space="preserve"> </w:t>
      </w:r>
      <w:r w:rsidR="00951D3A">
        <w:rPr>
          <w:iCs/>
          <w:szCs w:val="22"/>
        </w:rPr>
        <w:t>our review of the remaining media ownership rules</w:t>
      </w:r>
      <w:r w:rsidR="00683AFE">
        <w:rPr>
          <w:iCs/>
          <w:szCs w:val="22"/>
        </w:rPr>
        <w:t xml:space="preserve"> may be undertaken within these parameters</w:t>
      </w:r>
      <w:r w:rsidR="000D42B7">
        <w:rPr>
          <w:iCs/>
          <w:szCs w:val="22"/>
        </w:rPr>
        <w:t xml:space="preserve">. </w:t>
      </w:r>
      <w:r w:rsidR="00560F35">
        <w:rPr>
          <w:iCs/>
          <w:szCs w:val="22"/>
        </w:rPr>
        <w:t xml:space="preserve"> </w:t>
      </w:r>
      <w:r w:rsidR="00E274E1">
        <w:rPr>
          <w:iCs/>
          <w:szCs w:val="22"/>
        </w:rPr>
        <w:t>Specifically, w</w:t>
      </w:r>
      <w:r w:rsidR="00560F35">
        <w:rPr>
          <w:iCs/>
          <w:szCs w:val="22"/>
        </w:rPr>
        <w:t xml:space="preserve">hen proposing that the Commission take a certain action, commenters </w:t>
      </w:r>
      <w:r w:rsidR="00683AFE">
        <w:rPr>
          <w:iCs/>
          <w:szCs w:val="22"/>
        </w:rPr>
        <w:t xml:space="preserve">should also </w:t>
      </w:r>
      <w:r w:rsidR="00560F35">
        <w:rPr>
          <w:iCs/>
          <w:szCs w:val="22"/>
        </w:rPr>
        <w:t xml:space="preserve">explain how the proposed action </w:t>
      </w:r>
      <w:r w:rsidR="00683AFE">
        <w:rPr>
          <w:iCs/>
          <w:szCs w:val="22"/>
        </w:rPr>
        <w:t>fits</w:t>
      </w:r>
      <w:r w:rsidRPr="00560F35" w:rsidR="00560F35">
        <w:rPr>
          <w:iCs/>
          <w:szCs w:val="22"/>
        </w:rPr>
        <w:t xml:space="preserve"> within the boundaries of </w:t>
      </w:r>
      <w:r w:rsidR="00560F35">
        <w:rPr>
          <w:iCs/>
          <w:szCs w:val="22"/>
        </w:rPr>
        <w:t>our</w:t>
      </w:r>
      <w:r w:rsidRPr="00560F35" w:rsidR="00560F35">
        <w:rPr>
          <w:iCs/>
          <w:szCs w:val="22"/>
        </w:rPr>
        <w:t xml:space="preserve"> discretion</w:t>
      </w:r>
      <w:r w:rsidR="00560F35">
        <w:rPr>
          <w:iCs/>
          <w:szCs w:val="22"/>
        </w:rPr>
        <w:t>.</w:t>
      </w:r>
    </w:p>
    <w:p w:rsidR="003055AD" w:rsidP="00AC0A6C" w14:paraId="78D4F63B" w14:textId="77777777">
      <w:pPr>
        <w:pStyle w:val="ParaNum"/>
        <w:numPr>
          <w:ilvl w:val="0"/>
          <w:numId w:val="3"/>
        </w:numPr>
        <w:tabs>
          <w:tab w:val="clear" w:pos="1080"/>
        </w:tabs>
        <w:snapToGrid w:val="0"/>
        <w:rPr>
          <w:iCs/>
          <w:szCs w:val="22"/>
        </w:rPr>
      </w:pPr>
      <w:r>
        <w:t xml:space="preserve">We </w:t>
      </w:r>
      <w:r w:rsidR="000352CF">
        <w:t xml:space="preserve">also </w:t>
      </w:r>
      <w:r>
        <w:t>seek comment on whether there are other public interest goals we should consider as part of our quadrennial review process.  For instance, some commenters emphasize the importance of broadcast media for public safety purposes during times of emergency as a means to disseminate news and other critical information.</w:t>
      </w:r>
      <w:r>
        <w:rPr>
          <w:rStyle w:val="FootnoteReference"/>
        </w:rPr>
        <w:footnoteReference w:id="36"/>
      </w:r>
      <w:r>
        <w:t xml:space="preserve">  </w:t>
      </w:r>
      <w:r w:rsidR="008D682C">
        <w:t>iHeart points out that AM radio broadcasters play an important role in disseminating national emergency announcements.</w:t>
      </w:r>
      <w:r>
        <w:rPr>
          <w:rStyle w:val="FootnoteReference"/>
        </w:rPr>
        <w:footnoteReference w:id="37"/>
      </w:r>
      <w:r w:rsidR="00AC0A6C">
        <w:rPr>
          <w:iCs/>
          <w:szCs w:val="22"/>
        </w:rPr>
        <w:t xml:space="preserve"> </w:t>
      </w:r>
      <w:r w:rsidR="009A0F14">
        <w:t xml:space="preserve"> </w:t>
      </w:r>
      <w:r w:rsidR="008D682C">
        <w:t>Along these lines, should we consider the continued existence of a nationwide broadcast infrastructure, and its importance for national security purposes, as a policy goal?</w:t>
      </w:r>
      <w:r>
        <w:rPr>
          <w:rStyle w:val="FootnoteReference"/>
        </w:rPr>
        <w:footnoteReference w:id="38"/>
      </w:r>
      <w:r w:rsidRPr="00AC0A6C">
        <w:rPr>
          <w:iCs/>
          <w:szCs w:val="22"/>
        </w:rPr>
        <w:t xml:space="preserve"> </w:t>
      </w:r>
    </w:p>
    <w:p w:rsidR="00F541A7" w:rsidP="00F541A7" w14:paraId="1CF73E08" w14:textId="77777777">
      <w:pPr>
        <w:pStyle w:val="Heading1"/>
        <w:tabs>
          <w:tab w:val="num" w:pos="720"/>
        </w:tabs>
      </w:pPr>
      <w:bookmarkStart w:id="53" w:name="_Toc119934580"/>
      <w:bookmarkStart w:id="54" w:name="_Toc119934935"/>
      <w:bookmarkStart w:id="55" w:name="_Toc119936948"/>
      <w:bookmarkStart w:id="56" w:name="_Toc119937145"/>
      <w:bookmarkStart w:id="57" w:name="_Toc119937304"/>
      <w:bookmarkStart w:id="58" w:name="_Toc119937380"/>
      <w:bookmarkStart w:id="59" w:name="_Toc119937424"/>
      <w:bookmarkStart w:id="60" w:name="_Toc119937471"/>
      <w:bookmarkStart w:id="61" w:name="_Toc119937539"/>
      <w:bookmarkStart w:id="62" w:name="_Toc147923064"/>
      <w:bookmarkStart w:id="63" w:name="_Toc150243935"/>
      <w:bookmarkStart w:id="64" w:name="_Toc156913546"/>
      <w:bookmarkStart w:id="65" w:name="_Toc202958352"/>
      <w:r>
        <w:t xml:space="preserve">media </w:t>
      </w:r>
      <w:r w:rsidRPr="00BA0740">
        <w:t>ownership</w:t>
      </w:r>
      <w:r>
        <w:t xml:space="preserve"> rules</w:t>
      </w:r>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p>
    <w:p w:rsidR="00F541A7" w:rsidP="00314973" w14:paraId="5413717A" w14:textId="77777777">
      <w:pPr>
        <w:pStyle w:val="Heading2"/>
      </w:pPr>
      <w:bookmarkStart w:id="66" w:name="_Toc527713805"/>
      <w:bookmarkStart w:id="67" w:name="_Toc532379623"/>
      <w:bookmarkStart w:id="68" w:name="_Toc532379665"/>
      <w:bookmarkStart w:id="69" w:name="_Toc119934581"/>
      <w:bookmarkStart w:id="70" w:name="_Toc119934936"/>
      <w:bookmarkStart w:id="71" w:name="_Toc119936949"/>
      <w:bookmarkStart w:id="72" w:name="_Toc119937146"/>
      <w:bookmarkStart w:id="73" w:name="_Toc119937305"/>
      <w:bookmarkStart w:id="74" w:name="_Toc119937381"/>
      <w:bookmarkStart w:id="75" w:name="_Toc119937425"/>
      <w:bookmarkStart w:id="76" w:name="_Toc119937472"/>
      <w:bookmarkStart w:id="77" w:name="_Toc119937540"/>
      <w:bookmarkStart w:id="78" w:name="_Toc147923065"/>
      <w:bookmarkStart w:id="79" w:name="_Toc150243936"/>
      <w:bookmarkStart w:id="80" w:name="_Toc156913547"/>
      <w:bookmarkStart w:id="81" w:name="_Toc202958353"/>
      <w:r>
        <w:t xml:space="preserve">Local </w:t>
      </w:r>
      <w:r w:rsidRPr="00BA0740">
        <w:t>Radio</w:t>
      </w:r>
      <w:r>
        <w:t xml:space="preserve"> Ownership Rule</w:t>
      </w:r>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p>
    <w:p w:rsidR="00601E1E" w:rsidRPr="001913F4" w:rsidP="00486212" w14:paraId="08F5347C" w14:textId="77777777">
      <w:pPr>
        <w:pStyle w:val="Heading3"/>
        <w:rPr>
          <w:b w:val="0"/>
        </w:rPr>
      </w:pPr>
      <w:bookmarkStart w:id="82" w:name="_Toc147923067"/>
      <w:bookmarkStart w:id="83" w:name="_Toc150243938"/>
      <w:bookmarkStart w:id="84" w:name="_Toc156913549"/>
      <w:bookmarkStart w:id="85" w:name="_Toc202958355"/>
      <w:r w:rsidRPr="00486212">
        <w:t>Background</w:t>
      </w:r>
      <w:bookmarkEnd w:id="82"/>
      <w:bookmarkEnd w:id="83"/>
      <w:bookmarkEnd w:id="84"/>
      <w:bookmarkEnd w:id="85"/>
    </w:p>
    <w:p w:rsidR="00601E1E" w:rsidRPr="00973896" w:rsidP="00601E1E" w14:paraId="41EB2062" w14:textId="77777777">
      <w:pPr>
        <w:pStyle w:val="ParaNum"/>
        <w:numPr>
          <w:ilvl w:val="0"/>
          <w:numId w:val="3"/>
        </w:numPr>
        <w:tabs>
          <w:tab w:val="num" w:pos="720"/>
          <w:tab w:val="clear" w:pos="1080"/>
          <w:tab w:val="num" w:pos="1440"/>
        </w:tabs>
        <w:snapToGrid w:val="0"/>
      </w:pPr>
      <w:r w:rsidRPr="00973896">
        <w:t xml:space="preserve">The Local Radio Ownership Rule limits both the total number of radio stations an entity may own within a local market and the number of radio stations within the market that the entity may own in the same service, AM or FM (the latter limits referred to as AM/FM </w:t>
      </w:r>
      <w:r w:rsidRPr="00973896">
        <w:t>subcaps</w:t>
      </w:r>
      <w:r w:rsidRPr="00973896">
        <w:t>).</w:t>
      </w:r>
      <w:r>
        <w:rPr>
          <w:rStyle w:val="FootnoteReference"/>
          <w:rFonts w:eastAsiaTheme="majorEastAsia"/>
        </w:rPr>
        <w:footnoteReference w:id="39"/>
      </w:r>
      <w:r w:rsidRPr="00973896">
        <w:t xml:space="preserve">  Specifically, the Local Radio Ownership Rule </w:t>
      </w:r>
      <w:r w:rsidRPr="007555D9">
        <w:t>incorporates a sliding scale based on market size, permitting</w:t>
      </w:r>
      <w:r w:rsidRPr="00973896">
        <w:t xml:space="preserve"> an entity to own:  (1) up to eight commercial radio stations in radio markets with at least 45 radio stations, no more </w:t>
      </w:r>
      <w:r w:rsidRPr="00973896">
        <w:t>than five of which may be in the same service (AM or FM);</w:t>
      </w:r>
      <w:r>
        <w:rPr>
          <w:rStyle w:val="FootnoteReference"/>
        </w:rPr>
        <w:footnoteReference w:id="40"/>
      </w:r>
      <w:r w:rsidRPr="00973896">
        <w:t xml:space="preserve"> (2) up to seven commercial radio stations in radio markets with 30-44 radio stations, no more than four of which may be in the same service (AM or FM);</w:t>
      </w:r>
      <w:r>
        <w:rPr>
          <w:rStyle w:val="FootnoteReference"/>
        </w:rPr>
        <w:footnoteReference w:id="41"/>
      </w:r>
      <w:r w:rsidRPr="00973896">
        <w:t xml:space="preserve"> (3) up to six commercial radio stations in radio markets with 15-29 radio stations, no more than four of which may be in the same service (AM or FM);</w:t>
      </w:r>
      <w:r>
        <w:rPr>
          <w:rStyle w:val="FootnoteReference"/>
        </w:rPr>
        <w:footnoteReference w:id="42"/>
      </w:r>
      <w:r w:rsidRPr="00973896">
        <w:t xml:space="preserve"> and (4) up to five commercial radio stations in radio markets with 14 or fewer radio stations, no more than three of which may be in the same service (AM or FM), provided that the entity does not own more than 50 percent of the radio stations in the market unless the combination comprises not more than one AM and one FM station.</w:t>
      </w:r>
      <w:r>
        <w:rPr>
          <w:rStyle w:val="FootnoteReference"/>
          <w:rFonts w:eastAsiaTheme="majorEastAsia"/>
        </w:rPr>
        <w:footnoteReference w:id="43"/>
      </w:r>
      <w:r w:rsidRPr="00973896">
        <w:t xml:space="preserve">  </w:t>
      </w:r>
      <w:r>
        <w:t>Overlap between two stations in different services is allowed if neither of those stations overlaps a third station in the same service.</w:t>
      </w:r>
      <w:r>
        <w:rPr>
          <w:rStyle w:val="FootnoteReference"/>
        </w:rPr>
        <w:footnoteReference w:id="44"/>
      </w:r>
      <w:r>
        <w:t xml:space="preserve">  </w:t>
      </w:r>
      <w:r w:rsidRPr="00973896">
        <w:t xml:space="preserve">Only full-power commercial and noncommercial radio stations count when calculating </w:t>
      </w:r>
      <w:r>
        <w:t>the total number of stations in the market</w:t>
      </w:r>
      <w:r w:rsidRPr="00973896">
        <w:t>.</w:t>
      </w:r>
      <w:r>
        <w:rPr>
          <w:rStyle w:val="FootnoteReference"/>
          <w:rFonts w:eastAsiaTheme="majorEastAsia"/>
        </w:rPr>
        <w:footnoteReference w:id="45"/>
      </w:r>
      <w:r w:rsidRPr="00973896">
        <w:t xml:space="preserve">  Radio markets are defined </w:t>
      </w:r>
      <w:r>
        <w:t xml:space="preserve">geographically </w:t>
      </w:r>
      <w:r w:rsidRPr="00973896">
        <w:t xml:space="preserve">by Nielsen Audio Metros where </w:t>
      </w:r>
      <w:r>
        <w:t>available</w:t>
      </w:r>
      <w:r w:rsidRPr="00973896">
        <w:t>,</w:t>
      </w:r>
      <w:r>
        <w:rPr>
          <w:rStyle w:val="FootnoteReference"/>
          <w:rFonts w:eastAsiaTheme="majorEastAsia"/>
        </w:rPr>
        <w:footnoteReference w:id="46"/>
      </w:r>
      <w:r w:rsidRPr="00973896">
        <w:t xml:space="preserve"> while the contour-overlap methodology is used in areas outside of defined and rated Nielsen Audio Metro markets</w:t>
      </w:r>
      <w:r>
        <w:t xml:space="preserve"> and in Puerto Rico</w:t>
      </w:r>
      <w:r w:rsidRPr="00973896">
        <w:t>.</w:t>
      </w:r>
      <w:r>
        <w:rPr>
          <w:rStyle w:val="FootnoteReference"/>
          <w:rFonts w:eastAsiaTheme="majorEastAsia"/>
        </w:rPr>
        <w:footnoteReference w:id="47"/>
      </w:r>
    </w:p>
    <w:p w:rsidR="00601E1E" w:rsidRPr="00973896" w:rsidP="00601E1E" w14:paraId="7446374D" w14:textId="77777777">
      <w:pPr>
        <w:pStyle w:val="ParaNum"/>
        <w:numPr>
          <w:ilvl w:val="0"/>
          <w:numId w:val="3"/>
        </w:numPr>
        <w:tabs>
          <w:tab w:val="num" w:pos="720"/>
          <w:tab w:val="clear" w:pos="1080"/>
          <w:tab w:val="num" w:pos="1440"/>
        </w:tabs>
        <w:snapToGrid w:val="0"/>
      </w:pPr>
      <w:r w:rsidRPr="00973896">
        <w:t>The current radio ownership limits were established by Congress in 1996.</w:t>
      </w:r>
      <w:r>
        <w:rPr>
          <w:rStyle w:val="FootnoteReference"/>
          <w:rFonts w:eastAsiaTheme="majorEastAsia"/>
        </w:rPr>
        <w:footnoteReference w:id="48"/>
      </w:r>
      <w:r w:rsidRPr="00973896">
        <w:t xml:space="preserve">  </w:t>
      </w:r>
      <w:r w:rsidR="004C67CB">
        <w:t>In the past</w:t>
      </w:r>
      <w:r w:rsidR="00703375">
        <w:t>,</w:t>
      </w:r>
      <w:r w:rsidR="004C67CB">
        <w:t xml:space="preserve"> </w:t>
      </w:r>
      <w:r w:rsidRPr="00973896">
        <w:t>the Commission has found that local radio ownership limits promote competition</w:t>
      </w:r>
      <w:r>
        <w:t xml:space="preserve"> and should be retained</w:t>
      </w:r>
      <w:r w:rsidRPr="00973896">
        <w:t>.</w:t>
      </w:r>
      <w:r>
        <w:rPr>
          <w:rStyle w:val="FootnoteReference"/>
          <w:rFonts w:eastAsiaTheme="majorEastAsia"/>
        </w:rPr>
        <w:footnoteReference w:id="49"/>
      </w:r>
      <w:r w:rsidRPr="00973896">
        <w:t xml:space="preserve">  In the last </w:t>
      </w:r>
      <w:r>
        <w:t>q</w:t>
      </w:r>
      <w:r w:rsidRPr="00973896">
        <w:t xml:space="preserve">uadrennial </w:t>
      </w:r>
      <w:r>
        <w:t>r</w:t>
      </w:r>
      <w:r w:rsidRPr="00973896">
        <w:t xml:space="preserve">eview, </w:t>
      </w:r>
      <w:r>
        <w:t>the Commission</w:t>
      </w:r>
      <w:r w:rsidRPr="00973896">
        <w:t xml:space="preserve"> retained the Local Radio Ownership Rule with one modification to codify the interim contour-overlap methodology long used to determine ownership limits in areas outside the boundaries of defined Nielsen Audio Metro markets and in Puerto Rico.</w:t>
      </w:r>
      <w:r>
        <w:rPr>
          <w:rStyle w:val="FootnoteReference"/>
          <w:rFonts w:eastAsiaTheme="majorEastAsia"/>
        </w:rPr>
        <w:footnoteReference w:id="50"/>
      </w:r>
      <w:r w:rsidRPr="00973896">
        <w:t xml:space="preserve">  </w:t>
      </w:r>
      <w:r>
        <w:t>The United States Court of Appeals for the Eighth Circuit subsequently upheld the Commission’s retention and modification of the Local Radio Ownership Rule.</w:t>
      </w:r>
      <w:r>
        <w:rPr>
          <w:rStyle w:val="FootnoteReference"/>
        </w:rPr>
        <w:footnoteReference w:id="51"/>
      </w:r>
      <w:r>
        <w:t xml:space="preserve">  </w:t>
      </w:r>
      <w:r w:rsidRPr="00973896">
        <w:t xml:space="preserve">Comments submitted in response to the </w:t>
      </w:r>
      <w:r w:rsidRPr="00C47366">
        <w:rPr>
          <w:i/>
          <w:iCs/>
        </w:rPr>
        <w:t>2022 Quadrennial Public Notice</w:t>
      </w:r>
      <w:r w:rsidRPr="00973896">
        <w:t xml:space="preserve"> reflect disagreement</w:t>
      </w:r>
      <w:r>
        <w:t>s</w:t>
      </w:r>
      <w:r w:rsidRPr="00973896">
        <w:t xml:space="preserve"> over the benefits of, and need for, the current rule.  </w:t>
      </w:r>
    </w:p>
    <w:p w:rsidR="00601E1E" w:rsidRPr="001913F4" w:rsidP="00601E1E" w14:paraId="44C46DCC" w14:textId="77777777">
      <w:pPr>
        <w:pStyle w:val="Heading3"/>
        <w:rPr>
          <w:b w:val="0"/>
        </w:rPr>
      </w:pPr>
      <w:bookmarkStart w:id="86" w:name="_Toc147923068"/>
      <w:bookmarkStart w:id="87" w:name="_Toc150243939"/>
      <w:bookmarkStart w:id="88" w:name="_Toc156913550"/>
      <w:bookmarkStart w:id="89" w:name="_Toc202958356"/>
      <w:r w:rsidRPr="00973896">
        <w:t>Discussion</w:t>
      </w:r>
      <w:bookmarkEnd w:id="86"/>
      <w:bookmarkEnd w:id="87"/>
      <w:bookmarkEnd w:id="88"/>
      <w:bookmarkEnd w:id="89"/>
    </w:p>
    <w:p w:rsidR="00601E1E" w:rsidRPr="00973896" w:rsidP="00601E1E" w14:paraId="3EB50972" w14:textId="77777777">
      <w:pPr>
        <w:pStyle w:val="ParaNum"/>
        <w:numPr>
          <w:ilvl w:val="0"/>
          <w:numId w:val="3"/>
        </w:numPr>
        <w:tabs>
          <w:tab w:val="num" w:pos="720"/>
          <w:tab w:val="clear" w:pos="1080"/>
          <w:tab w:val="num" w:pos="1440"/>
        </w:tabs>
        <w:snapToGrid w:val="0"/>
      </w:pPr>
      <w:r w:rsidRPr="009F7351">
        <w:t xml:space="preserve">We </w:t>
      </w:r>
      <w:r>
        <w:t>seek comment on whether</w:t>
      </w:r>
      <w:r w:rsidRPr="009F7351">
        <w:t xml:space="preserve"> the Local Radio Ownership Rule remains necessary to further the public interest.</w:t>
      </w:r>
      <w:r>
        <w:t xml:space="preserve">  </w:t>
      </w:r>
      <w:r w:rsidRPr="00D6285D">
        <w:t xml:space="preserve">As trustees of publicly-owned spectrum, radio licensees must meet statutory </w:t>
      </w:r>
      <w:r w:rsidRPr="00D6285D">
        <w:t>public interest requirements,</w:t>
      </w:r>
      <w:r>
        <w:rPr>
          <w:rStyle w:val="FootnoteReference"/>
          <w:rFonts w:eastAsiaTheme="majorEastAsia"/>
        </w:rPr>
        <w:footnoteReference w:id="52"/>
      </w:r>
      <w:r w:rsidRPr="00D6285D">
        <w:t xml:space="preserve"> which include obligations to operate stations in a manner responsive to local community needs and interests.</w:t>
      </w:r>
      <w:r>
        <w:rPr>
          <w:vertAlign w:val="superscript"/>
        </w:rPr>
        <w:footnoteReference w:id="53"/>
      </w:r>
      <w:r>
        <w:t xml:space="preserve">  W</w:t>
      </w:r>
      <w:r w:rsidRPr="00973896">
        <w:t xml:space="preserve">e seek comment on the Local </w:t>
      </w:r>
      <w:r>
        <w:t xml:space="preserve">Radio </w:t>
      </w:r>
      <w:r w:rsidRPr="00973896">
        <w:t>Ownership Rule</w:t>
      </w:r>
      <w:r>
        <w:t>’s role in the audio marketplace and its impact</w:t>
      </w:r>
      <w:r w:rsidRPr="00973896">
        <w:t xml:space="preserve"> on the public</w:t>
      </w:r>
      <w:r>
        <w:t xml:space="preserve"> interest.  Is the existing rule limiting the ability or potential of broadcast radio to deliver public interest benefits to listeners?</w:t>
      </w:r>
      <w:r>
        <w:rPr>
          <w:rStyle w:val="FootnoteReference"/>
          <w:rFonts w:eastAsiaTheme="majorEastAsia"/>
        </w:rPr>
        <w:footnoteReference w:id="54"/>
      </w:r>
      <w:r>
        <w:t xml:space="preserve">  I</w:t>
      </w:r>
      <w:r w:rsidRPr="00973896">
        <w:t xml:space="preserve">f the rule were to be loosened or eliminated, </w:t>
      </w:r>
      <w:r>
        <w:t xml:space="preserve">would </w:t>
      </w:r>
      <w:r w:rsidRPr="00973896">
        <w:t xml:space="preserve">the current audio marketplace deliver the same </w:t>
      </w:r>
      <w:r>
        <w:t xml:space="preserve">or comparable </w:t>
      </w:r>
      <w:r w:rsidRPr="00973896">
        <w:t xml:space="preserve">benefits to consumers, particularly with respect to our policy goals of competition, localism, and </w:t>
      </w:r>
      <w:r>
        <w:t xml:space="preserve">viewpoint </w:t>
      </w:r>
      <w:r w:rsidRPr="00973896">
        <w:t>diversity</w:t>
      </w:r>
      <w:r>
        <w:t>?</w:t>
      </w:r>
      <w:r w:rsidRPr="00973896">
        <w:t xml:space="preserve">  </w:t>
      </w:r>
    </w:p>
    <w:p w:rsidR="00995786" w:rsidRPr="00973896" w:rsidP="00995786" w14:paraId="42382831" w14:textId="38819984">
      <w:pPr>
        <w:pStyle w:val="ParaNum"/>
        <w:numPr>
          <w:ilvl w:val="0"/>
          <w:numId w:val="3"/>
        </w:numPr>
        <w:tabs>
          <w:tab w:val="num" w:pos="720"/>
          <w:tab w:val="clear" w:pos="1080"/>
          <w:tab w:val="num" w:pos="1440"/>
        </w:tabs>
        <w:snapToGrid w:val="0"/>
      </w:pPr>
      <w:r>
        <w:rPr>
          <w:i/>
          <w:szCs w:val="22"/>
        </w:rPr>
        <w:t>Audio Marketplace Competition.</w:t>
      </w:r>
      <w:r w:rsidRPr="00973896">
        <w:rPr>
          <w:i/>
        </w:rPr>
        <w:t xml:space="preserve">  </w:t>
      </w:r>
      <w:r w:rsidRPr="00973896">
        <w:t>W</w:t>
      </w:r>
      <w:r>
        <w:t>hile the Commission has previously treated local broadcast radio as its own discrete market,</w:t>
      </w:r>
      <w:r>
        <w:rPr>
          <w:rStyle w:val="FootnoteReference"/>
        </w:rPr>
        <w:footnoteReference w:id="55"/>
      </w:r>
      <w:r>
        <w:t xml:space="preserve"> w</w:t>
      </w:r>
      <w:r w:rsidRPr="00973896">
        <w:t xml:space="preserve">e seek comment on whether we should revise </w:t>
      </w:r>
      <w:r>
        <w:t xml:space="preserve">the product market definition, </w:t>
      </w:r>
      <w:r w:rsidRPr="00973896">
        <w:t>as NAB</w:t>
      </w:r>
      <w:r>
        <w:rPr>
          <w:rStyle w:val="FootnoteReference"/>
          <w:rFonts w:eastAsiaTheme="majorEastAsia"/>
        </w:rPr>
        <w:footnoteReference w:id="56"/>
      </w:r>
      <w:r w:rsidRPr="00973896">
        <w:t xml:space="preserve"> and the Joint Commenters suggest</w:t>
      </w:r>
      <w:r>
        <w:t>,</w:t>
      </w:r>
      <w:r>
        <w:rPr>
          <w:rStyle w:val="FootnoteReference"/>
          <w:rFonts w:eastAsiaTheme="majorEastAsia"/>
        </w:rPr>
        <w:footnoteReference w:id="57"/>
      </w:r>
      <w:r w:rsidRPr="00973896">
        <w:t xml:space="preserve"> to include </w:t>
      </w:r>
      <w:r>
        <w:t xml:space="preserve">such </w:t>
      </w:r>
      <w:r w:rsidRPr="00973896">
        <w:t>non-broadcast audio sources</w:t>
      </w:r>
      <w:r>
        <w:t xml:space="preserve"> as </w:t>
      </w:r>
      <w:r w:rsidRPr="00973896">
        <w:t xml:space="preserve">satellite radio, audio streaming services, </w:t>
      </w:r>
      <w:r>
        <w:t xml:space="preserve">webcasting, </w:t>
      </w:r>
      <w:r w:rsidRPr="00973896">
        <w:t>podcasting</w:t>
      </w:r>
      <w:r>
        <w:t xml:space="preserve">, or other programming platforms as substitutes for broadcast radio. </w:t>
      </w:r>
      <w:r w:rsidRPr="00973896">
        <w:t xml:space="preserve"> </w:t>
      </w:r>
      <w:r>
        <w:t>Such c</w:t>
      </w:r>
      <w:r w:rsidRPr="00973896">
        <w:t xml:space="preserve">ommenters </w:t>
      </w:r>
      <w:r>
        <w:t>have</w:t>
      </w:r>
      <w:r w:rsidRPr="00973896">
        <w:t xml:space="preserve"> noted the </w:t>
      </w:r>
      <w:r>
        <w:t>abundance</w:t>
      </w:r>
      <w:r w:rsidRPr="00973896">
        <w:t xml:space="preserve"> of audio and other media options available to consumers.  </w:t>
      </w:r>
      <w:r>
        <w:t>Although t</w:t>
      </w:r>
      <w:r w:rsidRPr="00973896">
        <w:t xml:space="preserve">his is not entirely a new phenomenon, </w:t>
      </w:r>
      <w:r>
        <w:t>and</w:t>
      </w:r>
      <w:r w:rsidRPr="00973896">
        <w:t xml:space="preserve"> the broadcast radio industry has </w:t>
      </w:r>
      <w:r>
        <w:t>witnessed</w:t>
      </w:r>
      <w:r w:rsidRPr="00973896">
        <w:t xml:space="preserve"> the arrival of new forms of media and technology in the past</w:t>
      </w:r>
      <w:r>
        <w:t xml:space="preserve">, </w:t>
      </w:r>
      <w:r w:rsidR="007F4995">
        <w:t xml:space="preserve">does competition exist </w:t>
      </w:r>
      <w:r w:rsidR="006D6ACD">
        <w:t xml:space="preserve">among </w:t>
      </w:r>
      <w:r w:rsidR="007F4995">
        <w:t>the digital media platform field and the radi</w:t>
      </w:r>
      <w:r w:rsidR="0074209E">
        <w:t>o</w:t>
      </w:r>
      <w:r w:rsidR="007F4995">
        <w:t xml:space="preserve"> broadcasting industry?</w:t>
      </w:r>
      <w:r w:rsidR="00F67DB2">
        <w:t xml:space="preserve">  D</w:t>
      </w:r>
      <w:r>
        <w:t xml:space="preserve">o online audio and other media platforms compete directly with broadcast radio today?  </w:t>
      </w:r>
      <w:r w:rsidR="005A7FFB">
        <w:t xml:space="preserve">Are there any challenges that </w:t>
      </w:r>
      <w:r>
        <w:t xml:space="preserve">new sources of audio programming exert on broadcast radio revenues or business models, today?  </w:t>
      </w:r>
      <w:r w:rsidR="007E11AA">
        <w:t>If there are challenges, how have th</w:t>
      </w:r>
      <w:r w:rsidR="001A4AF0">
        <w:t>ose challenges</w:t>
      </w:r>
      <w:r w:rsidR="007E11AA">
        <w:t xml:space="preserve"> </w:t>
      </w:r>
      <w:r>
        <w:t xml:space="preserve">changed over time, and what are the public interest implications?  </w:t>
      </w:r>
      <w:r w:rsidR="001A4AF0">
        <w:t xml:space="preserve">Are there any </w:t>
      </w:r>
      <w:r>
        <w:t xml:space="preserve">alternative or new sources of competition in </w:t>
      </w:r>
      <w:r w:rsidR="00054A1C">
        <w:t xml:space="preserve">the </w:t>
      </w:r>
      <w:r>
        <w:t>audio marketplace are of particular concern and why?</w:t>
      </w:r>
      <w:r w:rsidR="000C44B7">
        <w:t xml:space="preserve">  </w:t>
      </w:r>
      <w:r w:rsidRPr="00973896">
        <w:t xml:space="preserve">  </w:t>
      </w:r>
    </w:p>
    <w:p w:rsidR="006F2F70" w:rsidRPr="006F2F70" w:rsidP="00995786" w14:paraId="7F6AA81A" w14:textId="6AA71A65">
      <w:pPr>
        <w:pStyle w:val="ParaNum"/>
        <w:numPr>
          <w:ilvl w:val="0"/>
          <w:numId w:val="3"/>
        </w:numPr>
        <w:tabs>
          <w:tab w:val="num" w:pos="720"/>
          <w:tab w:val="clear" w:pos="1080"/>
          <w:tab w:val="num" w:pos="1440"/>
        </w:tabs>
        <w:snapToGrid w:val="0"/>
        <w:rPr>
          <w:kern w:val="0"/>
        </w:rPr>
      </w:pPr>
      <w:r>
        <w:t>D</w:t>
      </w:r>
      <w:r w:rsidRPr="008C6C11" w:rsidR="00D52690">
        <w:t xml:space="preserve">oes radio’s free, over-the-air availability </w:t>
      </w:r>
      <w:r w:rsidR="00D52690">
        <w:t xml:space="preserve">or local nature </w:t>
      </w:r>
      <w:r w:rsidRPr="008C6C11" w:rsidR="00D52690">
        <w:t xml:space="preserve">make it unique or </w:t>
      </w:r>
      <w:r w:rsidR="00D52690">
        <w:t xml:space="preserve">difficult to substitute </w:t>
      </w:r>
      <w:r w:rsidRPr="008C6C11" w:rsidR="00D52690">
        <w:t>in the audio marketplace with respect to fulfilling the Commission’s traditional public interest objectives of competition, localism</w:t>
      </w:r>
      <w:r w:rsidR="00D52690">
        <w:t>,</w:t>
      </w:r>
      <w:r w:rsidRPr="008C6C11" w:rsidR="00D52690">
        <w:t xml:space="preserve"> and viewpoint diversity?  Alternatively, </w:t>
      </w:r>
      <w:r w:rsidR="00054A1C">
        <w:t>should we continue to</w:t>
      </w:r>
      <w:r w:rsidRPr="008C6C11" w:rsidR="00D52690">
        <w:t xml:space="preserve"> focus on broadcast radio’s unique attributes</w:t>
      </w:r>
      <w:r w:rsidR="006B3CF9">
        <w:t xml:space="preserve"> when </w:t>
      </w:r>
      <w:r w:rsidR="00D52690">
        <w:t>evaluating competition from non-broadcast sources</w:t>
      </w:r>
      <w:r w:rsidR="00E33AA4">
        <w:t xml:space="preserve"> that are not subject to the ownership limits</w:t>
      </w:r>
      <w:r w:rsidR="0022209E">
        <w:t xml:space="preserve">, </w:t>
      </w:r>
      <w:r w:rsidR="00E33AA4">
        <w:t>including</w:t>
      </w:r>
      <w:r w:rsidR="0022209E">
        <w:t>, among others, satellite radio, podcasts, and audio streaming services</w:t>
      </w:r>
      <w:r w:rsidR="00D52690">
        <w:t xml:space="preserve">? </w:t>
      </w:r>
      <w:r w:rsidRPr="00411B26" w:rsidR="00D52690">
        <w:t xml:space="preserve"> </w:t>
      </w:r>
      <w:r w:rsidR="00BA115F">
        <w:t>Despite the lack of public interest obligations, do these</w:t>
      </w:r>
      <w:r w:rsidRPr="008C6C11" w:rsidR="00BA115F">
        <w:t xml:space="preserve"> </w:t>
      </w:r>
      <w:r w:rsidRPr="008C6C11" w:rsidR="00D52690">
        <w:t xml:space="preserve">non-broadcast audio sources </w:t>
      </w:r>
      <w:r w:rsidR="00BA115F">
        <w:t xml:space="preserve">nonetheless provide a competitive service from the listener’s perspective?  </w:t>
      </w:r>
      <w:r w:rsidRPr="008C6C11" w:rsidR="00D52690">
        <w:t xml:space="preserve">Should we continue to retain limits on the concentration of radio stations, independent of whether we find that broadcast radio remains </w:t>
      </w:r>
      <w:r w:rsidRPr="008C6C11" w:rsidR="00D52690">
        <w:t>a distinct product market?  Should we consider other public interest benefits or other objectives, including those that are non-economic in nature, that broadcast radio, generally, or AM or FM, separately, offer to listeners?</w:t>
      </w:r>
      <w:r>
        <w:rPr>
          <w:rStyle w:val="FootnoteReference"/>
          <w:rFonts w:eastAsiaTheme="majorEastAsia"/>
        </w:rPr>
        <w:footnoteReference w:id="58"/>
      </w:r>
      <w:r w:rsidRPr="00411B26" w:rsidR="00995786">
        <w:t xml:space="preserve"> </w:t>
      </w:r>
      <w:r w:rsidR="00995786">
        <w:t xml:space="preserve"> </w:t>
      </w:r>
      <w:r w:rsidR="00D142D6">
        <w:t xml:space="preserve">For example, does the use of broadcast media for public safety purposes during times of emergency as a means to disseminate news and other critical information make it </w:t>
      </w:r>
      <w:r w:rsidRPr="008C6C11" w:rsidR="00D142D6">
        <w:t xml:space="preserve">unique or </w:t>
      </w:r>
      <w:r w:rsidR="00D142D6">
        <w:t xml:space="preserve">difficult to substitute </w:t>
      </w:r>
      <w:r w:rsidRPr="008C6C11" w:rsidR="00D142D6">
        <w:t>in the audio marketplace</w:t>
      </w:r>
      <w:r w:rsidR="00D142D6">
        <w:t>?</w:t>
      </w:r>
    </w:p>
    <w:p w:rsidR="001D4567" w:rsidRPr="00973896" w:rsidP="001D4567" w14:paraId="39BFF883" w14:textId="77777777">
      <w:pPr>
        <w:pStyle w:val="ParaNum"/>
        <w:numPr>
          <w:ilvl w:val="0"/>
          <w:numId w:val="3"/>
        </w:numPr>
        <w:tabs>
          <w:tab w:val="num" w:pos="720"/>
          <w:tab w:val="clear" w:pos="1080"/>
          <w:tab w:val="num" w:pos="1440"/>
        </w:tabs>
        <w:snapToGrid w:val="0"/>
      </w:pPr>
      <w:r>
        <w:t>In light of the</w:t>
      </w:r>
      <w:r w:rsidRPr="00973896">
        <w:t xml:space="preserve"> </w:t>
      </w:r>
      <w:r>
        <w:t xml:space="preserve">importance of </w:t>
      </w:r>
      <w:r w:rsidRPr="00973896">
        <w:t>advertising</w:t>
      </w:r>
      <w:r>
        <w:t xml:space="preserve"> revenue to local </w:t>
      </w:r>
      <w:r w:rsidRPr="00973896">
        <w:t>commercial radio</w:t>
      </w:r>
      <w:r>
        <w:t>’s viability</w:t>
      </w:r>
      <w:r w:rsidRPr="00973896">
        <w:t>, do advertisers view satellite radio, audio streaming services, podcasting, or any other audio source as substitutes for broadcast radio?  What is the current impact of social media or other online platforms, such as Google</w:t>
      </w:r>
      <w:r>
        <w:t xml:space="preserve"> and</w:t>
      </w:r>
      <w:r w:rsidRPr="00973896">
        <w:t xml:space="preserve"> Facebook, on local advertising markets?  Do non-broadcast audio services provide programming that responds to the needs and interests of local markets</w:t>
      </w:r>
      <w:r>
        <w:t>, and if so, how</w:t>
      </w:r>
      <w:r w:rsidRPr="00973896">
        <w:t>?  To what extent, if any, should we take into account the deployment of digital</w:t>
      </w:r>
      <w:r>
        <w:t>,</w:t>
      </w:r>
      <w:r w:rsidRPr="00973896">
        <w:t xml:space="preserve"> over-the-air radio technology (especially for AM stations) and its role in enabling station owners to expand their program offerings, improve listenability, and increase their economies of scale and scope?</w:t>
      </w:r>
      <w:r w:rsidR="002F23D0">
        <w:t xml:space="preserve">  </w:t>
      </w:r>
      <w:r w:rsidRPr="00973896">
        <w:t xml:space="preserve">  </w:t>
      </w:r>
    </w:p>
    <w:p w:rsidR="001D4567" w:rsidRPr="00973896" w:rsidP="001D4567" w14:paraId="14AD983A" w14:textId="3645A800">
      <w:pPr>
        <w:pStyle w:val="ParaNum"/>
        <w:numPr>
          <w:ilvl w:val="0"/>
          <w:numId w:val="3"/>
        </w:numPr>
        <w:tabs>
          <w:tab w:val="num" w:pos="720"/>
          <w:tab w:val="clear" w:pos="1080"/>
          <w:tab w:val="num" w:pos="1440"/>
        </w:tabs>
        <w:snapToGrid w:val="0"/>
      </w:pPr>
      <w:r w:rsidRPr="00973896">
        <w:t>If we were to revise the</w:t>
      </w:r>
      <w:r>
        <w:t xml:space="preserve"> product</w:t>
      </w:r>
      <w:r w:rsidRPr="00973896">
        <w:t xml:space="preserve"> market </w:t>
      </w:r>
      <w:r>
        <w:t>definition beyond our traditional focus on local broadcast radio service and thereby include non-broadcast sources in our definition</w:t>
      </w:r>
      <w:r w:rsidRPr="00973896">
        <w:t>, how should we do so</w:t>
      </w:r>
      <w:r>
        <w:t>?</w:t>
      </w:r>
      <w:r w:rsidRPr="00973896">
        <w:t xml:space="preserve">  What non-broadcast sources should we include</w:t>
      </w:r>
      <w:r>
        <w:t xml:space="preserve"> in the analysis</w:t>
      </w:r>
      <w:r w:rsidRPr="00973896">
        <w:t xml:space="preserve">, and how should we count them or otherwise factor them into our rule for purposes of </w:t>
      </w:r>
      <w:r>
        <w:t xml:space="preserve">setting or administering </w:t>
      </w:r>
      <w:r w:rsidRPr="00973896">
        <w:t xml:space="preserve">limits?  </w:t>
      </w:r>
      <w:r>
        <w:t>W</w:t>
      </w:r>
      <w:r w:rsidRPr="00973896">
        <w:t xml:space="preserve">ould an expanded </w:t>
      </w:r>
      <w:r>
        <w:t xml:space="preserve">product market </w:t>
      </w:r>
      <w:r w:rsidRPr="00973896">
        <w:t xml:space="preserve">definition better serve our core public interest goals of </w:t>
      </w:r>
      <w:r>
        <w:t xml:space="preserve">competition, </w:t>
      </w:r>
      <w:r w:rsidRPr="00973896">
        <w:t>localism</w:t>
      </w:r>
      <w:r>
        <w:t>,</w:t>
      </w:r>
      <w:r w:rsidRPr="00973896">
        <w:t xml:space="preserve"> and </w:t>
      </w:r>
      <w:r>
        <w:t xml:space="preserve">viewpoint </w:t>
      </w:r>
      <w:r w:rsidRPr="00973896">
        <w:t>diversity?</w:t>
      </w:r>
    </w:p>
    <w:p w:rsidR="001257CA" w:rsidRPr="001257CA" w:rsidP="001257CA" w14:paraId="62B5AC5B" w14:textId="6B4D3132">
      <w:pPr>
        <w:pStyle w:val="ParaNum"/>
        <w:numPr>
          <w:ilvl w:val="0"/>
          <w:numId w:val="3"/>
        </w:numPr>
        <w:tabs>
          <w:tab w:val="num" w:pos="720"/>
          <w:tab w:val="clear" w:pos="1080"/>
          <w:tab w:val="num" w:pos="1440"/>
        </w:tabs>
        <w:snapToGrid w:val="0"/>
        <w:rPr>
          <w:kern w:val="0"/>
        </w:rPr>
      </w:pPr>
      <w:r>
        <w:rPr>
          <w:i/>
          <w:iCs/>
          <w:kern w:val="0"/>
        </w:rPr>
        <w:t xml:space="preserve">Local Radio Ownership Limits.  </w:t>
      </w:r>
      <w:r w:rsidRPr="00973896">
        <w:t>If the Commission determines that broadcast radio ownership limits remain necessary in the public interest</w:t>
      </w:r>
      <w:r>
        <w:t xml:space="preserve"> as the result of competition</w:t>
      </w:r>
      <w:r w:rsidRPr="00973896">
        <w:t xml:space="preserve">, we seek comment on whether the existing </w:t>
      </w:r>
      <w:r>
        <w:t xml:space="preserve">market size tiers and </w:t>
      </w:r>
      <w:r w:rsidRPr="00973896">
        <w:t>limits on the number of stations an entity may own are set appropriately</w:t>
      </w:r>
      <w:r w:rsidR="00DD2372">
        <w:t xml:space="preserve"> and </w:t>
      </w:r>
      <w:r w:rsidR="00263C9E">
        <w:t xml:space="preserve">whether </w:t>
      </w:r>
      <w:r w:rsidR="00DD2372">
        <w:t xml:space="preserve">the limits are </w:t>
      </w:r>
      <w:r w:rsidR="008D5D8B">
        <w:t>producing any unintended consequences</w:t>
      </w:r>
      <w:r w:rsidR="00F2794F">
        <w:t xml:space="preserve"> with respect to the public interest</w:t>
      </w:r>
      <w:r>
        <w:t xml:space="preserve">.  For instance, should the Commission retain, modify, or eliminate existing limits on the total number of radio stations owned in a local market?  Should the Commission consider new or different market size tiers (e.g., the creation of one or more market size tiers above the 45-station tier that would allow for additional ownership beyond the current eight station cap)?  Should the </w:t>
      </w:r>
      <w:r w:rsidRPr="00973896">
        <w:t>Commission tak</w:t>
      </w:r>
      <w:r>
        <w:t>e</w:t>
      </w:r>
      <w:r w:rsidRPr="00973896">
        <w:t xml:space="preserve"> a different approach </w:t>
      </w:r>
      <w:r>
        <w:t xml:space="preserve">altogether </w:t>
      </w:r>
      <w:r w:rsidRPr="00973896">
        <w:t xml:space="preserve">(e.g., using population or some other metric to define the tiers)?  </w:t>
      </w:r>
      <w:r>
        <w:t>W</w:t>
      </w:r>
      <w:r w:rsidRPr="00973896">
        <w:t xml:space="preserve">ould changing the </w:t>
      </w:r>
      <w:r>
        <w:t xml:space="preserve">existing limits or </w:t>
      </w:r>
      <w:r w:rsidRPr="00973896">
        <w:t>market size tiers</w:t>
      </w:r>
      <w:r>
        <w:t xml:space="preserve"> contravene the understanding or intent of Congress, which adopted the current approach based on the number of stations in a market?</w:t>
      </w:r>
      <w:r>
        <w:rPr>
          <w:rStyle w:val="FootnoteReference"/>
        </w:rPr>
        <w:footnoteReference w:id="59"/>
      </w:r>
      <w:r w:rsidR="0025008B">
        <w:t xml:space="preserve">  </w:t>
      </w:r>
    </w:p>
    <w:p w:rsidR="0062352E" w:rsidRPr="0062352E" w:rsidP="00601E1E" w14:paraId="6EA1FD3E" w14:textId="70653027">
      <w:pPr>
        <w:pStyle w:val="ParaNum"/>
        <w:numPr>
          <w:ilvl w:val="0"/>
          <w:numId w:val="3"/>
        </w:numPr>
        <w:tabs>
          <w:tab w:val="num" w:pos="720"/>
          <w:tab w:val="clear" w:pos="1080"/>
          <w:tab w:val="num" w:pos="1440"/>
        </w:tabs>
        <w:snapToGrid w:val="0"/>
        <w:rPr>
          <w:kern w:val="0"/>
        </w:rPr>
      </w:pPr>
      <w:r>
        <w:t xml:space="preserve">If we retain overall limits in some form, should we continue to have separate limits (or </w:t>
      </w:r>
      <w:r>
        <w:t>subcaps</w:t>
      </w:r>
      <w:r>
        <w:t>) for ownership of FM and/or AM stations</w:t>
      </w:r>
      <w:r>
        <w:rPr>
          <w:kern w:val="0"/>
        </w:rPr>
        <w:t xml:space="preserve"> that</w:t>
      </w:r>
      <w:r w:rsidRPr="00973896">
        <w:t xml:space="preserve"> limit the number of radio stations a licensee can own in the same service (AM or FM) in a single market</w:t>
      </w:r>
      <w:r>
        <w:t>?  If so, what should those limits be?</w:t>
      </w:r>
      <w:r w:rsidRPr="00973896">
        <w:t xml:space="preserve">  </w:t>
      </w:r>
      <w:r w:rsidR="005D1E73">
        <w:t>Is there an</w:t>
      </w:r>
      <w:r>
        <w:t xml:space="preserve"> overall </w:t>
      </w:r>
      <w:r w:rsidRPr="00973896">
        <w:t>disparity (either competitive or technical) between the FM and AM services?</w:t>
      </w:r>
      <w:r>
        <w:rPr>
          <w:rStyle w:val="FootnoteReference"/>
          <w:rFonts w:eastAsiaTheme="majorEastAsia"/>
        </w:rPr>
        <w:footnoteReference w:id="60"/>
      </w:r>
      <w:r w:rsidRPr="00973896">
        <w:t xml:space="preserve">  </w:t>
      </w:r>
      <w:r w:rsidR="005D1E73">
        <w:t>Has</w:t>
      </w:r>
      <w:r w:rsidR="00CC3F86">
        <w:t xml:space="preserve"> </w:t>
      </w:r>
      <w:r w:rsidRPr="0060769E">
        <w:t xml:space="preserve">the digital radio transition affected evaluation of the </w:t>
      </w:r>
      <w:r w:rsidRPr="0060769E">
        <w:t>subcaps</w:t>
      </w:r>
      <w:r w:rsidRPr="0060769E">
        <w:t>?</w:t>
      </w:r>
      <w:r>
        <w:t xml:space="preserve">  </w:t>
      </w:r>
      <w:r w:rsidRPr="00973896">
        <w:t xml:space="preserve">To the extent commenters believe that loosening or eliminating the </w:t>
      </w:r>
      <w:r w:rsidRPr="00973896">
        <w:t>subcaps</w:t>
      </w:r>
      <w:r w:rsidRPr="00973896">
        <w:t xml:space="preserve"> would devalue or jeopardize the viability of AM radio stations, in particular, by causing a migration of ownership or investment from AM to FM stations, </w:t>
      </w:r>
      <w:r w:rsidR="001E66EC">
        <w:t>what</w:t>
      </w:r>
      <w:r w:rsidRPr="00973896">
        <w:t xml:space="preserve"> analysis or other evidence </w:t>
      </w:r>
      <w:r>
        <w:t>support</w:t>
      </w:r>
      <w:r w:rsidR="001E66EC">
        <w:t>s</w:t>
      </w:r>
      <w:r>
        <w:t xml:space="preserve"> this</w:t>
      </w:r>
      <w:r w:rsidRPr="00973896">
        <w:t xml:space="preserve"> belief.</w:t>
      </w:r>
      <w:r>
        <w:t xml:space="preserve">  Is there evidence that </w:t>
      </w:r>
      <w:r>
        <w:t>subcaps</w:t>
      </w:r>
      <w:r>
        <w:t xml:space="preserve"> historically have</w:t>
      </w:r>
      <w:r w:rsidRPr="00973896">
        <w:t xml:space="preserve"> promoted market entry?  </w:t>
      </w:r>
      <w:r w:rsidR="005D1E73">
        <w:t xml:space="preserve">If so, what are some tradeoffs? </w:t>
      </w:r>
      <w:r w:rsidR="003F197F">
        <w:t xml:space="preserve"> </w:t>
      </w:r>
      <w:r w:rsidRPr="00973896">
        <w:t xml:space="preserve">Do </w:t>
      </w:r>
      <w:r>
        <w:t>s</w:t>
      </w:r>
      <w:r w:rsidRPr="00973896">
        <w:t>ubcaps</w:t>
      </w:r>
      <w:r w:rsidRPr="00973896">
        <w:t xml:space="preserve"> promote competition or otherwise serve the public interest?  If</w:t>
      </w:r>
      <w:r w:rsidR="00D87469">
        <w:t xml:space="preserve"> that is the case,</w:t>
      </w:r>
      <w:r w:rsidRPr="00973896">
        <w:t xml:space="preserve"> are they currently set at appropriate levels?  Should the Commission consider relaxing one of the </w:t>
      </w:r>
      <w:r w:rsidRPr="00973896">
        <w:t>subcaps</w:t>
      </w:r>
      <w:r w:rsidRPr="00973896">
        <w:t xml:space="preserve"> (AM or FM) but not the other</w:t>
      </w:r>
      <w:r>
        <w:t>, as some commentators suggest</w:t>
      </w:r>
      <w:r w:rsidRPr="00973896">
        <w:t>?</w:t>
      </w:r>
      <w:r>
        <w:rPr>
          <w:rStyle w:val="FootnoteReference"/>
          <w:rFonts w:eastAsiaTheme="majorEastAsia"/>
        </w:rPr>
        <w:footnoteReference w:id="61"/>
      </w:r>
      <w:r>
        <w:t xml:space="preserve"> </w:t>
      </w:r>
    </w:p>
    <w:p w:rsidR="006D227C" w:rsidRPr="00BE0B66" w:rsidP="009B45F4" w14:paraId="577D19B9" w14:textId="372BB946">
      <w:pPr>
        <w:pStyle w:val="ParaNum"/>
        <w:widowControl/>
        <w:numPr>
          <w:ilvl w:val="0"/>
          <w:numId w:val="3"/>
        </w:numPr>
        <w:tabs>
          <w:tab w:val="num" w:pos="720"/>
          <w:tab w:val="clear" w:pos="1080"/>
          <w:tab w:val="num" w:pos="1440"/>
        </w:tabs>
        <w:snapToGrid w:val="0"/>
        <w:rPr>
          <w:kern w:val="0"/>
        </w:rPr>
      </w:pPr>
      <w:r>
        <w:t>In addition to seeking comment on the current structure of the Local Radio Ownership Rule, we seek comment on whether there are any other changes we should make with respect to the rule.  For instance, should we provide relief via the rule</w:t>
      </w:r>
      <w:r w:rsidR="005808B5">
        <w:t xml:space="preserve"> </w:t>
      </w:r>
      <w:r>
        <w:t>that is specific to smaller markets, smaller owners, or struggling stations</w:t>
      </w:r>
      <w:r w:rsidR="00A96E37">
        <w:t xml:space="preserve">? </w:t>
      </w:r>
      <w:r w:rsidR="005808B5">
        <w:t xml:space="preserve"> </w:t>
      </w:r>
      <w:r w:rsidR="003E3089">
        <w:t xml:space="preserve">What market and industry criteria should smaller entities </w:t>
      </w:r>
      <w:r w:rsidR="00F53C72">
        <w:t xml:space="preserve">have to </w:t>
      </w:r>
      <w:r w:rsidR="003E3089">
        <w:t xml:space="preserve">meet </w:t>
      </w:r>
      <w:r w:rsidR="00F53C72">
        <w:t xml:space="preserve">to qualify for </w:t>
      </w:r>
      <w:r w:rsidR="003E3089">
        <w:t xml:space="preserve">relief? </w:t>
      </w:r>
      <w:r w:rsidR="004C0B02">
        <w:t xml:space="preserve"> </w:t>
      </w:r>
      <w:r>
        <w:t>How would the Commission determine when a station is struggling so that it qualifies for relief?  S</w:t>
      </w:r>
      <w:r w:rsidRPr="00973896">
        <w:t xml:space="preserve">hould the Commission consider revising the rule </w:t>
      </w:r>
      <w:r>
        <w:t>to</w:t>
      </w:r>
      <w:r w:rsidRPr="00973896">
        <w:t xml:space="preserve"> </w:t>
      </w:r>
      <w:r>
        <w:t>account more directly for</w:t>
      </w:r>
      <w:r w:rsidRPr="00973896">
        <w:t xml:space="preserve"> concentration</w:t>
      </w:r>
      <w:r>
        <w:t xml:space="preserve"> or other characteristics of stations</w:t>
      </w:r>
      <w:r w:rsidRPr="00973896">
        <w:t xml:space="preserve">, perhaps by limiting </w:t>
      </w:r>
      <w:r>
        <w:t xml:space="preserve">or permitting </w:t>
      </w:r>
      <w:r w:rsidRPr="00973896">
        <w:t xml:space="preserve">consolidation based </w:t>
      </w:r>
      <w:r>
        <w:t xml:space="preserve">not only </w:t>
      </w:r>
      <w:r w:rsidRPr="00973896">
        <w:t xml:space="preserve">on the number of stations an entity owns, but also based on the </w:t>
      </w:r>
      <w:r>
        <w:t xml:space="preserve">relative </w:t>
      </w:r>
      <w:r w:rsidRPr="00973896">
        <w:t>strength</w:t>
      </w:r>
      <w:r>
        <w:t xml:space="preserve"> or reach</w:t>
      </w:r>
      <w:r w:rsidRPr="00973896">
        <w:t xml:space="preserve"> of those stations within local radio markets?</w:t>
      </w:r>
      <w:r>
        <w:rPr>
          <w:rStyle w:val="FootnoteReference"/>
          <w:rFonts w:eastAsiaTheme="majorEastAsia"/>
        </w:rPr>
        <w:footnoteReference w:id="62"/>
      </w:r>
      <w:r>
        <w:t xml:space="preserve">  Should we establish a process for case-by-case review of station acquisitions in certain circumstances or presumptions in favor of relief that would apply?  To the extent commenters propose revisions to the existing limits, we ask that they explain specifically where the Commission should draw lines and what data or analysis supports their proposals.</w:t>
      </w:r>
      <w:r w:rsidR="00ED5880">
        <w:t xml:space="preserve">  </w:t>
      </w:r>
      <w:r w:rsidR="00BD3627">
        <w:t xml:space="preserve">  </w:t>
      </w:r>
    </w:p>
    <w:p w:rsidR="00601E1E" w:rsidRPr="007C2160" w:rsidP="007C2160" w14:paraId="7550C51E" w14:textId="670739A9">
      <w:pPr>
        <w:pStyle w:val="ParaNum"/>
        <w:numPr>
          <w:ilvl w:val="0"/>
          <w:numId w:val="3"/>
        </w:numPr>
        <w:tabs>
          <w:tab w:val="num" w:pos="720"/>
          <w:tab w:val="clear" w:pos="1080"/>
          <w:tab w:val="num" w:pos="1440"/>
        </w:tabs>
        <w:snapToGrid w:val="0"/>
        <w:rPr>
          <w:kern w:val="0"/>
        </w:rPr>
      </w:pPr>
      <w:r>
        <w:t xml:space="preserve">Commenters supporting changes to the rule should explain how such changes would promote </w:t>
      </w:r>
      <w:r w:rsidR="00BA115F">
        <w:t>the public interest</w:t>
      </w:r>
      <w:r>
        <w:t xml:space="preserve"> and how those benefits would offset or outweigh any harms. </w:t>
      </w:r>
      <w:r w:rsidR="00A96E37">
        <w:t xml:space="preserve"> </w:t>
      </w:r>
      <w:r w:rsidRPr="00973896">
        <w:t>Do current limits adequately prevent a single licensee from amassing excessive local market power?  Conversely, do they permit sufficient growth</w:t>
      </w:r>
      <w:r w:rsidR="00CD59A8">
        <w:t xml:space="preserve"> and innovation</w:t>
      </w:r>
      <w:r w:rsidRPr="00973896">
        <w:t xml:space="preserve"> to enable radio broadcasters to obtain assets they may need to improve service?  Are the current limits standing in the way of </w:t>
      </w:r>
      <w:r>
        <w:t xml:space="preserve">pro-competitive or </w:t>
      </w:r>
      <w:r w:rsidRPr="00973896">
        <w:t xml:space="preserve">pro-consumer transactions that would otherwise take place?  </w:t>
      </w:r>
      <w:r>
        <w:t>For instance, would loosening or eliminating the existing limits lead to a greater ability for small or midsized station owners to combine and better compete with larger owners in individual markets?  Would loosening or eliminating the existing limits lead to more or less local programming?  We ask commenters to provide</w:t>
      </w:r>
      <w:r w:rsidRPr="00973896">
        <w:t xml:space="preserve"> concrete examples in markets where they see </w:t>
      </w:r>
      <w:r>
        <w:t xml:space="preserve">the </w:t>
      </w:r>
      <w:r w:rsidRPr="00973896">
        <w:t xml:space="preserve">current limits as either too restrictive or too lenient, explain how those examples typify </w:t>
      </w:r>
      <w:r>
        <w:t xml:space="preserve">situations in </w:t>
      </w:r>
      <w:r w:rsidRPr="00973896">
        <w:t xml:space="preserve">other markets, specify benefits to be gained by revising </w:t>
      </w:r>
      <w:r>
        <w:t xml:space="preserve">or eliminating the </w:t>
      </w:r>
      <w:r w:rsidRPr="00973896">
        <w:t>limits</w:t>
      </w:r>
      <w:r>
        <w:t>, and explain why those proposed benefits should be expected to flow from any proposed rule change</w:t>
      </w:r>
      <w:r w:rsidRPr="00973896">
        <w:t>.</w:t>
      </w:r>
      <w:r>
        <w:t xml:space="preserve">  Commenters should provide supporting evidence and economic analysis to the extent possible.</w:t>
      </w:r>
      <w:r w:rsidR="00555AE2">
        <w:t xml:space="preserve">  </w:t>
      </w:r>
      <w:r w:rsidR="0034638B">
        <w:t xml:space="preserve">  </w:t>
      </w:r>
      <w:r w:rsidRPr="00973896">
        <w:t xml:space="preserve">        </w:t>
      </w:r>
    </w:p>
    <w:p w:rsidR="00F541A7" w:rsidP="00314973" w14:paraId="36A6F3DB" w14:textId="77777777">
      <w:pPr>
        <w:pStyle w:val="Heading2"/>
      </w:pPr>
      <w:bookmarkStart w:id="90" w:name="_Toc527713806"/>
      <w:bookmarkStart w:id="91" w:name="_Toc532379627"/>
      <w:bookmarkStart w:id="92" w:name="_Toc532379666"/>
      <w:bookmarkStart w:id="93" w:name="_Toc119934585"/>
      <w:bookmarkStart w:id="94" w:name="_Toc119934940"/>
      <w:bookmarkStart w:id="95" w:name="_Toc119936953"/>
      <w:bookmarkStart w:id="96" w:name="_Toc119937150"/>
      <w:bookmarkStart w:id="97" w:name="_Toc119937309"/>
      <w:bookmarkStart w:id="98" w:name="_Toc119937385"/>
      <w:bookmarkStart w:id="99" w:name="_Toc119937429"/>
      <w:bookmarkStart w:id="100" w:name="_Toc119937476"/>
      <w:bookmarkStart w:id="101" w:name="_Toc119937544"/>
      <w:bookmarkStart w:id="102" w:name="_Toc147923069"/>
      <w:bookmarkStart w:id="103" w:name="_Toc150243940"/>
      <w:bookmarkStart w:id="104" w:name="_Toc156913551"/>
      <w:bookmarkStart w:id="105" w:name="_Toc202958357"/>
      <w:bookmarkStart w:id="106" w:name="_Toc119934589"/>
      <w:bookmarkStart w:id="107" w:name="_Toc119934944"/>
      <w:bookmarkStart w:id="108" w:name="_Toc119936957"/>
      <w:bookmarkStart w:id="109" w:name="_Toc119937154"/>
      <w:bookmarkStart w:id="110" w:name="_Toc119937313"/>
      <w:bookmarkStart w:id="111" w:name="_Toc119937389"/>
      <w:bookmarkStart w:id="112" w:name="_Toc119937433"/>
      <w:bookmarkStart w:id="113" w:name="_Toc119937480"/>
      <w:bookmarkStart w:id="114" w:name="_Toc119937548"/>
      <w:r>
        <w:t>Local Television Ownership Rule</w:t>
      </w:r>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p>
    <w:p w:rsidR="00F541A7" w:rsidP="00F541A7" w14:paraId="3DE5D806" w14:textId="77777777">
      <w:pPr>
        <w:pStyle w:val="Heading3"/>
      </w:pPr>
      <w:bookmarkStart w:id="115" w:name="_Toc119934587"/>
      <w:bookmarkStart w:id="116" w:name="_Toc119934942"/>
      <w:bookmarkStart w:id="117" w:name="_Toc119936955"/>
      <w:bookmarkStart w:id="118" w:name="_Toc119937152"/>
      <w:bookmarkStart w:id="119" w:name="_Toc119937311"/>
      <w:bookmarkStart w:id="120" w:name="_Toc119937387"/>
      <w:bookmarkStart w:id="121" w:name="_Toc119937431"/>
      <w:bookmarkStart w:id="122" w:name="_Toc119937478"/>
      <w:bookmarkStart w:id="123" w:name="_Toc119937546"/>
      <w:bookmarkStart w:id="124" w:name="_Toc147923071"/>
      <w:bookmarkStart w:id="125" w:name="_Toc150243942"/>
      <w:bookmarkStart w:id="126" w:name="_Toc156913553"/>
      <w:bookmarkStart w:id="127" w:name="_Toc202958359"/>
      <w:r>
        <w:t>Background</w:t>
      </w:r>
      <w:bookmarkEnd w:id="115"/>
      <w:bookmarkEnd w:id="116"/>
      <w:bookmarkEnd w:id="117"/>
      <w:bookmarkEnd w:id="118"/>
      <w:bookmarkEnd w:id="119"/>
      <w:bookmarkEnd w:id="120"/>
      <w:bookmarkEnd w:id="121"/>
      <w:bookmarkEnd w:id="122"/>
      <w:bookmarkEnd w:id="123"/>
      <w:bookmarkEnd w:id="124"/>
      <w:bookmarkEnd w:id="125"/>
      <w:bookmarkEnd w:id="126"/>
      <w:bookmarkEnd w:id="127"/>
    </w:p>
    <w:p w:rsidR="00F541A7" w:rsidP="007168B6" w14:paraId="359D3240" w14:textId="77777777">
      <w:pPr>
        <w:pStyle w:val="ParaNum"/>
        <w:numPr>
          <w:ilvl w:val="0"/>
          <w:numId w:val="3"/>
        </w:numPr>
        <w:tabs>
          <w:tab w:val="num" w:pos="720"/>
          <w:tab w:val="clear" w:pos="1080"/>
          <w:tab w:val="num" w:pos="1440"/>
        </w:tabs>
        <w:snapToGrid w:val="0"/>
      </w:pPr>
      <w:r w:rsidRPr="008359F8">
        <w:t>The Local Television Ownership Rule provides that an entity may own up to two television stations in the same Nielsen Designated Market Area (DMA)</w:t>
      </w:r>
      <w:r>
        <w:rPr>
          <w:rStyle w:val="FootnoteReference"/>
        </w:rPr>
        <w:footnoteReference w:id="63"/>
      </w:r>
      <w:r w:rsidRPr="008359F8">
        <w:t xml:space="preserve"> if: (1) the digital noise limited service contours (NLSCs) of the stations do not overlap; or (2) at the time the application to acquire or construct the station(s) is filed, at least one of the stations is not ranked among the top-four stations in the DMA</w:t>
      </w:r>
      <w:r w:rsidR="007030C2">
        <w:t>—</w:t>
      </w:r>
      <w:r w:rsidR="00E47F5D">
        <w:t>referred to as the Top-Four Prohibition</w:t>
      </w:r>
      <w:r w:rsidRPr="008359F8">
        <w:t>.</w:t>
      </w:r>
    </w:p>
    <w:p w:rsidR="00F541A7" w:rsidRPr="008359F8" w:rsidP="007168B6" w14:paraId="6A9D9372" w14:textId="77777777">
      <w:pPr>
        <w:pStyle w:val="ParaNum"/>
        <w:numPr>
          <w:ilvl w:val="0"/>
          <w:numId w:val="3"/>
        </w:numPr>
        <w:tabs>
          <w:tab w:val="num" w:pos="720"/>
          <w:tab w:val="clear" w:pos="1080"/>
          <w:tab w:val="num" w:pos="1440"/>
        </w:tabs>
        <w:snapToGrid w:val="0"/>
      </w:pPr>
      <w:r>
        <w:t>The Commission</w:t>
      </w:r>
      <w:r w:rsidRPr="00B64137">
        <w:t xml:space="preserve"> concluded in </w:t>
      </w:r>
      <w:r>
        <w:t>its</w:t>
      </w:r>
      <w:r w:rsidRPr="00B64137" w:rsidR="003602DC">
        <w:t xml:space="preserve"> </w:t>
      </w:r>
      <w:r w:rsidRPr="00B64137">
        <w:t>most recent media ownership review that local television ownership limits remained necessary</w:t>
      </w:r>
      <w:r>
        <w:t xml:space="preserve"> to promote the Commission’s public interest goals of competition, localism, </w:t>
      </w:r>
      <w:r w:rsidR="008216E3">
        <w:t xml:space="preserve">and </w:t>
      </w:r>
      <w:r w:rsidR="009225DD">
        <w:t xml:space="preserve">viewpoint </w:t>
      </w:r>
      <w:r>
        <w:t>diversity</w:t>
      </w:r>
      <w:r w:rsidRPr="00D26B8A">
        <w:t xml:space="preserve"> </w:t>
      </w:r>
      <w:r>
        <w:t xml:space="preserve">given the unique obligations broadcast </w:t>
      </w:r>
      <w:r w:rsidR="00A67D91">
        <w:t xml:space="preserve">television </w:t>
      </w:r>
      <w:r>
        <w:t>licensees have as trustees of the public’s airwaves to serve their local communities.</w:t>
      </w:r>
      <w:r>
        <w:rPr>
          <w:rStyle w:val="FootnoteReference"/>
        </w:rPr>
        <w:footnoteReference w:id="64"/>
      </w:r>
      <w:r>
        <w:t xml:space="preserve">  </w:t>
      </w:r>
      <w:r w:rsidR="00203782">
        <w:t>The Commission</w:t>
      </w:r>
      <w:r w:rsidR="00A77456">
        <w:t xml:space="preserve"> also</w:t>
      </w:r>
      <w:r w:rsidR="00203782">
        <w:t xml:space="preserve"> found that</w:t>
      </w:r>
      <w:r w:rsidR="00A77456">
        <w:t>, based on the record in that proceeding,</w:t>
      </w:r>
      <w:r w:rsidR="00203782">
        <w:t xml:space="preserve"> </w:t>
      </w:r>
      <w:r w:rsidRPr="00203782" w:rsidR="00203782">
        <w:t>broadcast television remain</w:t>
      </w:r>
      <w:r w:rsidR="00203782">
        <w:t>ed</w:t>
      </w:r>
      <w:r w:rsidRPr="00203782" w:rsidR="00203782">
        <w:t xml:space="preserve"> its own distinct </w:t>
      </w:r>
      <w:r w:rsidR="00203782">
        <w:t xml:space="preserve">product </w:t>
      </w:r>
      <w:r w:rsidRPr="00203782" w:rsidR="00203782">
        <w:t>market</w:t>
      </w:r>
      <w:r w:rsidR="00203782">
        <w:t>.</w:t>
      </w:r>
      <w:r>
        <w:rPr>
          <w:rStyle w:val="FootnoteReference"/>
        </w:rPr>
        <w:footnoteReference w:id="65"/>
      </w:r>
      <w:r w:rsidR="00203782">
        <w:t xml:space="preserve">  </w:t>
      </w:r>
      <w:r>
        <w:t xml:space="preserve">The Commission also modified the methodology </w:t>
      </w:r>
      <w:r w:rsidR="009730A4">
        <w:t>for</w:t>
      </w:r>
      <w:r>
        <w:t xml:space="preserve"> </w:t>
      </w:r>
      <w:r w:rsidR="00CD2807">
        <w:t xml:space="preserve">administering </w:t>
      </w:r>
      <w:r w:rsidRPr="008359F8">
        <w:t xml:space="preserve">the </w:t>
      </w:r>
      <w:r>
        <w:t xml:space="preserve">rule’s </w:t>
      </w:r>
      <w:r w:rsidRPr="008359F8">
        <w:t xml:space="preserve">Top-Four </w:t>
      </w:r>
      <w:r w:rsidRPr="008359F8">
        <w:t>Prohibition</w:t>
      </w:r>
      <w:r>
        <w:t>.</w:t>
      </w:r>
      <w:r>
        <w:rPr>
          <w:rStyle w:val="FootnoteReference"/>
        </w:rPr>
        <w:footnoteReference w:id="66"/>
      </w:r>
      <w:r>
        <w:t xml:space="preserve">  </w:t>
      </w:r>
      <w:r w:rsidR="00930532">
        <w:t xml:space="preserve">As described earlier, the </w:t>
      </w:r>
      <w:r w:rsidRPr="003575E5" w:rsidR="00930532">
        <w:t>United States Court of Appeals for the Eighth Circuit</w:t>
      </w:r>
      <w:r w:rsidR="00930532">
        <w:t xml:space="preserve"> subsequently vacated the Top-Four Prohibition along with the modifications</w:t>
      </w:r>
      <w:r w:rsidR="008F2922">
        <w:t xml:space="preserve"> </w:t>
      </w:r>
      <w:r w:rsidR="000E1403">
        <w:t>to Note 11</w:t>
      </w:r>
      <w:r w:rsidR="00392CA5">
        <w:t xml:space="preserve"> </w:t>
      </w:r>
      <w:r w:rsidR="008F2922">
        <w:t>adopted in the previous media ownership review</w:t>
      </w:r>
      <w:r w:rsidR="00930532">
        <w:t>.</w:t>
      </w:r>
      <w:r>
        <w:rPr>
          <w:rStyle w:val="FootnoteReference"/>
        </w:rPr>
        <w:footnoteReference w:id="67"/>
      </w:r>
    </w:p>
    <w:p w:rsidR="00F541A7" w:rsidRPr="003A2E87" w:rsidP="00F541A7" w14:paraId="3A2E6038" w14:textId="77777777">
      <w:pPr>
        <w:pStyle w:val="Heading3"/>
      </w:pPr>
      <w:bookmarkStart w:id="129" w:name="_Toc119934588"/>
      <w:bookmarkStart w:id="130" w:name="_Toc119934943"/>
      <w:bookmarkStart w:id="131" w:name="_Toc119936956"/>
      <w:bookmarkStart w:id="132" w:name="_Toc119937153"/>
      <w:bookmarkStart w:id="133" w:name="_Toc119937312"/>
      <w:bookmarkStart w:id="134" w:name="_Toc119937388"/>
      <w:bookmarkStart w:id="135" w:name="_Toc119937432"/>
      <w:bookmarkStart w:id="136" w:name="_Toc119937479"/>
      <w:bookmarkStart w:id="137" w:name="_Toc119937547"/>
      <w:bookmarkStart w:id="138" w:name="_Toc147923072"/>
      <w:bookmarkStart w:id="139" w:name="_Toc150243943"/>
      <w:bookmarkStart w:id="140" w:name="_Toc156913554"/>
      <w:bookmarkStart w:id="141" w:name="_Toc202958360"/>
      <w:r>
        <w:t>Discussion</w:t>
      </w:r>
      <w:bookmarkEnd w:id="129"/>
      <w:bookmarkEnd w:id="130"/>
      <w:bookmarkEnd w:id="131"/>
      <w:bookmarkEnd w:id="132"/>
      <w:bookmarkEnd w:id="133"/>
      <w:bookmarkEnd w:id="134"/>
      <w:bookmarkEnd w:id="135"/>
      <w:bookmarkEnd w:id="136"/>
      <w:bookmarkEnd w:id="137"/>
      <w:bookmarkEnd w:id="138"/>
      <w:bookmarkEnd w:id="139"/>
      <w:bookmarkEnd w:id="140"/>
      <w:bookmarkEnd w:id="141"/>
    </w:p>
    <w:p w:rsidR="00F541A7" w:rsidP="007168B6" w14:paraId="202E1C16" w14:textId="05903E53">
      <w:pPr>
        <w:pStyle w:val="ParaNum"/>
        <w:numPr>
          <w:ilvl w:val="0"/>
          <w:numId w:val="3"/>
        </w:numPr>
        <w:tabs>
          <w:tab w:val="num" w:pos="720"/>
          <w:tab w:val="clear" w:pos="1080"/>
          <w:tab w:val="num" w:pos="1440"/>
        </w:tabs>
        <w:snapToGrid w:val="0"/>
      </w:pPr>
      <w:r>
        <w:t>The</w:t>
      </w:r>
      <w:r w:rsidRPr="009D693C">
        <w:t xml:space="preserve"> initial </w:t>
      </w:r>
      <w:r>
        <w:t>question of this review remains</w:t>
      </w:r>
      <w:r w:rsidRPr="009D693C">
        <w:t xml:space="preserve"> whether the Local Television Ownership Rule is necessary in the public interest as a result of competition</w:t>
      </w:r>
      <w:r w:rsidRPr="009F7351">
        <w:t xml:space="preserve">, notwithstanding </w:t>
      </w:r>
      <w:r w:rsidR="00CC4898">
        <w:t xml:space="preserve">substantial </w:t>
      </w:r>
      <w:r w:rsidRPr="009F7351">
        <w:t>changes that have occurred in the video marketplace</w:t>
      </w:r>
      <w:r w:rsidR="00A54CAA">
        <w:t xml:space="preserve"> with changes in technology (</w:t>
      </w:r>
      <w:r w:rsidR="00ED0B2B">
        <w:t>including</w:t>
      </w:r>
      <w:r w:rsidR="00A54CAA">
        <w:t xml:space="preserve"> online video, </w:t>
      </w:r>
      <w:r w:rsidR="00ED0B2B">
        <w:t xml:space="preserve">and </w:t>
      </w:r>
      <w:r w:rsidR="001A6C56">
        <w:t>digital</w:t>
      </w:r>
      <w:r w:rsidR="00A54CAA">
        <w:t xml:space="preserve"> </w:t>
      </w:r>
      <w:r w:rsidR="00ED0B2B">
        <w:t xml:space="preserve">television </w:t>
      </w:r>
      <w:r w:rsidR="00A54CAA">
        <w:t>broadcasting</w:t>
      </w:r>
      <w:r w:rsidR="00ED0B2B">
        <w:t>)</w:t>
      </w:r>
      <w:r w:rsidRPr="009F7351">
        <w:t xml:space="preserve"> </w:t>
      </w:r>
      <w:r w:rsidR="00BD2C32">
        <w:t xml:space="preserve">and </w:t>
      </w:r>
      <w:r w:rsidR="00A54CAA">
        <w:t xml:space="preserve">the </w:t>
      </w:r>
      <w:r w:rsidR="004C3100">
        <w:t>challenges now</w:t>
      </w:r>
      <w:r w:rsidR="00BD2C32">
        <w:t xml:space="preserve"> facing the broadcast television industry</w:t>
      </w:r>
      <w:r w:rsidRPr="009F7351">
        <w:t>.</w:t>
      </w:r>
      <w:r>
        <w:t xml:space="preserve">  </w:t>
      </w:r>
      <w:r w:rsidR="00B84107">
        <w:t>T</w:t>
      </w:r>
      <w:r>
        <w:t xml:space="preserve">he provision of local programming that serves </w:t>
      </w:r>
      <w:r w:rsidRPr="002D11BF">
        <w:t>the needs and interests of</w:t>
      </w:r>
      <w:r>
        <w:t xml:space="preserve"> a local community through free, over-the-air transmission remains the hallmark of broadcast television and is </w:t>
      </w:r>
      <w:r w:rsidR="003F0B53">
        <w:t>an</w:t>
      </w:r>
      <w:r>
        <w:t xml:space="preserve"> important means by which broadcast licensees </w:t>
      </w:r>
      <w:r w:rsidR="009731F5">
        <w:t xml:space="preserve">serve </w:t>
      </w:r>
      <w:r>
        <w:t xml:space="preserve">the public </w:t>
      </w:r>
      <w:r w:rsidR="000A79E6">
        <w:t xml:space="preserve">in exchange </w:t>
      </w:r>
      <w:r>
        <w:t xml:space="preserve">for their use of the spectrum.  </w:t>
      </w:r>
      <w:r w:rsidR="00C87DA3">
        <w:t xml:space="preserve">With new </w:t>
      </w:r>
      <w:r w:rsidR="009E3C7A">
        <w:t>competition for viewers’ attention</w:t>
      </w:r>
      <w:r w:rsidR="007451F3">
        <w:t xml:space="preserve">, however, come </w:t>
      </w:r>
      <w:r w:rsidR="00C16995">
        <w:t xml:space="preserve">new challenges </w:t>
      </w:r>
      <w:r w:rsidR="009E3C7A">
        <w:t xml:space="preserve">for </w:t>
      </w:r>
      <w:r w:rsidR="00C16995">
        <w:t>the broadcast television industry</w:t>
      </w:r>
      <w:r w:rsidR="00D11FCD">
        <w:t xml:space="preserve"> as </w:t>
      </w:r>
      <w:r w:rsidR="00EC1496">
        <w:t>stations</w:t>
      </w:r>
      <w:r w:rsidR="00D11FCD">
        <w:t xml:space="preserve"> seek to fulfill their public interest obligations</w:t>
      </w:r>
      <w:r w:rsidR="00C16995">
        <w:t xml:space="preserve">.  </w:t>
      </w:r>
      <w:r>
        <w:t xml:space="preserve">Accordingly, we seek comment on whether the Local Television Ownership Rule continues to further </w:t>
      </w:r>
      <w:r w:rsidR="00EC1496">
        <w:t>broadcast television</w:t>
      </w:r>
      <w:r>
        <w:t xml:space="preserve"> service to American consumers, or whether, in </w:t>
      </w:r>
      <w:r w:rsidR="00D71390">
        <w:t xml:space="preserve">light of the pressures local television stations now face, the existing rule stands in the way </w:t>
      </w:r>
      <w:r w:rsidR="00E27E2D">
        <w:t xml:space="preserve">of their ability to </w:t>
      </w:r>
      <w:r w:rsidR="00BF106E">
        <w:t xml:space="preserve">better </w:t>
      </w:r>
      <w:r w:rsidR="00E27E2D">
        <w:t>serve their local communities</w:t>
      </w:r>
      <w:r w:rsidR="00A82F23">
        <w:t xml:space="preserve"> and allowing local broadcasters to compete</w:t>
      </w:r>
      <w:r w:rsidR="00E27E2D">
        <w:t xml:space="preserve">.  </w:t>
      </w:r>
      <w:r w:rsidRPr="008359F8" w:rsidR="009507E3">
        <w:t>We seek comment on all aspects of the rule</w:t>
      </w:r>
      <w:r w:rsidR="009507E3">
        <w:t>’</w:t>
      </w:r>
      <w:r w:rsidRPr="008359F8" w:rsidR="009507E3">
        <w:t>s implementation and on whether the current version of the rule is necessary to serve the public interest in the current television marketplace</w:t>
      </w:r>
      <w:r w:rsidR="009507E3">
        <w:t xml:space="preserve"> or, alternatively, whether the rule should be modified or repealed</w:t>
      </w:r>
      <w:r w:rsidRPr="008359F8" w:rsidR="009507E3">
        <w:t>.</w:t>
      </w:r>
      <w:r w:rsidR="009507E3">
        <w:t xml:space="preserve">  Comments submitted in response to the 2022 Quadrennial Public Notice also inform our questions below.</w:t>
      </w:r>
      <w:r>
        <w:rPr>
          <w:rStyle w:val="FootnoteReference"/>
        </w:rPr>
        <w:footnoteReference w:id="68"/>
      </w:r>
      <w:r w:rsidR="009507E3">
        <w:t xml:space="preserve"> </w:t>
      </w:r>
      <w:r>
        <w:t xml:space="preserve">  </w:t>
      </w:r>
    </w:p>
    <w:p w:rsidR="009F194C" w:rsidP="009F194C" w14:paraId="23F8465F" w14:textId="29038617">
      <w:pPr>
        <w:pStyle w:val="ParaNum"/>
        <w:numPr>
          <w:ilvl w:val="0"/>
          <w:numId w:val="3"/>
        </w:numPr>
        <w:tabs>
          <w:tab w:val="num" w:pos="720"/>
          <w:tab w:val="clear" w:pos="1080"/>
          <w:tab w:val="num" w:pos="1440"/>
        </w:tabs>
        <w:snapToGrid w:val="0"/>
      </w:pPr>
      <w:r>
        <w:rPr>
          <w:i/>
          <w:iCs/>
        </w:rPr>
        <w:t xml:space="preserve">Video Marketplace Competition.  </w:t>
      </w:r>
      <w:r w:rsidRPr="005C6E6E">
        <w:t xml:space="preserve">We seek comment on the appropriate product market </w:t>
      </w:r>
      <w:r>
        <w:t xml:space="preserve">definition </w:t>
      </w:r>
      <w:r w:rsidRPr="005C6E6E">
        <w:t xml:space="preserve">and market participants </w:t>
      </w:r>
      <w:r>
        <w:t>that the Commission should</w:t>
      </w:r>
      <w:r w:rsidRPr="005C6E6E">
        <w:t xml:space="preserve"> consider</w:t>
      </w:r>
      <w:r w:rsidR="00791F44">
        <w:t xml:space="preserve"> as part of its Local Television Ownership Rule analysis</w:t>
      </w:r>
      <w:r w:rsidRPr="005C6E6E">
        <w:t xml:space="preserve">, including whether </w:t>
      </w:r>
      <w:r>
        <w:t>an alternative market definition would better reflect how consumers access and make use of video programming.  Multiple commenters point to the enormous number of video programming options now available to consumers.</w:t>
      </w:r>
      <w:r>
        <w:rPr>
          <w:rStyle w:val="FootnoteReference"/>
        </w:rPr>
        <w:footnoteReference w:id="69"/>
      </w:r>
      <w:r>
        <w:t xml:space="preserve">  We seek comment on whether or how the Commission can account for non-broadcast video programming in our market definition analysis.  We </w:t>
      </w:r>
      <w:r w:rsidR="00787F1E">
        <w:t xml:space="preserve">also </w:t>
      </w:r>
      <w:r>
        <w:t xml:space="preserve">seek comment on whether and to what extent </w:t>
      </w:r>
      <w:r w:rsidRPr="00AA0375">
        <w:rPr>
          <w:rFonts w:ascii="TimesNewRomanPSMT" w:eastAsia="Calibri" w:hAnsi="TimesNewRomanPSMT" w:cs="TimesNewRomanPSMT"/>
          <w:szCs w:val="22"/>
        </w:rPr>
        <w:t>non-broadcast video entities provide local news and other local content.</w:t>
      </w:r>
      <w:r>
        <w:rPr>
          <w:rStyle w:val="FootnoteReference"/>
        </w:rPr>
        <w:footnoteReference w:id="70"/>
      </w:r>
      <w:r>
        <w:t xml:space="preserve">  </w:t>
      </w:r>
      <w:r w:rsidR="009507E3">
        <w:t xml:space="preserve">For example, among the video streaming services that offer local content, are </w:t>
      </w:r>
      <w:r w:rsidR="009507E3">
        <w:t xml:space="preserve">there any that provide local content from sources other than broadcast television?  </w:t>
      </w:r>
      <w:r w:rsidRPr="00AA0375" w:rsidR="00367BBF">
        <w:rPr>
          <w:rFonts w:ascii="TimesNewRomanPSMT" w:eastAsia="Calibri" w:hAnsi="TimesNewRomanPSMT" w:cs="TimesNewRomanPSMT"/>
          <w:szCs w:val="22"/>
        </w:rPr>
        <w:t xml:space="preserve">Are </w:t>
      </w:r>
      <w:r w:rsidR="009507E3">
        <w:rPr>
          <w:rFonts w:ascii="TimesNewRomanPSMT" w:eastAsia="Calibri" w:hAnsi="TimesNewRomanPSMT" w:cs="TimesNewRomanPSMT"/>
          <w:szCs w:val="22"/>
        </w:rPr>
        <w:t>any such</w:t>
      </w:r>
      <w:r w:rsidRPr="00AA0375" w:rsidR="00367BBF">
        <w:rPr>
          <w:rFonts w:ascii="TimesNewRomanPSMT" w:eastAsia="Calibri" w:hAnsi="TimesNewRomanPSMT" w:cs="TimesNewRomanPSMT"/>
          <w:szCs w:val="22"/>
        </w:rPr>
        <w:t xml:space="preserve"> options available for free to the public at large?  </w:t>
      </w:r>
      <w:r w:rsidR="00D142D6">
        <w:rPr>
          <w:rFonts w:ascii="TimesNewRomanPSMT" w:eastAsia="Calibri" w:hAnsi="TimesNewRomanPSMT" w:cs="TimesNewRomanPSMT"/>
          <w:szCs w:val="22"/>
        </w:rPr>
        <w:t xml:space="preserve">Do these options differ by market?  </w:t>
      </w:r>
      <w:r w:rsidRPr="00AA0375" w:rsidR="00367BBF">
        <w:rPr>
          <w:rFonts w:ascii="TimesNewRomanPSMT" w:eastAsia="Calibri" w:hAnsi="TimesNewRomanPSMT" w:cs="TimesNewRomanPSMT"/>
          <w:szCs w:val="22"/>
        </w:rPr>
        <w:t>Are they comparable to traditional media in terms of scale and reach?</w:t>
      </w:r>
      <w:r>
        <w:rPr>
          <w:rStyle w:val="FootnoteReference"/>
          <w:rFonts w:eastAsia="Calibri" w:cs="TimesNewRomanPSMT"/>
          <w:szCs w:val="22"/>
        </w:rPr>
        <w:footnoteReference w:id="71"/>
      </w:r>
      <w:r w:rsidR="00D659E2">
        <w:rPr>
          <w:rFonts w:ascii="TimesNewRomanPSMT" w:eastAsia="Calibri" w:hAnsi="TimesNewRomanPSMT" w:cs="TimesNewRomanPSMT"/>
          <w:szCs w:val="22"/>
        </w:rPr>
        <w:t xml:space="preserve">  Are there certain segments of the population that rely primarily on over-the-air broadcasting</w:t>
      </w:r>
      <w:r w:rsidR="0032339B">
        <w:rPr>
          <w:rFonts w:ascii="TimesNewRomanPSMT" w:eastAsia="Calibri" w:hAnsi="TimesNewRomanPSMT" w:cs="TimesNewRomanPSMT"/>
          <w:szCs w:val="22"/>
        </w:rPr>
        <w:t xml:space="preserve"> and what data support this?</w:t>
      </w:r>
      <w:r w:rsidR="00367BBF">
        <w:rPr>
          <w:rFonts w:ascii="TimesNewRomanPSMT" w:eastAsia="Calibri" w:hAnsi="TimesNewRomanPSMT" w:cs="TimesNewRomanPSMT"/>
          <w:szCs w:val="22"/>
        </w:rPr>
        <w:t xml:space="preserve">  </w:t>
      </w:r>
      <w:r w:rsidR="009507E3">
        <w:t xml:space="preserve">Does the amount of local video programming available to the public depend on a television market’s attributes?  </w:t>
      </w:r>
      <w:r>
        <w:t xml:space="preserve">What sources of local video programming </w:t>
      </w:r>
      <w:r w:rsidR="001225C7">
        <w:t xml:space="preserve">are present in </w:t>
      </w:r>
      <w:r>
        <w:t xml:space="preserve">most television markets?      </w:t>
      </w:r>
    </w:p>
    <w:p w:rsidR="005B75BC" w:rsidP="009F194C" w14:paraId="06B05DD7" w14:textId="69BEA820">
      <w:pPr>
        <w:pStyle w:val="ParaNum"/>
        <w:numPr>
          <w:ilvl w:val="0"/>
          <w:numId w:val="3"/>
        </w:numPr>
        <w:tabs>
          <w:tab w:val="num" w:pos="720"/>
          <w:tab w:val="clear" w:pos="1080"/>
          <w:tab w:val="num" w:pos="1440"/>
        </w:tabs>
        <w:snapToGrid w:val="0"/>
      </w:pPr>
      <w:r>
        <w:t>Broadcast commenters also continue to focus on the broad advertising marketplace and the increased competition for advertising revenue from entities not subject to the Commission’s ownership limits.</w:t>
      </w:r>
      <w:r>
        <w:rPr>
          <w:rStyle w:val="FootnoteReference"/>
        </w:rPr>
        <w:footnoteReference w:id="72"/>
      </w:r>
      <w:r>
        <w:t xml:space="preserve">  We seek comment on how permitting broadcasters to achieve economies of scale through common ownership will enhance their ability to compete against non-broadcast entities</w:t>
      </w:r>
      <w:r w:rsidR="001225C7">
        <w:t xml:space="preserve"> and serve the public interest</w:t>
      </w:r>
      <w:r>
        <w:t>.</w:t>
      </w:r>
      <w:r>
        <w:rPr>
          <w:rStyle w:val="FootnoteReference"/>
        </w:rPr>
        <w:footnoteReference w:id="73"/>
      </w:r>
      <w:r>
        <w:t xml:space="preserve">  </w:t>
      </w:r>
      <w:r w:rsidR="00DD4386">
        <w:t xml:space="preserve">Specifically, </w:t>
      </w:r>
      <w:r w:rsidR="00550CA6">
        <w:t xml:space="preserve">broadcasters </w:t>
      </w:r>
      <w:r w:rsidR="00655BA1">
        <w:t>describe</w:t>
      </w:r>
      <w:r w:rsidR="00550CA6">
        <w:t xml:space="preserve"> the loss of </w:t>
      </w:r>
      <w:r w:rsidR="00693650">
        <w:t xml:space="preserve">audiences and advertisers to </w:t>
      </w:r>
      <w:r w:rsidR="006C6742">
        <w:t>online outlets</w:t>
      </w:r>
      <w:r w:rsidR="00F56E6B">
        <w:t>.</w:t>
      </w:r>
      <w:r>
        <w:rPr>
          <w:rStyle w:val="FootnoteReference"/>
        </w:rPr>
        <w:footnoteReference w:id="74"/>
      </w:r>
      <w:r w:rsidR="00F56E6B">
        <w:t xml:space="preserve">  </w:t>
      </w:r>
      <w:r w:rsidR="00775375">
        <w:t>Despite this, a</w:t>
      </w:r>
      <w:r>
        <w:t xml:space="preserve">re there certain advertisers for whom online advertising is not an adequate substitute for broadcast television advertising?  Do some advertisers use both online and television advertising to reach different audiences?  </w:t>
      </w:r>
      <w:r w:rsidR="00D142D6">
        <w:t xml:space="preserve">Are there reasons to differentiate among markets by the size of the DMA?  </w:t>
      </w:r>
      <w:r>
        <w:t>Does broadcast television advertising have characteristics that other forms of advertising do not have</w:t>
      </w:r>
      <w:r w:rsidR="008C64D2">
        <w:t xml:space="preserve"> and</w:t>
      </w:r>
      <w:r>
        <w:t xml:space="preserve"> that are valuable to some advertisers?</w:t>
      </w:r>
    </w:p>
    <w:p w:rsidR="00F541A7" w:rsidP="009B45F4" w14:paraId="370CC4D7" w14:textId="74F52A05">
      <w:pPr>
        <w:pStyle w:val="ParaNum"/>
        <w:widowControl/>
        <w:numPr>
          <w:ilvl w:val="0"/>
          <w:numId w:val="3"/>
        </w:numPr>
        <w:tabs>
          <w:tab w:val="num" w:pos="720"/>
          <w:tab w:val="clear" w:pos="1080"/>
          <w:tab w:val="num" w:pos="1440"/>
        </w:tabs>
        <w:snapToGrid w:val="0"/>
      </w:pPr>
      <w:r>
        <w:rPr>
          <w:bCs/>
          <w:szCs w:val="22"/>
        </w:rPr>
        <w:t xml:space="preserve">While </w:t>
      </w:r>
      <w:r w:rsidR="008E6B19">
        <w:rPr>
          <w:bCs/>
          <w:szCs w:val="22"/>
        </w:rPr>
        <w:t xml:space="preserve">the </w:t>
      </w:r>
      <w:r w:rsidR="006C217E">
        <w:rPr>
          <w:bCs/>
          <w:szCs w:val="22"/>
        </w:rPr>
        <w:t>considerable</w:t>
      </w:r>
      <w:r w:rsidR="00F54CDE">
        <w:rPr>
          <w:bCs/>
          <w:szCs w:val="22"/>
        </w:rPr>
        <w:t xml:space="preserve"> expansion of options for accessing video content has benefited</w:t>
      </w:r>
      <w:r w:rsidRPr="00955B90">
        <w:rPr>
          <w:bCs/>
          <w:szCs w:val="22"/>
        </w:rPr>
        <w:t xml:space="preserve"> </w:t>
      </w:r>
      <w:r w:rsidR="00C21368">
        <w:rPr>
          <w:bCs/>
          <w:szCs w:val="22"/>
        </w:rPr>
        <w:t>viewers</w:t>
      </w:r>
      <w:r>
        <w:rPr>
          <w:bCs/>
          <w:szCs w:val="22"/>
        </w:rPr>
        <w:t>,</w:t>
      </w:r>
      <w:r>
        <w:t xml:space="preserve"> t</w:t>
      </w:r>
      <w:r w:rsidR="004B4389">
        <w:t>o what extent do</w:t>
      </w:r>
      <w:r>
        <w:t xml:space="preserve"> such developments </w:t>
      </w:r>
      <w:r w:rsidR="004E0947">
        <w:t xml:space="preserve">make it more difficult for broadcast television </w:t>
      </w:r>
      <w:r w:rsidR="00AE2AB9">
        <w:t xml:space="preserve">stations </w:t>
      </w:r>
      <w:r w:rsidR="004E0947">
        <w:t xml:space="preserve">to </w:t>
      </w:r>
      <w:r w:rsidR="00AE2AB9">
        <w:t>serve their local communities</w:t>
      </w:r>
      <w:r w:rsidR="00FA27DB">
        <w:t>?</w:t>
      </w:r>
      <w:r>
        <w:t xml:space="preserve">  </w:t>
      </w:r>
      <w:r w:rsidR="00D142D6">
        <w:t xml:space="preserve">Are there reasons to differentiate among markets by the size of the DMA?  </w:t>
      </w:r>
      <w:r w:rsidR="004E0947">
        <w:t xml:space="preserve">Should </w:t>
      </w:r>
      <w:r>
        <w:t xml:space="preserve">the Local Television Ownership Rule </w:t>
      </w:r>
      <w:r w:rsidR="004E0947">
        <w:t xml:space="preserve">still </w:t>
      </w:r>
      <w:r>
        <w:t>aim to foster a variety of broadcast television station owners in a local market</w:t>
      </w:r>
      <w:r w:rsidR="004E0947">
        <w:t xml:space="preserve"> </w:t>
      </w:r>
      <w:r w:rsidR="007F60FF">
        <w:t xml:space="preserve">without taking the </w:t>
      </w:r>
      <w:r w:rsidR="004E0947">
        <w:t>larger video landscape into consideration?</w:t>
      </w:r>
      <w:r>
        <w:t xml:space="preserve">  Accordingly, </w:t>
      </w:r>
      <w:r w:rsidR="004E0947">
        <w:t xml:space="preserve">we seek comment on </w:t>
      </w:r>
      <w:r w:rsidR="007F60FF">
        <w:t xml:space="preserve">whether </w:t>
      </w:r>
      <w:r>
        <w:t xml:space="preserve">broadcast television stations </w:t>
      </w:r>
      <w:r w:rsidR="004E0947">
        <w:t xml:space="preserve">are </w:t>
      </w:r>
      <w:r>
        <w:t>spurred by competing local stations</w:t>
      </w:r>
      <w:r w:rsidR="004E0947">
        <w:rPr>
          <w:szCs w:val="22"/>
        </w:rPr>
        <w:t xml:space="preserve"> </w:t>
      </w:r>
      <w:r>
        <w:t>to produce benefits for consumers (e.g., more choice, better quality, innovation, reinvestment in stations, or technology improvements)</w:t>
      </w:r>
      <w:r w:rsidR="007F60FF">
        <w:t>.</w:t>
      </w:r>
      <w:r>
        <w:t xml:space="preserve">  </w:t>
      </w:r>
      <w:r w:rsidR="004E0947">
        <w:t xml:space="preserve">We also seek comment on whether and how non-broadcast sources </w:t>
      </w:r>
      <w:r w:rsidR="007F60FF">
        <w:t xml:space="preserve">affect </w:t>
      </w:r>
      <w:r w:rsidR="004E0947">
        <w:t xml:space="preserve">broadcast television </w:t>
      </w:r>
      <w:r w:rsidR="007F60FF">
        <w:t xml:space="preserve">stations’ ability </w:t>
      </w:r>
      <w:r w:rsidR="004E0947">
        <w:t>to produce benefits for consumers.</w:t>
      </w:r>
      <w:r>
        <w:rPr>
          <w:rStyle w:val="FootnoteReference"/>
        </w:rPr>
        <w:footnoteReference w:id="75"/>
      </w:r>
      <w:r w:rsidR="004E0947">
        <w:t xml:space="preserve">  </w:t>
      </w:r>
      <w:r>
        <w:t xml:space="preserve">In what ways are </w:t>
      </w:r>
      <w:r w:rsidR="004E0947">
        <w:t xml:space="preserve">broadcast television stations </w:t>
      </w:r>
      <w:r>
        <w:t xml:space="preserve">spurred to produce more local programming, respond to local issues, or offer new or </w:t>
      </w:r>
      <w:r>
        <w:t xml:space="preserve">different viewpoints within the local marketplace?  Are there direct metrics or appropriate proxies by which we can measure and assess the levels of these responses or their trends over time?     </w:t>
      </w:r>
    </w:p>
    <w:p w:rsidR="00F9024A" w:rsidRPr="00F9024A" w:rsidP="007168B6" w14:paraId="7FE84DBC" w14:textId="63B8734B">
      <w:pPr>
        <w:pStyle w:val="ParaNum"/>
        <w:numPr>
          <w:ilvl w:val="0"/>
          <w:numId w:val="3"/>
        </w:numPr>
        <w:tabs>
          <w:tab w:val="num" w:pos="720"/>
          <w:tab w:val="clear" w:pos="1080"/>
          <w:tab w:val="num" w:pos="1440"/>
        </w:tabs>
        <w:snapToGrid w:val="0"/>
      </w:pPr>
      <w:r>
        <w:t>Broadcast commenters assert that the competitive pressures from non-broadcast sources of video programming would more than suffice to incentivize them to continue producing content that serves consumers and their communities.</w:t>
      </w:r>
      <w:r>
        <w:rPr>
          <w:rStyle w:val="FootnoteReference"/>
        </w:rPr>
        <w:footnoteReference w:id="76"/>
      </w:r>
      <w:r>
        <w:t xml:space="preserve">  However, consumer advocacy interest groups consistently maintain that the ownership limits for television prevent consumer harm.</w:t>
      </w:r>
      <w:r>
        <w:rPr>
          <w:rStyle w:val="FootnoteReference"/>
        </w:rPr>
        <w:footnoteReference w:id="77"/>
      </w:r>
      <w:r>
        <w:t xml:space="preserve">  We seek comment on whether, how, and to what extent viewers continue to be served by television stations at the local community level.  We also seek comment on whether there is any correlation between consolidation and investment by broadcasters back into their local station operations.</w:t>
      </w:r>
      <w:r>
        <w:rPr>
          <w:rStyle w:val="FootnoteReference"/>
        </w:rPr>
        <w:footnoteReference w:id="78"/>
      </w:r>
      <w:r>
        <w:t xml:space="preserve">  Do </w:t>
      </w:r>
      <w:r w:rsidRPr="00817168">
        <w:rPr>
          <w:szCs w:val="22"/>
        </w:rPr>
        <w:t xml:space="preserve">large television ownership groups </w:t>
      </w:r>
      <w:r>
        <w:rPr>
          <w:szCs w:val="22"/>
        </w:rPr>
        <w:t>invest in</w:t>
      </w:r>
      <w:r w:rsidRPr="00817168">
        <w:rPr>
          <w:szCs w:val="22"/>
        </w:rPr>
        <w:t xml:space="preserve"> locally focused programming</w:t>
      </w:r>
      <w:r>
        <w:rPr>
          <w:szCs w:val="22"/>
        </w:rPr>
        <w:t>,</w:t>
      </w:r>
      <w:r w:rsidRPr="00817168">
        <w:rPr>
          <w:szCs w:val="22"/>
        </w:rPr>
        <w:t xml:space="preserve"> national </w:t>
      </w:r>
      <w:r>
        <w:rPr>
          <w:szCs w:val="22"/>
        </w:rPr>
        <w:t>and</w:t>
      </w:r>
      <w:r w:rsidRPr="00817168">
        <w:rPr>
          <w:szCs w:val="22"/>
        </w:rPr>
        <w:t xml:space="preserve"> regional </w:t>
      </w:r>
      <w:r>
        <w:rPr>
          <w:szCs w:val="22"/>
        </w:rPr>
        <w:t>content, or both</w:t>
      </w:r>
      <w:r w:rsidRPr="00817168">
        <w:rPr>
          <w:szCs w:val="22"/>
        </w:rPr>
        <w:t>?</w:t>
      </w:r>
      <w:r>
        <w:rPr>
          <w:rStyle w:val="FootnoteReference"/>
          <w:szCs w:val="22"/>
        </w:rPr>
        <w:footnoteReference w:id="79"/>
      </w:r>
      <w:r w:rsidR="007554C2">
        <w:rPr>
          <w:szCs w:val="22"/>
        </w:rPr>
        <w:t xml:space="preserve">  </w:t>
      </w:r>
      <w:r w:rsidR="00D142D6">
        <w:rPr>
          <w:szCs w:val="22"/>
        </w:rPr>
        <w:t xml:space="preserve">How do these factors differ </w:t>
      </w:r>
      <w:r w:rsidR="00D142D6">
        <w:t>by the size of a DMA?</w:t>
      </w:r>
    </w:p>
    <w:p w:rsidR="00F541A7" w:rsidP="008128BB" w14:paraId="0DFB1924" w14:textId="268831AF">
      <w:pPr>
        <w:pStyle w:val="ParaNum"/>
        <w:numPr>
          <w:ilvl w:val="0"/>
          <w:numId w:val="3"/>
        </w:numPr>
        <w:tabs>
          <w:tab w:val="num" w:pos="720"/>
          <w:tab w:val="clear" w:pos="1080"/>
          <w:tab w:val="num" w:pos="1440"/>
        </w:tabs>
        <w:snapToGrid w:val="0"/>
      </w:pPr>
      <w:r>
        <w:t>We recognize the many challenges faced by the broadcast television industry</w:t>
      </w:r>
      <w:r w:rsidR="00DF3200">
        <w:t xml:space="preserve"> but also note that</w:t>
      </w:r>
      <w:r w:rsidR="00426918">
        <w:t>,</w:t>
      </w:r>
      <w:r w:rsidR="00DF3200">
        <w:t xml:space="preserve"> throughout all of the changes in the video marketplace, the one constant that remains is the duty of broadcast licensees to serve the public interest</w:t>
      </w:r>
      <w:r>
        <w:t xml:space="preserve">.  </w:t>
      </w:r>
      <w:r w:rsidR="001800EB">
        <w:t xml:space="preserve">How are </w:t>
      </w:r>
      <w:r>
        <w:t xml:space="preserve">the challenges today different in nature or scope </w:t>
      </w:r>
      <w:r w:rsidR="001800EB">
        <w:t xml:space="preserve">from the various challenges </w:t>
      </w:r>
      <w:r>
        <w:t xml:space="preserve">the industry has endured </w:t>
      </w:r>
      <w:r w:rsidR="001800EB">
        <w:t xml:space="preserve">or adapted to </w:t>
      </w:r>
      <w:r>
        <w:t>over the decades</w:t>
      </w:r>
      <w:r w:rsidR="001800EB">
        <w:t>?  Can</w:t>
      </w:r>
      <w:r>
        <w:t xml:space="preserve"> alleviating pressures faced by television broadcasters through deregulatory measures </w:t>
      </w:r>
      <w:r w:rsidR="0019754C">
        <w:t>promote</w:t>
      </w:r>
      <w:r w:rsidR="001800EB">
        <w:t xml:space="preserve"> the interests of</w:t>
      </w:r>
      <w:r>
        <w:t xml:space="preserve"> </w:t>
      </w:r>
      <w:r w:rsidR="00D31432">
        <w:t>the public</w:t>
      </w:r>
      <w:r w:rsidR="001800EB">
        <w:t>?</w:t>
      </w:r>
      <w:r>
        <w:t xml:space="preserve">  </w:t>
      </w:r>
      <w:r w:rsidR="00407CFB">
        <w:t>In what ways, if any, does</w:t>
      </w:r>
      <w:r>
        <w:t xml:space="preserve"> robust cross-platform competition </w:t>
      </w:r>
      <w:r w:rsidR="00407CFB">
        <w:t>mitigate or alleviate the harms that could flow from</w:t>
      </w:r>
      <w:r>
        <w:t xml:space="preserve"> concentration of </w:t>
      </w:r>
      <w:r w:rsidR="0019754C">
        <w:t xml:space="preserve">broadcast television </w:t>
      </w:r>
      <w:r>
        <w:t>ownership</w:t>
      </w:r>
      <w:r w:rsidR="00407CFB">
        <w:t>?</w:t>
      </w:r>
      <w:r>
        <w:t xml:space="preserve">  </w:t>
      </w:r>
      <w:r w:rsidR="003564A4">
        <w:t>Are there other measures outside of this rulemaking that the Commission could take to allow broadcast licensees to continue serving the public interest while facing robust cross-platform competition?</w:t>
      </w:r>
      <w:r w:rsidR="00A96E37">
        <w:t xml:space="preserve">   </w:t>
      </w:r>
      <w:r w:rsidR="00276784">
        <w:t xml:space="preserve">We </w:t>
      </w:r>
      <w:r>
        <w:t xml:space="preserve">seek comment </w:t>
      </w:r>
      <w:r w:rsidRPr="00F23E70" w:rsidR="00276784">
        <w:t xml:space="preserve">on how developments in the video programming industry </w:t>
      </w:r>
      <w:r w:rsidR="00276784">
        <w:t>a</w:t>
      </w:r>
      <w:r w:rsidRPr="00F23E70" w:rsidR="00276784">
        <w:t xml:space="preserve">ffect whether the Local Television Ownership Rule </w:t>
      </w:r>
      <w:r w:rsidR="0019754C">
        <w:t>remains</w:t>
      </w:r>
      <w:r w:rsidRPr="00F23E70" w:rsidR="00276784">
        <w:t xml:space="preserve"> necessary as a result of competition</w:t>
      </w:r>
      <w:r>
        <w:t xml:space="preserve">.  </w:t>
      </w:r>
    </w:p>
    <w:p w:rsidR="00F541A7" w:rsidP="00DF6A5A" w14:paraId="750026A8" w14:textId="7587E567">
      <w:pPr>
        <w:pStyle w:val="ParaNum"/>
        <w:numPr>
          <w:ilvl w:val="0"/>
          <w:numId w:val="3"/>
        </w:numPr>
        <w:tabs>
          <w:tab w:val="num" w:pos="720"/>
          <w:tab w:val="clear" w:pos="1080"/>
          <w:tab w:val="num" w:pos="1440"/>
        </w:tabs>
        <w:snapToGrid w:val="0"/>
      </w:pPr>
      <w:r>
        <w:t>Broadcast commenters assert that further consolidation is the only viable path for broadcast television stations to maintain their role in providing news and programming to local communities.</w:t>
      </w:r>
      <w:r>
        <w:rPr>
          <w:rStyle w:val="FootnoteReference"/>
        </w:rPr>
        <w:footnoteReference w:id="80"/>
      </w:r>
      <w:r>
        <w:t xml:space="preserve">  We seek comment on whether consolidation has produced verifiable </w:t>
      </w:r>
      <w:r w:rsidR="00A77456">
        <w:t xml:space="preserve">public interest </w:t>
      </w:r>
      <w:r>
        <w:t>benefits</w:t>
      </w:r>
      <w:r w:rsidR="00D142D6">
        <w:t xml:space="preserve"> or harms</w:t>
      </w:r>
      <w:r>
        <w:t xml:space="preserve">.  </w:t>
      </w:r>
      <w:r w:rsidR="00D142D6">
        <w:t xml:space="preserve">Has consolidation resulted in increased content originating outside the communities of license, duplicative news reporting across regions, or reduced coverage of local news and events?  </w:t>
      </w:r>
      <w:r>
        <w:t>Are there metrics that suggest consolidation has resulted in more or better local news</w:t>
      </w:r>
      <w:r w:rsidR="00D142D6">
        <w:t xml:space="preserve"> or are there metrics that suggest the opposite is true</w:t>
      </w:r>
      <w:r w:rsidRPr="007D1F44">
        <w:t>?</w:t>
      </w:r>
      <w:r w:rsidRPr="00607F81" w:rsidR="00BE2EC2">
        <w:t xml:space="preserve">  </w:t>
      </w:r>
      <w:r w:rsidR="00DA1A33">
        <w:t xml:space="preserve">Is there evidence that shows </w:t>
      </w:r>
      <w:r w:rsidR="00D42983">
        <w:t xml:space="preserve">that prior actions by the Commission to </w:t>
      </w:r>
      <w:r w:rsidR="005D7477">
        <w:t xml:space="preserve">loosen or eliminate ownership restrictions </w:t>
      </w:r>
      <w:r w:rsidR="00DA1A33">
        <w:t>resulted in more or better local news</w:t>
      </w:r>
      <w:r w:rsidR="007037C5">
        <w:t xml:space="preserve">, in a way that might help inform </w:t>
      </w:r>
      <w:r w:rsidR="00AE67CD">
        <w:t xml:space="preserve">what might occur in </w:t>
      </w:r>
      <w:r w:rsidR="007037C5">
        <w:t>the broadcast market</w:t>
      </w:r>
      <w:r w:rsidR="00DA1A33">
        <w:t>?</w:t>
      </w:r>
      <w:r w:rsidRPr="00973896" w:rsidR="00BE2EC2">
        <w:rPr>
          <w:kern w:val="0"/>
        </w:rPr>
        <w:t xml:space="preserve">  </w:t>
      </w:r>
      <w:r w:rsidRPr="007D1F44" w:rsidR="00426918">
        <w:rPr>
          <w:kern w:val="0"/>
        </w:rPr>
        <w:t xml:space="preserve">Is the </w:t>
      </w:r>
      <w:r w:rsidRPr="007D1F44" w:rsidR="00804494">
        <w:rPr>
          <w:kern w:val="0"/>
        </w:rPr>
        <w:t xml:space="preserve">broader </w:t>
      </w:r>
      <w:r w:rsidRPr="007D1F44" w:rsidR="00426918">
        <w:rPr>
          <w:kern w:val="0"/>
        </w:rPr>
        <w:t xml:space="preserve">video </w:t>
      </w:r>
      <w:r w:rsidRPr="007D1F44" w:rsidR="00804494">
        <w:rPr>
          <w:kern w:val="0"/>
        </w:rPr>
        <w:t xml:space="preserve">programming </w:t>
      </w:r>
      <w:r w:rsidRPr="007D1F44" w:rsidR="00426918">
        <w:rPr>
          <w:kern w:val="0"/>
        </w:rPr>
        <w:t xml:space="preserve">marketplace competitive enough to act itself as a </w:t>
      </w:r>
      <w:r w:rsidRPr="007D1F44" w:rsidR="00353CD6">
        <w:rPr>
          <w:kern w:val="0"/>
        </w:rPr>
        <w:t>check</w:t>
      </w:r>
      <w:r w:rsidRPr="007D1F44" w:rsidR="00243853">
        <w:rPr>
          <w:kern w:val="0"/>
        </w:rPr>
        <w:t xml:space="preserve"> on</w:t>
      </w:r>
      <w:r w:rsidRPr="007D1F44" w:rsidR="00426918">
        <w:rPr>
          <w:kern w:val="0"/>
        </w:rPr>
        <w:t xml:space="preserve"> </w:t>
      </w:r>
      <w:r w:rsidRPr="007D1F44" w:rsidR="00353CD6">
        <w:rPr>
          <w:kern w:val="0"/>
        </w:rPr>
        <w:t xml:space="preserve">any potential harms from </w:t>
      </w:r>
      <w:r w:rsidRPr="007D1F44" w:rsidR="00426918">
        <w:rPr>
          <w:kern w:val="0"/>
        </w:rPr>
        <w:t>undue concentration</w:t>
      </w:r>
      <w:r w:rsidRPr="007D1F44" w:rsidR="00243853">
        <w:rPr>
          <w:kern w:val="0"/>
        </w:rPr>
        <w:t xml:space="preserve"> that might occur</w:t>
      </w:r>
      <w:r w:rsidRPr="007D1F44" w:rsidR="00426918">
        <w:rPr>
          <w:kern w:val="0"/>
        </w:rPr>
        <w:t xml:space="preserve"> in the absence of television ownership limits?</w:t>
      </w:r>
      <w:r>
        <w:t xml:space="preserve">  </w:t>
      </w:r>
      <w:r w:rsidR="007B62C8">
        <w:t xml:space="preserve">Given that </w:t>
      </w:r>
      <w:r w:rsidRPr="00DF6A5A" w:rsidR="00DF6A5A">
        <w:t>many</w:t>
      </w:r>
      <w:r w:rsidR="00605F8B">
        <w:t xml:space="preserve"> </w:t>
      </w:r>
      <w:r w:rsidR="007B62C8">
        <w:t>broadcast television stations earn a significant share of revenue from retransmission consent payments from multichannel video programming distributors (MVPDs),</w:t>
      </w:r>
      <w:r>
        <w:rPr>
          <w:rStyle w:val="FootnoteReference"/>
        </w:rPr>
        <w:footnoteReference w:id="81"/>
      </w:r>
      <w:r w:rsidR="007B62C8">
        <w:t xml:space="preserve"> should any effect on these payments resulting from a change in the Local </w:t>
      </w:r>
      <w:r w:rsidR="007B62C8">
        <w:t>Television Ownership Rule be included in the Commission’s public interest analysis?</w:t>
      </w:r>
      <w:r w:rsidR="00605F8B">
        <w:t xml:space="preserve">  </w:t>
      </w:r>
      <w:r w:rsidRPr="00DF6A5A" w:rsidR="00DF6A5A">
        <w:t>And if so, how should the Commission account for the share of these revenues that are paid by the station back to the national networks?</w:t>
      </w:r>
      <w:r w:rsidR="008128BB">
        <w:t xml:space="preserve"> </w:t>
      </w:r>
      <w:r w:rsidR="00D142D6">
        <w:t xml:space="preserve"> Should such payments be considered differently than other payments for content and, if so, why?</w:t>
      </w:r>
    </w:p>
    <w:p w:rsidR="00DD56C5" w:rsidRPr="002F4AC8" w:rsidP="00730695" w14:paraId="21D7FE28" w14:textId="61D480B7">
      <w:pPr>
        <w:pStyle w:val="ParaNum"/>
        <w:numPr>
          <w:ilvl w:val="0"/>
          <w:numId w:val="3"/>
        </w:numPr>
        <w:tabs>
          <w:tab w:val="num" w:pos="720"/>
          <w:tab w:val="clear" w:pos="1080"/>
          <w:tab w:val="num" w:pos="1440"/>
        </w:tabs>
        <w:snapToGrid w:val="0"/>
      </w:pPr>
      <w:r>
        <w:rPr>
          <w:i/>
        </w:rPr>
        <w:t>Local Television Ownership Limits</w:t>
      </w:r>
      <w:r w:rsidR="00F541A7">
        <w:t>.</w:t>
      </w:r>
      <w:r w:rsidR="00AF3AC1">
        <w:t xml:space="preserve">  I</w:t>
      </w:r>
      <w:r w:rsidRPr="00973896" w:rsidR="00AF3AC1">
        <w:t xml:space="preserve">f the Commission determines that broadcast </w:t>
      </w:r>
      <w:r w:rsidR="00AF3AC1">
        <w:t>television</w:t>
      </w:r>
      <w:r w:rsidRPr="00973896" w:rsidR="00AF3AC1">
        <w:t xml:space="preserve"> ownership limits remain necessary in the public interest</w:t>
      </w:r>
      <w:r w:rsidR="00AF3AC1">
        <w:t xml:space="preserve"> as the result of competition</w:t>
      </w:r>
      <w:r w:rsidRPr="00973896" w:rsidR="00AF3AC1">
        <w:t>,</w:t>
      </w:r>
      <w:r w:rsidR="00F541A7">
        <w:t xml:space="preserve"> </w:t>
      </w:r>
      <w:r w:rsidR="00AF3AC1">
        <w:t xml:space="preserve">we seek comment on whether </w:t>
      </w:r>
      <w:r w:rsidR="003A0390">
        <w:t xml:space="preserve">the </w:t>
      </w:r>
      <w:r w:rsidR="00B11A7D">
        <w:t xml:space="preserve">existing </w:t>
      </w:r>
      <w:r w:rsidR="007F28BB">
        <w:t>components of the rule</w:t>
      </w:r>
      <w:r w:rsidR="00453A4C">
        <w:t xml:space="preserve"> </w:t>
      </w:r>
      <w:r w:rsidR="007F28BB">
        <w:t xml:space="preserve">are appropriately set. </w:t>
      </w:r>
      <w:r w:rsidR="00517585">
        <w:t xml:space="preserve"> </w:t>
      </w:r>
      <w:r w:rsidR="009340CC">
        <w:t xml:space="preserve">With respect to the </w:t>
      </w:r>
      <w:r w:rsidR="002E4EA7">
        <w:t xml:space="preserve">existing </w:t>
      </w:r>
      <w:r w:rsidR="00D623C9">
        <w:t xml:space="preserve">limit </w:t>
      </w:r>
      <w:r w:rsidR="00040FE1">
        <w:t>of</w:t>
      </w:r>
      <w:r w:rsidR="00683095">
        <w:t xml:space="preserve"> two stations per Nielsen DMA, </w:t>
      </w:r>
      <w:r w:rsidR="00A330CE">
        <w:t>should the Commission retain, modify, or eliminate th</w:t>
      </w:r>
      <w:r w:rsidR="00B22047">
        <w:t>at</w:t>
      </w:r>
      <w:r w:rsidR="00A330CE">
        <w:t xml:space="preserve"> limit?  T</w:t>
      </w:r>
      <w:r w:rsidR="00E6319A">
        <w:t>o what extent, if at all, does the limit curtail the ability of broadcast television stations to serve the public interest</w:t>
      </w:r>
      <w:r w:rsidR="00482A74">
        <w:t>?</w:t>
      </w:r>
      <w:r w:rsidR="00E6319A">
        <w:t xml:space="preserve">  </w:t>
      </w:r>
      <w:r w:rsidR="00482A74">
        <w:t>W</w:t>
      </w:r>
      <w:r w:rsidR="00306D8B">
        <w:t xml:space="preserve">hat </w:t>
      </w:r>
      <w:r w:rsidR="00232DE1">
        <w:t xml:space="preserve">benefits or </w:t>
      </w:r>
      <w:r w:rsidR="00306D8B">
        <w:t>harms, if any</w:t>
      </w:r>
      <w:r w:rsidR="00D623C9">
        <w:t>,</w:t>
      </w:r>
      <w:r w:rsidR="00306D8B">
        <w:t xml:space="preserve"> </w:t>
      </w:r>
      <w:r w:rsidR="00482A74">
        <w:t xml:space="preserve">to competition, localism, or viewpoint diversity </w:t>
      </w:r>
      <w:r w:rsidR="00306D8B">
        <w:t xml:space="preserve">would </w:t>
      </w:r>
      <w:r w:rsidR="002F41DA">
        <w:t xml:space="preserve">be likely to </w:t>
      </w:r>
      <w:r w:rsidR="00232DE1">
        <w:t>accrue</w:t>
      </w:r>
      <w:r w:rsidR="002F41DA">
        <w:t xml:space="preserve"> if the Commission loosened or eliminated the limit</w:t>
      </w:r>
      <w:r w:rsidR="00232DE1">
        <w:t>?</w:t>
      </w:r>
      <w:r w:rsidR="004B63CA">
        <w:t xml:space="preserve">  </w:t>
      </w:r>
      <w:r w:rsidR="00AF56A0">
        <w:t xml:space="preserve">How should the Commission measure or balance those benefits or harms?  </w:t>
      </w:r>
      <w:r w:rsidR="00804494">
        <w:t xml:space="preserve">We </w:t>
      </w:r>
      <w:r w:rsidRPr="00804494" w:rsidR="00804494">
        <w:t>ask commenters to provide supporting evidence and economic analysis to the extent possible</w:t>
      </w:r>
      <w:r w:rsidR="00804494">
        <w:t xml:space="preserve">.  </w:t>
      </w:r>
      <w:r w:rsidR="004B63CA">
        <w:t xml:space="preserve">Should the Commission consider </w:t>
      </w:r>
      <w:r w:rsidR="008C0554">
        <w:t xml:space="preserve">either </w:t>
      </w:r>
      <w:r w:rsidR="004B63CA">
        <w:t xml:space="preserve">adopting case-by-case flexibility for </w:t>
      </w:r>
      <w:r w:rsidR="00BA2FCE">
        <w:t xml:space="preserve">the </w:t>
      </w:r>
      <w:r w:rsidR="004B63CA">
        <w:t xml:space="preserve">review of transactions </w:t>
      </w:r>
      <w:r w:rsidR="009F6D6A">
        <w:t xml:space="preserve">involving ownership of a third station in a local market </w:t>
      </w:r>
      <w:r w:rsidR="004B63CA">
        <w:t xml:space="preserve">or </w:t>
      </w:r>
      <w:r w:rsidR="00BC5846">
        <w:t xml:space="preserve">establishing </w:t>
      </w:r>
      <w:r w:rsidR="009F6D6A">
        <w:t xml:space="preserve">a </w:t>
      </w:r>
      <w:r w:rsidR="004B63CA">
        <w:t xml:space="preserve">presumption in favor of granting ownership of a third station </w:t>
      </w:r>
      <w:r w:rsidR="009F6D6A">
        <w:t>under</w:t>
      </w:r>
      <w:r w:rsidR="004B63CA">
        <w:t xml:space="preserve"> certain circumstances</w:t>
      </w:r>
      <w:r w:rsidR="001B2117">
        <w:t>?</w:t>
      </w:r>
      <w:r w:rsidR="00BC5846">
        <w:t xml:space="preserve">  </w:t>
      </w:r>
      <w:r w:rsidRPr="00BC5846" w:rsidR="005B07BD">
        <w:rPr>
          <w:bCs/>
          <w:szCs w:val="22"/>
        </w:rPr>
        <w:t>Should the same numerical limit be applied across all television markets, or should the limit be based on market size or tiers as it is with the Local Radio Ownership Rule?</w:t>
      </w:r>
      <w:r w:rsidR="008128BB">
        <w:rPr>
          <w:bCs/>
          <w:szCs w:val="22"/>
        </w:rPr>
        <w:t xml:space="preserve"> </w:t>
      </w:r>
      <w:r w:rsidR="00D142D6">
        <w:rPr>
          <w:bCs/>
          <w:szCs w:val="22"/>
        </w:rPr>
        <w:t xml:space="preserve"> </w:t>
      </w:r>
      <w:r w:rsidR="00D142D6">
        <w:t xml:space="preserve">Are there other actions the Commission could take to minimize or limit potential harms from reduced viewpoint diversity?  </w:t>
      </w:r>
      <w:r w:rsidR="00DD236B">
        <w:t xml:space="preserve">Has </w:t>
      </w:r>
      <w:r w:rsidR="007977DE">
        <w:t xml:space="preserve">the </w:t>
      </w:r>
      <w:r w:rsidR="00DD236B">
        <w:t>grandfathering o</w:t>
      </w:r>
      <w:r w:rsidR="002C715C">
        <w:t xml:space="preserve">f existing combinations of broadcast stations under prior versions of the rules </w:t>
      </w:r>
      <w:r w:rsidR="0044477B">
        <w:t xml:space="preserve">produced advantages for those </w:t>
      </w:r>
      <w:r w:rsidR="003736AB">
        <w:t xml:space="preserve">grandfathered </w:t>
      </w:r>
      <w:r w:rsidR="0044477B">
        <w:t xml:space="preserve">stations that are not </w:t>
      </w:r>
      <w:r w:rsidR="00532D51">
        <w:t>available to new entrants under the current restrictions</w:t>
      </w:r>
      <w:r w:rsidR="006829B6">
        <w:rPr>
          <w:bCs/>
          <w:szCs w:val="22"/>
        </w:rPr>
        <w:t>?</w:t>
      </w:r>
    </w:p>
    <w:p w:rsidR="00F541A7" w:rsidP="00314973" w14:paraId="763E1992" w14:textId="77777777">
      <w:pPr>
        <w:pStyle w:val="Heading2"/>
      </w:pPr>
      <w:bookmarkStart w:id="142" w:name="_Toc147923073"/>
      <w:bookmarkStart w:id="143" w:name="_Toc150243944"/>
      <w:bookmarkStart w:id="144" w:name="_Toc156913555"/>
      <w:bookmarkStart w:id="145" w:name="_Toc202958361"/>
      <w:bookmarkEnd w:id="106"/>
      <w:bookmarkEnd w:id="107"/>
      <w:bookmarkEnd w:id="108"/>
      <w:bookmarkEnd w:id="109"/>
      <w:bookmarkEnd w:id="110"/>
      <w:bookmarkEnd w:id="111"/>
      <w:bookmarkEnd w:id="112"/>
      <w:bookmarkEnd w:id="113"/>
      <w:bookmarkEnd w:id="114"/>
      <w:r>
        <w:t>Dual Network Rule</w:t>
      </w:r>
      <w:bookmarkEnd w:id="142"/>
      <w:bookmarkEnd w:id="143"/>
      <w:bookmarkEnd w:id="144"/>
      <w:bookmarkEnd w:id="145"/>
    </w:p>
    <w:p w:rsidR="00F541A7" w:rsidP="00F541A7" w14:paraId="4767FC76" w14:textId="0AF82E21">
      <w:pPr>
        <w:pStyle w:val="Heading3"/>
      </w:pPr>
      <w:bookmarkStart w:id="146" w:name="_Toc532379633"/>
      <w:bookmarkStart w:id="147" w:name="_Toc119934591"/>
      <w:bookmarkStart w:id="148" w:name="_Toc119934946"/>
      <w:bookmarkStart w:id="149" w:name="_Toc119936959"/>
      <w:bookmarkStart w:id="150" w:name="_Toc119937156"/>
      <w:bookmarkStart w:id="151" w:name="_Toc119937315"/>
      <w:bookmarkStart w:id="152" w:name="_Toc119937391"/>
      <w:bookmarkStart w:id="153" w:name="_Toc119937435"/>
      <w:bookmarkStart w:id="154" w:name="_Toc119937482"/>
      <w:bookmarkStart w:id="155" w:name="_Toc119937550"/>
      <w:bookmarkStart w:id="156" w:name="_Toc147923075"/>
      <w:bookmarkStart w:id="157" w:name="_Toc150243946"/>
      <w:bookmarkStart w:id="158" w:name="_Toc156913557"/>
      <w:bookmarkStart w:id="159" w:name="_Toc202958363"/>
      <w:r>
        <w:t>Background</w:t>
      </w:r>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p>
    <w:p w:rsidR="00F541A7" w:rsidP="007168B6" w14:paraId="7B4D0F9C" w14:textId="77777777">
      <w:pPr>
        <w:pStyle w:val="ParaNum"/>
        <w:numPr>
          <w:ilvl w:val="0"/>
          <w:numId w:val="3"/>
        </w:numPr>
        <w:tabs>
          <w:tab w:val="num" w:pos="720"/>
          <w:tab w:val="clear" w:pos="1080"/>
          <w:tab w:val="num" w:pos="1440"/>
        </w:tabs>
        <w:snapToGrid w:val="0"/>
      </w:pPr>
      <w:r>
        <w:t xml:space="preserve">The Dual Network Rule provides that “[a] television broadcast station may affiliate with a person or entity that maintains two or more networks of television broadcast stations </w:t>
      </w:r>
      <w:r w:rsidRPr="005742FD">
        <w:rPr>
          <w:i/>
        </w:rPr>
        <w:t>unless</w:t>
      </w:r>
      <w:r>
        <w:t xml:space="preserve"> such dual or multiple networks are composed of two or more persons or entities that, on February 8, 1996, were ‘networks’ as defined in § 73.3613(a)(1) of the Commission’s regulations (that is, ABC, CBS, Fox and NBC).”</w:t>
      </w:r>
      <w:r>
        <w:rPr>
          <w:rStyle w:val="FootnoteReference"/>
        </w:rPr>
        <w:footnoteReference w:id="82"/>
      </w:r>
      <w:r>
        <w:t xml:space="preserve">  The rule, therefore, permits common ownership of multiple broadcast networks by a single entity, but effectively prohibits a merger between or among any of the Big Four networks, </w:t>
      </w:r>
      <w:r w:rsidRPr="004F16FC">
        <w:rPr>
          <w:iCs/>
        </w:rPr>
        <w:t>i.e</w:t>
      </w:r>
      <w:r w:rsidRPr="00B27C71">
        <w:rPr>
          <w:iCs/>
        </w:rPr>
        <w:t>.,</w:t>
      </w:r>
      <w:r>
        <w:t xml:space="preserve"> ABC, CBS, FOX, and NBC.</w:t>
      </w:r>
      <w:r>
        <w:rPr>
          <w:rStyle w:val="FootnoteReference"/>
        </w:rPr>
        <w:footnoteReference w:id="83"/>
      </w:r>
      <w:r>
        <w:t xml:space="preserve">  </w:t>
      </w:r>
    </w:p>
    <w:p w:rsidR="00F541A7" w:rsidP="007168B6" w14:paraId="565CBE38" w14:textId="11DBE276">
      <w:pPr>
        <w:pStyle w:val="ParaNum"/>
        <w:numPr>
          <w:ilvl w:val="0"/>
          <w:numId w:val="3"/>
        </w:numPr>
        <w:tabs>
          <w:tab w:val="num" w:pos="720"/>
          <w:tab w:val="clear" w:pos="1080"/>
          <w:tab w:val="num" w:pos="1440"/>
        </w:tabs>
        <w:snapToGrid w:val="0"/>
      </w:pPr>
      <w:bookmarkStart w:id="160" w:name="_Toc532379634"/>
      <w:r w:rsidRPr="006375D2">
        <w:t xml:space="preserve">In the </w:t>
      </w:r>
      <w:r w:rsidRPr="00CE7FEF">
        <w:rPr>
          <w:i/>
        </w:rPr>
        <w:t xml:space="preserve">2018 Quadrennial Review Order, </w:t>
      </w:r>
      <w:r>
        <w:rPr>
          <w:iCs/>
        </w:rPr>
        <w:t>the Commission</w:t>
      </w:r>
      <w:r>
        <w:t xml:space="preserve"> concluded that, </w:t>
      </w:r>
      <w:r w:rsidRPr="00CE7FEF">
        <w:rPr>
          <w:snapToGrid/>
          <w:bdr w:val="none" w:sz="0" w:space="0" w:color="auto" w:frame="1"/>
          <w:shd w:val="clear" w:color="auto" w:fill="FFFFFF"/>
        </w:rPr>
        <w:t xml:space="preserve">despite intervening marketplace developments, the Dual Network Rule remains necessary in the public interest </w:t>
      </w:r>
      <w:r w:rsidRPr="00CE7FEF">
        <w:rPr>
          <w:snapToGrid/>
          <w:bdr w:val="none" w:sz="0" w:space="0" w:color="auto" w:frame="1"/>
          <w:shd w:val="clear" w:color="auto" w:fill="FFFFFF"/>
        </w:rPr>
        <w:t xml:space="preserve">because </w:t>
      </w:r>
      <w:r>
        <w:rPr>
          <w:snapToGrid/>
          <w:bdr w:val="none" w:sz="0" w:space="0" w:color="auto" w:frame="1"/>
          <w:shd w:val="clear" w:color="auto" w:fill="FFFFFF"/>
        </w:rPr>
        <w:t>it</w:t>
      </w:r>
      <w:r w:rsidRPr="00CE7FEF">
        <w:rPr>
          <w:snapToGrid/>
          <w:bdr w:val="none" w:sz="0" w:space="0" w:color="auto" w:frame="1"/>
          <w:shd w:val="clear" w:color="auto" w:fill="FFFFFF"/>
        </w:rPr>
        <w:t xml:space="preserve"> advance</w:t>
      </w:r>
      <w:r>
        <w:rPr>
          <w:snapToGrid/>
          <w:bdr w:val="none" w:sz="0" w:space="0" w:color="auto" w:frame="1"/>
          <w:shd w:val="clear" w:color="auto" w:fill="FFFFFF"/>
        </w:rPr>
        <w:t>s</w:t>
      </w:r>
      <w:r w:rsidRPr="00CE7FEF">
        <w:rPr>
          <w:snapToGrid/>
          <w:bdr w:val="none" w:sz="0" w:space="0" w:color="auto" w:frame="1"/>
          <w:shd w:val="clear" w:color="auto" w:fill="FFFFFF"/>
        </w:rPr>
        <w:t xml:space="preserve"> the </w:t>
      </w:r>
      <w:r w:rsidRPr="007168B6">
        <w:t>agency’s</w:t>
      </w:r>
      <w:r w:rsidRPr="00CE7FEF">
        <w:rPr>
          <w:snapToGrid/>
          <w:bdr w:val="none" w:sz="0" w:space="0" w:color="auto" w:frame="1"/>
          <w:shd w:val="clear" w:color="auto" w:fill="FFFFFF"/>
        </w:rPr>
        <w:t xml:space="preserve"> core policy objectives of competition and localism.</w:t>
      </w:r>
      <w:r>
        <w:rPr>
          <w:rStyle w:val="FootnoteReference"/>
          <w:snapToGrid/>
          <w:bdr w:val="none" w:sz="0" w:space="0" w:color="auto" w:frame="1"/>
          <w:shd w:val="clear" w:color="auto" w:fill="FFFFFF"/>
        </w:rPr>
        <w:footnoteReference w:id="84"/>
      </w:r>
      <w:r w:rsidRPr="00CE7FEF">
        <w:rPr>
          <w:snapToGrid/>
          <w:bdr w:val="none" w:sz="0" w:space="0" w:color="auto" w:frame="1"/>
          <w:shd w:val="clear" w:color="auto" w:fill="FFFFFF"/>
        </w:rPr>
        <w:t xml:space="preserve">  In particular, </w:t>
      </w:r>
      <w:r>
        <w:rPr>
          <w:snapToGrid/>
          <w:bdr w:val="none" w:sz="0" w:space="0" w:color="auto" w:frame="1"/>
          <w:shd w:val="clear" w:color="auto" w:fill="FFFFFF"/>
        </w:rPr>
        <w:t>the Commission</w:t>
      </w:r>
      <w:r>
        <w:t xml:space="preserve"> found, consistent with past findings, that the Dual Network Rule promotes competition in the </w:t>
      </w:r>
      <w:r w:rsidRPr="00481471">
        <w:t xml:space="preserve">provision of </w:t>
      </w:r>
      <w:r w:rsidRPr="00CE7FEF">
        <w:rPr>
          <w:szCs w:val="22"/>
        </w:rPr>
        <w:t xml:space="preserve">programming </w:t>
      </w:r>
      <w:r>
        <w:rPr>
          <w:szCs w:val="22"/>
        </w:rPr>
        <w:t>intended</w:t>
      </w:r>
      <w:r w:rsidRPr="00CE7FEF">
        <w:rPr>
          <w:szCs w:val="22"/>
        </w:rPr>
        <w:t xml:space="preserve"> for large national audiences</w:t>
      </w:r>
      <w:r w:rsidRPr="00481471">
        <w:t xml:space="preserve"> and the sale of national advertising time</w:t>
      </w:r>
      <w:r>
        <w:rPr>
          <w:rStyle w:val="FootnoteReference"/>
        </w:rPr>
        <w:footnoteReference w:id="85"/>
      </w:r>
      <w:r>
        <w:t xml:space="preserve"> </w:t>
      </w:r>
      <w:r w:rsidR="006D6ACD">
        <w:t xml:space="preserve">as well as </w:t>
      </w:r>
      <w:r>
        <w:t xml:space="preserve">fosters localism by preserving the balance of bargaining power </w:t>
      </w:r>
      <w:r w:rsidRPr="00C408AB">
        <w:t xml:space="preserve">between </w:t>
      </w:r>
      <w:r>
        <w:t xml:space="preserve">the Big Four broadcast </w:t>
      </w:r>
      <w:r w:rsidRPr="00C408AB">
        <w:t>networks and the</w:t>
      </w:r>
      <w:r>
        <w:t>ir</w:t>
      </w:r>
      <w:r w:rsidRPr="00C408AB">
        <w:t xml:space="preserve"> respective affiliate groups.</w:t>
      </w:r>
      <w:r>
        <w:rPr>
          <w:rStyle w:val="FootnoteReference"/>
        </w:rPr>
        <w:footnoteReference w:id="86"/>
      </w:r>
    </w:p>
    <w:p w:rsidR="00F541A7" w:rsidRPr="006D2E14" w:rsidP="00F541A7" w14:paraId="3EFA4F92" w14:textId="77777777">
      <w:pPr>
        <w:pStyle w:val="Heading3"/>
      </w:pPr>
      <w:bookmarkStart w:id="161" w:name="_Toc119934592"/>
      <w:bookmarkStart w:id="162" w:name="_Toc119934947"/>
      <w:bookmarkStart w:id="163" w:name="_Toc119936960"/>
      <w:bookmarkStart w:id="164" w:name="_Toc119937157"/>
      <w:bookmarkStart w:id="165" w:name="_Toc119937316"/>
      <w:bookmarkStart w:id="166" w:name="_Toc119937392"/>
      <w:bookmarkStart w:id="167" w:name="_Toc119937436"/>
      <w:bookmarkStart w:id="168" w:name="_Toc119937483"/>
      <w:bookmarkStart w:id="169" w:name="_Toc119937551"/>
      <w:bookmarkStart w:id="170" w:name="_Toc147923076"/>
      <w:bookmarkStart w:id="171" w:name="_Toc150243947"/>
      <w:bookmarkStart w:id="172" w:name="_Toc156913558"/>
      <w:bookmarkStart w:id="173" w:name="_Toc202958364"/>
      <w:r>
        <w:t>Discussion</w:t>
      </w:r>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p>
    <w:p w:rsidR="00F33043" w:rsidRPr="00F33043" w:rsidP="004067DD" w14:paraId="23CB7D17" w14:textId="64BDB4C7">
      <w:pPr>
        <w:pStyle w:val="ParaNum"/>
        <w:numPr>
          <w:ilvl w:val="0"/>
          <w:numId w:val="3"/>
        </w:numPr>
        <w:tabs>
          <w:tab w:val="num" w:pos="720"/>
          <w:tab w:val="clear" w:pos="1080"/>
          <w:tab w:val="num" w:pos="1440"/>
        </w:tabs>
        <w:snapToGrid w:val="0"/>
        <w:rPr>
          <w:u w:val="single"/>
        </w:rPr>
      </w:pPr>
      <w:r>
        <w:t xml:space="preserve">We seek comment on whether the Dual Network Rule remains necessary to promote the Commission’s public interest goals of competition, localism, and viewpoint diversity.  </w:t>
      </w:r>
      <w:r w:rsidRPr="00CB1FC2">
        <w:rPr>
          <w:snapToGrid/>
        </w:rPr>
        <w:t>In previous assessments of the Dual Network Rule, the Commission generally has viewed the Big Four networks as participating in the marketplace in two principal ways: (1) by aggregating and distributing a collection of programming intended for large, national audiences; and (2) by selling blocks of advertising time to entities wishing to target ads to large, national audiences.</w:t>
      </w:r>
      <w:r>
        <w:rPr>
          <w:rStyle w:val="FootnoteReference"/>
          <w:snapToGrid/>
        </w:rPr>
        <w:footnoteReference w:id="87"/>
      </w:r>
      <w:r>
        <w:rPr>
          <w:snapToGrid/>
        </w:rPr>
        <w:t xml:space="preserve">  T</w:t>
      </w:r>
      <w:r w:rsidRPr="00CB1FC2">
        <w:rPr>
          <w:snapToGrid/>
        </w:rPr>
        <w:t>he Commission found that competition among the Big Four networks for audience share and advertising revenues advanced the public interest by incentivizing each of those networks to create and distribute the most appealing, innovative, and high-quality programming to consumers.</w:t>
      </w:r>
      <w:r>
        <w:rPr>
          <w:rStyle w:val="FootnoteReference"/>
          <w:snapToGrid/>
        </w:rPr>
        <w:footnoteReference w:id="88"/>
      </w:r>
      <w:r w:rsidRPr="00CB1FC2">
        <w:rPr>
          <w:snapToGrid/>
        </w:rPr>
        <w:t xml:space="preserve">  </w:t>
      </w:r>
      <w:r>
        <w:rPr>
          <w:snapToGrid/>
        </w:rPr>
        <w:t>The Commission</w:t>
      </w:r>
      <w:r w:rsidRPr="00CB1FC2">
        <w:rPr>
          <w:snapToGrid/>
        </w:rPr>
        <w:t xml:space="preserve"> further determined that a merger of two or more Big Four networks would reduce competition along these dimensions and enable the networks to create barriers to market entry.</w:t>
      </w:r>
      <w:r>
        <w:rPr>
          <w:rStyle w:val="FootnoteReference"/>
          <w:snapToGrid/>
        </w:rPr>
        <w:footnoteReference w:id="89"/>
      </w:r>
      <w:r w:rsidR="00F74510">
        <w:rPr>
          <w:snapToGrid/>
        </w:rPr>
        <w:t xml:space="preserve">  </w:t>
      </w:r>
      <w:r w:rsidRPr="002709E1" w:rsidR="00F74510">
        <w:rPr>
          <w:snapToGrid/>
        </w:rPr>
        <w:t>The Commission arrived at this conclusion by analyzing data that show the Big Four broadcast networks are in a</w:t>
      </w:r>
      <w:r w:rsidR="00F74510">
        <w:rPr>
          <w:snapToGrid/>
        </w:rPr>
        <w:t xml:space="preserve"> c</w:t>
      </w:r>
      <w:r w:rsidRPr="002709E1" w:rsidR="00F74510">
        <w:rPr>
          <w:snapToGrid/>
        </w:rPr>
        <w:t>lass of their own when it comes to producing national programming and selling national advertising time</w:t>
      </w:r>
      <w:r w:rsidR="00F74510">
        <w:rPr>
          <w:snapToGrid/>
        </w:rPr>
        <w:t xml:space="preserve"> as compared to the other broadcast and cable networks.</w:t>
      </w:r>
      <w:r>
        <w:rPr>
          <w:rStyle w:val="FootnoteReference"/>
          <w:snapToGrid/>
        </w:rPr>
        <w:footnoteReference w:id="90"/>
      </w:r>
      <w:r w:rsidRPr="00235851" w:rsidR="00F541A7">
        <w:rPr>
          <w:snapToGrid/>
        </w:rPr>
        <w:t xml:space="preserve">  </w:t>
      </w:r>
    </w:p>
    <w:p w:rsidR="00F541A7" w:rsidRPr="001E05DB" w:rsidP="007168B6" w14:paraId="508AA828" w14:textId="36FE42A4">
      <w:pPr>
        <w:pStyle w:val="ParaNum"/>
        <w:numPr>
          <w:ilvl w:val="0"/>
          <w:numId w:val="3"/>
        </w:numPr>
        <w:tabs>
          <w:tab w:val="num" w:pos="720"/>
          <w:tab w:val="clear" w:pos="1080"/>
          <w:tab w:val="num" w:pos="1440"/>
        </w:tabs>
        <w:snapToGrid w:val="0"/>
      </w:pPr>
      <w:r>
        <w:t xml:space="preserve">We seek comment on metrics that best reflect the nature and scope of competition by or among the Big Four networks.  In response to the </w:t>
      </w:r>
      <w:r>
        <w:rPr>
          <w:i/>
          <w:iCs/>
        </w:rPr>
        <w:t>2022 Quadrennial Review Public Notice</w:t>
      </w:r>
      <w:r>
        <w:t>, Network Commenters contend that the Big Four networks are no longer unique within the larger media landscape—particularly with respect to video entertainment programming and national advertising—and therefore maintaining a rule specific to the networks no longer makes sense.</w:t>
      </w:r>
      <w:r>
        <w:rPr>
          <w:rStyle w:val="FootnoteReference"/>
        </w:rPr>
        <w:footnoteReference w:id="91"/>
      </w:r>
      <w:r>
        <w:t xml:space="preserve">  We seek comment on this position. </w:t>
      </w:r>
      <w:r w:rsidR="0064055A">
        <w:t>What impact does network dominance have on consumer choice?</w:t>
      </w:r>
      <w:r>
        <w:t xml:space="preserve">   Does the Big Four networks’ historical or continued dominance in certain categories give them unique or outsized leverage in negotiations with the owners or producers of certain content?</w:t>
      </w:r>
      <w:r w:rsidR="0064055A">
        <w:t xml:space="preserve"> </w:t>
      </w:r>
      <w:r w:rsidR="00A96E37">
        <w:t xml:space="preserve"> </w:t>
      </w:r>
      <w:r>
        <w:t>Would</w:t>
      </w:r>
      <w:r w:rsidR="0064055A">
        <w:t xml:space="preserve"> </w:t>
      </w:r>
      <w:r>
        <w:t>such leverage change with a merger between two of these networks, and what would any such change mean for viewers?</w:t>
      </w:r>
    </w:p>
    <w:p w:rsidR="00F541A7" w:rsidP="007168B6" w14:paraId="7261E756" w14:textId="5546713A">
      <w:pPr>
        <w:pStyle w:val="ParaNum"/>
        <w:numPr>
          <w:ilvl w:val="0"/>
          <w:numId w:val="3"/>
        </w:numPr>
        <w:tabs>
          <w:tab w:val="num" w:pos="720"/>
          <w:tab w:val="clear" w:pos="1080"/>
          <w:tab w:val="num" w:pos="1440"/>
        </w:tabs>
        <w:snapToGrid w:val="0"/>
      </w:pPr>
      <w:r>
        <w:t>Additionally, we seek comment on the role the Big Four networks play in the advertising marketplace and what impact it has on consumers.  As has existed in the past, does there remain a meaningful disparity in advertising rates between Big Four networks and other programming networks?</w:t>
      </w:r>
      <w:r>
        <w:rPr>
          <w:rStyle w:val="FootnoteReference"/>
        </w:rPr>
        <w:footnoteReference w:id="92"/>
      </w:r>
      <w:r w:rsidR="00EC775C">
        <w:t xml:space="preserve"> Is looking at audience size and ad revenue data enough to compare the Big Four rates to other programming networks?</w:t>
      </w:r>
      <w:r>
        <w:t xml:space="preserve">  If not, what data</w:t>
      </w:r>
      <w:r w:rsidR="00EC775C">
        <w:t xml:space="preserve"> sources</w:t>
      </w:r>
      <w:r>
        <w:t xml:space="preserve"> bear that out?  Is this a relevant metric to use?  If not, why not?</w:t>
      </w:r>
    </w:p>
    <w:p w:rsidR="00F541A7" w:rsidRPr="001F6E96" w:rsidP="007168B6" w14:paraId="30F4C228" w14:textId="5F9646ED">
      <w:pPr>
        <w:pStyle w:val="ParaNum"/>
        <w:numPr>
          <w:ilvl w:val="0"/>
          <w:numId w:val="3"/>
        </w:numPr>
        <w:tabs>
          <w:tab w:val="num" w:pos="720"/>
          <w:tab w:val="clear" w:pos="1080"/>
          <w:tab w:val="num" w:pos="1440"/>
        </w:tabs>
        <w:snapToGrid w:val="0"/>
        <w:rPr>
          <w:szCs w:val="22"/>
        </w:rPr>
      </w:pPr>
      <w:r>
        <w:t xml:space="preserve">Along similar lines, we seek comment on whether the </w:t>
      </w:r>
      <w:r w:rsidRPr="00A1260B">
        <w:t xml:space="preserve">Big Four networks </w:t>
      </w:r>
      <w:r>
        <w:t>remain a “</w:t>
      </w:r>
      <w:r w:rsidRPr="00A1260B">
        <w:t>unique and discrete group</w:t>
      </w:r>
      <w:r>
        <w:t xml:space="preserve">” within the larger marketplace as measured by their net advertising </w:t>
      </w:r>
      <w:r>
        <w:t>revenues.</w:t>
      </w:r>
      <w:r>
        <w:rPr>
          <w:rStyle w:val="FootnoteReference"/>
        </w:rPr>
        <w:footnoteReference w:id="93"/>
      </w:r>
      <w:r>
        <w:t xml:space="preserve">  Does there persist a meaningful disparity </w:t>
      </w:r>
      <w:r w:rsidRPr="00130928">
        <w:t>between the net advertising revenue</w:t>
      </w:r>
      <w:r>
        <w:t>s</w:t>
      </w:r>
      <w:r w:rsidRPr="00130928">
        <w:t xml:space="preserve"> of the Big Four </w:t>
      </w:r>
      <w:r>
        <w:t>networks and other broadcast and cable networks?</w:t>
      </w:r>
      <w:r>
        <w:rPr>
          <w:rStyle w:val="FootnoteReference"/>
        </w:rPr>
        <w:footnoteReference w:id="94"/>
      </w:r>
      <w:r>
        <w:t xml:space="preserve">  To the extent that the most recent data reflect a continuing disparity in net advertising revenues between the Big Four networks and other networks, does such data support a finding that the Big Four networks remain more attractive to advertisers seeking consistent, national audiences than other programming networks and thus continue to operate as a “strategic group” in the national advertising market?  Does competition for advertisers among the Big Four networks spur them to act in ways that serve the public interest?</w:t>
      </w:r>
      <w:r>
        <w:rPr>
          <w:rStyle w:val="FootnoteReference"/>
        </w:rPr>
        <w:footnoteReference w:id="95"/>
      </w:r>
      <w:r w:rsidRPr="00FD2A3C">
        <w:t xml:space="preserve">  </w:t>
      </w:r>
    </w:p>
    <w:p w:rsidR="00F541A7" w:rsidRPr="007D1B10" w:rsidP="007168B6" w14:paraId="38C9525F" w14:textId="0A729FDB">
      <w:pPr>
        <w:pStyle w:val="ParaNum"/>
        <w:numPr>
          <w:ilvl w:val="0"/>
          <w:numId w:val="3"/>
        </w:numPr>
        <w:tabs>
          <w:tab w:val="num" w:pos="720"/>
          <w:tab w:val="clear" w:pos="1080"/>
          <w:tab w:val="num" w:pos="1440"/>
        </w:tabs>
        <w:snapToGrid w:val="0"/>
        <w:rPr>
          <w:szCs w:val="22"/>
        </w:rPr>
      </w:pPr>
      <w:r>
        <w:rPr>
          <w:szCs w:val="22"/>
        </w:rPr>
        <w:t>O</w:t>
      </w:r>
      <w:r w:rsidRPr="00FF7887">
        <w:t xml:space="preserve">ne of the </w:t>
      </w:r>
      <w:r>
        <w:t xml:space="preserve">most significant marketplace developments in recent decades </w:t>
      </w:r>
      <w:r w:rsidRPr="00FF7887">
        <w:t xml:space="preserve">has been </w:t>
      </w:r>
      <w:r>
        <w:t xml:space="preserve">the </w:t>
      </w:r>
      <w:r w:rsidRPr="00FF7887">
        <w:t xml:space="preserve">online distribution of programming from a </w:t>
      </w:r>
      <w:r>
        <w:t xml:space="preserve">multiplicity </w:t>
      </w:r>
      <w:r w:rsidRPr="00FF7887">
        <w:t xml:space="preserve">of sources.  </w:t>
      </w:r>
      <w:r>
        <w:t>Network Commenters point out that online video distributors now devote large budgets to creating original programming for online distribution and such programming is increasingly drawing larger numbers of viewers and/or views.</w:t>
      </w:r>
      <w:r>
        <w:rPr>
          <w:rStyle w:val="FootnoteReference"/>
        </w:rPr>
        <w:footnoteReference w:id="96"/>
      </w:r>
      <w:r>
        <w:t xml:space="preserve">  The largest among these online video providers currently </w:t>
      </w:r>
      <w:r w:rsidRPr="00FF7887">
        <w:t>reach millions of consumers</w:t>
      </w:r>
      <w:r>
        <w:t>, and d</w:t>
      </w:r>
      <w:r w:rsidRPr="00FF7887">
        <w:t xml:space="preserve">igital advertising on these </w:t>
      </w:r>
      <w:r>
        <w:t xml:space="preserve">and </w:t>
      </w:r>
      <w:r w:rsidRPr="00FF7887">
        <w:t xml:space="preserve">other online platforms </w:t>
      </w:r>
      <w:r>
        <w:t>has risen steadily.</w:t>
      </w:r>
      <w:r>
        <w:rPr>
          <w:rStyle w:val="FootnoteReference"/>
        </w:rPr>
        <w:footnoteReference w:id="97"/>
      </w:r>
      <w:r>
        <w:t xml:space="preserve">  How, if at all, have online video distributors changed the marketplace for programming intended for large, national audiences?  Are there ratings or other metrics the Commission could use to adequately compare the programming of online video distributors to that of the networks?  </w:t>
      </w:r>
      <w:r w:rsidR="007037C5">
        <w:t>Are there instances of online video distribut</w:t>
      </w:r>
      <w:r w:rsidR="00CF77BC">
        <w:t>o</w:t>
      </w:r>
      <w:r w:rsidR="007037C5">
        <w:t xml:space="preserve">rs acting in a way to serve the public interest, similar to the requirement that broadcasters have? </w:t>
      </w:r>
      <w:r w:rsidR="004A0C67">
        <w:t xml:space="preserve"> </w:t>
      </w:r>
      <w:r>
        <w:t>Notably, the Big Four networks now also own their own online video distribution platforms.  How, if it at all, should their ownership of these platforms factor into our evaluation of the Dual Network Rule and its relationship to our public interest goals?</w:t>
      </w:r>
      <w:r w:rsidR="00B06368">
        <w:t xml:space="preserve"> </w:t>
      </w:r>
    </w:p>
    <w:p w:rsidR="0071021F" w:rsidP="002E3B99" w14:paraId="1E69D830" w14:textId="77777777">
      <w:pPr>
        <w:pStyle w:val="ParaNum"/>
        <w:numPr>
          <w:ilvl w:val="0"/>
          <w:numId w:val="3"/>
        </w:numPr>
        <w:tabs>
          <w:tab w:val="num" w:pos="720"/>
          <w:tab w:val="clear" w:pos="1080"/>
          <w:tab w:val="num" w:pos="1440"/>
        </w:tabs>
        <w:snapToGrid w:val="0"/>
      </w:pPr>
      <w:r>
        <w:t>In addition, h</w:t>
      </w:r>
      <w:r w:rsidRPr="00FF7887">
        <w:t>ow, if at all, ha</w:t>
      </w:r>
      <w:r>
        <w:t xml:space="preserve">s the increase in national advertising via online platforms </w:t>
      </w:r>
      <w:r w:rsidRPr="00FF7887">
        <w:t>affected competition for advertising</w:t>
      </w:r>
      <w:r>
        <w:t xml:space="preserve"> revenues by and among the Big Four networks</w:t>
      </w:r>
      <w:r w:rsidRPr="00FF7887">
        <w:t>?</w:t>
      </w:r>
      <w:r>
        <w:rPr>
          <w:rStyle w:val="FootnoteReference"/>
        </w:rPr>
        <w:footnoteReference w:id="98"/>
      </w:r>
      <w:r w:rsidRPr="00FF7887">
        <w:t xml:space="preserve">  </w:t>
      </w:r>
      <w:r>
        <w:t>How, if at all, should the increase in national advertising revenues earned by online platforms (and the concomitant relevant or absolute decrease in such revenues earned by broadcast networks, if any) factor in to our assessment of whether the Dual Network Rule remains necessary in the public interest as the result of competition?  Previously, the Commission found that</w:t>
      </w:r>
      <w:r w:rsidRPr="003F05B8">
        <w:t xml:space="preserve"> </w:t>
      </w:r>
      <w:r>
        <w:t>Big Four broadcast networks offer a unique advertising product that reaches the largest audience possible.</w:t>
      </w:r>
      <w:r>
        <w:rPr>
          <w:rStyle w:val="FootnoteReference"/>
        </w:rPr>
        <w:footnoteReference w:id="99"/>
      </w:r>
      <w:r>
        <w:t xml:space="preserve">  Do online video distributors sell advertising time in linear programming in a manner that competes with the advertising opportunities afforded by Big Four broadcast networks, or do advertisers see those platforms as serving a different market or providing a different product?  Further, how, if at all, should any other marketplace developments (e.g., the growth of </w:t>
      </w:r>
      <w:r>
        <w:t>diginets</w:t>
      </w:r>
      <w:r>
        <w:t>) factor into our analysis of the rule?</w:t>
      </w:r>
      <w:r>
        <w:rPr>
          <w:rStyle w:val="FootnoteReference"/>
        </w:rPr>
        <w:footnoteReference w:id="100"/>
      </w:r>
    </w:p>
    <w:p w:rsidR="00F13899" w:rsidP="002E3B99" w14:paraId="5D975C76" w14:textId="16E8BE59">
      <w:pPr>
        <w:pStyle w:val="ParaNum"/>
        <w:numPr>
          <w:ilvl w:val="0"/>
          <w:numId w:val="3"/>
        </w:numPr>
        <w:tabs>
          <w:tab w:val="num" w:pos="720"/>
          <w:tab w:val="clear" w:pos="1080"/>
          <w:tab w:val="num" w:pos="1440"/>
        </w:tabs>
        <w:snapToGrid w:val="0"/>
      </w:pPr>
      <w:r>
        <w:t>To the extent the metrics above reflect competition among the Big Four networks, in what ways, specifically, do viewers benefit from such competition?  What would be lost and how, if at all, would viewers be harmed if the industry had fewer independently owned Big Four networks?  While there may be other entities that compete with aspects of what the Big Four networks offer—in terms of sports or other live events, national news, or entertainment programming—are there any entities that currently, and consistently, provide, or that have a similar well-established track record of providing, the amalgam of offerings provided by the Big Four broadcast networks?</w:t>
      </w:r>
      <w:r w:rsidR="00E31DF2">
        <w:t xml:space="preserve"> </w:t>
      </w:r>
    </w:p>
    <w:p w:rsidR="00F13899" w:rsidRPr="001F6E96" w:rsidP="00F13899" w14:paraId="12C30F75" w14:textId="77777777">
      <w:pPr>
        <w:pStyle w:val="ParaNum"/>
        <w:numPr>
          <w:ilvl w:val="0"/>
          <w:numId w:val="3"/>
        </w:numPr>
        <w:tabs>
          <w:tab w:val="num" w:pos="720"/>
          <w:tab w:val="clear" w:pos="1080"/>
          <w:tab w:val="num" w:pos="1440"/>
        </w:tabs>
        <w:snapToGrid w:val="0"/>
        <w:rPr>
          <w:szCs w:val="22"/>
        </w:rPr>
      </w:pPr>
      <w:r w:rsidRPr="00533879">
        <w:rPr>
          <w:szCs w:val="22"/>
        </w:rPr>
        <w:t xml:space="preserve">We </w:t>
      </w:r>
      <w:r>
        <w:rPr>
          <w:szCs w:val="22"/>
        </w:rPr>
        <w:t xml:space="preserve">also </w:t>
      </w:r>
      <w:r w:rsidRPr="00785F89">
        <w:t>seek</w:t>
      </w:r>
      <w:r w:rsidRPr="00533879">
        <w:rPr>
          <w:szCs w:val="22"/>
        </w:rPr>
        <w:t xml:space="preserve"> comment on whether the Dual Network Rule remains necessary to </w:t>
      </w:r>
      <w:r>
        <w:rPr>
          <w:szCs w:val="22"/>
        </w:rPr>
        <w:t>advance</w:t>
      </w:r>
      <w:r w:rsidRPr="00533879">
        <w:rPr>
          <w:szCs w:val="22"/>
        </w:rPr>
        <w:t xml:space="preserve"> the Commission</w:t>
      </w:r>
      <w:r>
        <w:rPr>
          <w:szCs w:val="22"/>
        </w:rPr>
        <w:t>’</w:t>
      </w:r>
      <w:r w:rsidRPr="00533879">
        <w:rPr>
          <w:szCs w:val="22"/>
        </w:rPr>
        <w:t xml:space="preserve">s </w:t>
      </w:r>
      <w:r>
        <w:rPr>
          <w:szCs w:val="22"/>
        </w:rPr>
        <w:t xml:space="preserve">longstanding </w:t>
      </w:r>
      <w:r w:rsidRPr="00533879">
        <w:rPr>
          <w:szCs w:val="22"/>
        </w:rPr>
        <w:t xml:space="preserve">policy goal of localism.  </w:t>
      </w:r>
      <w:r w:rsidRPr="00B529C9">
        <w:rPr>
          <w:szCs w:val="22"/>
        </w:rPr>
        <w:t>To maximize their national audience, the Big Four networks traditionally have acquired their own local broadcast stations (typically in the largest television markets) and entered into affiliation agreements with station owners throughout the rest of the country.  Through this affiliation model, the Big Four networks have benefitted by obtaining wide scale delivery of their programming; network affiliates have benefitted by obtaining access to high-quality network programming.</w:t>
      </w:r>
      <w:r>
        <w:rPr>
          <w:rStyle w:val="FootnoteReference"/>
          <w:szCs w:val="22"/>
        </w:rPr>
        <w:footnoteReference w:id="101"/>
      </w:r>
      <w:r w:rsidRPr="00B529C9">
        <w:rPr>
          <w:szCs w:val="22"/>
        </w:rPr>
        <w:t xml:space="preserve">  </w:t>
      </w:r>
      <w:r>
        <w:rPr>
          <w:szCs w:val="22"/>
        </w:rPr>
        <w:t>T</w:t>
      </w:r>
      <w:r w:rsidRPr="00533879">
        <w:rPr>
          <w:szCs w:val="22"/>
        </w:rPr>
        <w:t xml:space="preserve">elevision viewers </w:t>
      </w:r>
      <w:r>
        <w:t>benefit from localism to the extent that their network-affiliated, local television stations have latitude to preempt national, network programming in favor of local programming that is of greater value or importance to them and to create programming that serves local needs and interests.</w:t>
      </w:r>
      <w:r>
        <w:rPr>
          <w:rStyle w:val="FootnoteReference"/>
        </w:rPr>
        <w:footnoteReference w:id="102"/>
      </w:r>
      <w:r>
        <w:t xml:space="preserve">  As the Commission has explained, this</w:t>
      </w:r>
      <w:r w:rsidRPr="00FD2A3C">
        <w:t xml:space="preserve"> network-affiliate model </w:t>
      </w:r>
      <w:r>
        <w:t xml:space="preserve">has long sought to </w:t>
      </w:r>
      <w:r w:rsidRPr="00FD2A3C">
        <w:t xml:space="preserve">balance </w:t>
      </w:r>
      <w:r>
        <w:t>two competing interests:  that of broadcast</w:t>
      </w:r>
      <w:r w:rsidRPr="00FD2A3C">
        <w:t xml:space="preserve"> networks</w:t>
      </w:r>
      <w:r>
        <w:t xml:space="preserve">, which are </w:t>
      </w:r>
      <w:r w:rsidRPr="00FD2A3C">
        <w:t>economic</w:t>
      </w:r>
      <w:r>
        <w:t>ally motivated</w:t>
      </w:r>
      <w:r w:rsidRPr="00FD2A3C">
        <w:t xml:space="preserve"> to ensure that </w:t>
      </w:r>
      <w:r>
        <w:t>their programming appeals to a</w:t>
      </w:r>
      <w:r w:rsidRPr="00FD2A3C">
        <w:t xml:space="preserve"> nation</w:t>
      </w:r>
      <w:r>
        <w:t>wide</w:t>
      </w:r>
      <w:r w:rsidRPr="00FD2A3C">
        <w:t xml:space="preserve"> audience an</w:t>
      </w:r>
      <w:r>
        <w:t xml:space="preserve">d is carried broadly by affiliates; and that of local network </w:t>
      </w:r>
      <w:r w:rsidRPr="00FD2A3C">
        <w:t xml:space="preserve">affiliates, </w:t>
      </w:r>
      <w:r>
        <w:t xml:space="preserve">which are </w:t>
      </w:r>
      <w:r w:rsidRPr="00FD2A3C">
        <w:t>economic</w:t>
      </w:r>
      <w:r>
        <w:t>ally</w:t>
      </w:r>
      <w:r w:rsidRPr="00FD2A3C">
        <w:t xml:space="preserve"> </w:t>
      </w:r>
      <w:r>
        <w:t xml:space="preserve">motivated </w:t>
      </w:r>
      <w:r w:rsidRPr="00FD2A3C">
        <w:t xml:space="preserve">to </w:t>
      </w:r>
      <w:r>
        <w:t xml:space="preserve">attract </w:t>
      </w:r>
      <w:r w:rsidRPr="00FD2A3C">
        <w:t xml:space="preserve">viewers and advertising dollars by tailoring </w:t>
      </w:r>
      <w:r>
        <w:t xml:space="preserve">their </w:t>
      </w:r>
      <w:r w:rsidRPr="00FD2A3C">
        <w:t>programming to local audiences.</w:t>
      </w:r>
      <w:r>
        <w:rPr>
          <w:rStyle w:val="FootnoteReference"/>
        </w:rPr>
        <w:footnoteReference w:id="103"/>
      </w:r>
      <w:r w:rsidRPr="00FD2A3C">
        <w:t xml:space="preserve">  </w:t>
      </w:r>
    </w:p>
    <w:p w:rsidR="00F13899" w:rsidRPr="007D1B10" w:rsidP="00F13899" w14:paraId="6034C741" w14:textId="6D69E514">
      <w:pPr>
        <w:pStyle w:val="ParaNum"/>
        <w:numPr>
          <w:ilvl w:val="0"/>
          <w:numId w:val="3"/>
        </w:numPr>
        <w:tabs>
          <w:tab w:val="num" w:pos="720"/>
          <w:tab w:val="clear" w:pos="1080"/>
          <w:tab w:val="num" w:pos="1440"/>
        </w:tabs>
        <w:snapToGrid w:val="0"/>
        <w:rPr>
          <w:szCs w:val="22"/>
        </w:rPr>
      </w:pPr>
      <w:r>
        <w:t xml:space="preserve">In the context of this network-affiliate model, we seek comment on whether, by virtue of the Dual Network Rule, having four independently owned networks remains necessary in the public </w:t>
      </w:r>
      <w:r>
        <w:rPr>
          <w:szCs w:val="22"/>
        </w:rPr>
        <w:t xml:space="preserve">interest to preserve or promote localism.  For example, as some commenters have suggested, would repealing or modifying the rule harm </w:t>
      </w:r>
      <w:r w:rsidRPr="00533879">
        <w:rPr>
          <w:szCs w:val="22"/>
        </w:rPr>
        <w:t xml:space="preserve">local viewers by strengthening the leverage that Big Four networks exert over their local </w:t>
      </w:r>
      <w:r>
        <w:rPr>
          <w:szCs w:val="22"/>
        </w:rPr>
        <w:t>station affiliates,</w:t>
      </w:r>
      <w:r w:rsidRPr="00533879">
        <w:rPr>
          <w:szCs w:val="22"/>
        </w:rPr>
        <w:t xml:space="preserve"> </w:t>
      </w:r>
      <w:r>
        <w:rPr>
          <w:szCs w:val="22"/>
        </w:rPr>
        <w:t xml:space="preserve">thereby </w:t>
      </w:r>
      <w:r w:rsidRPr="00533879">
        <w:rPr>
          <w:szCs w:val="22"/>
        </w:rPr>
        <w:t>reduc</w:t>
      </w:r>
      <w:r>
        <w:rPr>
          <w:szCs w:val="22"/>
        </w:rPr>
        <w:t xml:space="preserve">ing </w:t>
      </w:r>
      <w:r w:rsidRPr="00533879">
        <w:rPr>
          <w:szCs w:val="22"/>
        </w:rPr>
        <w:t xml:space="preserve">the power of such affiliates to influence network programming decisions or </w:t>
      </w:r>
      <w:r>
        <w:rPr>
          <w:szCs w:val="22"/>
        </w:rPr>
        <w:t xml:space="preserve">to </w:t>
      </w:r>
      <w:r w:rsidRPr="00533879">
        <w:rPr>
          <w:szCs w:val="22"/>
        </w:rPr>
        <w:t>act independently and in a manner that best serves their local communities</w:t>
      </w:r>
      <w:r>
        <w:rPr>
          <w:szCs w:val="22"/>
        </w:rPr>
        <w:t>?</w:t>
      </w:r>
      <w:r>
        <w:rPr>
          <w:rStyle w:val="FootnoteReference"/>
          <w:szCs w:val="22"/>
        </w:rPr>
        <w:footnoteReference w:id="104"/>
      </w:r>
      <w:r w:rsidRPr="00533879">
        <w:rPr>
          <w:szCs w:val="22"/>
        </w:rPr>
        <w:t xml:space="preserve">  </w:t>
      </w:r>
      <w:r>
        <w:rPr>
          <w:szCs w:val="22"/>
        </w:rPr>
        <w:t xml:space="preserve">In addition, </w:t>
      </w:r>
      <w:r w:rsidR="00DF54F6">
        <w:rPr>
          <w:szCs w:val="22"/>
        </w:rPr>
        <w:t>does</w:t>
      </w:r>
      <w:r w:rsidRPr="00533879">
        <w:rPr>
          <w:szCs w:val="22"/>
        </w:rPr>
        <w:t xml:space="preserve"> the Dual Network Rule still </w:t>
      </w:r>
      <w:r w:rsidR="00BE3988">
        <w:rPr>
          <w:szCs w:val="22"/>
        </w:rPr>
        <w:t>give leverage to affiliates who may be in a disagreement with their affiliated Big Four network?</w:t>
      </w:r>
      <w:r w:rsidRPr="00533879" w:rsidR="00BE3988">
        <w:rPr>
          <w:szCs w:val="22"/>
        </w:rPr>
        <w:t xml:space="preserve"> </w:t>
      </w:r>
      <w:r w:rsidR="00BE6A64">
        <w:rPr>
          <w:szCs w:val="22"/>
        </w:rPr>
        <w:t xml:space="preserve"> </w:t>
      </w:r>
      <w:r w:rsidR="00BE3988">
        <w:rPr>
          <w:szCs w:val="22"/>
        </w:rPr>
        <w:t xml:space="preserve">For example, does having </w:t>
      </w:r>
      <w:r w:rsidRPr="000B4E2C" w:rsidR="00BE3988">
        <w:rPr>
          <w:szCs w:val="22"/>
        </w:rPr>
        <w:t xml:space="preserve">alternative </w:t>
      </w:r>
      <w:r w:rsidR="00BE3988">
        <w:rPr>
          <w:szCs w:val="22"/>
        </w:rPr>
        <w:t xml:space="preserve">Big Four </w:t>
      </w:r>
      <w:r w:rsidR="00DE7E6A">
        <w:rPr>
          <w:szCs w:val="22"/>
        </w:rPr>
        <w:t>n</w:t>
      </w:r>
      <w:r w:rsidR="00BE3988">
        <w:rPr>
          <w:szCs w:val="22"/>
        </w:rPr>
        <w:t>etworks</w:t>
      </w:r>
      <w:r w:rsidRPr="000B4E2C" w:rsidR="00BE3988">
        <w:rPr>
          <w:szCs w:val="22"/>
        </w:rPr>
        <w:t xml:space="preserve"> with whom </w:t>
      </w:r>
      <w:r w:rsidR="0041644A">
        <w:rPr>
          <w:szCs w:val="22"/>
        </w:rPr>
        <w:t>they</w:t>
      </w:r>
      <w:r w:rsidRPr="000B4E2C" w:rsidR="00BE3988">
        <w:rPr>
          <w:szCs w:val="22"/>
        </w:rPr>
        <w:t xml:space="preserve"> can seek affiliation</w:t>
      </w:r>
      <w:r w:rsidR="00BE3988">
        <w:rPr>
          <w:szCs w:val="22"/>
        </w:rPr>
        <w:t xml:space="preserve"> give them more bargaining power if they came to a </w:t>
      </w:r>
      <w:r w:rsidRPr="00AB1531" w:rsidR="00BE3988">
        <w:rPr>
          <w:szCs w:val="22"/>
        </w:rPr>
        <w:t xml:space="preserve">negotiating impasse regarding the terms of </w:t>
      </w:r>
      <w:r w:rsidR="0041644A">
        <w:rPr>
          <w:szCs w:val="22"/>
        </w:rPr>
        <w:t>their</w:t>
      </w:r>
      <w:r w:rsidRPr="00AB1531" w:rsidR="00BE3988">
        <w:rPr>
          <w:szCs w:val="22"/>
        </w:rPr>
        <w:t xml:space="preserve"> affiliation</w:t>
      </w:r>
      <w:r w:rsidR="00BE3988">
        <w:rPr>
          <w:szCs w:val="22"/>
        </w:rPr>
        <w:t>?</w:t>
      </w:r>
      <w:r>
        <w:t xml:space="preserve">  What, if any, recent marketplace developments argue in favor of preserving or altering the Dual Network Rule as a necessary check on the ability of Big Four networks to exercise undue power over their affiliates in a way that harms </w:t>
      </w:r>
      <w:r>
        <w:t>consumers?</w:t>
      </w:r>
      <w:r>
        <w:rPr>
          <w:rStyle w:val="FootnoteReference"/>
        </w:rPr>
        <w:footnoteReference w:id="105"/>
      </w:r>
      <w:r>
        <w:t xml:space="preserve">  </w:t>
      </w:r>
      <w:r>
        <w:rPr>
          <w:szCs w:val="22"/>
        </w:rPr>
        <w:t xml:space="preserve">To what extent has </w:t>
      </w:r>
      <w:r w:rsidRPr="007D1B10">
        <w:t>compensation paid by local affiliates to their affiliated Big Four networks (via reverse compensation or otherwise), an issue relevant to our assessment of the networks</w:t>
      </w:r>
      <w:r>
        <w:t>’</w:t>
      </w:r>
      <w:r w:rsidRPr="007D1B10">
        <w:t xml:space="preserve"> present bargaining leverage</w:t>
      </w:r>
      <w:r>
        <w:t>,</w:t>
      </w:r>
      <w:r w:rsidRPr="007D1B10">
        <w:t xml:space="preserve"> </w:t>
      </w:r>
      <w:r>
        <w:t>increased</w:t>
      </w:r>
      <w:r w:rsidRPr="007D1B10">
        <w:t xml:space="preserve"> since our last quadrennial review</w:t>
      </w:r>
      <w:r>
        <w:t>?</w:t>
      </w:r>
      <w:r>
        <w:rPr>
          <w:rStyle w:val="FootnoteReference"/>
        </w:rPr>
        <w:footnoteReference w:id="106"/>
      </w:r>
      <w:r>
        <w:t xml:space="preserve">  How, if at all, do the Big Four networks, or affiliation with the Big Four networks, provide support (economic or otherwise) for the network-affiliate model that has traditionally underpinned broadcast television and fostered a balance between national and local programming carried by local affiliates?  To what extent, if at all, would other, existing network affiliation rules serve to maintain an adequate balance between the networks and their affiliates in the absence of the Dual Network Rule?</w:t>
      </w:r>
      <w:r>
        <w:rPr>
          <w:rStyle w:val="FootnoteReference"/>
        </w:rPr>
        <w:footnoteReference w:id="107"/>
      </w:r>
      <w:r>
        <w:t xml:space="preserve"> </w:t>
      </w:r>
    </w:p>
    <w:p w:rsidR="00F13899" w:rsidP="00F13899" w14:paraId="63CCFAF4" w14:textId="6C35245E">
      <w:pPr>
        <w:pStyle w:val="ParaNum"/>
        <w:numPr>
          <w:ilvl w:val="0"/>
          <w:numId w:val="3"/>
        </w:numPr>
        <w:tabs>
          <w:tab w:val="num" w:pos="720"/>
          <w:tab w:val="clear" w:pos="1080"/>
          <w:tab w:val="num" w:pos="1440"/>
        </w:tabs>
        <w:snapToGrid w:val="0"/>
      </w:pPr>
      <w:r>
        <w:t xml:space="preserve">We also seek comment on whether, and if so how, the rise of online video distribution platforms in recent years has altered the traditional network-affiliate relationship.  </w:t>
      </w:r>
      <w:r w:rsidRPr="00201B0E">
        <w:t xml:space="preserve">As noted above, consumer access to </w:t>
      </w:r>
      <w:r>
        <w:t>online video distributor</w:t>
      </w:r>
      <w:r w:rsidRPr="00201B0E">
        <w:t xml:space="preserve">s is now </w:t>
      </w:r>
      <w:r>
        <w:t xml:space="preserve">largely </w:t>
      </w:r>
      <w:r w:rsidRPr="00201B0E">
        <w:t xml:space="preserve">ubiquitous, </w:t>
      </w:r>
      <w:r>
        <w:t xml:space="preserve">and this development </w:t>
      </w:r>
      <w:r w:rsidRPr="00201B0E">
        <w:t>has enabled broadcast networks</w:t>
      </w:r>
      <w:r>
        <w:t>, including Big Four networks,</w:t>
      </w:r>
      <w:r w:rsidRPr="00201B0E">
        <w:t xml:space="preserve"> to achieve </w:t>
      </w:r>
      <w:r>
        <w:t>widespread</w:t>
      </w:r>
      <w:r w:rsidRPr="00201B0E">
        <w:t xml:space="preserve"> distribution of program content without </w:t>
      </w:r>
      <w:r>
        <w:t>relying on their local network affiliates</w:t>
      </w:r>
      <w:r w:rsidRPr="00201B0E">
        <w:t>.</w:t>
      </w:r>
      <w:r w:rsidRPr="00E460AD">
        <w:rPr>
          <w:i/>
        </w:rPr>
        <w:t xml:space="preserve">  </w:t>
      </w:r>
      <w:r>
        <w:t xml:space="preserve">To what extent, if at all, has the ability of broadcast networks to bypass local affiliates as vehicles for content distribution tilted the balance of bargaining power in favor of broadcast </w:t>
      </w:r>
      <w:r w:rsidRPr="007168B6">
        <w:rPr>
          <w:szCs w:val="22"/>
        </w:rPr>
        <w:t>networks</w:t>
      </w:r>
      <w:r>
        <w:t xml:space="preserve">?  How has this development, or other marketplace developments, affected local network affiliates and consumers?  </w:t>
      </w:r>
      <w:r w:rsidR="004A0C67">
        <w:t xml:space="preserve">Are there examples of online video distribution platforms partnering with local </w:t>
      </w:r>
      <w:r w:rsidR="007A63A9">
        <w:t>broadcasters</w:t>
      </w:r>
      <w:r w:rsidR="004A0C67">
        <w:t xml:space="preserve">? </w:t>
      </w:r>
      <w:r w:rsidR="00A96E37">
        <w:t xml:space="preserve"> </w:t>
      </w:r>
      <w:r w:rsidRPr="00C9287E">
        <w:t xml:space="preserve">What are the implications of </w:t>
      </w:r>
      <w:r>
        <w:t>such</w:t>
      </w:r>
      <w:r w:rsidRPr="00C9287E">
        <w:t xml:space="preserve"> developments for the Dual Network Rule</w:t>
      </w:r>
      <w:r>
        <w:t xml:space="preserve"> and its</w:t>
      </w:r>
      <w:r w:rsidRPr="00C9287E">
        <w:t xml:space="preserve"> localism rationale?</w:t>
      </w:r>
      <w:r w:rsidR="00140814">
        <w:t xml:space="preserve"> </w:t>
      </w:r>
    </w:p>
    <w:p w:rsidR="00596ACF" w:rsidP="00F13899" w14:paraId="49C44386" w14:textId="128623E2">
      <w:pPr>
        <w:pStyle w:val="ParaNum"/>
        <w:numPr>
          <w:ilvl w:val="0"/>
          <w:numId w:val="3"/>
        </w:numPr>
        <w:tabs>
          <w:tab w:val="num" w:pos="720"/>
          <w:tab w:val="clear" w:pos="1080"/>
          <w:tab w:val="num" w:pos="1440"/>
        </w:tabs>
        <w:snapToGrid w:val="0"/>
      </w:pPr>
      <w:r>
        <w:t>To the extent commenters assert that marketplace developments justify revising the Dual Network Rule, we seek comment on what specific changes to the rule are warranted and why.  Should the Commission consider revising the list of networks subject to the Dual Network Rule?  Parties advocating for repeal of the Dual Network Rule should explain how, if at all, antitrust or other statutes, rules, or policies would serve as an adequate backstop to prevent a single owner</w:t>
      </w:r>
      <w:r w:rsidR="00E31DF2">
        <w:t xml:space="preserve"> </w:t>
      </w:r>
      <w:r>
        <w:t>of two or more Big Four networks from engaging in conduct detrimental to the public interest.</w:t>
      </w:r>
      <w:r>
        <w:rPr>
          <w:rStyle w:val="FootnoteReference"/>
        </w:rPr>
        <w:footnoteReference w:id="108"/>
      </w:r>
      <w:r>
        <w:t xml:space="preserve">  How, if at all, would such a review account for public interest benefits, such as increased technical innovation or improved programming?</w:t>
      </w:r>
      <w:r w:rsidRPr="00C9287E" w:rsidR="00F541A7">
        <w:t xml:space="preserve"> </w:t>
      </w:r>
      <w:r w:rsidR="00F541A7">
        <w:t xml:space="preserve"> </w:t>
      </w:r>
    </w:p>
    <w:p w:rsidR="00F541A7" w:rsidP="00F541A7" w14:paraId="095F4034" w14:textId="77777777">
      <w:pPr>
        <w:pStyle w:val="Heading1"/>
        <w:tabs>
          <w:tab w:val="num" w:pos="720"/>
        </w:tabs>
      </w:pPr>
      <w:bookmarkStart w:id="174" w:name="_Toc527713809"/>
      <w:bookmarkStart w:id="175" w:name="_Toc532379636"/>
      <w:bookmarkStart w:id="176" w:name="_Toc532379669"/>
      <w:bookmarkStart w:id="177" w:name="_Toc119934593"/>
      <w:bookmarkStart w:id="178" w:name="_Toc119934948"/>
      <w:bookmarkStart w:id="179" w:name="_Toc119936961"/>
      <w:bookmarkStart w:id="180" w:name="_Toc119937158"/>
      <w:bookmarkStart w:id="181" w:name="_Toc119937317"/>
      <w:bookmarkStart w:id="182" w:name="_Toc119937393"/>
      <w:bookmarkStart w:id="183" w:name="_Toc119937437"/>
      <w:bookmarkStart w:id="184" w:name="_Toc119937484"/>
      <w:bookmarkStart w:id="185" w:name="_Toc119937552"/>
      <w:bookmarkStart w:id="186" w:name="_Toc147923077"/>
      <w:bookmarkStart w:id="187" w:name="_Toc150243949"/>
      <w:bookmarkStart w:id="188" w:name="_Toc156913559"/>
      <w:bookmarkStart w:id="189" w:name="_Toc202958365"/>
      <w:r>
        <w:t>procedural matters</w:t>
      </w:r>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p>
    <w:p w:rsidR="00F541A7" w:rsidRPr="00021F1F" w:rsidP="007168B6" w14:paraId="262EBA2C" w14:textId="77777777">
      <w:pPr>
        <w:pStyle w:val="ParaNum"/>
        <w:numPr>
          <w:ilvl w:val="0"/>
          <w:numId w:val="3"/>
        </w:numPr>
        <w:tabs>
          <w:tab w:val="num" w:pos="720"/>
          <w:tab w:val="clear" w:pos="1080"/>
          <w:tab w:val="num" w:pos="1440"/>
        </w:tabs>
        <w:snapToGrid w:val="0"/>
      </w:pPr>
      <w:r>
        <w:rPr>
          <w:i/>
        </w:rPr>
        <w:t xml:space="preserve">Ex </w:t>
      </w:r>
      <w:r>
        <w:rPr>
          <w:i/>
        </w:rPr>
        <w:t>Parte</w:t>
      </w:r>
      <w:r>
        <w:rPr>
          <w:i/>
        </w:rPr>
        <w:t xml:space="preserve"> Rules</w:t>
      </w:r>
      <w:r w:rsidRPr="00CC142B">
        <w:rPr>
          <w:i/>
        </w:rPr>
        <w:t>—</w:t>
      </w:r>
      <w:r>
        <w:rPr>
          <w:i/>
        </w:rPr>
        <w:t xml:space="preserve">Permit-But-Disclose.  </w:t>
      </w:r>
      <w:bookmarkStart w:id="190" w:name="_Ref481502360"/>
      <w:r w:rsidRPr="00245932">
        <w:t xml:space="preserve">The proceeding </w:t>
      </w:r>
      <w:r>
        <w:t>that this</w:t>
      </w:r>
      <w:r w:rsidRPr="00245932">
        <w:t xml:space="preserve"> Notice of Proposed Rulemaking </w:t>
      </w:r>
      <w:r>
        <w:t xml:space="preserve">initiates </w:t>
      </w:r>
      <w:r w:rsidRPr="00245932">
        <w:t xml:space="preserve">shall be treated as a </w:t>
      </w:r>
      <w:r>
        <w:t>“</w:t>
      </w:r>
      <w:r w:rsidRPr="00245932">
        <w:t>permit-but-disclose</w:t>
      </w:r>
      <w:r>
        <w:t>”</w:t>
      </w:r>
      <w:r w:rsidRPr="00245932">
        <w:t xml:space="preserve"> proceeding in accordance with the Commission</w:t>
      </w:r>
      <w:r>
        <w:t>’</w:t>
      </w:r>
      <w:r w:rsidRPr="00245932">
        <w:t xml:space="preserve">s </w:t>
      </w:r>
      <w:r w:rsidRPr="00245932">
        <w:rPr>
          <w:i/>
        </w:rPr>
        <w:t xml:space="preserve">ex </w:t>
      </w:r>
      <w:r w:rsidRPr="00245932">
        <w:rPr>
          <w:i/>
        </w:rPr>
        <w:t>parte</w:t>
      </w:r>
      <w:r w:rsidRPr="00245932">
        <w:t xml:space="preserve"> rules.</w:t>
      </w:r>
      <w:r>
        <w:rPr>
          <w:rStyle w:val="FootnoteReference"/>
          <w:sz w:val="22"/>
        </w:rPr>
        <w:footnoteReference w:id="109"/>
      </w:r>
      <w:r w:rsidRPr="00245932">
        <w:t xml:space="preserve">  Persons making </w:t>
      </w:r>
      <w:r w:rsidRPr="00245932">
        <w:rPr>
          <w:i/>
        </w:rPr>
        <w:t xml:space="preserve">ex </w:t>
      </w:r>
      <w:r w:rsidRPr="00245932">
        <w:rPr>
          <w:i/>
        </w:rPr>
        <w:t>parte</w:t>
      </w:r>
      <w:r w:rsidRPr="00245932">
        <w:t xml:space="preserve"> presentations must file a copy of any written presentation or a memorandum summarizing any oral presentation within two business days after the presentation (unless a different deadline applicable to the Sunshine period applies).  Persons making oral </w:t>
      </w:r>
      <w:r w:rsidRPr="00245932">
        <w:rPr>
          <w:i/>
        </w:rPr>
        <w:t>ex</w:t>
      </w:r>
      <w:r w:rsidRPr="00245932">
        <w:t xml:space="preserve"> </w:t>
      </w:r>
      <w:r w:rsidRPr="00245932">
        <w:rPr>
          <w:i/>
        </w:rPr>
        <w:t>parte</w:t>
      </w:r>
      <w:r w:rsidRPr="00245932">
        <w:t xml:space="preserve"> presentations are reminded that memoranda summarizing the presentation must (1) list all persons attending or otherwise participating in the meeting at which the </w:t>
      </w:r>
      <w:r w:rsidRPr="00245932">
        <w:rPr>
          <w:i/>
        </w:rPr>
        <w:t>ex</w:t>
      </w:r>
      <w:r w:rsidRPr="00245932">
        <w:t xml:space="preserve"> </w:t>
      </w:r>
      <w:r w:rsidRPr="00245932">
        <w:rPr>
          <w:i/>
        </w:rPr>
        <w:t>parte</w:t>
      </w:r>
      <w:r w:rsidRPr="00245932">
        <w:t xml:space="preserve"> presentation was made, and (2) summarize all data presented and arguments made during the presentation.  If the presentation consisted in whole or in part of the presentation of data or arguments already reflected in the presenter</w:t>
      </w:r>
      <w:r>
        <w:t>’</w:t>
      </w:r>
      <w:r w:rsidRPr="00245932">
        <w:t xml:space="preserve">s </w:t>
      </w:r>
      <w:r w:rsidRPr="00245932">
        <w:t xml:space="preserve">written comments, memoranda or other filings in the proceeding, the presenter may provide citations to such data or arguments in his or her prior comments, memoranda, or other filings (specifying the relevant page and/or paragraph numbers where such data or arguments can be found) in lieu of summarizing them in the memorandum.  Documents shown or given to Commission staff during </w:t>
      </w:r>
      <w:r w:rsidRPr="00245932">
        <w:rPr>
          <w:i/>
        </w:rPr>
        <w:t xml:space="preserve">ex </w:t>
      </w:r>
      <w:r w:rsidRPr="00245932">
        <w:rPr>
          <w:i/>
        </w:rPr>
        <w:t>parte</w:t>
      </w:r>
      <w:r w:rsidRPr="00245932">
        <w:t xml:space="preserve"> meetings are deemed to be written </w:t>
      </w:r>
      <w:r w:rsidRPr="00245932">
        <w:rPr>
          <w:i/>
        </w:rPr>
        <w:t xml:space="preserve">ex </w:t>
      </w:r>
      <w:r w:rsidRPr="00245932">
        <w:rPr>
          <w:i/>
        </w:rPr>
        <w:t>parte</w:t>
      </w:r>
      <w:r w:rsidRPr="00245932">
        <w:t xml:space="preserve"> presentations and must be filed consistent with Section 1.1206(b)</w:t>
      </w:r>
      <w:r>
        <w:t xml:space="preserve">, 47 CFR </w:t>
      </w:r>
      <w:r w:rsidRPr="00245932">
        <w:t>§</w:t>
      </w:r>
      <w:r>
        <w:t>1.1206(b)</w:t>
      </w:r>
      <w:r w:rsidRPr="00245932">
        <w:t>.  In proceedings governed by Section 1.49(f)</w:t>
      </w:r>
      <w:r>
        <w:t xml:space="preserve">, 47 CFR </w:t>
      </w:r>
      <w:r w:rsidRPr="00245932">
        <w:t>§</w:t>
      </w:r>
      <w:r>
        <w:t xml:space="preserve"> 1.49(f), </w:t>
      </w:r>
      <w:r w:rsidRPr="00245932">
        <w:t xml:space="preserve">or for which the Commission has made available a method of electronic filing, written </w:t>
      </w:r>
      <w:r w:rsidRPr="00245932">
        <w:rPr>
          <w:i/>
        </w:rPr>
        <w:t xml:space="preserve">ex </w:t>
      </w:r>
      <w:r w:rsidRPr="00245932">
        <w:rPr>
          <w:i/>
        </w:rPr>
        <w:t>parte</w:t>
      </w:r>
      <w:r w:rsidRPr="00245932">
        <w:t xml:space="preserve"> presentations and memoranda summarizing oral </w:t>
      </w:r>
      <w:r w:rsidRPr="00245932">
        <w:rPr>
          <w:i/>
        </w:rPr>
        <w:t xml:space="preserve">ex </w:t>
      </w:r>
      <w:r w:rsidRPr="00245932">
        <w:rPr>
          <w:i/>
        </w:rPr>
        <w:t>parte</w:t>
      </w:r>
      <w:r w:rsidRPr="00245932">
        <w:t xml:space="preserve"> presentations, and all attachments thereto, must be filed through the </w:t>
      </w:r>
      <w:r>
        <w:t>Commission’s E</w:t>
      </w:r>
      <w:r w:rsidRPr="00245932">
        <w:t xml:space="preserve">lectronic </w:t>
      </w:r>
      <w:r>
        <w:t>C</w:t>
      </w:r>
      <w:r w:rsidRPr="00245932">
        <w:t xml:space="preserve">omment </w:t>
      </w:r>
      <w:r>
        <w:t>F</w:t>
      </w:r>
      <w:r w:rsidRPr="00245932">
        <w:t xml:space="preserve">iling </w:t>
      </w:r>
      <w:r>
        <w:t>S</w:t>
      </w:r>
      <w:r w:rsidRPr="00245932">
        <w:t xml:space="preserve">ystem </w:t>
      </w:r>
      <w:r>
        <w:t xml:space="preserve">(ECFS) </w:t>
      </w:r>
      <w:r w:rsidRPr="00245932">
        <w:t>available for that proceeding, and must be filed in their native format (e.g., .doc, .xml, .ppt, searchable .pdf).  Participants in this proceeding should familiarize themselves with the Commission</w:t>
      </w:r>
      <w:r>
        <w:t>’</w:t>
      </w:r>
      <w:r w:rsidRPr="00245932">
        <w:t xml:space="preserve">s </w:t>
      </w:r>
      <w:r w:rsidRPr="00245932">
        <w:rPr>
          <w:i/>
        </w:rPr>
        <w:t>ex</w:t>
      </w:r>
      <w:r w:rsidRPr="00245932">
        <w:t xml:space="preserve"> </w:t>
      </w:r>
      <w:r w:rsidRPr="00245932">
        <w:rPr>
          <w:i/>
        </w:rPr>
        <w:t>parte</w:t>
      </w:r>
      <w:r w:rsidRPr="00245932">
        <w:t xml:space="preserve"> rules.</w:t>
      </w:r>
      <w:bookmarkEnd w:id="190"/>
    </w:p>
    <w:p w:rsidR="00F541A7" w:rsidRPr="00145453" w:rsidP="007168B6" w14:paraId="69A8F50F" w14:textId="77777777">
      <w:pPr>
        <w:pStyle w:val="ParaNum"/>
        <w:numPr>
          <w:ilvl w:val="0"/>
          <w:numId w:val="3"/>
        </w:numPr>
        <w:tabs>
          <w:tab w:val="num" w:pos="720"/>
          <w:tab w:val="clear" w:pos="1080"/>
          <w:tab w:val="num" w:pos="1440"/>
        </w:tabs>
        <w:snapToGrid w:val="0"/>
        <w:rPr>
          <w:i/>
          <w:iCs/>
        </w:rPr>
      </w:pPr>
      <w:r w:rsidRPr="00145453">
        <w:rPr>
          <w:i/>
          <w:iCs/>
        </w:rPr>
        <w:t xml:space="preserve">Filing Requirements—Comments and Replies.  </w:t>
      </w:r>
      <w:r>
        <w:t>Pursuant to sections 1.415 and 1.419 of the Commission’s rules, 47 CFR §§ 1.1415, 1.419, interested parties may file comments and reply comments on or before the dates indicated on the first page of this document.  Comments may be filed using the Commission’s Electronic Comment Filing System (ECFS).</w:t>
      </w:r>
      <w:r>
        <w:rPr>
          <w:rStyle w:val="FootnoteReference"/>
        </w:rPr>
        <w:footnoteReference w:id="110"/>
      </w:r>
      <w:r>
        <w:t xml:space="preserve">  </w:t>
      </w:r>
    </w:p>
    <w:p w:rsidR="00F541A7" w:rsidP="007168B6" w14:paraId="11CE40CE" w14:textId="77777777">
      <w:pPr>
        <w:pStyle w:val="ParaNum"/>
        <w:numPr>
          <w:ilvl w:val="0"/>
          <w:numId w:val="4"/>
        </w:numPr>
      </w:pPr>
      <w:r>
        <w:t xml:space="preserve">Electronic Filers: Comments may be filed electronically using the Internet by accessing the ECFS:  </w:t>
      </w:r>
      <w:hyperlink r:id="rId6" w:history="1">
        <w:r w:rsidRPr="003353E1">
          <w:rPr>
            <w:rStyle w:val="Hyperlink"/>
          </w:rPr>
          <w:t>http://apps.fcc.gov/ecfs/</w:t>
        </w:r>
      </w:hyperlink>
      <w:r>
        <w:t>.</w:t>
      </w:r>
    </w:p>
    <w:p w:rsidR="00F541A7" w:rsidRPr="00572543" w:rsidP="007168B6" w14:paraId="3098D815" w14:textId="77777777">
      <w:pPr>
        <w:pStyle w:val="ParaNum"/>
        <w:numPr>
          <w:ilvl w:val="0"/>
          <w:numId w:val="4"/>
        </w:numPr>
      </w:pPr>
      <w:r>
        <w:t xml:space="preserve">Paper Filers: Parties who choose to file by paper must file an original and one copy of each filing.  </w:t>
      </w:r>
    </w:p>
    <w:p w:rsidR="00077889" w:rsidP="00077889" w14:paraId="72A66EC6" w14:textId="77777777">
      <w:pPr>
        <w:pStyle w:val="ParaNum"/>
        <w:numPr>
          <w:ilvl w:val="1"/>
          <w:numId w:val="4"/>
        </w:numPr>
      </w:pPr>
      <w:r>
        <w:t xml:space="preserve">Filings can be sent by hand or messenger delivery, by commercial courier, or by the U.S. Postal Service.  All filings must be addressed to the Commission’s Secretary, Office of the Secretary, Federal Communications Commission. </w:t>
      </w:r>
    </w:p>
    <w:p w:rsidR="00077889" w:rsidP="00077889" w14:paraId="75F49744" w14:textId="77777777">
      <w:pPr>
        <w:pStyle w:val="ParaNum"/>
        <w:numPr>
          <w:ilvl w:val="1"/>
          <w:numId w:val="4"/>
        </w:numPr>
      </w:pPr>
      <w:r w:rsidRPr="00D62931">
        <w:t xml:space="preserve">Hand-delivered or messenger-delivered paper filings for the Commission’s Secretary are accepted between 8:00 a.m. and 4:00 p.m. by the FCC’s mailing contractor at 9050 Junction Drive, Annapolis Junction, MD 20701. </w:t>
      </w:r>
      <w:r>
        <w:t xml:space="preserve"> </w:t>
      </w:r>
      <w:r w:rsidRPr="00D62931">
        <w:t>All hand deliveries must be held together with rubber bands or fasteners. Any envelopes and boxes must be disposed of before entering the building.</w:t>
      </w:r>
    </w:p>
    <w:p w:rsidR="00077889" w:rsidP="00077889" w14:paraId="435BF6ED" w14:textId="77777777">
      <w:pPr>
        <w:pStyle w:val="ParaNum"/>
        <w:numPr>
          <w:ilvl w:val="1"/>
          <w:numId w:val="4"/>
        </w:numPr>
      </w:pPr>
      <w:r>
        <w:t>Commercial courier deliveries (any deliveries not by the U.S. Postal Service) must be sent to 9050 Junction Drive, Annapolis Junction, MD 20701.</w:t>
      </w:r>
    </w:p>
    <w:p w:rsidR="00F541A7" w:rsidP="00077889" w14:paraId="3A1CB93D" w14:textId="77777777">
      <w:pPr>
        <w:pStyle w:val="ParaNum"/>
        <w:numPr>
          <w:ilvl w:val="1"/>
          <w:numId w:val="4"/>
        </w:numPr>
      </w:pPr>
      <w:r>
        <w:t>Filings sent by U.S. Postal Service first-class mail, Priority Mail, and Priority mail Express must be sent to 45 L Street, NE, Washington, DC 20554.</w:t>
      </w:r>
    </w:p>
    <w:p w:rsidR="00F541A7" w:rsidP="0048544A" w14:paraId="7AFB3C83" w14:textId="77777777">
      <w:pPr>
        <w:pStyle w:val="ParaNum"/>
        <w:numPr>
          <w:ilvl w:val="0"/>
          <w:numId w:val="3"/>
        </w:numPr>
        <w:tabs>
          <w:tab w:val="num" w:pos="720"/>
          <w:tab w:val="clear" w:pos="1080"/>
          <w:tab w:val="num" w:pos="1440"/>
        </w:tabs>
        <w:snapToGrid w:val="0"/>
      </w:pPr>
      <w:r>
        <w:rPr>
          <w:i/>
        </w:rPr>
        <w:t>People with Disabilities</w:t>
      </w:r>
      <w:r w:rsidR="002D1C32">
        <w:t>.  T</w:t>
      </w:r>
      <w:r w:rsidRPr="00245932">
        <w:t xml:space="preserve">o request </w:t>
      </w:r>
      <w:r w:rsidRPr="0048544A">
        <w:rPr>
          <w:iCs/>
        </w:rPr>
        <w:t>materials</w:t>
      </w:r>
      <w:r w:rsidRPr="00245932">
        <w:t xml:space="preserve"> in accessible formats for people with disabilities (braille, large print, electronic files, audio format), send an e-mail to </w:t>
      </w:r>
      <w:hyperlink r:id="rId7" w:history="1">
        <w:r w:rsidRPr="00245932">
          <w:rPr>
            <w:color w:val="0000FF"/>
            <w:u w:val="single"/>
          </w:rPr>
          <w:t>fcc504@fcc.gov</w:t>
        </w:r>
      </w:hyperlink>
      <w:r w:rsidRPr="00245932">
        <w:t xml:space="preserve"> or call the Consumer and Governmental Affairs Bureau at 202-418-0530</w:t>
      </w:r>
      <w:r>
        <w:t xml:space="preserve">. </w:t>
      </w:r>
    </w:p>
    <w:p w:rsidR="00F541A7" w:rsidP="007168B6" w14:paraId="134D6840" w14:textId="77777777">
      <w:pPr>
        <w:pStyle w:val="ParaNum"/>
        <w:numPr>
          <w:ilvl w:val="0"/>
          <w:numId w:val="3"/>
        </w:numPr>
        <w:tabs>
          <w:tab w:val="num" w:pos="720"/>
          <w:tab w:val="clear" w:pos="1080"/>
          <w:tab w:val="num" w:pos="1440"/>
        </w:tabs>
        <w:snapToGrid w:val="0"/>
      </w:pPr>
      <w:r w:rsidRPr="00084518">
        <w:rPr>
          <w:i/>
          <w:iCs/>
          <w:szCs w:val="22"/>
        </w:rPr>
        <w:t>Regulatory Flexibility Act</w:t>
      </w:r>
      <w:r>
        <w:rPr>
          <w:iCs/>
        </w:rPr>
        <w:t>.  T</w:t>
      </w:r>
      <w:r w:rsidRPr="00E2404A">
        <w:rPr>
          <w:iCs/>
        </w:rPr>
        <w:t>he Regulatory Flexibility Act of 1980, as amended (RFA),</w:t>
      </w:r>
      <w:r>
        <w:rPr>
          <w:iCs/>
          <w:sz w:val="20"/>
          <w:vertAlign w:val="superscript"/>
        </w:rPr>
        <w:footnoteReference w:id="111"/>
      </w:r>
      <w:r w:rsidRPr="00E2404A">
        <w:rPr>
          <w:iCs/>
        </w:rPr>
        <w:t xml:space="preserve"> requires that an agency prepare a regulatory flexibility analysis for notice</w:t>
      </w:r>
      <w:r>
        <w:rPr>
          <w:iCs/>
        </w:rPr>
        <w:t>-</w:t>
      </w:r>
      <w:r w:rsidRPr="00E2404A">
        <w:rPr>
          <w:iCs/>
        </w:rPr>
        <w:t>and</w:t>
      </w:r>
      <w:r>
        <w:rPr>
          <w:iCs/>
        </w:rPr>
        <w:t>-</w:t>
      </w:r>
      <w:r w:rsidRPr="00E2404A">
        <w:rPr>
          <w:iCs/>
        </w:rPr>
        <w:t>comment rulemakings, unless the agency certifies that “the rule will not, if promulgated, have a significant economic impact on a substantial number of small entities.”</w:t>
      </w:r>
      <w:r>
        <w:rPr>
          <w:iCs/>
          <w:sz w:val="20"/>
          <w:vertAlign w:val="superscript"/>
        </w:rPr>
        <w:footnoteReference w:id="112"/>
      </w:r>
      <w:r w:rsidRPr="00E2404A">
        <w:rPr>
          <w:iCs/>
        </w:rPr>
        <w:t xml:space="preserve">  Accordingly, </w:t>
      </w:r>
      <w:r>
        <w:rPr>
          <w:iCs/>
        </w:rPr>
        <w:t>the Commission has</w:t>
      </w:r>
      <w:r w:rsidRPr="00E2404A">
        <w:rPr>
          <w:iCs/>
        </w:rPr>
        <w:t xml:space="preserve"> prepared an Initial Regulatory Flexibility Analysis (IRFA) concerning </w:t>
      </w:r>
      <w:r>
        <w:rPr>
          <w:iCs/>
        </w:rPr>
        <w:t xml:space="preserve">potential </w:t>
      </w:r>
      <w:r w:rsidRPr="00E2404A">
        <w:rPr>
          <w:iCs/>
        </w:rPr>
        <w:t xml:space="preserve">rule and policy changes contained in this </w:t>
      </w:r>
      <w:r w:rsidRPr="001E05DB">
        <w:rPr>
          <w:i/>
        </w:rPr>
        <w:t>Notice of Proposed Rulemaking</w:t>
      </w:r>
      <w:r w:rsidRPr="00E2404A">
        <w:rPr>
          <w:iCs/>
        </w:rPr>
        <w:t xml:space="preserve">.  The IRFA is set forth in </w:t>
      </w:r>
      <w:r>
        <w:rPr>
          <w:iCs/>
        </w:rPr>
        <w:t xml:space="preserve">the </w:t>
      </w:r>
      <w:r w:rsidRPr="00E2404A">
        <w:rPr>
          <w:iCs/>
        </w:rPr>
        <w:t xml:space="preserve">Appendix.  </w:t>
      </w:r>
      <w:r w:rsidRPr="00B5527E">
        <w:rPr>
          <w:iCs/>
        </w:rPr>
        <w:t>The Commission invites the general public, in particular small businesses, to comment on the IRFA.</w:t>
      </w:r>
      <w:r>
        <w:rPr>
          <w:iCs/>
        </w:rPr>
        <w:t xml:space="preserve">  </w:t>
      </w:r>
      <w:r w:rsidRPr="00E2404A">
        <w:rPr>
          <w:iCs/>
        </w:rPr>
        <w:t xml:space="preserve">Comments must be filed by the deadlines for comments on the </w:t>
      </w:r>
      <w:r w:rsidRPr="00C81B1A">
        <w:rPr>
          <w:i/>
        </w:rPr>
        <w:t>Notice of Proposed Rulemaking</w:t>
      </w:r>
      <w:r w:rsidRPr="00B5527E">
        <w:rPr>
          <w:iCs/>
        </w:rPr>
        <w:t xml:space="preserve"> </w:t>
      </w:r>
      <w:r>
        <w:rPr>
          <w:iCs/>
        </w:rPr>
        <w:t xml:space="preserve">indicated </w:t>
      </w:r>
      <w:r>
        <w:rPr>
          <w:iCs/>
        </w:rPr>
        <w:t xml:space="preserve">on the </w:t>
      </w:r>
      <w:r w:rsidRPr="00E2404A">
        <w:rPr>
          <w:iCs/>
        </w:rPr>
        <w:t xml:space="preserve">first page of this document </w:t>
      </w:r>
      <w:r>
        <w:rPr>
          <w:iCs/>
        </w:rPr>
        <w:t xml:space="preserve">and must </w:t>
      </w:r>
      <w:r w:rsidRPr="00E2404A">
        <w:rPr>
          <w:iCs/>
        </w:rPr>
        <w:t>have a separate and distinct heading designating them as responses to the IRFA.</w:t>
      </w:r>
    </w:p>
    <w:p w:rsidR="00F541A7" w:rsidRPr="00A013A5" w:rsidP="007168B6" w14:paraId="1BA52011" w14:textId="77777777">
      <w:pPr>
        <w:pStyle w:val="ParaNum"/>
        <w:numPr>
          <w:ilvl w:val="0"/>
          <w:numId w:val="3"/>
        </w:numPr>
        <w:tabs>
          <w:tab w:val="num" w:pos="720"/>
          <w:tab w:val="clear" w:pos="1080"/>
          <w:tab w:val="num" w:pos="1440"/>
        </w:tabs>
        <w:snapToGrid w:val="0"/>
      </w:pPr>
      <w:r w:rsidRPr="00675D81">
        <w:rPr>
          <w:i/>
        </w:rPr>
        <w:t>Paperwork Reduction Act</w:t>
      </w:r>
      <w:r w:rsidR="002D1C32">
        <w:t xml:space="preserve">.  </w:t>
      </w:r>
      <w:r w:rsidRPr="00675D81" w:rsidR="00C15196">
        <w:rPr>
          <w:szCs w:val="22"/>
        </w:rPr>
        <w:t xml:space="preserve">This </w:t>
      </w:r>
      <w:r w:rsidRPr="00000FCD" w:rsidR="00C15196">
        <w:t>document</w:t>
      </w:r>
      <w:r w:rsidRPr="00675D81" w:rsidR="00C15196">
        <w:rPr>
          <w:szCs w:val="22"/>
        </w:rPr>
        <w:t xml:space="preserve"> </w:t>
      </w:r>
      <w:r w:rsidR="00C15196">
        <w:rPr>
          <w:szCs w:val="22"/>
        </w:rPr>
        <w:t>may contain proposed</w:t>
      </w:r>
      <w:r w:rsidRPr="00675D81" w:rsidR="00C15196">
        <w:rPr>
          <w:szCs w:val="22"/>
        </w:rPr>
        <w:t xml:space="preserve"> new or modified information collection</w:t>
      </w:r>
      <w:r w:rsidR="00C15196">
        <w:rPr>
          <w:szCs w:val="22"/>
        </w:rPr>
        <w:t>s</w:t>
      </w:r>
      <w:r w:rsidRPr="00675D81" w:rsidR="00C15196">
        <w:rPr>
          <w:szCs w:val="22"/>
        </w:rPr>
        <w:t xml:space="preserve">. </w:t>
      </w:r>
      <w:r w:rsidR="00C15196">
        <w:rPr>
          <w:szCs w:val="22"/>
        </w:rPr>
        <w:t xml:space="preserve"> </w:t>
      </w:r>
      <w:r w:rsidRPr="00675D81" w:rsidR="00C15196">
        <w:rPr>
          <w:szCs w:val="22"/>
        </w:rPr>
        <w:t xml:space="preserve">The Commission, as part of its continuing effort to reduce paperwork burdens, invites the general public and the Office of Management and Budget (OMB) to comment on </w:t>
      </w:r>
      <w:r w:rsidR="00C15196">
        <w:rPr>
          <w:szCs w:val="22"/>
        </w:rPr>
        <w:t>any</w:t>
      </w:r>
      <w:r w:rsidRPr="00675D81" w:rsidR="00C15196">
        <w:rPr>
          <w:szCs w:val="22"/>
        </w:rPr>
        <w:t xml:space="preserve"> information collection</w:t>
      </w:r>
      <w:r w:rsidR="00C15196">
        <w:rPr>
          <w:szCs w:val="22"/>
        </w:rPr>
        <w:t>s</w:t>
      </w:r>
      <w:r w:rsidRPr="00675D81" w:rsidR="00C15196">
        <w:rPr>
          <w:szCs w:val="22"/>
        </w:rPr>
        <w:t xml:space="preserve"> </w:t>
      </w:r>
      <w:r w:rsidR="00C15196">
        <w:rPr>
          <w:szCs w:val="22"/>
        </w:rPr>
        <w:t xml:space="preserve">contained in this document, as </w:t>
      </w:r>
      <w:r w:rsidRPr="00675D81" w:rsidR="00C15196">
        <w:rPr>
          <w:szCs w:val="22"/>
        </w:rPr>
        <w:t>require</w:t>
      </w:r>
      <w:r w:rsidR="00C15196">
        <w:rPr>
          <w:szCs w:val="22"/>
        </w:rPr>
        <w:t xml:space="preserve">d by </w:t>
      </w:r>
      <w:r w:rsidRPr="00675D81" w:rsidR="00C15196">
        <w:rPr>
          <w:szCs w:val="22"/>
        </w:rPr>
        <w:t>the Paperwork Reduction Act of 1995,</w:t>
      </w:r>
      <w:r w:rsidR="00C15196">
        <w:rPr>
          <w:szCs w:val="22"/>
        </w:rPr>
        <w:t xml:space="preserve"> 44 U.S.C. §§ 3501-3521</w:t>
      </w:r>
      <w:r w:rsidRPr="00675D81" w:rsidR="00C15196">
        <w:rPr>
          <w:szCs w:val="22"/>
        </w:rPr>
        <w:t xml:space="preserve">.  In addition, pursuant to the Small Business Paperwork Relief Act of 2002, 44 U.S.C. </w:t>
      </w:r>
      <w:r w:rsidRPr="00245932" w:rsidR="00C15196">
        <w:t>§</w:t>
      </w:r>
      <w:r w:rsidR="00C15196">
        <w:t xml:space="preserve"> </w:t>
      </w:r>
      <w:r w:rsidRPr="00675D81" w:rsidR="00C15196">
        <w:rPr>
          <w:szCs w:val="22"/>
        </w:rPr>
        <w:t>3506(</w:t>
      </w:r>
      <w:r w:rsidR="00C15196">
        <w:rPr>
          <w:szCs w:val="22"/>
        </w:rPr>
        <w:t>c)</w:t>
      </w:r>
      <w:r w:rsidRPr="00675D81" w:rsidR="00C15196">
        <w:rPr>
          <w:szCs w:val="22"/>
        </w:rPr>
        <w:t>(4), we seek specific comment on how we might further reduce the information collection burden for small business concerns with fewer than 25 employees.</w:t>
      </w:r>
    </w:p>
    <w:p w:rsidR="00F541A7" w:rsidRPr="00D62931" w:rsidP="00D62931" w14:paraId="28CBE439" w14:textId="77777777">
      <w:pPr>
        <w:pStyle w:val="ParaNum"/>
        <w:numPr>
          <w:ilvl w:val="0"/>
          <w:numId w:val="3"/>
        </w:numPr>
        <w:tabs>
          <w:tab w:val="num" w:pos="720"/>
          <w:tab w:val="clear" w:pos="1080"/>
          <w:tab w:val="num" w:pos="1440"/>
        </w:tabs>
        <w:snapToGrid w:val="0"/>
        <w:rPr>
          <w:snapToGrid/>
          <w:kern w:val="0"/>
          <w:sz w:val="24"/>
          <w:szCs w:val="24"/>
        </w:rPr>
      </w:pPr>
      <w:r w:rsidRPr="00A013A5">
        <w:rPr>
          <w:i/>
          <w:iCs/>
          <w:color w:val="000000"/>
        </w:rPr>
        <w:t>Providing Accountability Through Transparency Act</w:t>
      </w:r>
      <w:r w:rsidR="002D1C32">
        <w:rPr>
          <w:color w:val="000000"/>
        </w:rPr>
        <w:t>.</w:t>
      </w:r>
      <w:r w:rsidRPr="00A013A5">
        <w:rPr>
          <w:color w:val="000000"/>
        </w:rPr>
        <w:t xml:space="preserve">  </w:t>
      </w:r>
      <w:r w:rsidRPr="00A013A5">
        <w:rPr>
          <w:color w:val="000000"/>
          <w:shd w:val="clear" w:color="auto" w:fill="FFFFFF"/>
        </w:rPr>
        <w:t xml:space="preserve">The Providing Accountability Through Transparency Act requires each agency, in providing notice of a rulemaking, to post online a </w:t>
      </w:r>
      <w:r w:rsidRPr="00A013A5">
        <w:rPr>
          <w:color w:val="000000"/>
        </w:rPr>
        <w:t>brief</w:t>
      </w:r>
      <w:r w:rsidRPr="00A013A5">
        <w:rPr>
          <w:color w:val="000000"/>
          <w:shd w:val="clear" w:color="auto" w:fill="FFFFFF"/>
        </w:rPr>
        <w:t xml:space="preserve"> plain-language summary of the proposed rule.</w:t>
      </w:r>
      <w:r>
        <w:rPr>
          <w:rStyle w:val="FootnoteReference"/>
          <w:shd w:val="clear" w:color="auto" w:fill="FFFFFF"/>
        </w:rPr>
        <w:footnoteReference w:id="113"/>
      </w:r>
      <w:r w:rsidRPr="00A013A5">
        <w:rPr>
          <w:color w:val="000000"/>
          <w:shd w:val="clear" w:color="auto" w:fill="FFFFFF"/>
        </w:rPr>
        <w:t xml:space="preserve">  Accordingly, the Commission will publish the required summary of this Notice of Proposed Rulemaking on </w:t>
      </w:r>
      <w:hyperlink r:id="rId8" w:history="1">
        <w:r>
          <w:rPr>
            <w:rStyle w:val="Hyperlink"/>
          </w:rPr>
          <w:t>https://www.fcc.gov/proposed-rulemakings</w:t>
        </w:r>
      </w:hyperlink>
      <w:r w:rsidRPr="00A013A5">
        <w:rPr>
          <w:color w:val="000000"/>
          <w:shd w:val="clear" w:color="auto" w:fill="FFFFFF"/>
        </w:rPr>
        <w:t>.</w:t>
      </w:r>
      <w:r w:rsidRPr="00A013A5">
        <w:rPr>
          <w:sz w:val="24"/>
          <w:szCs w:val="24"/>
        </w:rPr>
        <w:t xml:space="preserve"> </w:t>
      </w:r>
    </w:p>
    <w:p w:rsidR="00F541A7" w:rsidP="007168B6" w14:paraId="30FF3374" w14:textId="77777777">
      <w:pPr>
        <w:pStyle w:val="ParaNum"/>
        <w:numPr>
          <w:ilvl w:val="0"/>
          <w:numId w:val="3"/>
        </w:numPr>
        <w:tabs>
          <w:tab w:val="num" w:pos="720"/>
          <w:tab w:val="clear" w:pos="1080"/>
          <w:tab w:val="num" w:pos="1440"/>
        </w:tabs>
        <w:snapToGrid w:val="0"/>
      </w:pPr>
      <w:r>
        <w:rPr>
          <w:i/>
        </w:rPr>
        <w:t>Additional Information</w:t>
      </w:r>
      <w:r w:rsidR="002D1C32">
        <w:t>.  F</w:t>
      </w:r>
      <w:r w:rsidRPr="001E42CA">
        <w:t>or</w:t>
      </w:r>
      <w:r>
        <w:t xml:space="preserve"> </w:t>
      </w:r>
      <w:r w:rsidRPr="007168B6">
        <w:rPr>
          <w:szCs w:val="22"/>
        </w:rPr>
        <w:t>additional</w:t>
      </w:r>
      <w:r w:rsidRPr="001E42CA">
        <w:t xml:space="preserve"> information on this proceeding, please contact </w:t>
      </w:r>
      <w:r>
        <w:t>Ty Bream</w:t>
      </w:r>
      <w:r w:rsidRPr="001E42CA">
        <w:t xml:space="preserve"> of the Media Bureau, Industry Analysis Division, </w:t>
      </w:r>
      <w:hyperlink r:id="rId9" w:history="1">
        <w:r w:rsidRPr="0060777B">
          <w:rPr>
            <w:rStyle w:val="Hyperlink"/>
          </w:rPr>
          <w:t>Ty.Bream@fcc.gov</w:t>
        </w:r>
      </w:hyperlink>
      <w:r w:rsidRPr="001E42CA">
        <w:t>, (202) 418-</w:t>
      </w:r>
      <w:r>
        <w:t>0644</w:t>
      </w:r>
      <w:r w:rsidRPr="001E42CA">
        <w:t>.</w:t>
      </w:r>
      <w:r>
        <w:t xml:space="preserve">   </w:t>
      </w:r>
    </w:p>
    <w:p w:rsidR="00F541A7" w:rsidP="00F541A7" w14:paraId="4965AD53" w14:textId="77777777">
      <w:pPr>
        <w:pStyle w:val="Heading1"/>
        <w:tabs>
          <w:tab w:val="num" w:pos="720"/>
        </w:tabs>
      </w:pPr>
      <w:bookmarkStart w:id="192" w:name="_Toc527713810"/>
      <w:bookmarkStart w:id="193" w:name="_Toc532379637"/>
      <w:bookmarkStart w:id="194" w:name="_Toc532379670"/>
      <w:bookmarkStart w:id="195" w:name="_Toc119934594"/>
      <w:bookmarkStart w:id="196" w:name="_Toc119934949"/>
      <w:bookmarkStart w:id="197" w:name="_Toc119936962"/>
      <w:bookmarkStart w:id="198" w:name="_Toc119937159"/>
      <w:bookmarkStart w:id="199" w:name="_Toc119937318"/>
      <w:bookmarkStart w:id="200" w:name="_Toc119937394"/>
      <w:bookmarkStart w:id="201" w:name="_Toc119937438"/>
      <w:bookmarkStart w:id="202" w:name="_Toc119937485"/>
      <w:bookmarkStart w:id="203" w:name="_Toc119937553"/>
      <w:bookmarkStart w:id="204" w:name="_Toc147923078"/>
      <w:bookmarkStart w:id="205" w:name="_Toc150243950"/>
      <w:bookmarkStart w:id="206" w:name="_Toc156913560"/>
      <w:bookmarkStart w:id="207" w:name="_Toc202958366"/>
      <w:r>
        <w:t>ordering clauses</w:t>
      </w:r>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p>
    <w:p w:rsidR="00F541A7" w:rsidP="007168B6" w14:paraId="5CB72E3B" w14:textId="77777777">
      <w:pPr>
        <w:pStyle w:val="ParaNum"/>
        <w:numPr>
          <w:ilvl w:val="0"/>
          <w:numId w:val="3"/>
        </w:numPr>
        <w:tabs>
          <w:tab w:val="num" w:pos="720"/>
          <w:tab w:val="clear" w:pos="1080"/>
          <w:tab w:val="num" w:pos="1440"/>
        </w:tabs>
        <w:snapToGrid w:val="0"/>
      </w:pPr>
      <w:r w:rsidRPr="00245932">
        <w:t xml:space="preserve">Accordingly, </w:t>
      </w:r>
      <w:r w:rsidRPr="00245932">
        <w:rPr>
          <w:b/>
        </w:rPr>
        <w:t>IT IS ORDERED</w:t>
      </w:r>
      <w:r w:rsidRPr="00245932">
        <w:t xml:space="preserve"> that, pursuant to </w:t>
      </w:r>
      <w:r w:rsidRPr="007168B6">
        <w:rPr>
          <w:szCs w:val="22"/>
        </w:rPr>
        <w:t>the</w:t>
      </w:r>
      <w:r w:rsidRPr="00245932">
        <w:t xml:space="preserve"> authority contained in Sections 1, 2(a), 4(</w:t>
      </w:r>
      <w:r w:rsidRPr="00245932">
        <w:t>i</w:t>
      </w:r>
      <w:r w:rsidRPr="00245932">
        <w:t>), 257, 303, 307, 309, 310, and 403 of the Communications Act of 1934, as amended, 47 U.S.C. §§ 151, 152(a), 154(</w:t>
      </w:r>
      <w:r w:rsidRPr="00245932">
        <w:t>i</w:t>
      </w:r>
      <w:r w:rsidRPr="00245932">
        <w:t xml:space="preserve">), 257, 303, 307, 309, 310, and 403, and </w:t>
      </w:r>
      <w:r w:rsidR="00E11F88">
        <w:t>s</w:t>
      </w:r>
      <w:r w:rsidRPr="00245932">
        <w:t xml:space="preserve">ection 202(h) of the Telecommunications Act of 1996, this </w:t>
      </w:r>
      <w:r w:rsidRPr="001E05DB">
        <w:rPr>
          <w:i/>
        </w:rPr>
        <w:t>Notice of Proposed Rulemaking</w:t>
      </w:r>
      <w:r w:rsidRPr="00245932">
        <w:t xml:space="preserve"> </w:t>
      </w:r>
      <w:r w:rsidRPr="00245932">
        <w:rPr>
          <w:b/>
        </w:rPr>
        <w:t>IS ADOPTED</w:t>
      </w:r>
      <w:r>
        <w:t>.</w:t>
      </w:r>
      <w:r>
        <w:rPr>
          <w:rStyle w:val="FootnoteReference"/>
        </w:rPr>
        <w:footnoteReference w:id="114"/>
      </w:r>
    </w:p>
    <w:p w:rsidR="00F541A7" w:rsidP="007168B6" w14:paraId="7A75688B" w14:textId="31D9188D">
      <w:pPr>
        <w:pStyle w:val="ParaNum"/>
        <w:numPr>
          <w:ilvl w:val="0"/>
          <w:numId w:val="3"/>
        </w:numPr>
        <w:tabs>
          <w:tab w:val="num" w:pos="720"/>
          <w:tab w:val="clear" w:pos="1080"/>
          <w:tab w:val="num" w:pos="1440"/>
        </w:tabs>
        <w:snapToGrid w:val="0"/>
      </w:pPr>
      <w:r w:rsidRPr="00245932">
        <w:rPr>
          <w:b/>
        </w:rPr>
        <w:t>IT IS FURTHER ORDERED</w:t>
      </w:r>
      <w:r w:rsidRPr="00245932">
        <w:t xml:space="preserve"> that, pursuant to applicable procedures set forth in Sections 1.415 and 1.419 of the Commission</w:t>
      </w:r>
      <w:r>
        <w:t>’</w:t>
      </w:r>
      <w:r w:rsidRPr="00245932">
        <w:t xml:space="preserve">s rules, 47 CFR §§ 1.415, 1.419, interested parties may file comments on the </w:t>
      </w:r>
      <w:r w:rsidRPr="001E05DB">
        <w:rPr>
          <w:i/>
        </w:rPr>
        <w:t>Notice of Proposed Rulemaking</w:t>
      </w:r>
      <w:r w:rsidRPr="00245932">
        <w:t xml:space="preserve"> in </w:t>
      </w:r>
      <w:r w:rsidRPr="00394B3E">
        <w:t xml:space="preserve">MB Docket No. </w:t>
      </w:r>
      <w:r w:rsidRPr="00312441">
        <w:t>2</w:t>
      </w:r>
      <w:r w:rsidRPr="00312441" w:rsidR="00E145C3">
        <w:t>2</w:t>
      </w:r>
      <w:r w:rsidRPr="00312441">
        <w:t>-</w:t>
      </w:r>
      <w:r w:rsidRPr="00312441" w:rsidR="00E145C3">
        <w:t>459</w:t>
      </w:r>
      <w:r w:rsidRPr="00FF1EC4">
        <w:t xml:space="preserve"> on</w:t>
      </w:r>
      <w:r w:rsidRPr="00394B3E">
        <w:t xml:space="preserve"> or before </w:t>
      </w:r>
      <w:r w:rsidR="001433A0">
        <w:t>thirty</w:t>
      </w:r>
      <w:r w:rsidRPr="007D7AA0">
        <w:t xml:space="preserve"> (</w:t>
      </w:r>
      <w:r w:rsidR="001433A0">
        <w:t>3</w:t>
      </w:r>
      <w:r>
        <w:t>0</w:t>
      </w:r>
      <w:r w:rsidRPr="007D7AA0">
        <w:t xml:space="preserve">) days after publication in the </w:t>
      </w:r>
      <w:r w:rsidRPr="007D7AA0">
        <w:rPr>
          <w:i/>
        </w:rPr>
        <w:t>Federal Register</w:t>
      </w:r>
      <w:r w:rsidRPr="007D7AA0">
        <w:t xml:space="preserve"> and reply </w:t>
      </w:r>
      <w:r w:rsidRPr="007168B6">
        <w:rPr>
          <w:szCs w:val="22"/>
        </w:rPr>
        <w:t>comments</w:t>
      </w:r>
      <w:r w:rsidRPr="007D7AA0">
        <w:t xml:space="preserve"> on or before </w:t>
      </w:r>
      <w:r w:rsidR="001433A0">
        <w:t>sixty</w:t>
      </w:r>
      <w:r w:rsidRPr="007D7AA0">
        <w:t xml:space="preserve"> (</w:t>
      </w:r>
      <w:r w:rsidR="001433A0">
        <w:t>6</w:t>
      </w:r>
      <w:r>
        <w:t>0</w:t>
      </w:r>
      <w:r w:rsidRPr="007D7AA0">
        <w:t>)</w:t>
      </w:r>
      <w:r>
        <w:t xml:space="preserve"> </w:t>
      </w:r>
      <w:r w:rsidRPr="00245932">
        <w:t xml:space="preserve">days after publication in the </w:t>
      </w:r>
      <w:r w:rsidRPr="00245932">
        <w:rPr>
          <w:i/>
        </w:rPr>
        <w:t>Federal Register</w:t>
      </w:r>
      <w:r w:rsidRPr="00245932">
        <w:t>.</w:t>
      </w:r>
    </w:p>
    <w:p w:rsidR="00F541A7" w:rsidP="007168B6" w14:paraId="053897E8" w14:textId="708FAA84">
      <w:pPr>
        <w:pStyle w:val="ParaNum"/>
        <w:numPr>
          <w:ilvl w:val="0"/>
          <w:numId w:val="3"/>
        </w:numPr>
        <w:tabs>
          <w:tab w:val="num" w:pos="720"/>
          <w:tab w:val="clear" w:pos="1080"/>
          <w:tab w:val="num" w:pos="1440"/>
        </w:tabs>
        <w:snapToGrid w:val="0"/>
      </w:pPr>
      <w:r w:rsidRPr="00112F5D">
        <w:rPr>
          <w:b/>
        </w:rPr>
        <w:t>IT IS FURTHER ORDERED</w:t>
      </w:r>
      <w:r w:rsidRPr="00112F5D">
        <w:t xml:space="preserve"> that the </w:t>
      </w:r>
      <w:r w:rsidRPr="007168B6">
        <w:rPr>
          <w:szCs w:val="22"/>
        </w:rPr>
        <w:t>Commission’s</w:t>
      </w:r>
      <w:r w:rsidRPr="00112F5D">
        <w:t xml:space="preserve"> </w:t>
      </w:r>
      <w:r w:rsidR="002C7976">
        <w:t>Office of the Secretary</w:t>
      </w:r>
      <w:r w:rsidRPr="00112F5D">
        <w:t xml:space="preserve"> </w:t>
      </w:r>
      <w:r w:rsidRPr="00112F5D">
        <w:rPr>
          <w:b/>
        </w:rPr>
        <w:t xml:space="preserve">SHALL SEND </w:t>
      </w:r>
      <w:r w:rsidRPr="00112F5D">
        <w:t xml:space="preserve">a copy of this </w:t>
      </w:r>
      <w:r w:rsidRPr="001E05DB">
        <w:rPr>
          <w:i/>
        </w:rPr>
        <w:t>Notice</w:t>
      </w:r>
      <w:r w:rsidRPr="001E05DB" w:rsidR="00F02408">
        <w:rPr>
          <w:i/>
        </w:rPr>
        <w:t xml:space="preserve"> of Proposed Rulemaking</w:t>
      </w:r>
      <w:r w:rsidRPr="00112F5D">
        <w:t>, including the Initial Regulatory Flexibility Analysis, to the Chief Counsel for the Small Business Administration</w:t>
      </w:r>
      <w:r w:rsidR="001433A0">
        <w:t xml:space="preserve"> Office of Advocacy</w:t>
      </w:r>
      <w:r w:rsidRPr="00245932">
        <w:t>.</w:t>
      </w:r>
    </w:p>
    <w:p w:rsidR="00DE3616" w:rsidP="00F541A7" w14:paraId="563DBB3C" w14:textId="77777777"/>
    <w:p w:rsidR="00DE3616" w:rsidP="0017296B" w14:paraId="0DEEB8D7" w14:textId="77777777">
      <w:r>
        <w:tab/>
      </w:r>
      <w:r>
        <w:tab/>
      </w:r>
      <w:r>
        <w:tab/>
      </w:r>
      <w:r>
        <w:tab/>
      </w:r>
      <w:r>
        <w:tab/>
      </w:r>
      <w:r>
        <w:tab/>
        <w:t>FEDERAL COMMUNICATIONS COMMISSION</w:t>
      </w:r>
    </w:p>
    <w:p w:rsidR="00DE3616" w:rsidP="0017296B" w14:paraId="1A35BB1E" w14:textId="77777777"/>
    <w:p w:rsidR="00DE3616" w:rsidP="0017296B" w14:paraId="1A582B6B" w14:textId="77777777"/>
    <w:p w:rsidR="00DE3616" w:rsidP="0017296B" w14:paraId="43866038" w14:textId="77777777"/>
    <w:p w:rsidR="00DE3616" w:rsidP="0017296B" w14:paraId="15260E9A" w14:textId="77777777"/>
    <w:p w:rsidR="00DE3616" w:rsidP="0017296B" w14:paraId="700ADDA5" w14:textId="77777777">
      <w:r>
        <w:tab/>
      </w:r>
      <w:r>
        <w:tab/>
      </w:r>
      <w:r>
        <w:tab/>
      </w:r>
      <w:r>
        <w:tab/>
      </w:r>
      <w:r>
        <w:tab/>
      </w:r>
      <w:r>
        <w:tab/>
        <w:t>Marlene H. Dortch</w:t>
      </w:r>
    </w:p>
    <w:p w:rsidR="00DE3616" w:rsidP="0017296B" w14:paraId="6BE5E984" w14:textId="77777777">
      <w:r>
        <w:tab/>
      </w:r>
      <w:r>
        <w:tab/>
      </w:r>
      <w:r>
        <w:tab/>
      </w:r>
      <w:r>
        <w:tab/>
      </w:r>
      <w:r>
        <w:tab/>
      </w:r>
      <w:r>
        <w:tab/>
        <w:t>Secretary</w:t>
      </w:r>
    </w:p>
    <w:p w:rsidR="00DE3616" w:rsidP="005A7639" w14:paraId="4C00C3E9" w14:textId="77777777">
      <w:pPr>
        <w:spacing w:after="120"/>
        <w:jc w:val="center"/>
        <w:rPr>
          <w:b/>
        </w:rPr>
        <w:sectPr w:rsidSect="00486212">
          <w:headerReference w:type="default" r:id="rId10"/>
          <w:footerReference w:type="even" r:id="rId11"/>
          <w:footerReference w:type="default" r:id="rId12"/>
          <w:headerReference w:type="first" r:id="rId13"/>
          <w:footnotePr>
            <w:numRestart w:val="eachSect"/>
          </w:footnotePr>
          <w:endnotePr>
            <w:numFmt w:val="decimal"/>
          </w:endnotePr>
          <w:pgSz w:w="12240" w:h="15840"/>
          <w:pgMar w:top="1440" w:right="1440" w:bottom="720" w:left="1440" w:header="720" w:footer="720" w:gutter="0"/>
          <w:cols w:space="720"/>
          <w:noEndnote/>
          <w:titlePg/>
        </w:sectPr>
      </w:pPr>
    </w:p>
    <w:p w:rsidR="005A7639" w:rsidRPr="00112F5D" w:rsidP="005A7639" w14:paraId="55ED92DC" w14:textId="77777777">
      <w:pPr>
        <w:spacing w:after="120"/>
        <w:jc w:val="center"/>
        <w:rPr>
          <w:b/>
        </w:rPr>
      </w:pPr>
      <w:r w:rsidRPr="00112F5D">
        <w:rPr>
          <w:b/>
        </w:rPr>
        <w:t>APPENDIX</w:t>
      </w:r>
    </w:p>
    <w:p w:rsidR="005A7639" w:rsidP="005A7639" w14:paraId="1627E774" w14:textId="77777777">
      <w:pPr>
        <w:keepNext/>
        <w:widowControl/>
        <w:jc w:val="center"/>
        <w:rPr>
          <w:b/>
          <w:szCs w:val="22"/>
        </w:rPr>
      </w:pPr>
      <w:r w:rsidRPr="00112F5D">
        <w:rPr>
          <w:b/>
          <w:szCs w:val="22"/>
        </w:rPr>
        <w:t>Initial Regulatory Flexibility Analysis</w:t>
      </w:r>
      <w:r>
        <w:rPr>
          <w:b/>
          <w:szCs w:val="22"/>
        </w:rPr>
        <w:t xml:space="preserve"> </w:t>
      </w:r>
    </w:p>
    <w:p w:rsidR="005A7639" w:rsidRPr="00112F5D" w:rsidP="005A7639" w14:paraId="13E70557" w14:textId="77777777">
      <w:pPr>
        <w:keepNext/>
        <w:widowControl/>
        <w:rPr>
          <w:b/>
          <w:szCs w:val="22"/>
        </w:rPr>
      </w:pPr>
    </w:p>
    <w:p w:rsidR="005A7639" w:rsidRPr="00486212" w:rsidP="005A7639" w14:paraId="20C496ED" w14:textId="528D8D3A">
      <w:pPr>
        <w:pStyle w:val="ParaNum"/>
        <w:numPr>
          <w:ilvl w:val="0"/>
          <w:numId w:val="5"/>
        </w:numPr>
        <w:tabs>
          <w:tab w:val="clear" w:pos="1080"/>
          <w:tab w:val="num" w:pos="1440"/>
        </w:tabs>
        <w:rPr>
          <w:bCs/>
        </w:rPr>
      </w:pPr>
      <w:r w:rsidRPr="00112F5D">
        <w:t>As required by the Regulatory Flexibility Act of 1980, as amended (RFA)</w:t>
      </w:r>
      <w:r>
        <w:t>,</w:t>
      </w:r>
      <w:r>
        <w:rPr>
          <w:rStyle w:val="FootnoteReference"/>
        </w:rPr>
        <w:footnoteReference w:id="115"/>
      </w:r>
      <w:r w:rsidRPr="001E42CA">
        <w:t xml:space="preserve"> the </w:t>
      </w:r>
      <w:r>
        <w:t xml:space="preserve">Federal Communications </w:t>
      </w:r>
      <w:r w:rsidRPr="001E42CA">
        <w:t xml:space="preserve">Commission </w:t>
      </w:r>
      <w:r>
        <w:t xml:space="preserve">(Commission) </w:t>
      </w:r>
      <w:r w:rsidRPr="001E42CA">
        <w:t xml:space="preserve">has prepared this Initial Regulatory Flexibility Act Analysis (IRFA) </w:t>
      </w:r>
      <w:r w:rsidRPr="00210CAF">
        <w:t xml:space="preserve">of the policies and rules proposed in the </w:t>
      </w:r>
      <w:r w:rsidRPr="000055DB">
        <w:rPr>
          <w:i/>
        </w:rPr>
        <w:t>Notice of Proposed Rulemaking</w:t>
      </w:r>
      <w:r w:rsidRPr="001E42CA">
        <w:t xml:space="preserve"> (</w:t>
      </w:r>
      <w:r w:rsidRPr="005217CC">
        <w:rPr>
          <w:i/>
          <w:iCs/>
        </w:rPr>
        <w:t>NPRM</w:t>
      </w:r>
      <w:r w:rsidRPr="009A4568">
        <w:t>)</w:t>
      </w:r>
      <w:r>
        <w:t xml:space="preserve"> </w:t>
      </w:r>
      <w:r w:rsidRPr="00F4042B">
        <w:t>assessing the possible significant economic impact on a substantial number of small entities.</w:t>
      </w:r>
      <w:r w:rsidRPr="001E42CA">
        <w:t xml:space="preserve">  </w:t>
      </w:r>
      <w:r>
        <w:t>The Commission requests w</w:t>
      </w:r>
      <w:r w:rsidRPr="009C68BF">
        <w:t xml:space="preserve">ritten public comments on this IRFA.  Comments must be identified as responses to the IRFA and must be filed by the deadlines for comments </w:t>
      </w:r>
      <w:r w:rsidRPr="00EF041E">
        <w:t xml:space="preserve">specified on the first page of the </w:t>
      </w:r>
      <w:r w:rsidRPr="005217CC">
        <w:rPr>
          <w:i/>
          <w:iCs/>
        </w:rPr>
        <w:t>NPRM</w:t>
      </w:r>
      <w:r w:rsidRPr="001E42CA">
        <w:t xml:space="preserve">.  The Commission will send a copy of the </w:t>
      </w:r>
      <w:r w:rsidRPr="005217CC">
        <w:rPr>
          <w:i/>
          <w:iCs/>
        </w:rPr>
        <w:t>NPRM</w:t>
      </w:r>
      <w:r w:rsidRPr="001E42CA">
        <w:t>, including this IRFA, to the Chief Counsel for the Small Business Administration (SBA)</w:t>
      </w:r>
      <w:r w:rsidR="00EA5470">
        <w:t xml:space="preserve"> Office of Advocacy</w:t>
      </w:r>
      <w:r w:rsidRPr="001E42CA">
        <w:t>.</w:t>
      </w:r>
      <w:r>
        <w:rPr>
          <w:rStyle w:val="FootnoteReference"/>
          <w:szCs w:val="22"/>
        </w:rPr>
        <w:footnoteReference w:id="116"/>
      </w:r>
      <w:r w:rsidRPr="001E42CA">
        <w:t xml:space="preserve">  In addition, the </w:t>
      </w:r>
      <w:r w:rsidRPr="005217CC">
        <w:rPr>
          <w:i/>
          <w:iCs/>
        </w:rPr>
        <w:t>NPRM</w:t>
      </w:r>
      <w:r w:rsidRPr="001E42CA">
        <w:t xml:space="preserve"> and IRFA (or summaries thereof) will be published in the Federal Register.</w:t>
      </w:r>
      <w:r>
        <w:rPr>
          <w:rStyle w:val="FootnoteReference"/>
          <w:szCs w:val="22"/>
        </w:rPr>
        <w:footnoteReference w:id="117"/>
      </w:r>
    </w:p>
    <w:p w:rsidR="005A7639" w:rsidP="005A7639" w14:paraId="30DEBE0B" w14:textId="77777777">
      <w:pPr>
        <w:pStyle w:val="Heading2"/>
      </w:pPr>
      <w:bookmarkStart w:id="208" w:name="_Toc306361652"/>
      <w:bookmarkStart w:id="209" w:name="_Toc306369004"/>
      <w:bookmarkStart w:id="210" w:name="_Toc306617178"/>
      <w:bookmarkStart w:id="211" w:name="_Toc306888367"/>
      <w:bookmarkStart w:id="212" w:name="_Toc119934595"/>
      <w:bookmarkStart w:id="213" w:name="_Toc119934950"/>
      <w:bookmarkStart w:id="214" w:name="_Toc119936963"/>
      <w:bookmarkStart w:id="215" w:name="_Toc119937160"/>
      <w:bookmarkStart w:id="216" w:name="_Toc119937319"/>
      <w:bookmarkStart w:id="217" w:name="_Toc119937395"/>
      <w:bookmarkStart w:id="218" w:name="_Toc119937554"/>
      <w:bookmarkStart w:id="219" w:name="_Toc147923079"/>
      <w:bookmarkStart w:id="220" w:name="_Toc150243951"/>
      <w:bookmarkStart w:id="221" w:name="_Toc156913561"/>
      <w:bookmarkStart w:id="222" w:name="_Toc202958367"/>
      <w:r>
        <w:t>Need for, and Objectives of, the Proposed Rules</w:t>
      </w:r>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p>
    <w:p w:rsidR="005A7639" w:rsidP="005A7639" w14:paraId="6C2D6B75" w14:textId="77777777">
      <w:pPr>
        <w:pStyle w:val="ParaNum"/>
        <w:numPr>
          <w:ilvl w:val="0"/>
          <w:numId w:val="3"/>
        </w:numPr>
        <w:tabs>
          <w:tab w:val="clear" w:pos="1080"/>
        </w:tabs>
      </w:pPr>
      <w:r>
        <w:t>Every four years, t</w:t>
      </w:r>
      <w:r w:rsidRPr="00F210FC">
        <w:t xml:space="preserve">he Commission is required by statute to review its media ownership rules to determine whether they </w:t>
      </w:r>
      <w:r>
        <w:t>“</w:t>
      </w:r>
      <w:r w:rsidRPr="00F210FC">
        <w:t>are necessary in the public interest as the result of competition.</w:t>
      </w:r>
      <w:r>
        <w:t>”</w:t>
      </w:r>
      <w:r>
        <w:rPr>
          <w:rStyle w:val="FootnoteReference"/>
          <w:szCs w:val="22"/>
        </w:rPr>
        <w:footnoteReference w:id="118"/>
      </w:r>
      <w:r>
        <w:t xml:space="preserve">  </w:t>
      </w:r>
      <w:r w:rsidRPr="005F0B9B">
        <w:t xml:space="preserve">In the </w:t>
      </w:r>
      <w:r w:rsidRPr="005217CC">
        <w:rPr>
          <w:i/>
          <w:iCs/>
        </w:rPr>
        <w:t>NPRM</w:t>
      </w:r>
      <w:r w:rsidRPr="005F0B9B">
        <w:t xml:space="preserve">, the Commission seeks review of </w:t>
      </w:r>
      <w:r>
        <w:t>these</w:t>
      </w:r>
      <w:r w:rsidRPr="005F0B9B">
        <w:t xml:space="preserve"> rules and consider</w:t>
      </w:r>
      <w:r>
        <w:t>s</w:t>
      </w:r>
      <w:r w:rsidRPr="005F0B9B">
        <w:t xml:space="preserve"> possible changes</w:t>
      </w:r>
      <w:r>
        <w:t xml:space="preserve"> when necessary</w:t>
      </w:r>
      <w:r w:rsidRPr="005F0B9B">
        <w:t xml:space="preserve">. </w:t>
      </w:r>
      <w:r w:rsidRPr="00F210FC">
        <w:t xml:space="preserve"> </w:t>
      </w:r>
      <w:r>
        <w:t>As part of the process of</w:t>
      </w:r>
      <w:r w:rsidRPr="00F210FC">
        <w:t xml:space="preserve"> examin</w:t>
      </w:r>
      <w:r>
        <w:t>ing</w:t>
      </w:r>
      <w:r w:rsidRPr="00F210FC">
        <w:t xml:space="preserve"> its media ownership rules</w:t>
      </w:r>
      <w:r>
        <w:t>, the Commission must</w:t>
      </w:r>
      <w:r w:rsidRPr="00F210FC">
        <w:t xml:space="preserve"> consider whether they continue to serve</w:t>
      </w:r>
      <w:r>
        <w:t xml:space="preserve"> the</w:t>
      </w:r>
      <w:r w:rsidRPr="00F210FC">
        <w:t xml:space="preserve"> public interest</w:t>
      </w:r>
      <w:r>
        <w:t xml:space="preserve"> </w:t>
      </w:r>
      <w:r w:rsidRPr="00F210FC">
        <w:t>or</w:t>
      </w:r>
      <w:r w:rsidR="008C2E05">
        <w:t>,</w:t>
      </w:r>
      <w:r>
        <w:t xml:space="preserve"> </w:t>
      </w:r>
      <w:r w:rsidRPr="00F8322A">
        <w:t>alternatively</w:t>
      </w:r>
      <w:r>
        <w:t>,</w:t>
      </w:r>
      <w:r w:rsidRPr="00F210FC">
        <w:t xml:space="preserve"> whether they should be modified or eliminated.</w:t>
      </w:r>
      <w:r>
        <w:rPr>
          <w:rStyle w:val="FootnoteReference"/>
        </w:rPr>
        <w:footnoteReference w:id="119"/>
      </w:r>
      <w:r w:rsidRPr="00F210FC">
        <w:t xml:space="preserve">  Specifically, the </w:t>
      </w:r>
      <w:r w:rsidRPr="005217CC">
        <w:rPr>
          <w:i/>
          <w:iCs/>
        </w:rPr>
        <w:t>NPRM</w:t>
      </w:r>
      <w:r w:rsidRPr="00F210FC">
        <w:t xml:space="preserve"> examines </w:t>
      </w:r>
      <w:r>
        <w:t>three</w:t>
      </w:r>
      <w:r w:rsidRPr="00F210FC">
        <w:t xml:space="preserve"> media ownership rules</w:t>
      </w:r>
      <w:r>
        <w:t>:</w:t>
      </w:r>
      <w:r w:rsidRPr="00F210FC">
        <w:t xml:space="preserve"> </w:t>
      </w:r>
      <w:r>
        <w:t xml:space="preserve">(1) </w:t>
      </w:r>
      <w:r w:rsidRPr="00F210FC">
        <w:t>the Local Radio Ownership Rule</w:t>
      </w:r>
      <w:r>
        <w:t>;</w:t>
      </w:r>
      <w:r w:rsidRPr="00F210FC">
        <w:t xml:space="preserve"> </w:t>
      </w:r>
      <w:r>
        <w:t xml:space="preserve">(2) </w:t>
      </w:r>
      <w:r w:rsidRPr="00F210FC">
        <w:t>the Local Television Ownership Rule</w:t>
      </w:r>
      <w:r>
        <w:t xml:space="preserve">; </w:t>
      </w:r>
      <w:r w:rsidRPr="00F210FC">
        <w:t xml:space="preserve">and </w:t>
      </w:r>
      <w:r>
        <w:t xml:space="preserve">(3) </w:t>
      </w:r>
      <w:r w:rsidRPr="00F210FC">
        <w:t xml:space="preserve">the </w:t>
      </w:r>
      <w:r>
        <w:t>Dual Network Rule</w:t>
      </w:r>
      <w:r w:rsidRPr="00F210FC">
        <w:t xml:space="preserve">.  </w:t>
      </w:r>
      <w:r w:rsidRPr="00973896">
        <w:t>The Local Radio Ownership Rule limits the number of radio stations an entity may own within the same local market.</w:t>
      </w:r>
      <w:r>
        <w:rPr>
          <w:rStyle w:val="FootnoteReference"/>
        </w:rPr>
        <w:footnoteReference w:id="120"/>
      </w:r>
      <w:r w:rsidRPr="00973896">
        <w:t xml:space="preserve">  </w:t>
      </w:r>
      <w:r>
        <w:t xml:space="preserve">In the </w:t>
      </w:r>
      <w:r w:rsidRPr="005217CC">
        <w:rPr>
          <w:i/>
          <w:iCs/>
        </w:rPr>
        <w:t>NPRM</w:t>
      </w:r>
      <w:r>
        <w:t>, the Commission seeks comment on whether th</w:t>
      </w:r>
      <w:r w:rsidRPr="00540EDA">
        <w:t xml:space="preserve">e Local Radio Ownership Rule </w:t>
      </w:r>
      <w:r>
        <w:t xml:space="preserve">remains necessary in the public interest as the result of competition, and if not, whether to modify or eliminate part or all of the rule.  </w:t>
      </w:r>
      <w:r w:rsidRPr="00AB23BE">
        <w:t>The Local Television Ownership Rule limits the number of full power television stations an entity may own within the same local market.</w:t>
      </w:r>
      <w:r>
        <w:rPr>
          <w:rStyle w:val="FootnoteReference"/>
        </w:rPr>
        <w:footnoteReference w:id="121"/>
      </w:r>
      <w:r w:rsidRPr="00AB23BE">
        <w:t xml:space="preserve"> </w:t>
      </w:r>
      <w:r>
        <w:t xml:space="preserve"> In the </w:t>
      </w:r>
      <w:r w:rsidRPr="005217CC">
        <w:rPr>
          <w:i/>
          <w:iCs/>
        </w:rPr>
        <w:t>NPRM</w:t>
      </w:r>
      <w:r>
        <w:t xml:space="preserve">, the Commission seeks comment on whether the Local Television Ownership Rule is necessary in the public interest as the result of competition.  In the event that the Commission concludes that the existing Local Television Ownership Rule is no longer necessary, the </w:t>
      </w:r>
      <w:r>
        <w:rPr>
          <w:i/>
          <w:iCs/>
        </w:rPr>
        <w:t xml:space="preserve">NPRM </w:t>
      </w:r>
      <w:r>
        <w:t>seeks comment on whether to revise or eliminate the rule</w:t>
      </w:r>
      <w:r w:rsidRPr="00BF7A69">
        <w:t xml:space="preserve">.  </w:t>
      </w:r>
      <w:r>
        <w:t xml:space="preserve">Finally, the Dual Network Rule </w:t>
      </w:r>
      <w:r w:rsidRPr="00536191">
        <w:t>seeks to encourage licensees to focus on local issues and maintain a balance between nationally-focused broadcast networks and their local affiliates</w:t>
      </w:r>
      <w:r>
        <w:t xml:space="preserve"> by</w:t>
      </w:r>
      <w:r w:rsidRPr="00536191">
        <w:t xml:space="preserve"> </w:t>
      </w:r>
      <w:r w:rsidRPr="00984439">
        <w:t>effectively prohibit</w:t>
      </w:r>
      <w:r>
        <w:t>ing</w:t>
      </w:r>
      <w:r w:rsidRPr="00984439">
        <w:t xml:space="preserve"> a merger between or among any of the Big Four networks</w:t>
      </w:r>
      <w:r>
        <w:t xml:space="preserve"> (ABC, CBS, Fox, and NBC).</w:t>
      </w:r>
      <w:r>
        <w:rPr>
          <w:rStyle w:val="FootnoteReference"/>
        </w:rPr>
        <w:footnoteReference w:id="122"/>
      </w:r>
      <w:r>
        <w:t xml:space="preserve"> </w:t>
      </w:r>
      <w:r w:rsidRPr="00984439">
        <w:t xml:space="preserve"> </w:t>
      </w:r>
      <w:bookmarkStart w:id="223" w:name="_Ref306804814"/>
      <w:r w:rsidRPr="00104B7E">
        <w:t xml:space="preserve">The Commission seeks comment </w:t>
      </w:r>
      <w:r>
        <w:t xml:space="preserve">from interested parties </w:t>
      </w:r>
      <w:r w:rsidRPr="00104B7E">
        <w:t xml:space="preserve">on its </w:t>
      </w:r>
      <w:r>
        <w:t>proposed approaches to these media ownership rules, ideas or proposals for how to modify the rules, as well as how to measure or balance associated</w:t>
      </w:r>
      <w:r w:rsidRPr="00104B7E">
        <w:t xml:space="preserve"> costs and benefit</w:t>
      </w:r>
      <w:r>
        <w:t xml:space="preserve">s.  Lastly, the Commission seeks comments reflecting </w:t>
      </w:r>
      <w:r w:rsidRPr="00104B7E">
        <w:t xml:space="preserve">alternative approaches, and ways to reduce costs associated with these approaches, especially </w:t>
      </w:r>
      <w:r>
        <w:t>as it relates to</w:t>
      </w:r>
      <w:r w:rsidRPr="00104B7E">
        <w:t xml:space="preserve"> small </w:t>
      </w:r>
      <w:r>
        <w:t>entities</w:t>
      </w:r>
      <w:r w:rsidRPr="00104B7E">
        <w:t>.</w:t>
      </w:r>
    </w:p>
    <w:p w:rsidR="005A7639" w:rsidRPr="00B54FB6" w:rsidP="005A7639" w14:paraId="258061F0" w14:textId="77777777">
      <w:pPr>
        <w:pStyle w:val="Heading2"/>
        <w:rPr>
          <w:color w:val="000000"/>
          <w:spacing w:val="-3"/>
        </w:rPr>
      </w:pPr>
      <w:bookmarkStart w:id="224" w:name="_Toc306361653"/>
      <w:bookmarkStart w:id="225" w:name="_Toc306369005"/>
      <w:bookmarkStart w:id="226" w:name="_Toc306617179"/>
      <w:bookmarkStart w:id="227" w:name="_Toc306888368"/>
      <w:bookmarkStart w:id="228" w:name="_Toc119934596"/>
      <w:bookmarkStart w:id="229" w:name="_Toc119934951"/>
      <w:bookmarkStart w:id="230" w:name="_Toc119936964"/>
      <w:bookmarkStart w:id="231" w:name="_Toc119937161"/>
      <w:bookmarkStart w:id="232" w:name="_Toc119937320"/>
      <w:bookmarkStart w:id="233" w:name="_Toc119937396"/>
      <w:bookmarkStart w:id="234" w:name="_Toc119937555"/>
      <w:bookmarkStart w:id="235" w:name="_Toc147923080"/>
      <w:bookmarkStart w:id="236" w:name="_Toc150243952"/>
      <w:bookmarkStart w:id="237" w:name="_Toc156913562"/>
      <w:bookmarkStart w:id="238" w:name="_Toc202958368"/>
      <w:bookmarkEnd w:id="223"/>
      <w:r>
        <w:t>Legal Basis</w:t>
      </w:r>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p>
    <w:p w:rsidR="005A7639" w:rsidRPr="00B54FB6" w:rsidP="005A7639" w14:paraId="493A0689" w14:textId="77777777">
      <w:pPr>
        <w:pStyle w:val="ParaNum"/>
        <w:numPr>
          <w:ilvl w:val="0"/>
          <w:numId w:val="3"/>
        </w:numPr>
        <w:tabs>
          <w:tab w:val="clear" w:pos="1080"/>
        </w:tabs>
        <w:rPr>
          <w:color w:val="000000"/>
          <w:spacing w:val="-3"/>
        </w:rPr>
      </w:pPr>
      <w:r>
        <w:t>The proposed action is authorized pursuant to sections 1, 2(a), 4(</w:t>
      </w:r>
      <w:r>
        <w:t>i</w:t>
      </w:r>
      <w:r>
        <w:t>), 257, 303, 307, 309, 310, and 403 of the Communications Act of 1934, as amended, 47 U.S.C. §§ 151, 152(a), 154(</w:t>
      </w:r>
      <w:r>
        <w:t>i</w:t>
      </w:r>
      <w:r>
        <w:t>), 257, 303, 307, 309, 310, and 403, and section 202(h) of the Telecommunications Act of 1996.</w:t>
      </w:r>
    </w:p>
    <w:p w:rsidR="005A7639" w:rsidP="005A7639" w14:paraId="52198126" w14:textId="77777777">
      <w:pPr>
        <w:pStyle w:val="Heading2"/>
      </w:pPr>
      <w:bookmarkStart w:id="239" w:name="_Toc306361654"/>
      <w:bookmarkStart w:id="240" w:name="_Toc306369006"/>
      <w:bookmarkStart w:id="241" w:name="_Toc306617180"/>
      <w:bookmarkStart w:id="242" w:name="_Toc306888369"/>
      <w:bookmarkStart w:id="243" w:name="_Toc119934597"/>
      <w:bookmarkStart w:id="244" w:name="_Toc119934952"/>
      <w:bookmarkStart w:id="245" w:name="_Toc119936965"/>
      <w:bookmarkStart w:id="246" w:name="_Toc119937162"/>
      <w:bookmarkStart w:id="247" w:name="_Toc119937321"/>
      <w:bookmarkStart w:id="248" w:name="_Toc119937397"/>
      <w:bookmarkStart w:id="249" w:name="_Toc119937556"/>
      <w:bookmarkStart w:id="250" w:name="_Toc147923081"/>
      <w:bookmarkStart w:id="251" w:name="_Toc150243953"/>
      <w:bookmarkStart w:id="252" w:name="_Toc156913563"/>
      <w:bookmarkStart w:id="253" w:name="_Toc202958369"/>
      <w:r>
        <w:t>Description and Estimate of the Number of Small Entities to Which the Proposed Rules Will Apply</w:t>
      </w:r>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p>
    <w:p w:rsidR="005A7639" w:rsidRPr="001E42CA" w:rsidP="005A7639" w14:paraId="377C5E4E" w14:textId="77777777">
      <w:pPr>
        <w:pStyle w:val="ParaNum"/>
        <w:numPr>
          <w:ilvl w:val="0"/>
          <w:numId w:val="3"/>
        </w:numPr>
        <w:tabs>
          <w:tab w:val="clear" w:pos="1080"/>
        </w:tabs>
        <w:rPr>
          <w:snapToGrid/>
        </w:rPr>
      </w:pPr>
      <w:r w:rsidRPr="00112F5D">
        <w:rPr>
          <w:snapToGrid/>
        </w:rPr>
        <w:t xml:space="preserve">The RFA </w:t>
      </w:r>
      <w:r w:rsidRPr="00112F5D">
        <w:t>directs</w:t>
      </w:r>
      <w:r w:rsidRPr="00112F5D">
        <w:rPr>
          <w:snapToGrid/>
        </w:rPr>
        <w:t xml:space="preserve"> </w:t>
      </w:r>
      <w:r w:rsidRPr="00000FCD">
        <w:t>agencies</w:t>
      </w:r>
      <w:r w:rsidRPr="00112F5D">
        <w:rPr>
          <w:snapToGrid/>
        </w:rPr>
        <w:t xml:space="preserve"> to provide a description of, and where feasible, an estimate of the number of small entities that may be affected by the proposed rules, if adopted.</w:t>
      </w:r>
      <w:r>
        <w:rPr>
          <w:snapToGrid/>
          <w:sz w:val="20"/>
          <w:vertAlign w:val="superscript"/>
        </w:rPr>
        <w:footnoteReference w:id="123"/>
      </w:r>
      <w:r w:rsidRPr="001E42CA">
        <w:rPr>
          <w:snapToGrid/>
        </w:rPr>
        <w:t xml:space="preserve">  The RFA generally defines the term </w:t>
      </w:r>
      <w:r>
        <w:rPr>
          <w:snapToGrid/>
        </w:rPr>
        <w:t>“</w:t>
      </w:r>
      <w:r w:rsidRPr="001E42CA">
        <w:rPr>
          <w:snapToGrid/>
        </w:rPr>
        <w:t>small entity</w:t>
      </w:r>
      <w:r>
        <w:rPr>
          <w:snapToGrid/>
        </w:rPr>
        <w:t>”</w:t>
      </w:r>
      <w:r w:rsidRPr="001E42CA">
        <w:rPr>
          <w:snapToGrid/>
        </w:rPr>
        <w:t xml:space="preserve"> as having the same meaning as the terms </w:t>
      </w:r>
      <w:r>
        <w:rPr>
          <w:snapToGrid/>
        </w:rPr>
        <w:t>“</w:t>
      </w:r>
      <w:r w:rsidRPr="001E42CA">
        <w:rPr>
          <w:snapToGrid/>
        </w:rPr>
        <w:t>small business,</w:t>
      </w:r>
      <w:r>
        <w:rPr>
          <w:snapToGrid/>
        </w:rPr>
        <w:t>”</w:t>
      </w:r>
      <w:r w:rsidRPr="001E42CA">
        <w:rPr>
          <w:snapToGrid/>
        </w:rPr>
        <w:t xml:space="preserve"> </w:t>
      </w:r>
      <w:r>
        <w:rPr>
          <w:snapToGrid/>
        </w:rPr>
        <w:t>“</w:t>
      </w:r>
      <w:r w:rsidRPr="001E42CA">
        <w:rPr>
          <w:snapToGrid/>
        </w:rPr>
        <w:t>small organization,</w:t>
      </w:r>
      <w:r>
        <w:rPr>
          <w:snapToGrid/>
        </w:rPr>
        <w:t>”</w:t>
      </w:r>
      <w:r w:rsidRPr="001E42CA">
        <w:rPr>
          <w:snapToGrid/>
        </w:rPr>
        <w:t xml:space="preserve"> and </w:t>
      </w:r>
      <w:r>
        <w:rPr>
          <w:snapToGrid/>
        </w:rPr>
        <w:t>“</w:t>
      </w:r>
      <w:r w:rsidRPr="001E42CA">
        <w:rPr>
          <w:snapToGrid/>
        </w:rPr>
        <w:t>small governmental jurisdiction.</w:t>
      </w:r>
      <w:r>
        <w:rPr>
          <w:snapToGrid/>
        </w:rPr>
        <w:t>”</w:t>
      </w:r>
      <w:r>
        <w:rPr>
          <w:snapToGrid/>
          <w:sz w:val="20"/>
          <w:vertAlign w:val="superscript"/>
        </w:rPr>
        <w:footnoteReference w:id="124"/>
      </w:r>
      <w:r w:rsidRPr="001E42CA">
        <w:rPr>
          <w:snapToGrid/>
        </w:rPr>
        <w:t xml:space="preserve">  In addition, the term </w:t>
      </w:r>
      <w:r>
        <w:rPr>
          <w:snapToGrid/>
        </w:rPr>
        <w:t>“</w:t>
      </w:r>
      <w:r w:rsidRPr="001E42CA">
        <w:rPr>
          <w:snapToGrid/>
        </w:rPr>
        <w:t>small business</w:t>
      </w:r>
      <w:r>
        <w:rPr>
          <w:snapToGrid/>
        </w:rPr>
        <w:t>”</w:t>
      </w:r>
      <w:r w:rsidRPr="001E42CA">
        <w:rPr>
          <w:snapToGrid/>
        </w:rPr>
        <w:t xml:space="preserve"> has the same meaning as the term </w:t>
      </w:r>
      <w:r>
        <w:rPr>
          <w:snapToGrid/>
        </w:rPr>
        <w:t>“</w:t>
      </w:r>
      <w:r w:rsidRPr="001E42CA">
        <w:rPr>
          <w:snapToGrid/>
        </w:rPr>
        <w:t>small business concern</w:t>
      </w:r>
      <w:r>
        <w:rPr>
          <w:snapToGrid/>
        </w:rPr>
        <w:t>”</w:t>
      </w:r>
      <w:r w:rsidRPr="001E42CA">
        <w:rPr>
          <w:snapToGrid/>
        </w:rPr>
        <w:t xml:space="preserve"> under the Small Business Act</w:t>
      </w:r>
      <w:r>
        <w:rPr>
          <w:snapToGrid/>
        </w:rPr>
        <w:t xml:space="preserve"> (SBA)</w:t>
      </w:r>
      <w:r w:rsidRPr="001E42CA">
        <w:rPr>
          <w:snapToGrid/>
        </w:rPr>
        <w:t>.</w:t>
      </w:r>
      <w:r>
        <w:rPr>
          <w:snapToGrid/>
          <w:sz w:val="20"/>
          <w:vertAlign w:val="superscript"/>
        </w:rPr>
        <w:footnoteReference w:id="125"/>
      </w:r>
      <w:r w:rsidRPr="001E42CA">
        <w:rPr>
          <w:snapToGrid/>
        </w:rPr>
        <w:t xml:space="preserve">  A </w:t>
      </w:r>
      <w:r>
        <w:rPr>
          <w:snapToGrid/>
        </w:rPr>
        <w:t>“</w:t>
      </w:r>
      <w:r w:rsidRPr="001E42CA">
        <w:rPr>
          <w:snapToGrid/>
        </w:rPr>
        <w:t>small business concern</w:t>
      </w:r>
      <w:r>
        <w:rPr>
          <w:snapToGrid/>
        </w:rPr>
        <w:t>”</w:t>
      </w:r>
      <w:r w:rsidRPr="001E42CA">
        <w:rPr>
          <w:snapToGrid/>
        </w:rPr>
        <w:t xml:space="preserve"> is one which: (1) is independently owned and operated; (2) is not dominant in its field of operation; and (3) satisfies any additional criteria established by the SBA.</w:t>
      </w:r>
      <w:r>
        <w:rPr>
          <w:snapToGrid/>
          <w:sz w:val="20"/>
          <w:vertAlign w:val="superscript"/>
        </w:rPr>
        <w:footnoteReference w:id="126"/>
      </w:r>
      <w:r w:rsidRPr="001E42CA">
        <w:rPr>
          <w:snapToGrid/>
        </w:rPr>
        <w:t xml:space="preserve">  </w:t>
      </w:r>
    </w:p>
    <w:p w:rsidR="005A7639" w:rsidRPr="00FD7913" w:rsidP="005A7639" w14:paraId="393AA576" w14:textId="77777777">
      <w:pPr>
        <w:pStyle w:val="ParaNum"/>
        <w:numPr>
          <w:ilvl w:val="0"/>
          <w:numId w:val="3"/>
        </w:numPr>
        <w:tabs>
          <w:tab w:val="clear" w:pos="1080"/>
          <w:tab w:val="num" w:pos="1440"/>
        </w:tabs>
        <w:snapToGrid w:val="0"/>
      </w:pPr>
      <w:r w:rsidRPr="00FD7913">
        <w:t>Our actions, over time, may affect small entities that are not easily categorized at present.  We therefore describe three broad groups of small entities that could be directly affected by our actions.</w:t>
      </w:r>
      <w:r>
        <w:rPr>
          <w:rStyle w:val="FootnoteReference"/>
          <w:rFonts w:eastAsiaTheme="majorEastAsia"/>
        </w:rPr>
        <w:footnoteReference w:id="127"/>
      </w:r>
      <w:r w:rsidRPr="00FD7913">
        <w:t xml:space="preserve">  In general, a small business is an independent business having fewer than 500 employees.</w:t>
      </w:r>
      <w:r>
        <w:rPr>
          <w:rStyle w:val="FootnoteReference"/>
          <w:rFonts w:eastAsiaTheme="majorEastAsia"/>
        </w:rPr>
        <w:footnoteReference w:id="128"/>
      </w:r>
      <w:r w:rsidRPr="00FD7913">
        <w:t xml:space="preserve">  These types of small businesses represent 99.9% of all businesses in the United States, which translates to 34.75 million businesses.</w:t>
      </w:r>
      <w:r>
        <w:rPr>
          <w:rStyle w:val="FootnoteReference"/>
          <w:rFonts w:eastAsiaTheme="majorEastAsia"/>
        </w:rPr>
        <w:footnoteReference w:id="129"/>
      </w:r>
      <w:r w:rsidRPr="00FD7913">
        <w:t xml:space="preserve">  Next, “small organizations” are not-for-profit enterprises that are independently owned and operated and not dominant their field.</w:t>
      </w:r>
      <w:r>
        <w:rPr>
          <w:rStyle w:val="FootnoteReference"/>
          <w:rFonts w:eastAsiaTheme="majorEastAsia"/>
        </w:rPr>
        <w:footnoteReference w:id="130"/>
      </w:r>
      <w:r w:rsidRPr="00FD7913">
        <w:t xml:space="preserve">  While we do not have data regarding the number of non-profits that meet that criteria, over 99 percent of nonprofits have fewer than 500 employees.</w:t>
      </w:r>
      <w:r>
        <w:rPr>
          <w:rStyle w:val="FootnoteReference"/>
          <w:rFonts w:eastAsiaTheme="majorEastAsia"/>
        </w:rPr>
        <w:footnoteReference w:id="131"/>
      </w:r>
      <w:r w:rsidRPr="00FD7913">
        <w:t xml:space="preserve"> Finally, “small governmental jurisdictions” are defined as cities, counties, towns, townships, villages, school districts, or special districts with populations of less than fifty thousand.</w:t>
      </w:r>
      <w:r>
        <w:rPr>
          <w:rStyle w:val="FootnoteReference"/>
          <w:rFonts w:eastAsiaTheme="majorEastAsia"/>
        </w:rPr>
        <w:footnoteReference w:id="132"/>
      </w:r>
      <w:r w:rsidRPr="00FD7913">
        <w:t xml:space="preserve">  Based on the 2022 U.S. Census of Governments data, we estimate that at least 48,724 out of 90,835 local government jurisdictions have a population of less than 50,000.</w:t>
      </w:r>
      <w:r>
        <w:rPr>
          <w:rStyle w:val="FootnoteReference"/>
          <w:rFonts w:eastAsiaTheme="majorEastAsia"/>
        </w:rPr>
        <w:footnoteReference w:id="133"/>
      </w:r>
    </w:p>
    <w:p w:rsidR="005A7639" w:rsidRPr="00FD7913" w:rsidP="005A7639" w14:paraId="19EA7284" w14:textId="77777777">
      <w:pPr>
        <w:pStyle w:val="ParaNum"/>
        <w:widowControl/>
        <w:numPr>
          <w:ilvl w:val="0"/>
          <w:numId w:val="3"/>
        </w:numPr>
        <w:tabs>
          <w:tab w:val="clear" w:pos="1080"/>
          <w:tab w:val="num" w:pos="1440"/>
        </w:tabs>
        <w:snapToGrid w:val="0"/>
        <w:spacing w:after="240"/>
      </w:pPr>
      <w:r w:rsidRPr="00FD7913">
        <w:t xml:space="preserve">The actions </w:t>
      </w:r>
      <w:r>
        <w:t>proposed</w:t>
      </w:r>
      <w:r w:rsidRPr="00FD7913">
        <w:t xml:space="preserve"> in the </w:t>
      </w:r>
      <w:r>
        <w:rPr>
          <w:i/>
          <w:iCs/>
        </w:rPr>
        <w:t>NPRM</w:t>
      </w:r>
      <w:r w:rsidRPr="000367D4">
        <w:rPr>
          <w:i/>
          <w:iCs/>
        </w:rPr>
        <w:t xml:space="preserve"> </w:t>
      </w:r>
      <w:r w:rsidRPr="00FD7913">
        <w:t>will apply to small entities in the industries identified in the chart below by their six-digit North American Industry Classification System</w:t>
      </w:r>
      <w:r>
        <w:rPr>
          <w:rStyle w:val="FootnoteReference"/>
        </w:rPr>
        <w:footnoteReference w:id="134"/>
      </w:r>
      <w:r w:rsidRPr="00FD7913">
        <w:t xml:space="preserve"> codes and corresponding SBA size standard.</w:t>
      </w:r>
      <w:r w:rsidRPr="00FD7913">
        <w:rPr>
          <w:rStyle w:val="FootnoteReference"/>
        </w:rPr>
        <w:t xml:space="preserve"> </w:t>
      </w:r>
      <w:r>
        <w:rPr>
          <w:rStyle w:val="FootnoteReference"/>
        </w:rPr>
        <w:footnoteReference w:id="135"/>
      </w:r>
      <w:r w:rsidRPr="00FD7913">
        <w:t xml:space="preserve">  </w:t>
      </w:r>
    </w:p>
    <w:tbl>
      <w:tblPr>
        <w:tblW w:w="9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145"/>
        <w:gridCol w:w="900"/>
        <w:gridCol w:w="1710"/>
        <w:gridCol w:w="990"/>
        <w:gridCol w:w="990"/>
        <w:gridCol w:w="1530"/>
      </w:tblGrid>
      <w:tr w14:paraId="075A2BA4" w14:textId="77777777" w:rsidTr="00CE6E9D">
        <w:tblPrEx>
          <w:tblW w:w="9265" w:type="dxa"/>
          <w:tblLayout w:type="fixed"/>
          <w:tblLook w:val="04A0"/>
        </w:tblPrEx>
        <w:trPr>
          <w:trHeight w:val="585"/>
          <w:tblHeader/>
        </w:trPr>
        <w:tc>
          <w:tcPr>
            <w:tcW w:w="3145" w:type="dxa"/>
            <w:noWrap/>
            <w:hideMark/>
          </w:tcPr>
          <w:p w:rsidR="005A7639" w:rsidRPr="00FD7913" w:rsidP="00CE6E9D" w14:paraId="5237F2D7" w14:textId="77777777">
            <w:pPr>
              <w:widowControl/>
              <w:spacing w:after="120"/>
              <w:rPr>
                <w:b/>
                <w:bCs/>
                <w:snapToGrid/>
                <w:kern w:val="0"/>
                <w:sz w:val="20"/>
              </w:rPr>
            </w:pPr>
            <w:r w:rsidRPr="00FD7913">
              <w:rPr>
                <w:b/>
                <w:bCs/>
                <w:snapToGrid/>
                <w:kern w:val="0"/>
                <w:sz w:val="20"/>
              </w:rPr>
              <w:t>Regulated Industry</w:t>
            </w:r>
          </w:p>
        </w:tc>
        <w:tc>
          <w:tcPr>
            <w:tcW w:w="900" w:type="dxa"/>
            <w:hideMark/>
          </w:tcPr>
          <w:p w:rsidR="005A7639" w:rsidRPr="00FD7913" w:rsidP="00CE6E9D" w14:paraId="476C077C" w14:textId="77777777">
            <w:pPr>
              <w:widowControl/>
              <w:spacing w:after="120"/>
              <w:rPr>
                <w:b/>
                <w:bCs/>
                <w:snapToGrid/>
                <w:kern w:val="0"/>
                <w:sz w:val="20"/>
              </w:rPr>
            </w:pPr>
            <w:r w:rsidRPr="00FD7913">
              <w:rPr>
                <w:b/>
                <w:bCs/>
                <w:snapToGrid/>
                <w:kern w:val="0"/>
                <w:sz w:val="20"/>
              </w:rPr>
              <w:t>NAICS Code</w:t>
            </w:r>
          </w:p>
        </w:tc>
        <w:tc>
          <w:tcPr>
            <w:tcW w:w="1710" w:type="dxa"/>
            <w:noWrap/>
            <w:hideMark/>
          </w:tcPr>
          <w:p w:rsidR="005A7639" w:rsidRPr="00FD7913" w:rsidP="00CE6E9D" w14:paraId="1667F0AC" w14:textId="77777777">
            <w:pPr>
              <w:widowControl/>
              <w:spacing w:after="120"/>
              <w:rPr>
                <w:b/>
                <w:bCs/>
                <w:snapToGrid/>
                <w:kern w:val="0"/>
                <w:sz w:val="20"/>
              </w:rPr>
            </w:pPr>
            <w:r w:rsidRPr="00FD7913">
              <w:rPr>
                <w:b/>
                <w:bCs/>
                <w:snapToGrid/>
                <w:kern w:val="0"/>
                <w:sz w:val="20"/>
              </w:rPr>
              <w:t xml:space="preserve">SBA Size Standard </w:t>
            </w:r>
          </w:p>
        </w:tc>
        <w:tc>
          <w:tcPr>
            <w:tcW w:w="990" w:type="dxa"/>
            <w:hideMark/>
          </w:tcPr>
          <w:p w:rsidR="005A7639" w:rsidRPr="00FD7913" w:rsidP="00CE6E9D" w14:paraId="2C88BB0C" w14:textId="77777777">
            <w:pPr>
              <w:widowControl/>
              <w:spacing w:after="120"/>
              <w:rPr>
                <w:b/>
                <w:bCs/>
                <w:snapToGrid/>
                <w:kern w:val="0"/>
                <w:sz w:val="20"/>
              </w:rPr>
            </w:pPr>
            <w:r w:rsidRPr="00FD7913">
              <w:rPr>
                <w:b/>
                <w:bCs/>
                <w:snapToGrid/>
                <w:kern w:val="0"/>
                <w:sz w:val="20"/>
              </w:rPr>
              <w:t>Total Firms</w:t>
            </w:r>
            <w:r>
              <w:rPr>
                <w:rFonts w:eastAsiaTheme="majorEastAsia"/>
                <w:bCs/>
                <w:snapToGrid/>
                <w:kern w:val="0"/>
                <w:sz w:val="20"/>
                <w:vertAlign w:val="superscript"/>
              </w:rPr>
              <w:footnoteReference w:id="136"/>
            </w:r>
          </w:p>
        </w:tc>
        <w:tc>
          <w:tcPr>
            <w:tcW w:w="990" w:type="dxa"/>
          </w:tcPr>
          <w:p w:rsidR="005A7639" w:rsidRPr="00FD7913" w:rsidP="00CE6E9D" w14:paraId="147C768E" w14:textId="77777777">
            <w:pPr>
              <w:widowControl/>
              <w:spacing w:after="120"/>
              <w:rPr>
                <w:b/>
                <w:bCs/>
                <w:snapToGrid/>
                <w:kern w:val="0"/>
                <w:sz w:val="20"/>
              </w:rPr>
            </w:pPr>
            <w:r w:rsidRPr="00FD7913">
              <w:rPr>
                <w:b/>
                <w:bCs/>
                <w:snapToGrid/>
                <w:kern w:val="0"/>
                <w:sz w:val="20"/>
              </w:rPr>
              <w:t>Small Firms</w:t>
            </w:r>
            <w:r>
              <w:rPr>
                <w:rFonts w:eastAsiaTheme="majorEastAsia"/>
                <w:bCs/>
                <w:snapToGrid/>
                <w:kern w:val="0"/>
                <w:sz w:val="20"/>
                <w:vertAlign w:val="superscript"/>
              </w:rPr>
              <w:footnoteReference w:id="137"/>
            </w:r>
          </w:p>
        </w:tc>
        <w:tc>
          <w:tcPr>
            <w:tcW w:w="1530" w:type="dxa"/>
            <w:hideMark/>
          </w:tcPr>
          <w:p w:rsidR="005A7639" w:rsidRPr="00FD7913" w:rsidP="00CE6E9D" w14:paraId="05DCEC19" w14:textId="77777777">
            <w:pPr>
              <w:widowControl/>
              <w:spacing w:after="120"/>
              <w:rPr>
                <w:b/>
                <w:bCs/>
                <w:snapToGrid/>
                <w:kern w:val="0"/>
                <w:sz w:val="20"/>
              </w:rPr>
            </w:pPr>
            <w:r w:rsidRPr="00FD7913">
              <w:rPr>
                <w:b/>
                <w:bCs/>
                <w:snapToGrid/>
                <w:kern w:val="0"/>
                <w:sz w:val="20"/>
              </w:rPr>
              <w:t>% Small Firms in Industry</w:t>
            </w:r>
          </w:p>
        </w:tc>
      </w:tr>
      <w:tr w14:paraId="0E8F90A3" w14:textId="77777777" w:rsidTr="00CE6E9D">
        <w:tblPrEx>
          <w:tblW w:w="9265" w:type="dxa"/>
          <w:tblLayout w:type="fixed"/>
          <w:tblLook w:val="04A0"/>
        </w:tblPrEx>
        <w:trPr>
          <w:trHeight w:val="300"/>
        </w:trPr>
        <w:tc>
          <w:tcPr>
            <w:tcW w:w="3145" w:type="dxa"/>
            <w:noWrap/>
            <w:vAlign w:val="center"/>
          </w:tcPr>
          <w:p w:rsidR="005A7639" w:rsidRPr="0049021B" w:rsidP="00CE6E9D" w14:paraId="2948DAAB" w14:textId="77777777">
            <w:pPr>
              <w:widowControl/>
              <w:spacing w:after="120"/>
              <w:rPr>
                <w:snapToGrid/>
                <w:kern w:val="0"/>
                <w:sz w:val="20"/>
              </w:rPr>
            </w:pPr>
            <w:r w:rsidRPr="00C81B1A">
              <w:rPr>
                <w:sz w:val="20"/>
              </w:rPr>
              <w:t>Radio Stations</w:t>
            </w:r>
          </w:p>
        </w:tc>
        <w:tc>
          <w:tcPr>
            <w:tcW w:w="900" w:type="dxa"/>
            <w:vAlign w:val="center"/>
          </w:tcPr>
          <w:p w:rsidR="005A7639" w:rsidRPr="0049021B" w:rsidP="00CE6E9D" w14:paraId="6AF98C6A" w14:textId="77777777">
            <w:pPr>
              <w:widowControl/>
              <w:spacing w:after="120"/>
              <w:rPr>
                <w:snapToGrid/>
                <w:kern w:val="0"/>
                <w:sz w:val="20"/>
              </w:rPr>
            </w:pPr>
            <w:r w:rsidRPr="00C81B1A">
              <w:rPr>
                <w:sz w:val="20"/>
              </w:rPr>
              <w:t>516110</w:t>
            </w:r>
          </w:p>
        </w:tc>
        <w:tc>
          <w:tcPr>
            <w:tcW w:w="1710" w:type="dxa"/>
            <w:noWrap/>
            <w:vAlign w:val="center"/>
          </w:tcPr>
          <w:p w:rsidR="005A7639" w:rsidRPr="0049021B" w:rsidP="00CE6E9D" w14:paraId="028CA47D" w14:textId="77777777">
            <w:pPr>
              <w:widowControl/>
              <w:spacing w:after="120"/>
              <w:rPr>
                <w:snapToGrid/>
                <w:kern w:val="0"/>
                <w:sz w:val="20"/>
              </w:rPr>
            </w:pPr>
            <w:r w:rsidRPr="00C81B1A">
              <w:rPr>
                <w:sz w:val="20"/>
              </w:rPr>
              <w:t>$47 million</w:t>
            </w:r>
          </w:p>
        </w:tc>
        <w:tc>
          <w:tcPr>
            <w:tcW w:w="990" w:type="dxa"/>
            <w:noWrap/>
            <w:vAlign w:val="center"/>
          </w:tcPr>
          <w:p w:rsidR="005A7639" w:rsidRPr="0049021B" w:rsidP="00CE6E9D" w14:paraId="688F0B20" w14:textId="77777777">
            <w:pPr>
              <w:widowControl/>
              <w:spacing w:after="120"/>
              <w:jc w:val="center"/>
              <w:rPr>
                <w:snapToGrid/>
                <w:kern w:val="0"/>
                <w:sz w:val="20"/>
              </w:rPr>
            </w:pPr>
            <w:r w:rsidRPr="00C81B1A">
              <w:rPr>
                <w:sz w:val="20"/>
              </w:rPr>
              <w:t>2,893</w:t>
            </w:r>
          </w:p>
        </w:tc>
        <w:tc>
          <w:tcPr>
            <w:tcW w:w="990" w:type="dxa"/>
            <w:vAlign w:val="center"/>
          </w:tcPr>
          <w:p w:rsidR="005A7639" w:rsidRPr="0049021B" w:rsidP="00CE6E9D" w14:paraId="52AAC1EA" w14:textId="77777777">
            <w:pPr>
              <w:widowControl/>
              <w:spacing w:after="120"/>
              <w:jc w:val="center"/>
              <w:rPr>
                <w:snapToGrid/>
                <w:kern w:val="0"/>
                <w:sz w:val="20"/>
              </w:rPr>
            </w:pPr>
            <w:r w:rsidRPr="00C81B1A">
              <w:rPr>
                <w:sz w:val="20"/>
              </w:rPr>
              <w:t>2,837</w:t>
            </w:r>
          </w:p>
        </w:tc>
        <w:tc>
          <w:tcPr>
            <w:tcW w:w="1530" w:type="dxa"/>
            <w:noWrap/>
            <w:vAlign w:val="center"/>
          </w:tcPr>
          <w:p w:rsidR="005A7639" w:rsidRPr="0049021B" w:rsidP="00CE6E9D" w14:paraId="7BDDFF14" w14:textId="77777777">
            <w:pPr>
              <w:widowControl/>
              <w:spacing w:after="120"/>
              <w:jc w:val="center"/>
              <w:rPr>
                <w:snapToGrid/>
                <w:kern w:val="0"/>
                <w:sz w:val="20"/>
              </w:rPr>
            </w:pPr>
            <w:r w:rsidRPr="00C81B1A">
              <w:rPr>
                <w:sz w:val="20"/>
              </w:rPr>
              <w:t>98.06</w:t>
            </w:r>
          </w:p>
        </w:tc>
      </w:tr>
      <w:tr w14:paraId="056065A8" w14:textId="77777777" w:rsidTr="00CE6E9D">
        <w:tblPrEx>
          <w:tblW w:w="9265" w:type="dxa"/>
          <w:tblLayout w:type="fixed"/>
          <w:tblLook w:val="04A0"/>
        </w:tblPrEx>
        <w:trPr>
          <w:trHeight w:val="300"/>
        </w:trPr>
        <w:tc>
          <w:tcPr>
            <w:tcW w:w="3145" w:type="dxa"/>
            <w:noWrap/>
            <w:vAlign w:val="center"/>
          </w:tcPr>
          <w:p w:rsidR="005A7639" w:rsidRPr="0049021B" w:rsidP="00CE6E9D" w14:paraId="34AC861F" w14:textId="77777777">
            <w:pPr>
              <w:widowControl/>
              <w:spacing w:after="120"/>
              <w:rPr>
                <w:kern w:val="0"/>
                <w:sz w:val="20"/>
              </w:rPr>
            </w:pPr>
            <w:r w:rsidRPr="00C81B1A">
              <w:rPr>
                <w:sz w:val="20"/>
              </w:rPr>
              <w:t>Television Broadcasting</w:t>
            </w:r>
          </w:p>
        </w:tc>
        <w:tc>
          <w:tcPr>
            <w:tcW w:w="900" w:type="dxa"/>
            <w:vAlign w:val="center"/>
          </w:tcPr>
          <w:p w:rsidR="005A7639" w:rsidRPr="0049021B" w:rsidP="00CE6E9D" w14:paraId="59A222FC" w14:textId="77777777">
            <w:pPr>
              <w:widowControl/>
              <w:spacing w:after="120"/>
              <w:rPr>
                <w:snapToGrid/>
                <w:kern w:val="0"/>
                <w:sz w:val="20"/>
              </w:rPr>
            </w:pPr>
            <w:r w:rsidRPr="00C81B1A">
              <w:rPr>
                <w:sz w:val="20"/>
              </w:rPr>
              <w:t>516120</w:t>
            </w:r>
          </w:p>
        </w:tc>
        <w:tc>
          <w:tcPr>
            <w:tcW w:w="1710" w:type="dxa"/>
            <w:noWrap/>
            <w:vAlign w:val="center"/>
          </w:tcPr>
          <w:p w:rsidR="005A7639" w:rsidRPr="0049021B" w:rsidP="00CE6E9D" w14:paraId="3C250194" w14:textId="77777777">
            <w:pPr>
              <w:widowControl/>
              <w:spacing w:after="120"/>
              <w:rPr>
                <w:snapToGrid/>
                <w:kern w:val="0"/>
                <w:sz w:val="20"/>
              </w:rPr>
            </w:pPr>
            <w:r w:rsidRPr="00C81B1A">
              <w:rPr>
                <w:sz w:val="20"/>
              </w:rPr>
              <w:t>$47 million</w:t>
            </w:r>
          </w:p>
        </w:tc>
        <w:tc>
          <w:tcPr>
            <w:tcW w:w="990" w:type="dxa"/>
            <w:noWrap/>
            <w:vAlign w:val="center"/>
          </w:tcPr>
          <w:p w:rsidR="005A7639" w:rsidRPr="0049021B" w:rsidP="00CE6E9D" w14:paraId="72BA510C" w14:textId="77777777">
            <w:pPr>
              <w:widowControl/>
              <w:spacing w:after="120"/>
              <w:jc w:val="center"/>
              <w:rPr>
                <w:snapToGrid/>
                <w:kern w:val="0"/>
                <w:sz w:val="20"/>
              </w:rPr>
            </w:pPr>
            <w:r w:rsidRPr="00C81B1A">
              <w:rPr>
                <w:sz w:val="20"/>
              </w:rPr>
              <w:t>744</w:t>
            </w:r>
          </w:p>
        </w:tc>
        <w:tc>
          <w:tcPr>
            <w:tcW w:w="990" w:type="dxa"/>
            <w:vAlign w:val="center"/>
          </w:tcPr>
          <w:p w:rsidR="005A7639" w:rsidRPr="0049021B" w:rsidP="00CE6E9D" w14:paraId="70C421BB" w14:textId="77777777">
            <w:pPr>
              <w:widowControl/>
              <w:spacing w:after="120"/>
              <w:jc w:val="center"/>
              <w:rPr>
                <w:snapToGrid/>
                <w:kern w:val="0"/>
                <w:sz w:val="20"/>
              </w:rPr>
            </w:pPr>
            <w:r w:rsidRPr="00C81B1A">
              <w:rPr>
                <w:sz w:val="20"/>
              </w:rPr>
              <w:t>657</w:t>
            </w:r>
          </w:p>
        </w:tc>
        <w:tc>
          <w:tcPr>
            <w:tcW w:w="1530" w:type="dxa"/>
            <w:noWrap/>
            <w:vAlign w:val="center"/>
          </w:tcPr>
          <w:p w:rsidR="005A7639" w:rsidRPr="0049021B" w:rsidP="00CE6E9D" w14:paraId="2F4F0430" w14:textId="77777777">
            <w:pPr>
              <w:widowControl/>
              <w:spacing w:after="120"/>
              <w:jc w:val="center"/>
              <w:rPr>
                <w:snapToGrid/>
                <w:kern w:val="0"/>
                <w:sz w:val="20"/>
              </w:rPr>
            </w:pPr>
            <w:r w:rsidRPr="00C81B1A">
              <w:rPr>
                <w:sz w:val="20"/>
              </w:rPr>
              <w:t>88.31</w:t>
            </w:r>
          </w:p>
        </w:tc>
      </w:tr>
    </w:tbl>
    <w:p w:rsidR="005A7639" w:rsidRPr="00C81B1A" w:rsidP="005A7639" w14:paraId="5E2884B1" w14:textId="77777777">
      <w:pPr>
        <w:pStyle w:val="ParaNum"/>
        <w:numPr>
          <w:ilvl w:val="0"/>
          <w:numId w:val="0"/>
        </w:numPr>
      </w:pPr>
    </w:p>
    <w:p w:rsidR="005A7639" w:rsidRPr="00D42E07" w:rsidP="005A7639" w14:paraId="53777003" w14:textId="77777777">
      <w:pPr>
        <w:pStyle w:val="ParaNum"/>
        <w:numPr>
          <w:ilvl w:val="0"/>
          <w:numId w:val="3"/>
        </w:numPr>
        <w:tabs>
          <w:tab w:val="clear" w:pos="1080"/>
        </w:tabs>
        <w:spacing w:after="240"/>
      </w:pPr>
      <w:r w:rsidRPr="005958E2">
        <w:t>Based on currently available U.S. Census data regarding the estimated number of small firms in each identified industry, we conclude that the adopted rules will impact a substantial number of small entities.  Where available, we provide additional information regarding the number of potentially affected entities in the above identified industries, and information for other affected entities, as follows.</w:t>
      </w:r>
    </w:p>
    <w:tbl>
      <w:tblPr>
        <w:tblW w:w="719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060"/>
        <w:gridCol w:w="1890"/>
        <w:gridCol w:w="900"/>
        <w:gridCol w:w="1345"/>
      </w:tblGrid>
      <w:tr w14:paraId="05CE8BBC" w14:textId="77777777" w:rsidTr="00CE6E9D">
        <w:tblPrEx>
          <w:tblW w:w="7195" w:type="dxa"/>
          <w:jc w:val="center"/>
          <w:tblLayout w:type="fixed"/>
          <w:tblLook w:val="04A0"/>
        </w:tblPrEx>
        <w:trPr>
          <w:trHeight w:val="300"/>
          <w:tblHeader/>
          <w:jc w:val="center"/>
        </w:trPr>
        <w:tc>
          <w:tcPr>
            <w:tcW w:w="3060" w:type="dxa"/>
            <w:noWrap/>
          </w:tcPr>
          <w:p w:rsidR="005A7639" w:rsidRPr="00D42E07" w:rsidP="00CE6E9D" w14:paraId="28110AA4" w14:textId="77777777">
            <w:pPr>
              <w:spacing w:after="120"/>
              <w:rPr>
                <w:b/>
                <w:bCs/>
                <w:kern w:val="0"/>
                <w:sz w:val="20"/>
              </w:rPr>
            </w:pPr>
            <w:r w:rsidRPr="00D42E07">
              <w:rPr>
                <w:b/>
                <w:bCs/>
                <w:kern w:val="0"/>
                <w:sz w:val="20"/>
              </w:rPr>
              <w:t>Broadcast Entities</w:t>
            </w:r>
          </w:p>
        </w:tc>
        <w:tc>
          <w:tcPr>
            <w:tcW w:w="4135" w:type="dxa"/>
            <w:gridSpan w:val="3"/>
            <w:noWrap/>
          </w:tcPr>
          <w:p w:rsidR="005A7639" w:rsidRPr="00D42E07" w:rsidP="00CE6E9D" w14:paraId="30D21078" w14:textId="77777777">
            <w:pPr>
              <w:jc w:val="center"/>
              <w:rPr>
                <w:kern w:val="0"/>
                <w:sz w:val="20"/>
              </w:rPr>
            </w:pPr>
            <w:r w:rsidRPr="00D42E07">
              <w:rPr>
                <w:b/>
                <w:bCs/>
                <w:kern w:val="0"/>
                <w:sz w:val="20"/>
              </w:rPr>
              <w:t>SBA Size Standard ($47 Million)</w:t>
            </w:r>
          </w:p>
        </w:tc>
      </w:tr>
      <w:tr w14:paraId="1E96FBDC" w14:textId="77777777" w:rsidTr="00CE6E9D">
        <w:tblPrEx>
          <w:tblW w:w="7195" w:type="dxa"/>
          <w:jc w:val="center"/>
          <w:tblLayout w:type="fixed"/>
          <w:tblLook w:val="04A0"/>
        </w:tblPrEx>
        <w:trPr>
          <w:trHeight w:val="300"/>
          <w:tblHeader/>
          <w:jc w:val="center"/>
        </w:trPr>
        <w:tc>
          <w:tcPr>
            <w:tcW w:w="3060" w:type="dxa"/>
            <w:noWrap/>
          </w:tcPr>
          <w:p w:rsidR="005A7639" w:rsidRPr="00D42E07" w:rsidP="00CE6E9D" w14:paraId="5FD3715A" w14:textId="77777777">
            <w:pPr>
              <w:spacing w:after="120"/>
              <w:rPr>
                <w:iCs/>
                <w:sz w:val="20"/>
              </w:rPr>
            </w:pPr>
            <w:r w:rsidRPr="00D42E07">
              <w:rPr>
                <w:b/>
                <w:bCs/>
                <w:kern w:val="0"/>
                <w:sz w:val="20"/>
              </w:rPr>
              <w:t>Affected Entity</w:t>
            </w:r>
          </w:p>
        </w:tc>
        <w:tc>
          <w:tcPr>
            <w:tcW w:w="1890" w:type="dxa"/>
            <w:noWrap/>
          </w:tcPr>
          <w:p w:rsidR="005A7639" w:rsidRPr="00D42E07" w:rsidP="00CE6E9D" w14:paraId="4DB08387" w14:textId="77777777">
            <w:pPr>
              <w:spacing w:after="120"/>
              <w:rPr>
                <w:b/>
                <w:bCs/>
                <w:kern w:val="0"/>
                <w:sz w:val="20"/>
              </w:rPr>
            </w:pPr>
            <w:r w:rsidRPr="00D42E07">
              <w:rPr>
                <w:b/>
                <w:bCs/>
                <w:kern w:val="0"/>
                <w:sz w:val="20"/>
              </w:rPr>
              <w:t xml:space="preserve"># Commercial Licensed </w:t>
            </w:r>
          </w:p>
        </w:tc>
        <w:tc>
          <w:tcPr>
            <w:tcW w:w="900" w:type="dxa"/>
          </w:tcPr>
          <w:p w:rsidR="005A7639" w:rsidRPr="00D42E07" w:rsidP="00CE6E9D" w14:paraId="07B2B939" w14:textId="77777777">
            <w:pPr>
              <w:spacing w:after="120"/>
              <w:rPr>
                <w:kern w:val="0"/>
                <w:sz w:val="20"/>
              </w:rPr>
            </w:pPr>
            <w:r w:rsidRPr="00D42E07">
              <w:rPr>
                <w:b/>
                <w:bCs/>
                <w:kern w:val="0"/>
                <w:sz w:val="20"/>
              </w:rPr>
              <w:t>Small Firms</w:t>
            </w:r>
            <w:r>
              <w:rPr>
                <w:rStyle w:val="FootnoteReference"/>
                <w:b/>
                <w:bCs/>
                <w:kern w:val="0"/>
              </w:rPr>
              <w:footnoteReference w:id="138"/>
            </w:r>
          </w:p>
        </w:tc>
        <w:tc>
          <w:tcPr>
            <w:tcW w:w="1345" w:type="dxa"/>
            <w:noWrap/>
          </w:tcPr>
          <w:p w:rsidR="005A7639" w:rsidRPr="00D42E07" w:rsidP="00CE6E9D" w14:paraId="6E7877C0" w14:textId="77777777">
            <w:pPr>
              <w:spacing w:after="120"/>
              <w:rPr>
                <w:kern w:val="0"/>
                <w:sz w:val="20"/>
              </w:rPr>
            </w:pPr>
            <w:r w:rsidRPr="00D42E07">
              <w:rPr>
                <w:b/>
                <w:bCs/>
                <w:kern w:val="0"/>
                <w:sz w:val="20"/>
              </w:rPr>
              <w:t>% Small Entities</w:t>
            </w:r>
          </w:p>
        </w:tc>
      </w:tr>
      <w:tr w14:paraId="792A18A0" w14:textId="77777777" w:rsidTr="00CE6E9D">
        <w:tblPrEx>
          <w:tblW w:w="7195" w:type="dxa"/>
          <w:jc w:val="center"/>
          <w:tblLayout w:type="fixed"/>
          <w:tblLook w:val="04A0"/>
        </w:tblPrEx>
        <w:trPr>
          <w:trHeight w:val="300"/>
          <w:jc w:val="center"/>
        </w:trPr>
        <w:tc>
          <w:tcPr>
            <w:tcW w:w="3060" w:type="dxa"/>
            <w:noWrap/>
          </w:tcPr>
          <w:p w:rsidR="005A7639" w:rsidRPr="00D42E07" w:rsidP="00CE6E9D" w14:paraId="2148EB2F" w14:textId="77777777">
            <w:pPr>
              <w:spacing w:after="120"/>
              <w:rPr>
                <w:iCs/>
                <w:kern w:val="0"/>
                <w:sz w:val="20"/>
              </w:rPr>
            </w:pPr>
            <w:r w:rsidRPr="00D42E07">
              <w:rPr>
                <w:iCs/>
                <w:sz w:val="20"/>
              </w:rPr>
              <w:t>Radio Stations (AM &amp; FM)</w:t>
            </w:r>
            <w:r>
              <w:rPr>
                <w:rStyle w:val="FootnoteReference"/>
                <w:kern w:val="0"/>
              </w:rPr>
              <w:footnoteReference w:id="139"/>
            </w:r>
          </w:p>
        </w:tc>
        <w:tc>
          <w:tcPr>
            <w:tcW w:w="1890" w:type="dxa"/>
            <w:noWrap/>
          </w:tcPr>
          <w:p w:rsidR="005A7639" w:rsidRPr="00D42E07" w:rsidP="00CE6E9D" w14:paraId="05732FC3" w14:textId="77777777">
            <w:pPr>
              <w:spacing w:after="120"/>
              <w:jc w:val="center"/>
              <w:rPr>
                <w:iCs/>
                <w:kern w:val="0"/>
                <w:sz w:val="20"/>
              </w:rPr>
            </w:pPr>
            <w:r w:rsidRPr="00D42E07">
              <w:rPr>
                <w:iCs/>
                <w:kern w:val="0"/>
                <w:sz w:val="20"/>
              </w:rPr>
              <w:t>10,962</w:t>
            </w:r>
          </w:p>
        </w:tc>
        <w:tc>
          <w:tcPr>
            <w:tcW w:w="900" w:type="dxa"/>
          </w:tcPr>
          <w:p w:rsidR="005A7639" w:rsidRPr="00D42E07" w:rsidP="00CE6E9D" w14:paraId="2EFBFC78" w14:textId="77777777">
            <w:pPr>
              <w:spacing w:after="120"/>
              <w:jc w:val="center"/>
              <w:rPr>
                <w:iCs/>
                <w:kern w:val="0"/>
                <w:sz w:val="20"/>
              </w:rPr>
            </w:pPr>
            <w:r w:rsidRPr="00D42E07">
              <w:rPr>
                <w:iCs/>
                <w:kern w:val="0"/>
                <w:sz w:val="20"/>
              </w:rPr>
              <w:t>10,961</w:t>
            </w:r>
          </w:p>
        </w:tc>
        <w:tc>
          <w:tcPr>
            <w:tcW w:w="1345" w:type="dxa"/>
            <w:noWrap/>
          </w:tcPr>
          <w:p w:rsidR="005A7639" w:rsidRPr="00D42E07" w:rsidP="00CE6E9D" w14:paraId="14115D04" w14:textId="77777777">
            <w:pPr>
              <w:spacing w:after="120"/>
              <w:jc w:val="center"/>
              <w:rPr>
                <w:iCs/>
                <w:kern w:val="0"/>
                <w:sz w:val="20"/>
              </w:rPr>
            </w:pPr>
            <w:r w:rsidRPr="00D42E07">
              <w:rPr>
                <w:iCs/>
                <w:kern w:val="0"/>
                <w:sz w:val="20"/>
              </w:rPr>
              <w:t>99.99</w:t>
            </w:r>
          </w:p>
        </w:tc>
      </w:tr>
      <w:tr w14:paraId="7C2B1360" w14:textId="77777777" w:rsidTr="00CE6E9D">
        <w:tblPrEx>
          <w:tblW w:w="7195" w:type="dxa"/>
          <w:jc w:val="center"/>
          <w:tblLayout w:type="fixed"/>
          <w:tblLook w:val="04A0"/>
        </w:tblPrEx>
        <w:trPr>
          <w:trHeight w:val="255"/>
          <w:jc w:val="center"/>
        </w:trPr>
        <w:tc>
          <w:tcPr>
            <w:tcW w:w="3060" w:type="dxa"/>
            <w:noWrap/>
          </w:tcPr>
          <w:p w:rsidR="005A7639" w:rsidRPr="00D42E07" w:rsidP="00CE6E9D" w14:paraId="5EFF987A" w14:textId="77777777">
            <w:pPr>
              <w:spacing w:after="120"/>
              <w:rPr>
                <w:iCs/>
                <w:kern w:val="0"/>
                <w:sz w:val="20"/>
              </w:rPr>
            </w:pPr>
            <w:r w:rsidRPr="00D42E07">
              <w:rPr>
                <w:iCs/>
                <w:sz w:val="20"/>
              </w:rPr>
              <w:t>Television Stations</w:t>
            </w:r>
            <w:r>
              <w:rPr>
                <w:rStyle w:val="FootnoteReference"/>
                <w:kern w:val="0"/>
              </w:rPr>
              <w:footnoteReference w:id="140"/>
            </w:r>
          </w:p>
        </w:tc>
        <w:tc>
          <w:tcPr>
            <w:tcW w:w="1890" w:type="dxa"/>
            <w:noWrap/>
          </w:tcPr>
          <w:p w:rsidR="005A7639" w:rsidRPr="00D42E07" w:rsidP="00CE6E9D" w14:paraId="0E895EF5" w14:textId="77777777">
            <w:pPr>
              <w:spacing w:after="120"/>
              <w:jc w:val="center"/>
              <w:rPr>
                <w:iCs/>
                <w:kern w:val="0"/>
                <w:sz w:val="20"/>
              </w:rPr>
            </w:pPr>
            <w:r w:rsidRPr="00D42E07">
              <w:rPr>
                <w:iCs/>
                <w:kern w:val="0"/>
                <w:sz w:val="20"/>
              </w:rPr>
              <w:t>1,384</w:t>
            </w:r>
          </w:p>
        </w:tc>
        <w:tc>
          <w:tcPr>
            <w:tcW w:w="900" w:type="dxa"/>
          </w:tcPr>
          <w:p w:rsidR="005A7639" w:rsidRPr="00D42E07" w:rsidP="00CE6E9D" w14:paraId="470CA04A" w14:textId="77777777">
            <w:pPr>
              <w:spacing w:after="120"/>
              <w:jc w:val="center"/>
              <w:rPr>
                <w:iCs/>
                <w:kern w:val="0"/>
                <w:sz w:val="20"/>
              </w:rPr>
            </w:pPr>
            <w:r w:rsidRPr="00D42E07">
              <w:rPr>
                <w:iCs/>
                <w:kern w:val="0"/>
                <w:sz w:val="20"/>
              </w:rPr>
              <w:t>1,289</w:t>
            </w:r>
          </w:p>
        </w:tc>
        <w:tc>
          <w:tcPr>
            <w:tcW w:w="1345" w:type="dxa"/>
            <w:noWrap/>
          </w:tcPr>
          <w:p w:rsidR="005A7639" w:rsidRPr="00D42E07" w:rsidP="00CE6E9D" w14:paraId="4A6E1511" w14:textId="77777777">
            <w:pPr>
              <w:spacing w:after="120"/>
              <w:jc w:val="center"/>
              <w:rPr>
                <w:iCs/>
                <w:kern w:val="0"/>
                <w:sz w:val="20"/>
              </w:rPr>
            </w:pPr>
            <w:r w:rsidRPr="00D42E07">
              <w:rPr>
                <w:iCs/>
                <w:kern w:val="0"/>
                <w:sz w:val="20"/>
              </w:rPr>
              <w:t>93.1</w:t>
            </w:r>
          </w:p>
        </w:tc>
      </w:tr>
    </w:tbl>
    <w:p w:rsidR="005A7639" w:rsidRPr="009625F5" w:rsidP="005A7639" w14:paraId="1B9340CA" w14:textId="77777777">
      <w:pPr>
        <w:pStyle w:val="ParaNum"/>
        <w:numPr>
          <w:ilvl w:val="0"/>
          <w:numId w:val="0"/>
        </w:numPr>
      </w:pPr>
    </w:p>
    <w:p w:rsidR="005A7639" w:rsidP="005A7639" w14:paraId="7B29430C" w14:textId="77777777">
      <w:pPr>
        <w:pStyle w:val="Heading2"/>
      </w:pPr>
      <w:bookmarkStart w:id="254" w:name="_Toc474532764"/>
      <w:bookmarkStart w:id="255" w:name="_Toc474534430"/>
      <w:bookmarkStart w:id="256" w:name="_Toc474752057"/>
      <w:bookmarkStart w:id="257" w:name="_Toc474947297"/>
      <w:bookmarkStart w:id="258" w:name="_Toc475028097"/>
      <w:bookmarkStart w:id="259" w:name="_Toc475537260"/>
      <w:bookmarkStart w:id="260" w:name="_Toc475899460"/>
      <w:bookmarkStart w:id="261" w:name="_Toc477805792"/>
      <w:bookmarkStart w:id="262" w:name="_Toc477954226"/>
      <w:bookmarkStart w:id="263" w:name="_Toc306361655"/>
      <w:bookmarkStart w:id="264" w:name="_Toc306369007"/>
      <w:bookmarkStart w:id="265" w:name="_Toc306617181"/>
      <w:bookmarkStart w:id="266" w:name="_Toc306888370"/>
      <w:bookmarkStart w:id="267" w:name="_Toc119934598"/>
      <w:bookmarkStart w:id="268" w:name="_Toc119934953"/>
      <w:bookmarkStart w:id="269" w:name="_Toc119936966"/>
      <w:bookmarkStart w:id="270" w:name="_Toc119937163"/>
      <w:bookmarkStart w:id="271" w:name="_Toc119937322"/>
      <w:bookmarkStart w:id="272" w:name="_Toc119937398"/>
      <w:bookmarkStart w:id="273" w:name="_Toc119937557"/>
      <w:bookmarkStart w:id="274" w:name="_Toc147923082"/>
      <w:bookmarkStart w:id="275" w:name="_Toc150243954"/>
      <w:bookmarkStart w:id="276" w:name="_Toc156913564"/>
      <w:bookmarkStart w:id="277" w:name="_Toc202958370"/>
      <w:r w:rsidRPr="00881EC2">
        <w:t>Description of Economic Impact and Projected Reporting, Recordkeeping, and Other Compliance Requirements for Small Entities</w:t>
      </w:r>
      <w:bookmarkEnd w:id="254"/>
      <w:bookmarkEnd w:id="255"/>
      <w:bookmarkEnd w:id="256"/>
      <w:bookmarkEnd w:id="257"/>
      <w:bookmarkEnd w:id="258"/>
      <w:bookmarkEnd w:id="259"/>
      <w:bookmarkEnd w:id="260"/>
      <w:bookmarkEnd w:id="261"/>
      <w:bookmarkEnd w:id="262"/>
      <w:r w:rsidRPr="00881EC2">
        <w:t xml:space="preserve"> </w:t>
      </w:r>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p>
    <w:p w:rsidR="005A7639" w:rsidP="005A7639" w14:paraId="78FE1001" w14:textId="77777777">
      <w:pPr>
        <w:pStyle w:val="ParaNum"/>
        <w:numPr>
          <w:ilvl w:val="0"/>
          <w:numId w:val="3"/>
        </w:numPr>
        <w:tabs>
          <w:tab w:val="clear" w:pos="1080"/>
        </w:tabs>
      </w:pPr>
      <w:r w:rsidRPr="00C61BF3">
        <w:t>The RFA directs agencies to describe the economic impact of proposed rules on small entities, as well as projected reporting, recordkeeping and other compliance requirements, including an estimate of the classes of small entities which will be subject to the requirements and the type of professional skills necessary for preparation of the report or record.</w:t>
      </w:r>
      <w:r>
        <w:rPr>
          <w:vertAlign w:val="superscript"/>
        </w:rPr>
        <w:footnoteReference w:id="141"/>
      </w:r>
      <w:r w:rsidRPr="00C61BF3">
        <w:t xml:space="preserve">  </w:t>
      </w:r>
    </w:p>
    <w:p w:rsidR="005A7639" w:rsidP="00980C45" w14:paraId="45B8DEE3" w14:textId="77777777">
      <w:pPr>
        <w:pStyle w:val="ParaNum"/>
        <w:widowControl/>
        <w:numPr>
          <w:ilvl w:val="0"/>
          <w:numId w:val="3"/>
        </w:numPr>
        <w:tabs>
          <w:tab w:val="clear" w:pos="1080"/>
        </w:tabs>
      </w:pPr>
      <w:r>
        <w:t xml:space="preserve">The </w:t>
      </w:r>
      <w:r w:rsidRPr="005217CC">
        <w:rPr>
          <w:i/>
          <w:iCs/>
        </w:rPr>
        <w:t>NPRM</w:t>
      </w:r>
      <w:r>
        <w:t xml:space="preserve"> seeks comment regarding t</w:t>
      </w:r>
      <w:r w:rsidRPr="00587BF7">
        <w:t xml:space="preserve">he Commission’s media ownership rules and possible changes to these rules.  </w:t>
      </w:r>
      <w:r>
        <w:t xml:space="preserve">Any changes to these media rules, if ultimately adopted, may require the modification of current FCC broadcast license application forms and their instructions.  </w:t>
      </w:r>
      <w:r w:rsidRPr="00754C9D">
        <w:t xml:space="preserve">The Commission </w:t>
      </w:r>
      <w:r w:rsidRPr="00112F5D">
        <w:t xml:space="preserve">also </w:t>
      </w:r>
      <w:r>
        <w:t xml:space="preserve">would </w:t>
      </w:r>
      <w:r w:rsidRPr="00112F5D">
        <w:t>modify</w:t>
      </w:r>
      <w:r>
        <w:t>, as necessary,</w:t>
      </w:r>
      <w:r w:rsidRPr="00112F5D">
        <w:t xml:space="preserve"> other forms that include in their instructions the media ownership rules or citations to media ownership proceedings.  </w:t>
      </w:r>
      <w:r>
        <w:t xml:space="preserve">While small and other entities would be required to make any changes resulting from the adoption of proposed rules, </w:t>
      </w:r>
      <w:r w:rsidRPr="00112F5D">
        <w:t>we do not anticipate that compliance w</w:t>
      </w:r>
      <w:r>
        <w:t xml:space="preserve">ould </w:t>
      </w:r>
      <w:r w:rsidRPr="00112F5D">
        <w:t>require the expenditure of any additional resources</w:t>
      </w:r>
      <w:r>
        <w:t>, the hiring of consultants or other professionals,</w:t>
      </w:r>
      <w:r w:rsidRPr="00112F5D">
        <w:t xml:space="preserve"> or place additional burdens on small businesses</w:t>
      </w:r>
      <w:r>
        <w:t>, as they would already be familiar with using these forms</w:t>
      </w:r>
      <w:r w:rsidRPr="00112F5D">
        <w:t>.</w:t>
      </w:r>
      <w:r>
        <w:t xml:space="preserve">  However, we encourage small entities to comment on any potential economic hardship or compliance burdens they may experience as a result of any proposed rules in this proceeding, should they be adopted.</w:t>
      </w:r>
    </w:p>
    <w:p w:rsidR="005A7639" w:rsidP="005A7639" w14:paraId="604B934A" w14:textId="77777777">
      <w:pPr>
        <w:pStyle w:val="ParaNum"/>
        <w:numPr>
          <w:ilvl w:val="0"/>
          <w:numId w:val="3"/>
        </w:numPr>
        <w:tabs>
          <w:tab w:val="clear" w:pos="1080"/>
        </w:tabs>
      </w:pPr>
      <w:r>
        <w:t>We further note that t</w:t>
      </w:r>
      <w:r w:rsidRPr="00115612">
        <w:t>he Commission expects the comments it receives</w:t>
      </w:r>
      <w:r>
        <w:t xml:space="preserve"> </w:t>
      </w:r>
      <w:r w:rsidRPr="00115612">
        <w:t xml:space="preserve">and the matters discussed in the </w:t>
      </w:r>
      <w:r w:rsidRPr="0023116F">
        <w:rPr>
          <w:i/>
          <w:iCs/>
        </w:rPr>
        <w:t>N</w:t>
      </w:r>
      <w:r>
        <w:rPr>
          <w:i/>
          <w:iCs/>
        </w:rPr>
        <w:t>PRM</w:t>
      </w:r>
      <w:r w:rsidRPr="00115612">
        <w:t xml:space="preserve"> to include information addressing costs, benefits, and other matters of concern for small entities, which should help the Commission identify and better evaluate compliance costs, and relevant issues for small entities before adopting final rules.</w:t>
      </w:r>
    </w:p>
    <w:p w:rsidR="005A7639" w:rsidP="005A7639" w14:paraId="4E5E5C24" w14:textId="77777777">
      <w:pPr>
        <w:pStyle w:val="Heading2"/>
        <w:rPr>
          <w:spacing w:val="-3"/>
        </w:rPr>
      </w:pPr>
      <w:bookmarkStart w:id="278" w:name="_Toc306361656"/>
      <w:bookmarkStart w:id="279" w:name="_Toc306369008"/>
      <w:bookmarkStart w:id="280" w:name="_Toc306617182"/>
      <w:bookmarkStart w:id="281" w:name="_Toc306888371"/>
      <w:bookmarkStart w:id="282" w:name="_Toc119934599"/>
      <w:bookmarkStart w:id="283" w:name="_Toc119934954"/>
      <w:bookmarkStart w:id="284" w:name="_Toc119936967"/>
      <w:bookmarkStart w:id="285" w:name="_Toc119937164"/>
      <w:bookmarkStart w:id="286" w:name="_Toc119937323"/>
      <w:bookmarkStart w:id="287" w:name="_Toc119937399"/>
      <w:bookmarkStart w:id="288" w:name="_Toc119937558"/>
      <w:bookmarkStart w:id="289" w:name="_Toc147923083"/>
      <w:bookmarkStart w:id="290" w:name="_Toc150243955"/>
      <w:bookmarkStart w:id="291" w:name="_Toc156913565"/>
      <w:bookmarkStart w:id="292" w:name="_Toc202958371"/>
      <w:r w:rsidRPr="003E482A">
        <w:t xml:space="preserve">Discussion of Significant Alternatives Considered That Minimize the Significant Economic Impact on Small Entities </w:t>
      </w:r>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p>
    <w:p w:rsidR="005A7639" w:rsidRPr="00486212" w:rsidP="005A7639" w14:paraId="1501BE40" w14:textId="77777777">
      <w:pPr>
        <w:pStyle w:val="ParaNum"/>
        <w:widowControl/>
        <w:numPr>
          <w:ilvl w:val="0"/>
          <w:numId w:val="3"/>
        </w:numPr>
        <w:tabs>
          <w:tab w:val="clear" w:pos="1080"/>
        </w:tabs>
        <w:spacing w:line="259" w:lineRule="auto"/>
        <w:rPr>
          <w:bCs/>
          <w:color w:val="000000"/>
        </w:rPr>
      </w:pPr>
      <w:bookmarkStart w:id="293" w:name="_Toc306361657"/>
      <w:bookmarkStart w:id="294" w:name="_Toc306369009"/>
      <w:bookmarkStart w:id="295" w:name="_Toc306617183"/>
      <w:bookmarkStart w:id="296" w:name="_Toc306888372"/>
      <w:r w:rsidRPr="00603AD7">
        <w:t>The RFA directs agencies to provide a description of any significant alternatives to the proposed rules that would accomplish the stated objectives of applicable statutes, and minimize any significant economic impact on small entities.</w:t>
      </w:r>
      <w:r>
        <w:rPr>
          <w:vertAlign w:val="superscript"/>
        </w:rPr>
        <w:footnoteReference w:id="142"/>
      </w:r>
      <w:r w:rsidRPr="00603AD7">
        <w:t xml:space="preserve">  The discussion is required to include alternatives such as: “(1) the establishment of differing compliance or reporting requirements or timetables that take into account the resources available to small entities; (2) the clarification, consolidation, or simplification of compliance and reporting requirements under the rule for such small entities; (3) the use of performance rather than design standards; and (4) an exemption from coverage of the rule, or any part thereof, for such small entities.”</w:t>
      </w:r>
    </w:p>
    <w:p w:rsidR="005A7639" w:rsidRPr="00F75FBF" w:rsidP="005A7639" w14:paraId="7EEC69AC" w14:textId="77777777">
      <w:pPr>
        <w:pStyle w:val="ParaNum"/>
        <w:numPr>
          <w:ilvl w:val="0"/>
          <w:numId w:val="3"/>
        </w:numPr>
        <w:tabs>
          <w:tab w:val="clear" w:pos="1080"/>
        </w:tabs>
      </w:pPr>
      <w:r>
        <w:rPr>
          <w:szCs w:val="22"/>
        </w:rPr>
        <w:t>As discussed above, in the</w:t>
      </w:r>
      <w:r w:rsidRPr="004B6549">
        <w:rPr>
          <w:szCs w:val="22"/>
        </w:rPr>
        <w:t xml:space="preserve"> </w:t>
      </w:r>
      <w:r w:rsidRPr="005217CC">
        <w:rPr>
          <w:i/>
          <w:iCs/>
          <w:szCs w:val="22"/>
        </w:rPr>
        <w:t>NPRM</w:t>
      </w:r>
      <w:r>
        <w:rPr>
          <w:szCs w:val="22"/>
        </w:rPr>
        <w:t xml:space="preserve">, the Commission </w:t>
      </w:r>
      <w:r w:rsidRPr="004B6549">
        <w:rPr>
          <w:szCs w:val="22"/>
        </w:rPr>
        <w:t xml:space="preserve">begins </w:t>
      </w:r>
      <w:r>
        <w:rPr>
          <w:szCs w:val="22"/>
        </w:rPr>
        <w:t>its</w:t>
      </w:r>
      <w:r w:rsidRPr="004B6549">
        <w:rPr>
          <w:szCs w:val="22"/>
        </w:rPr>
        <w:t xml:space="preserve"> statutorily mandated review of whether </w:t>
      </w:r>
      <w:r>
        <w:rPr>
          <w:szCs w:val="22"/>
        </w:rPr>
        <w:t xml:space="preserve">the </w:t>
      </w:r>
      <w:r w:rsidRPr="004B6549">
        <w:rPr>
          <w:szCs w:val="22"/>
        </w:rPr>
        <w:t>three remaining media ownership rules remain in the public interest as a result of competition</w:t>
      </w:r>
      <w:r>
        <w:t>, consistent with the instruction of section 202(h).</w:t>
      </w:r>
      <w:r>
        <w:rPr>
          <w:rStyle w:val="FootnoteReference"/>
        </w:rPr>
        <w:footnoteReference w:id="143"/>
      </w:r>
      <w:r>
        <w:t xml:space="preserve">  As part of this review, the Commission seeks comment on </w:t>
      </w:r>
      <w:r w:rsidRPr="00F75FBF">
        <w:rPr>
          <w:szCs w:val="22"/>
        </w:rPr>
        <w:t xml:space="preserve">alternatives to the proposed rules that could minimize potential economic impact on small entities that might be affected by </w:t>
      </w:r>
      <w:r>
        <w:rPr>
          <w:szCs w:val="22"/>
        </w:rPr>
        <w:t>any</w:t>
      </w:r>
      <w:r w:rsidRPr="00F75FBF">
        <w:rPr>
          <w:szCs w:val="22"/>
        </w:rPr>
        <w:t xml:space="preserve"> proposed rule change</w:t>
      </w:r>
      <w:r>
        <w:rPr>
          <w:szCs w:val="22"/>
        </w:rPr>
        <w:t>s</w:t>
      </w:r>
      <w:r w:rsidRPr="00F75FBF">
        <w:rPr>
          <w:szCs w:val="22"/>
        </w:rPr>
        <w:t xml:space="preserve">, </w:t>
      </w:r>
      <w:r>
        <w:rPr>
          <w:szCs w:val="22"/>
        </w:rPr>
        <w:t xml:space="preserve">should they be adopted, </w:t>
      </w:r>
      <w:r w:rsidRPr="00F75FBF">
        <w:rPr>
          <w:szCs w:val="22"/>
        </w:rPr>
        <w:t xml:space="preserve">as well as any other rule changes that may </w:t>
      </w:r>
      <w:r>
        <w:rPr>
          <w:szCs w:val="22"/>
        </w:rPr>
        <w:t xml:space="preserve">ultimately </w:t>
      </w:r>
      <w:r w:rsidRPr="00F75FBF">
        <w:rPr>
          <w:szCs w:val="22"/>
        </w:rPr>
        <w:t xml:space="preserve">be required as </w:t>
      </w:r>
      <w:r>
        <w:rPr>
          <w:szCs w:val="22"/>
        </w:rPr>
        <w:t>the</w:t>
      </w:r>
      <w:r w:rsidRPr="00F75FBF">
        <w:rPr>
          <w:szCs w:val="22"/>
        </w:rPr>
        <w:t xml:space="preserve"> result of comments provided by interested parties.</w:t>
      </w:r>
    </w:p>
    <w:p w:rsidR="005A7639" w:rsidRPr="00221F48" w:rsidP="005A7639" w14:paraId="4E9EF62D" w14:textId="1B6FCCE7">
      <w:pPr>
        <w:pStyle w:val="ParaNum"/>
        <w:numPr>
          <w:ilvl w:val="0"/>
          <w:numId w:val="3"/>
        </w:numPr>
        <w:tabs>
          <w:tab w:val="clear" w:pos="1080"/>
        </w:tabs>
      </w:pPr>
      <w:r w:rsidRPr="00A0730B">
        <w:rPr>
          <w:szCs w:val="22"/>
        </w:rPr>
        <w:t xml:space="preserve">For the Local Radio Ownership Rule, </w:t>
      </w:r>
      <w:r>
        <w:rPr>
          <w:szCs w:val="22"/>
        </w:rPr>
        <w:t>the Commission considers whether to</w:t>
      </w:r>
      <w:r w:rsidRPr="00A0730B">
        <w:rPr>
          <w:szCs w:val="22"/>
        </w:rPr>
        <w:t xml:space="preserve"> continue to consider only local broadcast radio stations for purposes of the rule, or whether </w:t>
      </w:r>
      <w:r>
        <w:rPr>
          <w:szCs w:val="22"/>
        </w:rPr>
        <w:t xml:space="preserve">to </w:t>
      </w:r>
      <w:r w:rsidRPr="00A0730B">
        <w:rPr>
          <w:szCs w:val="22"/>
        </w:rPr>
        <w:t xml:space="preserve">revise </w:t>
      </w:r>
      <w:r>
        <w:rPr>
          <w:szCs w:val="22"/>
        </w:rPr>
        <w:t>the</w:t>
      </w:r>
      <w:r w:rsidRPr="00A0730B">
        <w:rPr>
          <w:szCs w:val="22"/>
        </w:rPr>
        <w:t xml:space="preserve"> analysis to include such non-broadcast audio sources as satellite radio, audio streaming services, webcasting, podcasting, </w:t>
      </w:r>
      <w:r>
        <w:rPr>
          <w:szCs w:val="22"/>
        </w:rPr>
        <w:t>or other</w:t>
      </w:r>
      <w:r w:rsidRPr="00A0730B">
        <w:rPr>
          <w:szCs w:val="22"/>
        </w:rPr>
        <w:t xml:space="preserve"> platforms as substitutes for broadcast radio.  </w:t>
      </w:r>
      <w:r>
        <w:rPr>
          <w:szCs w:val="22"/>
        </w:rPr>
        <w:t xml:space="preserve">Alternatively, in the </w:t>
      </w:r>
      <w:r w:rsidRPr="00C81B1A">
        <w:rPr>
          <w:i/>
          <w:iCs/>
          <w:szCs w:val="22"/>
        </w:rPr>
        <w:t>NPRM</w:t>
      </w:r>
      <w:r>
        <w:rPr>
          <w:szCs w:val="22"/>
        </w:rPr>
        <w:t xml:space="preserve">, the Commission considers </w:t>
      </w:r>
      <w:r w:rsidRPr="00A0730B">
        <w:rPr>
          <w:szCs w:val="22"/>
        </w:rPr>
        <w:t xml:space="preserve">whether circumstances have changed enough to relax or eliminate the rule altogether.  </w:t>
      </w:r>
      <w:r>
        <w:rPr>
          <w:szCs w:val="22"/>
        </w:rPr>
        <w:t xml:space="preserve">The </w:t>
      </w:r>
      <w:r w:rsidRPr="00C81B1A">
        <w:rPr>
          <w:i/>
          <w:iCs/>
          <w:szCs w:val="22"/>
        </w:rPr>
        <w:t>NPRM</w:t>
      </w:r>
      <w:r>
        <w:rPr>
          <w:szCs w:val="22"/>
        </w:rPr>
        <w:t xml:space="preserve"> also takes into account </w:t>
      </w:r>
      <w:r w:rsidRPr="00340FFA">
        <w:rPr>
          <w:szCs w:val="22"/>
        </w:rPr>
        <w:t>whether the existing market size tiers and limits on the number of stations an entity may own are appropriatel</w:t>
      </w:r>
      <w:r>
        <w:rPr>
          <w:szCs w:val="22"/>
        </w:rPr>
        <w:t>y set</w:t>
      </w:r>
      <w:r w:rsidR="00F04048">
        <w:rPr>
          <w:szCs w:val="22"/>
        </w:rPr>
        <w:t xml:space="preserve"> </w:t>
      </w:r>
      <w:r w:rsidR="00F04048">
        <w:t>and if the limits are reducing the number of competitors in the market</w:t>
      </w:r>
      <w:r w:rsidRPr="00340FFA">
        <w:rPr>
          <w:szCs w:val="22"/>
        </w:rPr>
        <w:t>.</w:t>
      </w:r>
      <w:r>
        <w:rPr>
          <w:szCs w:val="22"/>
        </w:rPr>
        <w:t xml:space="preserve">  In the alternative, we consider various options, ranging from </w:t>
      </w:r>
      <w:r w:rsidRPr="00FD00F0">
        <w:rPr>
          <w:szCs w:val="22"/>
        </w:rPr>
        <w:t>new or different market size tiers</w:t>
      </w:r>
      <w:r>
        <w:rPr>
          <w:szCs w:val="22"/>
        </w:rPr>
        <w:t xml:space="preserve"> to using other metrics such as population to define the tiers.  We seek</w:t>
      </w:r>
      <w:r w:rsidRPr="00A0730B">
        <w:rPr>
          <w:szCs w:val="22"/>
        </w:rPr>
        <w:t xml:space="preserve"> comment on the constituent parts of the rule and whether the rule adequately serves consumers in today’s radio marketplace.</w:t>
      </w:r>
      <w:r>
        <w:rPr>
          <w:rStyle w:val="FootnoteReference"/>
          <w:szCs w:val="22"/>
        </w:rPr>
        <w:footnoteReference w:id="144"/>
      </w:r>
      <w:r w:rsidRPr="00A0730B">
        <w:rPr>
          <w:szCs w:val="22"/>
        </w:rPr>
        <w:t xml:space="preserve">  </w:t>
      </w:r>
    </w:p>
    <w:p w:rsidR="005A7639" w:rsidRPr="00A22F2C" w:rsidP="00980C45" w14:paraId="4356FE94" w14:textId="77777777">
      <w:pPr>
        <w:pStyle w:val="ParaNum"/>
        <w:widowControl/>
        <w:numPr>
          <w:ilvl w:val="0"/>
          <w:numId w:val="3"/>
        </w:numPr>
        <w:tabs>
          <w:tab w:val="clear" w:pos="1080"/>
        </w:tabs>
      </w:pPr>
      <w:r w:rsidRPr="00FE3653">
        <w:rPr>
          <w:szCs w:val="22"/>
        </w:rPr>
        <w:t xml:space="preserve">For the Local Television Ownership Rule, the Commission </w:t>
      </w:r>
      <w:r>
        <w:rPr>
          <w:szCs w:val="22"/>
        </w:rPr>
        <w:t>considers</w:t>
      </w:r>
      <w:r w:rsidRPr="00FE3653">
        <w:rPr>
          <w:szCs w:val="22"/>
        </w:rPr>
        <w:t xml:space="preserve"> </w:t>
      </w:r>
      <w:r>
        <w:t xml:space="preserve">whether the rule should be changed to reflect prior comments stating that due to the large number of video programming </w:t>
      </w:r>
      <w:r>
        <w:t xml:space="preserve">options available to the public, </w:t>
      </w:r>
      <w:r w:rsidRPr="000F0AF7">
        <w:t xml:space="preserve">non-broadcast video entities could replace broadcast content and local news specifically.  </w:t>
      </w:r>
      <w:r>
        <w:t>Alternatively, we consider the possibility of retaining the rule</w:t>
      </w:r>
      <w:r w:rsidR="006264DC">
        <w:t>, particularly</w:t>
      </w:r>
      <w:r>
        <w:t xml:space="preserve"> if non-broadcast video entities are found to provide little or no local news and other local content.  In </w:t>
      </w:r>
      <w:r w:rsidRPr="004C2486">
        <w:t>addition, the Commission considers whether to expand the market definition to include non-broadcast video entities</w:t>
      </w:r>
      <w:r w:rsidRPr="00C81B1A">
        <w:t xml:space="preserve"> or to retain the existing </w:t>
      </w:r>
      <w:r>
        <w:t>definition.  We consider</w:t>
      </w:r>
      <w:r w:rsidRPr="004C2486">
        <w:t xml:space="preserve"> whether </w:t>
      </w:r>
      <w:r>
        <w:t>to modify the current rule to change</w:t>
      </w:r>
      <w:r w:rsidRPr="005B40A8">
        <w:t xml:space="preserve"> the number of stations a single entity is permitted to own in a local market</w:t>
      </w:r>
      <w:r>
        <w:t xml:space="preserve">, or to maintain the status quo if such a determination would limit the ability of smaller stations to compete in the market. </w:t>
      </w:r>
      <w:r w:rsidR="00717FEE">
        <w:t xml:space="preserve"> </w:t>
      </w:r>
      <w:r w:rsidRPr="00FE3653">
        <w:rPr>
          <w:szCs w:val="22"/>
        </w:rPr>
        <w:t>Ultimately, the Commission seeks comment on whether circumstances have changed enough to relax or eliminate the rule altogether.</w:t>
      </w:r>
      <w:r>
        <w:rPr>
          <w:rStyle w:val="FootnoteReference"/>
          <w:szCs w:val="22"/>
        </w:rPr>
        <w:footnoteReference w:id="145"/>
      </w:r>
      <w:r w:rsidRPr="00FE3653">
        <w:rPr>
          <w:szCs w:val="22"/>
        </w:rPr>
        <w:t xml:space="preserve">  </w:t>
      </w:r>
    </w:p>
    <w:p w:rsidR="005A7639" w:rsidRPr="001404C1" w:rsidP="005A7639" w14:paraId="7B71529F" w14:textId="77777777">
      <w:pPr>
        <w:pStyle w:val="ParaNum"/>
        <w:numPr>
          <w:ilvl w:val="0"/>
          <w:numId w:val="3"/>
        </w:numPr>
        <w:tabs>
          <w:tab w:val="clear" w:pos="1080"/>
        </w:tabs>
      </w:pPr>
      <w:r w:rsidRPr="001475D6">
        <w:rPr>
          <w:szCs w:val="22"/>
        </w:rPr>
        <w:t xml:space="preserve">Finally, </w:t>
      </w:r>
      <w:r>
        <w:rPr>
          <w:szCs w:val="22"/>
        </w:rPr>
        <w:t>the Commission considers the</w:t>
      </w:r>
      <w:r w:rsidRPr="001475D6">
        <w:rPr>
          <w:szCs w:val="22"/>
        </w:rPr>
        <w:t xml:space="preserve"> use of alternative metrics for the Dual Network Rule</w:t>
      </w:r>
      <w:r>
        <w:rPr>
          <w:szCs w:val="22"/>
        </w:rPr>
        <w:t xml:space="preserve">.  Specifically, the </w:t>
      </w:r>
      <w:r w:rsidRPr="00C81B1A">
        <w:rPr>
          <w:i/>
          <w:iCs/>
          <w:szCs w:val="22"/>
        </w:rPr>
        <w:t>NPRM</w:t>
      </w:r>
      <w:r>
        <w:rPr>
          <w:szCs w:val="22"/>
        </w:rPr>
        <w:t xml:space="preserve"> considers whether ratings or other metrics </w:t>
      </w:r>
      <w:r w:rsidRPr="001475D6">
        <w:rPr>
          <w:szCs w:val="22"/>
        </w:rPr>
        <w:t>would better reflect the nature and scope of competition by or among the Big Four networks</w:t>
      </w:r>
      <w:r>
        <w:rPr>
          <w:szCs w:val="22"/>
        </w:rPr>
        <w:t xml:space="preserve">, </w:t>
      </w:r>
      <w:r w:rsidRPr="001475D6">
        <w:rPr>
          <w:szCs w:val="22"/>
        </w:rPr>
        <w:t>as well as ways to think about or analyze effects from that competition</w:t>
      </w:r>
      <w:r>
        <w:rPr>
          <w:szCs w:val="22"/>
        </w:rPr>
        <w:t xml:space="preserve">, as opposed to assessing the Big Four’s </w:t>
      </w:r>
      <w:r w:rsidRPr="000321CA">
        <w:rPr>
          <w:szCs w:val="22"/>
        </w:rPr>
        <w:t>participati</w:t>
      </w:r>
      <w:r>
        <w:rPr>
          <w:szCs w:val="22"/>
        </w:rPr>
        <w:t>on</w:t>
      </w:r>
      <w:r w:rsidRPr="000321CA">
        <w:rPr>
          <w:szCs w:val="22"/>
        </w:rPr>
        <w:t xml:space="preserve"> in the marketplace </w:t>
      </w:r>
      <w:r>
        <w:rPr>
          <w:szCs w:val="22"/>
        </w:rPr>
        <w:t>via</w:t>
      </w:r>
      <w:r w:rsidRPr="000321CA">
        <w:rPr>
          <w:szCs w:val="22"/>
        </w:rPr>
        <w:t xml:space="preserve"> </w:t>
      </w:r>
      <w:r>
        <w:rPr>
          <w:szCs w:val="22"/>
        </w:rPr>
        <w:t xml:space="preserve">the </w:t>
      </w:r>
      <w:r w:rsidRPr="000321CA">
        <w:rPr>
          <w:szCs w:val="22"/>
        </w:rPr>
        <w:t>aggregati</w:t>
      </w:r>
      <w:r>
        <w:rPr>
          <w:szCs w:val="22"/>
        </w:rPr>
        <w:t>o</w:t>
      </w:r>
      <w:r w:rsidRPr="000321CA">
        <w:rPr>
          <w:szCs w:val="22"/>
        </w:rPr>
        <w:t>n and distributi</w:t>
      </w:r>
      <w:r>
        <w:rPr>
          <w:szCs w:val="22"/>
        </w:rPr>
        <w:t>on of</w:t>
      </w:r>
      <w:r w:rsidRPr="000321CA">
        <w:rPr>
          <w:szCs w:val="22"/>
        </w:rPr>
        <w:t xml:space="preserve"> a collection of programming intended for large, national audiences and by selling blocks of advertising time to entities wishing to target ads to large, national audiences</w:t>
      </w:r>
      <w:r w:rsidRPr="001475D6">
        <w:rPr>
          <w:szCs w:val="22"/>
        </w:rPr>
        <w:t xml:space="preserve">.  </w:t>
      </w:r>
      <w:r w:rsidRPr="00B66273">
        <w:rPr>
          <w:szCs w:val="22"/>
        </w:rPr>
        <w:t xml:space="preserve">The Commission also considers whether there is enough of a meaningful disparity between the net advertising revenues of the Big Four networks and other broadcast and cable networks, some of which are small entities, to warrant either a change to the rule, or to retain the status quo.  </w:t>
      </w:r>
      <w:r w:rsidRPr="009241CC">
        <w:rPr>
          <w:szCs w:val="22"/>
        </w:rPr>
        <w:t xml:space="preserve">  Lastly, the Commission considers whether circumstances have changed enough to relax or eliminate the rule altogether or if the rule should remain as it currently stands.</w:t>
      </w:r>
      <w:r>
        <w:rPr>
          <w:rStyle w:val="FootnoteReference"/>
          <w:szCs w:val="22"/>
        </w:rPr>
        <w:footnoteReference w:id="146"/>
      </w:r>
      <w:r w:rsidRPr="009241CC">
        <w:rPr>
          <w:szCs w:val="22"/>
        </w:rPr>
        <w:t xml:space="preserve">  We seek comment from small and other entities on all of these proposals. </w:t>
      </w:r>
    </w:p>
    <w:p w:rsidR="005A7639" w:rsidRPr="002E1485" w:rsidP="005A7639" w14:paraId="457B9C51" w14:textId="77777777">
      <w:pPr>
        <w:pStyle w:val="ParaNum"/>
        <w:numPr>
          <w:ilvl w:val="0"/>
          <w:numId w:val="3"/>
        </w:numPr>
        <w:tabs>
          <w:tab w:val="clear" w:pos="1080"/>
        </w:tabs>
      </w:pPr>
      <w:r>
        <w:rPr>
          <w:szCs w:val="22"/>
        </w:rPr>
        <w:t xml:space="preserve">The </w:t>
      </w:r>
      <w:r w:rsidRPr="005217CC">
        <w:rPr>
          <w:i/>
          <w:iCs/>
          <w:szCs w:val="22"/>
        </w:rPr>
        <w:t>NPRM</w:t>
      </w:r>
      <w:r>
        <w:rPr>
          <w:szCs w:val="22"/>
        </w:rPr>
        <w:t xml:space="preserve"> proposes no new reporting requirements, performance standards or other compliance obligations, although, as discussed above, it may modify, as necessary, certain existing forms should it adopt any changes to its media ownership rules.  Should the Commission ultimately adopt changes to its media ownership rules that could increase requirements or compliance burdens for small entities, it will determine whether possible exemptions, waiver opportunities, extended compliance deadlines, or other measures would mitigate any potential impact on small entities.</w:t>
      </w:r>
    </w:p>
    <w:p w:rsidR="005A7639" w:rsidP="005A7639" w14:paraId="3228A153" w14:textId="77777777">
      <w:pPr>
        <w:pStyle w:val="Heading2"/>
      </w:pPr>
      <w:bookmarkStart w:id="297" w:name="_Toc119934600"/>
      <w:bookmarkStart w:id="298" w:name="_Toc119934955"/>
      <w:bookmarkStart w:id="299" w:name="_Toc119936968"/>
      <w:bookmarkStart w:id="300" w:name="_Toc119937165"/>
      <w:bookmarkStart w:id="301" w:name="_Toc119937324"/>
      <w:bookmarkStart w:id="302" w:name="_Toc119937400"/>
      <w:bookmarkStart w:id="303" w:name="_Toc119937559"/>
      <w:bookmarkStart w:id="304" w:name="_Toc147923084"/>
      <w:bookmarkStart w:id="305" w:name="_Toc150243956"/>
      <w:bookmarkStart w:id="306" w:name="_Toc156913566"/>
      <w:bookmarkStart w:id="307" w:name="_Toc202958372"/>
      <w:r>
        <w:t>Federal Rules that May Duplicate, Overlap, or Conflict with the Proposed Rule</w:t>
      </w:r>
      <w:bookmarkEnd w:id="293"/>
      <w:bookmarkEnd w:id="294"/>
      <w:bookmarkEnd w:id="295"/>
      <w:bookmarkEnd w:id="296"/>
      <w:bookmarkEnd w:id="297"/>
      <w:bookmarkEnd w:id="298"/>
      <w:bookmarkEnd w:id="299"/>
      <w:bookmarkEnd w:id="300"/>
      <w:bookmarkEnd w:id="301"/>
      <w:bookmarkEnd w:id="302"/>
      <w:bookmarkEnd w:id="303"/>
      <w:bookmarkEnd w:id="304"/>
      <w:bookmarkEnd w:id="305"/>
      <w:r>
        <w:t>s</w:t>
      </w:r>
      <w:bookmarkEnd w:id="306"/>
      <w:bookmarkEnd w:id="307"/>
    </w:p>
    <w:p w:rsidR="005A7639" w:rsidRPr="00AF10FD" w:rsidP="005A7639" w14:paraId="5BC1B515" w14:textId="77777777">
      <w:pPr>
        <w:pStyle w:val="ParaNum"/>
        <w:numPr>
          <w:ilvl w:val="0"/>
          <w:numId w:val="3"/>
        </w:numPr>
        <w:tabs>
          <w:tab w:val="clear" w:pos="1080"/>
        </w:tabs>
        <w:rPr>
          <w:szCs w:val="22"/>
        </w:rPr>
      </w:pPr>
      <w:r w:rsidRPr="00B5302C">
        <w:rPr>
          <w:szCs w:val="22"/>
        </w:rPr>
        <w:t>None</w:t>
      </w:r>
      <w:r>
        <w:t>.</w:t>
      </w:r>
      <w:bookmarkStart w:id="308" w:name="_Hlk532392704"/>
      <w:r w:rsidRPr="00B5302C">
        <w:rPr>
          <w:szCs w:val="22"/>
        </w:rPr>
        <w:t xml:space="preserve"> </w:t>
      </w:r>
      <w:bookmarkEnd w:id="308"/>
    </w:p>
    <w:p w:rsidR="005A7639" w:rsidRPr="00F541A7" w:rsidP="005A7639" w14:paraId="314CCEDB" w14:textId="77777777"/>
    <w:p w:rsidR="00C76EC7" w:rsidP="005A7639" w14:paraId="1FF6B536" w14:textId="77777777">
      <w:pPr>
        <w:jc w:val="center"/>
        <w:sectPr w:rsidSect="00486212">
          <w:footnotePr>
            <w:numRestart w:val="eachSect"/>
          </w:footnotePr>
          <w:endnotePr>
            <w:numFmt w:val="decimal"/>
          </w:endnotePr>
          <w:pgSz w:w="12240" w:h="15840"/>
          <w:pgMar w:top="1440" w:right="1440" w:bottom="720" w:left="1440" w:header="720" w:footer="720" w:gutter="0"/>
          <w:cols w:space="720"/>
          <w:noEndnote/>
          <w:titlePg/>
        </w:sectPr>
      </w:pPr>
    </w:p>
    <w:p w:rsidR="00C76EC7" w:rsidRPr="005577AD" w:rsidP="00C76EC7" w14:paraId="203B8C59" w14:textId="77777777">
      <w:pPr>
        <w:jc w:val="center"/>
        <w:rPr>
          <w:b/>
          <w:bCs/>
          <w:caps/>
          <w:szCs w:val="22"/>
        </w:rPr>
      </w:pPr>
      <w:r w:rsidRPr="005577AD">
        <w:rPr>
          <w:b/>
          <w:bCs/>
          <w:caps/>
          <w:szCs w:val="22"/>
        </w:rPr>
        <w:t>Statement of</w:t>
      </w:r>
    </w:p>
    <w:p w:rsidR="00C76EC7" w:rsidRPr="005577AD" w:rsidP="00C76EC7" w14:paraId="2783EA3B" w14:textId="77777777">
      <w:pPr>
        <w:jc w:val="center"/>
        <w:rPr>
          <w:b/>
          <w:bCs/>
          <w:caps/>
          <w:szCs w:val="22"/>
        </w:rPr>
      </w:pPr>
      <w:r>
        <w:rPr>
          <w:b/>
          <w:bCs/>
          <w:caps/>
          <w:szCs w:val="22"/>
        </w:rPr>
        <w:t>Chairman BRendan Carr</w:t>
      </w:r>
    </w:p>
    <w:p w:rsidR="00C76EC7" w:rsidRPr="005577AD" w:rsidP="00C76EC7" w14:paraId="0ABDA03F" w14:textId="77777777">
      <w:pPr>
        <w:jc w:val="center"/>
        <w:rPr>
          <w:b/>
          <w:bCs/>
          <w:caps/>
          <w:szCs w:val="22"/>
        </w:rPr>
      </w:pPr>
    </w:p>
    <w:p w:rsidR="00C76EC7" w:rsidRPr="005577AD" w:rsidP="00C76EC7" w14:paraId="27B936F4" w14:textId="77777777">
      <w:pPr>
        <w:ind w:left="720" w:hanging="720"/>
        <w:rPr>
          <w:i/>
          <w:iCs/>
          <w:szCs w:val="22"/>
        </w:rPr>
      </w:pPr>
      <w:r w:rsidRPr="005577AD">
        <w:rPr>
          <w:iCs/>
          <w:szCs w:val="22"/>
        </w:rPr>
        <w:t>Re:</w:t>
      </w:r>
      <w:r w:rsidRPr="005577AD">
        <w:rPr>
          <w:szCs w:val="22"/>
        </w:rPr>
        <w:t xml:space="preserve"> </w:t>
      </w:r>
      <w:r w:rsidRPr="005577AD">
        <w:rPr>
          <w:szCs w:val="22"/>
        </w:rPr>
        <w:tab/>
      </w:r>
      <w:r w:rsidRPr="00AA3AB6">
        <w:rPr>
          <w:i/>
          <w:iCs/>
          <w:szCs w:val="22"/>
        </w:rPr>
        <w:t>2022 Quadrennial Regulatory Review – Review of the Commission’s Broadcast Ownership Rules and Other Rules Adopted Pursuant to Section 202 of the Telecommunications Act of 1996</w:t>
      </w:r>
      <w:r w:rsidRPr="005577AD">
        <w:rPr>
          <w:iCs/>
          <w:szCs w:val="22"/>
        </w:rPr>
        <w:t xml:space="preserve">, </w:t>
      </w:r>
      <w:r>
        <w:rPr>
          <w:iCs/>
          <w:szCs w:val="22"/>
        </w:rPr>
        <w:t>MB</w:t>
      </w:r>
      <w:r w:rsidRPr="005577AD">
        <w:rPr>
          <w:iCs/>
          <w:szCs w:val="22"/>
        </w:rPr>
        <w:t xml:space="preserve"> Docket No. </w:t>
      </w:r>
      <w:r>
        <w:rPr>
          <w:iCs/>
          <w:szCs w:val="22"/>
        </w:rPr>
        <w:t>22-459, Notice of Proposed Rulemaking (Sept. 30, 2025)</w:t>
      </w:r>
      <w:r w:rsidRPr="005577AD">
        <w:rPr>
          <w:iCs/>
          <w:szCs w:val="22"/>
        </w:rPr>
        <w:t>.</w:t>
      </w:r>
    </w:p>
    <w:p w:rsidR="00C76EC7" w:rsidRPr="005577AD" w:rsidP="00C76EC7" w14:paraId="077DEC9C" w14:textId="77777777">
      <w:pPr>
        <w:ind w:firstLine="720"/>
        <w:rPr>
          <w:szCs w:val="22"/>
        </w:rPr>
      </w:pPr>
    </w:p>
    <w:p w:rsidR="00C76EC7" w:rsidRPr="00AA3AB6" w:rsidP="00C76EC7" w14:paraId="04EAD878" w14:textId="77777777">
      <w:pPr>
        <w:widowControl/>
        <w:ind w:firstLine="720"/>
        <w:rPr>
          <w:szCs w:val="22"/>
        </w:rPr>
      </w:pPr>
      <w:r w:rsidRPr="00AA3AB6">
        <w:rPr>
          <w:szCs w:val="22"/>
        </w:rPr>
        <w:t>When I announced the FCC’s Build America Agenda, I emphasized the importance of the Gretzky Test—keeping our eye on where the proverbial puck is going, not where it has been.  Nowhere is that more important than with our media regulations.  So as we kick off this latest Quadrennial Review, the FCC must do so with an eye towards the future.  After all, the old regulatory silos have been breaking down for quite some time, so the Commission must move forward with a keen understanding of today’s converged markets—and that’s exactly what we’re doing with today’s item.</w:t>
      </w:r>
    </w:p>
    <w:p w:rsidR="00C76EC7" w:rsidRPr="00AA3AB6" w:rsidP="00C76EC7" w14:paraId="407F251F" w14:textId="77777777">
      <w:pPr>
        <w:widowControl/>
        <w:ind w:firstLine="720"/>
        <w:rPr>
          <w:szCs w:val="22"/>
        </w:rPr>
      </w:pPr>
    </w:p>
    <w:p w:rsidR="00C76EC7" w:rsidRPr="00AA3AB6" w:rsidP="00C76EC7" w14:paraId="68BFF292" w14:textId="77777777">
      <w:pPr>
        <w:widowControl/>
        <w:ind w:firstLine="720"/>
        <w:rPr>
          <w:szCs w:val="22"/>
        </w:rPr>
      </w:pPr>
      <w:r w:rsidRPr="00AA3AB6">
        <w:rPr>
          <w:szCs w:val="22"/>
        </w:rPr>
        <w:t>In fact, it’s fair to say that the Gretzky Test is why Congress first required the FCC to conduct these Quadrennial Reviews back in 1996.  They wanted us to consistently reassess market conditions to ensure our media ownership rules were keeping pace with the times.  In recent years, numerous online audio and video streaming services have emerged, fundamentally changing how broadcast radio and television compete in the media marketplace.  Our broadcast ownership rules should reflect these changes.</w:t>
      </w:r>
    </w:p>
    <w:p w:rsidR="00C76EC7" w:rsidRPr="00AA3AB6" w:rsidP="00C76EC7" w14:paraId="26C9C2DA" w14:textId="77777777">
      <w:pPr>
        <w:widowControl/>
        <w:ind w:firstLine="720"/>
        <w:rPr>
          <w:szCs w:val="22"/>
        </w:rPr>
      </w:pPr>
    </w:p>
    <w:p w:rsidR="00C76EC7" w:rsidRPr="00AA3AB6" w:rsidP="00C76EC7" w14:paraId="2544E9AF" w14:textId="77777777">
      <w:pPr>
        <w:widowControl/>
        <w:ind w:firstLine="720"/>
        <w:rPr>
          <w:szCs w:val="22"/>
        </w:rPr>
      </w:pPr>
      <w:r w:rsidRPr="00AA3AB6">
        <w:rPr>
          <w:szCs w:val="22"/>
        </w:rPr>
        <w:t xml:space="preserve">In fact, the FCC is required by law to review certain broadcast ownership rules every four years to determine whether the rules remain “necessary in the public interest as the result of competition,” which has traditionally meant advancing competition, localism, and viewpoint diversity. </w:t>
      </w:r>
    </w:p>
    <w:p w:rsidR="00C76EC7" w:rsidRPr="00AA3AB6" w:rsidP="00C76EC7" w14:paraId="5FC592CC" w14:textId="77777777">
      <w:pPr>
        <w:widowControl/>
        <w:ind w:firstLine="720"/>
        <w:rPr>
          <w:szCs w:val="22"/>
        </w:rPr>
      </w:pPr>
    </w:p>
    <w:p w:rsidR="00C76EC7" w:rsidRPr="00AA3AB6" w:rsidP="00C76EC7" w14:paraId="399D8D1A" w14:textId="77777777">
      <w:pPr>
        <w:widowControl/>
        <w:ind w:firstLine="720"/>
        <w:rPr>
          <w:szCs w:val="22"/>
        </w:rPr>
      </w:pPr>
      <w:r w:rsidRPr="00AA3AB6">
        <w:rPr>
          <w:szCs w:val="22"/>
        </w:rPr>
        <w:t>The FCC has not always done so.  Indeed, just this year the Eighth Circuit determined that the FCC acted arbitrarily and capriciously when it adopted the last Quadrennial Review order.  In doing so, the court emphasized the deregulatory nature of the Quadrennial Review provisions that Congress added to the statute.  Ultimately, the court vacated the FCC’s decision to retain the “top-four” rule, which prohibits a single entity from owning or controlling two of the top four television stations in a local market.</w:t>
      </w:r>
      <w:r>
        <w:rPr>
          <w:szCs w:val="22"/>
          <w:vertAlign w:val="superscript"/>
        </w:rPr>
        <w:footnoteReference w:id="147"/>
      </w:r>
      <w:r w:rsidRPr="00AA3AB6">
        <w:rPr>
          <w:szCs w:val="22"/>
        </w:rPr>
        <w:t xml:space="preserve"> </w:t>
      </w:r>
    </w:p>
    <w:p w:rsidR="00C76EC7" w:rsidRPr="00AA3AB6" w:rsidP="00C76EC7" w14:paraId="6C3AF4FC" w14:textId="77777777">
      <w:pPr>
        <w:widowControl/>
        <w:ind w:firstLine="720"/>
        <w:rPr>
          <w:szCs w:val="22"/>
        </w:rPr>
      </w:pPr>
    </w:p>
    <w:p w:rsidR="00C76EC7" w:rsidRPr="00AA3AB6" w:rsidP="00C76EC7" w14:paraId="2CD55FE2" w14:textId="77777777">
      <w:pPr>
        <w:widowControl/>
        <w:ind w:firstLine="720"/>
        <w:rPr>
          <w:szCs w:val="22"/>
        </w:rPr>
      </w:pPr>
      <w:r w:rsidRPr="00AA3AB6">
        <w:rPr>
          <w:szCs w:val="22"/>
        </w:rPr>
        <w:t>We are guided by the court’s decision here.  And we intend to take a fresh approach to competition by examining the broader media marketplace, rather than treating broadcast radio and television as isolated markets.  Our primary goal is to promote investment in local broadcasters who provide trusted news and information vital to the communities they serve.  We will also consider whether public safety, national security, and other public interest goals should be part of this review process.  If we determine that any rule no longer serves the public interest, we will fulfill our statutory duty to modify or eliminate those rules.</w:t>
      </w:r>
    </w:p>
    <w:p w:rsidR="00C76EC7" w:rsidRPr="00AA3AB6" w:rsidP="00C76EC7" w14:paraId="10CC3027" w14:textId="77777777">
      <w:pPr>
        <w:widowControl/>
        <w:ind w:firstLine="720"/>
        <w:rPr>
          <w:szCs w:val="22"/>
        </w:rPr>
      </w:pPr>
    </w:p>
    <w:p w:rsidR="00C76EC7" w:rsidRPr="00AA3AB6" w:rsidP="00C76EC7" w14:paraId="046013D9" w14:textId="77777777">
      <w:pPr>
        <w:widowControl/>
        <w:ind w:firstLine="720"/>
        <w:rPr>
          <w:szCs w:val="22"/>
        </w:rPr>
      </w:pPr>
      <w:r w:rsidRPr="00AA3AB6">
        <w:rPr>
          <w:szCs w:val="22"/>
        </w:rPr>
        <w:t>Thank you to all the staff who worked on this item.  In particular, I’d like to thank Susan Aaron, Ty Bream, Chad Guo, David Konczal, Jin Lee, Lori Maarbjerg, Kim Makuch, Michael Richards, Jamie Saloom,  Andrew Wise, and Irene Wu.</w:t>
      </w:r>
    </w:p>
    <w:p w:rsidR="00C76EC7" w:rsidP="00C76EC7" w14:paraId="25853F6C" w14:textId="77777777">
      <w:pPr>
        <w:widowControl/>
        <w:rPr>
          <w:szCs w:val="22"/>
        </w:rPr>
        <w:sectPr w:rsidSect="00486212">
          <w:footnotePr>
            <w:numRestart w:val="eachSect"/>
          </w:footnotePr>
          <w:endnotePr>
            <w:numFmt w:val="decimal"/>
          </w:endnotePr>
          <w:pgSz w:w="12240" w:h="15840"/>
          <w:pgMar w:top="1440" w:right="1440" w:bottom="720" w:left="1440" w:header="720" w:footer="720" w:gutter="0"/>
          <w:cols w:space="720"/>
          <w:noEndnote/>
          <w:titlePg/>
        </w:sectPr>
      </w:pPr>
    </w:p>
    <w:p w:rsidR="00C76EC7" w:rsidRPr="005577AD" w:rsidP="00C76EC7" w14:paraId="3DDC665E" w14:textId="77777777">
      <w:pPr>
        <w:jc w:val="center"/>
        <w:rPr>
          <w:b/>
          <w:bCs/>
          <w:caps/>
          <w:szCs w:val="22"/>
        </w:rPr>
      </w:pPr>
      <w:r w:rsidRPr="005577AD">
        <w:rPr>
          <w:b/>
          <w:bCs/>
          <w:caps/>
          <w:szCs w:val="22"/>
        </w:rPr>
        <w:t>Statement of</w:t>
      </w:r>
    </w:p>
    <w:p w:rsidR="00C76EC7" w:rsidRPr="005577AD" w:rsidP="00C76EC7" w14:paraId="4B4FF67F" w14:textId="77777777">
      <w:pPr>
        <w:jc w:val="center"/>
        <w:rPr>
          <w:b/>
          <w:bCs/>
          <w:caps/>
          <w:szCs w:val="22"/>
        </w:rPr>
      </w:pPr>
      <w:r>
        <w:rPr>
          <w:b/>
          <w:bCs/>
          <w:caps/>
          <w:szCs w:val="22"/>
        </w:rPr>
        <w:t xml:space="preserve">Commissioner Anna M. Gomez </w:t>
      </w:r>
    </w:p>
    <w:p w:rsidR="00C76EC7" w:rsidRPr="005577AD" w:rsidP="00C76EC7" w14:paraId="55B03CFA" w14:textId="77777777">
      <w:pPr>
        <w:jc w:val="center"/>
        <w:rPr>
          <w:b/>
          <w:bCs/>
          <w:caps/>
          <w:szCs w:val="22"/>
        </w:rPr>
      </w:pPr>
    </w:p>
    <w:p w:rsidR="00C76EC7" w:rsidRPr="005577AD" w:rsidP="00C76EC7" w14:paraId="652030AA" w14:textId="77777777">
      <w:pPr>
        <w:ind w:left="720" w:hanging="720"/>
        <w:rPr>
          <w:szCs w:val="22"/>
        </w:rPr>
      </w:pPr>
      <w:r w:rsidRPr="005577AD">
        <w:rPr>
          <w:iCs/>
          <w:szCs w:val="22"/>
        </w:rPr>
        <w:t>Re:</w:t>
      </w:r>
      <w:r w:rsidRPr="005577AD">
        <w:rPr>
          <w:szCs w:val="22"/>
        </w:rPr>
        <w:t xml:space="preserve"> </w:t>
      </w:r>
      <w:r w:rsidRPr="005577AD">
        <w:rPr>
          <w:szCs w:val="22"/>
        </w:rPr>
        <w:tab/>
      </w:r>
      <w:r w:rsidRPr="00C43304">
        <w:rPr>
          <w:i/>
          <w:iCs/>
          <w:szCs w:val="22"/>
        </w:rPr>
        <w:t>2022 Quadrennial Regulatory Review – Review of the Commission’s Broadcast Ownership Rules and Other Rules Adopted Pursuant to Section 202 of the Telecommunications Act of 1996</w:t>
      </w:r>
      <w:r w:rsidRPr="00C43304">
        <w:rPr>
          <w:szCs w:val="22"/>
        </w:rPr>
        <w:t>, Notice of Proposed Rulemaking</w:t>
      </w:r>
      <w:r>
        <w:rPr>
          <w:szCs w:val="22"/>
        </w:rPr>
        <w:t>,</w:t>
      </w:r>
      <w:r w:rsidRPr="0082411C">
        <w:rPr>
          <w:spacing w:val="-2"/>
        </w:rPr>
        <w:t xml:space="preserve"> </w:t>
      </w:r>
      <w:r w:rsidRPr="0082411C">
        <w:rPr>
          <w:szCs w:val="22"/>
        </w:rPr>
        <w:t>MB Docket No. 22-459</w:t>
      </w:r>
      <w:r w:rsidRPr="00C43304">
        <w:rPr>
          <w:i/>
          <w:iCs/>
          <w:szCs w:val="22"/>
        </w:rPr>
        <w:t xml:space="preserve"> </w:t>
      </w:r>
      <w:r w:rsidRPr="00196A8E">
        <w:rPr>
          <w:szCs w:val="22"/>
        </w:rPr>
        <w:t>(</w:t>
      </w:r>
      <w:r>
        <w:rPr>
          <w:szCs w:val="22"/>
        </w:rPr>
        <w:t>September 30</w:t>
      </w:r>
      <w:r w:rsidRPr="00196A8E">
        <w:rPr>
          <w:szCs w:val="22"/>
        </w:rPr>
        <w:t>, 2025)</w:t>
      </w:r>
      <w:r w:rsidRPr="00196A8E">
        <w:rPr>
          <w:szCs w:val="22"/>
        </w:rPr>
        <w:cr/>
      </w:r>
    </w:p>
    <w:p w:rsidR="00C76EC7" w:rsidP="00C76EC7" w14:paraId="1EF7CE8A" w14:textId="77777777">
      <w:pPr>
        <w:ind w:firstLine="720"/>
        <w:rPr>
          <w:rFonts w:eastAsia="Calibri"/>
        </w:rPr>
      </w:pPr>
      <w:r w:rsidRPr="005751A9">
        <w:rPr>
          <w:rFonts w:eastAsia="Calibri"/>
        </w:rPr>
        <w:t>In the last few weeks, we saw one of the most alarming attacks on the First Amendment in recent memory.</w:t>
      </w:r>
      <w:r>
        <w:rPr>
          <w:rFonts w:eastAsia="Calibri"/>
        </w:rPr>
        <w:t xml:space="preserve"> </w:t>
      </w:r>
      <w:r w:rsidRPr="005751A9">
        <w:rPr>
          <w:rFonts w:eastAsia="Calibri"/>
        </w:rPr>
        <w:t xml:space="preserve"> First, an ABC reporter was told that his coverage amounted to hate speech and that he should be prosecuted simply for doing his job.</w:t>
      </w:r>
      <w:r>
        <w:rPr>
          <w:rFonts w:eastAsia="Calibri"/>
        </w:rPr>
        <w:t xml:space="preserve">  </w:t>
      </w:r>
      <w:r w:rsidRPr="005751A9">
        <w:rPr>
          <w:rFonts w:eastAsia="Calibri"/>
        </w:rPr>
        <w:t>Then, this FCC threatened to go after this same network, seizing on a late-night comedian’s comments as a pretext to punish speech it disliked. That led to a new low of corporate capitulation that put the foundation of the First Amendment in danger.</w:t>
      </w:r>
      <w:r>
        <w:rPr>
          <w:rFonts w:eastAsia="Calibri"/>
        </w:rPr>
        <w:t xml:space="preserve">  </w:t>
      </w:r>
      <w:r w:rsidRPr="005751A9">
        <w:rPr>
          <w:rFonts w:eastAsia="Calibri"/>
        </w:rPr>
        <w:t>This was no simple business decision. It was an act of clear government intimidation.</w:t>
      </w:r>
    </w:p>
    <w:p w:rsidR="00C76EC7" w:rsidRPr="005751A9" w:rsidP="00C76EC7" w14:paraId="23BB4360" w14:textId="77777777">
      <w:pPr>
        <w:ind w:firstLine="720"/>
        <w:rPr>
          <w:rFonts w:eastAsia="Calibri"/>
        </w:rPr>
      </w:pPr>
    </w:p>
    <w:p w:rsidR="00C76EC7" w:rsidP="00C76EC7" w14:paraId="6214790A" w14:textId="77777777">
      <w:pPr>
        <w:ind w:firstLine="720"/>
        <w:rPr>
          <w:rFonts w:eastAsia="Calibri"/>
        </w:rPr>
      </w:pPr>
      <w:r w:rsidRPr="005751A9">
        <w:rPr>
          <w:rFonts w:eastAsia="Calibri"/>
        </w:rPr>
        <w:t xml:space="preserve">And while the FCC does not have the authority, the ability, or the constitutional right to police lawful content or to punish broadcasters for speech the government dislikes, even the threat of revoking a license is no small matter. It poses an existential risk to a broadcaster, which cannot exist without its license. </w:t>
      </w:r>
      <w:r>
        <w:rPr>
          <w:rFonts w:eastAsia="Calibri"/>
        </w:rPr>
        <w:t xml:space="preserve"> </w:t>
      </w:r>
      <w:r w:rsidRPr="005751A9">
        <w:rPr>
          <w:rFonts w:eastAsia="Calibri"/>
        </w:rPr>
        <w:t xml:space="preserve">Ultimately, after days of bipartisan pushback against this weaponization of government power, Disney backed off. </w:t>
      </w:r>
      <w:r>
        <w:rPr>
          <w:rFonts w:eastAsia="Calibri"/>
        </w:rPr>
        <w:t xml:space="preserve"> </w:t>
      </w:r>
      <w:r w:rsidRPr="005751A9">
        <w:rPr>
          <w:rFonts w:eastAsia="Calibri"/>
        </w:rPr>
        <w:t xml:space="preserve">However, for several days the corporate behemoths who own large swaths of local stations across the country did not. That’s because these billion-dollar media companies have business before the FCC. They will need regulatory approval of their transactions and are pushing to reduce regulatory guardrails so they can grow even bigger. </w:t>
      </w:r>
      <w:r>
        <w:rPr>
          <w:rFonts w:eastAsia="Calibri"/>
        </w:rPr>
        <w:t xml:space="preserve"> </w:t>
      </w:r>
      <w:r w:rsidRPr="005751A9">
        <w:rPr>
          <w:rFonts w:eastAsia="Calibri"/>
        </w:rPr>
        <w:t xml:space="preserve">That has left local stations trapped in the middle as these massive companies impose their will and their values upon local communities. </w:t>
      </w:r>
    </w:p>
    <w:p w:rsidR="00C76EC7" w:rsidRPr="005751A9" w:rsidP="00C76EC7" w14:paraId="46745331" w14:textId="77777777">
      <w:pPr>
        <w:ind w:firstLine="720"/>
        <w:rPr>
          <w:rFonts w:eastAsia="Calibri"/>
        </w:rPr>
      </w:pPr>
    </w:p>
    <w:p w:rsidR="00C76EC7" w:rsidP="00C76EC7" w14:paraId="77A8617A" w14:textId="77777777">
      <w:pPr>
        <w:ind w:firstLine="720"/>
        <w:rPr>
          <w:spacing w:val="-2"/>
        </w:rPr>
      </w:pPr>
      <w:r w:rsidRPr="005751A9">
        <w:rPr>
          <w:rFonts w:eastAsia="Calibri"/>
        </w:rPr>
        <w:t>This precise example neatly encapsulates the danger of allowing vast and unfettered media consolidation.  This could drastically alter the media ecosystem and the number of voices that are a part of it.</w:t>
      </w:r>
      <w:r>
        <w:rPr>
          <w:rFonts w:eastAsia="Calibri"/>
        </w:rPr>
        <w:t xml:space="preserve">  </w:t>
      </w:r>
      <w:r w:rsidRPr="005751A9">
        <w:rPr>
          <w:spacing w:val="-2"/>
        </w:rPr>
        <w:t>This Notice of Proposed Rulemaking is one of multiple proceedings impacting the media ecosystem on which the Commission is expected to act in the near term.  I think it is the right moment to give an overview of what is expected, how these actions are related, why it matters, and what is at stake.</w:t>
      </w:r>
    </w:p>
    <w:p w:rsidR="00C76EC7" w:rsidRPr="005751A9" w:rsidP="00C76EC7" w14:paraId="11B08DFE" w14:textId="77777777">
      <w:pPr>
        <w:ind w:firstLine="720"/>
        <w:rPr>
          <w:rFonts w:eastAsia="Calibri"/>
        </w:rPr>
      </w:pPr>
    </w:p>
    <w:p w:rsidR="00C76EC7" w:rsidP="00C76EC7" w14:paraId="3D4408BD" w14:textId="77777777">
      <w:pPr>
        <w:ind w:firstLine="720"/>
      </w:pPr>
      <w:r w:rsidRPr="005751A9">
        <w:rPr>
          <w:spacing w:val="-2"/>
        </w:rPr>
        <w:t xml:space="preserve">First, local broadcast journalism matters.  It is a key element of the United States’ civic infrastructure that keeps our democracy strong.  </w:t>
      </w:r>
      <w:r w:rsidRPr="005751A9">
        <w:t xml:space="preserve">Over the past two years I have travelled around the country meeting with stakeholders in all the industries we oversee, and almost everywhere I went I have visited with a local television and/or radio broadcaster. From a Low Power FM station in the Boyle Heights neighborhood of Los Angeles to the NBC and Telemundo studios in Miami, Florida.  One beauty of the local broadcasting model is that they are virtually everywhere.  I am consistently blown away by local journalists’ commitment to serving their local communities and their passion for their work.  </w:t>
      </w:r>
    </w:p>
    <w:p w:rsidR="00C76EC7" w:rsidRPr="005751A9" w:rsidP="00C76EC7" w14:paraId="76100EBA" w14:textId="77777777">
      <w:pPr>
        <w:ind w:firstLine="720"/>
        <w:rPr>
          <w:spacing w:val="-2"/>
        </w:rPr>
      </w:pPr>
    </w:p>
    <w:p w:rsidR="00C76EC7" w:rsidP="00C76EC7" w14:paraId="6111EE21" w14:textId="77777777">
      <w:pPr>
        <w:ind w:firstLine="720"/>
        <w:rPr>
          <w:spacing w:val="-2"/>
        </w:rPr>
      </w:pPr>
      <w:r w:rsidRPr="005751A9">
        <w:rPr>
          <w:spacing w:val="-2"/>
        </w:rPr>
        <w:t>What we all need to understand is that even when you get your news on your phone as opposed to from a local broadcast, the source of that news is very often a local broadcast journalist that does the hard work, day in and day out.  That means, if there are fewer local broadcast journalists, there are fewer total journalists out there covering the stories that matter to communities and the nation.  This is on top of the loss of local journalists that resulted from the closures of so many local newspapers.</w:t>
      </w:r>
    </w:p>
    <w:p w:rsidR="00C76EC7" w:rsidRPr="005751A9" w:rsidP="00C76EC7" w14:paraId="07E94BDF" w14:textId="77777777">
      <w:pPr>
        <w:ind w:firstLine="720"/>
      </w:pPr>
    </w:p>
    <w:p w:rsidR="00C76EC7" w:rsidP="00C76EC7" w14:paraId="1C10625C" w14:textId="77777777">
      <w:pPr>
        <w:ind w:firstLine="720"/>
        <w:rPr>
          <w:spacing w:val="-2"/>
        </w:rPr>
      </w:pPr>
      <w:r w:rsidRPr="005751A9">
        <w:rPr>
          <w:spacing w:val="-2"/>
        </w:rPr>
        <w:t xml:space="preserve">Second, the media ecosystem has changed.  As described in this item, the regulatory structure underlying broadcasting is complex and designed to, on the one hand, ensure a diversity of viewpoints are represented by precluding one entity from dominating the voices available in a community and, on the other hand, support a balance of negotiating power between large broadcasting networks that produce news and entertainment content targeting a national audience and locally licensed broadcasting stations that produce news and entertainment content that is targeted locally.  Importantly, from its inception, the broadcasting ecosystem has provided free over the air programming nationwide supported by advertising dollars.  </w:t>
      </w:r>
    </w:p>
    <w:p w:rsidR="00C76EC7" w:rsidRPr="005751A9" w:rsidP="00C76EC7" w14:paraId="3B9A2DAD" w14:textId="77777777">
      <w:pPr>
        <w:ind w:firstLine="720"/>
        <w:rPr>
          <w:spacing w:val="-2"/>
        </w:rPr>
      </w:pPr>
    </w:p>
    <w:p w:rsidR="00C76EC7" w:rsidP="00C76EC7" w14:paraId="24D71FEA" w14:textId="77777777">
      <w:pPr>
        <w:widowControl/>
        <w:ind w:firstLine="720"/>
        <w:rPr>
          <w:spacing w:val="-2"/>
        </w:rPr>
      </w:pPr>
      <w:r w:rsidRPr="005751A9">
        <w:rPr>
          <w:spacing w:val="-2"/>
        </w:rPr>
        <w:t>Advertising is a multi-billion dollar business and advertising decisions are driven by competitive market forces.  The public has benefited as competition for viewers resulted in high quality programming.</w:t>
      </w:r>
      <w:r>
        <w:rPr>
          <w:spacing w:val="-2"/>
        </w:rPr>
        <w:t xml:space="preserve">  </w:t>
      </w:r>
      <w:r w:rsidRPr="005751A9">
        <w:rPr>
          <w:spacing w:val="-2"/>
        </w:rPr>
        <w:t>As technology evolved over the last three-quarters of a century, there have been changes to our regulatory structure that were designed to maintain the balance between national and local broadcasters and to protect consumers.  There are rules that set guardrails on how broadcasters negotiate with what we call Multichannel Video Programming Distributers, or MVPDs, also known as cable and satellite television companies, for the distribution of their content.  One of the outcomes of these rules is a framework for payments from MVPDs and their subscribers to broadcasters that are referred to as “retransmission consent” payments.  These payments are an additional important source of support for free over the air programming and the proceedings I am describing will also impact the negotiating leverage among the broadcasters and MVPDs.</w:t>
      </w:r>
    </w:p>
    <w:p w:rsidR="00C76EC7" w:rsidRPr="005751A9" w:rsidP="00C76EC7" w14:paraId="6BF01438" w14:textId="77777777">
      <w:pPr>
        <w:ind w:firstLine="720"/>
        <w:rPr>
          <w:spacing w:val="-2"/>
        </w:rPr>
      </w:pPr>
    </w:p>
    <w:p w:rsidR="00C76EC7" w:rsidP="00C76EC7" w14:paraId="74449BBB" w14:textId="77777777">
      <w:pPr>
        <w:ind w:firstLine="720"/>
        <w:rPr>
          <w:spacing w:val="-2"/>
        </w:rPr>
      </w:pPr>
      <w:r w:rsidRPr="005751A9">
        <w:rPr>
          <w:spacing w:val="-2"/>
        </w:rPr>
        <w:t>Broadcasters have been losing advertising dollars to digital alternatives for decades, but the rise of various streaming platforms, the decline of cable subscribers, and the shift driven by audiences getting news and entertainment through social media applications has been growing for some time and is upending the longstanding model.</w:t>
      </w:r>
    </w:p>
    <w:p w:rsidR="00C76EC7" w:rsidRPr="005751A9" w:rsidP="00C76EC7" w14:paraId="07174AA6" w14:textId="77777777">
      <w:pPr>
        <w:ind w:firstLine="720"/>
        <w:rPr>
          <w:spacing w:val="-2"/>
        </w:rPr>
      </w:pPr>
    </w:p>
    <w:p w:rsidR="00C76EC7" w:rsidP="00C76EC7" w14:paraId="23978392" w14:textId="77777777">
      <w:pPr>
        <w:ind w:firstLine="720"/>
      </w:pPr>
      <w:r w:rsidRPr="005751A9">
        <w:t>When broadcasters were the indisputably best advertising medium, broadcast advertising dollars were plentiful and could support multiple local broadcasting stations in most communities.  The competition from all the digital platforms, which can deliver national or local targeted ad campaigns using personal data, the migration of high value content such as live sports to alternative streaming platforms, and the decline of MVPD subscriptions are having a very real impact on broadcasters’ bottom lines.</w:t>
      </w:r>
    </w:p>
    <w:p w:rsidR="00C76EC7" w:rsidRPr="005751A9" w:rsidP="00C76EC7" w14:paraId="069F3389" w14:textId="77777777">
      <w:pPr>
        <w:ind w:firstLine="720"/>
      </w:pPr>
    </w:p>
    <w:p w:rsidR="00C76EC7" w:rsidP="00C76EC7" w14:paraId="2488CACA" w14:textId="77777777">
      <w:pPr>
        <w:tabs>
          <w:tab w:val="left" w:pos="1015"/>
        </w:tabs>
      </w:pPr>
      <w:r w:rsidRPr="005751A9">
        <w:tab/>
        <w:t xml:space="preserve">Not surprisingly, broadcasters are working on multiple fronts to keep their businesses financially viable in the digital age.  Nobody can tell me what the broadcasting industry is going to look like five or ten years down the road.  And, importantly, not all broadcasters have the same incentives because they are often managing different collections of assets.  So I am going to walk through key aspects of several issues that are pending in different proceedings.  </w:t>
      </w:r>
    </w:p>
    <w:p w:rsidR="00C76EC7" w:rsidRPr="005751A9" w:rsidP="00C76EC7" w14:paraId="2ED86DD1" w14:textId="77777777">
      <w:pPr>
        <w:tabs>
          <w:tab w:val="left" w:pos="1015"/>
        </w:tabs>
      </w:pPr>
    </w:p>
    <w:p w:rsidR="00C76EC7" w:rsidP="00C76EC7" w14:paraId="3FF9BAE0" w14:textId="77777777">
      <w:pPr>
        <w:tabs>
          <w:tab w:val="left" w:pos="1015"/>
        </w:tabs>
      </w:pPr>
      <w:r w:rsidRPr="005751A9">
        <w:tab/>
        <w:t xml:space="preserve">This Quadrennial review is looking at the prohibition against owning more than two broadcast stations in a market.  The case for lifting the two-station rule is that economic pressures, meaning reduced advertising and subscription dollars, can only be addressed by creating economies of scale through the use of shared resources such as real estate, personnel, and technology.  The case against it is made clear in arguments I hear such as from a consumer, who wrote to me about the fact that four of the five stations in Eugene, Oregon, </w:t>
      </w:r>
      <w:r>
        <w:t xml:space="preserve">that broadcast local news </w:t>
      </w:r>
      <w:r w:rsidRPr="005751A9">
        <w:t xml:space="preserve">are owned by a single entity.  She raised concerns that </w:t>
      </w:r>
    </w:p>
    <w:p w:rsidR="00C76EC7" w:rsidRPr="005751A9" w:rsidP="00C76EC7" w14:paraId="6A82F5F2" w14:textId="77777777">
      <w:pPr>
        <w:tabs>
          <w:tab w:val="left" w:pos="1015"/>
        </w:tabs>
      </w:pPr>
    </w:p>
    <w:p w:rsidR="00C76EC7" w:rsidP="00C76EC7" w14:paraId="3D222533" w14:textId="77777777">
      <w:pPr>
        <w:tabs>
          <w:tab w:val="left" w:pos="1015"/>
        </w:tabs>
        <w:ind w:left="720"/>
      </w:pPr>
      <w:r w:rsidRPr="005751A9">
        <w:t>“[the commonly owned] stations all share the same crew, reporters, on-air personnel and stories for the local news programing. This means that although there are five stations with local news programs on air each day there [are] really only two choices. . . . I believe that limits the points of view available when it comes to local news stories.  And since the local news programs also include some national news stories the four stations owned by [that one station group] are all the same stories as reported by [such station group].”</w:t>
      </w:r>
    </w:p>
    <w:p w:rsidR="00C76EC7" w:rsidRPr="005751A9" w:rsidP="00C76EC7" w14:paraId="61F9D8A9" w14:textId="77777777">
      <w:pPr>
        <w:tabs>
          <w:tab w:val="left" w:pos="1015"/>
        </w:tabs>
        <w:ind w:left="720"/>
      </w:pPr>
    </w:p>
    <w:p w:rsidR="00C76EC7" w:rsidP="00C76EC7" w14:paraId="48F9C201" w14:textId="77777777">
      <w:pPr>
        <w:tabs>
          <w:tab w:val="left" w:pos="1015"/>
        </w:tabs>
      </w:pPr>
      <w:r w:rsidRPr="005751A9">
        <w:tab/>
        <w:t xml:space="preserve">In a second proceeding, the Commission is looking at raising the national ownership limit.  That is, entities are prohibited from owning broadcast stations that reach more than thirty-nine percent of the households in the United States.  This issue created controversy in the past and in 2004 Congress stepped in to ratchet back the FCC’s prior action and to establish the national ownership cap we have today.  Advocates for raising or eliminating the cap argue that it limits their ability to compete for national advertising campaigns that are necessary to support local broadcasting, which they are committed to.  Opponents assert the local broadcasters owned by large station groups, which can be billion-dollar corporations, are not serving their local markets because they are broadcasting content advancing the corporate parent’s national interests as if it was locally originated.  </w:t>
      </w:r>
    </w:p>
    <w:p w:rsidR="00C76EC7" w:rsidRPr="005751A9" w:rsidP="00C76EC7" w14:paraId="30948ECF" w14:textId="77777777">
      <w:pPr>
        <w:tabs>
          <w:tab w:val="left" w:pos="1015"/>
        </w:tabs>
      </w:pPr>
    </w:p>
    <w:p w:rsidR="00C76EC7" w:rsidP="00C76EC7" w14:paraId="4E376AFF" w14:textId="77777777">
      <w:pPr>
        <w:tabs>
          <w:tab w:val="left" w:pos="1015"/>
        </w:tabs>
        <w:ind w:firstLine="720"/>
      </w:pPr>
      <w:r w:rsidRPr="005751A9">
        <w:t>Given the prior Congressional action, I believe that only Congress can raise the cap.  From a policy perspective, as explained in the item today, our regulatory structure is in large part based on a balance of power between national networks with incentives to serve national interests and local broadcasters with incentives to serve their local communities.  A significant question to be addressed is how would ownership of a group of local broadcasters that together reach the majority or all of the nation change the incentives of that station group?  In the past two weeks the public has raised serious concerns that large station groups made programming decisions to serve their national corporate interests, not their communities of license.  What is the impact of letting them get even bigger?</w:t>
      </w:r>
    </w:p>
    <w:p w:rsidR="00C76EC7" w:rsidRPr="005751A9" w:rsidP="00C76EC7" w14:paraId="3F10A3A2" w14:textId="77777777">
      <w:pPr>
        <w:tabs>
          <w:tab w:val="left" w:pos="1015"/>
        </w:tabs>
        <w:ind w:firstLine="720"/>
      </w:pPr>
    </w:p>
    <w:p w:rsidR="00C76EC7" w:rsidP="00C76EC7" w14:paraId="7C626660" w14:textId="77777777">
      <w:pPr>
        <w:tabs>
          <w:tab w:val="left" w:pos="1015"/>
        </w:tabs>
      </w:pPr>
      <w:r w:rsidRPr="005751A9">
        <w:tab/>
        <w:t xml:space="preserve">Finally, broadcasters are petitioning the Commission to impose a hard deadline requiring cutover to the next generation of broadcasting technical standards, generally referred to as NextGen TV or ATSC 3.0.  While this sounds a little wonky, stick with me here for a moment to explain why this matters.  </w:t>
      </w:r>
    </w:p>
    <w:p w:rsidR="00C76EC7" w:rsidRPr="005751A9" w:rsidP="00C76EC7" w14:paraId="65FE599F" w14:textId="77777777">
      <w:pPr>
        <w:tabs>
          <w:tab w:val="left" w:pos="1015"/>
        </w:tabs>
      </w:pPr>
    </w:p>
    <w:p w:rsidR="00C76EC7" w:rsidP="00C76EC7" w14:paraId="69C12690" w14:textId="77777777">
      <w:pPr>
        <w:tabs>
          <w:tab w:val="left" w:pos="1015"/>
        </w:tabs>
      </w:pPr>
      <w:r w:rsidRPr="005751A9">
        <w:tab/>
        <w:t xml:space="preserve">NextGen TV is a new broadcasting standard that uses an IP format.  Broadcasters can use this to evolve technologically and to provide additional services to better compete with digital platforms, through both services they offer and targeted advertising they will sell.  It will allow more efficient use of spectrum, which will in turn free up spectrum for non-broadcast uses they can monetize.  There are many good things about this technology, but like everything else it raises questions of costs and policy outcomes.  Costs will be borne by manufacturers that will need to add technology to televisions to receive this broadcast, MVPDs that will need to change their equipment to receive the NextGen TV signals, and consumers that will need to purchase antennas for their existing TVs to receive the new signal over the air or potentially pay higher prices for new televisions. </w:t>
      </w:r>
    </w:p>
    <w:p w:rsidR="00C76EC7" w:rsidRPr="005751A9" w:rsidP="00C76EC7" w14:paraId="31F1618B" w14:textId="77777777">
      <w:pPr>
        <w:tabs>
          <w:tab w:val="left" w:pos="1015"/>
        </w:tabs>
      </w:pPr>
    </w:p>
    <w:p w:rsidR="00C76EC7" w:rsidP="00C76EC7" w14:paraId="1437D54F" w14:textId="77777777">
      <w:pPr>
        <w:tabs>
          <w:tab w:val="left" w:pos="1015"/>
        </w:tabs>
      </w:pPr>
      <w:r w:rsidRPr="005751A9">
        <w:tab/>
        <w:t>Importantly, the benefits of NextGen TV to broadcasters increase if the national ownership cap is raised or eliminated.    A station group with a nationwide footprint and data about their audiences will be able to compete for national targeted advertising campaigns.  They also plan to sell datacasting services using the broadcast spectrum made available by the more efficient standard to, for example, broadly and efficiently transmit technical updates to devices such as phones and cars outside traditional broadband connections.  This may well be a great use of spectrum but we should certainly consider the policy implications of allowing this before it happens.</w:t>
      </w:r>
    </w:p>
    <w:p w:rsidR="00C76EC7" w:rsidRPr="005751A9" w:rsidP="00C76EC7" w14:paraId="3CFEF9F0" w14:textId="77777777">
      <w:pPr>
        <w:tabs>
          <w:tab w:val="left" w:pos="1015"/>
        </w:tabs>
      </w:pPr>
    </w:p>
    <w:p w:rsidR="00C76EC7" w:rsidP="00C76EC7" w14:paraId="1CC7358B" w14:textId="77777777">
      <w:pPr>
        <w:tabs>
          <w:tab w:val="left" w:pos="1015"/>
        </w:tabs>
      </w:pPr>
      <w:r w:rsidRPr="005751A9">
        <w:tab/>
        <w:t xml:space="preserve">These are all complex proceedings with more issues to resolve than I am covering today. The financial pressures on local broadcasters are very real as are the significant values of the local broadcasting services they provide to their communities of license.  </w:t>
      </w:r>
    </w:p>
    <w:p w:rsidR="00C76EC7" w:rsidRPr="005751A9" w:rsidP="00C76EC7" w14:paraId="215DE8AB" w14:textId="77777777">
      <w:pPr>
        <w:tabs>
          <w:tab w:val="left" w:pos="1015"/>
        </w:tabs>
      </w:pPr>
    </w:p>
    <w:p w:rsidR="00C76EC7" w:rsidP="00C76EC7" w14:paraId="2AB3B36D" w14:textId="77777777">
      <w:pPr>
        <w:tabs>
          <w:tab w:val="left" w:pos="1015"/>
        </w:tabs>
      </w:pPr>
      <w:r w:rsidRPr="005751A9">
        <w:tab/>
        <w:t>The Commission requires locally licensed broadcasters to serve their communities of license in the public interest.  The key principles underlying this statement remain localism, viewpoint diversity and competition.  Financial gains for corporate giants is not a basis to abandon our, and broadcasters’, obligations to serve the public interest.</w:t>
      </w:r>
    </w:p>
    <w:p w:rsidR="00C76EC7" w:rsidRPr="005751A9" w:rsidP="00C76EC7" w14:paraId="4AF72521" w14:textId="77777777">
      <w:pPr>
        <w:tabs>
          <w:tab w:val="left" w:pos="1015"/>
        </w:tabs>
      </w:pPr>
    </w:p>
    <w:p w:rsidR="00C76EC7" w:rsidP="00C76EC7" w14:paraId="0658363D" w14:textId="77777777">
      <w:pPr>
        <w:tabs>
          <w:tab w:val="left" w:pos="1015"/>
        </w:tabs>
      </w:pPr>
      <w:r w:rsidRPr="005751A9">
        <w:tab/>
        <w:t xml:space="preserve">The question remains, however, what can we do, how do we move forward to maintain and grow this critical infrastructure of democracy that depends on the broadcast ecosystem?  I do not fault the broadcasters and other industry stakeholders for looking out for their financial interests, that is their job.  And I applaud the public interest advocates for pushing back against the notion that competitive pressures are more important than localism and viewpoint diversity.  We need to ensure our rules prioritize viewpoint diversity and incentivize broadcasters to serve their communities of license.  The broadcast ecosystem is a longstanding public private partnership and I call on all stakeholders to approach this pivotal moment with an open mind to identifying modifications to current rules that would both shore up the economics of broadcast television </w:t>
      </w:r>
      <w:r>
        <w:t>and</w:t>
      </w:r>
      <w:r w:rsidRPr="005751A9">
        <w:t xml:space="preserve"> preserve the public interest.</w:t>
      </w:r>
    </w:p>
    <w:p w:rsidR="00C76EC7" w:rsidRPr="005751A9" w:rsidP="00C76EC7" w14:paraId="01256E13" w14:textId="77777777">
      <w:pPr>
        <w:tabs>
          <w:tab w:val="left" w:pos="1015"/>
        </w:tabs>
      </w:pPr>
    </w:p>
    <w:p w:rsidR="00C76EC7" w:rsidP="00C76EC7" w14:paraId="13FC6CF4" w14:textId="77777777">
      <w:pPr>
        <w:tabs>
          <w:tab w:val="left" w:pos="1015"/>
        </w:tabs>
      </w:pPr>
      <w:r w:rsidRPr="005751A9">
        <w:tab/>
        <w:t>This Notice of Proposed Rulemaking is required by statute.  I support seeking comment on these very important issues and I look forward to productive engagement with stakeholders and remain focused on retaining rules necessary to serve the public interest.</w:t>
      </w:r>
    </w:p>
    <w:p w:rsidR="00C76EC7" w:rsidRPr="005751A9" w:rsidP="00C76EC7" w14:paraId="55EC79E6" w14:textId="77777777">
      <w:pPr>
        <w:tabs>
          <w:tab w:val="left" w:pos="1015"/>
        </w:tabs>
      </w:pPr>
    </w:p>
    <w:p w:rsidR="00C76EC7" w:rsidP="00C76EC7" w14:paraId="020CE853" w14:textId="77777777">
      <w:pPr>
        <w:tabs>
          <w:tab w:val="left" w:pos="1015"/>
        </w:tabs>
        <w:sectPr w:rsidSect="00486212">
          <w:footnotePr>
            <w:numRestart w:val="eachSect"/>
          </w:footnotePr>
          <w:endnotePr>
            <w:numFmt w:val="decimal"/>
          </w:endnotePr>
          <w:pgSz w:w="12240" w:h="15840"/>
          <w:pgMar w:top="1440" w:right="1440" w:bottom="720" w:left="1440" w:header="720" w:footer="720" w:gutter="0"/>
          <w:cols w:space="720"/>
          <w:noEndnote/>
          <w:titlePg/>
        </w:sectPr>
      </w:pPr>
      <w:r w:rsidRPr="005751A9">
        <w:tab/>
      </w:r>
      <w:r w:rsidRPr="009A0B6D">
        <w:t>I appreciate the Chairman including my suggested edits in the Notice of Proposed Rulemaking and thank the Media Bureau staff for their good work on this complex matter.</w:t>
      </w:r>
    </w:p>
    <w:p w:rsidR="00C76EC7" w:rsidRPr="005577AD" w:rsidP="00C76EC7" w14:paraId="6C9E3967" w14:textId="77777777">
      <w:pPr>
        <w:jc w:val="center"/>
        <w:rPr>
          <w:b/>
          <w:bCs/>
          <w:caps/>
          <w:szCs w:val="22"/>
        </w:rPr>
      </w:pPr>
      <w:r w:rsidRPr="005577AD">
        <w:rPr>
          <w:b/>
          <w:bCs/>
          <w:caps/>
          <w:szCs w:val="22"/>
        </w:rPr>
        <w:t>Statement of</w:t>
      </w:r>
    </w:p>
    <w:p w:rsidR="00C76EC7" w:rsidRPr="005577AD" w:rsidP="00C76EC7" w14:paraId="0D0D1351" w14:textId="77777777">
      <w:pPr>
        <w:jc w:val="center"/>
        <w:rPr>
          <w:b/>
          <w:bCs/>
          <w:caps/>
          <w:szCs w:val="22"/>
        </w:rPr>
      </w:pPr>
      <w:r>
        <w:rPr>
          <w:b/>
          <w:bCs/>
          <w:caps/>
          <w:szCs w:val="22"/>
        </w:rPr>
        <w:t>Commissioner Olivia Trusty</w:t>
      </w:r>
    </w:p>
    <w:p w:rsidR="00C76EC7" w:rsidRPr="005577AD" w:rsidP="00C76EC7" w14:paraId="49AAB74F" w14:textId="77777777">
      <w:pPr>
        <w:jc w:val="center"/>
        <w:rPr>
          <w:b/>
          <w:bCs/>
          <w:caps/>
          <w:szCs w:val="22"/>
        </w:rPr>
      </w:pPr>
    </w:p>
    <w:p w:rsidR="00C76EC7" w:rsidRPr="005577AD" w:rsidP="00C76EC7" w14:paraId="354723F9" w14:textId="77777777">
      <w:pPr>
        <w:ind w:left="720" w:hanging="720"/>
        <w:rPr>
          <w:szCs w:val="22"/>
        </w:rPr>
      </w:pPr>
      <w:r w:rsidRPr="005577AD">
        <w:rPr>
          <w:iCs/>
          <w:szCs w:val="22"/>
        </w:rPr>
        <w:t>Re:</w:t>
      </w:r>
      <w:r w:rsidRPr="005577AD">
        <w:rPr>
          <w:szCs w:val="22"/>
        </w:rPr>
        <w:t xml:space="preserve"> </w:t>
      </w:r>
      <w:r w:rsidRPr="005577AD">
        <w:rPr>
          <w:szCs w:val="22"/>
        </w:rPr>
        <w:tab/>
      </w:r>
      <w:r w:rsidRPr="00C43304">
        <w:rPr>
          <w:i/>
          <w:iCs/>
          <w:szCs w:val="22"/>
        </w:rPr>
        <w:t>2022 Quadrennial Regulatory Review – Review of the Commission’s Broadcast Ownership Rules and Other Rules Adopted Pursuant to Section 202 of the Telecommunications Act of 1996</w:t>
      </w:r>
      <w:r w:rsidRPr="00C43304">
        <w:rPr>
          <w:szCs w:val="22"/>
        </w:rPr>
        <w:t>, Notice of Proposed Rulemaking</w:t>
      </w:r>
      <w:r>
        <w:rPr>
          <w:szCs w:val="22"/>
        </w:rPr>
        <w:t>,</w:t>
      </w:r>
      <w:r w:rsidRPr="0082411C">
        <w:rPr>
          <w:spacing w:val="-2"/>
        </w:rPr>
        <w:t xml:space="preserve"> </w:t>
      </w:r>
      <w:r w:rsidRPr="0082411C">
        <w:rPr>
          <w:szCs w:val="22"/>
        </w:rPr>
        <w:t>MB Docket No. 22-459</w:t>
      </w:r>
      <w:r w:rsidRPr="00C43304">
        <w:rPr>
          <w:i/>
          <w:iCs/>
          <w:szCs w:val="22"/>
        </w:rPr>
        <w:t xml:space="preserve"> </w:t>
      </w:r>
      <w:r w:rsidRPr="00196A8E">
        <w:rPr>
          <w:szCs w:val="22"/>
        </w:rPr>
        <w:t>(</w:t>
      </w:r>
      <w:r>
        <w:rPr>
          <w:szCs w:val="22"/>
        </w:rPr>
        <w:t>September 30</w:t>
      </w:r>
      <w:r w:rsidRPr="00196A8E">
        <w:rPr>
          <w:szCs w:val="22"/>
        </w:rPr>
        <w:t>, 2025)</w:t>
      </w:r>
      <w:r w:rsidRPr="00196A8E">
        <w:rPr>
          <w:szCs w:val="22"/>
        </w:rPr>
        <w:cr/>
      </w:r>
    </w:p>
    <w:p w:rsidR="00C76EC7" w:rsidRPr="009D3C61" w:rsidP="00C76EC7" w14:paraId="053BCBDF" w14:textId="77777777">
      <w:pPr>
        <w:spacing w:after="120"/>
        <w:ind w:firstLine="720"/>
        <w:rPr>
          <w:szCs w:val="22"/>
        </w:rPr>
      </w:pPr>
      <w:r w:rsidRPr="009D3C61">
        <w:rPr>
          <w:szCs w:val="22"/>
        </w:rPr>
        <w:t xml:space="preserve">When Congress passed the Telecommunications Act, it recognized that competition could fundamentally reshape the audio and video media marketplace.  To account for shifts in competition, the Act directs the Commission to revisit its public interest evaluation of key radio and television ownership rules every four years, relaxing them as needed. </w:t>
      </w:r>
    </w:p>
    <w:p w:rsidR="00C76EC7" w:rsidRPr="009D3C61" w:rsidP="00C76EC7" w14:paraId="6208D744" w14:textId="77777777">
      <w:pPr>
        <w:spacing w:after="120"/>
        <w:ind w:firstLine="720"/>
        <w:rPr>
          <w:szCs w:val="22"/>
        </w:rPr>
      </w:pPr>
      <w:r w:rsidRPr="009D3C61">
        <w:rPr>
          <w:szCs w:val="22"/>
        </w:rPr>
        <w:t>Although the 2026 review is fast approaching, to be consistent with our statutory obligations, it is important that we move forward with this NPRM for the 2022 review.  The marketplace has been changing rapidly, driven by technological innovation and evolving consumers preferences.  The growth of digital competition has brought new opportunities for consumers to benefit from more personalized viewing options. But it also requires us to carefully reassess whether our rules reflect today’s realities and allow broadcasters to compete effectively in this dynamic environment.  The 2022 Quadrennial Review NPRM provides the Commission with a timely opportunity to do just that.</w:t>
      </w:r>
    </w:p>
    <w:p w:rsidR="00C76EC7" w:rsidRPr="009D3C61" w:rsidP="00C76EC7" w14:paraId="083740D2" w14:textId="77777777">
      <w:pPr>
        <w:spacing w:after="120"/>
        <w:ind w:firstLine="720"/>
        <w:rPr>
          <w:szCs w:val="22"/>
        </w:rPr>
      </w:pPr>
      <w:r w:rsidRPr="009D3C61">
        <w:rPr>
          <w:szCs w:val="22"/>
        </w:rPr>
        <w:t>Guided by the law and the record, I look forward to ensuring that our media ownership rules are appropriately modernized to reflect the current marketplace.  And I remain committed to ensuring that broadcasters advance the public interest as Congress required in the Communications Act.</w:t>
      </w:r>
    </w:p>
    <w:p w:rsidR="00C76EC7" w:rsidP="00C76EC7" w14:paraId="4ABE6818" w14:textId="77777777">
      <w:pPr>
        <w:spacing w:after="120"/>
        <w:ind w:firstLine="720"/>
        <w:rPr>
          <w:szCs w:val="22"/>
        </w:rPr>
      </w:pPr>
      <w:r w:rsidRPr="009D3C61">
        <w:rPr>
          <w:szCs w:val="22"/>
        </w:rPr>
        <w:t>I thank the Media Bureau for its excellent work on this item</w:t>
      </w:r>
      <w:r>
        <w:rPr>
          <w:szCs w:val="22"/>
        </w:rPr>
        <w:t>.</w:t>
      </w:r>
    </w:p>
    <w:p w:rsidR="00C76EC7" w:rsidRPr="00C82BEF" w:rsidP="00C76EC7" w14:paraId="05AC3637" w14:textId="77777777">
      <w:pPr>
        <w:spacing w:after="120"/>
        <w:rPr>
          <w:szCs w:val="22"/>
        </w:rPr>
      </w:pPr>
    </w:p>
    <w:p w:rsidR="00C76EC7" w:rsidRPr="005751A9" w:rsidP="00C76EC7" w14:paraId="6C0D46CE" w14:textId="77777777">
      <w:pPr>
        <w:tabs>
          <w:tab w:val="left" w:pos="1015"/>
        </w:tabs>
      </w:pPr>
    </w:p>
    <w:p w:rsidR="00C76EC7" w:rsidRPr="005751A9" w:rsidP="00C76EC7" w14:paraId="546231B0" w14:textId="77777777">
      <w:pPr>
        <w:spacing w:line="276" w:lineRule="auto"/>
        <w:ind w:left="720" w:hanging="720"/>
        <w:rPr>
          <w:spacing w:val="-2"/>
        </w:rPr>
      </w:pPr>
    </w:p>
    <w:p w:rsidR="00C76EC7" w:rsidRPr="00C82BEF" w:rsidP="00C76EC7" w14:paraId="561919A8" w14:textId="77777777">
      <w:pPr>
        <w:spacing w:after="120"/>
        <w:rPr>
          <w:szCs w:val="22"/>
        </w:rPr>
      </w:pPr>
    </w:p>
    <w:p w:rsidR="00C76EC7" w:rsidRPr="005577AD" w:rsidP="00C76EC7" w14:paraId="3DEC8D1C" w14:textId="77777777">
      <w:pPr>
        <w:widowControl/>
        <w:rPr>
          <w:szCs w:val="22"/>
        </w:rPr>
      </w:pPr>
    </w:p>
    <w:p w:rsidR="00C76EC7" w:rsidRPr="00DE72D3" w:rsidP="00C76EC7" w14:paraId="36EE3F51" w14:textId="77777777"/>
    <w:p w:rsidR="00C76EC7" w:rsidRPr="00934012" w:rsidP="00C76EC7" w14:paraId="6CFFDF97" w14:textId="77777777"/>
    <w:p w:rsidR="005A7639" w:rsidRPr="00F541A7" w:rsidP="005A7639" w14:paraId="6AA8746F" w14:textId="77777777">
      <w:pPr>
        <w:jc w:val="center"/>
      </w:pPr>
    </w:p>
    <w:p w:rsidR="00412FC5" w:rsidRPr="00F541A7" w:rsidP="001E05DB" w14:paraId="5B87AE19" w14:textId="77777777">
      <w:pPr>
        <w:spacing w:after="120"/>
        <w:jc w:val="center"/>
      </w:pPr>
    </w:p>
    <w:sectPr w:rsidSect="00486212">
      <w:footnotePr>
        <w:numRestart w:val="eachSect"/>
      </w:footnotePr>
      <w:endnotePr>
        <w:numFmt w:val="decimal"/>
      </w:endnotePr>
      <w:pgSz w:w="12240" w:h="15840"/>
      <w:pgMar w:top="1440" w:right="1440" w:bottom="720" w:left="1440" w:header="720" w:footer="720" w:gutter="0"/>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B756B0" w14:paraId="0D5BBD54" w14:textId="77777777">
      <w:pPr>
        <w:spacing w:line="20" w:lineRule="exact"/>
      </w:pPr>
    </w:p>
  </w:endnote>
  <w:endnote w:type="continuationSeparator" w:id="1">
    <w:p w:rsidR="00B756B0" w14:paraId="6DD756CE" w14:textId="77777777">
      <w:r>
        <w:t xml:space="preserve"> </w:t>
      </w:r>
    </w:p>
  </w:endnote>
  <w:endnote w:type="continuationNotice" w:id="2">
    <w:p w:rsidR="00B756B0" w14:paraId="5FBA199A"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panose1 w:val="02020803070505020304"/>
    <w:charset w:val="00"/>
    <w:family w:val="roman"/>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entury Schoolbook">
    <w:panose1 w:val="02040604050505020304"/>
    <w:charset w:val="00"/>
    <w:family w:val="roman"/>
    <w:pitch w:val="variable"/>
    <w:sig w:usb0="00000287" w:usb1="00000000" w:usb2="00000000" w:usb3="00000000" w:csb0="0000009F" w:csb1="00000000"/>
  </w:font>
  <w:font w:name="FranklinGothic-Book">
    <w:altName w:val="Yu Gothic"/>
    <w:panose1 w:val="00000000000000000000"/>
    <w:charset w:val="80"/>
    <w:family w:val="auto"/>
    <w:notTrueType/>
    <w:pitch w:val="default"/>
    <w:sig w:usb0="00000003" w:usb1="08070000" w:usb2="00000010" w:usb3="00000000" w:csb0="00020001" w:csb1="00000000"/>
  </w:font>
  <w:font w:name="TimesNewRomanPSMT">
    <w:altName w:val="Times New Roman"/>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55614C" w14:paraId="0E3E36E4" w14:textId="77777777">
    <w:pPr>
      <w:pStyle w:val="Footer"/>
      <w:framePr w:wrap="around" w:vAnchor="text" w:hAnchor="margin" w:xAlign="center" w:y="1"/>
    </w:pPr>
    <w:r>
      <w:fldChar w:fldCharType="begin"/>
    </w:r>
    <w:r>
      <w:instrText xml:space="preserve">PAGE  </w:instrText>
    </w:r>
    <w:r>
      <w:fldChar w:fldCharType="separate"/>
    </w:r>
    <w:r>
      <w:fldChar w:fldCharType="end"/>
    </w:r>
  </w:p>
  <w:p w:rsidR="00D25FB5" w14:paraId="03CC6EBF"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486212" w14:paraId="719DE46C" w14:textId="24CC14E8">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B756B0" w14:paraId="6B763F6F" w14:textId="77777777">
      <w:r>
        <w:separator/>
      </w:r>
    </w:p>
  </w:footnote>
  <w:footnote w:type="continuationSeparator" w:id="1">
    <w:p w:rsidR="00B756B0" w:rsidP="00C721AC" w14:paraId="067F727C" w14:textId="77777777">
      <w:pPr>
        <w:spacing w:before="120"/>
        <w:rPr>
          <w:sz w:val="20"/>
        </w:rPr>
      </w:pPr>
      <w:r>
        <w:rPr>
          <w:sz w:val="20"/>
        </w:rPr>
        <w:t xml:space="preserve">(Continued from previous page)  </w:t>
      </w:r>
      <w:r>
        <w:rPr>
          <w:sz w:val="20"/>
        </w:rPr>
        <w:separator/>
      </w:r>
    </w:p>
  </w:footnote>
  <w:footnote w:type="continuationNotice" w:id="2">
    <w:p w:rsidR="00B756B0" w:rsidP="00C721AC" w14:paraId="5B7698AF" w14:textId="77777777">
      <w:pPr>
        <w:jc w:val="right"/>
        <w:rPr>
          <w:sz w:val="20"/>
        </w:rPr>
      </w:pPr>
      <w:r>
        <w:rPr>
          <w:sz w:val="20"/>
        </w:rPr>
        <w:t>(continued….)</w:t>
      </w:r>
    </w:p>
  </w:footnote>
  <w:footnote w:id="3">
    <w:p w:rsidR="00F541A7" w:rsidP="00BA2DC2" w14:paraId="470B2195" w14:textId="77777777">
      <w:pPr>
        <w:pStyle w:val="FootnoteText"/>
      </w:pPr>
      <w:r>
        <w:rPr>
          <w:rStyle w:val="FootnoteReference"/>
        </w:rPr>
        <w:footnoteRef/>
      </w:r>
      <w:r>
        <w:t xml:space="preserve"> </w:t>
      </w:r>
      <w:r w:rsidRPr="00025823">
        <w:t>Telecommunications Act of 1996, Pub. L</w:t>
      </w:r>
      <w:r w:rsidRPr="00060049">
        <w:t>. No. 104-104, § 202(h), 110 Stat. 56, 111-12 (1996) (1996 Act); Consolidated Appropriations Act, 2004, Pub. L. No. 108-199, § 629, 118 Stat. 3, 99-100 (2004) (Appropriations Act) (amending Sections 202(c) and 202(h) of the 1996 Act).  In 2004, Congress re</w:t>
      </w:r>
      <w:r w:rsidRPr="002E6DA8">
        <w:t xml:space="preserve">vised the then-biennial review requirement to require such reviews quadrennially.  </w:t>
      </w:r>
      <w:r w:rsidRPr="002E6DA8">
        <w:rPr>
          <w:i/>
        </w:rPr>
        <w:t>See</w:t>
      </w:r>
      <w:r w:rsidRPr="002E6DA8">
        <w:t xml:space="preserve"> </w:t>
      </w:r>
      <w:bookmarkStart w:id="19" w:name="_Hlk528947252"/>
      <w:r w:rsidRPr="002E6DA8">
        <w:t>Appropriations Act § 629, 118 Stat. at 100</w:t>
      </w:r>
      <w:bookmarkEnd w:id="19"/>
      <w:r>
        <w:t>.</w:t>
      </w:r>
    </w:p>
  </w:footnote>
  <w:footnote w:id="4">
    <w:p w:rsidR="00F541A7" w:rsidP="00BA2DC2" w14:paraId="11142ABF" w14:textId="77777777">
      <w:pPr>
        <w:pStyle w:val="FootnoteText"/>
      </w:pPr>
      <w:r>
        <w:rPr>
          <w:rStyle w:val="FootnoteReference"/>
        </w:rPr>
        <w:footnoteRef/>
      </w:r>
      <w:r>
        <w:t xml:space="preserve"> 47 CFR § 73.3555(a).</w:t>
      </w:r>
    </w:p>
  </w:footnote>
  <w:footnote w:id="5">
    <w:p w:rsidR="00F541A7" w:rsidP="00BA2DC2" w14:paraId="4DB89E27" w14:textId="77777777">
      <w:pPr>
        <w:pStyle w:val="FootnoteText"/>
      </w:pPr>
      <w:r>
        <w:rPr>
          <w:rStyle w:val="FootnoteReference"/>
        </w:rPr>
        <w:footnoteRef/>
      </w:r>
      <w:r>
        <w:t xml:space="preserve"> </w:t>
      </w:r>
      <w:r>
        <w:rPr>
          <w:i/>
        </w:rPr>
        <w:t>Id.</w:t>
      </w:r>
      <w:r>
        <w:t xml:space="preserve"> § 73.3555(b).</w:t>
      </w:r>
    </w:p>
  </w:footnote>
  <w:footnote w:id="6">
    <w:p w:rsidR="00F541A7" w:rsidP="00BA2DC2" w14:paraId="3E9823EC" w14:textId="77777777">
      <w:pPr>
        <w:pStyle w:val="FootnoteText"/>
      </w:pPr>
      <w:r>
        <w:rPr>
          <w:rStyle w:val="FootnoteReference"/>
        </w:rPr>
        <w:footnoteRef/>
      </w:r>
      <w:r>
        <w:t xml:space="preserve"> </w:t>
      </w:r>
      <w:r>
        <w:rPr>
          <w:i/>
        </w:rPr>
        <w:t>Id.</w:t>
      </w:r>
      <w:r>
        <w:t xml:space="preserve"> § 73.658(g).</w:t>
      </w:r>
    </w:p>
  </w:footnote>
  <w:footnote w:id="7">
    <w:p w:rsidR="00F541A7" w:rsidP="00BA2DC2" w14:paraId="6DA6E1D5" w14:textId="77777777">
      <w:pPr>
        <w:pStyle w:val="FootnoteText"/>
      </w:pPr>
      <w:r>
        <w:rPr>
          <w:rStyle w:val="FootnoteReference"/>
        </w:rPr>
        <w:footnoteRef/>
      </w:r>
      <w:r>
        <w:t xml:space="preserve"> See, e.g., Amendment of Sections 73.35, 73.240, and 73.636 of the Commission’s Rules Relating to Multiple Ownership of Standard, FM and Television Broadcast Stations, 45 F.C.C. 1476 (1964) (prohibiting common ownership of television stations with intersecting Grade B contours); Amendment of Sections 3.35, 3.240 and 3.636 of the Rules and Regulations Relating to Multiple Ownership of AM, FM and Television Broadcast </w:t>
      </w:r>
      <w:r w:rsidRPr="00F84744">
        <w:rPr>
          <w:iCs/>
        </w:rPr>
        <w:t>Stations</w:t>
      </w:r>
      <w:r>
        <w:rPr>
          <w:iCs/>
        </w:rPr>
        <w:t xml:space="preserve">, </w:t>
      </w:r>
      <w:r w:rsidRPr="00F84744">
        <w:rPr>
          <w:iCs/>
        </w:rPr>
        <w:t>18</w:t>
      </w:r>
      <w:r>
        <w:t xml:space="preserve"> F.C.C. 288, 290, para. 4 n.3 (1953) (</w:t>
      </w:r>
      <w:r w:rsidRPr="00F84744">
        <w:rPr>
          <w:iCs/>
        </w:rPr>
        <w:t>citing</w:t>
      </w:r>
      <w:r>
        <w:t xml:space="preserve"> 5 Fed. Reg. 2384 (1940), 6 Fed. Reg. 2284 (1941), and 8 Fed. Reg. 16065 (1943)) (stating that the Commission adopted multiple ownership rules for FM radio stations in 1940, television stations in 1941, and AM radio stations in 1943); </w:t>
      </w:r>
      <w:r w:rsidRPr="00923E4C">
        <w:t>Amendment of Part 3 of the Commission’s Rules</w:t>
      </w:r>
      <w:r>
        <w:t>, 11 Fed. Reg. 33</w:t>
      </w:r>
      <w:r w:rsidR="00C155F5">
        <w:t>, 37</w:t>
      </w:r>
      <w:r>
        <w:t xml:space="preserve"> (1946) (adopting a Dual Network Rule for television networks). </w:t>
      </w:r>
    </w:p>
  </w:footnote>
  <w:footnote w:id="8">
    <w:p w:rsidR="00F541A7" w:rsidRPr="00D722C3" w:rsidP="00BA2DC2" w14:paraId="3632A50F" w14:textId="5FC3B5C5">
      <w:pPr>
        <w:pStyle w:val="FootnoteText"/>
      </w:pPr>
      <w:r>
        <w:rPr>
          <w:rStyle w:val="FootnoteReference"/>
        </w:rPr>
        <w:footnoteRef/>
      </w:r>
      <w:r>
        <w:t xml:space="preserve"> </w:t>
      </w:r>
      <w:r w:rsidRPr="006C5ED3">
        <w:t>See</w:t>
      </w:r>
      <w:r>
        <w:t xml:space="preserve"> </w:t>
      </w:r>
      <w:r w:rsidRPr="006C5ED3">
        <w:t>2018 Quadrennial Regulatory Review – Review of the Commission’s Broadcast Ownership Rules and Other Rules Adopted Pursuant to Section 202 of the Telecommunications Act of 1996</w:t>
      </w:r>
      <w:r>
        <w:t xml:space="preserve">, Report and Order, </w:t>
      </w:r>
      <w:r w:rsidR="00B71609">
        <w:t xml:space="preserve">38 </w:t>
      </w:r>
      <w:r w:rsidRPr="006C5ED3">
        <w:t xml:space="preserve">FCC </w:t>
      </w:r>
      <w:r w:rsidR="00B71609">
        <w:t>Rcd 12782</w:t>
      </w:r>
      <w:r>
        <w:t xml:space="preserve"> (2023)</w:t>
      </w:r>
      <w:r w:rsidR="006B5CFC">
        <w:t xml:space="preserve"> </w:t>
      </w:r>
      <w:r>
        <w:t>(2018 Quadrennial Review Order</w:t>
      </w:r>
      <w:r w:rsidRPr="00F70FF2">
        <w:t xml:space="preserve">).  </w:t>
      </w:r>
      <w:r w:rsidR="00F46E40">
        <w:t>T</w:t>
      </w:r>
      <w:r w:rsidRPr="004D6D4D" w:rsidR="00F46E40">
        <w:t xml:space="preserve">he </w:t>
      </w:r>
      <w:r w:rsidR="00F46E40">
        <w:t>2018 Quadrennial Review Order</w:t>
      </w:r>
      <w:r w:rsidRPr="004D6D4D" w:rsidR="00F46E40">
        <w:t xml:space="preserve"> </w:t>
      </w:r>
      <w:r w:rsidR="00F46E40">
        <w:t>contains a</w:t>
      </w:r>
      <w:r w:rsidRPr="004D6D4D">
        <w:t xml:space="preserve"> </w:t>
      </w:r>
      <w:r>
        <w:t xml:space="preserve">detailed </w:t>
      </w:r>
      <w:r w:rsidRPr="004D6D4D">
        <w:t xml:space="preserve">discussion of the factual background and procedural history </w:t>
      </w:r>
      <w:r w:rsidR="00F46E40">
        <w:t xml:space="preserve">of that proceeding </w:t>
      </w:r>
      <w:r w:rsidRPr="004D6D4D">
        <w:t xml:space="preserve">and is not reiterated </w:t>
      </w:r>
      <w:r>
        <w:t>in this NPRM.</w:t>
      </w:r>
      <w:r w:rsidRPr="0034077C">
        <w:t xml:space="preserve"> </w:t>
      </w:r>
      <w:r>
        <w:t xml:space="preserve"> See </w:t>
      </w:r>
      <w:r w:rsidR="002E0D18">
        <w:t xml:space="preserve">id. </w:t>
      </w:r>
      <w:r w:rsidR="00B252C2">
        <w:t xml:space="preserve">at 12783-87, </w:t>
      </w:r>
      <w:r w:rsidR="00384290">
        <w:t>paras. 4-10</w:t>
      </w:r>
      <w:r>
        <w:t>.</w:t>
      </w:r>
    </w:p>
  </w:footnote>
  <w:footnote w:id="9">
    <w:p w:rsidR="00F541A7" w:rsidRPr="002A4DDA" w:rsidP="00BA2DC2" w14:paraId="4FF313E1" w14:textId="77777777">
      <w:pPr>
        <w:pStyle w:val="FootnoteText"/>
        <w:rPr>
          <w:rFonts w:cs="Century Schoolbook"/>
          <w:i/>
          <w:iCs/>
          <w:color w:val="000000"/>
        </w:rPr>
      </w:pPr>
      <w:r>
        <w:rPr>
          <w:rStyle w:val="FootnoteReference"/>
        </w:rPr>
        <w:footnoteRef/>
      </w:r>
      <w:r>
        <w:t xml:space="preserve"> The Commission determined that the public interest would be served by clarifying the relevant framework for analyzing rules pursuant to </w:t>
      </w:r>
      <w:r w:rsidR="00D904C5">
        <w:t>s</w:t>
      </w:r>
      <w:r>
        <w:t xml:space="preserve">ection 202(h), given differing views in the record regarding </w:t>
      </w:r>
      <w:r>
        <w:rPr>
          <w:szCs w:val="22"/>
        </w:rPr>
        <w:t xml:space="preserve">how it </w:t>
      </w:r>
      <w:r w:rsidRPr="00CD749E">
        <w:rPr>
          <w:szCs w:val="22"/>
        </w:rPr>
        <w:t xml:space="preserve">should interpret </w:t>
      </w:r>
      <w:r>
        <w:rPr>
          <w:szCs w:val="22"/>
        </w:rPr>
        <w:t xml:space="preserve">that provision </w:t>
      </w:r>
      <w:r w:rsidRPr="00CD749E">
        <w:rPr>
          <w:szCs w:val="22"/>
        </w:rPr>
        <w:t>in the wake of</w:t>
      </w:r>
      <w:r>
        <w:rPr>
          <w:szCs w:val="22"/>
        </w:rPr>
        <w:t xml:space="preserve"> the U.S. Supreme Court’s 2021 decision </w:t>
      </w:r>
      <w:r w:rsidRPr="00CD749E">
        <w:rPr>
          <w:i/>
          <w:iCs/>
          <w:szCs w:val="22"/>
        </w:rPr>
        <w:t>FCC v. Prometheus</w:t>
      </w:r>
      <w:r w:rsidRPr="00980C45">
        <w:t>,</w:t>
      </w:r>
      <w:r>
        <w:t xml:space="preserve"> </w:t>
      </w:r>
      <w:r w:rsidR="00DE63E2">
        <w:t>502 U.S. 414, 416</w:t>
      </w:r>
      <w:r>
        <w:rPr>
          <w:rFonts w:cs="Century Schoolbook"/>
          <w:color w:val="000000"/>
        </w:rPr>
        <w:t xml:space="preserve"> (2021) (</w:t>
      </w:r>
      <w:r>
        <w:rPr>
          <w:rFonts w:cs="Century Schoolbook"/>
          <w:i/>
          <w:iCs/>
          <w:color w:val="000000"/>
        </w:rPr>
        <w:t>FCC v. Prometheus</w:t>
      </w:r>
      <w:r w:rsidRPr="002A4DDA" w:rsidR="002A4DDA">
        <w:rPr>
          <w:rFonts w:cs="Century Schoolbook"/>
          <w:color w:val="000000"/>
        </w:rPr>
        <w:t>)</w:t>
      </w:r>
      <w:r>
        <w:t>.</w:t>
      </w:r>
      <w:r w:rsidRPr="00CD749E">
        <w:rPr>
          <w:szCs w:val="22"/>
        </w:rPr>
        <w:t xml:space="preserve">    </w:t>
      </w:r>
    </w:p>
  </w:footnote>
  <w:footnote w:id="10">
    <w:p w:rsidR="00F541A7" w:rsidRPr="00534AEA" w:rsidP="00BA2DC2" w14:paraId="3B4E7A00" w14:textId="77777777">
      <w:pPr>
        <w:pStyle w:val="FootnoteText"/>
        <w:rPr>
          <w:b/>
          <w:bCs/>
        </w:rPr>
      </w:pPr>
      <w:r w:rsidRPr="00C8680D">
        <w:rPr>
          <w:rStyle w:val="FootnoteReference"/>
        </w:rPr>
        <w:footnoteRef/>
      </w:r>
      <w:r w:rsidRPr="00C8680D">
        <w:t xml:space="preserve"> </w:t>
      </w:r>
      <w:r>
        <w:rPr>
          <w:i/>
          <w:iCs/>
        </w:rPr>
        <w:t>2018 Quadrennial Review Order</w:t>
      </w:r>
      <w:r w:rsidR="00070F15">
        <w:rPr>
          <w:iCs/>
        </w:rPr>
        <w:t xml:space="preserve">, </w:t>
      </w:r>
      <w:r w:rsidR="00B252C2">
        <w:t xml:space="preserve">38 </w:t>
      </w:r>
      <w:r w:rsidRPr="006C5ED3" w:rsidR="00B252C2">
        <w:t xml:space="preserve">FCC </w:t>
      </w:r>
      <w:r w:rsidR="00B252C2">
        <w:t xml:space="preserve">Rcd at 12790, </w:t>
      </w:r>
      <w:r>
        <w:rPr>
          <w:iCs/>
        </w:rPr>
        <w:t xml:space="preserve">para. </w:t>
      </w:r>
      <w:r w:rsidR="00070F15">
        <w:rPr>
          <w:iCs/>
        </w:rPr>
        <w:t>16</w:t>
      </w:r>
      <w:r>
        <w:rPr>
          <w:iCs/>
        </w:rPr>
        <w:t xml:space="preserve"> </w:t>
      </w:r>
      <w:r w:rsidR="009C4846">
        <w:rPr>
          <w:iCs/>
        </w:rPr>
        <w:t>(</w:t>
      </w:r>
      <w:r w:rsidRPr="009C4846">
        <w:t>citing</w:t>
      </w:r>
      <w:r w:rsidRPr="00494672">
        <w:rPr>
          <w:i/>
          <w:iCs/>
        </w:rPr>
        <w:t xml:space="preserve"> </w:t>
      </w:r>
      <w:r w:rsidRPr="00494672">
        <w:rPr>
          <w:i/>
        </w:rPr>
        <w:t>Prometheus Radio Project v. FCC</w:t>
      </w:r>
      <w:r w:rsidRPr="00494672">
        <w:t>, 373 F.3d 37</w:t>
      </w:r>
      <w:r w:rsidRPr="00665A69">
        <w:t>2</w:t>
      </w:r>
      <w:r w:rsidRPr="00494672">
        <w:t>, 394 (3d Cir. 2004) (</w:t>
      </w:r>
      <w:r w:rsidRPr="00494672">
        <w:rPr>
          <w:i/>
        </w:rPr>
        <w:t>Prometheus I</w:t>
      </w:r>
      <w:r w:rsidRPr="00494672">
        <w:t>)</w:t>
      </w:r>
      <w:r w:rsidR="009C4846">
        <w:t>)</w:t>
      </w:r>
      <w:r w:rsidRPr="00494672">
        <w:rPr>
          <w:lang w:val="fr-FR"/>
        </w:rPr>
        <w:t>.</w:t>
      </w:r>
      <w:r w:rsidRPr="00494672">
        <w:t xml:space="preserve">  </w:t>
      </w:r>
      <w:r>
        <w:rPr>
          <w:b/>
          <w:bCs/>
          <w:szCs w:val="22"/>
        </w:rPr>
        <w:t xml:space="preserve">  </w:t>
      </w:r>
      <w:r>
        <w:rPr>
          <w:szCs w:val="22"/>
        </w:rPr>
        <w:t xml:space="preserve">  </w:t>
      </w:r>
    </w:p>
  </w:footnote>
  <w:footnote w:id="11">
    <w:p w:rsidR="00F541A7" w:rsidRPr="00356A60" w:rsidP="00BA2DC2" w14:paraId="4CAB34FB" w14:textId="6B6EA88A">
      <w:pPr>
        <w:pStyle w:val="FootnoteText"/>
      </w:pPr>
      <w:r w:rsidRPr="00356A60">
        <w:rPr>
          <w:rStyle w:val="FootnoteReference"/>
        </w:rPr>
        <w:footnoteRef/>
      </w:r>
      <w:r w:rsidRPr="00356A60">
        <w:t xml:space="preserve"> </w:t>
      </w:r>
      <w:r w:rsidR="00F52913">
        <w:rPr>
          <w:i/>
        </w:rPr>
        <w:t>Id.</w:t>
      </w:r>
      <w:r w:rsidR="00B252C2">
        <w:t xml:space="preserve"> at 12790-91, </w:t>
      </w:r>
      <w:r>
        <w:rPr>
          <w:iCs/>
        </w:rPr>
        <w:t xml:space="preserve">para. </w:t>
      </w:r>
      <w:r w:rsidR="00070F15">
        <w:rPr>
          <w:iCs/>
        </w:rPr>
        <w:t>17</w:t>
      </w:r>
      <w:r>
        <w:rPr>
          <w:iCs/>
        </w:rPr>
        <w:t xml:space="preserve"> </w:t>
      </w:r>
      <w:r w:rsidR="009C4846">
        <w:rPr>
          <w:iCs/>
        </w:rPr>
        <w:t>(</w:t>
      </w:r>
      <w:r w:rsidRPr="009C4846">
        <w:t>citing</w:t>
      </w:r>
      <w:r w:rsidRPr="00E6730C">
        <w:rPr>
          <w:i/>
          <w:iCs/>
        </w:rPr>
        <w:t xml:space="preserve"> </w:t>
      </w:r>
      <w:r w:rsidRPr="00C8680D">
        <w:rPr>
          <w:i/>
        </w:rPr>
        <w:t xml:space="preserve">Prometheus </w:t>
      </w:r>
      <w:r>
        <w:rPr>
          <w:i/>
        </w:rPr>
        <w:t>I</w:t>
      </w:r>
      <w:r>
        <w:rPr>
          <w:iCs/>
        </w:rPr>
        <w:t xml:space="preserve">, </w:t>
      </w:r>
      <w:r w:rsidRPr="00356A60">
        <w:t>37</w:t>
      </w:r>
      <w:r w:rsidRPr="00993EFC">
        <w:t>3</w:t>
      </w:r>
      <w:r w:rsidRPr="00356A60">
        <w:t xml:space="preserve"> F.3d at 395 (rejecting </w:t>
      </w:r>
      <w:r>
        <w:t>prior court decisions that found that there is a “</w:t>
      </w:r>
      <w:r w:rsidRPr="00356A60">
        <w:t>deregulatory presumption</w:t>
      </w:r>
      <w:r>
        <w:t>”</w:t>
      </w:r>
      <w:r w:rsidRPr="00356A60">
        <w:t xml:space="preserve"> in </w:t>
      </w:r>
      <w:r w:rsidR="007703F1">
        <w:t>s</w:t>
      </w:r>
      <w:r w:rsidRPr="00356A60">
        <w:t>ection 202(h)</w:t>
      </w:r>
      <w:r w:rsidR="009C4846">
        <w:t>))</w:t>
      </w:r>
      <w:r w:rsidRPr="00356A60">
        <w:t xml:space="preserve">. </w:t>
      </w:r>
    </w:p>
  </w:footnote>
  <w:footnote w:id="12">
    <w:p w:rsidR="00F541A7" w:rsidRPr="00907F17" w:rsidP="00BA2DC2" w14:paraId="5F1C58FF" w14:textId="77777777">
      <w:pPr>
        <w:pStyle w:val="FootnoteText"/>
        <w:rPr>
          <w:i/>
          <w:iCs/>
        </w:rPr>
      </w:pPr>
      <w:r w:rsidRPr="00356A60">
        <w:rPr>
          <w:rStyle w:val="FootnoteReference"/>
        </w:rPr>
        <w:footnoteRef/>
      </w:r>
      <w:r w:rsidRPr="00356A60">
        <w:t xml:space="preserve"> </w:t>
      </w:r>
      <w:r w:rsidR="00B252C2">
        <w:rPr>
          <w:i/>
          <w:iCs/>
        </w:rPr>
        <w:t>Id.</w:t>
      </w:r>
      <w:r>
        <w:rPr>
          <w:iCs/>
        </w:rPr>
        <w:t xml:space="preserve"> </w:t>
      </w:r>
      <w:r w:rsidR="009C4846">
        <w:rPr>
          <w:iCs/>
        </w:rPr>
        <w:t>(</w:t>
      </w:r>
      <w:r w:rsidRPr="009C4846">
        <w:t>citing</w:t>
      </w:r>
      <w:r>
        <w:rPr>
          <w:i/>
          <w:iCs/>
        </w:rPr>
        <w:t xml:space="preserve"> </w:t>
      </w:r>
      <w:r w:rsidRPr="00356A60">
        <w:rPr>
          <w:i/>
        </w:rPr>
        <w:t>Prometheus I</w:t>
      </w:r>
      <w:r w:rsidRPr="00356A60">
        <w:t>, 37</w:t>
      </w:r>
      <w:r w:rsidR="00054A1C">
        <w:t>3</w:t>
      </w:r>
      <w:r w:rsidRPr="00356A60">
        <w:t xml:space="preserve"> F.3d at 395</w:t>
      </w:r>
      <w:r w:rsidR="009C4846">
        <w:t>)</w:t>
      </w:r>
      <w:r>
        <w:t xml:space="preserve">.  </w:t>
      </w:r>
      <w:r w:rsidRPr="00494672">
        <w:t xml:space="preserve">As such, the Commission’s review under section 202(h) focuses on determining whether there is a reasoned basis for retaining, repealing, or modifying each rule consistent with its longstanding public interest goals of competition, localism, and </w:t>
      </w:r>
      <w:r w:rsidR="009225DD">
        <w:t xml:space="preserve">viewpoint </w:t>
      </w:r>
      <w:r w:rsidRPr="00494672">
        <w:t xml:space="preserve">diversity.  </w:t>
      </w:r>
      <w:r w:rsidRPr="00494672">
        <w:rPr>
          <w:i/>
          <w:iCs/>
        </w:rPr>
        <w:t>Id.</w:t>
      </w:r>
    </w:p>
  </w:footnote>
  <w:footnote w:id="13">
    <w:p w:rsidR="00F541A7" w:rsidP="00BA2DC2" w14:paraId="5D8F2A58" w14:textId="77777777">
      <w:pPr>
        <w:pStyle w:val="FootnoteText"/>
      </w:pPr>
      <w:r>
        <w:rPr>
          <w:rStyle w:val="FootnoteReference"/>
        </w:rPr>
        <w:footnoteRef/>
      </w:r>
      <w:r>
        <w:t xml:space="preserve"> </w:t>
      </w:r>
      <w:r w:rsidR="00B252C2">
        <w:rPr>
          <w:i/>
        </w:rPr>
        <w:t>Id.</w:t>
      </w:r>
      <w:r w:rsidRPr="00E6730C">
        <w:rPr>
          <w:i/>
        </w:rPr>
        <w:t xml:space="preserve"> </w:t>
      </w:r>
      <w:r>
        <w:t xml:space="preserve">at </w:t>
      </w:r>
      <w:r w:rsidR="00070F15">
        <w:t>1</w:t>
      </w:r>
      <w:r w:rsidR="00B252C2">
        <w:t>2791</w:t>
      </w:r>
      <w:r w:rsidR="00070F15">
        <w:t xml:space="preserve">, </w:t>
      </w:r>
      <w:r>
        <w:t xml:space="preserve">para. </w:t>
      </w:r>
      <w:r w:rsidR="00070F15">
        <w:t>18</w:t>
      </w:r>
      <w:r>
        <w:t>.</w:t>
      </w:r>
    </w:p>
  </w:footnote>
  <w:footnote w:id="14">
    <w:p w:rsidR="00F541A7" w:rsidP="00BA2DC2" w14:paraId="58584789" w14:textId="77777777">
      <w:pPr>
        <w:pStyle w:val="FootnoteText"/>
      </w:pPr>
      <w:r>
        <w:rPr>
          <w:rStyle w:val="FootnoteReference"/>
        </w:rPr>
        <w:footnoteRef/>
      </w:r>
      <w:r>
        <w:t xml:space="preserve"> </w:t>
      </w:r>
      <w:r w:rsidR="00B252C2">
        <w:rPr>
          <w:i/>
          <w:iCs/>
        </w:rPr>
        <w:t>Id.</w:t>
      </w:r>
      <w:r w:rsidRPr="00E6730C">
        <w:rPr>
          <w:i/>
          <w:iCs/>
        </w:rPr>
        <w:t xml:space="preserve"> </w:t>
      </w:r>
      <w:r>
        <w:rPr>
          <w:iCs/>
        </w:rPr>
        <w:t xml:space="preserve">at </w:t>
      </w:r>
      <w:r w:rsidR="00070F15">
        <w:rPr>
          <w:iCs/>
        </w:rPr>
        <w:t>1</w:t>
      </w:r>
      <w:r w:rsidR="00B252C2">
        <w:rPr>
          <w:iCs/>
        </w:rPr>
        <w:t>2792</w:t>
      </w:r>
      <w:r w:rsidR="00070F15">
        <w:rPr>
          <w:iCs/>
        </w:rPr>
        <w:t xml:space="preserve">, </w:t>
      </w:r>
      <w:r>
        <w:rPr>
          <w:iCs/>
        </w:rPr>
        <w:t>para</w:t>
      </w:r>
      <w:r w:rsidR="00DE63E2">
        <w:rPr>
          <w:iCs/>
        </w:rPr>
        <w:t>s</w:t>
      </w:r>
      <w:r>
        <w:rPr>
          <w:iCs/>
        </w:rPr>
        <w:t xml:space="preserve">. </w:t>
      </w:r>
      <w:r w:rsidR="00DE63E2">
        <w:rPr>
          <w:iCs/>
        </w:rPr>
        <w:t xml:space="preserve">19, </w:t>
      </w:r>
      <w:r>
        <w:rPr>
          <w:iCs/>
        </w:rPr>
        <w:t xml:space="preserve">20 (explaining that this approach </w:t>
      </w:r>
      <w:r>
        <w:t xml:space="preserve">“appropriately recognizes the importance and meaning of the phrase ‘necessary in the public interest,’ which Congress affirmatively included and has long been read to encompass several important public policy goals, alongside the distinct term ‘competition,’ which is consistent with the larger thematic context of the 1996 Act”).  </w:t>
      </w:r>
    </w:p>
  </w:footnote>
  <w:footnote w:id="15">
    <w:p w:rsidR="00F541A7" w:rsidP="00BA2DC2" w14:paraId="4DBD3D3E" w14:textId="77777777">
      <w:pPr>
        <w:pStyle w:val="FootnoteText"/>
      </w:pPr>
      <w:r>
        <w:rPr>
          <w:rStyle w:val="FootnoteReference"/>
        </w:rPr>
        <w:footnoteRef/>
      </w:r>
      <w:r>
        <w:t xml:space="preserve"> </w:t>
      </w:r>
      <w:r w:rsidR="00B252C2">
        <w:rPr>
          <w:i/>
          <w:iCs/>
        </w:rPr>
        <w:t>Id.</w:t>
      </w:r>
      <w:r w:rsidRPr="007B1489" w:rsidR="007B1489">
        <w:t xml:space="preserve"> </w:t>
      </w:r>
      <w:r w:rsidR="007B1489">
        <w:t xml:space="preserve">at </w:t>
      </w:r>
      <w:r w:rsidR="00B252C2">
        <w:t>12783</w:t>
      </w:r>
      <w:r w:rsidR="007B1489">
        <w:t>, para. 2</w:t>
      </w:r>
      <w:r>
        <w:t xml:space="preserve">.  </w:t>
      </w:r>
    </w:p>
  </w:footnote>
  <w:footnote w:id="16">
    <w:p w:rsidR="00F541A7" w:rsidP="00BA2DC2" w14:paraId="6FE351A1" w14:textId="77777777">
      <w:pPr>
        <w:pStyle w:val="FootnoteText"/>
      </w:pPr>
      <w:r>
        <w:rPr>
          <w:rStyle w:val="FootnoteReference"/>
        </w:rPr>
        <w:footnoteRef/>
      </w:r>
      <w:r>
        <w:t xml:space="preserve"> </w:t>
      </w:r>
      <w:r w:rsidR="00AC5C62">
        <w:t>Id.</w:t>
      </w:r>
    </w:p>
  </w:footnote>
  <w:footnote w:id="17">
    <w:p w:rsidR="00524FE5" w:rsidP="00BA2DC2" w14:paraId="7EBF9315" w14:textId="77777777">
      <w:pPr>
        <w:pStyle w:val="FootnoteText"/>
      </w:pPr>
      <w:r>
        <w:rPr>
          <w:rStyle w:val="FootnoteReference"/>
        </w:rPr>
        <w:footnoteRef/>
      </w:r>
      <w:r>
        <w:t xml:space="preserve"> </w:t>
      </w:r>
      <w:r w:rsidR="00AC5C62">
        <w:t>Id.</w:t>
      </w:r>
    </w:p>
  </w:footnote>
  <w:footnote w:id="18">
    <w:p w:rsidR="00F541A7" w:rsidP="00BA2DC2" w14:paraId="167A87BD" w14:textId="77777777">
      <w:pPr>
        <w:pStyle w:val="FootnoteText"/>
      </w:pPr>
      <w:r>
        <w:rPr>
          <w:rStyle w:val="FootnoteReference"/>
        </w:rPr>
        <w:footnoteRef/>
      </w:r>
      <w:r>
        <w:t xml:space="preserve"> </w:t>
      </w:r>
      <w:r w:rsidR="00AC5C62">
        <w:rPr>
          <w:i/>
          <w:iCs/>
        </w:rPr>
        <w:t>Id.</w:t>
      </w:r>
      <w:r>
        <w:t xml:space="preserve">  The Commission stated that these modest adjustments to the </w:t>
      </w:r>
      <w:r w:rsidRPr="00515BDA">
        <w:t xml:space="preserve">Local Television Ownership Rule </w:t>
      </w:r>
      <w:r>
        <w:t xml:space="preserve">were justified in view of </w:t>
      </w:r>
      <w:r w:rsidRPr="00515BDA">
        <w:t>changes that occurred in the television marketplace</w:t>
      </w:r>
      <w:r>
        <w:t xml:space="preserve">, and that the rule </w:t>
      </w:r>
      <w:r w:rsidRPr="00515BDA">
        <w:t xml:space="preserve">ensures competition among local broadcasters while allowing for flexibility </w:t>
      </w:r>
      <w:r>
        <w:t xml:space="preserve">in appropriate </w:t>
      </w:r>
      <w:r w:rsidRPr="00515BDA">
        <w:t>circums</w:t>
      </w:r>
      <w:r>
        <w:t>tances</w:t>
      </w:r>
      <w:r w:rsidRPr="00515BDA">
        <w:t>.</w:t>
      </w:r>
      <w:r>
        <w:t xml:space="preserve">  </w:t>
      </w:r>
      <w:r>
        <w:rPr>
          <w:i/>
          <w:iCs/>
        </w:rPr>
        <w:t>Id.</w:t>
      </w:r>
      <w:r w:rsidRPr="00515BDA">
        <w:t xml:space="preserve">  </w:t>
      </w:r>
    </w:p>
  </w:footnote>
  <w:footnote w:id="19">
    <w:p w:rsidR="00F541A7" w:rsidRPr="00693911" w:rsidP="00BA2DC2" w14:paraId="75B621EB" w14:textId="0F44AF72">
      <w:pPr>
        <w:pStyle w:val="FootnoteText"/>
      </w:pPr>
      <w:r>
        <w:rPr>
          <w:rStyle w:val="FootnoteReference"/>
        </w:rPr>
        <w:footnoteRef/>
      </w:r>
      <w:r>
        <w:t xml:space="preserve"> </w:t>
      </w:r>
      <w:r w:rsidR="00B252C2">
        <w:rPr>
          <w:i/>
          <w:iCs/>
        </w:rPr>
        <w:t>Id.</w:t>
      </w:r>
      <w:r>
        <w:rPr>
          <w:i/>
          <w:iCs/>
        </w:rPr>
        <w:t xml:space="preserve"> </w:t>
      </w:r>
      <w:r>
        <w:t xml:space="preserve">at </w:t>
      </w:r>
      <w:r w:rsidR="00B252C2">
        <w:t>12844</w:t>
      </w:r>
      <w:r w:rsidR="007B1489">
        <w:t>, para. 117</w:t>
      </w:r>
      <w:r>
        <w:t>.</w:t>
      </w:r>
      <w:r w:rsidR="00DE3651">
        <w:t xml:space="preserve">  In particular, </w:t>
      </w:r>
      <w:r w:rsidR="009E3C6B">
        <w:t>the Commission</w:t>
      </w:r>
      <w:r w:rsidR="00DE3651">
        <w:t xml:space="preserve"> found that the Dual Network Rule continues to promote competition in the provision of </w:t>
      </w:r>
      <w:r w:rsidRPr="002D6FFB" w:rsidR="00DE3651">
        <w:t xml:space="preserve">programming </w:t>
      </w:r>
      <w:r w:rsidR="00DE3651">
        <w:t>intended</w:t>
      </w:r>
      <w:r w:rsidRPr="002D6FFB" w:rsidR="00DE3651">
        <w:t xml:space="preserve"> for large</w:t>
      </w:r>
      <w:r w:rsidR="00DE3651">
        <w:t xml:space="preserve"> national audiences and the sale of national advertising time, and continues to foster localism by maintaining a </w:t>
      </w:r>
      <w:r w:rsidRPr="00693911" w:rsidR="00DE3651">
        <w:t xml:space="preserve">balance of bargaining power between the Big Four broadcast networks (“Big Four networks”) and their respective affiliate groups.  </w:t>
      </w:r>
      <w:r w:rsidRPr="00693911" w:rsidR="00DE3651">
        <w:rPr>
          <w:i/>
          <w:iCs/>
        </w:rPr>
        <w:t>Id.</w:t>
      </w:r>
    </w:p>
  </w:footnote>
  <w:footnote w:id="20">
    <w:p w:rsidR="0030088D" w:rsidP="00BA2DC2" w14:paraId="6740206A" w14:textId="77777777">
      <w:pPr>
        <w:pStyle w:val="FootnoteText"/>
      </w:pPr>
      <w:r>
        <w:rPr>
          <w:rStyle w:val="FootnoteReference"/>
        </w:rPr>
        <w:footnoteRef/>
      </w:r>
      <w:r>
        <w:t xml:space="preserve"> </w:t>
      </w:r>
      <w:r w:rsidRPr="008F419E">
        <w:rPr>
          <w:i/>
          <w:iCs/>
        </w:rPr>
        <w:t>Battle Over Media Ownership Rule Changes will be Aired in Federal Appeals</w:t>
      </w:r>
      <w:r w:rsidRPr="008F419E">
        <w:t xml:space="preserve"> </w:t>
      </w:r>
      <w:r w:rsidRPr="00561D59">
        <w:rPr>
          <w:i/>
          <w:iCs/>
        </w:rPr>
        <w:t>Court</w:t>
      </w:r>
      <w:r>
        <w:t xml:space="preserve"> (Nov. 1, 2024), </w:t>
      </w:r>
      <w:hyperlink r:id="rId1" w:history="1">
        <w:r w:rsidRPr="0071572D">
          <w:rPr>
            <w:rStyle w:val="Hyperlink"/>
          </w:rPr>
          <w:t>https://www.insideradio.com/free/battle-over-media-ownership-rule-changes-will-be-aired-in-federal-appeals-court/article_c30a2d86-9818-11ef-b601-af5ec609955e.html</w:t>
        </w:r>
      </w:hyperlink>
      <w:r>
        <w:t>.</w:t>
      </w:r>
    </w:p>
  </w:footnote>
  <w:footnote w:id="21">
    <w:p w:rsidR="00637A18" w:rsidP="00BA2DC2" w14:paraId="22288004" w14:textId="77777777">
      <w:pPr>
        <w:pStyle w:val="FootnoteText"/>
      </w:pPr>
      <w:r>
        <w:rPr>
          <w:rStyle w:val="FootnoteReference"/>
        </w:rPr>
        <w:footnoteRef/>
      </w:r>
      <w:r>
        <w:t xml:space="preserve"> </w:t>
      </w:r>
      <w:r w:rsidRPr="00296FCD">
        <w:rPr>
          <w:i/>
          <w:iCs/>
        </w:rPr>
        <w:t>Zimmer Radio of Mid-Missouri, Inc. v. FCC</w:t>
      </w:r>
      <w:r w:rsidRPr="00637A18">
        <w:t>, Nos. 24-1380, 24-1480, 24-1493, and 24-1516 (</w:t>
      </w:r>
      <w:r w:rsidR="00DE63E2">
        <w:t xml:space="preserve">8th Cir. </w:t>
      </w:r>
      <w:r w:rsidRPr="00637A18">
        <w:t>filed Feb. 23, 2024).</w:t>
      </w:r>
    </w:p>
  </w:footnote>
  <w:footnote w:id="22">
    <w:p w:rsidR="00C03ECD" w:rsidP="00BA2DC2" w14:paraId="06C3D673" w14:textId="55EB4F99">
      <w:pPr>
        <w:pStyle w:val="FootnoteText"/>
      </w:pPr>
      <w:r>
        <w:rPr>
          <w:rStyle w:val="FootnoteReference"/>
        </w:rPr>
        <w:footnoteRef/>
      </w:r>
      <w:r>
        <w:t xml:space="preserve"> </w:t>
      </w:r>
      <w:r w:rsidRPr="001C334B" w:rsidR="001C334B">
        <w:t xml:space="preserve">Zimmer Radio of Mid-Missouri, Inc. v. FCC, </w:t>
      </w:r>
      <w:r w:rsidR="006253EF">
        <w:t>145 F.4</w:t>
      </w:r>
      <w:r w:rsidRPr="006253EF" w:rsidR="006253EF">
        <w:t>th</w:t>
      </w:r>
      <w:r w:rsidR="006253EF">
        <w:t xml:space="preserve"> 828</w:t>
      </w:r>
      <w:r w:rsidR="007D6C66">
        <w:t>, 839-40</w:t>
      </w:r>
      <w:r w:rsidR="006253EF">
        <w:t xml:space="preserve"> (8th Cir. 2025)</w:t>
      </w:r>
      <w:r w:rsidRPr="001C334B" w:rsidR="001C334B">
        <w:t xml:space="preserve"> </w:t>
      </w:r>
      <w:r w:rsidR="00726F9F">
        <w:t>(</w:t>
      </w:r>
      <w:r w:rsidRPr="001C334B" w:rsidR="00726F9F">
        <w:t>Zimmer v. FCC</w:t>
      </w:r>
      <w:r w:rsidR="00726F9F">
        <w:t>).</w:t>
      </w:r>
    </w:p>
  </w:footnote>
  <w:footnote w:id="23">
    <w:p w:rsidR="00D5510B" w:rsidP="00BA2DC2" w14:paraId="2206A7B6" w14:textId="36D793F8">
      <w:pPr>
        <w:pStyle w:val="FootnoteText"/>
      </w:pPr>
      <w:r>
        <w:rPr>
          <w:rStyle w:val="FootnoteReference"/>
        </w:rPr>
        <w:footnoteRef/>
      </w:r>
      <w:r>
        <w:t xml:space="preserve"> </w:t>
      </w:r>
      <w:r w:rsidRPr="00D5510B">
        <w:rPr>
          <w:i/>
          <w:iCs/>
        </w:rPr>
        <w:t>Id.</w:t>
      </w:r>
      <w:r>
        <w:t xml:space="preserve"> </w:t>
      </w:r>
      <w:r w:rsidR="00D738A6">
        <w:t xml:space="preserve">at </w:t>
      </w:r>
      <w:r w:rsidR="007D6C66">
        <w:t>860</w:t>
      </w:r>
      <w:r>
        <w:t xml:space="preserve">.  As the Eighth Circuit notes, </w:t>
      </w:r>
      <w:r w:rsidR="00FB6ADB">
        <w:t>its</w:t>
      </w:r>
      <w:r>
        <w:t xml:space="preserve"> holding </w:t>
      </w:r>
      <w:r w:rsidR="00FB6ADB">
        <w:t xml:space="preserve">on this issue </w:t>
      </w:r>
      <w:r>
        <w:t xml:space="preserve">conflicts with the Third Circuit’s decision in </w:t>
      </w:r>
      <w:r w:rsidRPr="00D5510B">
        <w:rPr>
          <w:i/>
          <w:iCs/>
        </w:rPr>
        <w:t>Prometheus I</w:t>
      </w:r>
      <w:r>
        <w:t xml:space="preserve">.  </w:t>
      </w:r>
      <w:r w:rsidRPr="00D5510B">
        <w:rPr>
          <w:i/>
          <w:iCs/>
        </w:rPr>
        <w:t>Id.</w:t>
      </w:r>
      <w:r>
        <w:t xml:space="preserve"> </w:t>
      </w:r>
      <w:r w:rsidR="00D738A6">
        <w:t xml:space="preserve">at </w:t>
      </w:r>
      <w:r w:rsidR="007D6C66">
        <w:t>861-62</w:t>
      </w:r>
      <w:r>
        <w:t>.</w:t>
      </w:r>
      <w:r w:rsidR="00054A1C">
        <w:t xml:space="preserve">  </w:t>
      </w:r>
      <w:r w:rsidRPr="00054A1C" w:rsidR="00054A1C">
        <w:rPr>
          <w:i/>
          <w:iCs/>
        </w:rPr>
        <w:t>See</w:t>
      </w:r>
      <w:r w:rsidRPr="00054A1C" w:rsidR="00054A1C">
        <w:t xml:space="preserve"> </w:t>
      </w:r>
      <w:r w:rsidRPr="00054A1C" w:rsidR="00054A1C">
        <w:rPr>
          <w:i/>
          <w:iCs/>
        </w:rPr>
        <w:t>Prometheus I</w:t>
      </w:r>
      <w:r w:rsidRPr="00054A1C" w:rsidR="00054A1C">
        <w:t>, 373 F.3d at 394-95.</w:t>
      </w:r>
    </w:p>
  </w:footnote>
  <w:footnote w:id="24">
    <w:p w:rsidR="00F541A7" w:rsidRPr="00693911" w:rsidP="00BA2DC2" w14:paraId="745CB1DA" w14:textId="77777777">
      <w:pPr>
        <w:pStyle w:val="FootnoteText"/>
      </w:pPr>
      <w:r w:rsidRPr="00693911">
        <w:rPr>
          <w:rStyle w:val="FootnoteReference"/>
        </w:rPr>
        <w:footnoteRef/>
      </w:r>
      <w:r w:rsidRPr="00693911">
        <w:t xml:space="preserve"> 2022 Quadrennial Regulatory Review – Review of The Commission’s Broadcast Ownership Rules and Other Rules Adopted Pursuant to Section 202 of the Telecommunications Act of 1996, Public Notice, </w:t>
      </w:r>
      <w:r w:rsidRPr="00085BBB" w:rsidR="00085BBB">
        <w:t>37 FCC Rcd 15097</w:t>
      </w:r>
      <w:r w:rsidRPr="00693911">
        <w:t xml:space="preserve"> (</w:t>
      </w:r>
      <w:r w:rsidR="00085BBB">
        <w:t>MB</w:t>
      </w:r>
      <w:r w:rsidRPr="00693911">
        <w:t xml:space="preserve"> 2022)</w:t>
      </w:r>
      <w:r w:rsidR="00085BBB">
        <w:t xml:space="preserve"> (</w:t>
      </w:r>
      <w:r w:rsidRPr="00085BBB" w:rsidR="00085BBB">
        <w:t>2022 Quadrennial Review Notice</w:t>
      </w:r>
      <w:r w:rsidR="00085BBB">
        <w:t>)</w:t>
      </w:r>
      <w:r w:rsidRPr="00693911">
        <w:t xml:space="preserve">.    </w:t>
      </w:r>
    </w:p>
  </w:footnote>
  <w:footnote w:id="25">
    <w:p w:rsidR="00E00D5F" w:rsidRPr="008938DE" w:rsidP="00BA2DC2" w14:paraId="231FF601" w14:textId="51D78009">
      <w:pPr>
        <w:pStyle w:val="FootnoteText"/>
      </w:pPr>
      <w:r w:rsidRPr="00693911">
        <w:rPr>
          <w:rStyle w:val="FootnoteReference"/>
        </w:rPr>
        <w:footnoteRef/>
      </w:r>
      <w:r w:rsidRPr="00693911">
        <w:t xml:space="preserve"> </w:t>
      </w:r>
      <w:r w:rsidRPr="00693911">
        <w:rPr>
          <w:i/>
          <w:iCs/>
        </w:rPr>
        <w:t>See generally</w:t>
      </w:r>
      <w:r w:rsidRPr="00693911">
        <w:t xml:space="preserve">, MB Docket No. 22-459.  </w:t>
      </w:r>
      <w:r w:rsidRPr="00E54791">
        <w:rPr>
          <w:rStyle w:val="xcontentpasted0"/>
          <w:shd w:val="clear" w:color="auto" w:fill="FFFFFF"/>
        </w:rPr>
        <w:t>A few comments and other filings in MB Docket No. 18</w:t>
      </w:r>
      <w:r>
        <w:rPr>
          <w:rStyle w:val="xcontentpasted0"/>
          <w:color w:val="242424"/>
          <w:shd w:val="clear" w:color="auto" w:fill="FFFFFF"/>
        </w:rPr>
        <w:t>-</w:t>
      </w:r>
      <w:r w:rsidRPr="007C628E">
        <w:rPr>
          <w:rStyle w:val="xcontentpasted0"/>
          <w:shd w:val="clear" w:color="auto" w:fill="FFFFFF"/>
        </w:rPr>
        <w:t xml:space="preserve">349 were resubmitted in the docket of this proceeding.  To the extent that those filings have raised substantive issues, they have been addressed in the </w:t>
      </w:r>
      <w:r w:rsidRPr="00363509">
        <w:rPr>
          <w:rStyle w:val="xcontentpasted0"/>
          <w:i/>
          <w:iCs/>
          <w:color w:val="242424"/>
          <w:shd w:val="clear" w:color="auto" w:fill="FFFFFF"/>
        </w:rPr>
        <w:t>2018 Quadrennial Review Report and Order</w:t>
      </w:r>
      <w:r>
        <w:rPr>
          <w:rStyle w:val="xcontentpasted0"/>
          <w:color w:val="242424"/>
          <w:shd w:val="clear" w:color="auto" w:fill="FFFFFF"/>
        </w:rPr>
        <w:t xml:space="preserve">.  </w:t>
      </w:r>
      <w:r>
        <w:rPr>
          <w:i/>
          <w:iCs/>
        </w:rPr>
        <w:t>2018 Quadrennial Review Order</w:t>
      </w:r>
      <w:r w:rsidRPr="007B1489">
        <w:t xml:space="preserve"> </w:t>
      </w:r>
      <w:r>
        <w:t>at 6, para. 10 n.28</w:t>
      </w:r>
      <w:r w:rsidR="00172B5F">
        <w:t xml:space="preserve">.  </w:t>
      </w:r>
      <w:r w:rsidR="00C414BD">
        <w:t xml:space="preserve">More recently, in response to a Public Notice seeking comment </w:t>
      </w:r>
      <w:r w:rsidR="00291FF2">
        <w:t xml:space="preserve">on Commission rules that should be eliminated “for the purpose of alleviating unnecessary regulatory burdens,” </w:t>
      </w:r>
      <w:r w:rsidR="00522BE5">
        <w:t xml:space="preserve">numerous comments addressed the rules subject to this review, </w:t>
      </w:r>
      <w:r w:rsidR="0063305D">
        <w:t>with some of those</w:t>
      </w:r>
      <w:r w:rsidR="00522BE5">
        <w:t xml:space="preserve"> </w:t>
      </w:r>
      <w:r w:rsidR="00550E51">
        <w:t xml:space="preserve">comments </w:t>
      </w:r>
      <w:r w:rsidR="00522BE5">
        <w:t xml:space="preserve">also filed in the docket of this proceeding.  </w:t>
      </w:r>
      <w:r w:rsidR="008938DE">
        <w:rPr>
          <w:i/>
          <w:iCs/>
        </w:rPr>
        <w:t xml:space="preserve">See In re: Delete </w:t>
      </w:r>
      <w:r w:rsidR="008938DE">
        <w:rPr>
          <w:i/>
          <w:iCs/>
        </w:rPr>
        <w:t>Delete</w:t>
      </w:r>
      <w:r w:rsidR="008938DE">
        <w:rPr>
          <w:i/>
          <w:iCs/>
        </w:rPr>
        <w:t xml:space="preserve"> </w:t>
      </w:r>
      <w:r w:rsidR="008938DE">
        <w:rPr>
          <w:i/>
          <w:iCs/>
        </w:rPr>
        <w:t>Delete</w:t>
      </w:r>
      <w:r w:rsidR="009D4CB6">
        <w:t xml:space="preserve">, Public Notice, </w:t>
      </w:r>
      <w:r w:rsidRPr="00E752C7" w:rsidR="00E752C7">
        <w:t>40 FCC Rcd 1601</w:t>
      </w:r>
      <w:r w:rsidR="00E24897">
        <w:t xml:space="preserve"> (2025).</w:t>
      </w:r>
    </w:p>
  </w:footnote>
  <w:footnote w:id="26">
    <w:p w:rsidR="00F541A7" w:rsidP="00BA2DC2" w14:paraId="1C2D36F1" w14:textId="77777777">
      <w:pPr>
        <w:pStyle w:val="FootnoteText"/>
      </w:pPr>
      <w:r>
        <w:rPr>
          <w:rStyle w:val="FootnoteReference"/>
        </w:rPr>
        <w:footnoteRef/>
      </w:r>
      <w:r>
        <w:t xml:space="preserve"> The Commission has long held that broadcasters, who are temporary trustees of the public’s airwaves, are obligated to use the medium to serve the public interest.  </w:t>
      </w:r>
      <w:r>
        <w:rPr>
          <w:i/>
          <w:iCs/>
        </w:rPr>
        <w:t xml:space="preserve">See </w:t>
      </w:r>
      <w:r>
        <w:rPr>
          <w:i/>
        </w:rPr>
        <w:t>Broadcast</w:t>
      </w:r>
      <w:r>
        <w:rPr>
          <w:i/>
          <w:iCs/>
        </w:rPr>
        <w:t xml:space="preserve"> Localism</w:t>
      </w:r>
      <w:r>
        <w:t>,</w:t>
      </w:r>
      <w:r>
        <w:rPr>
          <w:i/>
          <w:iCs/>
        </w:rPr>
        <w:t xml:space="preserve"> </w:t>
      </w:r>
      <w:r>
        <w:t>MB Docket No. 04-233, Report on Broadcast Localism and Notice of Proposed Rulemaking, 23 FCC Rcd 1324, 132</w:t>
      </w:r>
      <w:r w:rsidR="009C4846">
        <w:t>5-26</w:t>
      </w:r>
      <w:r>
        <w:t xml:space="preserve">, para. 1 (2008).  </w:t>
      </w:r>
      <w:r>
        <w:rPr>
          <w:i/>
          <w:iCs/>
        </w:rPr>
        <w:t xml:space="preserve">See also </w:t>
      </w:r>
      <w:r>
        <w:t xml:space="preserve">47 U.S.C. § 309(a) (requiring the Commission to determine, in the case of applications for licenses, “whether the public interest, convenience, and necessity will be served by granting such application”); FCC, </w:t>
      </w:r>
      <w:r>
        <w:rPr>
          <w:i/>
          <w:iCs/>
        </w:rPr>
        <w:t xml:space="preserve">The Public and Broadcasting </w:t>
      </w:r>
      <w:r>
        <w:t>(revised Sept. 2021), at 4, https://www.fcc.gov/sites/default/files/public_and_broadcasting_0.pdf  (</w:t>
      </w:r>
      <w:r w:rsidRPr="00E0565C">
        <w:t>stating that “[</w:t>
      </w:r>
      <w:r w:rsidRPr="00E0565C">
        <w:t>i</w:t>
      </w:r>
      <w:r w:rsidRPr="00E0565C">
        <w:t>]</w:t>
      </w:r>
      <w:r w:rsidRPr="00E0565C">
        <w:rPr>
          <w:shd w:val="clear" w:color="auto" w:fill="FFFFFF"/>
        </w:rPr>
        <w:t>n exchange for obtaining a valuable license to operate a broadcast station using the public airwaves, each radio and television licensee is required by law to operate its station in the ‘public interest, convenience and necessity’).</w:t>
      </w:r>
    </w:p>
  </w:footnote>
  <w:footnote w:id="27">
    <w:p w:rsidR="00F541A7" w:rsidP="00BA2DC2" w14:paraId="0DA18655" w14:textId="77777777">
      <w:pPr>
        <w:pStyle w:val="FootnoteText"/>
      </w:pPr>
      <w:r>
        <w:rPr>
          <w:rStyle w:val="FootnoteReference"/>
        </w:rPr>
        <w:footnoteRef/>
      </w:r>
      <w:r>
        <w:t xml:space="preserve"> </w:t>
      </w:r>
      <w:r>
        <w:rPr>
          <w:i/>
        </w:rPr>
        <w:t>2018 Quadrennial Review Orde</w:t>
      </w:r>
      <w:r w:rsidR="00B252C2">
        <w:rPr>
          <w:i/>
        </w:rPr>
        <w:t>r</w:t>
      </w:r>
      <w:r w:rsidR="007B1489">
        <w:t xml:space="preserve">, </w:t>
      </w:r>
      <w:r w:rsidR="00B252C2">
        <w:t xml:space="preserve">38 </w:t>
      </w:r>
      <w:r w:rsidRPr="006C5ED3" w:rsidR="00B252C2">
        <w:t xml:space="preserve">FCC </w:t>
      </w:r>
      <w:r w:rsidR="00B252C2">
        <w:t xml:space="preserve">Rcd at 12796-97, </w:t>
      </w:r>
      <w:r>
        <w:t xml:space="preserve">para. </w:t>
      </w:r>
      <w:r w:rsidR="007B1489">
        <w:t>25</w:t>
      </w:r>
      <w:r>
        <w:t>.</w:t>
      </w:r>
    </w:p>
  </w:footnote>
  <w:footnote w:id="28">
    <w:p w:rsidR="00F541A7" w:rsidP="00BA2DC2" w14:paraId="08AB2900" w14:textId="77777777">
      <w:pPr>
        <w:pStyle w:val="FootnoteText"/>
      </w:pPr>
      <w:r>
        <w:rPr>
          <w:rStyle w:val="FootnoteReference"/>
        </w:rPr>
        <w:footnoteRef/>
      </w:r>
      <w:r>
        <w:t xml:space="preserve"> </w:t>
      </w:r>
      <w:r w:rsidR="00B252C2">
        <w:t>Id.</w:t>
      </w:r>
    </w:p>
  </w:footnote>
  <w:footnote w:id="29">
    <w:p w:rsidR="002A71EF" w:rsidP="00BA2DC2" w14:paraId="2950885E" w14:textId="77777777">
      <w:pPr>
        <w:pStyle w:val="FootnoteText"/>
      </w:pPr>
      <w:r>
        <w:rPr>
          <w:rStyle w:val="FootnoteReference"/>
        </w:rPr>
        <w:footnoteRef/>
      </w:r>
      <w:r>
        <w:t xml:space="preserve"> </w:t>
      </w:r>
      <w:r>
        <w:rPr>
          <w:i/>
        </w:rPr>
        <w:t>Id.</w:t>
      </w:r>
      <w:r w:rsidRPr="00973896">
        <w:t xml:space="preserve"> at </w:t>
      </w:r>
      <w:r>
        <w:t>12789, para. 14.</w:t>
      </w:r>
    </w:p>
  </w:footnote>
  <w:footnote w:id="30">
    <w:p w:rsidR="00EB7767" w:rsidP="00BA2DC2" w14:paraId="118C4DCD" w14:textId="77777777">
      <w:pPr>
        <w:pStyle w:val="FootnoteText"/>
      </w:pPr>
      <w:r>
        <w:rPr>
          <w:rStyle w:val="FootnoteReference"/>
        </w:rPr>
        <w:footnoteRef/>
      </w:r>
      <w:r>
        <w:t xml:space="preserve"> </w:t>
      </w:r>
      <w:r>
        <w:rPr>
          <w:i/>
        </w:rPr>
        <w:t>Id.</w:t>
      </w:r>
      <w:r w:rsidRPr="00973896">
        <w:t xml:space="preserve"> at </w:t>
      </w:r>
      <w:r>
        <w:t>12796, para. 25.</w:t>
      </w:r>
    </w:p>
  </w:footnote>
  <w:footnote w:id="31">
    <w:p w:rsidR="00054A1C" w:rsidP="00BA2DC2" w14:paraId="4E91682B" w14:textId="5357BBA6">
      <w:pPr>
        <w:pStyle w:val="FootnoteText"/>
      </w:pPr>
      <w:r>
        <w:rPr>
          <w:rStyle w:val="FootnoteReference"/>
        </w:rPr>
        <w:footnoteRef/>
      </w:r>
      <w:r>
        <w:t xml:space="preserve"> </w:t>
      </w:r>
      <w:r w:rsidRPr="00054A1C">
        <w:rPr>
          <w:i/>
          <w:iCs/>
        </w:rPr>
        <w:t>See</w:t>
      </w:r>
      <w:r>
        <w:t xml:space="preserve">, </w:t>
      </w:r>
      <w:r w:rsidRPr="00054A1C">
        <w:rPr>
          <w:i/>
          <w:iCs/>
        </w:rPr>
        <w:t>supra</w:t>
      </w:r>
      <w:r>
        <w:t>, note 2</w:t>
      </w:r>
      <w:r w:rsidR="00854F0F">
        <w:t>0</w:t>
      </w:r>
      <w:r>
        <w:t xml:space="preserve">. </w:t>
      </w:r>
    </w:p>
  </w:footnote>
  <w:footnote w:id="32">
    <w:p w:rsidR="004D537C" w:rsidP="00BA2DC2" w14:paraId="3B562A64" w14:textId="791DB49F">
      <w:pPr>
        <w:pStyle w:val="FootnoteText"/>
      </w:pPr>
      <w:r>
        <w:rPr>
          <w:rStyle w:val="FootnoteReference"/>
        </w:rPr>
        <w:footnoteRef/>
      </w:r>
      <w:r>
        <w:t xml:space="preserve"> </w:t>
      </w:r>
      <w:r>
        <w:rPr>
          <w:i/>
          <w:iCs/>
        </w:rPr>
        <w:t>Zimmer v. FCC</w:t>
      </w:r>
      <w:r>
        <w:t xml:space="preserve">, </w:t>
      </w:r>
      <w:r w:rsidR="007D6C66">
        <w:t>145 F.4</w:t>
      </w:r>
      <w:r w:rsidRPr="007D6C66" w:rsidR="007D6C66">
        <w:t>th</w:t>
      </w:r>
      <w:r w:rsidR="007D6C66">
        <w:t xml:space="preserve"> </w:t>
      </w:r>
      <w:r w:rsidR="00D738A6">
        <w:t xml:space="preserve">at </w:t>
      </w:r>
      <w:r w:rsidR="007D6C66">
        <w:t>843-</w:t>
      </w:r>
      <w:r w:rsidR="001D5D6B">
        <w:t>46</w:t>
      </w:r>
      <w:r>
        <w:t>.</w:t>
      </w:r>
    </w:p>
  </w:footnote>
  <w:footnote w:id="33">
    <w:p w:rsidR="00833DA1" w:rsidP="00BA2DC2" w14:paraId="73A4FFF6" w14:textId="3DB3D797">
      <w:pPr>
        <w:pStyle w:val="FootnoteText"/>
      </w:pPr>
      <w:r>
        <w:rPr>
          <w:rStyle w:val="FootnoteReference"/>
        </w:rPr>
        <w:footnoteRef/>
      </w:r>
      <w:r>
        <w:t xml:space="preserve"> </w:t>
      </w:r>
      <w:r w:rsidR="004D537C">
        <w:rPr>
          <w:i/>
        </w:rPr>
        <w:t>Id.</w:t>
      </w:r>
      <w:r w:rsidR="004D537C">
        <w:t xml:space="preserve"> </w:t>
      </w:r>
      <w:r w:rsidR="00D738A6">
        <w:t xml:space="preserve">at </w:t>
      </w:r>
      <w:r w:rsidR="001E4DD5">
        <w:t>844</w:t>
      </w:r>
      <w:r w:rsidR="004D537C">
        <w:t xml:space="preserve"> (holding that the Commission </w:t>
      </w:r>
      <w:r w:rsidRPr="00833DA1" w:rsidR="004D537C">
        <w:t xml:space="preserve">may </w:t>
      </w:r>
      <w:r w:rsidR="004D537C">
        <w:t>act in accordance with</w:t>
      </w:r>
      <w:r w:rsidRPr="00833DA1" w:rsidR="004D537C">
        <w:t xml:space="preserve"> its view of </w:t>
      </w:r>
      <w:r w:rsidR="004D537C">
        <w:t xml:space="preserve">what is in </w:t>
      </w:r>
      <w:r w:rsidRPr="00833DA1" w:rsidR="004D537C">
        <w:t>the public</w:t>
      </w:r>
      <w:r w:rsidR="004D537C">
        <w:t xml:space="preserve"> </w:t>
      </w:r>
      <w:r w:rsidRPr="00833DA1" w:rsidR="004D537C">
        <w:t>interest so long as that view is based on consideration of permissible factors and is otherwise reasonable</w:t>
      </w:r>
      <w:r w:rsidR="004D537C">
        <w:t>).</w:t>
      </w:r>
    </w:p>
  </w:footnote>
  <w:footnote w:id="34">
    <w:p w:rsidR="004D537C" w:rsidP="00BA2DC2" w14:paraId="1BFC8511" w14:textId="4826BE3A">
      <w:pPr>
        <w:pStyle w:val="FootnoteText"/>
      </w:pPr>
      <w:r>
        <w:rPr>
          <w:rStyle w:val="FootnoteReference"/>
        </w:rPr>
        <w:footnoteRef/>
      </w:r>
      <w:r>
        <w:t xml:space="preserve"> </w:t>
      </w:r>
      <w:r w:rsidRPr="00363E84">
        <w:rPr>
          <w:i/>
          <w:iCs/>
        </w:rPr>
        <w:t>Id.</w:t>
      </w:r>
      <w:r>
        <w:t xml:space="preserve"> </w:t>
      </w:r>
      <w:r w:rsidR="004C5674">
        <w:t>at 844-45.</w:t>
      </w:r>
    </w:p>
  </w:footnote>
  <w:footnote w:id="35">
    <w:p w:rsidR="000D42B7" w:rsidP="00BA2DC2" w14:paraId="4189AB07" w14:textId="596C5DFC">
      <w:pPr>
        <w:pStyle w:val="FootnoteText"/>
      </w:pPr>
      <w:r>
        <w:rPr>
          <w:rStyle w:val="FootnoteReference"/>
        </w:rPr>
        <w:footnoteRef/>
      </w:r>
      <w:r>
        <w:t xml:space="preserve"> </w:t>
      </w:r>
      <w:r w:rsidRPr="00363E84">
        <w:rPr>
          <w:i/>
          <w:iCs/>
        </w:rPr>
        <w:t>Id.</w:t>
      </w:r>
      <w:r>
        <w:t xml:space="preserve"> </w:t>
      </w:r>
      <w:r w:rsidR="00D738A6">
        <w:t xml:space="preserve">at </w:t>
      </w:r>
      <w:r w:rsidR="001E4DD5">
        <w:t>846</w:t>
      </w:r>
      <w:r>
        <w:t>.</w:t>
      </w:r>
    </w:p>
  </w:footnote>
  <w:footnote w:id="36">
    <w:p w:rsidR="0002322F" w:rsidP="00BA2DC2" w14:paraId="5972FAD1" w14:textId="77777777">
      <w:pPr>
        <w:pStyle w:val="FootnoteText"/>
      </w:pPr>
      <w:r>
        <w:rPr>
          <w:rStyle w:val="FootnoteReference"/>
        </w:rPr>
        <w:footnoteRef/>
      </w:r>
      <w:r>
        <w:t xml:space="preserve"> </w:t>
      </w:r>
      <w:r>
        <w:rPr>
          <w:i/>
          <w:iCs/>
        </w:rPr>
        <w:t xml:space="preserve">See, e.g., </w:t>
      </w:r>
      <w:r>
        <w:t>Salem Media Group (Salem) Comments at 2; iHeart Communications (iHeart) Comments at 5-</w:t>
      </w:r>
      <w:r w:rsidR="00A72525">
        <w:t>12</w:t>
      </w:r>
      <w:r>
        <w:t xml:space="preserve">; Gray Television (Gray) Reply at 10; </w:t>
      </w:r>
      <w:r w:rsidRPr="00217A74">
        <w:rPr>
          <w:szCs w:val="22"/>
        </w:rPr>
        <w:t>National Association of Broadcasters (</w:t>
      </w:r>
      <w:r>
        <w:t>NAB) Comments at 24.</w:t>
      </w:r>
    </w:p>
  </w:footnote>
  <w:footnote w:id="37">
    <w:p w:rsidR="0002322F" w:rsidP="00BA2DC2" w14:paraId="2B0D0483" w14:textId="77777777">
      <w:pPr>
        <w:pStyle w:val="FootnoteText"/>
      </w:pPr>
      <w:r>
        <w:rPr>
          <w:rStyle w:val="FootnoteReference"/>
        </w:rPr>
        <w:footnoteRef/>
      </w:r>
      <w:r>
        <w:t xml:space="preserve"> </w:t>
      </w:r>
      <w:r>
        <w:rPr>
          <w:i/>
          <w:iCs/>
        </w:rPr>
        <w:t xml:space="preserve">See, e.g., </w:t>
      </w:r>
      <w:r>
        <w:t xml:space="preserve">iHeart Comments at 9 </w:t>
      </w:r>
      <w:r w:rsidR="008D682C">
        <w:t>(asserting that AM radio stations, in particular, are “critical to consumers in need and the public safety and national security communications network” and that “</w:t>
      </w:r>
      <w:r w:rsidRPr="00FF5CC3" w:rsidR="008D682C">
        <w:t xml:space="preserve">the Federal Emergency Management Agency </w:t>
      </w:r>
      <w:r w:rsidR="008D682C">
        <w:t xml:space="preserve">. . . </w:t>
      </w:r>
      <w:r w:rsidRPr="00FF5CC3" w:rsidR="008D682C">
        <w:t>relies heavily on AM radio stations to serve as Primary Entry Point (</w:t>
      </w:r>
      <w:r w:rsidR="008D682C">
        <w:t>‘</w:t>
      </w:r>
      <w:r w:rsidRPr="00FF5CC3" w:rsidR="008D682C">
        <w:t>PEP</w:t>
      </w:r>
      <w:r w:rsidR="008D682C">
        <w:t>’</w:t>
      </w:r>
      <w:r w:rsidRPr="00FF5CC3" w:rsidR="008D682C">
        <w:t>) stations that comprise the backbone of its National Public Warning System.</w:t>
      </w:r>
      <w:r w:rsidR="008D682C">
        <w:t>”).</w:t>
      </w:r>
    </w:p>
  </w:footnote>
  <w:footnote w:id="38">
    <w:p w:rsidR="00054A1C" w:rsidP="00BA2DC2" w14:paraId="2D72CE3D" w14:textId="77777777">
      <w:pPr>
        <w:pStyle w:val="FootnoteText"/>
      </w:pPr>
      <w:r>
        <w:rPr>
          <w:rStyle w:val="FootnoteReference"/>
        </w:rPr>
        <w:footnoteRef/>
      </w:r>
      <w:r>
        <w:t xml:space="preserve"> </w:t>
      </w:r>
      <w:r w:rsidRPr="00054A1C">
        <w:rPr>
          <w:i/>
          <w:iCs/>
        </w:rPr>
        <w:t>See</w:t>
      </w:r>
      <w:r w:rsidRPr="00054A1C">
        <w:t xml:space="preserve"> 47 U.S.C. § 151 (establishing the Commission for the purposes of, among other things, “the national defense” and “promoting the safety of life and property through the use of wire and radio communications”).</w:t>
      </w:r>
    </w:p>
  </w:footnote>
  <w:footnote w:id="39">
    <w:p w:rsidR="00D52690" w:rsidP="00BA2DC2" w14:paraId="285EB9ED" w14:textId="77777777">
      <w:pPr>
        <w:pStyle w:val="FootnoteText"/>
      </w:pPr>
      <w:r>
        <w:rPr>
          <w:rStyle w:val="FootnoteReference"/>
          <w:rFonts w:eastAsiaTheme="majorEastAsia"/>
        </w:rPr>
        <w:footnoteRef/>
      </w:r>
      <w:r>
        <w:t xml:space="preserve"> AM (or “amplitude modulation”) radio signals and FM (or “frequency modulation”) radio signals rely on different engineering techniques to transmit content.  </w:t>
      </w:r>
      <w:r>
        <w:rPr>
          <w:i/>
          <w:iCs/>
        </w:rPr>
        <w:t xml:space="preserve">See </w:t>
      </w:r>
      <w:r>
        <w:t xml:space="preserve">FCC, </w:t>
      </w:r>
      <w:r>
        <w:rPr>
          <w:i/>
          <w:iCs/>
        </w:rPr>
        <w:t>AM Radio</w:t>
      </w:r>
      <w:r>
        <w:t xml:space="preserve">, </w:t>
      </w:r>
      <w:hyperlink r:id="rId2" w:history="1">
        <w:r w:rsidRPr="004F3F56">
          <w:rPr>
            <w:rStyle w:val="Hyperlink"/>
          </w:rPr>
          <w:t>https://www.fcc.gov/general/am-radio</w:t>
        </w:r>
      </w:hyperlink>
      <w:r>
        <w:t xml:space="preserve"> (last visited July 28, 2025); FCC, </w:t>
      </w:r>
      <w:r>
        <w:rPr>
          <w:i/>
          <w:iCs/>
        </w:rPr>
        <w:t>FM Radio</w:t>
      </w:r>
      <w:r>
        <w:t xml:space="preserve">, </w:t>
      </w:r>
      <w:hyperlink r:id="rId3" w:history="1">
        <w:r w:rsidRPr="004F3F56">
          <w:rPr>
            <w:rStyle w:val="Hyperlink"/>
          </w:rPr>
          <w:t>https://www.fcc.gov/general/fm-radio</w:t>
        </w:r>
      </w:hyperlink>
      <w:r>
        <w:t xml:space="preserve"> (last visited July 25, 2025).</w:t>
      </w:r>
    </w:p>
  </w:footnote>
  <w:footnote w:id="40">
    <w:p w:rsidR="00D52690" w:rsidRPr="00936420" w:rsidP="00BA2DC2" w14:paraId="550F82AD" w14:textId="77777777">
      <w:pPr>
        <w:pStyle w:val="FootnoteText"/>
      </w:pPr>
      <w:r>
        <w:rPr>
          <w:rStyle w:val="FootnoteReference"/>
        </w:rPr>
        <w:footnoteRef/>
      </w:r>
      <w:r w:rsidRPr="00936420">
        <w:t xml:space="preserve"> 47 CFR § 73.3555(a)(1)(</w:t>
      </w:r>
      <w:r w:rsidRPr="00936420">
        <w:t>i</w:t>
      </w:r>
      <w:r w:rsidRPr="00936420">
        <w:t>).</w:t>
      </w:r>
    </w:p>
  </w:footnote>
  <w:footnote w:id="41">
    <w:p w:rsidR="00D52690" w:rsidRPr="00936420" w:rsidP="00BA2DC2" w14:paraId="4F150EEC" w14:textId="77777777">
      <w:pPr>
        <w:pStyle w:val="FootnoteText"/>
      </w:pPr>
      <w:r>
        <w:rPr>
          <w:rStyle w:val="FootnoteReference"/>
        </w:rPr>
        <w:footnoteRef/>
      </w:r>
      <w:r w:rsidRPr="00936420">
        <w:t xml:space="preserve"> </w:t>
      </w:r>
      <w:r w:rsidRPr="00936420">
        <w:rPr>
          <w:i/>
          <w:iCs/>
        </w:rPr>
        <w:t xml:space="preserve">Id. </w:t>
      </w:r>
      <w:r w:rsidRPr="00936420">
        <w:t>§ 73.3555(a)(1)(ii).</w:t>
      </w:r>
    </w:p>
  </w:footnote>
  <w:footnote w:id="42">
    <w:p w:rsidR="00D52690" w:rsidRPr="00936420" w:rsidP="00BA2DC2" w14:paraId="75EA5909" w14:textId="77777777">
      <w:pPr>
        <w:pStyle w:val="FootnoteText"/>
      </w:pPr>
      <w:r>
        <w:rPr>
          <w:rStyle w:val="FootnoteReference"/>
        </w:rPr>
        <w:footnoteRef/>
      </w:r>
      <w:r w:rsidRPr="00936420">
        <w:t xml:space="preserve"> </w:t>
      </w:r>
      <w:r w:rsidRPr="00936420">
        <w:rPr>
          <w:i/>
          <w:iCs/>
        </w:rPr>
        <w:t xml:space="preserve">Id. </w:t>
      </w:r>
      <w:r w:rsidRPr="00936420">
        <w:t>§ 73.3555(a)(1)(iii).</w:t>
      </w:r>
    </w:p>
  </w:footnote>
  <w:footnote w:id="43">
    <w:p w:rsidR="00D52690" w:rsidRPr="00936420" w:rsidP="00BA2DC2" w14:paraId="3A669E4A" w14:textId="77777777">
      <w:pPr>
        <w:pStyle w:val="FootnoteText"/>
      </w:pPr>
      <w:r w:rsidRPr="00973896">
        <w:rPr>
          <w:rStyle w:val="FootnoteReference"/>
          <w:rFonts w:eastAsiaTheme="majorEastAsia"/>
        </w:rPr>
        <w:footnoteRef/>
      </w:r>
      <w:r w:rsidRPr="00936420">
        <w:t xml:space="preserve"> </w:t>
      </w:r>
      <w:r w:rsidRPr="00936420">
        <w:rPr>
          <w:i/>
          <w:iCs/>
        </w:rPr>
        <w:t>Id.</w:t>
      </w:r>
      <w:r w:rsidRPr="00936420">
        <w:t xml:space="preserve"> § 73.3555(a)(1)(iv).</w:t>
      </w:r>
    </w:p>
  </w:footnote>
  <w:footnote w:id="44">
    <w:p w:rsidR="00D52690" w:rsidRPr="0082178F" w:rsidP="00BA2DC2" w14:paraId="0DD345A4" w14:textId="77777777">
      <w:pPr>
        <w:pStyle w:val="FootnoteText"/>
      </w:pPr>
      <w:r>
        <w:rPr>
          <w:rStyle w:val="FootnoteReference"/>
        </w:rPr>
        <w:footnoteRef/>
      </w:r>
      <w:r>
        <w:t xml:space="preserve"> </w:t>
      </w:r>
      <w:r>
        <w:rPr>
          <w:i/>
          <w:iCs/>
        </w:rPr>
        <w:t xml:space="preserve">Id. </w:t>
      </w:r>
      <w:r w:rsidRPr="0082178F">
        <w:t>§</w:t>
      </w:r>
      <w:r>
        <w:t xml:space="preserve"> 73.3555(a)(2).</w:t>
      </w:r>
    </w:p>
  </w:footnote>
  <w:footnote w:id="45">
    <w:p w:rsidR="00D52690" w:rsidRPr="00973896" w:rsidP="00BA2DC2" w14:paraId="7D23665D" w14:textId="77777777">
      <w:pPr>
        <w:pStyle w:val="FootnoteText"/>
      </w:pPr>
      <w:r w:rsidRPr="00973896">
        <w:rPr>
          <w:rStyle w:val="FootnoteReference"/>
          <w:rFonts w:eastAsiaTheme="majorEastAsia"/>
        </w:rPr>
        <w:footnoteRef/>
      </w:r>
      <w:r w:rsidRPr="00973896">
        <w:t xml:space="preserve"> </w:t>
      </w:r>
      <w:r>
        <w:rPr>
          <w:i/>
          <w:iCs/>
        </w:rPr>
        <w:t>Id.</w:t>
      </w:r>
      <w:r w:rsidRPr="00973896">
        <w:t xml:space="preserve"> § 73.3555(a)(1)</w:t>
      </w:r>
      <w:r>
        <w:t>(</w:t>
      </w:r>
      <w:r>
        <w:t>i</w:t>
      </w:r>
      <w:r>
        <w:t>)-(iv)</w:t>
      </w:r>
      <w:r w:rsidRPr="00973896">
        <w:t>.</w:t>
      </w:r>
    </w:p>
  </w:footnote>
  <w:footnote w:id="46">
    <w:p w:rsidR="00D52690" w:rsidRPr="00973896" w:rsidP="00BA2DC2" w14:paraId="521AEA0E" w14:textId="77777777">
      <w:pPr>
        <w:pStyle w:val="FootnoteText"/>
      </w:pPr>
      <w:r w:rsidRPr="00973896">
        <w:rPr>
          <w:rStyle w:val="FootnoteReference"/>
          <w:rFonts w:eastAsiaTheme="majorEastAsia"/>
        </w:rPr>
        <w:footnoteRef/>
      </w:r>
      <w:r w:rsidRPr="00973896">
        <w:t xml:space="preserve"> </w:t>
      </w:r>
      <w:r w:rsidRPr="00973896">
        <w:rPr>
          <w:i/>
        </w:rPr>
        <w:t>See 2002 Biennial Review Order</w:t>
      </w:r>
      <w:r w:rsidRPr="00973896">
        <w:t xml:space="preserve">, 18 FCC Rcd at 13724-30, paras. 273-86 (replacing the contour-overlap methodology with Arbitron Metro—now Nielsen Audio Metro—market definitions, where available, and retaining a modified contour-overlap methodology on an interim basis for areas not defined by Nielsen Audio); </w:t>
      </w:r>
      <w:r w:rsidRPr="00973896">
        <w:rPr>
          <w:i/>
        </w:rPr>
        <w:t>2006 Quadrennial Review Order</w:t>
      </w:r>
      <w:r w:rsidRPr="00973896">
        <w:t xml:space="preserve">, 23 FCC Rcd at 2013, 2070-71, 2071-72, paras. 4, 111-12, 114 (affirming the use of Nielsen Audio Metro markets to define geographic markets); </w:t>
      </w:r>
      <w:r w:rsidRPr="00973896">
        <w:rPr>
          <w:i/>
        </w:rPr>
        <w:t>2010/2014 Quadrennial Review Order</w:t>
      </w:r>
      <w:r w:rsidRPr="00973896">
        <w:t xml:space="preserve">, 31 FCC Rcd at 9898, para. 85 n.234 (finding no basis on which to revisit as part of its ownership review the interim contour-overlap methodology for non-Nielsen Audio Metro areas).  </w:t>
      </w:r>
    </w:p>
  </w:footnote>
  <w:footnote w:id="47">
    <w:p w:rsidR="00D52690" w:rsidRPr="00973896" w:rsidP="00BA2DC2" w14:paraId="6D92070E" w14:textId="77777777">
      <w:pPr>
        <w:pStyle w:val="FootnoteText"/>
      </w:pPr>
      <w:r w:rsidRPr="00973896">
        <w:rPr>
          <w:rStyle w:val="FootnoteReference"/>
          <w:rFonts w:eastAsiaTheme="majorEastAsia"/>
        </w:rPr>
        <w:footnoteRef/>
      </w:r>
      <w:r w:rsidRPr="00973896">
        <w:t xml:space="preserve"> </w:t>
      </w:r>
      <w:r w:rsidRPr="00C47366">
        <w:rPr>
          <w:i/>
          <w:iCs/>
        </w:rPr>
        <w:t>2018 Q</w:t>
      </w:r>
      <w:r w:rsidRPr="00973896">
        <w:rPr>
          <w:i/>
        </w:rPr>
        <w:t>uadrennial Review Order</w:t>
      </w:r>
      <w:r w:rsidRPr="00973896">
        <w:t xml:space="preserve">, </w:t>
      </w:r>
      <w:r>
        <w:t xml:space="preserve">38 </w:t>
      </w:r>
      <w:r w:rsidRPr="006C5ED3">
        <w:t xml:space="preserve">FCC </w:t>
      </w:r>
      <w:r>
        <w:t xml:space="preserve">Rcd at 12797, 12815-16, </w:t>
      </w:r>
      <w:r w:rsidRPr="00973896">
        <w:t>para. 27, 58-59</w:t>
      </w:r>
      <w:r>
        <w:t xml:space="preserve">; </w:t>
      </w:r>
      <w:r>
        <w:rPr>
          <w:i/>
          <w:iCs/>
        </w:rPr>
        <w:t>2002 Biennial Review Order</w:t>
      </w:r>
      <w:r>
        <w:t>, 18 FCC Rcd at 13729-30, paras. 282-86, Appx. F</w:t>
      </w:r>
      <w:r w:rsidRPr="00973896">
        <w:t>.</w:t>
      </w:r>
    </w:p>
  </w:footnote>
  <w:footnote w:id="48">
    <w:p w:rsidR="00D52690" w:rsidRPr="00973896" w:rsidP="00BA2DC2" w14:paraId="16259A7A" w14:textId="77777777">
      <w:pPr>
        <w:pStyle w:val="FootnoteText"/>
      </w:pPr>
      <w:r w:rsidRPr="00973896">
        <w:rPr>
          <w:rStyle w:val="FootnoteReference"/>
          <w:rFonts w:eastAsiaTheme="majorEastAsia"/>
        </w:rPr>
        <w:footnoteRef/>
      </w:r>
      <w:r w:rsidRPr="00973896">
        <w:t xml:space="preserve"> 1996 Act § 202(b)(1).  Initially, only commercial radio stations were counted when determining the total number of radio stations in a market for purposes of the 1996 limits, but the Commission subsequently </w:t>
      </w:r>
      <w:r>
        <w:t xml:space="preserve">included </w:t>
      </w:r>
      <w:r w:rsidRPr="00973896">
        <w:t xml:space="preserve">noncommercial radio stations in those totals.  </w:t>
      </w:r>
      <w:r w:rsidRPr="00973896">
        <w:rPr>
          <w:i/>
        </w:rPr>
        <w:t>See</w:t>
      </w:r>
      <w:r w:rsidRPr="00973896">
        <w:t xml:space="preserve"> </w:t>
      </w:r>
      <w:r w:rsidRPr="00973896">
        <w:rPr>
          <w:i/>
        </w:rPr>
        <w:t>2002 Biennial Review Order</w:t>
      </w:r>
      <w:r w:rsidRPr="00973896">
        <w:t xml:space="preserve">, 18 FCC Rcd at 13734, para. 295.    </w:t>
      </w:r>
    </w:p>
  </w:footnote>
  <w:footnote w:id="49">
    <w:p w:rsidR="00D52690" w:rsidRPr="00973896" w:rsidP="00BA2DC2" w14:paraId="3BA3ED7F" w14:textId="77777777">
      <w:pPr>
        <w:pStyle w:val="FootnoteText"/>
      </w:pPr>
      <w:r w:rsidRPr="00973896">
        <w:rPr>
          <w:rStyle w:val="FootnoteReference"/>
          <w:rFonts w:eastAsiaTheme="majorEastAsia"/>
        </w:rPr>
        <w:footnoteRef/>
      </w:r>
      <w:r w:rsidRPr="00973896">
        <w:t xml:space="preserve"> </w:t>
      </w:r>
      <w:r w:rsidRPr="00C47366">
        <w:rPr>
          <w:i/>
          <w:iCs/>
        </w:rPr>
        <w:t>2018 Q</w:t>
      </w:r>
      <w:r w:rsidRPr="00973896">
        <w:rPr>
          <w:i/>
        </w:rPr>
        <w:t>uadrennial Review Order</w:t>
      </w:r>
      <w:r>
        <w:t xml:space="preserve">, 38 </w:t>
      </w:r>
      <w:r w:rsidRPr="006C5ED3">
        <w:t xml:space="preserve">FCC </w:t>
      </w:r>
      <w:r>
        <w:t>Rcd at 12791-92, 12794-97</w:t>
      </w:r>
      <w:r w:rsidRPr="00973896">
        <w:t>, para</w:t>
      </w:r>
      <w:r>
        <w:t>s</w:t>
      </w:r>
      <w:r w:rsidRPr="00973896">
        <w:t xml:space="preserve">. </w:t>
      </w:r>
      <w:r>
        <w:t>19, 23, 27</w:t>
      </w:r>
      <w:r w:rsidRPr="00973896">
        <w:t>.</w:t>
      </w:r>
    </w:p>
  </w:footnote>
  <w:footnote w:id="50">
    <w:p w:rsidR="00D52690" w:rsidRPr="00973896" w:rsidP="00BA2DC2" w14:paraId="1ADAFD4D" w14:textId="77777777">
      <w:pPr>
        <w:pStyle w:val="FootnoteText"/>
      </w:pPr>
      <w:r w:rsidRPr="00973896">
        <w:rPr>
          <w:rStyle w:val="FootnoteReference"/>
          <w:rFonts w:eastAsiaTheme="majorEastAsia"/>
        </w:rPr>
        <w:footnoteRef/>
      </w:r>
      <w:r w:rsidRPr="00973896">
        <w:t xml:space="preserve"> </w:t>
      </w:r>
      <w:r>
        <w:rPr>
          <w:i/>
        </w:rPr>
        <w:t>Id.</w:t>
      </w:r>
      <w:r w:rsidRPr="00973896">
        <w:t xml:space="preserve"> at </w:t>
      </w:r>
      <w:r>
        <w:t>12797, 12815-16</w:t>
      </w:r>
      <w:r w:rsidRPr="00973896">
        <w:t>, paras. 27, 58-59.</w:t>
      </w:r>
    </w:p>
  </w:footnote>
  <w:footnote w:id="51">
    <w:p w:rsidR="00D52690" w:rsidRPr="00DC2CB7" w:rsidP="00BA2DC2" w14:paraId="5E34367B" w14:textId="1C1CF806">
      <w:pPr>
        <w:pStyle w:val="FootnoteText"/>
      </w:pPr>
      <w:r>
        <w:rPr>
          <w:rStyle w:val="FootnoteReference"/>
        </w:rPr>
        <w:footnoteRef/>
      </w:r>
      <w:r>
        <w:t xml:space="preserve"> </w:t>
      </w:r>
      <w:r>
        <w:rPr>
          <w:i/>
          <w:iCs/>
        </w:rPr>
        <w:t>Zimmer v. FCC</w:t>
      </w:r>
      <w:r>
        <w:t xml:space="preserve">, </w:t>
      </w:r>
      <w:r w:rsidR="001E4DD5">
        <w:t>145 F.4</w:t>
      </w:r>
      <w:r w:rsidRPr="001E4DD5" w:rsidR="001E4DD5">
        <w:t>th</w:t>
      </w:r>
      <w:r w:rsidR="001E4DD5">
        <w:t xml:space="preserve"> </w:t>
      </w:r>
      <w:r w:rsidR="00DA41EC">
        <w:t xml:space="preserve">at </w:t>
      </w:r>
      <w:r w:rsidR="001E4DD5">
        <w:t>851-53</w:t>
      </w:r>
      <w:r>
        <w:t>.</w:t>
      </w:r>
    </w:p>
  </w:footnote>
  <w:footnote w:id="52">
    <w:p w:rsidR="00D52690" w:rsidP="00BA2DC2" w14:paraId="141AFFC7" w14:textId="77777777">
      <w:pPr>
        <w:pStyle w:val="FootnoteText"/>
      </w:pPr>
      <w:r>
        <w:rPr>
          <w:rStyle w:val="FootnoteReference"/>
          <w:rFonts w:eastAsiaTheme="majorEastAsia"/>
        </w:rPr>
        <w:footnoteRef/>
      </w:r>
      <w:r>
        <w:t xml:space="preserve"> </w:t>
      </w:r>
      <w:r>
        <w:rPr>
          <w:i/>
          <w:iCs/>
        </w:rPr>
        <w:t>See</w:t>
      </w:r>
      <w:r w:rsidRPr="001E05DB">
        <w:rPr>
          <w:i/>
        </w:rPr>
        <w:t xml:space="preserve"> </w:t>
      </w:r>
      <w:r w:rsidRPr="00D6285D">
        <w:rPr>
          <w:i/>
          <w:iCs/>
        </w:rPr>
        <w:t xml:space="preserve">Columbia Broad. Sys., Inc. v. Democratic </w:t>
      </w:r>
      <w:r w:rsidRPr="00D6285D">
        <w:rPr>
          <w:i/>
          <w:iCs/>
        </w:rPr>
        <w:t>Nat</w:t>
      </w:r>
      <w:r>
        <w:rPr>
          <w:i/>
          <w:iCs/>
        </w:rPr>
        <w:t>’</w:t>
      </w:r>
      <w:r w:rsidRPr="00D6285D">
        <w:rPr>
          <w:i/>
          <w:iCs/>
        </w:rPr>
        <w:t>l</w:t>
      </w:r>
      <w:r w:rsidRPr="00D6285D">
        <w:rPr>
          <w:i/>
          <w:iCs/>
        </w:rPr>
        <w:t xml:space="preserve"> Comm</w:t>
      </w:r>
      <w:r w:rsidRPr="00D6285D">
        <w:t>., 412 U.S. 94, 118 (1973)</w:t>
      </w:r>
      <w:r>
        <w:t xml:space="preserve"> (“</w:t>
      </w:r>
      <w:r w:rsidRPr="00547C0A">
        <w:t xml:space="preserve">A licensee must balance what it might prefer to do as a private entrepreneur with what it is required to do as </w:t>
      </w:r>
      <w:r w:rsidRPr="00D0389F">
        <w:t>a ‘</w:t>
      </w:r>
      <w:r w:rsidRPr="00D6285D">
        <w:t>public trustee</w:t>
      </w:r>
      <w:r w:rsidRPr="00547C0A">
        <w:t>.</w:t>
      </w:r>
      <w:r>
        <w:t xml:space="preserve"> . . .’”); </w:t>
      </w:r>
      <w:r>
        <w:rPr>
          <w:i/>
          <w:iCs/>
        </w:rPr>
        <w:t>see</w:t>
      </w:r>
      <w:r w:rsidRPr="001E05DB">
        <w:rPr>
          <w:i/>
        </w:rPr>
        <w:t xml:space="preserve"> also</w:t>
      </w:r>
      <w:r>
        <w:t xml:space="preserve"> </w:t>
      </w:r>
      <w:r w:rsidRPr="00D6285D">
        <w:rPr>
          <w:i/>
          <w:iCs/>
        </w:rPr>
        <w:t>In the Matter of: Broadcast Localism</w:t>
      </w:r>
      <w:r>
        <w:t xml:space="preserve">, </w:t>
      </w:r>
      <w:r w:rsidRPr="00311786">
        <w:t>19 FCC Rcd 12425</w:t>
      </w:r>
      <w:r>
        <w:t>, 12425, para. 1, n. 2 (“B</w:t>
      </w:r>
      <w:r w:rsidRPr="008D56BD">
        <w:t xml:space="preserve">roadcasters are considered to be temporary </w:t>
      </w:r>
      <w:r w:rsidRPr="00D6285D">
        <w:t>trustees of public</w:t>
      </w:r>
      <w:r w:rsidRPr="008D56BD">
        <w:t xml:space="preserve"> spectrum because the Communications Act instructs the Commission to award licenses to use the airwaves expressly on the condition that licensees serve the public interest</w:t>
      </w:r>
      <w:r>
        <w:t xml:space="preserve">.”) (citing </w:t>
      </w:r>
      <w:r w:rsidRPr="008D56BD">
        <w:t>47 U.S.C. § 309(a)</w:t>
      </w:r>
      <w:r>
        <w:t>).</w:t>
      </w:r>
      <w:r w:rsidRPr="008D56BD">
        <w:t xml:space="preserve"> </w:t>
      </w:r>
    </w:p>
  </w:footnote>
  <w:footnote w:id="53">
    <w:p w:rsidR="00D52690" w:rsidP="00BA2DC2" w14:paraId="6AD328C4" w14:textId="77777777">
      <w:pPr>
        <w:pStyle w:val="FootnoteText"/>
        <w:rPr>
          <w:color w:val="212121"/>
          <w:shd w:val="clear" w:color="auto" w:fill="FFFFFF"/>
        </w:rPr>
      </w:pPr>
      <w:r>
        <w:rPr>
          <w:rStyle w:val="FootnoteReference"/>
          <w:rFonts w:eastAsiaTheme="majorEastAsia"/>
        </w:rPr>
        <w:footnoteRef/>
      </w:r>
      <w:r>
        <w:t xml:space="preserve"> </w:t>
      </w:r>
      <w:r>
        <w:rPr>
          <w:i/>
          <w:iCs/>
        </w:rPr>
        <w:t>See</w:t>
      </w:r>
      <w:r>
        <w:t xml:space="preserve">, </w:t>
      </w:r>
      <w:r>
        <w:rPr>
          <w:i/>
          <w:iCs/>
        </w:rPr>
        <w:t>e.g.</w:t>
      </w:r>
      <w:r>
        <w:t xml:space="preserve">, 47 U.S.C. §§ 307, 309, and 310 (requiring public interest determinations in licensing); </w:t>
      </w:r>
      <w:r>
        <w:rPr>
          <w:i/>
          <w:iCs/>
        </w:rPr>
        <w:t>see also</w:t>
      </w:r>
      <w:r>
        <w:t xml:space="preserve"> </w:t>
      </w:r>
      <w:r>
        <w:rPr>
          <w:i/>
          <w:iCs/>
        </w:rPr>
        <w:t>Revitalization of the AM Radio Serv.</w:t>
      </w:r>
      <w:r>
        <w:t xml:space="preserve">, 30 FCC Rcd 12145, 12157, para. 25 (2015) (“the Commission’s rules and policies have traditionally been designed to ‘foster a system of local stations that respond to the unique concerns and interests of the audiences . . . .’” (citing </w:t>
      </w:r>
      <w:r>
        <w:rPr>
          <w:i/>
          <w:iCs/>
        </w:rPr>
        <w:t>Broadcast Localism</w:t>
      </w:r>
      <w:r>
        <w:t>, 23 FCC Rcd 1324, 1327 (2008))</w:t>
      </w:r>
      <w:r>
        <w:rPr>
          <w:color w:val="546E7A"/>
          <w:shd w:val="clear" w:color="auto" w:fill="FFFFFF"/>
        </w:rPr>
        <w:t>.</w:t>
      </w:r>
      <w:r>
        <w:rPr>
          <w:color w:val="212121"/>
          <w:highlight w:val="yellow"/>
          <w:shd w:val="clear" w:color="auto" w:fill="FFFFFF"/>
        </w:rPr>
        <w:t xml:space="preserve"> </w:t>
      </w:r>
    </w:p>
  </w:footnote>
  <w:footnote w:id="54">
    <w:p w:rsidR="00D52690" w:rsidP="00BA2DC2" w14:paraId="41CFDF3D" w14:textId="77777777">
      <w:pPr>
        <w:pStyle w:val="FootnoteText"/>
      </w:pPr>
      <w:r>
        <w:rPr>
          <w:rStyle w:val="FootnoteReference"/>
          <w:rFonts w:eastAsiaTheme="majorEastAsia"/>
        </w:rPr>
        <w:footnoteRef/>
      </w:r>
      <w:r>
        <w:t xml:space="preserve"> Connoisseur Media, Townsquare Media, et al. Reply (Joint Radio Reply) at 24-27.</w:t>
      </w:r>
    </w:p>
  </w:footnote>
  <w:footnote w:id="55">
    <w:p w:rsidR="00D52690" w:rsidRPr="00070D14" w:rsidP="00BA2DC2" w14:paraId="5EB400B3" w14:textId="73DF51F7">
      <w:pPr>
        <w:pStyle w:val="FootnoteText"/>
      </w:pPr>
      <w:r w:rsidRPr="00C61E97">
        <w:rPr>
          <w:rStyle w:val="FootnoteReference"/>
          <w:color w:val="000000" w:themeColor="text1"/>
        </w:rPr>
        <w:footnoteRef/>
      </w:r>
      <w:r w:rsidRPr="00C61E97">
        <w:t xml:space="preserve"> </w:t>
      </w:r>
      <w:r>
        <w:rPr>
          <w:i/>
          <w:iCs/>
        </w:rPr>
        <w:t>2018 Quadrennial Review Order</w:t>
      </w:r>
      <w:r w:rsidRPr="00C61E97">
        <w:t xml:space="preserve">, 38 FCC Rcd </w:t>
      </w:r>
      <w:r>
        <w:t xml:space="preserve">at 12799-12804, paras. 33-40.  </w:t>
      </w:r>
      <w:r w:rsidR="005C53E1">
        <w:t xml:space="preserve">Specifically, the Commission </w:t>
      </w:r>
      <w:r w:rsidR="002042B9">
        <w:t>defined the relevant market as the “radio listening market” and declined to include in that market “satellite or non-broadcast audio sources</w:t>
      </w:r>
      <w:r w:rsidR="009673A5">
        <w:t xml:space="preserve">, such as Internet streaming services.”  </w:t>
      </w:r>
      <w:r w:rsidR="009673A5">
        <w:rPr>
          <w:i/>
          <w:iCs/>
        </w:rPr>
        <w:t xml:space="preserve">Id. </w:t>
      </w:r>
      <w:r w:rsidR="009673A5">
        <w:t xml:space="preserve">at 12799, para. 33.  </w:t>
      </w:r>
      <w:r>
        <w:t xml:space="preserve">The U.S. Court of Appeals for the Eighth Circuit upheld the Commission’s approach to market definition in the </w:t>
      </w:r>
      <w:r>
        <w:rPr>
          <w:i/>
          <w:iCs/>
        </w:rPr>
        <w:t>2018 Quadrennial Review Order</w:t>
      </w:r>
      <w:r>
        <w:t xml:space="preserve">.  </w:t>
      </w:r>
      <w:r>
        <w:rPr>
          <w:i/>
          <w:iCs/>
        </w:rPr>
        <w:t>Zimmer v. FCC</w:t>
      </w:r>
      <w:r>
        <w:t xml:space="preserve">, </w:t>
      </w:r>
      <w:r w:rsidR="003453A9">
        <w:t>145 F.4th</w:t>
      </w:r>
      <w:r w:rsidR="00D0631E">
        <w:t xml:space="preserve"> </w:t>
      </w:r>
      <w:r>
        <w:t xml:space="preserve">at </w:t>
      </w:r>
      <w:r w:rsidR="003453A9">
        <w:t>843-51</w:t>
      </w:r>
      <w:r>
        <w:t>.</w:t>
      </w:r>
    </w:p>
  </w:footnote>
  <w:footnote w:id="56">
    <w:p w:rsidR="00D52690" w:rsidP="00BA2DC2" w14:paraId="3A8BAF31" w14:textId="77777777">
      <w:pPr>
        <w:pStyle w:val="FootnoteText"/>
      </w:pPr>
      <w:r>
        <w:rPr>
          <w:rStyle w:val="FootnoteReference"/>
          <w:rFonts w:eastAsiaTheme="majorEastAsia"/>
        </w:rPr>
        <w:footnoteRef/>
      </w:r>
      <w:r>
        <w:t xml:space="preserve"> </w:t>
      </w:r>
      <w:r w:rsidRPr="006721A1">
        <w:t>NAB Comments at</w:t>
      </w:r>
      <w:r>
        <w:t xml:space="preserve"> 25 </w:t>
      </w:r>
      <w:r w:rsidRPr="006F33FE">
        <w:t>(</w:t>
      </w:r>
      <w:r>
        <w:t>arguing that the Commission should “</w:t>
      </w:r>
      <w:r w:rsidRPr="00373CBE">
        <w:rPr>
          <w:rFonts w:eastAsia="FranklinGothic-Book"/>
        </w:rPr>
        <w:t>cease disadvantaging broadcasters through an outdated regulatory</w:t>
      </w:r>
      <w:r>
        <w:rPr>
          <w:rFonts w:eastAsia="FranklinGothic-Book"/>
        </w:rPr>
        <w:t xml:space="preserve"> </w:t>
      </w:r>
      <w:r w:rsidRPr="00373CBE">
        <w:rPr>
          <w:rFonts w:eastAsia="FranklinGothic-Book"/>
        </w:rPr>
        <w:t>regime applicable only to them”)</w:t>
      </w:r>
      <w:r>
        <w:rPr>
          <w:rFonts w:eastAsia="FranklinGothic-Book"/>
        </w:rPr>
        <w:t>.</w:t>
      </w:r>
    </w:p>
  </w:footnote>
  <w:footnote w:id="57">
    <w:p w:rsidR="00D52690" w:rsidP="00BA2DC2" w14:paraId="1BCCAE50" w14:textId="77777777">
      <w:pPr>
        <w:pStyle w:val="FootnoteText"/>
      </w:pPr>
      <w:r>
        <w:rPr>
          <w:rStyle w:val="FootnoteReference"/>
          <w:rFonts w:eastAsiaTheme="majorEastAsia"/>
        </w:rPr>
        <w:footnoteRef/>
      </w:r>
      <w:r>
        <w:t xml:space="preserve"> Connoisseur Media, Townsquare Media, et al. Comments (</w:t>
      </w:r>
      <w:r w:rsidRPr="00123098">
        <w:t xml:space="preserve">Joint </w:t>
      </w:r>
      <w:r>
        <w:t xml:space="preserve">Radio </w:t>
      </w:r>
      <w:r w:rsidRPr="00373CBE">
        <w:t>Comments</w:t>
      </w:r>
      <w:r>
        <w:t>)</w:t>
      </w:r>
      <w:r w:rsidRPr="00373CBE">
        <w:t xml:space="preserve"> at 21</w:t>
      </w:r>
      <w:r>
        <w:t>-22</w:t>
      </w:r>
      <w:r w:rsidRPr="00373CBE">
        <w:t xml:space="preserve"> (</w:t>
      </w:r>
      <w:r w:rsidRPr="007C26B2">
        <w:t>asserting that “music and other audio entertainment services launched by companies like Apple, Amazon and Google – each of which have market capitalizations hundreds of times larger than the capitalization of the entire radio industry – were experiencing significant growth in audience, in part because these companies were well-positioned to offer audio services as loss leaders to promote other products and services”</w:t>
      </w:r>
      <w:r w:rsidRPr="00373CBE">
        <w:t>)</w:t>
      </w:r>
      <w:r>
        <w:t>.</w:t>
      </w:r>
    </w:p>
  </w:footnote>
  <w:footnote w:id="58">
    <w:p w:rsidR="00D52690" w:rsidRPr="00973896" w:rsidP="00BA2DC2" w14:paraId="1647FFCB" w14:textId="77777777">
      <w:pPr>
        <w:pStyle w:val="FootnoteText"/>
      </w:pPr>
      <w:r w:rsidRPr="00973896">
        <w:rPr>
          <w:rStyle w:val="FootnoteReference"/>
          <w:rFonts w:eastAsiaTheme="majorEastAsia"/>
        </w:rPr>
        <w:footnoteRef/>
      </w:r>
      <w:r w:rsidRPr="00973896">
        <w:t xml:space="preserve"> </w:t>
      </w:r>
      <w:r w:rsidRPr="00973896">
        <w:rPr>
          <w:i/>
          <w:iCs/>
        </w:rPr>
        <w:t xml:space="preserve">See, e.g., </w:t>
      </w:r>
      <w:r w:rsidRPr="00973896">
        <w:t>iHeart Comments at 5</w:t>
      </w:r>
      <w:r>
        <w:t>-9</w:t>
      </w:r>
      <w:r w:rsidRPr="00973896">
        <w:t xml:space="preserve"> (asserting that the Commission should take into account the impact on the consumer, public safety, and national security).</w:t>
      </w:r>
    </w:p>
  </w:footnote>
  <w:footnote w:id="59">
    <w:p w:rsidR="00D52690" w:rsidP="00BA2DC2" w14:paraId="632CC238" w14:textId="77777777">
      <w:pPr>
        <w:pStyle w:val="FootnoteText"/>
      </w:pPr>
      <w:r>
        <w:rPr>
          <w:rStyle w:val="FootnoteReference"/>
        </w:rPr>
        <w:footnoteRef/>
      </w:r>
      <w:r>
        <w:t xml:space="preserve"> </w:t>
      </w:r>
      <w:r w:rsidRPr="00973896">
        <w:t>1996 Act § 202(b)(1).</w:t>
      </w:r>
    </w:p>
  </w:footnote>
  <w:footnote w:id="60">
    <w:p w:rsidR="00D52690" w:rsidP="00BA2DC2" w14:paraId="4723D661" w14:textId="77777777">
      <w:pPr>
        <w:pStyle w:val="FootnoteText"/>
      </w:pPr>
      <w:r w:rsidRPr="008D3D1D">
        <w:rPr>
          <w:rStyle w:val="FootnoteReference"/>
          <w:rFonts w:eastAsiaTheme="majorEastAsia"/>
        </w:rPr>
        <w:footnoteRef/>
      </w:r>
      <w:r w:rsidRPr="008D3D1D">
        <w:t xml:space="preserve"> </w:t>
      </w:r>
      <w:r>
        <w:rPr>
          <w:i/>
          <w:iCs/>
        </w:rPr>
        <w:t>See, e.g.,</w:t>
      </w:r>
      <w:r w:rsidRPr="001E05DB">
        <w:rPr>
          <w:i/>
        </w:rPr>
        <w:t xml:space="preserve"> </w:t>
      </w:r>
      <w:r w:rsidRPr="008D3D1D">
        <w:t>Salem Comments at 2 (</w:t>
      </w:r>
      <w:r>
        <w:t>suggesting “</w:t>
      </w:r>
      <w:r w:rsidRPr="008D3D1D">
        <w:t xml:space="preserve">the relaxation of the </w:t>
      </w:r>
      <w:r w:rsidRPr="008D3D1D">
        <w:t>subcaps</w:t>
      </w:r>
      <w:r w:rsidRPr="008D3D1D">
        <w:t xml:space="preserve"> will do little to</w:t>
      </w:r>
      <w:r>
        <w:t xml:space="preserve"> </w:t>
      </w:r>
      <w:r w:rsidRPr="008D3D1D">
        <w:t>counter the diffusion of radio’s market position while doing much to undermine the Commission’s progress toward AM Revitalization.</w:t>
      </w:r>
      <w:r>
        <w:t>”)</w:t>
      </w:r>
    </w:p>
  </w:footnote>
  <w:footnote w:id="61">
    <w:p w:rsidR="00D52690" w:rsidRPr="00973896" w:rsidP="00BA2DC2" w14:paraId="44E420A1" w14:textId="77777777">
      <w:pPr>
        <w:pStyle w:val="FootnoteText"/>
      </w:pPr>
      <w:r w:rsidRPr="00973896">
        <w:rPr>
          <w:rStyle w:val="FootnoteReference"/>
          <w:rFonts w:eastAsiaTheme="majorEastAsia"/>
        </w:rPr>
        <w:footnoteRef/>
      </w:r>
      <w:r w:rsidRPr="00973896">
        <w:t xml:space="preserve"> </w:t>
      </w:r>
      <w:r w:rsidRPr="00973896">
        <w:rPr>
          <w:i/>
          <w:iCs/>
        </w:rPr>
        <w:t>See</w:t>
      </w:r>
      <w:r>
        <w:rPr>
          <w:i/>
          <w:iCs/>
        </w:rPr>
        <w:t>, e.g.,</w:t>
      </w:r>
      <w:r w:rsidRPr="00973896">
        <w:rPr>
          <w:i/>
          <w:iCs/>
        </w:rPr>
        <w:t xml:space="preserve"> </w:t>
      </w:r>
      <w:r w:rsidRPr="00973896">
        <w:t>iHeart Comments at 2.</w:t>
      </w:r>
    </w:p>
  </w:footnote>
  <w:footnote w:id="62">
    <w:p w:rsidR="00D52690" w:rsidRPr="00973896" w:rsidP="00BA2DC2" w14:paraId="7EC48EB6" w14:textId="77777777">
      <w:pPr>
        <w:pStyle w:val="FootnoteText"/>
      </w:pPr>
      <w:r w:rsidRPr="00973896">
        <w:rPr>
          <w:rStyle w:val="FootnoteReference"/>
          <w:rFonts w:eastAsiaTheme="majorEastAsia"/>
        </w:rPr>
        <w:footnoteRef/>
      </w:r>
      <w:r>
        <w:t xml:space="preserve"> </w:t>
      </w:r>
      <w:r>
        <w:rPr>
          <w:i/>
          <w:iCs/>
        </w:rPr>
        <w:t xml:space="preserve">See, e.g., </w:t>
      </w:r>
      <w:r w:rsidRPr="00973896">
        <w:t>M</w:t>
      </w:r>
      <w:r>
        <w:t xml:space="preserve">edia and </w:t>
      </w:r>
      <w:r w:rsidRPr="00973896">
        <w:t>D</w:t>
      </w:r>
      <w:r>
        <w:t xml:space="preserve">emocracy </w:t>
      </w:r>
      <w:r w:rsidRPr="00973896">
        <w:t>P</w:t>
      </w:r>
      <w:r>
        <w:t>roject</w:t>
      </w:r>
      <w:r w:rsidRPr="00973896">
        <w:t xml:space="preserve"> </w:t>
      </w:r>
      <w:r w:rsidR="007072C8">
        <w:t xml:space="preserve">(MDP) </w:t>
      </w:r>
      <w:r w:rsidRPr="00973896">
        <w:t>Comments at 4 (asserting that “any rule that is based solely on numbers of stations, ignoring their relative power and range, is likely to have loopholes”).</w:t>
      </w:r>
    </w:p>
  </w:footnote>
  <w:footnote w:id="63">
    <w:p w:rsidR="00F541A7" w:rsidP="00BA2DC2" w14:paraId="55A3CE3B" w14:textId="77777777">
      <w:pPr>
        <w:pStyle w:val="FootnoteText"/>
      </w:pPr>
      <w:r>
        <w:rPr>
          <w:rStyle w:val="FootnoteReference"/>
        </w:rPr>
        <w:footnoteRef/>
      </w:r>
      <w:r>
        <w:t xml:space="preserve"> </w:t>
      </w:r>
      <w:r w:rsidRPr="00B64137">
        <w:t>The Nielsen Company assigns each broadcast television station to a designated market area (DMA).</w:t>
      </w:r>
      <w:r>
        <w:t xml:space="preserve">  </w:t>
      </w:r>
      <w:r w:rsidRPr="00B64137">
        <w:t xml:space="preserve">The DMA boundaries and DMA data are owned solely and exclusively by Nielsen. </w:t>
      </w:r>
      <w:r>
        <w:t xml:space="preserve"> </w:t>
      </w:r>
      <w:r w:rsidRPr="00B64137">
        <w:t>Each DMA is a group of counties that form an exclusive geographic area in which the home market television stations hold a dominance of total hours viewed.</w:t>
      </w:r>
      <w:r>
        <w:t xml:space="preserve">  </w:t>
      </w:r>
      <w:r w:rsidRPr="00B64137">
        <w:t>There are 210 DMAs, covering the entire continental United States, Hawaii, and parts of Alaska.</w:t>
      </w:r>
      <w:r>
        <w:t xml:space="preserve">  </w:t>
      </w:r>
      <w:hyperlink r:id="rId4" w:history="1">
        <w:r w:rsidRPr="006D4BF3">
          <w:rPr>
            <w:rStyle w:val="Hyperlink"/>
          </w:rPr>
          <w:t>https://www.nielsen.com/dma-regions/</w:t>
        </w:r>
      </w:hyperlink>
      <w:r>
        <w:t>.</w:t>
      </w:r>
    </w:p>
  </w:footnote>
  <w:footnote w:id="64">
    <w:p w:rsidR="00F541A7" w:rsidP="00BA2DC2" w14:paraId="082B9FDA" w14:textId="77777777">
      <w:pPr>
        <w:pStyle w:val="FootnoteText"/>
      </w:pPr>
      <w:r w:rsidRPr="00AC2C20">
        <w:rPr>
          <w:rStyle w:val="FootnoteReference"/>
        </w:rPr>
        <w:footnoteRef/>
      </w:r>
      <w:r w:rsidRPr="00AC2C20">
        <w:t xml:space="preserve"> </w:t>
      </w:r>
      <w:r w:rsidR="00AC2C20">
        <w:rPr>
          <w:i/>
          <w:iCs/>
        </w:rPr>
        <w:t>2018 Quadrennial Review Order</w:t>
      </w:r>
      <w:r w:rsidR="00AC2C20">
        <w:t xml:space="preserve">, </w:t>
      </w:r>
      <w:r w:rsidRPr="009C1FE2" w:rsidR="009C1FE2">
        <w:t>38 FCC Rcd</w:t>
      </w:r>
      <w:r w:rsidR="009C1FE2">
        <w:t xml:space="preserve"> at 12820, </w:t>
      </w:r>
      <w:r w:rsidR="00AC2C20">
        <w:t>para. 66.</w:t>
      </w:r>
      <w:r>
        <w:t xml:space="preserve">  </w:t>
      </w:r>
    </w:p>
  </w:footnote>
  <w:footnote w:id="65">
    <w:p w:rsidR="00203782" w:rsidP="00BA2DC2" w14:paraId="0CA02FB0" w14:textId="7C3A5B48">
      <w:pPr>
        <w:pStyle w:val="FootnoteText"/>
      </w:pPr>
      <w:r>
        <w:rPr>
          <w:rStyle w:val="FootnoteReference"/>
        </w:rPr>
        <w:footnoteRef/>
      </w:r>
      <w:r>
        <w:t xml:space="preserve"> </w:t>
      </w:r>
      <w:r>
        <w:rPr>
          <w:i/>
          <w:iCs/>
        </w:rPr>
        <w:t>Id.</w:t>
      </w:r>
      <w:r>
        <w:t xml:space="preserve"> at 12822-23, para. 73.</w:t>
      </w:r>
      <w:r w:rsidR="00C43C16">
        <w:t xml:space="preserve">  The United States Court of Appeals for the Eighth Circuit upheld the Commission’s market definition</w:t>
      </w:r>
      <w:r w:rsidR="00A77456">
        <w:t xml:space="preserve"> based on the record in that proceeding</w:t>
      </w:r>
      <w:r w:rsidR="00C43C16">
        <w:t xml:space="preserve"> and found that the Commission </w:t>
      </w:r>
      <w:r w:rsidR="00A93BEA">
        <w:t>a</w:t>
      </w:r>
      <w:r w:rsidRPr="00A93BEA" w:rsidR="00A93BEA">
        <w:t xml:space="preserve">rticulated a rational reason for declining to broaden </w:t>
      </w:r>
      <w:r w:rsidR="00FC1FE4">
        <w:t>the</w:t>
      </w:r>
      <w:r w:rsidRPr="00A93BEA" w:rsidR="00A93BEA">
        <w:t xml:space="preserve"> definition</w:t>
      </w:r>
      <w:r w:rsidR="00A93BEA">
        <w:t xml:space="preserve"> to include non-broadcast programming sources</w:t>
      </w:r>
      <w:r w:rsidR="00A77456">
        <w:t xml:space="preserve"> at that time</w:t>
      </w:r>
      <w:r w:rsidR="00A93BEA">
        <w:t xml:space="preserve">.  </w:t>
      </w:r>
      <w:r w:rsidRPr="001C334B" w:rsidR="00A93BEA">
        <w:rPr>
          <w:i/>
          <w:iCs/>
        </w:rPr>
        <w:t>Zimmer v. FCC</w:t>
      </w:r>
      <w:r w:rsidRPr="001C334B" w:rsidR="00A93BEA">
        <w:t xml:space="preserve">, </w:t>
      </w:r>
      <w:r w:rsidR="001E4DD5">
        <w:t>145 F.4</w:t>
      </w:r>
      <w:r w:rsidRPr="001E4DD5" w:rsidR="001E4DD5">
        <w:t>th</w:t>
      </w:r>
      <w:r w:rsidR="001E4DD5">
        <w:t xml:space="preserve"> </w:t>
      </w:r>
      <w:r w:rsidR="00D738A6">
        <w:t xml:space="preserve">at </w:t>
      </w:r>
      <w:r w:rsidR="001E4DD5">
        <w:t>850-51</w:t>
      </w:r>
      <w:r w:rsidR="00A93BEA">
        <w:t xml:space="preserve">.  </w:t>
      </w:r>
    </w:p>
  </w:footnote>
  <w:footnote w:id="66">
    <w:p w:rsidR="003602DC" w:rsidRPr="00AC2C20" w:rsidP="00BA2DC2" w14:paraId="78521CF8" w14:textId="77777777">
      <w:pPr>
        <w:pStyle w:val="FootnoteText"/>
      </w:pPr>
      <w:r>
        <w:rPr>
          <w:rStyle w:val="FootnoteReference"/>
        </w:rPr>
        <w:footnoteRef/>
      </w:r>
      <w:r>
        <w:t xml:space="preserve"> </w:t>
      </w:r>
      <w:r w:rsidR="00C43C16">
        <w:rPr>
          <w:i/>
          <w:iCs/>
        </w:rPr>
        <w:t>2018 Quadrennial Review Order</w:t>
      </w:r>
      <w:r w:rsidR="00C43C16">
        <w:t xml:space="preserve">, </w:t>
      </w:r>
      <w:r w:rsidRPr="009C1FE2" w:rsidR="00C43C16">
        <w:t>38 FCC Rcd</w:t>
      </w:r>
      <w:r w:rsidR="00C43C16">
        <w:t xml:space="preserve"> at</w:t>
      </w:r>
      <w:r w:rsidR="00AC2C20">
        <w:t xml:space="preserve"> </w:t>
      </w:r>
      <w:r w:rsidR="009C1FE2">
        <w:t>12832</w:t>
      </w:r>
      <w:r w:rsidR="00AC2C20">
        <w:t>-</w:t>
      </w:r>
      <w:r w:rsidR="009C1FE2">
        <w:t>35</w:t>
      </w:r>
      <w:r w:rsidR="00AC2C20">
        <w:t>, paras. 91-96.</w:t>
      </w:r>
      <w:r w:rsidR="005F4DC0">
        <w:t xml:space="preserve">  </w:t>
      </w:r>
    </w:p>
  </w:footnote>
  <w:footnote w:id="67">
    <w:p w:rsidR="00F94B58" w:rsidP="00BA2DC2" w14:paraId="012E527B" w14:textId="5C0C74E1">
      <w:pPr>
        <w:pStyle w:val="FootnoteText"/>
      </w:pPr>
      <w:r>
        <w:rPr>
          <w:rStyle w:val="FootnoteReference"/>
        </w:rPr>
        <w:footnoteRef/>
      </w:r>
      <w:r>
        <w:t xml:space="preserve"> </w:t>
      </w:r>
      <w:r w:rsidRPr="001C334B" w:rsidR="00726F9F">
        <w:rPr>
          <w:i/>
          <w:iCs/>
        </w:rPr>
        <w:t>Zimmer v. FCC</w:t>
      </w:r>
      <w:r w:rsidRPr="001C334B" w:rsidR="00726F9F">
        <w:t xml:space="preserve">, </w:t>
      </w:r>
      <w:r w:rsidR="002B6D02">
        <w:t>145 F.4th</w:t>
      </w:r>
      <w:r w:rsidR="00D738A6">
        <w:t xml:space="preserve"> </w:t>
      </w:r>
      <w:r w:rsidR="00726F9F">
        <w:t xml:space="preserve">at </w:t>
      </w:r>
      <w:r w:rsidR="002B6D02">
        <w:t>839-40</w:t>
      </w:r>
      <w:r w:rsidR="00726F9F">
        <w:t xml:space="preserve">. </w:t>
      </w:r>
      <w:r w:rsidRPr="001C334B" w:rsidR="00726F9F">
        <w:t xml:space="preserve"> </w:t>
      </w:r>
      <w:bookmarkStart w:id="128" w:name="_Hlk204765880"/>
      <w:r w:rsidR="004F69C4">
        <w:t>T</w:t>
      </w:r>
      <w:r>
        <w:t>he Eighth Circuit decision withheld mandating vacatur of the Top-Four Prohibition for 90 days and remanded the issue to the Commission</w:t>
      </w:r>
      <w:r w:rsidR="004F69C4">
        <w:t>.</w:t>
      </w:r>
      <w:r>
        <w:t xml:space="preserve">  </w:t>
      </w:r>
      <w:r w:rsidRPr="00726F9F" w:rsidR="00726F9F">
        <w:rPr>
          <w:i/>
          <w:iCs/>
        </w:rPr>
        <w:t>Id.</w:t>
      </w:r>
      <w:r w:rsidR="00726F9F">
        <w:t xml:space="preserve"> </w:t>
      </w:r>
      <w:r w:rsidR="00F057E1">
        <w:t xml:space="preserve">at </w:t>
      </w:r>
      <w:r w:rsidR="002B6D02">
        <w:t>857</w:t>
      </w:r>
      <w:r w:rsidR="00726F9F">
        <w:t xml:space="preserve">.  </w:t>
      </w:r>
      <w:r w:rsidRPr="00BF3787" w:rsidR="004F69C4">
        <w:t xml:space="preserve">As of the </w:t>
      </w:r>
      <w:r w:rsidR="00A17547">
        <w:t>release</w:t>
      </w:r>
      <w:r w:rsidRPr="00BF3787" w:rsidR="00A17547">
        <w:t xml:space="preserve"> </w:t>
      </w:r>
      <w:r w:rsidRPr="00BF3787" w:rsidR="004F69C4">
        <w:t>date of this N</w:t>
      </w:r>
      <w:r w:rsidRPr="00BF3787" w:rsidR="00D5272E">
        <w:t>PRM</w:t>
      </w:r>
      <w:r w:rsidRPr="00BF3787" w:rsidR="004F69C4">
        <w:t>, those 90 days have not yet elapsed</w:t>
      </w:r>
      <w:r w:rsidRPr="00BF3787" w:rsidR="00D5272E">
        <w:t xml:space="preserve"> and so the time for seeking further review has not yet run</w:t>
      </w:r>
      <w:r w:rsidRPr="00BF3787" w:rsidR="004F69C4">
        <w:t>.</w:t>
      </w:r>
      <w:r w:rsidR="004F69C4">
        <w:t xml:space="preserve">  </w:t>
      </w:r>
      <w:r>
        <w:t xml:space="preserve">Furthermore, while the Eighth Circuit decision only vacated the </w:t>
      </w:r>
      <w:r w:rsidRPr="00D41471" w:rsidR="008102CE">
        <w:rPr>
          <w:i/>
          <w:iCs/>
        </w:rPr>
        <w:t>2018 Quadrennial Review Order</w:t>
      </w:r>
      <w:r w:rsidR="008102CE">
        <w:t xml:space="preserve">’s </w:t>
      </w:r>
      <w:r>
        <w:t>revisions to Note 11</w:t>
      </w:r>
      <w:r w:rsidR="00E41CF4">
        <w:t xml:space="preserve"> </w:t>
      </w:r>
      <w:r>
        <w:t>and</w:t>
      </w:r>
      <w:r w:rsidR="008102CE">
        <w:t xml:space="preserve"> did</w:t>
      </w:r>
      <w:r>
        <w:t xml:space="preserve"> not </w:t>
      </w:r>
      <w:r w:rsidR="008102CE">
        <w:t xml:space="preserve">vacate </w:t>
      </w:r>
      <w:r>
        <w:t>Note 11</w:t>
      </w:r>
      <w:r w:rsidR="00E41CF4">
        <w:t xml:space="preserve">—the </w:t>
      </w:r>
      <w:r w:rsidRPr="00D94087" w:rsidR="00E41CF4">
        <w:t xml:space="preserve">existing prohibition on </w:t>
      </w:r>
      <w:r w:rsidR="00E41CF4">
        <w:t>television transactions involving certain network</w:t>
      </w:r>
      <w:r w:rsidRPr="00D94087" w:rsidR="00E41CF4">
        <w:t xml:space="preserve"> affiliation</w:t>
      </w:r>
      <w:r w:rsidR="00E41CF4">
        <w:t>s—</w:t>
      </w:r>
      <w:r>
        <w:t xml:space="preserve">itself, vacatur of the Top-Four Prohibition renders all of Note 11 </w:t>
      </w:r>
      <w:r w:rsidR="00A17547">
        <w:t xml:space="preserve">a nullity </w:t>
      </w:r>
      <w:r w:rsidR="00726F9F">
        <w:t>because Note 11 was adopted to prevent circumvention of the Top-Four Prohibition</w:t>
      </w:r>
      <w:r>
        <w:t xml:space="preserve">. </w:t>
      </w:r>
      <w:r w:rsidR="008102CE">
        <w:t xml:space="preserve"> </w:t>
      </w:r>
      <w:r w:rsidRPr="00726F9F" w:rsidR="00726F9F">
        <w:rPr>
          <w:i/>
          <w:iCs/>
        </w:rPr>
        <w:t>Id.</w:t>
      </w:r>
      <w:r w:rsidR="00726F9F">
        <w:t xml:space="preserve"> </w:t>
      </w:r>
      <w:r w:rsidR="00F057E1">
        <w:t xml:space="preserve">at </w:t>
      </w:r>
      <w:r w:rsidR="006601BB">
        <w:t>862</w:t>
      </w:r>
      <w:r w:rsidR="00726F9F">
        <w:t xml:space="preserve">; </w:t>
      </w:r>
      <w:r w:rsidRPr="006C5ED3" w:rsidR="00726F9F">
        <w:rPr>
          <w:i/>
          <w:iCs/>
        </w:rPr>
        <w:t>201</w:t>
      </w:r>
      <w:r w:rsidR="00726F9F">
        <w:rPr>
          <w:i/>
          <w:iCs/>
        </w:rPr>
        <w:t>0/2014</w:t>
      </w:r>
      <w:r w:rsidRPr="006C5ED3" w:rsidR="00726F9F">
        <w:rPr>
          <w:i/>
          <w:iCs/>
        </w:rPr>
        <w:t xml:space="preserve"> Quadrennial Regulatory Review – Review of the Commission’s Broadcast Ownership Rules and Other Rules Adopted Pursuant to Section 202 of the Telecommunications Act of 1996</w:t>
      </w:r>
      <w:r w:rsidR="00726F9F">
        <w:t xml:space="preserve">, </w:t>
      </w:r>
      <w:r w:rsidR="009D1DAE">
        <w:t xml:space="preserve">Second </w:t>
      </w:r>
      <w:r w:rsidR="00726F9F">
        <w:t xml:space="preserve">Report and Order, </w:t>
      </w:r>
      <w:r w:rsidR="009D1DAE">
        <w:t>31</w:t>
      </w:r>
      <w:r w:rsidR="00726F9F">
        <w:t xml:space="preserve"> </w:t>
      </w:r>
      <w:r w:rsidRPr="006C5ED3" w:rsidR="00726F9F">
        <w:t xml:space="preserve">FCC </w:t>
      </w:r>
      <w:r w:rsidR="00726F9F">
        <w:t xml:space="preserve">Rcd </w:t>
      </w:r>
      <w:r w:rsidR="009D1DAE">
        <w:t>9864, 9882-83, para. 47</w:t>
      </w:r>
      <w:r w:rsidR="00726F9F">
        <w:t xml:space="preserve"> (20</w:t>
      </w:r>
      <w:r w:rsidR="009D1DAE">
        <w:t>16</w:t>
      </w:r>
      <w:r w:rsidR="00726F9F">
        <w:t xml:space="preserve">).  </w:t>
      </w:r>
      <w:r w:rsidRPr="00D5272E" w:rsidR="00D5272E">
        <w:t xml:space="preserve">We direct the Media Bureau to seek additional comment if the </w:t>
      </w:r>
      <w:r w:rsidR="00D5272E">
        <w:t>vacatur</w:t>
      </w:r>
      <w:r w:rsidR="00A17547">
        <w:t xml:space="preserve"> of the Top-Four Prohibition</w:t>
      </w:r>
      <w:r w:rsidRPr="00D5272E" w:rsidR="00D5272E">
        <w:t xml:space="preserve"> is </w:t>
      </w:r>
      <w:r w:rsidR="00D5272E">
        <w:t xml:space="preserve">subsequently overturned or amended.  </w:t>
      </w:r>
      <w:r>
        <w:t>Accordingly, we do not seek comment on the Top-Four Prohibition or any of its</w:t>
      </w:r>
      <w:r w:rsidR="00726F9F">
        <w:t xml:space="preserve"> related</w:t>
      </w:r>
      <w:r>
        <w:t xml:space="preserve"> components</w:t>
      </w:r>
      <w:r w:rsidR="004F69C4">
        <w:t xml:space="preserve"> in this N</w:t>
      </w:r>
      <w:r w:rsidR="00D5272E">
        <w:t>PRM</w:t>
      </w:r>
      <w:r>
        <w:t>.</w:t>
      </w:r>
      <w:bookmarkEnd w:id="128"/>
      <w:r>
        <w:t xml:space="preserve">    </w:t>
      </w:r>
    </w:p>
  </w:footnote>
  <w:footnote w:id="68">
    <w:p w:rsidR="009507E3" w:rsidP="00BA2DC2" w14:paraId="691ED9E0" w14:textId="77777777">
      <w:pPr>
        <w:pStyle w:val="FootnoteText"/>
      </w:pPr>
      <w:r>
        <w:rPr>
          <w:rStyle w:val="FootnoteReference"/>
        </w:rPr>
        <w:footnoteRef/>
      </w:r>
      <w:r>
        <w:t xml:space="preserve"> Some commenters attached their submissions filed in the previous quadrennial review docket.  </w:t>
      </w:r>
      <w:r w:rsidRPr="00073F3C">
        <w:rPr>
          <w:i/>
          <w:iCs/>
        </w:rPr>
        <w:t>See, e.g.</w:t>
      </w:r>
      <w:r>
        <w:t>,</w:t>
      </w:r>
      <w:r w:rsidRPr="00DE55D5">
        <w:t xml:space="preserve"> </w:t>
      </w:r>
      <w:r>
        <w:t xml:space="preserve">American Television Alliance (ATVA) Comments, Exhibit B; NAB Comments, Attachment I; Gray Reply, Attachment A. </w:t>
      </w:r>
    </w:p>
  </w:footnote>
  <w:footnote w:id="69">
    <w:p w:rsidR="009F194C" w:rsidP="00BA2DC2" w14:paraId="5F99521F" w14:textId="77777777">
      <w:pPr>
        <w:pStyle w:val="FootnoteText"/>
      </w:pPr>
      <w:r>
        <w:rPr>
          <w:rStyle w:val="FootnoteReference"/>
        </w:rPr>
        <w:footnoteRef/>
      </w:r>
      <w:r>
        <w:t xml:space="preserve"> Heritage Comments at 9-11; </w:t>
      </w:r>
      <w:r w:rsidRPr="00217A74">
        <w:t>NAB</w:t>
      </w:r>
      <w:r>
        <w:t xml:space="preserve"> Comments at 10-13; </w:t>
      </w:r>
      <w:r w:rsidRPr="00217A74">
        <w:t>Nexstar</w:t>
      </w:r>
      <w:r>
        <w:t xml:space="preserve"> Comments at 4-7, 10-14, 19-24; Network </w:t>
      </w:r>
      <w:r w:rsidRPr="00C46DAF">
        <w:t>Affiliates</w:t>
      </w:r>
      <w:r>
        <w:t xml:space="preserve"> Reply at 4-5, 8-13.</w:t>
      </w:r>
    </w:p>
  </w:footnote>
  <w:footnote w:id="70">
    <w:p w:rsidR="009F194C" w:rsidRPr="0050291D" w:rsidP="00BA2DC2" w14:paraId="17F05C36" w14:textId="77777777">
      <w:pPr>
        <w:pStyle w:val="FootnoteText"/>
        <w:rPr>
          <w:b/>
          <w:bCs/>
        </w:rPr>
      </w:pPr>
      <w:r>
        <w:rPr>
          <w:rStyle w:val="FootnoteReference"/>
        </w:rPr>
        <w:footnoteRef/>
      </w:r>
      <w:r>
        <w:t xml:space="preserve"> For instance, streaming services such as Local Now, </w:t>
      </w:r>
      <w:r>
        <w:t>NewsOn</w:t>
      </w:r>
      <w:r>
        <w:t xml:space="preserve">, </w:t>
      </w:r>
      <w:r>
        <w:t>PlutoTV</w:t>
      </w:r>
      <w:r>
        <w:t xml:space="preserve">, and Tubi make available local content that consists of live or time-shifted newscasts from broadcast television stations in certain DMAs. </w:t>
      </w:r>
      <w:r w:rsidRPr="000571A6">
        <w:t xml:space="preserve"> </w:t>
      </w:r>
      <w:r w:rsidRPr="00D62DC8" w:rsidR="002F7271">
        <w:rPr>
          <w:i/>
        </w:rPr>
        <w:t>202</w:t>
      </w:r>
      <w:r w:rsidR="002F7271">
        <w:rPr>
          <w:i/>
        </w:rPr>
        <w:t>4</w:t>
      </w:r>
      <w:r w:rsidRPr="00D62DC8" w:rsidR="002F7271">
        <w:rPr>
          <w:i/>
        </w:rPr>
        <w:t xml:space="preserve"> Communications Marketplace Report</w:t>
      </w:r>
      <w:r w:rsidR="002F7271">
        <w:rPr>
          <w:color w:val="010101"/>
          <w:szCs w:val="22"/>
        </w:rPr>
        <w:t xml:space="preserve">, </w:t>
      </w:r>
      <w:r w:rsidR="00015EE1">
        <w:rPr>
          <w:color w:val="010101"/>
          <w:szCs w:val="22"/>
        </w:rPr>
        <w:t xml:space="preserve">Communications Marketplace Report, </w:t>
      </w:r>
      <w:r w:rsidRPr="00015EE1" w:rsidR="00015EE1">
        <w:rPr>
          <w:color w:val="010101"/>
          <w:szCs w:val="22"/>
        </w:rPr>
        <w:t>39 FCC Rcd 14116</w:t>
      </w:r>
      <w:r w:rsidR="002F7271">
        <w:t xml:space="preserve">, </w:t>
      </w:r>
      <w:r w:rsidR="00015EE1">
        <w:t xml:space="preserve">14281, </w:t>
      </w:r>
      <w:r w:rsidR="002F7271">
        <w:t>para. 255</w:t>
      </w:r>
      <w:r w:rsidR="00015EE1">
        <w:t xml:space="preserve"> (2024) (</w:t>
      </w:r>
      <w:r w:rsidRPr="00D62DC8" w:rsidR="00015EE1">
        <w:rPr>
          <w:i/>
        </w:rPr>
        <w:t>202</w:t>
      </w:r>
      <w:r w:rsidR="00015EE1">
        <w:rPr>
          <w:i/>
        </w:rPr>
        <w:t>4</w:t>
      </w:r>
      <w:r w:rsidRPr="00D62DC8" w:rsidR="00015EE1">
        <w:rPr>
          <w:i/>
        </w:rPr>
        <w:t xml:space="preserve"> Communications Marketplace Report</w:t>
      </w:r>
      <w:r w:rsidR="00015EE1">
        <w:t>)</w:t>
      </w:r>
      <w:r w:rsidR="002F7271">
        <w:t>.</w:t>
      </w:r>
    </w:p>
  </w:footnote>
  <w:footnote w:id="71">
    <w:p w:rsidR="00367BBF" w:rsidP="00BA2DC2" w14:paraId="7B0E3B23" w14:textId="77777777">
      <w:pPr>
        <w:pStyle w:val="FootnoteText"/>
      </w:pPr>
      <w:r>
        <w:rPr>
          <w:rStyle w:val="FootnoteReference"/>
        </w:rPr>
        <w:footnoteRef/>
      </w:r>
      <w:r>
        <w:t xml:space="preserve"> MDP Comments at 12-13</w:t>
      </w:r>
      <w:r w:rsidR="00931DDD">
        <w:t xml:space="preserve"> (arguing that digital outlets providing local news and information remain scarce)</w:t>
      </w:r>
      <w:r>
        <w:t>.</w:t>
      </w:r>
    </w:p>
  </w:footnote>
  <w:footnote w:id="72">
    <w:p w:rsidR="009F194C" w:rsidP="00BA2DC2" w14:paraId="6BFF9E68" w14:textId="77777777">
      <w:pPr>
        <w:pStyle w:val="FootnoteText"/>
      </w:pPr>
      <w:r>
        <w:rPr>
          <w:rStyle w:val="FootnoteReference"/>
        </w:rPr>
        <w:footnoteRef/>
      </w:r>
      <w:r>
        <w:t xml:space="preserve"> Heritage Comments at 5-9; </w:t>
      </w:r>
      <w:r w:rsidRPr="00217A74">
        <w:rPr>
          <w:szCs w:val="22"/>
        </w:rPr>
        <w:t>NAB</w:t>
      </w:r>
      <w:r>
        <w:rPr>
          <w:szCs w:val="22"/>
        </w:rPr>
        <w:t xml:space="preserve"> Comments at 10, 12; </w:t>
      </w:r>
      <w:r w:rsidRPr="00217A74">
        <w:rPr>
          <w:szCs w:val="22"/>
        </w:rPr>
        <w:t>Nexstar</w:t>
      </w:r>
      <w:r>
        <w:rPr>
          <w:szCs w:val="22"/>
        </w:rPr>
        <w:t xml:space="preserve"> Comments at 4-7, 15-19; Network </w:t>
      </w:r>
      <w:r w:rsidRPr="00C46DAF">
        <w:rPr>
          <w:szCs w:val="22"/>
        </w:rPr>
        <w:t>Affiliates</w:t>
      </w:r>
      <w:r>
        <w:rPr>
          <w:szCs w:val="22"/>
        </w:rPr>
        <w:t xml:space="preserve"> Reply at 5-8.  </w:t>
      </w:r>
      <w:r>
        <w:t xml:space="preserve">We note that, in addition to advertising, television broadcasters have another source of revenue:  retransmission consent fees paid by cable and other multichannel video programming distributors to television licensees for the rights to retransmit their broadcast signals.  </w:t>
      </w:r>
      <w:r w:rsidRPr="006746A4">
        <w:rPr>
          <w:i/>
          <w:iCs/>
        </w:rPr>
        <w:t>See</w:t>
      </w:r>
      <w:r>
        <w:t xml:space="preserve"> </w:t>
      </w:r>
      <w:r w:rsidRPr="00653DEE">
        <w:rPr>
          <w:i/>
          <w:iCs/>
        </w:rPr>
        <w:t>2010/2014 Quadrennial Review Order on Reconsideration</w:t>
      </w:r>
      <w:r>
        <w:t xml:space="preserve">, 32 FCC Rcd at 9838, para. 82 (listing retransmission consent fees along with advertising as factors for evaluating stations’ revenue share data); </w:t>
      </w:r>
      <w:r w:rsidRPr="00D62DC8">
        <w:rPr>
          <w:i/>
        </w:rPr>
        <w:t>202</w:t>
      </w:r>
      <w:r>
        <w:rPr>
          <w:i/>
        </w:rPr>
        <w:t>4</w:t>
      </w:r>
      <w:r w:rsidRPr="00D62DC8">
        <w:rPr>
          <w:i/>
        </w:rPr>
        <w:t xml:space="preserve"> Communications Marketplace Report</w:t>
      </w:r>
      <w:r>
        <w:rPr>
          <w:color w:val="010101"/>
          <w:szCs w:val="22"/>
        </w:rPr>
        <w:t xml:space="preserve">, </w:t>
      </w:r>
      <w:r w:rsidRPr="00015EE1" w:rsidR="00015EE1">
        <w:rPr>
          <w:color w:val="010101"/>
          <w:szCs w:val="22"/>
        </w:rPr>
        <w:t>39 FCC Rcd</w:t>
      </w:r>
      <w:r w:rsidRPr="00693911">
        <w:t xml:space="preserve"> </w:t>
      </w:r>
      <w:r>
        <w:t>at 14</w:t>
      </w:r>
      <w:r w:rsidR="00015EE1">
        <w:t>255</w:t>
      </w:r>
      <w:r>
        <w:t>, para. 201 (“</w:t>
      </w:r>
      <w:r w:rsidRPr="004B78E5">
        <w:t>Advertising revenue accounts for approximately 50% of revenue earned by all stations, while retransmission consent revenue accounts for approximately 41%, and digital and online services account for the remaining 9%</w:t>
      </w:r>
      <w:r>
        <w:t>.”).  We note that t</w:t>
      </w:r>
      <w:r w:rsidRPr="00D2123F">
        <w:t>he Department of Justice examines local television broadcasters</w:t>
      </w:r>
      <w:r>
        <w:t>’</w:t>
      </w:r>
      <w:r w:rsidRPr="00D2123F">
        <w:t xml:space="preserve"> competi</w:t>
      </w:r>
      <w:r>
        <w:t>tion</w:t>
      </w:r>
      <w:r w:rsidRPr="00D2123F">
        <w:t xml:space="preserve"> in </w:t>
      </w:r>
      <w:r>
        <w:t xml:space="preserve">both </w:t>
      </w:r>
      <w:r w:rsidRPr="00D2123F">
        <w:t>spot advertising</w:t>
      </w:r>
      <w:r>
        <w:t xml:space="preserve"> and </w:t>
      </w:r>
      <w:r w:rsidRPr="00D2123F">
        <w:t xml:space="preserve">retransmission consent licensing fees </w:t>
      </w:r>
      <w:r>
        <w:t xml:space="preserve">as part of its competitive analysis.  </w:t>
      </w:r>
      <w:r w:rsidRPr="00D2123F">
        <w:rPr>
          <w:i/>
          <w:iCs/>
        </w:rPr>
        <w:t>See</w:t>
      </w:r>
      <w:r w:rsidRPr="00D2123F">
        <w:t xml:space="preserve">, </w:t>
      </w:r>
      <w:r w:rsidRPr="00D2123F">
        <w:rPr>
          <w:i/>
          <w:iCs/>
        </w:rPr>
        <w:t>e.g.</w:t>
      </w:r>
      <w:r w:rsidRPr="00D2123F">
        <w:t xml:space="preserve">, </w:t>
      </w:r>
      <w:r>
        <w:t xml:space="preserve">Complaint at paras. 15-46, </w:t>
      </w:r>
      <w:r w:rsidRPr="00D2123F">
        <w:rPr>
          <w:i/>
          <w:iCs/>
        </w:rPr>
        <w:t xml:space="preserve">United States v. </w:t>
      </w:r>
      <w:r>
        <w:rPr>
          <w:i/>
          <w:iCs/>
        </w:rPr>
        <w:t>Gray Television, Inc. and Quincy Media, Inc.</w:t>
      </w:r>
      <w:r>
        <w:t xml:space="preserve">, No. 1:21-cv-02041 (D.D.C. July 28, 2021) </w:t>
      </w:r>
      <w:r w:rsidRPr="004614EC">
        <w:t>(identif</w:t>
      </w:r>
      <w:r>
        <w:t>ying</w:t>
      </w:r>
      <w:r w:rsidRPr="004614EC">
        <w:t xml:space="preserve"> broadcast </w:t>
      </w:r>
      <w:r>
        <w:t>television</w:t>
      </w:r>
      <w:r w:rsidRPr="004614EC">
        <w:t xml:space="preserve"> </w:t>
      </w:r>
      <w:r>
        <w:t xml:space="preserve">as </w:t>
      </w:r>
      <w:r w:rsidRPr="004614EC">
        <w:t>uniquely compet</w:t>
      </w:r>
      <w:r>
        <w:t xml:space="preserve">ing for </w:t>
      </w:r>
      <w:r w:rsidRPr="004614EC">
        <w:t>retransmission consent</w:t>
      </w:r>
      <w:r>
        <w:t xml:space="preserve"> and broadcast spot advertising); C</w:t>
      </w:r>
      <w:r w:rsidRPr="00D2123F">
        <w:t xml:space="preserve">omplaint at paras. 14-22, </w:t>
      </w:r>
      <w:r w:rsidRPr="00D2123F">
        <w:rPr>
          <w:i/>
          <w:iCs/>
        </w:rPr>
        <w:t>United States v. Gannett Co., Inc., et al.</w:t>
      </w:r>
      <w:r w:rsidRPr="00D2123F">
        <w:t>, No. 1:13-cv-01984 (D.D.C. Dec. 16, 2013) (analy</w:t>
      </w:r>
      <w:r>
        <w:t>zing</w:t>
      </w:r>
      <w:r w:rsidRPr="00D2123F">
        <w:t xml:space="preserve"> broadcast television </w:t>
      </w:r>
      <w:r>
        <w:t xml:space="preserve">competition for </w:t>
      </w:r>
      <w:r w:rsidRPr="00D2123F">
        <w:t>spot advertising</w:t>
      </w:r>
      <w:r>
        <w:t xml:space="preserve"> and retransmission consent fees</w:t>
      </w:r>
      <w:r w:rsidRPr="00D2123F">
        <w:t xml:space="preserve"> in the St. Louis DMA)</w:t>
      </w:r>
      <w:r>
        <w:t>.</w:t>
      </w:r>
    </w:p>
  </w:footnote>
  <w:footnote w:id="73">
    <w:p w:rsidR="002F7271" w:rsidP="00BA2DC2" w14:paraId="486CDCD0" w14:textId="77777777">
      <w:pPr>
        <w:pStyle w:val="FootnoteText"/>
      </w:pPr>
      <w:r>
        <w:rPr>
          <w:rStyle w:val="FootnoteReference"/>
        </w:rPr>
        <w:footnoteRef/>
      </w:r>
      <w:r>
        <w:t xml:space="preserve"> </w:t>
      </w:r>
      <w:r w:rsidRPr="004E42D0">
        <w:t xml:space="preserve">Letter from </w:t>
      </w:r>
      <w:r>
        <w:t>Rick Kaplan</w:t>
      </w:r>
      <w:r w:rsidRPr="004E42D0">
        <w:t xml:space="preserve">, </w:t>
      </w:r>
      <w:r w:rsidRPr="005D2725">
        <w:t>Chief Legal Officer and Executive Vice President</w:t>
      </w:r>
      <w:r>
        <w:t>, NAB</w:t>
      </w:r>
      <w:r w:rsidRPr="004E42D0">
        <w:t xml:space="preserve">, to Marlene H. Dortch, Secretary, FCC, </w:t>
      </w:r>
      <w:r>
        <w:t>MB</w:t>
      </w:r>
      <w:r w:rsidRPr="004E42D0">
        <w:t xml:space="preserve"> Docket No</w:t>
      </w:r>
      <w:r>
        <w:t>s</w:t>
      </w:r>
      <w:r w:rsidRPr="004E42D0">
        <w:t xml:space="preserve">. </w:t>
      </w:r>
      <w:r>
        <w:t>22-459 and 17</w:t>
      </w:r>
      <w:r w:rsidRPr="004E42D0">
        <w:t>-</w:t>
      </w:r>
      <w:r>
        <w:t>318, at 1 (filed June 5, 2025).</w:t>
      </w:r>
    </w:p>
  </w:footnote>
  <w:footnote w:id="74">
    <w:p w:rsidR="006C6742" w:rsidP="00BA2DC2" w14:paraId="3540D658" w14:textId="7EDD5898">
      <w:pPr>
        <w:pStyle w:val="FootnoteText"/>
      </w:pPr>
      <w:r>
        <w:rPr>
          <w:rStyle w:val="FootnoteReference"/>
        </w:rPr>
        <w:footnoteRef/>
      </w:r>
      <w:r>
        <w:t xml:space="preserve"> </w:t>
      </w:r>
      <w:r w:rsidR="00B05D0B">
        <w:t xml:space="preserve">NAB Comments at 10-12; </w:t>
      </w:r>
      <w:r w:rsidR="00CD6FAA">
        <w:t>Nexstar Comments at 15-19.</w:t>
      </w:r>
    </w:p>
  </w:footnote>
  <w:footnote w:id="75">
    <w:p w:rsidR="00925475" w:rsidP="00BA2DC2" w14:paraId="135FFA19" w14:textId="77777777">
      <w:pPr>
        <w:pStyle w:val="FootnoteText"/>
      </w:pPr>
      <w:r>
        <w:rPr>
          <w:rStyle w:val="FootnoteReference"/>
        </w:rPr>
        <w:footnoteRef/>
      </w:r>
      <w:r>
        <w:t xml:space="preserve"> </w:t>
      </w:r>
      <w:r w:rsidR="00226E70">
        <w:t>Nexstar Comments at 7-</w:t>
      </w:r>
      <w:r w:rsidR="002920BA">
        <w:t>9</w:t>
      </w:r>
      <w:r w:rsidR="00226E70">
        <w:t>.</w:t>
      </w:r>
    </w:p>
  </w:footnote>
  <w:footnote w:id="76">
    <w:p w:rsidR="00F9024A" w:rsidP="00BA2DC2" w14:paraId="640A3F16" w14:textId="77777777">
      <w:pPr>
        <w:pStyle w:val="FootnoteText"/>
      </w:pPr>
      <w:r>
        <w:rPr>
          <w:rStyle w:val="FootnoteReference"/>
        </w:rPr>
        <w:footnoteRef/>
      </w:r>
      <w:r>
        <w:t xml:space="preserve"> Nexstar Comments at 2-10</w:t>
      </w:r>
      <w:r w:rsidR="002F7271">
        <w:t xml:space="preserve">; </w:t>
      </w:r>
      <w:r w:rsidRPr="005B1359" w:rsidR="002F7271">
        <w:rPr>
          <w:i/>
          <w:iCs/>
        </w:rPr>
        <w:t>see also</w:t>
      </w:r>
      <w:r w:rsidR="002F7271">
        <w:t xml:space="preserve"> Letter from Amy Hinojosa, President and CEO, MANA – A National Latina Organization, et al. </w:t>
      </w:r>
      <w:r w:rsidRPr="004E42D0" w:rsidR="002F7271">
        <w:t xml:space="preserve">to </w:t>
      </w:r>
      <w:r w:rsidR="002F7271">
        <w:t>Brendan Carr</w:t>
      </w:r>
      <w:r w:rsidRPr="004E42D0" w:rsidR="002F7271">
        <w:t xml:space="preserve">, </w:t>
      </w:r>
      <w:r w:rsidR="002F7271">
        <w:t>Chairman</w:t>
      </w:r>
      <w:r w:rsidRPr="004E42D0" w:rsidR="002F7271">
        <w:t xml:space="preserve">, FCC, </w:t>
      </w:r>
      <w:r w:rsidR="002F7271">
        <w:t>et al.</w:t>
      </w:r>
      <w:r w:rsidRPr="004E42D0" w:rsidR="002F7271">
        <w:t xml:space="preserve">, FCC, </w:t>
      </w:r>
      <w:r w:rsidR="002F7271">
        <w:t>MB</w:t>
      </w:r>
      <w:r w:rsidRPr="004E42D0" w:rsidR="002F7271">
        <w:t xml:space="preserve"> Docket No. </w:t>
      </w:r>
      <w:r w:rsidR="002F7271">
        <w:t>22</w:t>
      </w:r>
      <w:r w:rsidRPr="004E42D0" w:rsidR="002F7271">
        <w:t>-</w:t>
      </w:r>
      <w:r w:rsidR="002F7271">
        <w:t>459, at 1-2 (filed Apr. 28, 2025)</w:t>
      </w:r>
      <w:r>
        <w:t xml:space="preserve">.  </w:t>
      </w:r>
    </w:p>
  </w:footnote>
  <w:footnote w:id="77">
    <w:p w:rsidR="00F9024A" w:rsidP="00BA2DC2" w14:paraId="78231D0F" w14:textId="77777777">
      <w:pPr>
        <w:pStyle w:val="FootnoteText"/>
      </w:pPr>
      <w:r>
        <w:rPr>
          <w:rStyle w:val="FootnoteReference"/>
        </w:rPr>
        <w:footnoteRef/>
      </w:r>
      <w:r>
        <w:t xml:space="preserve"> </w:t>
      </w:r>
      <w:r w:rsidR="00D601E3">
        <w:t>Leadership Conference on Civil and Human Rights (LCCHR)</w:t>
      </w:r>
      <w:r>
        <w:t xml:space="preserve"> Reply at 3; MDP Comments at 2-4; </w:t>
      </w:r>
      <w:r w:rsidRPr="001D04F0">
        <w:rPr>
          <w:i/>
          <w:iCs/>
        </w:rPr>
        <w:t>see</w:t>
      </w:r>
      <w:r>
        <w:t xml:space="preserve"> Media Action Center (MAC) Reply at 2.</w:t>
      </w:r>
    </w:p>
  </w:footnote>
  <w:footnote w:id="78">
    <w:p w:rsidR="002F7271" w:rsidP="00BA2DC2" w14:paraId="761EC221" w14:textId="77777777">
      <w:pPr>
        <w:pStyle w:val="FootnoteText"/>
      </w:pPr>
      <w:r>
        <w:rPr>
          <w:rStyle w:val="FootnoteReference"/>
        </w:rPr>
        <w:footnoteRef/>
      </w:r>
      <w:r>
        <w:t xml:space="preserve"> </w:t>
      </w:r>
      <w:r w:rsidRPr="004E42D0">
        <w:t xml:space="preserve">Letter from </w:t>
      </w:r>
      <w:r>
        <w:t>Timothy Nelson</w:t>
      </w:r>
      <w:r w:rsidRPr="004E42D0">
        <w:t xml:space="preserve">, </w:t>
      </w:r>
      <w:r>
        <w:t>Brooks Pierce, LLP</w:t>
      </w:r>
      <w:r w:rsidRPr="004E42D0">
        <w:t xml:space="preserve">, to Marlene H. Dortch, Secretary, FCC, </w:t>
      </w:r>
      <w:r>
        <w:t>MB</w:t>
      </w:r>
      <w:r w:rsidRPr="004E42D0">
        <w:t xml:space="preserve"> Docket No</w:t>
      </w:r>
      <w:r>
        <w:t>s</w:t>
      </w:r>
      <w:r w:rsidRPr="004E42D0">
        <w:t xml:space="preserve">. </w:t>
      </w:r>
      <w:r>
        <w:t>22-459 and 17</w:t>
      </w:r>
      <w:r w:rsidRPr="004E42D0">
        <w:t>-</w:t>
      </w:r>
      <w:r>
        <w:t>318, at 1 (filed Apr. 28, 2025).</w:t>
      </w:r>
    </w:p>
  </w:footnote>
  <w:footnote w:id="79">
    <w:p w:rsidR="00F9024A" w:rsidRPr="004E5EA7" w:rsidP="00BA2DC2" w14:paraId="150A6B98" w14:textId="77777777">
      <w:pPr>
        <w:pStyle w:val="FootnoteText"/>
      </w:pPr>
      <w:r>
        <w:rPr>
          <w:rStyle w:val="FootnoteReference"/>
        </w:rPr>
        <w:footnoteRef/>
      </w:r>
      <w:r>
        <w:t xml:space="preserve"> </w:t>
      </w:r>
      <w:r w:rsidRPr="00873223">
        <w:rPr>
          <w:i/>
          <w:iCs/>
        </w:rPr>
        <w:t>See</w:t>
      </w:r>
      <w:r>
        <w:t xml:space="preserve"> Heritage Comments at 11-12; MDP Comments at 8; </w:t>
      </w:r>
      <w:r w:rsidRPr="004E5EA7" w:rsidR="004E5EA7">
        <w:t>Christopher Terry</w:t>
      </w:r>
      <w:r w:rsidR="004E5EA7">
        <w:t>,</w:t>
      </w:r>
      <w:r w:rsidRPr="004E5EA7" w:rsidR="004E5EA7">
        <w:t xml:space="preserve"> Caitlin Ring Carlson</w:t>
      </w:r>
      <w:r w:rsidR="004E5EA7">
        <w:t xml:space="preserve">, </w:t>
      </w:r>
      <w:r w:rsidRPr="004E5EA7" w:rsidR="004E5EA7">
        <w:t>and J. Israel Balderas</w:t>
      </w:r>
      <w:r>
        <w:t xml:space="preserve"> Reply at 2-4.</w:t>
      </w:r>
    </w:p>
  </w:footnote>
  <w:footnote w:id="80">
    <w:p w:rsidR="00F541A7" w:rsidP="00BA2DC2" w14:paraId="4BCE6695" w14:textId="77777777">
      <w:pPr>
        <w:pStyle w:val="FootnoteText"/>
      </w:pPr>
      <w:r>
        <w:rPr>
          <w:rStyle w:val="FootnoteReference"/>
        </w:rPr>
        <w:footnoteRef/>
      </w:r>
      <w:r>
        <w:t xml:space="preserve"> Heritage Comments at 11-12; Nexstar Comments at 2-7; </w:t>
      </w:r>
      <w:r w:rsidR="003E68E1">
        <w:rPr>
          <w:i/>
          <w:iCs/>
        </w:rPr>
        <w:t>s</w:t>
      </w:r>
      <w:r w:rsidRPr="003E68E1" w:rsidR="003E68E1">
        <w:rPr>
          <w:i/>
          <w:iCs/>
        </w:rPr>
        <w:t>ee</w:t>
      </w:r>
      <w:r w:rsidR="003E68E1">
        <w:t xml:space="preserve"> </w:t>
      </w:r>
      <w:r>
        <w:t xml:space="preserve">Gray Reply at </w:t>
      </w:r>
      <w:r w:rsidR="003E68E1">
        <w:t>3</w:t>
      </w:r>
      <w:r>
        <w:t>-4.</w:t>
      </w:r>
      <w:r w:rsidR="00A7442C">
        <w:t xml:space="preserve">  </w:t>
      </w:r>
      <w:r w:rsidRPr="00A7442C" w:rsidR="00A7442C">
        <w:rPr>
          <w:i/>
          <w:iCs/>
        </w:rPr>
        <w:t>See also</w:t>
      </w:r>
      <w:r w:rsidR="00A7442C">
        <w:t xml:space="preserve"> </w:t>
      </w:r>
      <w:r w:rsidRPr="00A7442C" w:rsidR="00A7442C">
        <w:t xml:space="preserve">Letter from </w:t>
      </w:r>
      <w:r w:rsidR="0081183C">
        <w:t>C</w:t>
      </w:r>
      <w:r w:rsidR="00A7442C">
        <w:t>olten Gerken</w:t>
      </w:r>
      <w:r w:rsidRPr="00A7442C" w:rsidR="00A7442C">
        <w:t xml:space="preserve">, to FCC, </w:t>
      </w:r>
      <w:r w:rsidR="00A7442C">
        <w:t>MB</w:t>
      </w:r>
      <w:r w:rsidRPr="00A7442C" w:rsidR="00A7442C">
        <w:t xml:space="preserve"> Docket No. </w:t>
      </w:r>
      <w:r w:rsidR="00A7442C">
        <w:t>22</w:t>
      </w:r>
      <w:r w:rsidRPr="00A7442C" w:rsidR="00A7442C">
        <w:t>-</w:t>
      </w:r>
      <w:r w:rsidR="00A7442C">
        <w:t>459</w:t>
      </w:r>
      <w:r w:rsidRPr="00A7442C" w:rsidR="00A7442C">
        <w:t xml:space="preserve">, at </w:t>
      </w:r>
      <w:r w:rsidR="00A7442C">
        <w:t>1</w:t>
      </w:r>
      <w:r w:rsidRPr="00A7442C" w:rsidR="00A7442C">
        <w:t xml:space="preserve"> (filed </w:t>
      </w:r>
      <w:r w:rsidR="00A7442C">
        <w:t>Jan. 16</w:t>
      </w:r>
      <w:r w:rsidRPr="00A7442C" w:rsidR="00A7442C">
        <w:t>, 20</w:t>
      </w:r>
      <w:r w:rsidR="00A7442C">
        <w:t>24)</w:t>
      </w:r>
      <w:r w:rsidRPr="00A7442C" w:rsidR="00A7442C">
        <w:t xml:space="preserve"> (</w:t>
      </w:r>
      <w:r w:rsidR="00A7442C">
        <w:t>Gerken</w:t>
      </w:r>
      <w:r w:rsidRPr="00A7442C" w:rsidR="00A7442C">
        <w:t xml:space="preserve"> </w:t>
      </w:r>
      <w:r w:rsidRPr="00A7442C" w:rsidR="00A7442C">
        <w:rPr>
          <w:i/>
          <w:iCs/>
        </w:rPr>
        <w:t xml:space="preserve">Ex </w:t>
      </w:r>
      <w:r w:rsidRPr="00A7442C" w:rsidR="00A7442C">
        <w:rPr>
          <w:i/>
          <w:iCs/>
        </w:rPr>
        <w:t>Parte</w:t>
      </w:r>
      <w:r w:rsidRPr="00A7442C" w:rsidR="00A7442C">
        <w:t>).</w:t>
      </w:r>
    </w:p>
  </w:footnote>
  <w:footnote w:id="81">
    <w:p w:rsidR="007B62C8" w:rsidP="00BA2DC2" w14:paraId="48423D17" w14:textId="77777777">
      <w:pPr>
        <w:pStyle w:val="FootnoteText"/>
      </w:pPr>
      <w:r>
        <w:rPr>
          <w:rStyle w:val="FootnoteReference"/>
        </w:rPr>
        <w:footnoteRef/>
      </w:r>
      <w:r>
        <w:t xml:space="preserve"> Rick Ducey, </w:t>
      </w:r>
      <w:r w:rsidRPr="00A544C9">
        <w:rPr>
          <w:i/>
        </w:rPr>
        <w:t>What’s the Future of Retransmission Fees for Local TV Stations?</w:t>
      </w:r>
      <w:r>
        <w:t xml:space="preserve"> (July 30, 2024), </w:t>
      </w:r>
      <w:r w:rsidRPr="007C1CE5">
        <w:t>https://www.bia.com/blog/whats-the-future-of-retransmission-fees-for-local-tv-stations/</w:t>
      </w:r>
      <w:r>
        <w:t>.</w:t>
      </w:r>
    </w:p>
  </w:footnote>
  <w:footnote w:id="82">
    <w:p w:rsidR="00F13899" w:rsidP="00BA2DC2" w14:paraId="302E88D4" w14:textId="77777777">
      <w:pPr>
        <w:pStyle w:val="FootnoteText"/>
      </w:pPr>
      <w:r>
        <w:rPr>
          <w:rStyle w:val="FootnoteReference"/>
        </w:rPr>
        <w:footnoteRef/>
      </w:r>
      <w:r>
        <w:t xml:space="preserve"> 47 CFR § 73.658(g) (emphasis in original).  Section 73.3613(a)(1), in turn, defines “network” as “any person, entity, or corporation which offers an interconnected program service on a regular basis for 15 or more hours per week to at least 25 affiliated television licensees in 10 or more states; and/or any person, entity, or corporation controlling, controlled by, or under common control with such person, entity, or corporation.”  47 CFR § 73.3613(a)(1).</w:t>
      </w:r>
    </w:p>
  </w:footnote>
  <w:footnote w:id="83">
    <w:p w:rsidR="00F13899" w:rsidP="00BA2DC2" w14:paraId="0443EEF5" w14:textId="77777777">
      <w:pPr>
        <w:pStyle w:val="FootnoteText"/>
      </w:pPr>
      <w:r>
        <w:rPr>
          <w:rStyle w:val="FootnoteReference"/>
        </w:rPr>
        <w:footnoteRef/>
      </w:r>
      <w:r>
        <w:t xml:space="preserve"> Although the 1996 Act generally permitted common ownership of two or more broadcast networks, it did not permit a merger between or among any of the Big Four broadcast networks (ABC, CBS, FOX or NBC), or between any of those networks and any of the two largest then-emerging networks, UPN or WB.  1996 Act</w:t>
      </w:r>
      <w:r w:rsidRPr="00266606">
        <w:t>, §</w:t>
      </w:r>
      <w:r>
        <w:t xml:space="preserve"> </w:t>
      </w:r>
      <w:r w:rsidRPr="00266606">
        <w:t>202(e)</w:t>
      </w:r>
      <w:r>
        <w:t xml:space="preserve">; </w:t>
      </w:r>
      <w:r w:rsidRPr="0072567C">
        <w:rPr>
          <w:i/>
        </w:rPr>
        <w:t>see also</w:t>
      </w:r>
      <w:r>
        <w:t xml:space="preserve"> </w:t>
      </w:r>
      <w:r w:rsidRPr="00266606">
        <w:t xml:space="preserve">S. Rep. No. 230, 104th Cong., 2d Sess. </w:t>
      </w:r>
      <w:r>
        <w:t>a</w:t>
      </w:r>
      <w:r w:rsidRPr="00266606">
        <w:t>t 163</w:t>
      </w:r>
      <w:r>
        <w:t>;</w:t>
      </w:r>
      <w:r w:rsidRPr="00A17856">
        <w:rPr>
          <w:i/>
        </w:rPr>
        <w:t xml:space="preserve"> </w:t>
      </w:r>
      <w:r w:rsidRPr="00D47165">
        <w:rPr>
          <w:i/>
        </w:rPr>
        <w:t>2002</w:t>
      </w:r>
      <w:r>
        <w:t xml:space="preserve"> </w:t>
      </w:r>
      <w:r w:rsidRPr="002D5217">
        <w:rPr>
          <w:i/>
        </w:rPr>
        <w:t>Biennial Review Order</w:t>
      </w:r>
      <w:r>
        <w:t>, 18 FCC Rcd at 13848, para. 594 n.1240</w:t>
      </w:r>
      <w:r w:rsidRPr="00BF1B96">
        <w:t xml:space="preserve">.  In 2001, after concluding in its 1998 Biennial Review that the rule as applied to UPN and WB might no longer be in the public interest, </w:t>
      </w:r>
      <w:r w:rsidRPr="00BF1B96">
        <w:rPr>
          <w:i/>
        </w:rPr>
        <w:t xml:space="preserve">see 1998 Biennial Regulatory Review of the Commission’s Broadcast Ownership Rules and Other Rules Adopted Pursuant to Section 202 Of the Telecommunications Act of 1996, </w:t>
      </w:r>
      <w:r w:rsidRPr="00BF1B96">
        <w:t xml:space="preserve">Order, 15 FCC Rcd 11058, 11098, para. 77 (2000), the Commission further modified the Dual Network Rule to permit a Big Four network to merge with or acquire UPN or WB.  </w:t>
      </w:r>
      <w:r w:rsidRPr="00BF1B96">
        <w:rPr>
          <w:i/>
        </w:rPr>
        <w:t>Amendment of Section 73.658(g) of the Commission’s Rules</w:t>
      </w:r>
      <w:r w:rsidRPr="00BF1B96">
        <w:t>—</w:t>
      </w:r>
      <w:r w:rsidRPr="00BF1B96">
        <w:rPr>
          <w:i/>
        </w:rPr>
        <w:t>The Dual Network Rule</w:t>
      </w:r>
      <w:r w:rsidRPr="00BF1B96">
        <w:t>, Report and Order, 16 FCC Rcd 11114</w:t>
      </w:r>
      <w:r>
        <w:t>, 11114, para. 1</w:t>
      </w:r>
      <w:r w:rsidRPr="00BF1B96">
        <w:t xml:space="preserve"> (2001); </w:t>
      </w:r>
      <w:r w:rsidRPr="00BF1B96">
        <w:rPr>
          <w:i/>
        </w:rPr>
        <w:t>see also</w:t>
      </w:r>
      <w:r w:rsidRPr="00BF1B96">
        <w:t xml:space="preserve"> </w:t>
      </w:r>
      <w:r w:rsidRPr="00BF1B96">
        <w:rPr>
          <w:i/>
        </w:rPr>
        <w:t>2002</w:t>
      </w:r>
      <w:r w:rsidRPr="00BF1B96">
        <w:t xml:space="preserve"> </w:t>
      </w:r>
      <w:r w:rsidRPr="00BF1B96">
        <w:rPr>
          <w:i/>
        </w:rPr>
        <w:t>Biennial Review Order</w:t>
      </w:r>
      <w:r w:rsidRPr="00BF1B96">
        <w:t>, 18 FCC Rcd at 13848, para. 594.</w:t>
      </w:r>
    </w:p>
  </w:footnote>
  <w:footnote w:id="84">
    <w:p w:rsidR="00F13899" w:rsidP="00BA2DC2" w14:paraId="3D32DA7C" w14:textId="77777777">
      <w:pPr>
        <w:pStyle w:val="FootnoteText"/>
      </w:pPr>
      <w:r>
        <w:rPr>
          <w:rStyle w:val="FootnoteReference"/>
        </w:rPr>
        <w:footnoteRef/>
      </w:r>
      <w:r>
        <w:t xml:space="preserve"> </w:t>
      </w:r>
      <w:r>
        <w:rPr>
          <w:i/>
        </w:rPr>
        <w:t>2018 Quadrennial Review Order</w:t>
      </w:r>
      <w:r>
        <w:rPr>
          <w:iCs/>
        </w:rPr>
        <w:t>, 38 FCC Rcd</w:t>
      </w:r>
      <w:r>
        <w:t xml:space="preserve"> at 12846, para. 119.  </w:t>
      </w:r>
      <w:r w:rsidRPr="00AF10FD">
        <w:rPr>
          <w:rFonts w:eastAsia="Calibri"/>
        </w:rPr>
        <w:t xml:space="preserve"> </w:t>
      </w:r>
    </w:p>
  </w:footnote>
  <w:footnote w:id="85">
    <w:p w:rsidR="00F13899" w:rsidP="00BA2DC2" w14:paraId="62F4AAB3" w14:textId="6A8E22F3">
      <w:pPr>
        <w:pStyle w:val="FootnoteText"/>
      </w:pPr>
      <w:r>
        <w:rPr>
          <w:rStyle w:val="FootnoteReference"/>
        </w:rPr>
        <w:footnoteRef/>
      </w:r>
      <w:r>
        <w:t xml:space="preserve"> </w:t>
      </w:r>
      <w:r w:rsidRPr="00F30C4D">
        <w:rPr>
          <w:i/>
          <w:iCs/>
        </w:rPr>
        <w:t>See</w:t>
      </w:r>
      <w:r>
        <w:t xml:space="preserve"> </w:t>
      </w:r>
      <w:r w:rsidR="008418DE">
        <w:rPr>
          <w:i/>
        </w:rPr>
        <w:t>id.</w:t>
      </w:r>
      <w:r>
        <w:t xml:space="preserve"> at 12846, para. 120.</w:t>
      </w:r>
    </w:p>
  </w:footnote>
  <w:footnote w:id="86">
    <w:p w:rsidR="00F13899" w:rsidP="00BA2DC2" w14:paraId="5F458532" w14:textId="586B446E">
      <w:pPr>
        <w:pStyle w:val="FootnoteText"/>
      </w:pPr>
      <w:r>
        <w:rPr>
          <w:rStyle w:val="FootnoteReference"/>
        </w:rPr>
        <w:footnoteRef/>
      </w:r>
      <w:r>
        <w:t xml:space="preserve"> </w:t>
      </w:r>
      <w:r>
        <w:rPr>
          <w:i/>
        </w:rPr>
        <w:t>Id.</w:t>
      </w:r>
      <w:r>
        <w:t xml:space="preserve"> at 12844, para. 117.</w:t>
      </w:r>
    </w:p>
  </w:footnote>
  <w:footnote w:id="87">
    <w:p w:rsidR="00F13899" w:rsidP="00BA2DC2" w14:paraId="0913A5C9" w14:textId="77777777">
      <w:pPr>
        <w:pStyle w:val="FootnoteText"/>
      </w:pPr>
      <w:r>
        <w:rPr>
          <w:rStyle w:val="FootnoteReference"/>
        </w:rPr>
        <w:footnoteRef/>
      </w:r>
      <w:r>
        <w:t xml:space="preserve"> </w:t>
      </w:r>
      <w:r>
        <w:rPr>
          <w:i/>
        </w:rPr>
        <w:t>Id.</w:t>
      </w:r>
      <w:r>
        <w:t xml:space="preserve"> at 12844-45, paras. 118-19.</w:t>
      </w:r>
    </w:p>
  </w:footnote>
  <w:footnote w:id="88">
    <w:p w:rsidR="00F13899" w:rsidP="00BA2DC2" w14:paraId="51CBC298" w14:textId="77777777">
      <w:pPr>
        <w:pStyle w:val="FootnoteText"/>
      </w:pPr>
      <w:r>
        <w:rPr>
          <w:rStyle w:val="FootnoteReference"/>
        </w:rPr>
        <w:footnoteRef/>
      </w:r>
      <w:r>
        <w:t xml:space="preserve"> </w:t>
      </w:r>
      <w:r w:rsidRPr="00AB28A1">
        <w:rPr>
          <w:i/>
          <w:iCs/>
        </w:rPr>
        <w:t>Id.</w:t>
      </w:r>
      <w:r>
        <w:t xml:space="preserve"> at </w:t>
      </w:r>
      <w:r w:rsidRPr="00CB1FC2">
        <w:t>12846, para. 120.</w:t>
      </w:r>
    </w:p>
  </w:footnote>
  <w:footnote w:id="89">
    <w:p w:rsidR="00F13899" w:rsidP="00BA2DC2" w14:paraId="10F5325D" w14:textId="77777777">
      <w:pPr>
        <w:pStyle w:val="FootnoteText"/>
      </w:pPr>
      <w:r>
        <w:rPr>
          <w:rStyle w:val="FootnoteReference"/>
        </w:rPr>
        <w:footnoteRef/>
      </w:r>
      <w:r>
        <w:t xml:space="preserve"> </w:t>
      </w:r>
      <w:r w:rsidRPr="00AB28A1">
        <w:rPr>
          <w:i/>
          <w:iCs/>
        </w:rPr>
        <w:t>Id.</w:t>
      </w:r>
      <w:r>
        <w:t xml:space="preserve"> </w:t>
      </w:r>
    </w:p>
  </w:footnote>
  <w:footnote w:id="90">
    <w:p w:rsidR="00F74510" w:rsidP="00BA2DC2" w14:paraId="5351272F" w14:textId="77777777">
      <w:pPr>
        <w:pStyle w:val="FootnoteText"/>
      </w:pPr>
      <w:r>
        <w:rPr>
          <w:rStyle w:val="FootnoteReference"/>
        </w:rPr>
        <w:footnoteRef/>
      </w:r>
      <w:r>
        <w:t xml:space="preserve"> </w:t>
      </w:r>
      <w:r w:rsidRPr="00A5003F">
        <w:rPr>
          <w:i/>
          <w:iCs/>
        </w:rPr>
        <w:t>Id.</w:t>
      </w:r>
      <w:r>
        <w:t xml:space="preserve"> </w:t>
      </w:r>
      <w:r w:rsidRPr="006D30D0">
        <w:t>at 12846, para. 12</w:t>
      </w:r>
      <w:r>
        <w:t>1</w:t>
      </w:r>
      <w:r w:rsidRPr="006D30D0">
        <w:t>.</w:t>
      </w:r>
    </w:p>
  </w:footnote>
  <w:footnote w:id="91">
    <w:p w:rsidR="00F13899" w:rsidP="00BA2DC2" w14:paraId="2999D7E7" w14:textId="77777777">
      <w:pPr>
        <w:pStyle w:val="FootnoteText"/>
      </w:pPr>
      <w:r>
        <w:rPr>
          <w:rStyle w:val="FootnoteReference"/>
        </w:rPr>
        <w:footnoteRef/>
      </w:r>
      <w:r>
        <w:t xml:space="preserve"> Fox Corporation, NBCUniversal Media, and Paramount Global (Network Commenters) Comments at 3-12.</w:t>
      </w:r>
    </w:p>
  </w:footnote>
  <w:footnote w:id="92">
    <w:p w:rsidR="00F13899" w:rsidRPr="00C81653" w:rsidP="00BA2DC2" w14:paraId="269018F2" w14:textId="77777777">
      <w:pPr>
        <w:pStyle w:val="FootnoteText"/>
      </w:pPr>
      <w:r>
        <w:rPr>
          <w:rStyle w:val="FootnoteReference"/>
        </w:rPr>
        <w:footnoteRef/>
      </w:r>
      <w:r>
        <w:t xml:space="preserve"> </w:t>
      </w:r>
      <w:r>
        <w:rPr>
          <w:i/>
          <w:iCs/>
        </w:rPr>
        <w:t>See 2018 Quadrennial Review Order</w:t>
      </w:r>
      <w:r>
        <w:t>, 38 FCC Rcd at 12849-50, para. 127.</w:t>
      </w:r>
    </w:p>
  </w:footnote>
  <w:footnote w:id="93">
    <w:p w:rsidR="00F13899" w:rsidP="00BA2DC2" w14:paraId="2B2CE9F4" w14:textId="459BD5B9">
      <w:pPr>
        <w:pStyle w:val="FootnoteText"/>
      </w:pPr>
      <w:r>
        <w:rPr>
          <w:rStyle w:val="FootnoteReference"/>
        </w:rPr>
        <w:footnoteRef/>
      </w:r>
      <w:r>
        <w:t xml:space="preserve"> </w:t>
      </w:r>
      <w:r w:rsidRPr="00616CA1">
        <w:rPr>
          <w:i/>
          <w:iCs/>
        </w:rPr>
        <w:t>See</w:t>
      </w:r>
      <w:r>
        <w:rPr>
          <w:i/>
        </w:rPr>
        <w:t xml:space="preserve"> </w:t>
      </w:r>
      <w:r w:rsidR="00E76CE7">
        <w:rPr>
          <w:i/>
        </w:rPr>
        <w:t>id.</w:t>
      </w:r>
      <w:r>
        <w:t xml:space="preserve"> at 12846, para. 121 (“</w:t>
      </w:r>
      <w:r w:rsidRPr="00616CA1">
        <w:t>This conclusion is supported by data that show the Big Four broadcast networks are in a class of their own when it comes to producing national programming and selling national advertising time such that a merger among these networks would reduce competition and would be likely to increase these networks’ ability to create barriers to entry.</w:t>
      </w:r>
      <w:r>
        <w:t>”</w:t>
      </w:r>
      <w:r>
        <w:rPr>
          <w:i/>
          <w:iCs/>
        </w:rPr>
        <w:t>)</w:t>
      </w:r>
      <w:r>
        <w:t>.</w:t>
      </w:r>
    </w:p>
  </w:footnote>
  <w:footnote w:id="94">
    <w:p w:rsidR="00F13899" w:rsidP="00BA2DC2" w14:paraId="751812B3" w14:textId="77777777">
      <w:pPr>
        <w:pStyle w:val="FootnoteText"/>
      </w:pPr>
      <w:r>
        <w:rPr>
          <w:rStyle w:val="FootnoteReference"/>
        </w:rPr>
        <w:footnoteRef/>
      </w:r>
      <w:r>
        <w:t xml:space="preserve"> </w:t>
      </w:r>
      <w:r>
        <w:rPr>
          <w:i/>
          <w:iCs/>
        </w:rPr>
        <w:t xml:space="preserve">Id. </w:t>
      </w:r>
      <w:r>
        <w:t>at 12849-50, para. 127.</w:t>
      </w:r>
    </w:p>
  </w:footnote>
  <w:footnote w:id="95">
    <w:p w:rsidR="00F13899" w:rsidP="00BA2DC2" w14:paraId="37924DCC" w14:textId="77777777">
      <w:pPr>
        <w:pStyle w:val="FootnoteText"/>
      </w:pPr>
      <w:r>
        <w:rPr>
          <w:rStyle w:val="FootnoteReference"/>
        </w:rPr>
        <w:footnoteRef/>
      </w:r>
      <w:r>
        <w:t xml:space="preserve"> </w:t>
      </w:r>
      <w:r>
        <w:rPr>
          <w:i/>
          <w:iCs/>
        </w:rPr>
        <w:t xml:space="preserve">Id. </w:t>
      </w:r>
      <w:r>
        <w:t>at 12846, para. 120 (finding that “competition for revenue and audience share serves the public interest by spurring the networks to compete to develop and deliver programming that is innovative, high-quality, and of interest to the viewers”).</w:t>
      </w:r>
    </w:p>
  </w:footnote>
  <w:footnote w:id="96">
    <w:p w:rsidR="00F13899" w:rsidP="00BA2DC2" w14:paraId="02BF4CD3" w14:textId="77777777">
      <w:pPr>
        <w:pStyle w:val="FootnoteText"/>
      </w:pPr>
      <w:r>
        <w:rPr>
          <w:rStyle w:val="FootnoteReference"/>
        </w:rPr>
        <w:footnoteRef/>
      </w:r>
      <w:r>
        <w:t xml:space="preserve"> Network Commenters Comments at 7-10.</w:t>
      </w:r>
    </w:p>
  </w:footnote>
  <w:footnote w:id="97">
    <w:p w:rsidR="00F13899" w:rsidP="00BA2DC2" w14:paraId="7FF2F997" w14:textId="77777777">
      <w:pPr>
        <w:pStyle w:val="FootnoteText"/>
      </w:pPr>
      <w:r>
        <w:rPr>
          <w:rStyle w:val="FootnoteReference"/>
        </w:rPr>
        <w:footnoteRef/>
      </w:r>
      <w:r>
        <w:t xml:space="preserve"> </w:t>
      </w:r>
      <w:r w:rsidRPr="00D62DC8">
        <w:t>202</w:t>
      </w:r>
      <w:r>
        <w:t>4</w:t>
      </w:r>
      <w:r w:rsidRPr="00D62DC8">
        <w:t xml:space="preserve"> Communications Marketplace Report</w:t>
      </w:r>
      <w:r>
        <w:rPr>
          <w:color w:val="010101"/>
          <w:szCs w:val="22"/>
        </w:rPr>
        <w:t>, 39 FCC Rcd</w:t>
      </w:r>
      <w:r w:rsidRPr="00693911">
        <w:t xml:space="preserve"> </w:t>
      </w:r>
      <w:r>
        <w:t>at 14274, para. 242.</w:t>
      </w:r>
    </w:p>
  </w:footnote>
  <w:footnote w:id="98">
    <w:p w:rsidR="00F13899" w:rsidRPr="008B1E22" w:rsidP="00BA2DC2" w14:paraId="275E05E1" w14:textId="77777777">
      <w:pPr>
        <w:pStyle w:val="FootnoteText"/>
      </w:pPr>
      <w:r>
        <w:rPr>
          <w:rStyle w:val="FootnoteReference"/>
        </w:rPr>
        <w:footnoteRef/>
      </w:r>
      <w:r>
        <w:t xml:space="preserve"> </w:t>
      </w:r>
      <w:r>
        <w:rPr>
          <w:i/>
          <w:iCs/>
        </w:rPr>
        <w:t xml:space="preserve">See id. </w:t>
      </w:r>
      <w:r>
        <w:t>at 14265-68, 12474, paras. 224-27, 242</w:t>
      </w:r>
      <w:r w:rsidR="00A17547">
        <w:t>; Network Commenters Comments at 11-12 (describing the growth in national advertising revenue earned by online platforms).</w:t>
      </w:r>
      <w:r>
        <w:t>.</w:t>
      </w:r>
    </w:p>
  </w:footnote>
  <w:footnote w:id="99">
    <w:p w:rsidR="00F13899" w:rsidP="00BA2DC2" w14:paraId="5D14420F" w14:textId="77777777">
      <w:pPr>
        <w:pStyle w:val="FootnoteText"/>
      </w:pPr>
      <w:r>
        <w:rPr>
          <w:rStyle w:val="FootnoteReference"/>
        </w:rPr>
        <w:footnoteRef/>
      </w:r>
      <w:r>
        <w:t xml:space="preserve"> </w:t>
      </w:r>
      <w:r w:rsidRPr="00F30C4D">
        <w:rPr>
          <w:i/>
          <w:iCs/>
        </w:rPr>
        <w:t>2018 Quadrennial Review Order</w:t>
      </w:r>
      <w:r w:rsidRPr="00C00123">
        <w:t>, 38 FCC Rcd at 128</w:t>
      </w:r>
      <w:r>
        <w:t>52-53</w:t>
      </w:r>
      <w:r w:rsidRPr="00C00123">
        <w:t>, para. 1</w:t>
      </w:r>
      <w:r>
        <w:t>31.</w:t>
      </w:r>
    </w:p>
  </w:footnote>
  <w:footnote w:id="100">
    <w:p w:rsidR="00F13899" w:rsidP="00BA2DC2" w14:paraId="6D371190" w14:textId="77777777">
      <w:pPr>
        <w:pStyle w:val="FootnoteText"/>
      </w:pPr>
      <w:r>
        <w:rPr>
          <w:rStyle w:val="FootnoteReference"/>
        </w:rPr>
        <w:footnoteRef/>
      </w:r>
      <w:r>
        <w:t xml:space="preserve"> Network Commenters Comments at 10-11 (stating that the substantial national reach and ratings </w:t>
      </w:r>
      <w:r w:rsidRPr="00C6381D">
        <w:t xml:space="preserve">growth of </w:t>
      </w:r>
      <w:r w:rsidRPr="00C6381D">
        <w:t>diginets</w:t>
      </w:r>
      <w:r w:rsidRPr="00C6381D">
        <w:t xml:space="preserve"> </w:t>
      </w:r>
      <w:r>
        <w:t xml:space="preserve">indicates that </w:t>
      </w:r>
      <w:r w:rsidRPr="00C6381D">
        <w:t>the four</w:t>
      </w:r>
      <w:r>
        <w:t xml:space="preserve"> major</w:t>
      </w:r>
      <w:r w:rsidRPr="00C6381D">
        <w:t xml:space="preserve"> broadcast networks are no longer the only significant actors broadcasting television content to Americans</w:t>
      </w:r>
      <w:r>
        <w:t xml:space="preserve">).  </w:t>
      </w:r>
      <w:r>
        <w:t>Diginets</w:t>
      </w:r>
      <w:r>
        <w:t xml:space="preserve"> are digital multicast television networks, a type of national television service designed to be broadcast terrestrially as a supplementary service to broadcast television stations on the stations’ digital multicast subchannels.  </w:t>
      </w:r>
    </w:p>
  </w:footnote>
  <w:footnote w:id="101">
    <w:p w:rsidR="00F13899" w:rsidP="00BA2DC2" w14:paraId="74A9B287" w14:textId="77777777">
      <w:pPr>
        <w:pStyle w:val="FootnoteText"/>
      </w:pPr>
      <w:r>
        <w:rPr>
          <w:rStyle w:val="FootnoteReference"/>
        </w:rPr>
        <w:footnoteRef/>
      </w:r>
      <w:r>
        <w:t xml:space="preserve"> </w:t>
      </w:r>
      <w:r w:rsidRPr="007B71D2">
        <w:rPr>
          <w:i/>
        </w:rPr>
        <w:t>2018 Quadrennial Review NPRM</w:t>
      </w:r>
      <w:r>
        <w:t xml:space="preserve">, 33 FCC Rcd </w:t>
      </w:r>
      <w:r w:rsidRPr="007B71D2">
        <w:t xml:space="preserve">at </w:t>
      </w:r>
      <w:r>
        <w:t>12142-43, para. 85</w:t>
      </w:r>
      <w:r w:rsidRPr="007B71D2">
        <w:t>.</w:t>
      </w:r>
    </w:p>
  </w:footnote>
  <w:footnote w:id="102">
    <w:p w:rsidR="00F13899" w:rsidP="00BA2DC2" w14:paraId="2D32D091" w14:textId="77777777">
      <w:pPr>
        <w:pStyle w:val="FootnoteText"/>
      </w:pPr>
      <w:r>
        <w:rPr>
          <w:rStyle w:val="FootnoteReference"/>
        </w:rPr>
        <w:footnoteRef/>
      </w:r>
      <w:r>
        <w:t xml:space="preserve"> </w:t>
      </w:r>
      <w:r>
        <w:rPr>
          <w:i/>
        </w:rPr>
        <w:t>2018 Quadrennial Review Order</w:t>
      </w:r>
      <w:r>
        <w:t xml:space="preserve">, </w:t>
      </w:r>
      <w:r w:rsidRPr="009C1FE2">
        <w:t>38 FCC Rcd</w:t>
      </w:r>
      <w:r>
        <w:t xml:space="preserve"> at 12853, para. 133.</w:t>
      </w:r>
      <w:r w:rsidRPr="00850466">
        <w:t xml:space="preserve"> </w:t>
      </w:r>
      <w:r>
        <w:t xml:space="preserve"> </w:t>
      </w:r>
    </w:p>
  </w:footnote>
  <w:footnote w:id="103">
    <w:p w:rsidR="00F13899" w:rsidRPr="0086003F" w:rsidP="00BA2DC2" w14:paraId="11781755" w14:textId="77777777">
      <w:pPr>
        <w:pStyle w:val="FootnoteText"/>
        <w:rPr>
          <w:i/>
          <w:iCs/>
        </w:rPr>
      </w:pPr>
      <w:r>
        <w:rPr>
          <w:rStyle w:val="FootnoteReference"/>
        </w:rPr>
        <w:footnoteRef/>
      </w:r>
      <w:r>
        <w:t xml:space="preserve"> </w:t>
      </w:r>
      <w:r w:rsidRPr="007B71D2">
        <w:rPr>
          <w:i/>
        </w:rPr>
        <w:t>2018 Quadrennial Review NPRM</w:t>
      </w:r>
      <w:r>
        <w:t xml:space="preserve">, 33 FCC Rcd </w:t>
      </w:r>
      <w:r w:rsidRPr="007B71D2">
        <w:t xml:space="preserve">at </w:t>
      </w:r>
      <w:r>
        <w:t xml:space="preserve">12142-43, para. 85.  The Commission also noted more recent changes in the relationship, including that while networks previously paid their local affiliates </w:t>
      </w:r>
      <w:r w:rsidRPr="00323569">
        <w:t xml:space="preserve">to distribute network programming, today </w:t>
      </w:r>
      <w:r>
        <w:t xml:space="preserve">they </w:t>
      </w:r>
      <w:r w:rsidRPr="00323569">
        <w:t xml:space="preserve">seek and receive compensation from affiliates </w:t>
      </w:r>
      <w:r>
        <w:t>via “</w:t>
      </w:r>
      <w:r w:rsidRPr="00323569">
        <w:t>reverse compensation</w:t>
      </w:r>
      <w:r>
        <w:t xml:space="preserve">” payments, and that such payments have escalated in recent years.  </w:t>
      </w:r>
      <w:r>
        <w:rPr>
          <w:i/>
          <w:iCs/>
        </w:rPr>
        <w:t>Id.</w:t>
      </w:r>
      <w:r w:rsidRPr="009802EB">
        <w:t xml:space="preserve"> </w:t>
      </w:r>
      <w:r w:rsidRPr="007B71D2">
        <w:t xml:space="preserve">at </w:t>
      </w:r>
      <w:r>
        <w:t xml:space="preserve">12143-44, para. 86. </w:t>
      </w:r>
    </w:p>
  </w:footnote>
  <w:footnote w:id="104">
    <w:p w:rsidR="00F13899" w:rsidRPr="00462BA0" w:rsidP="00BA2DC2" w14:paraId="4723C463" w14:textId="77777777">
      <w:pPr>
        <w:pStyle w:val="FootnoteText"/>
      </w:pPr>
      <w:r>
        <w:rPr>
          <w:rStyle w:val="FootnoteReference"/>
        </w:rPr>
        <w:footnoteRef/>
      </w:r>
      <w:r>
        <w:t xml:space="preserve"> </w:t>
      </w:r>
      <w:r>
        <w:rPr>
          <w:i/>
        </w:rPr>
        <w:t xml:space="preserve">See </w:t>
      </w:r>
      <w:r>
        <w:rPr>
          <w:iCs/>
        </w:rPr>
        <w:t xml:space="preserve">Network Affiliates Reply at 17-20; </w:t>
      </w:r>
      <w:r>
        <w:rPr>
          <w:i/>
        </w:rPr>
        <w:t>2018 Quadrennial Review Order</w:t>
      </w:r>
      <w:r>
        <w:t xml:space="preserve">, </w:t>
      </w:r>
      <w:r w:rsidRPr="009C1FE2">
        <w:t>38 FCC Rcd</w:t>
      </w:r>
      <w:r>
        <w:t xml:space="preserve"> at 12853-54, para. 134 (</w:t>
      </w:r>
      <w:r w:rsidRPr="0027073F">
        <w:t>“With fewer networks, affiliates would be less able, if at all, to use the availability of other top, independently owned networks as a bargaining tool to exert influence on the programming decisions of its network, including with regard to program content and scheduling.  Finding, for similar reasons, that “the existence of other networks gives affiliates more leeway to raise locally oriented concerns with network programming or decide to preempt network programming in favor of programming that may better fit the local needs of their communities</w:t>
      </w:r>
      <w:r>
        <w:t>.”)</w:t>
      </w:r>
      <w:r w:rsidRPr="0027073F">
        <w:t>.</w:t>
      </w:r>
    </w:p>
  </w:footnote>
  <w:footnote w:id="105">
    <w:p w:rsidR="00F13899" w:rsidP="00BA2DC2" w14:paraId="4231DFC2" w14:textId="77777777">
      <w:pPr>
        <w:pStyle w:val="FootnoteText"/>
      </w:pPr>
      <w:r>
        <w:rPr>
          <w:rStyle w:val="FootnoteReference"/>
        </w:rPr>
        <w:footnoteRef/>
      </w:r>
      <w:r>
        <w:t xml:space="preserve"> In the last quadrennial review, for example, the Commission noted that some networks have exerted leverage through </w:t>
      </w:r>
      <w:r w:rsidRPr="007D1B10">
        <w:t>oversight or approval of affiliates</w:t>
      </w:r>
      <w:r>
        <w:t>’</w:t>
      </w:r>
      <w:r w:rsidRPr="007D1B10">
        <w:t xml:space="preserve"> retransmission consent negotiations</w:t>
      </w:r>
      <w:r>
        <w:t xml:space="preserve"> or</w:t>
      </w:r>
      <w:r w:rsidRPr="007D1B10">
        <w:t xml:space="preserve"> </w:t>
      </w:r>
      <w:r>
        <w:t xml:space="preserve">have </w:t>
      </w:r>
      <w:r w:rsidRPr="007D1B10">
        <w:t xml:space="preserve">dropped </w:t>
      </w:r>
      <w:r>
        <w:t>(</w:t>
      </w:r>
      <w:r w:rsidRPr="007D1B10">
        <w:t>or threatened to drop</w:t>
      </w:r>
      <w:r>
        <w:t>)</w:t>
      </w:r>
      <w:r w:rsidRPr="007D1B10">
        <w:t xml:space="preserve"> a local </w:t>
      </w:r>
      <w:r>
        <w:t xml:space="preserve">network </w:t>
      </w:r>
      <w:r w:rsidRPr="007D1B10">
        <w:t>affilia</w:t>
      </w:r>
      <w:r>
        <w:t xml:space="preserve">te in order to launch a network owned and operated </w:t>
      </w:r>
      <w:r w:rsidRPr="007D1B10">
        <w:t>station in the same market.</w:t>
      </w:r>
      <w:r w:rsidRPr="00E460AD">
        <w:rPr>
          <w:i/>
        </w:rPr>
        <w:t xml:space="preserve">  </w:t>
      </w:r>
      <w:r w:rsidRPr="007B71D2">
        <w:rPr>
          <w:i/>
        </w:rPr>
        <w:t>2018 Quadrennial Review NPRM</w:t>
      </w:r>
      <w:r>
        <w:t>, 33 FCC Rcd</w:t>
      </w:r>
      <w:r w:rsidRPr="007B71D2">
        <w:t xml:space="preserve"> at </w:t>
      </w:r>
      <w:r>
        <w:t xml:space="preserve">12143-44, para. 86; </w:t>
      </w:r>
      <w:r w:rsidRPr="00F30C4D">
        <w:rPr>
          <w:i/>
          <w:iCs/>
        </w:rPr>
        <w:t>see also</w:t>
      </w:r>
      <w:r w:rsidRPr="00DD7DFE">
        <w:rPr>
          <w:i/>
        </w:rPr>
        <w:t xml:space="preserve"> </w:t>
      </w:r>
      <w:r>
        <w:rPr>
          <w:i/>
        </w:rPr>
        <w:t>2018 Quadrennial Review Order</w:t>
      </w:r>
      <w:r>
        <w:t xml:space="preserve">, </w:t>
      </w:r>
      <w:r w:rsidRPr="009C1FE2">
        <w:t>38 FCC Rcd</w:t>
      </w:r>
      <w:r>
        <w:t xml:space="preserve"> at 12854, para. 135. </w:t>
      </w:r>
    </w:p>
  </w:footnote>
  <w:footnote w:id="106">
    <w:p w:rsidR="00F13899" w:rsidP="00BA2DC2" w14:paraId="0E61EE7F" w14:textId="77777777">
      <w:pPr>
        <w:pStyle w:val="FootnoteText"/>
      </w:pPr>
      <w:r>
        <w:rPr>
          <w:rStyle w:val="FootnoteReference"/>
        </w:rPr>
        <w:footnoteRef/>
      </w:r>
      <w:r>
        <w:t xml:space="preserve"> </w:t>
      </w:r>
      <w:r>
        <w:rPr>
          <w:i/>
        </w:rPr>
        <w:t>2018 Quadrennial Review Order</w:t>
      </w:r>
      <w:r>
        <w:t xml:space="preserve">, </w:t>
      </w:r>
      <w:r w:rsidRPr="009C1FE2">
        <w:t>38 FCC Rcd</w:t>
      </w:r>
      <w:r>
        <w:t xml:space="preserve"> at 12854, para. 135 (observing that total industry-wide reverse compensation payments from affiliates to broadcast networks have risen from roughly $300 million in 2010 to $2.9 billion in 2017, and that nearly half of all retransmission consent revenues of Big Four-affiliated stations reverted back to the networks in 2019).</w:t>
      </w:r>
    </w:p>
  </w:footnote>
  <w:footnote w:id="107">
    <w:p w:rsidR="00F13899" w:rsidRPr="00091CB0" w:rsidP="00BA2DC2" w14:paraId="5E072985" w14:textId="77777777">
      <w:pPr>
        <w:pStyle w:val="FootnoteText"/>
      </w:pPr>
      <w:r>
        <w:rPr>
          <w:rStyle w:val="FootnoteReference"/>
        </w:rPr>
        <w:footnoteRef/>
      </w:r>
      <w:r>
        <w:t xml:space="preserve"> </w:t>
      </w:r>
      <w:r>
        <w:rPr>
          <w:i/>
          <w:iCs/>
        </w:rPr>
        <w:t xml:space="preserve">See </w:t>
      </w:r>
      <w:r>
        <w:t>47 CFR § 73.658.</w:t>
      </w:r>
    </w:p>
  </w:footnote>
  <w:footnote w:id="108">
    <w:p w:rsidR="00F13899" w:rsidP="00BA2DC2" w14:paraId="53D0B3AC" w14:textId="77777777">
      <w:pPr>
        <w:pStyle w:val="FootnoteText"/>
      </w:pPr>
      <w:r>
        <w:rPr>
          <w:rStyle w:val="FootnoteReference"/>
        </w:rPr>
        <w:footnoteRef/>
      </w:r>
      <w:r>
        <w:t xml:space="preserve"> Network Commenters Comments at 14 (asserting that mergers between Big Four networks could be better assessed through the more nuanced and fact-specific transaction review process).</w:t>
      </w:r>
    </w:p>
  </w:footnote>
  <w:footnote w:id="109">
    <w:p w:rsidR="00F541A7" w:rsidRPr="00060049" w:rsidP="00BA2DC2" w14:paraId="0889BDF5" w14:textId="77777777">
      <w:pPr>
        <w:pStyle w:val="FootnoteText"/>
      </w:pPr>
      <w:r w:rsidRPr="00025823">
        <w:rPr>
          <w:rStyle w:val="FootnoteReference"/>
        </w:rPr>
        <w:footnoteRef/>
      </w:r>
      <w:r w:rsidRPr="00025823">
        <w:t xml:space="preserve"> 47 CFR §§</w:t>
      </w:r>
      <w:r>
        <w:t xml:space="preserve"> </w:t>
      </w:r>
      <w:r w:rsidRPr="00025823">
        <w:t xml:space="preserve">1.1200 </w:t>
      </w:r>
      <w:r w:rsidRPr="00025823">
        <w:rPr>
          <w:i/>
        </w:rPr>
        <w:t>et seq</w:t>
      </w:r>
      <w:r w:rsidRPr="00025823">
        <w:t>.</w:t>
      </w:r>
    </w:p>
  </w:footnote>
  <w:footnote w:id="110">
    <w:p w:rsidR="00D62931" w:rsidP="00BA2DC2" w14:paraId="274905C5" w14:textId="77777777">
      <w:pPr>
        <w:pStyle w:val="FootnoteText"/>
      </w:pPr>
      <w:r>
        <w:rPr>
          <w:rStyle w:val="FootnoteReference"/>
        </w:rPr>
        <w:footnoteRef/>
      </w:r>
      <w:r>
        <w:t xml:space="preserve"> See Electronic Filing of Documents in Rulemaking Proceedings, 63 FR 24121 (1998).</w:t>
      </w:r>
    </w:p>
  </w:footnote>
  <w:footnote w:id="111">
    <w:p w:rsidR="009A1BE0" w:rsidRPr="00096A66" w:rsidP="00BA2DC2" w14:paraId="376F1F06" w14:textId="77777777">
      <w:pPr>
        <w:pStyle w:val="FootnoteText"/>
      </w:pPr>
      <w:r w:rsidRPr="00096A66">
        <w:rPr>
          <w:rStyle w:val="FootnoteReference"/>
        </w:rPr>
        <w:footnoteRef/>
      </w:r>
      <w:r w:rsidRPr="001E05DB">
        <w:rPr>
          <w:i/>
        </w:rPr>
        <w:t xml:space="preserve"> </w:t>
      </w:r>
      <w:bookmarkStart w:id="191" w:name="_Hlk60672754"/>
      <w:r w:rsidRPr="00D444A9">
        <w:t xml:space="preserve">5 U.S.C. §§ 601 </w:t>
      </w:r>
      <w:r w:rsidRPr="00D444A9">
        <w:rPr>
          <w:i/>
        </w:rPr>
        <w:t>et seq</w:t>
      </w:r>
      <w:r w:rsidRPr="00D444A9">
        <w:t>., as amended by the Small Business Regulatory Enforcement and Fairness Act (SBREFA), Pub. L. No. 104-121, 110 Stat. 847 (1996).</w:t>
      </w:r>
      <w:bookmarkEnd w:id="191"/>
    </w:p>
  </w:footnote>
  <w:footnote w:id="112">
    <w:p w:rsidR="009A1BE0" w:rsidRPr="00096A66" w:rsidP="00BA2DC2" w14:paraId="3D05F575" w14:textId="77777777">
      <w:pPr>
        <w:pStyle w:val="FootnoteText"/>
      </w:pPr>
      <w:r w:rsidRPr="00096A66">
        <w:rPr>
          <w:rStyle w:val="FootnoteReference"/>
        </w:rPr>
        <w:footnoteRef/>
      </w:r>
      <w:r w:rsidRPr="00096A66">
        <w:t xml:space="preserve"> </w:t>
      </w:r>
      <w:r w:rsidRPr="00096A66">
        <w:rPr>
          <w:i/>
          <w:iCs/>
        </w:rPr>
        <w:t>Id.</w:t>
      </w:r>
      <w:r w:rsidRPr="00096A66">
        <w:t xml:space="preserve"> § 605(b).</w:t>
      </w:r>
    </w:p>
  </w:footnote>
  <w:footnote w:id="113">
    <w:p w:rsidR="00A013A5" w:rsidP="00BA2DC2" w14:paraId="28A65FE6" w14:textId="77777777">
      <w:pPr>
        <w:pStyle w:val="FootnoteText"/>
      </w:pPr>
      <w:r>
        <w:rPr>
          <w:rStyle w:val="FootnoteReference"/>
        </w:rPr>
        <w:footnoteRef/>
      </w:r>
      <w:r>
        <w:t xml:space="preserve"> 5 U.S.C. § 553(b)(4).  The Providing Accountability Through Transparency Act, Pub. L. No. 118-9 (2023), amended section 553(b) of the Administrative Procedure Act.</w:t>
      </w:r>
    </w:p>
  </w:footnote>
  <w:footnote w:id="114">
    <w:p w:rsidR="00A17547" w:rsidP="00BA2DC2" w14:paraId="11B9BE98" w14:textId="626B33E7">
      <w:pPr>
        <w:pStyle w:val="FootnoteText"/>
      </w:pPr>
      <w:r>
        <w:rPr>
          <w:rStyle w:val="FootnoteReference"/>
        </w:rPr>
        <w:footnoteRef/>
      </w:r>
      <w:r>
        <w:t xml:space="preserve"> </w:t>
      </w:r>
      <w:r w:rsidRPr="00A17547">
        <w:t xml:space="preserve">Pursuant to Executive Order 14215, 90 Fed. Reg. 10447 (Feb. 20, 2025), this regulatory action has been determined to be </w:t>
      </w:r>
      <w:r w:rsidRPr="00EB0D9D">
        <w:t>significant</w:t>
      </w:r>
      <w:r w:rsidRPr="00A17547">
        <w:t xml:space="preserve"> under Executive Order 12866, 58 Fed. Reg. 68708 (Dec. 28, 1993).</w:t>
      </w:r>
    </w:p>
  </w:footnote>
  <w:footnote w:id="115">
    <w:p w:rsidR="005A7639" w:rsidRPr="00D96898" w:rsidP="00BA2DC2" w14:paraId="1DD17E00" w14:textId="77777777">
      <w:pPr>
        <w:pStyle w:val="FootnoteText"/>
      </w:pPr>
      <w:r w:rsidRPr="00D96898">
        <w:rPr>
          <w:rStyle w:val="FootnoteReference"/>
        </w:rPr>
        <w:footnoteRef/>
      </w:r>
      <w:r w:rsidRPr="00D96898">
        <w:t xml:space="preserve"> </w:t>
      </w:r>
      <w:r w:rsidRPr="001E05DB">
        <w:t>5 U.S.C. §§ 601</w:t>
      </w:r>
      <w:r w:rsidRPr="00C81B1A">
        <w:t xml:space="preserve"> </w:t>
      </w:r>
      <w:r w:rsidRPr="00C81B1A">
        <w:rPr>
          <w:i/>
        </w:rPr>
        <w:t>et seq</w:t>
      </w:r>
      <w:r w:rsidRPr="00C81B1A">
        <w:t>., as</w:t>
      </w:r>
      <w:r w:rsidRPr="001E05DB">
        <w:t xml:space="preserve"> amended by the Small Business Regulatory Enforcement </w:t>
      </w:r>
      <w:r w:rsidRPr="00BA2DC2">
        <w:t>and</w:t>
      </w:r>
      <w:r w:rsidRPr="00C81B1A">
        <w:t xml:space="preserve"> </w:t>
      </w:r>
      <w:r w:rsidRPr="001E05DB">
        <w:t xml:space="preserve">Fairness Act (SBREFA), Pub. L. No. 104-121, 110 Stat. </w:t>
      </w:r>
      <w:r w:rsidRPr="00C81B1A">
        <w:t>847</w:t>
      </w:r>
      <w:r w:rsidRPr="001E05DB">
        <w:t xml:space="preserve"> (1996).</w:t>
      </w:r>
    </w:p>
  </w:footnote>
  <w:footnote w:id="116">
    <w:p w:rsidR="005A7639" w:rsidRPr="00D96898" w:rsidP="00BA2DC2" w14:paraId="08DB82FF" w14:textId="77777777">
      <w:pPr>
        <w:pStyle w:val="FootnoteText"/>
      </w:pPr>
      <w:r w:rsidRPr="00D96898">
        <w:rPr>
          <w:rStyle w:val="FootnoteReference"/>
        </w:rPr>
        <w:footnoteRef/>
      </w:r>
      <w:r w:rsidRPr="00D96898">
        <w:t xml:space="preserve"> </w:t>
      </w:r>
      <w:r w:rsidRPr="00C81B1A">
        <w:rPr>
          <w:i/>
          <w:iCs/>
        </w:rPr>
        <w:t>Id</w:t>
      </w:r>
      <w:r w:rsidRPr="00D96898">
        <w:t>. § 603(a).</w:t>
      </w:r>
    </w:p>
  </w:footnote>
  <w:footnote w:id="117">
    <w:p w:rsidR="005A7639" w:rsidRPr="00D96898" w:rsidP="00BA2DC2" w14:paraId="683D1E91" w14:textId="77777777">
      <w:pPr>
        <w:pStyle w:val="FootnoteText"/>
      </w:pPr>
      <w:r w:rsidRPr="00D96898">
        <w:rPr>
          <w:rStyle w:val="FootnoteReference"/>
        </w:rPr>
        <w:footnoteRef/>
      </w:r>
      <w:r w:rsidRPr="00D96898">
        <w:t xml:space="preserve"> </w:t>
      </w:r>
      <w:r w:rsidRPr="00D96898">
        <w:rPr>
          <w:i/>
        </w:rPr>
        <w:t>Id</w:t>
      </w:r>
      <w:r w:rsidRPr="00D96898">
        <w:t>.</w:t>
      </w:r>
    </w:p>
  </w:footnote>
  <w:footnote w:id="118">
    <w:p w:rsidR="005A7639" w:rsidRPr="00D96898" w:rsidP="00BA2DC2" w14:paraId="0BCA87C8" w14:textId="77777777">
      <w:pPr>
        <w:pStyle w:val="FootnoteText"/>
      </w:pPr>
      <w:r w:rsidRPr="00D96898">
        <w:rPr>
          <w:rStyle w:val="FootnoteReference"/>
        </w:rPr>
        <w:footnoteRef/>
      </w:r>
      <w:r w:rsidRPr="00D96898">
        <w:t xml:space="preserve"> Section 202(h) of the 1996 Act, 47 U.S.C. § 303 note.  Section 202(h) of the 1996 Act further requires the Commission to “repeal or modify any regulation it determines to be no longer in the public interest.”  </w:t>
      </w:r>
    </w:p>
  </w:footnote>
  <w:footnote w:id="119">
    <w:p w:rsidR="005A7639" w:rsidRPr="00D96898" w:rsidP="00BA2DC2" w14:paraId="73C7B4BB" w14:textId="77777777">
      <w:pPr>
        <w:pStyle w:val="FootnoteText"/>
      </w:pPr>
      <w:r w:rsidRPr="00D96898">
        <w:rPr>
          <w:rStyle w:val="FootnoteReference"/>
        </w:rPr>
        <w:footnoteRef/>
      </w:r>
      <w:r w:rsidRPr="00D96898">
        <w:t xml:space="preserve"> </w:t>
      </w:r>
      <w:r w:rsidRPr="00D96898">
        <w:rPr>
          <w:i/>
        </w:rPr>
        <w:t>Id</w:t>
      </w:r>
      <w:r w:rsidRPr="00D96898">
        <w:t>.</w:t>
      </w:r>
    </w:p>
  </w:footnote>
  <w:footnote w:id="120">
    <w:p w:rsidR="005A7639" w:rsidRPr="00D96898" w:rsidP="00BA2DC2" w14:paraId="4F6D6929" w14:textId="77777777">
      <w:pPr>
        <w:pStyle w:val="FootnoteText"/>
      </w:pPr>
      <w:r w:rsidRPr="00D96898">
        <w:rPr>
          <w:rStyle w:val="FootnoteReference"/>
        </w:rPr>
        <w:footnoteRef/>
      </w:r>
      <w:r w:rsidRPr="00D96898">
        <w:t xml:space="preserve"> 47 CFR § 73.3555(a)(1).</w:t>
      </w:r>
    </w:p>
  </w:footnote>
  <w:footnote w:id="121">
    <w:p w:rsidR="005A7639" w:rsidRPr="00D96898" w:rsidP="00BA2DC2" w14:paraId="33683438" w14:textId="0662E8A9">
      <w:pPr>
        <w:pStyle w:val="FootnoteText"/>
      </w:pPr>
      <w:r w:rsidRPr="00D96898">
        <w:rPr>
          <w:rStyle w:val="FootnoteReference"/>
        </w:rPr>
        <w:footnoteRef/>
      </w:r>
      <w:r w:rsidRPr="00D96898">
        <w:t xml:space="preserve"> </w:t>
      </w:r>
      <w:r w:rsidRPr="00D96898" w:rsidR="00F904EA">
        <w:rPr>
          <w:i/>
        </w:rPr>
        <w:t>Id</w:t>
      </w:r>
      <w:r w:rsidRPr="00D96898" w:rsidR="00F904EA">
        <w:t>.</w:t>
      </w:r>
      <w:r w:rsidRPr="00D96898">
        <w:t xml:space="preserve"> § 73.3555(b).</w:t>
      </w:r>
    </w:p>
  </w:footnote>
  <w:footnote w:id="122">
    <w:p w:rsidR="005A7639" w:rsidRPr="00D96898" w:rsidP="00BA2DC2" w14:paraId="3FA81884" w14:textId="1B8455B1">
      <w:pPr>
        <w:pStyle w:val="FootnoteText"/>
      </w:pPr>
      <w:r w:rsidRPr="00D96898">
        <w:rPr>
          <w:rStyle w:val="FootnoteReference"/>
        </w:rPr>
        <w:footnoteRef/>
      </w:r>
      <w:r w:rsidRPr="00D96898">
        <w:t xml:space="preserve"> </w:t>
      </w:r>
      <w:r w:rsidRPr="00D96898" w:rsidR="00F904EA">
        <w:rPr>
          <w:i/>
        </w:rPr>
        <w:t>Id</w:t>
      </w:r>
      <w:r w:rsidRPr="00D96898" w:rsidR="00F904EA">
        <w:t>.</w:t>
      </w:r>
      <w:r w:rsidRPr="00D96898">
        <w:t xml:space="preserve"> § 73.658(g).</w:t>
      </w:r>
    </w:p>
  </w:footnote>
  <w:footnote w:id="123">
    <w:p w:rsidR="005A7639" w:rsidRPr="00D96898" w:rsidP="00BA2DC2" w14:paraId="2EC1676E" w14:textId="77777777">
      <w:pPr>
        <w:pStyle w:val="FootnoteText"/>
        <w:rPr>
          <w:i/>
        </w:rPr>
      </w:pPr>
      <w:r w:rsidRPr="00D96898">
        <w:rPr>
          <w:rStyle w:val="FootnoteReference"/>
        </w:rPr>
        <w:footnoteRef/>
      </w:r>
      <w:r w:rsidRPr="00D96898">
        <w:t xml:space="preserve"> 5 U.S.C. § 603(b)(3).</w:t>
      </w:r>
    </w:p>
  </w:footnote>
  <w:footnote w:id="124">
    <w:p w:rsidR="005A7639" w:rsidRPr="00D96898" w:rsidP="00BA2DC2" w14:paraId="4CA9BAE1" w14:textId="77777777">
      <w:pPr>
        <w:pStyle w:val="FootnoteText"/>
      </w:pPr>
      <w:r w:rsidRPr="00D96898">
        <w:rPr>
          <w:rStyle w:val="FootnoteReference"/>
        </w:rPr>
        <w:footnoteRef/>
      </w:r>
      <w:r w:rsidRPr="00D96898">
        <w:t xml:space="preserve"> </w:t>
      </w:r>
      <w:r w:rsidRPr="00C81B1A">
        <w:rPr>
          <w:i/>
          <w:iCs/>
        </w:rPr>
        <w:t>Id</w:t>
      </w:r>
      <w:r w:rsidRPr="00D96898">
        <w:t xml:space="preserve">. § 601(6).   </w:t>
      </w:r>
    </w:p>
  </w:footnote>
  <w:footnote w:id="125">
    <w:p w:rsidR="005A7639" w:rsidRPr="00D96898" w:rsidP="00BA2DC2" w14:paraId="2673345D" w14:textId="77777777">
      <w:r w:rsidRPr="00D96898">
        <w:rPr>
          <w:rStyle w:val="FootnoteReference"/>
        </w:rPr>
        <w:footnoteRef/>
      </w:r>
      <w:r w:rsidRPr="00D96898">
        <w:t xml:space="preserve"> </w:t>
      </w:r>
      <w:r w:rsidRPr="00D96898">
        <w:rPr>
          <w:i/>
          <w:iCs/>
        </w:rPr>
        <w:t>Id</w:t>
      </w:r>
      <w:r w:rsidRPr="00D96898">
        <w:t xml:space="preserve">. § 601(3) (incorporating by reference the definition of “small-business concern” in the Small Business Act, 15 U.S.C. § 632).  Pursuant to 5 U.S.C. § 601(3), the statutory definition of a small </w:t>
      </w:r>
      <w:r w:rsidRPr="00BA2DC2">
        <w:t>business</w:t>
      </w:r>
      <w:r w:rsidRPr="00D96898">
        <w:t xml:space="preserve"> applies “unless an agency, after consultation with the Office of Advocacy of the Small Business Administration and after opportunity for public comment, establishes one or more definitions of such term which are appropriate to the activities of the agency and publishes such definition(s) in the Federal Register.”</w:t>
      </w:r>
    </w:p>
  </w:footnote>
  <w:footnote w:id="126">
    <w:p w:rsidR="005A7639" w:rsidRPr="00D96898" w:rsidP="00BA2DC2" w14:paraId="2CAC9978" w14:textId="77777777">
      <w:pPr>
        <w:pStyle w:val="FootnoteText"/>
      </w:pPr>
      <w:r w:rsidRPr="00D96898">
        <w:rPr>
          <w:rStyle w:val="FootnoteReference"/>
        </w:rPr>
        <w:footnoteRef/>
      </w:r>
      <w:r w:rsidRPr="00D96898">
        <w:t xml:space="preserve"> 15 U.S.C. § 632.</w:t>
      </w:r>
    </w:p>
  </w:footnote>
  <w:footnote w:id="127">
    <w:p w:rsidR="005A7639" w:rsidP="00BA2DC2" w14:paraId="74886795" w14:textId="77777777">
      <w:pPr>
        <w:pStyle w:val="FootnoteText"/>
      </w:pPr>
      <w:r w:rsidRPr="00363480">
        <w:rPr>
          <w:rStyle w:val="FootnoteReference"/>
          <w:rFonts w:eastAsia="Calibri"/>
        </w:rPr>
        <w:footnoteRef/>
      </w:r>
      <w:r>
        <w:t xml:space="preserve"> 5 U.S.C. </w:t>
      </w:r>
      <w:r w:rsidRPr="006B076E">
        <w:t>§</w:t>
      </w:r>
      <w:r>
        <w:t xml:space="preserve"> 601(3)-(6).</w:t>
      </w:r>
    </w:p>
  </w:footnote>
  <w:footnote w:id="128">
    <w:p w:rsidR="005A7639" w:rsidP="00BA2DC2" w14:paraId="2FFABAE9" w14:textId="77777777">
      <w:pPr>
        <w:pStyle w:val="FootnoteText"/>
      </w:pPr>
      <w:r w:rsidRPr="00363480">
        <w:rPr>
          <w:rStyle w:val="FootnoteReference"/>
          <w:rFonts w:eastAsia="Calibri"/>
        </w:rPr>
        <w:footnoteRef/>
      </w:r>
      <w:r>
        <w:t xml:space="preserve"> </w:t>
      </w:r>
      <w:r w:rsidRPr="00231BAF">
        <w:rPr>
          <w:i/>
          <w:iCs/>
        </w:rPr>
        <w:t>See</w:t>
      </w:r>
      <w:r w:rsidRPr="00231BAF">
        <w:t xml:space="preserve"> SBA, Office of Advocacy, </w:t>
      </w:r>
      <w:r w:rsidRPr="00231BAF">
        <w:rPr>
          <w:i/>
          <w:iCs/>
        </w:rPr>
        <w:t xml:space="preserve">Frequently Asked Questions About Small Business </w:t>
      </w:r>
      <w:r w:rsidRPr="00231BAF">
        <w:t xml:space="preserve"> (July</w:t>
      </w:r>
      <w:r>
        <w:t xml:space="preserve"> 23,</w:t>
      </w:r>
      <w:r w:rsidRPr="00231BAF">
        <w:t xml:space="preserve"> 2024), </w:t>
      </w:r>
      <w:hyperlink r:id="rId5" w:history="1">
        <w:r w:rsidRPr="00231BAF">
          <w:rPr>
            <w:rStyle w:val="Hyperlink"/>
          </w:rPr>
          <w:t>https://advocacy.sba.gov/wp-content/uploads/2024/12/Frequently-Asked-Questions-About-Small-Business_2024-508.pdf</w:t>
        </w:r>
      </w:hyperlink>
      <w:r w:rsidRPr="00231BAF">
        <w:t>.</w:t>
      </w:r>
    </w:p>
  </w:footnote>
  <w:footnote w:id="129">
    <w:p w:rsidR="005A7639" w:rsidP="00BA2DC2" w14:paraId="40E1592E" w14:textId="77777777">
      <w:pPr>
        <w:pStyle w:val="FootnoteText"/>
      </w:pPr>
      <w:r>
        <w:rPr>
          <w:rStyle w:val="FootnoteReference"/>
          <w:rFonts w:eastAsiaTheme="majorEastAsia"/>
        </w:rPr>
        <w:footnoteRef/>
      </w:r>
      <w:r>
        <w:t xml:space="preserve"> </w:t>
      </w:r>
      <w:r w:rsidRPr="0011527D">
        <w:rPr>
          <w:i/>
          <w:iCs/>
        </w:rPr>
        <w:t>Id</w:t>
      </w:r>
      <w:r>
        <w:t>.</w:t>
      </w:r>
    </w:p>
  </w:footnote>
  <w:footnote w:id="130">
    <w:p w:rsidR="005A7639" w:rsidRPr="00A053B8" w:rsidP="00BA2DC2" w14:paraId="20272011" w14:textId="77777777">
      <w:pPr>
        <w:pStyle w:val="FootnoteText"/>
      </w:pPr>
      <w:r w:rsidRPr="00A053B8">
        <w:rPr>
          <w:rStyle w:val="FootnoteReference"/>
          <w:rFonts w:eastAsia="Calibri"/>
        </w:rPr>
        <w:footnoteRef/>
      </w:r>
      <w:r w:rsidRPr="00A053B8">
        <w:t xml:space="preserve"> </w:t>
      </w:r>
      <w:r w:rsidRPr="00A053B8">
        <w:rPr>
          <w:spacing w:val="-2"/>
        </w:rPr>
        <w:t>5 U.S.C.</w:t>
      </w:r>
      <w:r w:rsidRPr="00A053B8">
        <w:t xml:space="preserve"> § 601(4).</w:t>
      </w:r>
    </w:p>
  </w:footnote>
  <w:footnote w:id="131">
    <w:p w:rsidR="005A7639" w:rsidP="00BA2DC2" w14:paraId="1805E44D" w14:textId="77777777">
      <w:pPr>
        <w:pStyle w:val="FootnoteText"/>
      </w:pPr>
      <w:r w:rsidRPr="00B31687">
        <w:rPr>
          <w:rStyle w:val="FootnoteReference"/>
          <w:rFonts w:eastAsiaTheme="majorEastAsia"/>
        </w:rPr>
        <w:footnoteRef/>
      </w:r>
      <w:r w:rsidRPr="00B31687">
        <w:t xml:space="preserve"> </w:t>
      </w:r>
      <w:r w:rsidRPr="00B31687">
        <w:rPr>
          <w:i/>
          <w:iCs/>
        </w:rPr>
        <w:t xml:space="preserve">See </w:t>
      </w:r>
      <w:r w:rsidRPr="00B31687">
        <w:t xml:space="preserve">SBA, Office of Advocacy, </w:t>
      </w:r>
      <w:r w:rsidRPr="00B31687">
        <w:rPr>
          <w:i/>
          <w:iCs/>
        </w:rPr>
        <w:t>Small Business Facts, Spotlight on Nonprofits</w:t>
      </w:r>
      <w:r w:rsidRPr="00B31687">
        <w:t xml:space="preserve"> (July 2019), </w:t>
      </w:r>
      <w:hyperlink r:id="rId6" w:history="1">
        <w:r w:rsidRPr="00B31687">
          <w:rPr>
            <w:rStyle w:val="Hyperlink"/>
          </w:rPr>
          <w:t>https://advocacy.sba.gov/2019/07/25/small-business-facts-spotlight-on-nonprofits/</w:t>
        </w:r>
      </w:hyperlink>
      <w:r w:rsidRPr="00E937E1">
        <w:t xml:space="preserve">.  </w:t>
      </w:r>
    </w:p>
  </w:footnote>
  <w:footnote w:id="132">
    <w:p w:rsidR="005A7639" w:rsidRPr="00A053B8" w:rsidP="00BA2DC2" w14:paraId="35141353" w14:textId="77777777">
      <w:pPr>
        <w:pStyle w:val="FootnoteText"/>
      </w:pPr>
      <w:r w:rsidRPr="00A053B8">
        <w:rPr>
          <w:rStyle w:val="FootnoteReference"/>
          <w:rFonts w:eastAsia="Calibri"/>
          <w:spacing w:val="-2"/>
        </w:rPr>
        <w:footnoteRef/>
      </w:r>
      <w:r w:rsidRPr="00A053B8">
        <w:t xml:space="preserve"> 5 U.S.C. § 601(5).</w:t>
      </w:r>
    </w:p>
  </w:footnote>
  <w:footnote w:id="133">
    <w:p w:rsidR="005A7639" w:rsidRPr="002C1CC1" w:rsidP="00BA2DC2" w14:paraId="5E361737" w14:textId="77777777">
      <w:pPr>
        <w:pStyle w:val="FootnoteText"/>
      </w:pPr>
      <w:r w:rsidRPr="002C1CC1">
        <w:rPr>
          <w:rStyle w:val="FootnoteReference"/>
          <w:rFonts w:eastAsiaTheme="majorEastAsia"/>
        </w:rPr>
        <w:footnoteRef/>
      </w:r>
      <w:r w:rsidRPr="002C1CC1">
        <w:t xml:space="preserve"> </w:t>
      </w:r>
      <w:r w:rsidRPr="002C1CC1">
        <w:rPr>
          <w:i/>
        </w:rPr>
        <w:t>See</w:t>
      </w:r>
      <w:r w:rsidRPr="002C1CC1">
        <w:t xml:space="preserve"> U.S. Census Bureau, 2022 Census of Governments –Organization, </w:t>
      </w:r>
      <w:hyperlink r:id="rId7" w:history="1">
        <w:r w:rsidRPr="002C1CC1">
          <w:rPr>
            <w:rStyle w:val="Hyperlink"/>
          </w:rPr>
          <w:t>https://www.census.gov/data/tables/2022/econ/gus/2022-governments.html</w:t>
        </w:r>
      </w:hyperlink>
      <w:r w:rsidRPr="002C1CC1">
        <w:t xml:space="preserve">, tables 1-11.  </w:t>
      </w:r>
    </w:p>
  </w:footnote>
  <w:footnote w:id="134">
    <w:p w:rsidR="005A7639" w:rsidRPr="002C1CC1" w:rsidP="00BA2DC2" w14:paraId="5C257E6F" w14:textId="77777777">
      <w:pPr>
        <w:pStyle w:val="FootnoteText"/>
      </w:pPr>
      <w:r w:rsidRPr="002C1CC1">
        <w:rPr>
          <w:rStyle w:val="FootnoteReference"/>
        </w:rPr>
        <w:footnoteRef/>
      </w:r>
      <w:r w:rsidRPr="002C1CC1">
        <w:t xml:space="preserve"> The North American Industry Classification System (NAICS) is the standard used by Federal statistical agencies in classifying business establishments for the purpose of collecting, analyzing, and publishing statistical data related to the U.S. business economy.  </w:t>
      </w:r>
      <w:r w:rsidRPr="002C1CC1">
        <w:rPr>
          <w:i/>
          <w:iCs/>
        </w:rPr>
        <w:t xml:space="preserve">See </w:t>
      </w:r>
      <w:hyperlink r:id="rId8" w:history="1">
        <w:r w:rsidRPr="00C81B1A">
          <w:rPr>
            <w:rStyle w:val="Hyperlink"/>
          </w:rPr>
          <w:t>https://www.census.gov/naics/</w:t>
        </w:r>
      </w:hyperlink>
      <w:r w:rsidRPr="002C1CC1">
        <w:t xml:space="preserve"> for further details regarding the NAICS codes identified in this chart.</w:t>
      </w:r>
    </w:p>
  </w:footnote>
  <w:footnote w:id="135">
    <w:p w:rsidR="005A7639" w:rsidRPr="002C1CC1" w:rsidP="00BA2DC2" w14:paraId="25703FEB" w14:textId="77777777">
      <w:pPr>
        <w:pStyle w:val="FootnoteText"/>
      </w:pPr>
      <w:r w:rsidRPr="002C1CC1">
        <w:rPr>
          <w:rStyle w:val="FootnoteReference"/>
        </w:rPr>
        <w:footnoteRef/>
      </w:r>
      <w:r w:rsidRPr="002C1CC1">
        <w:t xml:space="preserve"> The size standards in this chart are set forth in 13 CFR 121.201 by six digit NAICS code.</w:t>
      </w:r>
    </w:p>
  </w:footnote>
  <w:footnote w:id="136">
    <w:p w:rsidR="005A7639" w:rsidRPr="002C1CC1" w:rsidP="00BA2DC2" w14:paraId="5E50DACF" w14:textId="77777777">
      <w:pPr>
        <w:pStyle w:val="FootnoteText"/>
      </w:pPr>
      <w:r w:rsidRPr="002C1CC1">
        <w:rPr>
          <w:rStyle w:val="FootnoteReference"/>
          <w:rFonts w:eastAsiaTheme="majorEastAsia"/>
        </w:rPr>
        <w:footnoteRef/>
      </w:r>
      <w:r w:rsidRPr="002C1CC1">
        <w:t xml:space="preserve"> </w:t>
      </w:r>
      <w:r w:rsidRPr="002C1CC1">
        <w:rPr>
          <w:bCs/>
          <w:iCs/>
          <w:color w:val="010101"/>
        </w:rPr>
        <w:t>See</w:t>
      </w:r>
      <w:r w:rsidRPr="002C1CC1">
        <w:t xml:space="preserve"> U.S. Census Bureau, </w:t>
      </w:r>
      <w:r w:rsidRPr="002C1CC1">
        <w:rPr>
          <w:iCs/>
        </w:rPr>
        <w:t xml:space="preserve">2017 </w:t>
      </w:r>
      <w:r w:rsidRPr="002C1CC1">
        <w:t>Economic Census</w:t>
      </w:r>
      <w:r w:rsidRPr="002C1CC1">
        <w:rPr>
          <w:bCs/>
        </w:rPr>
        <w:t xml:space="preserve"> of the United States</w:t>
      </w:r>
      <w:r w:rsidRPr="002C1CC1">
        <w:t xml:space="preserve">, </w:t>
      </w:r>
      <w:r w:rsidRPr="002C1CC1">
        <w:rPr>
          <w:iCs/>
        </w:rPr>
        <w:t xml:space="preserve">Employment Size of Firms for the U.S.: 2017, </w:t>
      </w:r>
      <w:r w:rsidRPr="002C1CC1">
        <w:t xml:space="preserve">Table ID: EC1700SIZEEMPFIRM, and </w:t>
      </w:r>
      <w:r w:rsidRPr="002C1CC1">
        <w:rPr>
          <w:iCs/>
        </w:rPr>
        <w:t xml:space="preserve">2017 </w:t>
      </w:r>
      <w:r w:rsidRPr="002C1CC1">
        <w:t>Economic Census</w:t>
      </w:r>
      <w:r w:rsidRPr="002C1CC1">
        <w:rPr>
          <w:bCs/>
        </w:rPr>
        <w:t xml:space="preserve"> of the United States</w:t>
      </w:r>
      <w:r w:rsidRPr="002C1CC1">
        <w:t xml:space="preserve">, </w:t>
      </w:r>
      <w:r w:rsidRPr="002C1CC1">
        <w:rPr>
          <w:iCs/>
        </w:rPr>
        <w:t xml:space="preserve">Selected Sectors: Sales, Value of Shipments, or Revenue Size of Firms for the U.S.: 2017, </w:t>
      </w:r>
      <w:r w:rsidRPr="002C1CC1">
        <w:t>Table ID: EC1700SIZEREVFIRM.</w:t>
      </w:r>
    </w:p>
  </w:footnote>
  <w:footnote w:id="137">
    <w:p w:rsidR="005A7639" w:rsidRPr="002C1CC1" w:rsidP="00BA2DC2" w14:paraId="5EE71921" w14:textId="77777777">
      <w:pPr>
        <w:pStyle w:val="FootnoteText"/>
      </w:pPr>
      <w:r w:rsidRPr="002C1CC1">
        <w:rPr>
          <w:rStyle w:val="FootnoteReference"/>
          <w:rFonts w:eastAsiaTheme="majorEastAsia"/>
        </w:rPr>
        <w:footnoteRef/>
      </w:r>
      <w:r w:rsidRPr="002C1CC1">
        <w:t xml:space="preserve"> Id. </w:t>
      </w:r>
    </w:p>
  </w:footnote>
  <w:footnote w:id="138">
    <w:p w:rsidR="005A7639" w:rsidRPr="00D42E07" w:rsidP="005A7639" w14:paraId="62BBF056" w14:textId="77777777">
      <w:pPr>
        <w:spacing w:after="120"/>
      </w:pPr>
      <w:r w:rsidRPr="00D42E07">
        <w:rPr>
          <w:rStyle w:val="FootnoteReference"/>
        </w:rPr>
        <w:footnoteRef/>
      </w:r>
      <w:r w:rsidRPr="00D42E07">
        <w:rPr>
          <w:sz w:val="20"/>
        </w:rPr>
        <w:t xml:space="preserve"> </w:t>
      </w:r>
      <w:r>
        <w:rPr>
          <w:sz w:val="20"/>
        </w:rPr>
        <w:t>Station totals in</w:t>
      </w:r>
      <w:r w:rsidRPr="00D42E07">
        <w:rPr>
          <w:sz w:val="20"/>
        </w:rPr>
        <w:t xml:space="preserve"> 2024 according to Commission staff review of the BIA Kelsey Inc. Media Access Pro Television Database (BIA) on July 8, 2025.</w:t>
      </w:r>
    </w:p>
  </w:footnote>
  <w:footnote w:id="139">
    <w:p w:rsidR="005A7639" w:rsidRPr="00C81B1A" w:rsidP="00BA2DC2" w14:paraId="5EFFFBEA" w14:textId="77777777">
      <w:pPr>
        <w:pStyle w:val="FootnoteText"/>
      </w:pPr>
      <w:r w:rsidRPr="00D42A0C">
        <w:rPr>
          <w:rStyle w:val="FootnoteReference"/>
        </w:rPr>
        <w:footnoteRef/>
      </w:r>
      <w:r w:rsidRPr="00D42A0C">
        <w:t xml:space="preserve"> </w:t>
      </w:r>
      <w:r w:rsidRPr="00D42E07">
        <w:rPr>
          <w:i/>
          <w:iCs/>
        </w:rPr>
        <w:t>Broadcast Station Totals as of June 30, 2025</w:t>
      </w:r>
      <w:r w:rsidRPr="00D42E07">
        <w:t>, Public Notice, DA 25-581 (rel. July 8, 2025) (</w:t>
      </w:r>
      <w:r w:rsidRPr="00D42E07">
        <w:rPr>
          <w:i/>
          <w:iCs/>
        </w:rPr>
        <w:t>July 2025</w:t>
      </w:r>
      <w:r w:rsidRPr="00D42E07">
        <w:t xml:space="preserve"> </w:t>
      </w:r>
      <w:r w:rsidRPr="00D42E07">
        <w:rPr>
          <w:i/>
          <w:iCs/>
        </w:rPr>
        <w:t>Broadcast Station Totals PN</w:t>
      </w:r>
      <w:r w:rsidRPr="00D42E07">
        <w:t xml:space="preserve">), </w:t>
      </w:r>
      <w:hyperlink r:id="rId9" w:history="1">
        <w:r w:rsidRPr="00967A2F">
          <w:rPr>
            <w:rStyle w:val="Hyperlink"/>
          </w:rPr>
          <w:t>https://docs.fcc.gov/public/attachments/DA-25-581A1.pdf</w:t>
        </w:r>
      </w:hyperlink>
      <w:r w:rsidRPr="00B04248">
        <w:rPr>
          <w:color w:val="0070C0"/>
        </w:rPr>
        <w:t xml:space="preserve">.  </w:t>
      </w:r>
      <w:r w:rsidRPr="00C81B1A">
        <w:t>As of June 2025, there were 4,689 licensed noncommercial (NCE) FM radio stations, 1,977 low power FM (LPFM) stations, 8,880 FM translators and boosters.</w:t>
      </w:r>
    </w:p>
  </w:footnote>
  <w:footnote w:id="140">
    <w:p w:rsidR="005A7639" w:rsidRPr="00D42E07" w:rsidP="00BA2DC2" w14:paraId="1D7036B2" w14:textId="77777777">
      <w:pPr>
        <w:pStyle w:val="FootnoteText"/>
      </w:pPr>
      <w:r w:rsidRPr="00D42E07">
        <w:rPr>
          <w:rStyle w:val="FootnoteReference"/>
          <w:rFonts w:eastAsiaTheme="majorEastAsia"/>
        </w:rPr>
        <w:footnoteRef/>
      </w:r>
      <w:r w:rsidRPr="00D42E07">
        <w:t xml:space="preserve"> </w:t>
      </w:r>
      <w:r w:rsidRPr="00D42E07">
        <w:rPr>
          <w:i/>
          <w:iCs/>
        </w:rPr>
        <w:t xml:space="preserve">Id.  </w:t>
      </w:r>
      <w:r w:rsidRPr="00967A2F">
        <w:t>As of June 2025, there were</w:t>
      </w:r>
      <w:r w:rsidRPr="00D42E07">
        <w:t xml:space="preserve"> 383 licensed noncommercial educational (NCE) television stations, 383 Class A TV stations, 1,780 LPTV stations and 3,094 TV translator stations.</w:t>
      </w:r>
    </w:p>
  </w:footnote>
  <w:footnote w:id="141">
    <w:p w:rsidR="005A7639" w:rsidP="00BA2DC2" w14:paraId="74EF19B6" w14:textId="77777777">
      <w:pPr>
        <w:pStyle w:val="FootnoteText"/>
      </w:pPr>
      <w:r>
        <w:rPr>
          <w:rStyle w:val="FootnoteReference"/>
        </w:rPr>
        <w:footnoteRef/>
      </w:r>
      <w:r>
        <w:t xml:space="preserve"> </w:t>
      </w:r>
      <w:r w:rsidRPr="00590DB1">
        <w:rPr>
          <w:iCs/>
        </w:rPr>
        <w:t>5 U.S.C.</w:t>
      </w:r>
      <w:r>
        <w:rPr>
          <w:i/>
        </w:rPr>
        <w:t xml:space="preserve"> </w:t>
      </w:r>
      <w:r w:rsidRPr="00F17E24">
        <w:t>§ 603(b)(</w:t>
      </w:r>
      <w:r>
        <w:t>4</w:t>
      </w:r>
      <w:r w:rsidRPr="00F17E24">
        <w:t>)</w:t>
      </w:r>
      <w:r>
        <w:t xml:space="preserve">. </w:t>
      </w:r>
    </w:p>
  </w:footnote>
  <w:footnote w:id="142">
    <w:p w:rsidR="005A7639" w:rsidP="00BA2DC2" w14:paraId="13BA4D29" w14:textId="77777777">
      <w:pPr>
        <w:pStyle w:val="FootnoteText"/>
      </w:pPr>
      <w:r>
        <w:rPr>
          <w:rStyle w:val="FootnoteReference"/>
        </w:rPr>
        <w:footnoteRef/>
      </w:r>
      <w:r>
        <w:t xml:space="preserve"> </w:t>
      </w:r>
      <w:r>
        <w:rPr>
          <w:i/>
        </w:rPr>
        <w:t xml:space="preserve">Id. </w:t>
      </w:r>
      <w:r w:rsidRPr="00F17E24">
        <w:t>§ 603(</w:t>
      </w:r>
      <w:r>
        <w:t>c</w:t>
      </w:r>
      <w:r w:rsidRPr="00F17E24">
        <w:t>)</w:t>
      </w:r>
      <w:r>
        <w:t>.</w:t>
      </w:r>
    </w:p>
  </w:footnote>
  <w:footnote w:id="143">
    <w:p w:rsidR="005A7639" w:rsidRPr="00D96898" w:rsidP="00BA2DC2" w14:paraId="6D2EE30D" w14:textId="77777777">
      <w:pPr>
        <w:pStyle w:val="FootnoteText"/>
      </w:pPr>
      <w:r w:rsidRPr="00D96898">
        <w:rPr>
          <w:rStyle w:val="FootnoteReference"/>
        </w:rPr>
        <w:footnoteRef/>
      </w:r>
      <w:r w:rsidRPr="00D96898">
        <w:t xml:space="preserve"> </w:t>
      </w:r>
      <w:r w:rsidRPr="00A476AF">
        <w:rPr>
          <w:i/>
        </w:rPr>
        <w:t xml:space="preserve">See </w:t>
      </w:r>
      <w:r>
        <w:rPr>
          <w:i/>
        </w:rPr>
        <w:t>NPRM</w:t>
      </w:r>
      <w:r w:rsidR="009E29E6">
        <w:rPr>
          <w:iCs/>
        </w:rPr>
        <w:t>,</w:t>
      </w:r>
      <w:r w:rsidRPr="00A476AF">
        <w:rPr>
          <w:i/>
        </w:rPr>
        <w:t xml:space="preserve"> </w:t>
      </w:r>
      <w:r w:rsidRPr="00BA2DC2">
        <w:t>para</w:t>
      </w:r>
      <w:r w:rsidRPr="00A476AF">
        <w:rPr>
          <w:iCs/>
        </w:rPr>
        <w:t>. 1.</w:t>
      </w:r>
      <w:r w:rsidRPr="00D96898">
        <w:rPr>
          <w:iCs/>
        </w:rPr>
        <w:t xml:space="preserve"> </w:t>
      </w:r>
    </w:p>
  </w:footnote>
  <w:footnote w:id="144">
    <w:p w:rsidR="005A7639" w:rsidRPr="00D96898" w:rsidP="00BA2DC2" w14:paraId="3AC95CAA" w14:textId="77777777">
      <w:pPr>
        <w:pStyle w:val="FootnoteText"/>
      </w:pPr>
      <w:r w:rsidRPr="00D96898">
        <w:rPr>
          <w:rStyle w:val="FootnoteReference"/>
        </w:rPr>
        <w:footnoteRef/>
      </w:r>
      <w:r w:rsidRPr="00D96898">
        <w:t xml:space="preserve"> </w:t>
      </w:r>
      <w:r w:rsidRPr="00D96898">
        <w:rPr>
          <w:i/>
        </w:rPr>
        <w:t xml:space="preserve">See </w:t>
      </w:r>
      <w:r>
        <w:rPr>
          <w:i/>
        </w:rPr>
        <w:t>NPRM</w:t>
      </w:r>
      <w:r w:rsidR="009E29E6">
        <w:t>,</w:t>
      </w:r>
      <w:r w:rsidRPr="00A476AF">
        <w:rPr>
          <w:i/>
        </w:rPr>
        <w:t xml:space="preserve"> </w:t>
      </w:r>
      <w:r w:rsidRPr="00BA2DC2">
        <w:t>paras</w:t>
      </w:r>
      <w:r w:rsidRPr="00A476AF">
        <w:t>. 1</w:t>
      </w:r>
      <w:r w:rsidR="00DB5D56">
        <w:t>1</w:t>
      </w:r>
      <w:r w:rsidRPr="00A476AF">
        <w:t>-</w:t>
      </w:r>
      <w:r w:rsidR="00DB5D56">
        <w:t>21</w:t>
      </w:r>
      <w:r>
        <w:t>.</w:t>
      </w:r>
    </w:p>
  </w:footnote>
  <w:footnote w:id="145">
    <w:p w:rsidR="005A7639" w:rsidRPr="00D96898" w:rsidP="00BA2DC2" w14:paraId="59F4B1CF" w14:textId="77777777">
      <w:pPr>
        <w:pStyle w:val="FootnoteText"/>
        <w:rPr>
          <w:highlight w:val="yellow"/>
        </w:rPr>
      </w:pPr>
      <w:r w:rsidRPr="00D96898">
        <w:rPr>
          <w:rStyle w:val="FootnoteReference"/>
        </w:rPr>
        <w:footnoteRef/>
      </w:r>
      <w:r w:rsidRPr="00D96898">
        <w:t xml:space="preserve"> </w:t>
      </w:r>
      <w:r w:rsidRPr="00A476AF">
        <w:rPr>
          <w:i/>
          <w:iCs/>
        </w:rPr>
        <w:t xml:space="preserve">See </w:t>
      </w:r>
      <w:r>
        <w:rPr>
          <w:i/>
          <w:iCs/>
        </w:rPr>
        <w:t>NPRM</w:t>
      </w:r>
      <w:r w:rsidR="009E29E6">
        <w:t>,</w:t>
      </w:r>
      <w:r w:rsidRPr="00A476AF">
        <w:t xml:space="preserve"> paras. </w:t>
      </w:r>
      <w:r w:rsidR="00DB5D56">
        <w:t>22</w:t>
      </w:r>
      <w:r w:rsidRPr="00A476AF">
        <w:t>-</w:t>
      </w:r>
      <w:r w:rsidR="00DB5D56">
        <w:t>3</w:t>
      </w:r>
      <w:r w:rsidR="00DE7164">
        <w:t>1</w:t>
      </w:r>
      <w:r w:rsidRPr="00A476AF">
        <w:t>.</w:t>
      </w:r>
      <w:r w:rsidRPr="00D96898">
        <w:rPr>
          <w:highlight w:val="yellow"/>
        </w:rPr>
        <w:t xml:space="preserve"> </w:t>
      </w:r>
    </w:p>
  </w:footnote>
  <w:footnote w:id="146">
    <w:p w:rsidR="005A7639" w:rsidRPr="00D96898" w:rsidP="00BA2DC2" w14:paraId="1B563A0D" w14:textId="77777777">
      <w:pPr>
        <w:pStyle w:val="FootnoteText"/>
      </w:pPr>
      <w:r w:rsidRPr="007C35ED">
        <w:rPr>
          <w:rStyle w:val="FootnoteReference"/>
        </w:rPr>
        <w:footnoteRef/>
      </w:r>
      <w:r w:rsidRPr="007C35ED">
        <w:t xml:space="preserve"> </w:t>
      </w:r>
      <w:r w:rsidRPr="007C35ED">
        <w:rPr>
          <w:i/>
        </w:rPr>
        <w:t xml:space="preserve">See </w:t>
      </w:r>
      <w:r>
        <w:rPr>
          <w:i/>
        </w:rPr>
        <w:t>NPRM</w:t>
      </w:r>
      <w:r w:rsidR="009E29E6">
        <w:t>,</w:t>
      </w:r>
      <w:r w:rsidRPr="007C35ED">
        <w:rPr>
          <w:i/>
        </w:rPr>
        <w:t xml:space="preserve"> </w:t>
      </w:r>
      <w:r w:rsidRPr="007C35ED">
        <w:t xml:space="preserve">paras. </w:t>
      </w:r>
      <w:r w:rsidR="00DB5D56">
        <w:t>3</w:t>
      </w:r>
      <w:r w:rsidR="00DE7164">
        <w:t>2</w:t>
      </w:r>
      <w:r w:rsidRPr="007C35ED">
        <w:t>-</w:t>
      </w:r>
      <w:r w:rsidR="00DB5D56">
        <w:t>4</w:t>
      </w:r>
      <w:r w:rsidR="00DE7164">
        <w:t>4</w:t>
      </w:r>
      <w:r w:rsidRPr="007C35ED">
        <w:t>.</w:t>
      </w:r>
    </w:p>
  </w:footnote>
  <w:footnote w:id="147">
    <w:p w:rsidR="00C76EC7" w:rsidRPr="006A4C42" w:rsidP="00C76EC7" w14:paraId="2F31838A" w14:textId="77777777">
      <w:pPr>
        <w:pStyle w:val="FootnoteText"/>
      </w:pPr>
      <w:r w:rsidRPr="006A4C42">
        <w:rPr>
          <w:rStyle w:val="FootnoteReference"/>
        </w:rPr>
        <w:footnoteRef/>
      </w:r>
      <w:r w:rsidRPr="006A4C42">
        <w:t xml:space="preserve"> </w:t>
      </w:r>
      <w:r w:rsidRPr="006A4C42">
        <w:rPr>
          <w:i/>
          <w:iCs/>
        </w:rPr>
        <w:t>Zimmer Radio of Mid-Missouri, Inc. v. FCC</w:t>
      </w:r>
      <w:r w:rsidRPr="006A4C42">
        <w:t>, No. 24-1380, 2025 WL 2056854, at *1, slip op. at 5 (8th Cir. July 23, 2025) (</w:t>
      </w:r>
      <w:r w:rsidRPr="006A4C42">
        <w:rPr>
          <w:i/>
          <w:iCs/>
        </w:rPr>
        <w:t>Zimmer v. FCC</w:t>
      </w:r>
      <w:r w:rsidRPr="006A4C42">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2AF2660E" w14:textId="2FAFEB88">
    <w:pPr>
      <w:pStyle w:val="Header"/>
      <w:rPr>
        <w:b w:val="0"/>
      </w:rPr>
    </w:pPr>
    <w:r>
      <w:tab/>
      <w:t>Federal Communications Commission</w:t>
    </w:r>
    <w:r>
      <w:tab/>
    </w:r>
    <w:r w:rsidR="00505703">
      <w:t>FCC 25-</w:t>
    </w:r>
    <w:r w:rsidR="00DE3616">
      <w:t>64</w:t>
    </w:r>
  </w:p>
  <w:p w:rsidR="00D25FB5" w14:paraId="3041E8B9" w14:textId="77777777">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1550157033" name="Rectangle 1550157033"/>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1550157033"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D25FB5" w14:paraId="6B89DF8A" w14:textId="77777777">
    <w:pPr>
      <w:spacing w:after="389" w:line="100" w:lineRule="exact"/>
      <w:rPr>
        <w:sz w:val="1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27AB034D" w14:textId="3CFB2E33">
    <w:pPr>
      <w:pStyle w:val="Header"/>
      <w:rPr>
        <w:b w:val="0"/>
      </w:rPr>
    </w:pPr>
    <w:r>
      <w:rPr>
        <w:noProof/>
      </w:rPr>
      <mc:AlternateContent>
        <mc:Choice Requires="wps">
          <w:drawing>
            <wp:anchor distT="0" distB="0" distL="114300" distR="114300" simplePos="0" relativeHeight="251660288" behindDoc="1" locked="0" layoutInCell="0" allowOverlap="1">
              <wp:simplePos x="0" y="0"/>
              <wp:positionH relativeFrom="margin">
                <wp:posOffset>7620</wp:posOffset>
              </wp:positionH>
              <wp:positionV relativeFrom="paragraph">
                <wp:posOffset>160655</wp:posOffset>
              </wp:positionV>
              <wp:extent cx="5943600" cy="12065"/>
              <wp:effectExtent l="0" t="0" r="0" b="0"/>
              <wp:wrapNone/>
              <wp:docPr id="663119699" name="Rectangle 663119699"/>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663119699" o:spid="_x0000_s2050" style="width:468pt;height:0.95pt;margin-top:12.65pt;margin-left:0.6pt;mso-height-percent:0;mso-height-relative:page;mso-position-horizontal-relative:margin;mso-width-percent:0;mso-width-relative:page;mso-wrap-distance-bottom:0;mso-wrap-distance-left:9pt;mso-wrap-distance-right:9pt;mso-wrap-distance-top:0;mso-wrap-style:square;position:absolute;visibility:visible;v-text-anchor:top;z-index:-251655168" o:allowincell="f" fillcolor="black" stroked="f" strokeweight="0.05pt">
              <w10:wrap anchorx="margin"/>
            </v:rect>
          </w:pict>
        </mc:Fallback>
      </mc:AlternateContent>
    </w:r>
    <w:r>
      <w:tab/>
      <w:t>Federal Communications Commission</w:t>
    </w:r>
    <w:r>
      <w:tab/>
    </w:r>
    <w:r w:rsidR="00505703">
      <w:t>FCC</w:t>
    </w:r>
    <w:r w:rsidR="00505703">
      <w:rPr>
        <w:spacing w:val="-2"/>
      </w:rPr>
      <w:t xml:space="preserve"> 25-</w:t>
    </w:r>
    <w:r w:rsidR="00DE3616">
      <w:rPr>
        <w:spacing w:val="-2"/>
      </w:rPr>
      <w:t>64</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2">
    <w:nsid w:val="248246F3"/>
    <w:multiLevelType w:val="singleLevel"/>
    <w:tmpl w:val="B1F45678"/>
    <w:lvl w:ilvl="0">
      <w:start w:val="1"/>
      <w:numFmt w:val="decimal"/>
      <w:lvlText w:val="%1."/>
      <w:lvlJc w:val="left"/>
      <w:pPr>
        <w:tabs>
          <w:tab w:val="num" w:pos="1080"/>
        </w:tabs>
        <w:ind w:left="0" w:firstLine="720"/>
      </w:pPr>
    </w:lvl>
  </w:abstractNum>
  <w:abstractNum w:abstractNumId="3">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4">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5">
    <w:nsid w:val="53E700C1"/>
    <w:multiLevelType w:val="hybridMultilevel"/>
    <w:tmpl w:val="4164F0D4"/>
    <w:lvl w:ilvl="0">
      <w:start w:val="1"/>
      <w:numFmt w:val="bullet"/>
      <w:lvlText w:val=""/>
      <w:lvlJc w:val="left"/>
      <w:pPr>
        <w:ind w:left="1080" w:hanging="360"/>
      </w:pPr>
      <w:rPr>
        <w:rFonts w:ascii="Symbol" w:hAnsi="Symbol" w:hint="default"/>
      </w:rPr>
    </w:lvl>
    <w:lvl w:ilvl="1">
      <w:start w:val="1"/>
      <w:numFmt w:val="bullet"/>
      <w:lvlText w:val="o"/>
      <w:lvlJc w:val="left"/>
      <w:pPr>
        <w:ind w:left="1800" w:hanging="360"/>
      </w:pPr>
      <w:rPr>
        <w:rFonts w:ascii="Courier New" w:hAnsi="Courier New" w:cs="Courier New" w:hint="default"/>
      </w:rPr>
    </w:lvl>
    <w:lvl w:ilvl="2" w:tentative="1">
      <w:start w:val="1"/>
      <w:numFmt w:val="bullet"/>
      <w:lvlText w:val=""/>
      <w:lvlJc w:val="left"/>
      <w:pPr>
        <w:ind w:left="2520" w:hanging="360"/>
      </w:pPr>
      <w:rPr>
        <w:rFonts w:ascii="Wingdings" w:hAnsi="Wingdings" w:hint="default"/>
      </w:rPr>
    </w:lvl>
    <w:lvl w:ilvl="3" w:tentative="1">
      <w:start w:val="1"/>
      <w:numFmt w:val="bullet"/>
      <w:lvlText w:val=""/>
      <w:lvlJc w:val="left"/>
      <w:pPr>
        <w:ind w:left="3240" w:hanging="360"/>
      </w:pPr>
      <w:rPr>
        <w:rFonts w:ascii="Symbol" w:hAnsi="Symbol" w:hint="default"/>
      </w:rPr>
    </w:lvl>
    <w:lvl w:ilvl="4" w:tentative="1">
      <w:start w:val="1"/>
      <w:numFmt w:val="bullet"/>
      <w:lvlText w:val="o"/>
      <w:lvlJc w:val="left"/>
      <w:pPr>
        <w:ind w:left="3960" w:hanging="360"/>
      </w:pPr>
      <w:rPr>
        <w:rFonts w:ascii="Courier New" w:hAnsi="Courier New" w:cs="Courier New" w:hint="default"/>
      </w:rPr>
    </w:lvl>
    <w:lvl w:ilvl="5" w:tentative="1">
      <w:start w:val="1"/>
      <w:numFmt w:val="bullet"/>
      <w:lvlText w:val=""/>
      <w:lvlJc w:val="left"/>
      <w:pPr>
        <w:ind w:left="4680" w:hanging="360"/>
      </w:pPr>
      <w:rPr>
        <w:rFonts w:ascii="Wingdings" w:hAnsi="Wingdings" w:hint="default"/>
      </w:rPr>
    </w:lvl>
    <w:lvl w:ilvl="6" w:tentative="1">
      <w:start w:val="1"/>
      <w:numFmt w:val="bullet"/>
      <w:lvlText w:val=""/>
      <w:lvlJc w:val="left"/>
      <w:pPr>
        <w:ind w:left="5400" w:hanging="360"/>
      </w:pPr>
      <w:rPr>
        <w:rFonts w:ascii="Symbol" w:hAnsi="Symbol" w:hint="default"/>
      </w:rPr>
    </w:lvl>
    <w:lvl w:ilvl="7" w:tentative="1">
      <w:start w:val="1"/>
      <w:numFmt w:val="bullet"/>
      <w:lvlText w:val="o"/>
      <w:lvlJc w:val="left"/>
      <w:pPr>
        <w:ind w:left="6120" w:hanging="360"/>
      </w:pPr>
      <w:rPr>
        <w:rFonts w:ascii="Courier New" w:hAnsi="Courier New" w:cs="Courier New" w:hint="default"/>
      </w:rPr>
    </w:lvl>
    <w:lvl w:ilvl="8" w:tentative="1">
      <w:start w:val="1"/>
      <w:numFmt w:val="bullet"/>
      <w:lvlText w:val=""/>
      <w:lvlJc w:val="left"/>
      <w:pPr>
        <w:ind w:left="6840" w:hanging="360"/>
      </w:pPr>
      <w:rPr>
        <w:rFonts w:ascii="Wingdings" w:hAnsi="Wingdings" w:hint="default"/>
      </w:rPr>
    </w:lvl>
  </w:abstractNum>
  <w:abstractNum w:abstractNumId="6">
    <w:nsid w:val="61182925"/>
    <w:multiLevelType w:val="singleLevel"/>
    <w:tmpl w:val="A9EE9842"/>
    <w:lvl w:ilvl="0">
      <w:start w:val="1"/>
      <w:numFmt w:val="decimal"/>
      <w:pStyle w:val="ParaNum"/>
      <w:lvlText w:val="%1."/>
      <w:lvlJc w:val="left"/>
      <w:pPr>
        <w:tabs>
          <w:tab w:val="num" w:pos="1080"/>
        </w:tabs>
        <w:ind w:left="0" w:firstLine="720"/>
      </w:pPr>
    </w:lvl>
  </w:abstractNum>
  <w:num w:numId="1" w16cid:durableId="1101878441">
    <w:abstractNumId w:val="6"/>
  </w:num>
  <w:num w:numId="2" w16cid:durableId="1462502058">
    <w:abstractNumId w:val="3"/>
  </w:num>
  <w:num w:numId="3" w16cid:durableId="1477599659">
    <w:abstractNumId w:val="6"/>
    <w:lvlOverride w:ilvl="0">
      <w:startOverride w:val="1"/>
    </w:lvlOverride>
  </w:num>
  <w:num w:numId="4" w16cid:durableId="48655443">
    <w:abstractNumId w:val="5"/>
  </w:num>
  <w:num w:numId="5" w16cid:durableId="578831008">
    <w:abstractNumId w:val="6"/>
    <w:lvlOverride w:ilvl="0">
      <w:startOverride w:val="1"/>
    </w:lvlOverride>
  </w:num>
  <w:num w:numId="6" w16cid:durableId="345133552">
    <w:abstractNumId w:val="6"/>
  </w:num>
  <w:num w:numId="7" w16cid:durableId="1546478543">
    <w:abstractNumId w:val="6"/>
  </w:num>
  <w:num w:numId="8" w16cid:durableId="899560445">
    <w:abstractNumId w:val="6"/>
  </w:num>
  <w:num w:numId="9" w16cid:durableId="638533489">
    <w:abstractNumId w:val="6"/>
  </w:num>
  <w:num w:numId="10" w16cid:durableId="1671711516">
    <w:abstractNumId w:val="6"/>
  </w:num>
  <w:num w:numId="11" w16cid:durableId="701830370">
    <w:abstractNumId w:val="6"/>
  </w:num>
  <w:num w:numId="12" w16cid:durableId="88164173">
    <w:abstractNumId w:val="6"/>
  </w:num>
  <w:num w:numId="13" w16cid:durableId="1016268053">
    <w:abstractNumId w:val="6"/>
  </w:num>
  <w:num w:numId="14" w16cid:durableId="1281111819">
    <w:abstractNumId w:val="6"/>
  </w:num>
  <w:num w:numId="15" w16cid:durableId="1923906916">
    <w:abstractNumId w:val="6"/>
  </w:num>
  <w:num w:numId="16" w16cid:durableId="1824588153">
    <w:abstractNumId w:val="6"/>
  </w:num>
  <w:num w:numId="17" w16cid:durableId="414324531">
    <w:abstractNumId w:val="6"/>
  </w:num>
  <w:num w:numId="18" w16cid:durableId="404188277">
    <w:abstractNumId w:val="6"/>
  </w:num>
  <w:num w:numId="19" w16cid:durableId="1480609994">
    <w:abstractNumId w:val="1"/>
  </w:num>
  <w:num w:numId="20" w16cid:durableId="971861604">
    <w:abstractNumId w:val="4"/>
  </w:num>
  <w:num w:numId="21" w16cid:durableId="823617930">
    <w:abstractNumId w:val="2"/>
  </w:num>
  <w:num w:numId="22" w16cid:durableId="752044637">
    <w:abstractNumId w:val="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attachedTemplate r:id="rId1"/>
  <w:linkStyles/>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numRestart w:val="eachSect"/>
    <w:footnote w:id="0"/>
    <w:footnote w:id="1"/>
    <w:footnote w:id="2"/>
  </w:footnotePr>
  <w:endnotePr>
    <w:numFmt w:val="decimal"/>
    <w:endnote w:id="0"/>
    <w:endnote w:id="1"/>
    <w:endnote w:id="2"/>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541A7"/>
    <w:rsid w:val="00000FCD"/>
    <w:rsid w:val="00001D6C"/>
    <w:rsid w:val="00003E04"/>
    <w:rsid w:val="000055DB"/>
    <w:rsid w:val="00006231"/>
    <w:rsid w:val="00007305"/>
    <w:rsid w:val="00007E5F"/>
    <w:rsid w:val="00011112"/>
    <w:rsid w:val="00011C29"/>
    <w:rsid w:val="00012CE3"/>
    <w:rsid w:val="00013180"/>
    <w:rsid w:val="0001423F"/>
    <w:rsid w:val="00015EE1"/>
    <w:rsid w:val="000168AA"/>
    <w:rsid w:val="00017CED"/>
    <w:rsid w:val="0002037A"/>
    <w:rsid w:val="00020E72"/>
    <w:rsid w:val="00021F1F"/>
    <w:rsid w:val="0002322F"/>
    <w:rsid w:val="000251ED"/>
    <w:rsid w:val="00025823"/>
    <w:rsid w:val="00025C0C"/>
    <w:rsid w:val="00026FF8"/>
    <w:rsid w:val="00027E71"/>
    <w:rsid w:val="00030ED5"/>
    <w:rsid w:val="000321CA"/>
    <w:rsid w:val="000352CF"/>
    <w:rsid w:val="0003596E"/>
    <w:rsid w:val="00036039"/>
    <w:rsid w:val="000367D4"/>
    <w:rsid w:val="00037F90"/>
    <w:rsid w:val="0004047C"/>
    <w:rsid w:val="0004099B"/>
    <w:rsid w:val="00040FE1"/>
    <w:rsid w:val="000414BD"/>
    <w:rsid w:val="00041BFB"/>
    <w:rsid w:val="00043501"/>
    <w:rsid w:val="00043751"/>
    <w:rsid w:val="00043CBD"/>
    <w:rsid w:val="00044226"/>
    <w:rsid w:val="00050C30"/>
    <w:rsid w:val="00050D53"/>
    <w:rsid w:val="00052ADB"/>
    <w:rsid w:val="00052DDA"/>
    <w:rsid w:val="0005371D"/>
    <w:rsid w:val="00054A1C"/>
    <w:rsid w:val="000571A6"/>
    <w:rsid w:val="000579A0"/>
    <w:rsid w:val="00060049"/>
    <w:rsid w:val="000613D7"/>
    <w:rsid w:val="0006216A"/>
    <w:rsid w:val="000626CA"/>
    <w:rsid w:val="00063186"/>
    <w:rsid w:val="00065D5D"/>
    <w:rsid w:val="000663AC"/>
    <w:rsid w:val="00067E51"/>
    <w:rsid w:val="00070D14"/>
    <w:rsid w:val="00070E70"/>
    <w:rsid w:val="00070F15"/>
    <w:rsid w:val="00073F3C"/>
    <w:rsid w:val="00076AFB"/>
    <w:rsid w:val="00077889"/>
    <w:rsid w:val="00080610"/>
    <w:rsid w:val="000815E4"/>
    <w:rsid w:val="000832AE"/>
    <w:rsid w:val="00084518"/>
    <w:rsid w:val="00085094"/>
    <w:rsid w:val="000851B5"/>
    <w:rsid w:val="00085BBB"/>
    <w:rsid w:val="00085C96"/>
    <w:rsid w:val="000868B3"/>
    <w:rsid w:val="0008699E"/>
    <w:rsid w:val="000875BF"/>
    <w:rsid w:val="0009179A"/>
    <w:rsid w:val="00091A3E"/>
    <w:rsid w:val="00091CB0"/>
    <w:rsid w:val="000925CA"/>
    <w:rsid w:val="000948CA"/>
    <w:rsid w:val="000953B4"/>
    <w:rsid w:val="00095E7D"/>
    <w:rsid w:val="000961D8"/>
    <w:rsid w:val="00096727"/>
    <w:rsid w:val="00096A66"/>
    <w:rsid w:val="00096D8C"/>
    <w:rsid w:val="000970BC"/>
    <w:rsid w:val="000A2D53"/>
    <w:rsid w:val="000A3C21"/>
    <w:rsid w:val="000A6170"/>
    <w:rsid w:val="000A6643"/>
    <w:rsid w:val="000A687E"/>
    <w:rsid w:val="000A6B4D"/>
    <w:rsid w:val="000A79E6"/>
    <w:rsid w:val="000B00BA"/>
    <w:rsid w:val="000B022B"/>
    <w:rsid w:val="000B10BE"/>
    <w:rsid w:val="000B32EB"/>
    <w:rsid w:val="000B4C42"/>
    <w:rsid w:val="000B4C56"/>
    <w:rsid w:val="000B4E2C"/>
    <w:rsid w:val="000B741D"/>
    <w:rsid w:val="000C0B65"/>
    <w:rsid w:val="000C151E"/>
    <w:rsid w:val="000C1946"/>
    <w:rsid w:val="000C19F8"/>
    <w:rsid w:val="000C3457"/>
    <w:rsid w:val="000C3A87"/>
    <w:rsid w:val="000C44B7"/>
    <w:rsid w:val="000C4992"/>
    <w:rsid w:val="000C49F2"/>
    <w:rsid w:val="000C54CC"/>
    <w:rsid w:val="000C7905"/>
    <w:rsid w:val="000D001C"/>
    <w:rsid w:val="000D0AF4"/>
    <w:rsid w:val="000D1584"/>
    <w:rsid w:val="000D42B7"/>
    <w:rsid w:val="000D470E"/>
    <w:rsid w:val="000D5221"/>
    <w:rsid w:val="000D6A86"/>
    <w:rsid w:val="000D7687"/>
    <w:rsid w:val="000E05FE"/>
    <w:rsid w:val="000E0859"/>
    <w:rsid w:val="000E1403"/>
    <w:rsid w:val="000E22AC"/>
    <w:rsid w:val="000E3D42"/>
    <w:rsid w:val="000E7774"/>
    <w:rsid w:val="000F0AF7"/>
    <w:rsid w:val="000F5AAB"/>
    <w:rsid w:val="000F5E29"/>
    <w:rsid w:val="000F7970"/>
    <w:rsid w:val="000F7D31"/>
    <w:rsid w:val="00100005"/>
    <w:rsid w:val="001001AA"/>
    <w:rsid w:val="001011F2"/>
    <w:rsid w:val="00101EC3"/>
    <w:rsid w:val="001035A8"/>
    <w:rsid w:val="00104B7E"/>
    <w:rsid w:val="00104D45"/>
    <w:rsid w:val="00105BA8"/>
    <w:rsid w:val="001061ED"/>
    <w:rsid w:val="00111383"/>
    <w:rsid w:val="00111ABA"/>
    <w:rsid w:val="00112331"/>
    <w:rsid w:val="00112F5D"/>
    <w:rsid w:val="0011527D"/>
    <w:rsid w:val="00115612"/>
    <w:rsid w:val="00117520"/>
    <w:rsid w:val="00117A68"/>
    <w:rsid w:val="0012201E"/>
    <w:rsid w:val="001225C7"/>
    <w:rsid w:val="00122BD5"/>
    <w:rsid w:val="00123098"/>
    <w:rsid w:val="00123D2D"/>
    <w:rsid w:val="0012414C"/>
    <w:rsid w:val="00124756"/>
    <w:rsid w:val="001257CA"/>
    <w:rsid w:val="00126B04"/>
    <w:rsid w:val="001272F1"/>
    <w:rsid w:val="00130928"/>
    <w:rsid w:val="00133467"/>
    <w:rsid w:val="00133F79"/>
    <w:rsid w:val="00134C78"/>
    <w:rsid w:val="00135134"/>
    <w:rsid w:val="001377CA"/>
    <w:rsid w:val="001404C1"/>
    <w:rsid w:val="00140814"/>
    <w:rsid w:val="0014097D"/>
    <w:rsid w:val="001433A0"/>
    <w:rsid w:val="00143CCF"/>
    <w:rsid w:val="001449F9"/>
    <w:rsid w:val="0014522B"/>
    <w:rsid w:val="00145453"/>
    <w:rsid w:val="001475D6"/>
    <w:rsid w:val="00147675"/>
    <w:rsid w:val="00147A26"/>
    <w:rsid w:val="001504BC"/>
    <w:rsid w:val="00152217"/>
    <w:rsid w:val="00152FC7"/>
    <w:rsid w:val="0015309C"/>
    <w:rsid w:val="00153200"/>
    <w:rsid w:val="001544F2"/>
    <w:rsid w:val="001547D5"/>
    <w:rsid w:val="001558E5"/>
    <w:rsid w:val="00157A37"/>
    <w:rsid w:val="00157DA8"/>
    <w:rsid w:val="001603BF"/>
    <w:rsid w:val="00161467"/>
    <w:rsid w:val="001625B8"/>
    <w:rsid w:val="001636A0"/>
    <w:rsid w:val="0016481B"/>
    <w:rsid w:val="00164DB2"/>
    <w:rsid w:val="0016575B"/>
    <w:rsid w:val="0016680E"/>
    <w:rsid w:val="001708CA"/>
    <w:rsid w:val="00170F7A"/>
    <w:rsid w:val="00171126"/>
    <w:rsid w:val="0017296B"/>
    <w:rsid w:val="00172B5F"/>
    <w:rsid w:val="0017617F"/>
    <w:rsid w:val="00176379"/>
    <w:rsid w:val="0017782A"/>
    <w:rsid w:val="001779D2"/>
    <w:rsid w:val="001800EB"/>
    <w:rsid w:val="00181C08"/>
    <w:rsid w:val="00183ADB"/>
    <w:rsid w:val="00184D9A"/>
    <w:rsid w:val="00185C02"/>
    <w:rsid w:val="00186CA6"/>
    <w:rsid w:val="00191195"/>
    <w:rsid w:val="001913F4"/>
    <w:rsid w:val="001926E0"/>
    <w:rsid w:val="00194A66"/>
    <w:rsid w:val="00194B42"/>
    <w:rsid w:val="00196A8E"/>
    <w:rsid w:val="0019754C"/>
    <w:rsid w:val="001A01E3"/>
    <w:rsid w:val="001A160E"/>
    <w:rsid w:val="001A197C"/>
    <w:rsid w:val="001A1FBB"/>
    <w:rsid w:val="001A4AF0"/>
    <w:rsid w:val="001A4FC6"/>
    <w:rsid w:val="001A5504"/>
    <w:rsid w:val="001A6C56"/>
    <w:rsid w:val="001B01CE"/>
    <w:rsid w:val="001B0DE7"/>
    <w:rsid w:val="001B2117"/>
    <w:rsid w:val="001B414A"/>
    <w:rsid w:val="001B5003"/>
    <w:rsid w:val="001B7316"/>
    <w:rsid w:val="001C21F7"/>
    <w:rsid w:val="001C2BC2"/>
    <w:rsid w:val="001C334B"/>
    <w:rsid w:val="001C3550"/>
    <w:rsid w:val="001C461F"/>
    <w:rsid w:val="001C66E0"/>
    <w:rsid w:val="001C7B3C"/>
    <w:rsid w:val="001D04F0"/>
    <w:rsid w:val="001D27D0"/>
    <w:rsid w:val="001D2913"/>
    <w:rsid w:val="001D3134"/>
    <w:rsid w:val="001D40E5"/>
    <w:rsid w:val="001D4567"/>
    <w:rsid w:val="001D4A73"/>
    <w:rsid w:val="001D4F91"/>
    <w:rsid w:val="001D5D6B"/>
    <w:rsid w:val="001D5E2B"/>
    <w:rsid w:val="001D6BCF"/>
    <w:rsid w:val="001D7436"/>
    <w:rsid w:val="001D7A61"/>
    <w:rsid w:val="001E01CA"/>
    <w:rsid w:val="001E05DB"/>
    <w:rsid w:val="001E1A8F"/>
    <w:rsid w:val="001E3342"/>
    <w:rsid w:val="001E3A16"/>
    <w:rsid w:val="001E42CA"/>
    <w:rsid w:val="001E4DD5"/>
    <w:rsid w:val="001E5041"/>
    <w:rsid w:val="001E59E0"/>
    <w:rsid w:val="001E64D6"/>
    <w:rsid w:val="001E66EC"/>
    <w:rsid w:val="001E682C"/>
    <w:rsid w:val="001E728B"/>
    <w:rsid w:val="001F353B"/>
    <w:rsid w:val="001F3706"/>
    <w:rsid w:val="001F3C53"/>
    <w:rsid w:val="001F414D"/>
    <w:rsid w:val="001F4A52"/>
    <w:rsid w:val="001F6059"/>
    <w:rsid w:val="001F64E3"/>
    <w:rsid w:val="001F6C75"/>
    <w:rsid w:val="001F6E96"/>
    <w:rsid w:val="001F77E3"/>
    <w:rsid w:val="00200B4E"/>
    <w:rsid w:val="00201391"/>
    <w:rsid w:val="00201529"/>
    <w:rsid w:val="00201B0E"/>
    <w:rsid w:val="00203782"/>
    <w:rsid w:val="002042B9"/>
    <w:rsid w:val="00207375"/>
    <w:rsid w:val="00207D4E"/>
    <w:rsid w:val="00207E9C"/>
    <w:rsid w:val="00207EFF"/>
    <w:rsid w:val="002106D1"/>
    <w:rsid w:val="00210CAF"/>
    <w:rsid w:val="00212E58"/>
    <w:rsid w:val="00213914"/>
    <w:rsid w:val="002148F1"/>
    <w:rsid w:val="00215091"/>
    <w:rsid w:val="002158F1"/>
    <w:rsid w:val="002168E5"/>
    <w:rsid w:val="002169CE"/>
    <w:rsid w:val="0021726A"/>
    <w:rsid w:val="00217806"/>
    <w:rsid w:val="00217A09"/>
    <w:rsid w:val="00217A74"/>
    <w:rsid w:val="00221F48"/>
    <w:rsid w:val="0022209E"/>
    <w:rsid w:val="002231A4"/>
    <w:rsid w:val="00223F15"/>
    <w:rsid w:val="002245C3"/>
    <w:rsid w:val="002252EA"/>
    <w:rsid w:val="0022579C"/>
    <w:rsid w:val="00226E70"/>
    <w:rsid w:val="0023116F"/>
    <w:rsid w:val="00231AA2"/>
    <w:rsid w:val="00231BAF"/>
    <w:rsid w:val="00232167"/>
    <w:rsid w:val="00232DE1"/>
    <w:rsid w:val="00235851"/>
    <w:rsid w:val="002359E9"/>
    <w:rsid w:val="0023619B"/>
    <w:rsid w:val="002363EB"/>
    <w:rsid w:val="00236C4E"/>
    <w:rsid w:val="0024099B"/>
    <w:rsid w:val="0024193D"/>
    <w:rsid w:val="00241D61"/>
    <w:rsid w:val="00242472"/>
    <w:rsid w:val="00243853"/>
    <w:rsid w:val="00244633"/>
    <w:rsid w:val="00244F4E"/>
    <w:rsid w:val="00245932"/>
    <w:rsid w:val="00247D77"/>
    <w:rsid w:val="0025008B"/>
    <w:rsid w:val="002523FC"/>
    <w:rsid w:val="00253EFF"/>
    <w:rsid w:val="00255F7C"/>
    <w:rsid w:val="0025788F"/>
    <w:rsid w:val="00262C58"/>
    <w:rsid w:val="00263C9E"/>
    <w:rsid w:val="00264082"/>
    <w:rsid w:val="002649C8"/>
    <w:rsid w:val="00265A34"/>
    <w:rsid w:val="00265A5C"/>
    <w:rsid w:val="00266606"/>
    <w:rsid w:val="0027073F"/>
    <w:rsid w:val="002708AA"/>
    <w:rsid w:val="002709E1"/>
    <w:rsid w:val="00271658"/>
    <w:rsid w:val="002724B0"/>
    <w:rsid w:val="0027285D"/>
    <w:rsid w:val="00275CF5"/>
    <w:rsid w:val="00276784"/>
    <w:rsid w:val="0027708A"/>
    <w:rsid w:val="00277AF7"/>
    <w:rsid w:val="002802CF"/>
    <w:rsid w:val="002810E6"/>
    <w:rsid w:val="00281873"/>
    <w:rsid w:val="00281D2C"/>
    <w:rsid w:val="0028301F"/>
    <w:rsid w:val="002839E7"/>
    <w:rsid w:val="0028412C"/>
    <w:rsid w:val="00285017"/>
    <w:rsid w:val="0028694A"/>
    <w:rsid w:val="0028709A"/>
    <w:rsid w:val="0028756D"/>
    <w:rsid w:val="00287687"/>
    <w:rsid w:val="00287F8D"/>
    <w:rsid w:val="002903FD"/>
    <w:rsid w:val="00290532"/>
    <w:rsid w:val="00291356"/>
    <w:rsid w:val="00291D18"/>
    <w:rsid w:val="00291DAA"/>
    <w:rsid w:val="00291FF2"/>
    <w:rsid w:val="002920BA"/>
    <w:rsid w:val="0029353A"/>
    <w:rsid w:val="002952FF"/>
    <w:rsid w:val="0029598C"/>
    <w:rsid w:val="00296FCD"/>
    <w:rsid w:val="002A221A"/>
    <w:rsid w:val="002A24A6"/>
    <w:rsid w:val="002A25A7"/>
    <w:rsid w:val="002A2D2E"/>
    <w:rsid w:val="002A2FB9"/>
    <w:rsid w:val="002A40FE"/>
    <w:rsid w:val="002A4DDA"/>
    <w:rsid w:val="002A5E74"/>
    <w:rsid w:val="002A71EF"/>
    <w:rsid w:val="002A73A9"/>
    <w:rsid w:val="002B2098"/>
    <w:rsid w:val="002B2D27"/>
    <w:rsid w:val="002B4EA3"/>
    <w:rsid w:val="002B4EC8"/>
    <w:rsid w:val="002B547B"/>
    <w:rsid w:val="002B57B6"/>
    <w:rsid w:val="002B5A52"/>
    <w:rsid w:val="002B6D02"/>
    <w:rsid w:val="002B6DA5"/>
    <w:rsid w:val="002C00E8"/>
    <w:rsid w:val="002C1187"/>
    <w:rsid w:val="002C1640"/>
    <w:rsid w:val="002C189A"/>
    <w:rsid w:val="002C18F6"/>
    <w:rsid w:val="002C1CC1"/>
    <w:rsid w:val="002C3B03"/>
    <w:rsid w:val="002C6556"/>
    <w:rsid w:val="002C715C"/>
    <w:rsid w:val="002C7976"/>
    <w:rsid w:val="002C7D74"/>
    <w:rsid w:val="002C7EAC"/>
    <w:rsid w:val="002D08F8"/>
    <w:rsid w:val="002D11BF"/>
    <w:rsid w:val="002D1472"/>
    <w:rsid w:val="002D1C32"/>
    <w:rsid w:val="002D1C42"/>
    <w:rsid w:val="002D294F"/>
    <w:rsid w:val="002D376B"/>
    <w:rsid w:val="002D3979"/>
    <w:rsid w:val="002D4AFF"/>
    <w:rsid w:val="002D4B2D"/>
    <w:rsid w:val="002D5217"/>
    <w:rsid w:val="002D5F32"/>
    <w:rsid w:val="002D6FFB"/>
    <w:rsid w:val="002D725D"/>
    <w:rsid w:val="002E0028"/>
    <w:rsid w:val="002E0D18"/>
    <w:rsid w:val="002E0F49"/>
    <w:rsid w:val="002E1160"/>
    <w:rsid w:val="002E1485"/>
    <w:rsid w:val="002E2240"/>
    <w:rsid w:val="002E3333"/>
    <w:rsid w:val="002E3A8D"/>
    <w:rsid w:val="002E3B96"/>
    <w:rsid w:val="002E3B99"/>
    <w:rsid w:val="002E3DB5"/>
    <w:rsid w:val="002E4EA7"/>
    <w:rsid w:val="002E5D2E"/>
    <w:rsid w:val="002E6494"/>
    <w:rsid w:val="002E68EE"/>
    <w:rsid w:val="002E6AFE"/>
    <w:rsid w:val="002E6DA8"/>
    <w:rsid w:val="002E77ED"/>
    <w:rsid w:val="002F23D0"/>
    <w:rsid w:val="002F323E"/>
    <w:rsid w:val="002F41DA"/>
    <w:rsid w:val="002F49C5"/>
    <w:rsid w:val="002F4AC8"/>
    <w:rsid w:val="002F5C8F"/>
    <w:rsid w:val="002F6BC4"/>
    <w:rsid w:val="002F6E41"/>
    <w:rsid w:val="002F7271"/>
    <w:rsid w:val="002F744C"/>
    <w:rsid w:val="002F76C9"/>
    <w:rsid w:val="0030088D"/>
    <w:rsid w:val="00300D23"/>
    <w:rsid w:val="00300DB9"/>
    <w:rsid w:val="00300F42"/>
    <w:rsid w:val="00301067"/>
    <w:rsid w:val="00301A41"/>
    <w:rsid w:val="003021AB"/>
    <w:rsid w:val="00302B7E"/>
    <w:rsid w:val="003047B1"/>
    <w:rsid w:val="003055AD"/>
    <w:rsid w:val="003064A2"/>
    <w:rsid w:val="00306B9F"/>
    <w:rsid w:val="00306D8B"/>
    <w:rsid w:val="003104DF"/>
    <w:rsid w:val="00311786"/>
    <w:rsid w:val="00312441"/>
    <w:rsid w:val="003129FD"/>
    <w:rsid w:val="00312C14"/>
    <w:rsid w:val="00314973"/>
    <w:rsid w:val="00316907"/>
    <w:rsid w:val="00317054"/>
    <w:rsid w:val="0032174A"/>
    <w:rsid w:val="003225F7"/>
    <w:rsid w:val="0032339B"/>
    <w:rsid w:val="00323569"/>
    <w:rsid w:val="00323D0E"/>
    <w:rsid w:val="0032447A"/>
    <w:rsid w:val="003244AD"/>
    <w:rsid w:val="003248E0"/>
    <w:rsid w:val="003252B6"/>
    <w:rsid w:val="00326A92"/>
    <w:rsid w:val="00326C87"/>
    <w:rsid w:val="0033207E"/>
    <w:rsid w:val="003326AB"/>
    <w:rsid w:val="00332CE5"/>
    <w:rsid w:val="00332F31"/>
    <w:rsid w:val="00334E63"/>
    <w:rsid w:val="003353E1"/>
    <w:rsid w:val="0033577A"/>
    <w:rsid w:val="0034077C"/>
    <w:rsid w:val="00340CC1"/>
    <w:rsid w:val="00340FFA"/>
    <w:rsid w:val="003416AF"/>
    <w:rsid w:val="00341C6D"/>
    <w:rsid w:val="00343749"/>
    <w:rsid w:val="00344E1F"/>
    <w:rsid w:val="003453A9"/>
    <w:rsid w:val="0034638B"/>
    <w:rsid w:val="00346A5F"/>
    <w:rsid w:val="00350729"/>
    <w:rsid w:val="00350DB5"/>
    <w:rsid w:val="00351F62"/>
    <w:rsid w:val="00353CD6"/>
    <w:rsid w:val="00353E2B"/>
    <w:rsid w:val="00354B1A"/>
    <w:rsid w:val="003564A4"/>
    <w:rsid w:val="0035657D"/>
    <w:rsid w:val="00356A60"/>
    <w:rsid w:val="0035704D"/>
    <w:rsid w:val="003575E5"/>
    <w:rsid w:val="003577BB"/>
    <w:rsid w:val="00360001"/>
    <w:rsid w:val="003602DC"/>
    <w:rsid w:val="00360755"/>
    <w:rsid w:val="00360F41"/>
    <w:rsid w:val="00362B7C"/>
    <w:rsid w:val="00363509"/>
    <w:rsid w:val="00363E84"/>
    <w:rsid w:val="00364140"/>
    <w:rsid w:val="00365924"/>
    <w:rsid w:val="00365AA0"/>
    <w:rsid w:val="00365CF0"/>
    <w:rsid w:val="003660ED"/>
    <w:rsid w:val="003667A2"/>
    <w:rsid w:val="00367BBF"/>
    <w:rsid w:val="003704F3"/>
    <w:rsid w:val="0037125C"/>
    <w:rsid w:val="0037244A"/>
    <w:rsid w:val="003735F8"/>
    <w:rsid w:val="003736AB"/>
    <w:rsid w:val="00373CBE"/>
    <w:rsid w:val="003751F5"/>
    <w:rsid w:val="003771D8"/>
    <w:rsid w:val="00381E53"/>
    <w:rsid w:val="00383DD7"/>
    <w:rsid w:val="00384290"/>
    <w:rsid w:val="00387291"/>
    <w:rsid w:val="00391212"/>
    <w:rsid w:val="0039194C"/>
    <w:rsid w:val="00392656"/>
    <w:rsid w:val="00392CA5"/>
    <w:rsid w:val="00392E62"/>
    <w:rsid w:val="00394674"/>
    <w:rsid w:val="00394B3E"/>
    <w:rsid w:val="003952EB"/>
    <w:rsid w:val="00395330"/>
    <w:rsid w:val="00396A00"/>
    <w:rsid w:val="0039733F"/>
    <w:rsid w:val="003A0390"/>
    <w:rsid w:val="003A24E9"/>
    <w:rsid w:val="003A2E87"/>
    <w:rsid w:val="003A2FA8"/>
    <w:rsid w:val="003A459F"/>
    <w:rsid w:val="003A5B65"/>
    <w:rsid w:val="003A5C0C"/>
    <w:rsid w:val="003B0141"/>
    <w:rsid w:val="003B0550"/>
    <w:rsid w:val="003B1B1E"/>
    <w:rsid w:val="003B1D14"/>
    <w:rsid w:val="003B2F74"/>
    <w:rsid w:val="003B4150"/>
    <w:rsid w:val="003B4906"/>
    <w:rsid w:val="003B4A68"/>
    <w:rsid w:val="003B5965"/>
    <w:rsid w:val="003B5FF5"/>
    <w:rsid w:val="003B694F"/>
    <w:rsid w:val="003B7555"/>
    <w:rsid w:val="003C125E"/>
    <w:rsid w:val="003C1585"/>
    <w:rsid w:val="003C2304"/>
    <w:rsid w:val="003C2324"/>
    <w:rsid w:val="003C2EF7"/>
    <w:rsid w:val="003C30C2"/>
    <w:rsid w:val="003C34DC"/>
    <w:rsid w:val="003C6921"/>
    <w:rsid w:val="003C6E33"/>
    <w:rsid w:val="003D034A"/>
    <w:rsid w:val="003D2DAE"/>
    <w:rsid w:val="003D5B09"/>
    <w:rsid w:val="003D5FB2"/>
    <w:rsid w:val="003D781F"/>
    <w:rsid w:val="003E02E5"/>
    <w:rsid w:val="003E0960"/>
    <w:rsid w:val="003E1649"/>
    <w:rsid w:val="003E2BE6"/>
    <w:rsid w:val="003E3089"/>
    <w:rsid w:val="003E4156"/>
    <w:rsid w:val="003E482A"/>
    <w:rsid w:val="003E54A0"/>
    <w:rsid w:val="003E5B02"/>
    <w:rsid w:val="003E60CD"/>
    <w:rsid w:val="003E68E1"/>
    <w:rsid w:val="003F03BB"/>
    <w:rsid w:val="003F05B8"/>
    <w:rsid w:val="003F0B53"/>
    <w:rsid w:val="003F11AE"/>
    <w:rsid w:val="003F171C"/>
    <w:rsid w:val="003F197F"/>
    <w:rsid w:val="003F35A6"/>
    <w:rsid w:val="003F3B64"/>
    <w:rsid w:val="003F5D4F"/>
    <w:rsid w:val="00402FD5"/>
    <w:rsid w:val="004036D7"/>
    <w:rsid w:val="0040632D"/>
    <w:rsid w:val="004067DD"/>
    <w:rsid w:val="00407B1C"/>
    <w:rsid w:val="00407CFB"/>
    <w:rsid w:val="00407FCD"/>
    <w:rsid w:val="0041184F"/>
    <w:rsid w:val="00411B26"/>
    <w:rsid w:val="00412FC5"/>
    <w:rsid w:val="004134E4"/>
    <w:rsid w:val="00413C5E"/>
    <w:rsid w:val="004150DE"/>
    <w:rsid w:val="0041644A"/>
    <w:rsid w:val="00416B5B"/>
    <w:rsid w:val="00417873"/>
    <w:rsid w:val="004205CF"/>
    <w:rsid w:val="004206BE"/>
    <w:rsid w:val="00420ABF"/>
    <w:rsid w:val="004215A0"/>
    <w:rsid w:val="00422276"/>
    <w:rsid w:val="00423CEC"/>
    <w:rsid w:val="00424274"/>
    <w:rsid w:val="004242F1"/>
    <w:rsid w:val="00424896"/>
    <w:rsid w:val="00426918"/>
    <w:rsid w:val="00430B46"/>
    <w:rsid w:val="0043162C"/>
    <w:rsid w:val="00432336"/>
    <w:rsid w:val="00433583"/>
    <w:rsid w:val="00434176"/>
    <w:rsid w:val="00437702"/>
    <w:rsid w:val="00437C4E"/>
    <w:rsid w:val="00440A28"/>
    <w:rsid w:val="00440EA3"/>
    <w:rsid w:val="004424EF"/>
    <w:rsid w:val="004429A2"/>
    <w:rsid w:val="00442DCC"/>
    <w:rsid w:val="00443F43"/>
    <w:rsid w:val="0044477B"/>
    <w:rsid w:val="004459FA"/>
    <w:rsid w:val="00445A00"/>
    <w:rsid w:val="004468E7"/>
    <w:rsid w:val="00446DF1"/>
    <w:rsid w:val="00447053"/>
    <w:rsid w:val="00447D83"/>
    <w:rsid w:val="00450F97"/>
    <w:rsid w:val="00451B0F"/>
    <w:rsid w:val="0045311C"/>
    <w:rsid w:val="00453A4C"/>
    <w:rsid w:val="004540F9"/>
    <w:rsid w:val="00454186"/>
    <w:rsid w:val="0046102D"/>
    <w:rsid w:val="00461068"/>
    <w:rsid w:val="004614EC"/>
    <w:rsid w:val="004626E7"/>
    <w:rsid w:val="00462BA0"/>
    <w:rsid w:val="00463586"/>
    <w:rsid w:val="0046576B"/>
    <w:rsid w:val="00466F23"/>
    <w:rsid w:val="004671F3"/>
    <w:rsid w:val="004672A4"/>
    <w:rsid w:val="004674B6"/>
    <w:rsid w:val="00467ABA"/>
    <w:rsid w:val="00471E0A"/>
    <w:rsid w:val="00472847"/>
    <w:rsid w:val="00474D63"/>
    <w:rsid w:val="0047539D"/>
    <w:rsid w:val="0047603D"/>
    <w:rsid w:val="004777FD"/>
    <w:rsid w:val="00480098"/>
    <w:rsid w:val="00481471"/>
    <w:rsid w:val="00481DF1"/>
    <w:rsid w:val="00482A74"/>
    <w:rsid w:val="0048381C"/>
    <w:rsid w:val="0048499C"/>
    <w:rsid w:val="0048544A"/>
    <w:rsid w:val="00486212"/>
    <w:rsid w:val="0049021B"/>
    <w:rsid w:val="00491B0D"/>
    <w:rsid w:val="0049224D"/>
    <w:rsid w:val="00494672"/>
    <w:rsid w:val="00494A81"/>
    <w:rsid w:val="00494DFC"/>
    <w:rsid w:val="00495E64"/>
    <w:rsid w:val="00497DC5"/>
    <w:rsid w:val="004A0C33"/>
    <w:rsid w:val="004A0C67"/>
    <w:rsid w:val="004A2FD1"/>
    <w:rsid w:val="004A3288"/>
    <w:rsid w:val="004A37F2"/>
    <w:rsid w:val="004A3A7E"/>
    <w:rsid w:val="004A46C4"/>
    <w:rsid w:val="004A5C8A"/>
    <w:rsid w:val="004A7150"/>
    <w:rsid w:val="004B11DD"/>
    <w:rsid w:val="004B3490"/>
    <w:rsid w:val="004B38C3"/>
    <w:rsid w:val="004B4389"/>
    <w:rsid w:val="004B4C0F"/>
    <w:rsid w:val="004B5E7D"/>
    <w:rsid w:val="004B6166"/>
    <w:rsid w:val="004B63CA"/>
    <w:rsid w:val="004B6549"/>
    <w:rsid w:val="004B65E3"/>
    <w:rsid w:val="004B6811"/>
    <w:rsid w:val="004B6B4F"/>
    <w:rsid w:val="004B6F85"/>
    <w:rsid w:val="004B78E5"/>
    <w:rsid w:val="004C0B02"/>
    <w:rsid w:val="004C0D8B"/>
    <w:rsid w:val="004C1FA8"/>
    <w:rsid w:val="004C2075"/>
    <w:rsid w:val="004C2486"/>
    <w:rsid w:val="004C2EE3"/>
    <w:rsid w:val="004C3100"/>
    <w:rsid w:val="004C338D"/>
    <w:rsid w:val="004C3D6F"/>
    <w:rsid w:val="004C4402"/>
    <w:rsid w:val="004C49E8"/>
    <w:rsid w:val="004C5674"/>
    <w:rsid w:val="004C67CB"/>
    <w:rsid w:val="004C716F"/>
    <w:rsid w:val="004D1428"/>
    <w:rsid w:val="004D1D7C"/>
    <w:rsid w:val="004D458E"/>
    <w:rsid w:val="004D537C"/>
    <w:rsid w:val="004D60B4"/>
    <w:rsid w:val="004D6D4D"/>
    <w:rsid w:val="004D7901"/>
    <w:rsid w:val="004E0947"/>
    <w:rsid w:val="004E14CE"/>
    <w:rsid w:val="004E42D0"/>
    <w:rsid w:val="004E46E8"/>
    <w:rsid w:val="004E49D4"/>
    <w:rsid w:val="004E4A22"/>
    <w:rsid w:val="004E593C"/>
    <w:rsid w:val="004E5A71"/>
    <w:rsid w:val="004E5EA7"/>
    <w:rsid w:val="004F0524"/>
    <w:rsid w:val="004F075A"/>
    <w:rsid w:val="004F12D1"/>
    <w:rsid w:val="004F16FC"/>
    <w:rsid w:val="004F3F56"/>
    <w:rsid w:val="004F41B7"/>
    <w:rsid w:val="004F41F0"/>
    <w:rsid w:val="004F682F"/>
    <w:rsid w:val="004F69C4"/>
    <w:rsid w:val="004F7065"/>
    <w:rsid w:val="004F72A4"/>
    <w:rsid w:val="005004C3"/>
    <w:rsid w:val="00500591"/>
    <w:rsid w:val="00501C36"/>
    <w:rsid w:val="0050291D"/>
    <w:rsid w:val="0050296F"/>
    <w:rsid w:val="00502F10"/>
    <w:rsid w:val="005051F9"/>
    <w:rsid w:val="005055CE"/>
    <w:rsid w:val="00505703"/>
    <w:rsid w:val="0051087D"/>
    <w:rsid w:val="00511968"/>
    <w:rsid w:val="00513ECB"/>
    <w:rsid w:val="00513F2A"/>
    <w:rsid w:val="00514159"/>
    <w:rsid w:val="0051473A"/>
    <w:rsid w:val="00514E20"/>
    <w:rsid w:val="005151FA"/>
    <w:rsid w:val="005154EE"/>
    <w:rsid w:val="00515BDA"/>
    <w:rsid w:val="00516713"/>
    <w:rsid w:val="00517585"/>
    <w:rsid w:val="0052068C"/>
    <w:rsid w:val="00520BF2"/>
    <w:rsid w:val="005210DE"/>
    <w:rsid w:val="005217CC"/>
    <w:rsid w:val="00522BE5"/>
    <w:rsid w:val="00522EBB"/>
    <w:rsid w:val="00523538"/>
    <w:rsid w:val="00524241"/>
    <w:rsid w:val="005246EA"/>
    <w:rsid w:val="00524BA4"/>
    <w:rsid w:val="00524D0F"/>
    <w:rsid w:val="00524FE5"/>
    <w:rsid w:val="00525188"/>
    <w:rsid w:val="00532D51"/>
    <w:rsid w:val="00533879"/>
    <w:rsid w:val="00533B30"/>
    <w:rsid w:val="00534300"/>
    <w:rsid w:val="00534AEA"/>
    <w:rsid w:val="0053557E"/>
    <w:rsid w:val="005360B9"/>
    <w:rsid w:val="00536191"/>
    <w:rsid w:val="00537922"/>
    <w:rsid w:val="005407D7"/>
    <w:rsid w:val="00540EDA"/>
    <w:rsid w:val="00543757"/>
    <w:rsid w:val="00543FED"/>
    <w:rsid w:val="0054497C"/>
    <w:rsid w:val="005455F1"/>
    <w:rsid w:val="00547C0A"/>
    <w:rsid w:val="00550BE5"/>
    <w:rsid w:val="00550CA6"/>
    <w:rsid w:val="00550E51"/>
    <w:rsid w:val="005522A3"/>
    <w:rsid w:val="005531A8"/>
    <w:rsid w:val="00555AE2"/>
    <w:rsid w:val="0055614C"/>
    <w:rsid w:val="005577AD"/>
    <w:rsid w:val="005578AF"/>
    <w:rsid w:val="00560F35"/>
    <w:rsid w:val="00561D59"/>
    <w:rsid w:val="00562AAD"/>
    <w:rsid w:val="00566477"/>
    <w:rsid w:val="00566D06"/>
    <w:rsid w:val="00567A8E"/>
    <w:rsid w:val="005703C6"/>
    <w:rsid w:val="00570D53"/>
    <w:rsid w:val="005721A6"/>
    <w:rsid w:val="00572543"/>
    <w:rsid w:val="00572914"/>
    <w:rsid w:val="005731E0"/>
    <w:rsid w:val="00573214"/>
    <w:rsid w:val="005742FD"/>
    <w:rsid w:val="00574CE5"/>
    <w:rsid w:val="005751A9"/>
    <w:rsid w:val="00575916"/>
    <w:rsid w:val="00575DAD"/>
    <w:rsid w:val="00576992"/>
    <w:rsid w:val="005808B5"/>
    <w:rsid w:val="005814D4"/>
    <w:rsid w:val="00582ABA"/>
    <w:rsid w:val="00583BD8"/>
    <w:rsid w:val="00587BF7"/>
    <w:rsid w:val="00590879"/>
    <w:rsid w:val="00590DB1"/>
    <w:rsid w:val="00590DCF"/>
    <w:rsid w:val="005923D2"/>
    <w:rsid w:val="00592E8D"/>
    <w:rsid w:val="00594F59"/>
    <w:rsid w:val="005958E2"/>
    <w:rsid w:val="0059624B"/>
    <w:rsid w:val="00596ACF"/>
    <w:rsid w:val="00596AEA"/>
    <w:rsid w:val="005A015C"/>
    <w:rsid w:val="005A2640"/>
    <w:rsid w:val="005A296A"/>
    <w:rsid w:val="005A3E25"/>
    <w:rsid w:val="005A4B15"/>
    <w:rsid w:val="005A7639"/>
    <w:rsid w:val="005A7FFB"/>
    <w:rsid w:val="005B07BD"/>
    <w:rsid w:val="005B105D"/>
    <w:rsid w:val="005B1359"/>
    <w:rsid w:val="005B1778"/>
    <w:rsid w:val="005B1D06"/>
    <w:rsid w:val="005B1E94"/>
    <w:rsid w:val="005B2617"/>
    <w:rsid w:val="005B314C"/>
    <w:rsid w:val="005B3548"/>
    <w:rsid w:val="005B40A8"/>
    <w:rsid w:val="005B47DD"/>
    <w:rsid w:val="005B6F85"/>
    <w:rsid w:val="005B75BC"/>
    <w:rsid w:val="005B7BB2"/>
    <w:rsid w:val="005C29AF"/>
    <w:rsid w:val="005C53E1"/>
    <w:rsid w:val="005C6288"/>
    <w:rsid w:val="005C6E6E"/>
    <w:rsid w:val="005C7C9D"/>
    <w:rsid w:val="005D1E73"/>
    <w:rsid w:val="005D1F8E"/>
    <w:rsid w:val="005D1FF2"/>
    <w:rsid w:val="005D25AE"/>
    <w:rsid w:val="005D2725"/>
    <w:rsid w:val="005D27A0"/>
    <w:rsid w:val="005D2943"/>
    <w:rsid w:val="005D41C3"/>
    <w:rsid w:val="005D44EF"/>
    <w:rsid w:val="005D72A1"/>
    <w:rsid w:val="005D7477"/>
    <w:rsid w:val="005D753B"/>
    <w:rsid w:val="005D7DFD"/>
    <w:rsid w:val="005E14C2"/>
    <w:rsid w:val="005E1EC0"/>
    <w:rsid w:val="005E34C0"/>
    <w:rsid w:val="005E49AE"/>
    <w:rsid w:val="005E5C0A"/>
    <w:rsid w:val="005E667D"/>
    <w:rsid w:val="005F014C"/>
    <w:rsid w:val="005F0B9B"/>
    <w:rsid w:val="005F0D9C"/>
    <w:rsid w:val="005F1DAB"/>
    <w:rsid w:val="005F3517"/>
    <w:rsid w:val="005F4DC0"/>
    <w:rsid w:val="005F50FD"/>
    <w:rsid w:val="005F7F1F"/>
    <w:rsid w:val="006009F1"/>
    <w:rsid w:val="00600D12"/>
    <w:rsid w:val="0060129D"/>
    <w:rsid w:val="00601E1E"/>
    <w:rsid w:val="00602B7D"/>
    <w:rsid w:val="006039B4"/>
    <w:rsid w:val="00603AD7"/>
    <w:rsid w:val="0060582B"/>
    <w:rsid w:val="00605F68"/>
    <w:rsid w:val="00605F8B"/>
    <w:rsid w:val="0060769E"/>
    <w:rsid w:val="0060777B"/>
    <w:rsid w:val="00607BA5"/>
    <w:rsid w:val="00607F81"/>
    <w:rsid w:val="0061180A"/>
    <w:rsid w:val="00614D63"/>
    <w:rsid w:val="00614ED3"/>
    <w:rsid w:val="00616CA1"/>
    <w:rsid w:val="00617B62"/>
    <w:rsid w:val="006215E7"/>
    <w:rsid w:val="0062352E"/>
    <w:rsid w:val="0062431F"/>
    <w:rsid w:val="00625313"/>
    <w:rsid w:val="006253EF"/>
    <w:rsid w:val="006264DC"/>
    <w:rsid w:val="00626EB6"/>
    <w:rsid w:val="00627939"/>
    <w:rsid w:val="006302F4"/>
    <w:rsid w:val="00632783"/>
    <w:rsid w:val="0063305D"/>
    <w:rsid w:val="0063460D"/>
    <w:rsid w:val="00636E6A"/>
    <w:rsid w:val="006375D2"/>
    <w:rsid w:val="00637A18"/>
    <w:rsid w:val="00637E25"/>
    <w:rsid w:val="0064055A"/>
    <w:rsid w:val="0064201C"/>
    <w:rsid w:val="00642BEC"/>
    <w:rsid w:val="006437AC"/>
    <w:rsid w:val="00643E86"/>
    <w:rsid w:val="00644B30"/>
    <w:rsid w:val="00647BD5"/>
    <w:rsid w:val="00650350"/>
    <w:rsid w:val="00650ECA"/>
    <w:rsid w:val="006524C7"/>
    <w:rsid w:val="00652B62"/>
    <w:rsid w:val="00653DEE"/>
    <w:rsid w:val="00655BA1"/>
    <w:rsid w:val="00655D03"/>
    <w:rsid w:val="00657813"/>
    <w:rsid w:val="006601BB"/>
    <w:rsid w:val="0066260F"/>
    <w:rsid w:val="00664BDD"/>
    <w:rsid w:val="00665750"/>
    <w:rsid w:val="00665A69"/>
    <w:rsid w:val="00665C96"/>
    <w:rsid w:val="006668C1"/>
    <w:rsid w:val="006714D7"/>
    <w:rsid w:val="006721A1"/>
    <w:rsid w:val="006746A4"/>
    <w:rsid w:val="00675D81"/>
    <w:rsid w:val="0067612A"/>
    <w:rsid w:val="00676146"/>
    <w:rsid w:val="0068082A"/>
    <w:rsid w:val="006829B6"/>
    <w:rsid w:val="00682A4A"/>
    <w:rsid w:val="00683095"/>
    <w:rsid w:val="00683151"/>
    <w:rsid w:val="00683388"/>
    <w:rsid w:val="006833B0"/>
    <w:rsid w:val="00683AFE"/>
    <w:rsid w:val="00683C98"/>
    <w:rsid w:val="00683F84"/>
    <w:rsid w:val="006844DF"/>
    <w:rsid w:val="0068622F"/>
    <w:rsid w:val="00687946"/>
    <w:rsid w:val="00691E1F"/>
    <w:rsid w:val="00692E70"/>
    <w:rsid w:val="00693650"/>
    <w:rsid w:val="00693728"/>
    <w:rsid w:val="00693911"/>
    <w:rsid w:val="006953A2"/>
    <w:rsid w:val="006953D9"/>
    <w:rsid w:val="00696376"/>
    <w:rsid w:val="0069684C"/>
    <w:rsid w:val="006A0611"/>
    <w:rsid w:val="006A0F96"/>
    <w:rsid w:val="006A1D9E"/>
    <w:rsid w:val="006A3459"/>
    <w:rsid w:val="006A4B78"/>
    <w:rsid w:val="006A4C42"/>
    <w:rsid w:val="006A4F5C"/>
    <w:rsid w:val="006A5348"/>
    <w:rsid w:val="006A62B2"/>
    <w:rsid w:val="006A6501"/>
    <w:rsid w:val="006A6A81"/>
    <w:rsid w:val="006A6E7A"/>
    <w:rsid w:val="006A72D3"/>
    <w:rsid w:val="006A766E"/>
    <w:rsid w:val="006B0278"/>
    <w:rsid w:val="006B076E"/>
    <w:rsid w:val="006B0955"/>
    <w:rsid w:val="006B3853"/>
    <w:rsid w:val="006B3CF9"/>
    <w:rsid w:val="006B4FCF"/>
    <w:rsid w:val="006B5CFC"/>
    <w:rsid w:val="006B6AB6"/>
    <w:rsid w:val="006C0681"/>
    <w:rsid w:val="006C1277"/>
    <w:rsid w:val="006C217E"/>
    <w:rsid w:val="006C2749"/>
    <w:rsid w:val="006C298E"/>
    <w:rsid w:val="006C4031"/>
    <w:rsid w:val="006C4917"/>
    <w:rsid w:val="006C5D92"/>
    <w:rsid w:val="006C5ED3"/>
    <w:rsid w:val="006C6419"/>
    <w:rsid w:val="006C6742"/>
    <w:rsid w:val="006C6D2C"/>
    <w:rsid w:val="006D03FC"/>
    <w:rsid w:val="006D11F5"/>
    <w:rsid w:val="006D210E"/>
    <w:rsid w:val="006D227C"/>
    <w:rsid w:val="006D2E14"/>
    <w:rsid w:val="006D30D0"/>
    <w:rsid w:val="006D4330"/>
    <w:rsid w:val="006D4BF3"/>
    <w:rsid w:val="006D5129"/>
    <w:rsid w:val="006D6ACD"/>
    <w:rsid w:val="006E1C1C"/>
    <w:rsid w:val="006E3E46"/>
    <w:rsid w:val="006E4387"/>
    <w:rsid w:val="006E44A7"/>
    <w:rsid w:val="006E5070"/>
    <w:rsid w:val="006E5C6F"/>
    <w:rsid w:val="006E5DAF"/>
    <w:rsid w:val="006E6667"/>
    <w:rsid w:val="006F0EA0"/>
    <w:rsid w:val="006F111D"/>
    <w:rsid w:val="006F1438"/>
    <w:rsid w:val="006F1603"/>
    <w:rsid w:val="006F2F70"/>
    <w:rsid w:val="006F305E"/>
    <w:rsid w:val="006F33FE"/>
    <w:rsid w:val="006F5C67"/>
    <w:rsid w:val="006F5CE1"/>
    <w:rsid w:val="006F5FB5"/>
    <w:rsid w:val="006F7349"/>
    <w:rsid w:val="006F7393"/>
    <w:rsid w:val="007005DD"/>
    <w:rsid w:val="007007BE"/>
    <w:rsid w:val="00700DFF"/>
    <w:rsid w:val="007011F4"/>
    <w:rsid w:val="00701DA3"/>
    <w:rsid w:val="0070224F"/>
    <w:rsid w:val="007030C2"/>
    <w:rsid w:val="00703375"/>
    <w:rsid w:val="007037C5"/>
    <w:rsid w:val="007056EC"/>
    <w:rsid w:val="00706BEC"/>
    <w:rsid w:val="007072C8"/>
    <w:rsid w:val="0071021F"/>
    <w:rsid w:val="00710C0D"/>
    <w:rsid w:val="00710DBA"/>
    <w:rsid w:val="007115F7"/>
    <w:rsid w:val="00712B12"/>
    <w:rsid w:val="00713DC3"/>
    <w:rsid w:val="0071572D"/>
    <w:rsid w:val="007168B6"/>
    <w:rsid w:val="00716DF4"/>
    <w:rsid w:val="00716F82"/>
    <w:rsid w:val="00717FEE"/>
    <w:rsid w:val="00722E8C"/>
    <w:rsid w:val="0072567C"/>
    <w:rsid w:val="00725A41"/>
    <w:rsid w:val="00726F9F"/>
    <w:rsid w:val="0072760F"/>
    <w:rsid w:val="00727A1E"/>
    <w:rsid w:val="00730695"/>
    <w:rsid w:val="00730823"/>
    <w:rsid w:val="00732568"/>
    <w:rsid w:val="0073591B"/>
    <w:rsid w:val="00737052"/>
    <w:rsid w:val="00737703"/>
    <w:rsid w:val="0074004B"/>
    <w:rsid w:val="00740B25"/>
    <w:rsid w:val="0074209E"/>
    <w:rsid w:val="007420CA"/>
    <w:rsid w:val="00742302"/>
    <w:rsid w:val="007445E6"/>
    <w:rsid w:val="007448AC"/>
    <w:rsid w:val="007451F3"/>
    <w:rsid w:val="00746302"/>
    <w:rsid w:val="00746FF4"/>
    <w:rsid w:val="007518CD"/>
    <w:rsid w:val="00753D4F"/>
    <w:rsid w:val="00754C9D"/>
    <w:rsid w:val="00755000"/>
    <w:rsid w:val="007554C2"/>
    <w:rsid w:val="007555D9"/>
    <w:rsid w:val="007568BB"/>
    <w:rsid w:val="00757457"/>
    <w:rsid w:val="007577DD"/>
    <w:rsid w:val="007606C1"/>
    <w:rsid w:val="00765279"/>
    <w:rsid w:val="00766B10"/>
    <w:rsid w:val="007703F1"/>
    <w:rsid w:val="00771179"/>
    <w:rsid w:val="007713E3"/>
    <w:rsid w:val="00775375"/>
    <w:rsid w:val="007776BD"/>
    <w:rsid w:val="00777795"/>
    <w:rsid w:val="007805CD"/>
    <w:rsid w:val="007808EF"/>
    <w:rsid w:val="00782360"/>
    <w:rsid w:val="00782433"/>
    <w:rsid w:val="00783058"/>
    <w:rsid w:val="00785689"/>
    <w:rsid w:val="00785F89"/>
    <w:rsid w:val="00786CA6"/>
    <w:rsid w:val="0078718B"/>
    <w:rsid w:val="00787F1E"/>
    <w:rsid w:val="0079099C"/>
    <w:rsid w:val="00791705"/>
    <w:rsid w:val="00791F44"/>
    <w:rsid w:val="00792B4A"/>
    <w:rsid w:val="0079310E"/>
    <w:rsid w:val="007938F1"/>
    <w:rsid w:val="00793F9D"/>
    <w:rsid w:val="007941C1"/>
    <w:rsid w:val="00794E4B"/>
    <w:rsid w:val="007968E6"/>
    <w:rsid w:val="0079754B"/>
    <w:rsid w:val="007977DE"/>
    <w:rsid w:val="00797BDE"/>
    <w:rsid w:val="007A02C3"/>
    <w:rsid w:val="007A10EB"/>
    <w:rsid w:val="007A12C7"/>
    <w:rsid w:val="007A1E6D"/>
    <w:rsid w:val="007A1FA4"/>
    <w:rsid w:val="007A227C"/>
    <w:rsid w:val="007A5183"/>
    <w:rsid w:val="007A5CBC"/>
    <w:rsid w:val="007A63A9"/>
    <w:rsid w:val="007B03F1"/>
    <w:rsid w:val="007B0EB2"/>
    <w:rsid w:val="007B0EF5"/>
    <w:rsid w:val="007B1489"/>
    <w:rsid w:val="007B2130"/>
    <w:rsid w:val="007B3525"/>
    <w:rsid w:val="007B4256"/>
    <w:rsid w:val="007B4E23"/>
    <w:rsid w:val="007B62C8"/>
    <w:rsid w:val="007B71D2"/>
    <w:rsid w:val="007B7B84"/>
    <w:rsid w:val="007C132C"/>
    <w:rsid w:val="007C1C97"/>
    <w:rsid w:val="007C1CE5"/>
    <w:rsid w:val="007C2160"/>
    <w:rsid w:val="007C24A0"/>
    <w:rsid w:val="007C26B2"/>
    <w:rsid w:val="007C2D66"/>
    <w:rsid w:val="007C35ED"/>
    <w:rsid w:val="007C48E8"/>
    <w:rsid w:val="007C5F4E"/>
    <w:rsid w:val="007C628E"/>
    <w:rsid w:val="007C7A4B"/>
    <w:rsid w:val="007D0881"/>
    <w:rsid w:val="007D091E"/>
    <w:rsid w:val="007D1B10"/>
    <w:rsid w:val="007D1F44"/>
    <w:rsid w:val="007D431B"/>
    <w:rsid w:val="007D44F1"/>
    <w:rsid w:val="007D4C38"/>
    <w:rsid w:val="007D6C66"/>
    <w:rsid w:val="007D7AA0"/>
    <w:rsid w:val="007D7DA3"/>
    <w:rsid w:val="007E11AA"/>
    <w:rsid w:val="007E1AC7"/>
    <w:rsid w:val="007E362C"/>
    <w:rsid w:val="007E36EF"/>
    <w:rsid w:val="007E5FE7"/>
    <w:rsid w:val="007E7F38"/>
    <w:rsid w:val="007F0AC9"/>
    <w:rsid w:val="007F28BB"/>
    <w:rsid w:val="007F36B9"/>
    <w:rsid w:val="007F4995"/>
    <w:rsid w:val="007F60FF"/>
    <w:rsid w:val="007F6104"/>
    <w:rsid w:val="007F6360"/>
    <w:rsid w:val="007F6542"/>
    <w:rsid w:val="00800E14"/>
    <w:rsid w:val="0080174C"/>
    <w:rsid w:val="00803460"/>
    <w:rsid w:val="00804494"/>
    <w:rsid w:val="0080471B"/>
    <w:rsid w:val="008050EF"/>
    <w:rsid w:val="00805EA3"/>
    <w:rsid w:val="0080648C"/>
    <w:rsid w:val="008102CE"/>
    <w:rsid w:val="00810AB4"/>
    <w:rsid w:val="00810B6F"/>
    <w:rsid w:val="0081116B"/>
    <w:rsid w:val="0081183C"/>
    <w:rsid w:val="008128BB"/>
    <w:rsid w:val="00813861"/>
    <w:rsid w:val="0081438F"/>
    <w:rsid w:val="00814500"/>
    <w:rsid w:val="00817168"/>
    <w:rsid w:val="00820475"/>
    <w:rsid w:val="00820C71"/>
    <w:rsid w:val="00820CB5"/>
    <w:rsid w:val="00820D1E"/>
    <w:rsid w:val="008213E4"/>
    <w:rsid w:val="008213F2"/>
    <w:rsid w:val="008216E3"/>
    <w:rsid w:val="0082178F"/>
    <w:rsid w:val="00822CE0"/>
    <w:rsid w:val="00823B11"/>
    <w:rsid w:val="0082411C"/>
    <w:rsid w:val="0082454C"/>
    <w:rsid w:val="0082540D"/>
    <w:rsid w:val="00827CB7"/>
    <w:rsid w:val="00827DC6"/>
    <w:rsid w:val="00831E65"/>
    <w:rsid w:val="00831FE5"/>
    <w:rsid w:val="00833923"/>
    <w:rsid w:val="00833DA1"/>
    <w:rsid w:val="008359F8"/>
    <w:rsid w:val="0083648B"/>
    <w:rsid w:val="008374F7"/>
    <w:rsid w:val="00837A16"/>
    <w:rsid w:val="0084098E"/>
    <w:rsid w:val="008418DE"/>
    <w:rsid w:val="00841AB1"/>
    <w:rsid w:val="00842F8E"/>
    <w:rsid w:val="00843990"/>
    <w:rsid w:val="008450D3"/>
    <w:rsid w:val="008458D2"/>
    <w:rsid w:val="00846275"/>
    <w:rsid w:val="00847CD7"/>
    <w:rsid w:val="00850466"/>
    <w:rsid w:val="00850728"/>
    <w:rsid w:val="00851B96"/>
    <w:rsid w:val="00851E56"/>
    <w:rsid w:val="00852182"/>
    <w:rsid w:val="00853719"/>
    <w:rsid w:val="00853A9D"/>
    <w:rsid w:val="00853B99"/>
    <w:rsid w:val="008545EA"/>
    <w:rsid w:val="00854F0F"/>
    <w:rsid w:val="0086003F"/>
    <w:rsid w:val="00860DD4"/>
    <w:rsid w:val="008614CB"/>
    <w:rsid w:val="0086318A"/>
    <w:rsid w:val="00863681"/>
    <w:rsid w:val="0086392B"/>
    <w:rsid w:val="008648DC"/>
    <w:rsid w:val="008657A2"/>
    <w:rsid w:val="00873223"/>
    <w:rsid w:val="008736BE"/>
    <w:rsid w:val="00873ED8"/>
    <w:rsid w:val="008744BC"/>
    <w:rsid w:val="00874745"/>
    <w:rsid w:val="00874D93"/>
    <w:rsid w:val="008751D5"/>
    <w:rsid w:val="0087531F"/>
    <w:rsid w:val="0088001F"/>
    <w:rsid w:val="008800F6"/>
    <w:rsid w:val="00880EEC"/>
    <w:rsid w:val="00881EC2"/>
    <w:rsid w:val="00881F17"/>
    <w:rsid w:val="0088228B"/>
    <w:rsid w:val="00882FA4"/>
    <w:rsid w:val="0088315E"/>
    <w:rsid w:val="00884253"/>
    <w:rsid w:val="008853EF"/>
    <w:rsid w:val="00885AEC"/>
    <w:rsid w:val="008862CB"/>
    <w:rsid w:val="0088710E"/>
    <w:rsid w:val="00887F25"/>
    <w:rsid w:val="0089014C"/>
    <w:rsid w:val="00890A21"/>
    <w:rsid w:val="00891C7D"/>
    <w:rsid w:val="0089214B"/>
    <w:rsid w:val="008938DE"/>
    <w:rsid w:val="00893DD2"/>
    <w:rsid w:val="00894CE6"/>
    <w:rsid w:val="0089606C"/>
    <w:rsid w:val="008962AD"/>
    <w:rsid w:val="008967BB"/>
    <w:rsid w:val="008A038C"/>
    <w:rsid w:val="008A1C84"/>
    <w:rsid w:val="008A2A57"/>
    <w:rsid w:val="008A7850"/>
    <w:rsid w:val="008B1AA6"/>
    <w:rsid w:val="008B1BCA"/>
    <w:rsid w:val="008B1E22"/>
    <w:rsid w:val="008B2C67"/>
    <w:rsid w:val="008B5CC4"/>
    <w:rsid w:val="008B7170"/>
    <w:rsid w:val="008B7D2F"/>
    <w:rsid w:val="008C01F1"/>
    <w:rsid w:val="008C01F6"/>
    <w:rsid w:val="008C0554"/>
    <w:rsid w:val="008C1F77"/>
    <w:rsid w:val="008C1FAB"/>
    <w:rsid w:val="008C2E05"/>
    <w:rsid w:val="008C2E5A"/>
    <w:rsid w:val="008C300A"/>
    <w:rsid w:val="008C4CD1"/>
    <w:rsid w:val="008C61AC"/>
    <w:rsid w:val="008C64D2"/>
    <w:rsid w:val="008C67E8"/>
    <w:rsid w:val="008C68F1"/>
    <w:rsid w:val="008C6C11"/>
    <w:rsid w:val="008D0B74"/>
    <w:rsid w:val="008D1D88"/>
    <w:rsid w:val="008D1E75"/>
    <w:rsid w:val="008D2EFB"/>
    <w:rsid w:val="008D31C9"/>
    <w:rsid w:val="008D3D1D"/>
    <w:rsid w:val="008D438C"/>
    <w:rsid w:val="008D56BD"/>
    <w:rsid w:val="008D5D8B"/>
    <w:rsid w:val="008D5DB5"/>
    <w:rsid w:val="008D6779"/>
    <w:rsid w:val="008D682C"/>
    <w:rsid w:val="008D7E77"/>
    <w:rsid w:val="008E028B"/>
    <w:rsid w:val="008E5291"/>
    <w:rsid w:val="008E6B19"/>
    <w:rsid w:val="008F113E"/>
    <w:rsid w:val="008F2922"/>
    <w:rsid w:val="008F2FC3"/>
    <w:rsid w:val="008F419E"/>
    <w:rsid w:val="008F46AF"/>
    <w:rsid w:val="008F718D"/>
    <w:rsid w:val="0090106D"/>
    <w:rsid w:val="009011DC"/>
    <w:rsid w:val="00901EBB"/>
    <w:rsid w:val="00905B54"/>
    <w:rsid w:val="00906AAF"/>
    <w:rsid w:val="00907F17"/>
    <w:rsid w:val="0091028B"/>
    <w:rsid w:val="009137F8"/>
    <w:rsid w:val="00914969"/>
    <w:rsid w:val="00914AEE"/>
    <w:rsid w:val="00915673"/>
    <w:rsid w:val="00915BF0"/>
    <w:rsid w:val="00915E7A"/>
    <w:rsid w:val="00917393"/>
    <w:rsid w:val="00917E39"/>
    <w:rsid w:val="0092131C"/>
    <w:rsid w:val="00921803"/>
    <w:rsid w:val="009225DD"/>
    <w:rsid w:val="00922613"/>
    <w:rsid w:val="00922BFB"/>
    <w:rsid w:val="00923E4C"/>
    <w:rsid w:val="00923F58"/>
    <w:rsid w:val="00924093"/>
    <w:rsid w:val="009241CC"/>
    <w:rsid w:val="00925475"/>
    <w:rsid w:val="00925C78"/>
    <w:rsid w:val="00926503"/>
    <w:rsid w:val="00927A69"/>
    <w:rsid w:val="00930532"/>
    <w:rsid w:val="00931DDD"/>
    <w:rsid w:val="0093328F"/>
    <w:rsid w:val="00934012"/>
    <w:rsid w:val="009340CC"/>
    <w:rsid w:val="00936420"/>
    <w:rsid w:val="0093784D"/>
    <w:rsid w:val="00940127"/>
    <w:rsid w:val="0094517C"/>
    <w:rsid w:val="009456E2"/>
    <w:rsid w:val="00947694"/>
    <w:rsid w:val="009507E3"/>
    <w:rsid w:val="00950C18"/>
    <w:rsid w:val="00951D3A"/>
    <w:rsid w:val="00951F46"/>
    <w:rsid w:val="00952628"/>
    <w:rsid w:val="00953207"/>
    <w:rsid w:val="009539F3"/>
    <w:rsid w:val="00953B91"/>
    <w:rsid w:val="00953DDF"/>
    <w:rsid w:val="00955B90"/>
    <w:rsid w:val="00955D9B"/>
    <w:rsid w:val="00960073"/>
    <w:rsid w:val="009617F6"/>
    <w:rsid w:val="009625F5"/>
    <w:rsid w:val="009636B2"/>
    <w:rsid w:val="009643D1"/>
    <w:rsid w:val="009673A5"/>
    <w:rsid w:val="009674F2"/>
    <w:rsid w:val="00967A2F"/>
    <w:rsid w:val="00970060"/>
    <w:rsid w:val="009726D8"/>
    <w:rsid w:val="0097291C"/>
    <w:rsid w:val="009730A4"/>
    <w:rsid w:val="009731F5"/>
    <w:rsid w:val="009732D4"/>
    <w:rsid w:val="00973857"/>
    <w:rsid w:val="00973896"/>
    <w:rsid w:val="00973DA0"/>
    <w:rsid w:val="00973FB5"/>
    <w:rsid w:val="0097425E"/>
    <w:rsid w:val="00976A0E"/>
    <w:rsid w:val="00976DAD"/>
    <w:rsid w:val="00977561"/>
    <w:rsid w:val="00980180"/>
    <w:rsid w:val="009802EB"/>
    <w:rsid w:val="009807C3"/>
    <w:rsid w:val="00980C45"/>
    <w:rsid w:val="00984439"/>
    <w:rsid w:val="00984B01"/>
    <w:rsid w:val="00985FBA"/>
    <w:rsid w:val="00987742"/>
    <w:rsid w:val="00987782"/>
    <w:rsid w:val="009903F0"/>
    <w:rsid w:val="00991011"/>
    <w:rsid w:val="00991951"/>
    <w:rsid w:val="009938A9"/>
    <w:rsid w:val="00993999"/>
    <w:rsid w:val="00993EFC"/>
    <w:rsid w:val="00995786"/>
    <w:rsid w:val="0099637B"/>
    <w:rsid w:val="009965F7"/>
    <w:rsid w:val="00996749"/>
    <w:rsid w:val="009A0B6D"/>
    <w:rsid w:val="009A0F14"/>
    <w:rsid w:val="009A1BE0"/>
    <w:rsid w:val="009A3C4E"/>
    <w:rsid w:val="009A4568"/>
    <w:rsid w:val="009A505B"/>
    <w:rsid w:val="009A5073"/>
    <w:rsid w:val="009A79BD"/>
    <w:rsid w:val="009B0469"/>
    <w:rsid w:val="009B0F55"/>
    <w:rsid w:val="009B2920"/>
    <w:rsid w:val="009B45F4"/>
    <w:rsid w:val="009B511B"/>
    <w:rsid w:val="009B66BE"/>
    <w:rsid w:val="009B72F9"/>
    <w:rsid w:val="009C1FE2"/>
    <w:rsid w:val="009C2DE5"/>
    <w:rsid w:val="009C3015"/>
    <w:rsid w:val="009C31A4"/>
    <w:rsid w:val="009C4846"/>
    <w:rsid w:val="009C4B69"/>
    <w:rsid w:val="009C68BF"/>
    <w:rsid w:val="009C6EB2"/>
    <w:rsid w:val="009C749F"/>
    <w:rsid w:val="009D047A"/>
    <w:rsid w:val="009D1DAE"/>
    <w:rsid w:val="009D1E08"/>
    <w:rsid w:val="009D27A7"/>
    <w:rsid w:val="009D3C61"/>
    <w:rsid w:val="009D3F06"/>
    <w:rsid w:val="009D3F18"/>
    <w:rsid w:val="009D4111"/>
    <w:rsid w:val="009D461C"/>
    <w:rsid w:val="009D4AFF"/>
    <w:rsid w:val="009D4B32"/>
    <w:rsid w:val="009D4CB6"/>
    <w:rsid w:val="009D5956"/>
    <w:rsid w:val="009D678B"/>
    <w:rsid w:val="009D693C"/>
    <w:rsid w:val="009D7308"/>
    <w:rsid w:val="009E130B"/>
    <w:rsid w:val="009E13CA"/>
    <w:rsid w:val="009E29E6"/>
    <w:rsid w:val="009E3C6B"/>
    <w:rsid w:val="009E3C7A"/>
    <w:rsid w:val="009E40F1"/>
    <w:rsid w:val="009E4BFE"/>
    <w:rsid w:val="009E519D"/>
    <w:rsid w:val="009E72F1"/>
    <w:rsid w:val="009F0512"/>
    <w:rsid w:val="009F194C"/>
    <w:rsid w:val="009F20AA"/>
    <w:rsid w:val="009F2B7B"/>
    <w:rsid w:val="009F3424"/>
    <w:rsid w:val="009F3514"/>
    <w:rsid w:val="009F5543"/>
    <w:rsid w:val="009F6D6A"/>
    <w:rsid w:val="009F7351"/>
    <w:rsid w:val="009F76DB"/>
    <w:rsid w:val="009F78C6"/>
    <w:rsid w:val="00A00AB5"/>
    <w:rsid w:val="00A013A5"/>
    <w:rsid w:val="00A02A4C"/>
    <w:rsid w:val="00A02D00"/>
    <w:rsid w:val="00A053B8"/>
    <w:rsid w:val="00A0569F"/>
    <w:rsid w:val="00A062B8"/>
    <w:rsid w:val="00A07011"/>
    <w:rsid w:val="00A0730B"/>
    <w:rsid w:val="00A11C69"/>
    <w:rsid w:val="00A12082"/>
    <w:rsid w:val="00A1260B"/>
    <w:rsid w:val="00A12743"/>
    <w:rsid w:val="00A12923"/>
    <w:rsid w:val="00A133ED"/>
    <w:rsid w:val="00A1455A"/>
    <w:rsid w:val="00A1505C"/>
    <w:rsid w:val="00A161BC"/>
    <w:rsid w:val="00A17547"/>
    <w:rsid w:val="00A17856"/>
    <w:rsid w:val="00A17CE0"/>
    <w:rsid w:val="00A20A5E"/>
    <w:rsid w:val="00A20D1C"/>
    <w:rsid w:val="00A20FCC"/>
    <w:rsid w:val="00A21DAD"/>
    <w:rsid w:val="00A2239A"/>
    <w:rsid w:val="00A22F2C"/>
    <w:rsid w:val="00A2352A"/>
    <w:rsid w:val="00A25146"/>
    <w:rsid w:val="00A25A66"/>
    <w:rsid w:val="00A2603D"/>
    <w:rsid w:val="00A26373"/>
    <w:rsid w:val="00A26F97"/>
    <w:rsid w:val="00A278B6"/>
    <w:rsid w:val="00A32690"/>
    <w:rsid w:val="00A32C3B"/>
    <w:rsid w:val="00A330CE"/>
    <w:rsid w:val="00A361F9"/>
    <w:rsid w:val="00A3725E"/>
    <w:rsid w:val="00A37EC0"/>
    <w:rsid w:val="00A4344E"/>
    <w:rsid w:val="00A44F7C"/>
    <w:rsid w:val="00A45F4F"/>
    <w:rsid w:val="00A476AF"/>
    <w:rsid w:val="00A47766"/>
    <w:rsid w:val="00A5003F"/>
    <w:rsid w:val="00A5053F"/>
    <w:rsid w:val="00A513BC"/>
    <w:rsid w:val="00A544C9"/>
    <w:rsid w:val="00A54CAA"/>
    <w:rsid w:val="00A54E36"/>
    <w:rsid w:val="00A55CCD"/>
    <w:rsid w:val="00A5722A"/>
    <w:rsid w:val="00A57E30"/>
    <w:rsid w:val="00A600A9"/>
    <w:rsid w:val="00A60FF1"/>
    <w:rsid w:val="00A6227B"/>
    <w:rsid w:val="00A664EA"/>
    <w:rsid w:val="00A67D91"/>
    <w:rsid w:val="00A70BA4"/>
    <w:rsid w:val="00A70CD0"/>
    <w:rsid w:val="00A71394"/>
    <w:rsid w:val="00A72525"/>
    <w:rsid w:val="00A73B15"/>
    <w:rsid w:val="00A7442C"/>
    <w:rsid w:val="00A75394"/>
    <w:rsid w:val="00A75C35"/>
    <w:rsid w:val="00A7621E"/>
    <w:rsid w:val="00A76447"/>
    <w:rsid w:val="00A77456"/>
    <w:rsid w:val="00A803D9"/>
    <w:rsid w:val="00A81ADD"/>
    <w:rsid w:val="00A82F23"/>
    <w:rsid w:val="00A839E6"/>
    <w:rsid w:val="00A83A7C"/>
    <w:rsid w:val="00A83E0F"/>
    <w:rsid w:val="00A8416C"/>
    <w:rsid w:val="00A84E5E"/>
    <w:rsid w:val="00A8575B"/>
    <w:rsid w:val="00A865B0"/>
    <w:rsid w:val="00A87512"/>
    <w:rsid w:val="00A87EFF"/>
    <w:rsid w:val="00A91196"/>
    <w:rsid w:val="00A93BEA"/>
    <w:rsid w:val="00A93BED"/>
    <w:rsid w:val="00A948CF"/>
    <w:rsid w:val="00A96CB9"/>
    <w:rsid w:val="00A96E37"/>
    <w:rsid w:val="00AA0008"/>
    <w:rsid w:val="00AA0375"/>
    <w:rsid w:val="00AA0A25"/>
    <w:rsid w:val="00AA234D"/>
    <w:rsid w:val="00AA317B"/>
    <w:rsid w:val="00AA3AB6"/>
    <w:rsid w:val="00AA55B7"/>
    <w:rsid w:val="00AA58F4"/>
    <w:rsid w:val="00AA5B9E"/>
    <w:rsid w:val="00AA7B11"/>
    <w:rsid w:val="00AB0F34"/>
    <w:rsid w:val="00AB1531"/>
    <w:rsid w:val="00AB23BE"/>
    <w:rsid w:val="00AB2407"/>
    <w:rsid w:val="00AB28A1"/>
    <w:rsid w:val="00AB35CD"/>
    <w:rsid w:val="00AB401B"/>
    <w:rsid w:val="00AB4A13"/>
    <w:rsid w:val="00AB4E29"/>
    <w:rsid w:val="00AB53DF"/>
    <w:rsid w:val="00AB56A9"/>
    <w:rsid w:val="00AB5BEC"/>
    <w:rsid w:val="00AB6BD3"/>
    <w:rsid w:val="00AB799A"/>
    <w:rsid w:val="00AC06AD"/>
    <w:rsid w:val="00AC0A6C"/>
    <w:rsid w:val="00AC2AA1"/>
    <w:rsid w:val="00AC2C20"/>
    <w:rsid w:val="00AC46FD"/>
    <w:rsid w:val="00AC51E1"/>
    <w:rsid w:val="00AC5C62"/>
    <w:rsid w:val="00AC65C6"/>
    <w:rsid w:val="00AC710A"/>
    <w:rsid w:val="00AD158C"/>
    <w:rsid w:val="00AD176C"/>
    <w:rsid w:val="00AD201E"/>
    <w:rsid w:val="00AD4C43"/>
    <w:rsid w:val="00AD5054"/>
    <w:rsid w:val="00AD53B3"/>
    <w:rsid w:val="00AD5F01"/>
    <w:rsid w:val="00AD7005"/>
    <w:rsid w:val="00AD7BDA"/>
    <w:rsid w:val="00AE243A"/>
    <w:rsid w:val="00AE2AB9"/>
    <w:rsid w:val="00AE3204"/>
    <w:rsid w:val="00AE3F5F"/>
    <w:rsid w:val="00AE4A44"/>
    <w:rsid w:val="00AE62A2"/>
    <w:rsid w:val="00AE67CD"/>
    <w:rsid w:val="00AE7F41"/>
    <w:rsid w:val="00AF10FD"/>
    <w:rsid w:val="00AF2F67"/>
    <w:rsid w:val="00AF318D"/>
    <w:rsid w:val="00AF3AC1"/>
    <w:rsid w:val="00AF3D60"/>
    <w:rsid w:val="00AF56A0"/>
    <w:rsid w:val="00AF621D"/>
    <w:rsid w:val="00AF6718"/>
    <w:rsid w:val="00AF68EA"/>
    <w:rsid w:val="00AF6D85"/>
    <w:rsid w:val="00AF6FA3"/>
    <w:rsid w:val="00AF7D8A"/>
    <w:rsid w:val="00B005A3"/>
    <w:rsid w:val="00B01FBE"/>
    <w:rsid w:val="00B03D85"/>
    <w:rsid w:val="00B04248"/>
    <w:rsid w:val="00B053D3"/>
    <w:rsid w:val="00B05D0B"/>
    <w:rsid w:val="00B06368"/>
    <w:rsid w:val="00B07E5C"/>
    <w:rsid w:val="00B102BB"/>
    <w:rsid w:val="00B10BBF"/>
    <w:rsid w:val="00B11A7D"/>
    <w:rsid w:val="00B129C4"/>
    <w:rsid w:val="00B12C9D"/>
    <w:rsid w:val="00B12D36"/>
    <w:rsid w:val="00B133F4"/>
    <w:rsid w:val="00B15F1D"/>
    <w:rsid w:val="00B175EC"/>
    <w:rsid w:val="00B17796"/>
    <w:rsid w:val="00B20AA9"/>
    <w:rsid w:val="00B20FB8"/>
    <w:rsid w:val="00B21191"/>
    <w:rsid w:val="00B214D9"/>
    <w:rsid w:val="00B22047"/>
    <w:rsid w:val="00B252C2"/>
    <w:rsid w:val="00B26211"/>
    <w:rsid w:val="00B26813"/>
    <w:rsid w:val="00B26968"/>
    <w:rsid w:val="00B26A96"/>
    <w:rsid w:val="00B27BFD"/>
    <w:rsid w:val="00B27C71"/>
    <w:rsid w:val="00B31687"/>
    <w:rsid w:val="00B3209A"/>
    <w:rsid w:val="00B32CE3"/>
    <w:rsid w:val="00B34418"/>
    <w:rsid w:val="00B35B58"/>
    <w:rsid w:val="00B3657E"/>
    <w:rsid w:val="00B4040C"/>
    <w:rsid w:val="00B430F3"/>
    <w:rsid w:val="00B439E4"/>
    <w:rsid w:val="00B43D93"/>
    <w:rsid w:val="00B44E26"/>
    <w:rsid w:val="00B45401"/>
    <w:rsid w:val="00B458EF"/>
    <w:rsid w:val="00B45D50"/>
    <w:rsid w:val="00B465CA"/>
    <w:rsid w:val="00B47D44"/>
    <w:rsid w:val="00B50DA2"/>
    <w:rsid w:val="00B5135D"/>
    <w:rsid w:val="00B529C9"/>
    <w:rsid w:val="00B5302C"/>
    <w:rsid w:val="00B53260"/>
    <w:rsid w:val="00B5329E"/>
    <w:rsid w:val="00B53FA4"/>
    <w:rsid w:val="00B54FB6"/>
    <w:rsid w:val="00B5527E"/>
    <w:rsid w:val="00B56D60"/>
    <w:rsid w:val="00B60C53"/>
    <w:rsid w:val="00B61DB5"/>
    <w:rsid w:val="00B62277"/>
    <w:rsid w:val="00B626E9"/>
    <w:rsid w:val="00B6343C"/>
    <w:rsid w:val="00B64137"/>
    <w:rsid w:val="00B648C2"/>
    <w:rsid w:val="00B65096"/>
    <w:rsid w:val="00B65993"/>
    <w:rsid w:val="00B65D1A"/>
    <w:rsid w:val="00B65FF2"/>
    <w:rsid w:val="00B66273"/>
    <w:rsid w:val="00B6631C"/>
    <w:rsid w:val="00B675FA"/>
    <w:rsid w:val="00B67DCA"/>
    <w:rsid w:val="00B701C3"/>
    <w:rsid w:val="00B7138A"/>
    <w:rsid w:val="00B71609"/>
    <w:rsid w:val="00B719E3"/>
    <w:rsid w:val="00B71FC7"/>
    <w:rsid w:val="00B756B0"/>
    <w:rsid w:val="00B80337"/>
    <w:rsid w:val="00B811F7"/>
    <w:rsid w:val="00B82371"/>
    <w:rsid w:val="00B8279E"/>
    <w:rsid w:val="00B84107"/>
    <w:rsid w:val="00B85079"/>
    <w:rsid w:val="00B868B1"/>
    <w:rsid w:val="00B8696F"/>
    <w:rsid w:val="00B87BF0"/>
    <w:rsid w:val="00B92BD5"/>
    <w:rsid w:val="00B932DE"/>
    <w:rsid w:val="00B93BC2"/>
    <w:rsid w:val="00B9553E"/>
    <w:rsid w:val="00B95AD6"/>
    <w:rsid w:val="00BA007B"/>
    <w:rsid w:val="00BA0420"/>
    <w:rsid w:val="00BA0740"/>
    <w:rsid w:val="00BA115F"/>
    <w:rsid w:val="00BA15D6"/>
    <w:rsid w:val="00BA1997"/>
    <w:rsid w:val="00BA1F21"/>
    <w:rsid w:val="00BA25F1"/>
    <w:rsid w:val="00BA2DC2"/>
    <w:rsid w:val="00BA2FCE"/>
    <w:rsid w:val="00BA320A"/>
    <w:rsid w:val="00BA3437"/>
    <w:rsid w:val="00BA38AF"/>
    <w:rsid w:val="00BA53CA"/>
    <w:rsid w:val="00BA56C1"/>
    <w:rsid w:val="00BA5DC6"/>
    <w:rsid w:val="00BA5F04"/>
    <w:rsid w:val="00BA6196"/>
    <w:rsid w:val="00BA68AB"/>
    <w:rsid w:val="00BB0F2F"/>
    <w:rsid w:val="00BB2FBB"/>
    <w:rsid w:val="00BB3393"/>
    <w:rsid w:val="00BB3FBF"/>
    <w:rsid w:val="00BB55E1"/>
    <w:rsid w:val="00BB5B09"/>
    <w:rsid w:val="00BC1BA7"/>
    <w:rsid w:val="00BC30EF"/>
    <w:rsid w:val="00BC3A0D"/>
    <w:rsid w:val="00BC4575"/>
    <w:rsid w:val="00BC4CF3"/>
    <w:rsid w:val="00BC4DCC"/>
    <w:rsid w:val="00BC5846"/>
    <w:rsid w:val="00BC6D8C"/>
    <w:rsid w:val="00BC7EC8"/>
    <w:rsid w:val="00BD0654"/>
    <w:rsid w:val="00BD080D"/>
    <w:rsid w:val="00BD0BB3"/>
    <w:rsid w:val="00BD2C32"/>
    <w:rsid w:val="00BD3627"/>
    <w:rsid w:val="00BD6277"/>
    <w:rsid w:val="00BD70BD"/>
    <w:rsid w:val="00BD7FCB"/>
    <w:rsid w:val="00BE0B66"/>
    <w:rsid w:val="00BE2EC2"/>
    <w:rsid w:val="00BE3988"/>
    <w:rsid w:val="00BE3A38"/>
    <w:rsid w:val="00BE5354"/>
    <w:rsid w:val="00BE6A64"/>
    <w:rsid w:val="00BE79B6"/>
    <w:rsid w:val="00BF050B"/>
    <w:rsid w:val="00BF0524"/>
    <w:rsid w:val="00BF0AF3"/>
    <w:rsid w:val="00BF106E"/>
    <w:rsid w:val="00BF1186"/>
    <w:rsid w:val="00BF1B96"/>
    <w:rsid w:val="00BF2936"/>
    <w:rsid w:val="00BF2D01"/>
    <w:rsid w:val="00BF3787"/>
    <w:rsid w:val="00BF382B"/>
    <w:rsid w:val="00BF4B3C"/>
    <w:rsid w:val="00BF69B2"/>
    <w:rsid w:val="00BF7A69"/>
    <w:rsid w:val="00BF7B64"/>
    <w:rsid w:val="00C00123"/>
    <w:rsid w:val="00C006B9"/>
    <w:rsid w:val="00C02F3F"/>
    <w:rsid w:val="00C03ECD"/>
    <w:rsid w:val="00C0462A"/>
    <w:rsid w:val="00C05D58"/>
    <w:rsid w:val="00C06719"/>
    <w:rsid w:val="00C06BEA"/>
    <w:rsid w:val="00C1115E"/>
    <w:rsid w:val="00C115A2"/>
    <w:rsid w:val="00C11B0E"/>
    <w:rsid w:val="00C12457"/>
    <w:rsid w:val="00C1315B"/>
    <w:rsid w:val="00C15196"/>
    <w:rsid w:val="00C155F5"/>
    <w:rsid w:val="00C16995"/>
    <w:rsid w:val="00C17B15"/>
    <w:rsid w:val="00C20594"/>
    <w:rsid w:val="00C21368"/>
    <w:rsid w:val="00C21891"/>
    <w:rsid w:val="00C21C61"/>
    <w:rsid w:val="00C22A6F"/>
    <w:rsid w:val="00C22BB6"/>
    <w:rsid w:val="00C22CFF"/>
    <w:rsid w:val="00C238C6"/>
    <w:rsid w:val="00C23A42"/>
    <w:rsid w:val="00C256C5"/>
    <w:rsid w:val="00C25EF0"/>
    <w:rsid w:val="00C30E3E"/>
    <w:rsid w:val="00C34006"/>
    <w:rsid w:val="00C36444"/>
    <w:rsid w:val="00C36B4C"/>
    <w:rsid w:val="00C408AB"/>
    <w:rsid w:val="00C408B7"/>
    <w:rsid w:val="00C40BE3"/>
    <w:rsid w:val="00C414BD"/>
    <w:rsid w:val="00C41725"/>
    <w:rsid w:val="00C41A7A"/>
    <w:rsid w:val="00C41CD5"/>
    <w:rsid w:val="00C426B1"/>
    <w:rsid w:val="00C42EF6"/>
    <w:rsid w:val="00C43304"/>
    <w:rsid w:val="00C43C16"/>
    <w:rsid w:val="00C44CD2"/>
    <w:rsid w:val="00C46DAF"/>
    <w:rsid w:val="00C47366"/>
    <w:rsid w:val="00C47414"/>
    <w:rsid w:val="00C477A4"/>
    <w:rsid w:val="00C507A0"/>
    <w:rsid w:val="00C514C9"/>
    <w:rsid w:val="00C51ED0"/>
    <w:rsid w:val="00C53BBA"/>
    <w:rsid w:val="00C54245"/>
    <w:rsid w:val="00C544D3"/>
    <w:rsid w:val="00C54983"/>
    <w:rsid w:val="00C60166"/>
    <w:rsid w:val="00C60A9D"/>
    <w:rsid w:val="00C610AF"/>
    <w:rsid w:val="00C61BF3"/>
    <w:rsid w:val="00C61E97"/>
    <w:rsid w:val="00C62084"/>
    <w:rsid w:val="00C628D1"/>
    <w:rsid w:val="00C634BA"/>
    <w:rsid w:val="00C6381D"/>
    <w:rsid w:val="00C63DDE"/>
    <w:rsid w:val="00C6461F"/>
    <w:rsid w:val="00C65432"/>
    <w:rsid w:val="00C65B6C"/>
    <w:rsid w:val="00C66160"/>
    <w:rsid w:val="00C71CA1"/>
    <w:rsid w:val="00C721AC"/>
    <w:rsid w:val="00C72500"/>
    <w:rsid w:val="00C7440D"/>
    <w:rsid w:val="00C74848"/>
    <w:rsid w:val="00C76EC7"/>
    <w:rsid w:val="00C800C6"/>
    <w:rsid w:val="00C80F7A"/>
    <w:rsid w:val="00C81653"/>
    <w:rsid w:val="00C81B1A"/>
    <w:rsid w:val="00C81E7D"/>
    <w:rsid w:val="00C82B3D"/>
    <w:rsid w:val="00C82BEF"/>
    <w:rsid w:val="00C82CF3"/>
    <w:rsid w:val="00C83643"/>
    <w:rsid w:val="00C83A13"/>
    <w:rsid w:val="00C83EB7"/>
    <w:rsid w:val="00C84257"/>
    <w:rsid w:val="00C86502"/>
    <w:rsid w:val="00C8680D"/>
    <w:rsid w:val="00C8768E"/>
    <w:rsid w:val="00C87DA3"/>
    <w:rsid w:val="00C90042"/>
    <w:rsid w:val="00C90D6A"/>
    <w:rsid w:val="00C91037"/>
    <w:rsid w:val="00C9287E"/>
    <w:rsid w:val="00C92A5A"/>
    <w:rsid w:val="00C97F6C"/>
    <w:rsid w:val="00CA020B"/>
    <w:rsid w:val="00CA09FF"/>
    <w:rsid w:val="00CA1051"/>
    <w:rsid w:val="00CA1821"/>
    <w:rsid w:val="00CA247E"/>
    <w:rsid w:val="00CA2E7A"/>
    <w:rsid w:val="00CA3522"/>
    <w:rsid w:val="00CA6D21"/>
    <w:rsid w:val="00CA7B3E"/>
    <w:rsid w:val="00CB0F37"/>
    <w:rsid w:val="00CB1FC2"/>
    <w:rsid w:val="00CB4F7F"/>
    <w:rsid w:val="00CB54FD"/>
    <w:rsid w:val="00CB59F3"/>
    <w:rsid w:val="00CB6B2D"/>
    <w:rsid w:val="00CB75B5"/>
    <w:rsid w:val="00CC142B"/>
    <w:rsid w:val="00CC3951"/>
    <w:rsid w:val="00CC39F2"/>
    <w:rsid w:val="00CC3F86"/>
    <w:rsid w:val="00CC4898"/>
    <w:rsid w:val="00CC6E64"/>
    <w:rsid w:val="00CC72B6"/>
    <w:rsid w:val="00CC7797"/>
    <w:rsid w:val="00CD0D3E"/>
    <w:rsid w:val="00CD139C"/>
    <w:rsid w:val="00CD14C9"/>
    <w:rsid w:val="00CD187C"/>
    <w:rsid w:val="00CD1A78"/>
    <w:rsid w:val="00CD2807"/>
    <w:rsid w:val="00CD41EE"/>
    <w:rsid w:val="00CD530D"/>
    <w:rsid w:val="00CD59A8"/>
    <w:rsid w:val="00CD6FAA"/>
    <w:rsid w:val="00CD749E"/>
    <w:rsid w:val="00CD7C0C"/>
    <w:rsid w:val="00CE22F6"/>
    <w:rsid w:val="00CE265C"/>
    <w:rsid w:val="00CE3CFC"/>
    <w:rsid w:val="00CE512F"/>
    <w:rsid w:val="00CE5D21"/>
    <w:rsid w:val="00CE5F4E"/>
    <w:rsid w:val="00CE66CE"/>
    <w:rsid w:val="00CE6E9D"/>
    <w:rsid w:val="00CE7FEF"/>
    <w:rsid w:val="00CF04ED"/>
    <w:rsid w:val="00CF0C47"/>
    <w:rsid w:val="00CF1783"/>
    <w:rsid w:val="00CF2CB2"/>
    <w:rsid w:val="00CF3187"/>
    <w:rsid w:val="00CF3CA3"/>
    <w:rsid w:val="00CF3E3A"/>
    <w:rsid w:val="00CF432B"/>
    <w:rsid w:val="00CF4EC6"/>
    <w:rsid w:val="00CF53D8"/>
    <w:rsid w:val="00CF77BC"/>
    <w:rsid w:val="00CF7C4C"/>
    <w:rsid w:val="00D00F94"/>
    <w:rsid w:val="00D01579"/>
    <w:rsid w:val="00D0218D"/>
    <w:rsid w:val="00D0382E"/>
    <w:rsid w:val="00D0389F"/>
    <w:rsid w:val="00D03B6D"/>
    <w:rsid w:val="00D04C78"/>
    <w:rsid w:val="00D0631E"/>
    <w:rsid w:val="00D0637E"/>
    <w:rsid w:val="00D074FD"/>
    <w:rsid w:val="00D10052"/>
    <w:rsid w:val="00D10140"/>
    <w:rsid w:val="00D11FCD"/>
    <w:rsid w:val="00D13C5C"/>
    <w:rsid w:val="00D142D6"/>
    <w:rsid w:val="00D14417"/>
    <w:rsid w:val="00D15FDD"/>
    <w:rsid w:val="00D168F4"/>
    <w:rsid w:val="00D2123F"/>
    <w:rsid w:val="00D212ED"/>
    <w:rsid w:val="00D23C83"/>
    <w:rsid w:val="00D25FB5"/>
    <w:rsid w:val="00D26B8A"/>
    <w:rsid w:val="00D26E34"/>
    <w:rsid w:val="00D31432"/>
    <w:rsid w:val="00D31ABB"/>
    <w:rsid w:val="00D31F58"/>
    <w:rsid w:val="00D3222D"/>
    <w:rsid w:val="00D329E6"/>
    <w:rsid w:val="00D3357A"/>
    <w:rsid w:val="00D33F88"/>
    <w:rsid w:val="00D41471"/>
    <w:rsid w:val="00D42983"/>
    <w:rsid w:val="00D42A0C"/>
    <w:rsid w:val="00D42C61"/>
    <w:rsid w:val="00D42E07"/>
    <w:rsid w:val="00D44223"/>
    <w:rsid w:val="00D444A9"/>
    <w:rsid w:val="00D44AA3"/>
    <w:rsid w:val="00D465DA"/>
    <w:rsid w:val="00D47165"/>
    <w:rsid w:val="00D504AC"/>
    <w:rsid w:val="00D508D9"/>
    <w:rsid w:val="00D50F90"/>
    <w:rsid w:val="00D52690"/>
    <w:rsid w:val="00D5272E"/>
    <w:rsid w:val="00D5369C"/>
    <w:rsid w:val="00D5510B"/>
    <w:rsid w:val="00D55274"/>
    <w:rsid w:val="00D5562A"/>
    <w:rsid w:val="00D55F60"/>
    <w:rsid w:val="00D568FE"/>
    <w:rsid w:val="00D56AA2"/>
    <w:rsid w:val="00D56FB9"/>
    <w:rsid w:val="00D601E3"/>
    <w:rsid w:val="00D60B1F"/>
    <w:rsid w:val="00D611CF"/>
    <w:rsid w:val="00D61913"/>
    <w:rsid w:val="00D62243"/>
    <w:rsid w:val="00D623C9"/>
    <w:rsid w:val="00D6285D"/>
    <w:rsid w:val="00D62931"/>
    <w:rsid w:val="00D62DC8"/>
    <w:rsid w:val="00D6307D"/>
    <w:rsid w:val="00D63484"/>
    <w:rsid w:val="00D659E2"/>
    <w:rsid w:val="00D65A57"/>
    <w:rsid w:val="00D660AB"/>
    <w:rsid w:val="00D662BC"/>
    <w:rsid w:val="00D67845"/>
    <w:rsid w:val="00D71390"/>
    <w:rsid w:val="00D722C3"/>
    <w:rsid w:val="00D72CBF"/>
    <w:rsid w:val="00D738A6"/>
    <w:rsid w:val="00D73B2E"/>
    <w:rsid w:val="00D755F0"/>
    <w:rsid w:val="00D7623B"/>
    <w:rsid w:val="00D7756A"/>
    <w:rsid w:val="00D77CFC"/>
    <w:rsid w:val="00D80214"/>
    <w:rsid w:val="00D83DB0"/>
    <w:rsid w:val="00D84033"/>
    <w:rsid w:val="00D84741"/>
    <w:rsid w:val="00D860A7"/>
    <w:rsid w:val="00D8627F"/>
    <w:rsid w:val="00D86327"/>
    <w:rsid w:val="00D86709"/>
    <w:rsid w:val="00D86FFF"/>
    <w:rsid w:val="00D87469"/>
    <w:rsid w:val="00D904C5"/>
    <w:rsid w:val="00D90EA4"/>
    <w:rsid w:val="00D91A3D"/>
    <w:rsid w:val="00D93AD2"/>
    <w:rsid w:val="00D94087"/>
    <w:rsid w:val="00D94ADF"/>
    <w:rsid w:val="00D96898"/>
    <w:rsid w:val="00D97BB4"/>
    <w:rsid w:val="00DA1A33"/>
    <w:rsid w:val="00DA1B81"/>
    <w:rsid w:val="00DA24F3"/>
    <w:rsid w:val="00DA2529"/>
    <w:rsid w:val="00DA30DD"/>
    <w:rsid w:val="00DA41EC"/>
    <w:rsid w:val="00DA629F"/>
    <w:rsid w:val="00DB130A"/>
    <w:rsid w:val="00DB240D"/>
    <w:rsid w:val="00DB2EBB"/>
    <w:rsid w:val="00DB30F4"/>
    <w:rsid w:val="00DB3C26"/>
    <w:rsid w:val="00DB55F1"/>
    <w:rsid w:val="00DB5D56"/>
    <w:rsid w:val="00DC0562"/>
    <w:rsid w:val="00DC10A1"/>
    <w:rsid w:val="00DC2880"/>
    <w:rsid w:val="00DC2CB7"/>
    <w:rsid w:val="00DC351F"/>
    <w:rsid w:val="00DC3900"/>
    <w:rsid w:val="00DC4D42"/>
    <w:rsid w:val="00DC58E6"/>
    <w:rsid w:val="00DC655F"/>
    <w:rsid w:val="00DC69D9"/>
    <w:rsid w:val="00DC6FC9"/>
    <w:rsid w:val="00DD0B59"/>
    <w:rsid w:val="00DD1C78"/>
    <w:rsid w:val="00DD236B"/>
    <w:rsid w:val="00DD2372"/>
    <w:rsid w:val="00DD3374"/>
    <w:rsid w:val="00DD3964"/>
    <w:rsid w:val="00DD4386"/>
    <w:rsid w:val="00DD56C5"/>
    <w:rsid w:val="00DD5827"/>
    <w:rsid w:val="00DD590F"/>
    <w:rsid w:val="00DD5D68"/>
    <w:rsid w:val="00DD7DFE"/>
    <w:rsid w:val="00DD7EBD"/>
    <w:rsid w:val="00DE03EB"/>
    <w:rsid w:val="00DE1417"/>
    <w:rsid w:val="00DE193E"/>
    <w:rsid w:val="00DE34D9"/>
    <w:rsid w:val="00DE3616"/>
    <w:rsid w:val="00DE3651"/>
    <w:rsid w:val="00DE3E0D"/>
    <w:rsid w:val="00DE55D5"/>
    <w:rsid w:val="00DE5FD7"/>
    <w:rsid w:val="00DE63E2"/>
    <w:rsid w:val="00DE65E2"/>
    <w:rsid w:val="00DE7164"/>
    <w:rsid w:val="00DE72D3"/>
    <w:rsid w:val="00DE7E6A"/>
    <w:rsid w:val="00DF037F"/>
    <w:rsid w:val="00DF0844"/>
    <w:rsid w:val="00DF2484"/>
    <w:rsid w:val="00DF3200"/>
    <w:rsid w:val="00DF54F6"/>
    <w:rsid w:val="00DF62B6"/>
    <w:rsid w:val="00DF6A5A"/>
    <w:rsid w:val="00E00D5F"/>
    <w:rsid w:val="00E0109E"/>
    <w:rsid w:val="00E01998"/>
    <w:rsid w:val="00E033B5"/>
    <w:rsid w:val="00E04FAE"/>
    <w:rsid w:val="00E0565C"/>
    <w:rsid w:val="00E06486"/>
    <w:rsid w:val="00E06A33"/>
    <w:rsid w:val="00E07225"/>
    <w:rsid w:val="00E07292"/>
    <w:rsid w:val="00E07479"/>
    <w:rsid w:val="00E11F88"/>
    <w:rsid w:val="00E12E4A"/>
    <w:rsid w:val="00E13321"/>
    <w:rsid w:val="00E145C3"/>
    <w:rsid w:val="00E1522E"/>
    <w:rsid w:val="00E1527C"/>
    <w:rsid w:val="00E15DC0"/>
    <w:rsid w:val="00E171F8"/>
    <w:rsid w:val="00E219DB"/>
    <w:rsid w:val="00E22022"/>
    <w:rsid w:val="00E22F07"/>
    <w:rsid w:val="00E22FCF"/>
    <w:rsid w:val="00E236B1"/>
    <w:rsid w:val="00E236B8"/>
    <w:rsid w:val="00E2404A"/>
    <w:rsid w:val="00E245A6"/>
    <w:rsid w:val="00E24897"/>
    <w:rsid w:val="00E2600B"/>
    <w:rsid w:val="00E274E1"/>
    <w:rsid w:val="00E278CF"/>
    <w:rsid w:val="00E27E2D"/>
    <w:rsid w:val="00E30E6A"/>
    <w:rsid w:val="00E31DF2"/>
    <w:rsid w:val="00E32967"/>
    <w:rsid w:val="00E32A78"/>
    <w:rsid w:val="00E32D97"/>
    <w:rsid w:val="00E33AA4"/>
    <w:rsid w:val="00E33F6E"/>
    <w:rsid w:val="00E340E8"/>
    <w:rsid w:val="00E35854"/>
    <w:rsid w:val="00E3743D"/>
    <w:rsid w:val="00E41CF4"/>
    <w:rsid w:val="00E429FE"/>
    <w:rsid w:val="00E42CB0"/>
    <w:rsid w:val="00E430D7"/>
    <w:rsid w:val="00E431DE"/>
    <w:rsid w:val="00E4443F"/>
    <w:rsid w:val="00E446A4"/>
    <w:rsid w:val="00E460AD"/>
    <w:rsid w:val="00E4669A"/>
    <w:rsid w:val="00E468EC"/>
    <w:rsid w:val="00E47B45"/>
    <w:rsid w:val="00E47F5D"/>
    <w:rsid w:val="00E51641"/>
    <w:rsid w:val="00E51C90"/>
    <w:rsid w:val="00E524A9"/>
    <w:rsid w:val="00E5409F"/>
    <w:rsid w:val="00E54791"/>
    <w:rsid w:val="00E54BDE"/>
    <w:rsid w:val="00E5502F"/>
    <w:rsid w:val="00E57B58"/>
    <w:rsid w:val="00E57CF5"/>
    <w:rsid w:val="00E60894"/>
    <w:rsid w:val="00E6319A"/>
    <w:rsid w:val="00E6430D"/>
    <w:rsid w:val="00E64617"/>
    <w:rsid w:val="00E65AB8"/>
    <w:rsid w:val="00E6730C"/>
    <w:rsid w:val="00E70749"/>
    <w:rsid w:val="00E73ADE"/>
    <w:rsid w:val="00E752C7"/>
    <w:rsid w:val="00E75488"/>
    <w:rsid w:val="00E76CE7"/>
    <w:rsid w:val="00E77645"/>
    <w:rsid w:val="00E7765D"/>
    <w:rsid w:val="00E808CD"/>
    <w:rsid w:val="00E82C69"/>
    <w:rsid w:val="00E834FE"/>
    <w:rsid w:val="00E84AB4"/>
    <w:rsid w:val="00E85A2B"/>
    <w:rsid w:val="00E86C9E"/>
    <w:rsid w:val="00E92D28"/>
    <w:rsid w:val="00E937E1"/>
    <w:rsid w:val="00E938BF"/>
    <w:rsid w:val="00E938FF"/>
    <w:rsid w:val="00E964E3"/>
    <w:rsid w:val="00E96B74"/>
    <w:rsid w:val="00EA04C4"/>
    <w:rsid w:val="00EA1768"/>
    <w:rsid w:val="00EA2BD7"/>
    <w:rsid w:val="00EA2BE2"/>
    <w:rsid w:val="00EA5470"/>
    <w:rsid w:val="00EB0D9D"/>
    <w:rsid w:val="00EB1E3D"/>
    <w:rsid w:val="00EB3481"/>
    <w:rsid w:val="00EB3B81"/>
    <w:rsid w:val="00EB52B6"/>
    <w:rsid w:val="00EB6447"/>
    <w:rsid w:val="00EB7767"/>
    <w:rsid w:val="00EC05B9"/>
    <w:rsid w:val="00EC08CC"/>
    <w:rsid w:val="00EC1279"/>
    <w:rsid w:val="00EC127E"/>
    <w:rsid w:val="00EC1496"/>
    <w:rsid w:val="00EC26A7"/>
    <w:rsid w:val="00EC2CDE"/>
    <w:rsid w:val="00EC34E0"/>
    <w:rsid w:val="00EC3D2D"/>
    <w:rsid w:val="00EC525E"/>
    <w:rsid w:val="00EC5B34"/>
    <w:rsid w:val="00EC60D7"/>
    <w:rsid w:val="00EC749E"/>
    <w:rsid w:val="00EC74BF"/>
    <w:rsid w:val="00EC775C"/>
    <w:rsid w:val="00ED0B2B"/>
    <w:rsid w:val="00ED0FA8"/>
    <w:rsid w:val="00ED18B8"/>
    <w:rsid w:val="00ED26E2"/>
    <w:rsid w:val="00ED3275"/>
    <w:rsid w:val="00ED33D3"/>
    <w:rsid w:val="00ED3D32"/>
    <w:rsid w:val="00ED5880"/>
    <w:rsid w:val="00ED5B7B"/>
    <w:rsid w:val="00EE1481"/>
    <w:rsid w:val="00EE3372"/>
    <w:rsid w:val="00EE6488"/>
    <w:rsid w:val="00EE6628"/>
    <w:rsid w:val="00EE67AA"/>
    <w:rsid w:val="00EE689C"/>
    <w:rsid w:val="00EE68B5"/>
    <w:rsid w:val="00EE6F2E"/>
    <w:rsid w:val="00EE7AC7"/>
    <w:rsid w:val="00EF041E"/>
    <w:rsid w:val="00EF1A22"/>
    <w:rsid w:val="00EF2940"/>
    <w:rsid w:val="00EF30CA"/>
    <w:rsid w:val="00EF5938"/>
    <w:rsid w:val="00EF68D5"/>
    <w:rsid w:val="00F021FA"/>
    <w:rsid w:val="00F02408"/>
    <w:rsid w:val="00F02790"/>
    <w:rsid w:val="00F027FA"/>
    <w:rsid w:val="00F04048"/>
    <w:rsid w:val="00F04412"/>
    <w:rsid w:val="00F04AE3"/>
    <w:rsid w:val="00F04C83"/>
    <w:rsid w:val="00F057E1"/>
    <w:rsid w:val="00F12437"/>
    <w:rsid w:val="00F13899"/>
    <w:rsid w:val="00F14E52"/>
    <w:rsid w:val="00F1788D"/>
    <w:rsid w:val="00F17E24"/>
    <w:rsid w:val="00F201FE"/>
    <w:rsid w:val="00F210FC"/>
    <w:rsid w:val="00F22D96"/>
    <w:rsid w:val="00F231C2"/>
    <w:rsid w:val="00F23E70"/>
    <w:rsid w:val="00F24A31"/>
    <w:rsid w:val="00F259C3"/>
    <w:rsid w:val="00F2794F"/>
    <w:rsid w:val="00F300EA"/>
    <w:rsid w:val="00F30C4D"/>
    <w:rsid w:val="00F31FDF"/>
    <w:rsid w:val="00F33043"/>
    <w:rsid w:val="00F34320"/>
    <w:rsid w:val="00F35BE6"/>
    <w:rsid w:val="00F36BB5"/>
    <w:rsid w:val="00F37179"/>
    <w:rsid w:val="00F3752E"/>
    <w:rsid w:val="00F4042B"/>
    <w:rsid w:val="00F4076D"/>
    <w:rsid w:val="00F413A4"/>
    <w:rsid w:val="00F422DE"/>
    <w:rsid w:val="00F42F7C"/>
    <w:rsid w:val="00F4343C"/>
    <w:rsid w:val="00F43AF9"/>
    <w:rsid w:val="00F44736"/>
    <w:rsid w:val="00F44C8F"/>
    <w:rsid w:val="00F45DE5"/>
    <w:rsid w:val="00F46E40"/>
    <w:rsid w:val="00F505B9"/>
    <w:rsid w:val="00F5102E"/>
    <w:rsid w:val="00F51065"/>
    <w:rsid w:val="00F51215"/>
    <w:rsid w:val="00F52331"/>
    <w:rsid w:val="00F52913"/>
    <w:rsid w:val="00F534F5"/>
    <w:rsid w:val="00F53C72"/>
    <w:rsid w:val="00F53FBC"/>
    <w:rsid w:val="00F541A7"/>
    <w:rsid w:val="00F54CDE"/>
    <w:rsid w:val="00F55183"/>
    <w:rsid w:val="00F5636C"/>
    <w:rsid w:val="00F56516"/>
    <w:rsid w:val="00F56E6B"/>
    <w:rsid w:val="00F62E97"/>
    <w:rsid w:val="00F635B5"/>
    <w:rsid w:val="00F64209"/>
    <w:rsid w:val="00F6587A"/>
    <w:rsid w:val="00F66476"/>
    <w:rsid w:val="00F67DB2"/>
    <w:rsid w:val="00F70323"/>
    <w:rsid w:val="00F70566"/>
    <w:rsid w:val="00F70827"/>
    <w:rsid w:val="00F70E8C"/>
    <w:rsid w:val="00F70FF2"/>
    <w:rsid w:val="00F71687"/>
    <w:rsid w:val="00F72825"/>
    <w:rsid w:val="00F74510"/>
    <w:rsid w:val="00F74AB3"/>
    <w:rsid w:val="00F7579F"/>
    <w:rsid w:val="00F75FBF"/>
    <w:rsid w:val="00F762EF"/>
    <w:rsid w:val="00F81A52"/>
    <w:rsid w:val="00F81AA4"/>
    <w:rsid w:val="00F8322A"/>
    <w:rsid w:val="00F83357"/>
    <w:rsid w:val="00F83AA9"/>
    <w:rsid w:val="00F84744"/>
    <w:rsid w:val="00F84821"/>
    <w:rsid w:val="00F8572E"/>
    <w:rsid w:val="00F86936"/>
    <w:rsid w:val="00F87696"/>
    <w:rsid w:val="00F9024A"/>
    <w:rsid w:val="00F904EA"/>
    <w:rsid w:val="00F928F1"/>
    <w:rsid w:val="00F93BF5"/>
    <w:rsid w:val="00F94B58"/>
    <w:rsid w:val="00F96C65"/>
    <w:rsid w:val="00F96CBF"/>
    <w:rsid w:val="00FA08B5"/>
    <w:rsid w:val="00FA13D0"/>
    <w:rsid w:val="00FA27DB"/>
    <w:rsid w:val="00FA44F3"/>
    <w:rsid w:val="00FA785D"/>
    <w:rsid w:val="00FB0498"/>
    <w:rsid w:val="00FB383B"/>
    <w:rsid w:val="00FB6447"/>
    <w:rsid w:val="00FB6ADB"/>
    <w:rsid w:val="00FB709E"/>
    <w:rsid w:val="00FC0152"/>
    <w:rsid w:val="00FC01FB"/>
    <w:rsid w:val="00FC04B2"/>
    <w:rsid w:val="00FC1253"/>
    <w:rsid w:val="00FC1FE4"/>
    <w:rsid w:val="00FC2A95"/>
    <w:rsid w:val="00FC2C32"/>
    <w:rsid w:val="00FC53FC"/>
    <w:rsid w:val="00FC5841"/>
    <w:rsid w:val="00FD00F0"/>
    <w:rsid w:val="00FD043E"/>
    <w:rsid w:val="00FD12AF"/>
    <w:rsid w:val="00FD2A3C"/>
    <w:rsid w:val="00FD3395"/>
    <w:rsid w:val="00FD345E"/>
    <w:rsid w:val="00FD4199"/>
    <w:rsid w:val="00FD64BC"/>
    <w:rsid w:val="00FD6F1C"/>
    <w:rsid w:val="00FD742D"/>
    <w:rsid w:val="00FD7913"/>
    <w:rsid w:val="00FE04DA"/>
    <w:rsid w:val="00FE2C49"/>
    <w:rsid w:val="00FE3653"/>
    <w:rsid w:val="00FE3711"/>
    <w:rsid w:val="00FE3ED3"/>
    <w:rsid w:val="00FE4125"/>
    <w:rsid w:val="00FE4D59"/>
    <w:rsid w:val="00FE5A34"/>
    <w:rsid w:val="00FE6616"/>
    <w:rsid w:val="00FF051F"/>
    <w:rsid w:val="00FF0FD6"/>
    <w:rsid w:val="00FF151A"/>
    <w:rsid w:val="00FF187D"/>
    <w:rsid w:val="00FF1EC4"/>
    <w:rsid w:val="00FF1FBF"/>
    <w:rsid w:val="00FF2AF8"/>
    <w:rsid w:val="00FF48EA"/>
    <w:rsid w:val="00FF5CC3"/>
    <w:rsid w:val="00FF6E60"/>
    <w:rsid w:val="00FF7084"/>
    <w:rsid w:val="00FF7887"/>
    <w:rsid w:val="00FF7F3C"/>
    <w:rsid w:val="5E9F55F4"/>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5E407DB6"/>
  <w15:chartTrackingRefBased/>
  <w15:docId w15:val="{E84360A8-BE2B-443A-AFC7-6537E03020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qFormat="1"/>
    <w:lsdException w:name="footer" w:uiPriority="99"/>
    <w:lsdException w:name="caption" w:semiHidden="1" w:unhideWhenUsed="1" w:qFormat="1"/>
    <w:lsdException w:name="footnote reference" w:qFormat="1"/>
    <w:lsdException w:name="Title" w:qFormat="1"/>
    <w:lsdException w:name="Subtitle" w:qFormat="1"/>
    <w:lsdException w:name="Strong" w:qFormat="1"/>
    <w:lsdException w:name="Emphasis" w:uiPriority="20" w:qFormat="1"/>
    <w:lsdException w:name="Normal Table" w:semiHidden="1" w:unhideWhenUsed="1"/>
    <w:lsdException w:name="annotation subjec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aliases w:val="Footnote"/>
    <w:qFormat/>
    <w:rsid w:val="00842F8E"/>
    <w:pPr>
      <w:widowControl w:val="0"/>
    </w:pPr>
    <w:rPr>
      <w:snapToGrid w:val="0"/>
      <w:kern w:val="28"/>
      <w:sz w:val="22"/>
    </w:rPr>
  </w:style>
  <w:style w:type="paragraph" w:styleId="Heading1">
    <w:name w:val="heading 1"/>
    <w:basedOn w:val="Normal"/>
    <w:next w:val="ParaNum"/>
    <w:link w:val="Heading1Char"/>
    <w:qFormat/>
    <w:rsid w:val="00842F8E"/>
    <w:pPr>
      <w:keepNext/>
      <w:numPr>
        <w:numId w:val="2"/>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link w:val="Heading2Char"/>
    <w:autoRedefine/>
    <w:qFormat/>
    <w:rsid w:val="00842F8E"/>
    <w:pPr>
      <w:keepNext/>
      <w:numPr>
        <w:ilvl w:val="1"/>
        <w:numId w:val="2"/>
      </w:numPr>
      <w:spacing w:after="120"/>
      <w:outlineLvl w:val="1"/>
    </w:pPr>
    <w:rPr>
      <w:b/>
    </w:rPr>
  </w:style>
  <w:style w:type="paragraph" w:styleId="Heading3">
    <w:name w:val="heading 3"/>
    <w:basedOn w:val="Normal"/>
    <w:next w:val="ParaNum"/>
    <w:link w:val="Heading3Char"/>
    <w:qFormat/>
    <w:rsid w:val="00842F8E"/>
    <w:pPr>
      <w:keepNext/>
      <w:numPr>
        <w:ilvl w:val="2"/>
        <w:numId w:val="2"/>
      </w:numPr>
      <w:tabs>
        <w:tab w:val="left" w:pos="2160"/>
      </w:tabs>
      <w:spacing w:after="120"/>
      <w:outlineLvl w:val="2"/>
    </w:pPr>
    <w:rPr>
      <w:b/>
    </w:rPr>
  </w:style>
  <w:style w:type="paragraph" w:styleId="Heading4">
    <w:name w:val="heading 4"/>
    <w:basedOn w:val="Normal"/>
    <w:next w:val="ParaNum"/>
    <w:link w:val="Heading4Char"/>
    <w:qFormat/>
    <w:rsid w:val="00842F8E"/>
    <w:pPr>
      <w:keepNext/>
      <w:numPr>
        <w:ilvl w:val="3"/>
        <w:numId w:val="2"/>
      </w:numPr>
      <w:tabs>
        <w:tab w:val="left" w:pos="2880"/>
      </w:tabs>
      <w:spacing w:after="120"/>
      <w:outlineLvl w:val="3"/>
    </w:pPr>
    <w:rPr>
      <w:b/>
    </w:rPr>
  </w:style>
  <w:style w:type="paragraph" w:styleId="Heading5">
    <w:name w:val="heading 5"/>
    <w:basedOn w:val="Normal"/>
    <w:next w:val="ParaNum"/>
    <w:link w:val="Heading5Char"/>
    <w:qFormat/>
    <w:rsid w:val="00842F8E"/>
    <w:pPr>
      <w:keepNext/>
      <w:numPr>
        <w:ilvl w:val="4"/>
        <w:numId w:val="2"/>
      </w:numPr>
      <w:tabs>
        <w:tab w:val="left" w:pos="3600"/>
      </w:tabs>
      <w:suppressAutoHyphens/>
      <w:spacing w:after="120"/>
      <w:outlineLvl w:val="4"/>
    </w:pPr>
    <w:rPr>
      <w:b/>
    </w:rPr>
  </w:style>
  <w:style w:type="paragraph" w:styleId="Heading6">
    <w:name w:val="heading 6"/>
    <w:basedOn w:val="Normal"/>
    <w:next w:val="ParaNum"/>
    <w:link w:val="Heading6Char"/>
    <w:qFormat/>
    <w:rsid w:val="00842F8E"/>
    <w:pPr>
      <w:numPr>
        <w:ilvl w:val="5"/>
        <w:numId w:val="2"/>
      </w:numPr>
      <w:tabs>
        <w:tab w:val="left" w:pos="4320"/>
      </w:tabs>
      <w:spacing w:after="120"/>
      <w:outlineLvl w:val="5"/>
    </w:pPr>
    <w:rPr>
      <w:b/>
    </w:rPr>
  </w:style>
  <w:style w:type="paragraph" w:styleId="Heading7">
    <w:name w:val="heading 7"/>
    <w:basedOn w:val="Normal"/>
    <w:next w:val="ParaNum"/>
    <w:link w:val="Heading7Char"/>
    <w:qFormat/>
    <w:rsid w:val="00842F8E"/>
    <w:pPr>
      <w:numPr>
        <w:ilvl w:val="6"/>
        <w:numId w:val="2"/>
      </w:numPr>
      <w:tabs>
        <w:tab w:val="left" w:pos="5040"/>
      </w:tabs>
      <w:spacing w:after="120"/>
      <w:ind w:left="5040" w:hanging="720"/>
      <w:outlineLvl w:val="6"/>
    </w:pPr>
    <w:rPr>
      <w:b/>
    </w:rPr>
  </w:style>
  <w:style w:type="paragraph" w:styleId="Heading8">
    <w:name w:val="heading 8"/>
    <w:basedOn w:val="Normal"/>
    <w:next w:val="ParaNum"/>
    <w:link w:val="Heading8Char"/>
    <w:qFormat/>
    <w:rsid w:val="00842F8E"/>
    <w:pPr>
      <w:numPr>
        <w:ilvl w:val="7"/>
        <w:numId w:val="2"/>
      </w:numPr>
      <w:tabs>
        <w:tab w:val="clear" w:pos="5400"/>
        <w:tab w:val="left" w:pos="5760"/>
      </w:tabs>
      <w:spacing w:after="120"/>
      <w:ind w:left="5760" w:hanging="720"/>
      <w:outlineLvl w:val="7"/>
    </w:pPr>
    <w:rPr>
      <w:b/>
    </w:rPr>
  </w:style>
  <w:style w:type="paragraph" w:styleId="Heading9">
    <w:name w:val="heading 9"/>
    <w:basedOn w:val="Normal"/>
    <w:next w:val="ParaNum"/>
    <w:link w:val="Heading9Char"/>
    <w:qFormat/>
    <w:rsid w:val="00842F8E"/>
    <w:pPr>
      <w:numPr>
        <w:ilvl w:val="8"/>
        <w:numId w:val="2"/>
      </w:numPr>
      <w:tabs>
        <w:tab w:val="clear" w:pos="6120"/>
        <w:tab w:val="left" w:pos="6480"/>
      </w:tabs>
      <w:spacing w:after="120"/>
      <w:ind w:left="6480" w:hanging="720"/>
      <w:outlineLvl w:val="8"/>
    </w:pPr>
    <w:rPr>
      <w:b/>
    </w:rPr>
  </w:style>
  <w:style w:type="character" w:default="1" w:styleId="DefaultParagraphFont">
    <w:name w:val="Default Paragraph Font"/>
    <w:uiPriority w:val="1"/>
    <w:unhideWhenUsed/>
    <w:rsid w:val="00842F8E"/>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rsid w:val="00842F8E"/>
  </w:style>
  <w:style w:type="paragraph" w:customStyle="1" w:styleId="ParaNum">
    <w:name w:val="ParaNum"/>
    <w:basedOn w:val="Normal"/>
    <w:link w:val="ParaNumChar"/>
    <w:rsid w:val="00842F8E"/>
    <w:pPr>
      <w:numPr>
        <w:numId w:val="1"/>
      </w:numPr>
      <w:tabs>
        <w:tab w:val="clear" w:pos="1080"/>
        <w:tab w:val="num" w:pos="1440"/>
      </w:tabs>
      <w:spacing w:after="120"/>
    </w:pPr>
  </w:style>
  <w:style w:type="paragraph" w:styleId="EndnoteText">
    <w:name w:val="endnote text"/>
    <w:basedOn w:val="Normal"/>
    <w:semiHidden/>
    <w:rsid w:val="00842F8E"/>
    <w:rPr>
      <w:sz w:val="20"/>
    </w:rPr>
  </w:style>
  <w:style w:type="character" w:styleId="EndnoteReference">
    <w:name w:val="endnote reference"/>
    <w:semiHidden/>
    <w:rsid w:val="00842F8E"/>
    <w:rPr>
      <w:vertAlign w:val="superscript"/>
    </w:rPr>
  </w:style>
  <w:style w:type="paragraph" w:styleId="FootnoteText">
    <w:name w:val="footnote text"/>
    <w:link w:val="FootnoteTextChar"/>
    <w:rsid w:val="00842F8E"/>
    <w:pPr>
      <w:spacing w:after="120"/>
    </w:pPr>
  </w:style>
  <w:style w:type="character" w:styleId="FootnoteReference">
    <w:name w:val="footnote reference"/>
    <w:aliases w:val="(NECG) Footnote Reference,-E Funotenzeichen,A,Appel note de bas de p,FR,Footnote Reference/,Footnote Reference1,Ref,Style 1,Style 12,Style 124,Style 13,Style 17,Style 20,Style 3,Style 34,Style 4,Style 6,Style 7,Style 9,callout,fr,o"/>
    <w:rsid w:val="00842F8E"/>
    <w:rPr>
      <w:rFonts w:ascii="Times New Roman" w:hAnsi="Times New Roman"/>
      <w:dstrike w:val="0"/>
      <w:color w:val="auto"/>
      <w:sz w:val="20"/>
      <w:vertAlign w:val="superscript"/>
    </w:rPr>
  </w:style>
  <w:style w:type="paragraph" w:styleId="TOC1">
    <w:name w:val="toc 1"/>
    <w:basedOn w:val="Normal"/>
    <w:next w:val="Normal"/>
    <w:rsid w:val="00842F8E"/>
    <w:pPr>
      <w:tabs>
        <w:tab w:val="left" w:pos="360"/>
        <w:tab w:val="right" w:leader="dot" w:pos="9360"/>
      </w:tabs>
      <w:suppressAutoHyphens/>
      <w:ind w:left="360" w:right="720" w:hanging="360"/>
    </w:pPr>
    <w:rPr>
      <w:caps/>
      <w:noProof/>
    </w:rPr>
  </w:style>
  <w:style w:type="paragraph" w:styleId="TOC2">
    <w:name w:val="toc 2"/>
    <w:basedOn w:val="Normal"/>
    <w:next w:val="Normal"/>
    <w:rsid w:val="00842F8E"/>
    <w:pPr>
      <w:tabs>
        <w:tab w:val="left" w:pos="720"/>
        <w:tab w:val="right" w:leader="dot" w:pos="9360"/>
      </w:tabs>
      <w:suppressAutoHyphens/>
      <w:ind w:left="720" w:right="720" w:hanging="360"/>
    </w:pPr>
    <w:rPr>
      <w:noProof/>
    </w:rPr>
  </w:style>
  <w:style w:type="paragraph" w:styleId="TOC3">
    <w:name w:val="toc 3"/>
    <w:basedOn w:val="Normal"/>
    <w:next w:val="Normal"/>
    <w:rsid w:val="00842F8E"/>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rsid w:val="00842F8E"/>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rsid w:val="00842F8E"/>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rsid w:val="00842F8E"/>
    <w:pPr>
      <w:tabs>
        <w:tab w:val="left" w:pos="2160"/>
        <w:tab w:val="right" w:leader="dot" w:pos="9360"/>
      </w:tabs>
      <w:suppressAutoHyphens/>
      <w:ind w:left="2160" w:hanging="360"/>
    </w:pPr>
    <w:rPr>
      <w:noProof/>
    </w:rPr>
  </w:style>
  <w:style w:type="paragraph" w:styleId="TOC7">
    <w:name w:val="toc 7"/>
    <w:basedOn w:val="Normal"/>
    <w:next w:val="Normal"/>
    <w:autoRedefine/>
    <w:semiHidden/>
    <w:rsid w:val="00842F8E"/>
    <w:pPr>
      <w:tabs>
        <w:tab w:val="left" w:pos="2520"/>
        <w:tab w:val="right" w:leader="dot" w:pos="9360"/>
      </w:tabs>
      <w:suppressAutoHyphens/>
      <w:ind w:left="2520" w:hanging="360"/>
    </w:pPr>
    <w:rPr>
      <w:noProof/>
    </w:rPr>
  </w:style>
  <w:style w:type="paragraph" w:styleId="TOC8">
    <w:name w:val="toc 8"/>
    <w:basedOn w:val="Normal"/>
    <w:next w:val="Normal"/>
    <w:autoRedefine/>
    <w:semiHidden/>
    <w:rsid w:val="00842F8E"/>
    <w:pPr>
      <w:tabs>
        <w:tab w:val="left" w:pos="2880"/>
        <w:tab w:val="right" w:leader="dot" w:pos="9360"/>
      </w:tabs>
      <w:suppressAutoHyphens/>
      <w:ind w:left="2880" w:hanging="360"/>
    </w:pPr>
    <w:rPr>
      <w:noProof/>
    </w:rPr>
  </w:style>
  <w:style w:type="paragraph" w:styleId="TOC9">
    <w:name w:val="toc 9"/>
    <w:basedOn w:val="Normal"/>
    <w:next w:val="Normal"/>
    <w:autoRedefine/>
    <w:semiHidden/>
    <w:rsid w:val="00842F8E"/>
    <w:pPr>
      <w:tabs>
        <w:tab w:val="left" w:pos="3240"/>
        <w:tab w:val="right" w:leader="dot" w:pos="9360"/>
      </w:tabs>
      <w:suppressAutoHyphens/>
      <w:ind w:left="3240" w:hanging="360"/>
    </w:pPr>
    <w:rPr>
      <w:noProof/>
    </w:rPr>
  </w:style>
  <w:style w:type="paragraph" w:styleId="TOAHeading">
    <w:name w:val="toa heading"/>
    <w:basedOn w:val="Normal"/>
    <w:next w:val="Normal"/>
    <w:semiHidden/>
    <w:rsid w:val="00842F8E"/>
    <w:pPr>
      <w:tabs>
        <w:tab w:val="right" w:pos="9360"/>
      </w:tabs>
      <w:suppressAutoHyphens/>
    </w:pPr>
  </w:style>
  <w:style w:type="character" w:customStyle="1" w:styleId="EquationCaption">
    <w:name w:val="_Equation Caption"/>
    <w:rsid w:val="00842F8E"/>
  </w:style>
  <w:style w:type="paragraph" w:styleId="Header">
    <w:name w:val="header"/>
    <w:basedOn w:val="Normal"/>
    <w:link w:val="HeaderChar"/>
    <w:autoRedefine/>
    <w:rsid w:val="00842F8E"/>
    <w:pPr>
      <w:tabs>
        <w:tab w:val="center" w:pos="4680"/>
        <w:tab w:val="right" w:pos="9360"/>
      </w:tabs>
    </w:pPr>
    <w:rPr>
      <w:b/>
    </w:rPr>
  </w:style>
  <w:style w:type="paragraph" w:styleId="Footer">
    <w:name w:val="footer"/>
    <w:basedOn w:val="Normal"/>
    <w:link w:val="FooterChar"/>
    <w:uiPriority w:val="99"/>
    <w:rsid w:val="00842F8E"/>
    <w:pPr>
      <w:tabs>
        <w:tab w:val="center" w:pos="4320"/>
        <w:tab w:val="right" w:pos="8640"/>
      </w:tabs>
    </w:pPr>
  </w:style>
  <w:style w:type="character" w:styleId="PageNumber">
    <w:name w:val="page number"/>
    <w:basedOn w:val="DefaultParagraphFont"/>
    <w:rsid w:val="00842F8E"/>
  </w:style>
  <w:style w:type="paragraph" w:styleId="BlockText">
    <w:name w:val="Block Text"/>
    <w:basedOn w:val="Normal"/>
    <w:rsid w:val="00842F8E"/>
    <w:pPr>
      <w:spacing w:after="240"/>
      <w:ind w:left="1440" w:right="1440"/>
    </w:pPr>
  </w:style>
  <w:style w:type="paragraph" w:customStyle="1" w:styleId="Paratitle">
    <w:name w:val="Para title"/>
    <w:basedOn w:val="Normal"/>
    <w:rsid w:val="00842F8E"/>
    <w:pPr>
      <w:tabs>
        <w:tab w:val="center" w:pos="9270"/>
      </w:tabs>
      <w:spacing w:after="240"/>
    </w:pPr>
    <w:rPr>
      <w:spacing w:val="-2"/>
    </w:rPr>
  </w:style>
  <w:style w:type="paragraph" w:customStyle="1" w:styleId="Bullet">
    <w:name w:val="Bullet"/>
    <w:basedOn w:val="Normal"/>
    <w:rsid w:val="00842F8E"/>
    <w:pPr>
      <w:tabs>
        <w:tab w:val="left" w:pos="2160"/>
      </w:tabs>
      <w:spacing w:after="220"/>
      <w:ind w:left="2160" w:hanging="720"/>
    </w:pPr>
  </w:style>
  <w:style w:type="paragraph" w:customStyle="1" w:styleId="TableFormat">
    <w:name w:val="TableFormat"/>
    <w:basedOn w:val="Bullet"/>
    <w:rsid w:val="00842F8E"/>
    <w:pPr>
      <w:tabs>
        <w:tab w:val="clear" w:pos="2160"/>
        <w:tab w:val="left" w:pos="5040"/>
      </w:tabs>
      <w:ind w:left="5040" w:hanging="3600"/>
    </w:pPr>
  </w:style>
  <w:style w:type="paragraph" w:customStyle="1" w:styleId="TOCTitle">
    <w:name w:val="TOC Title"/>
    <w:basedOn w:val="Normal"/>
    <w:rsid w:val="00842F8E"/>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842F8E"/>
    <w:pPr>
      <w:jc w:val="center"/>
    </w:pPr>
    <w:rPr>
      <w:rFonts w:ascii="Times New Roman Bold" w:hAnsi="Times New Roman Bold"/>
      <w:b/>
      <w:bCs/>
      <w:caps/>
      <w:szCs w:val="22"/>
    </w:rPr>
  </w:style>
  <w:style w:type="character" w:styleId="Hyperlink">
    <w:name w:val="Hyperlink"/>
    <w:rsid w:val="00842F8E"/>
    <w:rPr>
      <w:color w:val="0000FF"/>
      <w:u w:val="single"/>
    </w:rPr>
  </w:style>
  <w:style w:type="character" w:customStyle="1" w:styleId="FooterChar">
    <w:name w:val="Footer Char"/>
    <w:link w:val="Footer"/>
    <w:uiPriority w:val="99"/>
    <w:rsid w:val="00842F8E"/>
    <w:rPr>
      <w:snapToGrid w:val="0"/>
      <w:kern w:val="28"/>
      <w:sz w:val="22"/>
    </w:rPr>
  </w:style>
  <w:style w:type="character" w:customStyle="1" w:styleId="FootnoteTextChar">
    <w:name w:val="Footnote Text Char"/>
    <w:link w:val="FootnoteText"/>
    <w:rsid w:val="00BA2DC2"/>
  </w:style>
  <w:style w:type="paragraph" w:customStyle="1" w:styleId="GridTable31">
    <w:name w:val="Grid Table 31"/>
    <w:basedOn w:val="Heading1"/>
    <w:next w:val="Normal"/>
    <w:uiPriority w:val="39"/>
    <w:unhideWhenUsed/>
    <w:qFormat/>
    <w:rsid w:val="00F541A7"/>
    <w:pPr>
      <w:keepLines/>
      <w:widowControl/>
      <w:numPr>
        <w:numId w:val="0"/>
      </w:numPr>
      <w:tabs>
        <w:tab w:val="left" w:pos="720"/>
      </w:tabs>
      <w:suppressAutoHyphens w:val="0"/>
      <w:spacing w:before="240" w:after="0" w:line="259" w:lineRule="auto"/>
      <w:outlineLvl w:val="9"/>
    </w:pPr>
    <w:rPr>
      <w:rFonts w:ascii="Calibri Light" w:hAnsi="Calibri Light"/>
      <w:b w:val="0"/>
      <w:caps w:val="0"/>
      <w:snapToGrid/>
      <w:color w:val="2F5496"/>
      <w:kern w:val="0"/>
      <w:sz w:val="32"/>
      <w:szCs w:val="32"/>
    </w:rPr>
  </w:style>
  <w:style w:type="character" w:customStyle="1" w:styleId="UnresolvedMention1">
    <w:name w:val="Unresolved Mention1"/>
    <w:uiPriority w:val="99"/>
    <w:semiHidden/>
    <w:unhideWhenUsed/>
    <w:rsid w:val="00F541A7"/>
    <w:rPr>
      <w:color w:val="808080"/>
      <w:shd w:val="clear" w:color="auto" w:fill="E6E6E6"/>
    </w:rPr>
  </w:style>
  <w:style w:type="character" w:customStyle="1" w:styleId="ParaNumChar">
    <w:name w:val="ParaNum Char"/>
    <w:link w:val="ParaNum"/>
    <w:locked/>
    <w:rsid w:val="00F541A7"/>
    <w:rPr>
      <w:snapToGrid w:val="0"/>
      <w:kern w:val="28"/>
      <w:sz w:val="22"/>
    </w:rPr>
  </w:style>
  <w:style w:type="character" w:customStyle="1" w:styleId="FootnoteTextChar5">
    <w:name w:val="Footnote Text Char5"/>
    <w:aliases w:val="Footnote Text Char Char Char Char Char,Footnote Text Char Char Char Char Char Char Char,Footnote Text Char1 Char Char Char Char Char,Footnote Text Char1 Char1 Char Char,Footnote Text Char3 Char Char Char Char Char Char Char Char"/>
    <w:rsid w:val="00F541A7"/>
  </w:style>
  <w:style w:type="character" w:customStyle="1" w:styleId="ParaNumChar2">
    <w:name w:val="ParaNum Char2"/>
    <w:rsid w:val="00F541A7"/>
    <w:rPr>
      <w:snapToGrid w:val="0"/>
      <w:kern w:val="28"/>
      <w:sz w:val="22"/>
    </w:rPr>
  </w:style>
  <w:style w:type="character" w:customStyle="1" w:styleId="ParaNumChar1">
    <w:name w:val="ParaNum Char1"/>
    <w:rsid w:val="00F541A7"/>
    <w:rPr>
      <w:snapToGrid w:val="0"/>
      <w:kern w:val="28"/>
      <w:sz w:val="22"/>
    </w:rPr>
  </w:style>
  <w:style w:type="character" w:customStyle="1" w:styleId="Heading2Char">
    <w:name w:val="Heading 2 Char"/>
    <w:link w:val="Heading2"/>
    <w:locked/>
    <w:rsid w:val="00314973"/>
    <w:rPr>
      <w:b/>
      <w:snapToGrid w:val="0"/>
      <w:kern w:val="28"/>
      <w:sz w:val="22"/>
    </w:rPr>
  </w:style>
  <w:style w:type="character" w:styleId="Emphasis">
    <w:name w:val="Emphasis"/>
    <w:uiPriority w:val="20"/>
    <w:qFormat/>
    <w:rsid w:val="00F541A7"/>
    <w:rPr>
      <w:i/>
      <w:iCs/>
    </w:rPr>
  </w:style>
  <w:style w:type="character" w:customStyle="1" w:styleId="cosmallcaps">
    <w:name w:val="co_smallcaps"/>
    <w:rsid w:val="00F541A7"/>
  </w:style>
  <w:style w:type="paragraph" w:customStyle="1" w:styleId="ParaNumCharChar1CharCharChar">
    <w:name w:val="ParaNum Char Char1 Char Char Char"/>
    <w:basedOn w:val="Normal"/>
    <w:rsid w:val="00F541A7"/>
    <w:pPr>
      <w:tabs>
        <w:tab w:val="num" w:pos="1440"/>
      </w:tabs>
      <w:ind w:firstLine="720"/>
      <w:jc w:val="both"/>
    </w:pPr>
  </w:style>
  <w:style w:type="paragraph" w:styleId="BalloonText">
    <w:name w:val="Balloon Text"/>
    <w:basedOn w:val="Normal"/>
    <w:link w:val="BalloonTextChar"/>
    <w:rsid w:val="00F541A7"/>
    <w:rPr>
      <w:rFonts w:ascii="Segoe UI" w:hAnsi="Segoe UI" w:cs="Segoe UI"/>
      <w:sz w:val="18"/>
      <w:szCs w:val="18"/>
    </w:rPr>
  </w:style>
  <w:style w:type="character" w:customStyle="1" w:styleId="BalloonTextChar">
    <w:name w:val="Balloon Text Char"/>
    <w:basedOn w:val="DefaultParagraphFont"/>
    <w:link w:val="BalloonText"/>
    <w:rsid w:val="00F541A7"/>
    <w:rPr>
      <w:rFonts w:ascii="Segoe UI" w:hAnsi="Segoe UI" w:cs="Segoe UI"/>
      <w:snapToGrid w:val="0"/>
      <w:kern w:val="28"/>
      <w:sz w:val="18"/>
      <w:szCs w:val="18"/>
    </w:rPr>
  </w:style>
  <w:style w:type="character" w:customStyle="1" w:styleId="Heading5Char">
    <w:name w:val="Heading 5 Char"/>
    <w:link w:val="Heading5"/>
    <w:rsid w:val="00F541A7"/>
    <w:rPr>
      <w:b/>
      <w:snapToGrid w:val="0"/>
      <w:kern w:val="28"/>
      <w:sz w:val="22"/>
    </w:rPr>
  </w:style>
  <w:style w:type="character" w:styleId="CommentReference">
    <w:name w:val="annotation reference"/>
    <w:rsid w:val="00F541A7"/>
    <w:rPr>
      <w:sz w:val="16"/>
      <w:szCs w:val="16"/>
    </w:rPr>
  </w:style>
  <w:style w:type="paragraph" w:styleId="CommentText">
    <w:name w:val="annotation text"/>
    <w:basedOn w:val="Normal"/>
    <w:link w:val="CommentTextChar"/>
    <w:rsid w:val="00F541A7"/>
    <w:rPr>
      <w:sz w:val="20"/>
    </w:rPr>
  </w:style>
  <w:style w:type="character" w:customStyle="1" w:styleId="CommentTextChar">
    <w:name w:val="Comment Text Char"/>
    <w:basedOn w:val="DefaultParagraphFont"/>
    <w:link w:val="CommentText"/>
    <w:rsid w:val="00F541A7"/>
    <w:rPr>
      <w:snapToGrid w:val="0"/>
      <w:kern w:val="28"/>
    </w:rPr>
  </w:style>
  <w:style w:type="character" w:customStyle="1" w:styleId="Heading1Char">
    <w:name w:val="Heading 1 Char"/>
    <w:link w:val="Heading1"/>
    <w:rsid w:val="00F541A7"/>
    <w:rPr>
      <w:rFonts w:ascii="Times New Roman Bold" w:hAnsi="Times New Roman Bold"/>
      <w:b/>
      <w:caps/>
      <w:snapToGrid w:val="0"/>
      <w:kern w:val="28"/>
      <w:sz w:val="22"/>
    </w:rPr>
  </w:style>
  <w:style w:type="paragraph" w:styleId="CommentSubject">
    <w:name w:val="annotation subject"/>
    <w:basedOn w:val="CommentText"/>
    <w:next w:val="CommentText"/>
    <w:link w:val="CommentSubjectChar"/>
    <w:uiPriority w:val="99"/>
    <w:rsid w:val="00F541A7"/>
    <w:rPr>
      <w:b/>
      <w:bCs/>
    </w:rPr>
  </w:style>
  <w:style w:type="character" w:customStyle="1" w:styleId="CommentSubjectChar">
    <w:name w:val="Comment Subject Char"/>
    <w:basedOn w:val="CommentTextChar"/>
    <w:link w:val="CommentSubject"/>
    <w:uiPriority w:val="99"/>
    <w:rsid w:val="00F541A7"/>
    <w:rPr>
      <w:b/>
      <w:bCs/>
      <w:snapToGrid w:val="0"/>
      <w:kern w:val="28"/>
    </w:rPr>
  </w:style>
  <w:style w:type="character" w:customStyle="1" w:styleId="cosearchterm">
    <w:name w:val="co_searchterm"/>
    <w:rsid w:val="00F541A7"/>
  </w:style>
  <w:style w:type="character" w:customStyle="1" w:styleId="Heading3Char">
    <w:name w:val="Heading 3 Char"/>
    <w:link w:val="Heading3"/>
    <w:rsid w:val="00F541A7"/>
    <w:rPr>
      <w:b/>
      <w:snapToGrid w:val="0"/>
      <w:kern w:val="28"/>
      <w:sz w:val="22"/>
    </w:rPr>
  </w:style>
  <w:style w:type="character" w:styleId="FollowedHyperlink">
    <w:name w:val="FollowedHyperlink"/>
    <w:rsid w:val="00F541A7"/>
    <w:rPr>
      <w:color w:val="800080"/>
      <w:u w:val="single"/>
    </w:rPr>
  </w:style>
  <w:style w:type="paragraph" w:customStyle="1" w:styleId="MediumList2-Accent21">
    <w:name w:val="Medium List 2 - Accent 21"/>
    <w:hidden/>
    <w:uiPriority w:val="71"/>
    <w:unhideWhenUsed/>
    <w:rsid w:val="00F541A7"/>
    <w:rPr>
      <w:snapToGrid w:val="0"/>
      <w:kern w:val="28"/>
      <w:sz w:val="22"/>
    </w:rPr>
  </w:style>
  <w:style w:type="character" w:customStyle="1" w:styleId="UnresolvedMention2">
    <w:name w:val="Unresolved Mention2"/>
    <w:rsid w:val="00F541A7"/>
    <w:rPr>
      <w:color w:val="605E5C"/>
      <w:shd w:val="clear" w:color="auto" w:fill="E1DFDD"/>
    </w:rPr>
  </w:style>
  <w:style w:type="paragraph" w:styleId="Revision">
    <w:name w:val="Revision"/>
    <w:hidden/>
    <w:uiPriority w:val="99"/>
    <w:semiHidden/>
    <w:rsid w:val="00F541A7"/>
    <w:rPr>
      <w:snapToGrid w:val="0"/>
      <w:kern w:val="28"/>
      <w:sz w:val="22"/>
    </w:rPr>
  </w:style>
  <w:style w:type="character" w:customStyle="1" w:styleId="FootnoteCharacters">
    <w:name w:val="Footnote Characters"/>
    <w:rsid w:val="00F541A7"/>
    <w:rPr>
      <w:rFonts w:ascii="Times New Roman" w:hAnsi="Times New Roman" w:cs="Times New Roman"/>
      <w:color w:val="auto"/>
      <w:sz w:val="22"/>
      <w:vertAlign w:val="superscript"/>
    </w:rPr>
  </w:style>
  <w:style w:type="character" w:customStyle="1" w:styleId="documentbody5">
    <w:name w:val="documentbody5"/>
    <w:rsid w:val="00F541A7"/>
    <w:rPr>
      <w:rFonts w:ascii="Verdana" w:hAnsi="Verdana" w:cs="Times New Roman"/>
      <w:sz w:val="19"/>
      <w:szCs w:val="19"/>
    </w:rPr>
  </w:style>
  <w:style w:type="character" w:customStyle="1" w:styleId="FootnoteTextChar3Char">
    <w:name w:val="Footnote Text Char3 Char"/>
    <w:rsid w:val="00F541A7"/>
    <w:rPr>
      <w:rFonts w:cs="Times New Roman"/>
      <w:lang w:val="en-US" w:eastAsia="ar-SA" w:bidi="ar-SA"/>
    </w:rPr>
  </w:style>
  <w:style w:type="paragraph" w:customStyle="1" w:styleId="ParaNumCharCharChar">
    <w:name w:val="ParaNum Char Char Char"/>
    <w:basedOn w:val="Normal"/>
    <w:rsid w:val="00F541A7"/>
    <w:pPr>
      <w:tabs>
        <w:tab w:val="num" w:pos="1350"/>
      </w:tabs>
      <w:spacing w:after="220"/>
      <w:ind w:left="270" w:firstLine="720"/>
      <w:jc w:val="both"/>
    </w:pPr>
  </w:style>
  <w:style w:type="paragraph" w:customStyle="1" w:styleId="ParaNumCharChar1">
    <w:name w:val="ParaNum Char Char1"/>
    <w:basedOn w:val="Normal"/>
    <w:link w:val="ParaNumCharChar1Char"/>
    <w:rsid w:val="00F541A7"/>
    <w:pPr>
      <w:tabs>
        <w:tab w:val="num" w:pos="1080"/>
      </w:tabs>
      <w:spacing w:after="220"/>
      <w:ind w:firstLine="720"/>
      <w:jc w:val="both"/>
    </w:pPr>
  </w:style>
  <w:style w:type="character" w:customStyle="1" w:styleId="ParaNumCharChar1Char">
    <w:name w:val="ParaNum Char Char1 Char"/>
    <w:link w:val="ParaNumCharChar1"/>
    <w:rsid w:val="00F541A7"/>
    <w:rPr>
      <w:snapToGrid w:val="0"/>
      <w:kern w:val="28"/>
      <w:sz w:val="22"/>
    </w:rPr>
  </w:style>
  <w:style w:type="paragraph" w:styleId="TOCHeading">
    <w:name w:val="TOC Heading"/>
    <w:basedOn w:val="Heading1"/>
    <w:next w:val="Normal"/>
    <w:uiPriority w:val="39"/>
    <w:unhideWhenUsed/>
    <w:qFormat/>
    <w:rsid w:val="00F541A7"/>
    <w:pPr>
      <w:keepLines/>
      <w:widowControl/>
      <w:numPr>
        <w:numId w:val="0"/>
      </w:numPr>
      <w:tabs>
        <w:tab w:val="left" w:pos="720"/>
      </w:tabs>
      <w:suppressAutoHyphens w:val="0"/>
      <w:spacing w:before="480" w:after="0" w:line="276" w:lineRule="auto"/>
      <w:outlineLvl w:val="9"/>
    </w:pPr>
    <w:rPr>
      <w:rFonts w:ascii="Calibri Light" w:hAnsi="Calibri Light"/>
      <w:bCs/>
      <w:caps w:val="0"/>
      <w:snapToGrid/>
      <w:color w:val="2F5496"/>
      <w:kern w:val="0"/>
      <w:sz w:val="28"/>
      <w:szCs w:val="28"/>
    </w:rPr>
  </w:style>
  <w:style w:type="character" w:customStyle="1" w:styleId="Heading4Char">
    <w:name w:val="Heading 4 Char"/>
    <w:link w:val="Heading4"/>
    <w:rsid w:val="00F541A7"/>
    <w:rPr>
      <w:b/>
      <w:snapToGrid w:val="0"/>
      <w:kern w:val="28"/>
      <w:sz w:val="22"/>
    </w:rPr>
  </w:style>
  <w:style w:type="character" w:customStyle="1" w:styleId="Heading6Char">
    <w:name w:val="Heading 6 Char"/>
    <w:link w:val="Heading6"/>
    <w:rsid w:val="00F541A7"/>
    <w:rPr>
      <w:b/>
      <w:snapToGrid w:val="0"/>
      <w:kern w:val="28"/>
      <w:sz w:val="22"/>
    </w:rPr>
  </w:style>
  <w:style w:type="character" w:customStyle="1" w:styleId="Heading7Char">
    <w:name w:val="Heading 7 Char"/>
    <w:link w:val="Heading7"/>
    <w:rsid w:val="00F541A7"/>
    <w:rPr>
      <w:b/>
      <w:snapToGrid w:val="0"/>
      <w:kern w:val="28"/>
      <w:sz w:val="22"/>
    </w:rPr>
  </w:style>
  <w:style w:type="character" w:customStyle="1" w:styleId="Heading8Char">
    <w:name w:val="Heading 8 Char"/>
    <w:link w:val="Heading8"/>
    <w:rsid w:val="00F541A7"/>
    <w:rPr>
      <w:b/>
      <w:snapToGrid w:val="0"/>
      <w:kern w:val="28"/>
      <w:sz w:val="22"/>
    </w:rPr>
  </w:style>
  <w:style w:type="character" w:customStyle="1" w:styleId="Heading9Char">
    <w:name w:val="Heading 9 Char"/>
    <w:link w:val="Heading9"/>
    <w:rsid w:val="00F541A7"/>
    <w:rPr>
      <w:b/>
      <w:snapToGrid w:val="0"/>
      <w:kern w:val="28"/>
      <w:sz w:val="22"/>
    </w:rPr>
  </w:style>
  <w:style w:type="paragraph" w:styleId="ListParagraph">
    <w:name w:val="List Paragraph"/>
    <w:basedOn w:val="Normal"/>
    <w:uiPriority w:val="34"/>
    <w:qFormat/>
    <w:rsid w:val="00F541A7"/>
    <w:pPr>
      <w:widowControl/>
      <w:spacing w:after="160" w:line="259" w:lineRule="auto"/>
      <w:ind w:left="720"/>
      <w:contextualSpacing/>
    </w:pPr>
    <w:rPr>
      <w:rFonts w:ascii="Calibri" w:eastAsia="Calibri" w:hAnsi="Calibri"/>
      <w:snapToGrid/>
      <w:kern w:val="2"/>
      <w:szCs w:val="22"/>
    </w:rPr>
  </w:style>
  <w:style w:type="character" w:styleId="UnresolvedMention">
    <w:name w:val="Unresolved Mention"/>
    <w:uiPriority w:val="99"/>
    <w:semiHidden/>
    <w:unhideWhenUsed/>
    <w:rsid w:val="00F541A7"/>
    <w:rPr>
      <w:color w:val="605E5C"/>
      <w:shd w:val="clear" w:color="auto" w:fill="E1DFDD"/>
    </w:rPr>
  </w:style>
  <w:style w:type="character" w:customStyle="1" w:styleId="HeaderChar">
    <w:name w:val="Header Char"/>
    <w:link w:val="Header"/>
    <w:rsid w:val="00F541A7"/>
    <w:rPr>
      <w:b/>
      <w:snapToGrid w:val="0"/>
      <w:kern w:val="28"/>
      <w:sz w:val="22"/>
    </w:rPr>
  </w:style>
  <w:style w:type="character" w:customStyle="1" w:styleId="xcontentpasted0">
    <w:name w:val="x_contentpasted0"/>
    <w:basedOn w:val="DefaultParagraphFont"/>
    <w:rsid w:val="00363509"/>
  </w:style>
  <w:style w:type="character" w:customStyle="1" w:styleId="ac">
    <w:name w:val="ac"/>
    <w:basedOn w:val="DefaultParagraphFont"/>
    <w:rsid w:val="0060582B"/>
  </w:style>
  <w:style w:type="character" w:customStyle="1" w:styleId="ssit">
    <w:name w:val="ss_it"/>
    <w:basedOn w:val="DefaultParagraphFont"/>
    <w:rsid w:val="0060582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eader" Target="header1.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2.xml" /><Relationship Id="rId14" Type="http://schemas.openxmlformats.org/officeDocument/2006/relationships/theme" Target="theme/theme1.xml" /><Relationship Id="rId15" Type="http://schemas.openxmlformats.org/officeDocument/2006/relationships/numbering" Target="numbering.xml" /><Relationship Id="rId16"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yperlink" Target="http://apps.fcc.gov/ecfs/" TargetMode="External" /><Relationship Id="rId7" Type="http://schemas.openxmlformats.org/officeDocument/2006/relationships/hyperlink" Target="mailto:fcc504@fcc.gov" TargetMode="External" /><Relationship Id="rId8" Type="http://schemas.openxmlformats.org/officeDocument/2006/relationships/hyperlink" Target="https://www.fcc.gov/proposed-rulemakings" TargetMode="External" /><Relationship Id="rId9" Type="http://schemas.openxmlformats.org/officeDocument/2006/relationships/hyperlink" Target="mailto:Ty.Bream@fcc.gov" TargetMode="External" /></Relationships>
</file>

<file path=word/_rels/footnotes.xml.rels><?xml version="1.0" encoding="utf-8" standalone="yes"?><Relationships xmlns="http://schemas.openxmlformats.org/package/2006/relationships"><Relationship Id="rId1" Type="http://schemas.openxmlformats.org/officeDocument/2006/relationships/hyperlink" Target="https://www.insideradio.com/free/battle-over-media-ownership-rule-changes-will-be-aired-in-federal-appeals-court/article_c30a2d86-9818-11ef-b601-af5ec609955e.html" TargetMode="External" /><Relationship Id="rId2" Type="http://schemas.openxmlformats.org/officeDocument/2006/relationships/hyperlink" Target="https://www.fcc.gov/general/am-radio" TargetMode="External" /><Relationship Id="rId3" Type="http://schemas.openxmlformats.org/officeDocument/2006/relationships/hyperlink" Target="https://www.fcc.gov/general/fm-radio" TargetMode="External" /><Relationship Id="rId4" Type="http://schemas.openxmlformats.org/officeDocument/2006/relationships/hyperlink" Target="https://www.nielsen.com/dma-regions/" TargetMode="External" /><Relationship Id="rId5" Type="http://schemas.openxmlformats.org/officeDocument/2006/relationships/hyperlink" Target="https://advocacy.sba.gov/wp-content/uploads/2024/12/Frequently-Asked-Questions-About-Small-Business_2024-508.pdf" TargetMode="External" /><Relationship Id="rId6" Type="http://schemas.openxmlformats.org/officeDocument/2006/relationships/hyperlink" Target="https://advocacy.sba.gov/2019/07/25/small-business-facts-spotlight-on-nonprofits/" TargetMode="External" /><Relationship Id="rId7" Type="http://schemas.openxmlformats.org/officeDocument/2006/relationships/hyperlink" Target="https://www.census.gov/data/tables/2022/econ/gus/2022-governments.html" TargetMode="External" /><Relationship Id="rId8" Type="http://schemas.openxmlformats.org/officeDocument/2006/relationships/hyperlink" Target="https://www.census.gov/naics/" TargetMode="External" /><Relationship Id="rId9" Type="http://schemas.openxmlformats.org/officeDocument/2006/relationships/hyperlink" Target="https://docs.fcc.gov/public/attachments/DA-25-581A1.pdf" TargetMode="External"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Orders%20TOC%20by%20Paragraph.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Metadata/LabelInfo.xml><?xml version="1.0" encoding="utf-8"?>
<clbl:labelList xmlns:clbl="http://schemas.microsoft.com/office/2020/mipLabelMetadata">
  <clbl:label id="{3c89fd8a-7f68-4667-aa15-41ebf2208961}" enabled="0" method="" siteId="{3c89fd8a-7f68-4667-aa15-41ebf2208961}" removed="1"/>
</clbl:labelList>
</file>

<file path=docProps/app.xml><?xml version="1.0" encoding="utf-8"?>
<Properties xmlns="http://schemas.openxmlformats.org/officeDocument/2006/extended-properties" xmlns:vt="http://schemas.openxmlformats.org/officeDocument/2006/docPropsVTypes">
  <Template>Orders TOC by Paragraph</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