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4864D4" w:rsidRPr="005577AD" w:rsidP="004864D4" w14:paraId="38B97F55" w14:textId="77777777">
      <w:pPr>
        <w:jc w:val="center"/>
        <w:rPr>
          <w:b/>
          <w:bCs/>
          <w:caps/>
          <w:szCs w:val="22"/>
        </w:rPr>
      </w:pPr>
      <w:r w:rsidRPr="005577AD">
        <w:rPr>
          <w:b/>
          <w:bCs/>
          <w:caps/>
          <w:szCs w:val="22"/>
        </w:rPr>
        <w:t>Statement of</w:t>
      </w:r>
    </w:p>
    <w:p w:rsidR="004864D4" w:rsidRPr="005577AD" w:rsidP="004864D4" w14:paraId="3F56BDC4" w14:textId="77777777">
      <w:pPr>
        <w:jc w:val="center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Chairman Brendan Carr</w:t>
      </w:r>
    </w:p>
    <w:p w:rsidR="004864D4" w:rsidRPr="005577AD" w:rsidP="004864D4" w14:paraId="7DBAD287" w14:textId="77777777">
      <w:pPr>
        <w:jc w:val="center"/>
        <w:rPr>
          <w:b/>
          <w:bCs/>
          <w:caps/>
          <w:szCs w:val="22"/>
        </w:rPr>
      </w:pPr>
    </w:p>
    <w:p w:rsidR="004864D4" w:rsidRPr="005577AD" w:rsidP="004864D4" w14:paraId="032B8C71" w14:textId="77777777">
      <w:pPr>
        <w:rPr>
          <w:i/>
          <w:iCs/>
          <w:szCs w:val="22"/>
        </w:rPr>
      </w:pPr>
      <w:r w:rsidRPr="005577AD">
        <w:rPr>
          <w:iCs/>
          <w:szCs w:val="22"/>
        </w:rPr>
        <w:t>Re:</w:t>
      </w:r>
      <w:r w:rsidRPr="005577AD">
        <w:rPr>
          <w:szCs w:val="22"/>
        </w:rPr>
        <w:t xml:space="preserve"> </w:t>
      </w:r>
      <w:r w:rsidRPr="005577AD">
        <w:rPr>
          <w:szCs w:val="22"/>
        </w:rPr>
        <w:tab/>
      </w:r>
      <w:r w:rsidRPr="00CC7D5B">
        <w:rPr>
          <w:i/>
          <w:iCs/>
          <w:szCs w:val="22"/>
        </w:rPr>
        <w:t>Delete, Delete, Delete</w:t>
      </w:r>
      <w:r w:rsidRPr="005577AD">
        <w:rPr>
          <w:iCs/>
          <w:szCs w:val="22"/>
        </w:rPr>
        <w:t xml:space="preserve">, </w:t>
      </w:r>
      <w:r>
        <w:rPr>
          <w:iCs/>
          <w:szCs w:val="22"/>
        </w:rPr>
        <w:t xml:space="preserve">GN </w:t>
      </w:r>
      <w:r w:rsidRPr="005577AD">
        <w:rPr>
          <w:iCs/>
          <w:szCs w:val="22"/>
        </w:rPr>
        <w:t xml:space="preserve">Docket No. </w:t>
      </w:r>
      <w:r>
        <w:rPr>
          <w:iCs/>
          <w:szCs w:val="22"/>
        </w:rPr>
        <w:t>25-133, Direct Final Rule (Sept. 30, 2025)</w:t>
      </w:r>
      <w:r w:rsidRPr="005577AD">
        <w:rPr>
          <w:iCs/>
          <w:szCs w:val="22"/>
        </w:rPr>
        <w:t>.</w:t>
      </w:r>
    </w:p>
    <w:p w:rsidR="004864D4" w:rsidRPr="005577AD" w:rsidP="004864D4" w14:paraId="38B78738" w14:textId="77777777">
      <w:pPr>
        <w:ind w:firstLine="720"/>
        <w:rPr>
          <w:szCs w:val="22"/>
        </w:rPr>
      </w:pPr>
    </w:p>
    <w:p w:rsidR="004864D4" w:rsidP="004864D4" w14:paraId="73CB43B6" w14:textId="77777777">
      <w:pPr>
        <w:widowControl/>
        <w:ind w:firstLine="720"/>
        <w:rPr>
          <w:szCs w:val="22"/>
        </w:rPr>
      </w:pPr>
      <w:r w:rsidRPr="00CC7D5B">
        <w:rPr>
          <w:szCs w:val="22"/>
        </w:rPr>
        <w:t>With the baseball playoffs starting today, it seems appropriate to introduce our next item with Yogi Berra’s famous line: “It’s like déjà vu all over again.”</w:t>
      </w:r>
      <w:r>
        <w:rPr>
          <w:szCs w:val="22"/>
        </w:rPr>
        <w:t xml:space="preserve">  </w:t>
      </w:r>
    </w:p>
    <w:p w:rsidR="004864D4" w:rsidP="004864D4" w14:paraId="57F1A230" w14:textId="77777777">
      <w:pPr>
        <w:widowControl/>
        <w:ind w:firstLine="720"/>
        <w:rPr>
          <w:szCs w:val="22"/>
        </w:rPr>
      </w:pPr>
    </w:p>
    <w:p w:rsidR="004864D4" w:rsidRPr="00CC7D5B" w:rsidP="004864D4" w14:paraId="6BE7FC0D" w14:textId="77777777">
      <w:pPr>
        <w:widowControl/>
        <w:ind w:firstLine="720"/>
        <w:rPr>
          <w:szCs w:val="22"/>
        </w:rPr>
      </w:pPr>
      <w:r w:rsidRPr="00CC7D5B">
        <w:rPr>
          <w:szCs w:val="22"/>
        </w:rPr>
        <w:t xml:space="preserve">For the third monthly meeting in a row, we are eliminating a large tranche of regulations as part of our </w:t>
      </w:r>
      <w:r w:rsidRPr="00CC7D5B">
        <w:rPr>
          <w:i/>
          <w:iCs/>
          <w:szCs w:val="22"/>
        </w:rPr>
        <w:t>In Re: Delete, Delete, Delete</w:t>
      </w:r>
      <w:r w:rsidRPr="00CC7D5B">
        <w:rPr>
          <w:szCs w:val="22"/>
        </w:rPr>
        <w:t> proceeding.  Including this month’s item, we’ve now teed up for elimination about 70,000 words, 158 pages, and 803 rules and requirements from the books.</w:t>
      </w:r>
    </w:p>
    <w:p w:rsidR="004864D4" w:rsidRPr="00CC7D5B" w:rsidP="004864D4" w14:paraId="3DBD7F26" w14:textId="77777777">
      <w:pPr>
        <w:widowControl/>
        <w:ind w:firstLine="720"/>
        <w:rPr>
          <w:szCs w:val="22"/>
        </w:rPr>
      </w:pPr>
    </w:p>
    <w:p w:rsidR="004864D4" w:rsidRPr="00CC7D5B" w:rsidP="004864D4" w14:paraId="29C3BB88" w14:textId="77777777">
      <w:pPr>
        <w:widowControl/>
        <w:ind w:firstLine="720"/>
        <w:rPr>
          <w:szCs w:val="22"/>
        </w:rPr>
      </w:pPr>
      <w:r w:rsidRPr="00CC7D5B">
        <w:rPr>
          <w:szCs w:val="22"/>
        </w:rPr>
        <w:t>This latest round primarily targets wireline-related rules and requirements that govern obsolete technology, are duplicative, or are no longer used in practice.  We’re talking about rules that pertain to a wide variety of now-defunct topics, including antiquated distinctions between wireline carriers, technology that has been eclipsed, and dates pertaining to rate regulation, universal service, pilot programs, and equipment requirements that have long passed. </w:t>
      </w:r>
    </w:p>
    <w:p w:rsidR="004864D4" w:rsidRPr="00CC7D5B" w:rsidP="004864D4" w14:paraId="54FE2B5E" w14:textId="77777777">
      <w:pPr>
        <w:widowControl/>
        <w:ind w:firstLine="720"/>
        <w:rPr>
          <w:szCs w:val="22"/>
        </w:rPr>
      </w:pPr>
    </w:p>
    <w:p w:rsidR="004864D4" w:rsidRPr="00CC7D5B" w:rsidP="004864D4" w14:paraId="35D2A29F" w14:textId="77777777">
      <w:pPr>
        <w:widowControl/>
        <w:ind w:firstLine="720"/>
        <w:rPr>
          <w:szCs w:val="22"/>
        </w:rPr>
      </w:pPr>
      <w:r w:rsidRPr="00CC7D5B">
        <w:rPr>
          <w:szCs w:val="22"/>
        </w:rPr>
        <w:t xml:space="preserve">With this latest action, we’re about halfway through the deadwood stage of our </w:t>
      </w:r>
      <w:r w:rsidRPr="00CC7D5B">
        <w:rPr>
          <w:i/>
          <w:iCs/>
          <w:szCs w:val="22"/>
        </w:rPr>
        <w:t xml:space="preserve">Delete </w:t>
      </w:r>
      <w:r w:rsidRPr="00CC7D5B">
        <w:rPr>
          <w:szCs w:val="22"/>
        </w:rPr>
        <w:t>campaign.  In this stage, we have been scrapping rules that have sat on the books for a long time that either were overturned by courts or just very plainly have been overtaken by events.  We have been going bureau by bureau to identify all of the low-hanging fruit rules and regulations that can be cut.</w:t>
      </w:r>
    </w:p>
    <w:p w:rsidR="004864D4" w:rsidRPr="00CC7D5B" w:rsidP="004864D4" w14:paraId="6CB56FB2" w14:textId="77777777">
      <w:pPr>
        <w:widowControl/>
        <w:ind w:firstLine="720"/>
        <w:rPr>
          <w:szCs w:val="22"/>
        </w:rPr>
      </w:pPr>
    </w:p>
    <w:p w:rsidR="004864D4" w:rsidRPr="00CC7D5B" w:rsidP="004864D4" w14:paraId="078AF9E0" w14:textId="77777777">
      <w:pPr>
        <w:widowControl/>
        <w:ind w:firstLine="720"/>
        <w:rPr>
          <w:szCs w:val="22"/>
        </w:rPr>
      </w:pPr>
      <w:r w:rsidRPr="00CC7D5B">
        <w:rPr>
          <w:szCs w:val="22"/>
        </w:rPr>
        <w:t xml:space="preserve">In phase two of our </w:t>
      </w:r>
      <w:r w:rsidRPr="00CC7D5B">
        <w:rPr>
          <w:i/>
          <w:iCs/>
          <w:szCs w:val="22"/>
        </w:rPr>
        <w:t xml:space="preserve">Delete </w:t>
      </w:r>
      <w:r w:rsidRPr="00CC7D5B">
        <w:rPr>
          <w:szCs w:val="22"/>
        </w:rPr>
        <w:t xml:space="preserve">campaign, we’re going to take some more significant, substantive whacks at the FCC rulebook.  So be prepared to continue experiencing déjà vu all over again as </w:t>
      </w:r>
      <w:r w:rsidRPr="00CC7D5B">
        <w:rPr>
          <w:i/>
          <w:iCs/>
          <w:szCs w:val="22"/>
        </w:rPr>
        <w:t>In re: Delete, Delete, Delete</w:t>
      </w:r>
      <w:r w:rsidRPr="00CC7D5B">
        <w:rPr>
          <w:szCs w:val="22"/>
        </w:rPr>
        <w:t xml:space="preserve"> keeps on rolling. </w:t>
      </w:r>
    </w:p>
    <w:p w:rsidR="004864D4" w:rsidRPr="00CC7D5B" w:rsidP="004864D4" w14:paraId="79A0C3BD" w14:textId="77777777">
      <w:pPr>
        <w:widowControl/>
        <w:ind w:firstLine="720"/>
        <w:rPr>
          <w:szCs w:val="22"/>
        </w:rPr>
      </w:pPr>
    </w:p>
    <w:p w:rsidR="004864D4" w:rsidRPr="00CC7D5B" w:rsidP="004864D4" w14:paraId="278220CC" w14:textId="77777777">
      <w:pPr>
        <w:widowControl/>
        <w:ind w:firstLine="720"/>
        <w:rPr>
          <w:szCs w:val="22"/>
        </w:rPr>
      </w:pPr>
      <w:r w:rsidRPr="00CC7D5B">
        <w:rPr>
          <w:szCs w:val="22"/>
        </w:rPr>
        <w:t>For their great work on this item, I’d like to thank Ed Krachmer, Matthew Baker, Audra Hale-Maddox, Lauren Garry, Kate Dumouchel, Irina Asoskov, Marv Sacks, Richard Kwiatkowski, Molly Burgdorf, Ike Ofobike, Stephen Wang, Michael Scott, Kristi Thornton, Bob Aldrich, and Mark Stone.</w:t>
      </w:r>
    </w:p>
    <w:p w:rsidR="002C00E8" w:rsidRPr="00934012" w:rsidP="00934012" w14:paraId="0FC79057" w14:textId="4DA67C54"/>
    <w:sectPr w:rsidSect="0055614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/>
      <w:pgMar w:top="1440" w:right="1440" w:bottom="72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4864D4" w14:paraId="41A8F5DA" w14:textId="77777777">
      <w:pPr>
        <w:spacing w:line="20" w:lineRule="exact"/>
      </w:pPr>
    </w:p>
  </w:endnote>
  <w:endnote w:type="continuationSeparator" w:id="1">
    <w:p w:rsidR="004864D4" w14:paraId="531DEA96" w14:textId="77777777">
      <w:r>
        <w:t xml:space="preserve"> </w:t>
      </w:r>
    </w:p>
  </w:endnote>
  <w:endnote w:type="continuationNotice" w:id="2">
    <w:p w:rsidR="004864D4" w14:paraId="2404A849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55614C" w14:paraId="4CA4A7B6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D25FB5" w14:paraId="63C2D1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55614C" w14:paraId="5E82870D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E14C2">
      <w:rPr>
        <w:noProof/>
      </w:rPr>
      <w:t>2</w:t>
    </w:r>
    <w:r>
      <w:fldChar w:fldCharType="end"/>
    </w:r>
  </w:p>
  <w:p w:rsidR="00D25FB5" w14:paraId="5083EB6B" w14:textId="77777777">
    <w:pPr>
      <w:suppressAutoHyphens/>
      <w:spacing w:line="227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14:paraId="7E36EBC8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864D4" w14:paraId="6FFE9EB6" w14:textId="77777777">
      <w:r>
        <w:separator/>
      </w:r>
    </w:p>
  </w:footnote>
  <w:footnote w:type="continuationSeparator" w:id="1">
    <w:p w:rsidR="004864D4" w:rsidP="00C721AC" w14:paraId="3B224067" w14:textId="77777777">
      <w:pPr>
        <w:spacing w:before="120"/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4864D4" w:rsidP="00C721AC" w14:paraId="1F011305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810B6F" w14:paraId="0737A9F5" w14:textId="0EA12B16">
    <w:pPr>
      <w:pStyle w:val="Header"/>
      <w:rPr>
        <w:b w:val="0"/>
      </w:rPr>
    </w:pPr>
    <w:r>
      <w:tab/>
      <w:t>Federal Communications Commission</w:t>
    </w:r>
    <w:r>
      <w:tab/>
    </w:r>
    <w:r w:rsidR="0084163F">
      <w:t>FCC 25-68</w:t>
    </w:r>
  </w:p>
  <w:p w:rsidR="00D25FB5" w14:paraId="7D7FC044" w14:textId="77777777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w:pict>
        <v:rect id="Rectangle 1" o:spid="_x0000_s2049" style="width:468pt;height:0.95pt;margin-top:0;margin-left:0;mso-position-horizontal-relative:margin;position:absolute;visibility:visible;z-index:-251658240" o:allowincell="f" fillcolor="black" stroked="f" strokeweight="0.05pt">
          <w10:wrap anchorx="margin"/>
        </v:rect>
      </w:pict>
    </w:r>
  </w:p>
  <w:p w:rsidR="00D25FB5" w14:paraId="28FFED9C" w14:textId="77777777">
    <w:pPr>
      <w:spacing w:after="389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810B6F" w14:paraId="2ED1B9F7" w14:textId="29B666D8">
    <w:pPr>
      <w:pStyle w:val="Header"/>
      <w:rPr>
        <w:b w:val="0"/>
      </w:rPr>
    </w:pPr>
    <w:r>
      <w:rPr>
        <w:noProof/>
      </w:rPr>
      <w:pict>
        <v:rect id="Rectangle 3" o:spid="_x0000_s2050" style="width:468pt;height:0.95pt;margin-top:12.65pt;margin-left:0.6pt;mso-position-horizontal-relative:margin;position:absolute;visibility:visible;z-index:-251657216" o:allowincell="f" fillcolor="black" stroked="f" strokeweight="0.05pt">
          <w10:wrap anchorx="margin"/>
        </v:rect>
      </w:pict>
    </w:r>
    <w:r>
      <w:tab/>
      <w:t>Federal Communications Commission</w:t>
    </w:r>
    <w:r>
      <w:tab/>
    </w:r>
    <w:r w:rsidR="004864D4">
      <w:rPr>
        <w:spacing w:val="-2"/>
      </w:rPr>
      <w:t>FCC 25-68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23F40A0F"/>
    <w:multiLevelType w:val="singleLevel"/>
    <w:tmpl w:val="3244D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840585658">
    <w:abstractNumId w:val="1"/>
  </w:num>
  <w:num w:numId="2" w16cid:durableId="464857727">
    <w:abstractNumId w:val="5"/>
  </w:num>
  <w:num w:numId="3" w16cid:durableId="1935816068">
    <w:abstractNumId w:val="3"/>
  </w:num>
  <w:num w:numId="4" w16cid:durableId="676690544">
    <w:abstractNumId w:val="4"/>
  </w:num>
  <w:num w:numId="5" w16cid:durableId="1195272794">
    <w:abstractNumId w:val="2"/>
  </w:num>
  <w:num w:numId="6" w16cid:durableId="128584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D4"/>
    <w:rsid w:val="00036039"/>
    <w:rsid w:val="00037F90"/>
    <w:rsid w:val="000875BF"/>
    <w:rsid w:val="00096D8C"/>
    <w:rsid w:val="000C0B65"/>
    <w:rsid w:val="000E05FE"/>
    <w:rsid w:val="000E3D42"/>
    <w:rsid w:val="00117D56"/>
    <w:rsid w:val="00122BD5"/>
    <w:rsid w:val="00133F79"/>
    <w:rsid w:val="00194A66"/>
    <w:rsid w:val="001D2924"/>
    <w:rsid w:val="001D6BCF"/>
    <w:rsid w:val="001E01CA"/>
    <w:rsid w:val="00275CF5"/>
    <w:rsid w:val="0028301F"/>
    <w:rsid w:val="00285017"/>
    <w:rsid w:val="002A2D2E"/>
    <w:rsid w:val="002B7EDD"/>
    <w:rsid w:val="002C00E8"/>
    <w:rsid w:val="00343749"/>
    <w:rsid w:val="003660ED"/>
    <w:rsid w:val="003B0550"/>
    <w:rsid w:val="003B694F"/>
    <w:rsid w:val="003F171C"/>
    <w:rsid w:val="00412FC5"/>
    <w:rsid w:val="00422276"/>
    <w:rsid w:val="004242F1"/>
    <w:rsid w:val="00445A00"/>
    <w:rsid w:val="00451B0F"/>
    <w:rsid w:val="004550E6"/>
    <w:rsid w:val="004864D4"/>
    <w:rsid w:val="004C2EE3"/>
    <w:rsid w:val="004E4A22"/>
    <w:rsid w:val="00511968"/>
    <w:rsid w:val="0055614C"/>
    <w:rsid w:val="005577AD"/>
    <w:rsid w:val="005E14C2"/>
    <w:rsid w:val="00607BA5"/>
    <w:rsid w:val="0061180A"/>
    <w:rsid w:val="00626EB6"/>
    <w:rsid w:val="00655D03"/>
    <w:rsid w:val="00683388"/>
    <w:rsid w:val="00683F84"/>
    <w:rsid w:val="006A6A81"/>
    <w:rsid w:val="006F7393"/>
    <w:rsid w:val="0070224F"/>
    <w:rsid w:val="007115F7"/>
    <w:rsid w:val="00785689"/>
    <w:rsid w:val="0079754B"/>
    <w:rsid w:val="007A1E6D"/>
    <w:rsid w:val="007B0EB2"/>
    <w:rsid w:val="00810B6F"/>
    <w:rsid w:val="00822CE0"/>
    <w:rsid w:val="00831251"/>
    <w:rsid w:val="0084163F"/>
    <w:rsid w:val="00841AB1"/>
    <w:rsid w:val="008C68F1"/>
    <w:rsid w:val="00921803"/>
    <w:rsid w:val="00926503"/>
    <w:rsid w:val="00934012"/>
    <w:rsid w:val="009726D8"/>
    <w:rsid w:val="009F76DB"/>
    <w:rsid w:val="00A32C3B"/>
    <w:rsid w:val="00A45F4F"/>
    <w:rsid w:val="00A600A9"/>
    <w:rsid w:val="00AA55B7"/>
    <w:rsid w:val="00AA5B9E"/>
    <w:rsid w:val="00AB2407"/>
    <w:rsid w:val="00AB53DF"/>
    <w:rsid w:val="00B07E5C"/>
    <w:rsid w:val="00B217CA"/>
    <w:rsid w:val="00B811F7"/>
    <w:rsid w:val="00BA5DC6"/>
    <w:rsid w:val="00BA6196"/>
    <w:rsid w:val="00BC6D8C"/>
    <w:rsid w:val="00C34006"/>
    <w:rsid w:val="00C426B1"/>
    <w:rsid w:val="00C66160"/>
    <w:rsid w:val="00C721AC"/>
    <w:rsid w:val="00C90D6A"/>
    <w:rsid w:val="00CA247E"/>
    <w:rsid w:val="00CC72B6"/>
    <w:rsid w:val="00CC7D5B"/>
    <w:rsid w:val="00D0218D"/>
    <w:rsid w:val="00D25FB5"/>
    <w:rsid w:val="00D44223"/>
    <w:rsid w:val="00DA2529"/>
    <w:rsid w:val="00DB130A"/>
    <w:rsid w:val="00DB2EBB"/>
    <w:rsid w:val="00DC10A1"/>
    <w:rsid w:val="00DC655F"/>
    <w:rsid w:val="00DD0B59"/>
    <w:rsid w:val="00DD7EBD"/>
    <w:rsid w:val="00DF62B6"/>
    <w:rsid w:val="00E07225"/>
    <w:rsid w:val="00E5409F"/>
    <w:rsid w:val="00EE6488"/>
    <w:rsid w:val="00F021FA"/>
    <w:rsid w:val="00F0476B"/>
    <w:rsid w:val="00F62E97"/>
    <w:rsid w:val="00F64209"/>
    <w:rsid w:val="00F93B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BBB8BE"/>
  <w15:chartTrackingRefBased/>
  <w15:docId w15:val="{E094C014-2165-4D02-A89F-475F80FE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64D4"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rsid w:val="00626EB6"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rsid w:val="007A1E6D"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rsid w:val="00BA6196"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rsid w:val="00C426B1"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rsid w:val="00511968"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rsid w:val="00036039"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rsid w:val="00036039"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rsid w:val="001E01CA"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rsid w:val="001E01CA"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rsid w:val="00E07225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rsid w:val="000E3D42"/>
    <w:pPr>
      <w:spacing w:after="120"/>
    </w:pPr>
  </w:style>
  <w:style w:type="character" w:styleId="FootnoteReference">
    <w:name w:val="footnote reference"/>
    <w:rsid w:val="00A32C3B"/>
    <w:rPr>
      <w:rFonts w:ascii="Times New Roman" w:hAnsi="Times New Roman"/>
      <w:dstrike w:val="0"/>
      <w:color w:val="auto"/>
      <w:sz w:val="20"/>
      <w:vertAlign w:val="superscript"/>
    </w:rPr>
  </w:style>
  <w:style w:type="paragraph" w:styleId="TOC1">
    <w:name w:val="toc 1"/>
    <w:basedOn w:val="Normal"/>
    <w:next w:val="Normal"/>
    <w:semiHidden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pPr>
      <w:tabs>
        <w:tab w:val="center" w:pos="4680"/>
        <w:tab w:val="right" w:pos="9360"/>
      </w:tabs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tabs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rsid w:val="00096D8C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sid w:val="002A2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M:\Form\OS%20Process\Separate%20Statement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Separate Statement Template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