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300B01" w:rsidRPr="005577AD" w:rsidP="00300B01" w14:paraId="724976E5" w14:textId="77777777">
      <w:pPr>
        <w:jc w:val="center"/>
        <w:rPr>
          <w:b/>
          <w:bCs/>
          <w:caps/>
          <w:szCs w:val="22"/>
        </w:rPr>
      </w:pPr>
      <w:r w:rsidRPr="005577AD">
        <w:rPr>
          <w:b/>
          <w:bCs/>
          <w:caps/>
          <w:szCs w:val="22"/>
        </w:rPr>
        <w:t>Statement of</w:t>
      </w:r>
    </w:p>
    <w:p w:rsidR="00300B01" w:rsidRPr="005577AD" w:rsidP="00300B01" w14:paraId="07632A3A" w14:textId="77777777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Commissioner Olivia Trusty</w:t>
      </w:r>
    </w:p>
    <w:p w:rsidR="00300B01" w:rsidRPr="005577AD" w:rsidP="00300B01" w14:paraId="0257B071" w14:textId="77777777">
      <w:pPr>
        <w:jc w:val="center"/>
        <w:rPr>
          <w:b/>
          <w:bCs/>
          <w:caps/>
          <w:szCs w:val="22"/>
        </w:rPr>
      </w:pPr>
    </w:p>
    <w:p w:rsidR="00300B01" w:rsidRPr="005577AD" w:rsidP="00300B01" w14:paraId="79188975" w14:textId="77777777">
      <w:pPr>
        <w:rPr>
          <w:szCs w:val="22"/>
        </w:rPr>
      </w:pPr>
      <w:r w:rsidRPr="005577AD">
        <w:rPr>
          <w:iCs/>
          <w:szCs w:val="22"/>
        </w:rPr>
        <w:t>Re:</w:t>
      </w:r>
      <w:r w:rsidRPr="005577AD">
        <w:rPr>
          <w:szCs w:val="22"/>
        </w:rPr>
        <w:t xml:space="preserve"> </w:t>
      </w:r>
      <w:r w:rsidRPr="005577AD">
        <w:rPr>
          <w:szCs w:val="22"/>
        </w:rPr>
        <w:tab/>
      </w:r>
      <w:r w:rsidRPr="00196A8E">
        <w:rPr>
          <w:i/>
          <w:iCs/>
          <w:szCs w:val="22"/>
        </w:rPr>
        <w:t>Delete, Delete, Delete</w:t>
      </w:r>
      <w:r w:rsidRPr="004513FA">
        <w:rPr>
          <w:szCs w:val="22"/>
        </w:rPr>
        <w:t xml:space="preserve">, Direct Final Rule, </w:t>
      </w:r>
      <w:r w:rsidRPr="00196A8E">
        <w:rPr>
          <w:szCs w:val="22"/>
        </w:rPr>
        <w:t>GN Docket No. 25-133 (</w:t>
      </w:r>
      <w:r>
        <w:rPr>
          <w:szCs w:val="22"/>
        </w:rPr>
        <w:t>September 30</w:t>
      </w:r>
      <w:r w:rsidRPr="00196A8E">
        <w:rPr>
          <w:szCs w:val="22"/>
        </w:rPr>
        <w:t>, 2025)</w:t>
      </w:r>
      <w:r>
        <w:rPr>
          <w:szCs w:val="22"/>
        </w:rPr>
        <w:t>.</w:t>
      </w:r>
      <w:r w:rsidRPr="00196A8E">
        <w:rPr>
          <w:szCs w:val="22"/>
        </w:rPr>
        <w:cr/>
      </w:r>
    </w:p>
    <w:p w:rsidR="00300B01" w:rsidRPr="00C82BEF" w:rsidP="00300B01" w14:paraId="3D5E465E" w14:textId="77777777">
      <w:pPr>
        <w:spacing w:after="120"/>
        <w:ind w:firstLine="720"/>
        <w:rPr>
          <w:szCs w:val="22"/>
        </w:rPr>
      </w:pPr>
      <w:r w:rsidRPr="00A309A6">
        <w:rPr>
          <w:szCs w:val="22"/>
        </w:rPr>
        <w:t>With this item, the Commission advances its ongoing effort to identify and eliminate rules that are obsolete, unused, or otherwise outdated and unnecessary.  I thank the Consumer and Governmental Affairs Bureau and the Wireline Competition Bureau for their excellent work on this item, and I look forward to future Commission actions that build on this important agency-wide initiative</w:t>
      </w:r>
      <w:r>
        <w:rPr>
          <w:szCs w:val="22"/>
        </w:rPr>
        <w:t>.</w:t>
      </w: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864D4" w14:paraId="41A8F5DA" w14:textId="77777777">
      <w:pPr>
        <w:spacing w:line="20" w:lineRule="exact"/>
      </w:pPr>
    </w:p>
  </w:endnote>
  <w:endnote w:type="continuationSeparator" w:id="1">
    <w:p w:rsidR="004864D4" w14:paraId="531DEA96" w14:textId="77777777">
      <w:r>
        <w:t xml:space="preserve"> </w:t>
      </w:r>
    </w:p>
  </w:endnote>
  <w:endnote w:type="continuationNotice" w:id="2">
    <w:p w:rsidR="004864D4" w14:paraId="2404A849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4CA4A7B6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63C2D1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5E82870D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E14C2">
      <w:rPr>
        <w:noProof/>
      </w:rPr>
      <w:t>2</w:t>
    </w:r>
    <w:r>
      <w:fldChar w:fldCharType="end"/>
    </w:r>
  </w:p>
  <w:p w:rsidR="00D25FB5" w14:paraId="5083EB6B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7E36EBC8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864D4" w14:paraId="6FFE9EB6" w14:textId="77777777">
      <w:r>
        <w:separator/>
      </w:r>
    </w:p>
  </w:footnote>
  <w:footnote w:type="continuationSeparator" w:id="1">
    <w:p w:rsidR="004864D4" w:rsidP="00C721AC" w14:paraId="3B224067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4864D4" w:rsidP="00C721AC" w14:paraId="1F011305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0737A9F5" w14:textId="4EA02724">
    <w:pPr>
      <w:pStyle w:val="Header"/>
      <w:rPr>
        <w:b w:val="0"/>
      </w:rPr>
    </w:pPr>
    <w:r>
      <w:tab/>
      <w:t>Federal Communications Commission</w:t>
    </w:r>
    <w:r>
      <w:tab/>
    </w:r>
    <w:r w:rsidR="00F14751">
      <w:t>FCC 25-68</w:t>
    </w:r>
  </w:p>
  <w:p w:rsidR="00D25FB5" w14:paraId="7D7FC044" w14:textId="77777777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w:pict>
        <v:rect id="Rectangle 1" o:spid="_x0000_s2049" style="width:468pt;height:0.95pt;margin-top:0;margin-left:0;mso-position-horizontal-relative:margin;position:absolute;visibility:visible;z-index:-251658240" o:allowincell="f" fillcolor="black" stroked="f" strokeweight="0.05pt">
          <w10:wrap anchorx="margin"/>
        </v:rect>
      </w:pict>
    </w:r>
  </w:p>
  <w:p w:rsidR="00D25FB5" w14:paraId="28FFED9C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2ED1B9F7" w14:textId="29B666D8">
    <w:pPr>
      <w:pStyle w:val="Header"/>
      <w:rPr>
        <w:b w:val="0"/>
      </w:rPr>
    </w:pPr>
    <w:r>
      <w:rPr>
        <w:noProof/>
      </w:rPr>
      <w:pict>
        <v:rect id="Rectangle 3" o:spid="_x0000_s2050" style="width:468pt;height:0.95pt;margin-top:12.65pt;margin-left:0.6pt;mso-position-horizontal-relative:margin;position:absolute;visibility:visible;z-index:-251657216" o:allowincell="f" fillcolor="black" stroked="f" strokeweight="0.05pt">
          <w10:wrap anchorx="margin"/>
        </v:rect>
      </w:pict>
    </w:r>
    <w:r>
      <w:tab/>
      <w:t>Federal Communications Commission</w:t>
    </w:r>
    <w:r>
      <w:tab/>
    </w:r>
    <w:r w:rsidR="004864D4">
      <w:rPr>
        <w:spacing w:val="-2"/>
      </w:rPr>
      <w:t>FCC 25-68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840585658">
    <w:abstractNumId w:val="1"/>
  </w:num>
  <w:num w:numId="2" w16cid:durableId="464857727">
    <w:abstractNumId w:val="5"/>
  </w:num>
  <w:num w:numId="3" w16cid:durableId="1935816068">
    <w:abstractNumId w:val="3"/>
  </w:num>
  <w:num w:numId="4" w16cid:durableId="676690544">
    <w:abstractNumId w:val="4"/>
  </w:num>
  <w:num w:numId="5" w16cid:durableId="1195272794">
    <w:abstractNumId w:val="2"/>
  </w:num>
  <w:num w:numId="6" w16cid:durableId="12858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D4"/>
    <w:rsid w:val="00036039"/>
    <w:rsid w:val="00037F90"/>
    <w:rsid w:val="000875BF"/>
    <w:rsid w:val="00096D8C"/>
    <w:rsid w:val="000C0B65"/>
    <w:rsid w:val="000E05FE"/>
    <w:rsid w:val="000E3D42"/>
    <w:rsid w:val="00117D56"/>
    <w:rsid w:val="00122BD5"/>
    <w:rsid w:val="00133F79"/>
    <w:rsid w:val="00194A66"/>
    <w:rsid w:val="00196A8E"/>
    <w:rsid w:val="001D2924"/>
    <w:rsid w:val="001D6BCF"/>
    <w:rsid w:val="001E01CA"/>
    <w:rsid w:val="00275CF5"/>
    <w:rsid w:val="0028301F"/>
    <w:rsid w:val="00285017"/>
    <w:rsid w:val="002A2D2E"/>
    <w:rsid w:val="002B7EDD"/>
    <w:rsid w:val="002C00E8"/>
    <w:rsid w:val="00300B01"/>
    <w:rsid w:val="00343749"/>
    <w:rsid w:val="003660ED"/>
    <w:rsid w:val="003B0550"/>
    <w:rsid w:val="003B694F"/>
    <w:rsid w:val="003F171C"/>
    <w:rsid w:val="00412FC5"/>
    <w:rsid w:val="00422276"/>
    <w:rsid w:val="004242F1"/>
    <w:rsid w:val="00445A00"/>
    <w:rsid w:val="004513FA"/>
    <w:rsid w:val="00451B0F"/>
    <w:rsid w:val="004550E6"/>
    <w:rsid w:val="004864D4"/>
    <w:rsid w:val="004C2EE3"/>
    <w:rsid w:val="004E4A22"/>
    <w:rsid w:val="00511968"/>
    <w:rsid w:val="0055614C"/>
    <w:rsid w:val="005577AD"/>
    <w:rsid w:val="005E14C2"/>
    <w:rsid w:val="00607BA5"/>
    <w:rsid w:val="0061180A"/>
    <w:rsid w:val="00626EB6"/>
    <w:rsid w:val="00652D70"/>
    <w:rsid w:val="00655D03"/>
    <w:rsid w:val="00683388"/>
    <w:rsid w:val="00683F84"/>
    <w:rsid w:val="006A6A81"/>
    <w:rsid w:val="006F7393"/>
    <w:rsid w:val="0070224F"/>
    <w:rsid w:val="007115F7"/>
    <w:rsid w:val="00785689"/>
    <w:rsid w:val="00792E3B"/>
    <w:rsid w:val="0079754B"/>
    <w:rsid w:val="007A1E6D"/>
    <w:rsid w:val="007B0EB2"/>
    <w:rsid w:val="00810B6F"/>
    <w:rsid w:val="00822CE0"/>
    <w:rsid w:val="00841AB1"/>
    <w:rsid w:val="008571FF"/>
    <w:rsid w:val="008C68F1"/>
    <w:rsid w:val="00921803"/>
    <w:rsid w:val="00926503"/>
    <w:rsid w:val="00934012"/>
    <w:rsid w:val="009726D8"/>
    <w:rsid w:val="009A19CB"/>
    <w:rsid w:val="009F76DB"/>
    <w:rsid w:val="00A309A6"/>
    <w:rsid w:val="00A32C3B"/>
    <w:rsid w:val="00A45F4F"/>
    <w:rsid w:val="00A600A9"/>
    <w:rsid w:val="00AA55B7"/>
    <w:rsid w:val="00AA5B9E"/>
    <w:rsid w:val="00AB2407"/>
    <w:rsid w:val="00AB53DF"/>
    <w:rsid w:val="00B07E5C"/>
    <w:rsid w:val="00B811F7"/>
    <w:rsid w:val="00BA5DC6"/>
    <w:rsid w:val="00BA6196"/>
    <w:rsid w:val="00BC6D8C"/>
    <w:rsid w:val="00C12E39"/>
    <w:rsid w:val="00C34006"/>
    <w:rsid w:val="00C426B1"/>
    <w:rsid w:val="00C66160"/>
    <w:rsid w:val="00C721AC"/>
    <w:rsid w:val="00C82BEF"/>
    <w:rsid w:val="00C90D6A"/>
    <w:rsid w:val="00CA247E"/>
    <w:rsid w:val="00CC72B6"/>
    <w:rsid w:val="00D0218D"/>
    <w:rsid w:val="00D25FB5"/>
    <w:rsid w:val="00D44223"/>
    <w:rsid w:val="00DA2529"/>
    <w:rsid w:val="00DB130A"/>
    <w:rsid w:val="00DB2EBB"/>
    <w:rsid w:val="00DC10A1"/>
    <w:rsid w:val="00DC655F"/>
    <w:rsid w:val="00DD0B59"/>
    <w:rsid w:val="00DD7EBD"/>
    <w:rsid w:val="00DE08D7"/>
    <w:rsid w:val="00DF62B6"/>
    <w:rsid w:val="00E07225"/>
    <w:rsid w:val="00E5409F"/>
    <w:rsid w:val="00EE6488"/>
    <w:rsid w:val="00F021FA"/>
    <w:rsid w:val="00F14751"/>
    <w:rsid w:val="00F62E97"/>
    <w:rsid w:val="00F64209"/>
    <w:rsid w:val="00F93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BBB8BE"/>
  <w15:chartTrackingRefBased/>
  <w15:docId w15:val="{E094C014-2165-4D02-A89F-475F80F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0B01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Separate%20Statement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Separate Statement Template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