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5B8A9417" w14:textId="77777777">
      <w:pPr>
        <w:jc w:val="center"/>
        <w:rPr>
          <w:b/>
          <w:bCs/>
          <w:caps/>
          <w:szCs w:val="22"/>
        </w:rPr>
      </w:pPr>
      <w:r w:rsidRPr="005577AD">
        <w:rPr>
          <w:b/>
          <w:bCs/>
          <w:caps/>
          <w:szCs w:val="22"/>
        </w:rPr>
        <w:t>Statement of</w:t>
      </w:r>
    </w:p>
    <w:p w:rsidR="00934012" w:rsidP="00934012" w14:paraId="7ACF4C7E" w14:textId="7B0EF230">
      <w:pPr>
        <w:jc w:val="center"/>
        <w:rPr>
          <w:b/>
          <w:bCs/>
          <w:caps/>
          <w:szCs w:val="22"/>
        </w:rPr>
      </w:pPr>
      <w:r w:rsidRPr="00C43542">
        <w:rPr>
          <w:b/>
          <w:bCs/>
          <w:caps/>
          <w:szCs w:val="22"/>
        </w:rPr>
        <w:t>CHAIRMAN BRENDAN CARR</w:t>
      </w:r>
    </w:p>
    <w:p w:rsidR="00C43542" w:rsidRPr="005577AD" w:rsidP="00934012" w14:paraId="268BCFE0" w14:textId="77777777">
      <w:pPr>
        <w:jc w:val="center"/>
        <w:rPr>
          <w:b/>
          <w:bCs/>
          <w:caps/>
          <w:szCs w:val="22"/>
        </w:rPr>
      </w:pPr>
    </w:p>
    <w:p w:rsidR="00934012" w:rsidRPr="005577AD" w:rsidP="00934012" w14:paraId="7DB664CC" w14:textId="38EBFAEF">
      <w:pPr>
        <w:rPr>
          <w:i/>
          <w:iCs/>
          <w:szCs w:val="22"/>
        </w:rPr>
      </w:pPr>
      <w:r w:rsidRPr="005577AD">
        <w:rPr>
          <w:iCs/>
          <w:szCs w:val="22"/>
        </w:rPr>
        <w:t>Re:</w:t>
      </w:r>
      <w:r w:rsidRPr="005577AD">
        <w:rPr>
          <w:szCs w:val="22"/>
        </w:rPr>
        <w:t xml:space="preserve"> </w:t>
      </w:r>
      <w:r w:rsidRPr="005577AD">
        <w:rPr>
          <w:szCs w:val="22"/>
        </w:rPr>
        <w:tab/>
      </w:r>
      <w:r w:rsidRPr="00C43542" w:rsidR="00C43542">
        <w:rPr>
          <w:i/>
          <w:iCs/>
          <w:szCs w:val="22"/>
        </w:rPr>
        <w:t>Advancement of the Commission’s Rules to Advance the Low Power Television, TV Translator and Class A Television Servic</w:t>
      </w:r>
      <w:r w:rsidRPr="00C43542" w:rsidR="00C43542">
        <w:rPr>
          <w:szCs w:val="22"/>
        </w:rPr>
        <w:t>e, MB Docket No. 24-148, Report and Order (Dec. 18, 2025)</w:t>
      </w:r>
      <w:r w:rsidR="00C43542">
        <w:rPr>
          <w:szCs w:val="22"/>
        </w:rPr>
        <w:t>.</w:t>
      </w:r>
    </w:p>
    <w:p w:rsidR="00934012" w:rsidRPr="005577AD" w:rsidP="00934012" w14:paraId="5945DD05" w14:textId="77777777">
      <w:pPr>
        <w:ind w:firstLine="720"/>
        <w:rPr>
          <w:szCs w:val="22"/>
        </w:rPr>
      </w:pPr>
    </w:p>
    <w:p w:rsidR="00C43542" w:rsidP="00C43542" w14:paraId="0F8D8FAE" w14:textId="77777777">
      <w:pPr>
        <w:ind w:firstLine="720"/>
        <w:rPr>
          <w:szCs w:val="22"/>
        </w:rPr>
      </w:pPr>
      <w:r>
        <w:rPr>
          <w:szCs w:val="22"/>
        </w:rPr>
        <w:t xml:space="preserve">As part of the Build America Agenda, we have prioritized streamlining and modernizing rules—turning over stones that haven’t been looked at in years and diving deep to find ways to improve American lives every day. </w:t>
      </w:r>
    </w:p>
    <w:p w:rsidR="00C43542" w:rsidP="00C43542" w14:paraId="44CDB065" w14:textId="77777777">
      <w:pPr>
        <w:rPr>
          <w:szCs w:val="22"/>
        </w:rPr>
      </w:pPr>
      <w:r>
        <w:rPr>
          <w:szCs w:val="22"/>
        </w:rPr>
        <w:tab/>
      </w:r>
    </w:p>
    <w:p w:rsidR="00C43542" w:rsidP="00C43542" w14:paraId="21F4F6A6" w14:textId="77777777">
      <w:pPr>
        <w:rPr>
          <w:szCs w:val="22"/>
        </w:rPr>
      </w:pPr>
      <w:r>
        <w:rPr>
          <w:szCs w:val="22"/>
        </w:rPr>
        <w:tab/>
        <w:t xml:space="preserve">Today’s item continues that effort.  </w:t>
      </w:r>
      <w:r>
        <w:t xml:space="preserve">In 1982, the Commission created LPTV Service to bring local television to viewers who were “otherwise unserved or underserved” by full power television broadcasters.  </w:t>
      </w:r>
      <w:r>
        <w:rPr>
          <w:szCs w:val="22"/>
        </w:rPr>
        <w:t>Fast-forward to 2025</w:t>
      </w:r>
      <w:r w:rsidRPr="002A5152">
        <w:rPr>
          <w:szCs w:val="22"/>
        </w:rPr>
        <w:t>, these stations are an established component of the nation’s television system, delivering free</w:t>
      </w:r>
      <w:r>
        <w:rPr>
          <w:szCs w:val="22"/>
        </w:rPr>
        <w:t>,</w:t>
      </w:r>
      <w:r w:rsidRPr="002A5152">
        <w:rPr>
          <w:szCs w:val="22"/>
        </w:rPr>
        <w:t xml:space="preserve"> over-the-air, including locally produced programming, to millions of viewers in both rural and urban communities</w:t>
      </w:r>
      <w:r>
        <w:rPr>
          <w:szCs w:val="22"/>
        </w:rPr>
        <w:t xml:space="preserve">. </w:t>
      </w:r>
    </w:p>
    <w:p w:rsidR="00C43542" w:rsidP="00C43542" w14:paraId="4DA6FD9E" w14:textId="77777777">
      <w:pPr>
        <w:rPr>
          <w:szCs w:val="22"/>
        </w:rPr>
      </w:pPr>
      <w:r>
        <w:rPr>
          <w:szCs w:val="22"/>
        </w:rPr>
        <w:tab/>
      </w:r>
    </w:p>
    <w:p w:rsidR="00C43542" w:rsidP="00C43542" w14:paraId="1A5C82E6" w14:textId="77777777">
      <w:pPr>
        <w:ind w:firstLine="720"/>
      </w:pPr>
      <w:r>
        <w:rPr>
          <w:szCs w:val="22"/>
        </w:rPr>
        <w:t xml:space="preserve">Yet despite the many changes in broadcasting over the last forty years, our LPTV Service rules have not been updated to keep pace with industry realities or to address regulatory uncertainties where they exist. </w:t>
      </w:r>
      <w:r>
        <w:t xml:space="preserve"> That changes today.  </w:t>
      </w:r>
    </w:p>
    <w:p w:rsidR="00C43542" w:rsidP="00C43542" w14:paraId="6A1665A1" w14:textId="77777777">
      <w:pPr>
        <w:ind w:firstLine="720"/>
      </w:pPr>
    </w:p>
    <w:p w:rsidR="00C43542" w:rsidP="00C43542" w14:paraId="7845B48A" w14:textId="77777777">
      <w:pPr>
        <w:ind w:firstLine="720"/>
      </w:pPr>
      <w:r>
        <w:t xml:space="preserve">Today’s action modernizes the LPTV regulatory framework so licensees can make informed business decisions about their station operations, while ensuring the American people continue to benefit from their services.  Among the actions taken to achieve this goal, the item streamlines and formalizes regulatory processes, takes steps to preserve existing and promote new service, establishes a level playing field by eliminating inconsistencies within our rules, and provides certainty for licensees by establishing clear rules of the road.  </w:t>
      </w:r>
      <w:r>
        <w:t xml:space="preserve">The rules we adopt will ensure </w:t>
      </w:r>
      <w:r w:rsidRPr="008B009E">
        <w:t>that</w:t>
      </w:r>
      <w:r>
        <w:t xml:space="preserve"> the</w:t>
      </w:r>
      <w:r w:rsidRPr="008B009E">
        <w:t xml:space="preserve"> LPTV </w:t>
      </w:r>
      <w:r>
        <w:t xml:space="preserve">Service </w:t>
      </w:r>
      <w:r w:rsidRPr="008B009E">
        <w:t>continues to flourish and serve the public interest well into the future.</w:t>
      </w:r>
      <w:r>
        <w:t xml:space="preserve"> </w:t>
      </w:r>
      <w:r>
        <w:t xml:space="preserve"> I look forward to seeing the positive results of this action and continuing to monitor the steps that broadcasters take to address the needs of local communities across the nation.</w:t>
      </w:r>
    </w:p>
    <w:p w:rsidR="00C43542" w:rsidP="00C43542" w14:paraId="252C1748" w14:textId="77777777"/>
    <w:p w:rsidR="002C00E8" w:rsidRPr="00934012" w:rsidP="00C43542" w14:paraId="61738475" w14:textId="054E77E6">
      <w:pPr>
        <w:ind w:firstLine="720"/>
      </w:pPr>
      <w:r w:rsidRPr="0053168F">
        <w:t xml:space="preserve">For their </w:t>
      </w:r>
      <w:r>
        <w:t xml:space="preserve">great </w:t>
      </w:r>
      <w:r w:rsidRPr="0053168F">
        <w:t xml:space="preserve">work on </w:t>
      </w:r>
      <w:r>
        <w:t>today’s</w:t>
      </w:r>
      <w:r w:rsidRPr="0053168F">
        <w:t xml:space="preserve"> item, I want to tha</w:t>
      </w:r>
      <w:r>
        <w:t>nk Mark Colombo, Kevin Harding, Shaun Maher, Evan Morris, Susan Aaron, Andrea Kelly, and Dave Konczal.</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3542" w14:paraId="257A8086" w14:textId="77777777">
      <w:pPr>
        <w:spacing w:line="20" w:lineRule="exact"/>
      </w:pPr>
    </w:p>
  </w:endnote>
  <w:endnote w:type="continuationSeparator" w:id="1">
    <w:p w:rsidR="00C43542" w14:paraId="34A7122F" w14:textId="77777777">
      <w:r>
        <w:t xml:space="preserve"> </w:t>
      </w:r>
    </w:p>
  </w:endnote>
  <w:endnote w:type="continuationNotice" w:id="2">
    <w:p w:rsidR="00C43542" w14:paraId="7F4EFFF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F7BFB58"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26655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E77E1DE"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3820EE85"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52C7A7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3542" w14:paraId="40B0B5D0" w14:textId="77777777">
      <w:r>
        <w:separator/>
      </w:r>
    </w:p>
  </w:footnote>
  <w:footnote w:type="continuationSeparator" w:id="1">
    <w:p w:rsidR="00C43542" w:rsidP="00C721AC" w14:paraId="4D347ABB" w14:textId="77777777">
      <w:pPr>
        <w:spacing w:before="120"/>
        <w:rPr>
          <w:sz w:val="20"/>
        </w:rPr>
      </w:pPr>
      <w:r>
        <w:rPr>
          <w:sz w:val="20"/>
        </w:rPr>
        <w:t xml:space="preserve">(Continued from previous page)  </w:t>
      </w:r>
      <w:r>
        <w:rPr>
          <w:sz w:val="20"/>
        </w:rPr>
        <w:separator/>
      </w:r>
    </w:p>
  </w:footnote>
  <w:footnote w:type="continuationNotice" w:id="2">
    <w:p w:rsidR="00C43542" w:rsidP="00C721AC" w14:paraId="6A69615C"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749F89B"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0BD32170"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3DB671F8"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6CC3B3F" w14:textId="195FA520">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Pr>
        <w:spacing w:val="-2"/>
      </w:rPr>
      <w:t>FCC 25-84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45675776">
    <w:abstractNumId w:val="1"/>
  </w:num>
  <w:num w:numId="2" w16cid:durableId="498815173">
    <w:abstractNumId w:val="5"/>
  </w:num>
  <w:num w:numId="3" w16cid:durableId="1137647164">
    <w:abstractNumId w:val="3"/>
  </w:num>
  <w:num w:numId="4" w16cid:durableId="1654287310">
    <w:abstractNumId w:val="4"/>
  </w:num>
  <w:num w:numId="5" w16cid:durableId="2127773932">
    <w:abstractNumId w:val="2"/>
  </w:num>
  <w:num w:numId="6" w16cid:durableId="68205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42"/>
    <w:rsid w:val="00036039"/>
    <w:rsid w:val="00037F90"/>
    <w:rsid w:val="000875BF"/>
    <w:rsid w:val="00096D8C"/>
    <w:rsid w:val="000C0B65"/>
    <w:rsid w:val="000E05FE"/>
    <w:rsid w:val="000E3D42"/>
    <w:rsid w:val="00122BD5"/>
    <w:rsid w:val="00133F79"/>
    <w:rsid w:val="00194A66"/>
    <w:rsid w:val="001D2924"/>
    <w:rsid w:val="001D6BCF"/>
    <w:rsid w:val="001E01CA"/>
    <w:rsid w:val="00275CF5"/>
    <w:rsid w:val="0028301F"/>
    <w:rsid w:val="00285017"/>
    <w:rsid w:val="002A2D2E"/>
    <w:rsid w:val="002A5152"/>
    <w:rsid w:val="002B7EDD"/>
    <w:rsid w:val="002C00E8"/>
    <w:rsid w:val="00343749"/>
    <w:rsid w:val="003660ED"/>
    <w:rsid w:val="003B0550"/>
    <w:rsid w:val="003B694F"/>
    <w:rsid w:val="003F171C"/>
    <w:rsid w:val="00412FC5"/>
    <w:rsid w:val="00422276"/>
    <w:rsid w:val="004242F1"/>
    <w:rsid w:val="00445A00"/>
    <w:rsid w:val="00451B0F"/>
    <w:rsid w:val="004550E6"/>
    <w:rsid w:val="004C2EE3"/>
    <w:rsid w:val="004E4A22"/>
    <w:rsid w:val="00511968"/>
    <w:rsid w:val="0053168F"/>
    <w:rsid w:val="0055614C"/>
    <w:rsid w:val="005577AD"/>
    <w:rsid w:val="005C6D51"/>
    <w:rsid w:val="005E14C2"/>
    <w:rsid w:val="00607BA5"/>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B009E"/>
    <w:rsid w:val="008C68F1"/>
    <w:rsid w:val="00921803"/>
    <w:rsid w:val="00926503"/>
    <w:rsid w:val="00934012"/>
    <w:rsid w:val="009726D8"/>
    <w:rsid w:val="009F76DB"/>
    <w:rsid w:val="00A32C3B"/>
    <w:rsid w:val="00A45F4F"/>
    <w:rsid w:val="00A600A9"/>
    <w:rsid w:val="00AA55B7"/>
    <w:rsid w:val="00AA5B9E"/>
    <w:rsid w:val="00AB2407"/>
    <w:rsid w:val="00AB53DF"/>
    <w:rsid w:val="00B07E5C"/>
    <w:rsid w:val="00B811F7"/>
    <w:rsid w:val="00BA5DC6"/>
    <w:rsid w:val="00BA6196"/>
    <w:rsid w:val="00BC6D8C"/>
    <w:rsid w:val="00C34006"/>
    <w:rsid w:val="00C426B1"/>
    <w:rsid w:val="00C43542"/>
    <w:rsid w:val="00C66160"/>
    <w:rsid w:val="00C721AC"/>
    <w:rsid w:val="00C90D6A"/>
    <w:rsid w:val="00CA247E"/>
    <w:rsid w:val="00CC72B6"/>
    <w:rsid w:val="00D0218D"/>
    <w:rsid w:val="00D25FB5"/>
    <w:rsid w:val="00D44223"/>
    <w:rsid w:val="00DA2529"/>
    <w:rsid w:val="00DB130A"/>
    <w:rsid w:val="00DB2EBB"/>
    <w:rsid w:val="00DC10A1"/>
    <w:rsid w:val="00DC655F"/>
    <w:rsid w:val="00DD0B59"/>
    <w:rsid w:val="00DD7EBD"/>
    <w:rsid w:val="00DF62B6"/>
    <w:rsid w:val="00E07225"/>
    <w:rsid w:val="00E5409F"/>
    <w:rsid w:val="00EE6488"/>
    <w:rsid w:val="00F021FA"/>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9F47AB"/>
  <w15:chartTrackingRefBased/>
  <w15:docId w15:val="{8893E0F6-F618-4C54-A711-B4391101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3542"/>
    <w:pPr>
      <w:widowControl w:val="0"/>
    </w:pPr>
    <w:rPr>
      <w:snapToGrid w:val="0"/>
      <w:kern w:val="28"/>
      <w:sz w:val="22"/>
    </w:rPr>
  </w:style>
  <w:style w:type="paragraph" w:styleId="Heading1">
    <w:name w:val="heading 1"/>
    <w:basedOn w:val="Normal"/>
    <w:next w:val="ParaNum"/>
    <w:qFormat/>
    <w:rsid w:val="00C43542"/>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C43542"/>
    <w:pPr>
      <w:keepNext/>
      <w:numPr>
        <w:ilvl w:val="1"/>
        <w:numId w:val="3"/>
      </w:numPr>
      <w:spacing w:after="120"/>
      <w:outlineLvl w:val="1"/>
    </w:pPr>
    <w:rPr>
      <w:b/>
    </w:rPr>
  </w:style>
  <w:style w:type="paragraph" w:styleId="Heading3">
    <w:name w:val="heading 3"/>
    <w:basedOn w:val="Normal"/>
    <w:next w:val="ParaNum"/>
    <w:qFormat/>
    <w:rsid w:val="00C43542"/>
    <w:pPr>
      <w:keepNext/>
      <w:numPr>
        <w:ilvl w:val="2"/>
        <w:numId w:val="3"/>
      </w:numPr>
      <w:tabs>
        <w:tab w:val="left" w:pos="2160"/>
      </w:tabs>
      <w:spacing w:after="120"/>
      <w:outlineLvl w:val="2"/>
    </w:pPr>
    <w:rPr>
      <w:b/>
    </w:rPr>
  </w:style>
  <w:style w:type="paragraph" w:styleId="Heading4">
    <w:name w:val="heading 4"/>
    <w:basedOn w:val="Normal"/>
    <w:next w:val="ParaNum"/>
    <w:qFormat/>
    <w:rsid w:val="00C43542"/>
    <w:pPr>
      <w:keepNext/>
      <w:numPr>
        <w:ilvl w:val="3"/>
        <w:numId w:val="3"/>
      </w:numPr>
      <w:tabs>
        <w:tab w:val="left" w:pos="2880"/>
      </w:tabs>
      <w:spacing w:after="120"/>
      <w:outlineLvl w:val="3"/>
    </w:pPr>
    <w:rPr>
      <w:b/>
    </w:rPr>
  </w:style>
  <w:style w:type="paragraph" w:styleId="Heading5">
    <w:name w:val="heading 5"/>
    <w:basedOn w:val="Normal"/>
    <w:next w:val="ParaNum"/>
    <w:qFormat/>
    <w:rsid w:val="00C43542"/>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C43542"/>
    <w:pPr>
      <w:numPr>
        <w:ilvl w:val="5"/>
        <w:numId w:val="3"/>
      </w:numPr>
      <w:tabs>
        <w:tab w:val="left" w:pos="4320"/>
      </w:tabs>
      <w:spacing w:after="120"/>
      <w:outlineLvl w:val="5"/>
    </w:pPr>
    <w:rPr>
      <w:b/>
    </w:rPr>
  </w:style>
  <w:style w:type="paragraph" w:styleId="Heading7">
    <w:name w:val="heading 7"/>
    <w:basedOn w:val="Normal"/>
    <w:next w:val="ParaNum"/>
    <w:qFormat/>
    <w:rsid w:val="00C43542"/>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C43542"/>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C43542"/>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C435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3542"/>
  </w:style>
  <w:style w:type="paragraph" w:customStyle="1" w:styleId="ParaNum">
    <w:name w:val="ParaNum"/>
    <w:basedOn w:val="Normal"/>
    <w:rsid w:val="00C43542"/>
    <w:pPr>
      <w:numPr>
        <w:numId w:val="2"/>
      </w:numPr>
      <w:tabs>
        <w:tab w:val="clear" w:pos="1080"/>
        <w:tab w:val="num" w:pos="1440"/>
      </w:tabs>
      <w:spacing w:after="120"/>
    </w:pPr>
  </w:style>
  <w:style w:type="paragraph" w:styleId="EndnoteText">
    <w:name w:val="endnote text"/>
    <w:basedOn w:val="Normal"/>
    <w:semiHidden/>
    <w:rsid w:val="00C43542"/>
    <w:rPr>
      <w:sz w:val="20"/>
    </w:rPr>
  </w:style>
  <w:style w:type="character" w:styleId="EndnoteReference">
    <w:name w:val="endnote reference"/>
    <w:semiHidden/>
    <w:rsid w:val="00C43542"/>
    <w:rPr>
      <w:vertAlign w:val="superscript"/>
    </w:rPr>
  </w:style>
  <w:style w:type="paragraph" w:styleId="FootnoteText">
    <w:name w:val="footnote text"/>
    <w:rsid w:val="00C43542"/>
    <w:pPr>
      <w:spacing w:after="120"/>
    </w:pPr>
  </w:style>
  <w:style w:type="character" w:styleId="FootnoteReference">
    <w:name w:val="footnote reference"/>
    <w:rsid w:val="00C43542"/>
    <w:rPr>
      <w:rFonts w:ascii="Times New Roman" w:hAnsi="Times New Roman"/>
      <w:dstrike w:val="0"/>
      <w:color w:val="auto"/>
      <w:sz w:val="20"/>
      <w:vertAlign w:val="superscript"/>
    </w:rPr>
  </w:style>
  <w:style w:type="paragraph" w:styleId="TOC1">
    <w:name w:val="toc 1"/>
    <w:basedOn w:val="Normal"/>
    <w:next w:val="Normal"/>
    <w:semiHidden/>
    <w:rsid w:val="00C4354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C43542"/>
    <w:pPr>
      <w:tabs>
        <w:tab w:val="left" w:pos="720"/>
        <w:tab w:val="right" w:leader="dot" w:pos="9360"/>
      </w:tabs>
      <w:suppressAutoHyphens/>
      <w:ind w:left="720" w:right="720" w:hanging="360"/>
    </w:pPr>
    <w:rPr>
      <w:noProof/>
    </w:rPr>
  </w:style>
  <w:style w:type="paragraph" w:styleId="TOC3">
    <w:name w:val="toc 3"/>
    <w:basedOn w:val="Normal"/>
    <w:next w:val="Normal"/>
    <w:semiHidden/>
    <w:rsid w:val="00C4354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4354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4354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4354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4354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4354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4354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43542"/>
    <w:pPr>
      <w:tabs>
        <w:tab w:val="right" w:pos="9360"/>
      </w:tabs>
      <w:suppressAutoHyphens/>
    </w:pPr>
  </w:style>
  <w:style w:type="character" w:customStyle="1" w:styleId="EquationCaption">
    <w:name w:val="_Equation Caption"/>
    <w:rsid w:val="00C43542"/>
  </w:style>
  <w:style w:type="paragraph" w:styleId="Header">
    <w:name w:val="header"/>
    <w:basedOn w:val="Normal"/>
    <w:autoRedefine/>
    <w:rsid w:val="00C43542"/>
    <w:pPr>
      <w:tabs>
        <w:tab w:val="center" w:pos="4680"/>
        <w:tab w:val="right" w:pos="9360"/>
      </w:tabs>
    </w:pPr>
    <w:rPr>
      <w:b/>
    </w:rPr>
  </w:style>
  <w:style w:type="paragraph" w:styleId="Footer">
    <w:name w:val="footer"/>
    <w:basedOn w:val="Normal"/>
    <w:rsid w:val="00C43542"/>
    <w:pPr>
      <w:tabs>
        <w:tab w:val="center" w:pos="4320"/>
        <w:tab w:val="right" w:pos="8640"/>
      </w:tabs>
    </w:pPr>
  </w:style>
  <w:style w:type="character" w:styleId="PageNumber">
    <w:name w:val="page number"/>
    <w:basedOn w:val="DefaultParagraphFont"/>
    <w:rsid w:val="00C43542"/>
  </w:style>
  <w:style w:type="paragraph" w:styleId="BlockText">
    <w:name w:val="Block Text"/>
    <w:basedOn w:val="Normal"/>
    <w:rsid w:val="00C43542"/>
    <w:pPr>
      <w:spacing w:after="240"/>
      <w:ind w:left="1440" w:right="1440"/>
    </w:pPr>
  </w:style>
  <w:style w:type="paragraph" w:customStyle="1" w:styleId="Paratitle">
    <w:name w:val="Para title"/>
    <w:basedOn w:val="Normal"/>
    <w:rsid w:val="00C43542"/>
    <w:pPr>
      <w:tabs>
        <w:tab w:val="center" w:pos="9270"/>
      </w:tabs>
      <w:spacing w:after="240"/>
    </w:pPr>
    <w:rPr>
      <w:spacing w:val="-2"/>
    </w:rPr>
  </w:style>
  <w:style w:type="paragraph" w:customStyle="1" w:styleId="Bullet">
    <w:name w:val="Bullet"/>
    <w:basedOn w:val="Normal"/>
    <w:rsid w:val="00C43542"/>
    <w:pPr>
      <w:tabs>
        <w:tab w:val="left" w:pos="2160"/>
      </w:tabs>
      <w:spacing w:after="220"/>
      <w:ind w:left="2160" w:hanging="720"/>
    </w:pPr>
  </w:style>
  <w:style w:type="paragraph" w:customStyle="1" w:styleId="TableFormat">
    <w:name w:val="TableFormat"/>
    <w:basedOn w:val="Bullet"/>
    <w:rsid w:val="00C43542"/>
    <w:pPr>
      <w:tabs>
        <w:tab w:val="clear" w:pos="2160"/>
        <w:tab w:val="left" w:pos="5040"/>
      </w:tabs>
      <w:ind w:left="5040" w:hanging="3600"/>
    </w:pPr>
  </w:style>
  <w:style w:type="paragraph" w:customStyle="1" w:styleId="TOCTitle">
    <w:name w:val="TOC Title"/>
    <w:basedOn w:val="Normal"/>
    <w:rsid w:val="00C4354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43542"/>
    <w:pPr>
      <w:jc w:val="center"/>
    </w:pPr>
    <w:rPr>
      <w:rFonts w:ascii="Times New Roman Bold" w:hAnsi="Times New Roman Bold"/>
      <w:b/>
      <w:bCs/>
      <w:caps/>
      <w:szCs w:val="22"/>
    </w:rPr>
  </w:style>
  <w:style w:type="character" w:styleId="Hyperlink">
    <w:name w:val="Hyperlink"/>
    <w:rsid w:val="00C435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