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934012" w:rsidRPr="005577AD" w:rsidP="00934012" w14:paraId="6E329FD3" w14:textId="77777777">
      <w:pPr>
        <w:jc w:val="center"/>
        <w:rPr>
          <w:b/>
          <w:bCs/>
          <w:caps/>
          <w:szCs w:val="22"/>
        </w:rPr>
      </w:pPr>
      <w:r w:rsidRPr="005577AD">
        <w:rPr>
          <w:b/>
          <w:bCs/>
          <w:caps/>
          <w:szCs w:val="22"/>
        </w:rPr>
        <w:t>Statement of</w:t>
      </w:r>
    </w:p>
    <w:p w:rsidR="00934012" w:rsidRPr="005577AD" w:rsidP="00934012" w14:paraId="272A5D83" w14:textId="636FF19D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CHAIRMAN BRENDAN CARR</w:t>
      </w:r>
    </w:p>
    <w:p w:rsidR="00934012" w:rsidRPr="005577AD" w:rsidP="00934012" w14:paraId="1F5227CF" w14:textId="77777777">
      <w:pPr>
        <w:jc w:val="center"/>
        <w:rPr>
          <w:b/>
          <w:bCs/>
          <w:caps/>
          <w:szCs w:val="22"/>
        </w:rPr>
      </w:pPr>
    </w:p>
    <w:p w:rsidR="00934012" w:rsidRPr="005577AD" w:rsidP="00934012" w14:paraId="2DCDF309" w14:textId="07BEA62F">
      <w:pPr>
        <w:rPr>
          <w:i/>
          <w:iCs/>
          <w:szCs w:val="22"/>
        </w:rPr>
      </w:pPr>
      <w:r w:rsidRPr="005577AD">
        <w:rPr>
          <w:iCs/>
          <w:szCs w:val="22"/>
        </w:rPr>
        <w:t>Re:</w:t>
      </w:r>
      <w:r w:rsidRPr="005577AD">
        <w:rPr>
          <w:szCs w:val="22"/>
        </w:rPr>
        <w:t xml:space="preserve"> </w:t>
      </w:r>
      <w:r w:rsidRPr="005577AD">
        <w:rPr>
          <w:szCs w:val="22"/>
        </w:rPr>
        <w:tab/>
      </w:r>
      <w:r w:rsidRPr="00703AC9" w:rsidR="00703AC9">
        <w:rPr>
          <w:i/>
          <w:iCs/>
          <w:szCs w:val="22"/>
        </w:rPr>
        <w:t>Delete, Delete, Delete</w:t>
      </w:r>
      <w:r w:rsidRPr="005577AD">
        <w:rPr>
          <w:iCs/>
          <w:szCs w:val="22"/>
        </w:rPr>
        <w:t xml:space="preserve">, </w:t>
      </w:r>
      <w:r w:rsidR="000C7794">
        <w:rPr>
          <w:iCs/>
          <w:szCs w:val="22"/>
        </w:rPr>
        <w:t xml:space="preserve">Direct Final Rule, </w:t>
      </w:r>
      <w:r w:rsidR="00703AC9">
        <w:rPr>
          <w:iCs/>
          <w:szCs w:val="22"/>
        </w:rPr>
        <w:t xml:space="preserve">GN </w:t>
      </w:r>
      <w:r w:rsidRPr="005577AD">
        <w:rPr>
          <w:iCs/>
          <w:szCs w:val="22"/>
        </w:rPr>
        <w:t xml:space="preserve">Docket No. </w:t>
      </w:r>
      <w:r w:rsidR="00703AC9">
        <w:rPr>
          <w:iCs/>
          <w:szCs w:val="22"/>
        </w:rPr>
        <w:t>25</w:t>
      </w:r>
      <w:r w:rsidRPr="005577AD">
        <w:rPr>
          <w:iCs/>
          <w:szCs w:val="22"/>
        </w:rPr>
        <w:t>-</w:t>
      </w:r>
      <w:r w:rsidR="000E75AA">
        <w:rPr>
          <w:iCs/>
          <w:szCs w:val="22"/>
        </w:rPr>
        <w:t xml:space="preserve">133 </w:t>
      </w:r>
      <w:bookmarkStart w:id="0" w:name="_Hlk216963028"/>
      <w:r w:rsidRPr="00A95FA5" w:rsidR="00F1282E">
        <w:t>(December 18, 2025)</w:t>
      </w:r>
      <w:bookmarkEnd w:id="0"/>
    </w:p>
    <w:p w:rsidR="002C00E8" w:rsidP="005A518E" w14:paraId="1EA45BFD" w14:textId="77777777">
      <w:pPr>
        <w:ind w:firstLine="720"/>
      </w:pPr>
    </w:p>
    <w:p w:rsidR="005A518E" w:rsidP="00421875" w14:paraId="15CCEFBB" w14:textId="1534EE58">
      <w:pPr>
        <w:ind w:firstLine="720"/>
      </w:pPr>
      <w:r>
        <w:t>Our</w:t>
      </w:r>
      <w:r w:rsidRPr="00DF4847">
        <w:t xml:space="preserve"> </w:t>
      </w:r>
      <w:r w:rsidRPr="005A518E" w:rsidR="00DF4847">
        <w:rPr>
          <w:i/>
          <w:iCs/>
        </w:rPr>
        <w:t>Delete, Delete, Delete</w:t>
      </w:r>
      <w:r w:rsidRPr="00DF4847" w:rsidR="00DF4847">
        <w:t xml:space="preserve"> </w:t>
      </w:r>
      <w:r w:rsidR="00421875">
        <w:t>proceeding</w:t>
      </w:r>
      <w:r w:rsidR="004028E1">
        <w:t>—</w:t>
      </w:r>
      <w:r w:rsidR="00421875">
        <w:t>the most ambitious deregulatory initiative in FCC history</w:t>
      </w:r>
      <w:r w:rsidR="004028E1">
        <w:t>—</w:t>
      </w:r>
      <w:r w:rsidRPr="00DF4847" w:rsidR="00DF4847">
        <w:t>set out to identify and eliminate rules that no longer serve</w:t>
      </w:r>
      <w:r w:rsidR="00921D4A">
        <w:t>d</w:t>
      </w:r>
      <w:r w:rsidRPr="00DF4847" w:rsidR="00DF4847">
        <w:t xml:space="preserve"> the public interest. </w:t>
      </w:r>
      <w:r w:rsidR="00BF33B6">
        <w:t xml:space="preserve"> </w:t>
      </w:r>
      <w:r w:rsidR="00421875">
        <w:t>We launched</w:t>
      </w:r>
      <w:r>
        <w:t xml:space="preserve"> </w:t>
      </w:r>
      <w:r w:rsidRPr="005A518E">
        <w:rPr>
          <w:i/>
          <w:iCs/>
        </w:rPr>
        <w:t>Delete</w:t>
      </w:r>
      <w:r w:rsidR="00421875">
        <w:t xml:space="preserve"> in March and started our first phase</w:t>
      </w:r>
      <w:r w:rsidR="004028E1">
        <w:t xml:space="preserve"> </w:t>
      </w:r>
      <w:r w:rsidR="00421875">
        <w:t>in June</w:t>
      </w:r>
      <w:r w:rsidR="004028E1">
        <w:t xml:space="preserve"> to target deadwood regulations</w:t>
      </w:r>
      <w:r w:rsidR="003844EE">
        <w:t xml:space="preserve"> at scale</w:t>
      </w:r>
      <w:r w:rsidR="00421875">
        <w:t xml:space="preserve">.  </w:t>
      </w:r>
    </w:p>
    <w:p w:rsidR="005A518E" w:rsidP="00421875" w14:paraId="52F40924" w14:textId="77777777">
      <w:pPr>
        <w:ind w:firstLine="720"/>
      </w:pPr>
    </w:p>
    <w:p w:rsidR="005A518E" w:rsidP="005A518E" w14:paraId="0E540AA6" w14:textId="433B9990">
      <w:pPr>
        <w:ind w:firstLine="720"/>
      </w:pPr>
      <w:r w:rsidRPr="00DF4847">
        <w:t xml:space="preserve">In just six months, </w:t>
      </w:r>
      <w:r w:rsidR="00921D4A">
        <w:t>the FCC</w:t>
      </w:r>
      <w:r w:rsidR="00200757">
        <w:t>’s team</w:t>
      </w:r>
      <w:r w:rsidR="00921D4A">
        <w:t xml:space="preserve"> has </w:t>
      </w:r>
      <w:r w:rsidRPr="00DF4847">
        <w:t xml:space="preserve">delivered </w:t>
      </w:r>
      <w:r>
        <w:t>unprecedented</w:t>
      </w:r>
      <w:r w:rsidRPr="00DF4847">
        <w:t xml:space="preserve"> </w:t>
      </w:r>
      <w:r w:rsidRPr="00DF4847">
        <w:t>results.</w:t>
      </w:r>
      <w:r w:rsidR="004028E1">
        <w:t xml:space="preserve">  </w:t>
      </w:r>
      <w:r w:rsidR="00421875">
        <w:t>With today’s item</w:t>
      </w:r>
      <w:r w:rsidRPr="00F213C8" w:rsidR="00F213C8">
        <w:t xml:space="preserve">, </w:t>
      </w:r>
      <w:r>
        <w:t>we have</w:t>
      </w:r>
      <w:r w:rsidR="004028E1">
        <w:t xml:space="preserve"> cumulatively</w:t>
      </w:r>
      <w:r w:rsidRPr="00F213C8" w:rsidR="00F213C8">
        <w:t xml:space="preserve"> eliminated</w:t>
      </w:r>
      <w:r w:rsidR="00E71D07">
        <w:t xml:space="preserve"> or teed up for removal</w:t>
      </w:r>
      <w:r w:rsidRPr="00F213C8" w:rsidR="00F213C8">
        <w:t xml:space="preserve"> more than 1,100 rules and requirements, totaling over 134,000 words and 300 pages across nine items.</w:t>
      </w:r>
      <w:r w:rsidR="00F213C8">
        <w:t xml:space="preserve">  </w:t>
      </w:r>
      <w:r w:rsidR="00200757">
        <w:t>So far, we have deleted</w:t>
      </w:r>
      <w:r>
        <w:t>:</w:t>
      </w:r>
      <w:r w:rsidR="00457CF3">
        <w:t xml:space="preserve"> </w:t>
      </w:r>
    </w:p>
    <w:p w:rsidR="005A518E" w:rsidP="005A518E" w14:paraId="4BF7D117" w14:textId="77777777">
      <w:pPr>
        <w:ind w:firstLine="720"/>
      </w:pPr>
    </w:p>
    <w:p w:rsidR="005A518E" w:rsidP="005A518E" w14:paraId="2CF2EE36" w14:textId="4646CBC6">
      <w:pPr>
        <w:numPr>
          <w:ilvl w:val="0"/>
          <w:numId w:val="10"/>
        </w:numPr>
      </w:pPr>
      <w:r>
        <w:t>Rules for prehistoric technologies</w:t>
      </w:r>
      <w:r w:rsidR="00200757">
        <w:t>—</w:t>
      </w:r>
      <w:r>
        <w:t xml:space="preserve">like </w:t>
      </w:r>
      <w:r w:rsidRPr="00601F7C" w:rsidR="00601F7C">
        <w:t xml:space="preserve">telegraph, rabbit-ear receivers, </w:t>
      </w:r>
      <w:r>
        <w:t xml:space="preserve">and </w:t>
      </w:r>
      <w:r w:rsidR="00200757">
        <w:t>phone</w:t>
      </w:r>
      <w:r w:rsidRPr="00601F7C" w:rsidR="00601F7C">
        <w:t xml:space="preserve"> booths; </w:t>
      </w:r>
    </w:p>
    <w:p w:rsidR="005A518E" w:rsidP="005A518E" w14:paraId="70D2AD6B" w14:textId="7FE28F4A">
      <w:pPr>
        <w:numPr>
          <w:ilvl w:val="0"/>
          <w:numId w:val="10"/>
        </w:numPr>
      </w:pPr>
      <w:r>
        <w:t>Requirements</w:t>
      </w:r>
      <w:r w:rsidR="00421875">
        <w:t xml:space="preserve"> </w:t>
      </w:r>
      <w:r w:rsidR="00921D4A">
        <w:t>adopted in</w:t>
      </w:r>
      <w:r w:rsidR="00421875">
        <w:t xml:space="preserve"> a bygone era</w:t>
      </w:r>
      <w:r w:rsidR="00200757">
        <w:t>—</w:t>
      </w:r>
      <w:r>
        <w:t>like cable-rate regulation</w:t>
      </w:r>
      <w:r w:rsidR="00FE2601">
        <w:t>;</w:t>
      </w:r>
      <w:r w:rsidR="00221363">
        <w:t xml:space="preserve"> </w:t>
      </w:r>
    </w:p>
    <w:p w:rsidR="005A518E" w:rsidP="005A518E" w14:paraId="3BF24DB1" w14:textId="58F2DEFD">
      <w:pPr>
        <w:numPr>
          <w:ilvl w:val="0"/>
          <w:numId w:val="10"/>
        </w:numPr>
      </w:pPr>
      <w:r>
        <w:t>Illegal</w:t>
      </w:r>
      <w:r w:rsidR="00421875">
        <w:t xml:space="preserve"> </w:t>
      </w:r>
      <w:r w:rsidR="00200757">
        <w:t xml:space="preserve">government </w:t>
      </w:r>
      <w:r w:rsidR="00421875">
        <w:t>overreaches</w:t>
      </w:r>
      <w:r w:rsidR="00200757">
        <w:t>—</w:t>
      </w:r>
      <w:r w:rsidR="00421875">
        <w:t xml:space="preserve">like </w:t>
      </w:r>
      <w:r w:rsidR="00221363">
        <w:t>Title II</w:t>
      </w:r>
      <w:r>
        <w:t xml:space="preserve"> controls on the broadband industry</w:t>
      </w:r>
      <w:r w:rsidR="00421875">
        <w:t xml:space="preserve">; </w:t>
      </w:r>
    </w:p>
    <w:p w:rsidR="005A518E" w:rsidP="005A518E" w14:paraId="4D516993" w14:textId="013B2D94">
      <w:pPr>
        <w:numPr>
          <w:ilvl w:val="0"/>
          <w:numId w:val="10"/>
        </w:numPr>
      </w:pPr>
      <w:r>
        <w:t xml:space="preserve">Regulations </w:t>
      </w:r>
      <w:r w:rsidR="00200757">
        <w:t>on</w:t>
      </w:r>
      <w:r w:rsidR="00421875">
        <w:t xml:space="preserve"> defunct services</w:t>
      </w:r>
      <w:r w:rsidRPr="00601F7C" w:rsidR="00601F7C">
        <w:t xml:space="preserve">; and </w:t>
      </w:r>
    </w:p>
    <w:p w:rsidR="00421875" w:rsidP="005A518E" w14:paraId="1A199DA7" w14:textId="3A80E48D">
      <w:pPr>
        <w:numPr>
          <w:ilvl w:val="0"/>
          <w:numId w:val="10"/>
        </w:numPr>
      </w:pPr>
      <w:r>
        <w:t>Mandates</w:t>
      </w:r>
      <w:r w:rsidRPr="00601F7C" w:rsidR="00601F7C">
        <w:t xml:space="preserve"> that </w:t>
      </w:r>
      <w:r>
        <w:t xml:space="preserve">expired or </w:t>
      </w:r>
      <w:r w:rsidRPr="00601F7C" w:rsidR="00601F7C">
        <w:t>sunset years ago</w:t>
      </w:r>
      <w:r w:rsidR="00200757">
        <w:t>—like auction procedures from the 3G era</w:t>
      </w:r>
      <w:r w:rsidRPr="00601F7C" w:rsidR="00601F7C">
        <w:t>.</w:t>
      </w:r>
      <w:r>
        <w:t xml:space="preserve">  </w:t>
      </w:r>
    </w:p>
    <w:p w:rsidR="00421875" w:rsidP="00EC6CCE" w14:paraId="35F3985E" w14:textId="77777777">
      <w:pPr>
        <w:ind w:firstLine="720"/>
      </w:pPr>
    </w:p>
    <w:p w:rsidR="00137B40" w:rsidP="00421875" w14:paraId="4EA3B325" w14:textId="020511FB">
      <w:pPr>
        <w:ind w:firstLine="720"/>
      </w:pPr>
      <w:r>
        <w:t>And today,</w:t>
      </w:r>
      <w:r w:rsidR="00421875">
        <w:t xml:space="preserve"> we </w:t>
      </w:r>
      <w:r w:rsidRPr="003F46D5" w:rsidR="003F46D5">
        <w:t>eliminate 3</w:t>
      </w:r>
      <w:r w:rsidR="00656968">
        <w:t>6</w:t>
      </w:r>
      <w:r w:rsidRPr="003F46D5" w:rsidR="003F46D5">
        <w:t xml:space="preserve"> rule provisions—</w:t>
      </w:r>
      <w:r w:rsidR="00200757">
        <w:t>more than</w:t>
      </w:r>
      <w:r w:rsidRPr="003F46D5" w:rsidR="003F46D5">
        <w:t xml:space="preserve"> 12,000 words</w:t>
      </w:r>
      <w:r w:rsidR="00200757">
        <w:t xml:space="preserve">, </w:t>
      </w:r>
      <w:r w:rsidRPr="003F46D5" w:rsidR="003F46D5">
        <w:t xml:space="preserve">spanning 25 pages—that </w:t>
      </w:r>
      <w:r w:rsidR="0040139A">
        <w:t xml:space="preserve">regulate </w:t>
      </w:r>
      <w:r w:rsidRPr="003F46D5" w:rsidR="003F46D5">
        <w:t>analog cable receivers</w:t>
      </w:r>
      <w:r w:rsidR="00200757">
        <w:t xml:space="preserve">, </w:t>
      </w:r>
      <w:r w:rsidRPr="003F46D5" w:rsidR="003F46D5">
        <w:t>cordless phones</w:t>
      </w:r>
      <w:r w:rsidR="00200757">
        <w:t>, and other obsolete equipment</w:t>
      </w:r>
      <w:r w:rsidRPr="003F46D5" w:rsidR="003F46D5">
        <w:t>.</w:t>
      </w:r>
    </w:p>
    <w:p w:rsidR="00921D4A" w:rsidP="00095A02" w14:paraId="1076BB08" w14:textId="77777777"/>
    <w:p w:rsidR="00921D4A" w:rsidP="00921D4A" w14:paraId="35F1D89B" w14:textId="477F22AA">
      <w:pPr>
        <w:ind w:firstLine="720"/>
      </w:pPr>
      <w:r>
        <w:t xml:space="preserve">But </w:t>
      </w:r>
      <w:r w:rsidR="00200757">
        <w:t>2025 is just the beginning</w:t>
      </w:r>
      <w:r>
        <w:t xml:space="preserve">.  While we’ll </w:t>
      </w:r>
      <w:r w:rsidR="00200757">
        <w:t>still</w:t>
      </w:r>
      <w:r>
        <w:t xml:space="preserve"> </w:t>
      </w:r>
      <w:r w:rsidR="002D26FF">
        <w:t>cut</w:t>
      </w:r>
      <w:r>
        <w:t xml:space="preserve"> deadwood in 2026, stay tuned for bigger initiatives on the horizon.  They include simplifying licensing and permitting</w:t>
      </w:r>
      <w:r w:rsidR="003844EE">
        <w:t xml:space="preserve">; modernizing </w:t>
      </w:r>
      <w:r w:rsidR="002D26FF">
        <w:t xml:space="preserve">our </w:t>
      </w:r>
      <w:r w:rsidR="003844EE">
        <w:t xml:space="preserve">rules for a new era of competition; </w:t>
      </w:r>
      <w:r w:rsidR="00200757">
        <w:t>shredding</w:t>
      </w:r>
      <w:r>
        <w:t xml:space="preserve"> paperwork burdens</w:t>
      </w:r>
      <w:r w:rsidR="003844EE">
        <w:t xml:space="preserve">; </w:t>
      </w:r>
      <w:r>
        <w:t xml:space="preserve">and tearing down technological silos that have been frozen in amber for decades.  </w:t>
      </w:r>
    </w:p>
    <w:p w:rsidR="004A018F" w:rsidP="00921D4A" w14:paraId="74E83BA7" w14:textId="1A0F7CB7">
      <w:pPr>
        <w:ind w:firstLine="720"/>
      </w:pPr>
      <w:r>
        <w:t xml:space="preserve">  </w:t>
      </w:r>
    </w:p>
    <w:p w:rsidR="00DC3342" w:rsidRPr="00724C16" w:rsidP="00EC6CCE" w14:paraId="34FE0149" w14:textId="3A49984B">
      <w:pPr>
        <w:ind w:firstLine="720"/>
        <w:rPr>
          <w:iCs/>
          <w:szCs w:val="22"/>
        </w:rPr>
      </w:pPr>
      <w:r>
        <w:rPr>
          <w:iCs/>
          <w:szCs w:val="22"/>
        </w:rPr>
        <w:t xml:space="preserve">To make it happen, we’ll continue to depend on the FCC’s world-class team.  </w:t>
      </w:r>
      <w:r w:rsidR="003844EE">
        <w:rPr>
          <w:iCs/>
          <w:szCs w:val="22"/>
        </w:rPr>
        <w:t>And for</w:t>
      </w:r>
      <w:r w:rsidRPr="00703AC9" w:rsidR="004A018F">
        <w:rPr>
          <w:iCs/>
          <w:szCs w:val="22"/>
        </w:rPr>
        <w:t xml:space="preserve"> </w:t>
      </w:r>
      <w:r>
        <w:rPr>
          <w:iCs/>
          <w:szCs w:val="22"/>
        </w:rPr>
        <w:t>their work on today’s item,</w:t>
      </w:r>
      <w:r w:rsidR="003844EE">
        <w:rPr>
          <w:iCs/>
          <w:szCs w:val="22"/>
        </w:rPr>
        <w:t xml:space="preserve"> my</w:t>
      </w:r>
      <w:r>
        <w:rPr>
          <w:iCs/>
          <w:szCs w:val="22"/>
        </w:rPr>
        <w:t xml:space="preserve"> thanks to</w:t>
      </w:r>
      <w:r w:rsidR="00F74B5C">
        <w:rPr>
          <w:iCs/>
          <w:szCs w:val="22"/>
        </w:rPr>
        <w:t xml:space="preserve"> </w:t>
      </w:r>
      <w:r w:rsidRPr="00F74B5C">
        <w:rPr>
          <w:iCs/>
          <w:szCs w:val="22"/>
        </w:rPr>
        <w:t>Michael Ha, Nicholas Oros, Sebastian Garcia, Patrick Forster, Brian Butler, David Du</w:t>
      </w:r>
      <w:r w:rsidR="008005B0">
        <w:rPr>
          <w:iCs/>
          <w:szCs w:val="22"/>
        </w:rPr>
        <w:t>ar</w:t>
      </w:r>
      <w:r w:rsidRPr="00F74B5C">
        <w:rPr>
          <w:iCs/>
          <w:szCs w:val="22"/>
        </w:rPr>
        <w:t>te, Siobahn Phil</w:t>
      </w:r>
      <w:r w:rsidR="008005B0">
        <w:rPr>
          <w:iCs/>
          <w:szCs w:val="22"/>
        </w:rPr>
        <w:t>e</w:t>
      </w:r>
      <w:r w:rsidRPr="00F74B5C">
        <w:rPr>
          <w:iCs/>
          <w:szCs w:val="22"/>
        </w:rPr>
        <w:t>mon, Bahman Badipour, Alice Jou, Ira Keltz, Dana Shafer, Jamison Prime, and Kathleen Burke</w:t>
      </w:r>
      <w:r>
        <w:rPr>
          <w:iCs/>
          <w:szCs w:val="22"/>
        </w:rPr>
        <w:t xml:space="preserve"> from the Office of Engineering and Technology; and </w:t>
      </w:r>
      <w:r w:rsidRPr="00F74B5C" w:rsidR="00F74B5C">
        <w:rPr>
          <w:iCs/>
          <w:szCs w:val="22"/>
        </w:rPr>
        <w:t xml:space="preserve">Douglas Klein, Robert Primosch, Scott Bouboulis, </w:t>
      </w:r>
      <w:r>
        <w:rPr>
          <w:iCs/>
          <w:szCs w:val="22"/>
        </w:rPr>
        <w:t xml:space="preserve">and </w:t>
      </w:r>
      <w:r w:rsidRPr="00F74B5C" w:rsidR="00F74B5C">
        <w:rPr>
          <w:iCs/>
          <w:szCs w:val="22"/>
        </w:rPr>
        <w:t>David Konczal</w:t>
      </w:r>
      <w:r>
        <w:rPr>
          <w:iCs/>
          <w:szCs w:val="22"/>
        </w:rPr>
        <w:t xml:space="preserve"> from the Office of General Counsel</w:t>
      </w:r>
      <w:r w:rsidR="00EC6CCE">
        <w:rPr>
          <w:iCs/>
          <w:szCs w:val="22"/>
        </w:rPr>
        <w:t>.</w:t>
      </w:r>
    </w:p>
    <w:p w:rsidR="009A5CB8" w:rsidRPr="00934012" w:rsidP="00934012" w14:paraId="205F194B" w14:textId="4B96CDF8"/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81610" w14:paraId="19D29983" w14:textId="77777777">
      <w:pPr>
        <w:spacing w:line="20" w:lineRule="exact"/>
      </w:pPr>
    </w:p>
  </w:endnote>
  <w:endnote w:type="continuationSeparator" w:id="1">
    <w:p w:rsidR="00381610" w14:paraId="29CCE196" w14:textId="77777777">
      <w:r>
        <w:t xml:space="preserve"> </w:t>
      </w:r>
    </w:p>
  </w:endnote>
  <w:endnote w:type="continuationNotice" w:id="2">
    <w:p w:rsidR="00381610" w14:paraId="2678118A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3CD2AA94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78E6C2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763738C7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E14C2">
      <w:rPr>
        <w:noProof/>
      </w:rPr>
      <w:t>2</w:t>
    </w:r>
    <w:r>
      <w:fldChar w:fldCharType="end"/>
    </w:r>
  </w:p>
  <w:p w:rsidR="00D25FB5" w14:paraId="3F8A30B7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3B588D6A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81610" w14:paraId="27606B90" w14:textId="77777777">
      <w:r>
        <w:separator/>
      </w:r>
    </w:p>
  </w:footnote>
  <w:footnote w:type="continuationSeparator" w:id="1">
    <w:p w:rsidR="00381610" w:rsidP="00C721AC" w14:paraId="7E4E88DC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381610" w:rsidP="00C721AC" w14:paraId="692D19D2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363053DA" w14:textId="77777777">
    <w:pPr>
      <w:pStyle w:val="Header"/>
      <w:rPr>
        <w:b w:val="0"/>
      </w:rPr>
    </w:pPr>
    <w:r>
      <w:tab/>
      <w:t>Federal Communications Commission</w:t>
    </w:r>
    <w:r>
      <w:tab/>
    </w:r>
    <w:r w:rsidR="0028301F">
      <w:fldChar w:fldCharType="begin"/>
    </w:r>
    <w:r w:rsidR="0028301F">
      <w:instrText xml:space="preserve"> MACROBUTTON  AcceptAllChangesShown "FCC  XX-XXX" </w:instrText>
    </w:r>
    <w:r w:rsidR="0028301F">
      <w:fldChar w:fldCharType="end"/>
    </w:r>
  </w:p>
  <w:p w:rsidR="00D25FB5" w14:paraId="770DAA28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w:pict>
        <v:rect id="Rectangle 1" o:spid="_x0000_s2049" style="width:468pt;height:0.95pt;margin-top:0;margin-left:0;mso-position-horizontal-relative:margin;position:absolute;visibility:visible;z-index:-251658240" o:allowincell="f" fillcolor="black" stroked="f" strokeweight="0.05pt">
          <w10:wrap anchorx="margin"/>
        </v:rect>
      </w:pict>
    </w:r>
  </w:p>
  <w:p w:rsidR="00D25FB5" w14:paraId="6245CA2C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2B4AC242" w14:textId="6C5E43B6">
    <w:pPr>
      <w:pStyle w:val="Header"/>
      <w:rPr>
        <w:b w:val="0"/>
      </w:rPr>
    </w:pPr>
    <w:r>
      <w:rPr>
        <w:noProof/>
      </w:rPr>
      <w:pict>
        <v:rect id="Rectangle 3" o:spid="_x0000_s2050" style="width:468pt;height:0.95pt;margin-top:12.65pt;margin-left:0.6pt;mso-position-horizontal-relative:margin;position:absolute;visibility:visible;z-index:-251657216" o:allowincell="f" fillcolor="black" stroked="f" strokeweight="0.05pt">
          <w10:wrap anchorx="margin"/>
        </v:rect>
      </w:pict>
    </w:r>
    <w:r w:rsidR="002D26FF">
      <w:tab/>
      <w:t>Federal Communications Commission</w:t>
    </w:r>
    <w:r w:rsidR="002D26FF">
      <w:tab/>
    </w:r>
    <w:r w:rsidR="002D26FF">
      <w:rPr>
        <w:spacing w:val="-2"/>
      </w:rPr>
      <w:t>FCC 25-</w:t>
    </w:r>
    <w:r w:rsidR="00AE683A">
      <w:rPr>
        <w:spacing w:val="-2"/>
      </w:rPr>
      <w:t>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088223E0"/>
    <w:multiLevelType w:val="hybridMultilevel"/>
    <w:tmpl w:val="FB3E04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6631DE"/>
    <w:multiLevelType w:val="hybridMultilevel"/>
    <w:tmpl w:val="F320AF6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43E44E6A"/>
    <w:multiLevelType w:val="hybridMultilevel"/>
    <w:tmpl w:val="FCF4A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9">
    <w:nsid w:val="62065C52"/>
    <w:multiLevelType w:val="hybridMultilevel"/>
    <w:tmpl w:val="E1AC2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88031">
    <w:abstractNumId w:val="3"/>
  </w:num>
  <w:num w:numId="2" w16cid:durableId="848829900">
    <w:abstractNumId w:val="8"/>
  </w:num>
  <w:num w:numId="3" w16cid:durableId="861743116">
    <w:abstractNumId w:val="5"/>
  </w:num>
  <w:num w:numId="4" w16cid:durableId="1915309857">
    <w:abstractNumId w:val="7"/>
  </w:num>
  <w:num w:numId="5" w16cid:durableId="1033384904">
    <w:abstractNumId w:val="4"/>
  </w:num>
  <w:num w:numId="6" w16cid:durableId="891040753">
    <w:abstractNumId w:val="0"/>
  </w:num>
  <w:num w:numId="7" w16cid:durableId="1391080090">
    <w:abstractNumId w:val="2"/>
  </w:num>
  <w:num w:numId="8" w16cid:durableId="678772870">
    <w:abstractNumId w:val="1"/>
  </w:num>
  <w:num w:numId="9" w16cid:durableId="754399935">
    <w:abstractNumId w:val="9"/>
  </w:num>
  <w:num w:numId="10" w16cid:durableId="1884822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C9"/>
    <w:rsid w:val="0000714F"/>
    <w:rsid w:val="00022F39"/>
    <w:rsid w:val="00036039"/>
    <w:rsid w:val="00037F90"/>
    <w:rsid w:val="00055343"/>
    <w:rsid w:val="00067F98"/>
    <w:rsid w:val="000875BF"/>
    <w:rsid w:val="00095A02"/>
    <w:rsid w:val="00096D8C"/>
    <w:rsid w:val="000A1479"/>
    <w:rsid w:val="000C0B65"/>
    <w:rsid w:val="000C7794"/>
    <w:rsid w:val="000E05FE"/>
    <w:rsid w:val="000E3D42"/>
    <w:rsid w:val="000E4888"/>
    <w:rsid w:val="000E5213"/>
    <w:rsid w:val="000E75AA"/>
    <w:rsid w:val="00110D77"/>
    <w:rsid w:val="00122BD5"/>
    <w:rsid w:val="00133F79"/>
    <w:rsid w:val="00137B40"/>
    <w:rsid w:val="001469C8"/>
    <w:rsid w:val="00194A66"/>
    <w:rsid w:val="00195BB6"/>
    <w:rsid w:val="001D2924"/>
    <w:rsid w:val="001D6BCF"/>
    <w:rsid w:val="001E01CA"/>
    <w:rsid w:val="00200757"/>
    <w:rsid w:val="00221363"/>
    <w:rsid w:val="002218EB"/>
    <w:rsid w:val="00237ABC"/>
    <w:rsid w:val="002568CF"/>
    <w:rsid w:val="00275CF5"/>
    <w:rsid w:val="0028301F"/>
    <w:rsid w:val="00285017"/>
    <w:rsid w:val="002A2D2E"/>
    <w:rsid w:val="002B7EDD"/>
    <w:rsid w:val="002C00E8"/>
    <w:rsid w:val="002D26FF"/>
    <w:rsid w:val="002F23E5"/>
    <w:rsid w:val="003069BB"/>
    <w:rsid w:val="00343749"/>
    <w:rsid w:val="00363E8E"/>
    <w:rsid w:val="003660ED"/>
    <w:rsid w:val="00381610"/>
    <w:rsid w:val="003844EE"/>
    <w:rsid w:val="003A4278"/>
    <w:rsid w:val="003B0550"/>
    <w:rsid w:val="003B2805"/>
    <w:rsid w:val="003B694F"/>
    <w:rsid w:val="003C6C81"/>
    <w:rsid w:val="003D5127"/>
    <w:rsid w:val="003F171C"/>
    <w:rsid w:val="003F46D5"/>
    <w:rsid w:val="00400AF8"/>
    <w:rsid w:val="0040139A"/>
    <w:rsid w:val="004028E1"/>
    <w:rsid w:val="00412FC5"/>
    <w:rsid w:val="00413D54"/>
    <w:rsid w:val="00421875"/>
    <w:rsid w:val="00422276"/>
    <w:rsid w:val="00422947"/>
    <w:rsid w:val="00422A62"/>
    <w:rsid w:val="004242F1"/>
    <w:rsid w:val="00445A00"/>
    <w:rsid w:val="00446E8A"/>
    <w:rsid w:val="00451B0F"/>
    <w:rsid w:val="004550E6"/>
    <w:rsid w:val="00457CF3"/>
    <w:rsid w:val="004A018F"/>
    <w:rsid w:val="004A1B46"/>
    <w:rsid w:val="004C2EE3"/>
    <w:rsid w:val="004E0AA4"/>
    <w:rsid w:val="004E1473"/>
    <w:rsid w:val="004E4A22"/>
    <w:rsid w:val="004E4CE2"/>
    <w:rsid w:val="004F30BD"/>
    <w:rsid w:val="004F6B66"/>
    <w:rsid w:val="00502208"/>
    <w:rsid w:val="00511968"/>
    <w:rsid w:val="00530DBB"/>
    <w:rsid w:val="00550DB8"/>
    <w:rsid w:val="0055614C"/>
    <w:rsid w:val="005577AD"/>
    <w:rsid w:val="005A518E"/>
    <w:rsid w:val="005B35FB"/>
    <w:rsid w:val="005E14C2"/>
    <w:rsid w:val="00601A39"/>
    <w:rsid w:val="00601F7C"/>
    <w:rsid w:val="00605FC4"/>
    <w:rsid w:val="00607BA5"/>
    <w:rsid w:val="0061180A"/>
    <w:rsid w:val="00626EB6"/>
    <w:rsid w:val="00655D03"/>
    <w:rsid w:val="00656968"/>
    <w:rsid w:val="00683388"/>
    <w:rsid w:val="00683F84"/>
    <w:rsid w:val="006A6A81"/>
    <w:rsid w:val="006B1BE8"/>
    <w:rsid w:val="006F7393"/>
    <w:rsid w:val="0070224F"/>
    <w:rsid w:val="00703AC9"/>
    <w:rsid w:val="007115F7"/>
    <w:rsid w:val="00724C16"/>
    <w:rsid w:val="007303DA"/>
    <w:rsid w:val="00737709"/>
    <w:rsid w:val="00737BFC"/>
    <w:rsid w:val="007538CE"/>
    <w:rsid w:val="007736B2"/>
    <w:rsid w:val="00776312"/>
    <w:rsid w:val="00780999"/>
    <w:rsid w:val="00783A8D"/>
    <w:rsid w:val="00785689"/>
    <w:rsid w:val="0079754B"/>
    <w:rsid w:val="007A1E6D"/>
    <w:rsid w:val="007B0EB2"/>
    <w:rsid w:val="008005B0"/>
    <w:rsid w:val="00810B6F"/>
    <w:rsid w:val="00822CE0"/>
    <w:rsid w:val="00841AB1"/>
    <w:rsid w:val="00851101"/>
    <w:rsid w:val="00855920"/>
    <w:rsid w:val="00874D80"/>
    <w:rsid w:val="008C68F1"/>
    <w:rsid w:val="008D7C34"/>
    <w:rsid w:val="008F5263"/>
    <w:rsid w:val="00921803"/>
    <w:rsid w:val="00921D4A"/>
    <w:rsid w:val="00926503"/>
    <w:rsid w:val="00934012"/>
    <w:rsid w:val="00937333"/>
    <w:rsid w:val="00937816"/>
    <w:rsid w:val="009436A7"/>
    <w:rsid w:val="009572C4"/>
    <w:rsid w:val="00960761"/>
    <w:rsid w:val="009726D8"/>
    <w:rsid w:val="009A5CB8"/>
    <w:rsid w:val="009E19F0"/>
    <w:rsid w:val="009F76DB"/>
    <w:rsid w:val="00A32C3B"/>
    <w:rsid w:val="00A45F4F"/>
    <w:rsid w:val="00A600A9"/>
    <w:rsid w:val="00A6165C"/>
    <w:rsid w:val="00A73C8A"/>
    <w:rsid w:val="00A837C6"/>
    <w:rsid w:val="00A95FA5"/>
    <w:rsid w:val="00AA5340"/>
    <w:rsid w:val="00AA55B7"/>
    <w:rsid w:val="00AA5B9E"/>
    <w:rsid w:val="00AB2407"/>
    <w:rsid w:val="00AB53DF"/>
    <w:rsid w:val="00AE683A"/>
    <w:rsid w:val="00AF4D4A"/>
    <w:rsid w:val="00B07E5C"/>
    <w:rsid w:val="00B10CA4"/>
    <w:rsid w:val="00B1161F"/>
    <w:rsid w:val="00B13188"/>
    <w:rsid w:val="00B56F17"/>
    <w:rsid w:val="00B811F7"/>
    <w:rsid w:val="00BA5DC6"/>
    <w:rsid w:val="00BA6196"/>
    <w:rsid w:val="00BB441F"/>
    <w:rsid w:val="00BC1C39"/>
    <w:rsid w:val="00BC6D8C"/>
    <w:rsid w:val="00BE3EB9"/>
    <w:rsid w:val="00BF33B6"/>
    <w:rsid w:val="00BF4FB1"/>
    <w:rsid w:val="00C34006"/>
    <w:rsid w:val="00C36708"/>
    <w:rsid w:val="00C426B1"/>
    <w:rsid w:val="00C57068"/>
    <w:rsid w:val="00C66160"/>
    <w:rsid w:val="00C721AC"/>
    <w:rsid w:val="00C83E45"/>
    <w:rsid w:val="00C90D6A"/>
    <w:rsid w:val="00CA247E"/>
    <w:rsid w:val="00CC72B6"/>
    <w:rsid w:val="00CD089D"/>
    <w:rsid w:val="00CE6326"/>
    <w:rsid w:val="00D0218D"/>
    <w:rsid w:val="00D25FB5"/>
    <w:rsid w:val="00D44223"/>
    <w:rsid w:val="00D610EB"/>
    <w:rsid w:val="00D77C24"/>
    <w:rsid w:val="00DA2529"/>
    <w:rsid w:val="00DA2D46"/>
    <w:rsid w:val="00DB1120"/>
    <w:rsid w:val="00DB130A"/>
    <w:rsid w:val="00DB2EBB"/>
    <w:rsid w:val="00DC10A1"/>
    <w:rsid w:val="00DC3342"/>
    <w:rsid w:val="00DC655F"/>
    <w:rsid w:val="00DD0B59"/>
    <w:rsid w:val="00DD7EBD"/>
    <w:rsid w:val="00DE72D3"/>
    <w:rsid w:val="00DF4847"/>
    <w:rsid w:val="00DF62B6"/>
    <w:rsid w:val="00DF7A40"/>
    <w:rsid w:val="00E07225"/>
    <w:rsid w:val="00E5409F"/>
    <w:rsid w:val="00E55B22"/>
    <w:rsid w:val="00E63CD4"/>
    <w:rsid w:val="00E71D07"/>
    <w:rsid w:val="00E9474C"/>
    <w:rsid w:val="00EA57A6"/>
    <w:rsid w:val="00EC6CCE"/>
    <w:rsid w:val="00EE6488"/>
    <w:rsid w:val="00EF1AFF"/>
    <w:rsid w:val="00EF7761"/>
    <w:rsid w:val="00F021FA"/>
    <w:rsid w:val="00F1282E"/>
    <w:rsid w:val="00F213C8"/>
    <w:rsid w:val="00F62E97"/>
    <w:rsid w:val="00F64209"/>
    <w:rsid w:val="00F74B5C"/>
    <w:rsid w:val="00F92B4A"/>
    <w:rsid w:val="00F93BF5"/>
    <w:rsid w:val="00F9772A"/>
    <w:rsid w:val="00FD4D98"/>
    <w:rsid w:val="00FE2601"/>
    <w:rsid w:val="00FF4378"/>
    <w:rsid w:val="00FF76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6ABA64"/>
  <w15:chartTrackingRefBased/>
  <w15:docId w15:val="{0F4393EA-DB37-492E-8473-9ACFBA04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4012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  <w:style w:type="character" w:styleId="CommentReference">
    <w:name w:val="annotation reference"/>
    <w:rsid w:val="00DF7A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A40"/>
    <w:rPr>
      <w:sz w:val="20"/>
    </w:rPr>
  </w:style>
  <w:style w:type="character" w:customStyle="1" w:styleId="CommentTextChar">
    <w:name w:val="Comment Text Char"/>
    <w:link w:val="CommentText"/>
    <w:rsid w:val="00DF7A40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DF7A40"/>
    <w:rPr>
      <w:b/>
      <w:bCs/>
    </w:rPr>
  </w:style>
  <w:style w:type="character" w:customStyle="1" w:styleId="CommentSubjectChar">
    <w:name w:val="Comment Subject Char"/>
    <w:link w:val="CommentSubject"/>
    <w:rsid w:val="00DF7A40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421875"/>
    <w:rPr>
      <w:snapToGrid w:val="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lison.howell\FCC\FCC%20-%20NAL\Form\OS%20Process\Separate%20Statement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Separate Statement Template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