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5350E" w:rsidP="0025350E" w14:paraId="10B1CD84" w14:textId="77777777">
      <w:pPr>
        <w:jc w:val="center"/>
        <w:rPr>
          <w:b/>
        </w:rPr>
      </w:pPr>
      <w:r w:rsidRPr="0070224F">
        <w:rPr>
          <w:rFonts w:ascii="Times New Roman Bold" w:hAnsi="Times New Roman Bold"/>
          <w:b/>
          <w:kern w:val="0"/>
          <w:szCs w:val="22"/>
        </w:rPr>
        <w:t>Before</w:t>
      </w:r>
      <w:r>
        <w:rPr>
          <w:b/>
        </w:rPr>
        <w:t xml:space="preserve"> the</w:t>
      </w:r>
    </w:p>
    <w:p w:rsidR="0025350E" w:rsidP="0025350E" w14:paraId="1025EA3E" w14:textId="77777777">
      <w:pPr>
        <w:pStyle w:val="StyleBoldCentered"/>
      </w:pPr>
      <w:r>
        <w:t>F</w:t>
      </w:r>
      <w:r>
        <w:rPr>
          <w:caps w:val="0"/>
        </w:rPr>
        <w:t>ederal Communications Commission</w:t>
      </w:r>
    </w:p>
    <w:p w:rsidR="0025350E" w:rsidP="0025350E" w14:paraId="19980339" w14:textId="77777777">
      <w:pPr>
        <w:pStyle w:val="StyleBoldCentered"/>
      </w:pPr>
      <w:r>
        <w:rPr>
          <w:caps w:val="0"/>
        </w:rPr>
        <w:t>Washington, D.C. 20554</w:t>
      </w:r>
    </w:p>
    <w:p w:rsidR="0025350E" w:rsidP="0025350E" w14:paraId="77C06C1C" w14:textId="77777777"/>
    <w:p w:rsidR="0025350E" w:rsidP="0025350E" w14:paraId="2C00562D" w14:textId="77777777"/>
    <w:tbl>
      <w:tblPr>
        <w:tblW w:w="0" w:type="auto"/>
        <w:tblLayout w:type="fixed"/>
        <w:tblLook w:val="0000"/>
      </w:tblPr>
      <w:tblGrid>
        <w:gridCol w:w="4698"/>
        <w:gridCol w:w="630"/>
        <w:gridCol w:w="4248"/>
      </w:tblGrid>
      <w:tr w14:paraId="4440AAD8" w14:textId="77777777" w:rsidTr="006E18BF">
        <w:tblPrEx>
          <w:tblW w:w="0" w:type="auto"/>
          <w:tblLayout w:type="fixed"/>
          <w:tblLook w:val="0000"/>
        </w:tblPrEx>
        <w:tc>
          <w:tcPr>
            <w:tcW w:w="4698" w:type="dxa"/>
          </w:tcPr>
          <w:p w:rsidR="0025350E" w:rsidP="006E18BF" w14:paraId="23F6B452" w14:textId="77777777">
            <w:pPr>
              <w:tabs>
                <w:tab w:val="center" w:pos="4680"/>
              </w:tabs>
              <w:suppressAutoHyphens/>
              <w:rPr>
                <w:spacing w:val="-2"/>
              </w:rPr>
            </w:pPr>
            <w:r>
              <w:rPr>
                <w:spacing w:val="-2"/>
              </w:rPr>
              <w:t>In the Matter of</w:t>
            </w:r>
          </w:p>
          <w:p w:rsidR="0025350E" w:rsidP="006E18BF" w14:paraId="4A707B90" w14:textId="77777777">
            <w:pPr>
              <w:tabs>
                <w:tab w:val="center" w:pos="4680"/>
              </w:tabs>
              <w:suppressAutoHyphens/>
              <w:rPr>
                <w:spacing w:val="-2"/>
              </w:rPr>
            </w:pPr>
          </w:p>
          <w:p w:rsidR="0025350E" w:rsidP="006E18BF" w14:paraId="584131FB" w14:textId="77777777">
            <w:pPr>
              <w:tabs>
                <w:tab w:val="center" w:pos="4680"/>
              </w:tabs>
              <w:suppressAutoHyphens/>
              <w:rPr>
                <w:spacing w:val="-2"/>
              </w:rPr>
            </w:pPr>
            <w:r>
              <w:rPr>
                <w:spacing w:val="-2"/>
              </w:rPr>
              <w:t xml:space="preserve">Spectrum Abundance for Weird Space Stuff </w:t>
            </w:r>
          </w:p>
          <w:p w:rsidR="0025350E" w:rsidRPr="007115F7" w:rsidP="006E18BF" w14:paraId="58274EE3" w14:textId="77777777">
            <w:pPr>
              <w:tabs>
                <w:tab w:val="center" w:pos="4680"/>
              </w:tabs>
              <w:suppressAutoHyphens/>
              <w:rPr>
                <w:spacing w:val="-2"/>
              </w:rPr>
            </w:pPr>
          </w:p>
        </w:tc>
        <w:tc>
          <w:tcPr>
            <w:tcW w:w="630" w:type="dxa"/>
          </w:tcPr>
          <w:p w:rsidR="0025350E" w:rsidP="006E18BF" w14:paraId="770A3919" w14:textId="77777777">
            <w:pPr>
              <w:tabs>
                <w:tab w:val="center" w:pos="4680"/>
              </w:tabs>
              <w:suppressAutoHyphens/>
              <w:rPr>
                <w:b/>
                <w:spacing w:val="-2"/>
              </w:rPr>
            </w:pPr>
            <w:r>
              <w:rPr>
                <w:b/>
                <w:spacing w:val="-2"/>
              </w:rPr>
              <w:t>)</w:t>
            </w:r>
          </w:p>
          <w:p w:rsidR="0025350E" w:rsidP="006E18BF" w14:paraId="5E3D5DBB" w14:textId="77777777">
            <w:pPr>
              <w:tabs>
                <w:tab w:val="center" w:pos="4680"/>
              </w:tabs>
              <w:suppressAutoHyphens/>
              <w:rPr>
                <w:b/>
                <w:spacing w:val="-2"/>
              </w:rPr>
            </w:pPr>
            <w:r>
              <w:rPr>
                <w:b/>
                <w:spacing w:val="-2"/>
              </w:rPr>
              <w:t>)</w:t>
            </w:r>
          </w:p>
          <w:p w:rsidR="0025350E" w:rsidP="006E18BF" w14:paraId="7341AD44" w14:textId="77777777">
            <w:pPr>
              <w:tabs>
                <w:tab w:val="center" w:pos="4680"/>
              </w:tabs>
              <w:suppressAutoHyphens/>
              <w:rPr>
                <w:b/>
                <w:spacing w:val="-2"/>
              </w:rPr>
            </w:pPr>
            <w:r>
              <w:rPr>
                <w:b/>
                <w:spacing w:val="-2"/>
              </w:rPr>
              <w:t>)</w:t>
            </w:r>
          </w:p>
          <w:p w:rsidR="0025350E" w:rsidRPr="008D107B" w:rsidP="006E18BF" w14:paraId="39A0FDD8" w14:textId="77777777">
            <w:pPr>
              <w:tabs>
                <w:tab w:val="center" w:pos="4680"/>
              </w:tabs>
              <w:suppressAutoHyphens/>
              <w:rPr>
                <w:b/>
                <w:spacing w:val="-2"/>
              </w:rPr>
            </w:pPr>
            <w:r>
              <w:rPr>
                <w:b/>
                <w:spacing w:val="-2"/>
              </w:rPr>
              <w:t>)</w:t>
            </w:r>
          </w:p>
        </w:tc>
        <w:tc>
          <w:tcPr>
            <w:tcW w:w="4248" w:type="dxa"/>
          </w:tcPr>
          <w:p w:rsidR="0025350E" w:rsidP="006E18BF" w14:paraId="70370FEC" w14:textId="77777777">
            <w:pPr>
              <w:tabs>
                <w:tab w:val="center" w:pos="4680"/>
              </w:tabs>
              <w:suppressAutoHyphens/>
              <w:rPr>
                <w:spacing w:val="-2"/>
              </w:rPr>
            </w:pPr>
          </w:p>
          <w:p w:rsidR="0025350E" w:rsidP="006E18BF" w14:paraId="0B6AC361" w14:textId="77777777">
            <w:pPr>
              <w:pStyle w:val="TOAHeading"/>
              <w:tabs>
                <w:tab w:val="center" w:pos="4680"/>
                <w:tab w:val="clear" w:pos="9360"/>
              </w:tabs>
              <w:rPr>
                <w:spacing w:val="-2"/>
              </w:rPr>
            </w:pPr>
          </w:p>
          <w:p w:rsidR="0025350E" w:rsidP="006E18BF" w14:paraId="19D6106B" w14:textId="378379A5">
            <w:pPr>
              <w:tabs>
                <w:tab w:val="center" w:pos="4680"/>
              </w:tabs>
              <w:suppressAutoHyphens/>
              <w:rPr>
                <w:spacing w:val="-2"/>
              </w:rPr>
            </w:pPr>
            <w:r>
              <w:rPr>
                <w:spacing w:val="-2"/>
              </w:rPr>
              <w:t>SB Docket No. 2</w:t>
            </w:r>
            <w:r w:rsidR="00251664">
              <w:rPr>
                <w:spacing w:val="-2"/>
              </w:rPr>
              <w:t>6</w:t>
            </w:r>
            <w:r>
              <w:rPr>
                <w:spacing w:val="-2"/>
              </w:rPr>
              <w:t>-</w:t>
            </w:r>
            <w:r w:rsidR="009057FC">
              <w:rPr>
                <w:spacing w:val="-2"/>
              </w:rPr>
              <w:t>5</w:t>
            </w:r>
            <w:r w:rsidR="00391316">
              <w:rPr>
                <w:spacing w:val="-2"/>
              </w:rPr>
              <w:t>4</w:t>
            </w:r>
          </w:p>
        </w:tc>
      </w:tr>
    </w:tbl>
    <w:p w:rsidR="0025350E" w:rsidP="0025350E" w14:paraId="7FE6EF5D" w14:textId="77777777"/>
    <w:p w:rsidR="0025350E" w:rsidP="0025350E" w14:paraId="5979CD40" w14:textId="77777777">
      <w:pPr>
        <w:pStyle w:val="StyleBoldCentered"/>
      </w:pPr>
      <w:r>
        <w:t>Notice of proposed rulemaking</w:t>
      </w:r>
    </w:p>
    <w:p w:rsidR="0025350E" w:rsidP="0025350E" w14:paraId="30C403DE" w14:textId="77777777">
      <w:pPr>
        <w:tabs>
          <w:tab w:val="left" w:pos="-720"/>
        </w:tabs>
        <w:suppressAutoHyphens/>
        <w:spacing w:line="227" w:lineRule="auto"/>
        <w:rPr>
          <w:spacing w:val="-2"/>
        </w:rPr>
      </w:pPr>
    </w:p>
    <w:p w:rsidR="0025350E" w:rsidP="0025350E" w14:paraId="6AD51989" w14:textId="1C40EFF1">
      <w:pPr>
        <w:tabs>
          <w:tab w:val="left" w:pos="720"/>
          <w:tab w:val="right" w:pos="9360"/>
        </w:tabs>
        <w:suppressAutoHyphens/>
        <w:spacing w:line="227" w:lineRule="auto"/>
        <w:rPr>
          <w:b/>
          <w:spacing w:val="-2"/>
        </w:rPr>
      </w:pPr>
      <w:r>
        <w:rPr>
          <w:b/>
          <w:spacing w:val="-2"/>
        </w:rPr>
        <w:t xml:space="preserve">Adopted:  </w:t>
      </w:r>
      <w:r w:rsidR="003C48B7">
        <w:rPr>
          <w:b/>
          <w:spacing w:val="-2"/>
        </w:rPr>
        <w:t>March 26, 2026</w:t>
      </w:r>
      <w:r>
        <w:rPr>
          <w:b/>
          <w:spacing w:val="-2"/>
        </w:rPr>
        <w:tab/>
        <w:t xml:space="preserve">Released:  </w:t>
      </w:r>
      <w:r w:rsidR="003C48B7">
        <w:rPr>
          <w:b/>
          <w:spacing w:val="-2"/>
        </w:rPr>
        <w:t>March 27, 202</w:t>
      </w:r>
      <w:r w:rsidR="00597182">
        <w:rPr>
          <w:b/>
          <w:spacing w:val="-2"/>
        </w:rPr>
        <w:t>6</w:t>
      </w:r>
    </w:p>
    <w:p w:rsidR="0025350E" w:rsidP="0025350E" w14:paraId="0C419E53" w14:textId="77777777">
      <w:pPr>
        <w:tabs>
          <w:tab w:val="left" w:pos="720"/>
          <w:tab w:val="right" w:pos="9360"/>
        </w:tabs>
        <w:suppressAutoHyphens/>
        <w:spacing w:line="227" w:lineRule="auto"/>
        <w:rPr>
          <w:b/>
          <w:spacing w:val="-2"/>
        </w:rPr>
      </w:pPr>
    </w:p>
    <w:p w:rsidR="0025350E" w:rsidP="0025350E" w14:paraId="4C638BE0" w14:textId="6A053406">
      <w:pPr>
        <w:tabs>
          <w:tab w:val="left" w:pos="720"/>
          <w:tab w:val="right" w:pos="9360"/>
        </w:tabs>
        <w:suppressAutoHyphens/>
        <w:spacing w:line="227" w:lineRule="auto"/>
        <w:rPr>
          <w:b/>
          <w:spacing w:val="-2"/>
        </w:rPr>
      </w:pPr>
      <w:r>
        <w:rPr>
          <w:b/>
          <w:spacing w:val="-2"/>
        </w:rPr>
        <w:t xml:space="preserve">Comment Date: </w:t>
      </w:r>
      <w:r w:rsidR="00E44CE4">
        <w:rPr>
          <w:b/>
          <w:spacing w:val="-2"/>
        </w:rPr>
        <w:t>[</w:t>
      </w:r>
      <w:r>
        <w:rPr>
          <w:b/>
          <w:spacing w:val="-2"/>
        </w:rPr>
        <w:t>30 days after date of publication in the Federal Register</w:t>
      </w:r>
      <w:r w:rsidR="00E44CE4">
        <w:rPr>
          <w:b/>
          <w:spacing w:val="-2"/>
        </w:rPr>
        <w:t>]</w:t>
      </w:r>
    </w:p>
    <w:p w:rsidR="0025350E" w:rsidP="0025350E" w14:paraId="21F9F348" w14:textId="2B3E033D">
      <w:pPr>
        <w:tabs>
          <w:tab w:val="left" w:pos="720"/>
          <w:tab w:val="right" w:pos="9360"/>
        </w:tabs>
        <w:suppressAutoHyphens/>
        <w:spacing w:line="227" w:lineRule="auto"/>
        <w:rPr>
          <w:spacing w:val="-2"/>
        </w:rPr>
      </w:pPr>
      <w:r>
        <w:rPr>
          <w:b/>
          <w:spacing w:val="-2"/>
        </w:rPr>
        <w:t xml:space="preserve">Reply Comment Date: </w:t>
      </w:r>
      <w:r w:rsidR="00E44CE4">
        <w:rPr>
          <w:b/>
          <w:spacing w:val="-2"/>
        </w:rPr>
        <w:t>[</w:t>
      </w:r>
      <w:r>
        <w:rPr>
          <w:b/>
          <w:spacing w:val="-2"/>
        </w:rPr>
        <w:t>60 days after date of publication in the Federal Register</w:t>
      </w:r>
      <w:r w:rsidR="009668CD">
        <w:rPr>
          <w:b/>
          <w:spacing w:val="-2"/>
        </w:rPr>
        <w:t>]</w:t>
      </w:r>
    </w:p>
    <w:p w:rsidR="0025350E" w:rsidP="0025350E" w14:paraId="0CF6E202" w14:textId="77777777"/>
    <w:p w:rsidR="0025350E" w:rsidP="0025350E" w14:paraId="3FEDEC78" w14:textId="457FEE29">
      <w:pPr>
        <w:rPr>
          <w:spacing w:val="-2"/>
        </w:rPr>
      </w:pPr>
      <w:r>
        <w:t xml:space="preserve">By the </w:t>
      </w:r>
      <w:r>
        <w:rPr>
          <w:spacing w:val="-2"/>
        </w:rPr>
        <w:t>Commission:</w:t>
      </w:r>
      <w:r w:rsidR="00AA14EF">
        <w:rPr>
          <w:spacing w:val="-2"/>
        </w:rPr>
        <w:t xml:space="preserve"> </w:t>
      </w:r>
      <w:r w:rsidRPr="00AA14EF" w:rsidR="00AA14EF">
        <w:rPr>
          <w:spacing w:val="-2"/>
        </w:rPr>
        <w:t> Chairman Carr and Commissioner Trusty issuing separate statements.</w:t>
      </w:r>
    </w:p>
    <w:p w:rsidR="004351A9" w:rsidP="004351A9" w14:paraId="402DCA30" w14:textId="76232C68">
      <w:pPr>
        <w:pStyle w:val="TOCTitle"/>
      </w:pPr>
      <w:bookmarkStart w:id="0" w:name="TOChere"/>
      <w:r>
        <w:t>Table of Contents</w:t>
      </w:r>
    </w:p>
    <w:p w:rsidR="004351A9" w:rsidP="004351A9" w14:paraId="3D14A197" w14:textId="5B87FE10">
      <w:pPr>
        <w:pStyle w:val="Paratitle"/>
      </w:pPr>
      <w:r>
        <w:t>Heading</w:t>
      </w:r>
      <w:r>
        <w:tab/>
        <w:t>Paragraph #</w:t>
      </w:r>
      <w:bookmarkStart w:id="1" w:name="start_here"/>
      <w:bookmarkEnd w:id="1"/>
    </w:p>
    <w:p w:rsidR="004351A9" w:rsidP="004351A9" w14:paraId="4584ABA1" w14:textId="6022A6EC">
      <w:pPr>
        <w:pStyle w:val="TOC1"/>
        <w:rPr>
          <w:rFonts w:ascii="Aptos" w:hAnsi="Aptos"/>
          <w:caps w:val="0"/>
          <w:snapToGrid/>
          <w:kern w:val="2"/>
          <w:sz w:val="24"/>
          <w:szCs w:val="24"/>
        </w:rPr>
      </w:pPr>
      <w:r>
        <w:t>I.</w:t>
      </w:r>
      <w:r>
        <w:rPr>
          <w:rFonts w:ascii="Aptos" w:hAnsi="Aptos"/>
          <w:caps w:val="0"/>
          <w:snapToGrid/>
          <w:kern w:val="2"/>
          <w:sz w:val="24"/>
          <w:szCs w:val="24"/>
        </w:rPr>
        <w:tab/>
      </w:r>
      <w:r>
        <w:t>introduction</w:t>
      </w:r>
      <w:r>
        <w:tab/>
        <w:t>1</w:t>
      </w:r>
    </w:p>
    <w:p w:rsidR="004351A9" w:rsidP="004351A9" w14:paraId="0DB9271E" w14:textId="0D458D92">
      <w:pPr>
        <w:pStyle w:val="TOC1"/>
        <w:rPr>
          <w:rFonts w:ascii="Aptos" w:hAnsi="Aptos"/>
          <w:caps w:val="0"/>
          <w:snapToGrid/>
          <w:kern w:val="2"/>
          <w:sz w:val="24"/>
          <w:szCs w:val="24"/>
        </w:rPr>
      </w:pPr>
      <w:r>
        <w:t>II.</w:t>
      </w:r>
      <w:r>
        <w:rPr>
          <w:rFonts w:ascii="Aptos" w:hAnsi="Aptos"/>
          <w:caps w:val="0"/>
          <w:snapToGrid/>
          <w:kern w:val="2"/>
          <w:sz w:val="24"/>
          <w:szCs w:val="24"/>
        </w:rPr>
        <w:tab/>
      </w:r>
      <w:r>
        <w:t>Background</w:t>
      </w:r>
      <w:r>
        <w:tab/>
        <w:t>6</w:t>
      </w:r>
    </w:p>
    <w:p w:rsidR="004351A9" w:rsidP="004351A9" w14:paraId="131E6565" w14:textId="0FB93A00">
      <w:pPr>
        <w:pStyle w:val="TOC2"/>
        <w:tabs>
          <w:tab w:val="left" w:pos="360"/>
        </w:tabs>
        <w:rPr>
          <w:rFonts w:ascii="Aptos" w:hAnsi="Aptos"/>
          <w:snapToGrid/>
          <w:kern w:val="2"/>
          <w:sz w:val="24"/>
          <w:szCs w:val="24"/>
        </w:rPr>
      </w:pPr>
      <w:r>
        <w:t>A.</w:t>
      </w:r>
      <w:r>
        <w:rPr>
          <w:rFonts w:ascii="Aptos" w:hAnsi="Aptos"/>
          <w:snapToGrid/>
          <w:kern w:val="2"/>
          <w:sz w:val="24"/>
          <w:szCs w:val="24"/>
        </w:rPr>
        <w:tab/>
      </w:r>
      <w:r>
        <w:t>Important Terminology and Definitions</w:t>
      </w:r>
      <w:r>
        <w:tab/>
        <w:t>6</w:t>
      </w:r>
    </w:p>
    <w:p w:rsidR="004351A9" w:rsidP="004351A9" w14:paraId="10248FB6" w14:textId="3032839F">
      <w:pPr>
        <w:pStyle w:val="TOC2"/>
        <w:tabs>
          <w:tab w:val="left" w:pos="360"/>
        </w:tabs>
        <w:rPr>
          <w:rFonts w:ascii="Aptos" w:hAnsi="Aptos"/>
          <w:snapToGrid/>
          <w:kern w:val="2"/>
          <w:sz w:val="24"/>
          <w:szCs w:val="24"/>
        </w:rPr>
      </w:pPr>
      <w:r>
        <w:t>B.</w:t>
      </w:r>
      <w:r>
        <w:rPr>
          <w:rFonts w:ascii="Aptos" w:hAnsi="Aptos"/>
          <w:snapToGrid/>
          <w:kern w:val="2"/>
          <w:sz w:val="24"/>
          <w:szCs w:val="24"/>
        </w:rPr>
        <w:tab/>
      </w:r>
      <w:r>
        <w:t>The Spectrum Crunch for Emergent Space Operations</w:t>
      </w:r>
      <w:r>
        <w:tab/>
        <w:t>15</w:t>
      </w:r>
    </w:p>
    <w:p w:rsidR="004351A9" w:rsidP="004351A9" w14:paraId="65A9FF8C" w14:textId="47BE428A">
      <w:pPr>
        <w:pStyle w:val="TOC1"/>
        <w:rPr>
          <w:rFonts w:ascii="Aptos" w:hAnsi="Aptos"/>
          <w:caps w:val="0"/>
          <w:snapToGrid/>
          <w:kern w:val="2"/>
          <w:sz w:val="24"/>
          <w:szCs w:val="24"/>
        </w:rPr>
      </w:pPr>
      <w:r>
        <w:t>III.</w:t>
      </w:r>
      <w:r>
        <w:rPr>
          <w:rFonts w:ascii="Aptos" w:hAnsi="Aptos"/>
          <w:caps w:val="0"/>
          <w:snapToGrid/>
          <w:kern w:val="2"/>
          <w:sz w:val="24"/>
          <w:szCs w:val="24"/>
        </w:rPr>
        <w:tab/>
      </w:r>
      <w:r>
        <w:t>discussion</w:t>
      </w:r>
      <w:r>
        <w:tab/>
        <w:t>24</w:t>
      </w:r>
    </w:p>
    <w:p w:rsidR="004351A9" w:rsidP="004351A9" w14:paraId="45BD942C" w14:textId="7BD3449D">
      <w:pPr>
        <w:pStyle w:val="TOC2"/>
        <w:tabs>
          <w:tab w:val="left" w:pos="360"/>
        </w:tabs>
        <w:rPr>
          <w:rFonts w:ascii="Aptos" w:hAnsi="Aptos"/>
          <w:snapToGrid/>
          <w:kern w:val="2"/>
          <w:sz w:val="24"/>
          <w:szCs w:val="24"/>
        </w:rPr>
      </w:pPr>
      <w:r>
        <w:t>A.</w:t>
      </w:r>
      <w:r>
        <w:rPr>
          <w:rFonts w:ascii="Aptos" w:hAnsi="Aptos"/>
          <w:snapToGrid/>
          <w:kern w:val="2"/>
          <w:sz w:val="24"/>
          <w:szCs w:val="24"/>
        </w:rPr>
        <w:tab/>
      </w:r>
      <w:r>
        <w:t>Establishing Regulatory Clarity for the Use of Existing Spectrum Allocations</w:t>
      </w:r>
      <w:r>
        <w:tab/>
        <w:t>27</w:t>
      </w:r>
    </w:p>
    <w:p w:rsidR="004351A9" w:rsidP="004351A9" w14:paraId="14EA2E8F" w14:textId="5148872E">
      <w:pPr>
        <w:pStyle w:val="TOC3"/>
        <w:tabs>
          <w:tab w:val="left" w:pos="360"/>
        </w:tabs>
        <w:rPr>
          <w:rFonts w:ascii="Aptos" w:hAnsi="Aptos"/>
          <w:snapToGrid/>
          <w:kern w:val="2"/>
          <w:sz w:val="24"/>
          <w:szCs w:val="24"/>
        </w:rPr>
      </w:pPr>
      <w:r>
        <w:t>1.</w:t>
      </w:r>
      <w:r>
        <w:rPr>
          <w:rFonts w:ascii="Aptos" w:hAnsi="Aptos"/>
          <w:snapToGrid/>
          <w:kern w:val="2"/>
          <w:sz w:val="24"/>
          <w:szCs w:val="24"/>
        </w:rPr>
        <w:tab/>
      </w:r>
      <w:r>
        <w:t>Authorizing by Rule Spectrum “Piggybacking” for Emergent Space Operations</w:t>
      </w:r>
      <w:r>
        <w:tab/>
        <w:t>28</w:t>
      </w:r>
    </w:p>
    <w:p w:rsidR="004351A9" w:rsidP="004351A9" w14:paraId="7708DDDE" w14:textId="77276BFE">
      <w:pPr>
        <w:pStyle w:val="TOC3"/>
        <w:tabs>
          <w:tab w:val="left" w:pos="360"/>
        </w:tabs>
        <w:rPr>
          <w:rFonts w:ascii="Aptos" w:hAnsi="Aptos"/>
          <w:snapToGrid/>
          <w:kern w:val="2"/>
          <w:sz w:val="24"/>
          <w:szCs w:val="24"/>
        </w:rPr>
      </w:pPr>
      <w:r>
        <w:t>2.</w:t>
      </w:r>
      <w:r>
        <w:rPr>
          <w:rFonts w:ascii="Aptos" w:hAnsi="Aptos"/>
          <w:snapToGrid/>
          <w:kern w:val="2"/>
          <w:sz w:val="24"/>
          <w:szCs w:val="24"/>
        </w:rPr>
        <w:tab/>
      </w:r>
      <w:r>
        <w:t>Authorizing Standalone TT&amp;C Within Existing FSS Allocations</w:t>
      </w:r>
      <w:r>
        <w:tab/>
        <w:t>31</w:t>
      </w:r>
    </w:p>
    <w:p w:rsidR="004351A9" w:rsidP="004351A9" w14:paraId="2A347726" w14:textId="0E992616">
      <w:pPr>
        <w:pStyle w:val="TOC3"/>
        <w:tabs>
          <w:tab w:val="left" w:pos="360"/>
        </w:tabs>
        <w:rPr>
          <w:rFonts w:ascii="Aptos" w:hAnsi="Aptos"/>
          <w:snapToGrid/>
          <w:kern w:val="2"/>
          <w:sz w:val="24"/>
          <w:szCs w:val="24"/>
        </w:rPr>
      </w:pPr>
      <w:r>
        <w:t>3.</w:t>
      </w:r>
      <w:r>
        <w:rPr>
          <w:rFonts w:ascii="Aptos" w:hAnsi="Aptos"/>
          <w:snapToGrid/>
          <w:kern w:val="2"/>
          <w:sz w:val="24"/>
          <w:szCs w:val="24"/>
        </w:rPr>
        <w:tab/>
      </w:r>
      <w:r>
        <w:t>Refining the Definition of TT&amp;C</w:t>
      </w:r>
      <w:r>
        <w:tab/>
        <w:t>34</w:t>
      </w:r>
    </w:p>
    <w:p w:rsidR="004351A9" w:rsidP="004351A9" w14:paraId="39CBBD0E" w14:textId="33348DD3">
      <w:pPr>
        <w:pStyle w:val="TOC3"/>
        <w:tabs>
          <w:tab w:val="left" w:pos="360"/>
        </w:tabs>
        <w:rPr>
          <w:rFonts w:ascii="Aptos" w:hAnsi="Aptos"/>
          <w:snapToGrid/>
          <w:kern w:val="2"/>
          <w:sz w:val="24"/>
          <w:szCs w:val="24"/>
        </w:rPr>
      </w:pPr>
      <w:r>
        <w:t>4.</w:t>
      </w:r>
      <w:r>
        <w:rPr>
          <w:rFonts w:ascii="Aptos" w:hAnsi="Aptos"/>
          <w:snapToGrid/>
          <w:kern w:val="2"/>
          <w:sz w:val="24"/>
          <w:szCs w:val="24"/>
        </w:rPr>
        <w:tab/>
      </w:r>
      <w:r>
        <w:t>Clarifying that Spectrum Use Supporting Emergent Space Operations May Fall Within Existing Service Allocations</w:t>
      </w:r>
      <w:r>
        <w:tab/>
        <w:t>35</w:t>
      </w:r>
    </w:p>
    <w:p w:rsidR="004351A9" w:rsidP="004351A9" w14:paraId="58208A2A" w14:textId="45A43544">
      <w:pPr>
        <w:pStyle w:val="TOC2"/>
        <w:tabs>
          <w:tab w:val="left" w:pos="360"/>
        </w:tabs>
        <w:rPr>
          <w:rFonts w:ascii="Aptos" w:hAnsi="Aptos"/>
          <w:snapToGrid/>
          <w:kern w:val="2"/>
          <w:sz w:val="24"/>
          <w:szCs w:val="24"/>
        </w:rPr>
      </w:pPr>
      <w:r>
        <w:t>B.</w:t>
      </w:r>
      <w:r>
        <w:rPr>
          <w:rFonts w:ascii="Aptos" w:hAnsi="Aptos"/>
          <w:snapToGrid/>
          <w:kern w:val="2"/>
          <w:sz w:val="24"/>
          <w:szCs w:val="24"/>
        </w:rPr>
        <w:tab/>
      </w:r>
      <w:r>
        <w:t>Unlocking More Spectrum for Emergent Space Operations</w:t>
      </w:r>
      <w:r>
        <w:tab/>
        <w:t>39</w:t>
      </w:r>
    </w:p>
    <w:p w:rsidR="004351A9" w:rsidP="004351A9" w14:paraId="7361636B" w14:textId="53ABC96B">
      <w:pPr>
        <w:pStyle w:val="TOC3"/>
        <w:tabs>
          <w:tab w:val="left" w:pos="360"/>
        </w:tabs>
        <w:rPr>
          <w:rFonts w:ascii="Aptos" w:hAnsi="Aptos"/>
          <w:snapToGrid/>
          <w:kern w:val="2"/>
          <w:sz w:val="24"/>
          <w:szCs w:val="24"/>
        </w:rPr>
      </w:pPr>
      <w:r>
        <w:t>1.</w:t>
      </w:r>
      <w:r>
        <w:rPr>
          <w:rFonts w:ascii="Aptos" w:hAnsi="Aptos"/>
          <w:snapToGrid/>
          <w:kern w:val="2"/>
          <w:sz w:val="24"/>
          <w:szCs w:val="24"/>
        </w:rPr>
        <w:tab/>
      </w:r>
      <w:r>
        <w:t>2320-2345 MHz Band</w:t>
      </w:r>
      <w:r>
        <w:tab/>
        <w:t>42</w:t>
      </w:r>
    </w:p>
    <w:p w:rsidR="004351A9" w:rsidP="004351A9" w14:paraId="7A2FEADE" w14:textId="3B7AB726">
      <w:pPr>
        <w:pStyle w:val="TOC3"/>
        <w:tabs>
          <w:tab w:val="left" w:pos="360"/>
        </w:tabs>
        <w:rPr>
          <w:rFonts w:ascii="Aptos" w:hAnsi="Aptos"/>
          <w:snapToGrid/>
          <w:kern w:val="2"/>
          <w:sz w:val="24"/>
          <w:szCs w:val="24"/>
        </w:rPr>
      </w:pPr>
      <w:r>
        <w:t>2.</w:t>
      </w:r>
      <w:r>
        <w:rPr>
          <w:rFonts w:ascii="Aptos" w:hAnsi="Aptos"/>
          <w:snapToGrid/>
          <w:kern w:val="2"/>
          <w:sz w:val="24"/>
          <w:szCs w:val="24"/>
        </w:rPr>
        <w:tab/>
      </w:r>
      <w:r>
        <w:t>Possible Application to Other Frequency Bands</w:t>
      </w:r>
      <w:r>
        <w:tab/>
        <w:t>71</w:t>
      </w:r>
    </w:p>
    <w:p w:rsidR="004351A9" w:rsidP="004351A9" w14:paraId="1B522F2D" w14:textId="08D032CB">
      <w:pPr>
        <w:pStyle w:val="TOC3"/>
        <w:tabs>
          <w:tab w:val="left" w:pos="360"/>
        </w:tabs>
        <w:rPr>
          <w:rFonts w:ascii="Aptos" w:hAnsi="Aptos"/>
          <w:snapToGrid/>
          <w:kern w:val="2"/>
          <w:sz w:val="24"/>
          <w:szCs w:val="24"/>
        </w:rPr>
      </w:pPr>
      <w:r>
        <w:t>3.</w:t>
      </w:r>
      <w:r>
        <w:rPr>
          <w:rFonts w:ascii="Aptos" w:hAnsi="Aptos"/>
          <w:snapToGrid/>
          <w:kern w:val="2"/>
          <w:sz w:val="24"/>
          <w:szCs w:val="24"/>
        </w:rPr>
        <w:tab/>
      </w:r>
      <w:r>
        <w:t>Intersatellite Links</w:t>
      </w:r>
      <w:r>
        <w:tab/>
        <w:t>84</w:t>
      </w:r>
    </w:p>
    <w:p w:rsidR="004351A9" w:rsidP="004351A9" w14:paraId="3AE893CF" w14:textId="502AD0D3">
      <w:pPr>
        <w:pStyle w:val="TOC2"/>
        <w:tabs>
          <w:tab w:val="left" w:pos="360"/>
        </w:tabs>
        <w:rPr>
          <w:rFonts w:ascii="Aptos" w:hAnsi="Aptos"/>
          <w:snapToGrid/>
          <w:kern w:val="2"/>
          <w:sz w:val="24"/>
          <w:szCs w:val="24"/>
        </w:rPr>
      </w:pPr>
      <w:r>
        <w:t>C.</w:t>
      </w:r>
      <w:r>
        <w:rPr>
          <w:rFonts w:ascii="Aptos" w:hAnsi="Aptos"/>
          <w:snapToGrid/>
          <w:kern w:val="2"/>
          <w:sz w:val="24"/>
          <w:szCs w:val="24"/>
        </w:rPr>
        <w:tab/>
      </w:r>
      <w:r>
        <w:t>Benefits and Costs</w:t>
      </w:r>
      <w:r>
        <w:tab/>
        <w:t>90</w:t>
      </w:r>
    </w:p>
    <w:p w:rsidR="004351A9" w:rsidP="004351A9" w14:paraId="077B4A76" w14:textId="52A34BAB">
      <w:pPr>
        <w:pStyle w:val="TOC1"/>
        <w:rPr>
          <w:rFonts w:ascii="Aptos" w:hAnsi="Aptos"/>
          <w:caps w:val="0"/>
          <w:snapToGrid/>
          <w:kern w:val="2"/>
          <w:sz w:val="24"/>
          <w:szCs w:val="24"/>
        </w:rPr>
      </w:pPr>
      <w:r>
        <w:t>IV.</w:t>
      </w:r>
      <w:r>
        <w:rPr>
          <w:rFonts w:ascii="Aptos" w:hAnsi="Aptos"/>
          <w:caps w:val="0"/>
          <w:snapToGrid/>
          <w:kern w:val="2"/>
          <w:sz w:val="24"/>
          <w:szCs w:val="24"/>
        </w:rPr>
        <w:tab/>
      </w:r>
      <w:r>
        <w:t>procedural matters</w:t>
      </w:r>
      <w:r>
        <w:tab/>
        <w:t>97</w:t>
      </w:r>
    </w:p>
    <w:p w:rsidR="004351A9" w:rsidP="004351A9" w14:paraId="16045447" w14:textId="4225B6C6">
      <w:pPr>
        <w:pStyle w:val="TOC1"/>
        <w:rPr>
          <w:rFonts w:ascii="Aptos" w:hAnsi="Aptos"/>
          <w:caps w:val="0"/>
          <w:snapToGrid/>
          <w:kern w:val="2"/>
          <w:sz w:val="24"/>
          <w:szCs w:val="24"/>
        </w:rPr>
      </w:pPr>
      <w:r>
        <w:t>V.</w:t>
      </w:r>
      <w:r>
        <w:rPr>
          <w:rFonts w:ascii="Aptos" w:hAnsi="Aptos"/>
          <w:caps w:val="0"/>
          <w:snapToGrid/>
          <w:kern w:val="2"/>
          <w:sz w:val="24"/>
          <w:szCs w:val="24"/>
        </w:rPr>
        <w:tab/>
      </w:r>
      <w:r>
        <w:t>ordering clauses</w:t>
      </w:r>
      <w:r>
        <w:tab/>
        <w:t>106</w:t>
      </w:r>
    </w:p>
    <w:p w:rsidR="004351A9" w:rsidP="004351A9" w14:paraId="7202F2A2" w14:textId="7E6BBFB2">
      <w:pPr>
        <w:pStyle w:val="TOC2"/>
        <w:tabs>
          <w:tab w:val="left" w:pos="360"/>
        </w:tabs>
        <w:ind w:left="0" w:firstLine="0"/>
        <w:rPr>
          <w:spacing w:val="-2"/>
        </w:rPr>
      </w:pPr>
      <w:r>
        <w:tab/>
      </w:r>
      <w:r w:rsidRPr="00FE1AB9">
        <w:t>Appendix A</w:t>
      </w:r>
      <w:r>
        <w:t xml:space="preserve"> – Initial Regulatory Flexibility Analysis</w:t>
      </w:r>
      <w:bookmarkEnd w:id="0"/>
    </w:p>
    <w:p w:rsidR="004351A9" w:rsidP="0025350E" w14:paraId="1D7D0649" w14:textId="77777777">
      <w:pPr>
        <w:rPr>
          <w:spacing w:val="-2"/>
        </w:rPr>
      </w:pPr>
    </w:p>
    <w:p w:rsidR="0025350E" w:rsidP="0025350E" w14:paraId="2595927C" w14:textId="77777777">
      <w:pPr>
        <w:pStyle w:val="Heading1"/>
        <w:widowControl/>
      </w:pPr>
      <w:bookmarkStart w:id="2" w:name="_Toc209654297"/>
      <w:bookmarkStart w:id="3" w:name="_Toc212623643"/>
      <w:bookmarkStart w:id="4" w:name="_Toc221718822"/>
      <w:r>
        <w:t>introduction</w:t>
      </w:r>
      <w:bookmarkEnd w:id="2"/>
      <w:bookmarkEnd w:id="3"/>
      <w:bookmarkEnd w:id="4"/>
      <w:r>
        <w:t xml:space="preserve"> </w:t>
      </w:r>
    </w:p>
    <w:p w:rsidR="0025350E" w:rsidP="001E0F20" w14:paraId="76215F2F" w14:textId="77777777">
      <w:pPr>
        <w:pStyle w:val="ParaNum"/>
        <w:widowControl/>
      </w:pPr>
      <w:r>
        <w:t xml:space="preserve">In the geopolitical race to commercialize and dominate the Final Frontier, historic levels of private investment have paved the way for the engineering marvels and </w:t>
      </w:r>
      <w:r w:rsidRPr="004351A9">
        <w:t>daring</w:t>
      </w:r>
      <w:r>
        <w:t xml:space="preserve"> endeavors that now take place in outer space.  Once the province of science fiction, American companies are now</w:t>
      </w:r>
      <w:r w:rsidRPr="0068646C">
        <w:t xml:space="preserve"> </w:t>
      </w:r>
      <w:r>
        <w:t>upgrading, relocating, and servicing satellites;</w:t>
      </w:r>
      <w:r>
        <w:rPr>
          <w:rStyle w:val="FootnoteReference"/>
        </w:rPr>
        <w:footnoteReference w:id="3"/>
      </w:r>
      <w:r>
        <w:t xml:space="preserve"> manufacturing pharmaceuticals in space;</w:t>
      </w:r>
      <w:r>
        <w:rPr>
          <w:rStyle w:val="FootnoteReference"/>
        </w:rPr>
        <w:footnoteReference w:id="4"/>
      </w:r>
      <w:r>
        <w:t xml:space="preserve"> building private inhabitable </w:t>
      </w:r>
      <w:r>
        <w:t>spacecraft;</w:t>
      </w:r>
      <w:r>
        <w:rPr>
          <w:rStyle w:val="FootnoteReference"/>
        </w:rPr>
        <w:footnoteReference w:id="5"/>
      </w:r>
      <w:r>
        <w:t xml:space="preserve"> and conducting private robotic missions to the surface of the Moon.</w:t>
      </w:r>
      <w:r>
        <w:rPr>
          <w:rStyle w:val="FootnoteReference"/>
        </w:rPr>
        <w:footnoteReference w:id="6"/>
      </w:r>
      <w:r>
        <w:t xml:space="preserve">  Emergent space operations</w:t>
      </w:r>
      <w:r>
        <w:rPr>
          <w:rStyle w:val="FootnoteReference"/>
        </w:rPr>
        <w:footnoteReference w:id="7"/>
      </w:r>
      <w:r>
        <w:t xml:space="preserve"> like these depend on the use of radiocommunications for their spacecraft, but they are not the type of communications satellites that have traditionally commanded much of the Commission’s regulatory attention.</w:t>
      </w:r>
    </w:p>
    <w:p w:rsidR="0025350E" w:rsidP="001E0F20" w14:paraId="794D7A7E" w14:textId="77777777">
      <w:pPr>
        <w:pStyle w:val="ParaNum"/>
        <w:widowControl/>
      </w:pPr>
      <w:r>
        <w:t>Spectrum is a critical component of all space operations.  Even for spacecraft that do not provide radiocommunications services to the public, reliable spectrum access is mandatory for safety functions like telemetry, tracking, and command (TT&amp;C) to control spacecraft in orbit.</w:t>
      </w:r>
      <w:r>
        <w:rPr>
          <w:rStyle w:val="FootnoteReference"/>
        </w:rPr>
        <w:footnoteReference w:id="8"/>
      </w:r>
      <w:r>
        <w:t xml:space="preserve">  American innovators, however, currently face an acute shortage of usable and readily accessible spectrum for TT&amp;C, and that spectrum crunch threatens to delay—or even prevent—</w:t>
      </w:r>
      <w:r w:rsidRPr="00B0621C">
        <w:rPr>
          <w:szCs w:val="22"/>
        </w:rPr>
        <w:t xml:space="preserve">the growth of </w:t>
      </w:r>
      <w:r>
        <w:rPr>
          <w:szCs w:val="22"/>
        </w:rPr>
        <w:t xml:space="preserve">domestic space </w:t>
      </w:r>
      <w:r w:rsidRPr="00B0621C">
        <w:rPr>
          <w:szCs w:val="22"/>
        </w:rPr>
        <w:t xml:space="preserve">technologies </w:t>
      </w:r>
      <w:r>
        <w:rPr>
          <w:szCs w:val="22"/>
        </w:rPr>
        <w:t>and jeopardize U.S. leadership</w:t>
      </w:r>
      <w:r w:rsidRPr="00B0621C">
        <w:rPr>
          <w:szCs w:val="22"/>
        </w:rPr>
        <w:t xml:space="preserve"> in the booming </w:t>
      </w:r>
      <w:r>
        <w:rPr>
          <w:szCs w:val="22"/>
        </w:rPr>
        <w:t xml:space="preserve">global </w:t>
      </w:r>
      <w:r w:rsidRPr="00B0621C">
        <w:rPr>
          <w:szCs w:val="22"/>
        </w:rPr>
        <w:t>space economy</w:t>
      </w:r>
      <w:r>
        <w:t>.</w:t>
      </w:r>
    </w:p>
    <w:p w:rsidR="0025350E" w:rsidP="001E0F20" w14:paraId="2C612DAF" w14:textId="77777777">
      <w:pPr>
        <w:pStyle w:val="ParaNum"/>
        <w:widowControl/>
      </w:pPr>
      <w:r>
        <w:t>This shortage of spectrum is the product of several interlocking factors.  For one, spectrum for TT&amp;C is largely unavailable on a standalone basis, absent a separately authorized radiocommunications service.  Emergent space innovations like inhabitable spacecraft and orbital laboratories, however, do not typically provide a separately authorized radiocommunications service.  For another, the spectrum bands where TT&amp;C may be available on a standalone basis tend to be congested and occupied primarily by Federal users.  And for another, even when the Commission does authorize a company’s use of spectrum for standalone TT&amp;C, it occurs under a case-by-case review process that may involve extensive coordination and delay.</w:t>
      </w:r>
    </w:p>
    <w:p w:rsidR="0025350E" w:rsidP="001E0F20" w14:paraId="27225A6F" w14:textId="77777777">
      <w:pPr>
        <w:pStyle w:val="ParaNum"/>
        <w:widowControl/>
      </w:pPr>
      <w:r>
        <w:t>The Commission is aggressively pursuing a policy of spectrum abundance in outer space.  Earlier this year, we launched a proceeding to release up to 20,000 megahertz of spectrum for traditional connectivity services, including high-speed broadband from constellations in low-Earth orbit.</w:t>
      </w:r>
      <w:r>
        <w:rPr>
          <w:rStyle w:val="FootnoteReference"/>
        </w:rPr>
        <w:footnoteReference w:id="9"/>
      </w:r>
      <w:r>
        <w:t xml:space="preserve">  The </w:t>
      </w:r>
      <w:r>
        <w:t xml:space="preserve">Commission has also begun a comprehensive revisiting its licensing and regulatory framework for space communications in the </w:t>
      </w:r>
      <w:r>
        <w:rPr>
          <w:i/>
          <w:iCs/>
        </w:rPr>
        <w:t xml:space="preserve">Space </w:t>
      </w:r>
      <w:r w:rsidRPr="00D81848">
        <w:rPr>
          <w:i/>
          <w:iCs/>
        </w:rPr>
        <w:t>Modernization</w:t>
      </w:r>
      <w:r w:rsidRPr="0068646C">
        <w:t xml:space="preserve"> </w:t>
      </w:r>
      <w:r w:rsidRPr="00D81848">
        <w:rPr>
          <w:i/>
          <w:iCs/>
        </w:rPr>
        <w:t>NPRM</w:t>
      </w:r>
      <w:r>
        <w:t>.</w:t>
      </w:r>
      <w:r>
        <w:rPr>
          <w:rStyle w:val="FootnoteReference"/>
        </w:rPr>
        <w:footnoteReference w:id="10"/>
      </w:r>
    </w:p>
    <w:p w:rsidR="0025350E" w:rsidP="001E0F20" w14:paraId="6BF40F37" w14:textId="2DE45080">
      <w:pPr>
        <w:pStyle w:val="ParaNum"/>
        <w:widowControl/>
      </w:pPr>
      <w:r>
        <w:t xml:space="preserve">Now, with </w:t>
      </w:r>
      <w:r w:rsidRPr="00D81848">
        <w:t>this Notice of Proposed Rulemaking (</w:t>
      </w:r>
      <w:r w:rsidRPr="00D81848">
        <w:rPr>
          <w:i/>
          <w:iCs/>
        </w:rPr>
        <w:t>NPRM</w:t>
      </w:r>
      <w:r w:rsidRPr="00D81848">
        <w:t xml:space="preserve">), we focus on bringing spectrum abundance to </w:t>
      </w:r>
      <w:r>
        <w:t>support cutting-edge, emergent ventures in space</w:t>
      </w:r>
      <w:r w:rsidRPr="00D81848">
        <w:t xml:space="preserve">.  This </w:t>
      </w:r>
      <w:r w:rsidRPr="00753436">
        <w:rPr>
          <w:i/>
        </w:rPr>
        <w:t xml:space="preserve">NPRM </w:t>
      </w:r>
      <w:r w:rsidRPr="00D81848">
        <w:t xml:space="preserve">pursues two paths towards abundance.  </w:t>
      </w:r>
      <w:r w:rsidRPr="00D81848">
        <w:rPr>
          <w:i/>
          <w:iCs/>
        </w:rPr>
        <w:t>First</w:t>
      </w:r>
      <w:r w:rsidRPr="00D81848">
        <w:t xml:space="preserve">, we seek to clarify and expand our traditional regulatory classifications so that </w:t>
      </w:r>
      <w:r>
        <w:t>emergent operations</w:t>
      </w:r>
      <w:r w:rsidRPr="00D81848">
        <w:t xml:space="preserve"> have more predictable spectrum access.  </w:t>
      </w:r>
      <w:r w:rsidRPr="00D81848">
        <w:rPr>
          <w:i/>
          <w:iCs/>
        </w:rPr>
        <w:t>Second</w:t>
      </w:r>
      <w:r w:rsidRPr="00D81848">
        <w:t xml:space="preserve">, we explore new spectrum bands that could support </w:t>
      </w:r>
      <w:r>
        <w:t xml:space="preserve">new use cases </w:t>
      </w:r>
      <w:r w:rsidRPr="00D81848">
        <w:t xml:space="preserve">on a dedicated basis.  In each path, our goal remains the same: </w:t>
      </w:r>
      <w:r>
        <w:t xml:space="preserve"> </w:t>
      </w:r>
      <w:r w:rsidRPr="00D81848">
        <w:t xml:space="preserve">provide a clear, reliable, and expeditious path to support the groundbreaking technologies and services that companies are developing in space.  With the proposals in this </w:t>
      </w:r>
      <w:r w:rsidRPr="00D81848">
        <w:rPr>
          <w:i/>
          <w:iCs/>
        </w:rPr>
        <w:t>NPRM</w:t>
      </w:r>
      <w:r w:rsidRPr="00D81848">
        <w:t>, we look to find ways to use market-based principles to see spectrum resources put to more intensive use in the service of the space economy.</w:t>
      </w:r>
      <w:r w:rsidR="00975E0B">
        <w:t xml:space="preserve">  </w:t>
      </w:r>
      <w:r w:rsidR="000A4E50">
        <w:t>By thinking creatively and expansively, w</w:t>
      </w:r>
      <w:r w:rsidR="00975E0B">
        <w:t xml:space="preserve">e </w:t>
      </w:r>
      <w:r w:rsidR="000A4E50">
        <w:t xml:space="preserve">have </w:t>
      </w:r>
      <w:r w:rsidR="00975E0B">
        <w:t xml:space="preserve">the </w:t>
      </w:r>
      <w:r w:rsidR="000A4E50">
        <w:t>opportunity</w:t>
      </w:r>
      <w:r w:rsidR="00975E0B">
        <w:t xml:space="preserve"> to go from zero non-Federal spectrum available </w:t>
      </w:r>
      <w:r w:rsidR="000A4E50">
        <w:t xml:space="preserve">today </w:t>
      </w:r>
      <w:r w:rsidR="00975E0B">
        <w:t xml:space="preserve">to support emergent space operations to </w:t>
      </w:r>
      <w:r w:rsidR="000A4E50">
        <w:t xml:space="preserve">at least </w:t>
      </w:r>
      <w:r w:rsidR="00975E0B">
        <w:t xml:space="preserve">25 megahertz of such spectrum, </w:t>
      </w:r>
      <w:r w:rsidR="000A4E50">
        <w:t>and potentially</w:t>
      </w:r>
      <w:r w:rsidR="00975E0B">
        <w:t xml:space="preserve"> much</w:t>
      </w:r>
      <w:r w:rsidR="000A4E50">
        <w:t>, much</w:t>
      </w:r>
      <w:r w:rsidR="00975E0B">
        <w:t xml:space="preserve"> more</w:t>
      </w:r>
      <w:r w:rsidR="000A4E50">
        <w:t xml:space="preserve">, if all the proposals in this </w:t>
      </w:r>
      <w:r w:rsidRPr="004A75FB" w:rsidR="000A4E50">
        <w:rPr>
          <w:i/>
          <w:iCs/>
        </w:rPr>
        <w:t>NPRM</w:t>
      </w:r>
      <w:r w:rsidR="000A4E50">
        <w:t xml:space="preserve"> are ultimately adopted.</w:t>
      </w:r>
    </w:p>
    <w:p w:rsidR="0025350E" w:rsidP="001E0F20" w14:paraId="0CF8A858" w14:textId="77777777">
      <w:pPr>
        <w:pStyle w:val="Heading1"/>
        <w:widowControl/>
        <w:suppressAutoHyphens w:val="0"/>
      </w:pPr>
      <w:bookmarkStart w:id="5" w:name="_Toc209654298"/>
      <w:bookmarkStart w:id="6" w:name="_Toc212623644"/>
      <w:bookmarkStart w:id="7" w:name="_Toc221718823"/>
      <w:r>
        <w:t>Background</w:t>
      </w:r>
      <w:bookmarkEnd w:id="5"/>
      <w:bookmarkEnd w:id="6"/>
      <w:bookmarkEnd w:id="7"/>
      <w:r>
        <w:t xml:space="preserve"> </w:t>
      </w:r>
    </w:p>
    <w:p w:rsidR="0025350E" w:rsidP="001E0F20" w14:paraId="3A5EF915" w14:textId="77777777">
      <w:pPr>
        <w:pStyle w:val="Heading2"/>
        <w:widowControl/>
      </w:pPr>
      <w:bookmarkStart w:id="8" w:name="_Toc209654299"/>
      <w:bookmarkStart w:id="9" w:name="_Toc212623645"/>
      <w:bookmarkStart w:id="10" w:name="_Toc221718824"/>
      <w:r>
        <w:t>Important Terminology and Definitions</w:t>
      </w:r>
      <w:bookmarkEnd w:id="8"/>
      <w:bookmarkEnd w:id="9"/>
      <w:bookmarkEnd w:id="10"/>
    </w:p>
    <w:p w:rsidR="0025350E" w:rsidP="001E0F20" w14:paraId="68866E8C" w14:textId="77777777">
      <w:pPr>
        <w:pStyle w:val="ParaNum"/>
        <w:widowControl/>
      </w:pPr>
      <w:r>
        <w:t>To facilitate a precise discussion why emergent space operations may not have sufficient spectrum availability, we first clarify key terms and definitions currently used in our rules governing space communications.</w:t>
      </w:r>
    </w:p>
    <w:p w:rsidR="0025350E" w:rsidP="001E0F20" w14:paraId="084BDB7C" w14:textId="77777777">
      <w:pPr>
        <w:pStyle w:val="ParaNum"/>
        <w:widowControl/>
      </w:pPr>
      <w:r>
        <w:t>Under the Communications Act of 1934, as amended (Act), “[n]</w:t>
      </w:r>
      <w:r w:rsidRPr="00D32B85">
        <w:t>o</w:t>
      </w:r>
      <w:r w:rsidRPr="00BF0506">
        <w:t> person </w:t>
      </w:r>
      <w:r w:rsidRPr="00D32B85">
        <w:t>shall use or operate any</w:t>
      </w:r>
      <w:r w:rsidRPr="00BF0506">
        <w:t> apparatus </w:t>
      </w:r>
      <w:r w:rsidRPr="00D32B85">
        <w:t>for the transmission of energy or communications or signals by radio</w:t>
      </w:r>
      <w:r>
        <w:t>” from or within the areas specified in section 301 or on a mobile station within the jurisdiction of the United States without a license issued by the Commission.</w:t>
      </w:r>
      <w:r>
        <w:rPr>
          <w:rStyle w:val="FootnoteReference"/>
        </w:rPr>
        <w:footnoteReference w:id="11"/>
      </w:r>
      <w:r>
        <w:t xml:space="preserve">  Although the Act does not define the term</w:t>
      </w:r>
      <w:r w:rsidRPr="00D32B85">
        <w:t xml:space="preserve"> </w:t>
      </w:r>
      <w:r>
        <w:t>“</w:t>
      </w:r>
      <w:r w:rsidRPr="00D32B85">
        <w:t>signals</w:t>
      </w:r>
      <w:r>
        <w:t>,” it defines “communication by radio” as “</w:t>
      </w:r>
      <w:r w:rsidRPr="00BF0506">
        <w:t xml:space="preserve">the transmission by radio of writing, signs, signals, pictures, and sounds </w:t>
      </w:r>
      <w:r w:rsidRPr="0068646C">
        <w:t>of all kinds</w:t>
      </w:r>
      <w:r w:rsidRPr="00BF0506">
        <w:t>, including all instrumentalities, facilities, apparatus, and services (among other things, the receipt, forwarding, and delivery of communications) incidental to such transmissio</w:t>
      </w:r>
      <w:r>
        <w:t>n.”</w:t>
      </w:r>
      <w:r>
        <w:rPr>
          <w:rStyle w:val="FootnoteReference"/>
        </w:rPr>
        <w:footnoteReference w:id="12"/>
      </w:r>
    </w:p>
    <w:p w:rsidR="0025350E" w:rsidP="001E0F20" w14:paraId="612FE9BA" w14:textId="77777777">
      <w:pPr>
        <w:pStyle w:val="ParaNum"/>
        <w:widowControl/>
      </w:pPr>
      <w:r>
        <w:t>Consistent with the Act, our rules state that “[n]</w:t>
      </w:r>
      <w:r w:rsidRPr="00FB3300">
        <w:t>o person shall use or operate apparatus for the transmission of energy or communications or signals by space or earth stations except under, and in accordance with, an appropriate authorization granted by the Federal Communications Commission.</w:t>
      </w:r>
      <w:r>
        <w:t>”</w:t>
      </w:r>
      <w:r>
        <w:rPr>
          <w:rStyle w:val="FootnoteReference"/>
        </w:rPr>
        <w:footnoteReference w:id="13"/>
      </w:r>
      <w:r>
        <w:t xml:space="preserve">  Under our rules, a “space station” is a “station located on an object which is beyond, is intended to go beyond, or has been beyond, the major portion of the Earth’s atmosphere.”</w:t>
      </w:r>
      <w:r>
        <w:rPr>
          <w:rStyle w:val="FootnoteReference"/>
        </w:rPr>
        <w:footnoteReference w:id="14"/>
      </w:r>
      <w:r>
        <w:t xml:space="preserve">  An “earth station” is a “st</w:t>
      </w:r>
      <w:r w:rsidRPr="00416950">
        <w:t xml:space="preserve">ation located either on the </w:t>
      </w:r>
      <w:r>
        <w:t>E</w:t>
      </w:r>
      <w:r w:rsidRPr="00416950">
        <w:t>arth</w:t>
      </w:r>
      <w:r>
        <w:t>’</w:t>
      </w:r>
      <w:r w:rsidRPr="00416950">
        <w:t xml:space="preserve">s surface or within the major portion of </w:t>
      </w:r>
      <w:r>
        <w:t>E</w:t>
      </w:r>
      <w:r w:rsidRPr="00416950">
        <w:t>arth's atmosphere and intended for communication:</w:t>
      </w:r>
      <w:r>
        <w:t xml:space="preserve">  </w:t>
      </w:r>
      <w:r w:rsidRPr="00416950">
        <w:t>(1) With one or more space stations; or</w:t>
      </w:r>
      <w:r>
        <w:t xml:space="preserve"> </w:t>
      </w:r>
      <w:r w:rsidRPr="00416950">
        <w:t>(2) With one or more stations of the same kind by means of one or more reflecting satellites or other objects in space</w:t>
      </w:r>
      <w:r>
        <w:t>.”</w:t>
      </w:r>
      <w:r>
        <w:rPr>
          <w:rStyle w:val="FootnoteReference"/>
        </w:rPr>
        <w:footnoteReference w:id="15"/>
      </w:r>
      <w:r>
        <w:t xml:space="preserve">  Our rules define “radiocommunication” as “telecommunication by means of radio waves”</w:t>
      </w:r>
      <w:r>
        <w:rPr>
          <w:rStyle w:val="FootnoteReference"/>
        </w:rPr>
        <w:footnoteReference w:id="16"/>
      </w:r>
      <w:r>
        <w:t xml:space="preserve"> and “telecommunication” as </w:t>
      </w:r>
      <w:r>
        <w:t>“any transmission, emission or reception of signs, signals, writings, images and sounds or intelligence of any nature by wire, radio, optical or other electromagnetic systems.”</w:t>
      </w:r>
      <w:r>
        <w:rPr>
          <w:rStyle w:val="FootnoteReference"/>
        </w:rPr>
        <w:footnoteReference w:id="17"/>
      </w:r>
      <w:r>
        <w:t xml:space="preserve">  Section 301 of the Act states that “[n]o person shall use or operate any apparatus for the transmission of energy or communications or signals by radio . . . except under and in accordance with this Act and with a license in that behalf granted under the provisions of this Act.”</w:t>
      </w:r>
      <w:r>
        <w:rPr>
          <w:rStyle w:val="FootnoteReference"/>
        </w:rPr>
        <w:footnoteReference w:id="18"/>
      </w:r>
      <w:r>
        <w:t xml:space="preserve">  Accordingly, the transmission or reception of intelligence of any nature to or from a station beyond the majority of the Earth’s atmosphere via radio waves is a space radiocommunication and, pursuant to our rules, requires an authorization by the Commission.</w:t>
      </w:r>
      <w:r>
        <w:rPr>
          <w:rStyle w:val="FootnoteReference"/>
        </w:rPr>
        <w:footnoteReference w:id="19"/>
      </w:r>
    </w:p>
    <w:p w:rsidR="0025350E" w:rsidP="001E0F20" w14:paraId="062681EE" w14:textId="77777777">
      <w:pPr>
        <w:pStyle w:val="ParaNum"/>
        <w:widowControl/>
      </w:pPr>
      <w:r>
        <w:t>Radiocommunications are classified and regulated as distinct kinds of “radiocommunication service,” defined as “a service . . . involving the transmission, emission and/or reception of radio waves for specific telecommunication purposes.”</w:t>
      </w:r>
      <w:r>
        <w:rPr>
          <w:rStyle w:val="FootnoteReference"/>
        </w:rPr>
        <w:footnoteReference w:id="20"/>
      </w:r>
      <w:r>
        <w:t xml:space="preserve">  Those specific purposes are reflected in the radiocommunication services defined by our rules, such as the fixed-satellite service (FSS),</w:t>
      </w:r>
      <w:r>
        <w:rPr>
          <w:rStyle w:val="FootnoteReference"/>
        </w:rPr>
        <w:footnoteReference w:id="21"/>
      </w:r>
      <w:r>
        <w:t xml:space="preserve"> mobile-satellite service (MSS),</w:t>
      </w:r>
      <w:r>
        <w:rPr>
          <w:rStyle w:val="FootnoteReference"/>
        </w:rPr>
        <w:footnoteReference w:id="22"/>
      </w:r>
      <w:r>
        <w:t xml:space="preserve"> or broadcasting-satellite service (BSS).</w:t>
      </w:r>
      <w:r>
        <w:rPr>
          <w:rStyle w:val="FootnoteReference"/>
        </w:rPr>
        <w:footnoteReference w:id="23"/>
      </w:r>
      <w:r>
        <w:t xml:space="preserve">  Whereas FSS, MSS, and BSS licensees use radio waves to provide voice, video, or data to consumers and businesses, other radiocommunication services do not.  For example, the Earth exploration-satellite service (EESS) uses radio waves to obtain information about the Earth through active or passive sensors, as well as to collect and distribute that information.</w:t>
      </w:r>
      <w:r>
        <w:rPr>
          <w:rStyle w:val="FootnoteReference"/>
        </w:rPr>
        <w:footnoteReference w:id="24"/>
      </w:r>
      <w:r>
        <w:t xml:space="preserve">  </w:t>
      </w:r>
    </w:p>
    <w:p w:rsidR="0025350E" w:rsidP="001E0F20" w14:paraId="0E533685" w14:textId="77777777">
      <w:pPr>
        <w:pStyle w:val="ParaNum"/>
        <w:widowControl/>
      </w:pPr>
      <w:r>
        <w:t>Some radiocommunication services, in particular, are critical for the operation of a spacecraft, but do not provide a service to the public.  For example, the space operation service (SOS) is defined as “[a]</w:t>
      </w:r>
      <w:r w:rsidRPr="00D75467">
        <w:t xml:space="preserve"> radiocommunication service concerned exclusively with the operation of spacecraft, in particular space tracking, space telemetry, and space telecommand</w:t>
      </w:r>
      <w:r>
        <w:t>” and uses radio waves for the operation of spacecraft.</w:t>
      </w:r>
      <w:r>
        <w:rPr>
          <w:rStyle w:val="FootnoteReference"/>
        </w:rPr>
        <w:footnoteReference w:id="25"/>
      </w:r>
      <w:r>
        <w:t xml:space="preserve">  Similarly, the space research service (SRS)</w:t>
      </w:r>
      <w:r w:rsidRPr="008D11D2">
        <w:t xml:space="preserve"> </w:t>
      </w:r>
      <w:r>
        <w:t>is defined as “[a]</w:t>
      </w:r>
      <w:r w:rsidRPr="0037513C">
        <w:t xml:space="preserve"> radiocommunication service in which spacecraft or other objects in space are used for scientific or </w:t>
      </w:r>
      <w:r w:rsidRPr="0037513C">
        <w:t>technological research purposes</w:t>
      </w:r>
      <w:r>
        <w:t>.”</w:t>
      </w:r>
      <w:r>
        <w:rPr>
          <w:rStyle w:val="FootnoteReference"/>
        </w:rPr>
        <w:footnoteReference w:id="26"/>
      </w:r>
      <w:r>
        <w:t xml:space="preserve">  In both instances, the radiocommunication services are used to control and operate spacecraft, but are not themselves the services offered to the public.  S</w:t>
      </w:r>
      <w:r w:rsidRPr="00D458EF">
        <w:t>pac</w:t>
      </w:r>
      <w:r>
        <w:t>e t</w:t>
      </w:r>
      <w:r w:rsidRPr="00D458EF">
        <w:t>elemetry</w:t>
      </w:r>
      <w:r>
        <w:t xml:space="preserve"> is defined as “[t]</w:t>
      </w:r>
      <w:r w:rsidRPr="00D458EF">
        <w:t>he use of telemetry for transmission for a space station of results of measurements made in a spacecraft, including those relating to the functioning of the spacecraft.</w:t>
      </w:r>
      <w:r>
        <w:t>”</w:t>
      </w:r>
      <w:r>
        <w:rPr>
          <w:rStyle w:val="FootnoteReference"/>
        </w:rPr>
        <w:footnoteReference w:id="27"/>
      </w:r>
      <w:r>
        <w:t xml:space="preserve">  Space tracking is defined as</w:t>
      </w:r>
      <w:r w:rsidRPr="00FC1508">
        <w:t xml:space="preserve"> </w:t>
      </w:r>
      <w:r>
        <w:t>the “[d]</w:t>
      </w:r>
      <w:r w:rsidRPr="00C16B6F">
        <w:t>etermination</w:t>
      </w:r>
      <w:r w:rsidRPr="00C16B6F">
        <w:t xml:space="preserve"> of the orbit, velocity or instantaneous position of an object in space by means of radiodetermination, excluding primary radar, for the purpose of following the movement of the object.</w:t>
      </w:r>
      <w:r>
        <w:t>”</w:t>
      </w:r>
      <w:r>
        <w:rPr>
          <w:rStyle w:val="FootnoteReference"/>
        </w:rPr>
        <w:footnoteReference w:id="28"/>
      </w:r>
      <w:r>
        <w:t xml:space="preserve">  Space telecommand is defined as “[t]</w:t>
      </w:r>
      <w:r w:rsidRPr="007B652C">
        <w:t>he use of radiocommunication for the transmission of signals to a space station to initiate, modify or terminate functions of equipment on a space object, in</w:t>
      </w:r>
      <w:r>
        <w:t>c</w:t>
      </w:r>
      <w:r w:rsidRPr="007B652C">
        <w:t>luding the space station.</w:t>
      </w:r>
      <w:r>
        <w:t>”</w:t>
      </w:r>
      <w:r>
        <w:rPr>
          <w:rStyle w:val="FootnoteReference"/>
        </w:rPr>
        <w:footnoteReference w:id="29"/>
      </w:r>
    </w:p>
    <w:p w:rsidR="0025350E" w:rsidP="001E0F20" w14:paraId="295F427E" w14:textId="77777777">
      <w:pPr>
        <w:pStyle w:val="ParaNum"/>
        <w:widowControl/>
      </w:pPr>
      <w:r>
        <w:t>Thus, there are numerous space radiocommunication services provided for under our rules, some of which use radiocommunications to provide service directly to the public, and some of which are used to support operations of spacecraft.  All of these services involve transmissions of signals and thus require authorization from the Commission under the Act, provided that the station at issue does not belong to and is not controlled by the United States government.</w:t>
      </w:r>
      <w:r>
        <w:rPr>
          <w:rStyle w:val="FootnoteReference"/>
        </w:rPr>
        <w:footnoteReference w:id="30"/>
      </w:r>
    </w:p>
    <w:p w:rsidR="0025350E" w:rsidP="001E0F20" w14:paraId="46869BC3" w14:textId="77777777">
      <w:pPr>
        <w:pStyle w:val="ParaNum"/>
        <w:widowControl/>
      </w:pPr>
      <w:r>
        <w:t>Another important point of terminology is the distinction between Federal and non-Federal operations and the effects of this distinction on allocations of radio spectrum.  The Commission authorizes non-Federal operations, which include those by private commercial entities.  Operations conducted by agencies or entities of the U.S. federal government are Federal, and Congress has assigned the National Telecommunications and Information Administration (NTIA), which is part of the U.S. Department of Commerce, oversight of such operations.</w:t>
      </w:r>
      <w:r>
        <w:rPr>
          <w:rStyle w:val="FootnoteReference"/>
        </w:rPr>
        <w:footnoteReference w:id="31"/>
      </w:r>
      <w:r>
        <w:t xml:space="preserve">  Together, the FCC and NTIA jointly manage the nation’s radio spectrum resources in the public interest.  The United States Table of Frequency Allocations (United States Table) contains allocations for both Federal (that is, U.S. federal government) and non-Federal (for example, private entities) use of radiocommunication services and is codified in section 2.106 of our rules.</w:t>
      </w:r>
      <w:r>
        <w:rPr>
          <w:rStyle w:val="FootnoteReference"/>
        </w:rPr>
        <w:footnoteReference w:id="32"/>
      </w:r>
      <w:r>
        <w:t xml:space="preserve">  An “allocation” is an entry in the Table of Frequency Allocations (Allocation Table)</w:t>
      </w:r>
      <w:r>
        <w:rPr>
          <w:rStyle w:val="FootnoteReference"/>
        </w:rPr>
        <w:footnoteReference w:id="33"/>
      </w:r>
      <w:r>
        <w:t xml:space="preserve"> of a given frequency band for the purpose of its use by one or more terrestrial or space radiocommunication services (or the radio astronomy service) under specified conditions.</w:t>
      </w:r>
      <w:r>
        <w:rPr>
          <w:rStyle w:val="FootnoteReference"/>
        </w:rPr>
        <w:footnoteReference w:id="34"/>
      </w:r>
      <w:r>
        <w:t xml:space="preserve">  Any segment of the radio spectrum may be allocated to the federal and/or non-federal sectors either on an exclusive or shared basis for use by one or more radio services.</w:t>
      </w:r>
      <w:r>
        <w:rPr>
          <w:rStyle w:val="FootnoteReference"/>
        </w:rPr>
        <w:footnoteReference w:id="35"/>
      </w:r>
      <w:r>
        <w:t xml:space="preserve">  Services may be allocated on a primary or secondary basis, and operations on a secondary basis must not cause harmful interference to operations on a primary basis and cannot claim protection from harmful interference from operations of a primary service.</w:t>
      </w:r>
      <w:r>
        <w:rPr>
          <w:rStyle w:val="FootnoteReference"/>
        </w:rPr>
        <w:footnoteReference w:id="36"/>
      </w:r>
    </w:p>
    <w:p w:rsidR="00EA239A" w:rsidP="001E0F20" w14:paraId="75C932C4" w14:textId="07606D7E">
      <w:pPr>
        <w:pStyle w:val="ParaNum"/>
        <w:widowControl/>
      </w:pPr>
      <w:r>
        <w:t xml:space="preserve">Non-federal operators may be authorized to use Federal frequency allocations, subject to coordination with the appropriate federal agency or agencies and conditions agreed upon by the Commission and NTIA, provided that such operations shall not cause harmful interference to </w:t>
      </w:r>
      <w:r w:rsidR="00545BDC">
        <w:t>F</w:t>
      </w:r>
      <w:r>
        <w:t>ederal stations and that operations shall terminate should harmful interference occur.</w:t>
      </w:r>
      <w:r>
        <w:rPr>
          <w:rStyle w:val="FootnoteReference"/>
        </w:rPr>
        <w:footnoteReference w:id="37"/>
      </w:r>
      <w:r>
        <w:t xml:space="preserve">  Thus, applications to operate non-Federal radiocommunication services in frequency bands that are allocated to Federal operations must first be coordinated with federal agencies and must not cause harmful interference to Federal operations.</w:t>
      </w:r>
      <w:r>
        <w:rPr>
          <w:rStyle w:val="FootnoteReference"/>
        </w:rPr>
        <w:footnoteReference w:id="38"/>
      </w:r>
    </w:p>
    <w:p w:rsidR="0025350E" w:rsidP="001E0F20" w14:paraId="1DEC59DE" w14:textId="7A85B04B">
      <w:pPr>
        <w:pStyle w:val="ParaNum"/>
        <w:widowControl/>
      </w:pPr>
      <w:r>
        <w:t>Lastly, there are important differences in the terms “spacecraft,” “satellite,” and “space station” under our rules.  A “spacecraft” is defined as a “man-made vehicle which is intended to go beyond the major portion of the Earth’s atmosphere.”</w:t>
      </w:r>
      <w:r>
        <w:rPr>
          <w:rStyle w:val="FootnoteReference"/>
        </w:rPr>
        <w:footnoteReference w:id="39"/>
      </w:r>
      <w:r>
        <w:t xml:space="preserve">  Although “satellite” is defined as a spacecraft in orbit,</w:t>
      </w:r>
      <w:r>
        <w:rPr>
          <w:rStyle w:val="FootnoteReference"/>
        </w:rPr>
        <w:footnoteReference w:id="40"/>
      </w:r>
      <w:r>
        <w:t xml:space="preserve"> it is often used informally to refer to the physical apparatus in space.  A “space station” is essentially a station on a spacecraft,</w:t>
      </w:r>
      <w:r>
        <w:rPr>
          <w:rStyle w:val="FootnoteReference"/>
        </w:rPr>
        <w:footnoteReference w:id="41"/>
      </w:r>
      <w:r>
        <w:t xml:space="preserve"> and a “station” is the transmitters or receivers (or combination thereof) on the spacecraft necessary for carrying on a radiocommunication service.</w:t>
      </w:r>
      <w:r>
        <w:rPr>
          <w:rStyle w:val="FootnoteReference"/>
        </w:rPr>
        <w:footnoteReference w:id="42"/>
      </w:r>
      <w:r>
        <w:t xml:space="preserve">  Furthermore, a station is classified by the service in which it operates,</w:t>
      </w:r>
      <w:r>
        <w:rPr>
          <w:rStyle w:val="FootnoteReference"/>
        </w:rPr>
        <w:footnoteReference w:id="43"/>
      </w:r>
      <w:r>
        <w:t xml:space="preserve"> so a space station operating in the fixed-satellite service is classified as an “FSS space station.”  Thus, a spacecraft can be a satellite, and a satellite is a spacecraft, and there can be one or more space stations on a satellite or spacecraft.  But under our rules, it is the transmitters and receivers that make up a space station that must be authorized by the Commission.</w:t>
      </w:r>
    </w:p>
    <w:p w:rsidR="0025350E" w:rsidRPr="00F6363F" w:rsidP="001E0F20" w14:paraId="0F4059B7" w14:textId="77777777">
      <w:pPr>
        <w:pStyle w:val="Heading2"/>
        <w:widowControl/>
      </w:pPr>
      <w:bookmarkStart w:id="11" w:name="_Toc209654300"/>
      <w:bookmarkStart w:id="12" w:name="_Toc212623646"/>
      <w:bookmarkStart w:id="13" w:name="_Toc221718825"/>
      <w:r>
        <w:t xml:space="preserve">The Spectrum Crunch for Emergent Space </w:t>
      </w:r>
      <w:bookmarkEnd w:id="11"/>
      <w:r>
        <w:t>Operations</w:t>
      </w:r>
      <w:bookmarkEnd w:id="12"/>
      <w:bookmarkEnd w:id="13"/>
    </w:p>
    <w:p w:rsidR="0025350E" w:rsidP="001E0F20" w14:paraId="32BE8092" w14:textId="77777777">
      <w:pPr>
        <w:pStyle w:val="ParaNum"/>
        <w:widowControl/>
      </w:pPr>
      <w:r>
        <w:t>The Commission has observed a significant expansion in the commercial space industry i</w:t>
      </w:r>
      <w:r w:rsidRPr="00A93BE2">
        <w:t xml:space="preserve">n recent years, </w:t>
      </w:r>
      <w:r>
        <w:t>as well as the need for additional spectrum resources to conduct operations in space.  Although the Commission has initiated proceedings to make spectrum abundant for satellites that provide radiocommunications services to the public, such as FSS,</w:t>
      </w:r>
      <w:r>
        <w:rPr>
          <w:rStyle w:val="FootnoteReference"/>
        </w:rPr>
        <w:footnoteReference w:id="44"/>
      </w:r>
      <w:r>
        <w:t xml:space="preserve"> longstanding regulatory gaps currently constrain the availability of spectrum for new use cases.  This “spectrum crunch” arises from several interlocking factors, discussed below.</w:t>
      </w:r>
    </w:p>
    <w:p w:rsidR="0025350E" w:rsidP="001E0F20" w14:paraId="515738A1" w14:textId="77777777">
      <w:pPr>
        <w:pStyle w:val="ParaNum"/>
        <w:widowControl/>
      </w:pPr>
      <w:r w:rsidRPr="00753436">
        <w:rPr>
          <w:i/>
          <w:iCs/>
        </w:rPr>
        <w:t xml:space="preserve">Spectrum used </w:t>
      </w:r>
      <w:r>
        <w:rPr>
          <w:i/>
          <w:iCs/>
        </w:rPr>
        <w:t>for</w:t>
      </w:r>
      <w:r w:rsidRPr="00753436">
        <w:rPr>
          <w:i/>
          <w:iCs/>
        </w:rPr>
        <w:t xml:space="preserve"> </w:t>
      </w:r>
      <w:r>
        <w:rPr>
          <w:i/>
          <w:iCs/>
        </w:rPr>
        <w:t xml:space="preserve">emergent </w:t>
      </w:r>
      <w:r w:rsidRPr="00753436">
        <w:rPr>
          <w:i/>
          <w:iCs/>
        </w:rPr>
        <w:t xml:space="preserve">space </w:t>
      </w:r>
      <w:r>
        <w:rPr>
          <w:i/>
          <w:iCs/>
        </w:rPr>
        <w:t>operations</w:t>
      </w:r>
      <w:r w:rsidRPr="00753436">
        <w:rPr>
          <w:i/>
          <w:iCs/>
        </w:rPr>
        <w:t xml:space="preserve"> may not clearly fall within an existing radiocommunication service</w:t>
      </w:r>
      <w:r>
        <w:t>.  T</w:t>
      </w:r>
      <w:r w:rsidRPr="00A93BE2">
        <w:t xml:space="preserve">he Commission has received a growing number of applications </w:t>
      </w:r>
      <w:r>
        <w:t xml:space="preserve">to transmit or receive radiocommunications </w:t>
      </w:r>
      <w:r w:rsidRPr="00A93BE2">
        <w:t xml:space="preserve">that </w:t>
      </w:r>
      <w:r>
        <w:t xml:space="preserve">do not </w:t>
      </w:r>
      <w:r w:rsidRPr="00A93BE2">
        <w:t>involve</w:t>
      </w:r>
      <w:r>
        <w:t xml:space="preserve"> the provision of</w:t>
      </w:r>
      <w:r w:rsidRPr="00A93BE2">
        <w:t xml:space="preserve"> radiocommunication services to the public</w:t>
      </w:r>
      <w:r>
        <w:t xml:space="preserve">.  In each of these instances, the spacecraft is intended to provide services or engage in activities that are not radiocommunication services, such as </w:t>
      </w:r>
      <w:r w:rsidRPr="00A93BE2">
        <w:t>in-space servicing, assembly, and manufacturing (ISAM)</w:t>
      </w:r>
      <w:r>
        <w:t>,</w:t>
      </w:r>
      <w:r w:rsidRPr="00A93BE2">
        <w:t xml:space="preserve"> commercial habitable space stations</w:t>
      </w:r>
      <w:r>
        <w:t>,</w:t>
      </w:r>
      <w:r w:rsidRPr="00A93BE2">
        <w:t xml:space="preserve"> </w:t>
      </w:r>
      <w:r>
        <w:t xml:space="preserve">and </w:t>
      </w:r>
      <w:r w:rsidRPr="00A93BE2">
        <w:t>lunar orbiters and landers.</w:t>
      </w:r>
      <w:r>
        <w:t xml:space="preserve">  The spectrum needs of such applications are usually limited to radiocommunication services to conduct TT&amp;C functions necessary to command and control the spacecraft.</w:t>
      </w:r>
    </w:p>
    <w:p w:rsidR="0025350E" w:rsidP="001E0F20" w14:paraId="1A245F4B" w14:textId="77777777">
      <w:pPr>
        <w:pStyle w:val="ParaNum"/>
        <w:widowControl/>
      </w:pPr>
      <w:r>
        <w:t>Under our current rules and the International Telecommunication Union (ITU) Radio Regulations,</w:t>
      </w:r>
      <w:r>
        <w:rPr>
          <w:rStyle w:val="FootnoteReference"/>
        </w:rPr>
        <w:footnoteReference w:id="45"/>
      </w:r>
      <w:r>
        <w:t xml:space="preserve"> spacecraft conduct TT&amp;C functions within the same frequency bands in which they are authorized to provide other radiocommunication services, such as FSS, MSS, BSS, or EESS.</w:t>
      </w:r>
      <w:r>
        <w:rPr>
          <w:rStyle w:val="FootnoteReference"/>
        </w:rPr>
        <w:footnoteReference w:id="46"/>
      </w:r>
      <w:r>
        <w:t xml:space="preserve">  For this reason, licensees are generally authorized by the Commission to conduct TT&amp;C functions within frequency bands authorized for another allocated radiocommunications service.  Because spacecraft used for emergent purposes such as lunar missions generally do not otherwise provide radiocommunication services, applicants seeking an FCC license to use spectrum to conduct TT&amp;C to control these spacecraft cannot clearly rely on the use of existing</w:t>
      </w:r>
      <w:r w:rsidRPr="005079B5">
        <w:t xml:space="preserve"> spectrum resources</w:t>
      </w:r>
      <w:r>
        <w:t xml:space="preserve"> allocated for FSS, MSS, or EESS</w:t>
      </w:r>
      <w:r w:rsidRPr="005079B5">
        <w:t xml:space="preserve"> to </w:t>
      </w:r>
      <w:r>
        <w:t>command and control</w:t>
      </w:r>
      <w:r w:rsidRPr="005079B5">
        <w:t xml:space="preserve"> their spacecraft</w:t>
      </w:r>
      <w:r>
        <w:t>.</w:t>
      </w:r>
    </w:p>
    <w:p w:rsidR="0025350E" w:rsidP="001E0F20" w14:paraId="00687BD1" w14:textId="7346A5A5">
      <w:pPr>
        <w:pStyle w:val="ParaNum"/>
        <w:widowControl/>
      </w:pPr>
      <w:r w:rsidRPr="00753436">
        <w:rPr>
          <w:i/>
          <w:iCs/>
        </w:rPr>
        <w:t xml:space="preserve">Spectrum available for </w:t>
      </w:r>
      <w:r>
        <w:rPr>
          <w:i/>
          <w:iCs/>
        </w:rPr>
        <w:t>emergent</w:t>
      </w:r>
      <w:r w:rsidRPr="00753436">
        <w:rPr>
          <w:i/>
          <w:iCs/>
        </w:rPr>
        <w:t xml:space="preserve"> space </w:t>
      </w:r>
      <w:r>
        <w:rPr>
          <w:i/>
          <w:iCs/>
        </w:rPr>
        <w:t>operations</w:t>
      </w:r>
      <w:r w:rsidRPr="00753436">
        <w:rPr>
          <w:i/>
          <w:iCs/>
        </w:rPr>
        <w:t xml:space="preserve"> may be prioritized for Federal operations and can be difficult to access</w:t>
      </w:r>
      <w:r>
        <w:t>.  In the past, activities in space were often conducted by governments, rather than private entities.  In the United States, space activities that did not provide radiocommunication services to the public were typically conducted through government agencies, such as the National Aeronautical and Space Administration (NASA) or the Department of War (</w:t>
      </w:r>
      <w:r>
        <w:t>DoW</w:t>
      </w:r>
      <w:r>
        <w:t xml:space="preserve">).  As observed in our discussion of terminology and definitions above, the Commission did not license these operations because these operations were controlled by federal agencies.  Accordingly, these operations relied largely on spectrum allocated for </w:t>
      </w:r>
      <w:r w:rsidR="00545BDC">
        <w:t>F</w:t>
      </w:r>
      <w:r>
        <w:t>ederal users in the United States Table.</w:t>
      </w:r>
    </w:p>
    <w:p w:rsidR="0025350E" w:rsidP="001E0F20" w14:paraId="4362C3E9" w14:textId="77777777">
      <w:pPr>
        <w:pStyle w:val="ParaNum"/>
        <w:widowControl/>
      </w:pPr>
      <w:r>
        <w:t xml:space="preserve">Today, as the American commercial space industry expands, there is an increasing reliance on private entities to conduct activities in space that in the past may have been conducted through government agencies.  These activities are increasingly conducted either independently of government agencies, or under contractual arrangements with, or with funding from, government agencies.  Because these activities are ultimately controlled by private entities, rather than government agencies, applicants are seeking licenses from the Commission for their use of radiofrequencies, particularly for radiocommunications to command and control their spacecraft.  In doing so, the operations are categorized as non-Federal operations.  </w:t>
      </w:r>
    </w:p>
    <w:p w:rsidR="0025350E" w:rsidP="001E0F20" w14:paraId="3F02AA52" w14:textId="5438D861">
      <w:pPr>
        <w:pStyle w:val="ParaNum"/>
        <w:widowControl/>
      </w:pPr>
      <w:r>
        <w:t xml:space="preserve">Because of the past reliance on the use of other allocated radiocommunication services, such as FSS, for the conduct of TT&amp;C functions for private entities, there are </w:t>
      </w:r>
      <w:r w:rsidRPr="00753436">
        <w:t>few</w:t>
      </w:r>
      <w:r w:rsidRPr="00D00611">
        <w:t xml:space="preserve"> explicit separate</w:t>
      </w:r>
      <w:r>
        <w:t xml:space="preserve"> allocations for conducting command and control of spacecraft by non-</w:t>
      </w:r>
      <w:r w:rsidR="00545BDC">
        <w:t>F</w:t>
      </w:r>
      <w:r>
        <w:t>ederal operators in the United States Table.  The Commission’s rules and the ITU Radio Regulations provide SOS and SRS allocations that support command and control of spacecraft.  Current</w:t>
      </w:r>
      <w:r w:rsidRPr="005079B5">
        <w:t xml:space="preserve"> spectrum </w:t>
      </w:r>
      <w:r>
        <w:t xml:space="preserve">allocations </w:t>
      </w:r>
      <w:r w:rsidRPr="005079B5">
        <w:t>for these ser</w:t>
      </w:r>
      <w:r>
        <w:t>vices, however, are primarily for Federal use in the United States Table and are heavily used by Federal operations, including portions of the S-band</w:t>
      </w:r>
      <w:r>
        <w:rPr>
          <w:rStyle w:val="FootnoteReference"/>
        </w:rPr>
        <w:footnoteReference w:id="47"/>
      </w:r>
      <w:r>
        <w:t xml:space="preserve"> allocated for Federal SOS operations in the 2025-2110 MHz (Earth-to-space), 2200-2290 MHz (space-to-Earth) bands, and portions of the X-band</w:t>
      </w:r>
      <w:r>
        <w:rPr>
          <w:rStyle w:val="FootnoteReference"/>
        </w:rPr>
        <w:footnoteReference w:id="48"/>
      </w:r>
      <w:r>
        <w:t xml:space="preserve"> allocated for Federal SRS in the 8400-8450 MHz (space-to-Earth) and 8450-8500 MHz (space-to-Earth) bands.</w:t>
      </w:r>
      <w:r>
        <w:rPr>
          <w:rStyle w:val="FootnoteReference"/>
        </w:rPr>
        <w:footnoteReference w:id="49"/>
      </w:r>
      <w:r>
        <w:t xml:space="preserve">  </w:t>
      </w:r>
    </w:p>
    <w:p w:rsidR="0025350E" w:rsidP="001E0F20" w14:paraId="644CEA7F" w14:textId="3FD16504">
      <w:pPr>
        <w:pStyle w:val="ParaNum"/>
        <w:widowControl/>
      </w:pPr>
      <w:r>
        <w:t xml:space="preserve">Many of the applications for Commission authority to operate radiocommunications to support ISAM and lunar operations have requested </w:t>
      </w:r>
      <w:r w:rsidRPr="005079B5">
        <w:t>to operate in</w:t>
      </w:r>
      <w:r>
        <w:t xml:space="preserve"> the same</w:t>
      </w:r>
      <w:r w:rsidRPr="005079B5">
        <w:t xml:space="preserve"> S-band </w:t>
      </w:r>
      <w:r>
        <w:t xml:space="preserve">and X-band allocations for SOS and SRS that are primarily and heavily used by </w:t>
      </w:r>
      <w:r w:rsidR="00545BDC">
        <w:t>F</w:t>
      </w:r>
      <w:r>
        <w:t>ederal operators</w:t>
      </w:r>
      <w:r w:rsidRPr="005079B5">
        <w:t xml:space="preserve">, as these bands support readily available, </w:t>
      </w:r>
      <w:r>
        <w:t>“</w:t>
      </w:r>
      <w:r w:rsidRPr="005079B5">
        <w:t>off-the-shelf</w:t>
      </w:r>
      <w:r>
        <w:t>”</w:t>
      </w:r>
      <w:r w:rsidRPr="005079B5">
        <w:t xml:space="preserve"> antenna systems</w:t>
      </w:r>
      <w:r>
        <w:t xml:space="preserve"> that are significantly more cost effective than designing and building customized antenna systems in-house.  Access to these allocations by non-</w:t>
      </w:r>
      <w:r w:rsidR="00545BDC">
        <w:t>F</w:t>
      </w:r>
      <w:r>
        <w:t xml:space="preserve">ederal operators, however, is subject to coordination and sharing requirements with </w:t>
      </w:r>
      <w:r w:rsidR="00545BDC">
        <w:t>F</w:t>
      </w:r>
      <w:r>
        <w:t xml:space="preserve">ederal users, which can often take substantial time and effort to complete.  In addition, </w:t>
      </w:r>
      <w:r w:rsidRPr="003F0CAF">
        <w:t xml:space="preserve">the absence of a clearly defined regulatory path for </w:t>
      </w:r>
      <w:r>
        <w:t>access to SOS and SRS allocations</w:t>
      </w:r>
      <w:r w:rsidRPr="003F0CAF">
        <w:t xml:space="preserve"> </w:t>
      </w:r>
      <w:r>
        <w:t xml:space="preserve">used by Federal operations on a primary basis </w:t>
      </w:r>
      <w:r w:rsidRPr="003F0CAF">
        <w:t xml:space="preserve">has led to </w:t>
      </w:r>
      <w:r>
        <w:t>a</w:t>
      </w:r>
      <w:r w:rsidRPr="003F0CAF">
        <w:t xml:space="preserve"> case-by-case licensing approach and </w:t>
      </w:r>
      <w:r>
        <w:t>to</w:t>
      </w:r>
      <w:r w:rsidRPr="003F0CAF">
        <w:t xml:space="preserve"> regulatory uncertaint</w:t>
      </w:r>
      <w:r>
        <w:t xml:space="preserve">y. </w:t>
      </w:r>
    </w:p>
    <w:p w:rsidR="0025350E" w:rsidP="001E0F20" w14:paraId="75CCFAC0" w14:textId="77777777">
      <w:pPr>
        <w:pStyle w:val="ParaNum"/>
        <w:widowControl/>
      </w:pPr>
      <w:r w:rsidRPr="00753436">
        <w:rPr>
          <w:i/>
          <w:iCs/>
        </w:rPr>
        <w:t xml:space="preserve">Non-Federal spectrum bands that could support </w:t>
      </w:r>
      <w:r>
        <w:rPr>
          <w:i/>
          <w:iCs/>
        </w:rPr>
        <w:t>emergent operations</w:t>
      </w:r>
      <w:r w:rsidRPr="00753436">
        <w:rPr>
          <w:i/>
          <w:iCs/>
        </w:rPr>
        <w:t xml:space="preserve"> are also congested</w:t>
      </w:r>
      <w:r>
        <w:t xml:space="preserve">.  </w:t>
      </w:r>
      <w:r w:rsidRPr="003F0CAF">
        <w:t xml:space="preserve">To address </w:t>
      </w:r>
      <w:r>
        <w:t>and facilitate the</w:t>
      </w:r>
      <w:r w:rsidRPr="003F0CAF">
        <w:t xml:space="preserve"> development</w:t>
      </w:r>
      <w:r>
        <w:t xml:space="preserve"> of ISAM</w:t>
      </w:r>
      <w:r w:rsidRPr="003F0CAF">
        <w:t>, the Commission previously sought comment</w:t>
      </w:r>
      <w:r>
        <w:t xml:space="preserve"> in a notice of inquiry (</w:t>
      </w:r>
      <w:r w:rsidRPr="5DBD71FE">
        <w:rPr>
          <w:i/>
          <w:iCs/>
        </w:rPr>
        <w:t>ISAM NOI</w:t>
      </w:r>
      <w:r>
        <w:t>)</w:t>
      </w:r>
      <w:r>
        <w:rPr>
          <w:rStyle w:val="FootnoteReference"/>
        </w:rPr>
        <w:footnoteReference w:id="50"/>
      </w:r>
      <w:r>
        <w:t xml:space="preserve"> and a notice of proposed rulemaking (</w:t>
      </w:r>
      <w:r w:rsidRPr="5DBD71FE">
        <w:rPr>
          <w:i/>
          <w:iCs/>
        </w:rPr>
        <w:t>ISAM NPRM</w:t>
      </w:r>
      <w:r>
        <w:t>)</w:t>
      </w:r>
      <w:r>
        <w:rPr>
          <w:rStyle w:val="FootnoteReference"/>
        </w:rPr>
        <w:footnoteReference w:id="51"/>
      </w:r>
      <w:r w:rsidRPr="003F0CAF">
        <w:t xml:space="preserve"> </w:t>
      </w:r>
      <w:r>
        <w:t>on</w:t>
      </w:r>
      <w:r w:rsidRPr="003F0CAF">
        <w:t xml:space="preserve"> the needs of ISAM operators and </w:t>
      </w:r>
      <w:r>
        <w:t xml:space="preserve">proposed a </w:t>
      </w:r>
      <w:r w:rsidRPr="003F0CAF">
        <w:t xml:space="preserve">potential </w:t>
      </w:r>
      <w:r>
        <w:t xml:space="preserve">streamlined </w:t>
      </w:r>
      <w:r w:rsidRPr="003F0CAF">
        <w:t xml:space="preserve">regulatory framework for supporting such missions. </w:t>
      </w:r>
      <w:r>
        <w:t xml:space="preserve"> The</w:t>
      </w:r>
      <w:r w:rsidRPr="003F0CAF">
        <w:t xml:space="preserve"> Commission </w:t>
      </w:r>
      <w:r>
        <w:t xml:space="preserve">has previously </w:t>
      </w:r>
      <w:r w:rsidRPr="003F0CAF">
        <w:t xml:space="preserve">acknowledged the increasing </w:t>
      </w:r>
      <w:r>
        <w:t>variety</w:t>
      </w:r>
      <w:r w:rsidRPr="003F0CAF">
        <w:t xml:space="preserve"> of space missions and the need to modernize spectrum policies to accommodate these </w:t>
      </w:r>
      <w:r w:rsidRPr="001103A2">
        <w:t>operations.</w:t>
      </w:r>
      <w:r>
        <w:rPr>
          <w:rStyle w:val="FootnoteReference"/>
        </w:rPr>
        <w:footnoteReference w:id="52"/>
      </w:r>
      <w:r>
        <w:t xml:space="preserve">  Furthermore, in the </w:t>
      </w:r>
      <w:r w:rsidRPr="00C72E78">
        <w:rPr>
          <w:i/>
          <w:iCs/>
        </w:rPr>
        <w:t>ISAM NPRM</w:t>
      </w:r>
      <w:r>
        <w:t>, the Commission tentatively concluded that various communication activities in support of ISAM could potentially operate within several existing service allocations and proposed to continue to review ISAM operators’ requests for frequency use on a case-by-case basis.</w:t>
      </w:r>
      <w:r>
        <w:rPr>
          <w:rStyle w:val="FootnoteReference"/>
        </w:rPr>
        <w:footnoteReference w:id="53"/>
      </w:r>
      <w:r>
        <w:t xml:space="preserve">  Although comments in response to the </w:t>
      </w:r>
      <w:r w:rsidRPr="00532DA9">
        <w:rPr>
          <w:i/>
          <w:iCs/>
        </w:rPr>
        <w:t>ISAM NPRM</w:t>
      </w:r>
      <w:r>
        <w:t xml:space="preserve"> support this tentative conclusion,</w:t>
      </w:r>
      <w:r>
        <w:rPr>
          <w:rStyle w:val="FootnoteReference"/>
        </w:rPr>
        <w:footnoteReference w:id="54"/>
      </w:r>
      <w:r>
        <w:t xml:space="preserve"> they also indicate that existing service allocations may not be sufficient for ISAM, and that additional spectrum resources are needed, particularly in frequency bands that are allocated for use by non-Federal operations and that do not require extensive coordination with other spectrum users.</w:t>
      </w:r>
      <w:r>
        <w:rPr>
          <w:rStyle w:val="FootnoteReference"/>
        </w:rPr>
        <w:footnoteReference w:id="55"/>
      </w:r>
    </w:p>
    <w:p w:rsidR="0025350E" w:rsidRPr="005C6D66" w:rsidP="001E0F20" w14:paraId="53BC982D" w14:textId="7BAA270E">
      <w:pPr>
        <w:pStyle w:val="ParaNum"/>
        <w:widowControl/>
      </w:pPr>
      <w:r>
        <w:t>Commenters have identified multiple frequency bands that might be used to conduct TT&amp;C functions for spacecraft that do not also operate in other radiocommunication services, such as FSS or EESS.</w:t>
      </w:r>
      <w:r>
        <w:rPr>
          <w:rStyle w:val="FootnoteReference"/>
        </w:rPr>
        <w:footnoteReference w:id="56"/>
      </w:r>
      <w:r>
        <w:t xml:space="preserve"> </w:t>
      </w:r>
      <w:r w:rsidRPr="00C039EC">
        <w:t xml:space="preserve"> </w:t>
      </w:r>
      <w:r>
        <w:t xml:space="preserve">Almost all of the identified frequency bands, however, are currently used by a diverse </w:t>
      </w:r>
      <w:r>
        <w:t>range of existing non-</w:t>
      </w:r>
      <w:r w:rsidR="00545BDC">
        <w:t>F</w:t>
      </w:r>
      <w:r>
        <w:t xml:space="preserve">ederal spectrum users, or are shared with or primarily used by Federal operations, which would still require extensive coordination with multiple spectrum users and would not provide a clear and reliable path for licensing by the Commission.  We therefore focus this </w:t>
      </w:r>
      <w:r w:rsidRPr="00EC4EFB">
        <w:rPr>
          <w:i/>
          <w:iCs/>
        </w:rPr>
        <w:t xml:space="preserve">NPRM </w:t>
      </w:r>
      <w:r>
        <w:t>on proposals and alternatives that could provide a clear and reliable path in the near future for accessing additional spectrum resources for conducting TT&amp;C operations for spacecraft that are unable to conduct such operations under allocations for other radiocommunication services.</w:t>
      </w:r>
    </w:p>
    <w:p w:rsidR="0025350E" w:rsidP="001E0F20" w14:paraId="0526DD14" w14:textId="77777777">
      <w:pPr>
        <w:pStyle w:val="Heading1"/>
        <w:widowControl/>
      </w:pPr>
      <w:bookmarkStart w:id="14" w:name="_Toc209654301"/>
      <w:bookmarkStart w:id="15" w:name="_Toc212623647"/>
      <w:bookmarkStart w:id="16" w:name="_Toc221718826"/>
      <w:r>
        <w:t>discussion</w:t>
      </w:r>
      <w:bookmarkEnd w:id="14"/>
      <w:bookmarkEnd w:id="15"/>
      <w:bookmarkEnd w:id="16"/>
    </w:p>
    <w:p w:rsidR="0025350E" w:rsidP="001E0F20" w14:paraId="3EFBFCDE" w14:textId="77777777">
      <w:pPr>
        <w:pStyle w:val="ParaNum"/>
        <w:widowControl/>
      </w:pPr>
      <w:r>
        <w:t xml:space="preserve">We seek comment on steps that the Commission can take to make spectrum abundant for emergent space operations.  These steps include providing regulatory clarity and leveraging existing spectrum allocations to support such </w:t>
      </w:r>
      <w:r w:rsidRPr="001103A2">
        <w:t>operations</w:t>
      </w:r>
      <w:r>
        <w:t>.  They also include unlocking new sources of usable spectrum by allowing existing Commission spectrum licensees to make their spectrum resources available in ways that are not currently permitted under our rules.</w:t>
      </w:r>
      <w:r w:rsidRPr="00463A28">
        <w:t xml:space="preserve"> </w:t>
      </w:r>
      <w:r>
        <w:t xml:space="preserve"> Although we recognize that these are initial steps towards making spectrum abundant to support innovative new endeavors in space, we seek comment on the extent to which they may alleviate spectrum shortcomings, expedite the Commission’s licensing, and facilitate innovation.</w:t>
      </w:r>
    </w:p>
    <w:p w:rsidR="0025350E" w:rsidP="001E0F20" w14:paraId="642097C1" w14:textId="77777777">
      <w:pPr>
        <w:pStyle w:val="ParaNum"/>
        <w:widowControl/>
      </w:pPr>
      <w:r>
        <w:t xml:space="preserve">We seek comment on a variety of proposals </w:t>
      </w:r>
      <w:r w:rsidRPr="001103A2">
        <w:t>and ideas</w:t>
      </w:r>
      <w:r>
        <w:t xml:space="preserve"> in this </w:t>
      </w:r>
      <w:r w:rsidRPr="00B917EB">
        <w:rPr>
          <w:i/>
          <w:iCs/>
        </w:rPr>
        <w:t>N</w:t>
      </w:r>
      <w:r>
        <w:rPr>
          <w:i/>
          <w:iCs/>
        </w:rPr>
        <w:t>PRM</w:t>
      </w:r>
      <w:r>
        <w:t xml:space="preserve">.  Building upon the record in the ISAM proceeding, we propose to codify the potential use of frequency piggybacking.  </w:t>
      </w:r>
      <w:r w:rsidRPr="001103A2">
        <w:t xml:space="preserve">Another proposal herein is to review requests to operate space stations within specific service allocations on a case-by-case basis.  </w:t>
      </w:r>
      <w:r>
        <w:t xml:space="preserve">Next, we </w:t>
      </w:r>
      <w:r w:rsidRPr="001103A2">
        <w:t>seek comment on conducting</w:t>
      </w:r>
      <w:r>
        <w:t xml:space="preserve"> TT&amp;C</w:t>
      </w:r>
      <w:r w:rsidRPr="001103A2">
        <w:t xml:space="preserve"> to support </w:t>
      </w:r>
      <w:r>
        <w:t>emergent</w:t>
      </w:r>
      <w:r w:rsidRPr="001103A2">
        <w:t xml:space="preserve"> operations in FSS bands on an unprotected, non-interference basis subject to coordination with other spectrum users, as well as what operations fall within our definition of TT&amp;C.  We also seek comment on the types of applications that may seek to operate within the SRS allocation. We also propose to add a secondary allocation for SOS in the 2320-2345 MHz band for command uplink and permit a version of </w:t>
      </w:r>
      <w:r w:rsidRPr="001103A2">
        <w:rPr>
          <w:i/>
          <w:iCs/>
        </w:rPr>
        <w:t>de facto</w:t>
      </w:r>
      <w:r w:rsidRPr="001103A2">
        <w:t xml:space="preserve"> spectrum leasing of that band to earth station licensees.  We seek comment on alternatives to these proposals and whether to extend this proposed leasing framework to other frequency bands.  Lastly, we seek comment on whether licensed satellite operators should be authorized by rule to use their FCC-licensed satellites and intersatellite links to provide TT&amp;C and data downlinks to support </w:t>
      </w:r>
      <w:r>
        <w:t>emergent</w:t>
      </w:r>
      <w:r w:rsidRPr="001103A2">
        <w:t xml:space="preserve"> operations.  We also seek comment on any alternatives that would be less bur</w:t>
      </w:r>
      <w:r>
        <w:t>densome for small entities.</w:t>
      </w:r>
    </w:p>
    <w:p w:rsidR="0025350E" w:rsidRPr="0055364A" w:rsidP="001E0F20" w14:paraId="516AAF6A" w14:textId="77777777">
      <w:pPr>
        <w:pStyle w:val="ParaNum"/>
        <w:widowControl/>
      </w:pPr>
      <w:r>
        <w:t xml:space="preserve">As observed above, the Commission has previously sought comment on radiofrequency use for non-communications satellites in the </w:t>
      </w:r>
      <w:r w:rsidRPr="0007510F">
        <w:rPr>
          <w:i/>
          <w:iCs/>
        </w:rPr>
        <w:t>ISAM NOI</w:t>
      </w:r>
      <w:r>
        <w:t xml:space="preserve"> and </w:t>
      </w:r>
      <w:r w:rsidRPr="0007510F">
        <w:rPr>
          <w:i/>
          <w:iCs/>
        </w:rPr>
        <w:t>NPRM</w:t>
      </w:r>
      <w:r>
        <w:t>.  In this proceeding, we seek comment on proposals to make available additional spectrum resources not only in support of ISAM missions, but also for all emergent space operations</w:t>
      </w:r>
      <w:r w:rsidRPr="0055364A">
        <w:t xml:space="preserve">.  </w:t>
      </w:r>
      <w:r>
        <w:t xml:space="preserve">Because we are not proposing here to create spectrum allocations specifically and solely for </w:t>
      </w:r>
      <w:r w:rsidRPr="001103A2">
        <w:t>use by</w:t>
      </w:r>
      <w:r>
        <w:t xml:space="preserve"> ISAM or for lunar missions, we seek comment on proposals to allow increased and more efficient use of spectrum to support all space operations that do not otherwise provide radiocommunication services to the public.  Accordingly, we make alternative proposals regarding spectrum availability for ISAM and propose to no longer address spectrum use issues in the ISAM proceeding.  Rather, we seek comment on whether to address the issues of spectrum availability to support ISAM missions through the proposals of this proceeding, rather than as part of the </w:t>
      </w:r>
      <w:r w:rsidRPr="00753436">
        <w:rPr>
          <w:i/>
          <w:iCs/>
        </w:rPr>
        <w:t>ISAM NPRM</w:t>
      </w:r>
      <w:r>
        <w:t xml:space="preserve">.  We are not seeking comment in this proceeding on potential changes to how we process applications for authority to provide radiocommunication services or on other potential changes to our rules specific to the needs of ISAM operations.  Although the </w:t>
      </w:r>
      <w:r w:rsidRPr="00476C32">
        <w:rPr>
          <w:i/>
          <w:iCs/>
        </w:rPr>
        <w:t>ISAM NPRM</w:t>
      </w:r>
      <w:r>
        <w:t xml:space="preserve"> sought comment on possible modifications to our rules in order to facilitate the licensing and regulation of radiocommunications in support of ISAM </w:t>
      </w:r>
      <w:r>
        <w:t>missions,</w:t>
      </w:r>
      <w:r>
        <w:rPr>
          <w:rStyle w:val="FootnoteReference"/>
        </w:rPr>
        <w:footnoteReference w:id="57"/>
      </w:r>
      <w:r>
        <w:t xml:space="preserve"> our focus today is on proposals and alternatives related to spectrum availability for all emergent space operations.</w:t>
      </w:r>
      <w:r>
        <w:rPr>
          <w:rStyle w:val="FootnoteReference"/>
        </w:rPr>
        <w:footnoteReference w:id="58"/>
      </w:r>
    </w:p>
    <w:p w:rsidR="0025350E" w:rsidP="001E0F20" w14:paraId="04D8495B" w14:textId="77777777">
      <w:pPr>
        <w:pStyle w:val="Heading2"/>
        <w:widowControl/>
      </w:pPr>
      <w:bookmarkStart w:id="17" w:name="_Toc209654302"/>
      <w:bookmarkStart w:id="18" w:name="_Toc212623648"/>
      <w:bookmarkStart w:id="19" w:name="_Toc221718827"/>
      <w:r>
        <w:t>Establishing Regulatory Clarity for the Use of Existing Spectrum Allocations</w:t>
      </w:r>
      <w:bookmarkEnd w:id="17"/>
      <w:bookmarkEnd w:id="18"/>
      <w:bookmarkEnd w:id="19"/>
      <w:r>
        <w:t xml:space="preserve"> </w:t>
      </w:r>
    </w:p>
    <w:p w:rsidR="0025350E" w:rsidRPr="00D404A0" w:rsidP="001E0F20" w14:paraId="7882E559" w14:textId="77777777">
      <w:pPr>
        <w:pStyle w:val="ParaNum"/>
        <w:widowControl/>
        <w:rPr>
          <w:rStyle w:val="cf01"/>
          <w:szCs w:val="22"/>
        </w:rPr>
      </w:pPr>
      <w:r>
        <w:t xml:space="preserve">There is currently no radiocommunication service specifically dedicated for use by emergent space operations domestically or internationally.  Accordingly, there is the need for clarity and certainty in the ability of operators to access other radiocommunication service allocations necessary to conduct their emergent </w:t>
      </w:r>
      <w:r w:rsidRPr="001103A2">
        <w:t>operations</w:t>
      </w:r>
      <w:r>
        <w:t xml:space="preserve"> in space.  To that end, in addition to </w:t>
      </w:r>
      <w:r w:rsidRPr="0045308D">
        <w:rPr>
          <w:szCs w:val="22"/>
        </w:rPr>
        <w:t xml:space="preserve">the </w:t>
      </w:r>
      <w:r w:rsidRPr="0025350E">
        <w:rPr>
          <w:rStyle w:val="cf01"/>
          <w:rFonts w:ascii="Times New Roman" w:hAnsi="Times New Roman" w:cs="Times New Roman"/>
          <w:sz w:val="22"/>
          <w:szCs w:val="22"/>
        </w:rPr>
        <w:t>proposals in</w:t>
      </w:r>
      <w:r w:rsidRPr="0025350E">
        <w:rPr>
          <w:rStyle w:val="cf01"/>
          <w:szCs w:val="22"/>
        </w:rPr>
        <w:t xml:space="preserve"> </w:t>
      </w:r>
      <w:r w:rsidRPr="0025350E">
        <w:t>this</w:t>
      </w:r>
      <w:r w:rsidRPr="0025350E">
        <w:rPr>
          <w:rStyle w:val="cf01"/>
          <w:szCs w:val="22"/>
        </w:rPr>
        <w:t xml:space="preserve"> </w:t>
      </w:r>
      <w:r w:rsidRPr="0025350E">
        <w:rPr>
          <w:rStyle w:val="cf01"/>
          <w:rFonts w:ascii="Times New Roman" w:hAnsi="Times New Roman" w:cs="Times New Roman"/>
          <w:i/>
          <w:iCs/>
          <w:sz w:val="22"/>
          <w:szCs w:val="22"/>
        </w:rPr>
        <w:t>NPRM</w:t>
      </w:r>
      <w:r w:rsidRPr="0025350E">
        <w:rPr>
          <w:rStyle w:val="cf01"/>
          <w:rFonts w:ascii="Times New Roman" w:hAnsi="Times New Roman" w:cs="Times New Roman"/>
          <w:sz w:val="22"/>
          <w:szCs w:val="22"/>
        </w:rPr>
        <w:t xml:space="preserve"> for specific frequency bands that might be utilized more intensively to support TT&amp;C functions for emergent space operations, we propose to codify several Commission policies to provide additional regulatory clarity for these operators using existing radiocommunication service allocations.</w:t>
      </w:r>
    </w:p>
    <w:p w:rsidR="0025350E" w:rsidRPr="00EC4EFB" w:rsidP="001E0F20" w14:paraId="50A57780" w14:textId="77777777">
      <w:pPr>
        <w:pStyle w:val="Heading3"/>
        <w:widowControl/>
      </w:pPr>
      <w:bookmarkStart w:id="20" w:name="_Toc209654303"/>
      <w:bookmarkStart w:id="21" w:name="_Toc212623649"/>
      <w:bookmarkStart w:id="22" w:name="_Toc221718828"/>
      <w:r>
        <w:t xml:space="preserve">Authorizing by Rule Spectrum “Piggybacking” for Emergent Space </w:t>
      </w:r>
      <w:bookmarkEnd w:id="20"/>
      <w:r>
        <w:t>Operations</w:t>
      </w:r>
      <w:bookmarkEnd w:id="21"/>
      <w:bookmarkEnd w:id="22"/>
    </w:p>
    <w:p w:rsidR="0025350E" w:rsidP="001E0F20" w14:paraId="76E64030" w14:textId="77777777">
      <w:pPr>
        <w:pStyle w:val="ParaNum"/>
        <w:widowControl/>
      </w:pPr>
      <w:r w:rsidRPr="00606FAD">
        <w:t>In</w:t>
      </w:r>
      <w:r>
        <w:t xml:space="preserve"> the </w:t>
      </w:r>
      <w:r w:rsidRPr="5DBD71FE">
        <w:rPr>
          <w:i/>
          <w:iCs/>
        </w:rPr>
        <w:t>ISAM NPRM</w:t>
      </w:r>
      <w:r>
        <w:t>, the Commission recognized commenters’ interest in allowing ISAM spacecraft to communicate in frequency bands already authorized for use by another spacecraft while the two spacecraft are connected or working together in close proximity to each other, also known as frequency “piggybacking.”</w:t>
      </w:r>
      <w:r>
        <w:rPr>
          <w:rStyle w:val="FootnoteReference"/>
          <w:szCs w:val="22"/>
        </w:rPr>
        <w:footnoteReference w:id="59"/>
      </w:r>
      <w:r>
        <w:t xml:space="preserve">  Additionally the </w:t>
      </w:r>
      <w:r w:rsidRPr="00A15A40">
        <w:rPr>
          <w:i/>
          <w:iCs/>
        </w:rPr>
        <w:t>ISAM NPRM</w:t>
      </w:r>
      <w:r>
        <w:t xml:space="preserve"> noted that the piggybacking option has been authorized under existing part 25 rules in the past.</w:t>
      </w:r>
      <w:r>
        <w:rPr>
          <w:rStyle w:val="FootnoteReference"/>
          <w:szCs w:val="22"/>
        </w:rPr>
        <w:footnoteReference w:id="60"/>
      </w:r>
      <w:r>
        <w:t xml:space="preserve">  There is unanimous support in response to the </w:t>
      </w:r>
      <w:r w:rsidRPr="00A15A40">
        <w:rPr>
          <w:i/>
          <w:iCs/>
        </w:rPr>
        <w:t>ISAM NPRM</w:t>
      </w:r>
      <w:r>
        <w:t xml:space="preserve"> for allowing frequency piggybacking for radiocommunications in support of ISAM operations,</w:t>
      </w:r>
      <w:r>
        <w:rPr>
          <w:rStyle w:val="FootnoteReference"/>
          <w:szCs w:val="22"/>
        </w:rPr>
        <w:footnoteReference w:id="61"/>
      </w:r>
      <w:r>
        <w:t xml:space="preserve"> and frequency piggybacking has previously been authorized as an option for ISAM operators on a case-by-case basis.</w:t>
      </w:r>
      <w:r>
        <w:rPr>
          <w:rStyle w:val="FootnoteReference"/>
          <w:szCs w:val="22"/>
        </w:rPr>
        <w:footnoteReference w:id="62"/>
      </w:r>
    </w:p>
    <w:p w:rsidR="0025350E" w:rsidP="001E0F20" w14:paraId="7A3977B5" w14:textId="77777777">
      <w:pPr>
        <w:pStyle w:val="ParaNum"/>
        <w:widowControl/>
      </w:pPr>
      <w:r>
        <w:t>Accordingly, we propose to codify the potential use of frequency piggybacking in our rules in order to provide regulatory clarity.</w:t>
      </w:r>
      <w:r>
        <w:rPr>
          <w:rStyle w:val="FootnoteReference"/>
          <w:szCs w:val="22"/>
        </w:rPr>
        <w:footnoteReference w:id="63"/>
      </w:r>
      <w:r>
        <w:t xml:space="preserve">  We seek comment on how to codify the potential use of frequency piggybacking that provides regulatory clarity and certainty, but also recognizes that piggybacking may not be suitable for all types of operations.</w:t>
      </w:r>
      <w:r>
        <w:rPr>
          <w:rStyle w:val="FootnoteReference"/>
        </w:rPr>
        <w:footnoteReference w:id="64"/>
      </w:r>
      <w:r>
        <w:t xml:space="preserve">  Furthermore, we seek comment on how </w:t>
      </w:r>
      <w:r>
        <w:t>such codification could be worded to address a wide-range of potential scenarios for frequency piggybacking, in order to provide both certainty and flexibility.  As an example, comments</w:t>
      </w:r>
      <w:r w:rsidRPr="008F69B2">
        <w:t xml:space="preserve"> </w:t>
      </w:r>
      <w:r>
        <w:t xml:space="preserve">have asked the Commission to clarify whether frequency piggybacking may be permissible for </w:t>
      </w:r>
      <w:r w:rsidRPr="008F69B2">
        <w:t xml:space="preserve">an operator </w:t>
      </w:r>
      <w:r>
        <w:t>whose client</w:t>
      </w:r>
      <w:r w:rsidRPr="008F69B2">
        <w:t xml:space="preserve"> is an EESS operator.</w:t>
      </w:r>
      <w:r>
        <w:rPr>
          <w:rStyle w:val="FootnoteReference"/>
        </w:rPr>
        <w:footnoteReference w:id="65"/>
      </w:r>
      <w:r w:rsidRPr="00AD3B35">
        <w:t xml:space="preserve"> </w:t>
      </w:r>
      <w:r>
        <w:t xml:space="preserve"> We tentatively conclude that this would be an </w:t>
      </w:r>
      <w:r w:rsidRPr="008F69B2">
        <w:t>acceptable scenario for frequency piggybacking.</w:t>
      </w:r>
      <w:r>
        <w:t xml:space="preserve">  We seek comment on this tentative conclusion.</w:t>
      </w:r>
    </w:p>
    <w:p w:rsidR="0025350E" w:rsidP="001E0F20" w14:paraId="09B247C7" w14:textId="77777777">
      <w:pPr>
        <w:pStyle w:val="ParaNum"/>
        <w:widowControl/>
      </w:pPr>
      <w:r>
        <w:t>We propose to codify that the Commission may authorize a space station to use the same frequencies as a separate, consenting spacecraft (that is, a “client” spacecraft) that is also authorized by the Commission or has obtained a grant of U.S. market access,</w:t>
      </w:r>
      <w:r>
        <w:rPr>
          <w:rStyle w:val="FootnoteReference"/>
        </w:rPr>
        <w:footnoteReference w:id="66"/>
      </w:r>
      <w:r>
        <w:t xml:space="preserve"> provided that the applicant for the space station authorization certifies that the space station will be used for servicing, monitoring, or collaborating with the client spacecraft and that the operations will conform with the client spacecraft’s ITU filings and licensed frequency parameters.  We seek comment on this proposal.  Specifically, we seek comment on how to define a client spacecraft and whether there are other instances in which we should allow piggybacking in addition to servicing, monitoring, or collaborating with a client spacecraft.  Additionally, should licensees or grantees of U.S. market access engaged in spectrum piggybacking be required to provide the specific frequency information required by our rules to allow Space Bureau staff to confirm the operations are in conformance with the client’s license or market access grant and ITU filings?  Or would certification be sufficient?  Similarly, should licensees or grantees be required to provide evidence of the other space station operator’s consent to piggybacking operations, or is certification again sufficient?  Is there anything else we should consider requiring from operators proposing to conduct piggybacking operations?  We recognize there may also be additional considerations for operators seeking FCC authorization to conduct spectrum piggybacking with a </w:t>
      </w:r>
      <w:r w:rsidRPr="001103A2">
        <w:t>non-U</w:t>
      </w:r>
      <w:r>
        <w:t>.</w:t>
      </w:r>
      <w:r w:rsidRPr="001103A2">
        <w:t>S</w:t>
      </w:r>
      <w:r>
        <w:t>. licensed client that has not sought U.S. market access, and we seek comment on what certifications or demonstrations we should require in such instances in order to fulfill our international obligations, protect national security, and promote American innovation in space.</w:t>
      </w:r>
    </w:p>
    <w:p w:rsidR="0025350E" w:rsidRPr="00EC4EFB" w:rsidP="001E0F20" w14:paraId="17785BDC" w14:textId="77777777">
      <w:pPr>
        <w:pStyle w:val="Heading3"/>
        <w:widowControl/>
      </w:pPr>
      <w:bookmarkStart w:id="23" w:name="_Toc209654304"/>
      <w:bookmarkStart w:id="24" w:name="_Toc209654305"/>
      <w:bookmarkStart w:id="25" w:name="_Toc209654306"/>
      <w:bookmarkStart w:id="26" w:name="_Toc209654307"/>
      <w:bookmarkStart w:id="27" w:name="_Toc209654308"/>
      <w:bookmarkStart w:id="28" w:name="_Toc209654309"/>
      <w:bookmarkStart w:id="29" w:name="_Toc212623650"/>
      <w:bookmarkStart w:id="30" w:name="_Toc221718829"/>
      <w:bookmarkEnd w:id="23"/>
      <w:bookmarkEnd w:id="24"/>
      <w:bookmarkEnd w:id="25"/>
      <w:bookmarkEnd w:id="26"/>
      <w:bookmarkEnd w:id="27"/>
      <w:r>
        <w:t xml:space="preserve">Authorizing Standalone </w:t>
      </w:r>
      <w:r w:rsidRPr="5DBD71FE">
        <w:t>TT&amp;C</w:t>
      </w:r>
      <w:r>
        <w:t xml:space="preserve"> Within Existing FSS Allocations</w:t>
      </w:r>
      <w:bookmarkEnd w:id="28"/>
      <w:bookmarkEnd w:id="29"/>
      <w:bookmarkEnd w:id="30"/>
      <w:r w:rsidRPr="5DBD71FE">
        <w:t xml:space="preserve">  </w:t>
      </w:r>
    </w:p>
    <w:p w:rsidR="0025350E" w:rsidP="001E0F20" w14:paraId="7F68D418" w14:textId="7A6082A6">
      <w:pPr>
        <w:pStyle w:val="ParaNum"/>
        <w:widowControl/>
      </w:pPr>
      <w:r>
        <w:t>We also seek comment on permitting licensees and market access grantees for emergent space operations to conduct TT&amp;C in FSS bands where TT&amp;C may already be provided within the radiocommunication service.  As observed above, the Space Bureau routinely authorizes FSS space station licensees to conduct TT&amp;C in the same frequency bands that are allocated for FSS.  Thus, we are confident that it is technically feasible to conduct TT&amp;C in frequency bands that are already allocated for FSS by non-</w:t>
      </w:r>
      <w:r w:rsidR="00545BDC">
        <w:t>F</w:t>
      </w:r>
      <w:r>
        <w:t xml:space="preserve">ederal operators, and that there is likely to be readily-available earth station facilities and equipment to support TT&amp;C in these frequency bands.  TT&amp;C operations licensed outside of our processing procedures for GSO or NGSO FSS are unable to claim protection from interference from, and are not permitted to cause harmful interference to, other licensed operators that are authorized within our processing procedures.  Accordingly, we envision permission for such TT&amp;C operations licensed outside of processing procedures would be on an unprotected, non-interference basis, subject to coordination with other authorized spectrum users.  We seek comment on the appropriate status of such TT&amp;C operations and whether such TT&amp;C operations can, in fact, be successfully coordinated with other authorized spectrum users to avoid harmful interference.  We also seek comment on whether TT&amp;C for emergent space operations could be provided in frequency bands allocated for radiocommunication services such as MSS or BSS, which often require use of frequency division or planned bands in order to avoid interference among spectrum users.  Would such </w:t>
      </w:r>
      <w:r w:rsidRPr="001103A2">
        <w:t>frequency</w:t>
      </w:r>
      <w:r>
        <w:t xml:space="preserve"> bands also be able to accommodate TT&amp;C for emergent space operations on an unprotected, non-interference basis?</w:t>
      </w:r>
    </w:p>
    <w:p w:rsidR="0025350E" w:rsidP="001E0F20" w14:paraId="739DA05D" w14:textId="77777777">
      <w:pPr>
        <w:pStyle w:val="ParaNum"/>
        <w:widowControl/>
      </w:pPr>
      <w:r>
        <w:t>In addition, we seek comment on whether applicants could be granted authority to provide TT&amp;C as a form of FSS in bands allocated for non-Federal FSS.  We observe that FSS is defined as a “</w:t>
      </w:r>
      <w:r w:rsidRPr="00807D94">
        <w:t xml:space="preserve">radiocommunication service between earth stations at given positions, when one or more satellites are used; the given position may be a specified fixed point or any fixed point within specified areas; in some cases this service includes satellite-to-satellite links, which may also be operated in the inter-satellite service; the </w:t>
      </w:r>
      <w:r>
        <w:t>FSS</w:t>
      </w:r>
      <w:r w:rsidRPr="00807D94">
        <w:t xml:space="preserve"> may also include feeder links of other space radiocommunication services.</w:t>
      </w:r>
      <w:r>
        <w:t>”</w:t>
      </w:r>
      <w:r>
        <w:rPr>
          <w:rStyle w:val="FootnoteReference"/>
        </w:rPr>
        <w:footnoteReference w:id="67"/>
      </w:r>
      <w:r>
        <w:t xml:space="preserve">  Is the ability to provide TT&amp;C within the definition of FSS analogous to the ability to provide feeder links in such an allocation (that is, one way uplinks that are not between earth stations)?  We expect, however, that TT&amp;C provided as FSS would be limited to the provision of TT&amp;C on an unprotected, non-interference basis, subject to coordination with other spectrum users, outside of a first-come, first service procedure or a processing round.  We seek comment on this expectation.</w:t>
      </w:r>
    </w:p>
    <w:p w:rsidR="0025350E" w:rsidP="001E0F20" w14:paraId="011E1589" w14:textId="77777777">
      <w:pPr>
        <w:pStyle w:val="ParaNum"/>
        <w:widowControl/>
      </w:pPr>
      <w:r>
        <w:t>We also seek comment to what extent operations on an unprotected, non-interference basis are suitable for TT&amp;C functions, which may be critical to the command and control of a spacecraft. What level of availability and reliability is needed for command and control?  Would it be in the public interest to facilitate TT&amp;C operations without providing absolute certainty of non-interference?  As an example, would TT&amp;C on an unprotected, non-interference basis be sufficient for certain operators, such as those conducting rendezvous and proximity operations (RPO) and docking, or those operating inhabitable spacecraft?</w:t>
      </w:r>
    </w:p>
    <w:p w:rsidR="0025350E" w:rsidP="001E0F20" w14:paraId="7A2CE515" w14:textId="77777777">
      <w:pPr>
        <w:pStyle w:val="Heading3"/>
        <w:widowControl/>
      </w:pPr>
      <w:bookmarkStart w:id="31" w:name="_Toc209654310"/>
      <w:bookmarkStart w:id="32" w:name="_Toc212623651"/>
      <w:bookmarkStart w:id="33" w:name="_Toc221718830"/>
      <w:r>
        <w:t xml:space="preserve">Refining the </w:t>
      </w:r>
      <w:r w:rsidRPr="00BA12DD">
        <w:t>Definition of TT&amp;C</w:t>
      </w:r>
      <w:bookmarkEnd w:id="31"/>
      <w:bookmarkEnd w:id="32"/>
      <w:bookmarkEnd w:id="33"/>
      <w:r>
        <w:t xml:space="preserve"> </w:t>
      </w:r>
    </w:p>
    <w:p w:rsidR="0025350E" w:rsidP="001E0F20" w14:paraId="275D5F4D" w14:textId="77777777">
      <w:pPr>
        <w:pStyle w:val="ParaNum"/>
        <w:widowControl/>
      </w:pPr>
      <w:r>
        <w:t>Section 2.1 of our rules defines s</w:t>
      </w:r>
      <w:r w:rsidRPr="00D458EF">
        <w:t xml:space="preserve">pace </w:t>
      </w:r>
      <w:r>
        <w:t>t</w:t>
      </w:r>
      <w:r w:rsidRPr="00D458EF">
        <w:t>elecommand</w:t>
      </w:r>
      <w:r>
        <w:t xml:space="preserve"> as “[t]</w:t>
      </w:r>
      <w:r w:rsidRPr="00D458EF">
        <w:t>he use of radiocommunication for the transmission of signals to a space station to initiate, modify or terminate functions of equipment on a space object, including the space station.</w:t>
      </w:r>
      <w:r>
        <w:t>”</w:t>
      </w:r>
      <w:r>
        <w:rPr>
          <w:rStyle w:val="FootnoteReference"/>
        </w:rPr>
        <w:footnoteReference w:id="68"/>
      </w:r>
      <w:r>
        <w:t xml:space="preserve"> </w:t>
      </w:r>
      <w:r w:rsidRPr="00D458EF">
        <w:t xml:space="preserve"> </w:t>
      </w:r>
      <w:r>
        <w:t>And s</w:t>
      </w:r>
      <w:r w:rsidRPr="00D458EF">
        <w:t>pac</w:t>
      </w:r>
      <w:r>
        <w:t>e t</w:t>
      </w:r>
      <w:r w:rsidRPr="00D458EF">
        <w:t>elemetry</w:t>
      </w:r>
      <w:r>
        <w:t xml:space="preserve"> is defined as “[t]</w:t>
      </w:r>
      <w:r w:rsidRPr="00D458EF">
        <w:t>he use of telemetry for transmission for a space station of results of measurements made in a spacecraft, including those relating to the functioning of the spacecraft.</w:t>
      </w:r>
      <w:r>
        <w:t>”</w:t>
      </w:r>
      <w:r>
        <w:rPr>
          <w:rStyle w:val="FootnoteReference"/>
        </w:rPr>
        <w:footnoteReference w:id="69"/>
      </w:r>
      <w:r w:rsidRPr="00D458EF">
        <w:t xml:space="preserve"> </w:t>
      </w:r>
      <w:r>
        <w:t xml:space="preserve"> The Commission has previously recognized that service allocations for TT&amp;C, may not be sufficient for certain operators, such as those conducting RPO and docking, or those operating inhabitable spacecraft.</w:t>
      </w:r>
      <w:r>
        <w:rPr>
          <w:rStyle w:val="FootnoteReference"/>
        </w:rPr>
        <w:footnoteReference w:id="70"/>
      </w:r>
      <w:r>
        <w:t xml:space="preserve">  The Commission also tentatively concluded that the definition of TT&amp;C need not be so narrowly construed as to exclude data downlink operations.</w:t>
      </w:r>
      <w:r>
        <w:rPr>
          <w:rStyle w:val="FootnoteReference"/>
        </w:rPr>
        <w:footnoteReference w:id="71"/>
      </w:r>
      <w:r>
        <w:t xml:space="preserve">  We seek comment on a potential Commission interpretation of the definitions of space telecommand and space telemetry to include downlink of video and other data during maneuvers such as RPO or docking with other spacecraft.  Can such operations be accommodated within the existing typical narrowband parameters of TT&amp;C bands?  Can operations for inhabitable spacecraft be accommodated in TT&amp;C bands?  What other operations besides RPO and docking could function in TT&amp;C bands?  If the Commission adopts an interpretation of the definitions of TT&amp;C to include data downlink for RPO, docking, and/or other operations, should we specifically modify the definitions in our rules or add footnotes to the United States Table?  We also seek comment on whether explicitly permitting video and other wideband data communications in allocations used for TT&amp;C could crowd out existing narrowband TT&amp;C operations or make it more difficult to permit TT&amp;C operations on an unprotected, non-interference basis.  We seek comment on these questions.</w:t>
      </w:r>
    </w:p>
    <w:p w:rsidR="0025350E" w:rsidP="001E0F20" w14:paraId="441DD7FA" w14:textId="77777777">
      <w:pPr>
        <w:pStyle w:val="Heading3"/>
        <w:widowControl/>
      </w:pPr>
      <w:bookmarkStart w:id="34" w:name="_Toc209654311"/>
      <w:bookmarkStart w:id="35" w:name="_Toc212623652"/>
      <w:bookmarkStart w:id="36" w:name="_Toc221718831"/>
      <w:r>
        <w:t xml:space="preserve">Clarifying that Spectrum Use Supporting Emergent Space Operations May Fall Within Existing </w:t>
      </w:r>
      <w:r w:rsidRPr="5DBD71FE">
        <w:t>Service Allocations</w:t>
      </w:r>
      <w:bookmarkEnd w:id="34"/>
      <w:bookmarkEnd w:id="35"/>
      <w:bookmarkEnd w:id="36"/>
      <w:r>
        <w:t xml:space="preserve">  </w:t>
      </w:r>
    </w:p>
    <w:p w:rsidR="0025350E" w:rsidP="001E0F20" w14:paraId="47F364D7" w14:textId="77777777">
      <w:pPr>
        <w:pStyle w:val="ParaNum"/>
        <w:widowControl/>
      </w:pPr>
      <w:r>
        <w:t>The Commission</w:t>
      </w:r>
      <w:r w:rsidRPr="00DA1AF0">
        <w:t xml:space="preserve"> </w:t>
      </w:r>
      <w:r>
        <w:t xml:space="preserve">tentatively concluded in the </w:t>
      </w:r>
      <w:r w:rsidRPr="5DBD71FE">
        <w:rPr>
          <w:i/>
          <w:iCs/>
        </w:rPr>
        <w:t>ISAM</w:t>
      </w:r>
      <w:r>
        <w:t xml:space="preserve"> </w:t>
      </w:r>
      <w:r w:rsidRPr="5DBD71FE">
        <w:rPr>
          <w:i/>
          <w:iCs/>
        </w:rPr>
        <w:t>NPRM</w:t>
      </w:r>
      <w:r>
        <w:rPr>
          <w:i/>
          <w:iCs/>
        </w:rPr>
        <w:t xml:space="preserve"> </w:t>
      </w:r>
      <w:r w:rsidRPr="00C45DEE">
        <w:t>that</w:t>
      </w:r>
      <w:r>
        <w:t xml:space="preserve"> radiocommunications in support of various ISAM operations could fit within numerous existing service allocation definitions and that Commission staff would assess whether an applicant’s proposed communications fall within the applicant’s desired service allocation(s) on a case-by-case basis.</w:t>
      </w:r>
      <w:r>
        <w:rPr>
          <w:rStyle w:val="FootnoteReference"/>
        </w:rPr>
        <w:footnoteReference w:id="72"/>
      </w:r>
      <w:r>
        <w:t xml:space="preserve">  Our rules define service allocations according to the ITU definitions,</w:t>
      </w:r>
      <w:r>
        <w:rPr>
          <w:rStyle w:val="FootnoteReference"/>
        </w:rPr>
        <w:footnoteReference w:id="73"/>
      </w:r>
      <w:r>
        <w:t xml:space="preserve"> and we rely on these definitions when we consider requests for frequency authorization as part of our licensing process.  Commenters were generally supportive of permitting the use of any service allocation for communications in support of ISAM operations so long as the operator can demonstrate that the communications justifiably fit within the existing service allocation definition.</w:t>
      </w:r>
      <w:r>
        <w:rPr>
          <w:rStyle w:val="FootnoteReference"/>
        </w:rPr>
        <w:footnoteReference w:id="74"/>
      </w:r>
    </w:p>
    <w:p w:rsidR="0025350E" w:rsidRPr="004E05C0" w:rsidP="001E0F20" w14:paraId="5F706FD5" w14:textId="6975AF52">
      <w:pPr>
        <w:pStyle w:val="ParaNum"/>
        <w:widowControl/>
      </w:pPr>
      <w:r w:rsidRPr="0025350E">
        <w:rPr>
          <w:rStyle w:val="cf01"/>
          <w:rFonts w:ascii="Times New Roman" w:hAnsi="Times New Roman" w:cs="Times New Roman"/>
          <w:sz w:val="22"/>
          <w:szCs w:val="22"/>
        </w:rPr>
        <w:t xml:space="preserve">Although </w:t>
      </w:r>
      <w:r>
        <w:t xml:space="preserve">we propose to continue to review requests to operate space stations within specific service allocations on a case-by-case basis to assess whether the proposed communications can justifiably fit within the definition of the service allocation, we observe the record has generated a number of comments that support the need for greater regulatory clarity to spur innovation in this space.  For example, some commenters raise concerns that without affirmative signals from the Commission, some radiocommunication allocations, including the space research service, may not be accessible to ISAM operators due to uncertainty regarding the scope of the allocation definitions and challenges coordinating use of this spectrum with </w:t>
      </w:r>
      <w:r w:rsidR="00545BDC">
        <w:t>F</w:t>
      </w:r>
      <w:r>
        <w:t>ederal operators.</w:t>
      </w:r>
      <w:r>
        <w:rPr>
          <w:rStyle w:val="FootnoteReference"/>
        </w:rPr>
        <w:footnoteReference w:id="75"/>
      </w:r>
      <w:r>
        <w:t xml:space="preserve">  Other commenters disagree whether EESS should be expressly excluded from case-by-case consideration for ISAM missions.</w:t>
      </w:r>
      <w:r>
        <w:rPr>
          <w:rStyle w:val="FootnoteReference"/>
        </w:rPr>
        <w:footnoteReference w:id="76"/>
      </w:r>
      <w:r>
        <w:t xml:space="preserve">  Commenters are chiefly concerned with the potential for interference to the important services provided through EESS passive and active remote sensing,</w:t>
      </w:r>
      <w:r>
        <w:rPr>
          <w:rStyle w:val="FootnoteReference"/>
        </w:rPr>
        <w:footnoteReference w:id="77"/>
      </w:r>
      <w:r>
        <w:t xml:space="preserve"> especially in the EESS passive bands where “the signals emitted by EESS (passive) sensors are very weak compared to those emitted by active communication services.”</w:t>
      </w:r>
      <w:r>
        <w:rPr>
          <w:rStyle w:val="FootnoteReference"/>
        </w:rPr>
        <w:footnoteReference w:id="78"/>
      </w:r>
    </w:p>
    <w:p w:rsidR="0025350E" w:rsidRPr="004E05C0" w:rsidP="001E0F20" w14:paraId="777F3583" w14:textId="77777777">
      <w:pPr>
        <w:pStyle w:val="ParaNum"/>
        <w:widowControl/>
      </w:pPr>
      <w:r>
        <w:t>We recognize that interference protection is very important for the EESS operations that commenters highlight,</w:t>
      </w:r>
      <w:r>
        <w:rPr>
          <w:rStyle w:val="FootnoteReference"/>
        </w:rPr>
        <w:footnoteReference w:id="79"/>
      </w:r>
      <w:r>
        <w:t xml:space="preserve"> and that EESS passive operations can be particularly vulnerable to interference.  </w:t>
      </w:r>
      <w:r>
        <w:t>Allowing operators to request the use of a particular existing service allocation for communications, however, does not permit unfettered access to all frequency bands.  The ITU has established stringent recommendations for the protection of passive sensors from interference through ITU-R Recommendation RS.2017 “Performance and interference criteria for satellite remote sensing.”</w:t>
      </w:r>
      <w:r>
        <w:rPr>
          <w:rStyle w:val="FootnoteReference"/>
        </w:rPr>
        <w:footnoteReference w:id="80"/>
      </w:r>
      <w:r>
        <w:t xml:space="preserve">  Additionally, our rules require applicants proposing to use specific frequencies to demonstrate compliance with ITU rules and recommendations.</w:t>
      </w:r>
      <w:r>
        <w:rPr>
          <w:rStyle w:val="FootnoteReference"/>
        </w:rPr>
        <w:footnoteReference w:id="81"/>
      </w:r>
      <w:r>
        <w:t xml:space="preserve">  It is not our view that merely allowing operators to apply for frequency authorization using frequency bands that are allocated for passive use would make such bands available only to operators engaging in active use.  Additionally, we observe that many EESS active operations have demonstrated an ability to share spectrum without the creation of harmful interference to other operators through our small satellite licensing process, which numerous EESS providers have used since its introduction in 2019.</w:t>
      </w:r>
      <w:r>
        <w:rPr>
          <w:rStyle w:val="FootnoteReference"/>
        </w:rPr>
        <w:footnoteReference w:id="82"/>
      </w:r>
      <w:r>
        <w:t xml:space="preserve">  We seek comment on this view and observation.  Although we certainly take seriously any potential for harmful interference to existing users, we tentatively conclude that we need not preemptively exclude the EESS allocations from case-by-case consideration altogether at this time.  We seek comment on this tentative conclusion.</w:t>
      </w:r>
    </w:p>
    <w:p w:rsidR="0025350E" w:rsidRPr="007C5AE6" w:rsidP="001E0F20" w14:paraId="6634DB72" w14:textId="72B28663">
      <w:pPr>
        <w:pStyle w:val="ParaNum"/>
        <w:widowControl/>
      </w:pPr>
      <w:r>
        <w:t>In addition to our tentative conclusion not to exclude operators from applying to use frequencies in any service allocation in which their operations could justifiably fit, we specifically seek comment on applicants seeking to operate within the SRS allocation.  Given the nascent stage of many emergent space operations, we propose to consider communications supporting them, particularly when funded by NASA or other federal research agencies, as falling within the definition of SRS.  We seek comment on this proposed approach and specifically on what other steps the Commission could take to promote regulatory certainty for these operators.  For example, could the uncertainty be resolved by adding a footnote to the United States Table</w:t>
      </w:r>
      <w:r w:rsidRPr="0022730E">
        <w:t xml:space="preserve"> </w:t>
      </w:r>
      <w:r>
        <w:t xml:space="preserve">in frequency bands allocated for Federal SRS specifically to permit operations of non-Federal operations funded or contracted by NASA or other federal research agencies?  We also seek comment on the language of any such footnote and what additional conditions on such operations may be needed to protect </w:t>
      </w:r>
      <w:r w:rsidR="00545BDC">
        <w:t>F</w:t>
      </w:r>
      <w:r>
        <w:t xml:space="preserve">ederal SRS operators from harmful interference. </w:t>
      </w:r>
    </w:p>
    <w:p w:rsidR="0025350E" w:rsidP="001E0F20" w14:paraId="14D3A42B" w14:textId="77777777">
      <w:pPr>
        <w:pStyle w:val="Heading2"/>
        <w:widowControl/>
      </w:pPr>
      <w:bookmarkStart w:id="37" w:name="_Toc209654312"/>
      <w:bookmarkStart w:id="38" w:name="_Toc212623653"/>
      <w:bookmarkStart w:id="39" w:name="_Toc221718832"/>
      <w:r>
        <w:t xml:space="preserve">Unlocking More Spectrum for Emergent Space </w:t>
      </w:r>
      <w:bookmarkEnd w:id="37"/>
      <w:r>
        <w:t>Operations</w:t>
      </w:r>
      <w:bookmarkEnd w:id="38"/>
      <w:bookmarkEnd w:id="39"/>
      <w:r>
        <w:t xml:space="preserve"> </w:t>
      </w:r>
    </w:p>
    <w:p w:rsidR="0025350E" w:rsidP="001E0F20" w14:paraId="164DD3D9" w14:textId="30EEAED6">
      <w:pPr>
        <w:pStyle w:val="ParaNum"/>
        <w:widowControl/>
      </w:pPr>
      <w:r>
        <w:t xml:space="preserve">We seek comments on ways that spectrum that is already allocated for non-Federal use could be made available to address the need for spectrum </w:t>
      </w:r>
      <w:r w:rsidRPr="001103A2">
        <w:t xml:space="preserve">to support </w:t>
      </w:r>
      <w:r>
        <w:t>emergent</w:t>
      </w:r>
      <w:r w:rsidRPr="001103A2">
        <w:t xml:space="preserve"> space operations</w:t>
      </w:r>
      <w:r>
        <w:t xml:space="preserve">.  In particular, we seek comment whether such spectrum can be identified in frequency bands that may currently be used intensively by non-Federal spectrum users in certain geographic areas (such as urban, high-population areas, particularly in the contiguous 48 states (CONUS), but that may not be used in other geographic areas (such as rural areas in CONUS, or outside of CONUS and in U.S. Territories and Possessions).  In order to avoid the challenges of coordinating non-Federal use of spectrum bands that are allocated primarily to Federal use, we are particularly interested in identifying spectrum bands that either are not shared with </w:t>
      </w:r>
      <w:r w:rsidR="00545BDC">
        <w:t>F</w:t>
      </w:r>
      <w:r>
        <w:t xml:space="preserve">ederal users, or that are shared with, but not used intensively by, </w:t>
      </w:r>
      <w:r w:rsidR="00545BDC">
        <w:t>F</w:t>
      </w:r>
      <w:r>
        <w:t xml:space="preserve">ederal users and are allocated on a secondary basis for Federal use.  </w:t>
      </w:r>
    </w:p>
    <w:p w:rsidR="0025350E" w:rsidP="001E0F20" w14:paraId="42C4F796" w14:textId="1EBE6833">
      <w:pPr>
        <w:pStyle w:val="ParaNum"/>
        <w:widowControl/>
      </w:pPr>
      <w:r>
        <w:t xml:space="preserve">Although our focus is on the specific frequency bands discussed below, we also seek comment on whether there are any additional bands that could satisfy the criteria identified above and that </w:t>
      </w:r>
      <w:r>
        <w:t>could potentially be used more intensively to provide TT&amp;C for emergent space operations.</w:t>
      </w:r>
      <w:r>
        <w:rPr>
          <w:rStyle w:val="FootnoteReference"/>
        </w:rPr>
        <w:footnoteReference w:id="83"/>
      </w:r>
      <w:r>
        <w:t xml:space="preserve">  In all cases, our objective is to allow more intensive and flexible use of spectrum in a way that avoids interference or economic harm to existing spectrum users.</w:t>
      </w:r>
    </w:p>
    <w:p w:rsidR="0025350E" w:rsidP="001E0F20" w14:paraId="195B0179" w14:textId="77777777">
      <w:pPr>
        <w:pStyle w:val="ParaNum"/>
        <w:widowControl/>
      </w:pPr>
      <w:r>
        <w:t>As part of this process, we seek comment generally on what changes to the United States Table and our rules would need to be made to effectuate such more intensive use domestically, and the specific manner in which those changes could be effectuated (for example, by creation of an allocation or through a footnote to the United States Table).  In addition, we seek comment on whether the flexible use, leasing/secondary markets, and competitive bidding proposals discussed in the specific frequency bands below could also be applied to other frequency bands in order to make additional spectrum resources available for emergent</w:t>
      </w:r>
      <w:r w:rsidRPr="001103A2">
        <w:t xml:space="preserve"> space operations</w:t>
      </w:r>
      <w:r>
        <w:t>.  We also generally seek comment on what, if any changes, are needed internationally to effectuate these changes, either through the ITU or through bi-lateral or multi-lateral agreements with other countries.</w:t>
      </w:r>
    </w:p>
    <w:p w:rsidR="0025350E" w:rsidRPr="00964089" w:rsidP="001E0F20" w14:paraId="5354397A" w14:textId="77777777">
      <w:pPr>
        <w:pStyle w:val="Heading3"/>
        <w:widowControl/>
      </w:pPr>
      <w:bookmarkStart w:id="40" w:name="_Toc209654313"/>
      <w:bookmarkStart w:id="41" w:name="_Toc212623654"/>
      <w:bookmarkStart w:id="42" w:name="_Toc221718833"/>
      <w:r w:rsidRPr="00964089">
        <w:t>2320-2345 MHz Band</w:t>
      </w:r>
      <w:bookmarkEnd w:id="40"/>
      <w:bookmarkEnd w:id="41"/>
      <w:bookmarkEnd w:id="42"/>
    </w:p>
    <w:p w:rsidR="0025350E" w:rsidRPr="00964089" w:rsidP="001E0F20" w14:paraId="612DD1D6" w14:textId="77777777">
      <w:pPr>
        <w:pStyle w:val="ParaNum"/>
        <w:widowControl/>
      </w:pPr>
      <w:r w:rsidRPr="00964089">
        <w:t>As an example of the type of more intensive spectrum use discussed above, we propose to add a secondary allocation for SOS (Earth-to-space) in the 2320-2345 MHz band in the non-Federal column of the United States Table, and to permit the existing exclusive licensee within this frequency band in the United States, SiriusXM, to lease portions of its spectrum to earth station licensees for command of spacecraft that do not otherwise provide radiocommunication services to the public.  We discuss the history and current use of the 2320-2345 MHz band below, as well as the specifics of the proposal and possible alternatives.</w:t>
      </w:r>
    </w:p>
    <w:p w:rsidR="0025350E" w:rsidP="001E0F20" w14:paraId="35D7FAC0" w14:textId="77777777">
      <w:pPr>
        <w:pStyle w:val="Heading4"/>
        <w:widowControl/>
      </w:pPr>
      <w:r>
        <w:t xml:space="preserve">History and Current Use </w:t>
      </w:r>
    </w:p>
    <w:p w:rsidR="0025350E" w:rsidP="001E0F20" w14:paraId="39BB62D4" w14:textId="16A4F34A">
      <w:pPr>
        <w:pStyle w:val="ParaNum"/>
        <w:widowControl/>
        <w:rPr>
          <w:szCs w:val="22"/>
        </w:rPr>
      </w:pPr>
      <w:r>
        <w:t xml:space="preserve">The history and current use of the 2320-2345 MHz band are important factors in proposing to make this </w:t>
      </w:r>
      <w:r w:rsidRPr="00AF2F68">
        <w:t xml:space="preserve">spectrum </w:t>
      </w:r>
      <w:r>
        <w:t xml:space="preserve">available </w:t>
      </w:r>
      <w:r w:rsidRPr="00AF2F68">
        <w:t xml:space="preserve">to </w:t>
      </w:r>
      <w:r>
        <w:t>address the needs of emergent space operations.  The 2320-2345 MHz band occupies 25 megahertz of spectrum and is used to provide Satellite Digital Audio Radio Service (SDARS) in the United States, as well as parts of Canada.  It is divided equally between two separate, but co-owned, SDARS networks, Sirius and XM.</w:t>
      </w:r>
      <w:r>
        <w:rPr>
          <w:rStyle w:val="FootnoteReference"/>
        </w:rPr>
        <w:footnoteReference w:id="84"/>
      </w:r>
      <w:r>
        <w:t xml:space="preserve">  </w:t>
      </w:r>
      <w:r w:rsidRPr="000731FA">
        <w:t>The Commission's rules define SDARS</w:t>
      </w:r>
      <w:r w:rsidR="008B7D95">
        <w:t>—</w:t>
      </w:r>
      <w:r w:rsidRPr="000731FA">
        <w:t>commonly known as “satellite radio”</w:t>
      </w:r>
      <w:r w:rsidR="008B7D95">
        <w:t>—</w:t>
      </w:r>
      <w:r w:rsidRPr="000731FA">
        <w:t>as "[a]radiocommunication service in which audio programming is digitally transmitted by one or more space</w:t>
      </w:r>
      <w:r>
        <w:t xml:space="preserve"> </w:t>
      </w:r>
      <w:r w:rsidRPr="000731FA">
        <w:t>stations directly to fixed, mobile, and/or portable stations, and which may involve complementary repeating terrestrial transmitters, telemetry, tracking and control facilities</w:t>
      </w:r>
      <w:r>
        <w:t>.”</w:t>
      </w:r>
      <w:r>
        <w:rPr>
          <w:rStyle w:val="FootnoteReference"/>
        </w:rPr>
        <w:footnoteReference w:id="85"/>
      </w:r>
      <w:r>
        <w:t xml:space="preserve">  </w:t>
      </w:r>
      <w:r w:rsidRPr="000731FA">
        <w:t>Thus, SDARS is primarily a</w:t>
      </w:r>
      <w:r>
        <w:t xml:space="preserve"> </w:t>
      </w:r>
      <w:r w:rsidRPr="000731FA">
        <w:t>satellite-delivered service in which programming is sent directly from satellites to subscriber receivers</w:t>
      </w:r>
      <w:r>
        <w:t xml:space="preserve"> </w:t>
      </w:r>
      <w:r w:rsidRPr="000731FA">
        <w:t xml:space="preserve">either at a fixed location or in motion. </w:t>
      </w:r>
    </w:p>
    <w:p w:rsidR="0025350E" w:rsidP="001E0F20" w14:paraId="64CB3901" w14:textId="77777777">
      <w:pPr>
        <w:pStyle w:val="ParaNum"/>
        <w:widowControl/>
      </w:pPr>
      <w:r>
        <w:t>The Commission awarded licenses to provide SDARS within the United States by auction in 1997.</w:t>
      </w:r>
      <w:r>
        <w:rPr>
          <w:rStyle w:val="FootnoteReference"/>
        </w:rPr>
        <w:footnoteReference w:id="86"/>
      </w:r>
      <w:r>
        <w:t xml:space="preserve">  </w:t>
      </w:r>
      <w:r w:rsidRPr="000731FA">
        <w:t xml:space="preserve">XM and Sirius launched </w:t>
      </w:r>
      <w:r>
        <w:t>initial</w:t>
      </w:r>
      <w:r w:rsidRPr="000731FA">
        <w:t xml:space="preserve"> satellites and began</w:t>
      </w:r>
      <w:r>
        <w:t xml:space="preserve"> </w:t>
      </w:r>
      <w:r w:rsidRPr="000731FA">
        <w:t xml:space="preserve">commercial operations in 2001 and </w:t>
      </w:r>
      <w:r w:rsidRPr="000731FA">
        <w:t>2002, respectively</w:t>
      </w:r>
      <w:r>
        <w:t>.</w:t>
      </w:r>
      <w:r>
        <w:rPr>
          <w:rStyle w:val="FootnoteReference"/>
        </w:rPr>
        <w:footnoteReference w:id="87"/>
      </w:r>
      <w:r>
        <w:t xml:space="preserve">  The two companies merged in 2008 to form </w:t>
      </w:r>
      <w:r w:rsidRPr="00925706">
        <w:t>a single company</w:t>
      </w:r>
      <w:r>
        <w:t>—</w:t>
      </w:r>
      <w:r w:rsidRPr="00925706">
        <w:t>Sirius XM Radio, Inc. (SiriusXM)</w:t>
      </w:r>
      <w:r>
        <w:t>—</w:t>
      </w:r>
      <w:r w:rsidRPr="00925706">
        <w:t>but the merged entity continues to operate the Sirius and XM systems as</w:t>
      </w:r>
      <w:r>
        <w:t xml:space="preserve"> </w:t>
      </w:r>
      <w:r w:rsidRPr="00925706">
        <w:t xml:space="preserve">separate networks and there </w:t>
      </w:r>
      <w:r>
        <w:t xml:space="preserve">are </w:t>
      </w:r>
      <w:r w:rsidRPr="00925706">
        <w:t>still separate license</w:t>
      </w:r>
      <w:r>
        <w:t>s</w:t>
      </w:r>
      <w:r w:rsidRPr="00925706">
        <w:t xml:space="preserve"> for each system.</w:t>
      </w:r>
      <w:r>
        <w:rPr>
          <w:rStyle w:val="FootnoteReference"/>
        </w:rPr>
        <w:footnoteReference w:id="88"/>
      </w:r>
      <w:r>
        <w:t xml:space="preserve">  Currently, SiriusXM and its subsidiary companies have licenses for geostationary-satellite orbit (GSO) space stations operating at the nominal 85</w:t>
      </w:r>
      <w:r>
        <w:rPr>
          <w:rFonts w:ascii="Anton" w:hAnsi="Anton"/>
        </w:rPr>
        <w:t>°</w:t>
      </w:r>
      <w:r>
        <w:t xml:space="preserve"> West Longitude (W.L.) and </w:t>
      </w:r>
      <w:r w:rsidRPr="00EF6D4A">
        <w:t>115° W.L.</w:t>
      </w:r>
      <w:r>
        <w:t xml:space="preserve"> orbital locations,</w:t>
      </w:r>
      <w:r>
        <w:rPr>
          <w:rStyle w:val="FootnoteReference"/>
        </w:rPr>
        <w:footnoteReference w:id="89"/>
      </w:r>
      <w:r>
        <w:t xml:space="preserve"> which transmit in the space-to-Earth direction to subscriber terminals in the 2320-2345 MHz band, with fixed earth stations providing uplinks in the 7.025-7.075 GHz band.  On-station TT&amp;C for SiriusXM’s satellites is provided in the X-band for command uplinks and S-band for telemetry downlinks.</w:t>
      </w:r>
      <w:r>
        <w:rPr>
          <w:rStyle w:val="FootnoteReference"/>
        </w:rPr>
        <w:footnoteReference w:id="90"/>
      </w:r>
      <w:r>
        <w:t xml:space="preserve">  SiriusXM reported it had approximately 32.8 million subscribers</w:t>
      </w:r>
      <w:r w:rsidRPr="00321F13">
        <w:t xml:space="preserve"> </w:t>
      </w:r>
      <w:r>
        <w:t>as of June 30, 2025.</w:t>
      </w:r>
      <w:r>
        <w:rPr>
          <w:rStyle w:val="FootnoteReference"/>
        </w:rPr>
        <w:footnoteReference w:id="91"/>
      </w:r>
    </w:p>
    <w:p w:rsidR="0025350E" w:rsidP="001E0F20" w14:paraId="6356BAF8" w14:textId="77777777">
      <w:pPr>
        <w:pStyle w:val="ParaNum"/>
        <w:widowControl/>
      </w:pPr>
      <w:r>
        <w:t>The 2320-2345 MHz band is part of a larger block of spectrum from 2305-2360 MHz that is divided between SDARS and Wireless Communications Services (WCS) licensees.  In 1996, Congress directed that this block of spectrum be reallocated from Federal to non-Federal use and auctioned.</w:t>
      </w:r>
      <w:r>
        <w:rPr>
          <w:rStyle w:val="FootnoteReference"/>
        </w:rPr>
        <w:footnoteReference w:id="92"/>
      </w:r>
      <w:r>
        <w:t xml:space="preserve">  </w:t>
      </w:r>
      <w:r w:rsidRPr="00262106">
        <w:t xml:space="preserve">The figure below shows the spectrum allocations </w:t>
      </w:r>
      <w:r>
        <w:t xml:space="preserve">and assignments across </w:t>
      </w:r>
      <w:r w:rsidRPr="00262106">
        <w:t>the</w:t>
      </w:r>
      <w:r>
        <w:t xml:space="preserve"> </w:t>
      </w:r>
      <w:r w:rsidRPr="00262106">
        <w:t>2305-2360 MHz bands.</w:t>
      </w:r>
      <w:r>
        <w:rPr>
          <w:rStyle w:val="FootnoteReference"/>
        </w:rPr>
        <w:footnoteReference w:id="93"/>
      </w:r>
    </w:p>
    <w:p w:rsidR="0025350E" w:rsidP="001E0F20" w14:paraId="114FB39C" w14:textId="77777777">
      <w:pPr>
        <w:pStyle w:val="ParaNum"/>
        <w:keepNext/>
        <w:widowControl/>
        <w:numPr>
          <w:ilvl w:val="0"/>
          <w:numId w:val="0"/>
        </w:numPr>
        <w:ind w:left="720"/>
      </w:pPr>
    </w:p>
    <w:p w:rsidR="0025350E" w:rsidP="001E0F20" w14:paraId="39AA1049" w14:textId="0723D7F9">
      <w:pPr>
        <w:pStyle w:val="ParaNum"/>
        <w:keepNext/>
        <w:widowControl/>
        <w:numPr>
          <w:ilvl w:val="0"/>
          <w:numId w:val="0"/>
        </w:numPr>
        <w:ind w:left="720"/>
      </w:pPr>
      <w:r>
        <w:rPr>
          <w:rStyle w:val="wacimagecontaine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Picture 1942686592, Picture" style="width:393.8pt;height:1in;mso-wrap-style:square;visibility:visible">
            <v:imagedata r:id="rId6" o:title="Picture 1942686592, Picture"/>
          </v:shape>
        </w:pict>
      </w:r>
    </w:p>
    <w:p w:rsidR="0025350E" w:rsidP="001E0F20" w14:paraId="4C3F853A" w14:textId="77777777">
      <w:pPr>
        <w:pStyle w:val="ParaNum"/>
        <w:widowControl/>
      </w:pPr>
      <w:r>
        <w:rPr>
          <w:snapToGrid/>
        </w:rPr>
        <w:t>Within the 2320-2345 MHz band, SiriusXM operates a network of terrestrial repeaters in the center portion of each of the two 12.5 megahertz assigned to Sirius and XM (2320.0-2332.5 MHz and 2332.5-2345 MHz).</w:t>
      </w:r>
      <w:r>
        <w:rPr>
          <w:rStyle w:val="FootnoteReference"/>
        </w:rPr>
        <w:footnoteReference w:id="94"/>
      </w:r>
      <w:r>
        <w:rPr>
          <w:snapToGrid/>
        </w:rPr>
        <w:t xml:space="preserve">  </w:t>
      </w:r>
      <w:r w:rsidRPr="000731FA">
        <w:t>Because a direct line of sight is generally required to</w:t>
      </w:r>
      <w:r>
        <w:t xml:space="preserve"> </w:t>
      </w:r>
      <w:r w:rsidRPr="000731FA">
        <w:t>receive an acceptable satellite signal, ground-based terrestrial repeaters are used in many areas to</w:t>
      </w:r>
      <w:r>
        <w:t xml:space="preserve"> </w:t>
      </w:r>
      <w:r w:rsidRPr="000731FA">
        <w:t xml:space="preserve">re-transmit the same signals provided </w:t>
      </w:r>
      <w:r w:rsidRPr="000731FA">
        <w:t>by satellites directly to subscribers in order to maintain adequate</w:t>
      </w:r>
      <w:r>
        <w:t xml:space="preserve"> </w:t>
      </w:r>
      <w:r w:rsidRPr="000731FA">
        <w:t>signal power</w:t>
      </w:r>
      <w:r>
        <w:t>.</w:t>
      </w:r>
      <w:r>
        <w:rPr>
          <w:rStyle w:val="FootnoteReference"/>
        </w:rPr>
        <w:footnoteReference w:id="95"/>
      </w:r>
      <w:r>
        <w:t xml:space="preserve">  </w:t>
      </w:r>
      <w:r>
        <w:rPr>
          <w:snapToGrid/>
        </w:rPr>
        <w:t>SiriusXM may also provide telemetry beacons in each of these assignments.</w:t>
      </w:r>
      <w:r>
        <w:rPr>
          <w:rStyle w:val="FootnoteReference"/>
        </w:rPr>
        <w:footnoteReference w:id="96"/>
      </w:r>
    </w:p>
    <w:p w:rsidR="0025350E" w:rsidP="001E0F20" w14:paraId="3BE6F190" w14:textId="77777777">
      <w:pPr>
        <w:pStyle w:val="ParaNum"/>
        <w:widowControl/>
      </w:pPr>
      <w:r>
        <w:rPr>
          <w:snapToGrid/>
        </w:rPr>
        <w:t xml:space="preserve">Domestically, the 2320-2345 MHz band is allocated on a primary basis for non-Federal </w:t>
      </w:r>
      <w:r w:rsidRPr="001103A2">
        <w:rPr>
          <w:snapToGrid/>
        </w:rPr>
        <w:t>BSS</w:t>
      </w:r>
      <w:r>
        <w:rPr>
          <w:snapToGrid/>
        </w:rPr>
        <w:t>, which includes SDARS.</w:t>
      </w:r>
      <w:r>
        <w:rPr>
          <w:rStyle w:val="FootnoteReference"/>
        </w:rPr>
        <w:footnoteReference w:id="97"/>
      </w:r>
      <w:r>
        <w:rPr>
          <w:snapToGrid/>
        </w:rPr>
        <w:t xml:space="preserve">  Footnote US327 to the United States Table states that the band is allocated to BSS (sound) and complementary terrestrial repeaters on a primary basis, and such use is limited to digital audio broadcasting.</w:t>
      </w:r>
      <w:r>
        <w:rPr>
          <w:rStyle w:val="FootnoteReference"/>
        </w:rPr>
        <w:footnoteReference w:id="98"/>
      </w:r>
      <w:r>
        <w:rPr>
          <w:snapToGrid/>
        </w:rPr>
        <w:t xml:space="preserve">  The United States Table provides Federal allocations for fixed service and radiolocation service on a secondary basis, subject to a footnote that recognizes the primary allocation for BSS (sound) and restricts radiolocation service in this band to the military services.</w:t>
      </w:r>
      <w:r>
        <w:rPr>
          <w:rStyle w:val="FootnoteReference"/>
        </w:rPr>
        <w:footnoteReference w:id="99"/>
      </w:r>
    </w:p>
    <w:p w:rsidR="0025350E" w:rsidRPr="00262106" w:rsidP="001E0F20" w14:paraId="25CE05F1" w14:textId="77777777">
      <w:pPr>
        <w:pStyle w:val="ParaNum"/>
        <w:widowControl/>
      </w:pPr>
      <w:r w:rsidRPr="00262106">
        <w:rPr>
          <w:snapToGrid/>
        </w:rPr>
        <w:t>Internationally, th</w:t>
      </w:r>
      <w:r>
        <w:rPr>
          <w:snapToGrid/>
        </w:rPr>
        <w:t xml:space="preserve">e 2300-2450 MHz </w:t>
      </w:r>
      <w:r w:rsidRPr="00262106">
        <w:rPr>
          <w:snapToGrid/>
        </w:rPr>
        <w:t xml:space="preserve">band is allocated </w:t>
      </w:r>
      <w:r>
        <w:rPr>
          <w:snapToGrid/>
        </w:rPr>
        <w:t xml:space="preserve">in ITU Regions 2 &amp; 3 </w:t>
      </w:r>
      <w:r w:rsidRPr="00262106">
        <w:rPr>
          <w:snapToGrid/>
        </w:rPr>
        <w:t>to radiolocation services and fixed and mobile terrestrial services</w:t>
      </w:r>
      <w:r>
        <w:rPr>
          <w:snapToGrid/>
        </w:rPr>
        <w:t xml:space="preserve"> on a primary basis, and to the amateur service on a secondary basis</w:t>
      </w:r>
      <w:r w:rsidRPr="00262106">
        <w:rPr>
          <w:snapToGrid/>
        </w:rPr>
        <w:t>.</w:t>
      </w:r>
      <w:r>
        <w:rPr>
          <w:rStyle w:val="FootnoteReference"/>
        </w:rPr>
        <w:footnoteReference w:id="100"/>
      </w:r>
      <w:r>
        <w:rPr>
          <w:snapToGrid/>
        </w:rPr>
        <w:t xml:space="preserve">  In ITU Region 1, the 2300-2450 MHz band is allocated to fixed and mobile services on a primary basis, and amateur and radiolocation services on a secondary basis.</w:t>
      </w:r>
      <w:r>
        <w:rPr>
          <w:rStyle w:val="FootnoteReference"/>
        </w:rPr>
        <w:footnoteReference w:id="101"/>
      </w:r>
      <w:r>
        <w:rPr>
          <w:snapToGrid/>
        </w:rPr>
        <w:t xml:space="preserve">  There are no allocations for satellite services internationally in the 2300-2450 MHz band in any of the three ITU regions,</w:t>
      </w:r>
      <w:r>
        <w:rPr>
          <w:rStyle w:val="FootnoteReference"/>
        </w:rPr>
        <w:footnoteReference w:id="102"/>
      </w:r>
      <w:r>
        <w:rPr>
          <w:snapToGrid/>
        </w:rPr>
        <w:t xml:space="preserve"> but international footnote 5.393 does allocate the 2310-2360 MHz band to BSS (sound) on a primary basis in Canada, the United States, and India.</w:t>
      </w:r>
      <w:r>
        <w:rPr>
          <w:rStyle w:val="FootnoteReference"/>
        </w:rPr>
        <w:footnoteReference w:id="103"/>
      </w:r>
      <w:r>
        <w:rPr>
          <w:snapToGrid/>
        </w:rPr>
        <w:t xml:space="preserve">  Currently, BSS (sound) in the 2310-2360 MHz band is being provided solely in the United States and parts of Canada through SiriusXM.  The United States entered into bilateral agreements with Canada and Mexico regarding the provision of SDARS, which remain in force.</w:t>
      </w:r>
      <w:r>
        <w:rPr>
          <w:rStyle w:val="FootnoteReference"/>
        </w:rPr>
        <w:footnoteReference w:id="104"/>
      </w:r>
    </w:p>
    <w:p w:rsidR="0025350E" w:rsidP="001E0F20" w14:paraId="6BC6C637" w14:textId="77777777">
      <w:pPr>
        <w:pStyle w:val="Heading4"/>
        <w:widowControl/>
      </w:pPr>
      <w:r>
        <w:t>Suitability for Space Ops</w:t>
      </w:r>
    </w:p>
    <w:p w:rsidR="0025350E" w:rsidP="001E0F20" w14:paraId="43AF19C0" w14:textId="77777777">
      <w:pPr>
        <w:pStyle w:val="ParaNum"/>
        <w:widowControl/>
      </w:pPr>
      <w:r>
        <w:t xml:space="preserve">We tentatively find that three factors make the 2320-2345 MHz band particularly well suited for more intensive use </w:t>
      </w:r>
      <w:r w:rsidRPr="001103A2">
        <w:t xml:space="preserve">for TT&amp;C in support of </w:t>
      </w:r>
      <w:r>
        <w:t>emergent</w:t>
      </w:r>
      <w:r w:rsidRPr="001103A2">
        <w:t xml:space="preserve"> space operations</w:t>
      </w:r>
      <w:r>
        <w:t xml:space="preserve">.  First, the 2320-2345 MHz band is located within the S-band and is in relatively close spectrum proximity to the 2025-2110 MHz (Earth-to-space) and 2200-2290 MHz (space-to-Earth) bands already used for Federal space </w:t>
      </w:r>
      <w:r>
        <w:t xml:space="preserve">operations.  As observed above, these two bands are frequently requested for TT&amp;C operations in support of ISAM and other spacecraft that do not otherwise provide radiocommunication services.  Although there is </w:t>
      </w:r>
      <w:r w:rsidRPr="001103A2">
        <w:t>significant</w:t>
      </w:r>
      <w:r>
        <w:t xml:space="preserve"> separation between these Federal S-bands and the 2320-2345 MHz band, the propagation characteristics of the spectrum and the antennas and radios used to transmit and receive are expected to be similar for both the Federal S-bands and the 2320-2345 MHz band.  Accordingly, we have reason to expect that, from a technical perspective, the 2320-2345 MHz could be readily used to provide space operation services in a manner adequately equivalent to the Federal S-bands.  We seek comment on these observations and expectations.</w:t>
      </w:r>
    </w:p>
    <w:p w:rsidR="0025350E" w:rsidP="001E0F20" w14:paraId="2F7BB8A3" w14:textId="18F105C7">
      <w:pPr>
        <w:pStyle w:val="ParaNum"/>
        <w:widowControl/>
      </w:pPr>
      <w:r>
        <w:t>Second, there are very few spectrum users of the 2320-2345 MHz band in the United States.  SiriusXM acquired exclusive use of the 2320-2345 MHz band at auction in 1997.  No other non-</w:t>
      </w:r>
      <w:r w:rsidR="00545BDC">
        <w:t>F</w:t>
      </w:r>
      <w:r>
        <w:t>ederal operators are licensed to operate in the 2320-2345 MHz band in the United States.  Likewise, there are no primary allocations for Federal operations in the 2320-2345 MHz band.  As such, we expect that the ability of new spectrum users to operate within the 2320-2345 MHz band in the United States are not heavily constrained by incumbent operations, other than the operations of SiriusXM and incumbent WCS operations in adjacent spectrum blocks.  We seek comment on this expectation.</w:t>
      </w:r>
    </w:p>
    <w:p w:rsidR="0025350E" w:rsidP="001E0F20" w14:paraId="38670F8B" w14:textId="77777777">
      <w:pPr>
        <w:pStyle w:val="ParaNum"/>
        <w:widowControl/>
      </w:pPr>
      <w:r>
        <w:t xml:space="preserve">Third, SiriusXM does not use the 2320-2345 MHz band uniformly throughout the United States.  Because of the location of its satellites in geostationary orbit </w:t>
      </w:r>
      <w:r w:rsidRPr="00D11ABF">
        <w:t>at the nominal 85° and 115° W.L. orbital locations,</w:t>
      </w:r>
      <w:r>
        <w:t xml:space="preserve"> none of the existing SiriusXM satellites provide service to subscribers in Hawaii, or in the northern portions of Alaska, which we characterize as being north of Anchorage.</w:t>
      </w:r>
      <w:r>
        <w:rPr>
          <w:rStyle w:val="FootnoteReference"/>
        </w:rPr>
        <w:footnoteReference w:id="105"/>
      </w:r>
      <w:r>
        <w:t xml:space="preserve">  For example, a review of the coverage footprints presented in the 2320-2345 MHz band downlinks for the newest SiriusXM satellites shows that neither satellite intends to use those downlinks in northern Alaska.</w:t>
      </w:r>
      <w:r>
        <w:rPr>
          <w:rStyle w:val="FootnoteReference"/>
        </w:rPr>
        <w:footnoteReference w:id="106"/>
      </w:r>
      <w:r>
        <w:t xml:space="preserve">  This is not surprising given that satellites located on the equatorial plane, such as GSO satellites, appear very low on the horizon to earth stations located in far northern and southern latitudes and are susceptible to increased signal blockage and attenuation from such a low angle on the horizon.</w:t>
      </w:r>
      <w:r>
        <w:rPr>
          <w:rStyle w:val="FootnoteReference"/>
        </w:rPr>
        <w:footnoteReference w:id="107"/>
      </w:r>
      <w:r>
        <w:t xml:space="preserve">  Similarly, SiriusXM satellites do not provide downlinks in the 2320-2345 MHz band to Hawaii or to U.S. Territories and Possessions in the Pacific, since the footprints of the service areas of existing SDARS satellites are focused on CONUS.  Although SiriusXM may elect to provide service into northern Alaska, Hawaii, and U.S. Territories and Possessions in the future, currently it has not proven feasible to do so under its existing deployment of satellites.  We seek comment on these observations.</w:t>
      </w:r>
    </w:p>
    <w:p w:rsidR="0025350E" w:rsidP="001E0F20" w14:paraId="64CC2887" w14:textId="77777777">
      <w:pPr>
        <w:pStyle w:val="ParaNum"/>
        <w:widowControl/>
      </w:pPr>
      <w:r>
        <w:t xml:space="preserve">In addition, although the 25 megahertz of spectrum in the 2320-2345 MHz band is less than the </w:t>
      </w:r>
      <w:r w:rsidRPr="001103A2">
        <w:t>spectrum available in the 2025-2110 MHz and 2200-2290 MHz bands</w:t>
      </w:r>
      <w:r>
        <w:t xml:space="preserve">, 25 megahertz could nonetheless provide meaningful additional spectrum resources for space operations.  Currently, non-Federal operations do not have access to the full 85 megahertz of spectrum in the 2025-2110 MHz band due to its heavy use by Federal operations and the need to avoid particular frequencies within the Federal S-band altogether.  As a result, only a portion of </w:t>
      </w:r>
      <w:r w:rsidRPr="001103A2">
        <w:t>the Federal S-band is</w:t>
      </w:r>
      <w:r>
        <w:t xml:space="preserve"> able to be coordinated for non-Federal use.  Because </w:t>
      </w:r>
      <w:r w:rsidRPr="001103A2">
        <w:t>TT&amp;C functions</w:t>
      </w:r>
      <w:r>
        <w:t xml:space="preserve"> are not always transmitting and employ narrowband signals, often 100 kilohertz in bandwidth or less, we anticipate that a large number of </w:t>
      </w:r>
      <w:r w:rsidRPr="001103A2">
        <w:t>TT&amp;C communications</w:t>
      </w:r>
      <w:r>
        <w:t xml:space="preserve"> can be accommodated in the 25 megahertz of the 2320-2345 MHz band, particularly if multiple earth station uplink sites can be coordinated with SiriusXM.  Accordingly, we tentatively conclude that making the </w:t>
      </w:r>
      <w:r>
        <w:t xml:space="preserve">2320-2345 MHz band accessible for </w:t>
      </w:r>
      <w:r w:rsidRPr="001103A2">
        <w:t>TT&amp;C</w:t>
      </w:r>
      <w:r>
        <w:t xml:space="preserve"> could meaningfully supplement or replace, at least in part, the requested use for non-Federal operations in the </w:t>
      </w:r>
      <w:r w:rsidRPr="001103A2">
        <w:t>Federal S-bands</w:t>
      </w:r>
      <w:r>
        <w:t>.  We seek comment on this tentative conclusion and the reasoning that underlies it.</w:t>
      </w:r>
    </w:p>
    <w:p w:rsidR="0025350E" w:rsidP="001E0F20" w14:paraId="073BA581" w14:textId="77777777">
      <w:pPr>
        <w:pStyle w:val="Heading4"/>
        <w:widowControl/>
      </w:pPr>
      <w:r>
        <w:t>Proposal for Secondary Allocation for SOS in 2320-2345 MHz Band</w:t>
      </w:r>
    </w:p>
    <w:p w:rsidR="0025350E" w:rsidP="001E0F20" w14:paraId="1648ECE7" w14:textId="77777777">
      <w:pPr>
        <w:pStyle w:val="ParaNum"/>
        <w:widowControl/>
      </w:pPr>
      <w:r>
        <w:t xml:space="preserve">We propose to create a secondary allocation for SOS in the 2320-2345 MHz band in the non-Federal column of the United States Table in the Earth-to-space direction.  We propose a new allocation because the current allocations in the band in the United States Table do not provide for satellite communications other than BSS (sound) in the space-to-Earth direction.  We also propose to add this allocation on a secondary basis to provide status for the </w:t>
      </w:r>
      <w:r w:rsidRPr="001103A2">
        <w:t>TT&amp;C</w:t>
      </w:r>
      <w:r>
        <w:t xml:space="preserve"> operations, but to make clear that they are secondary to the primary use of the band for BSS (sound) in the space-to-Earth direction.  These two proposals balance the desire for more intensive use of the band for satellite communications with the need to protect the operations of SiriusXM in a band from harmful interference in which it is exclusively authorized to operate throughout the United States.  We seek comment on these two proposals and on our objective in balancing the interests of more intensive spectrum use and the need to protect SiriusXM’s use of the band.</w:t>
      </w:r>
    </w:p>
    <w:p w:rsidR="0025350E" w:rsidP="001E0F20" w14:paraId="06B525C0" w14:textId="77777777">
      <w:pPr>
        <w:pStyle w:val="ParaNum"/>
        <w:widowControl/>
      </w:pPr>
      <w:r>
        <w:t xml:space="preserve">We tentatively conclude that an </w:t>
      </w:r>
      <w:r w:rsidRPr="001103A2">
        <w:t>SOS</w:t>
      </w:r>
      <w:r>
        <w:t xml:space="preserve"> allocation in the Earth-to-space direction is less likely to cause interference to SiriusXM’s operations in the 2320-2345 MHz band than an allocation in the space-to-Earth direction.  SiriusXM provides sensitive service links to subscribers in the 2320-2345 MHz band in the space-to-Earth direction.  We observe that allowing other space stations to transmit in the 2320-2345 MHz band could risk causing harmful signal degradation to those service links, which could in turn cause subscribers to become dissatisfied with their service and to cancel their subscriptions to SiriusXM, causing significant economic harm to SiriusXM.  Even if space stations were restricted by rule to transmitting solely into a particular geographic area where there are unlikely to be SiriusXM subscribers, such as northern Alaska, there remains the risk of disruption to SiriusXM’s subscribers if a space station, even inadvertently, does not comply with that restriction and transmits over CONUS in the 2320-2345 MHz band.</w:t>
      </w:r>
      <w:r>
        <w:rPr>
          <w:rStyle w:val="FootnoteReference"/>
        </w:rPr>
        <w:footnoteReference w:id="108"/>
      </w:r>
      <w:r>
        <w:t xml:space="preserve">  Earth-to-space operations in the 2320-2345 MHz bands can be more easily and reliably geographically restricted, with terrain and distance attenuating the risk of any interference from Earth-to-space use of the 2320-2345 MHz band into SiriusXM’s downlink operations in the same band in CONUS.  We seek comment on this tentative conclusion and the observations underlying it, as well as whether it may be possible to allow downlinks in the 2320-2345 MHz band through a secondary SOS allocation or footnote to the United States Table, without causing interference or economic harm to SiriusXM.  </w:t>
      </w:r>
      <w:r w:rsidRPr="001103A2">
        <w:t>We also</w:t>
      </w:r>
      <w:r>
        <w:t xml:space="preserve"> propose that any applicant seeking Commission authority to operate an earth station in the 2320-2345 MHz band under this secondary allocation must certify that the proposed operations in the band have been coordinated with and approved by SiriusXM to ensure that SiriusXM’s operations in the 2320-2345 MHz band are strongly safeguarded from interference.  We seek comment on this certification proposal.</w:t>
      </w:r>
    </w:p>
    <w:p w:rsidR="0025350E" w:rsidP="001E0F20" w14:paraId="6E75E354" w14:textId="77777777">
      <w:pPr>
        <w:pStyle w:val="ParaNum"/>
        <w:widowControl/>
      </w:pPr>
      <w:r>
        <w:t xml:space="preserve">We also seek comment on whether any technical or legal requirements need to be adopted by the Commission and codified in our rules in order to provide reasonable certainty as to what kind of operations are permitted under this secondary allocation.  For example, would power limits, antenna elevation angle restrictions, or further geographical limitations help to protect SiriusXM and spectrum users outside of the 2320-2345 MHz band from potential harmful interference from earth stations transmitting in the 2320-2345 MHz band?  Would such limits and restrictions also provide certainty to potential spectrum lessees as to the parameters of what operations could be provided?  We observe that our rules place power limits and out of band emission limits on SiriusXM terrestrial repeaters in the 2320-2345 MHz band in order to protect WCS licensees in adjacent bands from harmful </w:t>
      </w:r>
      <w:r>
        <w:t>interference.</w:t>
      </w:r>
      <w:r>
        <w:rPr>
          <w:rStyle w:val="FootnoteReference"/>
        </w:rPr>
        <w:footnoteReference w:id="109"/>
      </w:r>
      <w:r>
        <w:t xml:space="preserve">  Could such power and out of band emission limitations be extrapolated to earth station operations in a way that provides similar protection to WCS licensees from earth station uplink transmissions in the 2320-2345 MHz band?</w:t>
      </w:r>
      <w:r>
        <w:rPr>
          <w:rStyle w:val="FootnoteReference"/>
        </w:rPr>
        <w:footnoteReference w:id="110"/>
      </w:r>
      <w:r>
        <w:t xml:space="preserve">  Would limiting operations of earth stations to areas of northern Alaska mitigate the risk of harmful interference to spectrum users, particularly WCS licensees, in adjacent and nearby bands, given the sparse population density and rugged geography of northern Alaska?  If so, how would we define these areas in a way that is objective and clear?  We seek comment on these questions.</w:t>
      </w:r>
    </w:p>
    <w:p w:rsidR="0025350E" w:rsidP="001E0F20" w14:paraId="3B9F10A4" w14:textId="77777777">
      <w:pPr>
        <w:pStyle w:val="Heading4"/>
        <w:widowControl/>
      </w:pPr>
      <w:r>
        <w:t>Proposal to Permit Leased Spectrum in 2320-2345 MHz Band</w:t>
      </w:r>
    </w:p>
    <w:p w:rsidR="0025350E" w:rsidP="001E0F20" w14:paraId="604E389F" w14:textId="77777777">
      <w:pPr>
        <w:pStyle w:val="ParaNum"/>
        <w:widowControl/>
      </w:pPr>
      <w:r>
        <w:t>We propose to permit SiriusXM to lease use of the 2320-2345 MHz band spectrum to earth station licensees</w:t>
      </w:r>
      <w:r>
        <w:rPr>
          <w:rStyle w:val="FootnoteReference"/>
        </w:rPr>
        <w:footnoteReference w:id="111"/>
      </w:r>
      <w:r>
        <w:t xml:space="preserve"> that will use the frequencies to provide command </w:t>
      </w:r>
      <w:r w:rsidRPr="001103A2">
        <w:t>uplinks</w:t>
      </w:r>
      <w:r>
        <w:t xml:space="preserve"> </w:t>
      </w:r>
      <w:r w:rsidRPr="001103A2">
        <w:t xml:space="preserve">in support of </w:t>
      </w:r>
      <w:r>
        <w:t>emergent</w:t>
      </w:r>
      <w:r w:rsidRPr="001103A2">
        <w:t xml:space="preserve"> space operations</w:t>
      </w:r>
      <w:r>
        <w:t xml:space="preserve">.  This proposal aligns with, but is not identical to, the ability of </w:t>
      </w:r>
      <w:r w:rsidRPr="001103A2">
        <w:t>wireless radio service</w:t>
      </w:r>
      <w:r>
        <w:t xml:space="preserve"> licensees to lease spectrum under our existing secondary markets policy and rules.  We seek comment on how the leasing proposal for the 2320-2345 MHz band aligns generally with our secondary markets policy and rules.</w:t>
      </w:r>
    </w:p>
    <w:p w:rsidR="0025350E" w:rsidP="001E0F20" w14:paraId="33DF0BD2" w14:textId="77777777">
      <w:pPr>
        <w:pStyle w:val="ParaNum"/>
        <w:widowControl/>
      </w:pPr>
      <w:r>
        <w:t>In 2000, the Commission adopted a policy statement setting forth the Commission’s plans for facilitating secondary markets for radio spectrum to allow and encourage licensees to make all or portions of their assigned frequencies and/or service areas available to other entities and uses.</w:t>
      </w:r>
      <w:r>
        <w:rPr>
          <w:rStyle w:val="FootnoteReference"/>
        </w:rPr>
        <w:footnoteReference w:id="112"/>
      </w:r>
      <w:r>
        <w:t xml:space="preserve">  The Commission found that such secondary market transactions would complement the primary assignment function performed by the Commission through its spectrum auctions and licensing processes.</w:t>
      </w:r>
      <w:r>
        <w:rPr>
          <w:rStyle w:val="FootnoteReference"/>
        </w:rPr>
        <w:footnoteReference w:id="113"/>
      </w:r>
      <w:r>
        <w:t xml:space="preserve">  It also found that, while secondary markets are not a substitute for finding additional spectrum when needed, and should not supplant spectrum allocation processes, a robust and effective secondary market for spectrum usage rights could help alleviate spectrum shortages by making unused or underutilized spectrum held by existing licensees more readily available to other users and uses and help to promote the development of new, spectrum efficient technologies.</w:t>
      </w:r>
      <w:r>
        <w:rPr>
          <w:rStyle w:val="FootnoteReference"/>
        </w:rPr>
        <w:footnoteReference w:id="114"/>
      </w:r>
    </w:p>
    <w:p w:rsidR="0025350E" w:rsidP="001E0F20" w14:paraId="0ED54BE3" w14:textId="77777777">
      <w:pPr>
        <w:pStyle w:val="ParaNum"/>
        <w:widowControl/>
      </w:pPr>
      <w:r>
        <w:t>The Commission first adopted rules to implement the secondary markets policy in 2003.</w:t>
      </w:r>
      <w:r>
        <w:rPr>
          <w:rStyle w:val="FootnoteReference"/>
        </w:rPr>
        <w:footnoteReference w:id="115"/>
      </w:r>
      <w:r>
        <w:t xml:space="preserve">  Although the Commission expressly declined to adopt secondary market rules for satellite services at that time,</w:t>
      </w:r>
      <w:r>
        <w:rPr>
          <w:rStyle w:val="FootnoteReference"/>
        </w:rPr>
        <w:footnoteReference w:id="116"/>
      </w:r>
      <w:r>
        <w:t xml:space="preserve"> it did establish rules whereby certain wireless radio service licensees could lease </w:t>
      </w:r>
      <w:r>
        <w:t>their spectrum to other entities under arrangements that are suited to the parties’ respective needs.</w:t>
      </w:r>
      <w:r>
        <w:rPr>
          <w:rStyle w:val="FootnoteReference"/>
        </w:rPr>
        <w:footnoteReference w:id="117"/>
      </w:r>
      <w:r>
        <w:t xml:space="preserve">  </w:t>
      </w:r>
      <w:r w:rsidRPr="00F54D8E">
        <w:t xml:space="preserve">Under our existing secondary market rules, </w:t>
      </w:r>
      <w:r>
        <w:t xml:space="preserve">terrestrial wireless </w:t>
      </w:r>
      <w:r w:rsidRPr="00F54D8E">
        <w:t xml:space="preserve">licensee lessors and their lessees have two spectrum leasing options that each provide different rights and responsibilities for the </w:t>
      </w:r>
      <w:r>
        <w:t xml:space="preserve">wireless </w:t>
      </w:r>
      <w:r w:rsidRPr="00F54D8E">
        <w:t xml:space="preserve">licensee and lessee:  </w:t>
      </w:r>
      <w:r w:rsidRPr="00EA5724">
        <w:rPr>
          <w:i/>
          <w:iCs/>
        </w:rPr>
        <w:t>de facto</w:t>
      </w:r>
      <w:r w:rsidRPr="00F54D8E">
        <w:t xml:space="preserve"> transfer leasing arrangements; and spectrum manager leasing arrangements.</w:t>
      </w:r>
      <w:r>
        <w:rPr>
          <w:rStyle w:val="FootnoteReference"/>
        </w:rPr>
        <w:footnoteReference w:id="118"/>
      </w:r>
      <w:r w:rsidRPr="00F54D8E">
        <w:t xml:space="preserve">  Under either leasing option, the lessor and the lessee may choose to enter into a long-term (more than one year) or short-term (one year or less) arrangement.</w:t>
      </w:r>
      <w:r>
        <w:rPr>
          <w:rStyle w:val="FootnoteReference"/>
        </w:rPr>
        <w:footnoteReference w:id="119"/>
      </w:r>
      <w:r w:rsidRPr="00F54D8E">
        <w:t xml:space="preserve">  Spectrum manager leasing arrangements generally do not require prior Commission approval; rather, the licensee/lessor must notify the Commission in advance of commencing operations.</w:t>
      </w:r>
      <w:r>
        <w:rPr>
          <w:rStyle w:val="FootnoteReference"/>
        </w:rPr>
        <w:footnoteReference w:id="120"/>
      </w:r>
      <w:r w:rsidRPr="00F54D8E">
        <w:t xml:space="preserve">  In contrast, </w:t>
      </w:r>
      <w:r w:rsidRPr="00EA5724">
        <w:rPr>
          <w:i/>
          <w:iCs/>
        </w:rPr>
        <w:t>de facto</w:t>
      </w:r>
      <w:r w:rsidRPr="00F54D8E">
        <w:t xml:space="preserve"> transfer spectrum leasing arrangements are typically subject to the Commission’s general approval procedures, under which the Commission must grant the application prior to the parties putting the proposed spectrum leasing arrangement into effect.</w:t>
      </w:r>
      <w:r>
        <w:rPr>
          <w:rStyle w:val="FootnoteReference"/>
        </w:rPr>
        <w:footnoteReference w:id="121"/>
      </w:r>
      <w:r>
        <w:t xml:space="preserve"> </w:t>
      </w:r>
    </w:p>
    <w:p w:rsidR="0025350E" w:rsidP="001E0F20" w14:paraId="27CCF9B7" w14:textId="77777777">
      <w:pPr>
        <w:pStyle w:val="ParaNum"/>
        <w:widowControl/>
      </w:pPr>
      <w:r>
        <w:t xml:space="preserve">We seek comment on whether a variation of the </w:t>
      </w:r>
      <w:r w:rsidRPr="5DBD71FE">
        <w:rPr>
          <w:i/>
          <w:iCs/>
        </w:rPr>
        <w:t>de facto</w:t>
      </w:r>
      <w:r>
        <w:t xml:space="preserve"> transfer leasing arrangement may be an efficient and effective way to encourage SiriusXM to make the 2320-2345 MHz band available to earth station licensees on an expedited basis.  As proposed above, any earth station licensee that seeks to operate in the 2320-2345 MHz band </w:t>
      </w:r>
      <w:r w:rsidRPr="001103A2">
        <w:t>would have to</w:t>
      </w:r>
      <w:r>
        <w:t xml:space="preserve"> certify that its proposed operations have been coordinated with and approved by SiriusXM in order to avoid harmful interference to SiriusXM’s current and potential operations.  We propose that no authorization for such uplinks will be accepted for filing absent such coordination and approval.  We also propose that any existing authority to operate in the 2320-2345 MHz band will be conditioned on such coordination and approval, and the authority will terminate automatically unless the licensee maintains coordination with and approval by SiriusXM.  Such coordination is likely to require expenditure of resources by SiriusXM, or the forgoing of future rights to operate in certain areas, for the benefit of third party spectrum users.</w:t>
      </w:r>
      <w:r>
        <w:rPr>
          <w:rStyle w:val="FootnoteReference"/>
        </w:rPr>
        <w:footnoteReference w:id="122"/>
      </w:r>
      <w:r>
        <w:t xml:space="preserve">  As such, we tentatively conclude it is reasonable for SiriusXM to require financial compensation for the expenditures under these conditions.  For these reasons, we tentatively conclude that SiriusXM and potential earth station licensees should be permitted to reach private arrangements suited to each party’s needs, including financial consideration, in order to permit the use of the 2320-2345 MHz band for uplink TT&amp;C functions to support emergent space operations.  Such private leasing arrangements would provide incentive for SiriusXM to make as much of its spectrum rapidly available for use by others as feasible, while still maintaining protection from interference for its own operations in the band.  We seek comment on these tentative conclusions, proposals, and reasoning underlying them.</w:t>
      </w:r>
    </w:p>
    <w:p w:rsidR="0025350E" w:rsidP="001E0F20" w14:paraId="7D94A86F" w14:textId="77777777">
      <w:pPr>
        <w:pStyle w:val="ParaNum"/>
        <w:widowControl/>
      </w:pPr>
      <w:r>
        <w:t>Under this leasing proposal, private spectrum leasing arrangements with SiriusXM can be made with earth station licensees for individual earth stations or for multiple earth stations.  They also can be made for earth stations communicating with the earth station licensee’s own space stations, or through an earth station licensee that provides Ground-Station-as-a-Service (</w:t>
      </w:r>
      <w:r>
        <w:t>GSaaS</w:t>
      </w:r>
      <w:r>
        <w:t xml:space="preserve">) for multiple third-party space stations.  We seek comment on whether there are efficiencies to be gained from conducting TT&amp;C for emergent </w:t>
      </w:r>
      <w:r w:rsidRPr="001103A2">
        <w:t>space</w:t>
      </w:r>
      <w:r>
        <w:t xml:space="preserve"> operations as </w:t>
      </w:r>
      <w:r>
        <w:t>GSaaS</w:t>
      </w:r>
      <w:r>
        <w:t xml:space="preserve">, rather than having each space station license also build its own facilities for TT&amp;C.  For example, these efficiencies could include reducing the overall number of earth stations that need to be constructed, coordinated, and licensed, or facilitating the ability of TT&amp;C to be provided on an unprotected and non-interference basis through a single </w:t>
      </w:r>
      <w:r>
        <w:t>GSaaS</w:t>
      </w:r>
      <w:r>
        <w:t xml:space="preserve"> licensee acting as a </w:t>
      </w:r>
      <w:r w:rsidRPr="0068646C">
        <w:rPr>
          <w:i/>
        </w:rPr>
        <w:t>de facto</w:t>
      </w:r>
      <w:r>
        <w:t xml:space="preserve"> spectrum coordinator.  We seek comment on these questions.</w:t>
      </w:r>
    </w:p>
    <w:p w:rsidR="0025350E" w:rsidP="001E0F20" w14:paraId="4B0EAB0D" w14:textId="77777777">
      <w:pPr>
        <w:pStyle w:val="ParaNum"/>
        <w:widowControl/>
      </w:pPr>
      <w:r>
        <w:t>We also propose that space stations can be authorized by the Commission to receive in the 2320-2345 MHz band without needing to certify that such use has been coordinated with and approved by SiriusXM, but such authority would be limited to reception of commands from earth stations licensed by the FCC or from earth stations located outside of the United States.</w:t>
      </w:r>
      <w:r>
        <w:rPr>
          <w:rStyle w:val="FootnoteReference"/>
        </w:rPr>
        <w:footnoteReference w:id="123"/>
      </w:r>
      <w:r>
        <w:t xml:space="preserve">  For reception of commands in the 2320-2345 MHz from earth stations located outside the United States, we </w:t>
      </w:r>
      <w:r w:rsidRPr="001103A2">
        <w:t>tentatively</w:t>
      </w:r>
      <w:r>
        <w:t xml:space="preserve"> see no harm should such TT&amp;C uplinks be permitted outside the United States, since SiriusXM satellites do not receive in the 2320-2345 MHz band and there are no SiriusXM subscribers outside the United States, with the exception of Canada.  We seek comment on these proposals for earth and space station applications in the 2320-2345 MHz band.</w:t>
      </w:r>
    </w:p>
    <w:p w:rsidR="0025350E" w:rsidP="001E0F20" w14:paraId="0CC4EDF6" w14:textId="77777777">
      <w:pPr>
        <w:pStyle w:val="ParaNum"/>
        <w:widowControl/>
      </w:pPr>
      <w:r>
        <w:t>We also propose, unlike the spectrum leasing arrangements under our secondary markets policy and rules, lessees of the 2320-2345 MHz band will be licensed for earth stations under the proposal made today.  As proposed above, entities wishing to use the 2320-2345 MHz band to provide command uplinks must still obtain an earth station license from the Commission prior to transmitting in the band and will be subject to all licensing and regulatory requirements applicable to earth station licensees.  A review of the license application will allow the Commission to review the lessee’s qualifications under section 310 of the Act.</w:t>
      </w:r>
      <w:r>
        <w:rPr>
          <w:rStyle w:val="FootnoteReference"/>
        </w:rPr>
        <w:footnoteReference w:id="124"/>
      </w:r>
      <w:r>
        <w:t xml:space="preserve">  We seek comment on this proposal and whether instead the Commission should seek to adopt the requirements for approving long and short term </w:t>
      </w:r>
      <w:r w:rsidRPr="5DBD71FE">
        <w:rPr>
          <w:i/>
          <w:iCs/>
        </w:rPr>
        <w:t>de facto</w:t>
      </w:r>
      <w:r>
        <w:t xml:space="preserve"> transfers of control of spectrum under our spectrum leasing rules applicable to wireless radio services, which generally presume that no separate Commission license is needed to permit the operations using leased spectrum.</w:t>
      </w:r>
    </w:p>
    <w:p w:rsidR="0025350E" w:rsidP="001E0F20" w14:paraId="79E9C0D8" w14:textId="77777777">
      <w:pPr>
        <w:pStyle w:val="ParaNum"/>
        <w:widowControl/>
      </w:pPr>
      <w:r>
        <w:t>We also seek comment on whether a variation of the spectrum manager lease approach could be adopted in the 2320-2345 MHz band in which SiriusXM retains</w:t>
      </w:r>
      <w:r w:rsidRPr="0063211E">
        <w:t xml:space="preserve"> </w:t>
      </w:r>
      <w:r>
        <w:t xml:space="preserve">legal control and remains primarily responsible for ensuring lessees’ compliance with our rules and policies  We seek comment on whether requiring a license for the earth station operations in the leased spectrum would allow better assurance that interference is not caused to SiriusXM or other adjacent spectrum users and would allow the Commission to check compliance with any geographic areas restrictions on the use of the spectrum.  The Commission would still review the qualifications of the lessees through their applications to operate earth stations using the leased spectrum, and the use of the leased spectrum would be expressly authorized by the Commission through the earth station licenses.  As a result, we tentatively conclude that the </w:t>
      </w:r>
      <w:r w:rsidRPr="00CF670A">
        <w:rPr>
          <w:i/>
          <w:iCs/>
        </w:rPr>
        <w:t>de facto</w:t>
      </w:r>
      <w:r>
        <w:t xml:space="preserve"> transfer lease approach (modified by requiring an earth station license) avoids the need for potentially complicated notification and eligibility requirements designed</w:t>
      </w:r>
      <w:r w:rsidRPr="00744A54">
        <w:t xml:space="preserve"> </w:t>
      </w:r>
      <w:r>
        <w:t xml:space="preserve">under the spectrum manager lease approach to address compliance of the lessee with our rules and policies.  We seek comment on this approach and tentative conclusions, as well as whether we should adopt a spectrum manager approach instead of a </w:t>
      </w:r>
      <w:r w:rsidRPr="0068646C">
        <w:rPr>
          <w:i/>
        </w:rPr>
        <w:t>de facto</w:t>
      </w:r>
      <w:r>
        <w:t xml:space="preserve"> transfer approach.</w:t>
      </w:r>
    </w:p>
    <w:p w:rsidR="0025350E" w:rsidP="001E0F20" w14:paraId="17980D71" w14:textId="77777777">
      <w:pPr>
        <w:pStyle w:val="ParaNum"/>
        <w:widowControl/>
      </w:pPr>
      <w:r>
        <w:t xml:space="preserve">We also seek comment on whether SiriusXM is obliged to lease or coordinate use by others of its exclusive use spectrum under the leased spectrum, secondary markets proposal above, or under any of the alternatives discussed in this </w:t>
      </w:r>
      <w:r w:rsidRPr="00753436">
        <w:rPr>
          <w:i/>
          <w:iCs/>
        </w:rPr>
        <w:t>NPRM</w:t>
      </w:r>
      <w:r>
        <w:t xml:space="preserve">.  We also seek comment on whether the incentives provided by the leased spectrum, secondary markets proposal would make additional spectrum resources available more quickly and efficiently than a process that provides no incentives for SiriusXM to forego use of its exclusive use spectrum and to expend resources on coordination solely for the benefit of other potential spectrum users.  </w:t>
      </w:r>
    </w:p>
    <w:p w:rsidR="0025350E" w:rsidP="001E0F20" w14:paraId="3F485BFA" w14:textId="77777777">
      <w:pPr>
        <w:pStyle w:val="Heading4"/>
        <w:widowControl/>
      </w:pPr>
      <w:r>
        <w:t>International Issues</w:t>
      </w:r>
    </w:p>
    <w:p w:rsidR="0025350E" w:rsidP="001E0F20" w14:paraId="55FD5AF0" w14:textId="77777777">
      <w:pPr>
        <w:pStyle w:val="ParaNum"/>
        <w:widowControl/>
      </w:pPr>
      <w:r>
        <w:t>We seek comment on any international issues that may arise from our proposal to allow the use of the 2320-2345 MHz band for command uplinks to non-communications satellites.  We tentatively conclude that authorizing earth stations in the United States to transmit in the 2320-2345 MHz band for command uplink would be unlikely to cause harmful interference to spectrum users in other countries that do not share borders with the United States.  As observed above, only the United States, India, and Canada stated an intent to use this band for satellite communications, and only the United States and Canada are actually using the band for satellite communications.  In the remainder of the world, this band is used for terrestrial fixed and mobile communications.  The geographic distance between transmitting earth stations in the United States and the terrestrial operations of other countries is likely to attenuate greatly any in-band or out of band emissions, thereby avoiding interference to those terrestrial operations.  We seek comment on this observation and the potential of interference to the terrestrial operations of other countries.  In addition, the current bilateral agreements with Canada and Mexico do not address such Earth-to-space operations in the 2320-2345 MHz band.</w:t>
      </w:r>
      <w:r>
        <w:rPr>
          <w:rStyle w:val="FootnoteReference"/>
        </w:rPr>
        <w:footnoteReference w:id="125"/>
      </w:r>
      <w:r>
        <w:t xml:space="preserve">  To what extent would the United States need to request changes to those agreements in order to implement the proposal, if it is adopted?  We also seek comment on whether space stations could receive commands in the 2320-2345 MHz band, on either a protected or unprotected basis, consistent with the ITU Radio Regulations, absent an allocation for SOS in the International Table.</w:t>
      </w:r>
    </w:p>
    <w:p w:rsidR="0025350E" w:rsidP="001E0F20" w14:paraId="73969036" w14:textId="77777777">
      <w:pPr>
        <w:pStyle w:val="ParaNum"/>
        <w:widowControl/>
      </w:pPr>
      <w:r>
        <w:t xml:space="preserve">We also seek comment on to what extent other countries might explore ways to authorize earth stations to provide command uplinks in the 2320-2345 MHz band if there is sufficient demand globally for such services.  We observe that global networks of TT&amp;C facilities are often used for NGSO spacecraft that do not remain fixed relative to a location on the earth, unlike GSO </w:t>
      </w:r>
      <w:r w:rsidRPr="001103A2">
        <w:t>spacecraft</w:t>
      </w:r>
      <w:r>
        <w:t xml:space="preserve">.  Although the 2320-2345 MHz band is allocated on a primary basis for terrestrial fixed and mobile service in the rest of the world, and is not allocated for satellite communications, individual countries may be amenable to licensing earth stations at fixed locations to uplink in this band, if those uplinks would not cause harmful interference to terrestrial and mobile services in the band.  Of course, this is a matter of decision for the regulatory authorities of other countries, but we seek comment on these observations and whether world-wide facilities are needed to provide TT&amp;C in the 2320-2345 MHz band to spacecraft that do not otherwise provide radiocommunication services </w:t>
      </w:r>
      <w:r w:rsidRPr="001103A2">
        <w:t>to the public</w:t>
      </w:r>
      <w:r>
        <w:t>.</w:t>
      </w:r>
    </w:p>
    <w:p w:rsidR="0025350E" w:rsidP="001E0F20" w14:paraId="72275E73" w14:textId="77777777">
      <w:pPr>
        <w:pStyle w:val="Heading4"/>
        <w:widowControl/>
      </w:pPr>
      <w:r>
        <w:t>Potential Alternatives</w:t>
      </w:r>
    </w:p>
    <w:p w:rsidR="0025350E" w:rsidP="001E0F20" w14:paraId="6B5F6546" w14:textId="10BB54F9">
      <w:pPr>
        <w:pStyle w:val="ParaNum"/>
        <w:widowControl/>
      </w:pPr>
      <w:r>
        <w:t>We seek comment on alternatives to the specific proposals above.  In particular, we seek comment on whether allowing the use of the 2320-2345 MHz band for command uplinks to non-communication satellites or spacecraft could be better effectuated through a non-governmental (NG) footnote to the United States Table than through a secondary allocation.  For example, the footnote could state that “the frequency band 2320-2345 MHz can also be used for command uplinks to non-</w:t>
      </w:r>
      <w:r w:rsidR="00545BDC">
        <w:t>F</w:t>
      </w:r>
      <w:r>
        <w:t>ederal space stations in the Earth-to-space direction.”  If additional restrictions are desired on those operations, such as limiting them to a particular geographic area, those restrictions could be incorporated into the text of the footnote.  In this regard, such restrictions may not be necessary in the footnote, since the footnote would only apply in the United States to non-</w:t>
      </w:r>
      <w:r w:rsidR="00545BDC">
        <w:t>F</w:t>
      </w:r>
      <w:r>
        <w:t xml:space="preserve">ederal communications, such that any such transmitting </w:t>
      </w:r>
      <w:r>
        <w:t>earth stations conducting those communications would need to be licensed by the Commission and would have to comply with any Commission rules that could also set forth restrictions on use of the band.  We seek comment on the possible advantages and disadvantages of allowing use of the 2320-2345 MHz band for command uplinks in the Earth-to-space direction by footnote, in addition to or in lieu of a secondary allocation for SOS, and what should be the specific language of any such footnote.</w:t>
      </w:r>
    </w:p>
    <w:p w:rsidR="0025350E" w:rsidP="001E0F20" w14:paraId="45BD263D" w14:textId="77777777">
      <w:pPr>
        <w:pStyle w:val="ParaNum"/>
        <w:widowControl/>
      </w:pPr>
      <w:r>
        <w:t>We also seek comment on whether to allow earth stations to provide command uplinks to non-</w:t>
      </w:r>
      <w:r w:rsidRPr="001103A2">
        <w:t xml:space="preserve">communications </w:t>
      </w:r>
      <w:r w:rsidRPr="008A5F32">
        <w:t>satellites i</w:t>
      </w:r>
      <w:r>
        <w:t>n the 2320-2345 MHz band within a defined geographic area, such as an area of northern Alaska defined by latitude, without requiring coordination and approval of SiriusXM.  If SiriusXM satellites do not currently provide service into these areas, there may not be need for coordination and approval prior to operations to avoid harmful interference to SiriusXM operations in the 2320-2345 MHz band.  Although such a process would obviate the need for SiriusXM to lease spectrum or to spend resources reviewing coordination requests, is it possible to adequately define the area of operations where coordination would not be necessary?  Is it possible to foresee and address potential cases of harmful interference in advance and to adopt rules to prevent them, rather than relying on the parties to address potential harmful interference concerns on a case-by-case basis, and to reach an arrangement suitable to both parties?  Does such a process take into account the fact that SiriusXM maintains the ability to provide service in all of the United States?  We seek comment on these questions.</w:t>
      </w:r>
    </w:p>
    <w:p w:rsidR="0025350E" w:rsidP="001E0F20" w14:paraId="0470DD16" w14:textId="77777777">
      <w:pPr>
        <w:pStyle w:val="ParaNum"/>
        <w:widowControl/>
      </w:pPr>
      <w:r>
        <w:t xml:space="preserve">In addition, we seek comment on whether there are other market mechanisms, such as competitive bidding, that could be used to effectuate the efficient and expeditious use of the 2320-2345 MHz band for command uplinks consistent with statutory limitations.  For example, could the Commission auction earth station licenses to operate in the United States, using the 2320-2345 MHz band spectrum that </w:t>
      </w:r>
      <w:r w:rsidRPr="001103A2">
        <w:t>may not be</w:t>
      </w:r>
      <w:r>
        <w:t xml:space="preserve"> internationally allocated for satellite communications?  We seek comment on whether more intensive use of the band could be effectuated by auctioning the use to bidders who value the spectrum the highest for operations in a particular geographic area, for example by auctioning the use of the 2320-2345 MHz band for command uplinks in a specific geographic area to a single earth station licensee.  If so, how would we define those geographic areas?  Are any restrictions or other limitations needed on what entities are eligible to bid for the spectrum use in a geographic area?  We seek comment on these questions.</w:t>
      </w:r>
    </w:p>
    <w:p w:rsidR="0025350E" w:rsidP="001E0F20" w14:paraId="78DE502F" w14:textId="0A12E5EA">
      <w:pPr>
        <w:pStyle w:val="ParaNum"/>
        <w:widowControl/>
      </w:pPr>
      <w:r>
        <w:t>We also seek comment on our statutory authority to use auctions to authorize earth station operations using the 2320-2345 MHz band.  The</w:t>
      </w:r>
      <w:r w:rsidRPr="004410CE">
        <w:t xml:space="preserve"> Open-market Reorganization for the Betterment of International Telecommunications Act, enacted in 2000</w:t>
      </w:r>
      <w:r>
        <w:t xml:space="preserve"> (ORBIT Act)</w:t>
      </w:r>
      <w:r w:rsidRPr="004410CE">
        <w:t xml:space="preserve">, prohibits the </w:t>
      </w:r>
      <w:r>
        <w:t>Commission</w:t>
      </w:r>
      <w:r w:rsidRPr="004410CE">
        <w:t xml:space="preserve"> from assigning orbital locations or spectrum used for the provision of international or global satellite communications services through competitive bidding (i.e., auctions).</w:t>
      </w:r>
      <w:r>
        <w:rPr>
          <w:rStyle w:val="FootnoteReference"/>
        </w:rPr>
        <w:footnoteReference w:id="126"/>
      </w:r>
      <w:r w:rsidRPr="004410CE">
        <w:t xml:space="preserve"> </w:t>
      </w:r>
      <w:r>
        <w:t xml:space="preserve"> </w:t>
      </w:r>
      <w:r w:rsidRPr="004410CE">
        <w:t>This prohibition, codified at 47 U.S.C. § 765f, was intended to prevent the imposition of auction-based licensing regimes on international satellite operators, which could lead to burdensome and duplicative auction requirements in multiple jurisdictions.</w:t>
      </w:r>
      <w:r>
        <w:rPr>
          <w:rStyle w:val="FootnoteReference"/>
        </w:rPr>
        <w:footnoteReference w:id="127"/>
      </w:r>
      <w:r w:rsidRPr="004410CE">
        <w:t xml:space="preserve"> </w:t>
      </w:r>
      <w:r>
        <w:t xml:space="preserve"> We ask for comment on these questions in the specific context of our proposals to authorize earth stations to provide command uplinks to non-communication satellites and spacecraft in the 2320-2345 MHz band.  Does the fact that the proposal does not seek to use competitive bidding for </w:t>
      </w:r>
      <w:r>
        <w:t xml:space="preserve">orbital locations comport with both the letter and intent of the ORBIT Act?  Does the fact that SiriusXM provides SDARS service into Canada in the 2320-2345 MHz band transform the band into spectrum “that is used for the provision of international or global satellite communications services,” even though the purpose for which the 2320-2345 MHz band could be used is not SDARS, but </w:t>
      </w:r>
      <w:r w:rsidR="005F68DB">
        <w:t>SOS</w:t>
      </w:r>
      <w:r>
        <w:t>, which is not currently being provided in the 2320-2345 MHz band anywhere in the world?</w:t>
      </w:r>
      <w:r>
        <w:rPr>
          <w:rStyle w:val="FootnoteReference"/>
        </w:rPr>
        <w:footnoteReference w:id="128"/>
      </w:r>
      <w:r>
        <w:t xml:space="preserve">  Are </w:t>
      </w:r>
      <w:r w:rsidR="005F68DB">
        <w:t>SOS</w:t>
      </w:r>
      <w:r>
        <w:t xml:space="preserve"> or TT&amp;C “international or global satellite communications services” as that term is used in the ORBIT Act?</w:t>
      </w:r>
    </w:p>
    <w:p w:rsidR="0025350E" w:rsidP="001E0F20" w14:paraId="03B707F3" w14:textId="77777777">
      <w:pPr>
        <w:pStyle w:val="Heading3"/>
        <w:widowControl/>
      </w:pPr>
      <w:bookmarkStart w:id="43" w:name="_Toc209654314"/>
      <w:bookmarkStart w:id="44" w:name="_Toc212623655"/>
      <w:bookmarkStart w:id="45" w:name="_Toc221718834"/>
      <w:r>
        <w:t>Possible Application to Other Frequency Bands</w:t>
      </w:r>
      <w:bookmarkEnd w:id="43"/>
      <w:bookmarkEnd w:id="44"/>
      <w:bookmarkEnd w:id="45"/>
    </w:p>
    <w:p w:rsidR="0025350E" w:rsidRPr="00CD0F68" w:rsidP="001E0F20" w14:paraId="1FB8A5E8" w14:textId="04A1B09B">
      <w:pPr>
        <w:pStyle w:val="ParaNum"/>
        <w:widowControl/>
      </w:pPr>
      <w:r>
        <w:t>We seek comment on whether there are frequency bands, besides the 2320-2345 MHz band, that are allocated for non-Federal use that could be used more intensively to address the need for spectrum for emergent</w:t>
      </w:r>
      <w:r w:rsidRPr="001103A2">
        <w:t xml:space="preserve"> space operations</w:t>
      </w:r>
      <w:r>
        <w:t>.  Although the 2320-2345 MHz band appears particularly promising due to the exclusive use of the band by a single non-</w:t>
      </w:r>
      <w:r w:rsidR="00545BDC">
        <w:t>F</w:t>
      </w:r>
      <w:r>
        <w:t>ederal licensee, low level of use by Federal operations, and the proximity of the spectrum to existing S-band spectrum that is in high demand, we seek comment on whether there are other frequency bands that also possess these characteristics.  In particular, we seek comment on whether frequency bands adjacent to the 2320-2345 MHz band could also be made available, in the same or similar manner as the proposals for the 2320-2345 MHz band, for the provision of command uplinks to spacecraft that do not otherwise provide radiocommunication services.</w:t>
      </w:r>
    </w:p>
    <w:p w:rsidR="0025350E" w:rsidRPr="00EC4EFB" w:rsidP="001E0F20" w14:paraId="09C18AB4" w14:textId="77777777">
      <w:pPr>
        <w:pStyle w:val="Heading4"/>
        <w:widowControl/>
      </w:pPr>
      <w:r>
        <w:t>2315-2320 MHz and 2345-2350 MHz</w:t>
      </w:r>
    </w:p>
    <w:p w:rsidR="0025350E" w:rsidP="001E0F20" w14:paraId="60F2D190" w14:textId="77777777">
      <w:pPr>
        <w:pStyle w:val="ParaNum"/>
        <w:widowControl/>
      </w:pPr>
      <w:r>
        <w:t>On each side of the 2320-2345 MHz band that is used for SDARS subscriber downlinks are five megahertz of spectrum that served as “guard band” spectrum between SDARS and WCS operations in the 2305-2315 MHz and 2350-2360 MHz bands.  These two spectrum bands, known as WCS Blocks C &amp; D, were acquired by SiriusXM in 2024.</w:t>
      </w:r>
      <w:r>
        <w:rPr>
          <w:rStyle w:val="FootnoteReference"/>
        </w:rPr>
        <w:footnoteReference w:id="129"/>
      </w:r>
      <w:r>
        <w:t xml:space="preserve">  We seek comment on whether these two 5-megahertz spectrum bands could also be used to provide command uplinks similar to the proposed use in the 2320-2345 MHz band.</w:t>
      </w:r>
    </w:p>
    <w:p w:rsidR="0025350E" w:rsidRPr="000C7A73" w:rsidP="00260BC8" w14:paraId="5E5E67AA" w14:textId="509B5736">
      <w:pPr>
        <w:pStyle w:val="ParaNum"/>
        <w:widowControl/>
      </w:pPr>
      <w:r w:rsidRPr="000C7A73">
        <w:t xml:space="preserve">If </w:t>
      </w:r>
      <w:r>
        <w:t xml:space="preserve">the 2315-2320 MHz and 2345-2350 MHz bands were to be used to provide command uplinks similar to the proposed use of the 2320-2345 MHz band, the same mechanisms—adding a secondary allocation for SOS or by adding a footnote to the non-Federal column of the United States Table—could be used to implement such use.  Likewise, we propose that any use of the bands by applicants for earth station licenses would require certification that the proposed operations have been coordinated with and approved by SiriusXM and subject to any spectrum leasing regimes that may be adopted for the 2320-2345 MHz band.  We seek comment on the use of the 2315-2320 MHz and 2345-2350 MHz bands for uplink commands to non-communications satellites.  We also seek comment on use of these bands under any of the alternatives discussed above.  In addition, footnote US100 provides for use of the 2345-2360 MHz band for Federal aeronautical telemetering and associated telecommand operations for flight testing of manned or unmanned aircraft, missiles, or major components thereof, on a secondary basis to WCS.  Would additional technical or geographic restrictions on earth station uplinks in the 2345-2350 MHz band be necessary to protect such Federal secondary allocations from harmful interference?  Footnote US97 states that WCS base stations in the 2305-2320 MHz band must be subject to a coordination agreement with NASA prior to operations within 145 kilometers of Goldstone, </w:t>
      </w:r>
      <w:r>
        <w:t>California.</w:t>
      </w:r>
      <w:r>
        <w:rPr>
          <w:rStyle w:val="FootnoteReference"/>
        </w:rPr>
        <w:footnoteReference w:id="130"/>
      </w:r>
      <w:r>
        <w:t xml:space="preserve">  Would additional technical or geographic restrictions be necessary to protect the NASA radioastronomy site in Goldstone from harmful interference in the 2315-2320 MHz band, as required for WCS base stations operating in that band under footnote US97?  Would a requirement for prior coordination of any earth stations seeking to provide command uplinks in the 2315-2320 MHz band within 145 kilometers of Goldstone be adequate to provide the same level of protection that NASA currently has for WCS operations in the 2305-2320 MHz band?  </w:t>
      </w:r>
      <w:r w:rsidRPr="00260BC8" w:rsidR="00260BC8">
        <w:t xml:space="preserve">The near adjacent 2360-2395 MHz band is allocated on a primary basis for Federal and non-Federal </w:t>
      </w:r>
      <w:r w:rsidRPr="00260BC8" w:rsidR="00CD16B5">
        <w:t xml:space="preserve">aeronautical mobile telemetry (AMT) </w:t>
      </w:r>
      <w:r w:rsidRPr="00260BC8" w:rsidR="00260BC8">
        <w:t xml:space="preserve"> for flight testing</w:t>
      </w:r>
      <w:r w:rsidR="00D52858">
        <w:t>,</w:t>
      </w:r>
      <w:r w:rsidRPr="00260BC8" w:rsidR="00260BC8">
        <w:t xml:space="preserve"> and WCS base station operations in the 2345-2360 MHz band must be coordinated to ensure AMT receive stations are protected. </w:t>
      </w:r>
      <w:r w:rsidR="000A71AA">
        <w:t xml:space="preserve"> </w:t>
      </w:r>
      <w:r w:rsidRPr="00260BC8" w:rsidR="00260BC8">
        <w:t>Would additional technical or geographic restrictions on earth station uplinks in the 2345-2350 MHz band be necessary to protect Federal and non-Federal flight test operations in the 2360-2395 MHz band from harmful interference caused by SOS out-of-band emissions?</w:t>
      </w:r>
      <w:r w:rsidR="00260BC8">
        <w:t xml:space="preserve">  </w:t>
      </w:r>
      <w:r>
        <w:t>We also seek comment on the impact that use of the 2315-2320 MHz and 2345-2350 MHz bands for command uplinks could have on the proposed use of these bands by SiriusXM for the provision of public safety communication services originating from SiriusXM satellites.</w:t>
      </w:r>
      <w:r>
        <w:rPr>
          <w:rStyle w:val="FootnoteReference"/>
        </w:rPr>
        <w:footnoteReference w:id="131"/>
      </w:r>
    </w:p>
    <w:p w:rsidR="0025350E" w:rsidP="001E0F20" w14:paraId="66BBC33E" w14:textId="77777777">
      <w:pPr>
        <w:pStyle w:val="Heading4"/>
        <w:widowControl/>
      </w:pPr>
      <w:r w:rsidRPr="5DBD71FE">
        <w:t>2305-2315 MHz and 2350-2360 MHz</w:t>
      </w:r>
      <w:r>
        <w:t xml:space="preserve">  </w:t>
      </w:r>
    </w:p>
    <w:p w:rsidR="0025350E" w:rsidP="001E0F20" w14:paraId="4C3DFD3C" w14:textId="77777777">
      <w:pPr>
        <w:pStyle w:val="ParaNum"/>
        <w:widowControl/>
      </w:pPr>
      <w:r>
        <w:t xml:space="preserve">We seek comment on whether a secondary allocation for SOS could </w:t>
      </w:r>
      <w:r w:rsidRPr="001103A2">
        <w:t>also</w:t>
      </w:r>
      <w:r>
        <w:t xml:space="preserve"> be made in the 2310-2320 MHz band and 2350-2360 MHz band in the non-Federal column of the United States Table in the Earth-to-space direction and whether to allow WCS licensees, particularly AT&amp;T, to lease the use of the spectrum that they acquired through competitive bidding to earth station licensees to provide uplink commands to non-communications satellites in a manner similar to that proposed for the 2320-2345 MHz band.</w:t>
      </w:r>
    </w:p>
    <w:p w:rsidR="0025350E" w:rsidP="001E0F20" w14:paraId="0128CD3A" w14:textId="77777777">
      <w:pPr>
        <w:pStyle w:val="ParaNum"/>
        <w:widowControl/>
      </w:pPr>
      <w:r>
        <w:t>As observed above, the 2320-2345 MHz band is part of a larger block of spectrum from 2305-2360 MHz that is divided between WCS and SDARS licensees.  Within this block of spectrum, 2305-2310 MHz is allocated on a primary basis to non-Federal operations in the fixed, mobile (except aeronautical mobile), and radiolocation services.  There is also a secondary non-Federal allocation for the amateur service.  There are no Federal allocations in 2305-2310 MHz, although footnote G122 provides that Federal operations may be authorized on a non-interference basis to authorized non-Federal operations and shall not constrain the implementation of any non-Federal operation.</w:t>
      </w:r>
      <w:r>
        <w:rPr>
          <w:rStyle w:val="FootnoteReference"/>
        </w:rPr>
        <w:footnoteReference w:id="132"/>
      </w:r>
      <w:r>
        <w:t xml:space="preserve">  In addition, footnote US97 states that space-to-Earth operations in the 2305-2310 MHz band are prohibited, and that WCS base stations in the 2305-2320 MHz band must be subject to a coordination agreement with NASA prior to operations within 145 kilometers of Goldstone, California.</w:t>
      </w:r>
      <w:r>
        <w:rPr>
          <w:rStyle w:val="FootnoteReference"/>
        </w:rPr>
        <w:footnoteReference w:id="133"/>
      </w:r>
    </w:p>
    <w:p w:rsidR="0025350E" w:rsidP="001E0F20" w14:paraId="1555E92A" w14:textId="1BD0D625">
      <w:pPr>
        <w:pStyle w:val="ParaNum"/>
        <w:widowControl/>
      </w:pPr>
      <w:r>
        <w:t>The 2310-2320 MHz band has primary allocations for non-Federal fixed, mobile, and radiolocation services, as well as a primary allocation for BSS (sound).</w:t>
      </w:r>
      <w:r>
        <w:rPr>
          <w:rStyle w:val="FootnoteReference"/>
        </w:rPr>
        <w:footnoteReference w:id="134"/>
      </w:r>
      <w:r>
        <w:t xml:space="preserve">  There are secondary allocations in this band for Federal fixed, mobile, and radiolocation services.  The 2310-2320 MHz band also is subject to footnote US97.</w:t>
      </w:r>
      <w:r>
        <w:rPr>
          <w:rStyle w:val="FootnoteReference"/>
        </w:rPr>
        <w:footnoteReference w:id="135"/>
      </w:r>
      <w:r>
        <w:t xml:space="preserve">  Footnote US100 also provides for use of the band for Federal aeronautical telemetering and associated telecommand operations for flight testing of manned or unmanned aircraft, missiles, or major components thereof, on a secondary basis to WCS, and that 2312.5 MHz is shared on a co-equal basis by </w:t>
      </w:r>
      <w:r w:rsidR="00545BDC">
        <w:t>F</w:t>
      </w:r>
      <w:r>
        <w:t xml:space="preserve">ederal stations for telemetering and associated telecommand operations of expendable </w:t>
      </w:r>
      <w:r>
        <w:t>and reusable launch vehicles.</w:t>
      </w:r>
      <w:r>
        <w:rPr>
          <w:rStyle w:val="FootnoteReference"/>
        </w:rPr>
        <w:footnoteReference w:id="136"/>
      </w:r>
      <w:r>
        <w:t xml:space="preserve">  Footnote US100 also provides that other Federal mobile telemetering uses may be provided in the 2310-2320 MHz band on a non-interference basis to all other uses authorized pursuant to footnote US100.</w:t>
      </w:r>
      <w:r>
        <w:rPr>
          <w:rStyle w:val="FootnoteReference"/>
        </w:rPr>
        <w:footnoteReference w:id="137"/>
      </w:r>
    </w:p>
    <w:p w:rsidR="0025350E" w:rsidP="001E0F20" w14:paraId="1BDEA17D" w14:textId="77777777">
      <w:pPr>
        <w:pStyle w:val="ParaNum"/>
        <w:widowControl/>
      </w:pPr>
      <w:r>
        <w:t>The 2345-2360 MHz band has the same allocations as the 2310-2320 MHz band, and is also subject to footnotes G2, US100, and US327.</w:t>
      </w:r>
      <w:r>
        <w:rPr>
          <w:rStyle w:val="FootnoteReference"/>
        </w:rPr>
        <w:footnoteReference w:id="138"/>
      </w:r>
      <w:r>
        <w:t xml:space="preserve">  Provisions of footnote US100 that made the 2324-2360 MHz band available for non-Federal aeronautical telemetering and telecommand flight testing operations on a secondary basis to WCS expired on January 1, 2020.</w:t>
      </w:r>
      <w:r>
        <w:rPr>
          <w:rStyle w:val="FootnoteReference"/>
        </w:rPr>
        <w:footnoteReference w:id="139"/>
      </w:r>
    </w:p>
    <w:p w:rsidR="0025350E" w:rsidP="001E0F20" w14:paraId="46E6045A" w14:textId="77777777">
      <w:pPr>
        <w:pStyle w:val="ParaNum"/>
        <w:widowControl/>
      </w:pPr>
      <w:r>
        <w:t>WCS was established in 1997.</w:t>
      </w:r>
      <w:r>
        <w:rPr>
          <w:rStyle w:val="FootnoteReference"/>
        </w:rPr>
        <w:footnoteReference w:id="140"/>
      </w:r>
      <w:r>
        <w:t xml:space="preserve">  Mutually exclusive initial applications for WCS in the 2305-2320 MHz and 2345-2360 MHz bands are subject to competitive bidding,</w:t>
      </w:r>
      <w:r>
        <w:rPr>
          <w:rStyle w:val="FootnoteReference"/>
        </w:rPr>
        <w:footnoteReference w:id="141"/>
      </w:r>
      <w:r>
        <w:t xml:space="preserve"> and in 1997 the Commission auctioned and issued 128 WCS licenses.</w:t>
      </w:r>
      <w:r>
        <w:rPr>
          <w:rStyle w:val="FootnoteReference"/>
        </w:rPr>
        <w:footnoteReference w:id="142"/>
      </w:r>
      <w:r>
        <w:t xml:space="preserve">  WCS licenses are issued by FCC market areas and channel blocks, with 12 Regional Economic Area Groupings (REAG) and 52 Major Economic Areas (MEA).</w:t>
      </w:r>
      <w:r>
        <w:rPr>
          <w:rStyle w:val="FootnoteReference"/>
        </w:rPr>
        <w:footnoteReference w:id="143"/>
      </w:r>
      <w:r>
        <w:t xml:space="preserve">  Blocks A (2305-2310 MHz and 2350-2355 MHz) and B (2310-2315 MHz and 2355-2360 MHz) are issued by MEAs, and blocks C (2315-2320 MHz) and D (2345-2350 MHz) are issued by REAGs.  AT&amp;T currently holds all WCS licenses in Blocks A and B.  Thus, similar to SiriusXM in the 2320-2345 MHz band, AT&amp;T has exclusive use of the Block A and B licenses in the </w:t>
      </w:r>
      <w:r w:rsidRPr="00E36A9F">
        <w:t>2305-2315 MHz and 2350-2360 MHz</w:t>
      </w:r>
      <w:r>
        <w:t xml:space="preserve"> bands.</w:t>
      </w:r>
    </w:p>
    <w:p w:rsidR="0025350E" w:rsidP="001E0F20" w14:paraId="0141BAEA" w14:textId="77777777">
      <w:pPr>
        <w:pStyle w:val="ParaNum"/>
        <w:widowControl/>
      </w:pPr>
      <w:r>
        <w:t xml:space="preserve">We seek comment on whether, for the same reasons discussed above for the 2320-2345 MHz band, the 2305-2315 MHz and 2350-2360 MHz bands could be well suited for more intensive use for command uplinks </w:t>
      </w:r>
      <w:r w:rsidRPr="001103A2">
        <w:t xml:space="preserve">in support of </w:t>
      </w:r>
      <w:r>
        <w:t>emergent</w:t>
      </w:r>
      <w:r w:rsidRPr="001103A2">
        <w:t xml:space="preserve"> space operations</w:t>
      </w:r>
      <w:r>
        <w:t xml:space="preserve">.  First, the two bands are also relatively close in proximity to the Federal S-band spectrum that is currently being requested for command and control of ISAM and other spacecraft that do not otherwise provide radiocommunication services </w:t>
      </w:r>
      <w:r w:rsidRPr="001103A2">
        <w:t>to the public</w:t>
      </w:r>
      <w:r>
        <w:t>.  In addition, allowing leased use of the 2305-2315 MHz and 2350-2360 MHz bands for command uplinks would provide nearly contiguous 45 megahertz of S-band spectrum, or 55 megahertz of contiguous S-band spectrum if the 2315-2320 MHz and 2345-2350 MHz bands were also allowed leased use for command uplinks.  Second, there are relatively few existing licensed users of the bands, with AT&amp;T having exclusive, or near exclusive use, of the bands in the United States.  Finally, similar to the situation with SiriusXM, AT&amp;T does not operate in Blocks A and B uniformly throughout its licensed areas, and there may be geographical areas where earth stations may be able to transmit without causing harmful interference to AT&amp;T’s current or future operations.  We expect that this may be particularly true in remote and rural areas, such as northern Alaska.  We seek comment on these observations and expectations.</w:t>
      </w:r>
    </w:p>
    <w:p w:rsidR="0025350E" w:rsidP="001E0F20" w14:paraId="51AC6671" w14:textId="77777777">
      <w:pPr>
        <w:pStyle w:val="ParaNum"/>
        <w:widowControl/>
      </w:pPr>
      <w:r>
        <w:t xml:space="preserve">We also seek comment on whether the same general framework could be implemented for making spectrum available in the 2305-2320 MHz and 2350-2360 MHz bands that was </w:t>
      </w:r>
      <w:r w:rsidRPr="001103A2">
        <w:t>discussed</w:t>
      </w:r>
      <w:r>
        <w:t xml:space="preserve"> for </w:t>
      </w:r>
      <w:r>
        <w:t xml:space="preserve">the 2320-2345 MHz band, that is, adding a secondary allocation for SOS in the bands or </w:t>
      </w:r>
      <w:r w:rsidRPr="001103A2">
        <w:t>alternatively</w:t>
      </w:r>
      <w:r>
        <w:t xml:space="preserve"> adding a footnote to the United States Table to permit SOS in the bands, and allowing AT&amp;T to lease use of its spectrum in the 2305-2315 MHz and 2350-2360 MHz bands (Blocks A and B) to earth station licensees to provide command uplinks to spacecraft that do not otherwise provide radiocommunication services, subject to a certification by the earth station licensee that the proposed operations have been coordinated with and approved by AT&amp;T.  We observe that the Commission already permits leased access to WCS spectrum, including that held currently by AT&amp;T, through secondary market mechanisms, although those mechanisms are limited to the provision of wireless radio services and do not apply to use of the spectrum by earth stations to provide SOS.  We seek comment on what changes to our rules would be necessary to permit AT&amp;T to lease use of its Block A and B WCS spectrum for use by earth station licensees to provide command uplinks </w:t>
      </w:r>
      <w:r w:rsidRPr="001103A2">
        <w:t xml:space="preserve">in support of </w:t>
      </w:r>
      <w:r>
        <w:t>emergent</w:t>
      </w:r>
      <w:r w:rsidRPr="001103A2">
        <w:t xml:space="preserve"> space operations</w:t>
      </w:r>
      <w:r>
        <w:t>.  Are there any concerns for such leasing of spectrum by AT&amp;T that are not implicated by the proposed leasing of the 2320-2345 MHz band by SiriusXM?  We seek comment on these questions.</w:t>
      </w:r>
    </w:p>
    <w:p w:rsidR="0025350E" w:rsidP="00260BC8" w14:paraId="5DE2E92C" w14:textId="71C03E82">
      <w:pPr>
        <w:pStyle w:val="ParaNum"/>
        <w:widowControl/>
      </w:pPr>
      <w:r>
        <w:t xml:space="preserve">We also seek comment on whether there should be any technical or geographic restrictions or limitations on the use of the 2305-2315 MHz and 2350-2360 MHz bands that are different from technical or geographic restrictions in the 2320-2345 MHz band.  For example, footnote US100 provides for use of the 2310-2320 MHz band and 2345-2360 MHz band for Federal aeronautical telemetering and associated telecommand operations for flight testing of manned or unmanned aircraft, missiles, or major components thereof, on a secondary basis to WCS.  </w:t>
      </w:r>
      <w:r w:rsidRPr="00260BC8" w:rsidR="00260BC8">
        <w:t>We also seek comment on whether coordination with Aerospace and Flight Test Radio Coordinating Council (AFTRCC) and Federal AMT coordinators would be needed to protect AMT operations in the 2360-2395 MHz band, much as WCS base stations operating in the 2350-2360 MHz band must coordinated today with AFTRCC.</w:t>
      </w:r>
      <w:r w:rsidR="00260BC8">
        <w:t xml:space="preserve">  </w:t>
      </w:r>
      <w:r>
        <w:t xml:space="preserve">Would additional technical or geographic restrictions on earth station uplinks in these bands be necessary to protect such Federal secondary allocations from harmful interference?  Similarly, would additional technical or geographic restrictions be necessary to protect the NASA radioastronomy site in Goldstone from harmful interference in the 2305-2320 MHz band, as required for WCS base stations operating in that band under footnote US97?  Would a requirement for prior coordination of any earth stations seeking to provide command uplinks in the 2305-2320 MHz band within 145 kilometers of Goldstone be adequate to provide the same level of protection that NASA currently has for WCS operations in the 2305-2320 MHz band?  Would new earth station uplink operations be compatible with sensitive Moon bounce operations conducted under the amateur radio service in the 2305-2310 MHz band?  We also seek comment on whether it may be possible to allow downlinks in the 2305-2315 MHz and 2350-2360 MHz bands through a secondary SOS allocation or footnote to the United States Table, without causing interference or economic harm to WCS licensees or other authorized </w:t>
      </w:r>
      <w:r w:rsidR="00545BDC">
        <w:t>F</w:t>
      </w:r>
      <w:r>
        <w:t>ederal or non-</w:t>
      </w:r>
      <w:r w:rsidR="00545BDC">
        <w:t>F</w:t>
      </w:r>
      <w:r>
        <w:t>ederal spectrum users</w:t>
      </w:r>
      <w:r w:rsidR="00260BC8">
        <w:t xml:space="preserve"> in the same or adjacent spectrum bands</w:t>
      </w:r>
      <w:r>
        <w:t>.</w:t>
      </w:r>
    </w:p>
    <w:p w:rsidR="0025350E" w:rsidP="001E0F20" w14:paraId="65182668" w14:textId="77777777">
      <w:pPr>
        <w:pStyle w:val="ParaNum"/>
        <w:widowControl/>
      </w:pPr>
      <w:r>
        <w:t>We also seek comment on any international issues that may arise from our proposal to allow the use of the 2305-2315 MHz and 2350-2360 MHz bands for command uplinks to spacecraft that do not otherwise provide radiocommunication services.  We observe that these bands are subject to the same allocations internationally as the 2320-2345 MHz band.  Are any differences expected in the potential for interference to spectrum users outside of the United States from those addressed above in the context of our proposal for the 2320-2345 MHz band?</w:t>
      </w:r>
      <w:r w:rsidRPr="003D6D97">
        <w:t xml:space="preserve"> </w:t>
      </w:r>
      <w:r>
        <w:t xml:space="preserve"> Would any changes to the current bilateral agreements with Canada and Mexico be needed to address Earth-to-space operations in the 2305-2315 MHz and 2350-2360 MHz bands that would not be needed to address such operations in the 2320-2345 MHz band?</w:t>
      </w:r>
      <w:r w:rsidRPr="00FE36DD">
        <w:t xml:space="preserve"> </w:t>
      </w:r>
      <w:r>
        <w:t xml:space="preserve"> Could stations could receive commands in the 2305-2315 MHz and 2350-2360 MHz bands, on either a protected or unprotected basis, consistent with the ITU Radio Regulations, absent an allocation for SOS in the International Table?</w:t>
      </w:r>
      <w:r w:rsidRPr="00FE36DD">
        <w:t xml:space="preserve"> </w:t>
      </w:r>
      <w:r>
        <w:t xml:space="preserve"> To what extent might other countries explore ways to authorize earth stations to provide command uplinks in the 2305-2315 MHz and 2350-2360 MHz bands if there is sufficient demand globally for such services?  If other countries allow use of these bands for SOS, could such frequencies be considered to be spectrum “that is used for the provision of international or global satellite communications services” under the ORBIT Act?  We seek comment on these questions.</w:t>
      </w:r>
    </w:p>
    <w:p w:rsidR="0025350E" w:rsidP="001E0F20" w14:paraId="6A86536C" w14:textId="77777777">
      <w:pPr>
        <w:pStyle w:val="ParaNum"/>
        <w:widowControl/>
      </w:pPr>
      <w:r>
        <w:t>We also seek comment on whether any future auctions involving WCS license that are currently in inventory might specifically address the ability of future WCS licensees to lease spectrum to earth station licensees to provide command uplinks to spacecraft that do not otherwise provide radiocommunication services.  We observe that there are ten WCS licenses in the Pacific Island REAG that are in the Commission’s inventory of spectrum.  Would the value of such licenses be increased in an auction if the winner would also be able to lease spectrum to earth station licensees to provide command uplinks to spacecraft that do not otherwise provide radiocommunication services?  Would the ability of earth station licensees to provide such command uplinks in the Pacific Islands be useful in creating a global network of TT&amp;C facilities that are often used for NGSO spacecraft?  We seek comment on these questions.</w:t>
      </w:r>
    </w:p>
    <w:p w:rsidR="0025350E" w:rsidP="001E0F20" w14:paraId="3E3B48CD" w14:textId="77777777">
      <w:pPr>
        <w:pStyle w:val="Heading3"/>
        <w:widowControl/>
      </w:pPr>
      <w:bookmarkStart w:id="46" w:name="_Toc208933958"/>
      <w:bookmarkStart w:id="47" w:name="_Toc208942179"/>
      <w:bookmarkStart w:id="48" w:name="_Toc208944773"/>
      <w:bookmarkStart w:id="49" w:name="_Toc208944805"/>
      <w:bookmarkStart w:id="50" w:name="_Toc208933960"/>
      <w:bookmarkStart w:id="51" w:name="_Toc208942181"/>
      <w:bookmarkStart w:id="52" w:name="_Toc208944775"/>
      <w:bookmarkStart w:id="53" w:name="_Toc208944807"/>
      <w:bookmarkStart w:id="54" w:name="_Toc209654315"/>
      <w:bookmarkStart w:id="55" w:name="_Toc212623656"/>
      <w:bookmarkStart w:id="56" w:name="_Toc221718835"/>
      <w:bookmarkEnd w:id="46"/>
      <w:bookmarkEnd w:id="47"/>
      <w:bookmarkEnd w:id="48"/>
      <w:bookmarkEnd w:id="49"/>
      <w:bookmarkEnd w:id="50"/>
      <w:bookmarkEnd w:id="51"/>
      <w:bookmarkEnd w:id="52"/>
      <w:bookmarkEnd w:id="53"/>
      <w:r>
        <w:t>Intersatellite Links</w:t>
      </w:r>
      <w:bookmarkEnd w:id="54"/>
      <w:bookmarkEnd w:id="55"/>
      <w:bookmarkEnd w:id="56"/>
      <w:r>
        <w:t xml:space="preserve"> </w:t>
      </w:r>
    </w:p>
    <w:p w:rsidR="0025350E" w:rsidP="001E0F20" w14:paraId="0364AFE7" w14:textId="77777777">
      <w:pPr>
        <w:pStyle w:val="ParaNum"/>
        <w:widowControl/>
      </w:pPr>
      <w:r>
        <w:t xml:space="preserve">We seek comment on whether licensed satellite operators should be authorized by rule to use their FCC-licensed satellites and intersatellite links to provide TT&amp;C and data downlinks </w:t>
      </w:r>
      <w:r w:rsidRPr="001103A2">
        <w:t xml:space="preserve">in support of </w:t>
      </w:r>
      <w:r>
        <w:t>emergent</w:t>
      </w:r>
      <w:r w:rsidRPr="001103A2">
        <w:t xml:space="preserve"> space operations</w:t>
      </w:r>
      <w:r>
        <w:t xml:space="preserve">, without the need to file a modification or obtain additional authorization from the Commission.  We expect that such authorization could provide additional spectrum because it will allow the use of off-the-shelf equipment, such as MSS user terminals, and already established ground and space infrastructure.  Additionally, we expect such authorization could open up a new avenue of business for established NGSO or GSO </w:t>
      </w:r>
      <w:r w:rsidRPr="001103A2">
        <w:t>space station licensees</w:t>
      </w:r>
      <w:r>
        <w:t xml:space="preserve"> if there is a regulatory framework for clear authorization for these kinds of radiofrequency communications.  We seek comment on these expectations.  </w:t>
      </w:r>
    </w:p>
    <w:p w:rsidR="0025350E" w:rsidP="001E0F20" w14:paraId="48BCD2B6" w14:textId="77777777">
      <w:pPr>
        <w:pStyle w:val="ParaNum"/>
        <w:widowControl/>
      </w:pPr>
      <w:r>
        <w:t>Many spacecraft that are used to test technologies or perform experiments on-orbit do not have large antennas.  This is largely due to financial and launch constraints, and the need for satellites to be small.  Since the spacecraft are not intended to provide radiocommunication service to the public, much of a spacecraft’s mass could be taken up by non-radio equipment, such as robot arms or other tools, and radios and antennas will need to be as small as possible.  As a result, many small satellites and experimental satellites rely on intersatellite links whereby one satellite sends data and TT&amp;C information to the ground via another satellite system.  The Commission has experience with this kind of arrangement for experimental part 5 satellite applications and Iridium companion filings.</w:t>
      </w:r>
      <w:r>
        <w:rPr>
          <w:rStyle w:val="FootnoteReference"/>
        </w:rPr>
        <w:footnoteReference w:id="144"/>
      </w:r>
      <w:r>
        <w:t xml:space="preserve">  In this arrangement, an experimental satellite operator files a part 5 application for experimental authority and the other satellite system then files a companion application for part 5 experimental authority to communicate with the other experimental satellite using its constellation that is licensed under </w:t>
      </w:r>
      <w:r>
        <w:t>part</w:t>
      </w:r>
      <w:r>
        <w:t xml:space="preserve"> 25.</w:t>
      </w:r>
      <w:r>
        <w:rPr>
          <w:rStyle w:val="FootnoteReference"/>
        </w:rPr>
        <w:footnoteReference w:id="145"/>
      </w:r>
      <w:r>
        <w:t xml:space="preserve">  We observe that this can be a cost-effective way for many new companies to deploy experimental satellites because they do not have to invest in large antennas or an extensive ground station network.  We seek comment on this observation.</w:t>
      </w:r>
    </w:p>
    <w:p w:rsidR="0025350E" w:rsidP="001E0F20" w14:paraId="0EEC66E3" w14:textId="1FE00025">
      <w:pPr>
        <w:pStyle w:val="ParaNum"/>
        <w:widowControl/>
      </w:pPr>
      <w:r>
        <w:t xml:space="preserve">We seek comment on allowing </w:t>
      </w:r>
      <w:r w:rsidRPr="001103A2">
        <w:t>space stations already licensed by the Commission</w:t>
      </w:r>
      <w:r>
        <w:t xml:space="preserve"> to use intersatellite links to provide TT&amp;C and payload data downlinks and uplinks</w:t>
      </w:r>
      <w:r w:rsidRPr="00A80DEC">
        <w:t xml:space="preserve"> </w:t>
      </w:r>
      <w:r>
        <w:t>to and from spacecraft that do not otherwise provide radiocommunication services.  Are there any concerns with allowing satellite operators to communicate with such spacecraft via intersatellite links without the need to file a modification?  Should we require these operators, like Iridium, to file a notification that they consent to the communications as part of the license application, or should the obligation fall on the applicant to certify that the other satellite system operator has consented to the intersatellite links?  We seek comment on these questions.</w:t>
      </w:r>
    </w:p>
    <w:p w:rsidR="0025350E" w:rsidP="001E0F20" w14:paraId="1E33D2FB" w14:textId="3484E09C">
      <w:pPr>
        <w:pStyle w:val="ParaNum"/>
        <w:widowControl/>
      </w:pPr>
      <w:r>
        <w:t xml:space="preserve">Additionally, should we limit or identify the specific frequency bands in which intersatellite links may be used in connection with spacecraft that do not </w:t>
      </w:r>
      <w:r w:rsidRPr="001103A2">
        <w:t>otherwise</w:t>
      </w:r>
      <w:r>
        <w:t xml:space="preserve"> provide </w:t>
      </w:r>
      <w:r>
        <w:t>radiocommunication service?</w:t>
      </w:r>
      <w:r w:rsidRPr="00975E0B" w:rsidR="00975E0B">
        <w:rPr>
          <w:rStyle w:val="EndnoteReference"/>
        </w:rPr>
        <w:t xml:space="preserve"> </w:t>
      </w:r>
      <w:r>
        <w:rPr>
          <w:rStyle w:val="FootnoteReference"/>
        </w:rPr>
        <w:footnoteReference w:id="146"/>
      </w:r>
      <w:r>
        <w:t xml:space="preserve">  We expect that satellite operators already licensed to use specific frequencies for intersatellite links, like Iridium, are best placed to coordinate the use of their licensed spectrum and determine the amount of capacity they have to provide intersatellite links to other spacecraft.  Should we allow operators to use these intersatellite links in any frequency band in which their satellite partner (e.g., Iridium would be the satellite partner for part 5 experimental satellites described above) is licensed and willing to offer the intersatellite service?  It is also likely that other satellite operators besides Iridium will be able to offer this proposed intersatellite link service if the Commission provides a regulatory pathway.  Are there additional interference concerns that need to be considered if multiple NGSO or GSO satellite operators are providing intersatellite </w:t>
      </w:r>
      <w:r w:rsidRPr="001103A2">
        <w:t xml:space="preserve">links in support of </w:t>
      </w:r>
      <w:r>
        <w:t>emergent</w:t>
      </w:r>
      <w:r w:rsidRPr="001103A2">
        <w:t xml:space="preserve"> space operations</w:t>
      </w:r>
      <w:r>
        <w:t>?  We seek comment on these questions.</w:t>
      </w:r>
    </w:p>
    <w:p w:rsidR="0025350E" w:rsidP="001E0F20" w14:paraId="4531A9B8" w14:textId="77777777">
      <w:pPr>
        <w:pStyle w:val="ParaNum"/>
        <w:widowControl/>
      </w:pPr>
      <w:r>
        <w:t xml:space="preserve">We also seek comment on how to address international coordination of such intersatellite links, given the absence of an international allocation for inter-satellite links and the ongoing discussion of intersatellite links at recent World Radio Conferences </w:t>
      </w:r>
      <w:r w:rsidRPr="001103A2">
        <w:t>(WRC)</w:t>
      </w:r>
      <w:r>
        <w:t>.</w:t>
      </w:r>
      <w:r>
        <w:rPr>
          <w:rStyle w:val="FootnoteReference"/>
        </w:rPr>
        <w:footnoteReference w:id="147"/>
      </w:r>
      <w:r>
        <w:t xml:space="preserve">  Should we only allow intersatellite links in bands that are allocated internationally for intersatellite links?  Should we allow intersatellite links as a non-conforming use provided that applicants provide compatibility showings?  We seek comment on these questions.</w:t>
      </w:r>
    </w:p>
    <w:p w:rsidR="0025350E" w:rsidP="001E0F20" w14:paraId="1D48DD13" w14:textId="77777777">
      <w:pPr>
        <w:pStyle w:val="ParaNum"/>
        <w:widowControl/>
      </w:pPr>
      <w:r>
        <w:t xml:space="preserve">Finally, we seek comment on any other changes to our rules or allocations under the United States Table that would be necessary to facilitate the ability of spacecraft to communicate with existing commercial communications satellites in NGSO or GSO to relay TT&amp;C or payload data.  How would any changes to existing rules and allocations be consistent with studies or initiatives that have been made internationally, particularly at the </w:t>
      </w:r>
      <w:r w:rsidRPr="001103A2">
        <w:t>WRC</w:t>
      </w:r>
      <w:r>
        <w:t xml:space="preserve"> regarding this type of activity?  What further steps would be necessary to allow this domestically and/or internationally?  We seek comment on these questions.</w:t>
      </w:r>
    </w:p>
    <w:p w:rsidR="0025350E" w:rsidRPr="00250BD7" w:rsidP="001E0F20" w14:paraId="0F55E498" w14:textId="77777777">
      <w:pPr>
        <w:pStyle w:val="Heading2"/>
        <w:widowControl/>
      </w:pPr>
      <w:bookmarkStart w:id="57" w:name="_Toc209654316"/>
      <w:bookmarkStart w:id="58" w:name="_Toc212623657"/>
      <w:bookmarkStart w:id="59" w:name="_Toc221718836"/>
      <w:r>
        <w:t>Benefits and Costs</w:t>
      </w:r>
      <w:bookmarkEnd w:id="57"/>
      <w:bookmarkEnd w:id="58"/>
      <w:bookmarkEnd w:id="59"/>
    </w:p>
    <w:p w:rsidR="0025350E" w:rsidP="001E0F20" w14:paraId="6D2F41A8" w14:textId="594BDE58">
      <w:pPr>
        <w:pStyle w:val="ParaNum"/>
        <w:widowControl/>
      </w:pPr>
      <w:r>
        <w:t xml:space="preserve">The rules we propose today, if adopted, will make additional spectrum available for spacecraft engaged in TT&amp;C functions while also promoting efficiency by clarifying our rules concerning TT&amp;C.  In particular, we expect that our proposals would significantly reduce costly </w:t>
      </w:r>
      <w:r w:rsidR="00FE7954">
        <w:t>f</w:t>
      </w:r>
      <w:r>
        <w:t>ederal coordination for TT&amp;C missions by making available a non-</w:t>
      </w:r>
      <w:r w:rsidR="00FE7954">
        <w:t>f</w:t>
      </w:r>
      <w:r>
        <w:t>ederal alternative.  We estimate that total cost savings from this and other proposals would amount to approximately $6.8 million per year.  We therefore tentatively conclude</w:t>
      </w:r>
      <w:r w:rsidRPr="00F201A8">
        <w:t xml:space="preserve"> that </w:t>
      </w:r>
      <w:r>
        <w:t>the proposed rules are in the public interest</w:t>
      </w:r>
      <w:r w:rsidRPr="00F201A8">
        <w:t>.</w:t>
      </w:r>
      <w:r>
        <w:t xml:space="preserve">  We seek comment on these findings.</w:t>
      </w:r>
    </w:p>
    <w:p w:rsidR="0025350E" w:rsidRPr="000A140B" w:rsidP="001E0F20" w14:paraId="48F6AAD7" w14:textId="77777777">
      <w:pPr>
        <w:pStyle w:val="ParaNum"/>
        <w:widowControl/>
      </w:pPr>
      <w:r w:rsidRPr="0025350E">
        <w:rPr>
          <w:rStyle w:val="cf01"/>
          <w:rFonts w:ascii="Times New Roman" w:hAnsi="Times New Roman" w:cs="Times New Roman"/>
          <w:sz w:val="22"/>
          <w:szCs w:val="22"/>
        </w:rPr>
        <w:t xml:space="preserve">The </w:t>
      </w:r>
      <w:r w:rsidRPr="0025350E">
        <w:rPr>
          <w:rStyle w:val="cf01"/>
          <w:rFonts w:ascii="Times New Roman" w:hAnsi="Times New Roman" w:cs="Times New Roman"/>
          <w:i/>
          <w:iCs/>
          <w:sz w:val="22"/>
          <w:szCs w:val="22"/>
        </w:rPr>
        <w:t>NPRM</w:t>
      </w:r>
      <w:r w:rsidRPr="0025350E">
        <w:rPr>
          <w:rStyle w:val="cf01"/>
          <w:rFonts w:ascii="Times New Roman" w:hAnsi="Times New Roman" w:cs="Times New Roman"/>
          <w:sz w:val="22"/>
          <w:szCs w:val="22"/>
        </w:rPr>
        <w:t xml:space="preserve"> first proposes or seeks comment on codifying several Commission policies to provide additional regulatory clarity for these operators.</w:t>
      </w:r>
      <w:r w:rsidRPr="0025350E">
        <w:rPr>
          <w:rStyle w:val="cf01"/>
          <w:szCs w:val="22"/>
        </w:rPr>
        <w:t xml:space="preserve">  </w:t>
      </w:r>
      <w:r>
        <w:t xml:space="preserve">This </w:t>
      </w:r>
      <w:r w:rsidRPr="00E8231A">
        <w:t>includes</w:t>
      </w:r>
      <w:r w:rsidRPr="0025350E">
        <w:rPr>
          <w:rStyle w:val="cf01"/>
          <w:rFonts w:ascii="Times New Roman" w:hAnsi="Times New Roman" w:cs="Times New Roman"/>
          <w:sz w:val="22"/>
          <w:szCs w:val="22"/>
        </w:rPr>
        <w:t xml:space="preserve"> (1) codification of </w:t>
      </w:r>
      <w:r w:rsidRPr="00E8231A">
        <w:t>frequency</w:t>
      </w:r>
      <w:r>
        <w:t xml:space="preserve"> piggybacking; (2)</w:t>
      </w:r>
      <w:r w:rsidRPr="000C5571">
        <w:t xml:space="preserve"> </w:t>
      </w:r>
      <w:r>
        <w:t>allowing additional applications for frequencies for emergent space operations under existing service allocations; (3) p</w:t>
      </w:r>
      <w:r w:rsidRPr="005526DF">
        <w:t xml:space="preserve">ermitting TT&amp;C </w:t>
      </w:r>
      <w:r>
        <w:t>f</w:t>
      </w:r>
      <w:r w:rsidRPr="005526DF">
        <w:t xml:space="preserve">unctions </w:t>
      </w:r>
      <w:r>
        <w:t>w</w:t>
      </w:r>
      <w:r w:rsidRPr="005526DF">
        <w:t xml:space="preserve">ithin </w:t>
      </w:r>
      <w:r>
        <w:t>e</w:t>
      </w:r>
      <w:r w:rsidRPr="005526DF">
        <w:t xml:space="preserve">xisting </w:t>
      </w:r>
      <w:r>
        <w:t>r</w:t>
      </w:r>
      <w:r w:rsidRPr="005526DF">
        <w:t xml:space="preserve">adiocommunication </w:t>
      </w:r>
      <w:r>
        <w:t>s</w:t>
      </w:r>
      <w:r w:rsidRPr="005526DF">
        <w:t xml:space="preserve">ervice </w:t>
      </w:r>
      <w:r>
        <w:t>a</w:t>
      </w:r>
      <w:r w:rsidRPr="005526DF">
        <w:t>llocations</w:t>
      </w:r>
      <w:r>
        <w:t>; and (4) refining the definition</w:t>
      </w:r>
      <w:r w:rsidRPr="005526DF">
        <w:t xml:space="preserve"> </w:t>
      </w:r>
      <w:r>
        <w:t>of TT&amp;C.  To the extent that lack of clarity in our rules has prevented stakeholders from engaging in certain TT&amp;C operations, we could anticipate real benefits of providing stakeholders with regulatory clarity.  We seek comment on this tentative conclusion.</w:t>
      </w:r>
    </w:p>
    <w:p w:rsidR="0025350E" w:rsidP="001E0F20" w14:paraId="3A04C7A8" w14:textId="3DD778D5">
      <w:pPr>
        <w:pStyle w:val="ParaNum"/>
        <w:widowControl/>
      </w:pPr>
      <w:r>
        <w:t xml:space="preserve">We find that the proposal to </w:t>
      </w:r>
      <w:r w:rsidRPr="00B87BC3">
        <w:t>add a secondary allocation for SOS in</w:t>
      </w:r>
      <w:r>
        <w:t xml:space="preserve"> the 2320-2345 MHz band will benefit the public by reducing regulatory costs.  The proposal could potentially eliminate costly coordination with NTIA to use Federal bands </w:t>
      </w:r>
      <w:r w:rsidRPr="00434DA8">
        <w:t>for TT&amp;C</w:t>
      </w:r>
      <w:r>
        <w:t xml:space="preserve"> by giving a non-Federal alternative.  While leasing the 2320-2345 MHz band may entail a payment to SiriusXM, this payment is a pure transfer from the operator to SiriusXM and so has no effect on total costs and benefits.  Negotiating with SiriusXM would generate some new costs, but these would be smaller than the costs of coordinating with NTIA or else operators would not seek to negotiate with SiriusXM.  Further, operators could set up a longstanding contract with SiriusXM, limiting negotiation during the term of the contrast.  By contrast, at present, to the extent that operators are unable to conduct TT&amp;C functions within non-Federal bands such as those for FSS, MSS, BSS, or EESS, operators must engage in frequency coordination with NTIA to use the S-band or other Federal allocations of spectrum on a case-by-case basis.  We also believe that the proposal has the potential to generate additional space operations by expanding the total bandwidth available to space operators and allowing operations that may not have been justified by the costs and uncertainty of NTIA coordination, which is not guaranteed to result in approval.  We seek comment on these observations.</w:t>
      </w:r>
    </w:p>
    <w:p w:rsidR="0025350E" w:rsidP="001E0F20" w14:paraId="646C51CB" w14:textId="77777777">
      <w:pPr>
        <w:pStyle w:val="ParaNum"/>
        <w:widowControl/>
      </w:pPr>
      <w:r>
        <w:t>We estimate the magnitude of the annual regulatory cost savings to be $8.2 million.  We estimate this by assuming the NTIA coordination process is handled on the operator’s side by a team of two lawyers and two engineers.  We assume they work through the application process over two months, which we approximate as eight forty-hour workweeks or three hundred and twenty work hours for each worker.  We estimate that the lawyers have an hourly compensation of $106.10/hour and that the engineers have an hourly compensation of $94.64.</w:t>
      </w:r>
      <w:r>
        <w:rPr>
          <w:rStyle w:val="FootnoteReference"/>
        </w:rPr>
        <w:footnoteReference w:id="148"/>
      </w:r>
      <w:r>
        <w:t xml:space="preserve">  Total compensation for one space operator’s team in an NTIA coordination is therefore $128,473.60.</w:t>
      </w:r>
      <w:r>
        <w:rPr>
          <w:rStyle w:val="FootnoteReference"/>
        </w:rPr>
        <w:footnoteReference w:id="149"/>
      </w:r>
      <w:r>
        <w:t xml:space="preserve">  We estimate on the NTIA side, a team of three government employees handle the coordination.  We estimate the average government hourly compensation is $80.67,</w:t>
      </w:r>
      <w:r>
        <w:rPr>
          <w:rStyle w:val="FootnoteReference"/>
        </w:rPr>
        <w:footnoteReference w:id="150"/>
      </w:r>
      <w:r>
        <w:t xml:space="preserve"> so the total NTIA team compensation for the coordination process is $77,443.20.</w:t>
      </w:r>
      <w:r>
        <w:rPr>
          <w:rStyle w:val="FootnoteReference"/>
        </w:rPr>
        <w:footnoteReference w:id="151"/>
      </w:r>
      <w:r>
        <w:t xml:space="preserve">  The total labor costs of coordination combining both private and public expenses is $205,916.80.</w:t>
      </w:r>
      <w:r>
        <w:rPr>
          <w:rStyle w:val="FootnoteReference"/>
        </w:rPr>
        <w:footnoteReference w:id="152"/>
      </w:r>
      <w:r>
        <w:t xml:space="preserve">  Based on the number of application requests in the Federal S-band (2025-2110 MHz) from 2021 to 2025, we estimate the future average for such applications to be about 80.</w:t>
      </w:r>
      <w:r>
        <w:rPr>
          <w:rStyle w:val="FootnoteReference"/>
        </w:rPr>
        <w:footnoteReference w:id="153"/>
      </w:r>
      <w:r>
        <w:t xml:space="preserve">  Not all of these applications are related to TT&amp;C, and we assume that some operators will rely on non-Federal bands or prefer to continue coordinating with NTIA, so we estimate that only 50% of applications, 40 annually, </w:t>
      </w:r>
      <w:r>
        <w:t>will be replaced by leases in the 2320-2345 MHz band.  Multiplying this number by the per coordination labor costs results in a total annual labor cost saving of approximately $8.2 million.</w:t>
      </w:r>
      <w:r>
        <w:rPr>
          <w:rStyle w:val="FootnoteReference"/>
        </w:rPr>
        <w:footnoteReference w:id="154"/>
      </w:r>
      <w:r>
        <w:t xml:space="preserve">  Total benefits would equal the economic value of additional operations allowed by the new spectrum plus the cost savings.  Given the uncertain nature of additional operations, we do not estimate them here, such that $8.2 million is a lower bound on benefits.  We seek comment on this methodology.</w:t>
      </w:r>
    </w:p>
    <w:p w:rsidR="0025350E" w:rsidP="001E0F20" w14:paraId="2A8AC9D1" w14:textId="77777777">
      <w:pPr>
        <w:pStyle w:val="ParaNum"/>
        <w:widowControl/>
      </w:pPr>
      <w:r>
        <w:t>We estimate additional negotiation costs by assuming every negotiation between a space operator and SiriusXM is handled by two teams of two lawyers.  Using the 2025-2110 MHz band allows operators to avoid the complex coordination needed for other bands, so that we assume no engineers are involved and the negotiation time falls to two weeks.  With these assumptions, and the earlier assumption of hourly compensation for lawyers being $106.10/hour, total negotiations costs for each lease is only $33,952.00.</w:t>
      </w:r>
      <w:r>
        <w:rPr>
          <w:rStyle w:val="FootnoteReference"/>
        </w:rPr>
        <w:footnoteReference w:id="155"/>
      </w:r>
      <w:r>
        <w:t xml:space="preserve">  Assuming, again, 40 leases leads to total negotiation costs of approximately $1.4 million.</w:t>
      </w:r>
      <w:r>
        <w:rPr>
          <w:rStyle w:val="FootnoteReference"/>
        </w:rPr>
        <w:footnoteReference w:id="156"/>
      </w:r>
      <w:r>
        <w:t xml:space="preserve">  These costs are likely to be front-loaded because we predict negotiations will result in long-term contracts, allowing operators to bypass such costs for a number of years.  The long-run average negotiation cost is likely lower than $1.4 million, so $1.4 million represents an upper bound on costs.  The lower bound of $8.2 million for benefits is higher than the upper bound of $1.4 million for costs, so we tentatively conclude that the benefits of the 2320-2345 MHz band proposal will exceed its costs and be at least $6.8 million, annually.  We seek comment on this methodology.</w:t>
      </w:r>
    </w:p>
    <w:p w:rsidR="0025350E" w:rsidP="001E0F20" w14:paraId="296D0E13" w14:textId="77777777">
      <w:pPr>
        <w:pStyle w:val="ParaNum"/>
        <w:widowControl/>
      </w:pPr>
      <w:r>
        <w:t xml:space="preserve">We postpone until a later date estimating the benefits and costs associated with possible secondary allocations in addition to the 2320-2345 MHz band.  Currently, we do not have a specific proposal on how to implement other secondary allocations, so it is not possible to estimate benefits or costs at this time.  We seek comment on this tentative conclusion. </w:t>
      </w:r>
    </w:p>
    <w:p w:rsidR="0025350E" w:rsidP="001E0F20" w14:paraId="57C1BCC0" w14:textId="77777777">
      <w:pPr>
        <w:pStyle w:val="ParaNum"/>
        <w:widowControl/>
      </w:pPr>
      <w:r>
        <w:t>Although we only seek comment on whether satellite operators should be authorized by rule to use their FCC-licensed satellites and intersatellite links to provide TT&amp;C and data downlinks to spacecraft, we can tentatively estimate benefits as costs avoided from no longer needing to file modification applications.  Currently, there are about 25 annual applications for experimental modifications for TT&amp;C related activities, so we will assume that number of applications going forward.</w:t>
      </w:r>
      <w:r>
        <w:rPr>
          <w:rStyle w:val="FootnoteReference"/>
        </w:rPr>
        <w:footnoteReference w:id="157"/>
      </w:r>
      <w:r>
        <w:t xml:space="preserve">  Applications involve labor costs from a lawyer, which we estimate to be 1.5 hours of work at a total hourly compensation of $106.10/hour.</w:t>
      </w:r>
      <w:r>
        <w:rPr>
          <w:rStyle w:val="FootnoteReference"/>
        </w:rPr>
        <w:footnoteReference w:id="158"/>
      </w:r>
      <w:r>
        <w:t xml:space="preserve">  We will assume the avoided fee is equal to $140, the modification fee for experimental licenses.</w:t>
      </w:r>
      <w:r>
        <w:rPr>
          <w:rStyle w:val="FootnoteReference"/>
        </w:rPr>
        <w:footnoteReference w:id="159"/>
      </w:r>
      <w:r>
        <w:t xml:space="preserve">  Total benefit from the intersatellite links proposal is then approximately $7.4 thousand, which is a lower bound given potentially higher future demand for intersatellite links and additional space operations that might be spurred on by lower costs.</w:t>
      </w:r>
      <w:r>
        <w:rPr>
          <w:rStyle w:val="FootnoteReference"/>
        </w:rPr>
        <w:footnoteReference w:id="160"/>
      </w:r>
      <w:r>
        <w:t xml:space="preserve">  We predict no costs would result from simply reducing application requirements, so we conclude that the net benefit of the intersatellite links proposal also has a lower bound of $7.4 thousand.  While this is positive, it is only a small increase relative to the net benefits of the 2320-2345 MHz band proposal, so to avoid an impression of false precision, we do not add this to the net benefit total.</w:t>
      </w:r>
      <w:r w:rsidRPr="002A4640">
        <w:t xml:space="preserve"> </w:t>
      </w:r>
      <w:r>
        <w:t xml:space="preserve"> We seek comment on this methodology.</w:t>
      </w:r>
    </w:p>
    <w:p w:rsidR="0025350E" w:rsidP="001E0F20" w14:paraId="3E730763" w14:textId="77777777">
      <w:pPr>
        <w:pStyle w:val="Heading1"/>
        <w:widowControl/>
        <w:suppressAutoHyphens w:val="0"/>
      </w:pPr>
      <w:bookmarkStart w:id="60" w:name="_Toc208942183"/>
      <w:bookmarkStart w:id="61" w:name="_Toc208944777"/>
      <w:bookmarkStart w:id="62" w:name="_Toc208944809"/>
      <w:bookmarkStart w:id="63" w:name="_Toc208942184"/>
      <w:bookmarkStart w:id="64" w:name="_Toc208944778"/>
      <w:bookmarkStart w:id="65" w:name="_Toc208944810"/>
      <w:bookmarkStart w:id="66" w:name="_Toc208942185"/>
      <w:bookmarkStart w:id="67" w:name="_Toc208944779"/>
      <w:bookmarkStart w:id="68" w:name="_Toc208944811"/>
      <w:bookmarkStart w:id="69" w:name="_Toc208942187"/>
      <w:bookmarkStart w:id="70" w:name="_Toc208944781"/>
      <w:bookmarkStart w:id="71" w:name="_Toc208944813"/>
      <w:bookmarkStart w:id="72" w:name="_Toc208942189"/>
      <w:bookmarkStart w:id="73" w:name="_Toc208944783"/>
      <w:bookmarkStart w:id="74" w:name="_Toc208944815"/>
      <w:bookmarkStart w:id="75" w:name="_Toc209654317"/>
      <w:bookmarkStart w:id="76" w:name="_Toc212623658"/>
      <w:bookmarkStart w:id="77" w:name="_Toc22171883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procedural matters</w:t>
      </w:r>
      <w:bookmarkEnd w:id="75"/>
      <w:bookmarkEnd w:id="76"/>
      <w:bookmarkEnd w:id="77"/>
    </w:p>
    <w:p w:rsidR="0025350E" w:rsidRPr="00B243F0" w:rsidP="001E0F20" w14:paraId="5DEF418C" w14:textId="16097257">
      <w:pPr>
        <w:pStyle w:val="ParaNum"/>
        <w:widowControl/>
        <w:rPr>
          <w:b/>
        </w:rPr>
      </w:pPr>
      <w:r>
        <w:rPr>
          <w:i/>
          <w:iCs/>
        </w:rPr>
        <w:t>Comment</w:t>
      </w:r>
      <w:r w:rsidRPr="00B243F0">
        <w:rPr>
          <w:i/>
          <w:iCs/>
        </w:rPr>
        <w:t xml:space="preserve"> Filing Procedures</w:t>
      </w:r>
      <w:r w:rsidRPr="00B243F0">
        <w:t>.  Pursuant to sections 1.415 and 1.419 of the Commission’s rules, 47 CFR §§ 1.415, 1.419, interested parties may file comments and reply comments on or before the dates indicated on the first page of this document</w:t>
      </w:r>
      <w:r w:rsidRPr="0067665F">
        <w:t>.</w:t>
      </w:r>
      <w:r>
        <w:t xml:space="preserve">  Comments may be filed using the Commission’s Electronic Comment Filing System (ECFS). </w:t>
      </w:r>
    </w:p>
    <w:p w:rsidR="0025350E" w:rsidRPr="00B243F0" w:rsidP="001E0F20" w14:paraId="3EB276DE" w14:textId="77777777">
      <w:pPr>
        <w:pStyle w:val="ParaNum"/>
        <w:keepNext/>
        <w:widowControl/>
        <w:numPr>
          <w:ilvl w:val="0"/>
          <w:numId w:val="8"/>
        </w:numPr>
      </w:pPr>
      <w:r w:rsidRPr="00B243F0">
        <w:rPr>
          <w:i/>
          <w:iCs/>
        </w:rPr>
        <w:t>Electronic Filers</w:t>
      </w:r>
      <w:r>
        <w:t xml:space="preserve">:  </w:t>
      </w:r>
      <w:r w:rsidRPr="00B243F0">
        <w:t>Comments</w:t>
      </w:r>
      <w:r>
        <w:t xml:space="preserve"> may be filed electronically using the </w:t>
      </w:r>
      <w:r w:rsidRPr="00B243F0">
        <w:t>Inter</w:t>
      </w:r>
      <w:r>
        <w:t xml:space="preserve">net by accessing the ECFS:  </w:t>
      </w:r>
      <w:hyperlink r:id="rId7" w:history="1">
        <w:r w:rsidRPr="69002683">
          <w:rPr>
            <w:rStyle w:val="Hyperlink"/>
          </w:rPr>
          <w:t>http://apps.fcc.gov/ecfs</w:t>
        </w:r>
      </w:hyperlink>
      <w:r w:rsidRPr="00B243F0">
        <w:t>.</w:t>
      </w:r>
    </w:p>
    <w:p w:rsidR="0025350E" w:rsidRPr="00B243F0" w:rsidP="001E0F20" w14:paraId="5F8708C6" w14:textId="77777777">
      <w:pPr>
        <w:pStyle w:val="ParaNum"/>
        <w:keepNext/>
        <w:widowControl/>
        <w:numPr>
          <w:ilvl w:val="0"/>
          <w:numId w:val="8"/>
        </w:numPr>
        <w:spacing w:line="259" w:lineRule="auto"/>
        <w:rPr>
          <w:szCs w:val="22"/>
        </w:rPr>
      </w:pPr>
      <w:r w:rsidRPr="00B243F0">
        <w:rPr>
          <w:i/>
          <w:iCs/>
        </w:rPr>
        <w:t>Paper Filers</w:t>
      </w:r>
      <w:r w:rsidRPr="00B243F0">
        <w:t xml:space="preserve">: </w:t>
      </w:r>
      <w:r>
        <w:t xml:space="preserve"> </w:t>
      </w:r>
      <w:r w:rsidRPr="00B243F0">
        <w:t xml:space="preserve">Parties who choose to file by paper must file an original and one copy of each filing.  </w:t>
      </w:r>
    </w:p>
    <w:p w:rsidR="0025350E" w:rsidRPr="00B243F0" w:rsidP="001E0F20" w14:paraId="5A6883DF" w14:textId="77777777">
      <w:pPr>
        <w:pStyle w:val="ParaNum"/>
        <w:keepNext/>
        <w:widowControl/>
        <w:numPr>
          <w:ilvl w:val="1"/>
          <w:numId w:val="8"/>
        </w:numPr>
        <w:spacing w:line="259" w:lineRule="auto"/>
      </w:pPr>
      <w:r w:rsidRPr="00B243F0">
        <w:t xml:space="preserve">Filings can be sent by hand or messenger delivery, by commercial courier, or by the U.S. Postal Service.  </w:t>
      </w:r>
      <w:r w:rsidRPr="00B22A3C">
        <w:rPr>
          <w:b/>
        </w:rPr>
        <w:t>All filings must be addressed to the Secretary, Federal Communications Commission.</w:t>
      </w:r>
      <w:r w:rsidRPr="00B243F0">
        <w:t xml:space="preserve"> </w:t>
      </w:r>
    </w:p>
    <w:p w:rsidR="0025350E" w:rsidRPr="00B243F0" w:rsidP="001E0F20" w14:paraId="7697EA16" w14:textId="77777777">
      <w:pPr>
        <w:pStyle w:val="ParaNum"/>
        <w:keepNext/>
        <w:widowControl/>
        <w:numPr>
          <w:ilvl w:val="1"/>
          <w:numId w:val="8"/>
        </w:numPr>
        <w:spacing w:line="259" w:lineRule="auto"/>
      </w:pPr>
      <w:r w:rsidRPr="00B243F0">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25350E" w:rsidRPr="00B243F0" w:rsidP="001E0F20" w14:paraId="3CFC334C" w14:textId="77777777">
      <w:pPr>
        <w:pStyle w:val="ParaNum"/>
        <w:keepNext/>
        <w:widowControl/>
        <w:numPr>
          <w:ilvl w:val="1"/>
          <w:numId w:val="8"/>
        </w:numPr>
        <w:spacing w:line="259" w:lineRule="auto"/>
      </w:pPr>
      <w:r w:rsidRPr="00B243F0">
        <w:t xml:space="preserve">Commercial courier deliveries (any deliveries not by the U.S. Postal Service) must be sent to 9050 Junction Drive, Annapolis Junction, MD 20701. </w:t>
      </w:r>
    </w:p>
    <w:p w:rsidR="0025350E" w:rsidRPr="00B243F0" w:rsidP="001E0F20" w14:paraId="3248B444" w14:textId="77777777">
      <w:pPr>
        <w:pStyle w:val="ParaNum"/>
        <w:keepNext/>
        <w:widowControl/>
        <w:numPr>
          <w:ilvl w:val="1"/>
          <w:numId w:val="8"/>
        </w:numPr>
        <w:tabs>
          <w:tab w:val="num" w:pos="1440"/>
        </w:tabs>
        <w:spacing w:line="259" w:lineRule="auto"/>
      </w:pPr>
      <w:r w:rsidRPr="00B243F0">
        <w:t xml:space="preserve">Filings sent by U.S. Postal Service First-Class Mail, Priority Mail, and Priority Mail Express must be sent to 45 L Street NE, Washington, DC 20554. </w:t>
      </w:r>
    </w:p>
    <w:p w:rsidR="0025350E" w:rsidRPr="00B22A3C" w:rsidP="001E0F20" w14:paraId="2A385D63" w14:textId="77777777">
      <w:pPr>
        <w:pStyle w:val="ParaNum"/>
        <w:widowControl/>
      </w:pPr>
      <w:r>
        <w:rPr>
          <w:i/>
          <w:iCs/>
        </w:rPr>
        <w:t>People with Disabilities</w:t>
      </w:r>
      <w:r w:rsidRPr="00B243F0">
        <w:t>:  To request materials in accessible formats for people with disabilities (</w:t>
      </w:r>
      <w:r>
        <w:t>b</w:t>
      </w:r>
      <w:r w:rsidRPr="00B243F0">
        <w:t xml:space="preserve">raille, large print, electronic files, audio format), send an email to </w:t>
      </w:r>
      <w:hyperlink r:id="rId8">
        <w:r w:rsidRPr="00B243F0">
          <w:rPr>
            <w:rStyle w:val="Hyperlink"/>
          </w:rPr>
          <w:t>fcc504@fcc.gov</w:t>
        </w:r>
      </w:hyperlink>
      <w:r w:rsidRPr="00B243F0">
        <w:t xml:space="preserve"> or call the Consumer &amp; Governmental Affairs Bureau at 202-418-0530</w:t>
      </w:r>
      <w:r>
        <w:t>.</w:t>
      </w:r>
    </w:p>
    <w:p w:rsidR="0025350E" w:rsidRPr="00B243F0" w:rsidP="001E0F20" w14:paraId="4F6359C8" w14:textId="77777777">
      <w:pPr>
        <w:pStyle w:val="ParaNum"/>
        <w:widowControl/>
      </w:pPr>
      <w:r w:rsidRPr="00B243F0">
        <w:rPr>
          <w:i/>
          <w:iCs/>
        </w:rPr>
        <w:t>Availability of Documents</w:t>
      </w:r>
      <w:r w:rsidRPr="00B243F0">
        <w:t xml:space="preserve">.  Comments, reply comments, and </w:t>
      </w:r>
      <w:r w:rsidRPr="00B243F0">
        <w:rPr>
          <w:i/>
          <w:iCs/>
        </w:rPr>
        <w:t xml:space="preserve">ex </w:t>
      </w:r>
      <w:r w:rsidRPr="00B243F0">
        <w:rPr>
          <w:i/>
          <w:iCs/>
        </w:rPr>
        <w:t>parte</w:t>
      </w:r>
      <w:r w:rsidRPr="00B243F0">
        <w:t xml:space="preserve"> submissions will be publicly available online via ECFS.  Documents will be available electronically in ASCII, Microsoft Word, and/or Adobe Acrobat. </w:t>
      </w:r>
    </w:p>
    <w:p w:rsidR="0025350E" w:rsidRPr="00F14140" w:rsidP="001E0F20" w14:paraId="31783E0D" w14:textId="77777777">
      <w:pPr>
        <w:pStyle w:val="ParaNum"/>
        <w:widowControl/>
        <w:rPr>
          <w:szCs w:val="22"/>
        </w:rPr>
      </w:pPr>
      <w:r w:rsidRPr="00B243F0">
        <w:rPr>
          <w:i/>
          <w:iCs/>
        </w:rPr>
        <w:t xml:space="preserve">Ex </w:t>
      </w:r>
      <w:r>
        <w:rPr>
          <w:i/>
          <w:iCs/>
        </w:rPr>
        <w:t>Parte</w:t>
      </w:r>
      <w:r>
        <w:rPr>
          <w:i/>
          <w:iCs/>
        </w:rPr>
        <w:t xml:space="preserve"> Presentations</w:t>
      </w:r>
      <w:r>
        <w:t>—</w:t>
      </w:r>
      <w:r>
        <w:rPr>
          <w:i/>
          <w:iCs/>
        </w:rPr>
        <w:t>Permit-but-</w:t>
      </w:r>
      <w:r w:rsidRPr="00F14140">
        <w:rPr>
          <w:i/>
          <w:szCs w:val="22"/>
        </w:rPr>
        <w:t xml:space="preserve">Disclose. </w:t>
      </w:r>
      <w:r>
        <w:rPr>
          <w:i/>
          <w:szCs w:val="22"/>
        </w:rPr>
        <w:t xml:space="preserve"> </w:t>
      </w:r>
      <w:r w:rsidRPr="0068646C">
        <w:t xml:space="preserve">The proceeding this </w:t>
      </w:r>
      <w:r>
        <w:rPr>
          <w:i/>
          <w:iCs/>
        </w:rPr>
        <w:t>NPRM</w:t>
      </w:r>
      <w:r w:rsidRPr="0068646C">
        <w:t xml:space="preserve"> initiates shall be treated as a “permit-but-disclose” proceeding in accordance with the Commission’s </w:t>
      </w:r>
      <w:r w:rsidRPr="0068646C">
        <w:rPr>
          <w:i/>
        </w:rPr>
        <w:t xml:space="preserve">ex </w:t>
      </w:r>
      <w:r w:rsidRPr="0068646C">
        <w:rPr>
          <w:i/>
        </w:rPr>
        <w:t>parte</w:t>
      </w:r>
      <w:r w:rsidRPr="0068646C">
        <w:rPr>
          <w:i/>
        </w:rPr>
        <w:t xml:space="preserve"> </w:t>
      </w:r>
      <w:r w:rsidRPr="0068646C">
        <w:t>rules.</w:t>
      </w:r>
      <w:r>
        <w:rPr>
          <w:vertAlign w:val="superscript"/>
        </w:rPr>
        <w:footnoteReference w:id="161"/>
      </w:r>
      <w:r w:rsidRPr="0068646C">
        <w:t xml:space="preserve">  Persons making </w:t>
      </w:r>
      <w:r w:rsidRPr="0068646C">
        <w:rPr>
          <w:i/>
        </w:rPr>
        <w:t xml:space="preserve">ex </w:t>
      </w:r>
      <w:r w:rsidRPr="0068646C">
        <w:rPr>
          <w:i/>
        </w:rPr>
        <w:t>parte</w:t>
      </w:r>
      <w:r w:rsidRPr="0068646C">
        <w:rPr>
          <w:i/>
        </w:rPr>
        <w:t xml:space="preserve"> </w:t>
      </w:r>
      <w:r w:rsidRPr="0068646C">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68646C">
        <w:rPr>
          <w:i/>
        </w:rPr>
        <w:t xml:space="preserve">ex </w:t>
      </w:r>
      <w:r w:rsidRPr="0068646C">
        <w:rPr>
          <w:i/>
        </w:rPr>
        <w:t>parte</w:t>
      </w:r>
      <w:r w:rsidRPr="0068646C">
        <w:rPr>
          <w:i/>
        </w:rPr>
        <w:t xml:space="preserve"> </w:t>
      </w:r>
      <w:r w:rsidRPr="0068646C">
        <w:t xml:space="preserve">presentations are reminded that memoranda summarizing the presentation must (1) list all persons attending or otherwise participating in the meeting at which the </w:t>
      </w:r>
      <w:r w:rsidRPr="0068646C">
        <w:rPr>
          <w:i/>
        </w:rPr>
        <w:t xml:space="preserve">ex </w:t>
      </w:r>
      <w:r w:rsidRPr="0068646C">
        <w:rPr>
          <w:i/>
        </w:rPr>
        <w:t>parte</w:t>
      </w:r>
      <w:r w:rsidRPr="0068646C">
        <w:rPr>
          <w:i/>
        </w:rPr>
        <w:t xml:space="preserve"> </w:t>
      </w:r>
      <w:r w:rsidRPr="0068646C">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68646C">
        <w:rPr>
          <w:i/>
        </w:rPr>
        <w:t xml:space="preserve">ex </w:t>
      </w:r>
      <w:r w:rsidRPr="0068646C">
        <w:rPr>
          <w:i/>
        </w:rPr>
        <w:t>parte</w:t>
      </w:r>
      <w:r w:rsidRPr="0068646C">
        <w:rPr>
          <w:i/>
        </w:rPr>
        <w:t xml:space="preserve"> </w:t>
      </w:r>
      <w:r w:rsidRPr="0068646C">
        <w:t xml:space="preserve">meetings are deemed to be written </w:t>
      </w:r>
      <w:r w:rsidRPr="0068646C">
        <w:rPr>
          <w:i/>
        </w:rPr>
        <w:t xml:space="preserve">ex </w:t>
      </w:r>
      <w:r w:rsidRPr="0068646C">
        <w:rPr>
          <w:i/>
        </w:rPr>
        <w:t>parte</w:t>
      </w:r>
      <w:r w:rsidRPr="0068646C">
        <w:t xml:space="preserve"> presentations and must be filed consistent with rule 1.1206(b).  In proceedings governed by rule 1.49(f) or for which the Commission has made available a method of electronic filing, written </w:t>
      </w:r>
      <w:r w:rsidRPr="0068646C">
        <w:rPr>
          <w:i/>
        </w:rPr>
        <w:t xml:space="preserve">ex </w:t>
      </w:r>
      <w:r w:rsidRPr="0068646C">
        <w:rPr>
          <w:i/>
        </w:rPr>
        <w:t>parte</w:t>
      </w:r>
      <w:r w:rsidRPr="0068646C">
        <w:rPr>
          <w:i/>
        </w:rPr>
        <w:t xml:space="preserve"> </w:t>
      </w:r>
      <w:r w:rsidRPr="0068646C">
        <w:t xml:space="preserve">presentations and memoranda summarizing oral </w:t>
      </w:r>
      <w:r w:rsidRPr="0068646C">
        <w:rPr>
          <w:i/>
        </w:rPr>
        <w:t xml:space="preserve">ex </w:t>
      </w:r>
      <w:r w:rsidRPr="0068646C">
        <w:rPr>
          <w:i/>
        </w:rPr>
        <w:t>parte</w:t>
      </w:r>
      <w:r w:rsidRPr="0068646C">
        <w:rPr>
          <w:i/>
        </w:rPr>
        <w:t xml:space="preserve"> </w:t>
      </w:r>
      <w:r w:rsidRPr="0068646C">
        <w:t xml:space="preserve">presentations, and all attachments thereto, must </w:t>
      </w:r>
      <w:r w:rsidRPr="0068646C">
        <w:t>be filed through the electronic comment filing system available for that proceeding, and must be filed in their native format (</w:t>
      </w:r>
      <w:r w:rsidRPr="006E18BF">
        <w:rPr>
          <w:iCs/>
        </w:rPr>
        <w:t>e.g.</w:t>
      </w:r>
      <w:r w:rsidRPr="0025571A">
        <w:rPr>
          <w:iCs/>
        </w:rPr>
        <w:t>,</w:t>
      </w:r>
      <w:r w:rsidRPr="0068646C">
        <w:t xml:space="preserve"> .doc, .xml, .ppt, searchable .pdf).  Participants in this proceeding should familiarize themselves with the Commission’s </w:t>
      </w:r>
      <w:r w:rsidRPr="0068646C">
        <w:rPr>
          <w:i/>
        </w:rPr>
        <w:t xml:space="preserve">ex </w:t>
      </w:r>
      <w:r w:rsidRPr="0068646C">
        <w:rPr>
          <w:i/>
        </w:rPr>
        <w:t>parte</w:t>
      </w:r>
      <w:r w:rsidRPr="0068646C">
        <w:rPr>
          <w:i/>
        </w:rPr>
        <w:t xml:space="preserve"> </w:t>
      </w:r>
      <w:r w:rsidRPr="0068646C">
        <w:t>rules.</w:t>
      </w:r>
      <w:r w:rsidRPr="00F14140">
        <w:rPr>
          <w:i/>
          <w:szCs w:val="22"/>
        </w:rPr>
        <w:t xml:space="preserve"> </w:t>
      </w:r>
    </w:p>
    <w:p w:rsidR="0025350E" w:rsidRPr="00F14140" w:rsidP="001E0F20" w14:paraId="6CF13DE1" w14:textId="77777777">
      <w:pPr>
        <w:pStyle w:val="ParaNum"/>
        <w:widowControl/>
      </w:pPr>
      <w:r w:rsidRPr="00F14140">
        <w:rPr>
          <w:i/>
        </w:rPr>
        <w:t>Regulatory Flexibility Act.</w:t>
      </w:r>
      <w:r w:rsidRPr="00F14140">
        <w:t xml:space="preserve">  The Regulatory Flexibility Act of 1980, as amended (RFA),</w:t>
      </w:r>
      <w:r>
        <w:rPr>
          <w:rStyle w:val="FootnoteReference"/>
        </w:rPr>
        <w:footnoteReference w:id="162"/>
      </w:r>
      <w:r w:rsidRPr="00F14140">
        <w:t xml:space="preserve"> requires that an agency prepare a regulatory flexibility analysis for notice and comment rulemakings, unless the agency certifies that “the rule will not, if promulgated, have a significant economic impact on a substantial number of small entities.”</w:t>
      </w:r>
      <w:r>
        <w:rPr>
          <w:rStyle w:val="FootnoteReference"/>
        </w:rPr>
        <w:footnoteReference w:id="163"/>
      </w:r>
      <w:r w:rsidRPr="00F14140">
        <w:t xml:space="preserve">  Accordingly, the Commission has prepared an Initial Regulatory Flexibility Analysis (IRFA) concerning the possible impact of the rule and policy changes contained in this </w:t>
      </w:r>
      <w:r w:rsidRPr="00F14140">
        <w:rPr>
          <w:i/>
        </w:rPr>
        <w:t xml:space="preserve">NPRM </w:t>
      </w:r>
      <w:r w:rsidRPr="00F14140">
        <w:t xml:space="preserve">on small entities.  The IRFA is set forth in Appendix A.  The Commission invites the general public, particularly small businesses, to comment on the IRFA.  Comments must be filed by the deadlines for comments on the </w:t>
      </w:r>
      <w:r w:rsidRPr="00F14140">
        <w:rPr>
          <w:i/>
        </w:rPr>
        <w:t>NPRM</w:t>
      </w:r>
      <w:r w:rsidRPr="00F14140">
        <w:t xml:space="preserve"> indicated on this first page of this document and must have a separate and distinct heading designating them as responses to the IRFA. </w:t>
      </w:r>
    </w:p>
    <w:p w:rsidR="0025350E" w:rsidRPr="00F14140" w:rsidP="001E0F20" w14:paraId="7DDFD3AD" w14:textId="77777777">
      <w:pPr>
        <w:pStyle w:val="ParaNum"/>
        <w:widowControl/>
      </w:pPr>
      <w:r w:rsidRPr="00F14140">
        <w:rPr>
          <w:i/>
        </w:rPr>
        <w:t>Paperwork Reduction Act Analysis.</w:t>
      </w:r>
      <w:r w:rsidRPr="00F14140">
        <w:t xml:space="preserve">  This document may contain new or proposed modified information collections.  The Commission, as part of its continuing effort to reduce paperwork burdens, invites the general public and the Office of Management and Budget (OMB) to comment on any information collections contained in this document, as required by the Paperwork Reduction Act of 1995, 44 U.S.C. §§ 3501-3521.  In addition, pursuant to the Small Business Paperwork Relief Act of 2002, 44 U.S.C. § 3506(c)(4), we seek specific comment on how we might further reduce the information collection burden for small business concerns with fewer than 25 employees. </w:t>
      </w:r>
    </w:p>
    <w:p w:rsidR="0025350E" w:rsidRPr="00CC2A78" w:rsidP="001E0F20" w14:paraId="0EC88644" w14:textId="77777777">
      <w:pPr>
        <w:pStyle w:val="ParaNum"/>
        <w:widowControl/>
      </w:pPr>
      <w:r w:rsidRPr="00F14140">
        <w:rPr>
          <w:i/>
        </w:rPr>
        <w:t>OPEN Government Data Act</w:t>
      </w:r>
      <w:r w:rsidRPr="00F14140">
        <w:t>.  The OPEN Government Data Act</w:t>
      </w:r>
      <w:r>
        <w:rPr>
          <w:rStyle w:val="FootnoteReference"/>
          <w:szCs w:val="22"/>
        </w:rPr>
        <w:footnoteReference w:id="164"/>
      </w:r>
      <w:r w:rsidRPr="00F14140">
        <w:t xml:space="preserve"> requires agencies to make “public data assets” available under an open license and as “open Government data assets,” i.e., in machine readable, open format, unencumbered by use restrictions other than</w:t>
      </w:r>
      <w:r>
        <w:t xml:space="preserve"> intellectual property rights, and based on an open standard that is maintained by a standards organization.</w:t>
      </w:r>
      <w:r>
        <w:rPr>
          <w:rStyle w:val="FootnoteReference"/>
          <w:szCs w:val="22"/>
        </w:rPr>
        <w:footnoteReference w:id="165"/>
      </w:r>
      <w:r>
        <w:t>  This requirement is to be implemented “in accordance with guidance by the Director” of the OMB.</w:t>
      </w:r>
      <w:r>
        <w:rPr>
          <w:rStyle w:val="FootnoteReference"/>
          <w:szCs w:val="22"/>
        </w:rPr>
        <w:footnoteReference w:id="166"/>
      </w:r>
      <w:r>
        <w:t>  The term “public data asset” means “a data asset, or part thereof, maintained by the federal government that has been, or may be, released to the public, including any data asset, or part thereof, subject to disclosure under the Freedom of Information Act (FOIA).”</w:t>
      </w:r>
      <w:r>
        <w:rPr>
          <w:rStyle w:val="FootnoteReference"/>
          <w:szCs w:val="22"/>
        </w:rPr>
        <w:footnoteReference w:id="167"/>
      </w:r>
      <w:r>
        <w:t>  A “data asset” is “a collection of data elements or data sets that may be grouped together,”</w:t>
      </w:r>
      <w:r>
        <w:rPr>
          <w:rStyle w:val="FootnoteReference"/>
          <w:szCs w:val="22"/>
        </w:rPr>
        <w:footnoteReference w:id="168"/>
      </w:r>
      <w:r>
        <w:t xml:space="preserve"> and “data” is “recorded information, regardless of form or the media on which the data is recorded.”</w:t>
      </w:r>
      <w:r>
        <w:rPr>
          <w:rStyle w:val="FootnoteReference"/>
          <w:szCs w:val="22"/>
        </w:rPr>
        <w:footnoteReference w:id="169"/>
      </w:r>
      <w:r>
        <w:t xml:space="preserve">  </w:t>
      </w:r>
    </w:p>
    <w:p w:rsidR="0025350E" w:rsidRPr="00F15664" w:rsidP="001E0F20" w14:paraId="3DD3A044" w14:textId="77777777">
      <w:pPr>
        <w:pStyle w:val="ParaNum"/>
        <w:widowControl/>
      </w:pPr>
      <w:r w:rsidRPr="69002683">
        <w:rPr>
          <w:i/>
        </w:rPr>
        <w:t>Providing Accountability Through Transparency Act</w:t>
      </w:r>
      <w:r>
        <w:t xml:space="preserve">.  The Providing Accountability Through Transparency Act requires each agency, in providing notice of a rulemaking, to post online a </w:t>
      </w:r>
      <w:r>
        <w:t>brief plain-language summary of the proposed rule.</w:t>
      </w:r>
      <w:r>
        <w:rPr>
          <w:rStyle w:val="FootnoteReference"/>
          <w:szCs w:val="22"/>
          <w:shd w:val="clear" w:color="auto" w:fill="FFFFFF"/>
        </w:rPr>
        <w:footnoteReference w:id="170"/>
      </w:r>
      <w:r>
        <w:t xml:space="preserve">  Accordingly, the Commission will publish the required summary of this </w:t>
      </w:r>
      <w:r w:rsidRPr="006E18BF">
        <w:rPr>
          <w:i/>
          <w:iCs/>
        </w:rPr>
        <w:t>NPRM</w:t>
      </w:r>
      <w:r w:rsidRPr="00B22A3C">
        <w:rPr>
          <w:i/>
        </w:rPr>
        <w:t xml:space="preserve"> </w:t>
      </w:r>
      <w:r>
        <w:t xml:space="preserve">on </w:t>
      </w:r>
      <w:hyperlink r:id="rId9" w:history="1">
        <w:r w:rsidRPr="69002683">
          <w:rPr>
            <w:rStyle w:val="Hyperlink"/>
          </w:rPr>
          <w:t>https://www.fcc.gov/proposed-rulemakings</w:t>
        </w:r>
      </w:hyperlink>
      <w:r>
        <w:t xml:space="preserve">. </w:t>
      </w:r>
    </w:p>
    <w:p w:rsidR="0025350E" w:rsidP="001E0F20" w14:paraId="7AB82811" w14:textId="77777777">
      <w:pPr>
        <w:pStyle w:val="ParaNum"/>
        <w:widowControl/>
      </w:pPr>
      <w:r>
        <w:rPr>
          <w:i/>
        </w:rPr>
        <w:t>Additional</w:t>
      </w:r>
      <w:r w:rsidRPr="00B243F0">
        <w:rPr>
          <w:i/>
        </w:rPr>
        <w:t xml:space="preserve"> Information.</w:t>
      </w:r>
      <w:r w:rsidRPr="00B243F0">
        <w:t xml:space="preserve">  For additional information on this proceeding, contact </w:t>
      </w:r>
      <w:r>
        <w:t>Stephen Duall</w:t>
      </w:r>
      <w:r w:rsidRPr="00B243F0">
        <w:t xml:space="preserve">, </w:t>
      </w:r>
      <w:r>
        <w:t>Deputy Chief</w:t>
      </w:r>
      <w:r w:rsidRPr="00B243F0">
        <w:t xml:space="preserve">, </w:t>
      </w:r>
      <w:r>
        <w:t>Space Bureau</w:t>
      </w:r>
      <w:r w:rsidRPr="00B243F0">
        <w:t xml:space="preserve">, at </w:t>
      </w:r>
      <w:hyperlink r:id="rId10" w:history="1">
        <w:r w:rsidRPr="0025571A">
          <w:rPr>
            <w:rStyle w:val="Hyperlink"/>
          </w:rPr>
          <w:t>stephen.duall@fcc.gov</w:t>
        </w:r>
      </w:hyperlink>
      <w:r>
        <w:t xml:space="preserve"> </w:t>
      </w:r>
      <w:r w:rsidRPr="00B243F0">
        <w:t>or 202-418-</w:t>
      </w:r>
      <w:r>
        <w:t>1103</w:t>
      </w:r>
      <w:r w:rsidRPr="00B243F0">
        <w:t xml:space="preserve"> or Brandon Padgett, Attorney Advisor, </w:t>
      </w:r>
      <w:r>
        <w:t>Satellite</w:t>
      </w:r>
      <w:r w:rsidRPr="00B243F0">
        <w:t xml:space="preserve"> Programs and Policy Division, at </w:t>
      </w:r>
      <w:hyperlink r:id="rId11">
        <w:r w:rsidRPr="00B243F0">
          <w:rPr>
            <w:rStyle w:val="Hyperlink"/>
          </w:rPr>
          <w:t>brandon.padgett@fcc.gov</w:t>
        </w:r>
      </w:hyperlink>
      <w:r w:rsidRPr="00B243F0">
        <w:t xml:space="preserve"> or 202-418-1377. </w:t>
      </w:r>
    </w:p>
    <w:p w:rsidR="0025350E" w:rsidP="001E0F20" w14:paraId="05E60C71" w14:textId="77777777">
      <w:pPr>
        <w:pStyle w:val="Heading1"/>
        <w:widowControl/>
      </w:pPr>
      <w:bookmarkStart w:id="78" w:name="_Toc209654318"/>
      <w:bookmarkStart w:id="79" w:name="_Toc212623659"/>
      <w:bookmarkStart w:id="80" w:name="_Toc221718838"/>
      <w:r>
        <w:t>ordering clauses</w:t>
      </w:r>
      <w:bookmarkEnd w:id="78"/>
      <w:bookmarkEnd w:id="79"/>
      <w:bookmarkEnd w:id="80"/>
    </w:p>
    <w:p w:rsidR="0025350E" w:rsidRPr="00B243F0" w:rsidP="001E0F20" w14:paraId="6577ECB1" w14:textId="7415D982">
      <w:pPr>
        <w:pStyle w:val="ParaNum"/>
        <w:widowControl/>
      </w:pPr>
      <w:r>
        <w:t xml:space="preserve"> </w:t>
      </w:r>
      <w:r w:rsidRPr="00B243F0">
        <w:t>IT IS ORDERED, pursuant to sections 4(</w:t>
      </w:r>
      <w:r w:rsidRPr="00B243F0">
        <w:t>i</w:t>
      </w:r>
      <w:r w:rsidRPr="00B243F0">
        <w:t xml:space="preserve">), </w:t>
      </w:r>
      <w:r>
        <w:t>4(j),</w:t>
      </w:r>
      <w:r w:rsidRPr="00CC2A78">
        <w:t xml:space="preserve"> </w:t>
      </w:r>
      <w:r w:rsidRPr="00B243F0">
        <w:t xml:space="preserve">7(a), 301, 303, 307, 308, 309, 310, </w:t>
      </w:r>
      <w:r>
        <w:t xml:space="preserve">312, 316, </w:t>
      </w:r>
      <w:r w:rsidRPr="00B243F0">
        <w:t>332 of the Communications Act of 1934, as amended, 47 U.S.C. §§ 154(</w:t>
      </w:r>
      <w:r w:rsidRPr="00B243F0">
        <w:t>i</w:t>
      </w:r>
      <w:r w:rsidRPr="00B243F0">
        <w:t xml:space="preserve">), </w:t>
      </w:r>
      <w:r>
        <w:t xml:space="preserve">154(j), </w:t>
      </w:r>
      <w:r w:rsidRPr="00B243F0">
        <w:t xml:space="preserve">157(a), 301, 303, 307, 308, 309, 310, </w:t>
      </w:r>
      <w:r>
        <w:t xml:space="preserve">312, 316, </w:t>
      </w:r>
      <w:r w:rsidRPr="00B243F0">
        <w:t xml:space="preserve">332, that this </w:t>
      </w:r>
      <w:r w:rsidRPr="00190BD3">
        <w:rPr>
          <w:i/>
          <w:iCs/>
        </w:rPr>
        <w:t>Notice</w:t>
      </w:r>
      <w:r w:rsidRPr="00190BD3" w:rsidR="00190BD3">
        <w:rPr>
          <w:i/>
          <w:iCs/>
        </w:rPr>
        <w:t xml:space="preserve"> of Proposed Rulemaking</w:t>
      </w:r>
      <w:r w:rsidRPr="00B243F0">
        <w:rPr>
          <w:i/>
          <w:iCs/>
        </w:rPr>
        <w:t xml:space="preserve"> </w:t>
      </w:r>
      <w:r w:rsidRPr="00B243F0">
        <w:t>IS ADOPTED.</w:t>
      </w:r>
      <w:r>
        <w:rPr>
          <w:rStyle w:val="FootnoteReference"/>
        </w:rPr>
        <w:footnoteReference w:id="171"/>
      </w:r>
    </w:p>
    <w:p w:rsidR="0025350E" w:rsidRPr="00B243F0" w:rsidP="001E0F20" w14:paraId="44C0317F" w14:textId="77777777">
      <w:pPr>
        <w:pStyle w:val="ParaNum"/>
        <w:widowControl/>
      </w:pPr>
      <w:r w:rsidRPr="00B243F0">
        <w:t xml:space="preserve">IT IS FURTHER ORDERED that the </w:t>
      </w:r>
      <w:r>
        <w:t xml:space="preserve">Commission’s </w:t>
      </w:r>
      <w:r w:rsidRPr="00B243F0">
        <w:t xml:space="preserve">Office of the Secretary SHALL SEND a copy of this </w:t>
      </w:r>
      <w:r w:rsidRPr="00753436">
        <w:rPr>
          <w:i/>
          <w:iCs/>
        </w:rPr>
        <w:t>Notice of Proposed Rulemaking</w:t>
      </w:r>
      <w:r w:rsidRPr="00B243F0">
        <w:t>, including the Initial Regulatory Flexibility Analysis, to the Chief Counsel for the Small Business Administration</w:t>
      </w:r>
      <w:r>
        <w:t xml:space="preserve"> (SBA) Office of Advocacy</w:t>
      </w:r>
      <w:r w:rsidRPr="00B243F0">
        <w:t xml:space="preserve">.  </w:t>
      </w:r>
    </w:p>
    <w:p w:rsidR="0025350E" w:rsidP="001E0F20" w14:paraId="1C379DE5" w14:textId="77777777">
      <w:pPr>
        <w:pStyle w:val="ParaNum"/>
        <w:keepNext/>
        <w:widowControl/>
        <w:numPr>
          <w:ilvl w:val="0"/>
          <w:numId w:val="0"/>
        </w:numPr>
        <w:ind w:left="4320"/>
      </w:pPr>
    </w:p>
    <w:p w:rsidR="0025350E" w:rsidP="001E0F20" w14:paraId="1CB11BFB" w14:textId="77777777">
      <w:pPr>
        <w:pStyle w:val="ParaNum"/>
        <w:keepNext/>
        <w:widowControl/>
        <w:numPr>
          <w:ilvl w:val="0"/>
          <w:numId w:val="0"/>
        </w:numPr>
        <w:ind w:left="4320"/>
      </w:pPr>
      <w:r w:rsidRPr="00D91E2C">
        <w:t xml:space="preserve">FEDERAL COMMUNICATIONS COMMISSION </w:t>
      </w:r>
    </w:p>
    <w:p w:rsidR="0025350E" w:rsidP="001E0F20" w14:paraId="518B3217" w14:textId="77777777">
      <w:pPr>
        <w:pStyle w:val="ParaNum"/>
        <w:keepNext/>
        <w:widowControl/>
        <w:numPr>
          <w:ilvl w:val="0"/>
          <w:numId w:val="0"/>
        </w:numPr>
        <w:ind w:left="4320"/>
      </w:pPr>
    </w:p>
    <w:p w:rsidR="0025350E" w:rsidP="001E0F20" w14:paraId="640D8840" w14:textId="77777777">
      <w:pPr>
        <w:pStyle w:val="ParaNum"/>
        <w:keepNext/>
        <w:widowControl/>
        <w:numPr>
          <w:ilvl w:val="0"/>
          <w:numId w:val="0"/>
        </w:numPr>
        <w:ind w:left="4320"/>
      </w:pPr>
    </w:p>
    <w:p w:rsidR="0025350E" w:rsidP="001E0F20" w14:paraId="7630EEAA" w14:textId="77777777">
      <w:pPr>
        <w:widowControl/>
        <w:ind w:left="3600" w:firstLine="720"/>
      </w:pPr>
      <w:r w:rsidRPr="00D91E2C">
        <w:t xml:space="preserve">Marlene H. Dortch </w:t>
      </w:r>
    </w:p>
    <w:p w:rsidR="0025350E" w:rsidP="001E0F20" w14:paraId="4E40F3C8" w14:textId="77777777">
      <w:pPr>
        <w:pStyle w:val="ParaNum"/>
        <w:keepNext/>
        <w:widowControl/>
        <w:numPr>
          <w:ilvl w:val="0"/>
          <w:numId w:val="0"/>
        </w:numPr>
        <w:ind w:left="4320"/>
      </w:pPr>
      <w:r w:rsidRPr="00D91E2C">
        <w:t>Secretary</w:t>
      </w:r>
    </w:p>
    <w:p w:rsidR="0025350E" w:rsidP="001E0F20" w14:paraId="2CD51B98" w14:textId="77777777">
      <w:pPr>
        <w:pStyle w:val="ParaNum"/>
        <w:keepNext/>
        <w:widowControl/>
        <w:numPr>
          <w:ilvl w:val="0"/>
          <w:numId w:val="0"/>
        </w:numPr>
        <w:ind w:left="4320"/>
      </w:pPr>
    </w:p>
    <w:p w:rsidR="0025350E" w:rsidP="001E0F20" w14:paraId="06906B31" w14:textId="77777777">
      <w:pPr>
        <w:keepNext/>
        <w:widowControl/>
        <w:spacing w:after="120" w:line="259" w:lineRule="auto"/>
        <w:jc w:val="center"/>
        <w:sectPr w:rsidSect="0025350E">
          <w:headerReference w:type="default" r:id="rId12"/>
          <w:footerReference w:type="even" r:id="rId13"/>
          <w:footerReference w:type="default" r:id="rId14"/>
          <w:headerReference w:type="first" r:id="rId15"/>
          <w:footnotePr>
            <w:numRestart w:val="eachSect"/>
          </w:footnotePr>
          <w:endnotePr>
            <w:numFmt w:val="decimal"/>
          </w:endnotePr>
          <w:pgSz w:w="12240" w:h="15840"/>
          <w:pgMar w:top="1440" w:right="1440" w:bottom="720" w:left="1440" w:header="720" w:footer="720" w:gutter="0"/>
          <w:pgNumType w:start="1"/>
          <w:cols w:space="720"/>
          <w:noEndnote/>
          <w:titlePg/>
        </w:sectPr>
      </w:pPr>
    </w:p>
    <w:p w:rsidR="0025350E" w:rsidP="001E0F20" w14:paraId="6D6CE986" w14:textId="77777777">
      <w:pPr>
        <w:keepNext/>
        <w:widowControl/>
        <w:spacing w:after="120" w:line="259" w:lineRule="auto"/>
        <w:jc w:val="center"/>
        <w:rPr>
          <w:b/>
          <w:bCs/>
        </w:rPr>
      </w:pPr>
      <w:r>
        <w:rPr>
          <w:b/>
          <w:bCs/>
        </w:rPr>
        <w:t>APPENDIX A</w:t>
      </w:r>
    </w:p>
    <w:p w:rsidR="0025350E" w:rsidP="001E0F20" w14:paraId="0647B8C3" w14:textId="77777777">
      <w:pPr>
        <w:keepNext/>
        <w:widowControl/>
        <w:spacing w:after="120" w:line="259" w:lineRule="auto"/>
        <w:jc w:val="center"/>
        <w:rPr>
          <w:b/>
          <w:bCs/>
        </w:rPr>
      </w:pPr>
      <w:r>
        <w:rPr>
          <w:b/>
          <w:bCs/>
        </w:rPr>
        <w:t>Initial Regulatory Flexibility Analysis</w:t>
      </w:r>
    </w:p>
    <w:p w:rsidR="0025350E" w:rsidP="001E0F20" w14:paraId="0887C6B8" w14:textId="77777777">
      <w:pPr>
        <w:pStyle w:val="ParaNum"/>
        <w:keepNext/>
        <w:widowControl/>
        <w:numPr>
          <w:ilvl w:val="0"/>
          <w:numId w:val="9"/>
        </w:numPr>
        <w:tabs>
          <w:tab w:val="clear" w:pos="1080"/>
          <w:tab w:val="num" w:pos="1440"/>
        </w:tabs>
      </w:pPr>
      <w:r>
        <w:t>As required by the Regulatory Flexibility Act of 1980, as amended (RFA),</w:t>
      </w:r>
      <w:r>
        <w:rPr>
          <w:rStyle w:val="FootnoteReference"/>
        </w:rPr>
        <w:footnoteReference w:id="172"/>
      </w:r>
      <w:r>
        <w:t xml:space="preserve"> the Federal Communications Commission (Commission) has prepared this Initial Regulatory Flexibility Analysis (IRFA) of the policies and rules proposed in the </w:t>
      </w:r>
      <w:r w:rsidRPr="0097751C">
        <w:rPr>
          <w:i/>
          <w:iCs/>
        </w:rPr>
        <w:t>Notice of Proposed Rulemaking (NPRM)</w:t>
      </w:r>
      <w:r>
        <w:t xml:space="preserve"> assessing the possible significant economic impact on a substantial number of small entities.  The Commission requests written public comments on this IRFA.  Comments must be identified as responses to the IRFA and must be filed by the deadlines for comments specified on the first page of the </w:t>
      </w:r>
      <w:r w:rsidRPr="0097751C">
        <w:rPr>
          <w:i/>
          <w:iCs/>
        </w:rPr>
        <w:t>NPRM</w:t>
      </w:r>
      <w:r>
        <w:t xml:space="preserve">.  The Commission will send a copy of the </w:t>
      </w:r>
      <w:r w:rsidRPr="0097751C">
        <w:rPr>
          <w:i/>
          <w:iCs/>
        </w:rPr>
        <w:t>NPRM</w:t>
      </w:r>
      <w:r>
        <w:t>, including this IRFA, to the Chief Counsel for the Small Business Administration (SBA) Office of Advocacy.</w:t>
      </w:r>
      <w:r>
        <w:rPr>
          <w:rStyle w:val="FootnoteReference"/>
        </w:rPr>
        <w:footnoteReference w:id="173"/>
      </w:r>
      <w:r>
        <w:t xml:space="preserve">  In addition, the </w:t>
      </w:r>
      <w:r w:rsidRPr="0097751C">
        <w:rPr>
          <w:i/>
          <w:iCs/>
        </w:rPr>
        <w:t xml:space="preserve">NPRM </w:t>
      </w:r>
      <w:r>
        <w:t>and IRFA (or summaries thereof) will be published in the Federal Register.</w:t>
      </w:r>
      <w:r>
        <w:rPr>
          <w:rStyle w:val="FootnoteReference"/>
        </w:rPr>
        <w:footnoteReference w:id="174"/>
      </w:r>
    </w:p>
    <w:p w:rsidR="0025350E" w:rsidP="001E0F20" w14:paraId="5BDF24F5" w14:textId="77777777">
      <w:pPr>
        <w:pStyle w:val="Heading2"/>
        <w:widowControl/>
      </w:pPr>
      <w:bookmarkStart w:id="81" w:name="_Toc209654319"/>
      <w:bookmarkStart w:id="82" w:name="_Toc212623660"/>
      <w:bookmarkStart w:id="83" w:name="_Toc221718839"/>
      <w:r>
        <w:t>Need for, and Objectives of, the Proposed Rules</w:t>
      </w:r>
      <w:bookmarkEnd w:id="81"/>
      <w:bookmarkEnd w:id="82"/>
      <w:bookmarkEnd w:id="83"/>
    </w:p>
    <w:p w:rsidR="0025350E" w:rsidRPr="00580447" w:rsidP="001E0F20" w14:paraId="1A99B9FA" w14:textId="77777777">
      <w:pPr>
        <w:pStyle w:val="ParaNum"/>
        <w:widowControl/>
      </w:pPr>
      <w:r>
        <w:t xml:space="preserve">In the </w:t>
      </w:r>
      <w:r>
        <w:rPr>
          <w:i/>
          <w:iCs/>
        </w:rPr>
        <w:t>NPRM</w:t>
      </w:r>
      <w:r>
        <w:t xml:space="preserve">, we initiate this rulemaking proceeding seeking comment on ways in which to make additional spectrum available </w:t>
      </w:r>
      <w:r w:rsidRPr="001103A2">
        <w:t xml:space="preserve">to support </w:t>
      </w:r>
      <w:r>
        <w:t>emergent</w:t>
      </w:r>
      <w:r w:rsidRPr="001103A2">
        <w:t xml:space="preserve"> space operations</w:t>
      </w:r>
      <w:r>
        <w:t xml:space="preserve">.  We continue our efforts to identify spectrum or ways in which spectrum can be used more efficiently to support emergent space operations.  We therefore propose to establish regulatory clarity for the use of existing spectrum allocations </w:t>
      </w:r>
      <w:r w:rsidRPr="001103A2">
        <w:t xml:space="preserve">in support of </w:t>
      </w:r>
      <w:r>
        <w:t>emergent</w:t>
      </w:r>
      <w:r w:rsidRPr="001103A2">
        <w:t xml:space="preserve"> space operations</w:t>
      </w:r>
      <w:r>
        <w:t xml:space="preserve">, and to codify certain </w:t>
      </w:r>
      <w:r w:rsidRPr="00FC3E9E">
        <w:t xml:space="preserve">Commission policies to provide further regulatory clarity. </w:t>
      </w:r>
      <w:r>
        <w:t xml:space="preserve"> We also propose to make additional non-Federal spectrum available for telemetry, tracking, and command (TT&amp;C) </w:t>
      </w:r>
      <w:r w:rsidRPr="001103A2">
        <w:t xml:space="preserve">in support of </w:t>
      </w:r>
      <w:r>
        <w:t>emergent</w:t>
      </w:r>
      <w:r w:rsidRPr="001103A2">
        <w:t xml:space="preserve"> space operations</w:t>
      </w:r>
      <w:r>
        <w:t>.</w:t>
      </w:r>
    </w:p>
    <w:p w:rsidR="0025350E" w:rsidP="001E0F20" w14:paraId="16805FAC" w14:textId="77777777">
      <w:pPr>
        <w:pStyle w:val="ParaNum"/>
        <w:widowControl/>
      </w:pPr>
      <w:r>
        <w:t xml:space="preserve">The primary objectives of the proposals in the </w:t>
      </w:r>
      <w:r>
        <w:rPr>
          <w:i/>
          <w:iCs/>
        </w:rPr>
        <w:t>NPRM</w:t>
      </w:r>
      <w:r>
        <w:t xml:space="preserve"> are to identify additional spectrum for spacecraft that </w:t>
      </w:r>
      <w:r w:rsidRPr="001103A2">
        <w:t xml:space="preserve">conduct </w:t>
      </w:r>
      <w:r>
        <w:t>emergent</w:t>
      </w:r>
      <w:r w:rsidRPr="001103A2">
        <w:t xml:space="preserve"> space operations</w:t>
      </w:r>
      <w:r>
        <w:t xml:space="preserve"> and to identify ways in which existing allocated spectrum can be used more efficiently to support such spacecraft.  To that end, the </w:t>
      </w:r>
      <w:r>
        <w:rPr>
          <w:i/>
          <w:iCs/>
        </w:rPr>
        <w:t>NPRM</w:t>
      </w:r>
      <w:r>
        <w:t xml:space="preserve"> proposes to codify the use of frequency piggybacking to allow certain spacecraft engaged in servicing a client spacecraft to operate in frequency bands consistent with the client’s authorized radiofrequency communications.  The </w:t>
      </w:r>
      <w:r>
        <w:rPr>
          <w:i/>
          <w:iCs/>
        </w:rPr>
        <w:t>NPRM</w:t>
      </w:r>
      <w:r>
        <w:t xml:space="preserve"> seeks comment on how </w:t>
      </w:r>
      <w:r w:rsidRPr="00086F6E">
        <w:t>to codify the potential use of frequency piggybacking, how such codification might be structured to accommodate a broad range of scenarios while ensuring both regulatory certainty and operational flexibility, and whether additional use cases—beyond servicing, monitoring, or collaborating with a client spacecraft—should also be considered for piggybacking</w:t>
      </w:r>
      <w:r>
        <w:t xml:space="preserve">.  The </w:t>
      </w:r>
      <w:r>
        <w:rPr>
          <w:i/>
          <w:iCs/>
        </w:rPr>
        <w:t>NPRM</w:t>
      </w:r>
      <w:r>
        <w:t xml:space="preserve"> also proposes to refine the definition of “TT&amp;C” to encompass radiofrequency usage by spacecraft that do not otherwise provide radiocommunication services and to permit TT&amp;C within existing radiocommunication service allocations.</w:t>
      </w:r>
    </w:p>
    <w:p w:rsidR="0025350E" w:rsidP="001E0F20" w14:paraId="55E317A2" w14:textId="77777777">
      <w:pPr>
        <w:pStyle w:val="ParaNum"/>
        <w:widowControl/>
      </w:pPr>
      <w:r>
        <w:t xml:space="preserve">Finally, the </w:t>
      </w:r>
      <w:r>
        <w:rPr>
          <w:i/>
          <w:iCs/>
        </w:rPr>
        <w:t xml:space="preserve">NPRM </w:t>
      </w:r>
      <w:r>
        <w:t xml:space="preserve">proposes to add a secondary allocation for space operation service (SOS) (Earth-to-space) in the 2320-2345 MHz band </w:t>
      </w:r>
      <w:r w:rsidRPr="00A50C88">
        <w:t xml:space="preserve">in the non-Federal column of the </w:t>
      </w:r>
      <w:r>
        <w:t>U.S. Table of Frequency Allocations (</w:t>
      </w:r>
      <w:r w:rsidRPr="00A50C88">
        <w:t>United States Table</w:t>
      </w:r>
      <w:r>
        <w:t xml:space="preserve">), and </w:t>
      </w:r>
      <w:r w:rsidRPr="00110A09">
        <w:t>allow leasing of spectrum by the exclusive licensee within this frequency band</w:t>
      </w:r>
      <w:r>
        <w:t xml:space="preserve"> in the U.S.,</w:t>
      </w:r>
      <w:r w:rsidRPr="00110A09">
        <w:t xml:space="preserve"> to earth station licensees for command of spacecraft that do not otherwise provide radiocommunication services</w:t>
      </w:r>
      <w:r>
        <w:t>.</w:t>
      </w:r>
      <w:r w:rsidRPr="00110A09">
        <w:t xml:space="preserve"> </w:t>
      </w:r>
      <w:r>
        <w:t xml:space="preserve"> </w:t>
      </w:r>
      <w:r w:rsidRPr="00DB3CB6">
        <w:t>Th</w:t>
      </w:r>
      <w:r>
        <w:t>e</w:t>
      </w:r>
      <w:r w:rsidRPr="00DB3CB6">
        <w:t xml:space="preserve"> secondary allocation proposal includes a requirement for applicants </w:t>
      </w:r>
      <w:r>
        <w:t xml:space="preserve">to </w:t>
      </w:r>
      <w:r w:rsidRPr="00DB3CB6">
        <w:t xml:space="preserve">seek authority </w:t>
      </w:r>
      <w:r>
        <w:t xml:space="preserve">from the Commission </w:t>
      </w:r>
      <w:r w:rsidRPr="00DB3CB6">
        <w:t>to operate an earth station in the 2320-2345 MHz band under secondary allocation</w:t>
      </w:r>
      <w:r>
        <w:t>, and</w:t>
      </w:r>
      <w:r w:rsidRPr="00DB3CB6">
        <w:t xml:space="preserve"> to certify that the</w:t>
      </w:r>
      <w:r>
        <w:t>ir</w:t>
      </w:r>
      <w:r w:rsidRPr="00DB3CB6">
        <w:t xml:space="preserve"> proposed operations have been coordinate</w:t>
      </w:r>
      <w:r>
        <w:t>d</w:t>
      </w:r>
      <w:r w:rsidRPr="00DB3CB6">
        <w:t xml:space="preserve"> with, and approved by, the exclusive licensee within this frequency band to safeguard the</w:t>
      </w:r>
      <w:r>
        <w:t xml:space="preserve"> existing </w:t>
      </w:r>
      <w:r w:rsidRPr="00DB3CB6">
        <w:t xml:space="preserve">operations from interference.  </w:t>
      </w:r>
      <w:r>
        <w:t xml:space="preserve">The </w:t>
      </w:r>
      <w:r>
        <w:rPr>
          <w:i/>
          <w:iCs/>
        </w:rPr>
        <w:t>NPRM</w:t>
      </w:r>
      <w:r>
        <w:t xml:space="preserve"> seeks comment on the proposed certification requirement, and on whether there are additional non-Federally allocated spectrum bands such as the </w:t>
      </w:r>
      <w:r w:rsidRPr="00943BA8">
        <w:t>2315-2320 MHz and 2345-2350 MHz band</w:t>
      </w:r>
      <w:r>
        <w:t>s</w:t>
      </w:r>
      <w:r w:rsidRPr="001103A2">
        <w:t>, and the 2305-2315 MHz and 2350-2360 MHz bands</w:t>
      </w:r>
      <w:r>
        <w:t>,</w:t>
      </w:r>
      <w:r w:rsidRPr="00943BA8">
        <w:t xml:space="preserve"> </w:t>
      </w:r>
      <w:r>
        <w:t xml:space="preserve">that could be used </w:t>
      </w:r>
      <w:r w:rsidRPr="001103A2">
        <w:t xml:space="preserve">in support of </w:t>
      </w:r>
      <w:r>
        <w:t>emergent</w:t>
      </w:r>
      <w:r w:rsidRPr="001103A2">
        <w:t xml:space="preserve"> space operations</w:t>
      </w:r>
      <w:r>
        <w:t>.</w:t>
      </w:r>
    </w:p>
    <w:p w:rsidR="0025350E" w:rsidRPr="00580447" w:rsidP="001E0F20" w14:paraId="040E8D01" w14:textId="77777777">
      <w:pPr>
        <w:pStyle w:val="Heading2"/>
        <w:widowControl/>
      </w:pPr>
      <w:bookmarkStart w:id="84" w:name="_Toc209654320"/>
      <w:bookmarkStart w:id="85" w:name="_Toc212623661"/>
      <w:bookmarkStart w:id="86" w:name="_Toc221718840"/>
      <w:r>
        <w:t>Legal Basis</w:t>
      </w:r>
      <w:bookmarkEnd w:id="84"/>
      <w:bookmarkEnd w:id="85"/>
      <w:bookmarkEnd w:id="86"/>
    </w:p>
    <w:p w:rsidR="0025350E" w:rsidRPr="00765BC8" w:rsidP="001E0F20" w14:paraId="3D440919" w14:textId="77777777">
      <w:pPr>
        <w:pStyle w:val="ParaNum"/>
        <w:widowControl/>
      </w:pPr>
      <w:r>
        <w:t>The proposed action is authorized pursuant to sections 4(</w:t>
      </w:r>
      <w:r>
        <w:t>i</w:t>
      </w:r>
      <w:r>
        <w:t>), 4(j), 7(a), 301, 303, 307, 308, 309, 310, 312, 316, and 332 of the Communications Act of 1934, as amended, U.S.C. §§ 154(</w:t>
      </w:r>
      <w:r>
        <w:t>i</w:t>
      </w:r>
      <w:r>
        <w:t>), 154(j), 157(a), 301, 303, 307, 308, 309, 310, 312, 316, and 332.</w:t>
      </w:r>
    </w:p>
    <w:p w:rsidR="0025350E" w:rsidP="001E0F20" w14:paraId="761DE496" w14:textId="77777777">
      <w:pPr>
        <w:pStyle w:val="Heading2"/>
        <w:widowControl/>
      </w:pPr>
      <w:bookmarkStart w:id="87" w:name="_Toc209654321"/>
      <w:bookmarkStart w:id="88" w:name="_Toc212623662"/>
      <w:bookmarkStart w:id="89" w:name="_Toc221718841"/>
      <w:r>
        <w:t>Description and Estimate of the Number of Small Entities to Which the Proposed Rules Will Apply</w:t>
      </w:r>
      <w:bookmarkEnd w:id="87"/>
      <w:bookmarkEnd w:id="88"/>
      <w:bookmarkEnd w:id="89"/>
    </w:p>
    <w:p w:rsidR="0025350E" w:rsidRPr="00B243F0" w:rsidP="001E0F20" w14:paraId="73D74CE5" w14:textId="77777777">
      <w:pPr>
        <w:pStyle w:val="ParaNum"/>
        <w:widowControl/>
      </w:pPr>
      <w:r w:rsidRPr="00B243F0">
        <w:t>The RFA directs agencies to provide a description of and, where feasible, an estimate of the number of small entities that may be affected by the proposed rules, if adopted.</w:t>
      </w:r>
      <w:r>
        <w:rPr>
          <w:rStyle w:val="FootnoteReference"/>
        </w:rPr>
        <w:footnoteReference w:id="175"/>
      </w:r>
      <w:r w:rsidRPr="00B243F0">
        <w:t xml:space="preserve">  The RFA generally defines the term “small entity” as having the same meaning as the terms “small business,” “small organization,” and “small governmental jurisdiction.”</w:t>
      </w:r>
      <w:r>
        <w:rPr>
          <w:rStyle w:val="FootnoteReference"/>
        </w:rPr>
        <w:footnoteReference w:id="176"/>
      </w:r>
      <w:r w:rsidRPr="00B243F0">
        <w:t xml:space="preserve">  In addition, the term “small business” has the same meaning as the term “small business concern” under the SBA.</w:t>
      </w:r>
      <w:r>
        <w:rPr>
          <w:rStyle w:val="FootnoteReference"/>
        </w:rPr>
        <w:footnoteReference w:id="177"/>
      </w:r>
      <w:r w:rsidRPr="00B243F0">
        <w:t xml:space="preserve">  A “small business concern” is one in which: (1) is independently owned and operated; (2) is not dominant in its field of operation; and (3) satisfies any additional criteria established by the SBA.</w:t>
      </w:r>
      <w:r>
        <w:rPr>
          <w:rStyle w:val="FootnoteReference"/>
        </w:rPr>
        <w:footnoteReference w:id="178"/>
      </w:r>
      <w:r w:rsidRPr="00B243F0">
        <w:t xml:space="preserve">  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rPr>
          <w:rStyle w:val="FootnoteReference"/>
        </w:rPr>
        <w:footnoteReference w:id="179"/>
      </w:r>
      <w:r w:rsidRPr="00B243F0">
        <w:t xml:space="preserve"> </w:t>
      </w:r>
    </w:p>
    <w:p w:rsidR="0025350E" w:rsidRPr="00B243F0" w:rsidP="001E0F20" w14:paraId="25ADD784" w14:textId="77777777">
      <w:pPr>
        <w:pStyle w:val="ParaNum"/>
        <w:widowControl/>
      </w:pPr>
      <w:r w:rsidRPr="00B243F0">
        <w:t>Our actions, over time, may affect small entities that are not easily categorized at present.  We therefore describe three broad groups of small entities that could be directly affected herein.</w:t>
      </w:r>
      <w:r>
        <w:rPr>
          <w:rStyle w:val="FootnoteReference"/>
        </w:rPr>
        <w:footnoteReference w:id="180"/>
      </w:r>
      <w:r w:rsidRPr="00B243F0">
        <w:t xml:space="preserve">  </w:t>
      </w:r>
      <w:r>
        <w:t>I</w:t>
      </w:r>
      <w:r w:rsidRPr="00B243F0">
        <w:t>n general, a small business is an independent business having fewer than 500 employees.</w:t>
      </w:r>
      <w:r>
        <w:rPr>
          <w:rStyle w:val="FootnoteReference"/>
        </w:rPr>
        <w:footnoteReference w:id="181"/>
      </w:r>
      <w:r w:rsidRPr="00B243F0">
        <w:t xml:space="preserve">  These types of small business represent 99.9% of all businesses in the United States, which translates to 34.75 million businesses.</w:t>
      </w:r>
      <w:r>
        <w:rPr>
          <w:rStyle w:val="FootnoteReference"/>
        </w:rPr>
        <w:footnoteReference w:id="182"/>
      </w:r>
      <w:r w:rsidRPr="00B243F0">
        <w:t xml:space="preserve">  Next, “small organizations” are not-for-profit enterprises that are independently owned and operated and not dominant in their field.</w:t>
      </w:r>
      <w:r>
        <w:rPr>
          <w:rStyle w:val="FootnoteReference"/>
        </w:rPr>
        <w:footnoteReference w:id="183"/>
      </w:r>
      <w:r w:rsidRPr="00B243F0">
        <w:t xml:space="preserve">  </w:t>
      </w:r>
      <w:r>
        <w:t>While we do not have data regarding the number of non-profits that meet that criteria, over 99 percent</w:t>
      </w:r>
      <w:r w:rsidRPr="00B243F0">
        <w:t xml:space="preserve"> of </w:t>
      </w:r>
      <w:r>
        <w:t>nonprofits have fewer than 500 employees</w:t>
      </w:r>
      <w:r w:rsidRPr="00B243F0">
        <w:t>.</w:t>
      </w:r>
      <w:r>
        <w:rPr>
          <w:rStyle w:val="FootnoteReference"/>
        </w:rPr>
        <w:footnoteReference w:id="184"/>
      </w:r>
      <w:r w:rsidRPr="00B243F0">
        <w:t xml:space="preserve">  Finally, “small governmental jurisdictions” are defined as cities, counties, towns, townships, villages, school districts, or special districts with populations of less than fifty thousand.</w:t>
      </w:r>
      <w:r>
        <w:rPr>
          <w:rStyle w:val="FootnoteReference"/>
        </w:rPr>
        <w:footnoteReference w:id="185"/>
      </w:r>
      <w:r w:rsidRPr="00B243F0">
        <w:t xml:space="preserve">  Based on the 2022 U.S. Census </w:t>
      </w:r>
      <w:r w:rsidRPr="00B243F0">
        <w:t>of Governments data, we estimate that at least 48,724 out of 90,835 local government jurisdictions have a population of less than 50,000.</w:t>
      </w:r>
      <w:r>
        <w:rPr>
          <w:rStyle w:val="FootnoteReference"/>
        </w:rPr>
        <w:footnoteReference w:id="186"/>
      </w:r>
      <w:r w:rsidRPr="00B243F0">
        <w:t xml:space="preserve"> </w:t>
      </w:r>
    </w:p>
    <w:p w:rsidR="0025350E" w:rsidRPr="001F0F38" w:rsidP="001E0F20" w14:paraId="1931B334" w14:textId="77777777">
      <w:pPr>
        <w:pStyle w:val="ParaNum"/>
        <w:widowControl/>
      </w:pPr>
      <w:r>
        <w:t xml:space="preserve">The rules proposed in the </w:t>
      </w:r>
      <w:r>
        <w:rPr>
          <w:i/>
          <w:iCs/>
        </w:rPr>
        <w:t>NPRM</w:t>
      </w:r>
      <w:r>
        <w:t xml:space="preserve"> will apply to small entities in the industries identified in the chart below by their six-digit North American Industry Classification System (NAICS)</w:t>
      </w:r>
      <w:r>
        <w:rPr>
          <w:rStyle w:val="FootnoteReference"/>
        </w:rPr>
        <w:footnoteReference w:id="187"/>
      </w:r>
      <w:r>
        <w:t xml:space="preserve"> codes and corresponding SBA size standard.</w:t>
      </w:r>
      <w:r>
        <w:rPr>
          <w:rStyle w:val="FootnoteReference"/>
        </w:rPr>
        <w:footnoteReference w:id="188"/>
      </w:r>
      <w:r>
        <w:t xml:space="preserve">  Based on currently available U.S. Census data regarding the estimated number of small firms in each identified industry, we conclude that the proposed rules will impact a substantial number of small entities.  Where available, we also provide additional information regarding the number of potentially affected entities in the industries identified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113"/>
        <w:gridCol w:w="1857"/>
        <w:gridCol w:w="1155"/>
        <w:gridCol w:w="1095"/>
        <w:gridCol w:w="1908"/>
      </w:tblGrid>
      <w:tr w14:paraId="24F698A5" w14:textId="77777777" w:rsidTr="006E18BF">
        <w:tblPrEx>
          <w:tblW w:w="0" w:type="auto"/>
          <w:tblLook w:val="04A0"/>
        </w:tblPrEx>
        <w:tc>
          <w:tcPr>
            <w:tcW w:w="2448" w:type="dxa"/>
          </w:tcPr>
          <w:p w:rsidR="0025350E" w:rsidRPr="00B243F0" w:rsidP="001E0F20" w14:paraId="22B499F9" w14:textId="77777777">
            <w:pPr>
              <w:pStyle w:val="ParaNum"/>
              <w:keepNext/>
              <w:widowControl/>
              <w:numPr>
                <w:ilvl w:val="0"/>
                <w:numId w:val="0"/>
              </w:numPr>
              <w:rPr>
                <w:rFonts w:eastAsia="Aptos"/>
                <w:b/>
                <w:bCs/>
                <w:szCs w:val="24"/>
              </w:rPr>
            </w:pPr>
            <w:r w:rsidRPr="00B243F0">
              <w:rPr>
                <w:rFonts w:eastAsia="Aptos"/>
                <w:b/>
                <w:bCs/>
                <w:szCs w:val="24"/>
              </w:rPr>
              <w:t>Regulated Industry</w:t>
            </w:r>
          </w:p>
        </w:tc>
        <w:tc>
          <w:tcPr>
            <w:tcW w:w="1113" w:type="dxa"/>
          </w:tcPr>
          <w:p w:rsidR="0025350E" w:rsidRPr="00B243F0" w:rsidP="001E0F20" w14:paraId="0583B542" w14:textId="77777777">
            <w:pPr>
              <w:pStyle w:val="ParaNum"/>
              <w:keepNext/>
              <w:widowControl/>
              <w:numPr>
                <w:ilvl w:val="0"/>
                <w:numId w:val="0"/>
              </w:numPr>
              <w:rPr>
                <w:rFonts w:eastAsia="Aptos"/>
                <w:b/>
                <w:bCs/>
                <w:szCs w:val="24"/>
              </w:rPr>
            </w:pPr>
            <w:r w:rsidRPr="00B243F0">
              <w:rPr>
                <w:rFonts w:eastAsia="Aptos"/>
                <w:b/>
                <w:bCs/>
                <w:szCs w:val="24"/>
              </w:rPr>
              <w:t>NAICS Code</w:t>
            </w:r>
          </w:p>
        </w:tc>
        <w:tc>
          <w:tcPr>
            <w:tcW w:w="1857" w:type="dxa"/>
          </w:tcPr>
          <w:p w:rsidR="0025350E" w:rsidRPr="00B243F0" w:rsidP="001E0F20" w14:paraId="28CD699D" w14:textId="77777777">
            <w:pPr>
              <w:pStyle w:val="ParaNum"/>
              <w:keepNext/>
              <w:widowControl/>
              <w:numPr>
                <w:ilvl w:val="0"/>
                <w:numId w:val="0"/>
              </w:numPr>
              <w:rPr>
                <w:rFonts w:eastAsia="Aptos"/>
                <w:b/>
                <w:bCs/>
                <w:szCs w:val="24"/>
              </w:rPr>
            </w:pPr>
            <w:r w:rsidRPr="00B243F0">
              <w:rPr>
                <w:rFonts w:eastAsia="Aptos"/>
                <w:b/>
                <w:bCs/>
                <w:szCs w:val="24"/>
              </w:rPr>
              <w:t>SBA Size Standard</w:t>
            </w:r>
          </w:p>
        </w:tc>
        <w:tc>
          <w:tcPr>
            <w:tcW w:w="1155" w:type="dxa"/>
          </w:tcPr>
          <w:p w:rsidR="0025350E" w:rsidRPr="00B243F0" w:rsidP="001E0F20" w14:paraId="6B596E32" w14:textId="77777777">
            <w:pPr>
              <w:pStyle w:val="ParaNum"/>
              <w:keepNext/>
              <w:widowControl/>
              <w:numPr>
                <w:ilvl w:val="0"/>
                <w:numId w:val="0"/>
              </w:numPr>
              <w:rPr>
                <w:rFonts w:eastAsia="Aptos"/>
                <w:b/>
                <w:bCs/>
                <w:szCs w:val="24"/>
              </w:rPr>
            </w:pPr>
            <w:r w:rsidRPr="00B243F0">
              <w:rPr>
                <w:rFonts w:eastAsia="Aptos"/>
                <w:b/>
                <w:bCs/>
                <w:szCs w:val="24"/>
              </w:rPr>
              <w:t>Total Firms</w:t>
            </w:r>
            <w:r>
              <w:rPr>
                <w:rStyle w:val="FootnoteReference"/>
                <w:rFonts w:eastAsia="Aptos"/>
                <w:bCs/>
                <w:szCs w:val="24"/>
              </w:rPr>
              <w:footnoteReference w:id="189"/>
            </w:r>
          </w:p>
        </w:tc>
        <w:tc>
          <w:tcPr>
            <w:tcW w:w="1095" w:type="dxa"/>
          </w:tcPr>
          <w:p w:rsidR="0025350E" w:rsidRPr="00B243F0" w:rsidP="001E0F20" w14:paraId="60E55CEA" w14:textId="77777777">
            <w:pPr>
              <w:pStyle w:val="ParaNum"/>
              <w:keepNext/>
              <w:widowControl/>
              <w:numPr>
                <w:ilvl w:val="0"/>
                <w:numId w:val="0"/>
              </w:numPr>
              <w:rPr>
                <w:rFonts w:eastAsia="Aptos"/>
                <w:b/>
                <w:bCs/>
                <w:szCs w:val="24"/>
              </w:rPr>
            </w:pPr>
            <w:r w:rsidRPr="00B243F0">
              <w:rPr>
                <w:rFonts w:eastAsia="Aptos"/>
                <w:b/>
                <w:bCs/>
                <w:szCs w:val="24"/>
              </w:rPr>
              <w:t>Small Firms</w:t>
            </w:r>
            <w:r>
              <w:rPr>
                <w:rStyle w:val="FootnoteReference"/>
                <w:rFonts w:eastAsia="Aptos"/>
                <w:bCs/>
                <w:szCs w:val="24"/>
              </w:rPr>
              <w:footnoteReference w:id="190"/>
            </w:r>
          </w:p>
        </w:tc>
        <w:tc>
          <w:tcPr>
            <w:tcW w:w="1908" w:type="dxa"/>
          </w:tcPr>
          <w:p w:rsidR="0025350E" w:rsidRPr="00B243F0" w:rsidP="001E0F20" w14:paraId="5A2A5473" w14:textId="77777777">
            <w:pPr>
              <w:pStyle w:val="ParaNum"/>
              <w:keepNext/>
              <w:widowControl/>
              <w:numPr>
                <w:ilvl w:val="0"/>
                <w:numId w:val="0"/>
              </w:numPr>
              <w:rPr>
                <w:rFonts w:eastAsia="Aptos"/>
                <w:b/>
                <w:bCs/>
                <w:szCs w:val="24"/>
              </w:rPr>
            </w:pPr>
            <w:r w:rsidRPr="00B243F0">
              <w:rPr>
                <w:rFonts w:eastAsia="Aptos"/>
                <w:b/>
                <w:bCs/>
                <w:szCs w:val="24"/>
              </w:rPr>
              <w:t>% Small Firms in Industry</w:t>
            </w:r>
          </w:p>
        </w:tc>
      </w:tr>
      <w:tr w14:paraId="48C6D85C" w14:textId="77777777" w:rsidTr="006E18BF">
        <w:tblPrEx>
          <w:tblW w:w="0" w:type="auto"/>
          <w:tblLook w:val="04A0"/>
        </w:tblPrEx>
        <w:tc>
          <w:tcPr>
            <w:tcW w:w="2448" w:type="dxa"/>
          </w:tcPr>
          <w:p w:rsidR="0025350E" w:rsidRPr="00B243F0" w:rsidP="001E0F20" w14:paraId="234AB5C1" w14:textId="77777777">
            <w:pPr>
              <w:pStyle w:val="ParaNum"/>
              <w:keepNext/>
              <w:widowControl/>
              <w:numPr>
                <w:ilvl w:val="0"/>
                <w:numId w:val="0"/>
              </w:numPr>
              <w:rPr>
                <w:rFonts w:eastAsia="Aptos"/>
                <w:szCs w:val="24"/>
              </w:rPr>
            </w:pPr>
            <w:r>
              <w:rPr>
                <w:rFonts w:eastAsia="Aptos"/>
                <w:szCs w:val="24"/>
              </w:rPr>
              <w:t>Wired Telecommunications Carriers</w:t>
            </w:r>
            <w:r>
              <w:rPr>
                <w:rStyle w:val="FootnoteReference"/>
                <w:rFonts w:eastAsia="Aptos"/>
                <w:szCs w:val="24"/>
              </w:rPr>
              <w:footnoteReference w:id="191"/>
            </w:r>
          </w:p>
        </w:tc>
        <w:tc>
          <w:tcPr>
            <w:tcW w:w="1113" w:type="dxa"/>
          </w:tcPr>
          <w:p w:rsidR="0025350E" w:rsidRPr="00B243F0" w:rsidP="001E0F20" w14:paraId="042B6F5B" w14:textId="77777777">
            <w:pPr>
              <w:pStyle w:val="ParaNum"/>
              <w:keepNext/>
              <w:widowControl/>
              <w:numPr>
                <w:ilvl w:val="0"/>
                <w:numId w:val="0"/>
              </w:numPr>
              <w:rPr>
                <w:rFonts w:eastAsia="Aptos"/>
                <w:szCs w:val="24"/>
              </w:rPr>
            </w:pPr>
            <w:r>
              <w:rPr>
                <w:rFonts w:eastAsia="Aptos"/>
                <w:szCs w:val="24"/>
              </w:rPr>
              <w:t>517111</w:t>
            </w:r>
          </w:p>
        </w:tc>
        <w:tc>
          <w:tcPr>
            <w:tcW w:w="1857" w:type="dxa"/>
          </w:tcPr>
          <w:p w:rsidR="0025350E" w:rsidRPr="00B243F0" w:rsidP="001E0F20" w14:paraId="115B990E" w14:textId="77777777">
            <w:pPr>
              <w:pStyle w:val="ParaNum"/>
              <w:keepNext/>
              <w:widowControl/>
              <w:numPr>
                <w:ilvl w:val="0"/>
                <w:numId w:val="0"/>
              </w:numPr>
              <w:rPr>
                <w:rFonts w:eastAsia="Aptos"/>
                <w:szCs w:val="24"/>
              </w:rPr>
            </w:pPr>
            <w:r>
              <w:rPr>
                <w:rFonts w:eastAsia="Aptos"/>
                <w:szCs w:val="24"/>
              </w:rPr>
              <w:t>1,500 employees</w:t>
            </w:r>
          </w:p>
        </w:tc>
        <w:tc>
          <w:tcPr>
            <w:tcW w:w="1155" w:type="dxa"/>
          </w:tcPr>
          <w:p w:rsidR="0025350E" w:rsidRPr="00B243F0" w:rsidP="001E0F20" w14:paraId="020B5AE6" w14:textId="77777777">
            <w:pPr>
              <w:pStyle w:val="ParaNum"/>
              <w:keepNext/>
              <w:widowControl/>
              <w:numPr>
                <w:ilvl w:val="0"/>
                <w:numId w:val="0"/>
              </w:numPr>
              <w:rPr>
                <w:rFonts w:eastAsia="Aptos"/>
                <w:szCs w:val="24"/>
              </w:rPr>
            </w:pPr>
            <w:r>
              <w:rPr>
                <w:rFonts w:eastAsia="Aptos"/>
                <w:szCs w:val="24"/>
              </w:rPr>
              <w:t>3,403</w:t>
            </w:r>
          </w:p>
        </w:tc>
        <w:tc>
          <w:tcPr>
            <w:tcW w:w="1095" w:type="dxa"/>
          </w:tcPr>
          <w:p w:rsidR="0025350E" w:rsidRPr="00B243F0" w:rsidP="001E0F20" w14:paraId="08AACE7F" w14:textId="77777777">
            <w:pPr>
              <w:pStyle w:val="ParaNum"/>
              <w:keepNext/>
              <w:widowControl/>
              <w:numPr>
                <w:ilvl w:val="0"/>
                <w:numId w:val="0"/>
              </w:numPr>
              <w:rPr>
                <w:rFonts w:eastAsia="Aptos"/>
                <w:szCs w:val="24"/>
              </w:rPr>
            </w:pPr>
            <w:r>
              <w:rPr>
                <w:rFonts w:eastAsia="Aptos"/>
                <w:szCs w:val="24"/>
              </w:rPr>
              <w:t>3.027</w:t>
            </w:r>
          </w:p>
        </w:tc>
        <w:tc>
          <w:tcPr>
            <w:tcW w:w="1908" w:type="dxa"/>
          </w:tcPr>
          <w:p w:rsidR="0025350E" w:rsidRPr="00B243F0" w:rsidP="001E0F20" w14:paraId="1BC0A6AC" w14:textId="77777777">
            <w:pPr>
              <w:pStyle w:val="ParaNum"/>
              <w:keepNext/>
              <w:widowControl/>
              <w:numPr>
                <w:ilvl w:val="0"/>
                <w:numId w:val="0"/>
              </w:numPr>
              <w:rPr>
                <w:rFonts w:eastAsia="Aptos"/>
                <w:szCs w:val="24"/>
              </w:rPr>
            </w:pPr>
            <w:r>
              <w:rPr>
                <w:rFonts w:eastAsia="Aptos"/>
                <w:szCs w:val="24"/>
              </w:rPr>
              <w:t>88.95%</w:t>
            </w:r>
          </w:p>
        </w:tc>
      </w:tr>
      <w:tr w14:paraId="1FE433F8" w14:textId="77777777" w:rsidTr="006E18BF">
        <w:tblPrEx>
          <w:tblW w:w="0" w:type="auto"/>
          <w:tblLook w:val="04A0"/>
        </w:tblPrEx>
        <w:tc>
          <w:tcPr>
            <w:tcW w:w="2448" w:type="dxa"/>
          </w:tcPr>
          <w:p w:rsidR="0025350E" w:rsidRPr="00B243F0" w:rsidP="001E0F20" w14:paraId="0F6721BF" w14:textId="77777777">
            <w:pPr>
              <w:pStyle w:val="ParaNum"/>
              <w:keepNext/>
              <w:widowControl/>
              <w:numPr>
                <w:ilvl w:val="0"/>
                <w:numId w:val="0"/>
              </w:numPr>
              <w:rPr>
                <w:rFonts w:eastAsia="Aptos"/>
                <w:szCs w:val="24"/>
              </w:rPr>
            </w:pPr>
            <w:r w:rsidRPr="00B243F0">
              <w:rPr>
                <w:rFonts w:eastAsia="Aptos"/>
                <w:szCs w:val="24"/>
              </w:rPr>
              <w:t>Satellite Telecommunications</w:t>
            </w:r>
            <w:r>
              <w:rPr>
                <w:rStyle w:val="FootnoteReference"/>
                <w:rFonts w:eastAsia="Aptos"/>
                <w:szCs w:val="24"/>
              </w:rPr>
              <w:footnoteReference w:id="192"/>
            </w:r>
          </w:p>
        </w:tc>
        <w:tc>
          <w:tcPr>
            <w:tcW w:w="1113" w:type="dxa"/>
          </w:tcPr>
          <w:p w:rsidR="0025350E" w:rsidRPr="00B243F0" w:rsidP="001E0F20" w14:paraId="02864FCB" w14:textId="77777777">
            <w:pPr>
              <w:pStyle w:val="ParaNum"/>
              <w:keepNext/>
              <w:widowControl/>
              <w:numPr>
                <w:ilvl w:val="0"/>
                <w:numId w:val="0"/>
              </w:numPr>
              <w:rPr>
                <w:rFonts w:eastAsia="Aptos"/>
                <w:szCs w:val="24"/>
              </w:rPr>
            </w:pPr>
            <w:r w:rsidRPr="00B243F0">
              <w:rPr>
                <w:rFonts w:eastAsia="Aptos"/>
                <w:szCs w:val="24"/>
              </w:rPr>
              <w:t>517410</w:t>
            </w:r>
          </w:p>
        </w:tc>
        <w:tc>
          <w:tcPr>
            <w:tcW w:w="1857" w:type="dxa"/>
          </w:tcPr>
          <w:p w:rsidR="0025350E" w:rsidRPr="00B243F0" w:rsidP="001E0F20" w14:paraId="75AFC315" w14:textId="77777777">
            <w:pPr>
              <w:pStyle w:val="ParaNum"/>
              <w:keepNext/>
              <w:widowControl/>
              <w:numPr>
                <w:ilvl w:val="0"/>
                <w:numId w:val="0"/>
              </w:numPr>
              <w:rPr>
                <w:rFonts w:eastAsia="Aptos"/>
                <w:szCs w:val="24"/>
              </w:rPr>
            </w:pPr>
            <w:r w:rsidRPr="00B243F0">
              <w:rPr>
                <w:rFonts w:eastAsia="Aptos"/>
                <w:szCs w:val="24"/>
              </w:rPr>
              <w:t>$4</w:t>
            </w:r>
            <w:r>
              <w:rPr>
                <w:rFonts w:eastAsia="Aptos"/>
                <w:szCs w:val="24"/>
              </w:rPr>
              <w:t>4</w:t>
            </w:r>
            <w:r w:rsidRPr="00B243F0">
              <w:rPr>
                <w:rFonts w:eastAsia="Aptos"/>
                <w:szCs w:val="24"/>
              </w:rPr>
              <w:t xml:space="preserve"> million</w:t>
            </w:r>
          </w:p>
        </w:tc>
        <w:tc>
          <w:tcPr>
            <w:tcW w:w="1155" w:type="dxa"/>
          </w:tcPr>
          <w:p w:rsidR="0025350E" w:rsidRPr="00B243F0" w:rsidP="001E0F20" w14:paraId="72DC0081" w14:textId="77777777">
            <w:pPr>
              <w:pStyle w:val="ParaNum"/>
              <w:keepNext/>
              <w:widowControl/>
              <w:numPr>
                <w:ilvl w:val="0"/>
                <w:numId w:val="0"/>
              </w:numPr>
              <w:rPr>
                <w:rFonts w:eastAsia="Aptos"/>
                <w:szCs w:val="24"/>
              </w:rPr>
            </w:pPr>
            <w:r>
              <w:rPr>
                <w:rFonts w:eastAsia="Aptos"/>
                <w:szCs w:val="24"/>
              </w:rPr>
              <w:t>332</w:t>
            </w:r>
          </w:p>
        </w:tc>
        <w:tc>
          <w:tcPr>
            <w:tcW w:w="1095" w:type="dxa"/>
          </w:tcPr>
          <w:p w:rsidR="0025350E" w:rsidRPr="00B243F0" w:rsidP="001E0F20" w14:paraId="7D0C39CA" w14:textId="77777777">
            <w:pPr>
              <w:pStyle w:val="ParaNum"/>
              <w:keepNext/>
              <w:widowControl/>
              <w:numPr>
                <w:ilvl w:val="0"/>
                <w:numId w:val="0"/>
              </w:numPr>
              <w:rPr>
                <w:rFonts w:eastAsia="Aptos"/>
                <w:szCs w:val="24"/>
              </w:rPr>
            </w:pPr>
            <w:r>
              <w:rPr>
                <w:rFonts w:eastAsia="Aptos"/>
                <w:szCs w:val="24"/>
              </w:rPr>
              <w:t>195</w:t>
            </w:r>
          </w:p>
        </w:tc>
        <w:tc>
          <w:tcPr>
            <w:tcW w:w="1908" w:type="dxa"/>
          </w:tcPr>
          <w:p w:rsidR="0025350E" w:rsidRPr="00B243F0" w:rsidP="001E0F20" w14:paraId="5911EDFF" w14:textId="77777777">
            <w:pPr>
              <w:pStyle w:val="ParaNum"/>
              <w:keepNext/>
              <w:widowControl/>
              <w:numPr>
                <w:ilvl w:val="0"/>
                <w:numId w:val="0"/>
              </w:numPr>
              <w:rPr>
                <w:rFonts w:eastAsia="Aptos"/>
                <w:szCs w:val="24"/>
              </w:rPr>
            </w:pPr>
            <w:r>
              <w:rPr>
                <w:rFonts w:eastAsia="Aptos"/>
                <w:szCs w:val="24"/>
              </w:rPr>
              <w:t>88</w:t>
            </w:r>
            <w:r w:rsidRPr="00B243F0">
              <w:rPr>
                <w:rFonts w:eastAsia="Aptos"/>
                <w:szCs w:val="24"/>
              </w:rPr>
              <w:t>.</w:t>
            </w:r>
            <w:r>
              <w:rPr>
                <w:rFonts w:eastAsia="Aptos"/>
                <w:szCs w:val="24"/>
              </w:rPr>
              <w:t>69</w:t>
            </w:r>
            <w:r w:rsidRPr="00B243F0">
              <w:rPr>
                <w:rFonts w:eastAsia="Aptos"/>
                <w:szCs w:val="24"/>
              </w:rPr>
              <w:t>%</w:t>
            </w:r>
          </w:p>
        </w:tc>
      </w:tr>
      <w:tr w14:paraId="22501569" w14:textId="77777777" w:rsidTr="006E18BF">
        <w:tblPrEx>
          <w:tblW w:w="0" w:type="auto"/>
          <w:tblLook w:val="04A0"/>
        </w:tblPrEx>
        <w:tc>
          <w:tcPr>
            <w:tcW w:w="2448" w:type="dxa"/>
          </w:tcPr>
          <w:p w:rsidR="0025350E" w:rsidRPr="00B243F0" w:rsidP="001E0F20" w14:paraId="10AA6CE4" w14:textId="77777777">
            <w:pPr>
              <w:pStyle w:val="ParaNum"/>
              <w:keepNext/>
              <w:widowControl/>
              <w:numPr>
                <w:ilvl w:val="0"/>
                <w:numId w:val="0"/>
              </w:numPr>
              <w:rPr>
                <w:rFonts w:eastAsia="Aptos"/>
                <w:szCs w:val="24"/>
              </w:rPr>
            </w:pPr>
            <w:r w:rsidRPr="00B243F0">
              <w:rPr>
                <w:rFonts w:eastAsia="Aptos"/>
                <w:szCs w:val="24"/>
              </w:rPr>
              <w:t>All Other Telecommunications</w:t>
            </w:r>
          </w:p>
        </w:tc>
        <w:tc>
          <w:tcPr>
            <w:tcW w:w="1113" w:type="dxa"/>
          </w:tcPr>
          <w:p w:rsidR="0025350E" w:rsidRPr="00B243F0" w:rsidP="001E0F20" w14:paraId="7520185A" w14:textId="77777777">
            <w:pPr>
              <w:pStyle w:val="ParaNum"/>
              <w:keepNext/>
              <w:widowControl/>
              <w:numPr>
                <w:ilvl w:val="0"/>
                <w:numId w:val="0"/>
              </w:numPr>
              <w:rPr>
                <w:rFonts w:eastAsia="Aptos"/>
                <w:szCs w:val="24"/>
              </w:rPr>
            </w:pPr>
            <w:r w:rsidRPr="00B243F0">
              <w:rPr>
                <w:rFonts w:eastAsia="Aptos"/>
                <w:szCs w:val="24"/>
              </w:rPr>
              <w:t>517810</w:t>
            </w:r>
          </w:p>
        </w:tc>
        <w:tc>
          <w:tcPr>
            <w:tcW w:w="1857" w:type="dxa"/>
          </w:tcPr>
          <w:p w:rsidR="0025350E" w:rsidRPr="00B243F0" w:rsidP="001E0F20" w14:paraId="6B53375E" w14:textId="77777777">
            <w:pPr>
              <w:pStyle w:val="ParaNum"/>
              <w:keepNext/>
              <w:widowControl/>
              <w:numPr>
                <w:ilvl w:val="0"/>
                <w:numId w:val="0"/>
              </w:numPr>
              <w:rPr>
                <w:rFonts w:eastAsia="Aptos"/>
                <w:szCs w:val="24"/>
              </w:rPr>
            </w:pPr>
            <w:r w:rsidRPr="00B243F0">
              <w:rPr>
                <w:rFonts w:eastAsia="Aptos"/>
                <w:szCs w:val="24"/>
              </w:rPr>
              <w:t>$40 million</w:t>
            </w:r>
          </w:p>
        </w:tc>
        <w:tc>
          <w:tcPr>
            <w:tcW w:w="1155" w:type="dxa"/>
          </w:tcPr>
          <w:p w:rsidR="0025350E" w:rsidRPr="00B243F0" w:rsidP="001E0F20" w14:paraId="728008F5" w14:textId="77777777">
            <w:pPr>
              <w:pStyle w:val="ParaNum"/>
              <w:keepNext/>
              <w:widowControl/>
              <w:numPr>
                <w:ilvl w:val="0"/>
                <w:numId w:val="0"/>
              </w:numPr>
              <w:rPr>
                <w:rFonts w:eastAsia="Aptos"/>
                <w:szCs w:val="24"/>
              </w:rPr>
            </w:pPr>
            <w:r w:rsidRPr="00B243F0">
              <w:rPr>
                <w:rFonts w:eastAsia="Aptos"/>
                <w:szCs w:val="24"/>
              </w:rPr>
              <w:t>1,</w:t>
            </w:r>
            <w:r>
              <w:rPr>
                <w:rFonts w:eastAsia="Aptos"/>
                <w:szCs w:val="24"/>
              </w:rPr>
              <w:t>673</w:t>
            </w:r>
          </w:p>
        </w:tc>
        <w:tc>
          <w:tcPr>
            <w:tcW w:w="1095" w:type="dxa"/>
          </w:tcPr>
          <w:p w:rsidR="0025350E" w:rsidRPr="00B243F0" w:rsidP="001E0F20" w14:paraId="34E489ED" w14:textId="77777777">
            <w:pPr>
              <w:pStyle w:val="ParaNum"/>
              <w:keepNext/>
              <w:widowControl/>
              <w:numPr>
                <w:ilvl w:val="0"/>
                <w:numId w:val="0"/>
              </w:numPr>
              <w:rPr>
                <w:rFonts w:eastAsia="Aptos"/>
                <w:szCs w:val="24"/>
              </w:rPr>
            </w:pPr>
            <w:r w:rsidRPr="00B243F0">
              <w:rPr>
                <w:rFonts w:eastAsia="Aptos"/>
                <w:szCs w:val="24"/>
              </w:rPr>
              <w:t>1,</w:t>
            </w:r>
            <w:r>
              <w:rPr>
                <w:rFonts w:eastAsia="Aptos"/>
                <w:szCs w:val="24"/>
              </w:rPr>
              <w:t>007</w:t>
            </w:r>
          </w:p>
        </w:tc>
        <w:tc>
          <w:tcPr>
            <w:tcW w:w="1908" w:type="dxa"/>
          </w:tcPr>
          <w:p w:rsidR="0025350E" w:rsidRPr="00B243F0" w:rsidP="001E0F20" w14:paraId="3E8C2ABB" w14:textId="77777777">
            <w:pPr>
              <w:pStyle w:val="ParaNum"/>
              <w:keepNext/>
              <w:widowControl/>
              <w:numPr>
                <w:ilvl w:val="0"/>
                <w:numId w:val="0"/>
              </w:numPr>
              <w:rPr>
                <w:rFonts w:eastAsia="Aptos"/>
                <w:szCs w:val="24"/>
              </w:rPr>
            </w:pPr>
            <w:r w:rsidRPr="00B243F0">
              <w:rPr>
                <w:rFonts w:eastAsia="Aptos"/>
                <w:szCs w:val="24"/>
              </w:rPr>
              <w:t>6</w:t>
            </w:r>
            <w:r>
              <w:rPr>
                <w:rFonts w:eastAsia="Aptos"/>
                <w:szCs w:val="24"/>
              </w:rPr>
              <w:t>0</w:t>
            </w:r>
            <w:r w:rsidRPr="00B243F0">
              <w:rPr>
                <w:rFonts w:eastAsia="Aptos"/>
                <w:szCs w:val="24"/>
              </w:rPr>
              <w:t>.</w:t>
            </w:r>
            <w:r>
              <w:rPr>
                <w:rFonts w:eastAsia="Aptos"/>
                <w:szCs w:val="24"/>
              </w:rPr>
              <w:t>19%</w:t>
            </w:r>
          </w:p>
        </w:tc>
      </w:tr>
    </w:tbl>
    <w:p w:rsidR="0025350E" w:rsidP="001E0F20" w14:paraId="75522FF0" w14:textId="77777777">
      <w:pPr>
        <w:pStyle w:val="ParaNum"/>
        <w:keepNext/>
        <w:widowControl/>
        <w:numPr>
          <w:ilvl w:val="0"/>
          <w:numId w:val="0"/>
        </w:numPr>
        <w:ind w:left="1080"/>
      </w:pPr>
    </w:p>
    <w:p w:rsidR="0025350E" w:rsidP="001E0F20" w14:paraId="6D05FF5F" w14:textId="77777777">
      <w:pPr>
        <w:pStyle w:val="Heading2"/>
        <w:widowControl/>
      </w:pPr>
      <w:bookmarkStart w:id="90" w:name="_Toc209654322"/>
      <w:bookmarkStart w:id="91" w:name="_Toc212623663"/>
      <w:bookmarkStart w:id="92" w:name="_Toc221718842"/>
      <w:r>
        <w:t>Description of Economic Impact and Projected Reporting, Recordkeeping, and Other Compliance Requirements for Small Entities</w:t>
      </w:r>
      <w:bookmarkEnd w:id="90"/>
      <w:bookmarkEnd w:id="91"/>
      <w:bookmarkEnd w:id="92"/>
    </w:p>
    <w:p w:rsidR="0025350E" w:rsidRPr="00B243F0" w:rsidP="001E0F20" w14:paraId="1A22E303" w14:textId="77777777">
      <w:pPr>
        <w:pStyle w:val="ParaNum"/>
        <w:widowControl/>
      </w:pPr>
      <w:r w:rsidRPr="00B243F0">
        <w:t>The RFA directs agencies to describe the economic impact of proposed rules on small entities, as well as projected reporting, recordkeeping and other compliance requirements, including an estimate of the classes of small entities which will be subject to the requirements and the type of professional skills necessary for preparation of the report or record.</w:t>
      </w:r>
      <w:r>
        <w:rPr>
          <w:rStyle w:val="FootnoteReference"/>
        </w:rPr>
        <w:footnoteReference w:id="193"/>
      </w:r>
    </w:p>
    <w:p w:rsidR="0025350E" w:rsidP="001E0F20" w14:paraId="476BBB89" w14:textId="6E392274">
      <w:pPr>
        <w:pStyle w:val="ParaNum"/>
        <w:widowControl/>
      </w:pPr>
      <w:r>
        <w:t xml:space="preserve">In the </w:t>
      </w:r>
      <w:r>
        <w:rPr>
          <w:i/>
          <w:iCs/>
        </w:rPr>
        <w:t>NPRM</w:t>
      </w:r>
      <w:r>
        <w:t xml:space="preserve">, we seek to make additional spectrum available for certain types of spacecraft and satellite operators, and do not propose to change the way the space station licensing </w:t>
      </w:r>
      <w:r>
        <w:t xml:space="preserve">process works.  </w:t>
      </w:r>
      <w:r w:rsidRPr="00514235">
        <w:t xml:space="preserve">By clarifying the use of existing allocations and permitting TT&amp;C on a non-interference basis </w:t>
      </w:r>
      <w:r>
        <w:t xml:space="preserve">as proposed in the </w:t>
      </w:r>
      <w:r w:rsidRPr="00EA5724">
        <w:rPr>
          <w:i/>
          <w:iCs/>
        </w:rPr>
        <w:t>N</w:t>
      </w:r>
      <w:r>
        <w:rPr>
          <w:i/>
          <w:iCs/>
        </w:rPr>
        <w:t>PRM</w:t>
      </w:r>
      <w:r>
        <w:t>, we</w:t>
      </w:r>
      <w:r w:rsidRPr="00514235">
        <w:t xml:space="preserve"> may reduce the time and expense for small and other entities associated with</w:t>
      </w:r>
      <w:r>
        <w:t xml:space="preserve"> acquiring</w:t>
      </w:r>
      <w:r w:rsidRPr="00514235">
        <w:t xml:space="preserve"> spectrum access.</w:t>
      </w:r>
      <w:r>
        <w:t xml:space="preserve">  </w:t>
      </w:r>
      <w:r w:rsidRPr="00001BCA">
        <w:t xml:space="preserve">Further, these clarifications and the codification of practices such as frequency piggybacking </w:t>
      </w:r>
      <w:r>
        <w:t xml:space="preserve">and spectrum leasing should lower barriers to entry, </w:t>
      </w:r>
      <w:r w:rsidRPr="00001BCA">
        <w:t xml:space="preserve">eliminate the need for small entities to file requests for waiver of the </w:t>
      </w:r>
      <w:r>
        <w:t>United States Table (</w:t>
      </w:r>
      <w:r w:rsidRPr="00001BCA">
        <w:t>47 CFR § 2.106</w:t>
      </w:r>
      <w:r>
        <w:t>)</w:t>
      </w:r>
      <w:r w:rsidRPr="00001BCA">
        <w:t xml:space="preserve"> to access certain spectrum</w:t>
      </w:r>
      <w:r>
        <w:t>,</w:t>
      </w:r>
      <w:r w:rsidRPr="00001BCA">
        <w:t xml:space="preserve"> </w:t>
      </w:r>
      <w:r>
        <w:t xml:space="preserve">and allow small entities to avoid lengthy coordination with </w:t>
      </w:r>
      <w:r w:rsidR="00755286">
        <w:t>F</w:t>
      </w:r>
      <w:r>
        <w:t xml:space="preserve">ederal users making the application process easier and </w:t>
      </w:r>
      <w:r w:rsidRPr="00001BCA">
        <w:t xml:space="preserve">avoid </w:t>
      </w:r>
      <w:r>
        <w:t xml:space="preserve">some </w:t>
      </w:r>
      <w:r w:rsidRPr="00001BCA">
        <w:t xml:space="preserve">legal and administrative costs. </w:t>
      </w:r>
      <w:r>
        <w:t xml:space="preserve"> We estimate a total cost savings of approximately $6.8 million annually from the proposals discussed in the </w:t>
      </w:r>
      <w:r w:rsidRPr="00A42F1F">
        <w:rPr>
          <w:i/>
          <w:iCs/>
        </w:rPr>
        <w:t>NPRM</w:t>
      </w:r>
      <w:r>
        <w:rPr>
          <w:i/>
          <w:iCs/>
        </w:rPr>
        <w:t>.</w:t>
      </w:r>
    </w:p>
    <w:p w:rsidR="0025350E" w:rsidP="001E0F20" w14:paraId="0B06619F" w14:textId="0AEAF8A8">
      <w:pPr>
        <w:pStyle w:val="ParaNum"/>
        <w:widowControl/>
      </w:pPr>
      <w:r w:rsidRPr="00186F18">
        <w:t xml:space="preserve">Notwithstanding the benefits of streamlined access to spectrum, small and other entities would be subject to complying with certification and coordination requirements to lease spectrum from incumbent licensees, and are likely to incur new costs in the form of lease payments to incumbent licensees.  Small and other entities seeking to lease spectrum would also be required to obtain their own earth station license from the Commission, and would be subject </w:t>
      </w:r>
      <w:r w:rsidRPr="008A5F32">
        <w:t>to</w:t>
      </w:r>
      <w:r w:rsidRPr="008A5F32">
        <w:rPr>
          <w:rStyle w:val="cf01"/>
          <w:rFonts w:ascii="Times New Roman" w:hAnsi="Times New Roman" w:cs="Times New Roman"/>
          <w:sz w:val="22"/>
          <w:szCs w:val="22"/>
        </w:rPr>
        <w:t xml:space="preserve"> the applicable reporting, recordkeeping, and compliance obligations for licensees.  Additionally, while the proposals in the </w:t>
      </w:r>
      <w:r w:rsidRPr="008A5F32">
        <w:rPr>
          <w:rStyle w:val="cf01"/>
          <w:rFonts w:ascii="Times New Roman" w:hAnsi="Times New Roman" w:cs="Times New Roman"/>
          <w:i/>
          <w:iCs/>
          <w:sz w:val="22"/>
          <w:szCs w:val="22"/>
        </w:rPr>
        <w:t>N</w:t>
      </w:r>
      <w:r w:rsidRPr="008A5F32">
        <w:rPr>
          <w:i/>
          <w:iCs/>
        </w:rPr>
        <w:t>PRM</w:t>
      </w:r>
      <w:r w:rsidRPr="008A5F32">
        <w:rPr>
          <w:rStyle w:val="cf01"/>
          <w:rFonts w:ascii="Times New Roman" w:hAnsi="Times New Roman" w:cs="Times New Roman"/>
          <w:sz w:val="22"/>
          <w:szCs w:val="22"/>
        </w:rPr>
        <w:t xml:space="preserve"> will reduce regulatory complexities, burdens and costs, small entities may incur compliance costs and may need to engage the assistance of professionals such as engineers, lawyers or consultants to meet their obligation to demonstrate technical compliance with spectrum use parameters, negotiate leasing agreements and certify coordination with incumbent licensees, and to assist with filings involving coordination with </w:t>
      </w:r>
      <w:r w:rsidR="00755286">
        <w:rPr>
          <w:rStyle w:val="cf01"/>
          <w:rFonts w:ascii="Times New Roman" w:hAnsi="Times New Roman" w:cs="Times New Roman"/>
          <w:sz w:val="22"/>
          <w:szCs w:val="22"/>
        </w:rPr>
        <w:t>F</w:t>
      </w:r>
      <w:r w:rsidRPr="008A5F32">
        <w:rPr>
          <w:rStyle w:val="cf01"/>
          <w:rFonts w:ascii="Times New Roman" w:hAnsi="Times New Roman" w:cs="Times New Roman"/>
          <w:sz w:val="22"/>
          <w:szCs w:val="22"/>
        </w:rPr>
        <w:t>ederal users or international obligations</w:t>
      </w:r>
      <w:r w:rsidRPr="008A5F32">
        <w:t>.</w:t>
      </w:r>
      <w:r>
        <w:t xml:space="preserve"> </w:t>
      </w:r>
      <w:r w:rsidRPr="00186F18">
        <w:t xml:space="preserve"> </w:t>
      </w:r>
    </w:p>
    <w:p w:rsidR="0025350E" w:rsidRPr="00186F18" w:rsidP="001E0F20" w14:paraId="0EDBC4FD" w14:textId="77777777">
      <w:pPr>
        <w:pStyle w:val="ParaNum"/>
        <w:widowControl/>
      </w:pPr>
      <w:r>
        <w:t>I</w:t>
      </w:r>
      <w:r w:rsidRPr="00186F18">
        <w:t xml:space="preserve">f the proposals in the </w:t>
      </w:r>
      <w:r w:rsidRPr="00EA5724">
        <w:rPr>
          <w:i/>
          <w:iCs/>
        </w:rPr>
        <w:t>N</w:t>
      </w:r>
      <w:r>
        <w:rPr>
          <w:i/>
          <w:iCs/>
        </w:rPr>
        <w:t>PRM</w:t>
      </w:r>
      <w:r w:rsidRPr="00186F18">
        <w:t xml:space="preserve"> are adopted, </w:t>
      </w:r>
      <w:r>
        <w:t>we</w:t>
      </w:r>
      <w:r w:rsidRPr="00186F18">
        <w:t xml:space="preserve"> expect the overall burden for small and other entities to be less than under </w:t>
      </w:r>
      <w:r>
        <w:t>our</w:t>
      </w:r>
      <w:r w:rsidRPr="00186F18">
        <w:t xml:space="preserve"> current requirements. </w:t>
      </w:r>
      <w:r>
        <w:t xml:space="preserve"> A</w:t>
      </w:r>
      <w:r w:rsidRPr="00B87BC3">
        <w:t>dd</w:t>
      </w:r>
      <w:r>
        <w:t>ing</w:t>
      </w:r>
      <w:r w:rsidRPr="00B87BC3">
        <w:t xml:space="preserve"> a secondary allocation for SOS in</w:t>
      </w:r>
      <w:r>
        <w:t xml:space="preserve"> the 2320-2345 MHz band has the potential to eliminate costly coordination with the National Telecommunications and Information Administration (NTIA) to use Federal bands </w:t>
      </w:r>
      <w:r w:rsidRPr="00434DA8">
        <w:t>for TT&amp;C</w:t>
      </w:r>
      <w:r>
        <w:t xml:space="preserve"> by giving small and other entities a non-Federal alternative.  Further, w</w:t>
      </w:r>
      <w:r w:rsidRPr="008E1FF7">
        <w:t xml:space="preserve">hile leasing 2320-2345 MHz band spectrum may require small and other entities to negotiate with, and make lease payments to, the exclusive licensee </w:t>
      </w:r>
      <w:r>
        <w:t>i</w:t>
      </w:r>
      <w:r w:rsidRPr="008E1FF7">
        <w:t>n the band</w:t>
      </w:r>
      <w:r>
        <w:t>,</w:t>
      </w:r>
      <w:r w:rsidRPr="008E1FF7">
        <w:t xml:space="preserve"> SiriusXM, </w:t>
      </w:r>
      <w:r>
        <w:t>we</w:t>
      </w:r>
      <w:r w:rsidRPr="008E1FF7">
        <w:t xml:space="preserve"> anticipate that these costs would be significantly lower than those associated with any individual NTIA coordination effort, </w:t>
      </w:r>
      <w:r>
        <w:t>since</w:t>
      </w:r>
      <w:r w:rsidRPr="008E1FF7">
        <w:t xml:space="preserve"> leasing spectrum </w:t>
      </w:r>
      <w:r>
        <w:t xml:space="preserve">will </w:t>
      </w:r>
      <w:r w:rsidRPr="008E1FF7">
        <w:t>eliminate the need for engineering coordination.</w:t>
      </w:r>
      <w:r>
        <w:t xml:space="preserve">  We estimate the annual regulatory cost savings from the elimination of NTIA coordination will be $8.2 million.  By eliminating NTIA coordination, we estimate that small and other entities will each save $128,473.60 in legal and engineering compensation costs.</w:t>
      </w:r>
      <w:r>
        <w:rPr>
          <w:rStyle w:val="FootnoteReference"/>
        </w:rPr>
        <w:footnoteReference w:id="194"/>
      </w:r>
      <w:r>
        <w:t xml:space="preserve">  Our estimate assumes an operator’s NTIA coordination process uses two lawyers and two engineers working through the application process over a two months period</w:t>
      </w:r>
      <w:r w:rsidRPr="00086F6E">
        <w:t>—</w:t>
      </w:r>
      <w:r>
        <w:t>eight forty-hour workweeks or three hundred and twenty work hours for each worker, with an hourly compensation rate of $106.10/hour for the lawyers, and $94.64 for the engineers.</w:t>
      </w:r>
      <w:r>
        <w:rPr>
          <w:rStyle w:val="FootnoteReference"/>
        </w:rPr>
        <w:footnoteReference w:id="195"/>
      </w:r>
      <w:r>
        <w:t xml:space="preserve">  The total calculated compensation for an operator’s NTIA coordination is therefore $128,473.60.  </w:t>
      </w:r>
      <w:r w:rsidRPr="008E1FF7">
        <w:t>Additiona</w:t>
      </w:r>
      <w:r>
        <w:t>l cost savings may be realized by</w:t>
      </w:r>
      <w:r w:rsidRPr="008E1FF7">
        <w:t xml:space="preserve"> small and other operators </w:t>
      </w:r>
      <w:r>
        <w:t xml:space="preserve">by </w:t>
      </w:r>
      <w:r w:rsidRPr="008E1FF7">
        <w:t>establish</w:t>
      </w:r>
      <w:r>
        <w:t>ing</w:t>
      </w:r>
      <w:r w:rsidRPr="008E1FF7">
        <w:t xml:space="preserve"> long-term contracts reducing the need for ongoing negotiations during the contract period. </w:t>
      </w:r>
      <w:r>
        <w:t xml:space="preserve"> </w:t>
      </w:r>
      <w:r w:rsidRPr="008E1FF7">
        <w:t>In contrast, frequency coordination with NTIA for each specific use case i</w:t>
      </w:r>
      <w:r>
        <w:t>s</w:t>
      </w:r>
      <w:r w:rsidRPr="008E1FF7">
        <w:t xml:space="preserve"> required under the current process</w:t>
      </w:r>
      <w:r w:rsidRPr="0058611A">
        <w:t>.</w:t>
      </w:r>
    </w:p>
    <w:p w:rsidR="0025350E" w:rsidP="001E0F20" w14:paraId="2020E88A" w14:textId="77777777">
      <w:pPr>
        <w:pStyle w:val="Heading2"/>
        <w:widowControl/>
      </w:pPr>
      <w:bookmarkStart w:id="93" w:name="_Toc209654323"/>
      <w:bookmarkStart w:id="94" w:name="_Toc212623664"/>
      <w:bookmarkStart w:id="95" w:name="_Toc221718843"/>
      <w:r>
        <w:t>Discussion of Significant Alternatives Considered That Minimize the Significant Economic Impact on Small Entities</w:t>
      </w:r>
      <w:bookmarkEnd w:id="93"/>
      <w:bookmarkEnd w:id="94"/>
      <w:bookmarkEnd w:id="95"/>
    </w:p>
    <w:p w:rsidR="0025350E" w:rsidRPr="00B243F0" w:rsidP="001E0F20" w14:paraId="2985CCAD" w14:textId="77777777">
      <w:pPr>
        <w:pStyle w:val="ParaNum"/>
        <w:widowControl/>
      </w:pPr>
      <w:r w:rsidRPr="00B243F0">
        <w:t>The RFA directs agencies to provide a description of any significant alternatives to the proposed rules that would accomplish the stated objectives of applicable statutes, and minimize any significant impact on small entities.</w:t>
      </w:r>
      <w:r>
        <w:rPr>
          <w:rStyle w:val="FootnoteReference"/>
        </w:rPr>
        <w:footnoteReference w:id="196"/>
      </w:r>
      <w:r w:rsidRPr="00B243F0">
        <w:t xml:space="preserve">  The discussion is required to include alternatives such as:</w:t>
      </w:r>
      <w:r>
        <w:t xml:space="preserve"> </w:t>
      </w:r>
      <w:r w:rsidRPr="00B243F0">
        <w:t xml:space="preserve">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such small entities.”</w:t>
      </w:r>
      <w:r>
        <w:rPr>
          <w:rStyle w:val="FootnoteReference"/>
        </w:rPr>
        <w:footnoteReference w:id="197"/>
      </w:r>
    </w:p>
    <w:p w:rsidR="0025350E" w:rsidP="001E0F20" w14:paraId="0D09DAD3" w14:textId="77777777">
      <w:pPr>
        <w:pStyle w:val="ParaNum"/>
        <w:widowControl/>
      </w:pPr>
      <w:r>
        <w:t xml:space="preserve">The </w:t>
      </w:r>
      <w:r>
        <w:rPr>
          <w:i/>
          <w:iCs/>
        </w:rPr>
        <w:t xml:space="preserve">NPRM </w:t>
      </w:r>
      <w:r>
        <w:t xml:space="preserve">proposes ways to identify more spectrum for spacecraft that conduct emergent space operations and to make it easier for operators of these spacecraft to apply for and use spectrum.  We consider some alternatives that would minimize the economic impact on small entities while achieving our goal of expanding spectrum availability for space operations in an evolving space industry and economy.  </w:t>
      </w:r>
      <w:r w:rsidRPr="0014195D">
        <w:t>These alternatives would balance regulatory certainty with flexibility, and could enable small entities to access spectrum more efficiently and affordably</w:t>
      </w:r>
      <w:r>
        <w:t>.</w:t>
      </w:r>
    </w:p>
    <w:p w:rsidR="0025350E" w:rsidP="001E0F20" w14:paraId="4E1C7930" w14:textId="77777777">
      <w:pPr>
        <w:pStyle w:val="ParaNum"/>
        <w:widowControl/>
      </w:pPr>
      <w:r>
        <w:t>We</w:t>
      </w:r>
      <w:r w:rsidRPr="00CF5ED1">
        <w:t xml:space="preserve"> generally propose to continue reviewing requests to operate space stations within specific service allocations on a case-by-case basis to assess whether the proposed communications can justifiably fit within the definition of the service allocation</w:t>
      </w:r>
      <w:r>
        <w:t>;</w:t>
      </w:r>
      <w:r w:rsidRPr="00CF5ED1">
        <w:t xml:space="preserve"> however</w:t>
      </w:r>
      <w:r>
        <w:t>,</w:t>
      </w:r>
      <w:r w:rsidRPr="00CF5ED1">
        <w:t xml:space="preserve"> we consider and seek comment on allowing TT&amp;C operations within existing service allocations, provided the operations fit within the service allocation definition.  Another option upon which we seek comment is allowing licensees and market access grantees to conduct TT&amp;C in any band where TT&amp;C may already be provided within the radiocommunication service.  Allowing such flexible use of existing allocations would avoid the need for new rulemakings to create new allocations or conduct spectrum reallocation.  </w:t>
      </w:r>
      <w:r>
        <w:t>We</w:t>
      </w:r>
      <w:r w:rsidRPr="00CF5ED1">
        <w:t xml:space="preserve"> also consider and seek comments on whether to grant applicants authority to provide </w:t>
      </w:r>
      <w:r>
        <w:t>fixed-satellite service (</w:t>
      </w:r>
      <w:r w:rsidRPr="00CF5ED1">
        <w:t>FSS</w:t>
      </w:r>
      <w:r>
        <w:t>)</w:t>
      </w:r>
      <w:r w:rsidRPr="00CF5ED1">
        <w:t xml:space="preserve"> in bands allocated for non-Federal FSS, limited to the provision of TT&amp;C on an unprotected, non-interference basis, subject to coordination with other spectrum users, outside of a first-come, first service procedure or a processing round</w:t>
      </w:r>
      <w:r>
        <w:t>.</w:t>
      </w:r>
    </w:p>
    <w:p w:rsidR="0025350E" w:rsidP="001E0F20" w14:paraId="35620A8B" w14:textId="77777777">
      <w:pPr>
        <w:pStyle w:val="ParaNum"/>
        <w:widowControl/>
      </w:pPr>
      <w:r w:rsidRPr="004F3174">
        <w:t>While our proposed allowance of spectrum leasing in the 2320-2345 MHz band</w:t>
      </w:r>
      <w:r>
        <w:t xml:space="preserve"> discussed in the </w:t>
      </w:r>
      <w:r w:rsidRPr="00EA5724">
        <w:rPr>
          <w:i/>
          <w:iCs/>
        </w:rPr>
        <w:t>N</w:t>
      </w:r>
      <w:r>
        <w:rPr>
          <w:i/>
          <w:iCs/>
        </w:rPr>
        <w:t>PRM</w:t>
      </w:r>
      <w:r w:rsidRPr="004F3174">
        <w:t xml:space="preserve"> would have certification and coordination requirements for lessees, we consider and propose allowing space station authorization in the 2320-2345 MHz band with a certification and coordination requirement in the limited circumstance of reception of commands from earth stations licensed by the C</w:t>
      </w:r>
      <w:r>
        <w:t>ommission,</w:t>
      </w:r>
      <w:r w:rsidRPr="004F3174">
        <w:t xml:space="preserve"> or from earth stations located outside of the United States.  We also consider and seek comment on allowing earth stations to provide command uplinks to non-communication</w:t>
      </w:r>
      <w:r w:rsidRPr="001103A2">
        <w:t>s</w:t>
      </w:r>
      <w:r w:rsidRPr="004F3174">
        <w:t xml:space="preserve"> satellites and spacecraft in the 2320-2345 MHz band within a defined geographic area, such as an area of northern Alaska defined by latitude, without requiring coordination and approval</w:t>
      </w:r>
      <w:r>
        <w:t xml:space="preserve">.  These approaches </w:t>
      </w:r>
      <w:r w:rsidRPr="00F21AF8">
        <w:t>offer regulatory flexibility</w:t>
      </w:r>
      <w:r>
        <w:t xml:space="preserve"> and would </w:t>
      </w:r>
      <w:r w:rsidRPr="00F21AF8">
        <w:t>minimize the need for complex coordination</w:t>
      </w:r>
      <w:r>
        <w:t xml:space="preserve"> which could lower compliance costs for small and other entities.</w:t>
      </w:r>
    </w:p>
    <w:p w:rsidR="0025350E" w:rsidP="001E0F20" w14:paraId="0D3B43C0" w14:textId="77777777">
      <w:pPr>
        <w:pStyle w:val="ParaNum"/>
        <w:widowControl/>
      </w:pPr>
      <w:r>
        <w:t>O</w:t>
      </w:r>
      <w:r w:rsidRPr="003F6D7D">
        <w:t xml:space="preserve">ur proposal </w:t>
      </w:r>
      <w:r>
        <w:t>for spectrum leasing w</w:t>
      </w:r>
      <w:r w:rsidRPr="003F6D7D">
        <w:t>ould still require small and other entities that want to use the 2320-2345 MHz band to provide command uplinks to obtain an earth station license from the Commission prior to transmitting in the band</w:t>
      </w:r>
      <w:r>
        <w:t>,</w:t>
      </w:r>
      <w:r w:rsidRPr="003F6D7D">
        <w:t xml:space="preserve"> and </w:t>
      </w:r>
      <w:r>
        <w:t xml:space="preserve">lessees would </w:t>
      </w:r>
      <w:r w:rsidRPr="003F6D7D">
        <w:t>be subject to all licensing and regulatory obligations applicable to earth station licensees</w:t>
      </w:r>
      <w:r>
        <w:t xml:space="preserve">.  </w:t>
      </w:r>
      <w:r w:rsidRPr="003F6D7D">
        <w:t>As an alternative</w:t>
      </w:r>
      <w:r>
        <w:t>,</w:t>
      </w:r>
      <w:r w:rsidRPr="003F6D7D">
        <w:t xml:space="preserve"> we seek comment on whether to adopt the more extensive requirements for approving long and short term </w:t>
      </w:r>
      <w:r w:rsidRPr="006E18BF">
        <w:rPr>
          <w:i/>
          <w:iCs/>
        </w:rPr>
        <w:t>de facto</w:t>
      </w:r>
      <w:r w:rsidRPr="003F6D7D">
        <w:t xml:space="preserve"> transfers of control of spectrum under the Commission’s spectrum leasing rules applicable to Wireless Radio Services and other </w:t>
      </w:r>
      <w:r w:rsidRPr="003F6D7D">
        <w:t>wireless licensees.  Adoption of this approach presumes no additional license authorization is required from the Commission to allow the operations using leased spectrum</w:t>
      </w:r>
      <w:r>
        <w:t xml:space="preserve">. </w:t>
      </w:r>
    </w:p>
    <w:p w:rsidR="0025350E" w:rsidRPr="005E5BF3" w:rsidP="001E0F20" w14:paraId="35A2DAA4" w14:textId="77777777">
      <w:pPr>
        <w:pStyle w:val="ParaNum"/>
        <w:widowControl/>
      </w:pPr>
      <w:r>
        <w:t xml:space="preserve">Other alternatives we consider and seek comment on in the </w:t>
      </w:r>
      <w:r w:rsidRPr="00EA5724">
        <w:rPr>
          <w:i/>
          <w:iCs/>
        </w:rPr>
        <w:t>N</w:t>
      </w:r>
      <w:r>
        <w:rPr>
          <w:i/>
          <w:iCs/>
        </w:rPr>
        <w:t xml:space="preserve">PRM </w:t>
      </w:r>
      <w:r w:rsidRPr="00EA5724">
        <w:t>include whether a non-governmental (NG) footnote to the U</w:t>
      </w:r>
      <w:r>
        <w:t>nited States</w:t>
      </w:r>
      <w:r w:rsidRPr="00EA5724">
        <w:t xml:space="preserve"> Table is a better method </w:t>
      </w:r>
      <w:r>
        <w:t xml:space="preserve">than </w:t>
      </w:r>
      <w:r w:rsidRPr="00EA5724">
        <w:t>our proposed secondary allocation allowance to permit use of the 2320-2345 MHz band for command uplinks to non-communication</w:t>
      </w:r>
      <w:r w:rsidRPr="001103A2">
        <w:t>s</w:t>
      </w:r>
      <w:r w:rsidRPr="00EA5724">
        <w:t xml:space="preserve"> satellites, and whether competitive bidding or alternative market-based approaches can be employed to promote the efficient and timely use of the 2320–2345 MHz band for command uplinks, consistent with statutory limitations.  We specifically inquire whether earth station licenses to operate in the U.S.</w:t>
      </w:r>
      <w:r>
        <w:t xml:space="preserve"> </w:t>
      </w:r>
      <w:r w:rsidRPr="00EA5724">
        <w:t>using the 2320-2345 MHz band</w:t>
      </w:r>
      <w:r w:rsidRPr="00086F6E">
        <w:t>—</w:t>
      </w:r>
      <w:r w:rsidRPr="00EA5724">
        <w:t>spectrum that is not internationally allocated for satellite communications</w:t>
      </w:r>
      <w:r w:rsidRPr="00086F6E">
        <w:t>—</w:t>
      </w:r>
      <w:r w:rsidRPr="00EA5724">
        <w:t>could be auctioned by the Commission.</w:t>
      </w:r>
      <w:r w:rsidRPr="005E5BF3">
        <w:t xml:space="preserve">  If </w:t>
      </w:r>
      <w:r>
        <w:t>we</w:t>
      </w:r>
      <w:r w:rsidRPr="00EA5724">
        <w:t xml:space="preserve"> decide to use an auction process, as in prior auctions</w:t>
      </w:r>
      <w:r>
        <w:t>,</w:t>
      </w:r>
      <w:r w:rsidRPr="00EA5724">
        <w:t xml:space="preserve"> small entity bidding credits could be made available to promote competitive entry for small entities.</w:t>
      </w:r>
    </w:p>
    <w:p w:rsidR="0025350E" w:rsidRPr="00B243F0" w:rsidP="001E0F20" w14:paraId="43AAA0C4" w14:textId="77777777">
      <w:pPr>
        <w:pStyle w:val="ParaNum"/>
        <w:widowControl/>
      </w:pPr>
      <w:r>
        <w:t xml:space="preserve">To assist with our evaluation of the economic impact on small entities that may result from the proposals and matters upon which we seek comment in this proceeding, the </w:t>
      </w:r>
      <w:r>
        <w:rPr>
          <w:i/>
          <w:iCs/>
        </w:rPr>
        <w:t>NPRM</w:t>
      </w:r>
      <w:r>
        <w:t xml:space="preserve"> seeks alternative proposals, and requests information from small and other licensees.  We </w:t>
      </w:r>
      <w:r w:rsidRPr="00B243F0">
        <w:t xml:space="preserve">expect to consider more fully the economic impact on small entities following its review of comments filed in response to the </w:t>
      </w:r>
      <w:r w:rsidRPr="00B243F0">
        <w:rPr>
          <w:i/>
          <w:iCs/>
        </w:rPr>
        <w:t>N</w:t>
      </w:r>
      <w:r>
        <w:rPr>
          <w:i/>
          <w:iCs/>
        </w:rPr>
        <w:t>PRM</w:t>
      </w:r>
      <w:r w:rsidRPr="00B243F0">
        <w:t>, including</w:t>
      </w:r>
      <w:r>
        <w:t xml:space="preserve"> any</w:t>
      </w:r>
      <w:r w:rsidRPr="00B243F0">
        <w:t xml:space="preserve"> costs and benefits information.  Alternative proposals and approaches from commenters </w:t>
      </w:r>
      <w:r>
        <w:t xml:space="preserve">may </w:t>
      </w:r>
      <w:r w:rsidRPr="00B243F0">
        <w:t xml:space="preserve">help the Commission further minimize the economic impact on small entities.  </w:t>
      </w:r>
      <w:r>
        <w:t>Our</w:t>
      </w:r>
      <w:r w:rsidRPr="00B243F0">
        <w:t xml:space="preserve"> evaluation of the comments filed in this proceeding will shape the final conclusions </w:t>
      </w:r>
      <w:r>
        <w:t xml:space="preserve">we </w:t>
      </w:r>
      <w:r w:rsidRPr="00B243F0">
        <w:t xml:space="preserve">reach, the final alternatives </w:t>
      </w:r>
      <w:r>
        <w:t xml:space="preserve">we </w:t>
      </w:r>
      <w:r w:rsidRPr="00B243F0">
        <w:t xml:space="preserve">consider, and the actions </w:t>
      </w:r>
      <w:r>
        <w:t>we</w:t>
      </w:r>
      <w:r w:rsidRPr="00B243F0">
        <w:t xml:space="preserve"> ultimately take in this proceeding to minimize any significant economic impact that may occur on small entities from the final rules that are ultimately adopted.  </w:t>
      </w:r>
    </w:p>
    <w:p w:rsidR="0025350E" w:rsidRPr="00B243F0" w:rsidP="001E0F20" w14:paraId="03E65B38" w14:textId="77777777">
      <w:pPr>
        <w:pStyle w:val="ParaNum"/>
        <w:widowControl/>
      </w:pPr>
      <w:r w:rsidRPr="00B243F0">
        <w:t xml:space="preserve">The </w:t>
      </w:r>
      <w:r w:rsidRPr="00B243F0">
        <w:rPr>
          <w:i/>
          <w:iCs/>
        </w:rPr>
        <w:t>N</w:t>
      </w:r>
      <w:r>
        <w:rPr>
          <w:i/>
          <w:iCs/>
        </w:rPr>
        <w:t>PRM</w:t>
      </w:r>
      <w:r w:rsidRPr="00B243F0">
        <w:t xml:space="preserve"> seeks comment from all interested parties.  Small entities are encouraged to bring to </w:t>
      </w:r>
      <w:r>
        <w:t>our</w:t>
      </w:r>
      <w:r w:rsidRPr="00B243F0">
        <w:t xml:space="preserve"> attention any specific concerns that they may have with the proposals outlined in the </w:t>
      </w:r>
      <w:r w:rsidRPr="00B243F0">
        <w:rPr>
          <w:i/>
          <w:iCs/>
        </w:rPr>
        <w:t>N</w:t>
      </w:r>
      <w:r>
        <w:rPr>
          <w:i/>
          <w:iCs/>
        </w:rPr>
        <w:t>PRM</w:t>
      </w:r>
      <w:r w:rsidRPr="00B243F0">
        <w:t xml:space="preserve">. </w:t>
      </w:r>
    </w:p>
    <w:p w:rsidR="0025350E" w:rsidRPr="005852B9" w:rsidP="001E0F20" w14:paraId="374628EB" w14:textId="77777777">
      <w:pPr>
        <w:pStyle w:val="Heading2"/>
        <w:widowControl/>
      </w:pPr>
      <w:bookmarkStart w:id="96" w:name="_Toc209654324"/>
      <w:bookmarkStart w:id="97" w:name="_Toc212623665"/>
      <w:bookmarkStart w:id="98" w:name="_Toc221718844"/>
      <w:r>
        <w:t>Federal Rules that May Duplicate, Overlap, or Conflict with the Proposed Rules</w:t>
      </w:r>
      <w:bookmarkEnd w:id="96"/>
      <w:bookmarkEnd w:id="97"/>
      <w:bookmarkEnd w:id="98"/>
    </w:p>
    <w:p w:rsidR="0025350E" w:rsidRPr="001F0F38" w:rsidP="001E0F20" w14:paraId="199C9458" w14:textId="77777777">
      <w:pPr>
        <w:pStyle w:val="ParaNum"/>
        <w:widowControl/>
      </w:pPr>
      <w:r>
        <w:t>None.</w:t>
      </w:r>
    </w:p>
    <w:p w:rsidR="0025350E" w:rsidRPr="007B03DD" w:rsidP="001E0F20" w14:paraId="26F3A6B2" w14:textId="77777777">
      <w:pPr>
        <w:pStyle w:val="ParaNum"/>
        <w:widowControl/>
        <w:numPr>
          <w:ilvl w:val="0"/>
          <w:numId w:val="0"/>
        </w:numPr>
        <w:ind w:left="4320"/>
        <w:rPr>
          <w:b/>
        </w:rPr>
      </w:pPr>
    </w:p>
    <w:p w:rsidR="0025350E" w:rsidP="001E0F20" w14:paraId="6C4ED360" w14:textId="77777777">
      <w:pPr>
        <w:widowControl/>
      </w:pPr>
    </w:p>
    <w:p w:rsidR="006D49FD" w:rsidRPr="00B84E4E" w:rsidP="006D49FD" w14:paraId="13B49879" w14:textId="77777777">
      <w:pPr>
        <w:jc w:val="center"/>
        <w:rPr>
          <w:b/>
          <w:bCs/>
          <w:caps/>
          <w:szCs w:val="22"/>
        </w:rPr>
      </w:pPr>
      <w:r>
        <w:br w:type="page"/>
      </w:r>
      <w:r w:rsidRPr="00B84E4E">
        <w:rPr>
          <w:b/>
          <w:bCs/>
          <w:caps/>
          <w:szCs w:val="22"/>
        </w:rPr>
        <w:t>Statement of</w:t>
      </w:r>
    </w:p>
    <w:p w:rsidR="006D49FD" w:rsidRPr="00B84E4E" w:rsidP="006D49FD" w14:paraId="124A2018" w14:textId="77777777">
      <w:pPr>
        <w:jc w:val="center"/>
        <w:rPr>
          <w:b/>
          <w:bCs/>
          <w:caps/>
          <w:szCs w:val="22"/>
        </w:rPr>
      </w:pPr>
      <w:r>
        <w:rPr>
          <w:b/>
          <w:bCs/>
          <w:caps/>
          <w:szCs w:val="22"/>
        </w:rPr>
        <w:t>CHAIRMAN BRENDAN CARR</w:t>
      </w:r>
    </w:p>
    <w:p w:rsidR="006D49FD" w:rsidRPr="00B84E4E" w:rsidP="006D49FD" w14:paraId="40BDECCB" w14:textId="77777777">
      <w:pPr>
        <w:jc w:val="center"/>
        <w:rPr>
          <w:b/>
          <w:bCs/>
          <w:caps/>
          <w:szCs w:val="22"/>
        </w:rPr>
      </w:pPr>
    </w:p>
    <w:p w:rsidR="006D49FD" w:rsidRPr="00B84E4E" w:rsidP="006D49FD" w14:paraId="51320ACD" w14:textId="77777777">
      <w:pPr>
        <w:ind w:left="720" w:hanging="720"/>
        <w:rPr>
          <w:szCs w:val="22"/>
        </w:rPr>
      </w:pPr>
      <w:r w:rsidRPr="00B84E4E">
        <w:rPr>
          <w:szCs w:val="22"/>
        </w:rPr>
        <w:t xml:space="preserve">Re: </w:t>
      </w:r>
      <w:r w:rsidRPr="00B84E4E">
        <w:rPr>
          <w:szCs w:val="22"/>
        </w:rPr>
        <w:tab/>
      </w:r>
      <w:r w:rsidRPr="00492BA7">
        <w:rPr>
          <w:i/>
          <w:iCs/>
          <w:szCs w:val="22"/>
        </w:rPr>
        <w:t>Spectrum Abundance for Weird Space Stuff</w:t>
      </w:r>
      <w:r>
        <w:rPr>
          <w:szCs w:val="22"/>
        </w:rPr>
        <w:t>, Notice of Proposed Rulemaking,</w:t>
      </w:r>
      <w:r w:rsidRPr="007B456E">
        <w:rPr>
          <w:szCs w:val="22"/>
        </w:rPr>
        <w:t xml:space="preserve"> SB Docket No. 26-54</w:t>
      </w:r>
      <w:r>
        <w:rPr>
          <w:szCs w:val="22"/>
        </w:rPr>
        <w:t xml:space="preserve"> (March 26, 2026). </w:t>
      </w:r>
    </w:p>
    <w:p w:rsidR="006D49FD" w:rsidP="006D49FD" w14:paraId="07D53943" w14:textId="77777777">
      <w:pPr>
        <w:ind w:firstLine="720"/>
        <w:rPr>
          <w:szCs w:val="22"/>
        </w:rPr>
      </w:pPr>
    </w:p>
    <w:p w:rsidR="006D49FD" w:rsidP="006D49FD" w14:paraId="1A026A34" w14:textId="77777777">
      <w:pPr>
        <w:ind w:firstLine="720"/>
        <w:rPr>
          <w:szCs w:val="22"/>
        </w:rPr>
      </w:pPr>
      <w:r>
        <w:rPr>
          <w:szCs w:val="22"/>
        </w:rPr>
        <w:t xml:space="preserve">Over the years, the licensing team in the Space Bureau mostly handled applications to operate satellites, which is not too surprising.  But the workstream for the team a few floors above us today is quickly changing.  </w:t>
      </w:r>
    </w:p>
    <w:p w:rsidR="006D49FD" w:rsidP="006D49FD" w14:paraId="69B0FC78" w14:textId="77777777">
      <w:pPr>
        <w:ind w:firstLine="720"/>
        <w:rPr>
          <w:szCs w:val="22"/>
        </w:rPr>
      </w:pPr>
    </w:p>
    <w:p w:rsidR="006D49FD" w:rsidP="006D49FD" w14:paraId="45D26E8C" w14:textId="77777777">
      <w:pPr>
        <w:ind w:firstLine="720"/>
        <w:rPr>
          <w:szCs w:val="22"/>
        </w:rPr>
      </w:pPr>
      <w:r>
        <w:rPr>
          <w:szCs w:val="22"/>
        </w:rPr>
        <w:t xml:space="preserve">Just look at the new types of applications that are coming in.  SpaceX has announced a plan to launch one-million data centers into space.  </w:t>
      </w:r>
      <w:r>
        <w:rPr>
          <w:szCs w:val="22"/>
        </w:rPr>
        <w:t>Starcloud</w:t>
      </w:r>
      <w:r>
        <w:rPr>
          <w:szCs w:val="22"/>
        </w:rPr>
        <w:t xml:space="preserve"> followed with a plan for 88,000 orbital data centers.  And then came Blue Origin with a plan for 51,000.  </w:t>
      </w:r>
    </w:p>
    <w:p w:rsidR="006D49FD" w:rsidP="006D49FD" w14:paraId="34E7BA5D" w14:textId="77777777">
      <w:pPr>
        <w:ind w:firstLine="720"/>
        <w:rPr>
          <w:szCs w:val="22"/>
        </w:rPr>
      </w:pPr>
    </w:p>
    <w:p w:rsidR="006D49FD" w:rsidP="006D49FD" w14:paraId="38E562E5" w14:textId="77777777">
      <w:pPr>
        <w:ind w:firstLine="720"/>
        <w:rPr>
          <w:szCs w:val="22"/>
        </w:rPr>
      </w:pPr>
      <w:r>
        <w:rPr>
          <w:szCs w:val="22"/>
        </w:rPr>
        <w:t xml:space="preserve">And it’s not just AI compute.  Companies are racing to produce energy—whether solar or nuclear—in space.  Manufacturers are now looking to make pharmaceuticals in space—the legal kind, of course.  The list of unconventional activities in orbit will only continue to increase as the cost of getting mass into orbit continues to decrease.  And there is another dynamic at play too.  Believe it or not, the environmental conditions in deep, dark space may be better for many industrial projects than they are on Earth.  </w:t>
      </w:r>
    </w:p>
    <w:p w:rsidR="006D49FD" w:rsidP="006D49FD" w14:paraId="530FAE40" w14:textId="77777777">
      <w:pPr>
        <w:ind w:firstLine="720"/>
        <w:rPr>
          <w:szCs w:val="22"/>
        </w:rPr>
      </w:pPr>
    </w:p>
    <w:p w:rsidR="006D49FD" w:rsidRPr="003D29AA" w:rsidP="006D49FD" w14:paraId="1B9CBCE5" w14:textId="77777777">
      <w:pPr>
        <w:ind w:firstLine="720"/>
        <w:rPr>
          <w:szCs w:val="22"/>
        </w:rPr>
      </w:pPr>
      <w:r>
        <w:rPr>
          <w:szCs w:val="22"/>
        </w:rPr>
        <w:t xml:space="preserve">All of this stuff in space—whether or not you consider them “weird”— needs spectrum, even though we are not talking here about communications satellites.  Spectrum provides the necessary link for safety and control operations, or what the spectrum geeks call TT&amp;C.  </w:t>
      </w:r>
      <w:r w:rsidRPr="006D49FD">
        <w:rPr>
          <w:color w:val="000000"/>
          <w:szCs w:val="22"/>
        </w:rPr>
        <w:t xml:space="preserve">Unfortunately, next-gen missions have been constrained by a shortage of predictable, commercial spectrum for this type of TT&amp;C.  It has proven to be a real limit on the ability to launch and deploy unconventional services.  </w:t>
      </w:r>
    </w:p>
    <w:p w:rsidR="006D49FD" w:rsidP="006D49FD" w14:paraId="67076964" w14:textId="77777777">
      <w:pPr>
        <w:ind w:firstLine="720"/>
        <w:rPr>
          <w:szCs w:val="22"/>
        </w:rPr>
      </w:pPr>
    </w:p>
    <w:p w:rsidR="006D49FD" w:rsidRPr="006D49FD" w:rsidP="006D49FD" w14:paraId="2263171E" w14:textId="77777777">
      <w:pPr>
        <w:ind w:firstLine="720"/>
        <w:rPr>
          <w:color w:val="000000"/>
          <w:szCs w:val="22"/>
        </w:rPr>
      </w:pPr>
      <w:r w:rsidRPr="006D49FD">
        <w:rPr>
          <w:color w:val="000000"/>
          <w:szCs w:val="22"/>
        </w:rPr>
        <w:t>Today we tackle that challenge head-on.  We propose to clarify for good when cutting-edge missions can use commercial spectrum for TT&amp;C.  We explore market‑based approaches that can put existing spectrum bands to more intensive use for these purposes.  And we examine new spectrum bands that could support cutting-edge missions on a dedicated basis.</w:t>
      </w:r>
    </w:p>
    <w:p w:rsidR="006D49FD" w:rsidRPr="006D49FD" w:rsidP="006D49FD" w14:paraId="4E7AA20E" w14:textId="77777777">
      <w:pPr>
        <w:rPr>
          <w:color w:val="000000"/>
          <w:szCs w:val="22"/>
        </w:rPr>
      </w:pPr>
    </w:p>
    <w:p w:rsidR="006D49FD" w:rsidP="006D49FD" w14:paraId="51A7C9DA" w14:textId="77777777">
      <w:pPr>
        <w:ind w:firstLine="720"/>
      </w:pPr>
      <w:r>
        <w:t>America’s space companies, even the weird ones, need plentiful access to spectrum.  With today’s action, we continue our spectrum abundance agenda to support our builders in space.</w:t>
      </w:r>
    </w:p>
    <w:p w:rsidR="006D49FD" w:rsidP="006D49FD" w14:paraId="2CF79713" w14:textId="77777777"/>
    <w:p w:rsidR="006D49FD" w:rsidP="006D49FD" w14:paraId="316B7671" w14:textId="77777777">
      <w:pPr>
        <w:ind w:firstLine="720"/>
      </w:pPr>
      <w:r>
        <w:t>For their exceptional work on this item, I thank Stephen Duall, Jameyanne Fuller, Kathyrn Medley, Brandon Padgett, Sankar Persaud, Jeanine Poltronieri, and Jay Schwarz.</w:t>
      </w:r>
    </w:p>
    <w:p w:rsidR="00A46B6D" w:rsidRPr="005577AD" w:rsidP="00A46B6D" w14:paraId="5F416AA2" w14:textId="77777777">
      <w:pPr>
        <w:jc w:val="center"/>
        <w:rPr>
          <w:b/>
          <w:bCs/>
          <w:caps/>
          <w:szCs w:val="22"/>
        </w:rPr>
      </w:pPr>
      <w:r>
        <w:br w:type="page"/>
      </w:r>
      <w:r w:rsidRPr="005577AD">
        <w:rPr>
          <w:b/>
          <w:bCs/>
          <w:caps/>
          <w:szCs w:val="22"/>
        </w:rPr>
        <w:t>Statement of</w:t>
      </w:r>
    </w:p>
    <w:p w:rsidR="00A46B6D" w:rsidRPr="005577AD" w:rsidP="00A46B6D" w14:paraId="6BA4A250" w14:textId="77777777">
      <w:pPr>
        <w:jc w:val="center"/>
        <w:rPr>
          <w:b/>
          <w:bCs/>
          <w:caps/>
          <w:szCs w:val="22"/>
        </w:rPr>
      </w:pPr>
      <w:r>
        <w:rPr>
          <w:b/>
          <w:bCs/>
          <w:caps/>
          <w:szCs w:val="22"/>
        </w:rPr>
        <w:t>Commissioner Olivia Trusty</w:t>
      </w:r>
    </w:p>
    <w:p w:rsidR="00A46B6D" w:rsidRPr="005577AD" w:rsidP="00A46B6D" w14:paraId="25F3D29F" w14:textId="77777777">
      <w:pPr>
        <w:jc w:val="center"/>
        <w:rPr>
          <w:b/>
          <w:bCs/>
          <w:caps/>
          <w:szCs w:val="22"/>
        </w:rPr>
      </w:pPr>
    </w:p>
    <w:p w:rsidR="00A46B6D" w:rsidRPr="001A5BB0" w:rsidP="00A46B6D" w14:paraId="15E3E579" w14:textId="77777777">
      <w:pPr>
        <w:ind w:left="720" w:hanging="720"/>
        <w:rPr>
          <w:szCs w:val="22"/>
        </w:rPr>
      </w:pPr>
      <w:r w:rsidRPr="005577AD">
        <w:rPr>
          <w:iCs/>
          <w:szCs w:val="22"/>
        </w:rPr>
        <w:t>Re:</w:t>
      </w:r>
      <w:r w:rsidRPr="005577AD">
        <w:rPr>
          <w:szCs w:val="22"/>
        </w:rPr>
        <w:t xml:space="preserve"> </w:t>
      </w:r>
      <w:r w:rsidRPr="005577AD">
        <w:rPr>
          <w:szCs w:val="22"/>
        </w:rPr>
        <w:tab/>
      </w:r>
      <w:r w:rsidRPr="001A5BB0">
        <w:rPr>
          <w:i/>
          <w:iCs/>
          <w:szCs w:val="22"/>
        </w:rPr>
        <w:t>Spectrum Abundance for Weird Space Stuff</w:t>
      </w:r>
      <w:r w:rsidRPr="008D6DDC">
        <w:rPr>
          <w:szCs w:val="22"/>
        </w:rPr>
        <w:t>,</w:t>
      </w:r>
      <w:r w:rsidRPr="001A5BB0">
        <w:rPr>
          <w:i/>
          <w:iCs/>
          <w:szCs w:val="22"/>
        </w:rPr>
        <w:t xml:space="preserve"> </w:t>
      </w:r>
      <w:r w:rsidRPr="001A5BB0">
        <w:rPr>
          <w:szCs w:val="22"/>
        </w:rPr>
        <w:t>Notice of Proposed Rulemaking, SB Docket No. 26-54 (March 26, 2026).</w:t>
      </w:r>
    </w:p>
    <w:p w:rsidR="00A46B6D" w:rsidRPr="005577AD" w:rsidP="00A46B6D" w14:paraId="62E6FFEA" w14:textId="77777777">
      <w:pPr>
        <w:ind w:firstLine="720"/>
        <w:rPr>
          <w:szCs w:val="22"/>
        </w:rPr>
      </w:pPr>
    </w:p>
    <w:p w:rsidR="00A46B6D" w:rsidRPr="001A5BB0" w:rsidP="00A46B6D" w14:paraId="52F48D3F" w14:textId="77777777">
      <w:pPr>
        <w:spacing w:after="120"/>
        <w:ind w:firstLine="720"/>
        <w:rPr>
          <w:szCs w:val="22"/>
        </w:rPr>
      </w:pPr>
      <w:r w:rsidRPr="001A5BB0">
        <w:rPr>
          <w:szCs w:val="22"/>
        </w:rPr>
        <w:t xml:space="preserve">Seventeen years ago in March 2009, NASA launched the Kepler space telescope to survey our region of the Milky Way for Earth-sized, potentially habitable planets.  Over the course of its mission, the telescope observed more than 530,000 stars, identified over 2,600 new planets, and revealed possibilities for human existence beyond Earth that ground-based telescopes simply could not detect.  </w:t>
      </w:r>
    </w:p>
    <w:p w:rsidR="00A46B6D" w:rsidRPr="001A5BB0" w:rsidP="00A46B6D" w14:paraId="0ADB908B" w14:textId="77777777">
      <w:pPr>
        <w:spacing w:after="120"/>
        <w:ind w:firstLine="720"/>
        <w:rPr>
          <w:szCs w:val="22"/>
        </w:rPr>
      </w:pPr>
      <w:r w:rsidRPr="001A5BB0">
        <w:rPr>
          <w:szCs w:val="22"/>
        </w:rPr>
        <w:t>Today, much like Kepler once did, a new generation of “emergent space operations” is pushing the boundaries of what is possible beyond our atmosphere.</w:t>
      </w:r>
    </w:p>
    <w:p w:rsidR="00A46B6D" w:rsidRPr="001A5BB0" w:rsidP="00A46B6D" w14:paraId="2444D221" w14:textId="77777777">
      <w:pPr>
        <w:spacing w:after="120"/>
        <w:ind w:firstLine="720"/>
        <w:rPr>
          <w:szCs w:val="22"/>
        </w:rPr>
      </w:pPr>
      <w:r w:rsidRPr="001A5BB0">
        <w:rPr>
          <w:szCs w:val="22"/>
        </w:rPr>
        <w:t xml:space="preserve">With the release of the “Weird Space Stuff” NPRM, the Commission takes a holistic view of the evolving space economy, focusing on commercial operations that do not provide radiocommunications services directly to the public, but nonetheless depend on spectrum for critical telemetry, tracking, and command to control spacecraft.  </w:t>
      </w:r>
    </w:p>
    <w:p w:rsidR="00A46B6D" w:rsidRPr="001A5BB0" w:rsidP="00A46B6D" w14:paraId="7F3E0736" w14:textId="77777777">
      <w:pPr>
        <w:spacing w:after="120"/>
        <w:ind w:firstLine="720"/>
        <w:rPr>
          <w:szCs w:val="22"/>
        </w:rPr>
      </w:pPr>
      <w:r w:rsidRPr="001A5BB0">
        <w:rPr>
          <w:szCs w:val="22"/>
        </w:rPr>
        <w:t>Unlike federal missions such as Kepler, however, these emergent operators cannot rely on federal spectrum for TT&amp;C.  And, they often face significant regulatory hurdles when attempting to use commercial spectrum</w:t>
      </w:r>
      <w:r>
        <w:rPr>
          <w:szCs w:val="22"/>
        </w:rPr>
        <w:t>—</w:t>
      </w:r>
      <w:r w:rsidRPr="001A5BB0">
        <w:rPr>
          <w:szCs w:val="22"/>
        </w:rPr>
        <w:t xml:space="preserve">case-by-case reviews, extensive coordination requirements, and resulting delays.  Yet, despite these hurdles, the scope of these activities continues to expand, ranging from in-space manufacturing and orbital laboratories to private robotic lunar missions and efforts to make space more accessible to humans.  </w:t>
      </w:r>
    </w:p>
    <w:p w:rsidR="00A46B6D" w:rsidRPr="001A5BB0" w:rsidP="00A46B6D" w14:paraId="09A7B0E9" w14:textId="77777777">
      <w:pPr>
        <w:spacing w:after="120"/>
        <w:ind w:firstLine="720"/>
        <w:rPr>
          <w:szCs w:val="22"/>
        </w:rPr>
      </w:pPr>
      <w:r w:rsidRPr="001A5BB0">
        <w:rPr>
          <w:szCs w:val="22"/>
        </w:rPr>
        <w:t>Today’s item rightly seeks comment on how to address these challenges, including by leveraging existing spectrum allocations, such as</w:t>
      </w:r>
      <w:r w:rsidRPr="001A5BB0">
        <w:rPr>
          <w:szCs w:val="22"/>
        </w:rPr>
        <w:t xml:space="preserve"> </w:t>
      </w:r>
      <w:r w:rsidRPr="001A5BB0">
        <w:rPr>
          <w:szCs w:val="22"/>
        </w:rPr>
        <w:t xml:space="preserve">Fixed Satellite Service bands, for standalone TT&amp;C, and by exploring market-based mechanisms that could enable access to underutilized spectrum held by incumbent licensees.  Importantly, this approach aims to expand opportunities for emergent space operators without requiring existing users to compromise their services. </w:t>
      </w:r>
    </w:p>
    <w:p w:rsidR="00A46B6D" w:rsidRPr="001A5BB0" w:rsidP="00A46B6D" w14:paraId="013A8BBA" w14:textId="77777777">
      <w:pPr>
        <w:spacing w:after="120"/>
        <w:ind w:firstLine="720"/>
        <w:rPr>
          <w:szCs w:val="22"/>
        </w:rPr>
      </w:pPr>
      <w:r w:rsidRPr="001A5BB0">
        <w:rPr>
          <w:szCs w:val="22"/>
        </w:rPr>
        <w:t>This NPRM represents</w:t>
      </w:r>
      <w:r w:rsidRPr="001A5BB0">
        <w:rPr>
          <w:szCs w:val="22"/>
        </w:rPr>
        <w:t xml:space="preserve"> </w:t>
      </w:r>
      <w:r w:rsidRPr="001A5BB0">
        <w:rPr>
          <w:szCs w:val="22"/>
        </w:rPr>
        <w:t xml:space="preserve">another step in the Commission’s ongoing effort to modernize its rules to unlock the full potential of the commercial space economy and reinforce U.S. leadership in this domain.   Moreover, the proposals in this item will also help advance broader national interests, including economic competitiveness, national security, and the continued expansion of human discovery.  </w:t>
      </w:r>
    </w:p>
    <w:p w:rsidR="00A46B6D" w:rsidRPr="001A5BB0" w:rsidP="00A46B6D" w14:paraId="3E0F1113" w14:textId="77777777">
      <w:pPr>
        <w:spacing w:after="120"/>
        <w:ind w:firstLine="720"/>
        <w:rPr>
          <w:szCs w:val="22"/>
        </w:rPr>
      </w:pPr>
      <w:r w:rsidRPr="001A5BB0">
        <w:rPr>
          <w:szCs w:val="22"/>
        </w:rPr>
        <w:t xml:space="preserve">I look forward to the continued work ahead between the public and private sector to position the United States as the global leader in space policy and innovation.  I thank the Space Bureau for its thoughtful and creative work on this item. </w:t>
      </w:r>
    </w:p>
    <w:p w:rsidR="00A46B6D" w:rsidRPr="005577AD" w:rsidP="00A46B6D" w14:paraId="630EC9B6" w14:textId="77777777">
      <w:pPr>
        <w:widowControl/>
        <w:ind w:firstLine="720"/>
        <w:rPr>
          <w:szCs w:val="22"/>
        </w:rPr>
      </w:pPr>
    </w:p>
    <w:p w:rsidR="00A46B6D" w:rsidRPr="00DE72D3" w:rsidP="00A46B6D" w14:paraId="495D3F2E" w14:textId="77777777"/>
    <w:p w:rsidR="00A46B6D" w:rsidRPr="00934012" w:rsidP="00A46B6D" w14:paraId="194DAF6A" w14:textId="77777777"/>
    <w:p w:rsidR="00412FC5" w:rsidP="001E0F20" w14:paraId="01DB93BD" w14:textId="544F37F8">
      <w:pPr>
        <w:widowControl/>
      </w:pPr>
    </w:p>
    <w:sectPr w:rsidSect="00436F02">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5E07" w14:paraId="14BEB76E" w14:textId="77777777">
      <w:pPr>
        <w:spacing w:line="20" w:lineRule="exact"/>
      </w:pPr>
    </w:p>
  </w:endnote>
  <w:endnote w:type="continuationSeparator" w:id="1">
    <w:p w:rsidR="00135E07" w14:paraId="683A0B7D" w14:textId="77777777">
      <w:r>
        <w:t xml:space="preserve"> </w:t>
      </w:r>
    </w:p>
  </w:endnote>
  <w:endnote w:type="continuationNotice" w:id="2">
    <w:p w:rsidR="00135E07" w14:paraId="0D9547F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Anton">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50E" w:rsidP="0055614C" w14:paraId="7E3F3789" w14:textId="77777777">
    <w:pPr>
      <w:pStyle w:val="Footer"/>
      <w:framePr w:wrap="around" w:vAnchor="text" w:hAnchor="margin" w:xAlign="center" w:y="1"/>
    </w:pPr>
    <w:r>
      <w:fldChar w:fldCharType="begin"/>
    </w:r>
    <w:r>
      <w:instrText xml:space="preserve">PAGE  </w:instrText>
    </w:r>
    <w:r>
      <w:fldChar w:fldCharType="separate"/>
    </w:r>
    <w:r>
      <w:fldChar w:fldCharType="end"/>
    </w:r>
  </w:p>
  <w:p w:rsidR="0025350E" w14:paraId="5A428F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50E" w:rsidP="008A5F32" w14:paraId="0C94B26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9A0FB68"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6FD98E0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436F02" w14:paraId="61882FC3" w14:textId="785F378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711B3C6C"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5E07" w14:paraId="78722DC5" w14:textId="77777777">
      <w:r>
        <w:separator/>
      </w:r>
    </w:p>
  </w:footnote>
  <w:footnote w:type="continuationSeparator" w:id="1">
    <w:p w:rsidR="00135E07" w:rsidP="00C721AC" w14:paraId="39D15662" w14:textId="77777777">
      <w:pPr>
        <w:spacing w:before="120"/>
        <w:rPr>
          <w:sz w:val="20"/>
        </w:rPr>
      </w:pPr>
      <w:r>
        <w:rPr>
          <w:sz w:val="20"/>
        </w:rPr>
        <w:t xml:space="preserve">(Continued from previous page)  </w:t>
      </w:r>
      <w:r>
        <w:rPr>
          <w:sz w:val="20"/>
        </w:rPr>
        <w:separator/>
      </w:r>
    </w:p>
  </w:footnote>
  <w:footnote w:type="continuationNotice" w:id="2">
    <w:p w:rsidR="00135E07" w:rsidP="00C721AC" w14:paraId="28011832" w14:textId="77777777">
      <w:pPr>
        <w:jc w:val="right"/>
        <w:rPr>
          <w:sz w:val="20"/>
        </w:rPr>
      </w:pPr>
      <w:r>
        <w:rPr>
          <w:sz w:val="20"/>
        </w:rPr>
        <w:t>(continued….)</w:t>
      </w:r>
    </w:p>
  </w:footnote>
  <w:footnote w:id="3">
    <w:p w:rsidR="0025350E" w:rsidP="0025350E" w14:paraId="0A9956F4" w14:textId="09A38242">
      <w:pPr>
        <w:pStyle w:val="FootnoteText"/>
      </w:pPr>
      <w:r>
        <w:rPr>
          <w:rStyle w:val="FootnoteReference"/>
        </w:rPr>
        <w:footnoteRef/>
      </w:r>
      <w:r>
        <w:t xml:space="preserve"> </w:t>
      </w:r>
      <w:r w:rsidRPr="005955F1">
        <w:rPr>
          <w:i/>
          <w:iCs/>
        </w:rPr>
        <w:t xml:space="preserve">See </w:t>
      </w:r>
      <w:r w:rsidRPr="005955F1">
        <w:rPr>
          <w:i/>
          <w:iCs/>
        </w:rPr>
        <w:t>SpaceLogistics</w:t>
      </w:r>
      <w:r w:rsidRPr="005955F1">
        <w:rPr>
          <w:i/>
          <w:iCs/>
        </w:rPr>
        <w:t>, LLC</w:t>
      </w:r>
      <w:r w:rsidRPr="005955F1">
        <w:t>, ICFS File No. SAT-LOA-20170224-00021 (granted</w:t>
      </w:r>
      <w:r w:rsidR="00AC4BC4">
        <w:t>-</w:t>
      </w:r>
      <w:r w:rsidRPr="005955F1">
        <w:t>in</w:t>
      </w:r>
      <w:r w:rsidR="00AC4BC4">
        <w:t>-</w:t>
      </w:r>
      <w:r w:rsidRPr="005955F1">
        <w:t xml:space="preserve">part Dec. 5, 2017) (MEV-1 License); </w:t>
      </w:r>
      <w:r w:rsidRPr="005955F1">
        <w:rPr>
          <w:i/>
          <w:iCs/>
        </w:rPr>
        <w:t>SpaceLogistics</w:t>
      </w:r>
      <w:r w:rsidRPr="005955F1">
        <w:rPr>
          <w:i/>
          <w:iCs/>
        </w:rPr>
        <w:t>, LLC</w:t>
      </w:r>
      <w:r w:rsidRPr="005955F1">
        <w:t xml:space="preserve">, ICFS File No. SAT-LOA-20191210-00144 (granted Mar. 20, 2020) (MEV-2 License); </w:t>
      </w:r>
      <w:r>
        <w:rPr>
          <w:i/>
          <w:iCs/>
        </w:rPr>
        <w:t>see also</w:t>
      </w:r>
      <w:r>
        <w:t xml:space="preserve">, Sandra Erwin, </w:t>
      </w:r>
      <w:r>
        <w:rPr>
          <w:i/>
          <w:iCs/>
        </w:rPr>
        <w:t>Northrop Grumman eyes 2026 launch of robot-armed satellite servicer</w:t>
      </w:r>
      <w:r>
        <w:t xml:space="preserve">, SPACENEWS (Nov. 14, 2024), available at </w:t>
      </w:r>
      <w:hyperlink r:id="rId1" w:history="1">
        <w:r w:rsidRPr="00182FC2">
          <w:rPr>
            <w:rStyle w:val="Hyperlink"/>
          </w:rPr>
          <w:t>https://spacenews.com/northrop-grumman-eyes-2026-launch-of-robot-armed-satellite-servicer/</w:t>
        </w:r>
      </w:hyperlink>
      <w:r>
        <w:t xml:space="preserve">; Space Logistics LLC, ICFS File No. SAT-LOA-20250930-00313 (filed Sept. 30, 2025) (MRV Application). </w:t>
      </w:r>
    </w:p>
  </w:footnote>
  <w:footnote w:id="4">
    <w:p w:rsidR="0025350E" w:rsidP="0025350E" w14:paraId="37A97E5F" w14:textId="77777777">
      <w:pPr>
        <w:pStyle w:val="FootnoteText"/>
      </w:pPr>
      <w:r>
        <w:rPr>
          <w:rStyle w:val="FootnoteReference"/>
        </w:rPr>
        <w:footnoteRef/>
      </w:r>
      <w:r>
        <w:t xml:space="preserve"> </w:t>
      </w:r>
      <w:r w:rsidRPr="000E6470">
        <w:rPr>
          <w:i/>
          <w:iCs/>
        </w:rPr>
        <w:t>See</w:t>
      </w:r>
      <w:r>
        <w:rPr>
          <w:i/>
          <w:iCs/>
        </w:rPr>
        <w:t xml:space="preserve"> e.g.,</w:t>
      </w:r>
      <w:r w:rsidRPr="000E6470">
        <w:rPr>
          <w:i/>
          <w:iCs/>
        </w:rPr>
        <w:t xml:space="preserve"> Varda Space Industries, Inc.</w:t>
      </w:r>
      <w:r w:rsidRPr="000E6470">
        <w:t>, ELS File No. 1751-EX-ST-2022 (granted Mar. 22, 2023)</w:t>
      </w:r>
      <w:r>
        <w:t xml:space="preserve"> (Winnebago-1 grant); </w:t>
      </w:r>
      <w:r>
        <w:rPr>
          <w:i/>
          <w:iCs/>
        </w:rPr>
        <w:t>Varda Space Industries, Inc.</w:t>
      </w:r>
      <w:r>
        <w:t xml:space="preserve">, ELS File No. 1215-EX-ST-2023, (granted Aug. 18, 2023) (Winnebago-2 grant);  </w:t>
      </w:r>
      <w:r>
        <w:rPr>
          <w:i/>
          <w:iCs/>
        </w:rPr>
        <w:t>Varda Space Industries, Inc.</w:t>
      </w:r>
      <w:r>
        <w:t>, ELS File No. 1648-EX-ST-2025 (filed Aug. 21, 2025) (Winnebago-6 application).</w:t>
      </w:r>
    </w:p>
  </w:footnote>
  <w:footnote w:id="5">
    <w:p w:rsidR="0025350E" w:rsidP="0025350E" w14:paraId="7C61D109" w14:textId="77777777">
      <w:pPr>
        <w:pStyle w:val="FootnoteText"/>
      </w:pPr>
      <w:r>
        <w:rPr>
          <w:rStyle w:val="FootnoteReference"/>
        </w:rPr>
        <w:footnoteRef/>
      </w:r>
      <w:r>
        <w:t xml:space="preserve"> </w:t>
      </w:r>
      <w:r>
        <w:rPr>
          <w:i/>
          <w:iCs/>
        </w:rPr>
        <w:t>See e.g., Vast Space LLC</w:t>
      </w:r>
      <w:r>
        <w:t>, ICFS File No. SAT-LOA-20240702-00148 (granted Jan. 31, 2025).</w:t>
      </w:r>
    </w:p>
  </w:footnote>
  <w:footnote w:id="6">
    <w:p w:rsidR="0025350E" w:rsidP="0025350E" w14:paraId="4F9D2DE5" w14:textId="77777777">
      <w:pPr>
        <w:pStyle w:val="FootnoteText"/>
      </w:pPr>
      <w:r>
        <w:rPr>
          <w:rStyle w:val="FootnoteReference"/>
        </w:rPr>
        <w:footnoteRef/>
      </w:r>
      <w:r>
        <w:t xml:space="preserve"> </w:t>
      </w:r>
      <w:r>
        <w:rPr>
          <w:i/>
          <w:iCs/>
        </w:rPr>
        <w:t xml:space="preserve">See, e.g., </w:t>
      </w:r>
      <w:r>
        <w:t>Firefly Aerospace, Inc., ICFS File Nos. SAT-LOA-20240509-00097, SAT-AMD-20241112-00257 (granted Jan. 10, 2025) (BGM1 application).</w:t>
      </w:r>
    </w:p>
  </w:footnote>
  <w:footnote w:id="7">
    <w:p w:rsidR="0025350E" w:rsidP="0025350E" w14:paraId="5BF68C1F" w14:textId="77777777">
      <w:pPr>
        <w:pStyle w:val="FootnoteText"/>
      </w:pPr>
      <w:r>
        <w:rPr>
          <w:rStyle w:val="FootnoteReference"/>
        </w:rPr>
        <w:footnoteRef/>
      </w:r>
      <w:r>
        <w:t xml:space="preserve"> </w:t>
      </w:r>
      <w:r w:rsidRPr="001B79FB">
        <w:t>We use the qualifier</w:t>
      </w:r>
      <w:r>
        <w:t xml:space="preserve"> “emergent” and the</w:t>
      </w:r>
      <w:r w:rsidRPr="001B79FB">
        <w:t xml:space="preserve"> </w:t>
      </w:r>
      <w:r>
        <w:t>phrase</w:t>
      </w:r>
      <w:r w:rsidRPr="001B79FB">
        <w:t xml:space="preserve"> “emergent</w:t>
      </w:r>
      <w:r>
        <w:t xml:space="preserve"> space operations</w:t>
      </w:r>
      <w:r w:rsidRPr="001B79FB">
        <w:t>” in this item to refer to spacecraft or commercial operations in space that use radio spectrum for the control of, or communications with, a spacecraft, but not for not satellite communications.  As one example, “emergent” operations would not encompass the provision of</w:t>
      </w:r>
      <w:r>
        <w:t xml:space="preserve"> radiocommunication services, such as fixed-satellite service or mobile-satellite service, to the public for a fee.  We explain in detail the terminology used in this Introduction in part II.A below.</w:t>
      </w:r>
    </w:p>
  </w:footnote>
  <w:footnote w:id="8">
    <w:p w:rsidR="0025350E" w:rsidP="0025350E" w14:paraId="1C6A6A9D" w14:textId="77777777">
      <w:pPr>
        <w:pStyle w:val="FootnoteText"/>
      </w:pPr>
      <w:r>
        <w:rPr>
          <w:rStyle w:val="FootnoteReference"/>
        </w:rPr>
        <w:footnoteRef/>
      </w:r>
      <w:r>
        <w:t xml:space="preserve"> We define and discuss TT&amp;C in section II.A., below.</w:t>
      </w:r>
    </w:p>
  </w:footnote>
  <w:footnote w:id="9">
    <w:p w:rsidR="0025350E" w:rsidP="0025350E" w14:paraId="3988CB59" w14:textId="0C7D1707">
      <w:pPr>
        <w:pStyle w:val="FootnoteText"/>
      </w:pPr>
      <w:r>
        <w:rPr>
          <w:rStyle w:val="FootnoteReference"/>
        </w:rPr>
        <w:footnoteRef/>
      </w:r>
      <w:r>
        <w:t xml:space="preserve"> </w:t>
      </w:r>
      <w:r w:rsidRPr="00EC4EFB">
        <w:rPr>
          <w:i/>
          <w:iCs/>
        </w:rPr>
        <w:t>See Satellite Spectrum Abundance, Expanding Use of the 12.7-13,25 GHz Band for Mobile Broadband or Other Expanded Use, Shared Use of the 42.0-42.5 GHz Band, Use of Spectrum Bands Above 24 GHz for Mobile Radio Services</w:t>
      </w:r>
      <w:r>
        <w:t>, SB Docket No. 25-180, GN Docket Nos. 22-352 and 14-177, WT Docket No. 23-158, Further Notice of Proposed Rulemaking and Notice of Proposed Rulemaking, FCC 25-29 (May 27, 2025) (</w:t>
      </w:r>
      <w:r w:rsidRPr="00EC4EFB">
        <w:rPr>
          <w:i/>
          <w:iCs/>
        </w:rPr>
        <w:t>Satellite Spectrum Abundance FNPRM and NPRM</w:t>
      </w:r>
      <w:r>
        <w:t xml:space="preserve">).  The Satellite Spectrum Abundance proceeding focuses on making spectrum abundant for the provision of radiocommunication services to the public, such as high-speed data connectivity via satellites, which is different from—but related to—our goal in this proceeding to make spectrum available for the command and control of spacecraft that do not otherwise provide radiocommunication services </w:t>
      </w:r>
      <w:r w:rsidRPr="001103A2">
        <w:t>to the public</w:t>
      </w:r>
      <w:r>
        <w:t xml:space="preserve">. </w:t>
      </w:r>
    </w:p>
  </w:footnote>
  <w:footnote w:id="10">
    <w:p w:rsidR="0025350E" w:rsidRPr="00674B39" w:rsidP="0025350E" w14:paraId="4FEDE5A8" w14:textId="77777777">
      <w:pPr>
        <w:pStyle w:val="FootnoteText"/>
      </w:pPr>
      <w:r>
        <w:rPr>
          <w:rStyle w:val="FootnoteReference"/>
        </w:rPr>
        <w:footnoteRef/>
      </w:r>
      <w:r>
        <w:t xml:space="preserve"> </w:t>
      </w:r>
      <w:r>
        <w:rPr>
          <w:i/>
          <w:iCs/>
        </w:rPr>
        <w:t>Space Modernization for the 21</w:t>
      </w:r>
      <w:r w:rsidRPr="004C7325">
        <w:rPr>
          <w:i/>
          <w:iCs/>
          <w:vertAlign w:val="superscript"/>
        </w:rPr>
        <w:t>st</w:t>
      </w:r>
      <w:r>
        <w:rPr>
          <w:i/>
          <w:iCs/>
        </w:rPr>
        <w:t xml:space="preserve"> Century</w:t>
      </w:r>
      <w:r>
        <w:t>, SB Docket No. 25-306, Notice of Proposed Rulemaking, FCC 25-69 (Oct. 28, 2025) (</w:t>
      </w:r>
      <w:r>
        <w:rPr>
          <w:i/>
          <w:iCs/>
        </w:rPr>
        <w:t>Space Modernization NPRM</w:t>
      </w:r>
      <w:r>
        <w:t>)</w:t>
      </w:r>
      <w:r w:rsidRPr="00901AE4">
        <w:t>.</w:t>
      </w:r>
    </w:p>
  </w:footnote>
  <w:footnote w:id="11">
    <w:p w:rsidR="0025350E" w:rsidP="0025350E" w14:paraId="74902D14" w14:textId="77777777">
      <w:pPr>
        <w:pStyle w:val="FootnoteText"/>
      </w:pPr>
      <w:r>
        <w:rPr>
          <w:rStyle w:val="FootnoteReference"/>
        </w:rPr>
        <w:footnoteRef/>
      </w:r>
      <w:r>
        <w:t xml:space="preserve"> 47 U.S.C. § 301.</w:t>
      </w:r>
    </w:p>
  </w:footnote>
  <w:footnote w:id="12">
    <w:p w:rsidR="0025350E" w:rsidP="0025350E" w14:paraId="5A1E4A4E" w14:textId="77777777">
      <w:pPr>
        <w:pStyle w:val="FootnoteText"/>
      </w:pPr>
      <w:r>
        <w:rPr>
          <w:rStyle w:val="FootnoteReference"/>
        </w:rPr>
        <w:footnoteRef/>
      </w:r>
      <w:r>
        <w:t xml:space="preserve"> 47 U.S.C. § 153(40) (emphasis added).  The Act provides that the term “t</w:t>
      </w:r>
      <w:r w:rsidRPr="00217C33">
        <w:t xml:space="preserve">ransmission of energy by radio” includes </w:t>
      </w:r>
      <w:r>
        <w:t>“</w:t>
      </w:r>
      <w:r w:rsidRPr="00217C33">
        <w:t>both such transmission and all instrumentalities, facilities, and services incidental to such transmission.</w:t>
      </w:r>
      <w:r>
        <w:t xml:space="preserve">”  47 U.S.C. § 153(57).  </w:t>
      </w:r>
    </w:p>
  </w:footnote>
  <w:footnote w:id="13">
    <w:p w:rsidR="0025350E" w:rsidP="0025350E" w14:paraId="57157DDB" w14:textId="77777777">
      <w:pPr>
        <w:pStyle w:val="FootnoteText"/>
      </w:pPr>
      <w:r>
        <w:rPr>
          <w:rStyle w:val="FootnoteReference"/>
        </w:rPr>
        <w:footnoteRef/>
      </w:r>
      <w:r>
        <w:t xml:space="preserve"> 47 CFR § 25.102(a).</w:t>
      </w:r>
    </w:p>
  </w:footnote>
  <w:footnote w:id="14">
    <w:p w:rsidR="0025350E" w:rsidP="0025350E" w14:paraId="6E8A2D7F" w14:textId="77777777">
      <w:pPr>
        <w:pStyle w:val="FootnoteText"/>
      </w:pPr>
      <w:r>
        <w:rPr>
          <w:rStyle w:val="FootnoteReference"/>
        </w:rPr>
        <w:footnoteRef/>
      </w:r>
      <w:r>
        <w:t xml:space="preserve"> </w:t>
      </w:r>
      <w:r w:rsidRPr="00625293">
        <w:rPr>
          <w:i/>
          <w:iCs/>
        </w:rPr>
        <w:t>Id.</w:t>
      </w:r>
      <w:r>
        <w:t xml:space="preserve"> §§ 2.1 and 25.103.</w:t>
      </w:r>
    </w:p>
  </w:footnote>
  <w:footnote w:id="15">
    <w:p w:rsidR="0025350E" w:rsidP="0025350E" w14:paraId="46005367" w14:textId="77777777">
      <w:pPr>
        <w:pStyle w:val="FootnoteText"/>
      </w:pPr>
      <w:r>
        <w:rPr>
          <w:rStyle w:val="FootnoteReference"/>
        </w:rPr>
        <w:footnoteRef/>
      </w:r>
      <w:r>
        <w:t xml:space="preserve"> </w:t>
      </w:r>
      <w:r w:rsidRPr="00625293">
        <w:rPr>
          <w:i/>
          <w:iCs/>
        </w:rPr>
        <w:t>Id.</w:t>
      </w:r>
    </w:p>
  </w:footnote>
  <w:footnote w:id="16">
    <w:p w:rsidR="0025350E" w:rsidP="0025350E" w14:paraId="158C7069" w14:textId="197250CA">
      <w:pPr>
        <w:pStyle w:val="FootnoteText"/>
      </w:pPr>
      <w:r>
        <w:rPr>
          <w:rStyle w:val="FootnoteReference"/>
        </w:rPr>
        <w:footnoteRef/>
      </w:r>
      <w:r>
        <w:t xml:space="preserve"> 47 CFR § 2.1.</w:t>
      </w:r>
      <w:r w:rsidRPr="002B1C2D">
        <w:t xml:space="preserve"> </w:t>
      </w:r>
      <w:r>
        <w:t>We note that the Communications Act provides additional context, defining “radiocommunication” (or “communication by radio”) as the “transmission by radio of writing, signs, signals, pictures, and sounds of all kinds, including all instrumentalities, facilities, apparatus, and services (among other things, the receipt, forwarding, and delivery of communications) incidental to such transmissions.” 47 U</w:t>
      </w:r>
      <w:r w:rsidR="00AC4BC4">
        <w:t>.</w:t>
      </w:r>
      <w:r>
        <w:t>S</w:t>
      </w:r>
      <w:r w:rsidR="00AC4BC4">
        <w:t>.</w:t>
      </w:r>
      <w:r>
        <w:t>C</w:t>
      </w:r>
      <w:r w:rsidR="00AC4BC4">
        <w:t>.</w:t>
      </w:r>
      <w:r>
        <w:t xml:space="preserve"> § 153(40).</w:t>
      </w:r>
    </w:p>
  </w:footnote>
  <w:footnote w:id="17">
    <w:p w:rsidR="0025350E" w:rsidP="0025350E" w14:paraId="47C12564" w14:textId="5C823072">
      <w:pPr>
        <w:pStyle w:val="FootnoteText"/>
      </w:pPr>
      <w:r>
        <w:rPr>
          <w:rStyle w:val="FootnoteReference"/>
        </w:rPr>
        <w:footnoteRef/>
      </w:r>
      <w:r>
        <w:t xml:space="preserve"> 47 CFR § 2.1.  The Communications Act defines “telecommunication” as “the transmission, between or among points specified by the user, of information of the user’s choosing, without change in the form or content of the information as send and received.” 47 U</w:t>
      </w:r>
      <w:r w:rsidR="00652C2B">
        <w:t>.</w:t>
      </w:r>
      <w:r>
        <w:t>S</w:t>
      </w:r>
      <w:r w:rsidR="000D6D64">
        <w:t>.</w:t>
      </w:r>
      <w:r>
        <w:t>C</w:t>
      </w:r>
      <w:r w:rsidR="00652C2B">
        <w:t>.</w:t>
      </w:r>
      <w:r>
        <w:t xml:space="preserve"> § 153(50). </w:t>
      </w:r>
    </w:p>
  </w:footnote>
  <w:footnote w:id="18">
    <w:p w:rsidR="0025350E" w:rsidP="0025350E" w14:paraId="57C43E79" w14:textId="77777777">
      <w:pPr>
        <w:pStyle w:val="FootnoteText"/>
      </w:pPr>
      <w:r>
        <w:rPr>
          <w:rStyle w:val="FootnoteReference"/>
        </w:rPr>
        <w:footnoteRef/>
      </w:r>
      <w:r>
        <w:t xml:space="preserve"> </w:t>
      </w:r>
      <w:r w:rsidRPr="00E402D7">
        <w:rPr>
          <w:i/>
          <w:iCs/>
        </w:rPr>
        <w:t>Id.</w:t>
      </w:r>
      <w:r>
        <w:t xml:space="preserve"> § 301.</w:t>
      </w:r>
    </w:p>
  </w:footnote>
  <w:footnote w:id="19">
    <w:p w:rsidR="0025350E" w:rsidP="0025350E" w14:paraId="1E9D9D4C" w14:textId="77777777">
      <w:pPr>
        <w:pStyle w:val="FootnoteText"/>
      </w:pPr>
      <w:r>
        <w:rPr>
          <w:rStyle w:val="FootnoteReference"/>
        </w:rPr>
        <w:footnoteRef/>
      </w:r>
      <w:r>
        <w:t xml:space="preserve"> We note that certain receive-only earth stations may be registered with the Commission, rather than licensed.  </w:t>
      </w:r>
      <w:r w:rsidRPr="00753436">
        <w:rPr>
          <w:i/>
          <w:iCs/>
        </w:rPr>
        <w:t>See</w:t>
      </w:r>
      <w:r>
        <w:t xml:space="preserve"> 47 CFR § 25.115(b)(1).</w:t>
      </w:r>
    </w:p>
  </w:footnote>
  <w:footnote w:id="20">
    <w:p w:rsidR="0025350E" w:rsidP="0025350E" w14:paraId="1FA83152" w14:textId="77777777">
      <w:pPr>
        <w:pStyle w:val="FootnoteText"/>
      </w:pPr>
      <w:r>
        <w:rPr>
          <w:rStyle w:val="FootnoteReference"/>
        </w:rPr>
        <w:footnoteRef/>
      </w:r>
      <w:r>
        <w:t xml:space="preserve"> </w:t>
      </w:r>
      <w:r w:rsidRPr="00E402D7">
        <w:rPr>
          <w:i/>
          <w:iCs/>
        </w:rPr>
        <w:t>Id.</w:t>
      </w:r>
      <w:r>
        <w:t xml:space="preserve"> § 2.1.</w:t>
      </w:r>
    </w:p>
  </w:footnote>
  <w:footnote w:id="21">
    <w:p w:rsidR="0025350E" w:rsidP="0025350E" w14:paraId="1278DFEC" w14:textId="772AE7CD">
      <w:pPr>
        <w:pStyle w:val="FootnoteText"/>
      </w:pPr>
      <w:r>
        <w:rPr>
          <w:rStyle w:val="FootnoteReference"/>
        </w:rPr>
        <w:footnoteRef/>
      </w:r>
      <w:r>
        <w:t xml:space="preserve"> </w:t>
      </w:r>
      <w:r w:rsidRPr="001B79FB">
        <w:rPr>
          <w:i/>
          <w:iCs/>
        </w:rPr>
        <w:t>Id.</w:t>
      </w:r>
      <w:r>
        <w:t xml:space="preserve"> (defining FSS as “[a]</w:t>
      </w:r>
      <w:r w:rsidRPr="00203BEC">
        <w:t xml:space="preserve"> radiocommunication service between earth stations at given positions, when one or more satellites are used; the given position may be a specified fixed point or any fixed point within specified areas; in some cases this service includes satellite-to-satellite links, which may also be operated in the inter-satellite service; the fixed-satellite service may also include feeder links for other space radiocommunication services</w:t>
      </w:r>
      <w:r>
        <w:t>”)</w:t>
      </w:r>
      <w:r w:rsidR="00AC4BC4">
        <w:t>.</w:t>
      </w:r>
    </w:p>
  </w:footnote>
  <w:footnote w:id="22">
    <w:p w:rsidR="0025350E" w:rsidP="0025350E" w14:paraId="42331F00" w14:textId="440B96F0">
      <w:pPr>
        <w:pStyle w:val="FootnoteText"/>
      </w:pPr>
      <w:r>
        <w:rPr>
          <w:rStyle w:val="FootnoteReference"/>
        </w:rPr>
        <w:footnoteRef/>
      </w:r>
      <w:r>
        <w:t xml:space="preserve"> </w:t>
      </w:r>
      <w:r w:rsidRPr="001B79FB">
        <w:rPr>
          <w:i/>
          <w:iCs/>
        </w:rPr>
        <w:t>Id.</w:t>
      </w:r>
      <w:r>
        <w:t xml:space="preserve"> (defining MSS as “[a]</w:t>
      </w:r>
      <w:r w:rsidRPr="003256D3">
        <w:t xml:space="preserve"> radiocommunication service:</w:t>
      </w:r>
      <w:r>
        <w:t xml:space="preserve"> </w:t>
      </w:r>
      <w:r w:rsidRPr="003256D3">
        <w:t>(1) Between mobile earth stations and one or more space stations, or between space stations used by this service; or</w:t>
      </w:r>
      <w:r>
        <w:t xml:space="preserve"> </w:t>
      </w:r>
      <w:r w:rsidRPr="003256D3">
        <w:t>(2) Between mobile earth stations by means of one or more space stations.</w:t>
      </w:r>
      <w:r>
        <w:t xml:space="preserve"> </w:t>
      </w:r>
      <w:r w:rsidRPr="003256D3">
        <w:t>Note:</w:t>
      </w:r>
      <w:r>
        <w:t xml:space="preserve"> </w:t>
      </w:r>
      <w:r w:rsidRPr="003256D3">
        <w:t>This service may also include feeder links necessary for its operation</w:t>
      </w:r>
      <w:r>
        <w:t>”)</w:t>
      </w:r>
      <w:r w:rsidR="00AC4BC4">
        <w:t>.</w:t>
      </w:r>
    </w:p>
  </w:footnote>
  <w:footnote w:id="23">
    <w:p w:rsidR="0025350E" w:rsidP="0025350E" w14:paraId="3E391AAB" w14:textId="0BAA4B95">
      <w:pPr>
        <w:pStyle w:val="FootnoteText"/>
      </w:pPr>
      <w:r>
        <w:rPr>
          <w:rStyle w:val="FootnoteReference"/>
        </w:rPr>
        <w:footnoteRef/>
      </w:r>
      <w:r>
        <w:t xml:space="preserve"> </w:t>
      </w:r>
      <w:r w:rsidRPr="001B79FB">
        <w:rPr>
          <w:i/>
          <w:iCs/>
        </w:rPr>
        <w:t>Id.</w:t>
      </w:r>
      <w:r>
        <w:t xml:space="preserve"> (“</w:t>
      </w:r>
      <w:r w:rsidRPr="005C7A5E">
        <w:t xml:space="preserve">A radiocommunication service in which the transmissions are intended for direct reception by the general public. </w:t>
      </w:r>
      <w:r>
        <w:t xml:space="preserve"> </w:t>
      </w:r>
      <w:r w:rsidRPr="005C7A5E">
        <w:t>This service may include sound transmissions, television transmissions or other types of transmission</w:t>
      </w:r>
      <w:r>
        <w:t>”)</w:t>
      </w:r>
      <w:r w:rsidR="00AC4BC4">
        <w:t>.</w:t>
      </w:r>
    </w:p>
  </w:footnote>
  <w:footnote w:id="24">
    <w:p w:rsidR="0025350E" w:rsidP="0025350E" w14:paraId="2FC0D987" w14:textId="1F22572B">
      <w:pPr>
        <w:pStyle w:val="FootnoteText"/>
      </w:pPr>
      <w:r>
        <w:rPr>
          <w:rStyle w:val="FootnoteReference"/>
        </w:rPr>
        <w:footnoteRef/>
      </w:r>
      <w:r>
        <w:t xml:space="preserve"> </w:t>
      </w:r>
      <w:r w:rsidRPr="001B79FB">
        <w:rPr>
          <w:i/>
          <w:iCs/>
        </w:rPr>
        <w:t>Id.</w:t>
      </w:r>
      <w:r>
        <w:t xml:space="preserve"> (defining EESS as “[a]</w:t>
      </w:r>
      <w:r w:rsidRPr="00B212CD">
        <w:t xml:space="preserve"> radiocommunication service between earth stations and one or more space stations, which may include links between space stations, in which:</w:t>
      </w:r>
      <w:r>
        <w:t xml:space="preserve"> </w:t>
      </w:r>
      <w:r w:rsidRPr="00B212CD">
        <w:t>(1) Information relating to the characteristics of the Earth and its natural phenomena, including data relating to the state of the environment, is obtained from active sensors or passive sensors on Earth satellites;</w:t>
      </w:r>
      <w:r>
        <w:t xml:space="preserve"> </w:t>
      </w:r>
      <w:r w:rsidRPr="00B212CD">
        <w:t>(2) Similar information is collected from airborne or Earth-based platforms;</w:t>
      </w:r>
      <w:r>
        <w:t xml:space="preserve"> </w:t>
      </w:r>
      <w:r w:rsidRPr="00B212CD">
        <w:t>(3) Such information may be distributed to earth stations within the system concerned; and</w:t>
      </w:r>
      <w:r>
        <w:t xml:space="preserve"> </w:t>
      </w:r>
      <w:r w:rsidRPr="00B212CD">
        <w:t>(4) Platform interrogation may be included. This service may also include feeder links necessary for its operation</w:t>
      </w:r>
      <w:r>
        <w:t>”)</w:t>
      </w:r>
      <w:r w:rsidR="00AC4BC4">
        <w:t>.</w:t>
      </w:r>
    </w:p>
  </w:footnote>
  <w:footnote w:id="25">
    <w:p w:rsidR="0025350E" w:rsidP="0025350E" w14:paraId="1465EDDB" w14:textId="77777777">
      <w:pPr>
        <w:pStyle w:val="FootnoteText"/>
      </w:pPr>
      <w:r>
        <w:rPr>
          <w:rStyle w:val="FootnoteReference"/>
        </w:rPr>
        <w:footnoteRef/>
      </w:r>
      <w:r>
        <w:t xml:space="preserve"> </w:t>
      </w:r>
      <w:r w:rsidRPr="001103A2">
        <w:rPr>
          <w:i/>
          <w:iCs/>
        </w:rPr>
        <w:t>Id</w:t>
      </w:r>
      <w:r>
        <w:t>.</w:t>
      </w:r>
    </w:p>
  </w:footnote>
  <w:footnote w:id="26">
    <w:p w:rsidR="0025350E" w:rsidP="0025350E" w14:paraId="2562ADEC" w14:textId="77777777">
      <w:pPr>
        <w:pStyle w:val="FootnoteText"/>
      </w:pPr>
      <w:r>
        <w:rPr>
          <w:rStyle w:val="FootnoteReference"/>
        </w:rPr>
        <w:footnoteRef/>
      </w:r>
      <w:r>
        <w:t xml:space="preserve"> </w:t>
      </w:r>
      <w:r w:rsidRPr="006D0590">
        <w:rPr>
          <w:i/>
          <w:iCs/>
        </w:rPr>
        <w:t>Id</w:t>
      </w:r>
      <w:r>
        <w:t>.</w:t>
      </w:r>
    </w:p>
  </w:footnote>
  <w:footnote w:id="27">
    <w:p w:rsidR="0025350E" w:rsidP="0025350E" w14:paraId="55B6F586" w14:textId="77777777">
      <w:pPr>
        <w:pStyle w:val="FootnoteText"/>
      </w:pPr>
      <w:r>
        <w:rPr>
          <w:rStyle w:val="FootnoteReference"/>
        </w:rPr>
        <w:footnoteRef/>
      </w:r>
      <w:r>
        <w:t xml:space="preserve"> </w:t>
      </w:r>
      <w:r w:rsidRPr="00FF1FE6">
        <w:rPr>
          <w:i/>
          <w:iCs/>
        </w:rPr>
        <w:t xml:space="preserve"> </w:t>
      </w:r>
      <w:r w:rsidRPr="006D0590">
        <w:rPr>
          <w:i/>
          <w:iCs/>
        </w:rPr>
        <w:t>Id</w:t>
      </w:r>
      <w:r>
        <w:rPr>
          <w:i/>
          <w:iCs/>
        </w:rPr>
        <w:t>.</w:t>
      </w:r>
    </w:p>
  </w:footnote>
  <w:footnote w:id="28">
    <w:p w:rsidR="0025350E" w:rsidP="0025350E" w14:paraId="66F5F7C2" w14:textId="77777777">
      <w:pPr>
        <w:pStyle w:val="FootnoteText"/>
      </w:pPr>
      <w:r>
        <w:rPr>
          <w:rStyle w:val="FootnoteReference"/>
        </w:rPr>
        <w:footnoteRef/>
      </w:r>
      <w:r>
        <w:t xml:space="preserve"> </w:t>
      </w:r>
      <w:r w:rsidRPr="006D0590">
        <w:rPr>
          <w:i/>
          <w:iCs/>
        </w:rPr>
        <w:t>Id</w:t>
      </w:r>
      <w:r>
        <w:rPr>
          <w:i/>
          <w:iCs/>
        </w:rPr>
        <w:t>.</w:t>
      </w:r>
      <w:r>
        <w:t xml:space="preserve"> </w:t>
      </w:r>
    </w:p>
  </w:footnote>
  <w:footnote w:id="29">
    <w:p w:rsidR="0025350E" w:rsidP="0025350E" w14:paraId="052EC4C4" w14:textId="77777777">
      <w:pPr>
        <w:pStyle w:val="FootnoteText"/>
      </w:pPr>
      <w:r>
        <w:rPr>
          <w:rStyle w:val="FootnoteReference"/>
        </w:rPr>
        <w:footnoteRef/>
      </w:r>
      <w:r>
        <w:t xml:space="preserve"> </w:t>
      </w:r>
      <w:r w:rsidRPr="006D0590">
        <w:rPr>
          <w:i/>
          <w:iCs/>
        </w:rPr>
        <w:t>Id</w:t>
      </w:r>
      <w:r>
        <w:t>.  “Telecommand” is shortened to “command” in the acronym TT&amp;C.</w:t>
      </w:r>
    </w:p>
  </w:footnote>
  <w:footnote w:id="30">
    <w:p w:rsidR="0025350E" w:rsidP="0025350E" w14:paraId="6E3F4D45" w14:textId="33D1B28C">
      <w:pPr>
        <w:pStyle w:val="FootnoteText"/>
      </w:pPr>
      <w:r>
        <w:rPr>
          <w:rStyle w:val="FootnoteReference"/>
        </w:rPr>
        <w:footnoteRef/>
      </w:r>
      <w:r>
        <w:t xml:space="preserve"> 47 U.S.C. § 301; 47 U.S.C. § 305(a) (“R</w:t>
      </w:r>
      <w:r w:rsidRPr="008A6101">
        <w:t>adio stations belonging to and operated by the United States shall not be subject to the provisions of sections 301 and</w:t>
      </w:r>
      <w:r>
        <w:t xml:space="preserve"> 303</w:t>
      </w:r>
      <w:r w:rsidRPr="008A6101">
        <w:t> of this title.</w:t>
      </w:r>
      <w:r w:rsidR="00AC4BC4">
        <w:t>”</w:t>
      </w:r>
      <w:r>
        <w:t>).</w:t>
      </w:r>
    </w:p>
  </w:footnote>
  <w:footnote w:id="31">
    <w:p w:rsidR="0025350E" w:rsidP="0025350E" w14:paraId="0D844781" w14:textId="77777777">
      <w:pPr>
        <w:pStyle w:val="FootnoteText"/>
      </w:pPr>
      <w:r>
        <w:rPr>
          <w:rStyle w:val="FootnoteReference"/>
        </w:rPr>
        <w:footnoteRef/>
      </w:r>
      <w:r>
        <w:t xml:space="preserve"> Congress formally assigned this function to NTIA in the Telecommunications Authorization Act of 1992.  </w:t>
      </w:r>
      <w:r w:rsidRPr="00EC4EFB">
        <w:rPr>
          <w:i/>
          <w:iCs/>
        </w:rPr>
        <w:t>See</w:t>
      </w:r>
      <w:r>
        <w:t xml:space="preserve"> Telecommunications Authorization Act of 1992, National Telecommunications and Information Administration Organization Act, Pub. Law 102-538, H.R. 5961, 117</w:t>
      </w:r>
      <w:r w:rsidRPr="00EC4EFB">
        <w:rPr>
          <w:vertAlign w:val="superscript"/>
        </w:rPr>
        <w:t>th</w:t>
      </w:r>
      <w:r>
        <w:t xml:space="preserve"> Congress (1992).</w:t>
      </w:r>
    </w:p>
  </w:footnote>
  <w:footnote w:id="32">
    <w:p w:rsidR="0025350E" w:rsidP="0025350E" w14:paraId="26B7E805" w14:textId="77777777">
      <w:pPr>
        <w:pStyle w:val="FootnoteText"/>
      </w:pPr>
      <w:r>
        <w:rPr>
          <w:rStyle w:val="FootnoteReference"/>
        </w:rPr>
        <w:footnoteRef/>
      </w:r>
      <w:r>
        <w:t xml:space="preserve"> 47 CFR § 2.106 (Table of Frequency Allocations).</w:t>
      </w:r>
    </w:p>
  </w:footnote>
  <w:footnote w:id="33">
    <w:p w:rsidR="0025350E" w:rsidP="0025350E" w14:paraId="784CDE95" w14:textId="5797FD1C">
      <w:pPr>
        <w:pStyle w:val="FootnoteText"/>
      </w:pPr>
      <w:r>
        <w:rPr>
          <w:rStyle w:val="FootnoteReference"/>
        </w:rPr>
        <w:footnoteRef/>
      </w:r>
      <w:r>
        <w:t xml:space="preserve"> The Table of Frequency Allocations consists of the International Table of Frequency Allocations (International Table) and the United States Table. </w:t>
      </w:r>
      <w:r w:rsidR="00652C2B">
        <w:t xml:space="preserve"> </w:t>
      </w:r>
      <w:r>
        <w:t>47 CFR § 2.106(a).</w:t>
      </w:r>
    </w:p>
  </w:footnote>
  <w:footnote w:id="34">
    <w:p w:rsidR="0025350E" w:rsidP="0025350E" w14:paraId="3803E102" w14:textId="77777777">
      <w:pPr>
        <w:pStyle w:val="FootnoteText"/>
      </w:pPr>
      <w:r>
        <w:rPr>
          <w:rStyle w:val="FootnoteReference"/>
        </w:rPr>
        <w:footnoteRef/>
      </w:r>
      <w:r>
        <w:t xml:space="preserve"> </w:t>
      </w:r>
      <w:r w:rsidRPr="00E402D7">
        <w:rPr>
          <w:i/>
          <w:iCs/>
        </w:rPr>
        <w:t>Id.</w:t>
      </w:r>
      <w:r>
        <w:t xml:space="preserve"> § 2.1.</w:t>
      </w:r>
    </w:p>
  </w:footnote>
  <w:footnote w:id="35">
    <w:p w:rsidR="0025350E" w:rsidP="0025350E" w14:paraId="07DBCC57" w14:textId="77777777">
      <w:pPr>
        <w:pStyle w:val="FootnoteText"/>
      </w:pPr>
      <w:r>
        <w:rPr>
          <w:rStyle w:val="FootnoteReference"/>
        </w:rPr>
        <w:footnoteRef/>
      </w:r>
      <w:r>
        <w:t xml:space="preserve"> </w:t>
      </w:r>
      <w:r w:rsidRPr="00625293">
        <w:rPr>
          <w:i/>
          <w:iCs/>
        </w:rPr>
        <w:t>Id.</w:t>
      </w:r>
      <w:r>
        <w:t xml:space="preserve"> § 2.105(c).</w:t>
      </w:r>
    </w:p>
  </w:footnote>
  <w:footnote w:id="36">
    <w:p w:rsidR="0025350E" w:rsidP="0025350E" w14:paraId="163AEB71" w14:textId="77777777">
      <w:pPr>
        <w:pStyle w:val="FootnoteText"/>
      </w:pPr>
      <w:r>
        <w:rPr>
          <w:rStyle w:val="FootnoteReference"/>
        </w:rPr>
        <w:footnoteRef/>
      </w:r>
      <w:r>
        <w:t xml:space="preserve"> </w:t>
      </w:r>
      <w:r w:rsidRPr="00625293">
        <w:rPr>
          <w:i/>
          <w:iCs/>
        </w:rPr>
        <w:t>Id.</w:t>
      </w:r>
      <w:r>
        <w:t xml:space="preserve"> § 2.105(c)(2).</w:t>
      </w:r>
    </w:p>
  </w:footnote>
  <w:footnote w:id="37">
    <w:p w:rsidR="0025350E" w:rsidP="0025350E" w14:paraId="6D670C9D" w14:textId="77777777">
      <w:pPr>
        <w:pStyle w:val="FootnoteText"/>
      </w:pPr>
      <w:r>
        <w:rPr>
          <w:rStyle w:val="FootnoteReference"/>
        </w:rPr>
        <w:footnoteRef/>
      </w:r>
      <w:r>
        <w:t xml:space="preserve"> </w:t>
      </w:r>
      <w:r w:rsidRPr="00625293">
        <w:rPr>
          <w:i/>
          <w:iCs/>
        </w:rPr>
        <w:t>Id.</w:t>
      </w:r>
      <w:r>
        <w:t xml:space="preserve"> § 2.102(c).</w:t>
      </w:r>
    </w:p>
  </w:footnote>
  <w:footnote w:id="38">
    <w:p w:rsidR="0025350E" w:rsidP="0025350E" w14:paraId="255BD694" w14:textId="77777777">
      <w:pPr>
        <w:pStyle w:val="FootnoteText"/>
      </w:pPr>
      <w:r>
        <w:rPr>
          <w:rStyle w:val="FootnoteReference"/>
        </w:rPr>
        <w:footnoteRef/>
      </w:r>
      <w:r>
        <w:t xml:space="preserve"> 47 CFR § 2.102(c)(1) and (2).</w:t>
      </w:r>
    </w:p>
  </w:footnote>
  <w:footnote w:id="39">
    <w:p w:rsidR="0025350E" w:rsidP="0025350E" w14:paraId="4F43A2D6" w14:textId="77777777">
      <w:pPr>
        <w:pStyle w:val="FootnoteText"/>
      </w:pPr>
      <w:r>
        <w:rPr>
          <w:rStyle w:val="FootnoteReference"/>
        </w:rPr>
        <w:footnoteRef/>
      </w:r>
      <w:r>
        <w:t xml:space="preserve"> </w:t>
      </w:r>
      <w:r w:rsidRPr="00625293">
        <w:rPr>
          <w:i/>
          <w:iCs/>
        </w:rPr>
        <w:t>Id.</w:t>
      </w:r>
      <w:r>
        <w:t xml:space="preserve"> §§ 2.1 and 25.103.</w:t>
      </w:r>
    </w:p>
  </w:footnote>
  <w:footnote w:id="40">
    <w:p w:rsidR="0025350E" w:rsidP="0025350E" w14:paraId="70CAD8FC" w14:textId="0376BD67">
      <w:pPr>
        <w:pStyle w:val="FootnoteText"/>
      </w:pPr>
      <w:r>
        <w:rPr>
          <w:rStyle w:val="FootnoteReference"/>
        </w:rPr>
        <w:footnoteRef/>
      </w:r>
      <w:r>
        <w:t xml:space="preserve"> </w:t>
      </w:r>
      <w:r w:rsidRPr="00625293">
        <w:rPr>
          <w:i/>
          <w:iCs/>
        </w:rPr>
        <w:t>Id.</w:t>
      </w:r>
      <w:r>
        <w:t xml:space="preserve"> §§ 2.1 (defining “satellite” as “[a]</w:t>
      </w:r>
      <w:r w:rsidRPr="00764827">
        <w:t xml:space="preserve"> body which revolves around another body of preponderant mass and which has a motion primarily and permanently determined by the force of attraction of that other body</w:t>
      </w:r>
      <w:r>
        <w:t>”)</w:t>
      </w:r>
      <w:r w:rsidR="00AC4BC4">
        <w:t>.</w:t>
      </w:r>
    </w:p>
  </w:footnote>
  <w:footnote w:id="41">
    <w:p w:rsidR="0025350E" w:rsidP="0025350E" w14:paraId="30F3354E" w14:textId="7D4CD568">
      <w:pPr>
        <w:pStyle w:val="FootnoteText"/>
      </w:pPr>
      <w:r>
        <w:rPr>
          <w:rStyle w:val="FootnoteReference"/>
        </w:rPr>
        <w:footnoteRef/>
      </w:r>
      <w:r>
        <w:t xml:space="preserve"> </w:t>
      </w:r>
      <w:r>
        <w:rPr>
          <w:i/>
          <w:iCs/>
        </w:rPr>
        <w:t>Id.</w:t>
      </w:r>
      <w:r>
        <w:t xml:space="preserve"> (defining “space station” as “[a]</w:t>
      </w:r>
      <w:r w:rsidRPr="00C559AF">
        <w:t xml:space="preserve"> station located on an object which is beyond, is intended to go beyond, or has been beyond, the major portion of the Earth's atmosphere</w:t>
      </w:r>
      <w:r>
        <w:t>”)</w:t>
      </w:r>
      <w:r w:rsidR="00AC4BC4">
        <w:t>.</w:t>
      </w:r>
    </w:p>
  </w:footnote>
  <w:footnote w:id="42">
    <w:p w:rsidR="0025350E" w:rsidP="0025350E" w14:paraId="7D50D19E" w14:textId="07A3F171">
      <w:pPr>
        <w:pStyle w:val="FootnoteText"/>
      </w:pPr>
      <w:r>
        <w:rPr>
          <w:rStyle w:val="FootnoteReference"/>
        </w:rPr>
        <w:footnoteRef/>
      </w:r>
      <w:r>
        <w:t xml:space="preserve"> </w:t>
      </w:r>
      <w:r w:rsidRPr="006D0590">
        <w:rPr>
          <w:i/>
          <w:iCs/>
        </w:rPr>
        <w:t>Id</w:t>
      </w:r>
      <w:r>
        <w:rPr>
          <w:i/>
          <w:iCs/>
        </w:rPr>
        <w:t>.</w:t>
      </w:r>
      <w:r>
        <w:t xml:space="preserve"> </w:t>
      </w:r>
      <w:r>
        <w:t>(defining “station” as “[o]</w:t>
      </w:r>
      <w:r w:rsidRPr="00987D61">
        <w:t>ne</w:t>
      </w:r>
      <w:r w:rsidRPr="00987D61">
        <w:t xml:space="preserve"> or more transmitters or receivers or a combination of transmitters and receivers, including the accessory equipment, necessary at one location for carrying on a radiocommunication service, or the radio astronomy service</w:t>
      </w:r>
      <w:r>
        <w:t>”)</w:t>
      </w:r>
      <w:r w:rsidR="00AC4BC4">
        <w:t>.</w:t>
      </w:r>
    </w:p>
  </w:footnote>
  <w:footnote w:id="43">
    <w:p w:rsidR="0025350E" w:rsidP="0025350E" w14:paraId="208683E6" w14:textId="37723CDD">
      <w:pPr>
        <w:pStyle w:val="FootnoteText"/>
      </w:pPr>
      <w:r>
        <w:rPr>
          <w:rStyle w:val="FootnoteReference"/>
        </w:rPr>
        <w:footnoteRef/>
      </w:r>
      <w:r>
        <w:t xml:space="preserve"> </w:t>
      </w:r>
      <w:r w:rsidRPr="006D0590">
        <w:rPr>
          <w:i/>
          <w:iCs/>
        </w:rPr>
        <w:t>Id</w:t>
      </w:r>
      <w:r>
        <w:rPr>
          <w:i/>
          <w:iCs/>
        </w:rPr>
        <w:t>.</w:t>
      </w:r>
      <w:r>
        <w:t xml:space="preserve"> </w:t>
      </w:r>
      <w:r>
        <w:t>(noting in the definition of “station” that “Each station shall be classified by the service in which it operates permanently or temporarily”)</w:t>
      </w:r>
      <w:r w:rsidR="00AC4BC4">
        <w:t>.</w:t>
      </w:r>
    </w:p>
  </w:footnote>
  <w:footnote w:id="44">
    <w:p w:rsidR="0025350E" w:rsidP="0025350E" w14:paraId="637EDECD" w14:textId="3495C8B2">
      <w:pPr>
        <w:pStyle w:val="FootnoteText"/>
      </w:pPr>
      <w:r>
        <w:rPr>
          <w:rStyle w:val="FootnoteReference"/>
        </w:rPr>
        <w:footnoteRef/>
      </w:r>
      <w:r>
        <w:t xml:space="preserve"> </w:t>
      </w:r>
      <w:r w:rsidRPr="00753436">
        <w:rPr>
          <w:i/>
        </w:rPr>
        <w:t>See generally</w:t>
      </w:r>
      <w:r>
        <w:t xml:space="preserve"> </w:t>
      </w:r>
      <w:r w:rsidRPr="00F50E53">
        <w:rPr>
          <w:i/>
          <w:iCs/>
        </w:rPr>
        <w:t>Satellite Spectrum Abundance FNPRM and NPRM</w:t>
      </w:r>
      <w:r>
        <w:t xml:space="preserve">, </w:t>
      </w:r>
      <w:r w:rsidRPr="00EC4EFB">
        <w:rPr>
          <w:i/>
          <w:iCs/>
        </w:rPr>
        <w:t>supra</w:t>
      </w:r>
      <w:r>
        <w:t xml:space="preserve"> note </w:t>
      </w:r>
      <w:r w:rsidRPr="00964089">
        <w:t>7.</w:t>
      </w:r>
    </w:p>
  </w:footnote>
  <w:footnote w:id="45">
    <w:p w:rsidR="0025350E" w:rsidP="0025350E" w14:paraId="15364CEB" w14:textId="3C32DC1F">
      <w:pPr>
        <w:pStyle w:val="FootnoteText"/>
      </w:pPr>
      <w:r>
        <w:rPr>
          <w:rStyle w:val="FootnoteReference"/>
        </w:rPr>
        <w:footnoteRef/>
      </w:r>
      <w:r>
        <w:t xml:space="preserve"> </w:t>
      </w:r>
      <w:r w:rsidRPr="004410D3">
        <w:t xml:space="preserve">The United States is a Member State of the ITU. </w:t>
      </w:r>
      <w:r>
        <w:t xml:space="preserve"> </w:t>
      </w:r>
      <w:r w:rsidRPr="00592DE3">
        <w:t xml:space="preserve">47 CFR § </w:t>
      </w:r>
      <w:r>
        <w:t xml:space="preserve">2.100.  </w:t>
      </w:r>
      <w:r w:rsidRPr="004410D3">
        <w:t>The legal framework of the ITU is comprised of the</w:t>
      </w:r>
      <w:r>
        <w:t xml:space="preserve"> ITU</w:t>
      </w:r>
      <w:r w:rsidRPr="004410D3">
        <w:t xml:space="preserve"> Constitution and Convention—which have treaty status and are binding on ITU Member States—and the Administrative Regulations—which complement the Constitution and the Convention.</w:t>
      </w:r>
      <w:r>
        <w:t xml:space="preserve">  </w:t>
      </w:r>
      <w:r w:rsidRPr="00EC4EFB">
        <w:rPr>
          <w:i/>
          <w:iCs/>
        </w:rPr>
        <w:t>Id.</w:t>
      </w:r>
    </w:p>
  </w:footnote>
  <w:footnote w:id="46">
    <w:p w:rsidR="0025350E" w:rsidP="0025350E" w14:paraId="5F31A32B" w14:textId="77777777">
      <w:pPr>
        <w:pStyle w:val="FootnoteText"/>
      </w:pPr>
      <w:r>
        <w:rPr>
          <w:rStyle w:val="FootnoteReference"/>
        </w:rPr>
        <w:footnoteRef/>
      </w:r>
      <w:r>
        <w:t xml:space="preserve"> </w:t>
      </w:r>
      <w:r w:rsidRPr="00EC4EFB">
        <w:rPr>
          <w:i/>
          <w:iCs/>
        </w:rPr>
        <w:t>See</w:t>
      </w:r>
      <w:r>
        <w:t xml:space="preserve"> </w:t>
      </w:r>
      <w:r w:rsidRPr="00E402D7">
        <w:rPr>
          <w:i/>
          <w:iCs/>
        </w:rPr>
        <w:t>id.</w:t>
      </w:r>
      <w:r>
        <w:t xml:space="preserve"> §§ 2.1, Note to definition of “space operation service” stating that “[TT&amp;C] functions will normally be provided within the service in which the space station is operating.”</w:t>
      </w:r>
    </w:p>
  </w:footnote>
  <w:footnote w:id="47">
    <w:p w:rsidR="0025350E" w:rsidP="0025350E" w14:paraId="0E4D939F" w14:textId="77777777">
      <w:pPr>
        <w:pStyle w:val="FootnoteText"/>
      </w:pPr>
      <w:r>
        <w:rPr>
          <w:rStyle w:val="FootnoteReference"/>
        </w:rPr>
        <w:footnoteRef/>
      </w:r>
      <w:r>
        <w:t xml:space="preserve"> “S-band” generally refers to radio frequencies from 2-4 GHz. </w:t>
      </w:r>
    </w:p>
  </w:footnote>
  <w:footnote w:id="48">
    <w:p w:rsidR="0025350E" w:rsidP="0025350E" w14:paraId="5124FCEC" w14:textId="77777777">
      <w:pPr>
        <w:pStyle w:val="FootnoteText"/>
      </w:pPr>
      <w:r>
        <w:rPr>
          <w:rStyle w:val="FootnoteReference"/>
        </w:rPr>
        <w:footnoteRef/>
      </w:r>
      <w:r>
        <w:t xml:space="preserve"> “X-band” generally refers to radio frequencies from 8-12 GHz.  </w:t>
      </w:r>
    </w:p>
  </w:footnote>
  <w:footnote w:id="49">
    <w:p w:rsidR="0025350E" w:rsidP="0025350E" w14:paraId="1307D27D" w14:textId="77777777">
      <w:pPr>
        <w:pStyle w:val="FootnoteText"/>
      </w:pPr>
      <w:r>
        <w:rPr>
          <w:rStyle w:val="FootnoteReference"/>
        </w:rPr>
        <w:footnoteRef/>
      </w:r>
      <w:r>
        <w:t xml:space="preserve"> 47 CFR § 2.106.  </w:t>
      </w:r>
      <w:r w:rsidRPr="001103A2">
        <w:t xml:space="preserve">The 2025-2110 MHz and 2200-2290 MHz bands, as well as the 2360-2395 MHz band (Earth-to-space/space-to-Earth), are allocated on a secondary basis for non-Federal SOS.  The allocations are subject to various conditions, including being limited to pre-launch testing and space launch operations.  47 CFR § 2.106(b) footnotes US94, 96.  Space launch and reentry operations are governed by part 26 of the Commission’s rules.  47 CFR pt. 26.  This </w:t>
      </w:r>
      <w:r w:rsidRPr="001103A2">
        <w:rPr>
          <w:i/>
          <w:iCs/>
        </w:rPr>
        <w:t>NPRM</w:t>
      </w:r>
      <w:r w:rsidRPr="001103A2">
        <w:t xml:space="preserve"> does not seek comment on matters involving spectrum for space operations governed by part 26.</w:t>
      </w:r>
    </w:p>
  </w:footnote>
  <w:footnote w:id="50">
    <w:p w:rsidR="0025350E" w:rsidRPr="00C37245" w:rsidP="0025350E" w14:paraId="2E22B657" w14:textId="77777777">
      <w:pPr>
        <w:pStyle w:val="FootnoteText"/>
      </w:pPr>
      <w:r>
        <w:rPr>
          <w:rStyle w:val="FootnoteReference"/>
        </w:rPr>
        <w:footnoteRef/>
      </w:r>
      <w:r>
        <w:t xml:space="preserve"> </w:t>
      </w:r>
      <w:r>
        <w:rPr>
          <w:i/>
          <w:iCs/>
        </w:rPr>
        <w:t xml:space="preserve">See Space Innovation; Facilitating Capabilities for In-Space Servicing, Assembly, and Manufacturing, </w:t>
      </w:r>
      <w:r w:rsidRPr="008B6A4D">
        <w:t>Notice of Inquiry</w:t>
      </w:r>
      <w:r>
        <w:t xml:space="preserve">, 37 FCC </w:t>
      </w:r>
      <w:r>
        <w:t>Rcd</w:t>
      </w:r>
      <w:r>
        <w:t xml:space="preserve"> 10022 (2022) (</w:t>
      </w:r>
      <w:r>
        <w:rPr>
          <w:i/>
          <w:iCs/>
        </w:rPr>
        <w:t>ISAM NOI</w:t>
      </w:r>
      <w:r>
        <w:t>).</w:t>
      </w:r>
    </w:p>
  </w:footnote>
  <w:footnote w:id="51">
    <w:p w:rsidR="0025350E" w:rsidP="0025350E" w14:paraId="04B9F28A" w14:textId="77777777">
      <w:pPr>
        <w:pStyle w:val="FootnoteText"/>
      </w:pPr>
      <w:r>
        <w:rPr>
          <w:rStyle w:val="FootnoteReference"/>
        </w:rPr>
        <w:footnoteRef/>
      </w:r>
      <w:r>
        <w:t xml:space="preserve"> </w:t>
      </w:r>
      <w:r w:rsidRPr="00901AE4">
        <w:rPr>
          <w:i/>
          <w:iCs/>
        </w:rPr>
        <w:t>Space Innovation; Facilitating Capabilities for In-Space Servicing, Assembly, and Manufacturing</w:t>
      </w:r>
      <w:r w:rsidRPr="00901AE4">
        <w:t xml:space="preserve">, Notice of Proposed Rulemaking, 39 FCC </w:t>
      </w:r>
      <w:r w:rsidRPr="00901AE4">
        <w:t>Rcd</w:t>
      </w:r>
      <w:r w:rsidRPr="00901AE4">
        <w:t xml:space="preserve"> 1864 (2024) (</w:t>
      </w:r>
      <w:r w:rsidRPr="00901AE4">
        <w:rPr>
          <w:i/>
          <w:iCs/>
        </w:rPr>
        <w:t>ISAM NPRM</w:t>
      </w:r>
      <w:r w:rsidRPr="00901AE4">
        <w:t>)</w:t>
      </w:r>
      <w:r>
        <w:t>.</w:t>
      </w:r>
    </w:p>
  </w:footnote>
  <w:footnote w:id="52">
    <w:p w:rsidR="0025350E" w:rsidP="0025350E" w14:paraId="6C9A3DD2" w14:textId="77777777">
      <w:pPr>
        <w:pStyle w:val="FootnoteText"/>
      </w:pPr>
      <w:r>
        <w:rPr>
          <w:rStyle w:val="FootnoteReference"/>
        </w:rPr>
        <w:footnoteRef/>
      </w:r>
      <w:r>
        <w:t xml:space="preserve"> </w:t>
      </w:r>
      <w:r w:rsidRPr="00EC4EFB">
        <w:rPr>
          <w:i/>
          <w:iCs/>
        </w:rPr>
        <w:t>ISAM NPRM</w:t>
      </w:r>
      <w:r>
        <w:t xml:space="preserve">, 39 FCC </w:t>
      </w:r>
      <w:r>
        <w:t>Rcd</w:t>
      </w:r>
      <w:r>
        <w:t xml:space="preserve"> at 1864, para. 1.</w:t>
      </w:r>
    </w:p>
  </w:footnote>
  <w:footnote w:id="53">
    <w:p w:rsidR="0025350E" w:rsidP="0025350E" w14:paraId="74428923" w14:textId="77777777">
      <w:pPr>
        <w:pStyle w:val="FootnoteText"/>
      </w:pPr>
      <w:r>
        <w:rPr>
          <w:rStyle w:val="FootnoteReference"/>
        </w:rPr>
        <w:footnoteRef/>
      </w:r>
      <w:r>
        <w:t xml:space="preserve"> </w:t>
      </w:r>
      <w:r>
        <w:rPr>
          <w:i/>
          <w:iCs/>
        </w:rPr>
        <w:t>Id.</w:t>
      </w:r>
      <w:r>
        <w:t xml:space="preserve"> at 1879, para. 32.</w:t>
      </w:r>
    </w:p>
  </w:footnote>
  <w:footnote w:id="54">
    <w:p w:rsidR="0025350E" w:rsidP="0025350E" w14:paraId="3793FAA0" w14:textId="57862C62">
      <w:pPr>
        <w:pStyle w:val="FootnoteText"/>
      </w:pPr>
      <w:r>
        <w:rPr>
          <w:rStyle w:val="FootnoteReference"/>
        </w:rPr>
        <w:footnoteRef/>
      </w:r>
      <w:r>
        <w:t xml:space="preserve"> </w:t>
      </w:r>
      <w:r w:rsidR="002B12E2">
        <w:rPr>
          <w:i/>
          <w:iCs/>
        </w:rPr>
        <w:t>S</w:t>
      </w:r>
      <w:r>
        <w:rPr>
          <w:i/>
          <w:iCs/>
        </w:rPr>
        <w:t xml:space="preserve">ee </w:t>
      </w:r>
      <w:r>
        <w:rPr>
          <w:i/>
          <w:iCs/>
        </w:rPr>
        <w:t>e.g</w:t>
      </w:r>
      <w:r w:rsidR="002B12E2">
        <w:t>,</w:t>
      </w:r>
      <w:r>
        <w:rPr>
          <w:i/>
          <w:iCs/>
        </w:rPr>
        <w:t>.</w:t>
      </w:r>
      <w:r>
        <w:rPr>
          <w:i/>
        </w:rPr>
        <w:t xml:space="preserve"> </w:t>
      </w:r>
      <w:r w:rsidRPr="00B61A27">
        <w:t xml:space="preserve">Comments </w:t>
      </w:r>
      <w:r>
        <w:t xml:space="preserve">of Turion Space Corp., IB Docket Nos. 22-271, 22-272 </w:t>
      </w:r>
      <w:r w:rsidRPr="00B61A27">
        <w:t>at 7</w:t>
      </w:r>
      <w:r>
        <w:t xml:space="preserve"> (Apr. 29, 2024) (Turion Comments)</w:t>
      </w:r>
      <w:r w:rsidRPr="00B61A27">
        <w:t xml:space="preserve">; Comments </w:t>
      </w:r>
      <w:r>
        <w:t xml:space="preserve">of Atomos Nuclear and Space Corporation, IB Docket Nos. 22-271, 22-272 </w:t>
      </w:r>
      <w:r w:rsidRPr="00B61A27">
        <w:t>at 4</w:t>
      </w:r>
      <w:r>
        <w:t xml:space="preserve"> (Apr. 29, 2024) (Atomos Comments)</w:t>
      </w:r>
      <w:r w:rsidRPr="00B61A27">
        <w:t xml:space="preserve">; </w:t>
      </w:r>
      <w:r>
        <w:t xml:space="preserve">Comments of Space Exploration Holdings LLC, IB Docket Nos. 22-271, 22-272 </w:t>
      </w:r>
      <w:r w:rsidRPr="00B61A27">
        <w:t>at 8</w:t>
      </w:r>
      <w:r>
        <w:t xml:space="preserve"> (Apr. 29, 2024) (</w:t>
      </w:r>
      <w:r w:rsidRPr="00B61A27">
        <w:t>SpaceX Comments</w:t>
      </w:r>
      <w:r>
        <w:t>)</w:t>
      </w:r>
      <w:r w:rsidRPr="00B61A27">
        <w:t xml:space="preserve">; </w:t>
      </w:r>
      <w:r>
        <w:t>Comments of</w:t>
      </w:r>
      <w:r w:rsidRPr="00B61A27">
        <w:t xml:space="preserve"> Blue Origin</w:t>
      </w:r>
      <w:r>
        <w:t xml:space="preserve">, IB Docket Nos. 22-271, 22-272 </w:t>
      </w:r>
      <w:r w:rsidRPr="00B61A27">
        <w:t xml:space="preserve"> at 7</w:t>
      </w:r>
      <w:r>
        <w:t xml:space="preserve"> (Apr. 29, 2024) (Blue Origin Comments)</w:t>
      </w:r>
      <w:r w:rsidRPr="00B61A27">
        <w:t xml:space="preserve">; </w:t>
      </w:r>
      <w:r>
        <w:t>Comments of</w:t>
      </w:r>
      <w:r w:rsidRPr="00B61A27">
        <w:t xml:space="preserve"> Starfish </w:t>
      </w:r>
      <w:r>
        <w:t>Space</w:t>
      </w:r>
      <w:r w:rsidRPr="00B61A27">
        <w:t xml:space="preserve"> </w:t>
      </w:r>
      <w:r>
        <w:t xml:space="preserve">Inc., IB Docket Nos. 22-271, 22-272 </w:t>
      </w:r>
      <w:r w:rsidRPr="00B61A27">
        <w:t>at 2-3</w:t>
      </w:r>
      <w:r>
        <w:t xml:space="preserve"> (Apr. 29, 2024) (Starfish </w:t>
      </w:r>
      <w:r w:rsidRPr="00B61A27">
        <w:t>Comments</w:t>
      </w:r>
      <w:r>
        <w:t>)</w:t>
      </w:r>
      <w:r w:rsidRPr="00B61A27">
        <w:t xml:space="preserve">; </w:t>
      </w:r>
      <w:r>
        <w:t xml:space="preserve">Comments of Varda Space Industries, Inc., IB Docket Nos. 22-271, 22-272, </w:t>
      </w:r>
      <w:r w:rsidRPr="00B61A27">
        <w:t>at 2-3</w:t>
      </w:r>
      <w:r>
        <w:t xml:space="preserve"> (Apr. 29, 2024) (Varda Comments)</w:t>
      </w:r>
      <w:r w:rsidRPr="00B61A27">
        <w:t xml:space="preserve">; </w:t>
      </w:r>
      <w:r>
        <w:t>Reply Comments of</w:t>
      </w:r>
      <w:r w:rsidRPr="00B61A27">
        <w:t xml:space="preserve"> </w:t>
      </w:r>
      <w:r w:rsidRPr="00B61A27">
        <w:t>ClearSpace</w:t>
      </w:r>
      <w:r w:rsidRPr="00B61A27">
        <w:t xml:space="preserve"> </w:t>
      </w:r>
      <w:r>
        <w:t xml:space="preserve">Today </w:t>
      </w:r>
      <w:r>
        <w:t>Inc.IB</w:t>
      </w:r>
      <w:r>
        <w:t xml:space="preserve"> Docket Nos. 22-271, 22-272 </w:t>
      </w:r>
      <w:r w:rsidRPr="00B61A27">
        <w:t>at 4</w:t>
      </w:r>
      <w:r>
        <w:t xml:space="preserve"> (May 30, 2024) (</w:t>
      </w:r>
      <w:r>
        <w:t>ClearSpace</w:t>
      </w:r>
      <w:r>
        <w:t xml:space="preserve"> Reply)</w:t>
      </w:r>
      <w:r w:rsidRPr="00B61A27">
        <w:t xml:space="preserve">; </w:t>
      </w:r>
      <w:r>
        <w:t xml:space="preserve">Reply Comments of </w:t>
      </w:r>
      <w:r w:rsidRPr="00B61A27">
        <w:t xml:space="preserve">Intelsat </w:t>
      </w:r>
      <w:r>
        <w:t xml:space="preserve">License LLC, IB Docket Nos. 22-271, 22-272 </w:t>
      </w:r>
      <w:r w:rsidRPr="00B61A27">
        <w:t>at 7</w:t>
      </w:r>
      <w:r>
        <w:t xml:space="preserve"> (May 30, 2024) (Intelsat Reply)</w:t>
      </w:r>
      <w:r w:rsidRPr="00B61A27">
        <w:t>.</w:t>
      </w:r>
    </w:p>
  </w:footnote>
  <w:footnote w:id="55">
    <w:p w:rsidR="0025350E" w:rsidP="0025350E" w14:paraId="4302B028" w14:textId="77777777">
      <w:pPr>
        <w:pStyle w:val="FootnoteText"/>
      </w:pPr>
      <w:r>
        <w:rPr>
          <w:rStyle w:val="FootnoteReference"/>
        </w:rPr>
        <w:footnoteRef/>
      </w:r>
      <w:r>
        <w:t xml:space="preserve"> </w:t>
      </w:r>
      <w:r w:rsidRPr="00B61A27">
        <w:rPr>
          <w:i/>
          <w:iCs/>
        </w:rPr>
        <w:t>See, e.g.</w:t>
      </w:r>
      <w:r w:rsidRPr="00B61A27">
        <w:t xml:space="preserve">, Blue Origin Comments at 7; Starfish Comments at 2-3; </w:t>
      </w:r>
      <w:r>
        <w:t xml:space="preserve">Comments of </w:t>
      </w:r>
      <w:r w:rsidRPr="00B61A27">
        <w:t xml:space="preserve">Astroscale </w:t>
      </w:r>
      <w:r>
        <w:t xml:space="preserve">U.S., IB Docket Nos. 22-271, 22-272 </w:t>
      </w:r>
      <w:r w:rsidRPr="00B61A27">
        <w:t>at 29</w:t>
      </w:r>
      <w:r>
        <w:t xml:space="preserve"> (Apr. 29, 2024) (Astroscale Comments)</w:t>
      </w:r>
      <w:r w:rsidRPr="00B61A27">
        <w:t xml:space="preserve">; Comments </w:t>
      </w:r>
      <w:r>
        <w:t xml:space="preserve">of </w:t>
      </w:r>
      <w:r w:rsidRPr="00B61A27">
        <w:t>CONFERS</w:t>
      </w:r>
      <w:r>
        <w:t xml:space="preserve">, IB Docket Nos. 22-271, 22-272 </w:t>
      </w:r>
      <w:r w:rsidRPr="00B61A27">
        <w:t xml:space="preserve"> at 13</w:t>
      </w:r>
      <w:r>
        <w:t xml:space="preserve"> (Apr. 29, 2024) (CONFERS Comments)</w:t>
      </w:r>
      <w:r w:rsidRPr="00B61A27">
        <w:t xml:space="preserve">; Varda Comments at 5-6; </w:t>
      </w:r>
      <w:r>
        <w:t xml:space="preserve">Reply Comments of </w:t>
      </w:r>
      <w:r w:rsidRPr="00B61A27">
        <w:t xml:space="preserve">Astroscale </w:t>
      </w:r>
      <w:r>
        <w:t xml:space="preserve">U.S., IB Docket Nos. 22-271, 22-272 </w:t>
      </w:r>
      <w:r w:rsidRPr="00B61A27">
        <w:t xml:space="preserve">at 3; </w:t>
      </w:r>
      <w:r w:rsidRPr="00B61A27">
        <w:t>ClearSpace</w:t>
      </w:r>
      <w:r w:rsidRPr="00B61A27">
        <w:t xml:space="preserve"> Reply at 4. </w:t>
      </w:r>
    </w:p>
  </w:footnote>
  <w:footnote w:id="56">
    <w:p w:rsidR="0025350E" w:rsidP="0025350E" w14:paraId="592CB4D0" w14:textId="4D244DC1">
      <w:pPr>
        <w:pStyle w:val="FootnoteText"/>
      </w:pPr>
      <w:r>
        <w:rPr>
          <w:rStyle w:val="FootnoteReference"/>
        </w:rPr>
        <w:footnoteRef/>
      </w:r>
      <w:r>
        <w:t xml:space="preserve"> </w:t>
      </w:r>
      <w:r>
        <w:rPr>
          <w:i/>
          <w:iCs/>
        </w:rPr>
        <w:t>See e.g.</w:t>
      </w:r>
      <w:r w:rsidR="002B12E2">
        <w:t>,</w:t>
      </w:r>
      <w:r>
        <w:t xml:space="preserve"> </w:t>
      </w:r>
      <w:r w:rsidRPr="001352EA">
        <w:t>Comments of Spaceflight Inc., ET Docket No. 13-115 at 5-6 (Aug. 11, 2021)</w:t>
      </w:r>
      <w:r>
        <w:t xml:space="preserve">; Comments of Orbit Fab, Inc., IB Docket Nos. 22-271, 22-272 at 20-21 (Nov. 1, 2022); Astroscale Comments at 35, 38-39; Comments of the Aerospace Corporation, IB Docket NO. 22-71, 22-272 at 17-18 (Oct. 21, 2022); Comments of Lockheed Martin </w:t>
      </w:r>
      <w:r>
        <w:t>Copporation</w:t>
      </w:r>
      <w:r>
        <w:t>, IB Docket Nos. 22-271, 22-272 at 5 (N</w:t>
      </w:r>
      <w:r w:rsidR="002B12E2">
        <w:t>ov</w:t>
      </w:r>
      <w:r>
        <w:t xml:space="preserve">. 31, 2022); </w:t>
      </w:r>
      <w:r>
        <w:rPr>
          <w:i/>
          <w:iCs/>
        </w:rPr>
        <w:t xml:space="preserve">Ex </w:t>
      </w:r>
      <w:r>
        <w:rPr>
          <w:i/>
          <w:iCs/>
        </w:rPr>
        <w:t>Parte</w:t>
      </w:r>
      <w:r>
        <w:rPr>
          <w:i/>
          <w:iCs/>
        </w:rPr>
        <w:t xml:space="preserve"> Presentation of Aegis Space Law and </w:t>
      </w:r>
      <w:r>
        <w:rPr>
          <w:i/>
          <w:iCs/>
        </w:rPr>
        <w:t>Availiant</w:t>
      </w:r>
      <w:r>
        <w:rPr>
          <w:i/>
          <w:iCs/>
        </w:rPr>
        <w:t xml:space="preserve"> LLC</w:t>
      </w:r>
      <w:r w:rsidRPr="002B12E2">
        <w:t>, IB Docket Nos. 22-271, 22-272</w:t>
      </w:r>
      <w:r>
        <w:rPr>
          <w:i/>
          <w:iCs/>
        </w:rPr>
        <w:t xml:space="preserve"> </w:t>
      </w:r>
      <w:r>
        <w:t xml:space="preserve">at 4 (Nov. 1, 2024) (Aegis Ex </w:t>
      </w:r>
      <w:r>
        <w:t>Parte</w:t>
      </w:r>
      <w:r>
        <w:t>)</w:t>
      </w:r>
      <w:r w:rsidRPr="001352EA">
        <w:t>.</w:t>
      </w:r>
    </w:p>
  </w:footnote>
  <w:footnote w:id="57">
    <w:p w:rsidR="0025350E" w:rsidP="0025350E" w14:paraId="232177F1" w14:textId="77777777">
      <w:pPr>
        <w:pStyle w:val="FootnoteText"/>
      </w:pPr>
      <w:r>
        <w:rPr>
          <w:rStyle w:val="FootnoteReference"/>
        </w:rPr>
        <w:footnoteRef/>
      </w:r>
      <w:r>
        <w:t xml:space="preserve"> These potential changes included the creation of a new section in part 25 specific to requirements for ISAM space stations.  </w:t>
      </w:r>
      <w:r w:rsidRPr="00753436">
        <w:rPr>
          <w:i/>
          <w:iCs/>
        </w:rPr>
        <w:t>ISAM NPRM</w:t>
      </w:r>
      <w:r>
        <w:t xml:space="preserve">, 39 FCC </w:t>
      </w:r>
      <w:r>
        <w:t>Rcd</w:t>
      </w:r>
      <w:r>
        <w:t xml:space="preserve"> at 1872, para. 15.  They also included exemptions for ISAM space stations from NGSO processing round requirements, </w:t>
      </w:r>
      <w:r w:rsidRPr="00753436">
        <w:rPr>
          <w:i/>
          <w:iCs/>
        </w:rPr>
        <w:t>id.</w:t>
      </w:r>
      <w:r>
        <w:t xml:space="preserve"> at 1872, para. 17, and deferral of the posting of surety bonds for  ISAM operators, </w:t>
      </w:r>
      <w:r w:rsidRPr="00753436">
        <w:rPr>
          <w:i/>
          <w:iCs/>
        </w:rPr>
        <w:t>id.</w:t>
      </w:r>
      <w:r>
        <w:t xml:space="preserve"> at 1873, para. 18.</w:t>
      </w:r>
    </w:p>
  </w:footnote>
  <w:footnote w:id="58">
    <w:p w:rsidR="0025350E" w:rsidP="0025350E" w14:paraId="56030D00" w14:textId="705B0149">
      <w:pPr>
        <w:pStyle w:val="FootnoteText"/>
      </w:pPr>
      <w:r>
        <w:rPr>
          <w:rStyle w:val="FootnoteReference"/>
        </w:rPr>
        <w:footnoteRef/>
      </w:r>
      <w:r>
        <w:t xml:space="preserve">  We note that potential changes to our rules governing the licensing and regulation of space stations are addressed in other proceedings.  </w:t>
      </w:r>
      <w:r>
        <w:rPr>
          <w:i/>
          <w:iCs/>
        </w:rPr>
        <w:t>See Space</w:t>
      </w:r>
      <w:r w:rsidRPr="0068646C">
        <w:rPr>
          <w:i/>
        </w:rPr>
        <w:t xml:space="preserve"> Modernization NPRM</w:t>
      </w:r>
      <w:r w:rsidRPr="001103A2">
        <w:rPr>
          <w:i/>
          <w:iCs/>
        </w:rPr>
        <w:t xml:space="preserve">, supra </w:t>
      </w:r>
      <w:r w:rsidRPr="001103A2">
        <w:t xml:space="preserve">note </w:t>
      </w:r>
      <w:r w:rsidRPr="00964089">
        <w:t>8.</w:t>
      </w:r>
    </w:p>
  </w:footnote>
  <w:footnote w:id="59">
    <w:p w:rsidR="0025350E" w:rsidRPr="00B61A27" w:rsidP="0025350E" w14:paraId="4E169888" w14:textId="77777777">
      <w:pPr>
        <w:pStyle w:val="FootnoteText"/>
      </w:pPr>
      <w:r w:rsidRPr="0025350E">
        <w:rPr>
          <w:rStyle w:val="FootnoteReference"/>
        </w:rPr>
        <w:footnoteRef/>
      </w:r>
      <w:r w:rsidRPr="00B61A27">
        <w:t xml:space="preserve"> </w:t>
      </w:r>
      <w:r w:rsidRPr="00BE79B3">
        <w:rPr>
          <w:i/>
          <w:iCs/>
        </w:rPr>
        <w:t>ISAM NPRM</w:t>
      </w:r>
      <w:r>
        <w:t>,</w:t>
      </w:r>
      <w:r w:rsidRPr="00B61A27">
        <w:rPr>
          <w:i/>
          <w:iCs/>
        </w:rPr>
        <w:t xml:space="preserve"> </w:t>
      </w:r>
      <w:r w:rsidRPr="00753436">
        <w:t xml:space="preserve">39 FCC </w:t>
      </w:r>
      <w:r w:rsidRPr="00753436">
        <w:t>Rcd</w:t>
      </w:r>
      <w:r>
        <w:rPr>
          <w:i/>
          <w:iCs/>
        </w:rPr>
        <w:t xml:space="preserve"> </w:t>
      </w:r>
      <w:r>
        <w:t xml:space="preserve">1833, at </w:t>
      </w:r>
      <w:r w:rsidRPr="00B61A27">
        <w:t xml:space="preserve">para. 37. </w:t>
      </w:r>
      <w:r>
        <w:t xml:space="preserve"> As an example of spectrum “piggybacking,” the Commission previously authorized the MEV-1 spacecraft to communicate in radiofrequency bands that were authorized for use by its client spacecraft, Intelsat 901, to support its rendezvous and proximity operations and mission extension activities.  </w:t>
      </w:r>
      <w:r>
        <w:rPr>
          <w:i/>
          <w:iCs/>
        </w:rPr>
        <w:t xml:space="preserve">Id. </w:t>
      </w:r>
      <w:r w:rsidRPr="00B61A27">
        <w:t>at para. 37, n.150.</w:t>
      </w:r>
      <w:r>
        <w:t xml:space="preserve">  </w:t>
      </w:r>
    </w:p>
  </w:footnote>
  <w:footnote w:id="60">
    <w:p w:rsidR="0025350E" w:rsidRPr="00B61A27" w:rsidP="0025350E" w14:paraId="53E689F3" w14:textId="77777777">
      <w:pPr>
        <w:pStyle w:val="FootnoteText"/>
      </w:pPr>
      <w:r w:rsidRPr="0025350E">
        <w:rPr>
          <w:rStyle w:val="FootnoteReference"/>
        </w:rPr>
        <w:footnoteRef/>
      </w:r>
      <w:r w:rsidRPr="00B61A27">
        <w:t xml:space="preserve"> </w:t>
      </w:r>
      <w:r>
        <w:rPr>
          <w:i/>
          <w:iCs/>
        </w:rPr>
        <w:t xml:space="preserve">Id. </w:t>
      </w:r>
      <w:r w:rsidRPr="00B61A27">
        <w:t xml:space="preserve">at </w:t>
      </w:r>
      <w:r>
        <w:t xml:space="preserve">1833, </w:t>
      </w:r>
      <w:r w:rsidRPr="00B61A27">
        <w:t>para. 37.</w:t>
      </w:r>
    </w:p>
  </w:footnote>
  <w:footnote w:id="61">
    <w:p w:rsidR="0025350E" w:rsidRPr="00B61A27" w:rsidP="0025350E" w14:paraId="4E47025F" w14:textId="77777777">
      <w:pPr>
        <w:pStyle w:val="FootnoteText"/>
      </w:pPr>
      <w:r w:rsidRPr="0025350E">
        <w:rPr>
          <w:rStyle w:val="FootnoteReference"/>
        </w:rPr>
        <w:footnoteRef/>
      </w:r>
      <w:r w:rsidRPr="00B61A27">
        <w:t xml:space="preserve"> </w:t>
      </w:r>
      <w:r w:rsidRPr="00B61A27">
        <w:rPr>
          <w:i/>
          <w:iCs/>
        </w:rPr>
        <w:t>See</w:t>
      </w:r>
      <w:r w:rsidRPr="00B61A27">
        <w:t xml:space="preserve"> </w:t>
      </w:r>
      <w:r>
        <w:rPr>
          <w:i/>
          <w:iCs/>
        </w:rPr>
        <w:t>e.g.</w:t>
      </w:r>
      <w:r w:rsidRPr="002B12E2">
        <w:t>,</w:t>
      </w:r>
      <w:r>
        <w:rPr>
          <w:i/>
          <w:iCs/>
        </w:rPr>
        <w:t xml:space="preserve"> </w:t>
      </w:r>
      <w:r>
        <w:t xml:space="preserve">Turion Comments </w:t>
      </w:r>
      <w:r w:rsidRPr="00B61A27">
        <w:t xml:space="preserve">at 7; </w:t>
      </w:r>
      <w:r>
        <w:t xml:space="preserve">Comments of TechFreedom, IB Docket Nos. 22-271, 22-272, </w:t>
      </w:r>
      <w:r w:rsidRPr="00B61A27">
        <w:t>at 31</w:t>
      </w:r>
      <w:r>
        <w:t xml:space="preserve"> (Apr. 29, 2024) (</w:t>
      </w:r>
      <w:r w:rsidRPr="00B61A27">
        <w:t>TechFreedom Comments</w:t>
      </w:r>
      <w:r>
        <w:t>)</w:t>
      </w:r>
      <w:r w:rsidRPr="00B61A27">
        <w:t xml:space="preserve">; </w:t>
      </w:r>
      <w:r>
        <w:t xml:space="preserve">Comments of the Commercial Spaceflight Federation, IB Docket Nos. 22-271, 22-272, </w:t>
      </w:r>
      <w:r w:rsidRPr="00B61A27">
        <w:t>at 5</w:t>
      </w:r>
      <w:r>
        <w:t xml:space="preserve"> (Apr. 29, 2024) (</w:t>
      </w:r>
      <w:r w:rsidRPr="00B61A27">
        <w:t>CSF Comments</w:t>
      </w:r>
      <w:r>
        <w:t>)</w:t>
      </w:r>
      <w:r w:rsidRPr="00B61A27">
        <w:t xml:space="preserve">; </w:t>
      </w:r>
      <w:r>
        <w:t xml:space="preserve">Astroscale Comments </w:t>
      </w:r>
      <w:r w:rsidRPr="00B61A27">
        <w:t xml:space="preserve">at 29. </w:t>
      </w:r>
    </w:p>
  </w:footnote>
  <w:footnote w:id="62">
    <w:p w:rsidR="0025350E" w:rsidRPr="00B61A27" w:rsidP="0025350E" w14:paraId="1532E136" w14:textId="77777777">
      <w:pPr>
        <w:pStyle w:val="FootnoteText"/>
      </w:pPr>
      <w:r w:rsidRPr="0025350E">
        <w:rPr>
          <w:rStyle w:val="FootnoteReference"/>
        </w:rPr>
        <w:footnoteRef/>
      </w:r>
      <w:r w:rsidRPr="00B61A27">
        <w:t xml:space="preserve"> </w:t>
      </w:r>
      <w:r>
        <w:t xml:space="preserve">CSF requests that the Commission consider piggybacking in instances other than the example mentioned in the </w:t>
      </w:r>
      <w:r>
        <w:rPr>
          <w:i/>
          <w:iCs/>
        </w:rPr>
        <w:t>ISAM NPRM</w:t>
      </w:r>
      <w:r>
        <w:t xml:space="preserve">.  CSF Comments at 5.  The MEV-1 example in the </w:t>
      </w:r>
      <w:r>
        <w:rPr>
          <w:i/>
          <w:iCs/>
        </w:rPr>
        <w:t xml:space="preserve">ISAM </w:t>
      </w:r>
      <w:r w:rsidRPr="00753436">
        <w:rPr>
          <w:i/>
        </w:rPr>
        <w:t>NPRM</w:t>
      </w:r>
      <w:r>
        <w:t xml:space="preserve"> </w:t>
      </w:r>
      <w:r w:rsidRPr="000778F5">
        <w:t>was</w:t>
      </w:r>
      <w:r>
        <w:t xml:space="preserve"> illustrative, and we provided it to demonstrate that similar operations with a client spacecraft could likely utilize the piggybacking option.</w:t>
      </w:r>
    </w:p>
  </w:footnote>
  <w:footnote w:id="63">
    <w:p w:rsidR="0025350E" w:rsidP="0025350E" w14:paraId="5BF6A144" w14:textId="77777777">
      <w:pPr>
        <w:pStyle w:val="FootnoteText"/>
      </w:pPr>
      <w:r w:rsidRPr="0025350E">
        <w:rPr>
          <w:rStyle w:val="FootnoteReference"/>
        </w:rPr>
        <w:footnoteRef/>
      </w:r>
      <w:r>
        <w:t xml:space="preserve"> </w:t>
      </w:r>
      <w:r>
        <w:rPr>
          <w:i/>
          <w:iCs/>
        </w:rPr>
        <w:t xml:space="preserve">See </w:t>
      </w:r>
      <w:r>
        <w:t xml:space="preserve">TechFreedom Comments at 31.  Given the pending rulemaking proceeding which proposes to significantly modernize and modify the structure of the Commission's space station licensing rules currently contained in part 25, we are not able at this time to propose a specific location for a codification of radiofrequency piggybacking.  </w:t>
      </w:r>
    </w:p>
  </w:footnote>
  <w:footnote w:id="64">
    <w:p w:rsidR="0025350E" w:rsidP="0025350E" w14:paraId="1F95A6F0" w14:textId="77777777">
      <w:pPr>
        <w:pStyle w:val="FootnoteText"/>
      </w:pPr>
      <w:r>
        <w:rPr>
          <w:rStyle w:val="FootnoteReference"/>
        </w:rPr>
        <w:footnoteRef/>
      </w:r>
      <w:r>
        <w:t xml:space="preserve"> For example, piggybacking may not be a suitable option in the case of an operator seeking to remove debris that has no actively licensed spectrum to piggyback on. </w:t>
      </w:r>
      <w:r w:rsidRPr="008A5AFB">
        <w:rPr>
          <w:i/>
          <w:iCs/>
        </w:rPr>
        <w:t xml:space="preserve"> ISAM NPRM</w:t>
      </w:r>
      <w:r>
        <w:t xml:space="preserve">, 39 FCC </w:t>
      </w:r>
      <w:r>
        <w:t>Rcd</w:t>
      </w:r>
      <w:r w:rsidRPr="00B61A27">
        <w:t xml:space="preserve"> </w:t>
      </w:r>
      <w:r>
        <w:t xml:space="preserve">at 1833, </w:t>
      </w:r>
      <w:r w:rsidRPr="00B61A27">
        <w:t>para. 37.</w:t>
      </w:r>
    </w:p>
  </w:footnote>
  <w:footnote w:id="65">
    <w:p w:rsidR="0025350E" w:rsidP="0025350E" w14:paraId="4B321AFB" w14:textId="77777777">
      <w:pPr>
        <w:pStyle w:val="FootnoteText"/>
      </w:pPr>
      <w:r>
        <w:rPr>
          <w:rStyle w:val="FootnoteReference"/>
        </w:rPr>
        <w:footnoteRef/>
      </w:r>
      <w:r>
        <w:t xml:space="preserve"> Turion Comments at </w:t>
      </w:r>
      <w:r w:rsidRPr="00B61A27">
        <w:t xml:space="preserve">8; </w:t>
      </w:r>
      <w:r w:rsidRPr="00B61A27">
        <w:rPr>
          <w:i/>
          <w:iCs/>
        </w:rPr>
        <w:t>see also</w:t>
      </w:r>
      <w:r w:rsidRPr="00B61A27">
        <w:t xml:space="preserve"> Astroscale Comments at 29.</w:t>
      </w:r>
    </w:p>
  </w:footnote>
  <w:footnote w:id="66">
    <w:p w:rsidR="0025350E" w:rsidP="0025350E" w14:paraId="5C41E832" w14:textId="69A36BC0">
      <w:pPr>
        <w:pStyle w:val="FootnoteText"/>
      </w:pPr>
      <w:r>
        <w:rPr>
          <w:rStyle w:val="FootnoteReference"/>
        </w:rPr>
        <w:footnoteRef/>
      </w:r>
      <w:r>
        <w:t xml:space="preserve"> Market access is the procedure by which U.S.-licensed earth stations are authorized to communicate with non-U.S.-licensed space stations that seek to serve the United States. </w:t>
      </w:r>
      <w:r w:rsidR="002B12E2">
        <w:t xml:space="preserve"> </w:t>
      </w:r>
      <w:r w:rsidRPr="00753436">
        <w:rPr>
          <w:i/>
          <w:iCs/>
        </w:rPr>
        <w:t xml:space="preserve">See </w:t>
      </w:r>
      <w:r>
        <w:t xml:space="preserve">47 CFR § 25.137; </w:t>
      </w:r>
      <w:r w:rsidRPr="00753436">
        <w:rPr>
          <w:i/>
          <w:iCs/>
        </w:rPr>
        <w:t>Amendment of the Commission's Regulatory Policies to Allow Non-U.S. Licensed Satellites Providing Domestic and International Service in the United States</w:t>
      </w:r>
      <w:r>
        <w:t xml:space="preserve">, Report and Order, 12 FCC </w:t>
      </w:r>
      <w:r>
        <w:t>Rcd</w:t>
      </w:r>
      <w:r>
        <w:t xml:space="preserve"> 24094 (1997) (</w:t>
      </w:r>
      <w:r w:rsidRPr="00753436">
        <w:rPr>
          <w:i/>
          <w:iCs/>
        </w:rPr>
        <w:t>DISCO II or DISCO II Order</w:t>
      </w:r>
      <w:r>
        <w:t>).</w:t>
      </w:r>
    </w:p>
  </w:footnote>
  <w:footnote w:id="67">
    <w:p w:rsidR="0025350E" w:rsidP="0025350E" w14:paraId="6775BE46" w14:textId="77777777">
      <w:pPr>
        <w:pStyle w:val="FootnoteText"/>
      </w:pPr>
      <w:r>
        <w:rPr>
          <w:rStyle w:val="FootnoteReference"/>
        </w:rPr>
        <w:footnoteRef/>
      </w:r>
      <w:r>
        <w:t xml:space="preserve"> 47 CFR § 2.1.</w:t>
      </w:r>
    </w:p>
  </w:footnote>
  <w:footnote w:id="68">
    <w:p w:rsidR="0025350E" w:rsidP="0025350E" w14:paraId="2B1163CA" w14:textId="77777777">
      <w:pPr>
        <w:pStyle w:val="FootnoteText"/>
      </w:pPr>
      <w:r>
        <w:rPr>
          <w:rStyle w:val="FootnoteReference"/>
        </w:rPr>
        <w:footnoteRef/>
      </w:r>
      <w:r>
        <w:t xml:space="preserve"> </w:t>
      </w:r>
      <w:r w:rsidRPr="00625293">
        <w:rPr>
          <w:i/>
          <w:iCs/>
        </w:rPr>
        <w:t>Id.</w:t>
      </w:r>
    </w:p>
  </w:footnote>
  <w:footnote w:id="69">
    <w:p w:rsidR="0025350E" w:rsidP="0025350E" w14:paraId="552E067C" w14:textId="77777777">
      <w:pPr>
        <w:pStyle w:val="FootnoteText"/>
      </w:pPr>
      <w:r>
        <w:rPr>
          <w:rStyle w:val="FootnoteReference"/>
        </w:rPr>
        <w:footnoteRef/>
      </w:r>
      <w:r>
        <w:t xml:space="preserve"> </w:t>
      </w:r>
      <w:r w:rsidRPr="00625293">
        <w:rPr>
          <w:i/>
          <w:iCs/>
        </w:rPr>
        <w:t>Id</w:t>
      </w:r>
      <w:r>
        <w:t>.</w:t>
      </w:r>
    </w:p>
  </w:footnote>
  <w:footnote w:id="70">
    <w:p w:rsidR="0025350E" w:rsidP="0025350E" w14:paraId="61BBB589" w14:textId="77777777">
      <w:pPr>
        <w:pStyle w:val="FootnoteText"/>
      </w:pPr>
      <w:r>
        <w:rPr>
          <w:rStyle w:val="FootnoteReference"/>
        </w:rPr>
        <w:footnoteRef/>
      </w:r>
      <w:r>
        <w:t xml:space="preserve"> </w:t>
      </w:r>
      <w:r w:rsidRPr="00753436">
        <w:rPr>
          <w:i/>
          <w:iCs/>
        </w:rPr>
        <w:t>ISAM NPRM</w:t>
      </w:r>
      <w:r>
        <w:t xml:space="preserve">, 39 FCC </w:t>
      </w:r>
      <w:r>
        <w:t>Rcd</w:t>
      </w:r>
      <w:r>
        <w:t xml:space="preserve"> at 1878-80, para. 33.</w:t>
      </w:r>
    </w:p>
  </w:footnote>
  <w:footnote w:id="71">
    <w:p w:rsidR="0025350E" w:rsidRPr="00947527" w:rsidP="0025350E" w14:paraId="79303796" w14:textId="77777777">
      <w:pPr>
        <w:pStyle w:val="FootnoteText"/>
      </w:pPr>
      <w:r>
        <w:rPr>
          <w:rStyle w:val="FootnoteReference"/>
        </w:rPr>
        <w:footnoteRef/>
      </w:r>
      <w:r>
        <w:t xml:space="preserve"> </w:t>
      </w:r>
      <w:r w:rsidRPr="00625293">
        <w:rPr>
          <w:i/>
          <w:iCs/>
        </w:rPr>
        <w:t>Id.</w:t>
      </w:r>
      <w:r>
        <w:t xml:space="preserve"> at 1880-81, para. 34.</w:t>
      </w:r>
    </w:p>
  </w:footnote>
  <w:footnote w:id="72">
    <w:p w:rsidR="0025350E" w:rsidRPr="00B61A27" w:rsidP="0025350E" w14:paraId="49D16822" w14:textId="3602EB3C">
      <w:pPr>
        <w:pStyle w:val="FootnoteText"/>
      </w:pPr>
      <w:r w:rsidRPr="0025350E">
        <w:rPr>
          <w:rStyle w:val="FootnoteReference"/>
        </w:rPr>
        <w:footnoteRef/>
      </w:r>
      <w:r w:rsidRPr="00B61A27">
        <w:t xml:space="preserve"> </w:t>
      </w:r>
      <w:r w:rsidRPr="00625293">
        <w:rPr>
          <w:i/>
          <w:iCs/>
        </w:rPr>
        <w:t>Id.</w:t>
      </w:r>
      <w:r>
        <w:t xml:space="preserve"> at 1880-81, </w:t>
      </w:r>
      <w:r w:rsidRPr="00B61A27">
        <w:t>para</w:t>
      </w:r>
      <w:r>
        <w:t>s</w:t>
      </w:r>
      <w:r w:rsidRPr="00B61A27">
        <w:t>. 34</w:t>
      </w:r>
      <w:r w:rsidR="002B12E2">
        <w:t>-</w:t>
      </w:r>
      <w:r>
        <w:t>35</w:t>
      </w:r>
      <w:r w:rsidRPr="00B61A27">
        <w:t>.</w:t>
      </w:r>
    </w:p>
  </w:footnote>
  <w:footnote w:id="73">
    <w:p w:rsidR="0025350E" w:rsidRPr="00B61A27" w:rsidP="0025350E" w14:paraId="0194B6E6" w14:textId="77777777">
      <w:pPr>
        <w:pStyle w:val="FootnoteText"/>
        <w:widowControl w:val="0"/>
      </w:pPr>
      <w:r w:rsidRPr="0025350E">
        <w:rPr>
          <w:rStyle w:val="FootnoteReference"/>
        </w:rPr>
        <w:footnoteRef/>
      </w:r>
      <w:r w:rsidRPr="00B61A27">
        <w:t xml:space="preserve"> </w:t>
      </w:r>
      <w:r w:rsidRPr="00B61A27">
        <w:rPr>
          <w:i/>
          <w:iCs/>
        </w:rPr>
        <w:t xml:space="preserve">See generally </w:t>
      </w:r>
      <w:r w:rsidRPr="00B61A27">
        <w:t>47 CFR § 2.1(c).</w:t>
      </w:r>
    </w:p>
  </w:footnote>
  <w:footnote w:id="74">
    <w:p w:rsidR="0025350E" w:rsidRPr="00B61A27" w:rsidP="0025350E" w14:paraId="4139412A" w14:textId="62255ECB">
      <w:pPr>
        <w:pStyle w:val="FootnoteText"/>
      </w:pPr>
      <w:r w:rsidRPr="0025350E">
        <w:rPr>
          <w:rStyle w:val="FootnoteReference"/>
        </w:rPr>
        <w:footnoteRef/>
      </w:r>
      <w:r w:rsidRPr="00B61A27">
        <w:t xml:space="preserve"> </w:t>
      </w:r>
      <w:r w:rsidRPr="00B61A27">
        <w:rPr>
          <w:i/>
          <w:iCs/>
        </w:rPr>
        <w:t>See, e.g.</w:t>
      </w:r>
      <w:r w:rsidRPr="00B61A27">
        <w:t xml:space="preserve">, Turion Comments at 7; </w:t>
      </w:r>
      <w:r>
        <w:t xml:space="preserve">Comments of Firefly Aerospace, IB Docket Nos. 22-271, 22-272, </w:t>
      </w:r>
      <w:r w:rsidRPr="00B61A27">
        <w:t>at 16</w:t>
      </w:r>
      <w:r>
        <w:t xml:space="preserve"> (Apr. 29, 2024) (</w:t>
      </w:r>
      <w:r w:rsidRPr="00B61A27">
        <w:t>Firefly Comments</w:t>
      </w:r>
      <w:r>
        <w:t>)</w:t>
      </w:r>
      <w:r w:rsidRPr="00B61A27">
        <w:t xml:space="preserve">; </w:t>
      </w:r>
      <w:r>
        <w:t>SpaceX</w:t>
      </w:r>
      <w:r w:rsidRPr="00B61A27">
        <w:t xml:space="preserve"> </w:t>
      </w:r>
      <w:r>
        <w:t xml:space="preserve">Comments </w:t>
      </w:r>
      <w:r w:rsidRPr="00B61A27">
        <w:t xml:space="preserve">at 8; </w:t>
      </w:r>
      <w:r>
        <w:t xml:space="preserve">CONFERS Comments </w:t>
      </w:r>
      <w:r w:rsidRPr="00B61A27">
        <w:t xml:space="preserve">at 13-14; TechFreedom Comments at 32-33; Astroscale Comments at 29; </w:t>
      </w:r>
      <w:r>
        <w:t xml:space="preserve">Starfish Comments  </w:t>
      </w:r>
      <w:r w:rsidRPr="00B61A27">
        <w:t xml:space="preserve">at 3-4; </w:t>
      </w:r>
      <w:r>
        <w:t xml:space="preserve">Intelsat Reply </w:t>
      </w:r>
      <w:r w:rsidRPr="00B61A27">
        <w:t xml:space="preserve">at 6; </w:t>
      </w:r>
      <w:r>
        <w:t>Reply Comments of CTIA, IB Docket Nos. 22-271, 22-272,</w:t>
      </w:r>
      <w:r w:rsidR="002B12E2">
        <w:t xml:space="preserve"> </w:t>
      </w:r>
      <w:r w:rsidRPr="00B61A27">
        <w:t>at 7</w:t>
      </w:r>
      <w:r>
        <w:t xml:space="preserve"> (May 29, 2024) (</w:t>
      </w:r>
      <w:r w:rsidRPr="00B61A27">
        <w:t>CTIA Reply</w:t>
      </w:r>
      <w:r>
        <w:t xml:space="preserve"> Comments)</w:t>
      </w:r>
      <w:r w:rsidRPr="00B61A27">
        <w:t xml:space="preserve">; </w:t>
      </w:r>
      <w:r>
        <w:t>Reply Comments of Space Exploration Holdings LLC, IB Docket Nos. 22-271, 22-272,</w:t>
      </w:r>
      <w:r w:rsidR="002B12E2">
        <w:t xml:space="preserve"> </w:t>
      </w:r>
      <w:r w:rsidRPr="00B61A27">
        <w:t>at 4</w:t>
      </w:r>
      <w:r>
        <w:t xml:space="preserve"> (May 29, 2024) (</w:t>
      </w:r>
      <w:r w:rsidRPr="00B61A27">
        <w:t>SpaceX Reply</w:t>
      </w:r>
      <w:r>
        <w:t xml:space="preserve"> Comments)</w:t>
      </w:r>
      <w:r w:rsidRPr="00B61A27">
        <w:t>.</w:t>
      </w:r>
    </w:p>
  </w:footnote>
  <w:footnote w:id="75">
    <w:p w:rsidR="0025350E" w:rsidP="0025350E" w14:paraId="4C85B728" w14:textId="77777777">
      <w:pPr>
        <w:pStyle w:val="FootnoteText"/>
      </w:pPr>
      <w:r w:rsidRPr="0025350E">
        <w:rPr>
          <w:rStyle w:val="FootnoteReference"/>
        </w:rPr>
        <w:footnoteRef/>
      </w:r>
      <w:r>
        <w:t xml:space="preserve"> </w:t>
      </w:r>
      <w:r>
        <w:rPr>
          <w:i/>
          <w:iCs/>
        </w:rPr>
        <w:t>See, e.g.</w:t>
      </w:r>
      <w:r>
        <w:t xml:space="preserve">, Aegis Ex </w:t>
      </w:r>
      <w:r>
        <w:t>Parte</w:t>
      </w:r>
      <w:r>
        <w:t xml:space="preserve"> at 2-4.</w:t>
      </w:r>
    </w:p>
  </w:footnote>
  <w:footnote w:id="76">
    <w:p w:rsidR="0025350E" w:rsidRPr="00B61A27" w:rsidP="0025350E" w14:paraId="40D0691A" w14:textId="09602795">
      <w:pPr>
        <w:pStyle w:val="FootnoteText"/>
      </w:pPr>
      <w:r w:rsidRPr="0025350E">
        <w:rPr>
          <w:rStyle w:val="FootnoteReference"/>
        </w:rPr>
        <w:footnoteRef/>
      </w:r>
      <w:r w:rsidRPr="00B61A27">
        <w:t xml:space="preserve"> </w:t>
      </w:r>
      <w:r w:rsidRPr="00B61A27">
        <w:rPr>
          <w:i/>
          <w:iCs/>
        </w:rPr>
        <w:t>See generally</w:t>
      </w:r>
      <w:r>
        <w:rPr>
          <w:i/>
          <w:iCs/>
        </w:rPr>
        <w:t xml:space="preserve"> </w:t>
      </w:r>
      <w:r>
        <w:t>Reply Comments of the National Academy of Science’s Committee on Radio Frequencies</w:t>
      </w:r>
      <w:r w:rsidRPr="00B61A27">
        <w:t>,</w:t>
      </w:r>
      <w:r w:rsidRPr="004C7325">
        <w:t xml:space="preserve"> IB</w:t>
      </w:r>
      <w:r w:rsidRPr="0068646C">
        <w:t xml:space="preserve"> Docket Nos. 22-271, 22-272 (May 29, 2024) (</w:t>
      </w:r>
      <w:r w:rsidRPr="00B61A27">
        <w:t>CORF Reply</w:t>
      </w:r>
      <w:r>
        <w:t xml:space="preserve"> Comments)</w:t>
      </w:r>
      <w:r w:rsidRPr="00B61A27">
        <w:t xml:space="preserve"> (requesting that the Commission exclude bands allocated to EESS (passive) and EESS (active) from consideration in licensing ISAM operations)</w:t>
      </w:r>
      <w:r w:rsidR="002B12E2">
        <w:t xml:space="preserve">.  </w:t>
      </w:r>
      <w:r w:rsidR="002B12E2">
        <w:rPr>
          <w:i/>
          <w:iCs/>
        </w:rPr>
        <w:t>B</w:t>
      </w:r>
      <w:r w:rsidRPr="00B61A27">
        <w:rPr>
          <w:i/>
          <w:iCs/>
        </w:rPr>
        <w:t xml:space="preserve">ut see </w:t>
      </w:r>
      <w:r>
        <w:rPr>
          <w:i/>
          <w:iCs/>
        </w:rPr>
        <w:t xml:space="preserve">Varda </w:t>
      </w:r>
      <w:r w:rsidRPr="004C7325">
        <w:t xml:space="preserve">Comments </w:t>
      </w:r>
      <w:r>
        <w:rPr>
          <w:i/>
          <w:iCs/>
        </w:rPr>
        <w:t xml:space="preserve"> </w:t>
      </w:r>
      <w:r w:rsidRPr="00B61A27">
        <w:t>at 4 (suggesting that EESS operations are a close technical fit for many types of ISAM operations and urging the Commission to “think broadly about the services in which ISAM operations could be licensed.”); Turion Comment</w:t>
      </w:r>
      <w:r>
        <w:t>s</w:t>
      </w:r>
      <w:r w:rsidRPr="00B61A27">
        <w:t xml:space="preserve"> at 8 (requesting the Commission not preclude access to EESS outright, and rather review requests on a case-by-case basis). </w:t>
      </w:r>
    </w:p>
  </w:footnote>
  <w:footnote w:id="77">
    <w:p w:rsidR="0025350E" w:rsidRPr="00B61A27" w:rsidP="0025350E" w14:paraId="165CCFAF" w14:textId="77777777">
      <w:pPr>
        <w:pStyle w:val="FootnoteText"/>
      </w:pPr>
      <w:r w:rsidRPr="0025350E">
        <w:rPr>
          <w:rStyle w:val="FootnoteReference"/>
        </w:rPr>
        <w:footnoteRef/>
      </w:r>
      <w:r w:rsidRPr="00B61A27">
        <w:t xml:space="preserve"> CORF Reply </w:t>
      </w:r>
      <w:r>
        <w:t xml:space="preserve">Comments </w:t>
      </w:r>
      <w:r w:rsidRPr="00B61A27">
        <w:t xml:space="preserve">at 4-5. </w:t>
      </w:r>
    </w:p>
  </w:footnote>
  <w:footnote w:id="78">
    <w:p w:rsidR="0025350E" w:rsidRPr="00B61A27" w:rsidP="0025350E" w14:paraId="019819C3" w14:textId="77777777">
      <w:pPr>
        <w:pStyle w:val="FootnoteText"/>
      </w:pPr>
      <w:r w:rsidRPr="0025350E">
        <w:rPr>
          <w:rStyle w:val="FootnoteReference"/>
        </w:rPr>
        <w:footnoteRef/>
      </w:r>
      <w:r w:rsidRPr="00B61A27">
        <w:t xml:space="preserve"> </w:t>
      </w:r>
      <w:r w:rsidRPr="004C7325">
        <w:rPr>
          <w:i/>
          <w:iCs/>
        </w:rPr>
        <w:t>Id.</w:t>
      </w:r>
      <w:r>
        <w:t xml:space="preserve"> </w:t>
      </w:r>
      <w:r w:rsidRPr="00B61A27">
        <w:t xml:space="preserve">at 4. </w:t>
      </w:r>
      <w:r>
        <w:t xml:space="preserve"> However, CORF “recognizes that the bands used for Earth-to-space and space-to-Earth communication links to/from orbiting EESS satellites may, in some circumstances, be appropriately employed during ISAM activities related to such a platform, particularly for direct communications with a specific platform being assembled or serviced.”  </w:t>
      </w:r>
      <w:r w:rsidRPr="00B61A27">
        <w:t>CORF Reply at 6.</w:t>
      </w:r>
      <w:r>
        <w:t xml:space="preserve">  In particular, CORF takes no position on the suggested EESS use that Varda proposes in its comments.  </w:t>
      </w:r>
      <w:r>
        <w:rPr>
          <w:i/>
          <w:iCs/>
        </w:rPr>
        <w:t xml:space="preserve">See </w:t>
      </w:r>
      <w:r w:rsidRPr="004C7325">
        <w:rPr>
          <w:i/>
          <w:iCs/>
        </w:rPr>
        <w:t>id.</w:t>
      </w:r>
      <w:r>
        <w:t xml:space="preserve"> </w:t>
      </w:r>
      <w:r w:rsidRPr="00B61A27">
        <w:t>at 6, n.9.</w:t>
      </w:r>
    </w:p>
  </w:footnote>
  <w:footnote w:id="79">
    <w:p w:rsidR="0025350E" w:rsidRPr="00B61A27" w:rsidP="0025350E" w14:paraId="4320EF42" w14:textId="77777777">
      <w:pPr>
        <w:pStyle w:val="FootnoteText"/>
      </w:pPr>
      <w:r w:rsidRPr="0025350E">
        <w:rPr>
          <w:rStyle w:val="FootnoteReference"/>
        </w:rPr>
        <w:footnoteRef/>
      </w:r>
      <w:r w:rsidRPr="00B61A27">
        <w:t xml:space="preserve"> </w:t>
      </w:r>
      <w:r w:rsidRPr="004C7325">
        <w:rPr>
          <w:i/>
          <w:iCs/>
        </w:rPr>
        <w:t>Id.</w:t>
      </w:r>
      <w:r>
        <w:t xml:space="preserve"> </w:t>
      </w:r>
      <w:r w:rsidRPr="00B61A27">
        <w:t xml:space="preserve">at 2-4. </w:t>
      </w:r>
    </w:p>
  </w:footnote>
  <w:footnote w:id="80">
    <w:p w:rsidR="0025350E" w:rsidRPr="00B61A27" w:rsidP="0025350E" w14:paraId="61879144" w14:textId="77777777">
      <w:pPr>
        <w:pStyle w:val="FootnoteText"/>
      </w:pPr>
      <w:r w:rsidRPr="0025350E">
        <w:rPr>
          <w:rStyle w:val="FootnoteReference"/>
        </w:rPr>
        <w:footnoteRef/>
      </w:r>
      <w:r w:rsidRPr="00B61A27">
        <w:t xml:space="preserve"> Int’l Telecomm. Union [ITU], ITU-R Recommendation RS.2017-0, </w:t>
      </w:r>
      <w:r w:rsidRPr="00187026">
        <w:t>Performance and interference criteria for satellite passive remote sensing</w:t>
      </w:r>
      <w:r w:rsidRPr="00B61A27">
        <w:t xml:space="preserve"> (2012) </w:t>
      </w:r>
      <w:hyperlink r:id="rId2" w:history="1">
        <w:r w:rsidRPr="00B61A27">
          <w:rPr>
            <w:rStyle w:val="Hyperlink"/>
          </w:rPr>
          <w:t>https://www.itu.int/rec/R-REC-RS.2017-0-201208-I/en</w:t>
        </w:r>
      </w:hyperlink>
      <w:r>
        <w:t xml:space="preserve">; </w:t>
      </w:r>
      <w:r>
        <w:rPr>
          <w:i/>
          <w:iCs/>
        </w:rPr>
        <w:t>see also</w:t>
      </w:r>
      <w:r>
        <w:t xml:space="preserve"> </w:t>
      </w:r>
      <w:r w:rsidRPr="00B61A27">
        <w:t xml:space="preserve">CORF Reply </w:t>
      </w:r>
      <w:r>
        <w:t xml:space="preserve">Comments </w:t>
      </w:r>
      <w:r w:rsidRPr="00B61A27">
        <w:t xml:space="preserve">at 5. </w:t>
      </w:r>
    </w:p>
  </w:footnote>
  <w:footnote w:id="81">
    <w:p w:rsidR="0025350E" w:rsidRPr="00B61A27" w:rsidP="0025350E" w14:paraId="28DCBE4A" w14:textId="77777777">
      <w:pPr>
        <w:pStyle w:val="FootnoteText"/>
      </w:pPr>
      <w:r w:rsidRPr="0025350E">
        <w:rPr>
          <w:rStyle w:val="FootnoteReference"/>
        </w:rPr>
        <w:footnoteRef/>
      </w:r>
      <w:r w:rsidRPr="00B61A27">
        <w:t xml:space="preserve"> We note that applicants may request waivers to the Table of Frequency allocations, however, any grants of such waiver requests are conditioned upon operating on a non-interference and unprotected basis.  </w:t>
      </w:r>
    </w:p>
  </w:footnote>
  <w:footnote w:id="82">
    <w:p w:rsidR="0025350E" w:rsidRPr="00B61A27" w:rsidP="0025350E" w14:paraId="377CD588" w14:textId="704E713F">
      <w:pPr>
        <w:pStyle w:val="FootnoteText"/>
      </w:pPr>
      <w:r w:rsidRPr="0025350E">
        <w:rPr>
          <w:rStyle w:val="FootnoteReference"/>
        </w:rPr>
        <w:footnoteRef/>
      </w:r>
      <w:r w:rsidRPr="00B61A27">
        <w:t xml:space="preserve"> </w:t>
      </w:r>
      <w:r w:rsidRPr="00B61A27">
        <w:rPr>
          <w:i/>
          <w:iCs/>
        </w:rPr>
        <w:t>See, e.g.</w:t>
      </w:r>
      <w:r w:rsidRPr="00B61A27">
        <w:t>, license applications from Loft Orbital Solutions Inc. filed under the streamlined process for small satellites, ICFS File Nos. SAT-LOA-20190807-00072 (granted Oct. 8, 2020), SAT-MOD-20230516-00111</w:t>
      </w:r>
      <w:r w:rsidR="002B12E2">
        <w:t xml:space="preserve"> </w:t>
      </w:r>
      <w:r w:rsidRPr="00B61A27">
        <w:t>(granted Sept. 29, 2023); SAT-LOA-20230414-00088 (granted Jan. 19, 2024); SAT-LOA-20240202-00021 (granted May 30, 2024); applications from Capella Space Corp filed under the streamlined process for small satellites, ICFS File No. SAT-LOA-20200914-00108 (granted Dec. 17, 2020); SAT-LOA-20220309-00025 (granted May 11, 2022).</w:t>
      </w:r>
    </w:p>
  </w:footnote>
  <w:footnote w:id="83">
    <w:p w:rsidR="00260BC8" w14:paraId="09B036C9" w14:textId="6BDE6554">
      <w:pPr>
        <w:pStyle w:val="FootnoteText"/>
      </w:pPr>
      <w:r>
        <w:rPr>
          <w:rStyle w:val="FootnoteReference"/>
        </w:rPr>
        <w:footnoteRef/>
      </w:r>
      <w:r>
        <w:t xml:space="preserve"> </w:t>
      </w:r>
      <w:r w:rsidRPr="00260BC8">
        <w:t>As part of our exploration of spectrum abundance for emergent space operations, we welcome suggestions on possible ways to utilize additional frequency bands for such operations, which can be considered as part of a future proposed rulemaking.  </w:t>
      </w:r>
      <w:r w:rsidRPr="00260BC8">
        <w:rPr>
          <w:i/>
          <w:iCs/>
        </w:rPr>
        <w:t>See</w:t>
      </w:r>
      <w:r w:rsidRPr="00260BC8">
        <w:t> Letter from Anton Yanchilin, Manager, Launch Spectrum Policy, Space Exploration Tech. Corp., to Marlene H. Dortch, Secretary, FCC (dated Mar. 20, 2026) (urging comment on ways to use existing SOS and SRS spectrum allocations, which currently lack a corresponding non-Federal allocation, for non-Federal emergent space operations); Letter from Michael J. Marcus, Director, Marcus Spectrum Solution LLC, to Marlene H. Dortch, Secretary, FCC (dated Mar. 17, 2026) (referencing filing made on May 16, 2026 proposing consideration of spectrum bands above 100 GHz for emergent space operations).</w:t>
      </w:r>
    </w:p>
  </w:footnote>
  <w:footnote w:id="84">
    <w:p w:rsidR="0025350E" w:rsidP="00C96B04" w14:paraId="4B18822B" w14:textId="77777777">
      <w:pPr>
        <w:pStyle w:val="FootnoteText"/>
      </w:pPr>
      <w:r>
        <w:rPr>
          <w:rStyle w:val="FootnoteReference"/>
        </w:rPr>
        <w:footnoteRef/>
      </w:r>
      <w:r>
        <w:t xml:space="preserve"> </w:t>
      </w:r>
      <w:r w:rsidRPr="0025350E">
        <w:rPr>
          <w:rFonts w:eastAsia="Aptos"/>
        </w:rPr>
        <w:t xml:space="preserve">The </w:t>
      </w:r>
      <w:r w:rsidRPr="00925706">
        <w:t>2320</w:t>
      </w:r>
      <w:r w:rsidRPr="0025350E">
        <w:rPr>
          <w:rFonts w:eastAsia="Aptos"/>
        </w:rPr>
        <w:t xml:space="preserve">-2332.5 MHz band was originally assigned to Sirius Satellite Radio Inc. (Sirius) (formerly, Satellite CD Radio, Inc.), and the 2332.5-2345 MHz band was originally assigned to XM Radio Inc. (XM) (formerly, American Mobile Radio </w:t>
      </w:r>
      <w:r>
        <w:rPr>
          <w:rStyle w:val="FootnoteReference"/>
          <w:rFonts w:eastAsia="Aptos"/>
          <w:vertAlign w:val="baseline"/>
        </w:rPr>
        <w:t>Corporation</w:t>
      </w:r>
      <w:r w:rsidRPr="0025350E">
        <w:rPr>
          <w:rFonts w:eastAsia="Aptos"/>
        </w:rPr>
        <w:t>).</w:t>
      </w:r>
    </w:p>
  </w:footnote>
  <w:footnote w:id="85">
    <w:p w:rsidR="0025350E" w:rsidP="0025350E" w14:paraId="06469B91" w14:textId="77777777">
      <w:pPr>
        <w:pStyle w:val="FootnoteText"/>
      </w:pPr>
      <w:r>
        <w:rPr>
          <w:rStyle w:val="FootnoteReference"/>
        </w:rPr>
        <w:footnoteRef/>
      </w:r>
      <w:r>
        <w:t xml:space="preserve"> </w:t>
      </w:r>
      <w:r w:rsidRPr="000731FA">
        <w:t>47 C</w:t>
      </w:r>
      <w:r>
        <w:t>FR § 25.103.</w:t>
      </w:r>
    </w:p>
  </w:footnote>
  <w:footnote w:id="86">
    <w:p w:rsidR="0025350E" w:rsidP="0025350E" w14:paraId="5DCACB63" w14:textId="77777777">
      <w:pPr>
        <w:pStyle w:val="FootnoteText"/>
      </w:pPr>
      <w:r>
        <w:rPr>
          <w:rStyle w:val="FootnoteReference"/>
        </w:rPr>
        <w:footnoteRef/>
      </w:r>
      <w:r>
        <w:t xml:space="preserve"> </w:t>
      </w:r>
      <w:r w:rsidRPr="000731FA">
        <w:rPr>
          <w:i/>
          <w:iCs/>
        </w:rPr>
        <w:t xml:space="preserve">See </w:t>
      </w:r>
      <w:r w:rsidRPr="000731FA">
        <w:t xml:space="preserve">Public Notice, </w:t>
      </w:r>
      <w:r w:rsidRPr="000731FA">
        <w:rPr>
          <w:i/>
          <w:iCs/>
        </w:rPr>
        <w:t xml:space="preserve">“FCC Announces Auction Winners for Digital Audio Radio Service,” </w:t>
      </w:r>
      <w:r w:rsidRPr="000731FA">
        <w:t xml:space="preserve">12 FCC </w:t>
      </w:r>
      <w:r w:rsidRPr="000731FA">
        <w:t>Rcd</w:t>
      </w:r>
      <w:r w:rsidRPr="000731FA">
        <w:t xml:space="preserve"> 18727</w:t>
      </w:r>
      <w:r>
        <w:t xml:space="preserve"> </w:t>
      </w:r>
      <w:r w:rsidRPr="000731FA">
        <w:t xml:space="preserve">(Apr. 2, 1997). </w:t>
      </w:r>
      <w:r>
        <w:t xml:space="preserve"> </w:t>
      </w:r>
      <w:r w:rsidRPr="000731FA">
        <w:t xml:space="preserve">Sirius and XM Radio paid a total of $173.2 million for the </w:t>
      </w:r>
      <w:r>
        <w:t>two</w:t>
      </w:r>
      <w:r w:rsidRPr="000731FA">
        <w:t xml:space="preserve"> SDARS licenses.</w:t>
      </w:r>
    </w:p>
  </w:footnote>
  <w:footnote w:id="87">
    <w:p w:rsidR="0025350E" w:rsidP="0025350E" w14:paraId="47E97A45" w14:textId="77777777">
      <w:pPr>
        <w:pStyle w:val="FootnoteText"/>
      </w:pPr>
      <w:r>
        <w:rPr>
          <w:rStyle w:val="FootnoteReference"/>
        </w:rPr>
        <w:footnoteRef/>
      </w:r>
      <w:r>
        <w:t xml:space="preserve"> </w:t>
      </w:r>
      <w:r w:rsidRPr="000731FA">
        <w:t xml:space="preserve">XM Radio commenced nationwide commercial service in September 2001. </w:t>
      </w:r>
      <w:r>
        <w:t xml:space="preserve"> </w:t>
      </w:r>
      <w:r w:rsidRPr="000731FA">
        <w:t>Sirius began commercial service in</w:t>
      </w:r>
      <w:r>
        <w:t xml:space="preserve"> </w:t>
      </w:r>
      <w:r w:rsidRPr="000731FA">
        <w:t>February 2002.</w:t>
      </w:r>
    </w:p>
  </w:footnote>
  <w:footnote w:id="88">
    <w:p w:rsidR="0025350E" w:rsidP="00682986" w14:paraId="630472B8" w14:textId="597EE361">
      <w:pPr>
        <w:pStyle w:val="FootnoteText"/>
      </w:pPr>
      <w:r>
        <w:rPr>
          <w:rStyle w:val="FootnoteReference"/>
        </w:rPr>
        <w:footnoteRef/>
      </w:r>
      <w:r>
        <w:t xml:space="preserve"> </w:t>
      </w:r>
      <w:r w:rsidRPr="0025350E">
        <w:rPr>
          <w:rFonts w:ascii="TimesNewRoman,Italic" w:eastAsia="Aptos" w:hAnsi="TimesNewRoman,Italic" w:cs="TimesNewRoman,Italic"/>
          <w:i/>
          <w:iCs/>
        </w:rPr>
        <w:t xml:space="preserve">See </w:t>
      </w:r>
      <w:r w:rsidRPr="0025350E">
        <w:rPr>
          <w:rFonts w:eastAsia="Aptos"/>
        </w:rPr>
        <w:t xml:space="preserve">Applications for </w:t>
      </w:r>
      <w:r>
        <w:rPr>
          <w:rFonts w:eastAsia="Aptos"/>
        </w:rPr>
        <w:t>Consent</w:t>
      </w:r>
      <w:r w:rsidRPr="0025350E">
        <w:rPr>
          <w:rFonts w:eastAsia="Aptos"/>
        </w:rPr>
        <w:t xml:space="preserve"> to the Transfer of Control of Licenses XM Satellite Radio Holdings Inc., Transferor, to Sirius Satellite Radio Inc., Transferee,</w:t>
      </w:r>
      <w:r w:rsidRPr="0025350E" w:rsidR="00682986">
        <w:rPr>
          <w:rFonts w:eastAsia="Aptos"/>
        </w:rPr>
        <w:t xml:space="preserve"> MB Docket No. 07-57, </w:t>
      </w:r>
      <w:r w:rsidRPr="00682986">
        <w:rPr>
          <w:rFonts w:ascii="TimesNewRoman,Italic" w:eastAsia="Aptos" w:hAnsi="TimesNewRoman,Italic" w:cs="TimesNewRoman,Italic"/>
        </w:rPr>
        <w:t>Memorandum Opinion and Order and Report and Order</w:t>
      </w:r>
      <w:r w:rsidR="00682986">
        <w:rPr>
          <w:rFonts w:ascii="TimesNewRoman,Italic" w:eastAsia="Aptos" w:hAnsi="TimesNewRoman,Italic" w:cs="TimesNewRoman,Italic"/>
        </w:rPr>
        <w:t xml:space="preserve">, </w:t>
      </w:r>
      <w:r w:rsidRPr="00682986">
        <w:rPr>
          <w:rFonts w:eastAsia="Aptos"/>
        </w:rPr>
        <w:t>23</w:t>
      </w:r>
      <w:r w:rsidRPr="0025350E">
        <w:rPr>
          <w:rFonts w:eastAsia="Aptos"/>
        </w:rPr>
        <w:t xml:space="preserve"> FCC </w:t>
      </w:r>
      <w:r w:rsidRPr="0025350E">
        <w:rPr>
          <w:rFonts w:eastAsia="Aptos"/>
        </w:rPr>
        <w:t>Rcd</w:t>
      </w:r>
      <w:r w:rsidRPr="0025350E">
        <w:rPr>
          <w:rFonts w:eastAsia="Aptos"/>
        </w:rPr>
        <w:t xml:space="preserve"> 12348 (2008) (</w:t>
      </w:r>
      <w:r w:rsidRPr="0025350E">
        <w:rPr>
          <w:rFonts w:ascii="TimesNewRoman,Italic" w:eastAsia="Aptos" w:hAnsi="TimesNewRoman,Italic" w:cs="TimesNewRoman,Italic"/>
          <w:i/>
          <w:iCs/>
        </w:rPr>
        <w:t>SDARS Merger Order</w:t>
      </w:r>
      <w:r w:rsidRPr="0025350E">
        <w:rPr>
          <w:rFonts w:eastAsia="Aptos"/>
        </w:rPr>
        <w:t>).</w:t>
      </w:r>
    </w:p>
  </w:footnote>
  <w:footnote w:id="89">
    <w:p w:rsidR="0025350E" w:rsidP="0025350E" w14:paraId="3CB1EBE3" w14:textId="77777777">
      <w:pPr>
        <w:pStyle w:val="FootnoteText"/>
      </w:pPr>
      <w:r>
        <w:rPr>
          <w:rStyle w:val="FootnoteReference"/>
        </w:rPr>
        <w:footnoteRef/>
      </w:r>
      <w:r>
        <w:t xml:space="preserve"> The satellites include XM-3 (Call Sign S2617), XM-4 (S2616), SXM-8 (S3034), SXM-9 (S3066), FM-5 (S2710), XM-5 (S2786), SXM-7 (S3033), SXM-10 (S3167), and FM-6 (S2812).</w:t>
      </w:r>
    </w:p>
  </w:footnote>
  <w:footnote w:id="90">
    <w:p w:rsidR="0025350E" w:rsidP="0025350E" w14:paraId="10B344A6" w14:textId="0E435A26">
      <w:pPr>
        <w:pStyle w:val="FootnoteText"/>
      </w:pPr>
      <w:r>
        <w:rPr>
          <w:rStyle w:val="FootnoteReference"/>
        </w:rPr>
        <w:footnoteRef/>
      </w:r>
      <w:r>
        <w:t xml:space="preserve"> </w:t>
      </w:r>
      <w:r w:rsidRPr="00EC4EFB">
        <w:rPr>
          <w:i/>
          <w:iCs/>
        </w:rPr>
        <w:t>See, e.g.</w:t>
      </w:r>
      <w:r w:rsidRPr="00E005FD">
        <w:t>,</w:t>
      </w:r>
      <w:r w:rsidRPr="00EC4EFB">
        <w:rPr>
          <w:i/>
          <w:iCs/>
        </w:rPr>
        <w:t xml:space="preserve"> Sirius XM Radi</w:t>
      </w:r>
      <w:r w:rsidR="00C75DE8">
        <w:rPr>
          <w:i/>
          <w:iCs/>
        </w:rPr>
        <w:t>o</w:t>
      </w:r>
      <w:r w:rsidRPr="00EC4EFB">
        <w:rPr>
          <w:i/>
          <w:iCs/>
        </w:rPr>
        <w:t xml:space="preserve"> Inc., Application for Authority to Launch and Operate SDARS Replacement Spacecraft at 85.15</w:t>
      </w:r>
      <w:r w:rsidRPr="00EC4EFB">
        <w:rPr>
          <w:rFonts w:ascii="Anton" w:hAnsi="Anton"/>
          <w:i/>
          <w:iCs/>
        </w:rPr>
        <w:t>°</w:t>
      </w:r>
      <w:r w:rsidRPr="00EC4EFB">
        <w:rPr>
          <w:i/>
          <w:iCs/>
        </w:rPr>
        <w:t xml:space="preserve"> W.L</w:t>
      </w:r>
      <w:r>
        <w:t>., ICFS File No. SAT-RPL-20230406-00074, Legal and Technical Narrative, Appx</w:t>
      </w:r>
      <w:r w:rsidR="002B12E2">
        <w:t>.</w:t>
      </w:r>
      <w:r>
        <w:t xml:space="preserve"> A at 4.</w:t>
      </w:r>
    </w:p>
  </w:footnote>
  <w:footnote w:id="91">
    <w:p w:rsidR="0025350E" w:rsidP="0025350E" w14:paraId="485D5E55" w14:textId="77777777">
      <w:pPr>
        <w:pStyle w:val="FootnoteText"/>
      </w:pPr>
      <w:r>
        <w:rPr>
          <w:rStyle w:val="FootnoteReference"/>
        </w:rPr>
        <w:footnoteRef/>
      </w:r>
      <w:r>
        <w:t xml:space="preserve"> </w:t>
      </w:r>
      <w:r w:rsidRPr="00834056">
        <w:rPr>
          <w:i/>
          <w:iCs/>
        </w:rPr>
        <w:t xml:space="preserve">See </w:t>
      </w:r>
      <w:r>
        <w:t xml:space="preserve">Sirius XM Holdings Inc., </w:t>
      </w:r>
      <w:r w:rsidRPr="00834056">
        <w:rPr>
          <w:i/>
          <w:iCs/>
        </w:rPr>
        <w:t>Quarterly Report Pursuant to Section 13 or 15(d) of the Securities Exchange Act of 1934 for the Quarterly Period Ended June 30, 2025</w:t>
      </w:r>
      <w:r>
        <w:t xml:space="preserve">, Form 10-Q, at 12.  These subscriber numbers do not include subscribers of SiriusXM’s Canadian affiliate, Sirius XM Canada Holdings Inc.  </w:t>
      </w:r>
      <w:r w:rsidRPr="00834056">
        <w:rPr>
          <w:i/>
          <w:iCs/>
        </w:rPr>
        <w:t>Id.</w:t>
      </w:r>
    </w:p>
  </w:footnote>
  <w:footnote w:id="92">
    <w:p w:rsidR="0025350E" w:rsidP="0025350E" w14:paraId="40F8CE67" w14:textId="2A4601C9">
      <w:pPr>
        <w:pStyle w:val="FootnoteText"/>
      </w:pPr>
      <w:r>
        <w:rPr>
          <w:rStyle w:val="FootnoteReference"/>
        </w:rPr>
        <w:footnoteRef/>
      </w:r>
      <w:r>
        <w:t xml:space="preserve"> </w:t>
      </w:r>
      <w:r w:rsidRPr="00365751">
        <w:rPr>
          <w:i/>
          <w:iCs/>
        </w:rPr>
        <w:t xml:space="preserve">See </w:t>
      </w:r>
      <w:r w:rsidRPr="00365751">
        <w:t xml:space="preserve">Omnibus Consolidated Appropriations Act, 1997, P.L. 104-208, 110 Stat. 3009 (1996) (Appropriations Act). </w:t>
      </w:r>
      <w:r>
        <w:t xml:space="preserve"> </w:t>
      </w:r>
      <w:r w:rsidRPr="00365751">
        <w:t xml:space="preserve">The Commission adopted a Report and Order implementing this legislation on February 19, 1997. </w:t>
      </w:r>
      <w:r>
        <w:t xml:space="preserve"> </w:t>
      </w:r>
      <w:r w:rsidRPr="00365751">
        <w:rPr>
          <w:i/>
          <w:iCs/>
        </w:rPr>
        <w:t>Amendment of the Commission's Rules to Establish Part 27, the Wireless Communications Service (WCS</w:t>
      </w:r>
      <w:r w:rsidRPr="00365751">
        <w:t>), GN Docket No. 96-228, FCC 97-50 (</w:t>
      </w:r>
      <w:r w:rsidR="002B12E2">
        <w:t>F</w:t>
      </w:r>
      <w:r w:rsidRPr="00365751">
        <w:t>eb</w:t>
      </w:r>
      <w:r w:rsidR="002B12E2">
        <w:t>.</w:t>
      </w:r>
      <w:r w:rsidRPr="00365751">
        <w:t xml:space="preserve"> 19, 1997) (</w:t>
      </w:r>
      <w:r w:rsidRPr="00365751">
        <w:rPr>
          <w:i/>
          <w:iCs/>
        </w:rPr>
        <w:t>WCS Order</w:t>
      </w:r>
      <w:r w:rsidRPr="00365751">
        <w:t>).</w:t>
      </w:r>
    </w:p>
  </w:footnote>
  <w:footnote w:id="93">
    <w:p w:rsidR="0025350E" w:rsidP="0025350E" w14:paraId="241311FF" w14:textId="77777777">
      <w:pPr>
        <w:pStyle w:val="FootnoteText"/>
      </w:pPr>
      <w:r>
        <w:rPr>
          <w:rStyle w:val="FootnoteReference"/>
        </w:rPr>
        <w:footnoteRef/>
      </w:r>
      <w:r>
        <w:t xml:space="preserve"> An assignment of a radio frequency or radio frequency channel is the authorization given by an administration for a radio station to use a radio frequency or radio frequency channel under specified conditions.  47 CFR § 2.1.</w:t>
      </w:r>
    </w:p>
  </w:footnote>
  <w:footnote w:id="94">
    <w:p w:rsidR="0025350E" w:rsidP="0025350E" w14:paraId="0AA62F8B" w14:textId="7AD8F0EE">
      <w:pPr>
        <w:pStyle w:val="FootnoteText"/>
      </w:pPr>
      <w:r>
        <w:rPr>
          <w:rStyle w:val="FootnoteReference"/>
        </w:rPr>
        <w:footnoteRef/>
      </w:r>
      <w:r>
        <w:t xml:space="preserve"> </w:t>
      </w:r>
      <w:r w:rsidRPr="00E12022">
        <w:rPr>
          <w:i/>
          <w:iCs/>
        </w:rPr>
        <w:t>See</w:t>
      </w:r>
      <w:r>
        <w:t xml:space="preserve"> </w:t>
      </w:r>
      <w:r w:rsidRPr="008A5F32">
        <w:rPr>
          <w:i/>
          <w:iCs/>
        </w:rPr>
        <w:t xml:space="preserve">id </w:t>
      </w:r>
      <w:r>
        <w:t xml:space="preserve">§ 25.214(c)(2); </w:t>
      </w:r>
      <w:r w:rsidRPr="0058584C">
        <w:rPr>
          <w:i/>
          <w:iCs/>
        </w:rPr>
        <w:t>see also</w:t>
      </w:r>
      <w:r>
        <w:t xml:space="preserve"> </w:t>
      </w:r>
      <w:r w:rsidRPr="0058584C">
        <w:rPr>
          <w:i/>
          <w:iCs/>
        </w:rPr>
        <w:t>Amendment of Part 27 of the Commission’s Rules to Govern the Operation of Wireless Communications Services in the 2.3 GHz Band, Establishment of Rules and Policies for the Digital Audio Radio Satellite Service in the 2310-2360 MHz Frequency Band</w:t>
      </w:r>
      <w:r>
        <w:t>, WT Docket No. 07-293, IB Docket No. 95-91, GN Docket No</w:t>
      </w:r>
      <w:r w:rsidR="00025713">
        <w:t>.</w:t>
      </w:r>
      <w:r>
        <w:t xml:space="preserve"> 90-357, Report and Order and Second Report and Order, 25 FCC </w:t>
      </w:r>
      <w:r>
        <w:t>Rcd</w:t>
      </w:r>
      <w:r>
        <w:t xml:space="preserve"> 11710 (2010).</w:t>
      </w:r>
    </w:p>
  </w:footnote>
  <w:footnote w:id="95">
    <w:p w:rsidR="0025350E" w:rsidRPr="00EC4EFB" w:rsidP="00FE2510" w14:paraId="247A9B0C" w14:textId="235B2F16">
      <w:pPr>
        <w:pStyle w:val="FootnoteText"/>
      </w:pPr>
      <w:r>
        <w:rPr>
          <w:rStyle w:val="FootnoteReference"/>
        </w:rPr>
        <w:footnoteRef/>
      </w:r>
      <w:r>
        <w:t xml:space="preserve"> </w:t>
      </w:r>
      <w:r w:rsidRPr="00FE2510">
        <w:rPr>
          <w:rFonts w:ascii="TimesNewRoman,Italic" w:eastAsia="Aptos" w:hAnsi="TimesNewRoman,Italic" w:cs="TimesNewRoman,Italic"/>
          <w:i/>
          <w:iCs/>
        </w:rPr>
        <w:t>See</w:t>
      </w:r>
      <w:r w:rsidRPr="0025350E">
        <w:rPr>
          <w:rFonts w:ascii="TimesNewRoman,Italic" w:eastAsia="Aptos" w:hAnsi="TimesNewRoman,Italic" w:cs="TimesNewRoman,Italic"/>
        </w:rPr>
        <w:t xml:space="preserve"> </w:t>
      </w:r>
      <w:r w:rsidRPr="00FE2510">
        <w:rPr>
          <w:rFonts w:eastAsia="Aptos"/>
          <w:i/>
          <w:iCs/>
        </w:rPr>
        <w:t>Amendment of Part 27 of the Commission’s Rules to Govern the Operation of Wireless Communications Services in the 2.3 GHz Band and Establishment of Rules and Policies for the Digital Audio Radio Satellite Service in the 2310-2360 MHz Frequency Band</w:t>
      </w:r>
      <w:r w:rsidRPr="0025350E">
        <w:rPr>
          <w:rFonts w:eastAsia="Aptos"/>
        </w:rPr>
        <w:t xml:space="preserve">, </w:t>
      </w:r>
      <w:r w:rsidRPr="0025350E" w:rsidR="00FE2510">
        <w:rPr>
          <w:rFonts w:eastAsia="Aptos"/>
        </w:rPr>
        <w:t xml:space="preserve">WT Docket No. 07-293 and IB Docket No. 95-91, </w:t>
      </w:r>
      <w:r w:rsidRPr="0025350E">
        <w:rPr>
          <w:rFonts w:ascii="TimesNewRoman,Italic" w:eastAsia="Aptos" w:hAnsi="TimesNewRoman,Italic" w:cs="TimesNewRoman,Italic"/>
        </w:rPr>
        <w:t>Notice of Proposed Rulemaking and Second Further Notice of Proposed Rulemaking</w:t>
      </w:r>
      <w:r w:rsidRPr="0025350E">
        <w:rPr>
          <w:rFonts w:eastAsia="Aptos"/>
        </w:rPr>
        <w:t xml:space="preserve">, 22 FCC </w:t>
      </w:r>
      <w:r w:rsidRPr="0025350E">
        <w:rPr>
          <w:rFonts w:eastAsia="Aptos"/>
        </w:rPr>
        <w:t>Rcd</w:t>
      </w:r>
      <w:r w:rsidRPr="0025350E">
        <w:rPr>
          <w:rFonts w:eastAsia="Aptos"/>
        </w:rPr>
        <w:t xml:space="preserve"> 22123, 22123 n.2 (2007).  These areas include “urban canyons” between tall buildings, heavily foliaged areas, tunnels, and other places where obstructions could limit satellite visibility or cause multipath interference from reflected signals. </w:t>
      </w:r>
      <w:r w:rsidRPr="00FE2510">
        <w:rPr>
          <w:rFonts w:eastAsia="Aptos"/>
          <w:i/>
          <w:iCs/>
        </w:rPr>
        <w:t xml:space="preserve"> Id.</w:t>
      </w:r>
    </w:p>
  </w:footnote>
  <w:footnote w:id="96">
    <w:p w:rsidR="0025350E" w:rsidP="0025350E" w14:paraId="0E9AF401" w14:textId="77777777">
      <w:pPr>
        <w:pStyle w:val="FootnoteText"/>
      </w:pPr>
      <w:r>
        <w:rPr>
          <w:rStyle w:val="FootnoteReference"/>
        </w:rPr>
        <w:footnoteRef/>
      </w:r>
      <w:r>
        <w:t xml:space="preserve"> 47 CFR § 25.214(c)(3).</w:t>
      </w:r>
    </w:p>
  </w:footnote>
  <w:footnote w:id="97">
    <w:p w:rsidR="0025350E" w:rsidP="0025350E" w14:paraId="698F7944" w14:textId="77777777">
      <w:pPr>
        <w:pStyle w:val="FootnoteText"/>
      </w:pPr>
      <w:r>
        <w:rPr>
          <w:rStyle w:val="FootnoteReference"/>
        </w:rPr>
        <w:footnoteRef/>
      </w:r>
      <w:r>
        <w:t xml:space="preserve"> </w:t>
      </w:r>
      <w:r w:rsidRPr="00625293">
        <w:rPr>
          <w:i/>
          <w:iCs/>
        </w:rPr>
        <w:t>Id.</w:t>
      </w:r>
      <w:r>
        <w:t xml:space="preserve"> § 2.106.</w:t>
      </w:r>
    </w:p>
  </w:footnote>
  <w:footnote w:id="98">
    <w:p w:rsidR="0025350E" w:rsidP="0025350E" w14:paraId="402C1AAB" w14:textId="77777777">
      <w:pPr>
        <w:pStyle w:val="FootnoteText"/>
      </w:pPr>
      <w:r>
        <w:rPr>
          <w:rStyle w:val="FootnoteReference"/>
        </w:rPr>
        <w:footnoteRef/>
      </w:r>
      <w:r>
        <w:t xml:space="preserve"> </w:t>
      </w:r>
      <w:r w:rsidRPr="00625293">
        <w:rPr>
          <w:i/>
          <w:iCs/>
        </w:rPr>
        <w:t>Id.</w:t>
      </w:r>
      <w:r>
        <w:t xml:space="preserve"> § 2.106(c)(327). </w:t>
      </w:r>
    </w:p>
  </w:footnote>
  <w:footnote w:id="99">
    <w:p w:rsidR="0025350E" w:rsidP="0025350E" w14:paraId="7707DA59" w14:textId="77777777">
      <w:pPr>
        <w:pStyle w:val="FootnoteText"/>
      </w:pPr>
      <w:r>
        <w:rPr>
          <w:rStyle w:val="FootnoteReference"/>
        </w:rPr>
        <w:footnoteRef/>
      </w:r>
      <w:r>
        <w:t xml:space="preserve"> </w:t>
      </w:r>
      <w:r w:rsidRPr="00625293">
        <w:rPr>
          <w:i/>
          <w:iCs/>
        </w:rPr>
        <w:t>Id.</w:t>
      </w:r>
      <w:r>
        <w:t xml:space="preserve"> § 2.106(a), (e)(G2). </w:t>
      </w:r>
    </w:p>
  </w:footnote>
  <w:footnote w:id="100">
    <w:p w:rsidR="0025350E" w:rsidP="0025350E" w14:paraId="03508C6F" w14:textId="3BC7E8B4">
      <w:pPr>
        <w:pStyle w:val="FootnoteText"/>
      </w:pPr>
      <w:r>
        <w:rPr>
          <w:rStyle w:val="FootnoteReference"/>
        </w:rPr>
        <w:footnoteRef/>
      </w:r>
      <w:r>
        <w:t xml:space="preserve"> </w:t>
      </w:r>
      <w:r w:rsidRPr="00625293">
        <w:rPr>
          <w:i/>
          <w:iCs/>
        </w:rPr>
        <w:t>Id.</w:t>
      </w:r>
      <w:r>
        <w:t xml:space="preserve"> § 2.106. </w:t>
      </w:r>
      <w:r w:rsidR="00025713">
        <w:t xml:space="preserve"> </w:t>
      </w:r>
      <w:r>
        <w:t xml:space="preserve">The International Table of Frequency Allocations is subdivided into tables for Region 1 (broadly speaking Europe, Middle East, and Africa), Region 2 (the Americas), and Region 3 (Asia).  </w:t>
      </w:r>
      <w:r w:rsidRPr="00753436">
        <w:rPr>
          <w:i/>
          <w:iCs/>
        </w:rPr>
        <w:t>Id.</w:t>
      </w:r>
      <w:r>
        <w:t xml:space="preserve"> § 2.104.</w:t>
      </w:r>
    </w:p>
  </w:footnote>
  <w:footnote w:id="101">
    <w:p w:rsidR="0025350E" w:rsidP="0025350E" w14:paraId="44283ACB" w14:textId="77777777">
      <w:pPr>
        <w:pStyle w:val="FootnoteText"/>
      </w:pPr>
      <w:r>
        <w:rPr>
          <w:rStyle w:val="FootnoteReference"/>
        </w:rPr>
        <w:footnoteRef/>
      </w:r>
      <w:r>
        <w:t xml:space="preserve"> </w:t>
      </w:r>
      <w:r w:rsidRPr="00625293">
        <w:rPr>
          <w:i/>
          <w:iCs/>
        </w:rPr>
        <w:t>Id.</w:t>
      </w:r>
      <w:r>
        <w:t xml:space="preserve"> § 2.106.</w:t>
      </w:r>
    </w:p>
  </w:footnote>
  <w:footnote w:id="102">
    <w:p w:rsidR="0025350E" w:rsidP="0025350E" w14:paraId="566447A0" w14:textId="77777777">
      <w:pPr>
        <w:pStyle w:val="FootnoteText"/>
      </w:pPr>
      <w:r>
        <w:rPr>
          <w:rStyle w:val="FootnoteReference"/>
        </w:rPr>
        <w:footnoteRef/>
      </w:r>
      <w:r>
        <w:t xml:space="preserve"> Pursuant to international footnote 5.282, the amateur-satellite service may operate in the 2400-2450 MHz band subject to not causing interference to other services operating in accordance with the United States Table.  </w:t>
      </w:r>
      <w:r w:rsidRPr="00625293">
        <w:rPr>
          <w:i/>
          <w:iCs/>
        </w:rPr>
        <w:t>Id.</w:t>
      </w:r>
      <w:r>
        <w:t xml:space="preserve"> § 2.106(b)(5.282).</w:t>
      </w:r>
    </w:p>
  </w:footnote>
  <w:footnote w:id="103">
    <w:p w:rsidR="0025350E" w:rsidP="0025350E" w14:paraId="601CB9B6" w14:textId="77777777">
      <w:pPr>
        <w:pStyle w:val="FootnoteText"/>
      </w:pPr>
      <w:r>
        <w:rPr>
          <w:rStyle w:val="FootnoteReference"/>
        </w:rPr>
        <w:footnoteRef/>
      </w:r>
      <w:r>
        <w:t xml:space="preserve"> </w:t>
      </w:r>
      <w:r w:rsidRPr="00625293">
        <w:rPr>
          <w:i/>
          <w:iCs/>
        </w:rPr>
        <w:t>Id.</w:t>
      </w:r>
      <w:r>
        <w:t xml:space="preserve"> § 2.106(b)(5.393).</w:t>
      </w:r>
    </w:p>
  </w:footnote>
  <w:footnote w:id="104">
    <w:p w:rsidR="0025350E" w:rsidP="0025350E" w14:paraId="490D6D3C" w14:textId="1CE98404">
      <w:pPr>
        <w:pStyle w:val="FootnoteText"/>
      </w:pPr>
      <w:r>
        <w:rPr>
          <w:rStyle w:val="FootnoteReference"/>
        </w:rPr>
        <w:footnoteRef/>
      </w:r>
      <w:r>
        <w:t xml:space="preserve"> </w:t>
      </w:r>
      <w:r w:rsidRPr="006C02E3">
        <w:rPr>
          <w:i/>
          <w:iCs/>
        </w:rPr>
        <w:t>See</w:t>
      </w:r>
      <w:r>
        <w:t xml:space="preserve"> Letter from Ambassador Vonya B. McCann, United States Coordinator, International Communications and Information Policy, U.S. Dept. of State, to Michael Binder, </w:t>
      </w:r>
      <w:r>
        <w:t>Ass’t</w:t>
      </w:r>
      <w:r>
        <w:t xml:space="preserve"> </w:t>
      </w:r>
      <w:r>
        <w:t>Dpty</w:t>
      </w:r>
      <w:r>
        <w:t xml:space="preserve"> Minister, Spectrum, Information Technologies and Telecommunications, Industry Canada (dated Aug. 28, 1998), </w:t>
      </w:r>
      <w:hyperlink r:id="rId3" w:history="1">
        <w:r w:rsidRPr="00906E09">
          <w:rPr>
            <w:rStyle w:val="Hyperlink"/>
          </w:rPr>
          <w:t>https://transition.fcc.gov/bureaus/ib/sand/agree/files/can-bc/can-dars.pdf</w:t>
        </w:r>
      </w:hyperlink>
      <w:r>
        <w:t xml:space="preserve">; Agreement Between the Government of the United States of America and the Government of the United Mexican States Concerning the Use of the 2310-2360 MHz Band, </w:t>
      </w:r>
      <w:hyperlink r:id="rId4" w:history="1">
        <w:r w:rsidRPr="00906E09">
          <w:rPr>
            <w:rStyle w:val="Hyperlink"/>
          </w:rPr>
          <w:t>https://transition.fcc.gov/ib/sand/agree/files/mex-nb/usmexdars.pdf</w:t>
        </w:r>
      </w:hyperlink>
      <w:r>
        <w:t xml:space="preserve">. </w:t>
      </w:r>
    </w:p>
  </w:footnote>
  <w:footnote w:id="105">
    <w:p w:rsidR="0025350E" w:rsidP="0025350E" w14:paraId="232462C7" w14:textId="77777777">
      <w:pPr>
        <w:pStyle w:val="FootnoteText"/>
      </w:pPr>
      <w:r>
        <w:rPr>
          <w:rStyle w:val="FootnoteReference"/>
        </w:rPr>
        <w:footnoteRef/>
      </w:r>
      <w:r>
        <w:t xml:space="preserve"> From time to time, authorizations for experimental licenses under part 5 of our rules are issued in the 2320-2345 MHz band, but solely subject to the express written consent of SiriusXM in order to avoid harmful interference to its operations and subscribers.</w:t>
      </w:r>
    </w:p>
  </w:footnote>
  <w:footnote w:id="106">
    <w:p w:rsidR="0025350E" w:rsidP="0025350E" w14:paraId="45EE26D0" w14:textId="77777777">
      <w:pPr>
        <w:pStyle w:val="FootnoteText"/>
      </w:pPr>
      <w:r>
        <w:rPr>
          <w:rStyle w:val="FootnoteReference"/>
        </w:rPr>
        <w:footnoteRef/>
      </w:r>
      <w:r>
        <w:t xml:space="preserve"> </w:t>
      </w:r>
      <w:r w:rsidRPr="00753436">
        <w:rPr>
          <w:i/>
          <w:iCs/>
        </w:rPr>
        <w:t>See</w:t>
      </w:r>
      <w:r>
        <w:t xml:space="preserve"> ICFS File No. SAT-RPL-20230406-00073, Narrative and Technical Annex, Attachment A at 2 (stating that the SXM-9 and SXM-10 satellites will provide SDARS to satellite radios located in CONUS, Puerto Rico, and Canada).</w:t>
      </w:r>
    </w:p>
  </w:footnote>
  <w:footnote w:id="107">
    <w:p w:rsidR="0025350E" w:rsidP="0025350E" w14:paraId="5C53CE15" w14:textId="77777777">
      <w:pPr>
        <w:pStyle w:val="FootnoteText"/>
      </w:pPr>
      <w:r>
        <w:rPr>
          <w:rStyle w:val="FootnoteReference"/>
        </w:rPr>
        <w:footnoteRef/>
      </w:r>
      <w:r>
        <w:t xml:space="preserve"> In addition, there is no regulatory requirement for SiriusXM to provide service outside of the 48 contiguous United States.  </w:t>
      </w:r>
      <w:r w:rsidRPr="00713157">
        <w:rPr>
          <w:i/>
          <w:iCs/>
        </w:rPr>
        <w:t>See</w:t>
      </w:r>
      <w:r>
        <w:t xml:space="preserve"> 47 CFR § 25.144(c)(3)(</w:t>
      </w:r>
      <w:r>
        <w:t>i</w:t>
      </w:r>
      <w:r>
        <w:t>) (requiring that applicants for SDARS systems must show that the systems will, at a minimum, service the 48 contiguous United States).</w:t>
      </w:r>
    </w:p>
  </w:footnote>
  <w:footnote w:id="108">
    <w:p w:rsidR="0025350E" w:rsidP="0025350E" w14:paraId="1615D146" w14:textId="5135DA98">
      <w:pPr>
        <w:pStyle w:val="FootnoteText"/>
      </w:pPr>
      <w:r>
        <w:rPr>
          <w:rStyle w:val="FootnoteReference"/>
        </w:rPr>
        <w:footnoteRef/>
      </w:r>
      <w:r>
        <w:t xml:space="preserve"> For the same reason, we do not wish to encourage other countries to approve space-to-</w:t>
      </w:r>
      <w:r w:rsidR="00E005FD">
        <w:t>E</w:t>
      </w:r>
      <w:r>
        <w:t>arth transmissions in the 2320-2345 MHz band for their licensed space stations by allowing such transmissions by U.S-licensed space stations.</w:t>
      </w:r>
    </w:p>
  </w:footnote>
  <w:footnote w:id="109">
    <w:p w:rsidR="0025350E" w:rsidP="0025350E" w14:paraId="5E0A3582" w14:textId="614E3656">
      <w:pPr>
        <w:pStyle w:val="FootnoteText"/>
      </w:pPr>
      <w:r>
        <w:rPr>
          <w:rStyle w:val="FootnoteReference"/>
        </w:rPr>
        <w:footnoteRef/>
      </w:r>
      <w:r>
        <w:t xml:space="preserve"> </w:t>
      </w:r>
      <w:r w:rsidRPr="00EB7F67">
        <w:rPr>
          <w:i/>
          <w:iCs/>
        </w:rPr>
        <w:t>See</w:t>
      </w:r>
      <w:r>
        <w:t xml:space="preserve"> 47 CFR §§ 25.202(h)</w:t>
      </w:r>
      <w:r w:rsidR="00025713">
        <w:t>,</w:t>
      </w:r>
      <w:r>
        <w:t xml:space="preserve"> 25.214(d).</w:t>
      </w:r>
    </w:p>
  </w:footnote>
  <w:footnote w:id="110">
    <w:p w:rsidR="0025350E" w:rsidP="0025350E" w14:paraId="48B39637" w14:textId="77777777">
      <w:pPr>
        <w:pStyle w:val="FootnoteText"/>
      </w:pPr>
      <w:r>
        <w:rPr>
          <w:rStyle w:val="FootnoteReference"/>
        </w:rPr>
        <w:footnoteRef/>
      </w:r>
      <w:r>
        <w:t xml:space="preserve"> In general, </w:t>
      </w:r>
      <w:r w:rsidRPr="00370374">
        <w:t>SDARS terrestrial repeaters must be operated at a power level less than or equal to 12-</w:t>
      </w:r>
      <w:r>
        <w:t>kilowatt (kW)</w:t>
      </w:r>
      <w:r w:rsidRPr="00370374">
        <w:t xml:space="preserve"> average </w:t>
      </w:r>
      <w:r>
        <w:t xml:space="preserve">equivalent </w:t>
      </w:r>
      <w:r>
        <w:t>isotropically</w:t>
      </w:r>
      <w:r>
        <w:t xml:space="preserve"> radiated power (</w:t>
      </w:r>
      <w:r w:rsidRPr="00370374">
        <w:t>EIRP</w:t>
      </w:r>
      <w:r>
        <w:t>)</w:t>
      </w:r>
      <w:r w:rsidRPr="00370374">
        <w:t xml:space="preserve">, with a maximum peak-to-average power ratio of 13 </w:t>
      </w:r>
      <w:r>
        <w:t>decibels (</w:t>
      </w:r>
      <w:r w:rsidRPr="00370374">
        <w:t>dB</w:t>
      </w:r>
      <w:r>
        <w:t>)</w:t>
      </w:r>
      <w:r w:rsidRPr="00370374">
        <w:t>.</w:t>
      </w:r>
      <w:r>
        <w:t xml:space="preserve">  </w:t>
      </w:r>
      <w:r w:rsidRPr="00EC4EFB">
        <w:rPr>
          <w:i/>
          <w:iCs/>
        </w:rPr>
        <w:t>See</w:t>
      </w:r>
      <w:r>
        <w:t xml:space="preserve"> </w:t>
      </w:r>
      <w:r w:rsidRPr="00E402D7">
        <w:rPr>
          <w:i/>
          <w:iCs/>
        </w:rPr>
        <w:t>id.</w:t>
      </w:r>
      <w:r>
        <w:t xml:space="preserve"> § 25.214(d)(1).  S</w:t>
      </w:r>
      <w:r w:rsidRPr="00370374">
        <w:t>DARS repeaters are permitted to operate at power levels above 12-kW average EIRP, unless a potentially affected WCS licensee provides written notice that it intends to commence commercial service within the following 365 days.</w:t>
      </w:r>
      <w:r>
        <w:t xml:space="preserve">  </w:t>
      </w:r>
      <w:r w:rsidRPr="00370374">
        <w:rPr>
          <w:i/>
          <w:iCs/>
        </w:rPr>
        <w:t>Id.</w:t>
      </w:r>
      <w:r>
        <w:t xml:space="preserve"> § 25.214(d)(2).</w:t>
      </w:r>
    </w:p>
  </w:footnote>
  <w:footnote w:id="111">
    <w:p w:rsidR="0025350E" w:rsidP="0025350E" w14:paraId="2C969B97" w14:textId="77777777">
      <w:pPr>
        <w:pStyle w:val="FootnoteText"/>
      </w:pPr>
      <w:r>
        <w:rPr>
          <w:rStyle w:val="FootnoteReference"/>
        </w:rPr>
        <w:footnoteRef/>
      </w:r>
      <w:r>
        <w:t xml:space="preserve"> </w:t>
      </w:r>
      <w:r w:rsidRPr="0068646C">
        <w:rPr>
          <w:i/>
        </w:rPr>
        <w:t>See infra</w:t>
      </w:r>
      <w:r>
        <w:t xml:space="preserve"> para. </w:t>
      </w:r>
      <w:r w:rsidRPr="00964089">
        <w:t>62</w:t>
      </w:r>
      <w:r>
        <w:t xml:space="preserve"> (proposing that lessees of the 2320-2345 MHz band will be licensed by the Commission); </w:t>
      </w:r>
      <w:r>
        <w:rPr>
          <w:i/>
          <w:iCs/>
        </w:rPr>
        <w:t xml:space="preserve">see also </w:t>
      </w:r>
      <w:r w:rsidRPr="00A41C98">
        <w:t>47 U.S.C. § 316</w:t>
      </w:r>
      <w:r>
        <w:t>.</w:t>
      </w:r>
    </w:p>
  </w:footnote>
  <w:footnote w:id="112">
    <w:p w:rsidR="0025350E" w:rsidP="0025350E" w14:paraId="28DBC101" w14:textId="77777777">
      <w:pPr>
        <w:pStyle w:val="FootnoteText"/>
      </w:pPr>
      <w:r>
        <w:rPr>
          <w:rStyle w:val="FootnoteReference"/>
        </w:rPr>
        <w:footnoteRef/>
      </w:r>
      <w:r>
        <w:t xml:space="preserve"> </w:t>
      </w:r>
      <w:r w:rsidRPr="00302BCA">
        <w:rPr>
          <w:i/>
          <w:iCs/>
        </w:rPr>
        <w:t>Principles for Promoting the Efficient Use of Spectrum by Encouraging the Developments of Secondary Markets</w:t>
      </w:r>
      <w:r>
        <w:t xml:space="preserve">, Policy Statement, 15 FCC </w:t>
      </w:r>
      <w:r>
        <w:t>Rcd</w:t>
      </w:r>
      <w:r>
        <w:t xml:space="preserve"> 24178 (2000) (</w:t>
      </w:r>
      <w:r w:rsidRPr="00302BCA">
        <w:rPr>
          <w:i/>
          <w:iCs/>
        </w:rPr>
        <w:t>Secondary Markets Policy Statement</w:t>
      </w:r>
      <w:r>
        <w:t>).</w:t>
      </w:r>
    </w:p>
  </w:footnote>
  <w:footnote w:id="113">
    <w:p w:rsidR="0025350E" w:rsidP="0025350E" w14:paraId="11881257" w14:textId="77777777">
      <w:pPr>
        <w:pStyle w:val="FootnoteText"/>
      </w:pPr>
      <w:r>
        <w:rPr>
          <w:rStyle w:val="FootnoteReference"/>
        </w:rPr>
        <w:footnoteRef/>
      </w:r>
      <w:r>
        <w:t xml:space="preserve"> </w:t>
      </w:r>
      <w:r w:rsidRPr="00302BCA">
        <w:rPr>
          <w:i/>
          <w:iCs/>
        </w:rPr>
        <w:t>Id.</w:t>
      </w:r>
      <w:r>
        <w:t xml:space="preserve"> at 24178-79, para. 2.</w:t>
      </w:r>
    </w:p>
  </w:footnote>
  <w:footnote w:id="114">
    <w:p w:rsidR="0025350E" w:rsidP="0025350E" w14:paraId="2C345851" w14:textId="77777777">
      <w:pPr>
        <w:pStyle w:val="FootnoteText"/>
      </w:pPr>
      <w:r>
        <w:rPr>
          <w:rStyle w:val="FootnoteReference"/>
        </w:rPr>
        <w:footnoteRef/>
      </w:r>
      <w:r>
        <w:t xml:space="preserve"> </w:t>
      </w:r>
      <w:r w:rsidRPr="00302BCA">
        <w:rPr>
          <w:i/>
          <w:iCs/>
        </w:rPr>
        <w:t>Id.</w:t>
      </w:r>
    </w:p>
  </w:footnote>
  <w:footnote w:id="115">
    <w:p w:rsidR="0025350E" w:rsidRPr="00302BCA" w:rsidP="0025350E" w14:paraId="6F2CE48E" w14:textId="77777777">
      <w:pPr>
        <w:pStyle w:val="FootnoteText"/>
      </w:pPr>
      <w:r>
        <w:rPr>
          <w:rStyle w:val="FootnoteReference"/>
        </w:rPr>
        <w:footnoteRef/>
      </w:r>
      <w:r>
        <w:t xml:space="preserve"> </w:t>
      </w:r>
      <w:r w:rsidRPr="00302BCA">
        <w:rPr>
          <w:i/>
          <w:iCs/>
        </w:rPr>
        <w:t>Promoting Efficient Use of Spectrum Through Elimination of Barriers to the Development of Secondary Markets</w:t>
      </w:r>
      <w:r>
        <w:t xml:space="preserve">, Report and Order and Further Notice of Proposed Rulemaking, 18 FCC </w:t>
      </w:r>
      <w:r>
        <w:t>Rcd</w:t>
      </w:r>
      <w:r>
        <w:t xml:space="preserve"> 20604 (2003) (2003 </w:t>
      </w:r>
      <w:r w:rsidRPr="00302BCA">
        <w:rPr>
          <w:i/>
          <w:iCs/>
        </w:rPr>
        <w:t>Secondary Markets R&amp;O and FNPRM</w:t>
      </w:r>
      <w:r>
        <w:t xml:space="preserve">); </w:t>
      </w:r>
      <w:r w:rsidRPr="00302BCA">
        <w:rPr>
          <w:i/>
          <w:iCs/>
        </w:rPr>
        <w:t>Promoting Efficient Use of Spectrum Through Elimination of Barriers to the Development of Secondary Markets</w:t>
      </w:r>
      <w:r>
        <w:t xml:space="preserve">, Second Report and Order, Order on Reconsideration, and Second Further Notice of Proposed Rulemaking, 19 FCC </w:t>
      </w:r>
      <w:r>
        <w:t>Rcd</w:t>
      </w:r>
      <w:r>
        <w:t xml:space="preserve"> 17503 (2004) (</w:t>
      </w:r>
      <w:r w:rsidRPr="00302BCA">
        <w:rPr>
          <w:i/>
          <w:iCs/>
        </w:rPr>
        <w:t>Secondary Markets Second R&amp;O and Second FNPRM</w:t>
      </w:r>
      <w:r>
        <w:t>).</w:t>
      </w:r>
    </w:p>
  </w:footnote>
  <w:footnote w:id="116">
    <w:p w:rsidR="0025350E" w:rsidRPr="0033406F" w:rsidP="0025350E" w14:paraId="28490037" w14:textId="77777777">
      <w:pPr>
        <w:pStyle w:val="FootnoteText"/>
      </w:pPr>
      <w:r>
        <w:rPr>
          <w:rStyle w:val="FootnoteReference"/>
        </w:rPr>
        <w:footnoteRef/>
      </w:r>
      <w:r>
        <w:t xml:space="preserve"> </w:t>
      </w:r>
      <w:r w:rsidRPr="00302BCA">
        <w:rPr>
          <w:i/>
          <w:iCs/>
        </w:rPr>
        <w:t>Secondary Markets R&amp;O and FNPRM</w:t>
      </w:r>
      <w:r>
        <w:t xml:space="preserve"> at 20686-87, para. 209; </w:t>
      </w:r>
      <w:r w:rsidRPr="00302BCA">
        <w:rPr>
          <w:i/>
          <w:iCs/>
        </w:rPr>
        <w:t>Secondary Markets Second R&amp;O and Second FNPRM</w:t>
      </w:r>
      <w:r>
        <w:t xml:space="preserve"> at 17534, para. 63.</w:t>
      </w:r>
    </w:p>
  </w:footnote>
  <w:footnote w:id="117">
    <w:p w:rsidR="0025350E" w:rsidRPr="0033406F" w:rsidP="0025350E" w14:paraId="139A15B9" w14:textId="77777777">
      <w:pPr>
        <w:pStyle w:val="FootnoteText"/>
      </w:pPr>
      <w:r>
        <w:rPr>
          <w:rStyle w:val="FootnoteReference"/>
        </w:rPr>
        <w:footnoteRef/>
      </w:r>
      <w:r>
        <w:t xml:space="preserve"> </w:t>
      </w:r>
      <w:r w:rsidRPr="00302BCA">
        <w:rPr>
          <w:i/>
          <w:iCs/>
        </w:rPr>
        <w:t>Secondary Markets R&amp;O and FNPRM</w:t>
      </w:r>
      <w:r>
        <w:t xml:space="preserve"> at 20608, para. 3.</w:t>
      </w:r>
    </w:p>
  </w:footnote>
  <w:footnote w:id="118">
    <w:p w:rsidR="0025350E" w:rsidP="0025350E" w14:paraId="19402896" w14:textId="77777777">
      <w:pPr>
        <w:pStyle w:val="FootnoteText"/>
      </w:pPr>
      <w:r>
        <w:rPr>
          <w:rStyle w:val="FootnoteReference"/>
        </w:rPr>
        <w:footnoteRef/>
      </w:r>
      <w:r>
        <w:t xml:space="preserve"> </w:t>
      </w:r>
      <w:r w:rsidRPr="00FE32C7">
        <w:t xml:space="preserve">47 CFR §§ 1.9030(a), (e), 1.9035(a), (e).  Though two spectrum leasing options generally exist, we note that another leasing option—available only to 3.5 GHz Priority Access Licensees and therefore outside the scope of this Report and Order—is light touch leasing, a process that builds upon and incorporates our traditional spectrum manager leasing approval process.  </w:t>
      </w:r>
      <w:r w:rsidRPr="008A5F32">
        <w:rPr>
          <w:i/>
          <w:iCs/>
        </w:rPr>
        <w:t>Id.</w:t>
      </w:r>
      <w:r w:rsidRPr="00FE32C7">
        <w:t xml:space="preserve"> §§ 1.9046, 96.32(c), 96.66</w:t>
      </w:r>
      <w:r>
        <w:t>.</w:t>
      </w:r>
    </w:p>
  </w:footnote>
  <w:footnote w:id="119">
    <w:p w:rsidR="0025350E" w:rsidP="0025350E" w14:paraId="4D61B5D1" w14:textId="77777777">
      <w:pPr>
        <w:pStyle w:val="FootnoteText"/>
      </w:pPr>
      <w:r>
        <w:rPr>
          <w:rStyle w:val="FootnoteReference"/>
        </w:rPr>
        <w:footnoteRef/>
      </w:r>
      <w:r>
        <w:t xml:space="preserve"> </w:t>
      </w:r>
      <w:r w:rsidRPr="2129D06C">
        <w:rPr>
          <w:i/>
          <w:iCs/>
        </w:rPr>
        <w:t>Id.</w:t>
      </w:r>
      <w:r>
        <w:t xml:space="preserve"> §§ 1.9030(a), 1.9035(a).</w:t>
      </w:r>
    </w:p>
  </w:footnote>
  <w:footnote w:id="120">
    <w:p w:rsidR="0025350E" w:rsidP="0025350E" w14:paraId="3888FD06" w14:textId="543F0B57">
      <w:pPr>
        <w:pStyle w:val="FootnoteText"/>
      </w:pPr>
      <w:r>
        <w:rPr>
          <w:rStyle w:val="FootnoteReference"/>
        </w:rPr>
        <w:footnoteRef/>
      </w:r>
      <w:r>
        <w:t xml:space="preserve"> </w:t>
      </w:r>
      <w:r>
        <w:rPr>
          <w:i/>
        </w:rPr>
        <w:t>Id.</w:t>
      </w:r>
      <w:r>
        <w:t xml:space="preserve"> § 1.9020(e)(1)(ii) (requiring 21 days advance notice for spectrum manager leasing arrangements greater than </w:t>
      </w:r>
      <w:r w:rsidR="007B49A0">
        <w:t>1</w:t>
      </w:r>
      <w:r>
        <w:t xml:space="preserve"> year in length, or 10 days advance notice for arrangements of </w:t>
      </w:r>
      <w:r w:rsidR="007B49A0">
        <w:t>1</w:t>
      </w:r>
      <w:r>
        <w:t xml:space="preserve"> year or less in length).  The Commission reviews the notifications to ensure that all necessary technical and other information is correctly submitted, but the subject spectrum leasing arrangement may be implemented without waiting for such review, unless the parties to the spectrum manager leasing arrangement have requested on the form that the arrangement become effective upon Commission acceptance of the notification.  Spectrum manager leasing notifications require no prior public notice before the Commission may accept them.</w:t>
      </w:r>
    </w:p>
  </w:footnote>
  <w:footnote w:id="121">
    <w:p w:rsidR="0025350E" w:rsidP="0025350E" w14:paraId="7A5FB0CF" w14:textId="77777777">
      <w:pPr>
        <w:pStyle w:val="FootnoteText"/>
      </w:pPr>
      <w:r>
        <w:rPr>
          <w:rStyle w:val="FootnoteReference"/>
        </w:rPr>
        <w:footnoteRef/>
      </w:r>
      <w:r>
        <w:t xml:space="preserve"> </w:t>
      </w:r>
      <w:r w:rsidRPr="2129D06C">
        <w:rPr>
          <w:i/>
          <w:iCs/>
        </w:rPr>
        <w:t>Id.</w:t>
      </w:r>
      <w:r>
        <w:t xml:space="preserve"> §§ 1.9030(a), (e), 1.9035(a), (e).  Both long-term and short-term </w:t>
      </w:r>
      <w:r>
        <w:rPr>
          <w:i/>
        </w:rPr>
        <w:t>de facto</w:t>
      </w:r>
      <w:r>
        <w:t xml:space="preserve"> transfer spectrum leasing applications are subject to overnight processing under the Commission’s immediate approval procedures if the filing meets certain conditions.  </w:t>
      </w:r>
      <w:r>
        <w:rPr>
          <w:i/>
        </w:rPr>
        <w:t>Id.</w:t>
      </w:r>
      <w:r>
        <w:t xml:space="preserve"> §§ 1.9030(e)(2) (immediate approval procedures), 1.9035(e) (certain conditions still must be met in order for a short-term </w:t>
      </w:r>
      <w:r>
        <w:rPr>
          <w:i/>
        </w:rPr>
        <w:t>de facto</w:t>
      </w:r>
      <w:r>
        <w:t xml:space="preserve"> transfer lease to qualify for immediate processing).</w:t>
      </w:r>
    </w:p>
  </w:footnote>
  <w:footnote w:id="122">
    <w:p w:rsidR="0025350E" w:rsidP="0025350E" w14:paraId="440EE90A" w14:textId="77777777">
      <w:pPr>
        <w:pStyle w:val="FootnoteText"/>
      </w:pPr>
      <w:r>
        <w:rPr>
          <w:rStyle w:val="FootnoteReference"/>
        </w:rPr>
        <w:footnoteRef/>
      </w:r>
      <w:r>
        <w:t xml:space="preserve"> We seek comment on whether SiriusXM could also itself use a secondary allocation for SOS in the 2320-2345 MHz band to provide command uplinks to spacecraft used for emergent space operations, should it elect to do so.</w:t>
      </w:r>
    </w:p>
  </w:footnote>
  <w:footnote w:id="123">
    <w:p w:rsidR="0025350E" w:rsidP="0025350E" w14:paraId="0B0EF795" w14:textId="77777777">
      <w:pPr>
        <w:pStyle w:val="FootnoteText"/>
      </w:pPr>
      <w:r>
        <w:rPr>
          <w:rStyle w:val="FootnoteReference"/>
        </w:rPr>
        <w:footnoteRef/>
      </w:r>
      <w:r>
        <w:t xml:space="preserve"> We note that all non-Federal earth stations transmitting within the United States require a license from the FCC.  Any such FCC-licensed earth stations would have had to have certified that their operations in the 2320-2345 MHz band have been coordinated with and approved by SiriusXM prior to receiving a license.</w:t>
      </w:r>
    </w:p>
  </w:footnote>
  <w:footnote w:id="124">
    <w:p w:rsidR="0025350E" w:rsidP="0025350E" w14:paraId="583CC587" w14:textId="11A2EAFD">
      <w:pPr>
        <w:pStyle w:val="FootnoteText"/>
      </w:pPr>
      <w:r>
        <w:rPr>
          <w:rStyle w:val="FootnoteReference"/>
        </w:rPr>
        <w:footnoteRef/>
      </w:r>
      <w:r>
        <w:t xml:space="preserve"> 47 U.S.C.</w:t>
      </w:r>
      <w:r w:rsidR="007B49A0">
        <w:t xml:space="preserve"> </w:t>
      </w:r>
      <w:r>
        <w:t>§ 310 (Limitation on Holding and Transfer of Licenses).</w:t>
      </w:r>
    </w:p>
  </w:footnote>
  <w:footnote w:id="125">
    <w:p w:rsidR="0025350E" w:rsidP="0025350E" w14:paraId="2E72A0F0" w14:textId="4DE22CBE">
      <w:pPr>
        <w:pStyle w:val="FootnoteText"/>
      </w:pPr>
      <w:r>
        <w:rPr>
          <w:rStyle w:val="FootnoteReference"/>
        </w:rPr>
        <w:footnoteRef/>
      </w:r>
      <w:r>
        <w:t xml:space="preserve"> </w:t>
      </w:r>
      <w:r w:rsidRPr="0068646C">
        <w:rPr>
          <w:i/>
        </w:rPr>
        <w:t>See</w:t>
      </w:r>
      <w:r>
        <w:t xml:space="preserve"> Canada and Mexico SDARS Agreements, </w:t>
      </w:r>
      <w:r w:rsidRPr="001103A2">
        <w:rPr>
          <w:i/>
          <w:iCs/>
        </w:rPr>
        <w:t>supra</w:t>
      </w:r>
      <w:r w:rsidRPr="001103A2">
        <w:t xml:space="preserve"> note </w:t>
      </w:r>
      <w:r w:rsidRPr="00964089">
        <w:t>10</w:t>
      </w:r>
      <w:r w:rsidR="00652C2B">
        <w:t>2</w:t>
      </w:r>
      <w:r w:rsidRPr="00964089">
        <w:t>,</w:t>
      </w:r>
      <w:r>
        <w:t xml:space="preserve"> </w:t>
      </w:r>
      <w:hyperlink r:id="rId5" w:history="1">
        <w:r w:rsidRPr="00906E09">
          <w:rPr>
            <w:rStyle w:val="Hyperlink"/>
          </w:rPr>
          <w:t>https://www.fcc.gov/general/international-agreements</w:t>
        </w:r>
      </w:hyperlink>
      <w:r>
        <w:t>.</w:t>
      </w:r>
    </w:p>
  </w:footnote>
  <w:footnote w:id="126">
    <w:p w:rsidR="0025350E" w:rsidRPr="00BE1604" w:rsidP="0025350E" w14:paraId="7E94E94E" w14:textId="77777777">
      <w:pPr>
        <w:pStyle w:val="FootnoteText"/>
        <w:rPr>
          <w:b/>
          <w:bCs/>
        </w:rPr>
      </w:pPr>
      <w:r>
        <w:rPr>
          <w:rStyle w:val="FootnoteReference"/>
        </w:rPr>
        <w:footnoteRef/>
      </w:r>
      <w:r>
        <w:t xml:space="preserve"> </w:t>
      </w:r>
      <w:r w:rsidRPr="0052538B">
        <w:t>Open-market Reorganization for the Betterment of International Telecommunications Act (ORBIT Act), Pub. L. No. 106-180, §</w:t>
      </w:r>
      <w:r w:rsidRPr="0052538B">
        <w:t> </w:t>
      </w:r>
      <w:r w:rsidRPr="0052538B">
        <w:t>647, 114 Stat. 48 (2000) (codified at 47 U.S.C. §</w:t>
      </w:r>
      <w:r w:rsidRPr="0052538B">
        <w:t> </w:t>
      </w:r>
      <w:r w:rsidRPr="0052538B">
        <w:t>765f)</w:t>
      </w:r>
      <w:r>
        <w:t>.</w:t>
      </w:r>
      <w:r w:rsidRPr="00BE1604">
        <w:t xml:space="preserve"> </w:t>
      </w:r>
      <w:r>
        <w:t xml:space="preserve"> </w:t>
      </w:r>
      <w:r w:rsidRPr="0052538B">
        <w:t xml:space="preserve">Section 647 of the ORBIT Act provides </w:t>
      </w:r>
      <w:r>
        <w:t>that, “</w:t>
      </w:r>
      <w:r w:rsidRPr="0052538B">
        <w:t>Notwithstanding any other provision of law, the Commission shall not have the authority to assign by competitive bidding orbital locations or spectrum used for the provision of international or global satellite communications services.</w:t>
      </w:r>
      <w:r>
        <w:t xml:space="preserve">  </w:t>
      </w:r>
      <w:r w:rsidRPr="0052538B">
        <w:t>The President shall oppose in the International Telecommunication Union and in other bilateral and multilateral fora any assignment by competitive bidding of orbital locations or spectrum used for the provision of such services.</w:t>
      </w:r>
      <w:r>
        <w:t xml:space="preserve">”  </w:t>
      </w:r>
      <w:r w:rsidRPr="0052538B">
        <w:t>47 U.S.C. §</w:t>
      </w:r>
      <w:r>
        <w:t xml:space="preserve"> </w:t>
      </w:r>
      <w:r w:rsidRPr="0052538B">
        <w:t>765f.</w:t>
      </w:r>
    </w:p>
  </w:footnote>
  <w:footnote w:id="127">
    <w:p w:rsidR="0025350E" w:rsidP="0025350E" w14:paraId="31C75889" w14:textId="77777777">
      <w:pPr>
        <w:pStyle w:val="FootnoteText"/>
      </w:pPr>
      <w:r>
        <w:rPr>
          <w:rStyle w:val="FootnoteReference"/>
        </w:rPr>
        <w:footnoteRef/>
      </w:r>
      <w:r>
        <w:t xml:space="preserve"> A House Report pertaining to a bill introduced prior to the ORBIT Act but that contained the same language pertaining to satellite auctions stated that</w:t>
      </w:r>
      <w:r w:rsidRPr="0052538B">
        <w:t xml:space="preserve"> “concurrent or successive spectrum auctions in the numerous countries in which U.S.-owned global satellite service providers seek downlink or service provision licenses could place significant financial burdens on providers of such services</w:t>
      </w:r>
      <w:r>
        <w:t>.</w:t>
      </w:r>
      <w:r w:rsidRPr="0052538B">
        <w:t>”</w:t>
      </w:r>
      <w:r w:rsidRPr="007C54FF">
        <w:t xml:space="preserve"> </w:t>
      </w:r>
      <w:r w:rsidRPr="0052538B">
        <w:t>H.R. Rep. No. 105-494, at 65 (1998)</w:t>
      </w:r>
      <w:r>
        <w:t>.</w:t>
      </w:r>
    </w:p>
  </w:footnote>
  <w:footnote w:id="128">
    <w:p w:rsidR="0025350E" w:rsidP="0025350E" w14:paraId="479C5BB5" w14:textId="77777777">
      <w:pPr>
        <w:pStyle w:val="FootnoteText"/>
      </w:pPr>
      <w:r>
        <w:rPr>
          <w:rStyle w:val="FootnoteReference"/>
        </w:rPr>
        <w:footnoteRef/>
      </w:r>
      <w:r>
        <w:t xml:space="preserve"> We note that the D.C. Circuit has previously </w:t>
      </w:r>
      <w:r w:rsidRPr="004410CE">
        <w:t xml:space="preserve">vacated the </w:t>
      </w:r>
      <w:r>
        <w:t>Commission</w:t>
      </w:r>
      <w:r w:rsidRPr="004410CE">
        <w:t>’s decision to auction DBS licenses, holding that the Commission’s conclusion—that DBS is a purely domestic service exempt from the ORBIT Act—was not adequately supported by the administrative record.</w:t>
      </w:r>
      <w:r>
        <w:t xml:space="preserve">  </w:t>
      </w:r>
      <w:r w:rsidRPr="00B433FF">
        <w:rPr>
          <w:i/>
          <w:iCs/>
        </w:rPr>
        <w:t xml:space="preserve">Northpoint Technology, Ltd. et al. v. </w:t>
      </w:r>
      <w:r>
        <w:rPr>
          <w:i/>
          <w:iCs/>
        </w:rPr>
        <w:t>Federal Communications Commission,</w:t>
      </w:r>
      <w:r>
        <w:t xml:space="preserve"> 412 F.3d 145 (D.C. Cir. 2005).  The court found that the Commission had not adequately distinguished between DBS (which the Commission argued was a domestic-only service) and NGSO FSS (which operated in the same 12.2-12.7 GHz frequency band as DBS, but which the Commission conceded was an international satellite service.  </w:t>
      </w:r>
      <w:r w:rsidRPr="005F14E0">
        <w:rPr>
          <w:i/>
          <w:iCs/>
        </w:rPr>
        <w:t>Id.</w:t>
      </w:r>
      <w:r>
        <w:t xml:space="preserve"> at 154-55.</w:t>
      </w:r>
    </w:p>
  </w:footnote>
  <w:footnote w:id="129">
    <w:p w:rsidR="0025350E" w:rsidP="0025350E" w14:paraId="547703B9" w14:textId="38BF3280">
      <w:pPr>
        <w:pStyle w:val="FootnoteText"/>
      </w:pPr>
      <w:r>
        <w:rPr>
          <w:rStyle w:val="FootnoteReference"/>
        </w:rPr>
        <w:footnoteRef/>
      </w:r>
      <w:r>
        <w:t xml:space="preserve"> </w:t>
      </w:r>
      <w:r w:rsidRPr="00286AF4">
        <w:rPr>
          <w:i/>
          <w:iCs/>
        </w:rPr>
        <w:t>See New Cingular Wireless PCS, LLC, AT&amp;T Mobility Spectrum LLC, and New Cingular Wireless Services, Inc., Request for Waiver</w:t>
      </w:r>
      <w:r>
        <w:t>, Order, DA 24-1176 (WTB Nov. 25, 2024) (</w:t>
      </w:r>
      <w:r w:rsidRPr="00286AF4">
        <w:rPr>
          <w:i/>
          <w:iCs/>
        </w:rPr>
        <w:t>Blocks C&amp;D Waiver Order</w:t>
      </w:r>
      <w:r>
        <w:t>).</w:t>
      </w:r>
    </w:p>
  </w:footnote>
  <w:footnote w:id="130">
    <w:p w:rsidR="0025350E" w:rsidP="0025350E" w14:paraId="74D6A94B" w14:textId="77777777">
      <w:pPr>
        <w:pStyle w:val="FootnoteText"/>
      </w:pPr>
      <w:r>
        <w:rPr>
          <w:rStyle w:val="FootnoteReference"/>
        </w:rPr>
        <w:footnoteRef/>
      </w:r>
      <w:r>
        <w:t xml:space="preserve"> 47 CFR § 2.106(c)(97).</w:t>
      </w:r>
    </w:p>
  </w:footnote>
  <w:footnote w:id="131">
    <w:p w:rsidR="0025350E" w:rsidRPr="00DA13F2" w:rsidP="0025350E" w14:paraId="6A29A152" w14:textId="77777777">
      <w:pPr>
        <w:pStyle w:val="FootnoteText"/>
      </w:pPr>
      <w:r>
        <w:rPr>
          <w:rStyle w:val="FootnoteReference"/>
        </w:rPr>
        <w:footnoteRef/>
      </w:r>
      <w:r>
        <w:t xml:space="preserve"> </w:t>
      </w:r>
      <w:r w:rsidRPr="00286AF4">
        <w:rPr>
          <w:i/>
          <w:iCs/>
        </w:rPr>
        <w:t>Blocks C&amp;D Waiver Order</w:t>
      </w:r>
      <w:r>
        <w:t>, at para. 7.</w:t>
      </w:r>
    </w:p>
  </w:footnote>
  <w:footnote w:id="132">
    <w:p w:rsidR="0025350E" w:rsidP="0025350E" w14:paraId="5A1EC963" w14:textId="77777777">
      <w:pPr>
        <w:pStyle w:val="FootnoteText"/>
      </w:pPr>
      <w:r>
        <w:rPr>
          <w:rStyle w:val="FootnoteReference"/>
        </w:rPr>
        <w:footnoteRef/>
      </w:r>
      <w:r>
        <w:t xml:space="preserve"> 47 CFR § 2.106(e)(122).</w:t>
      </w:r>
    </w:p>
  </w:footnote>
  <w:footnote w:id="133">
    <w:p w:rsidR="0025350E" w:rsidP="0025350E" w14:paraId="6A20CBCE" w14:textId="77777777">
      <w:pPr>
        <w:pStyle w:val="FootnoteText"/>
      </w:pPr>
      <w:r>
        <w:rPr>
          <w:rStyle w:val="FootnoteReference"/>
        </w:rPr>
        <w:footnoteRef/>
      </w:r>
      <w:r>
        <w:t xml:space="preserve"> </w:t>
      </w:r>
      <w:r w:rsidRPr="008A5F32">
        <w:rPr>
          <w:i/>
          <w:iCs/>
        </w:rPr>
        <w:t>Id.</w:t>
      </w:r>
      <w:r>
        <w:t xml:space="preserve"> § 2.106(c)(97).</w:t>
      </w:r>
    </w:p>
  </w:footnote>
  <w:footnote w:id="134">
    <w:p w:rsidR="0025350E" w:rsidP="0025350E" w14:paraId="07378CCF" w14:textId="77777777">
      <w:pPr>
        <w:pStyle w:val="FootnoteText"/>
      </w:pPr>
      <w:r>
        <w:rPr>
          <w:rStyle w:val="FootnoteReference"/>
        </w:rPr>
        <w:footnoteRef/>
      </w:r>
      <w:r>
        <w:t xml:space="preserve"> The 2310-2320 MHz band is also subject to footnote US327, which provides that the 2310-2360 MHz band is allocated to BSS(sound) and complementary terrestrial broadcasting service on a primary basis, and that such use is limited to digital audio broadcasting, subject to the provisions of ITU Resolution 528.  </w:t>
      </w:r>
      <w:r w:rsidRPr="008A5F32">
        <w:rPr>
          <w:i/>
          <w:iCs/>
        </w:rPr>
        <w:t>Id.</w:t>
      </w:r>
      <w:r>
        <w:rPr>
          <w:i/>
          <w:iCs/>
        </w:rPr>
        <w:t xml:space="preserve"> </w:t>
      </w:r>
      <w:r>
        <w:t>§ 2.106(c)(327).</w:t>
      </w:r>
    </w:p>
  </w:footnote>
  <w:footnote w:id="135">
    <w:p w:rsidR="0025350E" w:rsidP="0025350E" w14:paraId="7921950C" w14:textId="77777777">
      <w:pPr>
        <w:pStyle w:val="FootnoteText"/>
      </w:pPr>
      <w:r>
        <w:rPr>
          <w:rStyle w:val="FootnoteReference"/>
        </w:rPr>
        <w:footnoteRef/>
      </w:r>
      <w:r>
        <w:t xml:space="preserve"> </w:t>
      </w:r>
      <w:r w:rsidRPr="00EC4EFB">
        <w:rPr>
          <w:i/>
          <w:iCs/>
        </w:rPr>
        <w:t>Id.</w:t>
      </w:r>
    </w:p>
  </w:footnote>
  <w:footnote w:id="136">
    <w:p w:rsidR="0025350E" w:rsidP="0025350E" w14:paraId="185FE1E0" w14:textId="77777777">
      <w:pPr>
        <w:pStyle w:val="FootnoteText"/>
      </w:pPr>
      <w:r>
        <w:rPr>
          <w:rStyle w:val="FootnoteReference"/>
        </w:rPr>
        <w:footnoteRef/>
      </w:r>
      <w:r>
        <w:t xml:space="preserve"> </w:t>
      </w:r>
      <w:r w:rsidRPr="008A5F32">
        <w:rPr>
          <w:i/>
          <w:iCs/>
        </w:rPr>
        <w:t>Id.</w:t>
      </w:r>
      <w:r>
        <w:rPr>
          <w:i/>
          <w:iCs/>
        </w:rPr>
        <w:t xml:space="preserve"> </w:t>
      </w:r>
      <w:r>
        <w:t>§ 2.106(c)(100).</w:t>
      </w:r>
    </w:p>
  </w:footnote>
  <w:footnote w:id="137">
    <w:p w:rsidR="0025350E" w:rsidP="0025350E" w14:paraId="3169133C" w14:textId="77777777">
      <w:pPr>
        <w:pStyle w:val="FootnoteText"/>
      </w:pPr>
      <w:r>
        <w:rPr>
          <w:rStyle w:val="FootnoteReference"/>
        </w:rPr>
        <w:footnoteRef/>
      </w:r>
      <w:r>
        <w:t xml:space="preserve"> </w:t>
      </w:r>
      <w:r w:rsidRPr="008A5F32">
        <w:rPr>
          <w:i/>
          <w:iCs/>
        </w:rPr>
        <w:t>Id.</w:t>
      </w:r>
      <w:r>
        <w:rPr>
          <w:i/>
          <w:iCs/>
        </w:rPr>
        <w:t xml:space="preserve"> </w:t>
      </w:r>
      <w:r>
        <w:t>§ 2.106(c)(100)(</w:t>
      </w:r>
      <w:r>
        <w:t>i</w:t>
      </w:r>
      <w:r>
        <w:t>).</w:t>
      </w:r>
    </w:p>
  </w:footnote>
  <w:footnote w:id="138">
    <w:p w:rsidR="0025350E" w:rsidP="0025350E" w14:paraId="2713BBDE" w14:textId="77777777">
      <w:pPr>
        <w:pStyle w:val="FootnoteText"/>
      </w:pPr>
      <w:r>
        <w:rPr>
          <w:rStyle w:val="FootnoteReference"/>
        </w:rPr>
        <w:footnoteRef/>
      </w:r>
      <w:r>
        <w:t xml:space="preserve"> </w:t>
      </w:r>
      <w:r w:rsidRPr="008A5F32">
        <w:rPr>
          <w:i/>
          <w:iCs/>
        </w:rPr>
        <w:t>Id.</w:t>
      </w:r>
      <w:r>
        <w:rPr>
          <w:i/>
          <w:iCs/>
        </w:rPr>
        <w:t xml:space="preserve"> </w:t>
      </w:r>
      <w:r>
        <w:t>§ 2.106.</w:t>
      </w:r>
    </w:p>
  </w:footnote>
  <w:footnote w:id="139">
    <w:p w:rsidR="0025350E" w:rsidP="0025350E" w14:paraId="3B1AE9AC" w14:textId="77777777">
      <w:pPr>
        <w:pStyle w:val="FootnoteText"/>
      </w:pPr>
      <w:r>
        <w:rPr>
          <w:rStyle w:val="FootnoteReference"/>
        </w:rPr>
        <w:footnoteRef/>
      </w:r>
      <w:r>
        <w:t xml:space="preserve"> </w:t>
      </w:r>
      <w:r w:rsidRPr="008A5F32">
        <w:rPr>
          <w:i/>
          <w:iCs/>
        </w:rPr>
        <w:t>Id.</w:t>
      </w:r>
      <w:r>
        <w:rPr>
          <w:i/>
          <w:iCs/>
        </w:rPr>
        <w:t xml:space="preserve"> </w:t>
      </w:r>
      <w:r>
        <w:t>§ 2.106(c)(100)(ii).</w:t>
      </w:r>
    </w:p>
  </w:footnote>
  <w:footnote w:id="140">
    <w:p w:rsidR="0025350E" w:rsidP="0025350E" w14:paraId="128343E7" w14:textId="3CCDCD4A">
      <w:pPr>
        <w:pStyle w:val="FootnoteText"/>
      </w:pPr>
      <w:r>
        <w:rPr>
          <w:rStyle w:val="FootnoteReference"/>
        </w:rPr>
        <w:footnoteRef/>
      </w:r>
      <w:r>
        <w:t xml:space="preserve"> </w:t>
      </w:r>
      <w:r w:rsidRPr="002A1466">
        <w:rPr>
          <w:i/>
          <w:iCs/>
        </w:rPr>
        <w:t>See Amendment of the Commission’s Rules to Establish Part 27, the Wireless Communications Service</w:t>
      </w:r>
      <w:r w:rsidRPr="002A1466">
        <w:t xml:space="preserve">, GN Docket No. 96-228, Report and Order, 12 FCC </w:t>
      </w:r>
      <w:r w:rsidRPr="002A1466">
        <w:t>Rcd</w:t>
      </w:r>
      <w:r w:rsidRPr="002A1466">
        <w:t xml:space="preserve"> 10785 (1997).</w:t>
      </w:r>
      <w:r>
        <w:t xml:space="preserve">  The FCC rules for WCS are contained in part 27, 47 CFR </w:t>
      </w:r>
      <w:r w:rsidR="00C54EF9">
        <w:t>pt.</w:t>
      </w:r>
      <w:r>
        <w:t xml:space="preserve"> 27.</w:t>
      </w:r>
    </w:p>
  </w:footnote>
  <w:footnote w:id="141">
    <w:p w:rsidR="0025350E" w:rsidP="0025350E" w14:paraId="50D0B548" w14:textId="77777777">
      <w:pPr>
        <w:pStyle w:val="FootnoteText"/>
      </w:pPr>
      <w:r>
        <w:rPr>
          <w:rStyle w:val="FootnoteReference"/>
        </w:rPr>
        <w:footnoteRef/>
      </w:r>
      <w:r>
        <w:t xml:space="preserve"> </w:t>
      </w:r>
      <w:r w:rsidRPr="008A5F32">
        <w:rPr>
          <w:i/>
          <w:iCs/>
        </w:rPr>
        <w:t>Id.</w:t>
      </w:r>
      <w:r>
        <w:rPr>
          <w:i/>
          <w:iCs/>
        </w:rPr>
        <w:t xml:space="preserve"> </w:t>
      </w:r>
      <w:r>
        <w:t>§ 27.201.</w:t>
      </w:r>
    </w:p>
  </w:footnote>
  <w:footnote w:id="142">
    <w:p w:rsidR="0025350E" w:rsidP="0025350E" w14:paraId="71C7661E" w14:textId="77777777">
      <w:pPr>
        <w:pStyle w:val="FootnoteText"/>
      </w:pPr>
      <w:r>
        <w:rPr>
          <w:rStyle w:val="FootnoteReference"/>
        </w:rPr>
        <w:footnoteRef/>
      </w:r>
      <w:r>
        <w:t xml:space="preserve"> </w:t>
      </w:r>
      <w:r w:rsidRPr="00B166DD">
        <w:rPr>
          <w:i/>
          <w:iCs/>
        </w:rPr>
        <w:t>See WCS Auction Closes, Winning Bidders in the Auction of 128 Wireless Communications Service Licenses</w:t>
      </w:r>
      <w:r w:rsidRPr="00C04C03">
        <w:t xml:space="preserve">, Public Notice, 12 FCC </w:t>
      </w:r>
      <w:r w:rsidRPr="00C04C03">
        <w:t>Rcd</w:t>
      </w:r>
      <w:r w:rsidRPr="00C04C03">
        <w:t xml:space="preserve"> 21653 (WTB Apr. 28, 1997)</w:t>
      </w:r>
      <w:r>
        <w:t xml:space="preserve">; </w:t>
      </w:r>
      <w:r w:rsidRPr="00B166DD">
        <w:rPr>
          <w:i/>
          <w:iCs/>
        </w:rPr>
        <w:t>FCC Announces the Grant of Wireless Communications Service (“WCS”) Licenses, Balance of Winning Bids are Due by August 4, 1997</w:t>
      </w:r>
      <w:r w:rsidRPr="00B166DD">
        <w:t xml:space="preserve">, Public Notice, 13 FCC </w:t>
      </w:r>
      <w:r w:rsidRPr="00B166DD">
        <w:t>Rcd</w:t>
      </w:r>
      <w:r w:rsidRPr="00B166DD">
        <w:t xml:space="preserve"> 4782 (WTB Jul. 21, 1997)</w:t>
      </w:r>
    </w:p>
  </w:footnote>
  <w:footnote w:id="143">
    <w:p w:rsidR="0025350E" w:rsidP="0025350E" w14:paraId="09A57A5F" w14:textId="77777777">
      <w:pPr>
        <w:pStyle w:val="FootnoteText"/>
      </w:pPr>
      <w:r>
        <w:rPr>
          <w:rStyle w:val="FootnoteReference"/>
        </w:rPr>
        <w:footnoteRef/>
      </w:r>
      <w:r>
        <w:t xml:space="preserve"> </w:t>
      </w:r>
      <w:r w:rsidRPr="00EC4EFB">
        <w:rPr>
          <w:i/>
          <w:iCs/>
        </w:rPr>
        <w:t>See</w:t>
      </w:r>
      <w:r>
        <w:t xml:space="preserve"> 47 CFR § 27.6(a).</w:t>
      </w:r>
    </w:p>
  </w:footnote>
  <w:footnote w:id="144">
    <w:p w:rsidR="0025350E" w:rsidRPr="00343036" w:rsidP="0025350E" w14:paraId="2C545086" w14:textId="77777777">
      <w:pPr>
        <w:pStyle w:val="FootnoteText"/>
      </w:pPr>
      <w:r>
        <w:rPr>
          <w:rStyle w:val="FootnoteReference"/>
        </w:rPr>
        <w:footnoteRef/>
      </w:r>
      <w:r>
        <w:t xml:space="preserve"> </w:t>
      </w:r>
      <w:r>
        <w:rPr>
          <w:i/>
          <w:iCs/>
        </w:rPr>
        <w:t>See e.g.</w:t>
      </w:r>
      <w:r>
        <w:t>, Care Weather Technologies, ELS File No. 0663-EX-CR-2023, granted Oct. 27, 2023 (application for LIME satellite) and Iridium Satellite LLC, ELS File No. 0498-EX-CN-2024, granted Jan. 1, 2025 (application for Iridium companion license).</w:t>
      </w:r>
    </w:p>
  </w:footnote>
  <w:footnote w:id="145">
    <w:p w:rsidR="0025350E" w:rsidRPr="00D30D92" w:rsidP="0025350E" w14:paraId="39A1FF7E" w14:textId="77777777">
      <w:pPr>
        <w:pStyle w:val="FootnoteText"/>
      </w:pPr>
      <w:r>
        <w:rPr>
          <w:rStyle w:val="FootnoteReference"/>
        </w:rPr>
        <w:footnoteRef/>
      </w:r>
      <w:r>
        <w:t xml:space="preserve"> </w:t>
      </w:r>
      <w:r>
        <w:rPr>
          <w:i/>
          <w:iCs/>
        </w:rPr>
        <w:t xml:space="preserve">See </w:t>
      </w:r>
      <w:r>
        <w:t>Iridium Constellation LLC, ICFS File No. SAT-MOD-20171030-00146, granted Jan. 1, 2018.</w:t>
      </w:r>
    </w:p>
  </w:footnote>
  <w:footnote w:id="146">
    <w:p w:rsidR="00975E0B" w:rsidP="00975E0B" w14:paraId="47967885" w14:textId="12B7AB94">
      <w:pPr>
        <w:pStyle w:val="FootnoteText"/>
      </w:pPr>
      <w:r>
        <w:rPr>
          <w:rStyle w:val="FootnoteReference"/>
        </w:rPr>
        <w:footnoteRef/>
      </w:r>
      <w:r>
        <w:t xml:space="preserve"> Section 25.202 of the Commission’s rules provides that the following frequency bands are available for use by the inter-satellite service: 22.55-23.00 GHz; 23.00-23.55 GHz; 24.45-24.65 GHz; 24.65-24.75 GHz; 54.25-56.90 GHz; 57.00-58.20 GHz; and 65.00-71.00 GHz. 47 CFR § 25.202(a)(5).  Other frequency bands, such as L-band frequencies in the 1.6/2.4 GHz band, have been permitted for use for inter-satellite links through license grants on a case-by-case basis.</w:t>
      </w:r>
      <w:r w:rsidR="00652C2B">
        <w:t xml:space="preserve"> </w:t>
      </w:r>
      <w:r>
        <w:t xml:space="preserve"> </w:t>
      </w:r>
      <w:r w:rsidRPr="00975E0B">
        <w:rPr>
          <w:i/>
          <w:iCs/>
        </w:rPr>
        <w:t>See supra</w:t>
      </w:r>
      <w:r>
        <w:t xml:space="preserve"> note 14</w:t>
      </w:r>
      <w:r w:rsidR="00652C2B">
        <w:t>2</w:t>
      </w:r>
      <w:r>
        <w:t>.</w:t>
      </w:r>
    </w:p>
  </w:footnote>
  <w:footnote w:id="147">
    <w:p w:rsidR="0025350E" w:rsidP="0025350E" w14:paraId="16D3644F" w14:textId="3E497530">
      <w:pPr>
        <w:pStyle w:val="FootnoteText"/>
      </w:pPr>
      <w:r>
        <w:rPr>
          <w:rStyle w:val="FootnoteReference"/>
        </w:rPr>
        <w:footnoteRef/>
      </w:r>
      <w:r>
        <w:t xml:space="preserve"> </w:t>
      </w:r>
      <w:r w:rsidRPr="00753436">
        <w:rPr>
          <w:i/>
          <w:iCs/>
        </w:rPr>
        <w:t>See, e.g.</w:t>
      </w:r>
      <w:r>
        <w:t>, WRC-27 Agenda Item 1.11 (</w:t>
      </w:r>
      <w:r w:rsidRPr="009117F0">
        <w:t>to consider the technical and operational issues, and regulatory provisions, for space-to-space links among non-geostationary and geostationary satellites in the frequency bands 1518-1544 MHz, 1545-1559 MHz, 1610-1645.5 MHz, 1646.5-1660 MHz, 1670-1675 MHz and 2483.5-2500 MHz allocated to the mobile-satellite service, in accordance with Resolution 249 (Rev.WRC‑23)</w:t>
      </w:r>
      <w:r>
        <w:t xml:space="preserve">), </w:t>
      </w:r>
      <w:hyperlink r:id="rId6" w:history="1">
        <w:r w:rsidRPr="00EA4BF2">
          <w:rPr>
            <w:rStyle w:val="Hyperlink"/>
          </w:rPr>
          <w:t>https://www.itu.int/en/ITU-R/study-groups/rcpm/Pages/wrc-27-studies.aspx</w:t>
        </w:r>
      </w:hyperlink>
      <w:r>
        <w:t xml:space="preserve">. </w:t>
      </w:r>
    </w:p>
  </w:footnote>
  <w:footnote w:id="148">
    <w:p w:rsidR="0025350E" w:rsidP="0025350E" w14:paraId="46BBF4E1" w14:textId="77777777">
      <w:pPr>
        <w:pStyle w:val="FootnoteText"/>
      </w:pPr>
      <w:r>
        <w:rPr>
          <w:rStyle w:val="FootnoteReference"/>
        </w:rPr>
        <w:footnoteRef/>
      </w:r>
      <w:r>
        <w:t xml:space="preserve"> </w:t>
      </w:r>
      <w:r w:rsidRPr="001566D0">
        <w:t>According to the Bureau of Labor Statistics, as of April 2025, the median wage for lawyers was $72.67/hour</w:t>
      </w:r>
      <w:r>
        <w:t xml:space="preserve">.  </w:t>
      </w:r>
      <w:r w:rsidRPr="00364118">
        <w:t>Bureau of Labor Statistics, Occupational Outlook Handbook, April</w:t>
      </w:r>
      <w:r>
        <w:t xml:space="preserve"> 2</w:t>
      </w:r>
      <w:r w:rsidRPr="00AA2D40">
        <w:t xml:space="preserve">025 (Jul. 9, 2025), </w:t>
      </w:r>
      <w:hyperlink r:id="rId7" w:history="1">
        <w:r w:rsidRPr="002620B4">
          <w:rPr>
            <w:rStyle w:val="Hyperlink"/>
          </w:rPr>
          <w:t>https://www.bls.gov/ooh/legal/lawyers.htm</w:t>
        </w:r>
      </w:hyperlink>
      <w:r w:rsidRPr="00AA2D40">
        <w:t xml:space="preserve">. </w:t>
      </w:r>
      <w:r>
        <w:t xml:space="preserve"> </w:t>
      </w:r>
      <w:r w:rsidRPr="001566D0">
        <w:t xml:space="preserve">According to the Bureau of Labor Statistics, as of April 2025, the median wage for </w:t>
      </w:r>
      <w:r>
        <w:t>aerospace engineers</w:t>
      </w:r>
      <w:r w:rsidRPr="001566D0">
        <w:t xml:space="preserve"> was $</w:t>
      </w:r>
      <w:r w:rsidRPr="002F5566">
        <w:t xml:space="preserve"> 64.82</w:t>
      </w:r>
      <w:r w:rsidRPr="001566D0">
        <w:t>/hour</w:t>
      </w:r>
      <w:r>
        <w:t xml:space="preserve">.  </w:t>
      </w:r>
      <w:r w:rsidRPr="00364118">
        <w:t>Bureau of Labor Statistics, Occupational Outlook Handbook, April</w:t>
      </w:r>
      <w:r>
        <w:t xml:space="preserve"> 2</w:t>
      </w:r>
      <w:r w:rsidRPr="00AA2D40">
        <w:t xml:space="preserve">025 (Jul. 9, 2025), </w:t>
      </w:r>
      <w:hyperlink r:id="rId8" w:history="1">
        <w:r w:rsidRPr="00D81765">
          <w:rPr>
            <w:rStyle w:val="Hyperlink"/>
          </w:rPr>
          <w:t>https://www.bls.gov/ooh/architecture-and-engineering/aerospace-engineers.htm</w:t>
        </w:r>
      </w:hyperlink>
      <w:r w:rsidRPr="00AA2D40">
        <w:t>.</w:t>
      </w:r>
      <w:r>
        <w:t xml:space="preserve">  On average</w:t>
      </w:r>
      <w:r w:rsidRPr="00F9255C">
        <w:t xml:space="preserve">, </w:t>
      </w:r>
      <w:r>
        <w:t xml:space="preserve">U.S. </w:t>
      </w:r>
      <w:r w:rsidRPr="00F9255C">
        <w:t>benefits constitute a markup of $15.00/$32.92 = 46%</w:t>
      </w:r>
      <w:r>
        <w:t xml:space="preserve"> (</w:t>
      </w:r>
      <w:r w:rsidRPr="00DE4450">
        <w:rPr>
          <w:i/>
          <w:iCs/>
        </w:rPr>
        <w:t>Benefits Markup</w:t>
      </w:r>
      <w:r>
        <w:t>)</w:t>
      </w:r>
      <w:r w:rsidRPr="00F9255C">
        <w:t xml:space="preserve">. </w:t>
      </w:r>
      <w:r>
        <w:t xml:space="preserve"> </w:t>
      </w:r>
      <w:r w:rsidRPr="00F9255C">
        <w:t>We therefore mark up wages by 46% to account for benefits (</w:t>
      </w:r>
      <w:r>
        <w:t xml:space="preserve">Lawyers: </w:t>
      </w:r>
      <w:r w:rsidRPr="00F9255C">
        <w:t>$72.67 × 1.46 = $106.10</w:t>
      </w:r>
      <w:r>
        <w:t xml:space="preserve">; aerospace engineers: </w:t>
      </w:r>
      <w:r w:rsidRPr="00F9255C">
        <w:t>$</w:t>
      </w:r>
      <w:r>
        <w:t>64</w:t>
      </w:r>
      <w:r w:rsidRPr="00F9255C">
        <w:t>.</w:t>
      </w:r>
      <w:r>
        <w:t>82</w:t>
      </w:r>
      <w:r w:rsidRPr="00F9255C">
        <w:t xml:space="preserve"> × 1.46 = $</w:t>
      </w:r>
      <w:r>
        <w:t>94</w:t>
      </w:r>
      <w:r w:rsidRPr="00F9255C">
        <w:t>.</w:t>
      </w:r>
      <w:r>
        <w:t>64</w:t>
      </w:r>
      <w:r w:rsidRPr="00F9255C">
        <w:t>).</w:t>
      </w:r>
      <w:r>
        <w:t xml:space="preserve">  </w:t>
      </w:r>
      <w:r w:rsidRPr="009C3C6B">
        <w:t xml:space="preserve">Press Release, Bureau of Labor Statistics, Employer Costs for Employee Compensation – March 2025 at 1 (Jul. 9, 2025), </w:t>
      </w:r>
      <w:hyperlink r:id="rId9" w:history="1">
        <w:r w:rsidRPr="002620B4">
          <w:rPr>
            <w:rStyle w:val="Hyperlink"/>
          </w:rPr>
          <w:t>https://www.bls.gov/news.release/pdf/ecec.pdf</w:t>
        </w:r>
      </w:hyperlink>
      <w:r w:rsidRPr="009C3C6B">
        <w:t xml:space="preserve">. </w:t>
      </w:r>
    </w:p>
  </w:footnote>
  <w:footnote w:id="149">
    <w:p w:rsidR="0025350E" w:rsidP="0025350E" w14:paraId="33AE2ED6" w14:textId="77777777">
      <w:pPr>
        <w:pStyle w:val="FootnoteText"/>
      </w:pPr>
      <w:r>
        <w:rPr>
          <w:rStyle w:val="FootnoteReference"/>
        </w:rPr>
        <w:footnoteRef/>
      </w:r>
      <w:r>
        <w:t xml:space="preserve"> $128,473.60 = 2 lawyers </w:t>
      </w:r>
      <w:r w:rsidRPr="00F9255C">
        <w:t>×</w:t>
      </w:r>
      <w:r>
        <w:t xml:space="preserve"> </w:t>
      </w:r>
      <w:r w:rsidRPr="00F9255C">
        <w:t>$106.10</w:t>
      </w:r>
      <w:r>
        <w:t xml:space="preserve">/hours </w:t>
      </w:r>
      <w:r w:rsidRPr="00F9255C">
        <w:t>×</w:t>
      </w:r>
      <w:r>
        <w:t xml:space="preserve"> 320 hours + 2 aerospace engineers </w:t>
      </w:r>
      <w:r w:rsidRPr="00F9255C">
        <w:t>×</w:t>
      </w:r>
      <w:r>
        <w:t xml:space="preserve"> </w:t>
      </w:r>
      <w:r w:rsidRPr="00F9255C">
        <w:t>$</w:t>
      </w:r>
      <w:r>
        <w:t xml:space="preserve">94.64/hours </w:t>
      </w:r>
      <w:r w:rsidRPr="00F9255C">
        <w:t>×</w:t>
      </w:r>
      <w:r>
        <w:t xml:space="preserve"> 320 hours.</w:t>
      </w:r>
    </w:p>
  </w:footnote>
  <w:footnote w:id="150">
    <w:p w:rsidR="0025350E" w:rsidP="0025350E" w14:paraId="3C478C14" w14:textId="77777777">
      <w:pPr>
        <w:pStyle w:val="FootnoteText"/>
      </w:pPr>
      <w:r>
        <w:rPr>
          <w:rStyle w:val="FootnoteReference"/>
        </w:rPr>
        <w:footnoteRef/>
      </w:r>
      <w:r>
        <w:t xml:space="preserve"> We estimate the average wage of an NTIA reviewer to be the annual wage of a GS-12, Step 5 employee in the Washington-DC-Baltimore locality, which is $114,923.  OPM, </w:t>
      </w:r>
      <w:r w:rsidRPr="00A752A4">
        <w:rPr>
          <w:i/>
          <w:iCs/>
        </w:rPr>
        <w:t>Salary Table 2025-DCB</w:t>
      </w:r>
      <w:r>
        <w:t xml:space="preserve"> (Jan. 2025), </w:t>
      </w:r>
      <w:hyperlink r:id="rId10" w:history="1">
        <w:r w:rsidRPr="008C4766">
          <w:rPr>
            <w:rStyle w:val="Hyperlink"/>
          </w:rPr>
          <w:t>https://www.opm.gov/policy-data-oversight/pay-leave/salaries-wages/salary-tables/pdf/2025/DCB.pdf</w:t>
        </w:r>
      </w:hyperlink>
      <w:r>
        <w:t xml:space="preserve">.  Total annual compensation is equal to $167,788 = 146% </w:t>
      </w:r>
      <w:r w:rsidRPr="00F9255C">
        <w:t>×</w:t>
      </w:r>
      <w:r>
        <w:t xml:space="preserve"> $114,923.  </w:t>
      </w:r>
      <w:r>
        <w:rPr>
          <w:i/>
          <w:iCs/>
        </w:rPr>
        <w:t>See Benefits Markup.</w:t>
      </w:r>
      <w:r>
        <w:t xml:space="preserve">  There are approximately 52 work weeks of 40 work hours, so the hourly compensation is $80.67 = $167,788 / (52 weeks </w:t>
      </w:r>
      <w:r w:rsidRPr="00F9255C">
        <w:t>×</w:t>
      </w:r>
      <w:r>
        <w:t xml:space="preserve"> 40 hours).</w:t>
      </w:r>
    </w:p>
  </w:footnote>
  <w:footnote w:id="151">
    <w:p w:rsidR="0025350E" w:rsidP="0025350E" w14:paraId="1FD5A7EB" w14:textId="77777777">
      <w:pPr>
        <w:pStyle w:val="FootnoteText"/>
      </w:pPr>
      <w:r>
        <w:rPr>
          <w:rStyle w:val="FootnoteReference"/>
        </w:rPr>
        <w:footnoteRef/>
      </w:r>
      <w:r>
        <w:t xml:space="preserve"> $77,443.20 = $80.67/hour </w:t>
      </w:r>
      <w:r w:rsidRPr="00F9255C">
        <w:t>×</w:t>
      </w:r>
      <w:r>
        <w:t xml:space="preserve"> 3 workers </w:t>
      </w:r>
      <w:r w:rsidRPr="00F9255C">
        <w:t>×</w:t>
      </w:r>
      <w:r>
        <w:t xml:space="preserve"> 320 hours.</w:t>
      </w:r>
    </w:p>
  </w:footnote>
  <w:footnote w:id="152">
    <w:p w:rsidR="0025350E" w:rsidP="0025350E" w14:paraId="6297B53D" w14:textId="77777777">
      <w:pPr>
        <w:pStyle w:val="FootnoteText"/>
      </w:pPr>
      <w:r>
        <w:rPr>
          <w:rStyle w:val="FootnoteReference"/>
        </w:rPr>
        <w:footnoteRef/>
      </w:r>
      <w:r>
        <w:t xml:space="preserve"> $205,916.80 = 128,473.60 + $77,443.20.</w:t>
      </w:r>
    </w:p>
  </w:footnote>
  <w:footnote w:id="153">
    <w:p w:rsidR="0025350E" w:rsidP="0025350E" w14:paraId="7110E150" w14:textId="23217C18">
      <w:pPr>
        <w:pStyle w:val="FootnoteText"/>
      </w:pPr>
      <w:r>
        <w:rPr>
          <w:rStyle w:val="FootnoteReference"/>
        </w:rPr>
        <w:footnoteRef/>
      </w:r>
      <w:r>
        <w:t xml:space="preserve"> FCC internal data report that 2022 has 80 applications, 2023 had 68 applications, 2024 has 79 applications, and 2025 (through September 23) has 83 applications, for an annual average of 77.5, which we round to the nearest tens place for our estimate of 80.</w:t>
      </w:r>
    </w:p>
  </w:footnote>
  <w:footnote w:id="154">
    <w:p w:rsidR="0025350E" w:rsidP="0025350E" w14:paraId="2FA0B971" w14:textId="77777777">
      <w:pPr>
        <w:pStyle w:val="FootnoteText"/>
      </w:pPr>
      <w:r>
        <w:rPr>
          <w:rStyle w:val="FootnoteReference"/>
        </w:rPr>
        <w:footnoteRef/>
      </w:r>
      <w:r>
        <w:t xml:space="preserve"> </w:t>
      </w:r>
      <w:r w:rsidRPr="00827D2E">
        <w:t>$8,236,672.00</w:t>
      </w:r>
      <w:r>
        <w:t xml:space="preserve"> = </w:t>
      </w:r>
      <w:r w:rsidRPr="009922F8">
        <w:t>$205,916.80</w:t>
      </w:r>
      <w:r>
        <w:t xml:space="preserve"> </w:t>
      </w:r>
      <w:r w:rsidRPr="00F9255C">
        <w:t>×</w:t>
      </w:r>
      <w:r>
        <w:t xml:space="preserve"> 40 applications.</w:t>
      </w:r>
    </w:p>
  </w:footnote>
  <w:footnote w:id="155">
    <w:p w:rsidR="0025350E" w:rsidP="0025350E" w14:paraId="43F6F5CC" w14:textId="77777777">
      <w:pPr>
        <w:pStyle w:val="FootnoteText"/>
      </w:pPr>
      <w:r>
        <w:rPr>
          <w:rStyle w:val="FootnoteReference"/>
        </w:rPr>
        <w:footnoteRef/>
      </w:r>
      <w:r>
        <w:t xml:space="preserve"> $33,952.00 = $106.10/hour</w:t>
      </w:r>
      <w:r w:rsidRPr="00B44007">
        <w:t xml:space="preserve"> × 2 teams </w:t>
      </w:r>
      <w:r w:rsidRPr="00F9255C">
        <w:t>×</w:t>
      </w:r>
      <w:r>
        <w:t xml:space="preserve"> 2 lawyers </w:t>
      </w:r>
      <w:r w:rsidRPr="00F9255C">
        <w:t>×</w:t>
      </w:r>
      <w:r>
        <w:t xml:space="preserve"> 2 weeks </w:t>
      </w:r>
      <w:r w:rsidRPr="00F9255C">
        <w:t>×</w:t>
      </w:r>
      <w:r>
        <w:t xml:space="preserve"> 40 hours/week.</w:t>
      </w:r>
    </w:p>
  </w:footnote>
  <w:footnote w:id="156">
    <w:p w:rsidR="0025350E" w:rsidP="0025350E" w14:paraId="74407377" w14:textId="77777777">
      <w:pPr>
        <w:pStyle w:val="FootnoteText"/>
      </w:pPr>
      <w:r>
        <w:rPr>
          <w:rStyle w:val="FootnoteReference"/>
        </w:rPr>
        <w:footnoteRef/>
      </w:r>
      <w:r>
        <w:t xml:space="preserve"> </w:t>
      </w:r>
      <w:r w:rsidRPr="000441BB">
        <w:t xml:space="preserve">$1,358,080.00 </w:t>
      </w:r>
      <w:r>
        <w:t xml:space="preserve">= $33,952.00 </w:t>
      </w:r>
      <w:r w:rsidRPr="00B44007">
        <w:t xml:space="preserve">× 2 teams </w:t>
      </w:r>
      <w:r w:rsidRPr="00F9255C">
        <w:t>×</w:t>
      </w:r>
      <w:r>
        <w:t xml:space="preserve"> 40 applications.</w:t>
      </w:r>
    </w:p>
  </w:footnote>
  <w:footnote w:id="157">
    <w:p w:rsidR="0025350E" w:rsidP="0025350E" w14:paraId="679A8CB2" w14:textId="7B30EC51">
      <w:pPr>
        <w:pStyle w:val="FootnoteText"/>
      </w:pPr>
      <w:r>
        <w:rPr>
          <w:rStyle w:val="FootnoteReference"/>
        </w:rPr>
        <w:footnoteRef/>
      </w:r>
      <w:r>
        <w:t xml:space="preserve"> Twenty application derive from internal staff analysis of the Experiment License System data.  </w:t>
      </w:r>
      <w:r w:rsidRPr="00DE4450">
        <w:rPr>
          <w:i/>
          <w:iCs/>
        </w:rPr>
        <w:t xml:space="preserve">See </w:t>
      </w:r>
      <w:r>
        <w:t xml:space="preserve">Federal Communications Commission, </w:t>
      </w:r>
      <w:r w:rsidRPr="00DE4450">
        <w:rPr>
          <w:i/>
          <w:iCs/>
        </w:rPr>
        <w:t>OET Experimental Licensing System</w:t>
      </w:r>
      <w:r>
        <w:t xml:space="preserve"> (</w:t>
      </w:r>
      <w:r w:rsidRPr="00DE4450">
        <w:t>Apr. 13, 2007)</w:t>
      </w:r>
      <w:r>
        <w:t xml:space="preserve">, </w:t>
      </w:r>
      <w:hyperlink r:id="rId11" w:history="1">
        <w:r w:rsidRPr="003315BD" w:rsidR="00E005FD">
          <w:rPr>
            <w:rStyle w:val="Hyperlink"/>
          </w:rPr>
          <w:t>https://apps.fcc.gov/oetcf/els/</w:t>
        </w:r>
      </w:hyperlink>
      <w:r>
        <w:t>.</w:t>
      </w:r>
    </w:p>
  </w:footnote>
  <w:footnote w:id="158">
    <w:p w:rsidR="0025350E" w:rsidP="0025350E" w14:paraId="2F147B3B" w14:textId="1966F771">
      <w:pPr>
        <w:pStyle w:val="FootnoteText"/>
      </w:pPr>
      <w:r>
        <w:rPr>
          <w:rStyle w:val="FootnoteReference"/>
        </w:rPr>
        <w:footnoteRef/>
      </w:r>
      <w:r>
        <w:t xml:space="preserve"> See </w:t>
      </w:r>
      <w:r w:rsidRPr="00DE4450">
        <w:rPr>
          <w:i/>
          <w:iCs/>
        </w:rPr>
        <w:t>Expediting Initial Processing of Satellite and Earth Station Applications</w:t>
      </w:r>
      <w:r>
        <w:rPr>
          <w:i/>
          <w:iCs/>
        </w:rPr>
        <w:t xml:space="preserve">; </w:t>
      </w:r>
      <w:r w:rsidRPr="00D44E37">
        <w:rPr>
          <w:i/>
          <w:iCs/>
        </w:rPr>
        <w:t>Space Innovation</w:t>
      </w:r>
      <w:r>
        <w:t>, IB Docket No</w:t>
      </w:r>
      <w:r w:rsidR="00E005FD">
        <w:t>s</w:t>
      </w:r>
      <w:r>
        <w:t>. 22-411</w:t>
      </w:r>
      <w:r w:rsidR="00E005FD">
        <w:t xml:space="preserve"> and</w:t>
      </w:r>
      <w:r>
        <w:t xml:space="preserve"> 22-271, Second Report and Order, FCC 25-48,</w:t>
      </w:r>
      <w:r w:rsidRPr="00003D84">
        <w:t xml:space="preserve"> </w:t>
      </w:r>
      <w:r>
        <w:t>at 22, para. 51 (Aug. 8, 2025).</w:t>
      </w:r>
    </w:p>
  </w:footnote>
  <w:footnote w:id="159">
    <w:p w:rsidR="0025350E" w:rsidP="0025350E" w14:paraId="3FC855DC" w14:textId="77777777">
      <w:pPr>
        <w:pStyle w:val="FootnoteText"/>
      </w:pPr>
      <w:r>
        <w:rPr>
          <w:rStyle w:val="FootnoteReference"/>
        </w:rPr>
        <w:footnoteRef/>
      </w:r>
      <w:r>
        <w:t xml:space="preserve"> </w:t>
      </w:r>
      <w:r w:rsidRPr="00F51CA7">
        <w:t>47 CFR § 1.110</w:t>
      </w:r>
      <w:r>
        <w:t>3.</w:t>
      </w:r>
    </w:p>
  </w:footnote>
  <w:footnote w:id="160">
    <w:p w:rsidR="0025350E" w:rsidP="0025350E" w14:paraId="0392A115" w14:textId="77777777">
      <w:pPr>
        <w:pStyle w:val="FootnoteText"/>
      </w:pPr>
      <w:r>
        <w:rPr>
          <w:rStyle w:val="FootnoteReference"/>
        </w:rPr>
        <w:footnoteRef/>
      </w:r>
      <w:r>
        <w:t xml:space="preserve"> </w:t>
      </w:r>
      <w:r w:rsidRPr="00831526">
        <w:t xml:space="preserve"> </w:t>
      </w:r>
      <w:r>
        <w:t>$77</w:t>
      </w:r>
      <w:r w:rsidRPr="00831526">
        <w:t>,</w:t>
      </w:r>
      <w:r>
        <w:t>228</w:t>
      </w:r>
      <w:r w:rsidRPr="00831526">
        <w:t xml:space="preserve">.75 </w:t>
      </w:r>
      <w:r>
        <w:t xml:space="preserve">= 25 applications </w:t>
      </w:r>
      <w:r w:rsidRPr="00F9255C">
        <w:t>×</w:t>
      </w:r>
      <w:r>
        <w:t xml:space="preserve"> (1.5 hours </w:t>
      </w:r>
      <w:r w:rsidRPr="00F9255C">
        <w:t>×</w:t>
      </w:r>
      <w:r>
        <w:t xml:space="preserve"> $106.10/hour + $2,930 application fee).</w:t>
      </w:r>
    </w:p>
  </w:footnote>
  <w:footnote w:id="161">
    <w:p w:rsidR="0025350E" w:rsidRPr="00E169D5" w:rsidP="0025350E" w14:paraId="2B3A5309" w14:textId="658DC530">
      <w:pPr>
        <w:pStyle w:val="FootnoteText"/>
        <w:rPr>
          <w:i/>
          <w:iCs/>
        </w:rPr>
      </w:pPr>
      <w:r>
        <w:rPr>
          <w:rStyle w:val="FootnoteReference"/>
        </w:rPr>
        <w:footnoteRef/>
      </w:r>
      <w:r>
        <w:t xml:space="preserve"> 47 CFR §§ 1.1200 </w:t>
      </w:r>
      <w:r>
        <w:rPr>
          <w:i/>
          <w:iCs/>
        </w:rPr>
        <w:t>et seq.</w:t>
      </w:r>
    </w:p>
  </w:footnote>
  <w:footnote w:id="162">
    <w:p w:rsidR="0025350E" w:rsidRPr="00B243F0" w:rsidP="0025350E" w14:paraId="779040C8" w14:textId="77777777">
      <w:pPr>
        <w:pStyle w:val="FootnoteText"/>
      </w:pPr>
      <w:r w:rsidRPr="00B243F0">
        <w:rPr>
          <w:rStyle w:val="FootnoteReference"/>
        </w:rPr>
        <w:footnoteRef/>
      </w:r>
      <w:r w:rsidRPr="00B243F0">
        <w:t xml:space="preserve"> 5 U.S.C. § 603.  The RFA, 5 U.S.C. §§ 601-612, was amended by the Small Business Regulatory Enforcement Fairness Act of 1996 (SBREFA), Pub. L. No. 104-121, Title II, 110 Stat. 857 (1996). </w:t>
      </w:r>
    </w:p>
  </w:footnote>
  <w:footnote w:id="163">
    <w:p w:rsidR="0025350E" w:rsidRPr="00B243F0" w:rsidP="0025350E" w14:paraId="7412218E" w14:textId="77777777">
      <w:pPr>
        <w:pStyle w:val="FootnoteText"/>
      </w:pPr>
      <w:r w:rsidRPr="00B243F0">
        <w:rPr>
          <w:rStyle w:val="FootnoteReference"/>
        </w:rPr>
        <w:footnoteRef/>
      </w:r>
      <w:r w:rsidRPr="00B243F0">
        <w:t xml:space="preserve"> 5 U.S.C. § 605(b). </w:t>
      </w:r>
    </w:p>
  </w:footnote>
  <w:footnote w:id="164">
    <w:p w:rsidR="0025350E" w:rsidRPr="0087490F" w:rsidP="0025350E" w14:paraId="769E29D0" w14:textId="77777777">
      <w:pPr>
        <w:pStyle w:val="FootnoteText"/>
      </w:pPr>
      <w:r w:rsidRPr="00815437">
        <w:rPr>
          <w:rStyle w:val="FootnoteReference"/>
        </w:rPr>
        <w:footnoteRef/>
      </w:r>
      <w:r w:rsidRPr="0087490F">
        <w:t xml:space="preserve"> Congress enacted the OPEN Government Data Act as Title II of the Foundations for Evidence</w:t>
      </w:r>
      <w:r>
        <w:noBreakHyphen/>
      </w:r>
      <w:r w:rsidRPr="0087490F">
        <w:t>Based Policymaking Act of 2018, Pub. L. No. 115</w:t>
      </w:r>
      <w:r>
        <w:noBreakHyphen/>
      </w:r>
      <w:r w:rsidRPr="0087490F">
        <w:t>435 (2019), §§ 201</w:t>
      </w:r>
      <w:r>
        <w:noBreakHyphen/>
      </w:r>
      <w:r w:rsidRPr="0087490F">
        <w:t>202.</w:t>
      </w:r>
    </w:p>
  </w:footnote>
  <w:footnote w:id="165">
    <w:p w:rsidR="0025350E" w:rsidRPr="0087490F" w:rsidP="0025350E" w14:paraId="2CB6F9B0" w14:textId="77777777">
      <w:pPr>
        <w:pStyle w:val="FootnoteText"/>
      </w:pPr>
      <w:r w:rsidRPr="00815437">
        <w:rPr>
          <w:rStyle w:val="FootnoteReference"/>
        </w:rPr>
        <w:footnoteRef/>
      </w:r>
      <w:r w:rsidRPr="0087490F">
        <w:t xml:space="preserve"> 44 U.S.C. §§ 3502(20), (22) (definitions of “open Government data asset” and “public data asset”), 3506(b)(6)(B) (public availability).</w:t>
      </w:r>
    </w:p>
  </w:footnote>
  <w:footnote w:id="166">
    <w:p w:rsidR="0025350E" w:rsidRPr="0087490F" w:rsidP="0025350E" w14:paraId="0295A8C9" w14:textId="77777777">
      <w:pPr>
        <w:pStyle w:val="FootnoteText"/>
      </w:pPr>
      <w:r w:rsidRPr="00815437">
        <w:rPr>
          <w:rStyle w:val="FootnoteReference"/>
        </w:rPr>
        <w:footnoteRef/>
      </w:r>
      <w:r w:rsidRPr="0087490F">
        <w:t xml:space="preserve"> </w:t>
      </w:r>
      <w:r w:rsidRPr="00EE3A08">
        <w:rPr>
          <w:i/>
          <w:iCs/>
        </w:rPr>
        <w:t xml:space="preserve"> </w:t>
      </w:r>
      <w:r w:rsidRPr="00887D3C">
        <w:rPr>
          <w:i/>
          <w:iCs/>
        </w:rPr>
        <w:t>See</w:t>
      </w:r>
      <w:r w:rsidRPr="00887D3C">
        <w:t xml:space="preserve"> OMB Memorandum M-25-05, </w:t>
      </w:r>
      <w:r w:rsidRPr="00887D3C">
        <w:rPr>
          <w:i/>
          <w:iCs/>
        </w:rPr>
        <w:t>Phase 2 Implementation of the Foundations for Evidence-Based Policymaking Act of 2018: Open Government Data Access and Management Guidance</w:t>
      </w:r>
      <w:r w:rsidRPr="00887D3C">
        <w:t xml:space="preserve"> (Jan. 15, 2025).</w:t>
      </w:r>
    </w:p>
  </w:footnote>
  <w:footnote w:id="167">
    <w:p w:rsidR="0025350E" w:rsidRPr="0087490F" w:rsidP="0025350E" w14:paraId="4278E450" w14:textId="77777777">
      <w:pPr>
        <w:pStyle w:val="FootnoteText"/>
      </w:pPr>
      <w:r w:rsidRPr="00815437">
        <w:rPr>
          <w:rStyle w:val="FootnoteReference"/>
        </w:rPr>
        <w:footnoteRef/>
      </w:r>
      <w:r w:rsidRPr="0087490F">
        <w:t xml:space="preserve"> 44 U.S.C. § 3502(22).</w:t>
      </w:r>
    </w:p>
  </w:footnote>
  <w:footnote w:id="168">
    <w:p w:rsidR="0025350E" w:rsidRPr="0087490F" w:rsidP="0025350E" w14:paraId="32DB9ADF" w14:textId="77777777">
      <w:pPr>
        <w:pStyle w:val="FootnoteText"/>
      </w:pPr>
      <w:r w:rsidRPr="00815437">
        <w:rPr>
          <w:rStyle w:val="FootnoteReference"/>
        </w:rPr>
        <w:footnoteRef/>
      </w:r>
      <w:r w:rsidRPr="0087490F">
        <w:t xml:space="preserve"> 44 U.S.C. § 3502(17).</w:t>
      </w:r>
    </w:p>
  </w:footnote>
  <w:footnote w:id="169">
    <w:p w:rsidR="0025350E" w:rsidRPr="0087490F" w:rsidP="0025350E" w14:paraId="2DD12445" w14:textId="77777777">
      <w:pPr>
        <w:pStyle w:val="FootnoteText"/>
      </w:pPr>
      <w:r w:rsidRPr="00815437">
        <w:rPr>
          <w:rStyle w:val="FootnoteReference"/>
        </w:rPr>
        <w:footnoteRef/>
      </w:r>
      <w:r w:rsidRPr="0087490F">
        <w:t xml:space="preserve"> 44 U.S.C. § 3502(16).</w:t>
      </w:r>
    </w:p>
  </w:footnote>
  <w:footnote w:id="170">
    <w:p w:rsidR="0025350E" w:rsidP="0025350E" w14:paraId="4B693AF1" w14:textId="77777777">
      <w:pPr>
        <w:pStyle w:val="FootnoteText"/>
      </w:pPr>
      <w:r>
        <w:rPr>
          <w:rStyle w:val="FootnoteReference"/>
        </w:rPr>
        <w:footnoteRef/>
      </w:r>
      <w:r>
        <w:t xml:space="preserve"> 5 U.S.C. § 553(b)(4).  The Providing Accountability Through Transparency Act, Pub. L. No. 118-9 (2023), amended section 553(b) of the Administrative Procedure Act.</w:t>
      </w:r>
    </w:p>
  </w:footnote>
  <w:footnote w:id="171">
    <w:p w:rsidR="0025350E" w:rsidRPr="00B243F0" w:rsidP="0025350E" w14:paraId="1F06FB28" w14:textId="77777777">
      <w:pPr>
        <w:pStyle w:val="FootnoteText"/>
        <w:spacing w:after="0"/>
      </w:pPr>
      <w:r w:rsidRPr="00B243F0">
        <w:rPr>
          <w:rStyle w:val="FootnoteReference"/>
        </w:rPr>
        <w:footnoteRef/>
      </w:r>
      <w:r w:rsidRPr="00B243F0">
        <w:t xml:space="preserve"> Pursuant to Executive Order 14215, 90 Fed. Reg. 10447 (Feb. 20, 2025), this regulatory action has been </w:t>
      </w:r>
      <w:r w:rsidRPr="00964089">
        <w:t>determined to be significant under Executive Order 12866</w:t>
      </w:r>
      <w:r w:rsidRPr="00B243F0">
        <w:t>, 58 Fed. Reg. 68708 (Dec. 28, 1993).</w:t>
      </w:r>
    </w:p>
  </w:footnote>
  <w:footnote w:id="172">
    <w:p w:rsidR="0025350E" w:rsidP="0025350E" w14:paraId="69DDEB92" w14:textId="77777777">
      <w:pPr>
        <w:pStyle w:val="FootnoteText"/>
      </w:pPr>
      <w:r>
        <w:rPr>
          <w:rStyle w:val="FootnoteReference"/>
        </w:rPr>
        <w:footnoteRef/>
      </w:r>
      <w:r>
        <w:t xml:space="preserve"> </w:t>
      </w:r>
      <w:r w:rsidRPr="00263BD7">
        <w:t xml:space="preserve">5 U.S.C. § 601 </w:t>
      </w:r>
      <w:r w:rsidRPr="00263BD7">
        <w:rPr>
          <w:i/>
        </w:rPr>
        <w:t>et seq.</w:t>
      </w:r>
      <w:r w:rsidRPr="00263BD7">
        <w:t>, as amended by the Small Business Regulatory Enforcement and Fairness Act (SBREFA), Pub. L. No. 104-121, 110 Stat. 847 (1996).</w:t>
      </w:r>
    </w:p>
  </w:footnote>
  <w:footnote w:id="173">
    <w:p w:rsidR="0025350E" w:rsidP="0025350E" w14:paraId="01A3292B" w14:textId="77777777">
      <w:pPr>
        <w:pStyle w:val="FootnoteText"/>
      </w:pPr>
      <w:r>
        <w:rPr>
          <w:rStyle w:val="FootnoteReference"/>
        </w:rPr>
        <w:footnoteRef/>
      </w:r>
      <w:r>
        <w:t xml:space="preserve"> </w:t>
      </w:r>
      <w:r w:rsidRPr="00225DCC">
        <w:rPr>
          <w:i/>
          <w:iCs/>
        </w:rPr>
        <w:t>Id</w:t>
      </w:r>
      <w:r w:rsidRPr="00225DCC">
        <w:t>. § 603(a).</w:t>
      </w:r>
    </w:p>
  </w:footnote>
  <w:footnote w:id="174">
    <w:p w:rsidR="0025350E" w:rsidP="0025350E" w14:paraId="6B6F0406" w14:textId="77777777">
      <w:pPr>
        <w:pStyle w:val="FootnoteText"/>
      </w:pPr>
      <w:r>
        <w:rPr>
          <w:rStyle w:val="FootnoteReference"/>
        </w:rPr>
        <w:footnoteRef/>
      </w:r>
      <w:r>
        <w:t xml:space="preserve"> </w:t>
      </w:r>
      <w:r w:rsidRPr="00D766DD">
        <w:rPr>
          <w:i/>
          <w:iCs/>
        </w:rPr>
        <w:t>Id</w:t>
      </w:r>
      <w:r w:rsidRPr="00D766DD">
        <w:t>.</w:t>
      </w:r>
    </w:p>
  </w:footnote>
  <w:footnote w:id="175">
    <w:p w:rsidR="0025350E" w:rsidRPr="00B243F0" w:rsidP="0025350E" w14:paraId="1CFA5D3C" w14:textId="77777777">
      <w:pPr>
        <w:pStyle w:val="FootnoteText"/>
      </w:pPr>
      <w:r w:rsidRPr="00B243F0">
        <w:rPr>
          <w:rStyle w:val="FootnoteReference"/>
        </w:rPr>
        <w:footnoteRef/>
      </w:r>
      <w:r w:rsidRPr="00B243F0">
        <w:t xml:space="preserve"> 5 U.S.C. § 603(b)(3). </w:t>
      </w:r>
    </w:p>
  </w:footnote>
  <w:footnote w:id="176">
    <w:p w:rsidR="0025350E" w:rsidRPr="00B243F0" w:rsidP="0025350E" w14:paraId="4BD779F9" w14:textId="77777777">
      <w:pPr>
        <w:pStyle w:val="FootnoteText"/>
      </w:pPr>
      <w:r w:rsidRPr="00B243F0">
        <w:rPr>
          <w:rStyle w:val="FootnoteReference"/>
        </w:rPr>
        <w:footnoteRef/>
      </w:r>
      <w:r w:rsidRPr="00B243F0">
        <w:t xml:space="preserve"> </w:t>
      </w:r>
      <w:r w:rsidRPr="00B243F0">
        <w:rPr>
          <w:i/>
          <w:iCs/>
        </w:rPr>
        <w:t>Id</w:t>
      </w:r>
      <w:r w:rsidRPr="00B243F0">
        <w:t xml:space="preserve">. § 601(6). </w:t>
      </w:r>
    </w:p>
  </w:footnote>
  <w:footnote w:id="177">
    <w:p w:rsidR="0025350E" w:rsidRPr="00B243F0" w:rsidP="0025350E" w14:paraId="246F219F" w14:textId="77777777">
      <w:pPr>
        <w:pStyle w:val="FootnoteText"/>
      </w:pPr>
      <w:r w:rsidRPr="00B243F0">
        <w:rPr>
          <w:rStyle w:val="FootnoteReference"/>
        </w:rPr>
        <w:footnoteRef/>
      </w:r>
      <w:r w:rsidRPr="00B243F0">
        <w:t xml:space="preserve"> </w:t>
      </w:r>
      <w:r w:rsidRPr="00B243F0">
        <w:rPr>
          <w:i/>
          <w:iCs/>
        </w:rPr>
        <w:t>Id</w:t>
      </w:r>
      <w:r w:rsidRPr="00B243F0">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178">
    <w:p w:rsidR="0025350E" w:rsidRPr="00B243F0" w:rsidP="0025350E" w14:paraId="56699445" w14:textId="77777777">
      <w:pPr>
        <w:pStyle w:val="FootnoteText"/>
      </w:pPr>
      <w:r w:rsidRPr="00B243F0">
        <w:rPr>
          <w:rStyle w:val="FootnoteReference"/>
        </w:rPr>
        <w:footnoteRef/>
      </w:r>
      <w:r w:rsidRPr="00B243F0">
        <w:t xml:space="preserve"> 15 U.S.C. § 632.</w:t>
      </w:r>
    </w:p>
  </w:footnote>
  <w:footnote w:id="179">
    <w:p w:rsidR="0025350E" w:rsidRPr="00B243F0" w:rsidP="0025350E" w14:paraId="2B6A0E28" w14:textId="77777777">
      <w:pPr>
        <w:pStyle w:val="FootnoteText"/>
      </w:pPr>
      <w:r w:rsidRPr="00B243F0">
        <w:rPr>
          <w:rStyle w:val="FootnoteReference"/>
        </w:rPr>
        <w:footnoteRef/>
      </w:r>
      <w:r w:rsidRPr="00B243F0">
        <w:t xml:space="preserve"> 13 CFR § 121.903.</w:t>
      </w:r>
    </w:p>
  </w:footnote>
  <w:footnote w:id="180">
    <w:p w:rsidR="0025350E" w:rsidRPr="00B243F0" w:rsidP="0025350E" w14:paraId="1EADEE5F" w14:textId="77777777">
      <w:pPr>
        <w:pStyle w:val="FootnoteText"/>
      </w:pPr>
      <w:r w:rsidRPr="00B243F0">
        <w:rPr>
          <w:rStyle w:val="FootnoteReference"/>
        </w:rPr>
        <w:footnoteRef/>
      </w:r>
      <w:r w:rsidRPr="00B243F0">
        <w:t xml:space="preserve"> 5 U.S.C. § 601(3)-(6).</w:t>
      </w:r>
    </w:p>
  </w:footnote>
  <w:footnote w:id="181">
    <w:p w:rsidR="0025350E" w:rsidRPr="00B243F0" w:rsidP="0025350E" w14:paraId="119E8430" w14:textId="77777777">
      <w:pPr>
        <w:pStyle w:val="FootnoteText"/>
      </w:pPr>
      <w:r w:rsidRPr="00B243F0">
        <w:rPr>
          <w:rStyle w:val="FootnoteReference"/>
        </w:rPr>
        <w:footnoteRef/>
      </w:r>
      <w:r w:rsidRPr="00B243F0">
        <w:t xml:space="preserve"> </w:t>
      </w:r>
      <w:r w:rsidRPr="00B243F0">
        <w:rPr>
          <w:i/>
          <w:iCs/>
        </w:rPr>
        <w:t>See</w:t>
      </w:r>
      <w:r w:rsidRPr="00B243F0">
        <w:t xml:space="preserve"> SBA, Office of Advocacy, </w:t>
      </w:r>
      <w:r w:rsidRPr="00D44146">
        <w:rPr>
          <w:i/>
        </w:rPr>
        <w:t>Frequently Asked Questions About Small Business</w:t>
      </w:r>
      <w:r w:rsidRPr="00B243F0">
        <w:t xml:space="preserve"> (July 23, 2024), </w:t>
      </w:r>
      <w:hyperlink r:id="rId12" w:history="1">
        <w:r w:rsidRPr="00B243F0">
          <w:rPr>
            <w:rStyle w:val="Hyperlink"/>
          </w:rPr>
          <w:t>https://advocacy.sba.gov/wp-content/uploads/2024/12/Frequently-Asked-Questions-About-Small-Business_2024-508.pdf</w:t>
        </w:r>
      </w:hyperlink>
      <w:r w:rsidRPr="00B243F0">
        <w:t>.</w:t>
      </w:r>
    </w:p>
  </w:footnote>
  <w:footnote w:id="182">
    <w:p w:rsidR="0025350E" w:rsidRPr="00B243F0" w:rsidP="0025350E" w14:paraId="0941D878" w14:textId="77777777">
      <w:pPr>
        <w:pStyle w:val="FootnoteText"/>
      </w:pPr>
      <w:r w:rsidRPr="00B243F0">
        <w:rPr>
          <w:rStyle w:val="FootnoteReference"/>
        </w:rPr>
        <w:footnoteRef/>
      </w:r>
      <w:r w:rsidRPr="00B243F0">
        <w:t xml:space="preserve"> </w:t>
      </w:r>
      <w:r w:rsidRPr="00B243F0">
        <w:rPr>
          <w:i/>
          <w:iCs/>
        </w:rPr>
        <w:t>Id</w:t>
      </w:r>
      <w:r w:rsidRPr="00B243F0">
        <w:t>.</w:t>
      </w:r>
    </w:p>
  </w:footnote>
  <w:footnote w:id="183">
    <w:p w:rsidR="0025350E" w:rsidRPr="00B243F0" w:rsidP="0025350E" w14:paraId="3E1A1B75" w14:textId="77777777">
      <w:pPr>
        <w:pStyle w:val="FootnoteText"/>
      </w:pPr>
      <w:r w:rsidRPr="00B243F0">
        <w:rPr>
          <w:rStyle w:val="FootnoteReference"/>
        </w:rPr>
        <w:footnoteRef/>
      </w:r>
      <w:r w:rsidRPr="00B243F0">
        <w:t xml:space="preserve"> 5 U.S.C. § 601(4).</w:t>
      </w:r>
    </w:p>
  </w:footnote>
  <w:footnote w:id="184">
    <w:p w:rsidR="0025350E" w:rsidRPr="00B243F0" w:rsidP="0025350E" w14:paraId="0A9C2343" w14:textId="77777777">
      <w:pPr>
        <w:pStyle w:val="FootnoteText"/>
      </w:pPr>
      <w:r w:rsidRPr="00B243F0">
        <w:rPr>
          <w:rStyle w:val="FootnoteReference"/>
        </w:rPr>
        <w:footnoteRef/>
      </w:r>
      <w:r>
        <w:t xml:space="preserve"> </w:t>
      </w:r>
      <w:r w:rsidRPr="00235175">
        <w:rPr>
          <w:i/>
          <w:iCs/>
        </w:rPr>
        <w:t>See</w:t>
      </w:r>
      <w:r w:rsidRPr="00235175">
        <w:t xml:space="preserve"> SBA, Office of Advocacy, </w:t>
      </w:r>
      <w:r w:rsidRPr="00235175">
        <w:rPr>
          <w:i/>
          <w:iCs/>
        </w:rPr>
        <w:t>Small Business Facts, Spotlight on Nonprofits</w:t>
      </w:r>
      <w:r w:rsidRPr="00235175">
        <w:t xml:space="preserve"> (July 2019), </w:t>
      </w:r>
      <w:hyperlink r:id="rId13" w:history="1">
        <w:r w:rsidRPr="003B6F70">
          <w:rPr>
            <w:rStyle w:val="Hyperlink"/>
          </w:rPr>
          <w:t>https://advocacy.sba.gov/2019/07/25/small-business-facts-spotlight-on-nonprofits/</w:t>
        </w:r>
      </w:hyperlink>
      <w:r>
        <w:t>.</w:t>
      </w:r>
    </w:p>
  </w:footnote>
  <w:footnote w:id="185">
    <w:p w:rsidR="0025350E" w:rsidRPr="00B243F0" w:rsidP="0025350E" w14:paraId="230166F5" w14:textId="77777777">
      <w:pPr>
        <w:pStyle w:val="FootnoteText"/>
      </w:pPr>
      <w:r w:rsidRPr="00B243F0">
        <w:rPr>
          <w:rStyle w:val="FootnoteReference"/>
        </w:rPr>
        <w:footnoteRef/>
      </w:r>
      <w:r w:rsidRPr="00B243F0">
        <w:t xml:space="preserve"> 5 U.S.C. § 601(5).</w:t>
      </w:r>
    </w:p>
  </w:footnote>
  <w:footnote w:id="186">
    <w:p w:rsidR="0025350E" w:rsidRPr="00B243F0" w:rsidP="0025350E" w14:paraId="07D77F87" w14:textId="77777777">
      <w:pPr>
        <w:pStyle w:val="FootnoteText"/>
      </w:pPr>
      <w:r w:rsidRPr="00B243F0">
        <w:rPr>
          <w:rStyle w:val="FootnoteReference"/>
        </w:rPr>
        <w:footnoteRef/>
      </w:r>
      <w:r w:rsidRPr="00B243F0">
        <w:t xml:space="preserve"> </w:t>
      </w:r>
      <w:r w:rsidRPr="00B243F0">
        <w:rPr>
          <w:i/>
          <w:iCs/>
        </w:rPr>
        <w:t>See</w:t>
      </w:r>
      <w:r w:rsidRPr="00B243F0">
        <w:t xml:space="preserve"> U.S. Census Bureau, 2022 Census of Governments, Organization Tables, </w:t>
      </w:r>
      <w:r>
        <w:t>tables</w:t>
      </w:r>
      <w:r w:rsidRPr="00B243F0">
        <w:t xml:space="preserve">. 1-11, </w:t>
      </w:r>
      <w:hyperlink r:id="rId14" w:history="1">
        <w:r w:rsidRPr="00B243F0">
          <w:rPr>
            <w:rStyle w:val="Hyperlink"/>
          </w:rPr>
          <w:t>https://www.census.gov/data/tables/2022/econ/gus/2022-governments.html</w:t>
        </w:r>
      </w:hyperlink>
      <w:r w:rsidRPr="00B243F0">
        <w:t xml:space="preserve"> (last visited </w:t>
      </w:r>
      <w:r>
        <w:t>September 17</w:t>
      </w:r>
      <w:r w:rsidRPr="00B243F0">
        <w:t>, 2025).</w:t>
      </w:r>
    </w:p>
  </w:footnote>
  <w:footnote w:id="187">
    <w:p w:rsidR="0025350E" w:rsidP="0025350E" w14:paraId="71440C32" w14:textId="77777777">
      <w:pPr>
        <w:pStyle w:val="FootnoteText"/>
      </w:pPr>
      <w:r>
        <w:rPr>
          <w:rStyle w:val="FootnoteReference"/>
        </w:rPr>
        <w:footnoteRef/>
      </w:r>
      <w:r>
        <w:t xml:space="preserve"> </w:t>
      </w:r>
      <w:r w:rsidRPr="00C11EF5">
        <w:t xml:space="preserve">The North American Industry Classification System (NAICS) is the standard used by Federal statistical agencies in classifying business establishments for the purpose of collecting, analyzing, and publishing statistical data related to the U.S. business economy.  </w:t>
      </w:r>
      <w:r w:rsidRPr="00C11EF5">
        <w:rPr>
          <w:i/>
          <w:iCs/>
        </w:rPr>
        <w:t>See</w:t>
      </w:r>
      <w:r w:rsidRPr="00C11EF5">
        <w:t xml:space="preserve"> </w:t>
      </w:r>
      <w:hyperlink r:id="rId15" w:history="1">
        <w:r w:rsidRPr="00C11EF5">
          <w:rPr>
            <w:rStyle w:val="Hyperlink"/>
          </w:rPr>
          <w:t>www.census.gov/NAICS</w:t>
        </w:r>
      </w:hyperlink>
      <w:r w:rsidRPr="00C11EF5">
        <w:t xml:space="preserve"> for further details regarding the NAICS codes identified in this chart.</w:t>
      </w:r>
    </w:p>
  </w:footnote>
  <w:footnote w:id="188">
    <w:p w:rsidR="0025350E" w:rsidP="0025350E" w14:paraId="5A94D62B" w14:textId="77777777">
      <w:pPr>
        <w:pStyle w:val="FootnoteText"/>
      </w:pPr>
      <w:r>
        <w:rPr>
          <w:rStyle w:val="FootnoteReference"/>
        </w:rPr>
        <w:footnoteRef/>
      </w:r>
      <w:r>
        <w:t xml:space="preserve"> The size standards in this chart are set forth in 13 CFR § 121.201, by six digit NAICS code.</w:t>
      </w:r>
    </w:p>
  </w:footnote>
  <w:footnote w:id="189">
    <w:p w:rsidR="0025350E" w:rsidP="0025350E" w14:paraId="1AE92124" w14:textId="77777777">
      <w:pPr>
        <w:pStyle w:val="FootnoteText"/>
      </w:pPr>
      <w:r>
        <w:rPr>
          <w:rStyle w:val="FootnoteReference"/>
        </w:rPr>
        <w:footnoteRef/>
      </w:r>
      <w:r>
        <w:t xml:space="preserve"> </w:t>
      </w:r>
      <w:r w:rsidRPr="00E02989">
        <w:rPr>
          <w:bCs/>
          <w:i/>
          <w:iCs/>
          <w:color w:val="010101"/>
        </w:rPr>
        <w:t>See</w:t>
      </w:r>
      <w:r w:rsidRPr="00E02989">
        <w:t xml:space="preserve"> U.S. Census Bureau,</w:t>
      </w:r>
      <w:r>
        <w:t xml:space="preserve"> “</w:t>
      </w:r>
      <w:r w:rsidRPr="00682388">
        <w:rPr>
          <w:i/>
          <w:iCs/>
        </w:rPr>
        <w:t>Selected Sectors: Employment Size of Firms for the U.S.: 2022</w:t>
      </w:r>
      <w:r w:rsidRPr="00682388">
        <w:t>.</w:t>
      </w:r>
      <w:r>
        <w:t>”</w:t>
      </w:r>
      <w:r w:rsidRPr="00682388">
        <w:t xml:space="preserve"> Economic Census, ECN Core Statistics Economic Census: Establishment and Firm Size Statistics for the U.S., </w:t>
      </w:r>
      <w:r>
        <w:t xml:space="preserve">Table </w:t>
      </w:r>
      <w:r w:rsidRPr="00682388">
        <w:t xml:space="preserve">EC2200SIZEEMPFIRM, </w:t>
      </w:r>
      <w:r w:rsidRPr="00EA5724">
        <w:t>and</w:t>
      </w:r>
      <w:r w:rsidRPr="00EA5724">
        <w:rPr>
          <w:i/>
          <w:iCs/>
        </w:rPr>
        <w:t xml:space="preserve"> </w:t>
      </w:r>
      <w:r w:rsidRPr="00682388">
        <w:t>“</w:t>
      </w:r>
      <w:r w:rsidRPr="00682388">
        <w:rPr>
          <w:i/>
          <w:iCs/>
        </w:rPr>
        <w:t>Selected Sectors: Sales, Value of Shipments, or Revenue Size of Firms for the U.S.: 2022</w:t>
      </w:r>
      <w:r w:rsidRPr="00682388">
        <w:t>.</w:t>
      </w:r>
      <w:r>
        <w:t>”</w:t>
      </w:r>
      <w:r w:rsidRPr="00682388">
        <w:t xml:space="preserve"> Economic Census, ECN Core Statistics Economic Census: Establishment and Firm Size Statistics for the U.S.</w:t>
      </w:r>
      <w:r>
        <w:t xml:space="preserve">, </w:t>
      </w:r>
      <w:r w:rsidRPr="001848A5">
        <w:t>Table EC2200SIZEREVFIRM, 2025</w:t>
      </w:r>
      <w:r>
        <w:t>.</w:t>
      </w:r>
    </w:p>
  </w:footnote>
  <w:footnote w:id="190">
    <w:p w:rsidR="0025350E" w:rsidP="0025350E" w14:paraId="7CA91CAB" w14:textId="77777777">
      <w:pPr>
        <w:pStyle w:val="FootnoteText"/>
      </w:pPr>
      <w:r>
        <w:rPr>
          <w:rStyle w:val="FootnoteReference"/>
        </w:rPr>
        <w:footnoteRef/>
      </w:r>
      <w:r>
        <w:t xml:space="preserve"> </w:t>
      </w:r>
      <w:r w:rsidRPr="004744C0">
        <w:rPr>
          <w:i/>
          <w:iCs/>
        </w:rPr>
        <w:t>Id</w:t>
      </w:r>
      <w:r>
        <w:t>.</w:t>
      </w:r>
    </w:p>
  </w:footnote>
  <w:footnote w:id="191">
    <w:p w:rsidR="0025350E" w:rsidP="0025350E" w14:paraId="7EBDCDF8" w14:textId="77777777">
      <w:pPr>
        <w:pStyle w:val="FootnoteText"/>
      </w:pPr>
      <w:r>
        <w:rPr>
          <w:rStyle w:val="FootnoteReference"/>
        </w:rPr>
        <w:footnoteRef/>
      </w:r>
      <w:r>
        <w:t xml:space="preserve"> </w:t>
      </w:r>
      <w:r w:rsidRPr="00155A84">
        <w:t>Affected Entities in this industry include Direct Broadcast Satellite (DBS), Home Satellite Dish (HSD) Service, and Satellite Master Antenna Television (SMATV) Systems aka Private Cable Operators (PCOs).</w:t>
      </w:r>
    </w:p>
  </w:footnote>
  <w:footnote w:id="192">
    <w:p w:rsidR="0025350E" w:rsidP="0025350E" w14:paraId="52939B0E" w14:textId="77777777">
      <w:pPr>
        <w:pStyle w:val="FootnoteText"/>
      </w:pPr>
      <w:r>
        <w:rPr>
          <w:rStyle w:val="FootnoteReference"/>
        </w:rPr>
        <w:footnoteRef/>
      </w:r>
      <w:r>
        <w:t xml:space="preserve"> </w:t>
      </w:r>
      <w:r w:rsidRPr="00B13401">
        <w:t>Affected Entities in this industry include Fixed Satellite Small Transmit/Receive Earth Stations, Fixed Satellite Very Small Aperture Terminal (VSAT) Systems, and Mobile Satellite Earth Stations</w:t>
      </w:r>
      <w:r>
        <w:t>.</w:t>
      </w:r>
    </w:p>
  </w:footnote>
  <w:footnote w:id="193">
    <w:p w:rsidR="0025350E" w:rsidRPr="00B243F0" w:rsidP="0025350E" w14:paraId="03B03A96" w14:textId="77777777">
      <w:pPr>
        <w:pStyle w:val="FootnoteText"/>
      </w:pPr>
      <w:r w:rsidRPr="00B243F0">
        <w:rPr>
          <w:rStyle w:val="FootnoteReference"/>
        </w:rPr>
        <w:footnoteRef/>
      </w:r>
      <w:r w:rsidRPr="00B243F0">
        <w:t xml:space="preserve"> 5 U.S.C. § 603(b)(4).</w:t>
      </w:r>
    </w:p>
  </w:footnote>
  <w:footnote w:id="194">
    <w:p w:rsidR="0025350E" w:rsidP="0025350E" w14:paraId="1AC43F72" w14:textId="77777777">
      <w:pPr>
        <w:pStyle w:val="FootnoteText"/>
      </w:pPr>
      <w:r>
        <w:rPr>
          <w:rStyle w:val="FootnoteReference"/>
        </w:rPr>
        <w:footnoteRef/>
      </w:r>
      <w:r>
        <w:t xml:space="preserve"> $128,473.60 = 2 lawyers </w:t>
      </w:r>
      <w:r w:rsidRPr="00F9255C">
        <w:t>×</w:t>
      </w:r>
      <w:r>
        <w:t xml:space="preserve"> </w:t>
      </w:r>
      <w:r w:rsidRPr="00F9255C">
        <w:t>$106.10</w:t>
      </w:r>
      <w:r>
        <w:t xml:space="preserve">/hours </w:t>
      </w:r>
      <w:r w:rsidRPr="00F9255C">
        <w:t>×</w:t>
      </w:r>
      <w:r>
        <w:t xml:space="preserve"> 320 hours + 2 aerospace engineers </w:t>
      </w:r>
      <w:r w:rsidRPr="00F9255C">
        <w:t>×</w:t>
      </w:r>
      <w:r>
        <w:t xml:space="preserve"> </w:t>
      </w:r>
      <w:r w:rsidRPr="00F9255C">
        <w:t>$</w:t>
      </w:r>
      <w:r>
        <w:t xml:space="preserve">94.64/hours </w:t>
      </w:r>
      <w:r w:rsidRPr="00F9255C">
        <w:t>×</w:t>
      </w:r>
      <w:r>
        <w:t xml:space="preserve"> 320 hours.</w:t>
      </w:r>
    </w:p>
  </w:footnote>
  <w:footnote w:id="195">
    <w:p w:rsidR="0025350E" w:rsidP="0025350E" w14:paraId="75C2BFAB" w14:textId="77777777">
      <w:pPr>
        <w:pStyle w:val="FootnoteText"/>
      </w:pPr>
      <w:r>
        <w:rPr>
          <w:rStyle w:val="FootnoteReference"/>
        </w:rPr>
        <w:footnoteRef/>
      </w:r>
      <w:r>
        <w:t xml:space="preserve"> </w:t>
      </w:r>
      <w:r w:rsidRPr="001566D0">
        <w:t>According to the Bureau of Labor Statistics, as of April 2025, the median wage for lawyers was $72.67/hour</w:t>
      </w:r>
      <w:r>
        <w:t xml:space="preserve">.  </w:t>
      </w:r>
      <w:r w:rsidRPr="00364118">
        <w:t>Bureau of Labor Statistics, Occupational Outlook Handbook, April</w:t>
      </w:r>
      <w:r>
        <w:t xml:space="preserve"> 2</w:t>
      </w:r>
      <w:r w:rsidRPr="00AA2D40">
        <w:t xml:space="preserve">025 (Jul. 9, 2025), </w:t>
      </w:r>
      <w:hyperlink r:id="rId7" w:history="1">
        <w:r w:rsidRPr="002620B4">
          <w:rPr>
            <w:rStyle w:val="Hyperlink"/>
          </w:rPr>
          <w:t>https://www.bls.gov/ooh/legal/lawyers.htm</w:t>
        </w:r>
      </w:hyperlink>
      <w:r w:rsidRPr="00AA2D40">
        <w:t xml:space="preserve">. </w:t>
      </w:r>
      <w:r>
        <w:t xml:space="preserve"> </w:t>
      </w:r>
      <w:r w:rsidRPr="001566D0">
        <w:t xml:space="preserve">According to the Bureau of Labor Statistics, as of April 2025, the median wage for </w:t>
      </w:r>
      <w:r>
        <w:t>aerospace engineers</w:t>
      </w:r>
      <w:r w:rsidRPr="001566D0">
        <w:t xml:space="preserve"> was $</w:t>
      </w:r>
      <w:r w:rsidRPr="002F5566">
        <w:t xml:space="preserve"> 64.82</w:t>
      </w:r>
      <w:r w:rsidRPr="001566D0">
        <w:t>/hour</w:t>
      </w:r>
      <w:r>
        <w:t xml:space="preserve">.  </w:t>
      </w:r>
      <w:r w:rsidRPr="00364118">
        <w:t>Bureau of Labor Statistics, Occupational Outlook Handbook, April</w:t>
      </w:r>
      <w:r>
        <w:t xml:space="preserve"> 2</w:t>
      </w:r>
      <w:r w:rsidRPr="00AA2D40">
        <w:t xml:space="preserve">025 (Jul. 9, 2025), </w:t>
      </w:r>
      <w:hyperlink r:id="rId8" w:history="1">
        <w:r w:rsidRPr="00D81765">
          <w:rPr>
            <w:rStyle w:val="Hyperlink"/>
          </w:rPr>
          <w:t>https://www.bls.gov/ooh/architecture-and-engineering/aerospace-engineers.htm</w:t>
        </w:r>
      </w:hyperlink>
      <w:r w:rsidRPr="00AA2D40">
        <w:t>.</w:t>
      </w:r>
      <w:r>
        <w:t xml:space="preserve">  On average</w:t>
      </w:r>
      <w:r w:rsidRPr="00F9255C">
        <w:t xml:space="preserve">, </w:t>
      </w:r>
      <w:r>
        <w:t xml:space="preserve">U.S. </w:t>
      </w:r>
      <w:r w:rsidRPr="00F9255C">
        <w:t>benefits constitute a markup of $15.00/$32.92 = 46%</w:t>
      </w:r>
      <w:r>
        <w:t xml:space="preserve"> (</w:t>
      </w:r>
      <w:r w:rsidRPr="00DE4450">
        <w:rPr>
          <w:i/>
          <w:iCs/>
        </w:rPr>
        <w:t>Benefits Markup</w:t>
      </w:r>
      <w:r>
        <w:t>)</w:t>
      </w:r>
      <w:r w:rsidRPr="00F9255C">
        <w:t xml:space="preserve">. </w:t>
      </w:r>
      <w:r>
        <w:t xml:space="preserve"> </w:t>
      </w:r>
      <w:r w:rsidRPr="00F9255C">
        <w:t>We therefore mark up wages by 46% to account for benefits (</w:t>
      </w:r>
      <w:r>
        <w:t xml:space="preserve">Lawyers: </w:t>
      </w:r>
      <w:r w:rsidRPr="00F9255C">
        <w:t>$72.67 × 1.46 = $106.10</w:t>
      </w:r>
      <w:r>
        <w:t xml:space="preserve">; aerospace engineers: </w:t>
      </w:r>
      <w:r w:rsidRPr="00F9255C">
        <w:t>$</w:t>
      </w:r>
      <w:r>
        <w:t>64</w:t>
      </w:r>
      <w:r w:rsidRPr="00F9255C">
        <w:t>.</w:t>
      </w:r>
      <w:r>
        <w:t>82</w:t>
      </w:r>
      <w:r w:rsidRPr="00F9255C">
        <w:t xml:space="preserve"> × 1.46 = $</w:t>
      </w:r>
      <w:r>
        <w:t>94</w:t>
      </w:r>
      <w:r w:rsidRPr="00F9255C">
        <w:t>.</w:t>
      </w:r>
      <w:r>
        <w:t>64</w:t>
      </w:r>
      <w:r w:rsidRPr="00F9255C">
        <w:t>).</w:t>
      </w:r>
      <w:r>
        <w:t xml:space="preserve">  </w:t>
      </w:r>
      <w:r w:rsidRPr="009C3C6B">
        <w:t xml:space="preserve">Press Release, Bureau of Labor Statistics, Employer Costs for Employee Compensation – March 2025 at 1 (Jul. 9, 2025), </w:t>
      </w:r>
      <w:hyperlink r:id="rId9" w:history="1">
        <w:r w:rsidRPr="002620B4">
          <w:rPr>
            <w:rStyle w:val="Hyperlink"/>
          </w:rPr>
          <w:t>https://www.bls.gov/news.release/pdf/ecec.pdf</w:t>
        </w:r>
      </w:hyperlink>
      <w:r w:rsidRPr="009C3C6B">
        <w:t>.</w:t>
      </w:r>
    </w:p>
  </w:footnote>
  <w:footnote w:id="196">
    <w:p w:rsidR="0025350E" w:rsidRPr="00B243F0" w:rsidP="0025350E" w14:paraId="4B3FF95C" w14:textId="77777777">
      <w:pPr>
        <w:pStyle w:val="FootnoteText"/>
      </w:pPr>
      <w:r w:rsidRPr="00B243F0">
        <w:rPr>
          <w:rStyle w:val="FootnoteReference"/>
        </w:rPr>
        <w:footnoteRef/>
      </w:r>
      <w:r w:rsidRPr="00B243F0">
        <w:t xml:space="preserve"> 5 U.S.C. § 603(c).</w:t>
      </w:r>
    </w:p>
  </w:footnote>
  <w:footnote w:id="197">
    <w:p w:rsidR="0025350E" w:rsidRPr="00B243F0" w:rsidP="0025350E" w14:paraId="704E0A2C" w14:textId="77777777">
      <w:pPr>
        <w:pStyle w:val="FootnoteText"/>
      </w:pPr>
      <w:r w:rsidRPr="00B243F0">
        <w:rPr>
          <w:rStyle w:val="FootnoteReference"/>
        </w:rPr>
        <w:footnoteRef/>
      </w:r>
      <w:r w:rsidRPr="00B243F0">
        <w:t xml:space="preserve"> </w:t>
      </w:r>
      <w:r w:rsidRPr="00B243F0">
        <w:rPr>
          <w:i/>
          <w:iCs/>
        </w:rPr>
        <w:t>Id</w:t>
      </w:r>
      <w:r w:rsidRPr="00B243F0">
        <w:t>. § 603(c)(1)-(4).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50E" w:rsidP="00810B6F" w14:paraId="7CE92C52" w14:textId="0ED0C1DB">
    <w:pPr>
      <w:pStyle w:val="Header"/>
      <w:rPr>
        <w:b w:val="0"/>
      </w:rPr>
    </w:pPr>
    <w:r>
      <w:tab/>
      <w:t>Federal Communications Commission</w:t>
    </w:r>
    <w:r>
      <w:tab/>
      <w:t>FCC 2</w:t>
    </w:r>
    <w:r w:rsidR="00251664">
      <w:t>6</w:t>
    </w:r>
    <w:r>
      <w:t>-</w:t>
    </w:r>
    <w:r w:rsidR="006D4D1B">
      <w:t>13</w:t>
    </w:r>
  </w:p>
  <w:p w:rsidR="0025350E" w14:paraId="18564D30" w14:textId="50D8B6D6">
    <w:pPr>
      <w:tabs>
        <w:tab w:val="left" w:pos="-720"/>
      </w:tabs>
      <w:suppressAutoHyphens/>
      <w:spacing w:line="19" w:lineRule="exact"/>
      <w:rPr>
        <w:spacing w:val="-2"/>
      </w:rPr>
    </w:pPr>
    <w:r>
      <w:rPr>
        <w:noProof/>
      </w:rPr>
      <w:pict>
        <v:rect 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6192" o:allowincell="f" fillcolor="black" stroked="f" strokeweight="0.05pt">
          <w10:wrap anchorx="margin"/>
        </v:rect>
      </w:pict>
    </w:r>
  </w:p>
  <w:p w:rsidR="0025350E" w14:paraId="41DBE69B"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50E" w:rsidP="00810B6F" w14:paraId="3AFBE77D" w14:textId="2A61F97D">
    <w:pPr>
      <w:pStyle w:val="Header"/>
      <w:rPr>
        <w:b w:val="0"/>
      </w:rPr>
    </w:pPr>
    <w:r>
      <w:rPr>
        <w:noProof/>
      </w:rPr>
      <w:pict>
        <v:rect 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w:r>
    <w:r>
      <w:tab/>
      <w:t>Federal Communications Commission</w:t>
    </w:r>
    <w:r>
      <w:tab/>
    </w:r>
    <w:r>
      <w:rPr>
        <w:spacing w:val="-2"/>
      </w:rPr>
      <w:t>FCC 2</w:t>
    </w:r>
    <w:r w:rsidR="00251664">
      <w:rPr>
        <w:spacing w:val="-2"/>
      </w:rPr>
      <w:t>6</w:t>
    </w:r>
    <w:r>
      <w:rPr>
        <w:spacing w:val="-2"/>
      </w:rPr>
      <w:t>-</w:t>
    </w:r>
    <w:r w:rsidR="006D4D1B">
      <w:rPr>
        <w:spacing w:val="-2"/>
      </w:rPr>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ECDA86F" w14:textId="3D0F56B2">
    <w:pPr>
      <w:pStyle w:val="Header"/>
      <w:rPr>
        <w:b w:val="0"/>
      </w:rPr>
    </w:pPr>
    <w:r>
      <w:tab/>
      <w:t>Federal Communications Commission</w:t>
    </w:r>
    <w:r>
      <w:tab/>
    </w:r>
    <w:r w:rsidR="006D4D1B">
      <w:t>FCC 26-13</w:t>
    </w:r>
  </w:p>
  <w:p w:rsidR="00D25FB5" w14:paraId="02C36DFD" w14:textId="77777777">
    <w:pPr>
      <w:tabs>
        <w:tab w:val="left" w:pos="-720"/>
      </w:tabs>
      <w:suppressAutoHyphens/>
      <w:spacing w:line="19" w:lineRule="exact"/>
      <w:rPr>
        <w:spacing w:val="-2"/>
      </w:rPr>
    </w:pPr>
    <w:r>
      <w:rPr>
        <w:noProof/>
      </w:rPr>
      <w:pict>
        <v:rect id="Rectangle 1" o:spid="_x0000_s2051" style="width:468pt;height:0.95pt;margin-top:0;margin-left:0;mso-position-horizontal-relative:margin;position:absolute;visibility:visible;z-index:-251658240" o:allowincell="f" fillcolor="black" stroked="f" strokeweight="0.05pt">
          <w10:wrap anchorx="margin"/>
        </v:rect>
      </w:pict>
    </w:r>
  </w:p>
  <w:p w:rsidR="00D25FB5" w14:paraId="1E5F3736" w14:textId="77777777">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C672015" w14:textId="77777777">
    <w:pPr>
      <w:pStyle w:val="Header"/>
      <w:rPr>
        <w:b w:val="0"/>
      </w:rPr>
    </w:pPr>
    <w:r>
      <w:rPr>
        <w:noProof/>
      </w:rPr>
      <w:pict>
        <v:rect id="Rectangle 3" o:spid="_x0000_s2052"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28301F">
      <w:rPr>
        <w:spacing w:val="-2"/>
      </w:rPr>
      <w:fldChar w:fldCharType="begin"/>
    </w:r>
    <w:r w:rsidR="0028301F">
      <w:rPr>
        <w:spacing w:val="-2"/>
      </w:rPr>
      <w:instrText xml:space="preserve"> MACROBUTTON  Overtype "FCC  XX-XXX" </w:instrText>
    </w:r>
    <w:r w:rsidR="0028301F">
      <w:rPr>
        <w:spacing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926E295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519458ED"/>
    <w:multiLevelType w:val="hybridMultilevel"/>
    <w:tmpl w:val="3F68FB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1182925"/>
    <w:multiLevelType w:val="singleLevel"/>
    <w:tmpl w:val="609E081C"/>
    <w:lvl w:ilvl="0">
      <w:start w:val="1"/>
      <w:numFmt w:val="decimal"/>
      <w:pStyle w:val="ParaNum"/>
      <w:lvlText w:val="%1."/>
      <w:lvlJc w:val="left"/>
      <w:pPr>
        <w:tabs>
          <w:tab w:val="num" w:pos="1080"/>
        </w:tabs>
        <w:ind w:left="0" w:firstLine="720"/>
      </w:pPr>
      <w:rPr>
        <w:rFonts w:ascii="Times New Roman" w:hAnsi="Times New Roman" w:cs="Times New Roman" w:hint="default"/>
        <w:b w:val="0"/>
        <w:bCs/>
        <w:sz w:val="22"/>
        <w:szCs w:val="22"/>
      </w:rPr>
    </w:lvl>
  </w:abstractNum>
  <w:num w:numId="1" w16cid:durableId="796877513">
    <w:abstractNumId w:val="1"/>
  </w:num>
  <w:num w:numId="2" w16cid:durableId="1967541133">
    <w:abstractNumId w:val="6"/>
  </w:num>
  <w:num w:numId="3" w16cid:durableId="821582864">
    <w:abstractNumId w:val="3"/>
  </w:num>
  <w:num w:numId="4" w16cid:durableId="213271900">
    <w:abstractNumId w:val="4"/>
  </w:num>
  <w:num w:numId="5" w16cid:durableId="759370774">
    <w:abstractNumId w:val="2"/>
  </w:num>
  <w:num w:numId="6" w16cid:durableId="1347368654">
    <w:abstractNumId w:val="0"/>
  </w:num>
  <w:num w:numId="7" w16cid:durableId="1893610020">
    <w:abstractNumId w:val="6"/>
    <w:lvlOverride w:ilvl="0">
      <w:startOverride w:val="1"/>
    </w:lvlOverride>
  </w:num>
  <w:num w:numId="8" w16cid:durableId="1534731311">
    <w:abstractNumId w:val="5"/>
  </w:num>
  <w:num w:numId="9" w16cid:durableId="655382212">
    <w:abstractNumId w:val="6"/>
    <w:lvlOverride w:ilvl="0">
      <w:startOverride w:val="1"/>
    </w:lvlOverride>
  </w:num>
  <w:num w:numId="10" w16cid:durableId="300892057">
    <w:abstractNumId w:val="3"/>
  </w:num>
  <w:num w:numId="11" w16cid:durableId="809904418">
    <w:abstractNumId w:val="3"/>
  </w:num>
  <w:num w:numId="12" w16cid:durableId="1066687171">
    <w:abstractNumId w:val="3"/>
  </w:num>
  <w:num w:numId="13" w16cid:durableId="2140340665">
    <w:abstractNumId w:val="3"/>
  </w:num>
  <w:num w:numId="14" w16cid:durableId="872228671">
    <w:abstractNumId w:val="3"/>
  </w:num>
  <w:num w:numId="15" w16cid:durableId="1987278107">
    <w:abstractNumId w:val="3"/>
  </w:num>
  <w:num w:numId="16" w16cid:durableId="1478956933">
    <w:abstractNumId w:val="3"/>
  </w:num>
  <w:num w:numId="17" w16cid:durableId="653795768">
    <w:abstractNumId w:val="3"/>
  </w:num>
  <w:num w:numId="18" w16cid:durableId="1945114837">
    <w:abstractNumId w:val="3"/>
  </w:num>
  <w:num w:numId="19" w16cid:durableId="641693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0E"/>
    <w:rsid w:val="00001BCA"/>
    <w:rsid w:val="00003D84"/>
    <w:rsid w:val="00012DDC"/>
    <w:rsid w:val="00025713"/>
    <w:rsid w:val="00036039"/>
    <w:rsid w:val="00037F90"/>
    <w:rsid w:val="000441BB"/>
    <w:rsid w:val="000731FA"/>
    <w:rsid w:val="0007510F"/>
    <w:rsid w:val="000778F5"/>
    <w:rsid w:val="00086F6E"/>
    <w:rsid w:val="000875BF"/>
    <w:rsid w:val="00096D8C"/>
    <w:rsid w:val="000A140B"/>
    <w:rsid w:val="000A4E50"/>
    <w:rsid w:val="000A71AA"/>
    <w:rsid w:val="000C0B65"/>
    <w:rsid w:val="000C5571"/>
    <w:rsid w:val="000C7A73"/>
    <w:rsid w:val="000D6D64"/>
    <w:rsid w:val="000E05FE"/>
    <w:rsid w:val="000E3D42"/>
    <w:rsid w:val="000E4843"/>
    <w:rsid w:val="000E6470"/>
    <w:rsid w:val="001103A2"/>
    <w:rsid w:val="00110A09"/>
    <w:rsid w:val="00122BD5"/>
    <w:rsid w:val="00133F79"/>
    <w:rsid w:val="001352EA"/>
    <w:rsid w:val="00135480"/>
    <w:rsid w:val="00135E07"/>
    <w:rsid w:val="0014195D"/>
    <w:rsid w:val="00155A84"/>
    <w:rsid w:val="001566D0"/>
    <w:rsid w:val="00172AA5"/>
    <w:rsid w:val="00182FC2"/>
    <w:rsid w:val="001848A5"/>
    <w:rsid w:val="00186F18"/>
    <w:rsid w:val="00187026"/>
    <w:rsid w:val="00190BD3"/>
    <w:rsid w:val="00194A66"/>
    <w:rsid w:val="001A5BB0"/>
    <w:rsid w:val="001B79FB"/>
    <w:rsid w:val="001C7A51"/>
    <w:rsid w:val="001D6BCF"/>
    <w:rsid w:val="001E01CA"/>
    <w:rsid w:val="001E0F20"/>
    <w:rsid w:val="001E3A0F"/>
    <w:rsid w:val="001F0F38"/>
    <w:rsid w:val="00203BEC"/>
    <w:rsid w:val="00217C33"/>
    <w:rsid w:val="00225DCC"/>
    <w:rsid w:val="0022730E"/>
    <w:rsid w:val="00235175"/>
    <w:rsid w:val="00250BD7"/>
    <w:rsid w:val="00251664"/>
    <w:rsid w:val="0025350E"/>
    <w:rsid w:val="0025571A"/>
    <w:rsid w:val="00260BC8"/>
    <w:rsid w:val="002620B4"/>
    <w:rsid w:val="00262106"/>
    <w:rsid w:val="00263BD7"/>
    <w:rsid w:val="00275CF5"/>
    <w:rsid w:val="0028301F"/>
    <w:rsid w:val="00285017"/>
    <w:rsid w:val="00286AF4"/>
    <w:rsid w:val="002903C7"/>
    <w:rsid w:val="002A1466"/>
    <w:rsid w:val="002A2D2E"/>
    <w:rsid w:val="002A4640"/>
    <w:rsid w:val="002B12E2"/>
    <w:rsid w:val="002B1C2D"/>
    <w:rsid w:val="002C00E8"/>
    <w:rsid w:val="002F5566"/>
    <w:rsid w:val="00302BCA"/>
    <w:rsid w:val="00321F13"/>
    <w:rsid w:val="003256D3"/>
    <w:rsid w:val="003315BD"/>
    <w:rsid w:val="0033406F"/>
    <w:rsid w:val="00343036"/>
    <w:rsid w:val="00343749"/>
    <w:rsid w:val="00364118"/>
    <w:rsid w:val="00365751"/>
    <w:rsid w:val="003660ED"/>
    <w:rsid w:val="00370374"/>
    <w:rsid w:val="0037513C"/>
    <w:rsid w:val="00391316"/>
    <w:rsid w:val="003B0550"/>
    <w:rsid w:val="003B694F"/>
    <w:rsid w:val="003B6F70"/>
    <w:rsid w:val="003C48B7"/>
    <w:rsid w:val="003D29AA"/>
    <w:rsid w:val="003D6D97"/>
    <w:rsid w:val="003F0CAF"/>
    <w:rsid w:val="003F171C"/>
    <w:rsid w:val="003F6D7D"/>
    <w:rsid w:val="00412FC5"/>
    <w:rsid w:val="00415BCC"/>
    <w:rsid w:val="00416950"/>
    <w:rsid w:val="00422276"/>
    <w:rsid w:val="004242F1"/>
    <w:rsid w:val="00434DA8"/>
    <w:rsid w:val="004351A9"/>
    <w:rsid w:val="00436F02"/>
    <w:rsid w:val="004410CE"/>
    <w:rsid w:val="004410D3"/>
    <w:rsid w:val="00445A00"/>
    <w:rsid w:val="00451B0F"/>
    <w:rsid w:val="0045308D"/>
    <w:rsid w:val="00463A28"/>
    <w:rsid w:val="004744C0"/>
    <w:rsid w:val="00476C32"/>
    <w:rsid w:val="00492BA7"/>
    <w:rsid w:val="004A75FB"/>
    <w:rsid w:val="004C2EE3"/>
    <w:rsid w:val="004C7325"/>
    <w:rsid w:val="004E05C0"/>
    <w:rsid w:val="004E4A22"/>
    <w:rsid w:val="004F3174"/>
    <w:rsid w:val="005079B5"/>
    <w:rsid w:val="00511968"/>
    <w:rsid w:val="0051403C"/>
    <w:rsid w:val="00514235"/>
    <w:rsid w:val="00517BB6"/>
    <w:rsid w:val="0052538B"/>
    <w:rsid w:val="00532DA9"/>
    <w:rsid w:val="00545BDC"/>
    <w:rsid w:val="005526DF"/>
    <w:rsid w:val="0055364A"/>
    <w:rsid w:val="0055614C"/>
    <w:rsid w:val="005577AD"/>
    <w:rsid w:val="00566D06"/>
    <w:rsid w:val="00580447"/>
    <w:rsid w:val="005852B9"/>
    <w:rsid w:val="0058584C"/>
    <w:rsid w:val="0058611A"/>
    <w:rsid w:val="00592DE3"/>
    <w:rsid w:val="005955F1"/>
    <w:rsid w:val="00597182"/>
    <w:rsid w:val="005B2376"/>
    <w:rsid w:val="005C6D66"/>
    <w:rsid w:val="005C7A5E"/>
    <w:rsid w:val="005E14C2"/>
    <w:rsid w:val="005E5BF3"/>
    <w:rsid w:val="005F14E0"/>
    <w:rsid w:val="005F68DB"/>
    <w:rsid w:val="00606FAD"/>
    <w:rsid w:val="00607BA5"/>
    <w:rsid w:val="0061180A"/>
    <w:rsid w:val="00625293"/>
    <w:rsid w:val="00626EB6"/>
    <w:rsid w:val="0063211E"/>
    <w:rsid w:val="00646EDA"/>
    <w:rsid w:val="00652C2B"/>
    <w:rsid w:val="00655D03"/>
    <w:rsid w:val="00674B39"/>
    <w:rsid w:val="0067665F"/>
    <w:rsid w:val="00682388"/>
    <w:rsid w:val="00682986"/>
    <w:rsid w:val="00683388"/>
    <w:rsid w:val="00683F84"/>
    <w:rsid w:val="0068646C"/>
    <w:rsid w:val="00695FE7"/>
    <w:rsid w:val="006A6A81"/>
    <w:rsid w:val="006C02E3"/>
    <w:rsid w:val="006D0590"/>
    <w:rsid w:val="006D49FD"/>
    <w:rsid w:val="006D4D1B"/>
    <w:rsid w:val="006E18BF"/>
    <w:rsid w:val="006F7393"/>
    <w:rsid w:val="0070224F"/>
    <w:rsid w:val="007115F7"/>
    <w:rsid w:val="00713157"/>
    <w:rsid w:val="00744A54"/>
    <w:rsid w:val="00753436"/>
    <w:rsid w:val="00755286"/>
    <w:rsid w:val="00764827"/>
    <w:rsid w:val="00765BC8"/>
    <w:rsid w:val="00785689"/>
    <w:rsid w:val="0079754B"/>
    <w:rsid w:val="007A1E6D"/>
    <w:rsid w:val="007A543A"/>
    <w:rsid w:val="007B03DD"/>
    <w:rsid w:val="007B0EB2"/>
    <w:rsid w:val="007B456E"/>
    <w:rsid w:val="007B49A0"/>
    <w:rsid w:val="007B652C"/>
    <w:rsid w:val="007C54FF"/>
    <w:rsid w:val="007C5AE6"/>
    <w:rsid w:val="00807D94"/>
    <w:rsid w:val="00810B6F"/>
    <w:rsid w:val="00822CE0"/>
    <w:rsid w:val="00827D2E"/>
    <w:rsid w:val="00831526"/>
    <w:rsid w:val="00834056"/>
    <w:rsid w:val="00841AB1"/>
    <w:rsid w:val="00845CE2"/>
    <w:rsid w:val="00852799"/>
    <w:rsid w:val="00860A3C"/>
    <w:rsid w:val="0087490F"/>
    <w:rsid w:val="00887D3C"/>
    <w:rsid w:val="00893C09"/>
    <w:rsid w:val="008A5AFB"/>
    <w:rsid w:val="008A5F32"/>
    <w:rsid w:val="008A6101"/>
    <w:rsid w:val="008B6A4D"/>
    <w:rsid w:val="008B7D95"/>
    <w:rsid w:val="008C4766"/>
    <w:rsid w:val="008C68F1"/>
    <w:rsid w:val="008D107B"/>
    <w:rsid w:val="008D11D2"/>
    <w:rsid w:val="008D6DDC"/>
    <w:rsid w:val="008E1FF7"/>
    <w:rsid w:val="008F69B2"/>
    <w:rsid w:val="00901AE4"/>
    <w:rsid w:val="009057FC"/>
    <w:rsid w:val="00906E09"/>
    <w:rsid w:val="009117F0"/>
    <w:rsid w:val="00921803"/>
    <w:rsid w:val="00925706"/>
    <w:rsid w:val="00926503"/>
    <w:rsid w:val="00934012"/>
    <w:rsid w:val="00943BA8"/>
    <w:rsid w:val="00947527"/>
    <w:rsid w:val="00951EFA"/>
    <w:rsid w:val="009535DB"/>
    <w:rsid w:val="00964089"/>
    <w:rsid w:val="009668CD"/>
    <w:rsid w:val="00970835"/>
    <w:rsid w:val="009726D8"/>
    <w:rsid w:val="00975E0B"/>
    <w:rsid w:val="0097751C"/>
    <w:rsid w:val="00987D61"/>
    <w:rsid w:val="009922F8"/>
    <w:rsid w:val="009C3C6B"/>
    <w:rsid w:val="009D7308"/>
    <w:rsid w:val="009F76DB"/>
    <w:rsid w:val="00A15A40"/>
    <w:rsid w:val="00A17EA8"/>
    <w:rsid w:val="00A32C3B"/>
    <w:rsid w:val="00A41C98"/>
    <w:rsid w:val="00A42CF1"/>
    <w:rsid w:val="00A42F1F"/>
    <w:rsid w:val="00A442EE"/>
    <w:rsid w:val="00A45F4F"/>
    <w:rsid w:val="00A46B6D"/>
    <w:rsid w:val="00A50C88"/>
    <w:rsid w:val="00A600A9"/>
    <w:rsid w:val="00A752A4"/>
    <w:rsid w:val="00A80DEC"/>
    <w:rsid w:val="00A93BE2"/>
    <w:rsid w:val="00AA14EF"/>
    <w:rsid w:val="00AA2D40"/>
    <w:rsid w:val="00AA55B7"/>
    <w:rsid w:val="00AA5B9E"/>
    <w:rsid w:val="00AB2407"/>
    <w:rsid w:val="00AB53DF"/>
    <w:rsid w:val="00AC4BC4"/>
    <w:rsid w:val="00AD3B35"/>
    <w:rsid w:val="00AD7D33"/>
    <w:rsid w:val="00AF2F68"/>
    <w:rsid w:val="00B0621C"/>
    <w:rsid w:val="00B07E5C"/>
    <w:rsid w:val="00B13401"/>
    <w:rsid w:val="00B166DD"/>
    <w:rsid w:val="00B212CD"/>
    <w:rsid w:val="00B22A3C"/>
    <w:rsid w:val="00B243F0"/>
    <w:rsid w:val="00B3279A"/>
    <w:rsid w:val="00B433FF"/>
    <w:rsid w:val="00B44007"/>
    <w:rsid w:val="00B61A27"/>
    <w:rsid w:val="00B811F7"/>
    <w:rsid w:val="00B84E4E"/>
    <w:rsid w:val="00B87BC3"/>
    <w:rsid w:val="00B917EB"/>
    <w:rsid w:val="00BA12DD"/>
    <w:rsid w:val="00BA1DB5"/>
    <w:rsid w:val="00BA5DC6"/>
    <w:rsid w:val="00BA6196"/>
    <w:rsid w:val="00BB0A3C"/>
    <w:rsid w:val="00BC6D8C"/>
    <w:rsid w:val="00BE1604"/>
    <w:rsid w:val="00BE79B3"/>
    <w:rsid w:val="00BF0506"/>
    <w:rsid w:val="00C02C54"/>
    <w:rsid w:val="00C039EC"/>
    <w:rsid w:val="00C04C03"/>
    <w:rsid w:val="00C11EF5"/>
    <w:rsid w:val="00C16B6F"/>
    <w:rsid w:val="00C34006"/>
    <w:rsid w:val="00C36B4C"/>
    <w:rsid w:val="00C37245"/>
    <w:rsid w:val="00C426B1"/>
    <w:rsid w:val="00C45DEE"/>
    <w:rsid w:val="00C47B06"/>
    <w:rsid w:val="00C54EF9"/>
    <w:rsid w:val="00C559AF"/>
    <w:rsid w:val="00C66160"/>
    <w:rsid w:val="00C721AC"/>
    <w:rsid w:val="00C72E78"/>
    <w:rsid w:val="00C75DE8"/>
    <w:rsid w:val="00C90D6A"/>
    <w:rsid w:val="00C96B04"/>
    <w:rsid w:val="00CA247E"/>
    <w:rsid w:val="00CA6D21"/>
    <w:rsid w:val="00CC1B61"/>
    <w:rsid w:val="00CC2A78"/>
    <w:rsid w:val="00CC72B6"/>
    <w:rsid w:val="00CD0F68"/>
    <w:rsid w:val="00CD16B5"/>
    <w:rsid w:val="00CF187E"/>
    <w:rsid w:val="00CF5ED1"/>
    <w:rsid w:val="00CF670A"/>
    <w:rsid w:val="00D00611"/>
    <w:rsid w:val="00D0218D"/>
    <w:rsid w:val="00D11ABF"/>
    <w:rsid w:val="00D25FB5"/>
    <w:rsid w:val="00D30D92"/>
    <w:rsid w:val="00D32B85"/>
    <w:rsid w:val="00D404A0"/>
    <w:rsid w:val="00D44146"/>
    <w:rsid w:val="00D44223"/>
    <w:rsid w:val="00D44E37"/>
    <w:rsid w:val="00D458EF"/>
    <w:rsid w:val="00D52858"/>
    <w:rsid w:val="00D67DF5"/>
    <w:rsid w:val="00D75467"/>
    <w:rsid w:val="00D766DD"/>
    <w:rsid w:val="00D81765"/>
    <w:rsid w:val="00D81848"/>
    <w:rsid w:val="00D872E1"/>
    <w:rsid w:val="00D91E2C"/>
    <w:rsid w:val="00DA13F2"/>
    <w:rsid w:val="00DA1AF0"/>
    <w:rsid w:val="00DA2529"/>
    <w:rsid w:val="00DB130A"/>
    <w:rsid w:val="00DB2EBB"/>
    <w:rsid w:val="00DB3CB6"/>
    <w:rsid w:val="00DC10A1"/>
    <w:rsid w:val="00DC655F"/>
    <w:rsid w:val="00DD0B59"/>
    <w:rsid w:val="00DD7EBD"/>
    <w:rsid w:val="00DE4450"/>
    <w:rsid w:val="00DE72D3"/>
    <w:rsid w:val="00DF62B6"/>
    <w:rsid w:val="00E005FD"/>
    <w:rsid w:val="00E02989"/>
    <w:rsid w:val="00E07225"/>
    <w:rsid w:val="00E12022"/>
    <w:rsid w:val="00E169D5"/>
    <w:rsid w:val="00E2453C"/>
    <w:rsid w:val="00E36A9F"/>
    <w:rsid w:val="00E402D7"/>
    <w:rsid w:val="00E44CE4"/>
    <w:rsid w:val="00E44E63"/>
    <w:rsid w:val="00E5409F"/>
    <w:rsid w:val="00E5483A"/>
    <w:rsid w:val="00E8231A"/>
    <w:rsid w:val="00EA239A"/>
    <w:rsid w:val="00EA4BF2"/>
    <w:rsid w:val="00EA5724"/>
    <w:rsid w:val="00EB7F67"/>
    <w:rsid w:val="00EC4EFB"/>
    <w:rsid w:val="00EE3A08"/>
    <w:rsid w:val="00EE6488"/>
    <w:rsid w:val="00EF6D4A"/>
    <w:rsid w:val="00F021FA"/>
    <w:rsid w:val="00F14140"/>
    <w:rsid w:val="00F15664"/>
    <w:rsid w:val="00F201A8"/>
    <w:rsid w:val="00F21AF8"/>
    <w:rsid w:val="00F50E53"/>
    <w:rsid w:val="00F51CA7"/>
    <w:rsid w:val="00F54D8E"/>
    <w:rsid w:val="00F62E97"/>
    <w:rsid w:val="00F6363F"/>
    <w:rsid w:val="00F64209"/>
    <w:rsid w:val="00F9255C"/>
    <w:rsid w:val="00F93BF5"/>
    <w:rsid w:val="00FB3300"/>
    <w:rsid w:val="00FC1508"/>
    <w:rsid w:val="00FC3E9E"/>
    <w:rsid w:val="00FE1AB9"/>
    <w:rsid w:val="00FE2510"/>
    <w:rsid w:val="00FE32C7"/>
    <w:rsid w:val="00FE36DD"/>
    <w:rsid w:val="00FE7954"/>
    <w:rsid w:val="00FF1FE6"/>
    <w:rsid w:val="2129D06C"/>
    <w:rsid w:val="5DBD71FE"/>
    <w:rsid w:val="690026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00E458"/>
  <w15:chartTrackingRefBased/>
  <w15:docId w15:val="{547B686C-3139-4945-9B66-ED9FDC54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1B61"/>
    <w:pPr>
      <w:widowControl w:val="0"/>
    </w:pPr>
    <w:rPr>
      <w:snapToGrid w:val="0"/>
      <w:kern w:val="28"/>
      <w:sz w:val="22"/>
    </w:rPr>
  </w:style>
  <w:style w:type="paragraph" w:styleId="Heading1">
    <w:name w:val="heading 1"/>
    <w:basedOn w:val="Normal"/>
    <w:next w:val="ParaNum"/>
    <w:link w:val="Heading1Char"/>
    <w:qFormat/>
    <w:rsid w:val="00CC1B61"/>
    <w:pPr>
      <w:keepNext/>
      <w:numPr>
        <w:numId w:val="18"/>
      </w:numPr>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CC1B61"/>
    <w:pPr>
      <w:keepNext/>
      <w:numPr>
        <w:ilvl w:val="1"/>
        <w:numId w:val="18"/>
      </w:numPr>
      <w:spacing w:after="120"/>
      <w:outlineLvl w:val="1"/>
    </w:pPr>
    <w:rPr>
      <w:b/>
    </w:rPr>
  </w:style>
  <w:style w:type="paragraph" w:styleId="Heading3">
    <w:name w:val="heading 3"/>
    <w:basedOn w:val="Normal"/>
    <w:next w:val="ParaNum"/>
    <w:link w:val="Heading3Char"/>
    <w:qFormat/>
    <w:rsid w:val="00CC1B61"/>
    <w:pPr>
      <w:keepNext/>
      <w:numPr>
        <w:ilvl w:val="2"/>
        <w:numId w:val="18"/>
      </w:numPr>
      <w:tabs>
        <w:tab w:val="left" w:pos="2160"/>
      </w:tabs>
      <w:spacing w:after="120"/>
      <w:outlineLvl w:val="2"/>
    </w:pPr>
    <w:rPr>
      <w:b/>
    </w:rPr>
  </w:style>
  <w:style w:type="paragraph" w:styleId="Heading4">
    <w:name w:val="heading 4"/>
    <w:basedOn w:val="Normal"/>
    <w:next w:val="ParaNum"/>
    <w:link w:val="Heading4Char"/>
    <w:qFormat/>
    <w:rsid w:val="00CC1B61"/>
    <w:pPr>
      <w:keepNext/>
      <w:numPr>
        <w:ilvl w:val="3"/>
        <w:numId w:val="18"/>
      </w:numPr>
      <w:tabs>
        <w:tab w:val="left" w:pos="2880"/>
      </w:tabs>
      <w:spacing w:after="120"/>
      <w:outlineLvl w:val="3"/>
    </w:pPr>
    <w:rPr>
      <w:b/>
    </w:rPr>
  </w:style>
  <w:style w:type="paragraph" w:styleId="Heading5">
    <w:name w:val="heading 5"/>
    <w:basedOn w:val="Normal"/>
    <w:next w:val="ParaNum"/>
    <w:link w:val="Heading5Char"/>
    <w:qFormat/>
    <w:rsid w:val="00CC1B61"/>
    <w:pPr>
      <w:keepNext/>
      <w:numPr>
        <w:ilvl w:val="4"/>
        <w:numId w:val="18"/>
      </w:numPr>
      <w:tabs>
        <w:tab w:val="left" w:pos="3600"/>
      </w:tabs>
      <w:suppressAutoHyphens/>
      <w:spacing w:after="120"/>
      <w:outlineLvl w:val="4"/>
    </w:pPr>
    <w:rPr>
      <w:b/>
    </w:rPr>
  </w:style>
  <w:style w:type="paragraph" w:styleId="Heading6">
    <w:name w:val="heading 6"/>
    <w:basedOn w:val="Normal"/>
    <w:next w:val="ParaNum"/>
    <w:link w:val="Heading6Char"/>
    <w:qFormat/>
    <w:rsid w:val="00CC1B61"/>
    <w:pPr>
      <w:numPr>
        <w:ilvl w:val="5"/>
        <w:numId w:val="18"/>
      </w:numPr>
      <w:tabs>
        <w:tab w:val="left" w:pos="4320"/>
      </w:tabs>
      <w:spacing w:after="120"/>
      <w:outlineLvl w:val="5"/>
    </w:pPr>
    <w:rPr>
      <w:b/>
    </w:rPr>
  </w:style>
  <w:style w:type="paragraph" w:styleId="Heading7">
    <w:name w:val="heading 7"/>
    <w:basedOn w:val="Normal"/>
    <w:next w:val="ParaNum"/>
    <w:link w:val="Heading7Char"/>
    <w:qFormat/>
    <w:rsid w:val="00CC1B61"/>
    <w:pPr>
      <w:numPr>
        <w:ilvl w:val="6"/>
        <w:numId w:val="18"/>
      </w:numPr>
      <w:tabs>
        <w:tab w:val="left" w:pos="5040"/>
      </w:tabs>
      <w:spacing w:after="120"/>
      <w:outlineLvl w:val="6"/>
    </w:pPr>
    <w:rPr>
      <w:b/>
    </w:rPr>
  </w:style>
  <w:style w:type="paragraph" w:styleId="Heading8">
    <w:name w:val="heading 8"/>
    <w:basedOn w:val="Normal"/>
    <w:next w:val="ParaNum"/>
    <w:link w:val="Heading8Char"/>
    <w:qFormat/>
    <w:rsid w:val="00CC1B61"/>
    <w:pPr>
      <w:numPr>
        <w:ilvl w:val="7"/>
        <w:numId w:val="18"/>
      </w:numPr>
      <w:tabs>
        <w:tab w:val="left" w:pos="5760"/>
      </w:tabs>
      <w:spacing w:after="120"/>
      <w:outlineLvl w:val="7"/>
    </w:pPr>
    <w:rPr>
      <w:b/>
    </w:rPr>
  </w:style>
  <w:style w:type="paragraph" w:styleId="Heading9">
    <w:name w:val="heading 9"/>
    <w:basedOn w:val="Normal"/>
    <w:next w:val="ParaNum"/>
    <w:link w:val="Heading9Char"/>
    <w:qFormat/>
    <w:rsid w:val="00CC1B61"/>
    <w:pPr>
      <w:numPr>
        <w:ilvl w:val="8"/>
        <w:numId w:val="18"/>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CC1B61"/>
    <w:pPr>
      <w:numPr>
        <w:numId w:val="19"/>
      </w:numPr>
      <w:tabs>
        <w:tab w:val="clear" w:pos="1080"/>
        <w:tab w:val="num" w:pos="1440"/>
      </w:tabs>
      <w:spacing w:after="120"/>
    </w:pPr>
  </w:style>
  <w:style w:type="paragraph" w:styleId="EndnoteText">
    <w:name w:val="endnote text"/>
    <w:basedOn w:val="Normal"/>
    <w:link w:val="EndnoteTextChar"/>
    <w:semiHidden/>
    <w:rsid w:val="00CC1B61"/>
    <w:rPr>
      <w:sz w:val="20"/>
    </w:rPr>
  </w:style>
  <w:style w:type="character" w:styleId="EndnoteReference">
    <w:name w:val="endnote reference"/>
    <w:semiHidden/>
    <w:rsid w:val="00CC1B61"/>
    <w:rPr>
      <w:vertAlign w:val="superscript"/>
    </w:rPr>
  </w:style>
  <w:style w:type="paragraph" w:styleId="FootnoteText">
    <w:name w:val="footnote text"/>
    <w:link w:val="FootnoteTextChar"/>
    <w:rsid w:val="00CC1B61"/>
    <w:pPr>
      <w:spacing w:after="120"/>
    </w:pPr>
  </w:style>
  <w:style w:type="character" w:styleId="FootnoteReference">
    <w:name w:val="footnote reference"/>
    <w:rsid w:val="00CC1B61"/>
    <w:rPr>
      <w:rFonts w:ascii="Times New Roman" w:hAnsi="Times New Roman"/>
      <w:dstrike w:val="0"/>
      <w:color w:val="auto"/>
      <w:sz w:val="20"/>
      <w:vertAlign w:val="superscript"/>
    </w:rPr>
  </w:style>
  <w:style w:type="paragraph" w:styleId="TOC1">
    <w:name w:val="toc 1"/>
    <w:basedOn w:val="Normal"/>
    <w:next w:val="Normal"/>
    <w:rsid w:val="00CC1B61"/>
    <w:pPr>
      <w:tabs>
        <w:tab w:val="left" w:pos="360"/>
        <w:tab w:val="right" w:leader="dot" w:pos="9360"/>
      </w:tabs>
      <w:suppressAutoHyphens/>
      <w:ind w:left="360" w:right="720" w:hanging="360"/>
    </w:pPr>
    <w:rPr>
      <w:caps/>
      <w:noProof/>
    </w:rPr>
  </w:style>
  <w:style w:type="paragraph" w:styleId="TOC2">
    <w:name w:val="toc 2"/>
    <w:basedOn w:val="Normal"/>
    <w:next w:val="Normal"/>
    <w:rsid w:val="00CC1B61"/>
    <w:pPr>
      <w:tabs>
        <w:tab w:val="left" w:pos="720"/>
        <w:tab w:val="right" w:leader="dot" w:pos="9360"/>
      </w:tabs>
      <w:suppressAutoHyphens/>
      <w:ind w:left="720" w:right="720" w:hanging="360"/>
    </w:pPr>
    <w:rPr>
      <w:noProof/>
    </w:rPr>
  </w:style>
  <w:style w:type="paragraph" w:styleId="TOC3">
    <w:name w:val="toc 3"/>
    <w:basedOn w:val="Normal"/>
    <w:next w:val="Normal"/>
    <w:rsid w:val="00CC1B61"/>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C1B6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C1B6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C1B6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C1B6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C1B6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C1B6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C1B61"/>
    <w:pPr>
      <w:tabs>
        <w:tab w:val="right" w:pos="9360"/>
      </w:tabs>
      <w:suppressAutoHyphens/>
    </w:pPr>
  </w:style>
  <w:style w:type="character" w:customStyle="1" w:styleId="EquationCaption">
    <w:name w:val="_Equation Caption"/>
    <w:rsid w:val="00CC1B61"/>
  </w:style>
  <w:style w:type="paragraph" w:styleId="Header">
    <w:name w:val="header"/>
    <w:basedOn w:val="Normal"/>
    <w:link w:val="HeaderChar"/>
    <w:autoRedefine/>
    <w:rsid w:val="00CC1B61"/>
    <w:pPr>
      <w:tabs>
        <w:tab w:val="center" w:pos="4680"/>
        <w:tab w:val="right" w:pos="9360"/>
      </w:tabs>
    </w:pPr>
    <w:rPr>
      <w:b/>
    </w:rPr>
  </w:style>
  <w:style w:type="paragraph" w:styleId="Footer">
    <w:name w:val="footer"/>
    <w:basedOn w:val="Normal"/>
    <w:link w:val="FooterChar"/>
    <w:uiPriority w:val="99"/>
    <w:rsid w:val="00CC1B61"/>
    <w:pPr>
      <w:tabs>
        <w:tab w:val="center" w:pos="4320"/>
        <w:tab w:val="right" w:pos="8640"/>
      </w:tabs>
    </w:pPr>
  </w:style>
  <w:style w:type="character" w:styleId="PageNumber">
    <w:name w:val="page number"/>
    <w:basedOn w:val="DefaultParagraphFont"/>
    <w:rsid w:val="00CC1B61"/>
  </w:style>
  <w:style w:type="paragraph" w:styleId="BlockText">
    <w:name w:val="Block Text"/>
    <w:basedOn w:val="Normal"/>
    <w:rsid w:val="00CC1B61"/>
    <w:pPr>
      <w:spacing w:after="240"/>
      <w:ind w:left="1440" w:right="1440"/>
    </w:pPr>
  </w:style>
  <w:style w:type="paragraph" w:customStyle="1" w:styleId="Paratitle">
    <w:name w:val="Para title"/>
    <w:basedOn w:val="Normal"/>
    <w:rsid w:val="00CC1B61"/>
    <w:pPr>
      <w:tabs>
        <w:tab w:val="center" w:pos="9270"/>
      </w:tabs>
      <w:spacing w:after="240"/>
    </w:pPr>
    <w:rPr>
      <w:spacing w:val="-2"/>
    </w:rPr>
  </w:style>
  <w:style w:type="paragraph" w:customStyle="1" w:styleId="Bullet">
    <w:name w:val="Bullet"/>
    <w:basedOn w:val="Normal"/>
    <w:rsid w:val="00CC1B61"/>
    <w:pPr>
      <w:tabs>
        <w:tab w:val="left" w:pos="2160"/>
      </w:tabs>
      <w:spacing w:after="220"/>
      <w:ind w:left="2160" w:hanging="720"/>
    </w:pPr>
  </w:style>
  <w:style w:type="paragraph" w:customStyle="1" w:styleId="TableFormat">
    <w:name w:val="TableFormat"/>
    <w:basedOn w:val="Bullet"/>
    <w:rsid w:val="00CC1B61"/>
    <w:pPr>
      <w:tabs>
        <w:tab w:val="clear" w:pos="2160"/>
        <w:tab w:val="left" w:pos="5040"/>
      </w:tabs>
      <w:ind w:left="5040" w:hanging="3600"/>
    </w:pPr>
  </w:style>
  <w:style w:type="paragraph" w:customStyle="1" w:styleId="TOCTitle">
    <w:name w:val="TOC Title"/>
    <w:basedOn w:val="Normal"/>
    <w:rsid w:val="00CC1B6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C1B61"/>
    <w:pPr>
      <w:jc w:val="center"/>
    </w:pPr>
    <w:rPr>
      <w:rFonts w:ascii="Times New Roman Bold" w:hAnsi="Times New Roman Bold"/>
      <w:b/>
      <w:bCs/>
      <w:caps/>
      <w:szCs w:val="22"/>
    </w:rPr>
  </w:style>
  <w:style w:type="character" w:styleId="Hyperlink">
    <w:name w:val="Hyperlink"/>
    <w:rsid w:val="00CC1B61"/>
    <w:rPr>
      <w:color w:val="0000FF"/>
      <w:u w:val="single"/>
    </w:rPr>
  </w:style>
  <w:style w:type="character" w:customStyle="1" w:styleId="FooterChar">
    <w:name w:val="Footer Char"/>
    <w:link w:val="Footer"/>
    <w:uiPriority w:val="99"/>
    <w:rsid w:val="00CC1B61"/>
    <w:rPr>
      <w:snapToGrid w:val="0"/>
      <w:kern w:val="28"/>
      <w:sz w:val="22"/>
    </w:rPr>
  </w:style>
  <w:style w:type="character" w:customStyle="1" w:styleId="Heading1Char">
    <w:name w:val="Heading 1 Char"/>
    <w:link w:val="Heading1"/>
    <w:rsid w:val="0025350E"/>
    <w:rPr>
      <w:rFonts w:ascii="Times New Roman Bold" w:hAnsi="Times New Roman Bold"/>
      <w:b/>
      <w:caps/>
      <w:snapToGrid w:val="0"/>
      <w:kern w:val="28"/>
      <w:sz w:val="22"/>
    </w:rPr>
  </w:style>
  <w:style w:type="character" w:customStyle="1" w:styleId="Heading2Char">
    <w:name w:val="Heading 2 Char"/>
    <w:link w:val="Heading2"/>
    <w:rsid w:val="0025350E"/>
    <w:rPr>
      <w:b/>
      <w:snapToGrid w:val="0"/>
      <w:kern w:val="28"/>
      <w:sz w:val="22"/>
    </w:rPr>
  </w:style>
  <w:style w:type="character" w:customStyle="1" w:styleId="Heading3Char">
    <w:name w:val="Heading 3 Char"/>
    <w:link w:val="Heading3"/>
    <w:rsid w:val="0025350E"/>
    <w:rPr>
      <w:b/>
      <w:snapToGrid w:val="0"/>
      <w:kern w:val="28"/>
      <w:sz w:val="22"/>
    </w:rPr>
  </w:style>
  <w:style w:type="character" w:customStyle="1" w:styleId="Heading4Char">
    <w:name w:val="Heading 4 Char"/>
    <w:link w:val="Heading4"/>
    <w:rsid w:val="0025350E"/>
    <w:rPr>
      <w:b/>
      <w:snapToGrid w:val="0"/>
      <w:kern w:val="28"/>
      <w:sz w:val="22"/>
    </w:rPr>
  </w:style>
  <w:style w:type="character" w:customStyle="1" w:styleId="Heading5Char">
    <w:name w:val="Heading 5 Char"/>
    <w:link w:val="Heading5"/>
    <w:rsid w:val="0025350E"/>
    <w:rPr>
      <w:b/>
      <w:snapToGrid w:val="0"/>
      <w:kern w:val="28"/>
      <w:sz w:val="22"/>
    </w:rPr>
  </w:style>
  <w:style w:type="character" w:customStyle="1" w:styleId="Heading6Char">
    <w:name w:val="Heading 6 Char"/>
    <w:link w:val="Heading6"/>
    <w:rsid w:val="0025350E"/>
    <w:rPr>
      <w:b/>
      <w:snapToGrid w:val="0"/>
      <w:kern w:val="28"/>
      <w:sz w:val="22"/>
    </w:rPr>
  </w:style>
  <w:style w:type="character" w:customStyle="1" w:styleId="Heading7Char">
    <w:name w:val="Heading 7 Char"/>
    <w:link w:val="Heading7"/>
    <w:rsid w:val="0025350E"/>
    <w:rPr>
      <w:b/>
      <w:snapToGrid w:val="0"/>
      <w:kern w:val="28"/>
      <w:sz w:val="22"/>
    </w:rPr>
  </w:style>
  <w:style w:type="character" w:customStyle="1" w:styleId="Heading8Char">
    <w:name w:val="Heading 8 Char"/>
    <w:link w:val="Heading8"/>
    <w:rsid w:val="0025350E"/>
    <w:rPr>
      <w:b/>
      <w:snapToGrid w:val="0"/>
      <w:kern w:val="28"/>
      <w:sz w:val="22"/>
    </w:rPr>
  </w:style>
  <w:style w:type="character" w:customStyle="1" w:styleId="Heading9Char">
    <w:name w:val="Heading 9 Char"/>
    <w:link w:val="Heading9"/>
    <w:rsid w:val="0025350E"/>
    <w:rPr>
      <w:b/>
      <w:snapToGrid w:val="0"/>
      <w:kern w:val="28"/>
      <w:sz w:val="22"/>
    </w:rPr>
  </w:style>
  <w:style w:type="paragraph" w:styleId="Title">
    <w:name w:val="Title"/>
    <w:basedOn w:val="Normal"/>
    <w:next w:val="Normal"/>
    <w:link w:val="TitleChar"/>
    <w:uiPriority w:val="10"/>
    <w:qFormat/>
    <w:rsid w:val="0025350E"/>
    <w:pPr>
      <w:spacing w:after="80"/>
      <w:contextualSpacing/>
    </w:pPr>
    <w:rPr>
      <w:rFonts w:ascii="Aptos Display" w:hAnsi="Aptos Display"/>
      <w:spacing w:val="-10"/>
      <w:sz w:val="56"/>
      <w:szCs w:val="56"/>
    </w:rPr>
  </w:style>
  <w:style w:type="character" w:customStyle="1" w:styleId="TitleChar">
    <w:name w:val="Title Char"/>
    <w:link w:val="Title"/>
    <w:uiPriority w:val="10"/>
    <w:rsid w:val="0025350E"/>
    <w:rPr>
      <w:rFonts w:ascii="Aptos Display" w:hAnsi="Aptos Display"/>
      <w:snapToGrid w:val="0"/>
      <w:spacing w:val="-10"/>
      <w:kern w:val="28"/>
      <w:sz w:val="56"/>
      <w:szCs w:val="56"/>
    </w:rPr>
  </w:style>
  <w:style w:type="paragraph" w:styleId="Subtitle">
    <w:name w:val="Subtitle"/>
    <w:basedOn w:val="Normal"/>
    <w:next w:val="Normal"/>
    <w:link w:val="SubtitleChar"/>
    <w:uiPriority w:val="11"/>
    <w:qFormat/>
    <w:rsid w:val="0025350E"/>
    <w:pPr>
      <w:numPr>
        <w:ilvl w:val="1"/>
      </w:numPr>
    </w:pPr>
    <w:rPr>
      <w:color w:val="595959"/>
      <w:spacing w:val="15"/>
      <w:sz w:val="28"/>
      <w:szCs w:val="28"/>
    </w:rPr>
  </w:style>
  <w:style w:type="character" w:customStyle="1" w:styleId="SubtitleChar">
    <w:name w:val="Subtitle Char"/>
    <w:link w:val="Subtitle"/>
    <w:uiPriority w:val="11"/>
    <w:rsid w:val="0025350E"/>
    <w:rPr>
      <w:snapToGrid w:val="0"/>
      <w:color w:val="595959"/>
      <w:spacing w:val="15"/>
      <w:kern w:val="28"/>
      <w:sz w:val="28"/>
      <w:szCs w:val="28"/>
    </w:rPr>
  </w:style>
  <w:style w:type="paragraph" w:styleId="Quote">
    <w:name w:val="Quote"/>
    <w:basedOn w:val="Normal"/>
    <w:next w:val="Normal"/>
    <w:link w:val="QuoteChar"/>
    <w:uiPriority w:val="29"/>
    <w:qFormat/>
    <w:rsid w:val="0025350E"/>
    <w:pPr>
      <w:spacing w:before="160"/>
      <w:jc w:val="center"/>
    </w:pPr>
    <w:rPr>
      <w:i/>
      <w:iCs/>
      <w:color w:val="404040"/>
    </w:rPr>
  </w:style>
  <w:style w:type="character" w:customStyle="1" w:styleId="QuoteChar">
    <w:name w:val="Quote Char"/>
    <w:link w:val="Quote"/>
    <w:uiPriority w:val="29"/>
    <w:rsid w:val="0025350E"/>
    <w:rPr>
      <w:i/>
      <w:iCs/>
      <w:snapToGrid w:val="0"/>
      <w:color w:val="404040"/>
      <w:kern w:val="28"/>
      <w:sz w:val="22"/>
    </w:rPr>
  </w:style>
  <w:style w:type="paragraph" w:styleId="ListParagraph">
    <w:name w:val="List Paragraph"/>
    <w:basedOn w:val="Normal"/>
    <w:uiPriority w:val="34"/>
    <w:qFormat/>
    <w:rsid w:val="0025350E"/>
    <w:pPr>
      <w:ind w:left="720"/>
      <w:contextualSpacing/>
    </w:pPr>
  </w:style>
  <w:style w:type="character" w:styleId="IntenseEmphasis">
    <w:name w:val="Intense Emphasis"/>
    <w:uiPriority w:val="21"/>
    <w:qFormat/>
    <w:rsid w:val="0025350E"/>
    <w:rPr>
      <w:i/>
      <w:iCs/>
      <w:color w:val="0F4761"/>
    </w:rPr>
  </w:style>
  <w:style w:type="paragraph" w:styleId="IntenseQuote">
    <w:name w:val="Intense Quote"/>
    <w:basedOn w:val="Normal"/>
    <w:next w:val="Normal"/>
    <w:link w:val="IntenseQuoteChar"/>
    <w:uiPriority w:val="30"/>
    <w:qFormat/>
    <w:rsid w:val="002535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25350E"/>
    <w:rPr>
      <w:i/>
      <w:iCs/>
      <w:snapToGrid w:val="0"/>
      <w:color w:val="0F4761"/>
      <w:kern w:val="28"/>
      <w:sz w:val="22"/>
    </w:rPr>
  </w:style>
  <w:style w:type="character" w:styleId="IntenseReference">
    <w:name w:val="Intense Reference"/>
    <w:uiPriority w:val="32"/>
    <w:qFormat/>
    <w:rsid w:val="0025350E"/>
    <w:rPr>
      <w:b/>
      <w:bCs/>
      <w:smallCaps/>
      <w:color w:val="0F4761"/>
      <w:spacing w:val="5"/>
    </w:rPr>
  </w:style>
  <w:style w:type="character" w:customStyle="1" w:styleId="EndnoteTextChar">
    <w:name w:val="Endnote Text Char"/>
    <w:link w:val="EndnoteText"/>
    <w:semiHidden/>
    <w:rsid w:val="0025350E"/>
    <w:rPr>
      <w:snapToGrid w:val="0"/>
      <w:kern w:val="28"/>
    </w:rPr>
  </w:style>
  <w:style w:type="character" w:customStyle="1" w:styleId="FootnoteTextChar">
    <w:name w:val="Footnote Text Char"/>
    <w:link w:val="FootnoteText"/>
    <w:rsid w:val="0025350E"/>
  </w:style>
  <w:style w:type="character" w:customStyle="1" w:styleId="HeaderChar">
    <w:name w:val="Header Char"/>
    <w:link w:val="Header"/>
    <w:rsid w:val="0025350E"/>
    <w:rPr>
      <w:b/>
      <w:snapToGrid w:val="0"/>
      <w:kern w:val="28"/>
      <w:sz w:val="22"/>
    </w:rPr>
  </w:style>
  <w:style w:type="paragraph" w:styleId="TOCHeading">
    <w:name w:val="TOC Heading"/>
    <w:basedOn w:val="Heading1"/>
    <w:next w:val="Normal"/>
    <w:uiPriority w:val="39"/>
    <w:unhideWhenUsed/>
    <w:qFormat/>
    <w:rsid w:val="0025350E"/>
    <w:pPr>
      <w:keepLines/>
      <w:numPr>
        <w:numId w:val="0"/>
      </w:numPr>
      <w:suppressAutoHyphens w:val="0"/>
      <w:spacing w:before="240" w:after="0"/>
      <w:outlineLvl w:val="9"/>
    </w:pPr>
    <w:rPr>
      <w:rFonts w:ascii="Aptos Display" w:hAnsi="Aptos Display"/>
      <w:b w:val="0"/>
      <w:caps w:val="0"/>
      <w:color w:val="0F4761"/>
      <w:sz w:val="32"/>
      <w:szCs w:val="32"/>
    </w:rPr>
  </w:style>
  <w:style w:type="character" w:styleId="UnresolvedMention">
    <w:name w:val="Unresolved Mention"/>
    <w:uiPriority w:val="99"/>
    <w:semiHidden/>
    <w:unhideWhenUsed/>
    <w:rsid w:val="0025350E"/>
    <w:rPr>
      <w:color w:val="605E5C"/>
      <w:shd w:val="clear" w:color="auto" w:fill="E1DFDD"/>
    </w:rPr>
  </w:style>
  <w:style w:type="character" w:styleId="CommentReference">
    <w:name w:val="annotation reference"/>
    <w:uiPriority w:val="99"/>
    <w:unhideWhenUsed/>
    <w:rsid w:val="0025350E"/>
    <w:rPr>
      <w:sz w:val="16"/>
      <w:szCs w:val="16"/>
    </w:rPr>
  </w:style>
  <w:style w:type="paragraph" w:styleId="CommentText">
    <w:name w:val="annotation text"/>
    <w:basedOn w:val="Normal"/>
    <w:link w:val="CommentTextChar"/>
    <w:uiPriority w:val="99"/>
    <w:unhideWhenUsed/>
    <w:rsid w:val="0025350E"/>
    <w:rPr>
      <w:sz w:val="20"/>
    </w:rPr>
  </w:style>
  <w:style w:type="character" w:customStyle="1" w:styleId="CommentTextChar">
    <w:name w:val="Comment Text Char"/>
    <w:link w:val="CommentText"/>
    <w:uiPriority w:val="99"/>
    <w:rsid w:val="0025350E"/>
    <w:rPr>
      <w:snapToGrid w:val="0"/>
      <w:kern w:val="28"/>
    </w:rPr>
  </w:style>
  <w:style w:type="paragraph" w:styleId="CommentSubject">
    <w:name w:val="annotation subject"/>
    <w:basedOn w:val="CommentText"/>
    <w:next w:val="CommentText"/>
    <w:link w:val="CommentSubjectChar"/>
    <w:rsid w:val="0025350E"/>
    <w:rPr>
      <w:b/>
      <w:bCs/>
    </w:rPr>
  </w:style>
  <w:style w:type="character" w:customStyle="1" w:styleId="CommentSubjectChar">
    <w:name w:val="Comment Subject Char"/>
    <w:link w:val="CommentSubject"/>
    <w:rsid w:val="0025350E"/>
    <w:rPr>
      <w:b/>
      <w:bCs/>
      <w:snapToGrid w:val="0"/>
      <w:kern w:val="28"/>
    </w:rPr>
  </w:style>
  <w:style w:type="character" w:styleId="Mention">
    <w:name w:val="Mention"/>
    <w:uiPriority w:val="99"/>
    <w:unhideWhenUsed/>
    <w:rsid w:val="0025350E"/>
    <w:rPr>
      <w:color w:val="2B579A"/>
      <w:shd w:val="clear" w:color="auto" w:fill="E1DFDD"/>
    </w:rPr>
  </w:style>
  <w:style w:type="character" w:customStyle="1" w:styleId="ParaNumChar">
    <w:name w:val="ParaNum Char"/>
    <w:link w:val="ParaNum"/>
    <w:rsid w:val="0025350E"/>
    <w:rPr>
      <w:snapToGrid w:val="0"/>
      <w:kern w:val="28"/>
      <w:sz w:val="22"/>
    </w:rPr>
  </w:style>
  <w:style w:type="character" w:customStyle="1" w:styleId="cf01">
    <w:name w:val="cf01"/>
    <w:rsid w:val="0025350E"/>
    <w:rPr>
      <w:rFonts w:ascii="Segoe UI" w:hAnsi="Segoe UI" w:cs="Segoe UI" w:hint="default"/>
      <w:sz w:val="18"/>
      <w:szCs w:val="18"/>
    </w:rPr>
  </w:style>
  <w:style w:type="character" w:customStyle="1" w:styleId="wacimagecontainer">
    <w:name w:val="wacimagecontainer"/>
    <w:basedOn w:val="DefaultParagraphFont"/>
    <w:rsid w:val="0025350E"/>
  </w:style>
  <w:style w:type="paragraph" w:styleId="Revision">
    <w:name w:val="Revision"/>
    <w:hidden/>
    <w:uiPriority w:val="99"/>
    <w:semiHidden/>
    <w:rsid w:val="0025350E"/>
    <w:rPr>
      <w:snapToGrid w:val="0"/>
      <w:kern w:val="28"/>
      <w:sz w:val="22"/>
    </w:rPr>
  </w:style>
  <w:style w:type="character" w:customStyle="1" w:styleId="ParaNumChar1">
    <w:name w:val="ParaNum Char1"/>
    <w:rsid w:val="0025350E"/>
    <w:rPr>
      <w:snapToGrid w:val="0"/>
      <w:kern w:val="28"/>
      <w:sz w:val="22"/>
    </w:rPr>
  </w:style>
  <w:style w:type="character" w:styleId="FollowedHyperlink">
    <w:name w:val="FollowedHyperlink"/>
    <w:rsid w:val="0025350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tephen.duall@fcc.gov" TargetMode="External" /><Relationship Id="rId11" Type="http://schemas.openxmlformats.org/officeDocument/2006/relationships/hyperlink" Target="mailto:brandon.padgett@fcc.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1.png" /><Relationship Id="rId7" Type="http://schemas.openxmlformats.org/officeDocument/2006/relationships/hyperlink" Target="http://apps.fcc.gov/ecfs" TargetMode="External" /><Relationship Id="rId8" Type="http://schemas.openxmlformats.org/officeDocument/2006/relationships/hyperlink" Target="mailto:fcc504@fcc.gov" TargetMode="External" /><Relationship Id="rId9" Type="http://schemas.openxmlformats.org/officeDocument/2006/relationships/hyperlink" Target="https://www.fcc.gov/proposed-rulemaking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pacenews.com/northrop-grumman-eyes-2026-launch-of-robot-armed-satellite-servicer/" TargetMode="External" /><Relationship Id="rId10" Type="http://schemas.openxmlformats.org/officeDocument/2006/relationships/hyperlink" Target="https://www.opm.gov/policy-data-oversight/pay-leave/salaries-wages/salary-tables/pdf/2025/DCB.pdf" TargetMode="External" /><Relationship Id="rId11" Type="http://schemas.openxmlformats.org/officeDocument/2006/relationships/hyperlink" Target="https://apps.fcc.gov/oetcf/els/" TargetMode="External" /><Relationship Id="rId12" Type="http://schemas.openxmlformats.org/officeDocument/2006/relationships/hyperlink" Target="https://advocacy.sba.gov/wp-content/uploads/2024/12/Frequently-Asked-Questions-About-Small-Business_2024-508.pdf" TargetMode="External" /><Relationship Id="rId13" Type="http://schemas.openxmlformats.org/officeDocument/2006/relationships/hyperlink" Target="https://advocacy.sba.gov/2019/07/25/small-business-facts-spotlight-on-nonprofits/" TargetMode="External" /><Relationship Id="rId14" Type="http://schemas.openxmlformats.org/officeDocument/2006/relationships/hyperlink" Target="https://www.census.gov/data/tables/2022/econ/gus/2022-governments.html" TargetMode="External" /><Relationship Id="rId15" Type="http://schemas.openxmlformats.org/officeDocument/2006/relationships/hyperlink" Target="http://www.census.gov/NAICS" TargetMode="External" /><Relationship Id="rId2" Type="http://schemas.openxmlformats.org/officeDocument/2006/relationships/hyperlink" Target="https://www.itu.int/rec/R-REC-RS.2017-0-201208-I/en" TargetMode="External" /><Relationship Id="rId3" Type="http://schemas.openxmlformats.org/officeDocument/2006/relationships/hyperlink" Target="https://transition.fcc.gov/bureaus/ib/sand/agree/files/can-bc/can-dars.pdf" TargetMode="External" /><Relationship Id="rId4" Type="http://schemas.openxmlformats.org/officeDocument/2006/relationships/hyperlink" Target="https://transition.fcc.gov/ib/sand/agree/files/mex-nb/usmexdars.pdf" TargetMode="External" /><Relationship Id="rId5" Type="http://schemas.openxmlformats.org/officeDocument/2006/relationships/hyperlink" Target="https://www.fcc.gov/general/international-agreements" TargetMode="External" /><Relationship Id="rId6" Type="http://schemas.openxmlformats.org/officeDocument/2006/relationships/hyperlink" Target="https://www.itu.int/en/ITU-R/study-groups/rcpm/Pages/wrc-27-studies.aspx" TargetMode="External" /><Relationship Id="rId7" Type="http://schemas.openxmlformats.org/officeDocument/2006/relationships/hyperlink" Target="https://www.bls.gov/ooh/legal/lawyers.htm" TargetMode="External" /><Relationship Id="rId8" Type="http://schemas.openxmlformats.org/officeDocument/2006/relationships/hyperlink" Target="https://www.bls.gov/ooh/architecture-and-engineering/aerospace-engineers.htm" TargetMode="External" /><Relationship Id="rId9" Type="http://schemas.openxmlformats.org/officeDocument/2006/relationships/hyperlink" Target="https://www.bls.gov/news.release/pdf/ecec.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