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2767A" w:rsidRPr="00BD544D" w:rsidP="00C2767A" w14:paraId="5E9AE2BC" w14:textId="77777777">
      <w:pPr>
        <w:jc w:val="center"/>
        <w:rPr>
          <w:b/>
          <w:szCs w:val="22"/>
        </w:rPr>
      </w:pPr>
      <w:r w:rsidRPr="00BD544D">
        <w:rPr>
          <w:b/>
          <w:kern w:val="0"/>
          <w:szCs w:val="22"/>
        </w:rPr>
        <w:t>Before</w:t>
      </w:r>
      <w:r w:rsidRPr="00BD544D">
        <w:rPr>
          <w:b/>
          <w:szCs w:val="22"/>
        </w:rPr>
        <w:t xml:space="preserve"> the</w:t>
      </w:r>
    </w:p>
    <w:p w:rsidR="00C2767A" w:rsidRPr="00BD544D" w:rsidP="00C2767A" w14:paraId="76F941A0" w14:textId="77777777">
      <w:pPr>
        <w:pStyle w:val="StyleBoldCentered"/>
        <w:rPr>
          <w:rFonts w:ascii="Times New Roman" w:hAnsi="Times New Roman"/>
        </w:rPr>
      </w:pPr>
      <w:r w:rsidRPr="00BD544D">
        <w:rPr>
          <w:rFonts w:ascii="Times New Roman" w:hAnsi="Times New Roman"/>
        </w:rPr>
        <w:t>F</w:t>
      </w:r>
      <w:r w:rsidRPr="00BD544D">
        <w:rPr>
          <w:rFonts w:ascii="Times New Roman" w:hAnsi="Times New Roman"/>
          <w:caps w:val="0"/>
        </w:rPr>
        <w:t>ederal Communications Commission</w:t>
      </w:r>
    </w:p>
    <w:p w:rsidR="00C2767A" w:rsidRPr="00BD544D" w:rsidP="00C2767A" w14:paraId="53579694" w14:textId="77777777">
      <w:pPr>
        <w:pStyle w:val="StyleBoldCentered"/>
        <w:rPr>
          <w:rFonts w:ascii="Times New Roman" w:hAnsi="Times New Roman"/>
        </w:rPr>
      </w:pPr>
      <w:r w:rsidRPr="00BD544D">
        <w:rPr>
          <w:rFonts w:ascii="Times New Roman" w:hAnsi="Times New Roman"/>
          <w:caps w:val="0"/>
        </w:rPr>
        <w:t>Washington, D.C. 20554</w:t>
      </w:r>
    </w:p>
    <w:p w:rsidR="004C2EE3" w:rsidRPr="00BD544D" w:rsidP="0070224F" w14:paraId="04E9CD49" w14:textId="77777777">
      <w:pPr>
        <w:rPr>
          <w:szCs w:val="22"/>
        </w:rPr>
      </w:pPr>
    </w:p>
    <w:tbl>
      <w:tblPr>
        <w:tblW w:w="0" w:type="auto"/>
        <w:tblLayout w:type="fixed"/>
        <w:tblLook w:val="0000"/>
      </w:tblPr>
      <w:tblGrid>
        <w:gridCol w:w="4698"/>
        <w:gridCol w:w="630"/>
        <w:gridCol w:w="4248"/>
      </w:tblGrid>
      <w:tr w14:paraId="4F2F0FFF" w14:textId="77777777">
        <w:tblPrEx>
          <w:tblW w:w="0" w:type="auto"/>
          <w:tblLayout w:type="fixed"/>
          <w:tblLook w:val="0000"/>
        </w:tblPrEx>
        <w:tc>
          <w:tcPr>
            <w:tcW w:w="4698" w:type="dxa"/>
          </w:tcPr>
          <w:p w:rsidR="004C2EE3" w:rsidRPr="00BD544D" w14:paraId="62925587" w14:textId="77777777">
            <w:pPr>
              <w:tabs>
                <w:tab w:val="center" w:pos="4680"/>
              </w:tabs>
              <w:suppressAutoHyphens/>
              <w:rPr>
                <w:spacing w:val="-2"/>
                <w:szCs w:val="22"/>
              </w:rPr>
            </w:pPr>
            <w:r w:rsidRPr="00BD544D">
              <w:rPr>
                <w:spacing w:val="-2"/>
                <w:szCs w:val="22"/>
              </w:rPr>
              <w:t>In the Matter of</w:t>
            </w:r>
          </w:p>
          <w:p w:rsidR="004C2EE3" w:rsidRPr="00BD544D" w14:paraId="22E80612" w14:textId="77777777">
            <w:pPr>
              <w:tabs>
                <w:tab w:val="center" w:pos="4680"/>
              </w:tabs>
              <w:suppressAutoHyphens/>
              <w:rPr>
                <w:spacing w:val="-2"/>
                <w:szCs w:val="22"/>
              </w:rPr>
            </w:pPr>
          </w:p>
          <w:p w:rsidR="004C2EE3" w:rsidP="007115F7" w14:paraId="0A8119CC" w14:textId="77777777">
            <w:pPr>
              <w:tabs>
                <w:tab w:val="center" w:pos="4680"/>
              </w:tabs>
              <w:suppressAutoHyphens/>
              <w:rPr>
                <w:spacing w:val="-2"/>
                <w:szCs w:val="22"/>
              </w:rPr>
            </w:pPr>
            <w:r w:rsidRPr="00BD544D">
              <w:rPr>
                <w:spacing w:val="-2"/>
                <w:szCs w:val="22"/>
              </w:rPr>
              <w:t>Amendment of Parts 1, 73, 74 and 76 of the Commission’s Rules to Update Rules Applicable to Broadcast Stations</w:t>
            </w:r>
          </w:p>
          <w:p w:rsidR="00F752D1" w:rsidP="007115F7" w14:paraId="1A4FF0A9" w14:textId="77777777">
            <w:pPr>
              <w:tabs>
                <w:tab w:val="center" w:pos="4680"/>
              </w:tabs>
              <w:suppressAutoHyphens/>
              <w:rPr>
                <w:spacing w:val="-2"/>
                <w:szCs w:val="22"/>
              </w:rPr>
            </w:pPr>
          </w:p>
          <w:p w:rsidR="00F752D1" w:rsidRPr="00BD544D" w:rsidP="007115F7" w14:paraId="3A3D94D7" w14:textId="09576D73">
            <w:pPr>
              <w:tabs>
                <w:tab w:val="center" w:pos="4680"/>
              </w:tabs>
              <w:suppressAutoHyphens/>
              <w:rPr>
                <w:spacing w:val="-2"/>
                <w:szCs w:val="22"/>
              </w:rPr>
            </w:pPr>
            <w:r>
              <w:rPr>
                <w:spacing w:val="-2"/>
                <w:szCs w:val="22"/>
              </w:rPr>
              <w:t>Delete, Delete, Delete</w:t>
            </w:r>
          </w:p>
        </w:tc>
        <w:tc>
          <w:tcPr>
            <w:tcW w:w="630" w:type="dxa"/>
          </w:tcPr>
          <w:p w:rsidR="004C2EE3" w:rsidRPr="00BD544D" w14:paraId="6783CDB3" w14:textId="77777777">
            <w:pPr>
              <w:tabs>
                <w:tab w:val="center" w:pos="4680"/>
              </w:tabs>
              <w:suppressAutoHyphens/>
              <w:rPr>
                <w:b/>
                <w:spacing w:val="-2"/>
                <w:szCs w:val="22"/>
              </w:rPr>
            </w:pPr>
            <w:r w:rsidRPr="00BD544D">
              <w:rPr>
                <w:b/>
                <w:spacing w:val="-2"/>
                <w:szCs w:val="22"/>
              </w:rPr>
              <w:t>)</w:t>
            </w:r>
          </w:p>
          <w:p w:rsidR="004C2EE3" w:rsidRPr="00BD544D" w14:paraId="467744D0" w14:textId="77777777">
            <w:pPr>
              <w:tabs>
                <w:tab w:val="center" w:pos="4680"/>
              </w:tabs>
              <w:suppressAutoHyphens/>
              <w:rPr>
                <w:b/>
                <w:spacing w:val="-2"/>
                <w:szCs w:val="22"/>
              </w:rPr>
            </w:pPr>
            <w:r w:rsidRPr="00BD544D">
              <w:rPr>
                <w:b/>
                <w:spacing w:val="-2"/>
                <w:szCs w:val="22"/>
              </w:rPr>
              <w:t>)</w:t>
            </w:r>
          </w:p>
          <w:p w:rsidR="004C2EE3" w:rsidRPr="00BD544D" w14:paraId="6897B1E8" w14:textId="77777777">
            <w:pPr>
              <w:tabs>
                <w:tab w:val="center" w:pos="4680"/>
              </w:tabs>
              <w:suppressAutoHyphens/>
              <w:rPr>
                <w:b/>
                <w:spacing w:val="-2"/>
                <w:szCs w:val="22"/>
              </w:rPr>
            </w:pPr>
            <w:r w:rsidRPr="00BD544D">
              <w:rPr>
                <w:b/>
                <w:spacing w:val="-2"/>
                <w:szCs w:val="22"/>
              </w:rPr>
              <w:t>)</w:t>
            </w:r>
          </w:p>
          <w:p w:rsidR="004C2EE3" w:rsidRPr="00BD544D" w14:paraId="1E910306" w14:textId="77777777">
            <w:pPr>
              <w:tabs>
                <w:tab w:val="center" w:pos="4680"/>
              </w:tabs>
              <w:suppressAutoHyphens/>
              <w:rPr>
                <w:b/>
                <w:spacing w:val="-2"/>
                <w:szCs w:val="22"/>
              </w:rPr>
            </w:pPr>
            <w:r w:rsidRPr="00BD544D">
              <w:rPr>
                <w:b/>
                <w:spacing w:val="-2"/>
                <w:szCs w:val="22"/>
              </w:rPr>
              <w:t>)</w:t>
            </w:r>
          </w:p>
          <w:p w:rsidR="004C2EE3" w14:paraId="526FBF76" w14:textId="77777777">
            <w:pPr>
              <w:tabs>
                <w:tab w:val="center" w:pos="4680"/>
              </w:tabs>
              <w:suppressAutoHyphens/>
              <w:rPr>
                <w:b/>
                <w:spacing w:val="-2"/>
                <w:szCs w:val="22"/>
              </w:rPr>
            </w:pPr>
            <w:r w:rsidRPr="00BD544D">
              <w:rPr>
                <w:b/>
                <w:spacing w:val="-2"/>
                <w:szCs w:val="22"/>
              </w:rPr>
              <w:t>)</w:t>
            </w:r>
          </w:p>
          <w:p w:rsidR="00F752D1" w14:paraId="1B4B4391" w14:textId="77777777">
            <w:pPr>
              <w:tabs>
                <w:tab w:val="center" w:pos="4680"/>
              </w:tabs>
              <w:suppressAutoHyphens/>
              <w:rPr>
                <w:b/>
                <w:spacing w:val="-2"/>
                <w:szCs w:val="22"/>
              </w:rPr>
            </w:pPr>
            <w:r>
              <w:rPr>
                <w:b/>
                <w:spacing w:val="-2"/>
                <w:szCs w:val="22"/>
              </w:rPr>
              <w:t>)</w:t>
            </w:r>
          </w:p>
          <w:p w:rsidR="00F752D1" w:rsidRPr="00BD544D" w14:paraId="7BAFC3DB" w14:textId="316BBFD5">
            <w:pPr>
              <w:tabs>
                <w:tab w:val="center" w:pos="4680"/>
              </w:tabs>
              <w:suppressAutoHyphens/>
              <w:rPr>
                <w:b/>
                <w:spacing w:val="-2"/>
                <w:szCs w:val="22"/>
              </w:rPr>
            </w:pPr>
            <w:r>
              <w:rPr>
                <w:b/>
                <w:spacing w:val="-2"/>
                <w:szCs w:val="22"/>
              </w:rPr>
              <w:t>)</w:t>
            </w:r>
          </w:p>
        </w:tc>
        <w:tc>
          <w:tcPr>
            <w:tcW w:w="4248" w:type="dxa"/>
          </w:tcPr>
          <w:p w:rsidR="004C2EE3" w:rsidRPr="00BD544D" w14:paraId="20F9AB0C" w14:textId="77777777">
            <w:pPr>
              <w:tabs>
                <w:tab w:val="center" w:pos="4680"/>
              </w:tabs>
              <w:suppressAutoHyphens/>
              <w:rPr>
                <w:spacing w:val="-2"/>
                <w:szCs w:val="22"/>
              </w:rPr>
            </w:pPr>
          </w:p>
          <w:p w:rsidR="004C2EE3" w:rsidRPr="00BD544D" w14:paraId="2523A7AE" w14:textId="77777777">
            <w:pPr>
              <w:pStyle w:val="TOAHeading"/>
              <w:tabs>
                <w:tab w:val="center" w:pos="4680"/>
                <w:tab w:val="clear" w:pos="9360"/>
              </w:tabs>
              <w:rPr>
                <w:spacing w:val="-2"/>
                <w:szCs w:val="22"/>
              </w:rPr>
            </w:pPr>
          </w:p>
          <w:p w:rsidR="004C2EE3" w14:paraId="19432B01" w14:textId="77777777">
            <w:pPr>
              <w:tabs>
                <w:tab w:val="center" w:pos="4680"/>
              </w:tabs>
              <w:suppressAutoHyphens/>
              <w:rPr>
                <w:spacing w:val="-2"/>
                <w:szCs w:val="22"/>
              </w:rPr>
            </w:pPr>
            <w:r w:rsidRPr="00BD544D">
              <w:rPr>
                <w:spacing w:val="-2"/>
                <w:szCs w:val="22"/>
              </w:rPr>
              <w:t>MB Docket No. 24-626</w:t>
            </w:r>
          </w:p>
          <w:p w:rsidR="00F752D1" w14:paraId="587413A6" w14:textId="77777777">
            <w:pPr>
              <w:tabs>
                <w:tab w:val="center" w:pos="4680"/>
              </w:tabs>
              <w:suppressAutoHyphens/>
              <w:rPr>
                <w:spacing w:val="-2"/>
                <w:szCs w:val="22"/>
              </w:rPr>
            </w:pPr>
          </w:p>
          <w:p w:rsidR="00F752D1" w14:paraId="60371669" w14:textId="77777777">
            <w:pPr>
              <w:tabs>
                <w:tab w:val="center" w:pos="4680"/>
              </w:tabs>
              <w:suppressAutoHyphens/>
              <w:rPr>
                <w:spacing w:val="-2"/>
                <w:szCs w:val="22"/>
              </w:rPr>
            </w:pPr>
          </w:p>
          <w:p w:rsidR="00F752D1" w14:paraId="05532A73" w14:textId="77777777">
            <w:pPr>
              <w:tabs>
                <w:tab w:val="center" w:pos="4680"/>
              </w:tabs>
              <w:suppressAutoHyphens/>
              <w:rPr>
                <w:spacing w:val="-2"/>
                <w:szCs w:val="22"/>
              </w:rPr>
            </w:pPr>
          </w:p>
          <w:p w:rsidR="00AE3D94" w:rsidRPr="00BD544D" w14:paraId="63E47A27" w14:textId="7F373E04">
            <w:pPr>
              <w:tabs>
                <w:tab w:val="center" w:pos="4680"/>
              </w:tabs>
              <w:suppressAutoHyphens/>
              <w:rPr>
                <w:spacing w:val="-2"/>
                <w:szCs w:val="22"/>
              </w:rPr>
            </w:pPr>
            <w:r>
              <w:rPr>
                <w:spacing w:val="-2"/>
                <w:szCs w:val="22"/>
              </w:rPr>
              <w:t>GN Docket No. 25-133</w:t>
            </w:r>
          </w:p>
        </w:tc>
      </w:tr>
    </w:tbl>
    <w:p w:rsidR="004C2EE3" w:rsidRPr="00BD544D" w:rsidP="0070224F" w14:paraId="5B857DB4" w14:textId="77777777">
      <w:pPr>
        <w:rPr>
          <w:szCs w:val="22"/>
        </w:rPr>
      </w:pPr>
    </w:p>
    <w:p w:rsidR="00841AB1" w:rsidRPr="00BD544D" w:rsidP="00F021FA" w14:paraId="2B345AF4" w14:textId="558C9F06">
      <w:pPr>
        <w:pStyle w:val="StyleBoldCentered"/>
        <w:rPr>
          <w:rFonts w:ascii="Times New Roman" w:hAnsi="Times New Roman"/>
        </w:rPr>
      </w:pPr>
      <w:r w:rsidRPr="00BD544D">
        <w:rPr>
          <w:rFonts w:ascii="Times New Roman" w:hAnsi="Times New Roman"/>
        </w:rPr>
        <w:t>Report and order</w:t>
      </w:r>
    </w:p>
    <w:p w:rsidR="004C2EE3" w:rsidRPr="00BD544D" w14:paraId="12920016" w14:textId="77777777">
      <w:pPr>
        <w:tabs>
          <w:tab w:val="left" w:pos="-720"/>
        </w:tabs>
        <w:suppressAutoHyphens/>
        <w:spacing w:line="227" w:lineRule="auto"/>
        <w:rPr>
          <w:spacing w:val="-2"/>
          <w:szCs w:val="22"/>
        </w:rPr>
      </w:pPr>
    </w:p>
    <w:p w:rsidR="004C2EE3" w:rsidRPr="00BD544D" w:rsidP="00133F79" w14:paraId="0619FD60" w14:textId="3107120F">
      <w:pPr>
        <w:tabs>
          <w:tab w:val="left" w:pos="720"/>
          <w:tab w:val="right" w:pos="9360"/>
        </w:tabs>
        <w:suppressAutoHyphens/>
        <w:spacing w:line="227" w:lineRule="auto"/>
        <w:rPr>
          <w:spacing w:val="-2"/>
          <w:szCs w:val="22"/>
        </w:rPr>
      </w:pPr>
      <w:r w:rsidRPr="00BD544D">
        <w:rPr>
          <w:b/>
          <w:spacing w:val="-2"/>
          <w:szCs w:val="22"/>
        </w:rPr>
        <w:t xml:space="preserve">Adopted:  </w:t>
      </w:r>
      <w:r w:rsidR="00495BA8">
        <w:rPr>
          <w:b/>
          <w:spacing w:val="-2"/>
          <w:szCs w:val="22"/>
        </w:rPr>
        <w:t>March 25, 2026</w:t>
      </w:r>
      <w:r w:rsidRPr="00BD544D">
        <w:rPr>
          <w:b/>
          <w:spacing w:val="-2"/>
          <w:szCs w:val="22"/>
        </w:rPr>
        <w:tab/>
      </w:r>
      <w:r w:rsidRPr="00BD544D" w:rsidR="00822CE0">
        <w:rPr>
          <w:b/>
          <w:spacing w:val="-2"/>
          <w:szCs w:val="22"/>
        </w:rPr>
        <w:t>Released</w:t>
      </w:r>
      <w:r w:rsidRPr="00BD544D">
        <w:rPr>
          <w:b/>
          <w:spacing w:val="-2"/>
          <w:szCs w:val="22"/>
        </w:rPr>
        <w:t>:</w:t>
      </w:r>
      <w:r w:rsidRPr="00BD544D" w:rsidR="00822CE0">
        <w:rPr>
          <w:b/>
          <w:spacing w:val="-2"/>
          <w:szCs w:val="22"/>
        </w:rPr>
        <w:t xml:space="preserve"> </w:t>
      </w:r>
      <w:r w:rsidRPr="00BD544D">
        <w:rPr>
          <w:b/>
          <w:spacing w:val="-2"/>
          <w:szCs w:val="22"/>
        </w:rPr>
        <w:t xml:space="preserve"> </w:t>
      </w:r>
      <w:r w:rsidR="00495BA8">
        <w:rPr>
          <w:b/>
          <w:spacing w:val="-2"/>
          <w:szCs w:val="22"/>
        </w:rPr>
        <w:t>March 25, 2026</w:t>
      </w:r>
    </w:p>
    <w:p w:rsidR="00822CE0" w:rsidRPr="00BD544D" w14:paraId="2E19F3E3" w14:textId="77777777">
      <w:pPr>
        <w:rPr>
          <w:szCs w:val="22"/>
        </w:rPr>
      </w:pPr>
    </w:p>
    <w:p w:rsidR="004C2EE3" w:rsidRPr="00BD544D" w14:paraId="34AE2528" w14:textId="7A6942C3">
      <w:pPr>
        <w:rPr>
          <w:spacing w:val="-2"/>
          <w:szCs w:val="22"/>
        </w:rPr>
      </w:pPr>
      <w:r w:rsidRPr="00BD544D">
        <w:rPr>
          <w:szCs w:val="22"/>
        </w:rPr>
        <w:t xml:space="preserve">By </w:t>
      </w:r>
      <w:r w:rsidRPr="00BD544D" w:rsidR="004E4A22">
        <w:rPr>
          <w:szCs w:val="22"/>
        </w:rPr>
        <w:t>the</w:t>
      </w:r>
      <w:r w:rsidRPr="00BD544D" w:rsidR="002A2D2E">
        <w:rPr>
          <w:szCs w:val="22"/>
        </w:rPr>
        <w:t xml:space="preserve"> </w:t>
      </w:r>
      <w:r w:rsidRPr="00BD544D" w:rsidR="00606A40">
        <w:rPr>
          <w:szCs w:val="22"/>
        </w:rPr>
        <w:t>Commission</w:t>
      </w:r>
      <w:r w:rsidRPr="00BD544D">
        <w:rPr>
          <w:spacing w:val="-2"/>
          <w:szCs w:val="22"/>
        </w:rPr>
        <w:t>:</w:t>
      </w:r>
    </w:p>
    <w:p w:rsidR="00822CE0" w:rsidRPr="00BD544D" w14:paraId="17D43345" w14:textId="77777777">
      <w:pPr>
        <w:rPr>
          <w:spacing w:val="-2"/>
          <w:szCs w:val="22"/>
        </w:rPr>
      </w:pPr>
    </w:p>
    <w:p w:rsidR="00412FC5" w:rsidRPr="00BD544D" w:rsidP="00D07A9C" w14:paraId="42BF9956" w14:textId="32C0F925">
      <w:pPr>
        <w:pStyle w:val="Heading1"/>
      </w:pPr>
      <w:r w:rsidRPr="00BD544D">
        <w:t>introduction</w:t>
      </w:r>
    </w:p>
    <w:p w:rsidR="003A59E6" w:rsidRPr="00BD544D" w:rsidP="003A59E6" w14:paraId="20E186D7" w14:textId="560EDBB3">
      <w:pPr>
        <w:pStyle w:val="ParaNum"/>
        <w:rPr>
          <w:szCs w:val="22"/>
        </w:rPr>
      </w:pPr>
      <w:r w:rsidRPr="00BD544D">
        <w:rPr>
          <w:szCs w:val="22"/>
        </w:rPr>
        <w:t xml:space="preserve">This Report and Order </w:t>
      </w:r>
      <w:r w:rsidRPr="00BD544D" w:rsidR="005B2F45">
        <w:rPr>
          <w:szCs w:val="22"/>
        </w:rPr>
        <w:t xml:space="preserve">updates the Commission’s rules </w:t>
      </w:r>
      <w:r w:rsidRPr="00BD544D" w:rsidR="00E65C66">
        <w:rPr>
          <w:szCs w:val="22"/>
        </w:rPr>
        <w:t xml:space="preserve">(Rules) </w:t>
      </w:r>
      <w:r w:rsidRPr="00BD544D" w:rsidR="005B2F45">
        <w:rPr>
          <w:szCs w:val="22"/>
        </w:rPr>
        <w:t xml:space="preserve">by </w:t>
      </w:r>
      <w:r w:rsidRPr="00BD544D" w:rsidR="006852C9">
        <w:rPr>
          <w:szCs w:val="22"/>
        </w:rPr>
        <w:t xml:space="preserve">revising various broadcast radio and television regulations in Parts 1, </w:t>
      </w:r>
      <w:r w:rsidRPr="00BD544D" w:rsidR="00750D7B">
        <w:rPr>
          <w:szCs w:val="22"/>
        </w:rPr>
        <w:t xml:space="preserve">73, 74, and 76 of the Code of Federal Regulations (CFR).  The proposals adopted herein </w:t>
      </w:r>
      <w:r w:rsidRPr="00BD544D" w:rsidR="000C5B32">
        <w:rPr>
          <w:szCs w:val="22"/>
        </w:rPr>
        <w:t xml:space="preserve">revise rules to </w:t>
      </w:r>
      <w:r w:rsidRPr="00BD544D" w:rsidR="007A3DDA">
        <w:rPr>
          <w:szCs w:val="22"/>
        </w:rPr>
        <w:t>be</w:t>
      </w:r>
      <w:r w:rsidRPr="00BD544D" w:rsidR="00D43C9F">
        <w:rPr>
          <w:szCs w:val="22"/>
        </w:rPr>
        <w:t>st</w:t>
      </w:r>
      <w:r w:rsidRPr="00BD544D" w:rsidR="007A3DDA">
        <w:rPr>
          <w:szCs w:val="22"/>
        </w:rPr>
        <w:t xml:space="preserve"> reflect current application processing requirements, codify existing </w:t>
      </w:r>
      <w:r w:rsidRPr="00BD544D" w:rsidR="009F04F6">
        <w:rPr>
          <w:szCs w:val="22"/>
        </w:rPr>
        <w:t xml:space="preserve">Media </w:t>
      </w:r>
      <w:r w:rsidRPr="00BD544D" w:rsidR="007A3DDA">
        <w:rPr>
          <w:szCs w:val="22"/>
        </w:rPr>
        <w:t xml:space="preserve">Bureau </w:t>
      </w:r>
      <w:r w:rsidRPr="00BD544D" w:rsidR="009F04F6">
        <w:rPr>
          <w:szCs w:val="22"/>
        </w:rPr>
        <w:t xml:space="preserve">(Bureau) </w:t>
      </w:r>
      <w:r w:rsidRPr="00BD544D" w:rsidR="007A3DDA">
        <w:rPr>
          <w:szCs w:val="22"/>
        </w:rPr>
        <w:t>practices, and remove references to outdated licensing procedures</w:t>
      </w:r>
      <w:r w:rsidRPr="00BD544D" w:rsidR="007A0DE6">
        <w:rPr>
          <w:szCs w:val="22"/>
        </w:rPr>
        <w:t xml:space="preserve">.  </w:t>
      </w:r>
      <w:r w:rsidRPr="00BD544D" w:rsidR="000E695E">
        <w:rPr>
          <w:szCs w:val="22"/>
        </w:rPr>
        <w:t xml:space="preserve">These </w:t>
      </w:r>
      <w:r w:rsidRPr="00BD544D" w:rsidR="009911E6">
        <w:rPr>
          <w:szCs w:val="22"/>
        </w:rPr>
        <w:t xml:space="preserve">revisions </w:t>
      </w:r>
      <w:r w:rsidRPr="00BD544D" w:rsidR="00F4015B">
        <w:rPr>
          <w:szCs w:val="22"/>
        </w:rPr>
        <w:t xml:space="preserve">further the Commission’s continued effort to </w:t>
      </w:r>
      <w:r w:rsidRPr="00BD544D" w:rsidR="0047145F">
        <w:rPr>
          <w:szCs w:val="22"/>
        </w:rPr>
        <w:t xml:space="preserve">remove </w:t>
      </w:r>
      <w:r w:rsidRPr="00BD544D" w:rsidR="002F5F26">
        <w:rPr>
          <w:szCs w:val="22"/>
        </w:rPr>
        <w:t>rules</w:t>
      </w:r>
      <w:r w:rsidRPr="00BD544D" w:rsidR="000470ED">
        <w:rPr>
          <w:szCs w:val="22"/>
        </w:rPr>
        <w:t xml:space="preserve"> and processes</w:t>
      </w:r>
      <w:r w:rsidRPr="00BD544D" w:rsidR="002F5F26">
        <w:rPr>
          <w:szCs w:val="22"/>
        </w:rPr>
        <w:t xml:space="preserve"> that are no longer necessary</w:t>
      </w:r>
      <w:r w:rsidRPr="00BD544D" w:rsidR="000470ED">
        <w:rPr>
          <w:szCs w:val="22"/>
        </w:rPr>
        <w:t xml:space="preserve">, </w:t>
      </w:r>
      <w:r w:rsidRPr="00BD544D" w:rsidR="001857AC">
        <w:rPr>
          <w:szCs w:val="22"/>
        </w:rPr>
        <w:t xml:space="preserve">and </w:t>
      </w:r>
      <w:r w:rsidRPr="00BD544D" w:rsidR="00B640DB">
        <w:rPr>
          <w:szCs w:val="22"/>
        </w:rPr>
        <w:t xml:space="preserve">ensure that our </w:t>
      </w:r>
      <w:r w:rsidRPr="00BD544D" w:rsidR="00676833">
        <w:rPr>
          <w:szCs w:val="22"/>
        </w:rPr>
        <w:t xml:space="preserve">rules are clear and </w:t>
      </w:r>
      <w:r w:rsidRPr="00BD544D" w:rsidR="00E01762">
        <w:rPr>
          <w:szCs w:val="22"/>
        </w:rPr>
        <w:t>functional</w:t>
      </w:r>
      <w:r w:rsidRPr="00BD544D" w:rsidR="00676833">
        <w:rPr>
          <w:szCs w:val="22"/>
        </w:rPr>
        <w:t xml:space="preserve"> for licensees and the public</w:t>
      </w:r>
      <w:r w:rsidRPr="00BD544D">
        <w:rPr>
          <w:szCs w:val="22"/>
        </w:rPr>
        <w:t>.</w:t>
      </w:r>
      <w:r>
        <w:rPr>
          <w:rStyle w:val="FootnoteReference"/>
          <w:szCs w:val="22"/>
        </w:rPr>
        <w:footnoteReference w:id="3"/>
      </w:r>
      <w:r w:rsidRPr="00BD544D">
        <w:rPr>
          <w:szCs w:val="22"/>
        </w:rPr>
        <w:t xml:space="preserve"> </w:t>
      </w:r>
    </w:p>
    <w:p w:rsidR="003A59E6" w:rsidRPr="00BD544D" w:rsidP="00D07A9C" w14:paraId="31E7D866" w14:textId="2228B93E">
      <w:pPr>
        <w:pStyle w:val="Heading1"/>
      </w:pPr>
      <w:r w:rsidRPr="00D07A9C">
        <w:t>background</w:t>
      </w:r>
    </w:p>
    <w:p w:rsidR="00E519D8" w:rsidRPr="00BD544D" w:rsidP="00E519D8" w14:paraId="2154A144" w14:textId="325ADBBC">
      <w:pPr>
        <w:pStyle w:val="ParaNum"/>
        <w:rPr>
          <w:szCs w:val="22"/>
        </w:rPr>
      </w:pPr>
      <w:r w:rsidRPr="00BD544D">
        <w:rPr>
          <w:szCs w:val="22"/>
        </w:rPr>
        <w:t xml:space="preserve">The </w:t>
      </w:r>
      <w:r w:rsidRPr="00BD544D" w:rsidR="006407D6">
        <w:rPr>
          <w:szCs w:val="22"/>
        </w:rPr>
        <w:t>Commission initiated</w:t>
      </w:r>
      <w:r w:rsidRPr="00BD544D">
        <w:rPr>
          <w:szCs w:val="22"/>
        </w:rPr>
        <w:t xml:space="preserve"> this proceeding</w:t>
      </w:r>
      <w:r w:rsidRPr="00BD544D" w:rsidR="00393186">
        <w:rPr>
          <w:szCs w:val="22"/>
        </w:rPr>
        <w:t xml:space="preserve"> proposing to update several of the Part 1, 73, 74, and 76 rules to better reflect current application processing </w:t>
      </w:r>
      <w:r w:rsidRPr="00BD544D" w:rsidR="00DE7492">
        <w:rPr>
          <w:szCs w:val="22"/>
        </w:rPr>
        <w:t>procedures</w:t>
      </w:r>
      <w:r w:rsidRPr="00BD544D" w:rsidR="00393186">
        <w:rPr>
          <w:szCs w:val="22"/>
        </w:rPr>
        <w:t xml:space="preserve">, clarify and harmonize </w:t>
      </w:r>
      <w:r w:rsidR="007D6691">
        <w:rPr>
          <w:szCs w:val="22"/>
        </w:rPr>
        <w:t xml:space="preserve">rule </w:t>
      </w:r>
      <w:r w:rsidRPr="00BD544D" w:rsidR="00393186">
        <w:rPr>
          <w:szCs w:val="22"/>
        </w:rPr>
        <w:t>provisions, and remove references to outdated pr</w:t>
      </w:r>
      <w:r w:rsidRPr="00BD544D" w:rsidR="00DE7492">
        <w:rPr>
          <w:szCs w:val="22"/>
        </w:rPr>
        <w:t>actices</w:t>
      </w:r>
      <w:r w:rsidRPr="00BD544D" w:rsidR="00393186">
        <w:rPr>
          <w:szCs w:val="22"/>
        </w:rPr>
        <w:t xml:space="preserve"> and legacy filing systems.</w:t>
      </w:r>
      <w:r>
        <w:rPr>
          <w:rStyle w:val="FootnoteReference"/>
          <w:sz w:val="22"/>
          <w:szCs w:val="22"/>
        </w:rPr>
        <w:footnoteReference w:id="4"/>
      </w:r>
      <w:r w:rsidRPr="00BD544D" w:rsidR="00393186">
        <w:rPr>
          <w:szCs w:val="22"/>
        </w:rPr>
        <w:t xml:space="preserve">  Specifically, </w:t>
      </w:r>
      <w:r w:rsidRPr="00BD544D" w:rsidR="00C87347">
        <w:rPr>
          <w:szCs w:val="22"/>
        </w:rPr>
        <w:t xml:space="preserve">in the </w:t>
      </w:r>
      <w:r w:rsidRPr="00BD544D" w:rsidR="00C87347">
        <w:rPr>
          <w:i/>
          <w:iCs/>
          <w:szCs w:val="22"/>
        </w:rPr>
        <w:t>NPRM</w:t>
      </w:r>
      <w:r w:rsidRPr="00BD544D" w:rsidR="00C87347">
        <w:rPr>
          <w:szCs w:val="22"/>
        </w:rPr>
        <w:t xml:space="preserve">, </w:t>
      </w:r>
      <w:r w:rsidRPr="00BD544D" w:rsidR="009C515B">
        <w:rPr>
          <w:szCs w:val="22"/>
        </w:rPr>
        <w:t>the Commission</w:t>
      </w:r>
      <w:r w:rsidRPr="00BD544D" w:rsidR="00393186">
        <w:rPr>
          <w:szCs w:val="22"/>
        </w:rPr>
        <w:t xml:space="preserve"> proposed</w:t>
      </w:r>
      <w:r w:rsidRPr="00BD544D" w:rsidR="00B919D4">
        <w:rPr>
          <w:szCs w:val="22"/>
        </w:rPr>
        <w:t xml:space="preserve"> the following</w:t>
      </w:r>
      <w:r w:rsidRPr="00BD544D" w:rsidR="00393186">
        <w:rPr>
          <w:szCs w:val="22"/>
        </w:rPr>
        <w:t xml:space="preserve"> rule changes: (1) replacing references to the Bureau’s legacy </w:t>
      </w:r>
      <w:r w:rsidRPr="00BD544D" w:rsidR="00B97008">
        <w:rPr>
          <w:szCs w:val="22"/>
        </w:rPr>
        <w:t xml:space="preserve">Consolidated Database System </w:t>
      </w:r>
      <w:r w:rsidRPr="00BD544D" w:rsidR="005B4EE1">
        <w:rPr>
          <w:szCs w:val="22"/>
        </w:rPr>
        <w:t>(</w:t>
      </w:r>
      <w:r w:rsidRPr="00BD544D" w:rsidR="00393186">
        <w:rPr>
          <w:szCs w:val="22"/>
        </w:rPr>
        <w:t>CDBS</w:t>
      </w:r>
      <w:r w:rsidRPr="00BD544D" w:rsidR="005B4EE1">
        <w:rPr>
          <w:szCs w:val="22"/>
        </w:rPr>
        <w:t>)</w:t>
      </w:r>
      <w:r w:rsidRPr="00BD544D" w:rsidR="00393186">
        <w:rPr>
          <w:szCs w:val="22"/>
        </w:rPr>
        <w:t xml:space="preserve"> electronic filing system with references to the new </w:t>
      </w:r>
      <w:r w:rsidRPr="00BD544D" w:rsidR="00B97008">
        <w:rPr>
          <w:szCs w:val="22"/>
        </w:rPr>
        <w:t xml:space="preserve">Licensing and Management System </w:t>
      </w:r>
      <w:r w:rsidRPr="00BD544D" w:rsidR="000634F8">
        <w:rPr>
          <w:szCs w:val="22"/>
        </w:rPr>
        <w:t xml:space="preserve">(LMS) </w:t>
      </w:r>
      <w:r w:rsidRPr="00BD544D" w:rsidR="00393186">
        <w:rPr>
          <w:szCs w:val="22"/>
        </w:rPr>
        <w:t>electronic filing system</w:t>
      </w:r>
      <w:r w:rsidRPr="00BD544D" w:rsidR="008E2BAF">
        <w:rPr>
          <w:szCs w:val="22"/>
        </w:rPr>
        <w:t>;</w:t>
      </w:r>
      <w:r>
        <w:rPr>
          <w:rStyle w:val="FootnoteReference"/>
          <w:sz w:val="22"/>
          <w:szCs w:val="22"/>
        </w:rPr>
        <w:footnoteReference w:id="5"/>
      </w:r>
      <w:r w:rsidRPr="00BD544D" w:rsidR="008E2BAF">
        <w:rPr>
          <w:szCs w:val="22"/>
        </w:rPr>
        <w:t xml:space="preserve"> (2)</w:t>
      </w:r>
      <w:r w:rsidRPr="00BD544D" w:rsidR="00393186">
        <w:rPr>
          <w:szCs w:val="22"/>
        </w:rPr>
        <w:t xml:space="preserve"> updating rules to correspond to the form naming conventions used in LMS;</w:t>
      </w:r>
      <w:r>
        <w:rPr>
          <w:rStyle w:val="FootnoteReference"/>
          <w:sz w:val="22"/>
          <w:szCs w:val="22"/>
        </w:rPr>
        <w:footnoteReference w:id="6"/>
      </w:r>
      <w:r w:rsidRPr="00BD544D" w:rsidR="00393186">
        <w:rPr>
          <w:szCs w:val="22"/>
        </w:rPr>
        <w:t xml:space="preserve"> (</w:t>
      </w:r>
      <w:r w:rsidRPr="00BD544D" w:rsidR="006C448B">
        <w:rPr>
          <w:szCs w:val="22"/>
        </w:rPr>
        <w:t>3</w:t>
      </w:r>
      <w:r w:rsidRPr="00BD544D" w:rsidR="00393186">
        <w:rPr>
          <w:szCs w:val="22"/>
        </w:rPr>
        <w:t>) changing table of assignments/allotments references to conform to current standard language;</w:t>
      </w:r>
      <w:r>
        <w:rPr>
          <w:rStyle w:val="FootnoteReference"/>
          <w:sz w:val="22"/>
          <w:szCs w:val="22"/>
        </w:rPr>
        <w:footnoteReference w:id="7"/>
      </w:r>
      <w:r w:rsidRPr="00BD544D" w:rsidR="00393186">
        <w:rPr>
          <w:szCs w:val="22"/>
        </w:rPr>
        <w:t xml:space="preserve"> (</w:t>
      </w:r>
      <w:r w:rsidRPr="00BD544D" w:rsidR="006C448B">
        <w:rPr>
          <w:szCs w:val="22"/>
        </w:rPr>
        <w:t>4</w:t>
      </w:r>
      <w:r w:rsidRPr="00BD544D" w:rsidR="00393186">
        <w:rPr>
          <w:szCs w:val="22"/>
        </w:rPr>
        <w:t xml:space="preserve">) removing a ten application cap adopted for the 2021 Noncommercial </w:t>
      </w:r>
      <w:r w:rsidRPr="00BD544D" w:rsidR="00ED3BAE">
        <w:rPr>
          <w:szCs w:val="22"/>
        </w:rPr>
        <w:t xml:space="preserve">Educational </w:t>
      </w:r>
      <w:r w:rsidRPr="00BD544D" w:rsidR="00393186">
        <w:rPr>
          <w:szCs w:val="22"/>
        </w:rPr>
        <w:t>(NCE) FM new station application</w:t>
      </w:r>
      <w:r w:rsidRPr="00BD544D" w:rsidR="006709B7">
        <w:rPr>
          <w:szCs w:val="22"/>
        </w:rPr>
        <w:t xml:space="preserve"> filing</w:t>
      </w:r>
      <w:r w:rsidRPr="00BD544D" w:rsidR="00393186">
        <w:rPr>
          <w:szCs w:val="22"/>
        </w:rPr>
        <w:t xml:space="preserve"> window;</w:t>
      </w:r>
      <w:r>
        <w:rPr>
          <w:rStyle w:val="FootnoteReference"/>
          <w:sz w:val="22"/>
          <w:szCs w:val="22"/>
        </w:rPr>
        <w:footnoteReference w:id="8"/>
      </w:r>
      <w:r w:rsidRPr="00BD544D" w:rsidR="00393186">
        <w:rPr>
          <w:szCs w:val="22"/>
        </w:rPr>
        <w:t xml:space="preserve"> (</w:t>
      </w:r>
      <w:r w:rsidRPr="00BD544D" w:rsidR="006C448B">
        <w:rPr>
          <w:szCs w:val="22"/>
        </w:rPr>
        <w:t>5</w:t>
      </w:r>
      <w:r w:rsidRPr="00BD544D" w:rsidR="00393186">
        <w:rPr>
          <w:szCs w:val="22"/>
        </w:rPr>
        <w:t xml:space="preserve">) updating the AM </w:t>
      </w:r>
      <w:r w:rsidRPr="00BD544D" w:rsidR="00393186">
        <w:rPr>
          <w:szCs w:val="22"/>
        </w:rPr>
        <w:t>station power increase rules to eliminate the requirement that stations seeking facility modifications request at least a 20% increase in power and to reflect current AM station classifications and other administrative updates;</w:t>
      </w:r>
      <w:r>
        <w:rPr>
          <w:rStyle w:val="FootnoteReference"/>
          <w:sz w:val="22"/>
          <w:szCs w:val="22"/>
        </w:rPr>
        <w:footnoteReference w:id="9"/>
      </w:r>
      <w:r w:rsidRPr="00BD544D" w:rsidR="00393186">
        <w:rPr>
          <w:szCs w:val="22"/>
        </w:rPr>
        <w:t xml:space="preserve"> (</w:t>
      </w:r>
      <w:r w:rsidRPr="00BD544D" w:rsidR="006C448B">
        <w:rPr>
          <w:szCs w:val="22"/>
        </w:rPr>
        <w:t>6</w:t>
      </w:r>
      <w:r w:rsidRPr="00BD544D" w:rsidR="00393186">
        <w:rPr>
          <w:szCs w:val="22"/>
        </w:rPr>
        <w:t>) updating the TV rules to remove obsolete language concerning the now-completed incentive auction;</w:t>
      </w:r>
      <w:r>
        <w:rPr>
          <w:rStyle w:val="FootnoteReference"/>
          <w:sz w:val="22"/>
          <w:szCs w:val="22"/>
        </w:rPr>
        <w:footnoteReference w:id="10"/>
      </w:r>
      <w:r w:rsidRPr="00BD544D" w:rsidR="00393186">
        <w:rPr>
          <w:szCs w:val="22"/>
        </w:rPr>
        <w:t xml:space="preserve"> (</w:t>
      </w:r>
      <w:r w:rsidRPr="00C93EE5" w:rsidR="006C448B">
        <w:rPr>
          <w:szCs w:val="22"/>
        </w:rPr>
        <w:t>7</w:t>
      </w:r>
      <w:r w:rsidRPr="00C93EE5" w:rsidR="00393186">
        <w:rPr>
          <w:szCs w:val="22"/>
        </w:rPr>
        <w:t xml:space="preserve">) harmonizing the processing procedures for minor change </w:t>
      </w:r>
      <w:r w:rsidRPr="00C93EE5" w:rsidR="002536CC">
        <w:rPr>
          <w:szCs w:val="22"/>
        </w:rPr>
        <w:t>low power FM (</w:t>
      </w:r>
      <w:r w:rsidRPr="00C93EE5" w:rsidR="00393186">
        <w:rPr>
          <w:szCs w:val="22"/>
        </w:rPr>
        <w:t>LPFM</w:t>
      </w:r>
      <w:r w:rsidRPr="00C93EE5" w:rsidR="002536CC">
        <w:rPr>
          <w:szCs w:val="22"/>
        </w:rPr>
        <w:t>)</w:t>
      </w:r>
      <w:r w:rsidRPr="00C93EE5" w:rsidR="00393186">
        <w:rPr>
          <w:szCs w:val="22"/>
        </w:rPr>
        <w:t xml:space="preserve"> applications with the current processing procedures for minor change full service FM and FM translator applications;</w:t>
      </w:r>
      <w:r>
        <w:rPr>
          <w:rStyle w:val="FootnoteReference"/>
          <w:sz w:val="22"/>
          <w:szCs w:val="22"/>
        </w:rPr>
        <w:footnoteReference w:id="11"/>
      </w:r>
      <w:r w:rsidRPr="00BD544D" w:rsidR="00393186">
        <w:rPr>
          <w:szCs w:val="22"/>
        </w:rPr>
        <w:t xml:space="preserve"> (</w:t>
      </w:r>
      <w:r w:rsidRPr="00BD544D" w:rsidR="006C448B">
        <w:rPr>
          <w:szCs w:val="22"/>
        </w:rPr>
        <w:t>8</w:t>
      </w:r>
      <w:r w:rsidRPr="00BD544D" w:rsidR="00393186">
        <w:rPr>
          <w:szCs w:val="22"/>
        </w:rPr>
        <w:t xml:space="preserve">) </w:t>
      </w:r>
      <w:r w:rsidRPr="00BD544D" w:rsidR="00C56F07">
        <w:rPr>
          <w:szCs w:val="22"/>
        </w:rPr>
        <w:t>codifying in section 73.807</w:t>
      </w:r>
      <w:r w:rsidRPr="00BD544D" w:rsidR="00E83B25">
        <w:rPr>
          <w:szCs w:val="22"/>
        </w:rPr>
        <w:t xml:space="preserve"> </w:t>
      </w:r>
      <w:r w:rsidRPr="00BD544D" w:rsidR="00C56F07">
        <w:rPr>
          <w:szCs w:val="22"/>
        </w:rPr>
        <w:t xml:space="preserve">of the rules </w:t>
      </w:r>
      <w:r w:rsidRPr="00BD544D" w:rsidR="00E65B00">
        <w:rPr>
          <w:szCs w:val="22"/>
        </w:rPr>
        <w:t xml:space="preserve">the existing interpretation of </w:t>
      </w:r>
      <w:r w:rsidRPr="00BD544D" w:rsidR="00393186">
        <w:rPr>
          <w:szCs w:val="22"/>
        </w:rPr>
        <w:t>the term “authorized</w:t>
      </w:r>
      <w:r w:rsidRPr="00BD544D" w:rsidR="00E65B00">
        <w:rPr>
          <w:szCs w:val="22"/>
        </w:rPr>
        <w:t>”</w:t>
      </w:r>
      <w:r w:rsidRPr="00BD544D" w:rsidR="00393186">
        <w:rPr>
          <w:szCs w:val="22"/>
        </w:rPr>
        <w:t xml:space="preserve"> stations</w:t>
      </w:r>
      <w:r w:rsidRPr="00BD544D" w:rsidR="00C56F07">
        <w:rPr>
          <w:szCs w:val="22"/>
        </w:rPr>
        <w:t xml:space="preserve"> </w:t>
      </w:r>
      <w:r w:rsidRPr="00BD544D" w:rsidR="00E65B00">
        <w:rPr>
          <w:szCs w:val="22"/>
        </w:rPr>
        <w:t>to include</w:t>
      </w:r>
      <w:r w:rsidRPr="00BD544D" w:rsidR="00393186">
        <w:rPr>
          <w:szCs w:val="22"/>
        </w:rPr>
        <w:t xml:space="preserve"> both licensed stations and</w:t>
      </w:r>
      <w:r w:rsidRPr="00BD544D" w:rsidR="00E65B00">
        <w:rPr>
          <w:szCs w:val="22"/>
        </w:rPr>
        <w:t>/or</w:t>
      </w:r>
      <w:r w:rsidRPr="00BD544D" w:rsidR="00393186">
        <w:rPr>
          <w:szCs w:val="22"/>
        </w:rPr>
        <w:t xml:space="preserve"> </w:t>
      </w:r>
      <w:r w:rsidRPr="00BD544D" w:rsidR="00E65B00">
        <w:rPr>
          <w:szCs w:val="22"/>
        </w:rPr>
        <w:t>granted</w:t>
      </w:r>
      <w:r w:rsidRPr="00BD544D" w:rsidR="00393186">
        <w:rPr>
          <w:szCs w:val="22"/>
        </w:rPr>
        <w:t xml:space="preserve"> construction permits;</w:t>
      </w:r>
      <w:r>
        <w:rPr>
          <w:rStyle w:val="FootnoteReference"/>
          <w:sz w:val="22"/>
          <w:szCs w:val="22"/>
        </w:rPr>
        <w:footnoteReference w:id="12"/>
      </w:r>
      <w:r w:rsidRPr="00BD544D" w:rsidR="00393186">
        <w:rPr>
          <w:szCs w:val="22"/>
        </w:rPr>
        <w:t xml:space="preserve"> </w:t>
      </w:r>
      <w:r w:rsidRPr="00BD544D" w:rsidR="00FF5787">
        <w:rPr>
          <w:szCs w:val="22"/>
        </w:rPr>
        <w:t xml:space="preserve">(9) </w:t>
      </w:r>
      <w:r w:rsidRPr="00BD544D" w:rsidR="00D05C29">
        <w:rPr>
          <w:szCs w:val="22"/>
        </w:rPr>
        <w:t>modify</w:t>
      </w:r>
      <w:r w:rsidRPr="00BD544D" w:rsidR="003E7EBF">
        <w:rPr>
          <w:szCs w:val="22"/>
        </w:rPr>
        <w:t>ing</w:t>
      </w:r>
      <w:r w:rsidRPr="00BD544D" w:rsidR="00D05C29">
        <w:rPr>
          <w:szCs w:val="22"/>
        </w:rPr>
        <w:t xml:space="preserve"> sections 73.807(a)(1) and 73.807(c) of the </w:t>
      </w:r>
      <w:r w:rsidRPr="00BD544D" w:rsidR="003E7EBF">
        <w:rPr>
          <w:szCs w:val="22"/>
        </w:rPr>
        <w:t>r</w:t>
      </w:r>
      <w:r w:rsidRPr="00BD544D" w:rsidR="00D05C29">
        <w:rPr>
          <w:szCs w:val="22"/>
        </w:rPr>
        <w:t>ules to clarify that an LPFM applicant submitting an application in a filing window for a new construction permit or modification of an existing LPFM authorization must protect FM, LPFM, and FM translator applications submitted prior to a public notice announcing the procedures for an LPFM filing window</w:t>
      </w:r>
      <w:r w:rsidRPr="00BD544D" w:rsidR="008D7F5D">
        <w:rPr>
          <w:szCs w:val="22"/>
        </w:rPr>
        <w:t>;</w:t>
      </w:r>
      <w:r>
        <w:rPr>
          <w:rStyle w:val="FootnoteReference"/>
          <w:sz w:val="22"/>
          <w:szCs w:val="22"/>
        </w:rPr>
        <w:footnoteReference w:id="13"/>
      </w:r>
      <w:r w:rsidRPr="00BD544D" w:rsidR="00D05C29">
        <w:rPr>
          <w:szCs w:val="22"/>
        </w:rPr>
        <w:t xml:space="preserve"> </w:t>
      </w:r>
      <w:r w:rsidRPr="00BD544D" w:rsidR="00393186">
        <w:rPr>
          <w:szCs w:val="22"/>
        </w:rPr>
        <w:t>(</w:t>
      </w:r>
      <w:r w:rsidRPr="00BD544D" w:rsidR="00FF5787">
        <w:rPr>
          <w:szCs w:val="22"/>
        </w:rPr>
        <w:t>10</w:t>
      </w:r>
      <w:r w:rsidRPr="00BD544D" w:rsidR="00393186">
        <w:rPr>
          <w:szCs w:val="22"/>
        </w:rPr>
        <w:t xml:space="preserve">) modifying the Signature Rule, which currently </w:t>
      </w:r>
      <w:r w:rsidRPr="00BD544D" w:rsidR="00233A91">
        <w:rPr>
          <w:szCs w:val="22"/>
        </w:rPr>
        <w:t>states</w:t>
      </w:r>
      <w:r w:rsidRPr="00BD544D" w:rsidR="00233A91">
        <w:rPr>
          <w:szCs w:val="22"/>
        </w:rPr>
        <w:t xml:space="preserve"> </w:t>
      </w:r>
      <w:r w:rsidRPr="00BD544D" w:rsidR="00233A91">
        <w:rPr>
          <w:szCs w:val="22"/>
        </w:rPr>
        <w:t xml:space="preserve">that </w:t>
      </w:r>
      <w:r w:rsidRPr="00BD544D" w:rsidR="00393186">
        <w:rPr>
          <w:szCs w:val="22"/>
        </w:rPr>
        <w:t xml:space="preserve">only officers can sign applications, </w:t>
      </w:r>
      <w:r w:rsidRPr="00BD544D" w:rsidR="00594E83">
        <w:rPr>
          <w:szCs w:val="22"/>
        </w:rPr>
        <w:t xml:space="preserve">to </w:t>
      </w:r>
      <w:r w:rsidRPr="00BD544D" w:rsidR="00393186">
        <w:rPr>
          <w:szCs w:val="22"/>
        </w:rPr>
        <w:t>allow a “duly authorized employee” to sign</w:t>
      </w:r>
      <w:r w:rsidRPr="00BD544D" w:rsidR="00D37634">
        <w:rPr>
          <w:szCs w:val="22"/>
        </w:rPr>
        <w:t xml:space="preserve">, and codifying the existing </w:t>
      </w:r>
      <w:r w:rsidRPr="00BD544D" w:rsidR="00E83B25">
        <w:rPr>
          <w:szCs w:val="22"/>
        </w:rPr>
        <w:t xml:space="preserve">rule </w:t>
      </w:r>
      <w:r w:rsidRPr="00BD544D" w:rsidR="00D37634">
        <w:rPr>
          <w:szCs w:val="22"/>
        </w:rPr>
        <w:t>interpretation that directors may sign applications</w:t>
      </w:r>
      <w:r w:rsidRPr="00BD544D" w:rsidR="00393186">
        <w:rPr>
          <w:szCs w:val="22"/>
        </w:rPr>
        <w:t>;</w:t>
      </w:r>
      <w:r>
        <w:rPr>
          <w:rStyle w:val="FootnoteReference"/>
          <w:sz w:val="22"/>
          <w:szCs w:val="22"/>
        </w:rPr>
        <w:footnoteReference w:id="14"/>
      </w:r>
      <w:r w:rsidRPr="00BD544D" w:rsidR="00393186">
        <w:rPr>
          <w:szCs w:val="22"/>
        </w:rPr>
        <w:t xml:space="preserve"> (</w:t>
      </w:r>
      <w:r w:rsidRPr="00BD544D" w:rsidR="006C448B">
        <w:rPr>
          <w:szCs w:val="22"/>
        </w:rPr>
        <w:t>1</w:t>
      </w:r>
      <w:r w:rsidRPr="00BD544D" w:rsidR="00FF5787">
        <w:rPr>
          <w:szCs w:val="22"/>
        </w:rPr>
        <w:t>1</w:t>
      </w:r>
      <w:r w:rsidRPr="00BD544D" w:rsidR="00393186">
        <w:rPr>
          <w:szCs w:val="22"/>
        </w:rPr>
        <w:t xml:space="preserve">) clarifying the rules concerning when an applicant for a new </w:t>
      </w:r>
      <w:r w:rsidRPr="00BD544D" w:rsidR="00A2247E">
        <w:rPr>
          <w:szCs w:val="22"/>
        </w:rPr>
        <w:t>NCE</w:t>
      </w:r>
      <w:r w:rsidRPr="00BD544D" w:rsidR="00393186">
        <w:rPr>
          <w:szCs w:val="22"/>
        </w:rPr>
        <w:t xml:space="preserve"> FM, NCE TV, or </w:t>
      </w:r>
      <w:r w:rsidRPr="00BD544D" w:rsidR="00856FB2">
        <w:rPr>
          <w:szCs w:val="22"/>
        </w:rPr>
        <w:t>LP</w:t>
      </w:r>
      <w:r w:rsidRPr="00BD544D" w:rsidR="00393186">
        <w:rPr>
          <w:szCs w:val="22"/>
        </w:rPr>
        <w:t>FM construction permit must give local public notice of its application;</w:t>
      </w:r>
      <w:r>
        <w:rPr>
          <w:rStyle w:val="FootnoteReference"/>
          <w:sz w:val="22"/>
          <w:szCs w:val="22"/>
        </w:rPr>
        <w:footnoteReference w:id="15"/>
      </w:r>
      <w:r w:rsidRPr="00BD544D" w:rsidR="00393186">
        <w:rPr>
          <w:szCs w:val="22"/>
        </w:rPr>
        <w:t xml:space="preserve"> (1</w:t>
      </w:r>
      <w:r w:rsidRPr="00BD544D" w:rsidR="00FF5787">
        <w:rPr>
          <w:szCs w:val="22"/>
        </w:rPr>
        <w:t>2</w:t>
      </w:r>
      <w:r w:rsidRPr="00BD544D" w:rsidR="00393186">
        <w:rPr>
          <w:szCs w:val="22"/>
        </w:rPr>
        <w:t xml:space="preserve">) removing language limiting grant of certain Special Temporary Authority (STA) </w:t>
      </w:r>
      <w:r w:rsidRPr="00BD544D" w:rsidR="00EE37C2">
        <w:rPr>
          <w:szCs w:val="22"/>
        </w:rPr>
        <w:t xml:space="preserve">submissions </w:t>
      </w:r>
      <w:r w:rsidRPr="00BD544D" w:rsidR="00393186">
        <w:rPr>
          <w:szCs w:val="22"/>
        </w:rPr>
        <w:t>to 90 days</w:t>
      </w:r>
      <w:r w:rsidRPr="00BD544D" w:rsidR="00EE37C2">
        <w:rPr>
          <w:szCs w:val="22"/>
        </w:rPr>
        <w:t>,</w:t>
      </w:r>
      <w:r w:rsidRPr="00BD544D" w:rsidR="00393186">
        <w:rPr>
          <w:szCs w:val="22"/>
        </w:rPr>
        <w:t xml:space="preserve"> rather than the full 180-day period permitted for other reasons;</w:t>
      </w:r>
      <w:r>
        <w:rPr>
          <w:rStyle w:val="FootnoteReference"/>
          <w:sz w:val="22"/>
          <w:szCs w:val="22"/>
        </w:rPr>
        <w:footnoteReference w:id="16"/>
      </w:r>
      <w:r w:rsidRPr="00BD544D" w:rsidR="00393186">
        <w:rPr>
          <w:szCs w:val="22"/>
        </w:rPr>
        <w:t xml:space="preserve"> (1</w:t>
      </w:r>
      <w:r w:rsidRPr="00BD544D" w:rsidR="00FF5787">
        <w:rPr>
          <w:szCs w:val="22"/>
        </w:rPr>
        <w:t>3</w:t>
      </w:r>
      <w:r w:rsidRPr="00BD544D" w:rsidR="00393186">
        <w:rPr>
          <w:szCs w:val="22"/>
        </w:rPr>
        <w:t>) modifying the application processing rules to remove and revise references to various procedures that are now obsolete;</w:t>
      </w:r>
      <w:r>
        <w:rPr>
          <w:rStyle w:val="FootnoteReference"/>
          <w:sz w:val="22"/>
          <w:szCs w:val="22"/>
        </w:rPr>
        <w:footnoteReference w:id="17"/>
      </w:r>
      <w:r w:rsidRPr="00BD544D" w:rsidR="00393186">
        <w:rPr>
          <w:szCs w:val="22"/>
        </w:rPr>
        <w:t xml:space="preserve"> (1</w:t>
      </w:r>
      <w:r w:rsidRPr="00BD544D" w:rsidR="00FF5787">
        <w:rPr>
          <w:szCs w:val="22"/>
        </w:rPr>
        <w:t>4</w:t>
      </w:r>
      <w:r w:rsidRPr="00BD544D" w:rsidR="00393186">
        <w:rPr>
          <w:szCs w:val="22"/>
        </w:rPr>
        <w:t>) consolidating the rules for petitions to deny license renewal applications under a single rule section;</w:t>
      </w:r>
      <w:r>
        <w:rPr>
          <w:rStyle w:val="FootnoteReference"/>
          <w:sz w:val="22"/>
          <w:szCs w:val="22"/>
        </w:rPr>
        <w:footnoteReference w:id="18"/>
      </w:r>
      <w:r w:rsidRPr="00BD544D" w:rsidR="00393186">
        <w:rPr>
          <w:szCs w:val="22"/>
        </w:rPr>
        <w:t xml:space="preserve"> and </w:t>
      </w:r>
      <w:r w:rsidRPr="00590ACC" w:rsidR="00393186">
        <w:rPr>
          <w:szCs w:val="22"/>
        </w:rPr>
        <w:t>(1</w:t>
      </w:r>
      <w:r w:rsidRPr="00590ACC" w:rsidR="00FF5787">
        <w:rPr>
          <w:szCs w:val="22"/>
        </w:rPr>
        <w:t>5</w:t>
      </w:r>
      <w:r w:rsidRPr="00590ACC" w:rsidR="00393186">
        <w:rPr>
          <w:szCs w:val="22"/>
        </w:rPr>
        <w:t>) revising the informal objection rule to require service of pleadings upon the relevant applicant and objector, limit the number of responsive pleadings, and impose filing deadlines.</w:t>
      </w:r>
      <w:r>
        <w:rPr>
          <w:rStyle w:val="FootnoteReference"/>
          <w:sz w:val="22"/>
          <w:szCs w:val="22"/>
        </w:rPr>
        <w:footnoteReference w:id="19"/>
      </w:r>
    </w:p>
    <w:p w:rsidR="000E2835" w:rsidRPr="00BD544D" w:rsidP="002B493F" w14:paraId="4CAB7D94" w14:textId="245DA743">
      <w:pPr>
        <w:pStyle w:val="ParaNum"/>
        <w:rPr>
          <w:szCs w:val="22"/>
        </w:rPr>
      </w:pPr>
      <w:r w:rsidRPr="00BD544D">
        <w:rPr>
          <w:szCs w:val="22"/>
        </w:rPr>
        <w:t xml:space="preserve">In response to the </w:t>
      </w:r>
      <w:r w:rsidRPr="00BD544D">
        <w:rPr>
          <w:i/>
          <w:iCs/>
          <w:szCs w:val="22"/>
        </w:rPr>
        <w:t>NPRM</w:t>
      </w:r>
      <w:r w:rsidRPr="00BD544D">
        <w:rPr>
          <w:szCs w:val="22"/>
        </w:rPr>
        <w:t>, we received comments and replies from broadcast industry stakeholders</w:t>
      </w:r>
      <w:r w:rsidRPr="00BD544D" w:rsidR="00247947">
        <w:rPr>
          <w:szCs w:val="22"/>
        </w:rPr>
        <w:t xml:space="preserve"> who</w:t>
      </w:r>
      <w:r w:rsidRPr="00BD544D" w:rsidR="00D3703C">
        <w:rPr>
          <w:szCs w:val="22"/>
        </w:rPr>
        <w:t xml:space="preserve"> </w:t>
      </w:r>
      <w:r w:rsidRPr="00BD544D" w:rsidR="00D9428F">
        <w:rPr>
          <w:szCs w:val="22"/>
        </w:rPr>
        <w:t>overwhelmingly</w:t>
      </w:r>
      <w:r w:rsidRPr="00BD544D" w:rsidR="00D3703C">
        <w:rPr>
          <w:szCs w:val="22"/>
        </w:rPr>
        <w:t xml:space="preserve"> suppor</w:t>
      </w:r>
      <w:r w:rsidRPr="00BD544D" w:rsidR="00D86590">
        <w:rPr>
          <w:szCs w:val="22"/>
        </w:rPr>
        <w:t>t</w:t>
      </w:r>
      <w:r w:rsidRPr="00BD544D" w:rsidR="00D3703C">
        <w:rPr>
          <w:szCs w:val="22"/>
        </w:rPr>
        <w:t xml:space="preserve"> the </w:t>
      </w:r>
      <w:r w:rsidRPr="00BD544D" w:rsidR="00B14AEE">
        <w:rPr>
          <w:szCs w:val="22"/>
        </w:rPr>
        <w:t xml:space="preserve">majority of the </w:t>
      </w:r>
      <w:r w:rsidRPr="00BD544D" w:rsidR="00D3703C">
        <w:rPr>
          <w:szCs w:val="22"/>
        </w:rPr>
        <w:t>proposed changes</w:t>
      </w:r>
      <w:r w:rsidRPr="00BD544D" w:rsidR="008B7F61">
        <w:rPr>
          <w:szCs w:val="22"/>
        </w:rPr>
        <w:t>.</w:t>
      </w:r>
      <w:r>
        <w:rPr>
          <w:rStyle w:val="FootnoteReference"/>
          <w:sz w:val="22"/>
          <w:szCs w:val="22"/>
        </w:rPr>
        <w:footnoteReference w:id="20"/>
      </w:r>
      <w:r w:rsidRPr="00BD544D" w:rsidR="00B9067D">
        <w:rPr>
          <w:szCs w:val="22"/>
        </w:rPr>
        <w:t xml:space="preserve"> </w:t>
      </w:r>
      <w:r w:rsidRPr="00BD544D" w:rsidR="00D3703C">
        <w:rPr>
          <w:szCs w:val="22"/>
        </w:rPr>
        <w:t xml:space="preserve"> </w:t>
      </w:r>
      <w:r w:rsidRPr="00BD544D" w:rsidR="008B7F61">
        <w:rPr>
          <w:szCs w:val="22"/>
        </w:rPr>
        <w:t xml:space="preserve"> </w:t>
      </w:r>
      <w:r w:rsidRPr="00BD544D" w:rsidR="00F228DD">
        <w:rPr>
          <w:szCs w:val="22"/>
        </w:rPr>
        <w:t>We</w:t>
      </w:r>
      <w:r w:rsidRPr="00BD544D" w:rsidR="008B7F61">
        <w:rPr>
          <w:szCs w:val="22"/>
        </w:rPr>
        <w:t xml:space="preserve"> received</w:t>
      </w:r>
      <w:r w:rsidRPr="00BD544D" w:rsidR="005511F9">
        <w:rPr>
          <w:szCs w:val="22"/>
        </w:rPr>
        <w:t xml:space="preserve"> mixed </w:t>
      </w:r>
      <w:r w:rsidRPr="00BD544D" w:rsidR="005511F9">
        <w:rPr>
          <w:szCs w:val="22"/>
        </w:rPr>
        <w:t xml:space="preserve">comments in response </w:t>
      </w:r>
      <w:r w:rsidRPr="00BD544D" w:rsidR="007A4E14">
        <w:rPr>
          <w:szCs w:val="22"/>
        </w:rPr>
        <w:t>to our</w:t>
      </w:r>
      <w:r w:rsidRPr="00BD544D" w:rsidR="009107ED">
        <w:rPr>
          <w:szCs w:val="22"/>
        </w:rPr>
        <w:t xml:space="preserve"> proposal</w:t>
      </w:r>
      <w:r w:rsidRPr="00BD544D" w:rsidR="007A4E14">
        <w:rPr>
          <w:szCs w:val="22"/>
        </w:rPr>
        <w:t xml:space="preserve"> </w:t>
      </w:r>
      <w:r w:rsidRPr="00BD544D" w:rsidR="009107ED">
        <w:rPr>
          <w:szCs w:val="22"/>
        </w:rPr>
        <w:t xml:space="preserve">to harmonize processing procedures for minor change LPFM applications with the current processing procedures for minor change full service FM and FM translator applications, and </w:t>
      </w:r>
      <w:r w:rsidRPr="00BD544D" w:rsidR="00165DFF">
        <w:rPr>
          <w:szCs w:val="22"/>
        </w:rPr>
        <w:t xml:space="preserve">in response to </w:t>
      </w:r>
      <w:r w:rsidRPr="00BD544D" w:rsidR="00EC1462">
        <w:rPr>
          <w:szCs w:val="22"/>
        </w:rPr>
        <w:t>our proposal to revise the informal objection rule to require service of pleadings upon the relevant applicant and objector, limit the number of responsive pleadings, and impose filing deadlines</w:t>
      </w:r>
      <w:r w:rsidRPr="00BD544D" w:rsidR="00CE3CB1">
        <w:rPr>
          <w:szCs w:val="22"/>
        </w:rPr>
        <w:t>.</w:t>
      </w:r>
      <w:r w:rsidRPr="00BD544D" w:rsidR="002B493F">
        <w:rPr>
          <w:szCs w:val="22"/>
        </w:rPr>
        <w:t xml:space="preserve">  </w:t>
      </w:r>
      <w:r w:rsidRPr="00BD544D" w:rsidR="006C1B75">
        <w:rPr>
          <w:szCs w:val="22"/>
        </w:rPr>
        <w:t xml:space="preserve">As detailed below, </w:t>
      </w:r>
      <w:r w:rsidRPr="00BD544D" w:rsidR="009130FD">
        <w:rPr>
          <w:szCs w:val="22"/>
        </w:rPr>
        <w:t xml:space="preserve">we adopt </w:t>
      </w:r>
      <w:r w:rsidRPr="00BD544D" w:rsidR="002B3025">
        <w:rPr>
          <w:szCs w:val="22"/>
        </w:rPr>
        <w:t>1</w:t>
      </w:r>
      <w:r w:rsidR="005B4C30">
        <w:rPr>
          <w:szCs w:val="22"/>
        </w:rPr>
        <w:t>3</w:t>
      </w:r>
      <w:r w:rsidRPr="00BD544D">
        <w:rPr>
          <w:szCs w:val="22"/>
        </w:rPr>
        <w:t xml:space="preserve"> of the proposals set out in the </w:t>
      </w:r>
      <w:r w:rsidRPr="00BD544D">
        <w:rPr>
          <w:i/>
          <w:iCs/>
          <w:szCs w:val="22"/>
        </w:rPr>
        <w:t>NPRM</w:t>
      </w:r>
      <w:r w:rsidRPr="00BD544D" w:rsidR="00191559">
        <w:rPr>
          <w:szCs w:val="22"/>
        </w:rPr>
        <w:t xml:space="preserve"> and decline to adopt the remaining proposals.</w:t>
      </w:r>
    </w:p>
    <w:p w:rsidR="00CA68D9" w:rsidRPr="00BD544D" w:rsidP="004B6A66" w14:paraId="57B9E664" w14:textId="31F9B53B">
      <w:pPr>
        <w:pStyle w:val="Heading2"/>
      </w:pPr>
      <w:r w:rsidRPr="00BD544D">
        <w:t>Replace References to CDBS with References to LMS</w:t>
      </w:r>
    </w:p>
    <w:p w:rsidR="00CA68D9" w:rsidRPr="00BD544D" w:rsidP="00BF1127" w14:paraId="4A53D71B" w14:textId="198AB073">
      <w:pPr>
        <w:pStyle w:val="ParaNum"/>
        <w:rPr>
          <w:szCs w:val="22"/>
        </w:rPr>
      </w:pPr>
      <w:r w:rsidRPr="00BD544D">
        <w:rPr>
          <w:szCs w:val="22"/>
        </w:rPr>
        <w:t xml:space="preserve">We adopt the </w:t>
      </w:r>
      <w:r w:rsidRPr="00BD544D" w:rsidR="0059771F">
        <w:rPr>
          <w:i/>
          <w:iCs/>
          <w:szCs w:val="22"/>
        </w:rPr>
        <w:t>NPRM</w:t>
      </w:r>
      <w:r w:rsidRPr="00BD544D">
        <w:rPr>
          <w:szCs w:val="22"/>
        </w:rPr>
        <w:t xml:space="preserve"> </w:t>
      </w:r>
      <w:r w:rsidRPr="00BD544D" w:rsidR="00F92E89">
        <w:rPr>
          <w:szCs w:val="22"/>
        </w:rPr>
        <w:t xml:space="preserve">proposal </w:t>
      </w:r>
      <w:r w:rsidRPr="00BD544D">
        <w:rPr>
          <w:szCs w:val="22"/>
        </w:rPr>
        <w:t xml:space="preserve">to </w:t>
      </w:r>
      <w:r w:rsidRPr="00BD544D" w:rsidR="00FE2065">
        <w:rPr>
          <w:szCs w:val="22"/>
        </w:rPr>
        <w:t xml:space="preserve">amend sections 1.5000(b), 1.5004(d)(2), 1.30001(d), 1.30004(a), 73.202(a), 73.3700(b)(5)(iv), and 76.66(d)(2)(ii) of </w:t>
      </w:r>
      <w:r w:rsidRPr="00BD544D" w:rsidR="00F36CA6">
        <w:rPr>
          <w:szCs w:val="22"/>
        </w:rPr>
        <w:t>the</w:t>
      </w:r>
      <w:r w:rsidRPr="00BD544D" w:rsidR="00FE2065">
        <w:rPr>
          <w:szCs w:val="22"/>
        </w:rPr>
        <w:t xml:space="preserve"> Rules to replace references to the Bureau’s legacy CDBS electroni</w:t>
      </w:r>
      <w:r w:rsidRPr="00BD544D" w:rsidR="0031296A">
        <w:rPr>
          <w:szCs w:val="22"/>
        </w:rPr>
        <w:t>c</w:t>
      </w:r>
      <w:r w:rsidRPr="00BD544D" w:rsidR="00FE2065">
        <w:rPr>
          <w:szCs w:val="22"/>
        </w:rPr>
        <w:t xml:space="preserve"> filing system with references to the Bureau’s new LMS electronic filing system</w:t>
      </w:r>
      <w:r w:rsidRPr="00BD544D" w:rsidR="00612A70">
        <w:rPr>
          <w:szCs w:val="22"/>
        </w:rPr>
        <w:t>.</w:t>
      </w:r>
      <w:r>
        <w:rPr>
          <w:rStyle w:val="FootnoteReference"/>
          <w:sz w:val="22"/>
          <w:szCs w:val="22"/>
        </w:rPr>
        <w:footnoteReference w:id="21"/>
      </w:r>
      <w:r w:rsidRPr="00BD544D" w:rsidR="007139DF">
        <w:rPr>
          <w:szCs w:val="22"/>
        </w:rPr>
        <w:t xml:space="preserve"> </w:t>
      </w:r>
      <w:r w:rsidRPr="00BD544D" w:rsidR="009A1B05">
        <w:rPr>
          <w:szCs w:val="22"/>
        </w:rPr>
        <w:t xml:space="preserve"> </w:t>
      </w:r>
      <w:r w:rsidRPr="00BD544D" w:rsidR="00397371">
        <w:rPr>
          <w:szCs w:val="22"/>
        </w:rPr>
        <w:t>The Bureau no longer updates CDBS, and users are</w:t>
      </w:r>
      <w:r w:rsidRPr="00BD544D" w:rsidR="00BF1127">
        <w:rPr>
          <w:szCs w:val="22"/>
        </w:rPr>
        <w:t xml:space="preserve"> instead</w:t>
      </w:r>
      <w:r w:rsidRPr="00BD544D" w:rsidR="00397371">
        <w:rPr>
          <w:szCs w:val="22"/>
        </w:rPr>
        <w:t xml:space="preserve"> required to </w:t>
      </w:r>
      <w:r w:rsidRPr="00BD544D" w:rsidR="008D4043">
        <w:rPr>
          <w:szCs w:val="22"/>
        </w:rPr>
        <w:t>use</w:t>
      </w:r>
      <w:r w:rsidRPr="00BD544D" w:rsidR="00397371">
        <w:rPr>
          <w:szCs w:val="22"/>
        </w:rPr>
        <w:t xml:space="preserve"> LMS </w:t>
      </w:r>
      <w:r w:rsidRPr="00BD544D" w:rsidR="00BF1127">
        <w:rPr>
          <w:szCs w:val="22"/>
        </w:rPr>
        <w:t xml:space="preserve">to search for </w:t>
      </w:r>
      <w:r w:rsidRPr="00BD544D" w:rsidR="00807657">
        <w:rPr>
          <w:szCs w:val="22"/>
        </w:rPr>
        <w:t xml:space="preserve">and file </w:t>
      </w:r>
      <w:r w:rsidRPr="00BD544D" w:rsidR="00BF1127">
        <w:rPr>
          <w:szCs w:val="22"/>
        </w:rPr>
        <w:t xml:space="preserve">applications </w:t>
      </w:r>
      <w:r w:rsidRPr="00BD544D" w:rsidR="00807657">
        <w:rPr>
          <w:szCs w:val="22"/>
        </w:rPr>
        <w:t>and pleadings</w:t>
      </w:r>
      <w:r w:rsidRPr="00BD544D" w:rsidR="00BF1127">
        <w:rPr>
          <w:szCs w:val="22"/>
        </w:rPr>
        <w:t>.</w:t>
      </w:r>
      <w:r>
        <w:rPr>
          <w:rStyle w:val="FootnoteReference"/>
          <w:sz w:val="22"/>
          <w:szCs w:val="22"/>
        </w:rPr>
        <w:footnoteReference w:id="22"/>
      </w:r>
      <w:r w:rsidRPr="00BD544D" w:rsidR="00BF1127">
        <w:rPr>
          <w:szCs w:val="22"/>
        </w:rPr>
        <w:t xml:space="preserve">  </w:t>
      </w:r>
      <w:r w:rsidRPr="00BD544D" w:rsidR="0045305E">
        <w:rPr>
          <w:szCs w:val="22"/>
        </w:rPr>
        <w:t>Two c</w:t>
      </w:r>
      <w:r w:rsidRPr="00BD544D" w:rsidR="00A41751">
        <w:rPr>
          <w:szCs w:val="22"/>
        </w:rPr>
        <w:t>ommenters support this proposal</w:t>
      </w:r>
      <w:r w:rsidRPr="00BD544D" w:rsidR="00BF0CEC">
        <w:rPr>
          <w:szCs w:val="22"/>
        </w:rPr>
        <w:t xml:space="preserve"> as noncontroversial</w:t>
      </w:r>
      <w:r w:rsidRPr="00BD544D" w:rsidR="00A41751">
        <w:rPr>
          <w:szCs w:val="22"/>
        </w:rPr>
        <w:t>.</w:t>
      </w:r>
      <w:r>
        <w:rPr>
          <w:rStyle w:val="FootnoteReference"/>
          <w:sz w:val="22"/>
          <w:szCs w:val="22"/>
        </w:rPr>
        <w:footnoteReference w:id="23"/>
      </w:r>
      <w:r w:rsidRPr="00BD544D" w:rsidR="008A2AAD">
        <w:rPr>
          <w:szCs w:val="22"/>
        </w:rPr>
        <w:t xml:space="preserve">  </w:t>
      </w:r>
      <w:r w:rsidRPr="00BD544D" w:rsidR="008D4043">
        <w:rPr>
          <w:szCs w:val="22"/>
        </w:rPr>
        <w:t xml:space="preserve">While </w:t>
      </w:r>
      <w:r w:rsidRPr="00BD544D" w:rsidR="008A2AAD">
        <w:rPr>
          <w:szCs w:val="22"/>
        </w:rPr>
        <w:t xml:space="preserve">NAB </w:t>
      </w:r>
      <w:r w:rsidRPr="00BD544D" w:rsidR="00D4090A">
        <w:rPr>
          <w:szCs w:val="22"/>
        </w:rPr>
        <w:t xml:space="preserve">also </w:t>
      </w:r>
      <w:r w:rsidRPr="00BD544D" w:rsidR="008A2AAD">
        <w:rPr>
          <w:szCs w:val="22"/>
        </w:rPr>
        <w:t xml:space="preserve">suggests that we omit </w:t>
      </w:r>
      <w:r w:rsidRPr="00BD544D" w:rsidR="003B7E52">
        <w:rPr>
          <w:szCs w:val="22"/>
        </w:rPr>
        <w:t>the</w:t>
      </w:r>
      <w:r w:rsidRPr="00BD544D" w:rsidR="008A2AAD">
        <w:rPr>
          <w:szCs w:val="22"/>
        </w:rPr>
        <w:t xml:space="preserve"> specific database</w:t>
      </w:r>
      <w:r w:rsidRPr="00BD544D" w:rsidR="003B7E52">
        <w:rPr>
          <w:szCs w:val="22"/>
        </w:rPr>
        <w:t xml:space="preserve"> name</w:t>
      </w:r>
      <w:r w:rsidRPr="00BD544D" w:rsidR="008A2AAD">
        <w:rPr>
          <w:szCs w:val="22"/>
        </w:rPr>
        <w:t xml:space="preserve">s </w:t>
      </w:r>
      <w:r w:rsidRPr="00BD544D" w:rsidR="003B7E52">
        <w:rPr>
          <w:szCs w:val="22"/>
        </w:rPr>
        <w:t xml:space="preserve">in the Rules </w:t>
      </w:r>
      <w:r w:rsidRPr="00BD544D" w:rsidR="00C577ED">
        <w:rPr>
          <w:szCs w:val="22"/>
        </w:rPr>
        <w:t>because the</w:t>
      </w:r>
      <w:r w:rsidRPr="00BD544D" w:rsidR="008C2C70">
        <w:rPr>
          <w:szCs w:val="22"/>
        </w:rPr>
        <w:t xml:space="preserve"> databases</w:t>
      </w:r>
      <w:r w:rsidRPr="00BD544D" w:rsidR="00C577ED">
        <w:rPr>
          <w:szCs w:val="22"/>
        </w:rPr>
        <w:t xml:space="preserve"> will inevitably change</w:t>
      </w:r>
      <w:r w:rsidRPr="00BD544D" w:rsidR="008D4043">
        <w:rPr>
          <w:szCs w:val="22"/>
        </w:rPr>
        <w:t>,</w:t>
      </w:r>
      <w:r>
        <w:rPr>
          <w:rStyle w:val="FootnoteReference"/>
          <w:sz w:val="22"/>
          <w:szCs w:val="22"/>
        </w:rPr>
        <w:footnoteReference w:id="24"/>
      </w:r>
      <w:r w:rsidRPr="00BD544D" w:rsidR="009911EB">
        <w:rPr>
          <w:szCs w:val="22"/>
        </w:rPr>
        <w:t xml:space="preserve"> </w:t>
      </w:r>
      <w:r w:rsidRPr="00BD544D" w:rsidR="008D4043">
        <w:rPr>
          <w:szCs w:val="22"/>
        </w:rPr>
        <w:t>we</w:t>
      </w:r>
      <w:r w:rsidRPr="00BD544D" w:rsidR="0009363F">
        <w:rPr>
          <w:szCs w:val="22"/>
        </w:rPr>
        <w:t xml:space="preserve"> </w:t>
      </w:r>
      <w:r w:rsidR="00EF0E77">
        <w:rPr>
          <w:szCs w:val="22"/>
        </w:rPr>
        <w:t xml:space="preserve">reject this proposal and </w:t>
      </w:r>
      <w:r w:rsidRPr="00BD544D" w:rsidR="003B2D63">
        <w:rPr>
          <w:szCs w:val="22"/>
        </w:rPr>
        <w:t xml:space="preserve">conclude that </w:t>
      </w:r>
      <w:r w:rsidRPr="00BD544D" w:rsidR="00371EEE">
        <w:rPr>
          <w:szCs w:val="22"/>
        </w:rPr>
        <w:t>specificity</w:t>
      </w:r>
      <w:r w:rsidRPr="00BD544D" w:rsidR="003B2D63">
        <w:rPr>
          <w:szCs w:val="22"/>
        </w:rPr>
        <w:t xml:space="preserve"> </w:t>
      </w:r>
      <w:r w:rsidRPr="00BD544D" w:rsidR="00615150">
        <w:rPr>
          <w:szCs w:val="22"/>
        </w:rPr>
        <w:t>prevents confusion, particularly in the wake of a transition from one database to the next.</w:t>
      </w:r>
      <w:r w:rsidRPr="00BD544D" w:rsidR="00514C56">
        <w:rPr>
          <w:szCs w:val="22"/>
        </w:rPr>
        <w:t xml:space="preserve">  Accordingly, </w:t>
      </w:r>
      <w:r w:rsidRPr="00BD544D" w:rsidR="00921F8E">
        <w:rPr>
          <w:szCs w:val="22"/>
        </w:rPr>
        <w:t>we amend sections 1.5000(b), 1.5004(d)(2), 1.30001(d), 1.30004(a), and 73.202(a), 73.3700(b)(5)(iv), and 76.66(d)(2)(ii)</w:t>
      </w:r>
      <w:r w:rsidRPr="00BD544D" w:rsidR="00227460">
        <w:rPr>
          <w:szCs w:val="22"/>
        </w:rPr>
        <w:t>,</w:t>
      </w:r>
      <w:r w:rsidRPr="00BD544D" w:rsidR="00921F8E">
        <w:rPr>
          <w:szCs w:val="22"/>
        </w:rPr>
        <w:t xml:space="preserve"> </w:t>
      </w:r>
      <w:r w:rsidRPr="00BD544D" w:rsidR="004F1134">
        <w:rPr>
          <w:szCs w:val="22"/>
        </w:rPr>
        <w:t>by replacing references to CDBS with references to LMS</w:t>
      </w:r>
      <w:r w:rsidRPr="00BD544D" w:rsidR="00A46D7F">
        <w:rPr>
          <w:szCs w:val="22"/>
        </w:rPr>
        <w:t>.</w:t>
      </w:r>
    </w:p>
    <w:p w:rsidR="0059771F" w:rsidRPr="00BD544D" w:rsidP="004B6A66" w14:paraId="39488CD6" w14:textId="24F7958B">
      <w:pPr>
        <w:pStyle w:val="Heading2"/>
      </w:pPr>
      <w:r w:rsidRPr="00BD544D">
        <w:t>Update Form Names</w:t>
      </w:r>
    </w:p>
    <w:p w:rsidR="0059771F" w:rsidRPr="00BD544D" w:rsidP="009A5320" w14:paraId="6B678346" w14:textId="320F40C0">
      <w:pPr>
        <w:pStyle w:val="ParaNum"/>
        <w:rPr>
          <w:szCs w:val="22"/>
        </w:rPr>
      </w:pPr>
      <w:r w:rsidRPr="00BD544D">
        <w:rPr>
          <w:szCs w:val="22"/>
        </w:rPr>
        <w:t>We adopt our proposal i</w:t>
      </w:r>
      <w:r w:rsidRPr="00BD544D" w:rsidR="00B37201">
        <w:rPr>
          <w:szCs w:val="22"/>
        </w:rPr>
        <w:t xml:space="preserve">n the </w:t>
      </w:r>
      <w:r w:rsidRPr="00BD544D" w:rsidR="00B37201">
        <w:rPr>
          <w:i/>
          <w:iCs/>
          <w:szCs w:val="22"/>
        </w:rPr>
        <w:t>NPRM</w:t>
      </w:r>
      <w:r w:rsidRPr="00BD544D" w:rsidR="00B37201">
        <w:rPr>
          <w:szCs w:val="22"/>
        </w:rPr>
        <w:t xml:space="preserve">, </w:t>
      </w:r>
      <w:r w:rsidRPr="00BD544D" w:rsidR="00E27F4D">
        <w:rPr>
          <w:szCs w:val="22"/>
        </w:rPr>
        <w:t xml:space="preserve">to </w:t>
      </w:r>
      <w:r w:rsidRPr="00BD544D" w:rsidR="00D97958">
        <w:rPr>
          <w:szCs w:val="22"/>
        </w:rPr>
        <w:t>update sections 73.30(c), 73.45(d)(1), 73.51(c), 73.311(a), 73.512(a), 73.625(c)(4)(</w:t>
      </w:r>
      <w:r w:rsidRPr="00BD544D" w:rsidR="00D97958">
        <w:rPr>
          <w:szCs w:val="22"/>
        </w:rPr>
        <w:t>i</w:t>
      </w:r>
      <w:r w:rsidRPr="00BD544D" w:rsidR="00D97958">
        <w:rPr>
          <w:szCs w:val="22"/>
        </w:rPr>
        <w:t>), 73.872(b)(1), 73.875, 73.1670(b), 73.1690(c)(9), 73.3580(d)(2), and 73.5002(b)</w:t>
      </w:r>
      <w:r w:rsidRPr="00BD544D" w:rsidR="00E27F4D">
        <w:rPr>
          <w:szCs w:val="22"/>
        </w:rPr>
        <w:t xml:space="preserve"> </w:t>
      </w:r>
      <w:r w:rsidRPr="00BD544D" w:rsidR="00D97958">
        <w:rPr>
          <w:szCs w:val="22"/>
        </w:rPr>
        <w:t xml:space="preserve">of the Rules, to </w:t>
      </w:r>
      <w:r w:rsidRPr="00BD544D" w:rsidR="00292B09">
        <w:rPr>
          <w:szCs w:val="22"/>
        </w:rPr>
        <w:t>conform to the current form designation convention</w:t>
      </w:r>
      <w:r w:rsidRPr="00BD544D" w:rsidR="00ED434E">
        <w:rPr>
          <w:szCs w:val="22"/>
        </w:rPr>
        <w:t>s</w:t>
      </w:r>
      <w:r w:rsidRPr="00BD544D" w:rsidR="00F87E2F">
        <w:rPr>
          <w:szCs w:val="22"/>
        </w:rPr>
        <w:t xml:space="preserve"> currently</w:t>
      </w:r>
      <w:r w:rsidRPr="00BD544D" w:rsidR="00ED434E">
        <w:rPr>
          <w:szCs w:val="22"/>
        </w:rPr>
        <w:t xml:space="preserve"> used in LMS.</w:t>
      </w:r>
      <w:r>
        <w:rPr>
          <w:rStyle w:val="FootnoteReference"/>
          <w:sz w:val="22"/>
          <w:szCs w:val="22"/>
        </w:rPr>
        <w:footnoteReference w:id="25"/>
      </w:r>
      <w:r w:rsidRPr="00BD544D" w:rsidR="003E6F04">
        <w:rPr>
          <w:szCs w:val="22"/>
        </w:rPr>
        <w:t xml:space="preserve"> </w:t>
      </w:r>
      <w:r w:rsidRPr="00BD544D" w:rsidR="00ED434E">
        <w:rPr>
          <w:szCs w:val="22"/>
        </w:rPr>
        <w:t xml:space="preserve"> </w:t>
      </w:r>
      <w:r w:rsidRPr="00BD544D" w:rsidR="0093348A">
        <w:rPr>
          <w:szCs w:val="22"/>
        </w:rPr>
        <w:t xml:space="preserve">CDBS previously used </w:t>
      </w:r>
      <w:r w:rsidRPr="00BD544D" w:rsidR="000563A7">
        <w:rPr>
          <w:szCs w:val="22"/>
        </w:rPr>
        <w:t>unique</w:t>
      </w:r>
      <w:r w:rsidRPr="00BD544D" w:rsidR="0093348A">
        <w:rPr>
          <w:szCs w:val="22"/>
        </w:rPr>
        <w:t xml:space="preserve"> form numbers</w:t>
      </w:r>
      <w:r w:rsidRPr="00BD544D" w:rsidR="003E6F04">
        <w:rPr>
          <w:szCs w:val="22"/>
        </w:rPr>
        <w:t xml:space="preserve"> for each application</w:t>
      </w:r>
      <w:r w:rsidRPr="00BD544D" w:rsidR="0093348A">
        <w:rPr>
          <w:szCs w:val="22"/>
        </w:rPr>
        <w:t xml:space="preserve">, while LMS now designates applications </w:t>
      </w:r>
      <w:r w:rsidRPr="00BD544D" w:rsidR="00DE191B">
        <w:rPr>
          <w:szCs w:val="22"/>
        </w:rPr>
        <w:t>using both a</w:t>
      </w:r>
      <w:r w:rsidRPr="00BD544D" w:rsidR="0093348A">
        <w:rPr>
          <w:szCs w:val="22"/>
        </w:rPr>
        <w:t xml:space="preserve"> form number and</w:t>
      </w:r>
      <w:r w:rsidRPr="00BD544D" w:rsidR="00DE191B">
        <w:rPr>
          <w:szCs w:val="22"/>
        </w:rPr>
        <w:t xml:space="preserve"> a</w:t>
      </w:r>
      <w:r w:rsidRPr="00BD544D" w:rsidR="0093348A">
        <w:rPr>
          <w:szCs w:val="22"/>
        </w:rPr>
        <w:t xml:space="preserve"> separate schedule</w:t>
      </w:r>
      <w:r w:rsidRPr="00BD544D" w:rsidR="00122166">
        <w:rPr>
          <w:szCs w:val="22"/>
        </w:rPr>
        <w:t xml:space="preserve"> number</w:t>
      </w:r>
      <w:r w:rsidRPr="00BD544D" w:rsidR="0093348A">
        <w:rPr>
          <w:szCs w:val="22"/>
        </w:rPr>
        <w:t>, i.e.</w:t>
      </w:r>
      <w:r w:rsidRPr="00BD544D" w:rsidR="00191559">
        <w:rPr>
          <w:szCs w:val="22"/>
        </w:rPr>
        <w:t>,</w:t>
      </w:r>
      <w:r w:rsidRPr="00BD544D" w:rsidR="0093348A">
        <w:rPr>
          <w:szCs w:val="22"/>
        </w:rPr>
        <w:t xml:space="preserve"> “FCC Form 2100, Schedule 301.”</w:t>
      </w:r>
      <w:r>
        <w:rPr>
          <w:rStyle w:val="FootnoteReference"/>
          <w:sz w:val="22"/>
          <w:szCs w:val="22"/>
        </w:rPr>
        <w:footnoteReference w:id="26"/>
      </w:r>
      <w:r w:rsidRPr="00BD544D" w:rsidR="00A16995">
        <w:rPr>
          <w:szCs w:val="22"/>
        </w:rPr>
        <w:t xml:space="preserve">  </w:t>
      </w:r>
      <w:r w:rsidR="006B6986">
        <w:rPr>
          <w:szCs w:val="22"/>
        </w:rPr>
        <w:t>REC</w:t>
      </w:r>
      <w:r w:rsidRPr="00BD544D" w:rsidR="00A16995">
        <w:rPr>
          <w:szCs w:val="22"/>
        </w:rPr>
        <w:t xml:space="preserve"> support</w:t>
      </w:r>
      <w:r w:rsidR="006B6986">
        <w:rPr>
          <w:szCs w:val="22"/>
        </w:rPr>
        <w:t>s</w:t>
      </w:r>
      <w:r w:rsidRPr="00BD544D" w:rsidR="00A16995">
        <w:rPr>
          <w:szCs w:val="22"/>
        </w:rPr>
        <w:t xml:space="preserve"> this proposal as noncontroversial</w:t>
      </w:r>
      <w:r w:rsidRPr="00BD544D" w:rsidR="00BF0CEC">
        <w:rPr>
          <w:szCs w:val="22"/>
        </w:rPr>
        <w:t>.</w:t>
      </w:r>
      <w:r>
        <w:rPr>
          <w:rStyle w:val="FootnoteReference"/>
          <w:sz w:val="22"/>
          <w:szCs w:val="22"/>
        </w:rPr>
        <w:footnoteReference w:id="27"/>
      </w:r>
      <w:r w:rsidRPr="00BD544D" w:rsidR="00B33DE0">
        <w:rPr>
          <w:szCs w:val="22"/>
        </w:rPr>
        <w:t xml:space="preserve">  </w:t>
      </w:r>
      <w:r w:rsidR="00F324D0">
        <w:rPr>
          <w:szCs w:val="22"/>
        </w:rPr>
        <w:t xml:space="preserve">Although NAB generally supports </w:t>
      </w:r>
      <w:r w:rsidR="006C3193">
        <w:rPr>
          <w:szCs w:val="22"/>
        </w:rPr>
        <w:t xml:space="preserve">eliminating </w:t>
      </w:r>
      <w:r w:rsidR="006C3193">
        <w:rPr>
          <w:szCs w:val="22"/>
        </w:rPr>
        <w:t xml:space="preserve">the references to CDBS and </w:t>
      </w:r>
      <w:r w:rsidR="00426BD7">
        <w:rPr>
          <w:szCs w:val="22"/>
        </w:rPr>
        <w:t>updating</w:t>
      </w:r>
      <w:r w:rsidR="00DC17C0">
        <w:rPr>
          <w:szCs w:val="22"/>
        </w:rPr>
        <w:t xml:space="preserve"> the Commission’s rules and forms</w:t>
      </w:r>
      <w:r w:rsidR="00756C31">
        <w:rPr>
          <w:szCs w:val="22"/>
        </w:rPr>
        <w:t>, it</w:t>
      </w:r>
      <w:r w:rsidRPr="00BD544D" w:rsidR="00217597">
        <w:rPr>
          <w:szCs w:val="22"/>
        </w:rPr>
        <w:t xml:space="preserve"> </w:t>
      </w:r>
      <w:r w:rsidRPr="00BD544D" w:rsidR="00B33DE0">
        <w:rPr>
          <w:szCs w:val="22"/>
        </w:rPr>
        <w:t xml:space="preserve">suggests that we omit the specific </w:t>
      </w:r>
      <w:r w:rsidRPr="00BD544D" w:rsidR="00217597">
        <w:rPr>
          <w:szCs w:val="22"/>
        </w:rPr>
        <w:t>form</w:t>
      </w:r>
      <w:r w:rsidRPr="00BD544D" w:rsidR="00B33DE0">
        <w:rPr>
          <w:szCs w:val="22"/>
        </w:rPr>
        <w:t xml:space="preserve"> names</w:t>
      </w:r>
      <w:r w:rsidRPr="00BD544D" w:rsidR="00217597">
        <w:rPr>
          <w:szCs w:val="22"/>
        </w:rPr>
        <w:t xml:space="preserve"> in favor of generic references to forms</w:t>
      </w:r>
      <w:r w:rsidRPr="00BD544D" w:rsidR="00B33DE0">
        <w:rPr>
          <w:szCs w:val="22"/>
        </w:rPr>
        <w:t xml:space="preserve"> in the Rules because the </w:t>
      </w:r>
      <w:r w:rsidRPr="00BD544D" w:rsidR="00217597">
        <w:rPr>
          <w:szCs w:val="22"/>
        </w:rPr>
        <w:t>form conventions</w:t>
      </w:r>
      <w:r w:rsidRPr="00BD544D" w:rsidR="00B33DE0">
        <w:rPr>
          <w:szCs w:val="22"/>
        </w:rPr>
        <w:t xml:space="preserve"> will </w:t>
      </w:r>
      <w:r w:rsidRPr="00BD544D" w:rsidR="00676C1C">
        <w:rPr>
          <w:szCs w:val="22"/>
        </w:rPr>
        <w:t>likely</w:t>
      </w:r>
      <w:r w:rsidRPr="00BD544D" w:rsidR="00B33DE0">
        <w:rPr>
          <w:szCs w:val="22"/>
        </w:rPr>
        <w:t xml:space="preserve"> change</w:t>
      </w:r>
      <w:r w:rsidRPr="00BD544D" w:rsidR="00676C1C">
        <w:rPr>
          <w:szCs w:val="22"/>
        </w:rPr>
        <w:t xml:space="preserve"> again</w:t>
      </w:r>
      <w:r w:rsidRPr="00BD544D" w:rsidR="00217597">
        <w:rPr>
          <w:szCs w:val="22"/>
        </w:rPr>
        <w:t>.</w:t>
      </w:r>
      <w:r>
        <w:rPr>
          <w:rStyle w:val="FootnoteReference"/>
          <w:sz w:val="22"/>
          <w:szCs w:val="22"/>
        </w:rPr>
        <w:footnoteReference w:id="28"/>
      </w:r>
      <w:r w:rsidRPr="00BD544D" w:rsidR="00AE5841">
        <w:rPr>
          <w:szCs w:val="22"/>
        </w:rPr>
        <w:t xml:space="preserve">  As with references to </w:t>
      </w:r>
      <w:r w:rsidRPr="00BD544D" w:rsidR="00713CD8">
        <w:rPr>
          <w:szCs w:val="22"/>
        </w:rPr>
        <w:t>filing databases, we find that using specific form designations provides clarity to applicants a</w:t>
      </w:r>
      <w:r w:rsidRPr="00BD544D" w:rsidR="00E978BC">
        <w:rPr>
          <w:szCs w:val="22"/>
        </w:rPr>
        <w:t xml:space="preserve">nd avoids </w:t>
      </w:r>
      <w:r w:rsidRPr="00BD544D" w:rsidR="00760841">
        <w:rPr>
          <w:szCs w:val="22"/>
        </w:rPr>
        <w:t xml:space="preserve">the potential for </w:t>
      </w:r>
      <w:r w:rsidRPr="00BD544D" w:rsidR="00E978BC">
        <w:rPr>
          <w:szCs w:val="22"/>
        </w:rPr>
        <w:t>confusion while transitioning</w:t>
      </w:r>
      <w:r w:rsidRPr="00BD544D" w:rsidR="00760841">
        <w:rPr>
          <w:szCs w:val="22"/>
        </w:rPr>
        <w:t xml:space="preserve"> from </w:t>
      </w:r>
      <w:r w:rsidRPr="00BD544D" w:rsidR="004923EB">
        <w:rPr>
          <w:szCs w:val="22"/>
        </w:rPr>
        <w:t xml:space="preserve">retired form </w:t>
      </w:r>
      <w:r w:rsidRPr="00BD544D" w:rsidR="00601491">
        <w:rPr>
          <w:szCs w:val="22"/>
        </w:rPr>
        <w:t>names</w:t>
      </w:r>
      <w:r w:rsidRPr="00BD544D" w:rsidR="00E978BC">
        <w:rPr>
          <w:szCs w:val="22"/>
        </w:rPr>
        <w:t xml:space="preserve"> to current</w:t>
      </w:r>
      <w:r w:rsidRPr="00BD544D" w:rsidR="001B6717">
        <w:rPr>
          <w:szCs w:val="22"/>
        </w:rPr>
        <w:t>ly used</w:t>
      </w:r>
      <w:r w:rsidRPr="00BD544D" w:rsidR="00E978BC">
        <w:rPr>
          <w:szCs w:val="22"/>
        </w:rPr>
        <w:t xml:space="preserve"> form names.</w:t>
      </w:r>
      <w:r>
        <w:rPr>
          <w:rStyle w:val="FootnoteReference"/>
          <w:szCs w:val="22"/>
        </w:rPr>
        <w:footnoteReference w:id="29"/>
      </w:r>
      <w:r w:rsidRPr="00BD544D" w:rsidR="005B6979">
        <w:rPr>
          <w:szCs w:val="22"/>
        </w:rPr>
        <w:t xml:space="preserve">  </w:t>
      </w:r>
      <w:r w:rsidRPr="00BD544D" w:rsidR="00137031">
        <w:rPr>
          <w:szCs w:val="22"/>
        </w:rPr>
        <w:t xml:space="preserve">Therefore, we amend </w:t>
      </w:r>
      <w:r w:rsidRPr="00BD544D" w:rsidR="009A5320">
        <w:rPr>
          <w:szCs w:val="22"/>
        </w:rPr>
        <w:t>sections 73.30(c), 73.45(d)(1), 73.51(c), 73.311(a), 73.512(a), 73.625(c)(4)(</w:t>
      </w:r>
      <w:r w:rsidRPr="00BD544D" w:rsidR="009A5320">
        <w:rPr>
          <w:szCs w:val="22"/>
        </w:rPr>
        <w:t>i</w:t>
      </w:r>
      <w:r w:rsidRPr="00BD544D" w:rsidR="009A5320">
        <w:rPr>
          <w:szCs w:val="22"/>
        </w:rPr>
        <w:t>), 73.872(b)(1), 73.875, 73.1670(b), 73.1690(c)(9), 73.3580(d)(2), and 73.5002(b)</w:t>
      </w:r>
      <w:r w:rsidRPr="00BD544D" w:rsidR="00227460">
        <w:rPr>
          <w:szCs w:val="22"/>
        </w:rPr>
        <w:t>,</w:t>
      </w:r>
      <w:r w:rsidRPr="00BD544D" w:rsidR="009A5320">
        <w:rPr>
          <w:szCs w:val="22"/>
        </w:rPr>
        <w:t xml:space="preserve"> to </w:t>
      </w:r>
      <w:r w:rsidRPr="00BD544D" w:rsidR="006B4DB9">
        <w:rPr>
          <w:szCs w:val="22"/>
        </w:rPr>
        <w:t xml:space="preserve">conform to the </w:t>
      </w:r>
      <w:r w:rsidRPr="00BD544D" w:rsidR="00F87E2F">
        <w:rPr>
          <w:szCs w:val="22"/>
        </w:rPr>
        <w:t>LMS form designations.</w:t>
      </w:r>
    </w:p>
    <w:p w:rsidR="00B37201" w:rsidRPr="00BD544D" w:rsidP="004B6A66" w14:paraId="7385C474" w14:textId="03EE9F9C">
      <w:pPr>
        <w:pStyle w:val="Heading2"/>
      </w:pPr>
      <w:r w:rsidRPr="00BD544D">
        <w:t>Change Table of Assignments/Allotments References to Conform to Existing Language</w:t>
      </w:r>
    </w:p>
    <w:p w:rsidR="00371F21" w:rsidRPr="00BD544D" w:rsidP="006A2D94" w14:paraId="4CAF5827" w14:textId="1B13B80D">
      <w:pPr>
        <w:pStyle w:val="ParaNum"/>
        <w:rPr>
          <w:szCs w:val="22"/>
        </w:rPr>
      </w:pPr>
      <w:r w:rsidRPr="00BD544D">
        <w:rPr>
          <w:szCs w:val="22"/>
        </w:rPr>
        <w:t>We adopt</w:t>
      </w:r>
      <w:r w:rsidRPr="00BD544D">
        <w:rPr>
          <w:szCs w:val="22"/>
        </w:rPr>
        <w:t xml:space="preserve"> the </w:t>
      </w:r>
      <w:r w:rsidRPr="00BD544D">
        <w:rPr>
          <w:i/>
          <w:iCs/>
          <w:szCs w:val="22"/>
        </w:rPr>
        <w:t>NPRM</w:t>
      </w:r>
      <w:r w:rsidRPr="00BD544D">
        <w:rPr>
          <w:szCs w:val="22"/>
        </w:rPr>
        <w:t xml:space="preserve"> proposal to </w:t>
      </w:r>
      <w:r w:rsidRPr="00BD544D" w:rsidR="007C25A8">
        <w:rPr>
          <w:szCs w:val="22"/>
        </w:rPr>
        <w:t xml:space="preserve">update inconsistent terminology in </w:t>
      </w:r>
      <w:r w:rsidRPr="00BD544D" w:rsidR="00F87EE9">
        <w:rPr>
          <w:szCs w:val="22"/>
        </w:rPr>
        <w:t>Rule</w:t>
      </w:r>
      <w:r w:rsidRPr="00BD544D" w:rsidR="007C25A8">
        <w:rPr>
          <w:szCs w:val="22"/>
        </w:rPr>
        <w:t xml:space="preserve"> references to the tables governing FM and TV allotments, by changing references in sections 1.401, 1.403, 1.420, and 73.3573</w:t>
      </w:r>
      <w:r w:rsidRPr="00BD544D" w:rsidR="00F87EE9">
        <w:rPr>
          <w:szCs w:val="22"/>
        </w:rPr>
        <w:t xml:space="preserve"> </w:t>
      </w:r>
      <w:r w:rsidRPr="00BD544D" w:rsidR="007C25A8">
        <w:rPr>
          <w:szCs w:val="22"/>
        </w:rPr>
        <w:t>to correspond with the standard language used in sections 73.202, 73.606, and 73.622</w:t>
      </w:r>
      <w:r w:rsidRPr="00BD544D" w:rsidR="00F87EE9">
        <w:rPr>
          <w:szCs w:val="22"/>
        </w:rPr>
        <w:t>.</w:t>
      </w:r>
      <w:r>
        <w:rPr>
          <w:rStyle w:val="FootnoteReference"/>
          <w:sz w:val="22"/>
          <w:szCs w:val="22"/>
        </w:rPr>
        <w:footnoteReference w:id="30"/>
      </w:r>
      <w:r w:rsidRPr="00BD544D" w:rsidR="00364321">
        <w:rPr>
          <w:szCs w:val="22"/>
        </w:rPr>
        <w:t xml:space="preserve"> </w:t>
      </w:r>
      <w:r w:rsidRPr="00BD544D" w:rsidR="00AF471F">
        <w:rPr>
          <w:szCs w:val="22"/>
        </w:rPr>
        <w:t xml:space="preserve"> </w:t>
      </w:r>
      <w:r w:rsidRPr="00BD544D" w:rsidR="00364321">
        <w:rPr>
          <w:szCs w:val="22"/>
        </w:rPr>
        <w:t xml:space="preserve">REC supports this proposal as </w:t>
      </w:r>
      <w:r w:rsidRPr="00BD544D" w:rsidR="00986E09">
        <w:rPr>
          <w:szCs w:val="22"/>
        </w:rPr>
        <w:t>noncontroversial</w:t>
      </w:r>
      <w:r w:rsidRPr="00BD544D" w:rsidR="00D55174">
        <w:rPr>
          <w:szCs w:val="22"/>
        </w:rPr>
        <w:t>.</w:t>
      </w:r>
      <w:r>
        <w:rPr>
          <w:rStyle w:val="FootnoteReference"/>
          <w:sz w:val="22"/>
          <w:szCs w:val="22"/>
        </w:rPr>
        <w:footnoteReference w:id="31"/>
      </w:r>
      <w:r w:rsidRPr="00BD544D" w:rsidR="00D55174">
        <w:rPr>
          <w:szCs w:val="22"/>
        </w:rPr>
        <w:t xml:space="preserve">  </w:t>
      </w:r>
      <w:r w:rsidRPr="00BD544D" w:rsidR="00986E09">
        <w:rPr>
          <w:szCs w:val="22"/>
        </w:rPr>
        <w:t xml:space="preserve">NAB </w:t>
      </w:r>
      <w:r w:rsidRPr="00BD544D" w:rsidR="00D03846">
        <w:rPr>
          <w:szCs w:val="22"/>
        </w:rPr>
        <w:t>also supports this proposal</w:t>
      </w:r>
      <w:r w:rsidRPr="00BD544D" w:rsidR="00986E09">
        <w:rPr>
          <w:szCs w:val="22"/>
        </w:rPr>
        <w:t>,</w:t>
      </w:r>
      <w:r w:rsidRPr="00BD544D" w:rsidR="00D03846">
        <w:rPr>
          <w:szCs w:val="22"/>
        </w:rPr>
        <w:t xml:space="preserve"> and</w:t>
      </w:r>
      <w:r w:rsidRPr="00BD544D" w:rsidR="00986E09">
        <w:rPr>
          <w:szCs w:val="22"/>
        </w:rPr>
        <w:t xml:space="preserve"> emphasi</w:t>
      </w:r>
      <w:r w:rsidRPr="00BD544D" w:rsidR="00D03846">
        <w:rPr>
          <w:szCs w:val="22"/>
        </w:rPr>
        <w:t>zes</w:t>
      </w:r>
      <w:r w:rsidRPr="00BD544D" w:rsidR="00986E09">
        <w:rPr>
          <w:szCs w:val="22"/>
        </w:rPr>
        <w:t xml:space="preserve"> that consistent terminology is critical</w:t>
      </w:r>
      <w:r w:rsidR="0096602C">
        <w:rPr>
          <w:szCs w:val="22"/>
        </w:rPr>
        <w:t xml:space="preserve">, noting the important distinctions </w:t>
      </w:r>
      <w:r w:rsidRPr="000671F5" w:rsidR="0096602C">
        <w:rPr>
          <w:szCs w:val="22"/>
        </w:rPr>
        <w:t xml:space="preserve">between </w:t>
      </w:r>
      <w:r w:rsidR="0096602C">
        <w:rPr>
          <w:szCs w:val="22"/>
        </w:rPr>
        <w:t xml:space="preserve">the terms </w:t>
      </w:r>
      <w:r w:rsidRPr="000671F5" w:rsidR="0096602C">
        <w:rPr>
          <w:szCs w:val="22"/>
        </w:rPr>
        <w:t>“allocation,” “allotment</w:t>
      </w:r>
      <w:r w:rsidR="0096602C">
        <w:rPr>
          <w:szCs w:val="22"/>
        </w:rPr>
        <w:t>,</w:t>
      </w:r>
      <w:r w:rsidRPr="000671F5" w:rsidR="0096602C">
        <w:rPr>
          <w:szCs w:val="22"/>
        </w:rPr>
        <w:t>” and “assignment</w:t>
      </w:r>
      <w:r w:rsidR="0096602C">
        <w:rPr>
          <w:szCs w:val="22"/>
        </w:rPr>
        <w:t>.</w:t>
      </w:r>
      <w:r w:rsidRPr="000671F5" w:rsidR="0096602C">
        <w:rPr>
          <w:szCs w:val="22"/>
        </w:rPr>
        <w:t>”</w:t>
      </w:r>
      <w:r>
        <w:rPr>
          <w:rStyle w:val="FootnoteReference"/>
          <w:sz w:val="22"/>
          <w:szCs w:val="22"/>
        </w:rPr>
        <w:footnoteReference w:id="32"/>
      </w:r>
      <w:r w:rsidRPr="00BD544D" w:rsidR="00A66A1F">
        <w:rPr>
          <w:szCs w:val="22"/>
        </w:rPr>
        <w:t xml:space="preserve">  </w:t>
      </w:r>
      <w:r w:rsidR="001832E8">
        <w:rPr>
          <w:szCs w:val="22"/>
        </w:rPr>
        <w:t>We agree</w:t>
      </w:r>
      <w:r w:rsidR="00AD0293">
        <w:rPr>
          <w:szCs w:val="22"/>
        </w:rPr>
        <w:t xml:space="preserve"> that these terms do not have the same meaning</w:t>
      </w:r>
      <w:r w:rsidR="001832E8">
        <w:rPr>
          <w:szCs w:val="22"/>
        </w:rPr>
        <w:t xml:space="preserve">.  </w:t>
      </w:r>
      <w:r w:rsidRPr="00BD544D" w:rsidR="00AF471F">
        <w:rPr>
          <w:szCs w:val="22"/>
        </w:rPr>
        <w:t>A</w:t>
      </w:r>
      <w:r w:rsidRPr="00BD544D" w:rsidR="00402115">
        <w:rPr>
          <w:szCs w:val="22"/>
        </w:rPr>
        <w:t>ccordingly we amend sections 1.401,</w:t>
      </w:r>
      <w:r>
        <w:rPr>
          <w:rStyle w:val="FootnoteReference"/>
          <w:sz w:val="22"/>
          <w:szCs w:val="22"/>
        </w:rPr>
        <w:footnoteReference w:id="33"/>
      </w:r>
      <w:r w:rsidRPr="00BD544D" w:rsidR="00402115">
        <w:rPr>
          <w:szCs w:val="22"/>
        </w:rPr>
        <w:t xml:space="preserve"> 1.403, 1.420, and 73.3573</w:t>
      </w:r>
      <w:r w:rsidRPr="00BD544D" w:rsidR="00633AF7">
        <w:rPr>
          <w:szCs w:val="22"/>
        </w:rPr>
        <w:t xml:space="preserve"> to change references in these sections from “FM Table of Allotments” to “Table of FM Allotments</w:t>
      </w:r>
      <w:r w:rsidRPr="00BD544D" w:rsidR="006A2D94">
        <w:rPr>
          <w:szCs w:val="22"/>
        </w:rPr>
        <w:t>;</w:t>
      </w:r>
      <w:r w:rsidRPr="00BD544D" w:rsidR="00633AF7">
        <w:rPr>
          <w:szCs w:val="22"/>
        </w:rPr>
        <w:t>” from “TV Table of Allotments” to “Table of TV Allotments</w:t>
      </w:r>
      <w:r w:rsidRPr="00BD544D" w:rsidR="006A2D94">
        <w:rPr>
          <w:szCs w:val="22"/>
        </w:rPr>
        <w:t>;</w:t>
      </w:r>
      <w:r w:rsidRPr="00BD544D" w:rsidR="00633AF7">
        <w:rPr>
          <w:szCs w:val="22"/>
        </w:rPr>
        <w:t>”</w:t>
      </w:r>
      <w:r w:rsidRPr="00BD544D" w:rsidR="006A2D94">
        <w:rPr>
          <w:szCs w:val="22"/>
        </w:rPr>
        <w:t xml:space="preserve"> from “FM Table of Assignments” to “Table of FM Allotments;” and from “TV Table of Assignments” to “Table of TV Allotments.”</w:t>
      </w:r>
      <w:r w:rsidRPr="00BD544D" w:rsidR="00D30DBE">
        <w:rPr>
          <w:szCs w:val="22"/>
        </w:rPr>
        <w:t xml:space="preserve"> </w:t>
      </w:r>
      <w:r w:rsidRPr="00BD544D" w:rsidR="00237916">
        <w:rPr>
          <w:szCs w:val="22"/>
        </w:rPr>
        <w:t xml:space="preserve"> </w:t>
      </w:r>
    </w:p>
    <w:p w:rsidR="000F1FFB" w:rsidRPr="00BD544D" w:rsidP="004B6A66" w14:paraId="1E7D0FDE" w14:textId="4C35714E">
      <w:pPr>
        <w:pStyle w:val="Heading2"/>
      </w:pPr>
      <w:r w:rsidRPr="00BD544D">
        <w:t>Eliminate Section 73.503(g), the 2021 NCE FM Window Application Cap</w:t>
      </w:r>
    </w:p>
    <w:p w:rsidR="00522DC1" w:rsidRPr="00BD544D" w:rsidP="00405D7F" w14:paraId="4B78B0B3" w14:textId="2B8CB05B">
      <w:pPr>
        <w:pStyle w:val="ParaNum"/>
        <w:rPr>
          <w:szCs w:val="22"/>
        </w:rPr>
      </w:pPr>
      <w:r w:rsidRPr="00BD544D">
        <w:rPr>
          <w:szCs w:val="22"/>
        </w:rPr>
        <w:t xml:space="preserve">In the </w:t>
      </w:r>
      <w:r w:rsidRPr="00BD544D">
        <w:rPr>
          <w:i/>
          <w:iCs/>
          <w:szCs w:val="22"/>
        </w:rPr>
        <w:t>NPRM</w:t>
      </w:r>
      <w:r w:rsidRPr="00BD544D">
        <w:rPr>
          <w:szCs w:val="22"/>
        </w:rPr>
        <w:t>,</w:t>
      </w:r>
      <w:r w:rsidRPr="00BD544D">
        <w:rPr>
          <w:i/>
          <w:iCs/>
          <w:szCs w:val="22"/>
        </w:rPr>
        <w:t xml:space="preserve"> </w:t>
      </w:r>
      <w:r w:rsidRPr="00BD544D" w:rsidR="009C515B">
        <w:rPr>
          <w:szCs w:val="22"/>
        </w:rPr>
        <w:t>the Commission</w:t>
      </w:r>
      <w:r w:rsidRPr="00BD544D">
        <w:rPr>
          <w:szCs w:val="22"/>
        </w:rPr>
        <w:t xml:space="preserve"> proposed to eliminate language concerning </w:t>
      </w:r>
      <w:r w:rsidRPr="00BD544D" w:rsidR="0003382F">
        <w:rPr>
          <w:szCs w:val="22"/>
        </w:rPr>
        <w:t xml:space="preserve">the </w:t>
      </w:r>
      <w:r w:rsidRPr="00BD544D" w:rsidR="00F25148">
        <w:rPr>
          <w:szCs w:val="22"/>
        </w:rPr>
        <w:t>10</w:t>
      </w:r>
      <w:r w:rsidRPr="00BD544D" w:rsidR="0003382F">
        <w:rPr>
          <w:szCs w:val="22"/>
        </w:rPr>
        <w:t xml:space="preserve"> application</w:t>
      </w:r>
      <w:r w:rsidRPr="00BD544D">
        <w:rPr>
          <w:szCs w:val="22"/>
        </w:rPr>
        <w:t xml:space="preserve"> cap on the number of applications</w:t>
      </w:r>
      <w:r w:rsidRPr="00BD544D" w:rsidR="0003382F">
        <w:rPr>
          <w:szCs w:val="22"/>
        </w:rPr>
        <w:t xml:space="preserve"> </w:t>
      </w:r>
      <w:r w:rsidRPr="00BD544D">
        <w:rPr>
          <w:szCs w:val="22"/>
        </w:rPr>
        <w:t>each applicant could submit in the 2021 NCE FM filing window</w:t>
      </w:r>
      <w:r w:rsidRPr="00BD544D" w:rsidR="00E22C16">
        <w:rPr>
          <w:szCs w:val="22"/>
        </w:rPr>
        <w:t xml:space="preserve">, </w:t>
      </w:r>
      <w:r w:rsidRPr="00BD544D" w:rsidR="004569FE">
        <w:rPr>
          <w:szCs w:val="22"/>
        </w:rPr>
        <w:t xml:space="preserve">as mandated in section 73.503(g) of the </w:t>
      </w:r>
      <w:r w:rsidRPr="00BD544D" w:rsidR="001D3701">
        <w:rPr>
          <w:szCs w:val="22"/>
        </w:rPr>
        <w:t>R</w:t>
      </w:r>
      <w:r w:rsidRPr="00BD544D" w:rsidR="004569FE">
        <w:rPr>
          <w:szCs w:val="22"/>
        </w:rPr>
        <w:t>ules</w:t>
      </w:r>
      <w:r w:rsidRPr="00BD544D">
        <w:rPr>
          <w:szCs w:val="22"/>
        </w:rPr>
        <w:t>.</w:t>
      </w:r>
      <w:r>
        <w:rPr>
          <w:rStyle w:val="FootnoteReference"/>
          <w:sz w:val="22"/>
          <w:szCs w:val="22"/>
        </w:rPr>
        <w:footnoteReference w:id="34"/>
      </w:r>
      <w:r w:rsidRPr="00BD544D">
        <w:rPr>
          <w:szCs w:val="22"/>
        </w:rPr>
        <w:t xml:space="preserve"> </w:t>
      </w:r>
      <w:r w:rsidRPr="00BD544D" w:rsidR="008D311A">
        <w:rPr>
          <w:szCs w:val="22"/>
        </w:rPr>
        <w:t xml:space="preserve"> </w:t>
      </w:r>
      <w:r w:rsidRPr="00BD544D" w:rsidR="00964129">
        <w:rPr>
          <w:szCs w:val="22"/>
        </w:rPr>
        <w:t>P</w:t>
      </w:r>
      <w:r w:rsidRPr="00BD544D" w:rsidR="00691084">
        <w:rPr>
          <w:szCs w:val="22"/>
        </w:rPr>
        <w:t xml:space="preserve">rometheus, REC and NAB </w:t>
      </w:r>
      <w:r w:rsidRPr="00BD544D" w:rsidR="00D37B0A">
        <w:rPr>
          <w:szCs w:val="22"/>
        </w:rPr>
        <w:t xml:space="preserve">all </w:t>
      </w:r>
      <w:r w:rsidRPr="00BD544D" w:rsidR="00691084">
        <w:rPr>
          <w:szCs w:val="22"/>
        </w:rPr>
        <w:t>support th</w:t>
      </w:r>
      <w:r w:rsidRPr="00BD544D" w:rsidR="00FF6DC8">
        <w:rPr>
          <w:szCs w:val="22"/>
        </w:rPr>
        <w:t>is</w:t>
      </w:r>
      <w:r w:rsidRPr="00BD544D" w:rsidR="00691084">
        <w:rPr>
          <w:szCs w:val="22"/>
        </w:rPr>
        <w:t xml:space="preserve"> </w:t>
      </w:r>
      <w:r w:rsidRPr="00BD544D" w:rsidR="00CB6C6E">
        <w:rPr>
          <w:szCs w:val="22"/>
        </w:rPr>
        <w:t>rule</w:t>
      </w:r>
      <w:r w:rsidRPr="00BD544D" w:rsidR="003523AE">
        <w:rPr>
          <w:szCs w:val="22"/>
        </w:rPr>
        <w:t xml:space="preserve"> removal</w:t>
      </w:r>
      <w:r w:rsidRPr="00BD544D" w:rsidR="000B01DB">
        <w:rPr>
          <w:szCs w:val="22"/>
        </w:rPr>
        <w:t xml:space="preserve"> as noncontroversial</w:t>
      </w:r>
      <w:r w:rsidRPr="00BD544D" w:rsidR="00544D59">
        <w:rPr>
          <w:szCs w:val="22"/>
        </w:rPr>
        <w:t>.</w:t>
      </w:r>
      <w:r>
        <w:rPr>
          <w:rStyle w:val="FootnoteReference"/>
          <w:sz w:val="22"/>
          <w:szCs w:val="22"/>
        </w:rPr>
        <w:footnoteReference w:id="35"/>
      </w:r>
      <w:r w:rsidRPr="00BD544D" w:rsidR="00694886">
        <w:rPr>
          <w:szCs w:val="22"/>
        </w:rPr>
        <w:t xml:space="preserve"> </w:t>
      </w:r>
      <w:r w:rsidRPr="00BD544D" w:rsidR="00063D11">
        <w:rPr>
          <w:szCs w:val="22"/>
        </w:rPr>
        <w:t xml:space="preserve"> </w:t>
      </w:r>
      <w:r w:rsidRPr="00BD544D" w:rsidR="003523AE">
        <w:rPr>
          <w:szCs w:val="22"/>
        </w:rPr>
        <w:t xml:space="preserve">In the </w:t>
      </w:r>
      <w:r w:rsidRPr="00BD544D" w:rsidR="003523AE">
        <w:rPr>
          <w:i/>
          <w:iCs/>
          <w:szCs w:val="22"/>
        </w:rPr>
        <w:t>NPRM</w:t>
      </w:r>
      <w:r w:rsidRPr="00BD544D" w:rsidR="003523AE">
        <w:rPr>
          <w:szCs w:val="22"/>
        </w:rPr>
        <w:t>, the Commission observed that, w</w:t>
      </w:r>
      <w:r w:rsidRPr="00BD544D" w:rsidR="00820C3B">
        <w:rPr>
          <w:szCs w:val="22"/>
        </w:rPr>
        <w:t xml:space="preserve">hile the filing window has passed, </w:t>
      </w:r>
      <w:r w:rsidRPr="00BD544D" w:rsidR="00ED083A">
        <w:rPr>
          <w:szCs w:val="22"/>
        </w:rPr>
        <w:t>several</w:t>
      </w:r>
      <w:r w:rsidRPr="00BD544D" w:rsidR="00820C3B">
        <w:rPr>
          <w:szCs w:val="22"/>
        </w:rPr>
        <w:t xml:space="preserve"> applications </w:t>
      </w:r>
      <w:r w:rsidRPr="00BD544D" w:rsidR="00B506F0">
        <w:rPr>
          <w:szCs w:val="22"/>
        </w:rPr>
        <w:t xml:space="preserve">remain pending </w:t>
      </w:r>
      <w:r w:rsidRPr="00BD544D" w:rsidR="00352295">
        <w:rPr>
          <w:szCs w:val="22"/>
        </w:rPr>
        <w:t xml:space="preserve">from the 2021 NCE FM window.  </w:t>
      </w:r>
      <w:r w:rsidRPr="00BD544D" w:rsidR="003523AE">
        <w:rPr>
          <w:szCs w:val="22"/>
        </w:rPr>
        <w:t xml:space="preserve">Therefore, the Commission proposed to delegate authority to the Bureau to effectuate </w:t>
      </w:r>
      <w:r w:rsidRPr="00BD544D" w:rsidR="005132B0">
        <w:rPr>
          <w:szCs w:val="22"/>
        </w:rPr>
        <w:t>this change and remove section 73.503(g) from the rules “upon resolution and finality of the remaining NCE FM applications.”</w:t>
      </w:r>
      <w:r>
        <w:rPr>
          <w:rStyle w:val="FootnoteReference"/>
          <w:sz w:val="22"/>
          <w:szCs w:val="22"/>
        </w:rPr>
        <w:footnoteReference w:id="36"/>
      </w:r>
      <w:r w:rsidRPr="00BD544D" w:rsidR="00505922">
        <w:rPr>
          <w:szCs w:val="22"/>
        </w:rPr>
        <w:t xml:space="preserve">  </w:t>
      </w:r>
      <w:r w:rsidRPr="00BD544D" w:rsidR="005132B0">
        <w:rPr>
          <w:szCs w:val="22"/>
        </w:rPr>
        <w:t xml:space="preserve">Because these applications are still pending, we adopt our proposal to delegate authority to the Bureau to remove section 73.503(g) from the </w:t>
      </w:r>
      <w:r w:rsidRPr="00BD544D" w:rsidR="00952E61">
        <w:rPr>
          <w:szCs w:val="22"/>
        </w:rPr>
        <w:t>R</w:t>
      </w:r>
      <w:r w:rsidRPr="00BD544D" w:rsidR="005132B0">
        <w:rPr>
          <w:szCs w:val="22"/>
        </w:rPr>
        <w:t xml:space="preserve">ules </w:t>
      </w:r>
      <w:r w:rsidRPr="00BD544D" w:rsidR="009F04F6">
        <w:rPr>
          <w:szCs w:val="22"/>
        </w:rPr>
        <w:t xml:space="preserve">once the applications are final and </w:t>
      </w:r>
      <w:r w:rsidRPr="00BD544D" w:rsidR="008720D3">
        <w:rPr>
          <w:szCs w:val="22"/>
        </w:rPr>
        <w:t xml:space="preserve">therefore </w:t>
      </w:r>
      <w:r w:rsidRPr="00BD544D" w:rsidR="009F04F6">
        <w:rPr>
          <w:szCs w:val="22"/>
        </w:rPr>
        <w:t>no longer subject to reconsideration or administrative or judicial review.</w:t>
      </w:r>
      <w:r>
        <w:rPr>
          <w:rStyle w:val="FootnoteReference"/>
          <w:sz w:val="22"/>
          <w:szCs w:val="22"/>
        </w:rPr>
        <w:footnoteReference w:id="37"/>
      </w:r>
      <w:r w:rsidRPr="00BD544D" w:rsidR="009F04F6">
        <w:rPr>
          <w:szCs w:val="22"/>
        </w:rPr>
        <w:t xml:space="preserve"> </w:t>
      </w:r>
    </w:p>
    <w:p w:rsidR="00405D7F" w:rsidRPr="00BD544D" w:rsidP="004B6A66" w14:paraId="0425D550" w14:textId="0FC4C1D4">
      <w:pPr>
        <w:pStyle w:val="Heading2"/>
      </w:pPr>
      <w:r w:rsidRPr="00BD544D">
        <w:t>Eliminate AM Station Power Increase Restrictions</w:t>
      </w:r>
    </w:p>
    <w:p w:rsidR="00405D7F" w:rsidRPr="00BD544D" w:rsidP="00094247" w14:paraId="396B794A" w14:textId="762DD4B1">
      <w:pPr>
        <w:pStyle w:val="ParaNum"/>
        <w:rPr>
          <w:szCs w:val="22"/>
        </w:rPr>
      </w:pPr>
      <w:r w:rsidRPr="00BD544D">
        <w:rPr>
          <w:szCs w:val="22"/>
        </w:rPr>
        <w:t xml:space="preserve">We adopt the </w:t>
      </w:r>
      <w:r w:rsidRPr="00BD544D">
        <w:rPr>
          <w:i/>
          <w:iCs/>
          <w:szCs w:val="22"/>
        </w:rPr>
        <w:t>NPRM</w:t>
      </w:r>
      <w:r w:rsidRPr="00BD544D" w:rsidR="006C40CF">
        <w:rPr>
          <w:szCs w:val="22"/>
        </w:rPr>
        <w:t xml:space="preserve"> proposal</w:t>
      </w:r>
      <w:r w:rsidRPr="00BD544D">
        <w:rPr>
          <w:szCs w:val="22"/>
        </w:rPr>
        <w:t xml:space="preserve"> to</w:t>
      </w:r>
      <w:r w:rsidRPr="00BD544D" w:rsidR="0031009A">
        <w:rPr>
          <w:szCs w:val="22"/>
        </w:rPr>
        <w:t xml:space="preserve"> update </w:t>
      </w:r>
      <w:r w:rsidRPr="00BD544D" w:rsidR="008B2FAE">
        <w:rPr>
          <w:szCs w:val="22"/>
        </w:rPr>
        <w:t>the Rules for AM station power increases to</w:t>
      </w:r>
      <w:r w:rsidRPr="00BD544D">
        <w:rPr>
          <w:szCs w:val="22"/>
        </w:rPr>
        <w:t xml:space="preserve"> </w:t>
      </w:r>
      <w:r w:rsidRPr="00BD544D" w:rsidR="005904F7">
        <w:rPr>
          <w:szCs w:val="22"/>
        </w:rPr>
        <w:t>eliminate the</w:t>
      </w:r>
      <w:r w:rsidRPr="00BD544D" w:rsidR="00492648">
        <w:rPr>
          <w:szCs w:val="22"/>
        </w:rPr>
        <w:t xml:space="preserve"> </w:t>
      </w:r>
      <w:r w:rsidRPr="00BD544D" w:rsidR="005904F7">
        <w:rPr>
          <w:szCs w:val="22"/>
        </w:rPr>
        <w:t>requirement that stations request at least a 20% increase in nominal power</w:t>
      </w:r>
      <w:r w:rsidRPr="00BD544D" w:rsidR="0092682C">
        <w:rPr>
          <w:szCs w:val="22"/>
        </w:rPr>
        <w:t>;</w:t>
      </w:r>
      <w:r w:rsidRPr="00BD544D" w:rsidR="000C51BE">
        <w:rPr>
          <w:szCs w:val="22"/>
        </w:rPr>
        <w:t xml:space="preserve"> and </w:t>
      </w:r>
      <w:r w:rsidRPr="00BD544D" w:rsidR="00727A90">
        <w:rPr>
          <w:szCs w:val="22"/>
        </w:rPr>
        <w:t xml:space="preserve">update </w:t>
      </w:r>
      <w:r w:rsidRPr="00BD544D" w:rsidR="002F28A0">
        <w:rPr>
          <w:szCs w:val="22"/>
        </w:rPr>
        <w:t xml:space="preserve">AM station </w:t>
      </w:r>
      <w:r w:rsidRPr="00BD544D" w:rsidR="00727A90">
        <w:rPr>
          <w:szCs w:val="22"/>
        </w:rPr>
        <w:t>class</w:t>
      </w:r>
      <w:r w:rsidRPr="00BD544D" w:rsidR="002F28A0">
        <w:rPr>
          <w:szCs w:val="22"/>
        </w:rPr>
        <w:t>ification</w:t>
      </w:r>
      <w:r w:rsidRPr="00BD544D" w:rsidR="003877B8">
        <w:rPr>
          <w:szCs w:val="22"/>
        </w:rPr>
        <w:t xml:space="preserve">s </w:t>
      </w:r>
      <w:r w:rsidRPr="00BD544D" w:rsidR="003A21BF">
        <w:rPr>
          <w:szCs w:val="22"/>
        </w:rPr>
        <w:t xml:space="preserve">to </w:t>
      </w:r>
      <w:r w:rsidRPr="00BD544D" w:rsidR="00FB7F9C">
        <w:rPr>
          <w:szCs w:val="22"/>
        </w:rPr>
        <w:t xml:space="preserve">conform to </w:t>
      </w:r>
      <w:r w:rsidRPr="00BD544D" w:rsidR="00EF5B6D">
        <w:rPr>
          <w:szCs w:val="22"/>
        </w:rPr>
        <w:t>current classifications used in</w:t>
      </w:r>
      <w:r w:rsidRPr="00BD544D" w:rsidR="00BE0AFF">
        <w:rPr>
          <w:szCs w:val="22"/>
        </w:rPr>
        <w:t xml:space="preserve"> the Class B and Class D definitions in section 73.21(a)(2)</w:t>
      </w:r>
      <w:r w:rsidRPr="00BD544D" w:rsidR="001D3701">
        <w:rPr>
          <w:szCs w:val="22"/>
        </w:rPr>
        <w:t xml:space="preserve"> and </w:t>
      </w:r>
      <w:r w:rsidRPr="00BD544D" w:rsidR="00BE0AFF">
        <w:rPr>
          <w:szCs w:val="22"/>
        </w:rPr>
        <w:t>(3)</w:t>
      </w:r>
      <w:r w:rsidRPr="00BD544D" w:rsidR="002E66B6">
        <w:rPr>
          <w:szCs w:val="22"/>
        </w:rPr>
        <w:t xml:space="preserve"> of our </w:t>
      </w:r>
      <w:r w:rsidRPr="00BD544D" w:rsidR="00952E61">
        <w:rPr>
          <w:szCs w:val="22"/>
        </w:rPr>
        <w:t>R</w:t>
      </w:r>
      <w:r w:rsidRPr="00BD544D" w:rsidR="002E66B6">
        <w:rPr>
          <w:szCs w:val="22"/>
        </w:rPr>
        <w:t>ules</w:t>
      </w:r>
      <w:r w:rsidRPr="00BD544D" w:rsidR="00BE0AFF">
        <w:rPr>
          <w:szCs w:val="22"/>
        </w:rPr>
        <w:t xml:space="preserve"> and</w:t>
      </w:r>
      <w:r w:rsidRPr="00BD544D" w:rsidR="00EF5B6D">
        <w:rPr>
          <w:szCs w:val="22"/>
        </w:rPr>
        <w:t xml:space="preserve"> </w:t>
      </w:r>
      <w:r w:rsidRPr="00BD544D" w:rsidR="00FB7F9C">
        <w:rPr>
          <w:szCs w:val="22"/>
        </w:rPr>
        <w:t>international agreement</w:t>
      </w:r>
      <w:r w:rsidRPr="00BD544D" w:rsidR="002E5718">
        <w:rPr>
          <w:szCs w:val="22"/>
        </w:rPr>
        <w:t>s</w:t>
      </w:r>
      <w:r w:rsidRPr="00BD544D" w:rsidR="00FB7F9C">
        <w:rPr>
          <w:szCs w:val="22"/>
        </w:rPr>
        <w:t>.</w:t>
      </w:r>
      <w:r>
        <w:rPr>
          <w:rStyle w:val="FootnoteReference"/>
          <w:sz w:val="22"/>
          <w:szCs w:val="22"/>
        </w:rPr>
        <w:footnoteReference w:id="38"/>
      </w:r>
      <w:r w:rsidRPr="00BD544D" w:rsidR="007C3EE8">
        <w:rPr>
          <w:szCs w:val="22"/>
        </w:rPr>
        <w:t xml:space="preserve">  </w:t>
      </w:r>
      <w:r w:rsidRPr="00BD544D" w:rsidR="00785EF2">
        <w:rPr>
          <w:szCs w:val="22"/>
        </w:rPr>
        <w:t xml:space="preserve">We also adopt as proposed a minor administrative change to </w:t>
      </w:r>
      <w:r w:rsidRPr="00BD544D" w:rsidR="00CB56E8">
        <w:rPr>
          <w:szCs w:val="22"/>
        </w:rPr>
        <w:t>move the</w:t>
      </w:r>
      <w:r w:rsidRPr="00BD544D" w:rsidR="002E66B6">
        <w:rPr>
          <w:szCs w:val="22"/>
        </w:rPr>
        <w:t xml:space="preserve"> Note</w:t>
      </w:r>
      <w:r w:rsidRPr="00BD544D" w:rsidR="00952E61">
        <w:rPr>
          <w:szCs w:val="22"/>
        </w:rPr>
        <w:t xml:space="preserve"> </w:t>
      </w:r>
      <w:r w:rsidRPr="00BD544D" w:rsidR="002E66B6">
        <w:rPr>
          <w:szCs w:val="22"/>
        </w:rPr>
        <w:t>to</w:t>
      </w:r>
      <w:r w:rsidRPr="00BD544D" w:rsidR="00CB56E8">
        <w:rPr>
          <w:szCs w:val="22"/>
        </w:rPr>
        <w:t xml:space="preserve"> </w:t>
      </w:r>
      <w:r w:rsidRPr="00BD544D" w:rsidR="00E25BF0">
        <w:rPr>
          <w:szCs w:val="22"/>
        </w:rPr>
        <w:t>section 73.3571</w:t>
      </w:r>
      <w:r w:rsidRPr="00BD544D" w:rsidR="00CB56E8">
        <w:rPr>
          <w:szCs w:val="22"/>
        </w:rPr>
        <w:t xml:space="preserve"> </w:t>
      </w:r>
      <w:r w:rsidRPr="00BD544D" w:rsidR="002E66B6">
        <w:rPr>
          <w:szCs w:val="22"/>
        </w:rPr>
        <w:t>in</w:t>
      </w:r>
      <w:r w:rsidRPr="00BD544D" w:rsidR="00AD7E10">
        <w:rPr>
          <w:szCs w:val="22"/>
        </w:rPr>
        <w:t xml:space="preserve">to </w:t>
      </w:r>
      <w:r w:rsidRPr="00BD544D" w:rsidR="00CB56E8">
        <w:rPr>
          <w:szCs w:val="22"/>
        </w:rPr>
        <w:t>the text of paragraph (h)(1)(ii)</w:t>
      </w:r>
      <w:r w:rsidRPr="00BD544D" w:rsidR="00785EF2">
        <w:rPr>
          <w:szCs w:val="22"/>
        </w:rPr>
        <w:t>.</w:t>
      </w:r>
      <w:r>
        <w:rPr>
          <w:rStyle w:val="FootnoteReference"/>
          <w:sz w:val="22"/>
          <w:szCs w:val="22"/>
        </w:rPr>
        <w:footnoteReference w:id="39"/>
      </w:r>
      <w:r w:rsidRPr="00BD544D" w:rsidR="00785EF2">
        <w:rPr>
          <w:szCs w:val="22"/>
        </w:rPr>
        <w:t xml:space="preserve">  </w:t>
      </w:r>
      <w:r w:rsidRPr="00BD544D" w:rsidR="007C3EE8">
        <w:rPr>
          <w:szCs w:val="22"/>
        </w:rPr>
        <w:t xml:space="preserve">Prometheus, REC and NAB </w:t>
      </w:r>
      <w:r w:rsidRPr="00BD544D" w:rsidR="00C44BF4">
        <w:rPr>
          <w:szCs w:val="22"/>
        </w:rPr>
        <w:t xml:space="preserve">support these changes </w:t>
      </w:r>
      <w:r w:rsidRPr="00BD544D" w:rsidR="00192BF1">
        <w:rPr>
          <w:szCs w:val="22"/>
        </w:rPr>
        <w:t>and agree they would offer increased flexibility to AM broadcasters</w:t>
      </w:r>
      <w:r w:rsidRPr="00BD544D" w:rsidR="00CC67CD">
        <w:rPr>
          <w:szCs w:val="22"/>
        </w:rPr>
        <w:t>.</w:t>
      </w:r>
      <w:r>
        <w:rPr>
          <w:rStyle w:val="FootnoteReference"/>
          <w:sz w:val="22"/>
          <w:szCs w:val="22"/>
        </w:rPr>
        <w:footnoteReference w:id="40"/>
      </w:r>
      <w:r w:rsidRPr="00BD544D" w:rsidR="00856F4D">
        <w:rPr>
          <w:szCs w:val="22"/>
        </w:rPr>
        <w:t xml:space="preserve">  NAB also </w:t>
      </w:r>
      <w:r w:rsidRPr="00BD544D" w:rsidR="00A80349">
        <w:rPr>
          <w:szCs w:val="22"/>
        </w:rPr>
        <w:t>maintains that eliminating the</w:t>
      </w:r>
      <w:r w:rsidRPr="00BD544D" w:rsidR="004575CB">
        <w:rPr>
          <w:szCs w:val="22"/>
        </w:rPr>
        <w:t xml:space="preserve"> 20%</w:t>
      </w:r>
      <w:r w:rsidRPr="00BD544D" w:rsidR="00A80349">
        <w:rPr>
          <w:szCs w:val="22"/>
        </w:rPr>
        <w:t xml:space="preserve"> </w:t>
      </w:r>
      <w:r w:rsidRPr="00BD544D" w:rsidR="004575CB">
        <w:rPr>
          <w:szCs w:val="22"/>
        </w:rPr>
        <w:t>minimum increase in power requirement</w:t>
      </w:r>
      <w:r w:rsidRPr="00BD544D" w:rsidR="003742A9">
        <w:rPr>
          <w:szCs w:val="22"/>
        </w:rPr>
        <w:t xml:space="preserve"> will help AM stations achieve required community of license coverage, and </w:t>
      </w:r>
      <w:r w:rsidRPr="00BD544D" w:rsidR="00AD09DF">
        <w:rPr>
          <w:szCs w:val="22"/>
        </w:rPr>
        <w:t xml:space="preserve">contributes to </w:t>
      </w:r>
      <w:r w:rsidRPr="00BD544D" w:rsidR="00E80023">
        <w:rPr>
          <w:szCs w:val="22"/>
        </w:rPr>
        <w:t>the elimination of minimum efficiency requirements for AM stations.</w:t>
      </w:r>
      <w:r>
        <w:rPr>
          <w:rStyle w:val="FootnoteReference"/>
          <w:sz w:val="22"/>
          <w:szCs w:val="22"/>
        </w:rPr>
        <w:footnoteReference w:id="41"/>
      </w:r>
      <w:r w:rsidRPr="00BD544D" w:rsidR="00D51651">
        <w:rPr>
          <w:szCs w:val="22"/>
        </w:rPr>
        <w:t xml:space="preserve">  Therefore, we amend </w:t>
      </w:r>
      <w:r w:rsidRPr="00BD544D" w:rsidR="002E66B6">
        <w:rPr>
          <w:szCs w:val="22"/>
        </w:rPr>
        <w:t>section</w:t>
      </w:r>
      <w:r w:rsidRPr="00BD544D" w:rsidR="00B3097D">
        <w:rPr>
          <w:szCs w:val="22"/>
        </w:rPr>
        <w:t xml:space="preserve"> 73.3571(e)(1)</w:t>
      </w:r>
      <w:r w:rsidRPr="00BD544D" w:rsidR="001D3701">
        <w:rPr>
          <w:szCs w:val="22"/>
        </w:rPr>
        <w:t xml:space="preserve"> through </w:t>
      </w:r>
      <w:r w:rsidRPr="00BD544D" w:rsidR="00B3097D">
        <w:rPr>
          <w:szCs w:val="22"/>
        </w:rPr>
        <w:t>(4)</w:t>
      </w:r>
      <w:r w:rsidRPr="00BD544D" w:rsidR="00665D51">
        <w:rPr>
          <w:szCs w:val="22"/>
        </w:rPr>
        <w:t xml:space="preserve">, </w:t>
      </w:r>
      <w:r w:rsidRPr="00BD544D" w:rsidR="00810E9C">
        <w:rPr>
          <w:szCs w:val="22"/>
        </w:rPr>
        <w:t xml:space="preserve">to eliminate the </w:t>
      </w:r>
      <w:r w:rsidRPr="00BD544D" w:rsidR="00283A0E">
        <w:rPr>
          <w:szCs w:val="22"/>
        </w:rPr>
        <w:t>requirement that AM stations request at least a 20% increase in nominal power,</w:t>
      </w:r>
      <w:r w:rsidRPr="00BD544D" w:rsidR="00E33635">
        <w:rPr>
          <w:szCs w:val="22"/>
        </w:rPr>
        <w:t xml:space="preserve"> and</w:t>
      </w:r>
      <w:r w:rsidRPr="00BD544D" w:rsidR="00283A0E">
        <w:rPr>
          <w:szCs w:val="22"/>
        </w:rPr>
        <w:t xml:space="preserve"> to reflect current AM station classifications</w:t>
      </w:r>
      <w:r w:rsidRPr="00BD544D" w:rsidR="006A48C7">
        <w:rPr>
          <w:szCs w:val="22"/>
        </w:rPr>
        <w:t>.</w:t>
      </w:r>
      <w:r w:rsidRPr="00BD544D" w:rsidR="00E33635">
        <w:rPr>
          <w:szCs w:val="22"/>
        </w:rPr>
        <w:t xml:space="preserve">  We also relocate the Note to </w:t>
      </w:r>
      <w:r w:rsidRPr="00BD544D" w:rsidR="007171D8">
        <w:rPr>
          <w:szCs w:val="22"/>
        </w:rPr>
        <w:t xml:space="preserve">the text of </w:t>
      </w:r>
      <w:r w:rsidRPr="00BD544D" w:rsidR="00E33635">
        <w:rPr>
          <w:szCs w:val="22"/>
        </w:rPr>
        <w:t xml:space="preserve">section 73.3571, to conform with </w:t>
      </w:r>
      <w:r w:rsidRPr="00BD544D" w:rsidR="00CD4B7C">
        <w:rPr>
          <w:szCs w:val="22"/>
        </w:rPr>
        <w:t>publishing conventions of the National Archives</w:t>
      </w:r>
      <w:r w:rsidRPr="00BD544D" w:rsidR="00094247">
        <w:rPr>
          <w:szCs w:val="22"/>
        </w:rPr>
        <w:t xml:space="preserve"> </w:t>
      </w:r>
      <w:r w:rsidRPr="00BD544D" w:rsidR="00CD4B7C">
        <w:rPr>
          <w:szCs w:val="22"/>
        </w:rPr>
        <w:t>and Records Administration’s Office of the Federal Register</w:t>
      </w:r>
      <w:r w:rsidRPr="00BD544D" w:rsidR="00002C04">
        <w:rPr>
          <w:szCs w:val="22"/>
        </w:rPr>
        <w:t>.</w:t>
      </w:r>
    </w:p>
    <w:p w:rsidR="00405D7F" w:rsidRPr="00BD544D" w:rsidP="004B6A66" w14:paraId="3B0BB91E" w14:textId="3B04F469">
      <w:pPr>
        <w:pStyle w:val="Heading2"/>
      </w:pPr>
      <w:r w:rsidRPr="00BD544D">
        <w:t>Post-incentive Auction Viewer and MVPD Notification Requirements</w:t>
      </w:r>
    </w:p>
    <w:p w:rsidR="00815D3E" w:rsidRPr="00BD544D" w:rsidP="004B6A66" w14:paraId="0BDD9661" w14:textId="386A90A6">
      <w:pPr>
        <w:pStyle w:val="ParaNum"/>
        <w:widowControl/>
        <w:rPr>
          <w:szCs w:val="22"/>
        </w:rPr>
      </w:pPr>
      <w:r w:rsidRPr="00BD544D">
        <w:rPr>
          <w:szCs w:val="22"/>
        </w:rPr>
        <w:t xml:space="preserve">We adopt the </w:t>
      </w:r>
      <w:r w:rsidRPr="00BD544D">
        <w:rPr>
          <w:i/>
          <w:iCs/>
          <w:szCs w:val="22"/>
        </w:rPr>
        <w:t xml:space="preserve">NPRM </w:t>
      </w:r>
      <w:r w:rsidRPr="00BD544D">
        <w:rPr>
          <w:szCs w:val="22"/>
        </w:rPr>
        <w:t xml:space="preserve">proposal </w:t>
      </w:r>
      <w:r w:rsidRPr="00BD544D" w:rsidR="006403B4">
        <w:rPr>
          <w:szCs w:val="22"/>
        </w:rPr>
        <w:t>to remove</w:t>
      </w:r>
      <w:r w:rsidRPr="00BD544D" w:rsidR="004C60F1">
        <w:rPr>
          <w:szCs w:val="22"/>
        </w:rPr>
        <w:t xml:space="preserve"> </w:t>
      </w:r>
      <w:r w:rsidRPr="00BD544D" w:rsidR="006403B4">
        <w:rPr>
          <w:szCs w:val="22"/>
        </w:rPr>
        <w:t xml:space="preserve">obsolete </w:t>
      </w:r>
      <w:r w:rsidRPr="00BD544D" w:rsidR="00A919D5">
        <w:rPr>
          <w:szCs w:val="22"/>
        </w:rPr>
        <w:t xml:space="preserve">rule </w:t>
      </w:r>
      <w:r w:rsidRPr="00BD544D" w:rsidR="006403B4">
        <w:rPr>
          <w:szCs w:val="22"/>
        </w:rPr>
        <w:t>language</w:t>
      </w:r>
      <w:r w:rsidRPr="00BD544D" w:rsidR="00DF7792">
        <w:rPr>
          <w:szCs w:val="22"/>
        </w:rPr>
        <w:t xml:space="preserve"> </w:t>
      </w:r>
      <w:r w:rsidRPr="00BD544D" w:rsidR="008B7C19">
        <w:rPr>
          <w:szCs w:val="22"/>
        </w:rPr>
        <w:t xml:space="preserve">and notice requirements </w:t>
      </w:r>
      <w:r w:rsidRPr="00BD544D" w:rsidR="00A919D5">
        <w:rPr>
          <w:szCs w:val="22"/>
        </w:rPr>
        <w:t>that had been adopted to implement the broadcast television spectrum incentive auction</w:t>
      </w:r>
      <w:r w:rsidRPr="00BD544D" w:rsidR="00942A59">
        <w:rPr>
          <w:szCs w:val="22"/>
        </w:rPr>
        <w:t xml:space="preserve">. </w:t>
      </w:r>
      <w:r w:rsidRPr="00BD544D" w:rsidR="000B49D6">
        <w:rPr>
          <w:szCs w:val="22"/>
        </w:rPr>
        <w:t xml:space="preserve"> </w:t>
      </w:r>
      <w:r w:rsidRPr="00BD544D" w:rsidR="00942A59">
        <w:rPr>
          <w:szCs w:val="22"/>
        </w:rPr>
        <w:t xml:space="preserve">Because the post-incentive auction transition period concluded on July 3, 2020, these </w:t>
      </w:r>
      <w:r w:rsidRPr="00BD544D" w:rsidR="00BC79E8">
        <w:rPr>
          <w:szCs w:val="22"/>
        </w:rPr>
        <w:t xml:space="preserve">post-incentive auction </w:t>
      </w:r>
      <w:r w:rsidRPr="00BD544D" w:rsidR="00942A59">
        <w:rPr>
          <w:szCs w:val="22"/>
        </w:rPr>
        <w:t>notice provisions are now</w:t>
      </w:r>
      <w:r w:rsidRPr="00BD544D" w:rsidR="007171D8">
        <w:rPr>
          <w:szCs w:val="22"/>
        </w:rPr>
        <w:t xml:space="preserve"> outdated</w:t>
      </w:r>
      <w:r w:rsidRPr="00BD544D" w:rsidR="00942A59">
        <w:rPr>
          <w:szCs w:val="22"/>
        </w:rPr>
        <w:t>.</w:t>
      </w:r>
      <w:r w:rsidRPr="00BD544D" w:rsidR="00CE1115">
        <w:rPr>
          <w:szCs w:val="22"/>
        </w:rPr>
        <w:t xml:space="preserve"> </w:t>
      </w:r>
      <w:r w:rsidRPr="00BD544D" w:rsidR="00DB2EBA">
        <w:rPr>
          <w:szCs w:val="22"/>
        </w:rPr>
        <w:t xml:space="preserve"> S</w:t>
      </w:r>
      <w:r w:rsidRPr="00BD544D" w:rsidR="00CE1115">
        <w:rPr>
          <w:szCs w:val="22"/>
        </w:rPr>
        <w:t>pecifically, the Commission proposed</w:t>
      </w:r>
      <w:r w:rsidRPr="00BD544D" w:rsidR="007F21D7">
        <w:rPr>
          <w:szCs w:val="22"/>
        </w:rPr>
        <w:t xml:space="preserve"> </w:t>
      </w:r>
      <w:r w:rsidRPr="00BD544D" w:rsidR="00FF6AA7">
        <w:rPr>
          <w:szCs w:val="22"/>
        </w:rPr>
        <w:t>deleting section 73.3700(c) and revising sections 73.3801(h)(4)(</w:t>
      </w:r>
      <w:r w:rsidRPr="00BD544D" w:rsidR="00FF6AA7">
        <w:rPr>
          <w:szCs w:val="22"/>
        </w:rPr>
        <w:t>i</w:t>
      </w:r>
      <w:r w:rsidRPr="00BD544D" w:rsidR="00FF6AA7">
        <w:rPr>
          <w:szCs w:val="22"/>
        </w:rPr>
        <w:t>), 73.6029(h)(4)(</w:t>
      </w:r>
      <w:r w:rsidRPr="00BD544D" w:rsidR="00FF6AA7">
        <w:rPr>
          <w:szCs w:val="22"/>
        </w:rPr>
        <w:t>i</w:t>
      </w:r>
      <w:r w:rsidRPr="00BD544D" w:rsidR="00FF6AA7">
        <w:rPr>
          <w:szCs w:val="22"/>
        </w:rPr>
        <w:t>), and 74.782(</w:t>
      </w:r>
      <w:r w:rsidRPr="00BD544D" w:rsidR="00FF6AA7">
        <w:rPr>
          <w:szCs w:val="22"/>
        </w:rPr>
        <w:t>i</w:t>
      </w:r>
      <w:r w:rsidRPr="00BD544D" w:rsidR="00FF6AA7">
        <w:rPr>
          <w:szCs w:val="22"/>
        </w:rPr>
        <w:t>)(4)(</w:t>
      </w:r>
      <w:r w:rsidRPr="00BD544D" w:rsidR="00FF6AA7">
        <w:rPr>
          <w:szCs w:val="22"/>
        </w:rPr>
        <w:t>i</w:t>
      </w:r>
      <w:r w:rsidRPr="00BD544D" w:rsidR="00FF6AA7">
        <w:rPr>
          <w:szCs w:val="22"/>
        </w:rPr>
        <w:t>)</w:t>
      </w:r>
      <w:r w:rsidRPr="00BD544D" w:rsidR="006403B4">
        <w:rPr>
          <w:szCs w:val="22"/>
        </w:rPr>
        <w:t>.</w:t>
      </w:r>
      <w:r>
        <w:rPr>
          <w:rStyle w:val="FootnoteReference"/>
          <w:sz w:val="22"/>
          <w:szCs w:val="22"/>
        </w:rPr>
        <w:footnoteReference w:id="42"/>
      </w:r>
      <w:r w:rsidRPr="00BD544D" w:rsidR="002C4000">
        <w:rPr>
          <w:szCs w:val="22"/>
        </w:rPr>
        <w:t xml:space="preserve">  </w:t>
      </w:r>
      <w:r w:rsidRPr="00BD544D" w:rsidR="00AD601B">
        <w:rPr>
          <w:szCs w:val="22"/>
        </w:rPr>
        <w:t xml:space="preserve">REC </w:t>
      </w:r>
      <w:r w:rsidRPr="00BD544D" w:rsidR="000E1B52">
        <w:rPr>
          <w:szCs w:val="22"/>
        </w:rPr>
        <w:t xml:space="preserve">supports these changes as noncontroversial, </w:t>
      </w:r>
      <w:r w:rsidRPr="00BD544D" w:rsidR="00AD601B">
        <w:rPr>
          <w:szCs w:val="22"/>
        </w:rPr>
        <w:t>and NA</w:t>
      </w:r>
      <w:r w:rsidRPr="00BD544D" w:rsidR="00DB4288">
        <w:rPr>
          <w:szCs w:val="22"/>
        </w:rPr>
        <w:t xml:space="preserve">B agrees that broadcast </w:t>
      </w:r>
      <w:r w:rsidRPr="00BD544D" w:rsidR="003B2E80">
        <w:rPr>
          <w:szCs w:val="22"/>
        </w:rPr>
        <w:t xml:space="preserve">incentive auction-related notice requirements </w:t>
      </w:r>
      <w:r w:rsidRPr="00BD544D" w:rsidR="00B91FB3">
        <w:rPr>
          <w:szCs w:val="22"/>
        </w:rPr>
        <w:t>concerning</w:t>
      </w:r>
      <w:r w:rsidRPr="00BD544D" w:rsidR="003B2E80">
        <w:rPr>
          <w:szCs w:val="22"/>
        </w:rPr>
        <w:t xml:space="preserve"> now-completed transi</w:t>
      </w:r>
      <w:r w:rsidRPr="00BD544D" w:rsidR="006E7ED0">
        <w:rPr>
          <w:szCs w:val="22"/>
        </w:rPr>
        <w:t>tions and notice to MVPDs should be eliminated.</w:t>
      </w:r>
      <w:r>
        <w:rPr>
          <w:rStyle w:val="FootnoteReference"/>
          <w:sz w:val="22"/>
          <w:szCs w:val="22"/>
        </w:rPr>
        <w:footnoteReference w:id="43"/>
      </w:r>
      <w:r w:rsidRPr="00BD544D" w:rsidR="000E1B52">
        <w:rPr>
          <w:szCs w:val="22"/>
        </w:rPr>
        <w:t xml:space="preserve"> </w:t>
      </w:r>
      <w:r w:rsidRPr="00BD544D" w:rsidR="00354286">
        <w:rPr>
          <w:szCs w:val="22"/>
        </w:rPr>
        <w:t xml:space="preserve"> Accordingly, we delete </w:t>
      </w:r>
      <w:r w:rsidRPr="00BD544D" w:rsidR="002E66B6">
        <w:rPr>
          <w:szCs w:val="22"/>
        </w:rPr>
        <w:t xml:space="preserve">the </w:t>
      </w:r>
      <w:r w:rsidRPr="00BD544D" w:rsidR="00C629C7">
        <w:rPr>
          <w:szCs w:val="22"/>
        </w:rPr>
        <w:t xml:space="preserve">post-incentive auction </w:t>
      </w:r>
      <w:r w:rsidRPr="00BD544D" w:rsidR="002E66B6">
        <w:rPr>
          <w:szCs w:val="22"/>
        </w:rPr>
        <w:t xml:space="preserve">transition consumer notification requirements in </w:t>
      </w:r>
      <w:r w:rsidRPr="00BD544D" w:rsidR="00354286">
        <w:rPr>
          <w:szCs w:val="22"/>
        </w:rPr>
        <w:t xml:space="preserve">section 73.3700(c) and revise </w:t>
      </w:r>
      <w:r w:rsidRPr="00BD544D" w:rsidR="002E66B6">
        <w:rPr>
          <w:szCs w:val="22"/>
        </w:rPr>
        <w:t>the MVPD notice provisions</w:t>
      </w:r>
      <w:r w:rsidRPr="00BD544D" w:rsidR="00C629C7">
        <w:rPr>
          <w:szCs w:val="22"/>
        </w:rPr>
        <w:t xml:space="preserve"> for ATSC 3.0 stations</w:t>
      </w:r>
      <w:r w:rsidRPr="00BD544D" w:rsidR="002E66B6">
        <w:rPr>
          <w:szCs w:val="22"/>
        </w:rPr>
        <w:t xml:space="preserve"> in </w:t>
      </w:r>
      <w:r w:rsidRPr="00BD544D" w:rsidR="00354286">
        <w:rPr>
          <w:szCs w:val="22"/>
        </w:rPr>
        <w:t>sections 73.3801(h)(4)(</w:t>
      </w:r>
      <w:r w:rsidRPr="00BD544D" w:rsidR="00354286">
        <w:rPr>
          <w:szCs w:val="22"/>
        </w:rPr>
        <w:t>i</w:t>
      </w:r>
      <w:r w:rsidRPr="00BD544D" w:rsidR="00354286">
        <w:rPr>
          <w:szCs w:val="22"/>
        </w:rPr>
        <w:t>), 73.6029(h)(4)(</w:t>
      </w:r>
      <w:r w:rsidRPr="00BD544D" w:rsidR="00354286">
        <w:rPr>
          <w:szCs w:val="22"/>
        </w:rPr>
        <w:t>i</w:t>
      </w:r>
      <w:r w:rsidRPr="00BD544D" w:rsidR="00354286">
        <w:rPr>
          <w:szCs w:val="22"/>
        </w:rPr>
        <w:t>), and 74.782(</w:t>
      </w:r>
      <w:r w:rsidRPr="00BD544D" w:rsidR="00354286">
        <w:rPr>
          <w:szCs w:val="22"/>
        </w:rPr>
        <w:t>i</w:t>
      </w:r>
      <w:r w:rsidRPr="00BD544D" w:rsidR="00354286">
        <w:rPr>
          <w:szCs w:val="22"/>
        </w:rPr>
        <w:t>)(4)(</w:t>
      </w:r>
      <w:r w:rsidRPr="00BD544D" w:rsidR="00354286">
        <w:rPr>
          <w:szCs w:val="22"/>
        </w:rPr>
        <w:t>i</w:t>
      </w:r>
      <w:r w:rsidRPr="00BD544D" w:rsidR="00354286">
        <w:rPr>
          <w:szCs w:val="22"/>
        </w:rPr>
        <w:t xml:space="preserve">) </w:t>
      </w:r>
      <w:r w:rsidRPr="00BD544D" w:rsidR="00C629C7">
        <w:rPr>
          <w:szCs w:val="22"/>
        </w:rPr>
        <w:t>by eliminating the extended notice period for repacked stations and removing the reference to the post-incentive auction transition period</w:t>
      </w:r>
      <w:r w:rsidRPr="00BD544D" w:rsidR="0071125F">
        <w:rPr>
          <w:szCs w:val="22"/>
        </w:rPr>
        <w:t>.</w:t>
      </w:r>
      <w:r w:rsidRPr="00BD544D" w:rsidR="00BD250D">
        <w:rPr>
          <w:szCs w:val="22"/>
        </w:rPr>
        <w:t xml:space="preserve">  </w:t>
      </w:r>
      <w:r w:rsidRPr="00BD544D">
        <w:rPr>
          <w:szCs w:val="22"/>
        </w:rPr>
        <w:t>In addition, we delete section 73.3700(</w:t>
      </w:r>
      <w:r w:rsidRPr="00BD544D">
        <w:rPr>
          <w:szCs w:val="22"/>
        </w:rPr>
        <w:t>i</w:t>
      </w:r>
      <w:r w:rsidRPr="00BD544D">
        <w:rPr>
          <w:szCs w:val="22"/>
        </w:rPr>
        <w:t xml:space="preserve">) of our </w:t>
      </w:r>
      <w:r w:rsidRPr="00BD544D" w:rsidR="00C629C7">
        <w:rPr>
          <w:szCs w:val="22"/>
        </w:rPr>
        <w:t>r</w:t>
      </w:r>
      <w:r w:rsidRPr="00BD544D">
        <w:rPr>
          <w:szCs w:val="22"/>
        </w:rPr>
        <w:t>ules which relates to TV broadcast station operations above channel 37 (614-698 MHz, the so-called “600 MHz Band”).  All TV broadcast stations have ceased operating and are no longer permitted to operate in the 600 MHz band</w:t>
      </w:r>
      <w:r w:rsidRPr="00BD544D" w:rsidR="00612BAC">
        <w:rPr>
          <w:szCs w:val="22"/>
        </w:rPr>
        <w:t>, which is now allocated for wireless broadband services</w:t>
      </w:r>
      <w:r w:rsidRPr="00BD544D">
        <w:rPr>
          <w:szCs w:val="22"/>
        </w:rPr>
        <w:t>.</w:t>
      </w:r>
      <w:r>
        <w:rPr>
          <w:rStyle w:val="FootnoteReference"/>
          <w:sz w:val="22"/>
          <w:szCs w:val="22"/>
        </w:rPr>
        <w:footnoteReference w:id="44"/>
      </w:r>
      <w:r w:rsidRPr="00BD544D">
        <w:rPr>
          <w:szCs w:val="22"/>
        </w:rPr>
        <w:t xml:space="preserve">  While this rule deletion was not proposed in the </w:t>
      </w:r>
      <w:r w:rsidRPr="00BD544D">
        <w:rPr>
          <w:i/>
          <w:iCs/>
          <w:szCs w:val="22"/>
        </w:rPr>
        <w:t>NPRM</w:t>
      </w:r>
      <w:r w:rsidRPr="00BD544D">
        <w:rPr>
          <w:szCs w:val="22"/>
        </w:rPr>
        <w:t>, we find that notice and comment procedures are unnecessary under the “good cause” exception of the Administrative Procedure Act</w:t>
      </w:r>
      <w:r w:rsidR="004A49EF">
        <w:rPr>
          <w:szCs w:val="22"/>
        </w:rPr>
        <w:t xml:space="preserve"> because </w:t>
      </w:r>
      <w:r w:rsidR="00CC2C53">
        <w:rPr>
          <w:szCs w:val="22"/>
        </w:rPr>
        <w:t>the revisions merely remove obsolete requirements</w:t>
      </w:r>
      <w:r w:rsidR="00032BD5">
        <w:rPr>
          <w:szCs w:val="22"/>
        </w:rPr>
        <w:t xml:space="preserve"> from our rules</w:t>
      </w:r>
      <w:r w:rsidR="00CC2E21">
        <w:rPr>
          <w:szCs w:val="22"/>
        </w:rPr>
        <w:t xml:space="preserve"> and </w:t>
      </w:r>
      <w:r w:rsidR="00A86081">
        <w:rPr>
          <w:szCs w:val="22"/>
        </w:rPr>
        <w:t xml:space="preserve">thus </w:t>
      </w:r>
      <w:r w:rsidR="00EE7D34">
        <w:rPr>
          <w:szCs w:val="22"/>
        </w:rPr>
        <w:t xml:space="preserve">will </w:t>
      </w:r>
      <w:r w:rsidR="00C31B60">
        <w:rPr>
          <w:szCs w:val="22"/>
        </w:rPr>
        <w:t>not result in any change in</w:t>
      </w:r>
      <w:r w:rsidR="00146A7A">
        <w:rPr>
          <w:szCs w:val="22"/>
        </w:rPr>
        <w:t xml:space="preserve"> current</w:t>
      </w:r>
      <w:r w:rsidR="00C31B60">
        <w:rPr>
          <w:szCs w:val="22"/>
        </w:rPr>
        <w:t xml:space="preserve"> Commission procedures</w:t>
      </w:r>
      <w:r w:rsidRPr="00BD544D">
        <w:rPr>
          <w:szCs w:val="22"/>
        </w:rPr>
        <w:t>.</w:t>
      </w:r>
      <w:r>
        <w:rPr>
          <w:rStyle w:val="FootnoteReference"/>
          <w:sz w:val="22"/>
          <w:szCs w:val="22"/>
        </w:rPr>
        <w:footnoteReference w:id="45"/>
      </w:r>
    </w:p>
    <w:p w:rsidR="0059605E" w:rsidRPr="00BD544D" w:rsidP="004B6A66" w14:paraId="065F1E92" w14:textId="424A64D9">
      <w:pPr>
        <w:pStyle w:val="Heading2"/>
      </w:pPr>
      <w:r w:rsidRPr="00BD544D">
        <w:t>Update Section 73.870, Processing LPFM Minor Modification Applications</w:t>
      </w:r>
    </w:p>
    <w:p w:rsidR="00D3703C" w:rsidRPr="00BD544D" w:rsidP="008652B2" w14:paraId="475941FE" w14:textId="46845A33">
      <w:pPr>
        <w:pStyle w:val="ParaNum"/>
        <w:rPr>
          <w:szCs w:val="22"/>
        </w:rPr>
      </w:pPr>
      <w:r>
        <w:rPr>
          <w:szCs w:val="22"/>
        </w:rPr>
        <w:t>The Commission proposed</w:t>
      </w:r>
      <w:r w:rsidRPr="00BD544D" w:rsidR="00F92FE2">
        <w:rPr>
          <w:szCs w:val="22"/>
        </w:rPr>
        <w:t xml:space="preserve"> in the </w:t>
      </w:r>
      <w:r w:rsidRPr="00BD544D" w:rsidR="00F92FE2">
        <w:rPr>
          <w:i/>
          <w:iCs/>
          <w:szCs w:val="22"/>
        </w:rPr>
        <w:t>NPRM</w:t>
      </w:r>
      <w:r w:rsidRPr="00BD544D" w:rsidR="00F92FE2">
        <w:rPr>
          <w:szCs w:val="22"/>
        </w:rPr>
        <w:t xml:space="preserve"> </w:t>
      </w:r>
      <w:r w:rsidRPr="00BD544D" w:rsidR="008B7B22">
        <w:rPr>
          <w:szCs w:val="22"/>
        </w:rPr>
        <w:t>to codify the existing interpretation of section 73.870(e) that LPFM minor modification applications received on the same day will be treated as simultaneously filed</w:t>
      </w:r>
      <w:r w:rsidRPr="00BD544D" w:rsidR="00EF4EEF">
        <w:rPr>
          <w:szCs w:val="22"/>
        </w:rPr>
        <w:t xml:space="preserve"> and, if mutually exclusive, directed to use engineering solutions and good-faith negotiation to resolve the mutual exclusivity</w:t>
      </w:r>
      <w:r w:rsidRPr="00BD544D" w:rsidR="00745677">
        <w:rPr>
          <w:szCs w:val="22"/>
        </w:rPr>
        <w:t>.</w:t>
      </w:r>
      <w:r>
        <w:rPr>
          <w:rStyle w:val="FootnoteReference"/>
          <w:sz w:val="22"/>
          <w:szCs w:val="22"/>
        </w:rPr>
        <w:footnoteReference w:id="46"/>
      </w:r>
      <w:r w:rsidRPr="00BD544D" w:rsidR="00157758">
        <w:rPr>
          <w:szCs w:val="22"/>
        </w:rPr>
        <w:t xml:space="preserve">  </w:t>
      </w:r>
      <w:r w:rsidRPr="00BD544D" w:rsidR="0083587F">
        <w:rPr>
          <w:szCs w:val="22"/>
        </w:rPr>
        <w:t>Unlike the rules for full service FM</w:t>
      </w:r>
      <w:r>
        <w:rPr>
          <w:rStyle w:val="FootnoteReference"/>
          <w:sz w:val="22"/>
          <w:szCs w:val="22"/>
        </w:rPr>
        <w:footnoteReference w:id="47"/>
      </w:r>
      <w:r w:rsidRPr="00BD544D" w:rsidR="002E26D4">
        <w:rPr>
          <w:szCs w:val="22"/>
        </w:rPr>
        <w:t xml:space="preserve"> and FM translator </w:t>
      </w:r>
      <w:r w:rsidRPr="00BD544D" w:rsidR="002E26D4">
        <w:rPr>
          <w:szCs w:val="22"/>
        </w:rPr>
        <w:t>station</w:t>
      </w:r>
      <w:r>
        <w:rPr>
          <w:rStyle w:val="FootnoteReference"/>
          <w:sz w:val="22"/>
          <w:szCs w:val="22"/>
        </w:rPr>
        <w:footnoteReference w:id="48"/>
      </w:r>
      <w:r w:rsidRPr="00BD544D" w:rsidR="0083587F">
        <w:rPr>
          <w:szCs w:val="22"/>
        </w:rPr>
        <w:t xml:space="preserve"> minor mod</w:t>
      </w:r>
      <w:r w:rsidRPr="00BD544D" w:rsidR="003F6825">
        <w:rPr>
          <w:szCs w:val="22"/>
        </w:rPr>
        <w:t>ification</w:t>
      </w:r>
      <w:r w:rsidRPr="00BD544D" w:rsidR="0083587F">
        <w:rPr>
          <w:szCs w:val="22"/>
        </w:rPr>
        <w:t xml:space="preserve"> appl</w:t>
      </w:r>
      <w:r w:rsidRPr="00BD544D" w:rsidR="00E119B2">
        <w:rPr>
          <w:szCs w:val="22"/>
        </w:rPr>
        <w:t>ications</w:t>
      </w:r>
      <w:r w:rsidRPr="00BD544D" w:rsidR="0083587F">
        <w:rPr>
          <w:szCs w:val="22"/>
        </w:rPr>
        <w:t xml:space="preserve">, there is no language in </w:t>
      </w:r>
      <w:r w:rsidRPr="00BD544D" w:rsidR="005838DB">
        <w:rPr>
          <w:szCs w:val="22"/>
        </w:rPr>
        <w:t xml:space="preserve">section </w:t>
      </w:r>
      <w:r w:rsidRPr="00BD544D" w:rsidR="0083587F">
        <w:rPr>
          <w:szCs w:val="22"/>
        </w:rPr>
        <w:t>73.870 indicating the processing standard for LPFM minor modification applications received on the same day.</w:t>
      </w:r>
      <w:r>
        <w:rPr>
          <w:rStyle w:val="FootnoteReference"/>
          <w:sz w:val="22"/>
          <w:szCs w:val="22"/>
        </w:rPr>
        <w:footnoteReference w:id="49"/>
      </w:r>
      <w:r w:rsidRPr="00BD544D" w:rsidR="0083587F">
        <w:rPr>
          <w:szCs w:val="22"/>
        </w:rPr>
        <w:t xml:space="preserve">  </w:t>
      </w:r>
      <w:r w:rsidRPr="00BD544D" w:rsidR="006F4BAF">
        <w:rPr>
          <w:szCs w:val="22"/>
        </w:rPr>
        <w:t>In</w:t>
      </w:r>
      <w:r w:rsidRPr="00BD544D" w:rsidR="006302D6">
        <w:rPr>
          <w:szCs w:val="22"/>
        </w:rPr>
        <w:t xml:space="preserve"> a recent case</w:t>
      </w:r>
      <w:r w:rsidRPr="00BD544D" w:rsidR="00585031">
        <w:rPr>
          <w:szCs w:val="22"/>
        </w:rPr>
        <w:t xml:space="preserve">, </w:t>
      </w:r>
      <w:r w:rsidRPr="00BD544D" w:rsidR="006F4BAF">
        <w:rPr>
          <w:szCs w:val="22"/>
        </w:rPr>
        <w:t xml:space="preserve">the Bureau </w:t>
      </w:r>
      <w:r w:rsidRPr="00BD544D" w:rsidR="00585031">
        <w:rPr>
          <w:szCs w:val="22"/>
        </w:rPr>
        <w:t>rejected the applicant’s argument that its LPFM mod</w:t>
      </w:r>
      <w:r w:rsidRPr="00BD544D" w:rsidR="00CE25E9">
        <w:rPr>
          <w:szCs w:val="22"/>
        </w:rPr>
        <w:t>ification</w:t>
      </w:r>
      <w:r w:rsidRPr="00BD544D" w:rsidR="00585031">
        <w:rPr>
          <w:szCs w:val="22"/>
        </w:rPr>
        <w:t xml:space="preserve"> application should receive first-in-time priority based on the time of day the application was filed, and concluded that </w:t>
      </w:r>
      <w:r w:rsidRPr="00BD544D" w:rsidR="006262A0">
        <w:rPr>
          <w:szCs w:val="22"/>
        </w:rPr>
        <w:t xml:space="preserve">first-come, first-served processing for </w:t>
      </w:r>
      <w:r w:rsidRPr="00BD544D" w:rsidR="00585031">
        <w:rPr>
          <w:szCs w:val="22"/>
        </w:rPr>
        <w:t>LPFM minor mod</w:t>
      </w:r>
      <w:r w:rsidRPr="00BD544D" w:rsidR="00CE25E9">
        <w:rPr>
          <w:szCs w:val="22"/>
        </w:rPr>
        <w:t>ification</w:t>
      </w:r>
      <w:r w:rsidRPr="00BD544D" w:rsidR="00585031">
        <w:rPr>
          <w:szCs w:val="22"/>
        </w:rPr>
        <w:t xml:space="preserve"> applications should follow the same </w:t>
      </w:r>
      <w:r w:rsidRPr="00BD544D" w:rsidR="004C53CF">
        <w:rPr>
          <w:szCs w:val="22"/>
        </w:rPr>
        <w:t xml:space="preserve">general </w:t>
      </w:r>
      <w:r w:rsidRPr="00BD544D" w:rsidR="00585031">
        <w:rPr>
          <w:szCs w:val="22"/>
        </w:rPr>
        <w:t>procedures used in the NCE and commercial FM services, under which conflicting minor mod</w:t>
      </w:r>
      <w:r w:rsidRPr="00BD544D" w:rsidR="00CE25E9">
        <w:rPr>
          <w:szCs w:val="22"/>
        </w:rPr>
        <w:t>ification</w:t>
      </w:r>
      <w:r w:rsidRPr="00BD544D" w:rsidR="00585031">
        <w:rPr>
          <w:szCs w:val="22"/>
        </w:rPr>
        <w:t xml:space="preserve"> applications filed on the same day are treated as simultaneously filed and thus mutually exclusive.</w:t>
      </w:r>
      <w:r>
        <w:rPr>
          <w:rStyle w:val="FootnoteReference"/>
          <w:sz w:val="22"/>
          <w:szCs w:val="22"/>
        </w:rPr>
        <w:footnoteReference w:id="50"/>
      </w:r>
      <w:r w:rsidRPr="00BD544D" w:rsidR="00585031">
        <w:rPr>
          <w:szCs w:val="22"/>
        </w:rPr>
        <w:t xml:space="preserve">  </w:t>
      </w:r>
      <w:r w:rsidRPr="00BD544D" w:rsidR="00E94E73">
        <w:rPr>
          <w:szCs w:val="22"/>
        </w:rPr>
        <w:t>In t</w:t>
      </w:r>
      <w:r w:rsidRPr="00BD544D" w:rsidR="00585031">
        <w:rPr>
          <w:szCs w:val="22"/>
        </w:rPr>
        <w:t xml:space="preserve">he </w:t>
      </w:r>
      <w:r w:rsidRPr="00BD544D" w:rsidR="00585031">
        <w:rPr>
          <w:i/>
          <w:iCs/>
          <w:szCs w:val="22"/>
        </w:rPr>
        <w:t>NPRM</w:t>
      </w:r>
      <w:r w:rsidRPr="00BD544D" w:rsidR="00E94E73">
        <w:rPr>
          <w:szCs w:val="22"/>
        </w:rPr>
        <w:t>, we</w:t>
      </w:r>
      <w:r w:rsidRPr="00BD544D" w:rsidR="00585031">
        <w:rPr>
          <w:szCs w:val="22"/>
        </w:rPr>
        <w:t xml:space="preserve"> </w:t>
      </w:r>
      <w:r w:rsidRPr="00BD544D" w:rsidR="00E72398">
        <w:rPr>
          <w:szCs w:val="22"/>
        </w:rPr>
        <w:t xml:space="preserve">proposed </w:t>
      </w:r>
      <w:r w:rsidRPr="00BD544D" w:rsidR="00585031">
        <w:rPr>
          <w:szCs w:val="22"/>
        </w:rPr>
        <w:t xml:space="preserve">to codify in the </w:t>
      </w:r>
      <w:r w:rsidRPr="00BD544D" w:rsidR="007933F3">
        <w:rPr>
          <w:szCs w:val="22"/>
        </w:rPr>
        <w:t>R</w:t>
      </w:r>
      <w:r w:rsidRPr="00BD544D" w:rsidR="00585031">
        <w:rPr>
          <w:szCs w:val="22"/>
        </w:rPr>
        <w:t>ules this existing interpretation of section 73.870(e) that</w:t>
      </w:r>
      <w:r w:rsidRPr="00BD544D" w:rsidR="00BD02D7">
        <w:rPr>
          <w:szCs w:val="22"/>
        </w:rPr>
        <w:t>,</w:t>
      </w:r>
      <w:r w:rsidRPr="00BD544D" w:rsidR="00AC77D3">
        <w:rPr>
          <w:szCs w:val="22"/>
        </w:rPr>
        <w:t xml:space="preserve"> where</w:t>
      </w:r>
      <w:r w:rsidRPr="00BD544D" w:rsidR="00585031">
        <w:rPr>
          <w:szCs w:val="22"/>
        </w:rPr>
        <w:t xml:space="preserve"> LPFM minor modification applications</w:t>
      </w:r>
      <w:r w:rsidRPr="00BD544D" w:rsidR="00AC77D3">
        <w:rPr>
          <w:szCs w:val="22"/>
        </w:rPr>
        <w:t xml:space="preserve"> are</w:t>
      </w:r>
      <w:r w:rsidRPr="00BD544D" w:rsidR="00585031">
        <w:rPr>
          <w:szCs w:val="22"/>
        </w:rPr>
        <w:t xml:space="preserve"> received on the same day</w:t>
      </w:r>
      <w:r w:rsidRPr="00BD544D" w:rsidR="00AC77D3">
        <w:rPr>
          <w:szCs w:val="22"/>
        </w:rPr>
        <w:t>, they</w:t>
      </w:r>
      <w:r w:rsidRPr="00BD544D" w:rsidR="00585031">
        <w:rPr>
          <w:szCs w:val="22"/>
        </w:rPr>
        <w:t xml:space="preserve"> will be treated as simultaneously filed and, if mutually exclusive, </w:t>
      </w:r>
      <w:r w:rsidRPr="00BD544D" w:rsidR="003C16DF">
        <w:rPr>
          <w:szCs w:val="22"/>
        </w:rPr>
        <w:t xml:space="preserve">the applicants will be </w:t>
      </w:r>
      <w:r w:rsidRPr="00BD544D" w:rsidR="00585031">
        <w:rPr>
          <w:szCs w:val="22"/>
        </w:rPr>
        <w:t>directed to use engineering solutions and good-faith negotiation to resolve their mutual exclusivity.</w:t>
      </w:r>
      <w:r>
        <w:rPr>
          <w:rStyle w:val="FootnoteReference"/>
          <w:sz w:val="22"/>
          <w:szCs w:val="22"/>
        </w:rPr>
        <w:footnoteReference w:id="51"/>
      </w:r>
      <w:r w:rsidRPr="00BD544D" w:rsidR="00585031">
        <w:rPr>
          <w:szCs w:val="22"/>
        </w:rPr>
        <w:t xml:space="preserve">  The proposed LPFM rule change </w:t>
      </w:r>
      <w:r w:rsidRPr="00BD544D" w:rsidR="00EE2C8D">
        <w:rPr>
          <w:szCs w:val="22"/>
        </w:rPr>
        <w:t xml:space="preserve">aimed </w:t>
      </w:r>
      <w:r w:rsidRPr="00BD544D" w:rsidR="00A73D9C">
        <w:rPr>
          <w:szCs w:val="22"/>
        </w:rPr>
        <w:t>to</w:t>
      </w:r>
      <w:r w:rsidRPr="00BD544D" w:rsidR="00585031">
        <w:rPr>
          <w:szCs w:val="22"/>
        </w:rPr>
        <w:t xml:space="preserve"> mirror the language </w:t>
      </w:r>
      <w:r w:rsidRPr="00BD544D" w:rsidR="007129DF">
        <w:rPr>
          <w:szCs w:val="22"/>
        </w:rPr>
        <w:t>for minor modifications of full service FM and FM translator stations.</w:t>
      </w:r>
      <w:r>
        <w:rPr>
          <w:rStyle w:val="FootnoteReference"/>
          <w:sz w:val="22"/>
          <w:szCs w:val="22"/>
        </w:rPr>
        <w:footnoteReference w:id="52"/>
      </w:r>
      <w:r w:rsidRPr="00BD544D" w:rsidR="00DB4905">
        <w:rPr>
          <w:szCs w:val="22"/>
        </w:rPr>
        <w:t xml:space="preserve">  </w:t>
      </w:r>
      <w:r w:rsidR="0059385E">
        <w:rPr>
          <w:szCs w:val="22"/>
        </w:rPr>
        <w:t xml:space="preserve">Upon consideration of the comments filed on this issue, we decline to adopt this proposal.  </w:t>
      </w:r>
    </w:p>
    <w:p w:rsidR="00CA68ED" w:rsidRPr="00BD544D" w:rsidP="00CA68ED" w14:paraId="017EB8E2" w14:textId="142B2E5B">
      <w:pPr>
        <w:pStyle w:val="ParaNum"/>
        <w:rPr>
          <w:szCs w:val="22"/>
        </w:rPr>
      </w:pPr>
      <w:r>
        <w:rPr>
          <w:szCs w:val="22"/>
        </w:rPr>
        <w:t xml:space="preserve">We received conflicting comments in response to the </w:t>
      </w:r>
      <w:r w:rsidRPr="00BB4AFE">
        <w:rPr>
          <w:i/>
          <w:iCs/>
          <w:szCs w:val="22"/>
        </w:rPr>
        <w:t>NPRM</w:t>
      </w:r>
      <w:r>
        <w:rPr>
          <w:szCs w:val="22"/>
        </w:rPr>
        <w:t xml:space="preserve">.  </w:t>
      </w:r>
      <w:r w:rsidRPr="00BD544D" w:rsidR="00277875">
        <w:rPr>
          <w:szCs w:val="22"/>
        </w:rPr>
        <w:t xml:space="preserve">While NAB agrees with </w:t>
      </w:r>
      <w:r w:rsidRPr="00BD544D" w:rsidR="00952E61">
        <w:rPr>
          <w:szCs w:val="22"/>
        </w:rPr>
        <w:t xml:space="preserve">the </w:t>
      </w:r>
      <w:r w:rsidRPr="00BD544D" w:rsidR="00952E61">
        <w:rPr>
          <w:i/>
          <w:iCs/>
          <w:szCs w:val="22"/>
        </w:rPr>
        <w:t>NPRM’s</w:t>
      </w:r>
      <w:r w:rsidRPr="00BD544D" w:rsidR="00952E61">
        <w:rPr>
          <w:szCs w:val="22"/>
        </w:rPr>
        <w:t xml:space="preserve"> </w:t>
      </w:r>
      <w:r w:rsidR="00833C34">
        <w:rPr>
          <w:szCs w:val="22"/>
        </w:rPr>
        <w:t xml:space="preserve">proposed </w:t>
      </w:r>
      <w:r w:rsidRPr="00BD544D" w:rsidR="001F13E6">
        <w:rPr>
          <w:szCs w:val="22"/>
        </w:rPr>
        <w:t>approach</w:t>
      </w:r>
      <w:r w:rsidR="00F97183">
        <w:rPr>
          <w:szCs w:val="22"/>
        </w:rPr>
        <w:t xml:space="preserve">, </w:t>
      </w:r>
      <w:r w:rsidR="00962BFB">
        <w:rPr>
          <w:szCs w:val="22"/>
        </w:rPr>
        <w:t>pointing out that it</w:t>
      </w:r>
      <w:r w:rsidR="00F97183">
        <w:rPr>
          <w:szCs w:val="22"/>
        </w:rPr>
        <w:t xml:space="preserve"> would make the processing rules consistent with </w:t>
      </w:r>
      <w:r w:rsidR="009254C2">
        <w:rPr>
          <w:szCs w:val="22"/>
        </w:rPr>
        <w:t>treatment of applications in other similar services</w:t>
      </w:r>
      <w:r w:rsidRPr="00BD544D" w:rsidR="007534BE">
        <w:rPr>
          <w:szCs w:val="22"/>
        </w:rPr>
        <w:t>, three other</w:t>
      </w:r>
      <w:r w:rsidRPr="00BD544D">
        <w:rPr>
          <w:szCs w:val="22"/>
        </w:rPr>
        <w:t xml:space="preserve"> commenters oppose </w:t>
      </w:r>
      <w:r w:rsidRPr="00BD544D" w:rsidR="001D3701">
        <w:rPr>
          <w:szCs w:val="22"/>
        </w:rPr>
        <w:t>the</w:t>
      </w:r>
      <w:r w:rsidRPr="00BD544D" w:rsidR="00952E61">
        <w:rPr>
          <w:szCs w:val="22"/>
        </w:rPr>
        <w:t xml:space="preserve"> </w:t>
      </w:r>
      <w:r w:rsidRPr="00BD544D" w:rsidR="00364FF4">
        <w:rPr>
          <w:szCs w:val="22"/>
        </w:rPr>
        <w:t>proposal</w:t>
      </w:r>
      <w:r w:rsidRPr="00BD544D">
        <w:rPr>
          <w:szCs w:val="22"/>
        </w:rPr>
        <w:t>.</w:t>
      </w:r>
      <w:r>
        <w:rPr>
          <w:rStyle w:val="FootnoteReference"/>
          <w:sz w:val="22"/>
          <w:szCs w:val="22"/>
        </w:rPr>
        <w:footnoteReference w:id="53"/>
      </w:r>
      <w:r w:rsidRPr="00BD544D">
        <w:rPr>
          <w:szCs w:val="22"/>
        </w:rPr>
        <w:t xml:space="preserve">  </w:t>
      </w:r>
      <w:r w:rsidR="00833C34">
        <w:rPr>
          <w:szCs w:val="22"/>
        </w:rPr>
        <w:t>Several</w:t>
      </w:r>
      <w:r w:rsidRPr="00BD544D" w:rsidR="00833C34">
        <w:rPr>
          <w:szCs w:val="22"/>
        </w:rPr>
        <w:t xml:space="preserve"> </w:t>
      </w:r>
      <w:r w:rsidRPr="00BD544D" w:rsidR="00B86758">
        <w:rPr>
          <w:szCs w:val="22"/>
        </w:rPr>
        <w:t xml:space="preserve">commenters suggest </w:t>
      </w:r>
      <w:r w:rsidRPr="00BD544D" w:rsidR="00842A7E">
        <w:rPr>
          <w:szCs w:val="22"/>
        </w:rPr>
        <w:t xml:space="preserve">that </w:t>
      </w:r>
      <w:r w:rsidR="00833C34">
        <w:rPr>
          <w:szCs w:val="22"/>
        </w:rPr>
        <w:t>we should move to a true first-come, first-served approach based on the exact time of day an application is received, since</w:t>
      </w:r>
      <w:r w:rsidRPr="00BD544D" w:rsidR="00833C34">
        <w:rPr>
          <w:szCs w:val="22"/>
        </w:rPr>
        <w:t xml:space="preserve"> </w:t>
      </w:r>
      <w:r w:rsidRPr="00BD544D" w:rsidR="009E64C3">
        <w:rPr>
          <w:szCs w:val="22"/>
        </w:rPr>
        <w:t xml:space="preserve">application </w:t>
      </w:r>
      <w:r w:rsidRPr="00BD544D" w:rsidR="00842A7E">
        <w:rPr>
          <w:szCs w:val="22"/>
        </w:rPr>
        <w:t xml:space="preserve">submission order can be determined using </w:t>
      </w:r>
      <w:r w:rsidRPr="00BD544D" w:rsidR="003D0976">
        <w:rPr>
          <w:szCs w:val="22"/>
        </w:rPr>
        <w:t>receipt</w:t>
      </w:r>
      <w:r w:rsidRPr="00BD544D" w:rsidR="00842A7E">
        <w:rPr>
          <w:szCs w:val="22"/>
        </w:rPr>
        <w:t xml:space="preserve"> time stamps, a technical capability </w:t>
      </w:r>
      <w:r w:rsidRPr="00BD544D" w:rsidR="009E64C3">
        <w:rPr>
          <w:szCs w:val="22"/>
        </w:rPr>
        <w:t xml:space="preserve">not previously available in CDBS but </w:t>
      </w:r>
      <w:r w:rsidRPr="00BD544D" w:rsidR="00842A7E">
        <w:rPr>
          <w:szCs w:val="22"/>
        </w:rPr>
        <w:t>now available in LMS.</w:t>
      </w:r>
      <w:r>
        <w:rPr>
          <w:rStyle w:val="FootnoteReference"/>
          <w:sz w:val="22"/>
          <w:szCs w:val="22"/>
        </w:rPr>
        <w:footnoteReference w:id="54"/>
      </w:r>
      <w:r w:rsidRPr="00BD544D" w:rsidR="00060DF9">
        <w:rPr>
          <w:szCs w:val="22"/>
        </w:rPr>
        <w:t xml:space="preserve">  </w:t>
      </w:r>
      <w:r w:rsidRPr="00BD544D" w:rsidR="00B56E90">
        <w:rPr>
          <w:szCs w:val="22"/>
        </w:rPr>
        <w:t xml:space="preserve">REC </w:t>
      </w:r>
      <w:r w:rsidR="00C90A11">
        <w:rPr>
          <w:szCs w:val="22"/>
        </w:rPr>
        <w:t>also</w:t>
      </w:r>
      <w:r w:rsidR="004F7671">
        <w:rPr>
          <w:szCs w:val="22"/>
        </w:rPr>
        <w:t xml:space="preserve"> </w:t>
      </w:r>
      <w:r w:rsidRPr="00BD544D" w:rsidR="00B56E90">
        <w:rPr>
          <w:szCs w:val="22"/>
        </w:rPr>
        <w:t>suggests</w:t>
      </w:r>
      <w:r w:rsidRPr="00BD544D" w:rsidR="004A29B8">
        <w:rPr>
          <w:szCs w:val="22"/>
        </w:rPr>
        <w:t xml:space="preserve"> </w:t>
      </w:r>
      <w:r w:rsidRPr="00BD544D" w:rsidR="00541685">
        <w:rPr>
          <w:szCs w:val="22"/>
        </w:rPr>
        <w:t xml:space="preserve">that we broaden the scope of </w:t>
      </w:r>
      <w:r w:rsidRPr="00BD544D" w:rsidR="00E85479">
        <w:rPr>
          <w:szCs w:val="22"/>
        </w:rPr>
        <w:t>commenters’</w:t>
      </w:r>
      <w:r w:rsidRPr="00BD544D" w:rsidR="00101BD2">
        <w:rPr>
          <w:szCs w:val="22"/>
        </w:rPr>
        <w:t xml:space="preserve"> </w:t>
      </w:r>
      <w:r w:rsidRPr="00BD544D" w:rsidR="00AE3221">
        <w:rPr>
          <w:szCs w:val="22"/>
        </w:rPr>
        <w:t xml:space="preserve">alternative </w:t>
      </w:r>
      <w:r w:rsidRPr="00BD544D" w:rsidR="00541685">
        <w:rPr>
          <w:szCs w:val="22"/>
        </w:rPr>
        <w:t xml:space="preserve">proposal to </w:t>
      </w:r>
      <w:r w:rsidRPr="00BD544D" w:rsidR="004E496F">
        <w:rPr>
          <w:szCs w:val="22"/>
        </w:rPr>
        <w:t xml:space="preserve">apply </w:t>
      </w:r>
      <w:r w:rsidRPr="00BD544D" w:rsidR="00324755">
        <w:rPr>
          <w:szCs w:val="22"/>
        </w:rPr>
        <w:t xml:space="preserve">a </w:t>
      </w:r>
      <w:r w:rsidRPr="00BD544D" w:rsidR="00E85479">
        <w:rPr>
          <w:szCs w:val="22"/>
        </w:rPr>
        <w:t>receipt</w:t>
      </w:r>
      <w:r w:rsidRPr="00BD544D" w:rsidR="00324755">
        <w:rPr>
          <w:szCs w:val="22"/>
        </w:rPr>
        <w:t xml:space="preserve"> time stamp approach to</w:t>
      </w:r>
      <w:r w:rsidRPr="00BD544D" w:rsidR="0026196B">
        <w:rPr>
          <w:szCs w:val="22"/>
        </w:rPr>
        <w:t xml:space="preserve"> all </w:t>
      </w:r>
      <w:r w:rsidRPr="00BD544D" w:rsidR="00B332A0">
        <w:rPr>
          <w:szCs w:val="22"/>
        </w:rPr>
        <w:t xml:space="preserve">other </w:t>
      </w:r>
      <w:r w:rsidRPr="00BD544D" w:rsidR="0026196B">
        <w:rPr>
          <w:szCs w:val="22"/>
        </w:rPr>
        <w:t>services</w:t>
      </w:r>
      <w:r w:rsidRPr="00BD544D" w:rsidR="00324755">
        <w:rPr>
          <w:szCs w:val="22"/>
        </w:rPr>
        <w:t xml:space="preserve">, rather than just LPFM </w:t>
      </w:r>
      <w:r w:rsidRPr="00BD544D" w:rsidR="00297BEE">
        <w:rPr>
          <w:szCs w:val="22"/>
        </w:rPr>
        <w:t xml:space="preserve">minor modification applications </w:t>
      </w:r>
      <w:r w:rsidRPr="00BD544D" w:rsidR="00E85479">
        <w:rPr>
          <w:szCs w:val="22"/>
        </w:rPr>
        <w:t>received</w:t>
      </w:r>
      <w:r w:rsidRPr="00BD544D" w:rsidR="00297BEE">
        <w:rPr>
          <w:szCs w:val="22"/>
        </w:rPr>
        <w:t xml:space="preserve"> on the same day.</w:t>
      </w:r>
      <w:r>
        <w:rPr>
          <w:rStyle w:val="FootnoteReference"/>
          <w:sz w:val="22"/>
          <w:szCs w:val="22"/>
        </w:rPr>
        <w:footnoteReference w:id="55"/>
      </w:r>
    </w:p>
    <w:p w:rsidR="00B32A97" w:rsidRPr="00125E46" w:rsidP="001F25F3" w14:paraId="628B64A9" w14:textId="6367EBA8">
      <w:pPr>
        <w:pStyle w:val="ParaNum"/>
        <w:rPr>
          <w:szCs w:val="22"/>
        </w:rPr>
      </w:pPr>
      <w:r w:rsidRPr="00BD544D">
        <w:rPr>
          <w:szCs w:val="22"/>
        </w:rPr>
        <w:t xml:space="preserve">The </w:t>
      </w:r>
      <w:r w:rsidRPr="00BD544D">
        <w:rPr>
          <w:i/>
          <w:iCs/>
          <w:szCs w:val="22"/>
        </w:rPr>
        <w:t>NPRM</w:t>
      </w:r>
      <w:r w:rsidRPr="00BD544D" w:rsidR="00745045">
        <w:rPr>
          <w:szCs w:val="22"/>
        </w:rPr>
        <w:t xml:space="preserve"> proposal narrowly </w:t>
      </w:r>
      <w:r w:rsidRPr="00BD544D" w:rsidR="002B48A2">
        <w:rPr>
          <w:szCs w:val="22"/>
        </w:rPr>
        <w:t>addressed</w:t>
      </w:r>
      <w:r w:rsidRPr="00BD544D" w:rsidR="008803DF">
        <w:rPr>
          <w:szCs w:val="22"/>
        </w:rPr>
        <w:t xml:space="preserve"> </w:t>
      </w:r>
      <w:r w:rsidRPr="00BD544D" w:rsidR="002B48A2">
        <w:rPr>
          <w:szCs w:val="22"/>
        </w:rPr>
        <w:t xml:space="preserve">the </w:t>
      </w:r>
      <w:r w:rsidRPr="00BD544D" w:rsidR="008803DF">
        <w:rPr>
          <w:szCs w:val="22"/>
        </w:rPr>
        <w:t xml:space="preserve">specific </w:t>
      </w:r>
      <w:r w:rsidRPr="00BD544D" w:rsidR="006F2601">
        <w:rPr>
          <w:szCs w:val="22"/>
        </w:rPr>
        <w:t>scenario</w:t>
      </w:r>
      <w:r w:rsidRPr="00BD544D" w:rsidR="008803DF">
        <w:rPr>
          <w:szCs w:val="22"/>
        </w:rPr>
        <w:t xml:space="preserve"> </w:t>
      </w:r>
      <w:r w:rsidRPr="00BD544D" w:rsidR="00E364FA">
        <w:rPr>
          <w:szCs w:val="22"/>
        </w:rPr>
        <w:t>where</w:t>
      </w:r>
      <w:r w:rsidRPr="00BD544D" w:rsidR="008803DF">
        <w:rPr>
          <w:szCs w:val="22"/>
        </w:rPr>
        <w:t xml:space="preserve"> minor modification applications</w:t>
      </w:r>
      <w:r w:rsidRPr="00BD544D" w:rsidR="00E364FA">
        <w:rPr>
          <w:szCs w:val="22"/>
        </w:rPr>
        <w:t xml:space="preserve"> in the LPFM service</w:t>
      </w:r>
      <w:r w:rsidRPr="00BD544D" w:rsidR="008803DF">
        <w:rPr>
          <w:szCs w:val="22"/>
        </w:rPr>
        <w:t xml:space="preserve"> </w:t>
      </w:r>
      <w:r w:rsidRPr="00BD544D" w:rsidR="002B48A2">
        <w:rPr>
          <w:szCs w:val="22"/>
        </w:rPr>
        <w:t>were</w:t>
      </w:r>
      <w:r w:rsidRPr="00BD544D" w:rsidR="008803DF">
        <w:rPr>
          <w:szCs w:val="22"/>
        </w:rPr>
        <w:t xml:space="preserve"> received on the same day</w:t>
      </w:r>
      <w:r w:rsidRPr="00BD544D" w:rsidR="0006131A">
        <w:rPr>
          <w:szCs w:val="22"/>
        </w:rPr>
        <w:t xml:space="preserve"> and thus treated as simultaneously filed</w:t>
      </w:r>
      <w:r w:rsidRPr="00BD544D" w:rsidR="00750837">
        <w:rPr>
          <w:szCs w:val="22"/>
        </w:rPr>
        <w:t xml:space="preserve"> </w:t>
      </w:r>
      <w:r w:rsidRPr="00BD544D" w:rsidR="0006131A">
        <w:rPr>
          <w:szCs w:val="22"/>
        </w:rPr>
        <w:t>(</w:t>
      </w:r>
      <w:r w:rsidRPr="00BD544D" w:rsidR="008803DF">
        <w:rPr>
          <w:szCs w:val="22"/>
        </w:rPr>
        <w:t xml:space="preserve">and, if </w:t>
      </w:r>
      <w:r w:rsidRPr="00125E46" w:rsidR="008803DF">
        <w:rPr>
          <w:szCs w:val="22"/>
        </w:rPr>
        <w:t>mutually exclusive, directed to use engineering solutions and good-faith negotiation to resolve their mutual exclusivity</w:t>
      </w:r>
      <w:r w:rsidRPr="00125E46" w:rsidR="0006131A">
        <w:rPr>
          <w:szCs w:val="22"/>
        </w:rPr>
        <w:t>)</w:t>
      </w:r>
      <w:r w:rsidRPr="00125E46" w:rsidR="008803DF">
        <w:rPr>
          <w:szCs w:val="22"/>
        </w:rPr>
        <w:t>.</w:t>
      </w:r>
      <w:r>
        <w:rPr>
          <w:rStyle w:val="FootnoteReference"/>
          <w:sz w:val="22"/>
          <w:szCs w:val="22"/>
        </w:rPr>
        <w:footnoteReference w:id="56"/>
      </w:r>
      <w:r w:rsidRPr="00125E46" w:rsidR="005075E2">
        <w:rPr>
          <w:szCs w:val="22"/>
        </w:rPr>
        <w:t xml:space="preserve">  </w:t>
      </w:r>
      <w:r w:rsidRPr="00125E46" w:rsidR="007135E5">
        <w:rPr>
          <w:szCs w:val="22"/>
        </w:rPr>
        <w:t xml:space="preserve">However, </w:t>
      </w:r>
      <w:r w:rsidRPr="00125E46" w:rsidR="005075E2">
        <w:rPr>
          <w:szCs w:val="22"/>
        </w:rPr>
        <w:t>RE</w:t>
      </w:r>
      <w:r w:rsidRPr="00125E46" w:rsidR="00F153DF">
        <w:rPr>
          <w:szCs w:val="22"/>
        </w:rPr>
        <w:t>C’s proposal t</w:t>
      </w:r>
      <w:r w:rsidRPr="00125E46" w:rsidR="00562754">
        <w:rPr>
          <w:szCs w:val="22"/>
        </w:rPr>
        <w:t>o</w:t>
      </w:r>
      <w:r w:rsidRPr="00125E46" w:rsidR="00F153DF">
        <w:rPr>
          <w:szCs w:val="22"/>
        </w:rPr>
        <w:t xml:space="preserve"> </w:t>
      </w:r>
      <w:r w:rsidRPr="00125E46" w:rsidR="00CC4786">
        <w:rPr>
          <w:szCs w:val="22"/>
        </w:rPr>
        <w:t>apply</w:t>
      </w:r>
      <w:r w:rsidRPr="00125E46" w:rsidR="00F153DF">
        <w:rPr>
          <w:szCs w:val="22"/>
        </w:rPr>
        <w:t xml:space="preserve"> </w:t>
      </w:r>
      <w:r w:rsidRPr="00125E46" w:rsidR="008759AB">
        <w:rPr>
          <w:szCs w:val="22"/>
        </w:rPr>
        <w:t>a</w:t>
      </w:r>
      <w:r w:rsidRPr="00125E46" w:rsidR="00F153DF">
        <w:rPr>
          <w:szCs w:val="22"/>
        </w:rPr>
        <w:t xml:space="preserve"> </w:t>
      </w:r>
      <w:r w:rsidRPr="00125E46" w:rsidR="00CA1325">
        <w:rPr>
          <w:szCs w:val="22"/>
        </w:rPr>
        <w:t xml:space="preserve">“first in time” </w:t>
      </w:r>
      <w:r w:rsidRPr="00125E46" w:rsidR="00E85479">
        <w:rPr>
          <w:szCs w:val="22"/>
        </w:rPr>
        <w:t>receipt</w:t>
      </w:r>
      <w:r w:rsidRPr="00125E46" w:rsidR="0010357D">
        <w:rPr>
          <w:szCs w:val="22"/>
        </w:rPr>
        <w:t xml:space="preserve"> </w:t>
      </w:r>
      <w:r w:rsidRPr="00125E46" w:rsidR="00F153DF">
        <w:rPr>
          <w:szCs w:val="22"/>
        </w:rPr>
        <w:t>time stamp approach not only to LPFM minor modification applications</w:t>
      </w:r>
      <w:r w:rsidRPr="00125E46" w:rsidR="00CA1325">
        <w:rPr>
          <w:szCs w:val="22"/>
        </w:rPr>
        <w:t xml:space="preserve"> received on the same day</w:t>
      </w:r>
      <w:r w:rsidRPr="00125E46" w:rsidR="00F153DF">
        <w:rPr>
          <w:szCs w:val="22"/>
        </w:rPr>
        <w:t>,</w:t>
      </w:r>
      <w:r w:rsidRPr="00125E46" w:rsidR="00250BF2">
        <w:rPr>
          <w:szCs w:val="22"/>
        </w:rPr>
        <w:t xml:space="preserve"> </w:t>
      </w:r>
      <w:r w:rsidRPr="00125E46" w:rsidR="00DE0B14">
        <w:rPr>
          <w:szCs w:val="22"/>
        </w:rPr>
        <w:t xml:space="preserve">but </w:t>
      </w:r>
      <w:r w:rsidRPr="00125E46" w:rsidR="00FA169E">
        <w:rPr>
          <w:szCs w:val="22"/>
        </w:rPr>
        <w:t xml:space="preserve">to </w:t>
      </w:r>
      <w:r w:rsidRPr="00125E46" w:rsidR="00CC1F6B">
        <w:rPr>
          <w:szCs w:val="22"/>
        </w:rPr>
        <w:t xml:space="preserve">extend it to </w:t>
      </w:r>
      <w:r w:rsidRPr="00125E46" w:rsidR="00250BF2">
        <w:rPr>
          <w:szCs w:val="22"/>
        </w:rPr>
        <w:t xml:space="preserve">other </w:t>
      </w:r>
      <w:r w:rsidRPr="00125E46" w:rsidR="00F153DF">
        <w:rPr>
          <w:szCs w:val="22"/>
        </w:rPr>
        <w:t>service</w:t>
      </w:r>
      <w:r w:rsidRPr="00125E46" w:rsidR="00593844">
        <w:rPr>
          <w:szCs w:val="22"/>
        </w:rPr>
        <w:t>s</w:t>
      </w:r>
      <w:r w:rsidRPr="00125E46" w:rsidR="00B82D8F">
        <w:rPr>
          <w:szCs w:val="22"/>
        </w:rPr>
        <w:t xml:space="preserve"> </w:t>
      </w:r>
      <w:r w:rsidRPr="00125E46" w:rsidR="005869F3">
        <w:rPr>
          <w:szCs w:val="22"/>
        </w:rPr>
        <w:t xml:space="preserve">may </w:t>
      </w:r>
      <w:r w:rsidRPr="00125E46" w:rsidR="00C160BC">
        <w:rPr>
          <w:szCs w:val="22"/>
        </w:rPr>
        <w:t xml:space="preserve">warrant consideration </w:t>
      </w:r>
      <w:r w:rsidRPr="00125E46" w:rsidR="00B82D8F">
        <w:rPr>
          <w:szCs w:val="22"/>
        </w:rPr>
        <w:t>in a future proceeding</w:t>
      </w:r>
      <w:r w:rsidRPr="00125E46" w:rsidR="008B75F0">
        <w:rPr>
          <w:szCs w:val="22"/>
        </w:rPr>
        <w:t xml:space="preserve"> that </w:t>
      </w:r>
      <w:r w:rsidRPr="00125E46" w:rsidR="007F5FE9">
        <w:rPr>
          <w:szCs w:val="22"/>
        </w:rPr>
        <w:t>takes into account not just LPFM but other broadcast services as well</w:t>
      </w:r>
      <w:r w:rsidRPr="00125E46" w:rsidR="00E007FA">
        <w:rPr>
          <w:szCs w:val="22"/>
        </w:rPr>
        <w:t xml:space="preserve">.  While this </w:t>
      </w:r>
      <w:r w:rsidRPr="00125E46" w:rsidR="00A0531A">
        <w:rPr>
          <w:szCs w:val="22"/>
        </w:rPr>
        <w:t xml:space="preserve">alternative </w:t>
      </w:r>
      <w:r w:rsidRPr="00125E46" w:rsidR="00E007FA">
        <w:rPr>
          <w:szCs w:val="22"/>
        </w:rPr>
        <w:t>proposal</w:t>
      </w:r>
      <w:r w:rsidRPr="00125E46" w:rsidR="002B48A2">
        <w:rPr>
          <w:szCs w:val="22"/>
        </w:rPr>
        <w:t xml:space="preserve"> </w:t>
      </w:r>
      <w:r w:rsidRPr="00125E46" w:rsidR="0010357D">
        <w:rPr>
          <w:szCs w:val="22"/>
        </w:rPr>
        <w:t xml:space="preserve">goes beyond the scope </w:t>
      </w:r>
      <w:r w:rsidRPr="00125E46" w:rsidR="003C0F90">
        <w:rPr>
          <w:szCs w:val="22"/>
        </w:rPr>
        <w:t>of</w:t>
      </w:r>
      <w:r w:rsidRPr="00125E46" w:rsidR="00BB5AFB">
        <w:rPr>
          <w:szCs w:val="22"/>
        </w:rPr>
        <w:t xml:space="preserve"> the </w:t>
      </w:r>
      <w:r w:rsidRPr="00125E46" w:rsidR="00A0531A">
        <w:rPr>
          <w:szCs w:val="22"/>
        </w:rPr>
        <w:t xml:space="preserve">specific </w:t>
      </w:r>
      <w:r w:rsidRPr="00125E46" w:rsidR="00E85479">
        <w:rPr>
          <w:szCs w:val="22"/>
        </w:rPr>
        <w:t xml:space="preserve">rule </w:t>
      </w:r>
      <w:r w:rsidRPr="00125E46" w:rsidR="00BB5AFB">
        <w:rPr>
          <w:szCs w:val="22"/>
        </w:rPr>
        <w:t xml:space="preserve">revisions </w:t>
      </w:r>
      <w:r w:rsidRPr="00125E46" w:rsidR="007E23DD">
        <w:rPr>
          <w:szCs w:val="22"/>
        </w:rPr>
        <w:t>posed</w:t>
      </w:r>
      <w:r w:rsidRPr="00125E46" w:rsidR="00BB5AFB">
        <w:rPr>
          <w:szCs w:val="22"/>
        </w:rPr>
        <w:t xml:space="preserve"> </w:t>
      </w:r>
      <w:r w:rsidRPr="00125E46" w:rsidR="00587C56">
        <w:rPr>
          <w:szCs w:val="22"/>
        </w:rPr>
        <w:t>here</w:t>
      </w:r>
      <w:r w:rsidRPr="00125E46" w:rsidR="00886A96">
        <w:rPr>
          <w:szCs w:val="22"/>
        </w:rPr>
        <w:t xml:space="preserve">, we </w:t>
      </w:r>
      <w:r w:rsidRPr="00125E46" w:rsidR="00B0460E">
        <w:rPr>
          <w:szCs w:val="22"/>
        </w:rPr>
        <w:t>may</w:t>
      </w:r>
      <w:r w:rsidRPr="00125E46" w:rsidR="00730677">
        <w:rPr>
          <w:szCs w:val="22"/>
        </w:rPr>
        <w:t xml:space="preserve"> consider </w:t>
      </w:r>
      <w:r w:rsidRPr="00125E46" w:rsidR="00FF0F02">
        <w:rPr>
          <w:szCs w:val="22"/>
        </w:rPr>
        <w:t>the</w:t>
      </w:r>
      <w:r w:rsidRPr="00125E46" w:rsidR="00730677">
        <w:rPr>
          <w:szCs w:val="22"/>
        </w:rPr>
        <w:t xml:space="preserve"> proposal in a </w:t>
      </w:r>
      <w:r w:rsidRPr="00125E46" w:rsidR="00587C56">
        <w:rPr>
          <w:szCs w:val="22"/>
        </w:rPr>
        <w:t>separate future</w:t>
      </w:r>
      <w:r w:rsidRPr="00125E46" w:rsidR="00730677">
        <w:rPr>
          <w:szCs w:val="22"/>
        </w:rPr>
        <w:t xml:space="preserve"> proceeding in which we can fully </w:t>
      </w:r>
      <w:r w:rsidRPr="00125E46" w:rsidR="00801C2B">
        <w:rPr>
          <w:szCs w:val="22"/>
        </w:rPr>
        <w:t xml:space="preserve">assess </w:t>
      </w:r>
      <w:r w:rsidRPr="00125E46" w:rsidR="00967903">
        <w:rPr>
          <w:szCs w:val="22"/>
        </w:rPr>
        <w:t>implementing time stamp receipt technology in the context of first</w:t>
      </w:r>
      <w:r w:rsidRPr="00125E46" w:rsidR="001F25F3">
        <w:rPr>
          <w:szCs w:val="22"/>
        </w:rPr>
        <w:t>-</w:t>
      </w:r>
      <w:r w:rsidRPr="00125E46" w:rsidR="007229F9">
        <w:rPr>
          <w:szCs w:val="22"/>
        </w:rPr>
        <w:t>come, first</w:t>
      </w:r>
      <w:r w:rsidRPr="00125E46" w:rsidR="001F25F3">
        <w:rPr>
          <w:szCs w:val="22"/>
        </w:rPr>
        <w:t>-</w:t>
      </w:r>
      <w:r w:rsidRPr="00125E46" w:rsidR="007229F9">
        <w:rPr>
          <w:szCs w:val="22"/>
        </w:rPr>
        <w:t xml:space="preserve">served </w:t>
      </w:r>
      <w:r w:rsidRPr="00125E46" w:rsidR="001F25F3">
        <w:rPr>
          <w:szCs w:val="22"/>
        </w:rPr>
        <w:t xml:space="preserve">procedures for minor modification applications, </w:t>
      </w:r>
      <w:r w:rsidRPr="00125E46" w:rsidR="007229F9">
        <w:rPr>
          <w:szCs w:val="22"/>
        </w:rPr>
        <w:t>not just for</w:t>
      </w:r>
      <w:r w:rsidRPr="00125E46" w:rsidR="0047320E">
        <w:rPr>
          <w:szCs w:val="22"/>
        </w:rPr>
        <w:t xml:space="preserve"> the</w:t>
      </w:r>
      <w:r w:rsidRPr="00125E46" w:rsidR="007229F9">
        <w:rPr>
          <w:szCs w:val="22"/>
        </w:rPr>
        <w:t xml:space="preserve"> LPFM service, but for all services going forward.</w:t>
      </w:r>
      <w:r w:rsidRPr="00125E46" w:rsidR="003C0F90">
        <w:rPr>
          <w:szCs w:val="22"/>
        </w:rPr>
        <w:t xml:space="preserve"> </w:t>
      </w:r>
      <w:r w:rsidRPr="00125E46" w:rsidR="001E1833">
        <w:rPr>
          <w:szCs w:val="22"/>
        </w:rPr>
        <w:t xml:space="preserve"> </w:t>
      </w:r>
      <w:r w:rsidRPr="00125E46" w:rsidR="00BD505D">
        <w:rPr>
          <w:szCs w:val="22"/>
        </w:rPr>
        <w:t xml:space="preserve">Therefore, </w:t>
      </w:r>
      <w:r w:rsidRPr="00125E46" w:rsidR="00494641">
        <w:rPr>
          <w:szCs w:val="22"/>
        </w:rPr>
        <w:t xml:space="preserve">we decline to </w:t>
      </w:r>
      <w:r w:rsidRPr="00125E46" w:rsidR="00E05D35">
        <w:rPr>
          <w:szCs w:val="22"/>
        </w:rPr>
        <w:t xml:space="preserve">codify in the Rules the Bureau’s existing interpretation of section 73.870(e) </w:t>
      </w:r>
      <w:r w:rsidRPr="00125E46" w:rsidR="00750837">
        <w:rPr>
          <w:szCs w:val="22"/>
        </w:rPr>
        <w:t>at this time</w:t>
      </w:r>
      <w:r w:rsidRPr="00125E46" w:rsidR="00D04F51">
        <w:rPr>
          <w:szCs w:val="22"/>
        </w:rPr>
        <w:t>,</w:t>
      </w:r>
      <w:r>
        <w:rPr>
          <w:rStyle w:val="FootnoteReference"/>
          <w:sz w:val="22"/>
          <w:szCs w:val="22"/>
        </w:rPr>
        <w:footnoteReference w:id="57"/>
      </w:r>
      <w:r w:rsidRPr="00125E46" w:rsidR="001F25F3">
        <w:rPr>
          <w:szCs w:val="22"/>
        </w:rPr>
        <w:t xml:space="preserve"> and the Bureau should continue to rely on existing precedent, as appropriate</w:t>
      </w:r>
      <w:r w:rsidRPr="00125E46" w:rsidR="0068573F">
        <w:rPr>
          <w:szCs w:val="22"/>
        </w:rPr>
        <w:t>, whereby LPFM minor modification applications received on the same day will be treated as simultaneously filed and, if mutually exclusive, directed to use engineering solutions and good-faith negotiation to resolve the mutual exclusivity</w:t>
      </w:r>
      <w:r w:rsidRPr="00125E46" w:rsidR="001F25F3">
        <w:rPr>
          <w:szCs w:val="22"/>
        </w:rPr>
        <w:t>.</w:t>
      </w:r>
      <w:r>
        <w:rPr>
          <w:rStyle w:val="FootnoteReference"/>
          <w:szCs w:val="22"/>
        </w:rPr>
        <w:footnoteReference w:id="58"/>
      </w:r>
    </w:p>
    <w:p w:rsidR="00E56955" w:rsidRPr="00BD544D" w:rsidP="004B6A66" w14:paraId="494F7D33" w14:textId="46B246B4">
      <w:pPr>
        <w:pStyle w:val="Heading2"/>
      </w:pPr>
      <w:r w:rsidRPr="00125E46">
        <w:t>Revisions to Section 73.807, Minimum</w:t>
      </w:r>
      <w:r w:rsidRPr="00BD544D">
        <w:t xml:space="preserve"> Distance Separation Between Stations</w:t>
      </w:r>
    </w:p>
    <w:p w:rsidR="00E41808" w:rsidRPr="00BD544D" w:rsidP="00E41808" w14:paraId="456F61FA" w14:textId="602A1CCC">
      <w:pPr>
        <w:pStyle w:val="Heading3"/>
        <w:rPr>
          <w:szCs w:val="22"/>
        </w:rPr>
      </w:pPr>
      <w:r w:rsidRPr="00BD544D">
        <w:rPr>
          <w:szCs w:val="22"/>
        </w:rPr>
        <w:t>Codification of Definition of the Term “Authorized” Station</w:t>
      </w:r>
    </w:p>
    <w:p w:rsidR="00E41808" w:rsidRPr="00BD544D" w:rsidP="002C462A" w14:paraId="6BF064C5" w14:textId="29D66503">
      <w:pPr>
        <w:pStyle w:val="ParaNum"/>
        <w:rPr>
          <w:szCs w:val="22"/>
        </w:rPr>
      </w:pPr>
      <w:r w:rsidRPr="00BD544D">
        <w:rPr>
          <w:szCs w:val="22"/>
        </w:rPr>
        <w:t xml:space="preserve"> </w:t>
      </w:r>
      <w:r w:rsidRPr="00BD544D" w:rsidR="00E23E03">
        <w:rPr>
          <w:szCs w:val="22"/>
        </w:rPr>
        <w:t xml:space="preserve">In the </w:t>
      </w:r>
      <w:r w:rsidRPr="00BD544D" w:rsidR="00E23E03">
        <w:rPr>
          <w:i/>
          <w:iCs/>
          <w:szCs w:val="22"/>
        </w:rPr>
        <w:t>NPRM</w:t>
      </w:r>
      <w:r w:rsidRPr="00BD544D" w:rsidR="00E23E03">
        <w:rPr>
          <w:szCs w:val="22"/>
        </w:rPr>
        <w:t>,</w:t>
      </w:r>
      <w:r w:rsidRPr="00BD544D" w:rsidR="00E23E03">
        <w:rPr>
          <w:i/>
          <w:iCs/>
          <w:szCs w:val="22"/>
        </w:rPr>
        <w:t xml:space="preserve"> </w:t>
      </w:r>
      <w:r w:rsidRPr="00BD544D" w:rsidR="00E23E03">
        <w:rPr>
          <w:szCs w:val="22"/>
        </w:rPr>
        <w:t>the Commission proposed to codify the long-standing interpretation of the term “authorized” station</w:t>
      </w:r>
      <w:r w:rsidRPr="00BD544D" w:rsidR="0083503F">
        <w:rPr>
          <w:szCs w:val="22"/>
        </w:rPr>
        <w:t>s</w:t>
      </w:r>
      <w:r w:rsidRPr="00BD544D" w:rsidR="00E23E03">
        <w:rPr>
          <w:szCs w:val="22"/>
        </w:rPr>
        <w:t xml:space="preserve"> in section 73.807 </w:t>
      </w:r>
      <w:r w:rsidRPr="00BD544D" w:rsidR="0083503F">
        <w:rPr>
          <w:szCs w:val="22"/>
        </w:rPr>
        <w:t xml:space="preserve">as </w:t>
      </w:r>
      <w:r w:rsidRPr="00BD544D" w:rsidR="00E23E03">
        <w:rPr>
          <w:szCs w:val="22"/>
        </w:rPr>
        <w:t>includ</w:t>
      </w:r>
      <w:r w:rsidRPr="00BD544D" w:rsidR="0083503F">
        <w:rPr>
          <w:szCs w:val="22"/>
        </w:rPr>
        <w:t>ing</w:t>
      </w:r>
      <w:r w:rsidRPr="00BD544D" w:rsidR="00E23E03">
        <w:rPr>
          <w:szCs w:val="22"/>
        </w:rPr>
        <w:t xml:space="preserve"> </w:t>
      </w:r>
      <w:r w:rsidRPr="00BD544D" w:rsidR="0083503F">
        <w:rPr>
          <w:szCs w:val="22"/>
        </w:rPr>
        <w:t xml:space="preserve">both licensed stations and/or granted </w:t>
      </w:r>
      <w:r w:rsidRPr="00BD544D" w:rsidR="00E23E03">
        <w:rPr>
          <w:szCs w:val="22"/>
        </w:rPr>
        <w:t>construction permits for FM, LPFM, and FM translator stations.</w:t>
      </w:r>
      <w:r>
        <w:rPr>
          <w:rStyle w:val="FootnoteReference"/>
          <w:sz w:val="22"/>
          <w:szCs w:val="22"/>
        </w:rPr>
        <w:footnoteReference w:id="59"/>
      </w:r>
      <w:r w:rsidRPr="00BD544D" w:rsidR="00E23E03">
        <w:rPr>
          <w:szCs w:val="22"/>
        </w:rPr>
        <w:t xml:space="preserve">  Commenters support this codification.  REC commented that according to </w:t>
      </w:r>
      <w:r w:rsidRPr="00BD544D" w:rsidR="000F2542">
        <w:rPr>
          <w:szCs w:val="22"/>
        </w:rPr>
        <w:t>its</w:t>
      </w:r>
      <w:r w:rsidRPr="00BD544D" w:rsidR="00E23E03">
        <w:rPr>
          <w:szCs w:val="22"/>
        </w:rPr>
        <w:t xml:space="preserve"> survey </w:t>
      </w:r>
      <w:r w:rsidRPr="00BD544D" w:rsidR="000F2542">
        <w:rPr>
          <w:szCs w:val="22"/>
        </w:rPr>
        <w:t xml:space="preserve">of small broadcast stations </w:t>
      </w:r>
      <w:r w:rsidRPr="00BD544D" w:rsidR="00E23E03">
        <w:rPr>
          <w:szCs w:val="22"/>
        </w:rPr>
        <w:t xml:space="preserve">conducted after release of the </w:t>
      </w:r>
      <w:r w:rsidRPr="00BD544D" w:rsidR="00E23E03">
        <w:rPr>
          <w:i/>
          <w:iCs/>
          <w:szCs w:val="22"/>
        </w:rPr>
        <w:t>NPRM</w:t>
      </w:r>
      <w:r w:rsidRPr="00BD544D" w:rsidR="00E23E03">
        <w:rPr>
          <w:szCs w:val="22"/>
        </w:rPr>
        <w:t>, 90.2% of REC’s constituents perceived this to be the interpretation of the term “authorized,” and 93% agree with the Commission’s position.</w:t>
      </w:r>
      <w:r>
        <w:rPr>
          <w:rStyle w:val="FootnoteReference"/>
          <w:sz w:val="22"/>
          <w:szCs w:val="22"/>
        </w:rPr>
        <w:footnoteReference w:id="60"/>
      </w:r>
      <w:r w:rsidRPr="00BD544D" w:rsidR="00E23E03">
        <w:rPr>
          <w:szCs w:val="22"/>
        </w:rPr>
        <w:t xml:space="preserve">  NAB also agrees that construction permits, as well as licenses, are deemed “authorizations” for LPFM applicants to protect.</w:t>
      </w:r>
      <w:r>
        <w:rPr>
          <w:rStyle w:val="FootnoteReference"/>
          <w:sz w:val="22"/>
          <w:szCs w:val="22"/>
        </w:rPr>
        <w:footnoteReference w:id="61"/>
      </w:r>
      <w:r w:rsidRPr="00BD544D" w:rsidR="00E23E03">
        <w:rPr>
          <w:szCs w:val="22"/>
        </w:rPr>
        <w:t xml:space="preserve">  Therefore, we codify in sections 73.807(a) and (c) of the Rules the existing interpretation of the term “authorized” stations as including both licensed stations and/or granted construction permits for FM, LPFM, and FM translator stations.</w:t>
      </w:r>
    </w:p>
    <w:p w:rsidR="00896AA3" w:rsidRPr="00BD544D" w:rsidP="00896AA3" w14:paraId="3F848D04" w14:textId="0C11DBDD">
      <w:pPr>
        <w:pStyle w:val="Heading3"/>
        <w:rPr>
          <w:szCs w:val="22"/>
        </w:rPr>
      </w:pPr>
      <w:r w:rsidRPr="00BD544D">
        <w:rPr>
          <w:szCs w:val="22"/>
        </w:rPr>
        <w:t>Prior-filed Application Protections</w:t>
      </w:r>
    </w:p>
    <w:p w:rsidR="002C462A" w:rsidRPr="00BD544D" w:rsidP="002C462A" w14:paraId="73F60194" w14:textId="7D97A07B">
      <w:pPr>
        <w:pStyle w:val="ParaNum"/>
        <w:rPr>
          <w:szCs w:val="22"/>
        </w:rPr>
      </w:pPr>
      <w:r w:rsidRPr="00BD544D">
        <w:rPr>
          <w:szCs w:val="22"/>
        </w:rPr>
        <w:t xml:space="preserve">The </w:t>
      </w:r>
      <w:r w:rsidRPr="00BD544D">
        <w:rPr>
          <w:i/>
          <w:iCs/>
          <w:szCs w:val="22"/>
        </w:rPr>
        <w:t>NPRM</w:t>
      </w:r>
      <w:r w:rsidRPr="00BD544D">
        <w:rPr>
          <w:szCs w:val="22"/>
        </w:rPr>
        <w:t xml:space="preserve"> propose</w:t>
      </w:r>
      <w:r w:rsidRPr="00BD544D" w:rsidR="003C2674">
        <w:rPr>
          <w:szCs w:val="22"/>
        </w:rPr>
        <w:t>d</w:t>
      </w:r>
      <w:r w:rsidRPr="00BD544D">
        <w:rPr>
          <w:szCs w:val="22"/>
        </w:rPr>
        <w:t xml:space="preserve"> to modify sections 73.807(a)(1) and 73.807(c) of the Rules to clarify that an LPFM applicant submitting an application in a filing window for a new construction permit or modification of an existing LPFM authorization must protect FM, LPFM, and FM translator applications submitted prior to </w:t>
      </w:r>
      <w:r w:rsidRPr="00BD544D" w:rsidR="00A84109">
        <w:rPr>
          <w:szCs w:val="22"/>
        </w:rPr>
        <w:t>the</w:t>
      </w:r>
      <w:r w:rsidRPr="00BD544D">
        <w:rPr>
          <w:szCs w:val="22"/>
        </w:rPr>
        <w:t xml:space="preserve"> public notice announcing the procedures for </w:t>
      </w:r>
      <w:r w:rsidRPr="00BD544D" w:rsidR="00A84109">
        <w:rPr>
          <w:szCs w:val="22"/>
        </w:rPr>
        <w:t>the</w:t>
      </w:r>
      <w:r w:rsidRPr="00BD544D">
        <w:rPr>
          <w:szCs w:val="22"/>
        </w:rPr>
        <w:t xml:space="preserve"> LPFM filing </w:t>
      </w:r>
      <w:r w:rsidRPr="00BD544D">
        <w:rPr>
          <w:szCs w:val="22"/>
        </w:rPr>
        <w:t>window.</w:t>
      </w:r>
      <w:r>
        <w:rPr>
          <w:rStyle w:val="FootnoteReference"/>
          <w:sz w:val="22"/>
          <w:szCs w:val="22"/>
        </w:rPr>
        <w:footnoteReference w:id="62"/>
      </w:r>
      <w:r w:rsidRPr="00BD544D">
        <w:rPr>
          <w:szCs w:val="22"/>
        </w:rPr>
        <w:t xml:space="preserve">  The </w:t>
      </w:r>
      <w:r w:rsidRPr="00BD544D">
        <w:rPr>
          <w:i/>
          <w:iCs/>
          <w:szCs w:val="22"/>
        </w:rPr>
        <w:t xml:space="preserve">NPRM </w:t>
      </w:r>
      <w:r w:rsidRPr="00BD544D">
        <w:rPr>
          <w:szCs w:val="22"/>
        </w:rPr>
        <w:t>also propose</w:t>
      </w:r>
      <w:r w:rsidRPr="00BD544D" w:rsidR="001263CE">
        <w:rPr>
          <w:szCs w:val="22"/>
        </w:rPr>
        <w:t>d</w:t>
      </w:r>
      <w:r w:rsidRPr="00BD544D">
        <w:rPr>
          <w:szCs w:val="22"/>
        </w:rPr>
        <w:t xml:space="preserve"> to remove the reference to “cutoff FM translator applications” as redundant and potentially confusing.</w:t>
      </w:r>
      <w:r>
        <w:rPr>
          <w:rStyle w:val="FootnoteReference"/>
          <w:sz w:val="22"/>
          <w:szCs w:val="22"/>
        </w:rPr>
        <w:footnoteReference w:id="63"/>
      </w:r>
      <w:r w:rsidRPr="00BD544D">
        <w:rPr>
          <w:szCs w:val="22"/>
        </w:rPr>
        <w:t xml:space="preserve">  </w:t>
      </w:r>
    </w:p>
    <w:p w:rsidR="002C462A" w:rsidRPr="00BD544D" w:rsidP="002C462A" w14:paraId="3FA77CBB" w14:textId="0D4B2A24">
      <w:pPr>
        <w:pStyle w:val="ParaNum"/>
        <w:rPr>
          <w:szCs w:val="22"/>
        </w:rPr>
      </w:pPr>
      <w:r w:rsidRPr="00BD544D">
        <w:rPr>
          <w:szCs w:val="22"/>
        </w:rPr>
        <w:t xml:space="preserve">Commenters generally support this proposal, with certain modifications.  REC </w:t>
      </w:r>
      <w:r w:rsidRPr="00BD544D" w:rsidR="00C30C0D">
        <w:rPr>
          <w:szCs w:val="22"/>
        </w:rPr>
        <w:t>states</w:t>
      </w:r>
      <w:r w:rsidRPr="00BD544D" w:rsidR="00C30C0D">
        <w:rPr>
          <w:szCs w:val="22"/>
        </w:rPr>
        <w:t xml:space="preserve"> </w:t>
      </w:r>
      <w:r w:rsidRPr="00BD544D">
        <w:rPr>
          <w:szCs w:val="22"/>
        </w:rPr>
        <w:t>that to avoid confusion in future application windows, there should only be one public notice released prior to the filing window.</w:t>
      </w:r>
      <w:r>
        <w:rPr>
          <w:rStyle w:val="FootnoteReference"/>
          <w:sz w:val="22"/>
          <w:szCs w:val="22"/>
        </w:rPr>
        <w:footnoteReference w:id="64"/>
      </w:r>
      <w:r w:rsidRPr="00BD544D">
        <w:rPr>
          <w:szCs w:val="22"/>
        </w:rPr>
        <w:t xml:space="preserve">  In </w:t>
      </w:r>
      <w:r w:rsidRPr="00BD544D" w:rsidR="001702FB">
        <w:rPr>
          <w:szCs w:val="22"/>
        </w:rPr>
        <w:t xml:space="preserve">the case of the </w:t>
      </w:r>
      <w:r w:rsidRPr="00BD544D">
        <w:rPr>
          <w:szCs w:val="22"/>
        </w:rPr>
        <w:t xml:space="preserve">2023 LPFM filing window, two public notices </w:t>
      </w:r>
      <w:r w:rsidRPr="00BD544D" w:rsidR="0011078A">
        <w:rPr>
          <w:szCs w:val="22"/>
        </w:rPr>
        <w:t xml:space="preserve">were </w:t>
      </w:r>
      <w:r w:rsidRPr="00BD544D">
        <w:rPr>
          <w:szCs w:val="22"/>
        </w:rPr>
        <w:t xml:space="preserve">released prior to the window.  The first </w:t>
      </w:r>
      <w:r w:rsidRPr="00BD544D" w:rsidR="00D90D88">
        <w:rPr>
          <w:szCs w:val="22"/>
        </w:rPr>
        <w:t xml:space="preserve">June 22, 2023 </w:t>
      </w:r>
      <w:r w:rsidRPr="00BD544D" w:rsidR="001702FB">
        <w:rPr>
          <w:szCs w:val="22"/>
        </w:rPr>
        <w:t xml:space="preserve">public notice </w:t>
      </w:r>
      <w:r w:rsidRPr="00BD544D">
        <w:rPr>
          <w:szCs w:val="22"/>
        </w:rPr>
        <w:t xml:space="preserve">simply announced </w:t>
      </w:r>
      <w:r w:rsidRPr="00BD544D" w:rsidR="001702FB">
        <w:rPr>
          <w:szCs w:val="22"/>
        </w:rPr>
        <w:t xml:space="preserve">the dates of the filing </w:t>
      </w:r>
      <w:r w:rsidRPr="00BD544D">
        <w:rPr>
          <w:szCs w:val="22"/>
        </w:rPr>
        <w:t>window</w:t>
      </w:r>
      <w:r w:rsidRPr="00BD544D" w:rsidR="0084449C">
        <w:rPr>
          <w:szCs w:val="22"/>
        </w:rPr>
        <w:t>,</w:t>
      </w:r>
      <w:r>
        <w:rPr>
          <w:rStyle w:val="FootnoteReference"/>
          <w:sz w:val="22"/>
          <w:szCs w:val="22"/>
        </w:rPr>
        <w:footnoteReference w:id="65"/>
      </w:r>
      <w:r w:rsidRPr="00BD544D">
        <w:rPr>
          <w:szCs w:val="22"/>
        </w:rPr>
        <w:t xml:space="preserve"> and the second </w:t>
      </w:r>
      <w:r w:rsidRPr="00BD544D" w:rsidR="001702FB">
        <w:rPr>
          <w:szCs w:val="22"/>
        </w:rPr>
        <w:t xml:space="preserve">more detailed </w:t>
      </w:r>
      <w:r w:rsidRPr="00BD544D" w:rsidR="00D90D88">
        <w:rPr>
          <w:szCs w:val="22"/>
        </w:rPr>
        <w:t xml:space="preserve">July 31, 2023 </w:t>
      </w:r>
      <w:r w:rsidRPr="00BD544D" w:rsidR="001702FB">
        <w:rPr>
          <w:szCs w:val="22"/>
        </w:rPr>
        <w:t xml:space="preserve">public notice </w:t>
      </w:r>
      <w:r w:rsidRPr="00BD544D">
        <w:rPr>
          <w:szCs w:val="22"/>
        </w:rPr>
        <w:t xml:space="preserve">announced all of the procedures </w:t>
      </w:r>
      <w:r w:rsidRPr="00BD544D" w:rsidR="003355F7">
        <w:rPr>
          <w:szCs w:val="22"/>
        </w:rPr>
        <w:t xml:space="preserve">and requirements </w:t>
      </w:r>
      <w:r w:rsidRPr="00BD544D">
        <w:rPr>
          <w:szCs w:val="22"/>
        </w:rPr>
        <w:t>for filing applications in the window.</w:t>
      </w:r>
      <w:r>
        <w:rPr>
          <w:rStyle w:val="FootnoteReference"/>
          <w:sz w:val="22"/>
          <w:szCs w:val="22"/>
        </w:rPr>
        <w:footnoteReference w:id="66"/>
      </w:r>
      <w:r w:rsidRPr="00BD544D">
        <w:rPr>
          <w:szCs w:val="22"/>
        </w:rPr>
        <w:t xml:space="preserve">  REC maintains that a single public notice should announce all relevant window information and filing procedures.</w:t>
      </w:r>
      <w:r>
        <w:rPr>
          <w:rStyle w:val="FootnoteReference"/>
          <w:sz w:val="22"/>
          <w:szCs w:val="22"/>
        </w:rPr>
        <w:footnoteReference w:id="67"/>
      </w:r>
      <w:r w:rsidRPr="00BD544D">
        <w:rPr>
          <w:szCs w:val="22"/>
        </w:rPr>
        <w:t xml:space="preserve">  NAB agrees that FM, LPFM, and FM translator applications filed prior to the public notice detailing the LPFM application filing window procedures must be protected, but a public notice that announces only an upcoming filing window should not trigger that protection.</w:t>
      </w:r>
      <w:r>
        <w:rPr>
          <w:rStyle w:val="FootnoteReference"/>
          <w:sz w:val="22"/>
          <w:szCs w:val="22"/>
        </w:rPr>
        <w:footnoteReference w:id="68"/>
      </w:r>
    </w:p>
    <w:p w:rsidR="00896AA3" w:rsidRPr="00BD544D" w:rsidP="002C462A" w14:paraId="53CE3E6D" w14:textId="04D7F771">
      <w:pPr>
        <w:pStyle w:val="ParaNum"/>
        <w:rPr>
          <w:szCs w:val="22"/>
        </w:rPr>
      </w:pPr>
      <w:r w:rsidRPr="00BD544D">
        <w:rPr>
          <w:szCs w:val="22"/>
        </w:rPr>
        <w:t xml:space="preserve">In order to safeguard the integrity of the filing window and the application filing process, the Bureau must retain </w:t>
      </w:r>
      <w:r w:rsidRPr="00BD544D" w:rsidR="00312CCB">
        <w:rPr>
          <w:szCs w:val="22"/>
        </w:rPr>
        <w:t>flexibility and discretion to issue multiple public notices</w:t>
      </w:r>
      <w:r w:rsidRPr="00BD544D" w:rsidR="009515DC">
        <w:rPr>
          <w:szCs w:val="22"/>
        </w:rPr>
        <w:t>,</w:t>
      </w:r>
      <w:r w:rsidRPr="00BD544D" w:rsidR="00312CCB">
        <w:rPr>
          <w:szCs w:val="22"/>
        </w:rPr>
        <w:t xml:space="preserve"> </w:t>
      </w:r>
      <w:r w:rsidRPr="00BD544D" w:rsidR="009508C6">
        <w:rPr>
          <w:szCs w:val="22"/>
        </w:rPr>
        <w:t>should</w:t>
      </w:r>
      <w:r w:rsidRPr="00BD544D" w:rsidR="00FC69D3">
        <w:rPr>
          <w:szCs w:val="22"/>
        </w:rPr>
        <w:t xml:space="preserve"> circumstances require.</w:t>
      </w:r>
      <w:r w:rsidRPr="00BD544D" w:rsidR="009E37A4">
        <w:rPr>
          <w:szCs w:val="22"/>
        </w:rPr>
        <w:t xml:space="preserve">  </w:t>
      </w:r>
      <w:r w:rsidRPr="00BD544D" w:rsidR="00AA7CDD">
        <w:rPr>
          <w:szCs w:val="22"/>
        </w:rPr>
        <w:t>More than one</w:t>
      </w:r>
      <w:r w:rsidRPr="00BD544D" w:rsidR="009E37A4">
        <w:rPr>
          <w:szCs w:val="22"/>
        </w:rPr>
        <w:t xml:space="preserve"> public notice may be </w:t>
      </w:r>
      <w:r w:rsidRPr="00BD544D" w:rsidR="005B3EB9">
        <w:rPr>
          <w:szCs w:val="22"/>
        </w:rPr>
        <w:t>necessary</w:t>
      </w:r>
      <w:r w:rsidRPr="00BD544D" w:rsidR="009E37A4">
        <w:rPr>
          <w:szCs w:val="22"/>
        </w:rPr>
        <w:t xml:space="preserve"> given </w:t>
      </w:r>
      <w:r w:rsidRPr="00BD544D" w:rsidR="00CF32A9">
        <w:rPr>
          <w:szCs w:val="22"/>
        </w:rPr>
        <w:t xml:space="preserve">the </w:t>
      </w:r>
      <w:r w:rsidRPr="00BD544D" w:rsidR="003808E1">
        <w:rPr>
          <w:szCs w:val="22"/>
        </w:rPr>
        <w:t>particularities of future application</w:t>
      </w:r>
      <w:r w:rsidRPr="00BD544D" w:rsidR="00AA7CDD">
        <w:rPr>
          <w:szCs w:val="22"/>
        </w:rPr>
        <w:t xml:space="preserve"> filing windows</w:t>
      </w:r>
      <w:r w:rsidRPr="00BD544D" w:rsidR="009508C6">
        <w:rPr>
          <w:szCs w:val="22"/>
        </w:rPr>
        <w:t>.</w:t>
      </w:r>
      <w:r w:rsidRPr="00BD544D" w:rsidR="00FC69D3">
        <w:rPr>
          <w:szCs w:val="22"/>
        </w:rPr>
        <w:t xml:space="preserve"> </w:t>
      </w:r>
      <w:r w:rsidRPr="00BD544D" w:rsidR="009508C6">
        <w:rPr>
          <w:szCs w:val="22"/>
        </w:rPr>
        <w:t xml:space="preserve"> </w:t>
      </w:r>
      <w:r w:rsidRPr="00BD544D" w:rsidR="002C462A">
        <w:rPr>
          <w:szCs w:val="22"/>
        </w:rPr>
        <w:t>Accordingly, we modify sections 73.807(a)(1) and 73.807(c) to state that FM, LPFM</w:t>
      </w:r>
      <w:r w:rsidR="007800CA">
        <w:rPr>
          <w:szCs w:val="22"/>
        </w:rPr>
        <w:t>,</w:t>
      </w:r>
      <w:r w:rsidRPr="00BD544D" w:rsidR="002C462A">
        <w:rPr>
          <w:szCs w:val="22"/>
        </w:rPr>
        <w:t xml:space="preserve"> and FM translator applications filed prior to the release of the public notice announcing the filing procedures that will apply to any upcoming LPFM application filing window must be protected under these rule sections.  </w:t>
      </w:r>
      <w:r w:rsidR="00AC23D0">
        <w:rPr>
          <w:szCs w:val="22"/>
        </w:rPr>
        <w:t>We</w:t>
      </w:r>
      <w:r w:rsidR="00AE4A84">
        <w:rPr>
          <w:szCs w:val="22"/>
        </w:rPr>
        <w:t xml:space="preserve"> </w:t>
      </w:r>
      <w:r w:rsidRPr="00BD544D" w:rsidR="002C462A">
        <w:rPr>
          <w:szCs w:val="22"/>
        </w:rPr>
        <w:t>clarif</w:t>
      </w:r>
      <w:r w:rsidR="00AC23D0">
        <w:rPr>
          <w:szCs w:val="22"/>
        </w:rPr>
        <w:t>y</w:t>
      </w:r>
      <w:r w:rsidRPr="00BD544D" w:rsidR="002C462A">
        <w:rPr>
          <w:szCs w:val="22"/>
        </w:rPr>
        <w:t xml:space="preserve"> that a public notice which simply announces an upcoming filing window would not terminate protection requirements for prior-filed applications under sections 73.807(a)(1) and 73.807(c).  </w:t>
      </w:r>
      <w:r w:rsidRPr="00BD544D" w:rsidR="00EF7C3B">
        <w:rPr>
          <w:szCs w:val="22"/>
        </w:rPr>
        <w:t>We also</w:t>
      </w:r>
      <w:r w:rsidRPr="00BD544D" w:rsidR="002C462A">
        <w:rPr>
          <w:szCs w:val="22"/>
        </w:rPr>
        <w:t xml:space="preserve"> remove the </w:t>
      </w:r>
      <w:r w:rsidRPr="00BD544D" w:rsidR="000429EB">
        <w:rPr>
          <w:szCs w:val="22"/>
        </w:rPr>
        <w:t xml:space="preserve">potentially confusing </w:t>
      </w:r>
      <w:r w:rsidRPr="00BD544D" w:rsidR="002C462A">
        <w:rPr>
          <w:szCs w:val="22"/>
        </w:rPr>
        <w:t>reference to “cutoff FM translator applications”</w:t>
      </w:r>
      <w:r w:rsidRPr="00BD544D" w:rsidR="00AE2C2D">
        <w:rPr>
          <w:szCs w:val="22"/>
        </w:rPr>
        <w:t xml:space="preserve"> </w:t>
      </w:r>
      <w:r w:rsidRPr="00BD544D" w:rsidR="000429EB">
        <w:rPr>
          <w:szCs w:val="22"/>
        </w:rPr>
        <w:t xml:space="preserve">in 73.807(c), </w:t>
      </w:r>
      <w:r w:rsidRPr="00BD544D" w:rsidR="00EF7C3B">
        <w:rPr>
          <w:szCs w:val="22"/>
        </w:rPr>
        <w:t xml:space="preserve">as commenters did not oppose this </w:t>
      </w:r>
      <w:r w:rsidRPr="00BD544D" w:rsidR="00463710">
        <w:rPr>
          <w:szCs w:val="22"/>
        </w:rPr>
        <w:t>proposed change</w:t>
      </w:r>
      <w:r w:rsidRPr="00BD544D" w:rsidR="00EF7C3B">
        <w:rPr>
          <w:szCs w:val="22"/>
        </w:rPr>
        <w:t>.</w:t>
      </w:r>
      <w:r>
        <w:rPr>
          <w:rStyle w:val="FootnoteReference"/>
          <w:sz w:val="22"/>
          <w:szCs w:val="22"/>
        </w:rPr>
        <w:footnoteReference w:id="69"/>
      </w:r>
    </w:p>
    <w:p w:rsidR="00896AA3" w:rsidRPr="00BD544D" w:rsidP="004B6A66" w14:paraId="3880EA32" w14:textId="6BAA2F42">
      <w:pPr>
        <w:pStyle w:val="Heading2"/>
      </w:pPr>
      <w:r w:rsidRPr="00BD544D">
        <w:t>Revise the Signature Rule</w:t>
      </w:r>
    </w:p>
    <w:p w:rsidR="002520F8" w:rsidRPr="00BD544D" w:rsidP="004B6A66" w14:paraId="27E30718" w14:textId="5CF7265D">
      <w:pPr>
        <w:pStyle w:val="ParaNum"/>
        <w:widowControl/>
        <w:rPr>
          <w:szCs w:val="22"/>
        </w:rPr>
      </w:pPr>
      <w:r w:rsidRPr="00BD544D">
        <w:rPr>
          <w:szCs w:val="22"/>
        </w:rPr>
        <w:t xml:space="preserve">In the </w:t>
      </w:r>
      <w:r w:rsidRPr="00BD544D">
        <w:rPr>
          <w:i/>
          <w:iCs/>
          <w:szCs w:val="22"/>
        </w:rPr>
        <w:t>NPRM</w:t>
      </w:r>
      <w:r w:rsidRPr="00BD544D">
        <w:rPr>
          <w:szCs w:val="22"/>
        </w:rPr>
        <w:t xml:space="preserve">, the Commission proposed to:  </w:t>
      </w:r>
      <w:r w:rsidRPr="00BD544D" w:rsidR="00772270">
        <w:rPr>
          <w:szCs w:val="22"/>
        </w:rPr>
        <w:t>(</w:t>
      </w:r>
      <w:r w:rsidRPr="00BD544D">
        <w:rPr>
          <w:szCs w:val="22"/>
        </w:rPr>
        <w:t xml:space="preserve">1) codify the existing interpretation of the Signature Rule (section 73.3513), applicable to all broadcast services, that “directors” of corporations may sign applications; </w:t>
      </w:r>
      <w:r w:rsidRPr="00BD544D" w:rsidR="00772270">
        <w:rPr>
          <w:szCs w:val="22"/>
        </w:rPr>
        <w:t>(</w:t>
      </w:r>
      <w:r w:rsidRPr="00BD544D">
        <w:rPr>
          <w:szCs w:val="22"/>
        </w:rPr>
        <w:t xml:space="preserve">2) expand the definition of who may sign an application on behalf of a corporation, a partnership, and an unincorporated association, to include a “duly authorized employee;” and </w:t>
      </w:r>
      <w:r w:rsidRPr="00BD544D" w:rsidR="00772270">
        <w:rPr>
          <w:szCs w:val="22"/>
        </w:rPr>
        <w:t>(</w:t>
      </w:r>
      <w:r w:rsidRPr="00BD544D">
        <w:rPr>
          <w:szCs w:val="22"/>
        </w:rPr>
        <w:t>3) clarify that the term “signed,” for applications submitted in LMS, includes an electronic signature.</w:t>
      </w:r>
      <w:r>
        <w:rPr>
          <w:rStyle w:val="FootnoteReference"/>
          <w:sz w:val="22"/>
          <w:szCs w:val="22"/>
        </w:rPr>
        <w:footnoteReference w:id="70"/>
      </w:r>
      <w:r w:rsidRPr="00BD544D">
        <w:rPr>
          <w:szCs w:val="22"/>
        </w:rPr>
        <w:t xml:space="preserve">  </w:t>
      </w:r>
    </w:p>
    <w:p w:rsidR="00DD21BE" w:rsidRPr="00BD544D" w:rsidP="00C31913" w14:paraId="53126F5F" w14:textId="2505558C">
      <w:pPr>
        <w:pStyle w:val="ParaNum"/>
        <w:rPr>
          <w:szCs w:val="22"/>
        </w:rPr>
      </w:pPr>
      <w:r w:rsidRPr="00BD544D">
        <w:rPr>
          <w:szCs w:val="22"/>
        </w:rPr>
        <w:t xml:space="preserve">First, we </w:t>
      </w:r>
      <w:r w:rsidRPr="00BD544D" w:rsidR="00AA6E55">
        <w:rPr>
          <w:szCs w:val="22"/>
        </w:rPr>
        <w:t xml:space="preserve">amend section 73.3513 to </w:t>
      </w:r>
      <w:r w:rsidRPr="00BD544D">
        <w:rPr>
          <w:szCs w:val="22"/>
        </w:rPr>
        <w:t>codify the existing interpretation of the Signature Rule that directors of corporations may sign applications.  Prometheus, REC, and Common Frequency all support this addition, and no commenter oppose</w:t>
      </w:r>
      <w:r w:rsidRPr="00BD544D" w:rsidR="00505332">
        <w:rPr>
          <w:szCs w:val="22"/>
        </w:rPr>
        <w:t>s</w:t>
      </w:r>
      <w:r w:rsidRPr="00BD544D">
        <w:rPr>
          <w:szCs w:val="22"/>
        </w:rPr>
        <w:t xml:space="preserve"> it.</w:t>
      </w:r>
      <w:r>
        <w:rPr>
          <w:rStyle w:val="FootnoteReference"/>
          <w:sz w:val="22"/>
          <w:szCs w:val="22"/>
        </w:rPr>
        <w:footnoteReference w:id="71"/>
      </w:r>
      <w:r w:rsidRPr="00BD544D">
        <w:rPr>
          <w:szCs w:val="22"/>
        </w:rPr>
        <w:t xml:space="preserve">  Accordingly, we adopt the change as proposed in the </w:t>
      </w:r>
      <w:r w:rsidRPr="00BD544D">
        <w:rPr>
          <w:i/>
          <w:iCs/>
          <w:szCs w:val="22"/>
        </w:rPr>
        <w:t>NPRM</w:t>
      </w:r>
      <w:r w:rsidRPr="00BD544D">
        <w:rPr>
          <w:szCs w:val="22"/>
        </w:rPr>
        <w:t xml:space="preserve">.  </w:t>
      </w:r>
      <w:r w:rsidRPr="00BD544D" w:rsidR="00C7058A">
        <w:rPr>
          <w:szCs w:val="22"/>
        </w:rPr>
        <w:t>Next, w</w:t>
      </w:r>
      <w:r w:rsidRPr="00BD544D">
        <w:rPr>
          <w:szCs w:val="22"/>
        </w:rPr>
        <w:t xml:space="preserve">e clarify that the term “signed,” for applications submitted in LMS, includes an electronic signature.  No commenter opposed this proposal, and we therefore adopt this </w:t>
      </w:r>
      <w:r w:rsidRPr="00BD544D" w:rsidR="00AA6E55">
        <w:rPr>
          <w:szCs w:val="22"/>
        </w:rPr>
        <w:t xml:space="preserve">additional </w:t>
      </w:r>
      <w:r w:rsidRPr="00BD544D">
        <w:rPr>
          <w:szCs w:val="22"/>
        </w:rPr>
        <w:t>modification</w:t>
      </w:r>
      <w:r w:rsidRPr="00BD544D" w:rsidR="00AA6E55">
        <w:rPr>
          <w:szCs w:val="22"/>
        </w:rPr>
        <w:t xml:space="preserve"> to section 73.3513</w:t>
      </w:r>
      <w:r w:rsidRPr="00BD544D">
        <w:rPr>
          <w:szCs w:val="22"/>
        </w:rPr>
        <w:t>.</w:t>
      </w:r>
      <w:r w:rsidRPr="00BD544D" w:rsidR="00777DB2">
        <w:rPr>
          <w:szCs w:val="22"/>
        </w:rPr>
        <w:t xml:space="preserve">  </w:t>
      </w:r>
    </w:p>
    <w:p w:rsidR="00653DFF" w:rsidRPr="00BD544D" w:rsidP="002520F8" w14:paraId="2234A6DB" w14:textId="57240C24">
      <w:pPr>
        <w:pStyle w:val="ParaNum"/>
        <w:rPr>
          <w:szCs w:val="22"/>
        </w:rPr>
      </w:pPr>
      <w:r w:rsidRPr="00BD544D">
        <w:rPr>
          <w:szCs w:val="22"/>
        </w:rPr>
        <w:t>T</w:t>
      </w:r>
      <w:r w:rsidRPr="00BD544D" w:rsidR="00AA6E55">
        <w:rPr>
          <w:szCs w:val="22"/>
        </w:rPr>
        <w:t xml:space="preserve">he </w:t>
      </w:r>
      <w:r w:rsidRPr="00BD544D" w:rsidR="00AA6E55">
        <w:rPr>
          <w:i/>
          <w:iCs/>
          <w:szCs w:val="22"/>
        </w:rPr>
        <w:t>NPRM</w:t>
      </w:r>
      <w:r w:rsidRPr="00BD544D">
        <w:rPr>
          <w:szCs w:val="22"/>
        </w:rPr>
        <w:t xml:space="preserve"> </w:t>
      </w:r>
      <w:r w:rsidRPr="00BD544D" w:rsidR="00BA6B58">
        <w:rPr>
          <w:szCs w:val="22"/>
        </w:rPr>
        <w:t xml:space="preserve">also proposed </w:t>
      </w:r>
      <w:r w:rsidRPr="00BD544D" w:rsidR="002520F8">
        <w:rPr>
          <w:szCs w:val="22"/>
        </w:rPr>
        <w:t>to expand the Signature Rule to permit a corporation, partnership, or unincorporated association to designate a “duly authorized employee,” to sign applications or amendments on its behalf</w:t>
      </w:r>
      <w:r w:rsidRPr="00BD544D" w:rsidR="00BA6B58">
        <w:rPr>
          <w:szCs w:val="22"/>
        </w:rPr>
        <w:t xml:space="preserve"> rather than continuing to require a signature from a</w:t>
      </w:r>
      <w:r w:rsidRPr="00BD544D" w:rsidR="00E74241">
        <w:rPr>
          <w:szCs w:val="22"/>
        </w:rPr>
        <w:t>n</w:t>
      </w:r>
      <w:r w:rsidRPr="00BD544D" w:rsidR="00BA6B58">
        <w:rPr>
          <w:szCs w:val="22"/>
        </w:rPr>
        <w:t xml:space="preserve"> </w:t>
      </w:r>
      <w:r w:rsidRPr="00BD544D" w:rsidR="00856BBB">
        <w:rPr>
          <w:szCs w:val="22"/>
        </w:rPr>
        <w:t>officer</w:t>
      </w:r>
      <w:r w:rsidRPr="00BD544D" w:rsidR="002520F8">
        <w:rPr>
          <w:szCs w:val="22"/>
        </w:rPr>
        <w:t>.</w:t>
      </w:r>
      <w:r w:rsidRPr="00BD544D" w:rsidR="00BA6B58">
        <w:rPr>
          <w:szCs w:val="22"/>
        </w:rPr>
        <w:t xml:space="preserve">  Prometheus, Public Broadcasters, and Common Frequency support </w:t>
      </w:r>
      <w:r w:rsidRPr="00BD544D" w:rsidR="00952E61">
        <w:rPr>
          <w:szCs w:val="22"/>
        </w:rPr>
        <w:t xml:space="preserve">the </w:t>
      </w:r>
      <w:r w:rsidRPr="00BD544D" w:rsidR="00BA6B58">
        <w:rPr>
          <w:szCs w:val="22"/>
        </w:rPr>
        <w:t>proposal</w:t>
      </w:r>
      <w:r w:rsidRPr="00BD544D" w:rsidR="00636408">
        <w:rPr>
          <w:szCs w:val="22"/>
        </w:rPr>
        <w:t>.</w:t>
      </w:r>
      <w:r>
        <w:rPr>
          <w:rStyle w:val="FootnoteReference"/>
          <w:sz w:val="22"/>
          <w:szCs w:val="22"/>
        </w:rPr>
        <w:footnoteReference w:id="72"/>
      </w:r>
      <w:r w:rsidRPr="00BD544D" w:rsidR="002520F8">
        <w:rPr>
          <w:szCs w:val="22"/>
        </w:rPr>
        <w:t xml:space="preserve"> </w:t>
      </w:r>
      <w:r w:rsidRPr="00BD544D" w:rsidR="00C7058A">
        <w:rPr>
          <w:szCs w:val="22"/>
        </w:rPr>
        <w:t xml:space="preserve"> </w:t>
      </w:r>
      <w:r w:rsidRPr="00BD544D" w:rsidR="00C8077C">
        <w:rPr>
          <w:szCs w:val="22"/>
        </w:rPr>
        <w:t>Prometheus and Public Broadcasters also make additional suggestions to expand flexibility.</w:t>
      </w:r>
      <w:r>
        <w:rPr>
          <w:rStyle w:val="FootnoteReference"/>
          <w:szCs w:val="22"/>
        </w:rPr>
        <w:footnoteReference w:id="73"/>
      </w:r>
      <w:r w:rsidRPr="00BD544D" w:rsidR="00C8077C">
        <w:rPr>
          <w:szCs w:val="22"/>
        </w:rPr>
        <w:t xml:space="preserve"> </w:t>
      </w:r>
      <w:r w:rsidR="00F5780B">
        <w:rPr>
          <w:szCs w:val="22"/>
        </w:rPr>
        <w:t xml:space="preserve"> </w:t>
      </w:r>
      <w:r w:rsidRPr="00BD544D" w:rsidR="00C7058A">
        <w:rPr>
          <w:szCs w:val="22"/>
        </w:rPr>
        <w:t xml:space="preserve">REC </w:t>
      </w:r>
      <w:r w:rsidRPr="00BD544D" w:rsidR="00C8077C">
        <w:rPr>
          <w:szCs w:val="22"/>
        </w:rPr>
        <w:t>supports the change only in a limited circumstance.</w:t>
      </w:r>
      <w:r>
        <w:rPr>
          <w:rStyle w:val="FootnoteReference"/>
          <w:szCs w:val="22"/>
        </w:rPr>
        <w:footnoteReference w:id="74"/>
      </w:r>
    </w:p>
    <w:p w:rsidR="002520F8" w:rsidRPr="00BD544D" w:rsidP="004B6A66" w14:paraId="071FCC60" w14:textId="2B432941">
      <w:pPr>
        <w:pStyle w:val="ParaNum"/>
        <w:widowControl/>
        <w:rPr>
          <w:szCs w:val="22"/>
        </w:rPr>
      </w:pPr>
      <w:r w:rsidRPr="00BD544D">
        <w:rPr>
          <w:szCs w:val="22"/>
        </w:rPr>
        <w:t xml:space="preserve">Prometheus agrees that the current rule </w:t>
      </w:r>
      <w:r w:rsidRPr="00BD544D" w:rsidR="006C30AB">
        <w:rPr>
          <w:szCs w:val="22"/>
        </w:rPr>
        <w:t xml:space="preserve">leads to far too many otherwise </w:t>
      </w:r>
      <w:r w:rsidRPr="00BD544D">
        <w:rPr>
          <w:szCs w:val="22"/>
        </w:rPr>
        <w:t xml:space="preserve">qualified </w:t>
      </w:r>
      <w:r w:rsidRPr="00BD544D" w:rsidR="006C30AB">
        <w:rPr>
          <w:szCs w:val="22"/>
        </w:rPr>
        <w:t xml:space="preserve"> organizations</w:t>
      </w:r>
      <w:r w:rsidRPr="00BD544D">
        <w:rPr>
          <w:szCs w:val="22"/>
        </w:rPr>
        <w:t xml:space="preserve"> </w:t>
      </w:r>
      <w:r w:rsidRPr="00BD544D" w:rsidR="006C30AB">
        <w:rPr>
          <w:szCs w:val="22"/>
        </w:rPr>
        <w:t>having applications dismissed</w:t>
      </w:r>
      <w:r w:rsidRPr="00BD544D">
        <w:rPr>
          <w:szCs w:val="22"/>
        </w:rPr>
        <w:t xml:space="preserve"> without </w:t>
      </w:r>
      <w:r w:rsidRPr="00BD544D" w:rsidR="00BA6B58">
        <w:rPr>
          <w:szCs w:val="22"/>
        </w:rPr>
        <w:t xml:space="preserve">an </w:t>
      </w:r>
      <w:r w:rsidRPr="00BD544D">
        <w:rPr>
          <w:szCs w:val="22"/>
        </w:rPr>
        <w:t>opportunity to amend</w:t>
      </w:r>
      <w:r w:rsidRPr="00BD544D" w:rsidR="004619A5">
        <w:rPr>
          <w:szCs w:val="22"/>
        </w:rPr>
        <w:t>.</w:t>
      </w:r>
      <w:r>
        <w:rPr>
          <w:rStyle w:val="FootnoteReference"/>
          <w:sz w:val="22"/>
          <w:szCs w:val="22"/>
        </w:rPr>
        <w:footnoteReference w:id="75"/>
      </w:r>
      <w:r w:rsidRPr="00BD544D">
        <w:rPr>
          <w:szCs w:val="22"/>
        </w:rPr>
        <w:t xml:space="preserve"> </w:t>
      </w:r>
      <w:r w:rsidRPr="00BD544D" w:rsidR="009D5663">
        <w:rPr>
          <w:szCs w:val="22"/>
        </w:rPr>
        <w:t xml:space="preserve"> </w:t>
      </w:r>
      <w:r w:rsidRPr="00BD544D" w:rsidR="00D510EF">
        <w:rPr>
          <w:szCs w:val="22"/>
        </w:rPr>
        <w:t>In conjunction with its endorsement of expanding the Signature Rule and allowing “duly authorized employees” to sign applications, Prometheus encourages the Commission to define the term broadly to “include the part-time, contract, and volunteer roles often held by nonprofit professionals in corporations, associations, and other civic and religious organizations.”</w:t>
      </w:r>
      <w:r>
        <w:rPr>
          <w:rStyle w:val="FootnoteReference"/>
          <w:sz w:val="22"/>
          <w:szCs w:val="22"/>
        </w:rPr>
        <w:footnoteReference w:id="76"/>
      </w:r>
      <w:r w:rsidRPr="00BD544D" w:rsidR="004619A5">
        <w:rPr>
          <w:szCs w:val="22"/>
        </w:rPr>
        <w:t xml:space="preserve">  </w:t>
      </w:r>
      <w:r w:rsidRPr="00BD544D" w:rsidR="0049396A">
        <w:rPr>
          <w:szCs w:val="22"/>
        </w:rPr>
        <w:t xml:space="preserve">Prometheus </w:t>
      </w:r>
      <w:r w:rsidRPr="00BD544D" w:rsidR="0024524A">
        <w:rPr>
          <w:szCs w:val="22"/>
        </w:rPr>
        <w:t xml:space="preserve">advises </w:t>
      </w:r>
      <w:r w:rsidRPr="00BD544D" w:rsidR="0049396A">
        <w:rPr>
          <w:szCs w:val="22"/>
        </w:rPr>
        <w:t xml:space="preserve">that cooperatively-owned businesses may not have </w:t>
      </w:r>
      <w:r w:rsidRPr="00BD544D" w:rsidR="007F0C51">
        <w:rPr>
          <w:szCs w:val="22"/>
        </w:rPr>
        <w:t>“</w:t>
      </w:r>
      <w:r w:rsidRPr="00BD544D" w:rsidR="0049396A">
        <w:rPr>
          <w:szCs w:val="22"/>
        </w:rPr>
        <w:t>employees</w:t>
      </w:r>
      <w:r w:rsidRPr="00BD544D" w:rsidR="007F0C51">
        <w:rPr>
          <w:szCs w:val="22"/>
        </w:rPr>
        <w:t>;”</w:t>
      </w:r>
      <w:r w:rsidRPr="00BD544D" w:rsidR="0049396A">
        <w:rPr>
          <w:szCs w:val="22"/>
        </w:rPr>
        <w:t xml:space="preserve"> </w:t>
      </w:r>
      <w:r w:rsidRPr="00BD544D" w:rsidR="007F0C51">
        <w:rPr>
          <w:szCs w:val="22"/>
        </w:rPr>
        <w:t>m</w:t>
      </w:r>
      <w:r w:rsidRPr="00BD544D" w:rsidR="0049396A">
        <w:rPr>
          <w:szCs w:val="22"/>
        </w:rPr>
        <w:t>embership nonprofit corporations</w:t>
      </w:r>
      <w:r w:rsidRPr="00BD544D" w:rsidR="007F0C51">
        <w:rPr>
          <w:szCs w:val="22"/>
        </w:rPr>
        <w:t>, for example,</w:t>
      </w:r>
      <w:r w:rsidRPr="00BD544D" w:rsidR="0049396A">
        <w:rPr>
          <w:szCs w:val="22"/>
        </w:rPr>
        <w:t xml:space="preserve"> may have tens or hundreds of members with duties and rights.  </w:t>
      </w:r>
      <w:r w:rsidRPr="00BD544D" w:rsidR="00515C3E">
        <w:rPr>
          <w:szCs w:val="22"/>
        </w:rPr>
        <w:t>Given the extensive variation of corporate structures</w:t>
      </w:r>
      <w:r w:rsidRPr="00BD544D" w:rsidR="00963D5D">
        <w:rPr>
          <w:szCs w:val="22"/>
        </w:rPr>
        <w:t xml:space="preserve"> and the “murky meaning of ‘employee</w:t>
      </w:r>
      <w:r w:rsidRPr="00BD544D" w:rsidR="00574E78">
        <w:rPr>
          <w:szCs w:val="22"/>
        </w:rPr>
        <w:t>,</w:t>
      </w:r>
      <w:r w:rsidRPr="00BD544D" w:rsidR="00963D5D">
        <w:rPr>
          <w:szCs w:val="22"/>
        </w:rPr>
        <w:t>’” Prometheus suggests</w:t>
      </w:r>
      <w:r w:rsidRPr="00BD544D" w:rsidR="00E91C71">
        <w:rPr>
          <w:szCs w:val="22"/>
        </w:rPr>
        <w:t xml:space="preserve"> that a more appropriate term may be</w:t>
      </w:r>
      <w:r w:rsidRPr="00BD544D" w:rsidR="007F0C51">
        <w:rPr>
          <w:szCs w:val="22"/>
        </w:rPr>
        <w:t xml:space="preserve"> </w:t>
      </w:r>
      <w:r w:rsidRPr="00BD544D" w:rsidR="00180C88">
        <w:rPr>
          <w:szCs w:val="22"/>
        </w:rPr>
        <w:t>“duly authorized representative</w:t>
      </w:r>
      <w:r w:rsidRPr="00BD544D" w:rsidR="00E91C71">
        <w:rPr>
          <w:szCs w:val="22"/>
        </w:rPr>
        <w:t>,</w:t>
      </w:r>
      <w:r w:rsidRPr="00BD544D" w:rsidR="00180C88">
        <w:rPr>
          <w:szCs w:val="22"/>
        </w:rPr>
        <w:t>” in order to cover a broader range of employees.</w:t>
      </w:r>
      <w:r>
        <w:rPr>
          <w:rStyle w:val="FootnoteReference"/>
          <w:sz w:val="22"/>
          <w:szCs w:val="22"/>
        </w:rPr>
        <w:footnoteReference w:id="77"/>
      </w:r>
      <w:r w:rsidRPr="00BD544D" w:rsidR="00600905">
        <w:rPr>
          <w:szCs w:val="22"/>
        </w:rPr>
        <w:t xml:space="preserve"> </w:t>
      </w:r>
      <w:r w:rsidRPr="00BD544D" w:rsidR="00CD528D">
        <w:rPr>
          <w:szCs w:val="22"/>
        </w:rPr>
        <w:t xml:space="preserve"> </w:t>
      </w:r>
      <w:r w:rsidRPr="00BD544D" w:rsidR="00B50F66">
        <w:rPr>
          <w:szCs w:val="22"/>
        </w:rPr>
        <w:t xml:space="preserve">Common Frequency also agrees with the option to designate a “duly authorized employee” </w:t>
      </w:r>
      <w:r w:rsidRPr="00BD544D" w:rsidR="001776D7">
        <w:rPr>
          <w:szCs w:val="22"/>
        </w:rPr>
        <w:t xml:space="preserve">to sign applications or amendments, </w:t>
      </w:r>
      <w:r w:rsidRPr="00BD544D" w:rsidR="00B50F66">
        <w:rPr>
          <w:szCs w:val="22"/>
        </w:rPr>
        <w:t xml:space="preserve">and </w:t>
      </w:r>
      <w:r w:rsidRPr="00BD544D" w:rsidR="001776D7">
        <w:rPr>
          <w:szCs w:val="22"/>
        </w:rPr>
        <w:t xml:space="preserve">contends </w:t>
      </w:r>
      <w:r w:rsidRPr="00BD544D" w:rsidR="00B50F66">
        <w:rPr>
          <w:szCs w:val="22"/>
        </w:rPr>
        <w:t xml:space="preserve">that any employee of </w:t>
      </w:r>
      <w:r w:rsidRPr="00BD544D" w:rsidR="001776D7">
        <w:rPr>
          <w:szCs w:val="22"/>
        </w:rPr>
        <w:t>the</w:t>
      </w:r>
      <w:r w:rsidRPr="00BD544D" w:rsidR="00B50F66">
        <w:rPr>
          <w:szCs w:val="22"/>
        </w:rPr>
        <w:t xml:space="preserve"> organization, </w:t>
      </w:r>
      <w:r w:rsidRPr="00BD544D" w:rsidR="00194FD1">
        <w:rPr>
          <w:szCs w:val="22"/>
        </w:rPr>
        <w:t xml:space="preserve">or in the case of volunteer </w:t>
      </w:r>
      <w:r w:rsidRPr="00BD544D" w:rsidR="00B50F66">
        <w:rPr>
          <w:szCs w:val="22"/>
        </w:rPr>
        <w:t>nonprofit</w:t>
      </w:r>
      <w:r w:rsidRPr="00BD544D" w:rsidR="00194FD1">
        <w:rPr>
          <w:szCs w:val="22"/>
        </w:rPr>
        <w:t>s</w:t>
      </w:r>
      <w:r w:rsidRPr="00BD544D" w:rsidR="00B50F66">
        <w:rPr>
          <w:szCs w:val="22"/>
        </w:rPr>
        <w:t xml:space="preserve">, any person at </w:t>
      </w:r>
      <w:r w:rsidRPr="00BD544D" w:rsidR="00194FD1">
        <w:rPr>
          <w:szCs w:val="22"/>
        </w:rPr>
        <w:t>the</w:t>
      </w:r>
      <w:r w:rsidRPr="00BD544D" w:rsidR="00B50F66">
        <w:rPr>
          <w:szCs w:val="22"/>
        </w:rPr>
        <w:t xml:space="preserve"> nonprofit </w:t>
      </w:r>
      <w:r w:rsidRPr="00BD544D" w:rsidR="00B50F66">
        <w:rPr>
          <w:szCs w:val="22"/>
        </w:rPr>
        <w:t>with a position title, i.e. “</w:t>
      </w:r>
      <w:r w:rsidRPr="00BD544D" w:rsidR="00194FD1">
        <w:rPr>
          <w:szCs w:val="22"/>
        </w:rPr>
        <w:t xml:space="preserve">Executive </w:t>
      </w:r>
      <w:r w:rsidRPr="00BD544D" w:rsidR="00B50F66">
        <w:rPr>
          <w:szCs w:val="22"/>
        </w:rPr>
        <w:t>Director” or “Pastor,” should have authority to sign and file an application.</w:t>
      </w:r>
      <w:r>
        <w:rPr>
          <w:rStyle w:val="FootnoteReference"/>
          <w:sz w:val="22"/>
          <w:szCs w:val="22"/>
        </w:rPr>
        <w:footnoteReference w:id="78"/>
      </w:r>
      <w:r w:rsidRPr="00BD544D" w:rsidR="00B50F66">
        <w:rPr>
          <w:szCs w:val="22"/>
        </w:rPr>
        <w:t xml:space="preserve">  </w:t>
      </w:r>
    </w:p>
    <w:p w:rsidR="002520F8" w:rsidRPr="00BD544D" w:rsidP="002520F8" w14:paraId="69F03652" w14:textId="6FF22F0F">
      <w:pPr>
        <w:pStyle w:val="ParaNum"/>
        <w:rPr>
          <w:szCs w:val="22"/>
        </w:rPr>
      </w:pPr>
      <w:r w:rsidRPr="00BD544D">
        <w:rPr>
          <w:szCs w:val="22"/>
        </w:rPr>
        <w:t>Public Broadcasters likewise supports the proposal to allow duly authorized employee signatures</w:t>
      </w:r>
      <w:r w:rsidRPr="00BD544D" w:rsidR="007317A5">
        <w:rPr>
          <w:szCs w:val="22"/>
        </w:rPr>
        <w:t xml:space="preserve"> and certifications</w:t>
      </w:r>
      <w:r w:rsidRPr="00BD544D">
        <w:rPr>
          <w:szCs w:val="22"/>
        </w:rPr>
        <w:t xml:space="preserve">, but requests extension of this flexibility to </w:t>
      </w:r>
      <w:r w:rsidRPr="00BD544D" w:rsidR="00E60B27">
        <w:rPr>
          <w:szCs w:val="22"/>
        </w:rPr>
        <w:t xml:space="preserve">allow duly authorized employees of </w:t>
      </w:r>
      <w:r w:rsidRPr="00BD544D">
        <w:rPr>
          <w:szCs w:val="22"/>
        </w:rPr>
        <w:t>governmental entities</w:t>
      </w:r>
      <w:r w:rsidRPr="00BD544D" w:rsidR="00E60B27">
        <w:rPr>
          <w:szCs w:val="22"/>
        </w:rPr>
        <w:t xml:space="preserve"> to sign Commission applications</w:t>
      </w:r>
      <w:r w:rsidRPr="00BD544D">
        <w:rPr>
          <w:szCs w:val="22"/>
        </w:rPr>
        <w:t>.</w:t>
      </w:r>
      <w:r>
        <w:rPr>
          <w:rStyle w:val="FootnoteReference"/>
          <w:sz w:val="22"/>
          <w:szCs w:val="22"/>
        </w:rPr>
        <w:footnoteReference w:id="79"/>
      </w:r>
      <w:r w:rsidRPr="00BD544D">
        <w:rPr>
          <w:szCs w:val="22"/>
        </w:rPr>
        <w:t xml:space="preserve">  Public Broadcasters argues that a literal reading of the Signature Rule regarding governmental entit</w:t>
      </w:r>
      <w:r w:rsidRPr="00BD544D" w:rsidR="00E32011">
        <w:rPr>
          <w:szCs w:val="22"/>
        </w:rPr>
        <w:t>y applicants</w:t>
      </w:r>
      <w:r w:rsidRPr="00BD544D">
        <w:rPr>
          <w:szCs w:val="22"/>
        </w:rPr>
        <w:t xml:space="preserve"> limits signatories to </w:t>
      </w:r>
      <w:r w:rsidRPr="00BD544D" w:rsidR="00E32011">
        <w:rPr>
          <w:szCs w:val="22"/>
        </w:rPr>
        <w:t xml:space="preserve">elected or </w:t>
      </w:r>
      <w:r w:rsidRPr="00BD544D">
        <w:rPr>
          <w:szCs w:val="22"/>
        </w:rPr>
        <w:t>appointed government “officials”</w:t>
      </w:r>
      <w:r w:rsidR="00E94E37">
        <w:rPr>
          <w:szCs w:val="22"/>
        </w:rPr>
        <w:t>—</w:t>
      </w:r>
      <w:r w:rsidRPr="00BD544D" w:rsidR="00E32011">
        <w:rPr>
          <w:szCs w:val="22"/>
        </w:rPr>
        <w:t xml:space="preserve">positions </w:t>
      </w:r>
      <w:r w:rsidRPr="00BD544D">
        <w:rPr>
          <w:szCs w:val="22"/>
        </w:rPr>
        <w:t xml:space="preserve">held at </w:t>
      </w:r>
      <w:r w:rsidRPr="00BD544D" w:rsidR="00E32011">
        <w:rPr>
          <w:szCs w:val="22"/>
        </w:rPr>
        <w:t xml:space="preserve">the </w:t>
      </w:r>
      <w:r w:rsidRPr="00BD544D">
        <w:rPr>
          <w:szCs w:val="22"/>
        </w:rPr>
        <w:t>high</w:t>
      </w:r>
      <w:r w:rsidRPr="00BD544D" w:rsidR="00E32011">
        <w:rPr>
          <w:szCs w:val="22"/>
        </w:rPr>
        <w:t>est</w:t>
      </w:r>
      <w:r w:rsidRPr="00BD544D">
        <w:rPr>
          <w:szCs w:val="22"/>
        </w:rPr>
        <w:t xml:space="preserve"> levels of large organizations, which makes compliance with the Signature Rule burdensome.</w:t>
      </w:r>
      <w:r>
        <w:rPr>
          <w:rStyle w:val="FootnoteReference"/>
          <w:sz w:val="22"/>
          <w:szCs w:val="22"/>
        </w:rPr>
        <w:footnoteReference w:id="80"/>
      </w:r>
      <w:r w:rsidRPr="00BD544D">
        <w:rPr>
          <w:szCs w:val="22"/>
        </w:rPr>
        <w:t xml:space="preserve">  </w:t>
      </w:r>
      <w:r w:rsidRPr="00BD544D" w:rsidR="00C7058A">
        <w:rPr>
          <w:szCs w:val="22"/>
        </w:rPr>
        <w:t xml:space="preserve">According to </w:t>
      </w:r>
      <w:r w:rsidRPr="00BD544D" w:rsidR="00EC0B30">
        <w:rPr>
          <w:szCs w:val="22"/>
        </w:rPr>
        <w:t>Public Broadcasters</w:t>
      </w:r>
      <w:r w:rsidRPr="00BD544D" w:rsidR="00C7058A">
        <w:rPr>
          <w:szCs w:val="22"/>
        </w:rPr>
        <w:t xml:space="preserve">, </w:t>
      </w:r>
      <w:r w:rsidRPr="00BD544D" w:rsidR="00EC0B30">
        <w:rPr>
          <w:szCs w:val="22"/>
        </w:rPr>
        <w:t xml:space="preserve">the Commission has never </w:t>
      </w:r>
      <w:r w:rsidRPr="00BD544D" w:rsidR="00222F7A">
        <w:rPr>
          <w:szCs w:val="22"/>
        </w:rPr>
        <w:t>“</w:t>
      </w:r>
      <w:r w:rsidRPr="00BD544D" w:rsidR="00EC0B30">
        <w:rPr>
          <w:szCs w:val="22"/>
        </w:rPr>
        <w:t>articulated the parameters of a governmental entity’s ability to ‘duly appoint’ FCC signatories</w:t>
      </w:r>
      <w:r w:rsidRPr="00BD544D" w:rsidR="00222F7A">
        <w:rPr>
          <w:szCs w:val="22"/>
        </w:rPr>
        <w:t>.</w:t>
      </w:r>
      <w:r w:rsidRPr="00BD544D" w:rsidR="00EC0B30">
        <w:rPr>
          <w:szCs w:val="22"/>
        </w:rPr>
        <w:t xml:space="preserve"> </w:t>
      </w:r>
      <w:r w:rsidRPr="00BD544D" w:rsidR="00222F7A">
        <w:rPr>
          <w:szCs w:val="22"/>
        </w:rPr>
        <w:t xml:space="preserve"> Thus </w:t>
      </w:r>
      <w:r w:rsidRPr="00BD544D" w:rsidR="00EC0B30">
        <w:rPr>
          <w:szCs w:val="22"/>
        </w:rPr>
        <w:t>it is not clear whether there are any restrictions on which employee(s) can be given FCC signature authority . . . .”</w:t>
      </w:r>
      <w:r>
        <w:rPr>
          <w:rStyle w:val="FootnoteReference"/>
          <w:sz w:val="22"/>
          <w:szCs w:val="22"/>
        </w:rPr>
        <w:footnoteReference w:id="81"/>
      </w:r>
      <w:r w:rsidRPr="00BD544D" w:rsidR="00EC0B30">
        <w:rPr>
          <w:szCs w:val="22"/>
        </w:rPr>
        <w:t xml:space="preserve">  </w:t>
      </w:r>
      <w:r w:rsidRPr="00BD544D">
        <w:rPr>
          <w:szCs w:val="22"/>
        </w:rPr>
        <w:t>Public Broadcasters therefore requests that the Signature Rule also be revised to allow signature by a duly authorized employee for a governmental entity.</w:t>
      </w:r>
      <w:r>
        <w:rPr>
          <w:rStyle w:val="FootnoteReference"/>
          <w:sz w:val="22"/>
          <w:szCs w:val="22"/>
        </w:rPr>
        <w:footnoteReference w:id="82"/>
      </w:r>
      <w:r w:rsidRPr="00BD544D">
        <w:rPr>
          <w:szCs w:val="22"/>
        </w:rPr>
        <w:t xml:space="preserve">  REC counters that governmental entities are not the intended subject of this proceeding, and in any event, the term “official” in the current Signature Rule is broad enough to include employees appointed as application signatories.</w:t>
      </w:r>
      <w:r>
        <w:rPr>
          <w:rStyle w:val="FootnoteReference"/>
          <w:sz w:val="22"/>
          <w:szCs w:val="22"/>
        </w:rPr>
        <w:footnoteReference w:id="83"/>
      </w:r>
    </w:p>
    <w:p w:rsidR="000F7D70" w:rsidRPr="00BD544D" w:rsidP="002520F8" w14:paraId="52E2C998" w14:textId="6EA26706">
      <w:pPr>
        <w:pStyle w:val="ParaNum"/>
        <w:rPr>
          <w:szCs w:val="22"/>
        </w:rPr>
      </w:pPr>
      <w:r w:rsidRPr="00BD544D">
        <w:rPr>
          <w:szCs w:val="22"/>
        </w:rPr>
        <w:t>REC</w:t>
      </w:r>
      <w:r w:rsidRPr="00BD544D" w:rsidR="00C8077C">
        <w:rPr>
          <w:szCs w:val="22"/>
        </w:rPr>
        <w:t xml:space="preserve"> </w:t>
      </w:r>
      <w:r w:rsidRPr="00BD544D" w:rsidR="009B7C2B">
        <w:rPr>
          <w:szCs w:val="22"/>
        </w:rPr>
        <w:t xml:space="preserve">also </w:t>
      </w:r>
      <w:r w:rsidRPr="00BD544D" w:rsidR="00C8077C">
        <w:rPr>
          <w:szCs w:val="22"/>
        </w:rPr>
        <w:t xml:space="preserve">does not </w:t>
      </w:r>
      <w:r w:rsidRPr="00BD544D" w:rsidR="009B7C2B">
        <w:rPr>
          <w:szCs w:val="22"/>
        </w:rPr>
        <w:t xml:space="preserve">generally </w:t>
      </w:r>
      <w:r w:rsidRPr="00BD544D" w:rsidR="00C8077C">
        <w:rPr>
          <w:szCs w:val="22"/>
        </w:rPr>
        <w:t xml:space="preserve">support </w:t>
      </w:r>
      <w:r w:rsidRPr="00BD544D" w:rsidR="009B7C2B">
        <w:rPr>
          <w:szCs w:val="22"/>
        </w:rPr>
        <w:t>expanding the definition of who may sign an application</w:t>
      </w:r>
      <w:r w:rsidRPr="00BD544D" w:rsidR="00C8077C">
        <w:rPr>
          <w:szCs w:val="22"/>
        </w:rPr>
        <w:t xml:space="preserve">.  It </w:t>
      </w:r>
      <w:r w:rsidRPr="00BD544D">
        <w:rPr>
          <w:szCs w:val="22"/>
        </w:rPr>
        <w:t>states that the Commission must approach this issue from a public interest standpoint that maintains the integrity of the meaning of the signature on the application and the accountability that goes with it, in order to prevent abuse of process, which “we saw a lot of during the 2013 LPFM Window.</w:t>
      </w:r>
      <w:r w:rsidR="00630FC5">
        <w:rPr>
          <w:szCs w:val="22"/>
        </w:rPr>
        <w:t>”</w:t>
      </w:r>
      <w:r>
        <w:rPr>
          <w:rStyle w:val="FootnoteReference"/>
          <w:sz w:val="22"/>
          <w:szCs w:val="22"/>
        </w:rPr>
        <w:footnoteReference w:id="84"/>
      </w:r>
      <w:r w:rsidRPr="00BD544D">
        <w:rPr>
          <w:szCs w:val="22"/>
        </w:rPr>
        <w:t xml:space="preserve">  </w:t>
      </w:r>
      <w:r w:rsidRPr="00BD544D" w:rsidR="002520F8">
        <w:rPr>
          <w:szCs w:val="22"/>
        </w:rPr>
        <w:t xml:space="preserve">REC counters that, </w:t>
      </w:r>
      <w:r w:rsidRPr="00BD544D" w:rsidR="002B44F0">
        <w:rPr>
          <w:szCs w:val="22"/>
        </w:rPr>
        <w:t xml:space="preserve">for the integrity of the application, the applicant’s </w:t>
      </w:r>
      <w:r w:rsidRPr="00BD544D" w:rsidR="00DF6ADD">
        <w:rPr>
          <w:szCs w:val="22"/>
        </w:rPr>
        <w:t>organization and the</w:t>
      </w:r>
      <w:r w:rsidRPr="00BD544D" w:rsidR="00F451E5">
        <w:rPr>
          <w:szCs w:val="22"/>
        </w:rPr>
        <w:t xml:space="preserve"> </w:t>
      </w:r>
      <w:r w:rsidRPr="00BD544D" w:rsidR="00DF6ADD">
        <w:rPr>
          <w:szCs w:val="22"/>
        </w:rPr>
        <w:t>LPFM and NCE broadcast service</w:t>
      </w:r>
      <w:r w:rsidRPr="00BD544D" w:rsidR="00604B16">
        <w:rPr>
          <w:szCs w:val="22"/>
        </w:rPr>
        <w:t>s</w:t>
      </w:r>
      <w:r w:rsidRPr="00BD544D" w:rsidR="00004C80">
        <w:rPr>
          <w:szCs w:val="22"/>
        </w:rPr>
        <w:t xml:space="preserve"> in general</w:t>
      </w:r>
      <w:r w:rsidRPr="00BD544D" w:rsidR="00DF6ADD">
        <w:rPr>
          <w:szCs w:val="22"/>
        </w:rPr>
        <w:t xml:space="preserve">, </w:t>
      </w:r>
      <w:r w:rsidRPr="00BD544D" w:rsidR="002A3305">
        <w:rPr>
          <w:szCs w:val="22"/>
        </w:rPr>
        <w:t>in the case of</w:t>
      </w:r>
      <w:r w:rsidRPr="00BD544D" w:rsidR="002520F8">
        <w:rPr>
          <w:szCs w:val="22"/>
        </w:rPr>
        <w:t xml:space="preserve"> corporations, the application signatory must be a person with an attributable interest in the </w:t>
      </w:r>
      <w:r w:rsidRPr="00BD544D" w:rsidR="006C0030">
        <w:rPr>
          <w:szCs w:val="22"/>
        </w:rPr>
        <w:t>applicant entity</w:t>
      </w:r>
      <w:r w:rsidRPr="00BD544D" w:rsidR="002520F8">
        <w:rPr>
          <w:szCs w:val="22"/>
        </w:rPr>
        <w:t>, such as an officer or director.</w:t>
      </w:r>
      <w:r>
        <w:rPr>
          <w:rStyle w:val="FootnoteReference"/>
          <w:sz w:val="22"/>
          <w:szCs w:val="22"/>
        </w:rPr>
        <w:footnoteReference w:id="85"/>
      </w:r>
      <w:r w:rsidRPr="00BD544D" w:rsidR="002520F8">
        <w:rPr>
          <w:szCs w:val="22"/>
        </w:rPr>
        <w:t xml:space="preserve"> </w:t>
      </w:r>
      <w:r w:rsidRPr="00BD544D" w:rsidR="001C53AE">
        <w:rPr>
          <w:szCs w:val="22"/>
        </w:rPr>
        <w:t xml:space="preserve"> </w:t>
      </w:r>
      <w:r w:rsidRPr="00BD544D" w:rsidR="002520F8">
        <w:rPr>
          <w:szCs w:val="22"/>
        </w:rPr>
        <w:t xml:space="preserve">REC </w:t>
      </w:r>
      <w:r w:rsidRPr="00BD544D" w:rsidR="00D82978">
        <w:rPr>
          <w:szCs w:val="22"/>
        </w:rPr>
        <w:t>acknowledges</w:t>
      </w:r>
      <w:r w:rsidRPr="00BD544D" w:rsidR="00A900E4">
        <w:rPr>
          <w:szCs w:val="22"/>
        </w:rPr>
        <w:t xml:space="preserve"> </w:t>
      </w:r>
      <w:r w:rsidRPr="00BD544D" w:rsidR="00B0449E">
        <w:rPr>
          <w:szCs w:val="22"/>
        </w:rPr>
        <w:t xml:space="preserve">that during the 2021 NCE and 2023 LPFM filing windows, there were a number of instances where someone other than an officer or director </w:t>
      </w:r>
      <w:r w:rsidRPr="00BD544D" w:rsidR="009729D4">
        <w:rPr>
          <w:szCs w:val="22"/>
        </w:rPr>
        <w:t>signed an application on behalf of a corporation</w:t>
      </w:r>
      <w:r w:rsidRPr="00BD544D" w:rsidR="00A900E4">
        <w:rPr>
          <w:szCs w:val="22"/>
        </w:rPr>
        <w:t xml:space="preserve"> applicant</w:t>
      </w:r>
      <w:r w:rsidRPr="00BD544D">
        <w:rPr>
          <w:szCs w:val="22"/>
        </w:rPr>
        <w:t>,</w:t>
      </w:r>
      <w:r w:rsidRPr="00BD544D" w:rsidR="00D82978">
        <w:rPr>
          <w:szCs w:val="22"/>
        </w:rPr>
        <w:t xml:space="preserve"> result</w:t>
      </w:r>
      <w:r w:rsidRPr="00BD544D">
        <w:rPr>
          <w:szCs w:val="22"/>
        </w:rPr>
        <w:t>ing</w:t>
      </w:r>
      <w:r w:rsidRPr="00BD544D" w:rsidR="00D82978">
        <w:rPr>
          <w:szCs w:val="22"/>
        </w:rPr>
        <w:t xml:space="preserve"> in informal objections being filed</w:t>
      </w:r>
      <w:r w:rsidRPr="00BD544D">
        <w:rPr>
          <w:szCs w:val="22"/>
        </w:rPr>
        <w:t>.  I</w:t>
      </w:r>
      <w:r w:rsidRPr="00BD544D" w:rsidR="00D82978">
        <w:rPr>
          <w:szCs w:val="22"/>
        </w:rPr>
        <w:t>n those cases, the application was dismissed with no opportunity to amend.</w:t>
      </w:r>
      <w:r>
        <w:rPr>
          <w:rStyle w:val="FootnoteReference"/>
          <w:sz w:val="22"/>
          <w:szCs w:val="22"/>
        </w:rPr>
        <w:footnoteReference w:id="86"/>
      </w:r>
      <w:r w:rsidRPr="00BD544D" w:rsidR="002520F8">
        <w:rPr>
          <w:szCs w:val="22"/>
        </w:rPr>
        <w:t xml:space="preserve"> </w:t>
      </w:r>
      <w:r w:rsidRPr="00BD544D" w:rsidR="00362275">
        <w:rPr>
          <w:szCs w:val="22"/>
        </w:rPr>
        <w:t xml:space="preserve"> </w:t>
      </w:r>
      <w:r w:rsidRPr="00BD544D" w:rsidR="00F650EC">
        <w:rPr>
          <w:szCs w:val="22"/>
        </w:rPr>
        <w:t xml:space="preserve">REC </w:t>
      </w:r>
      <w:r w:rsidRPr="00BD544D" w:rsidR="00FB4D19">
        <w:rPr>
          <w:szCs w:val="22"/>
        </w:rPr>
        <w:t>maintains</w:t>
      </w:r>
      <w:r w:rsidRPr="00BD544D" w:rsidR="00DE24FD">
        <w:rPr>
          <w:szCs w:val="22"/>
        </w:rPr>
        <w:t>, however,</w:t>
      </w:r>
      <w:r w:rsidRPr="00BD544D" w:rsidR="00F650EC">
        <w:rPr>
          <w:szCs w:val="22"/>
        </w:rPr>
        <w:t xml:space="preserve"> that</w:t>
      </w:r>
      <w:r w:rsidRPr="00BD544D" w:rsidR="00FB4D19">
        <w:rPr>
          <w:szCs w:val="22"/>
        </w:rPr>
        <w:t xml:space="preserve"> because</w:t>
      </w:r>
      <w:r w:rsidRPr="00BD544D" w:rsidR="00F650EC">
        <w:rPr>
          <w:szCs w:val="22"/>
        </w:rPr>
        <w:t xml:space="preserve"> the applications dismissed during the 2021 NCE and 2023 LPFM filing windows were a “</w:t>
      </w:r>
      <w:r w:rsidRPr="00BD544D" w:rsidR="00F650EC">
        <w:rPr>
          <w:i/>
          <w:iCs/>
          <w:szCs w:val="22"/>
        </w:rPr>
        <w:t>de minimis</w:t>
      </w:r>
      <w:r w:rsidRPr="00BD544D" w:rsidR="00F650EC">
        <w:rPr>
          <w:szCs w:val="22"/>
        </w:rPr>
        <w:t>” number</w:t>
      </w:r>
      <w:r w:rsidRPr="00BD544D" w:rsidR="008540F9">
        <w:rPr>
          <w:szCs w:val="22"/>
        </w:rPr>
        <w:t>,</w:t>
      </w:r>
      <w:r w:rsidRPr="00BD544D" w:rsidR="00F650EC">
        <w:rPr>
          <w:szCs w:val="22"/>
        </w:rPr>
        <w:t xml:space="preserve"> </w:t>
      </w:r>
      <w:r w:rsidRPr="00BD544D" w:rsidR="00515586">
        <w:rPr>
          <w:szCs w:val="22"/>
        </w:rPr>
        <w:t>the potential for application dismissal</w:t>
      </w:r>
      <w:r w:rsidRPr="00BD544D" w:rsidR="00F650EC">
        <w:rPr>
          <w:szCs w:val="22"/>
        </w:rPr>
        <w:t xml:space="preserve"> does not outweigh the </w:t>
      </w:r>
      <w:r w:rsidRPr="00BD544D" w:rsidR="001F1BF1">
        <w:rPr>
          <w:szCs w:val="22"/>
        </w:rPr>
        <w:t xml:space="preserve">significance of the </w:t>
      </w:r>
      <w:r w:rsidRPr="00BD544D" w:rsidR="00F650EC">
        <w:rPr>
          <w:szCs w:val="22"/>
        </w:rPr>
        <w:t xml:space="preserve">abuse of process </w:t>
      </w:r>
      <w:r w:rsidRPr="00BD544D" w:rsidR="00A866C0">
        <w:rPr>
          <w:szCs w:val="22"/>
        </w:rPr>
        <w:t xml:space="preserve">situations </w:t>
      </w:r>
      <w:r w:rsidRPr="00BD544D" w:rsidR="00F650EC">
        <w:rPr>
          <w:szCs w:val="22"/>
        </w:rPr>
        <w:t>that w</w:t>
      </w:r>
      <w:r w:rsidRPr="00BD544D" w:rsidR="00A866C0">
        <w:rPr>
          <w:szCs w:val="22"/>
        </w:rPr>
        <w:t>ere</w:t>
      </w:r>
      <w:r w:rsidRPr="00BD544D" w:rsidR="00F650EC">
        <w:rPr>
          <w:szCs w:val="22"/>
        </w:rPr>
        <w:t xml:space="preserve"> seen in the 2013 LPFM Window</w:t>
      </w:r>
      <w:r w:rsidRPr="00BD544D" w:rsidR="00FF5A8D">
        <w:rPr>
          <w:szCs w:val="22"/>
        </w:rPr>
        <w:t>.</w:t>
      </w:r>
      <w:r>
        <w:rPr>
          <w:rStyle w:val="FootnoteReference"/>
          <w:sz w:val="22"/>
          <w:szCs w:val="22"/>
        </w:rPr>
        <w:footnoteReference w:id="87"/>
      </w:r>
      <w:r w:rsidRPr="00BD544D" w:rsidR="00F451E5">
        <w:rPr>
          <w:szCs w:val="22"/>
        </w:rPr>
        <w:t xml:space="preserve"> </w:t>
      </w:r>
      <w:r w:rsidRPr="00BD544D" w:rsidR="00FB1AF9">
        <w:rPr>
          <w:szCs w:val="22"/>
        </w:rPr>
        <w:t xml:space="preserve"> REC states that t</w:t>
      </w:r>
      <w:r w:rsidRPr="00BD544D" w:rsidR="00F451E5">
        <w:rPr>
          <w:szCs w:val="22"/>
        </w:rPr>
        <w:t>he signature rule for corporations must remain only with the leadership</w:t>
      </w:r>
      <w:r w:rsidRPr="00BD544D" w:rsidR="008E7990">
        <w:rPr>
          <w:szCs w:val="22"/>
        </w:rPr>
        <w:t>,</w:t>
      </w:r>
      <w:r w:rsidRPr="00BD544D" w:rsidR="00F451E5">
        <w:rPr>
          <w:szCs w:val="22"/>
        </w:rPr>
        <w:t xml:space="preserve"> but the underlying policy implementation must address beginner’s mistakes.</w:t>
      </w:r>
      <w:r>
        <w:rPr>
          <w:rStyle w:val="FootnoteReference"/>
          <w:sz w:val="22"/>
          <w:szCs w:val="22"/>
        </w:rPr>
        <w:footnoteReference w:id="88"/>
      </w:r>
      <w:r w:rsidRPr="00BD544D" w:rsidR="00F451E5">
        <w:rPr>
          <w:szCs w:val="22"/>
        </w:rPr>
        <w:t xml:space="preserve">  </w:t>
      </w:r>
      <w:r w:rsidRPr="00BD544D" w:rsidR="00242656">
        <w:rPr>
          <w:szCs w:val="22"/>
        </w:rPr>
        <w:t>However, REC does support allowing a “duly authorized employee” to sign on behalf of a physically disabled board member.</w:t>
      </w:r>
      <w:r>
        <w:rPr>
          <w:rStyle w:val="FootnoteReference"/>
          <w:sz w:val="22"/>
          <w:szCs w:val="22"/>
        </w:rPr>
        <w:footnoteReference w:id="89"/>
      </w:r>
      <w:r w:rsidR="004B6AE3">
        <w:rPr>
          <w:szCs w:val="22"/>
        </w:rPr>
        <w:t xml:space="preserve">  </w:t>
      </w:r>
    </w:p>
    <w:p w:rsidR="00AC26D8" w:rsidRPr="00AC26D8" w:rsidP="00AC26D8" w14:paraId="783DCDAB" w14:textId="10D53176">
      <w:pPr>
        <w:pStyle w:val="ParaNum"/>
        <w:rPr>
          <w:szCs w:val="22"/>
        </w:rPr>
      </w:pPr>
      <w:r>
        <w:rPr>
          <w:szCs w:val="22"/>
        </w:rPr>
        <w:t xml:space="preserve">We adopt the </w:t>
      </w:r>
      <w:r w:rsidRPr="00BD544D" w:rsidR="002520F8">
        <w:rPr>
          <w:szCs w:val="22"/>
        </w:rPr>
        <w:t>proposal to expand the definition of who may sign an application on behalf of a corporation, a partnership, and an unincorporated association, to include a “duly authorized employee</w:t>
      </w:r>
      <w:r w:rsidRPr="00BD544D" w:rsidR="005F7DD1">
        <w:rPr>
          <w:szCs w:val="22"/>
        </w:rPr>
        <w:t>,</w:t>
      </w:r>
      <w:r w:rsidRPr="00BD544D" w:rsidR="002520F8">
        <w:rPr>
          <w:szCs w:val="22"/>
        </w:rPr>
        <w:t xml:space="preserve">” </w:t>
      </w:r>
      <w:r w:rsidR="00C62E34">
        <w:rPr>
          <w:szCs w:val="22"/>
        </w:rPr>
        <w:t xml:space="preserve">and </w:t>
      </w:r>
      <w:r w:rsidRPr="00BD544D" w:rsidR="002520F8">
        <w:rPr>
          <w:szCs w:val="22"/>
        </w:rPr>
        <w:t xml:space="preserve">we adopt </w:t>
      </w:r>
      <w:r w:rsidRPr="00BD544D" w:rsidR="009B7C2B">
        <w:rPr>
          <w:szCs w:val="22"/>
        </w:rPr>
        <w:t xml:space="preserve">the </w:t>
      </w:r>
      <w:r w:rsidRPr="00BD544D" w:rsidR="00827BC3">
        <w:rPr>
          <w:szCs w:val="22"/>
        </w:rPr>
        <w:t xml:space="preserve">proposed </w:t>
      </w:r>
      <w:r w:rsidRPr="00BD544D" w:rsidR="002520F8">
        <w:rPr>
          <w:szCs w:val="22"/>
        </w:rPr>
        <w:t>changes</w:t>
      </w:r>
      <w:r w:rsidRPr="00BD544D" w:rsidR="004B639A">
        <w:rPr>
          <w:szCs w:val="22"/>
        </w:rPr>
        <w:t xml:space="preserve"> to section 73.3513(a)</w:t>
      </w:r>
      <w:r w:rsidRPr="00BD544D" w:rsidR="002520F8">
        <w:rPr>
          <w:szCs w:val="22"/>
        </w:rPr>
        <w:t xml:space="preserve">.  </w:t>
      </w:r>
      <w:r w:rsidRPr="00BD544D" w:rsidR="00D00D1C">
        <w:rPr>
          <w:szCs w:val="22"/>
        </w:rPr>
        <w:t xml:space="preserve">We also </w:t>
      </w:r>
      <w:r w:rsidRPr="00BD544D" w:rsidR="000A75FE">
        <w:rPr>
          <w:szCs w:val="22"/>
        </w:rPr>
        <w:t xml:space="preserve">revise the Signature Rule to allow </w:t>
      </w:r>
      <w:r w:rsidRPr="00BD544D" w:rsidR="00322C44">
        <w:rPr>
          <w:szCs w:val="22"/>
        </w:rPr>
        <w:t xml:space="preserve">a </w:t>
      </w:r>
      <w:r w:rsidRPr="00BD544D" w:rsidR="00D00D1C">
        <w:rPr>
          <w:szCs w:val="22"/>
        </w:rPr>
        <w:t>“duly authorized employee” of a governmental entity</w:t>
      </w:r>
      <w:r w:rsidRPr="00BD544D" w:rsidR="000A75FE">
        <w:rPr>
          <w:szCs w:val="22"/>
        </w:rPr>
        <w:t xml:space="preserve"> to </w:t>
      </w:r>
      <w:r w:rsidRPr="00BD544D" w:rsidR="00322C44">
        <w:rPr>
          <w:szCs w:val="22"/>
        </w:rPr>
        <w:t xml:space="preserve">sign </w:t>
      </w:r>
      <w:r w:rsidRPr="00BD544D" w:rsidR="00FE6D06">
        <w:rPr>
          <w:szCs w:val="22"/>
        </w:rPr>
        <w:t xml:space="preserve">an </w:t>
      </w:r>
      <w:r w:rsidRPr="00BD544D" w:rsidR="00322C44">
        <w:rPr>
          <w:szCs w:val="22"/>
        </w:rPr>
        <w:t>application</w:t>
      </w:r>
      <w:r w:rsidRPr="00BD544D" w:rsidR="00D00D1C">
        <w:rPr>
          <w:szCs w:val="22"/>
        </w:rPr>
        <w:t>.</w:t>
      </w:r>
      <w:r>
        <w:rPr>
          <w:rStyle w:val="FootnoteReference"/>
          <w:sz w:val="22"/>
          <w:szCs w:val="22"/>
        </w:rPr>
        <w:footnoteReference w:id="90"/>
      </w:r>
      <w:r w:rsidRPr="00BD544D" w:rsidR="00D00D1C">
        <w:rPr>
          <w:szCs w:val="22"/>
        </w:rPr>
        <w:t xml:space="preserve">  </w:t>
      </w:r>
      <w:r w:rsidRPr="00BD544D" w:rsidR="002520F8">
        <w:rPr>
          <w:szCs w:val="22"/>
        </w:rPr>
        <w:t>Ad</w:t>
      </w:r>
      <w:r w:rsidRPr="00BD544D" w:rsidR="00234713">
        <w:rPr>
          <w:szCs w:val="22"/>
        </w:rPr>
        <w:t>ditionally, i</w:t>
      </w:r>
      <w:r w:rsidRPr="00BD544D" w:rsidR="002520F8">
        <w:rPr>
          <w:szCs w:val="22"/>
        </w:rPr>
        <w:t xml:space="preserve">n light of commenters’ requests, while </w:t>
      </w:r>
      <w:r w:rsidRPr="00BD544D" w:rsidR="004214A6">
        <w:rPr>
          <w:szCs w:val="22"/>
        </w:rPr>
        <w:t xml:space="preserve">we </w:t>
      </w:r>
      <w:r w:rsidRPr="00BD544D" w:rsidR="002520F8">
        <w:rPr>
          <w:szCs w:val="22"/>
        </w:rPr>
        <w:t>codify the term “duly authorized employee</w:t>
      </w:r>
      <w:r w:rsidR="001B6BAC">
        <w:rPr>
          <w:szCs w:val="22"/>
        </w:rPr>
        <w:t>,</w:t>
      </w:r>
      <w:r w:rsidRPr="00BD544D" w:rsidR="002520F8">
        <w:rPr>
          <w:szCs w:val="22"/>
        </w:rPr>
        <w:t>”</w:t>
      </w:r>
      <w:r w:rsidR="00DB7904">
        <w:rPr>
          <w:szCs w:val="22"/>
        </w:rPr>
        <w:t xml:space="preserve"> </w:t>
      </w:r>
      <w:r w:rsidRPr="00BD544D" w:rsidR="002520F8">
        <w:rPr>
          <w:szCs w:val="22"/>
        </w:rPr>
        <w:t xml:space="preserve"> we </w:t>
      </w:r>
      <w:r w:rsidR="005F119C">
        <w:rPr>
          <w:szCs w:val="22"/>
        </w:rPr>
        <w:t>direct</w:t>
      </w:r>
      <w:r w:rsidRPr="00BD544D" w:rsidR="004214A6">
        <w:rPr>
          <w:szCs w:val="22"/>
        </w:rPr>
        <w:t xml:space="preserve"> the Bureau to</w:t>
      </w:r>
      <w:r w:rsidRPr="00BD544D" w:rsidR="002520F8">
        <w:rPr>
          <w:szCs w:val="22"/>
        </w:rPr>
        <w:t xml:space="preserve"> interpret th</w:t>
      </w:r>
      <w:r w:rsidR="00FD0292">
        <w:rPr>
          <w:szCs w:val="22"/>
        </w:rPr>
        <w:t>e</w:t>
      </w:r>
      <w:r w:rsidRPr="00BD544D" w:rsidR="002520F8">
        <w:rPr>
          <w:szCs w:val="22"/>
        </w:rPr>
        <w:t xml:space="preserve"> term </w:t>
      </w:r>
      <w:r w:rsidR="00815120">
        <w:rPr>
          <w:szCs w:val="22"/>
        </w:rPr>
        <w:t>“employee”</w:t>
      </w:r>
      <w:r w:rsidRPr="00BD544D" w:rsidR="002520F8">
        <w:rPr>
          <w:szCs w:val="22"/>
        </w:rPr>
        <w:t xml:space="preserve"> broadly</w:t>
      </w:r>
      <w:r w:rsidRPr="00BD544D" w:rsidR="006C09B6">
        <w:rPr>
          <w:szCs w:val="22"/>
        </w:rPr>
        <w:t xml:space="preserve">, as circumstances may require, to </w:t>
      </w:r>
      <w:r w:rsidRPr="00BD544D" w:rsidR="00993080">
        <w:rPr>
          <w:szCs w:val="22"/>
        </w:rPr>
        <w:t>take account of</w:t>
      </w:r>
      <w:r w:rsidRPr="00BD544D" w:rsidR="00993080">
        <w:rPr>
          <w:szCs w:val="22"/>
        </w:rPr>
        <w:t xml:space="preserve"> </w:t>
      </w:r>
      <w:r w:rsidRPr="00BD544D" w:rsidR="006C09B6">
        <w:rPr>
          <w:szCs w:val="22"/>
        </w:rPr>
        <w:t xml:space="preserve">all </w:t>
      </w:r>
      <w:r w:rsidRPr="00BD544D" w:rsidR="00956F45">
        <w:rPr>
          <w:szCs w:val="22"/>
        </w:rPr>
        <w:t xml:space="preserve">types of </w:t>
      </w:r>
      <w:r w:rsidRPr="00BD544D" w:rsidR="006C09B6">
        <w:rPr>
          <w:szCs w:val="22"/>
        </w:rPr>
        <w:t>employees</w:t>
      </w:r>
      <w:r w:rsidR="004835B3">
        <w:rPr>
          <w:szCs w:val="22"/>
        </w:rPr>
        <w:t xml:space="preserve"> (whether paid or unpaid)</w:t>
      </w:r>
      <w:r w:rsidRPr="00BD544D" w:rsidR="006C09B6">
        <w:rPr>
          <w:szCs w:val="22"/>
        </w:rPr>
        <w:t xml:space="preserve"> an</w:t>
      </w:r>
      <w:r w:rsidRPr="00BD544D" w:rsidR="00537FFC">
        <w:rPr>
          <w:szCs w:val="22"/>
        </w:rPr>
        <w:t>d</w:t>
      </w:r>
      <w:r w:rsidRPr="00BD544D" w:rsidR="00D43F03">
        <w:rPr>
          <w:szCs w:val="22"/>
        </w:rPr>
        <w:t xml:space="preserve"> </w:t>
      </w:r>
      <w:r w:rsidRPr="00BD544D" w:rsidR="00956F45">
        <w:rPr>
          <w:szCs w:val="22"/>
        </w:rPr>
        <w:t xml:space="preserve">the </w:t>
      </w:r>
      <w:r w:rsidRPr="00BD544D" w:rsidR="00AF69CA">
        <w:rPr>
          <w:szCs w:val="22"/>
        </w:rPr>
        <w:t xml:space="preserve">varied </w:t>
      </w:r>
      <w:r w:rsidRPr="00BD544D" w:rsidR="006C09B6">
        <w:rPr>
          <w:szCs w:val="22"/>
        </w:rPr>
        <w:t xml:space="preserve">roles </w:t>
      </w:r>
      <w:r w:rsidRPr="00BD544D" w:rsidR="00956F45">
        <w:rPr>
          <w:szCs w:val="22"/>
        </w:rPr>
        <w:t xml:space="preserve">and positions </w:t>
      </w:r>
      <w:r w:rsidRPr="00BD544D" w:rsidR="006C09B6">
        <w:rPr>
          <w:szCs w:val="22"/>
        </w:rPr>
        <w:t>that each organization and entity m</w:t>
      </w:r>
      <w:r w:rsidRPr="00BD544D" w:rsidR="004B7CE5">
        <w:rPr>
          <w:szCs w:val="22"/>
        </w:rPr>
        <w:t xml:space="preserve">ay </w:t>
      </w:r>
      <w:r w:rsidR="00C452E4">
        <w:rPr>
          <w:szCs w:val="22"/>
        </w:rPr>
        <w:t>utilize</w:t>
      </w:r>
      <w:r w:rsidRPr="00BD544D" w:rsidR="006C09B6">
        <w:rPr>
          <w:szCs w:val="22"/>
        </w:rPr>
        <w:t>.</w:t>
      </w:r>
      <w:r w:rsidRPr="00BD544D" w:rsidR="002520F8">
        <w:rPr>
          <w:szCs w:val="22"/>
        </w:rPr>
        <w:t xml:space="preserve">  </w:t>
      </w:r>
      <w:r w:rsidRPr="00BD544D" w:rsidR="007F566C">
        <w:rPr>
          <w:szCs w:val="22"/>
        </w:rPr>
        <w:t>The Bureau should</w:t>
      </w:r>
      <w:r w:rsidRPr="00BD544D" w:rsidR="004D48D8">
        <w:rPr>
          <w:szCs w:val="22"/>
        </w:rPr>
        <w:t xml:space="preserve"> </w:t>
      </w:r>
      <w:r w:rsidRPr="00BD544D" w:rsidR="00B836E8">
        <w:rPr>
          <w:szCs w:val="22"/>
        </w:rPr>
        <w:t>construe</w:t>
      </w:r>
      <w:r w:rsidRPr="00BD544D" w:rsidR="004D48D8">
        <w:rPr>
          <w:szCs w:val="22"/>
        </w:rPr>
        <w:t xml:space="preserve"> “employee” </w:t>
      </w:r>
      <w:r w:rsidRPr="00BD544D" w:rsidR="004B7CE5">
        <w:rPr>
          <w:szCs w:val="22"/>
        </w:rPr>
        <w:t xml:space="preserve">so as </w:t>
      </w:r>
      <w:r w:rsidRPr="00BD544D" w:rsidR="004D48D8">
        <w:rPr>
          <w:szCs w:val="22"/>
        </w:rPr>
        <w:t xml:space="preserve">to </w:t>
      </w:r>
      <w:r w:rsidRPr="00BD544D" w:rsidR="005F56F5">
        <w:rPr>
          <w:szCs w:val="22"/>
        </w:rPr>
        <w:t>capture</w:t>
      </w:r>
      <w:r w:rsidRPr="00BD544D" w:rsidR="004D48D8">
        <w:rPr>
          <w:szCs w:val="22"/>
        </w:rPr>
        <w:t xml:space="preserve"> </w:t>
      </w:r>
      <w:r w:rsidRPr="00BD544D" w:rsidR="00B0515E">
        <w:rPr>
          <w:szCs w:val="22"/>
        </w:rPr>
        <w:t>the</w:t>
      </w:r>
      <w:r w:rsidRPr="00BD544D" w:rsidR="004D48D8">
        <w:rPr>
          <w:szCs w:val="22"/>
        </w:rPr>
        <w:t xml:space="preserve"> </w:t>
      </w:r>
      <w:r w:rsidRPr="00BD544D" w:rsidR="00CD1AE1">
        <w:rPr>
          <w:szCs w:val="22"/>
        </w:rPr>
        <w:t>wide</w:t>
      </w:r>
      <w:r w:rsidRPr="00BD544D" w:rsidR="0010208F">
        <w:rPr>
          <w:szCs w:val="22"/>
        </w:rPr>
        <w:t>-</w:t>
      </w:r>
      <w:r w:rsidRPr="00BD544D" w:rsidR="00AF69CA">
        <w:rPr>
          <w:szCs w:val="22"/>
        </w:rPr>
        <w:t>rang</w:t>
      </w:r>
      <w:r w:rsidRPr="00BD544D" w:rsidR="0010208F">
        <w:rPr>
          <w:szCs w:val="22"/>
        </w:rPr>
        <w:t>ing</w:t>
      </w:r>
      <w:r w:rsidRPr="00BD544D" w:rsidR="004D48D8">
        <w:rPr>
          <w:szCs w:val="22"/>
        </w:rPr>
        <w:t xml:space="preserve"> </w:t>
      </w:r>
      <w:r w:rsidR="00EA479E">
        <w:rPr>
          <w:szCs w:val="22"/>
        </w:rPr>
        <w:t>positions</w:t>
      </w:r>
      <w:r w:rsidRPr="00BD544D" w:rsidR="00EA479E">
        <w:rPr>
          <w:szCs w:val="22"/>
        </w:rPr>
        <w:t xml:space="preserve"> </w:t>
      </w:r>
      <w:r w:rsidRPr="00BD544D" w:rsidR="004D48D8">
        <w:rPr>
          <w:szCs w:val="22"/>
        </w:rPr>
        <w:t>brought to our attention by commenters</w:t>
      </w:r>
      <w:r w:rsidRPr="00BD544D" w:rsidR="00DF1A47">
        <w:rPr>
          <w:szCs w:val="22"/>
        </w:rPr>
        <w:t xml:space="preserve">, </w:t>
      </w:r>
      <w:r w:rsidRPr="00BD544D" w:rsidR="00756F48">
        <w:rPr>
          <w:szCs w:val="22"/>
        </w:rPr>
        <w:t>including</w:t>
      </w:r>
      <w:r w:rsidRPr="00BD544D" w:rsidR="00CD1AE1">
        <w:rPr>
          <w:szCs w:val="22"/>
        </w:rPr>
        <w:t xml:space="preserve"> </w:t>
      </w:r>
      <w:r w:rsidRPr="00BD544D" w:rsidR="004D48D8">
        <w:rPr>
          <w:szCs w:val="22"/>
        </w:rPr>
        <w:t>members and volunteers</w:t>
      </w:r>
      <w:r w:rsidR="00BF1C9D">
        <w:rPr>
          <w:szCs w:val="22"/>
        </w:rPr>
        <w:t xml:space="preserve"> that </w:t>
      </w:r>
      <w:r w:rsidR="000B53AA">
        <w:rPr>
          <w:szCs w:val="22"/>
        </w:rPr>
        <w:t xml:space="preserve">are under the direct control of the organization </w:t>
      </w:r>
      <w:r w:rsidR="002F34ED">
        <w:rPr>
          <w:szCs w:val="22"/>
        </w:rPr>
        <w:t>and are a</w:t>
      </w:r>
      <w:r w:rsidR="00B57688">
        <w:rPr>
          <w:szCs w:val="22"/>
        </w:rPr>
        <w:t>uthorized by the organization to sign and file an application</w:t>
      </w:r>
      <w:r w:rsidRPr="00BD544D" w:rsidR="004D48D8">
        <w:rPr>
          <w:szCs w:val="22"/>
        </w:rPr>
        <w:t>.</w:t>
      </w:r>
      <w:r>
        <w:rPr>
          <w:rStyle w:val="FootnoteReference"/>
          <w:sz w:val="22"/>
          <w:szCs w:val="22"/>
        </w:rPr>
        <w:footnoteReference w:id="91"/>
      </w:r>
      <w:r w:rsidRPr="00BD544D" w:rsidR="004D48D8">
        <w:rPr>
          <w:szCs w:val="22"/>
        </w:rPr>
        <w:t xml:space="preserve">  </w:t>
      </w:r>
      <w:r w:rsidRPr="00BD544D" w:rsidR="002520F8">
        <w:rPr>
          <w:szCs w:val="22"/>
        </w:rPr>
        <w:t xml:space="preserve">We anticipate that the term “employee” will cover representatives from </w:t>
      </w:r>
      <w:r w:rsidRPr="00BD544D" w:rsidR="00ED3B11">
        <w:rPr>
          <w:szCs w:val="22"/>
        </w:rPr>
        <w:t xml:space="preserve">applicant </w:t>
      </w:r>
      <w:r w:rsidRPr="00BD544D" w:rsidR="002520F8">
        <w:rPr>
          <w:szCs w:val="22"/>
        </w:rPr>
        <w:t xml:space="preserve">entities that typically do not have </w:t>
      </w:r>
      <w:r w:rsidRPr="00BD544D" w:rsidR="004B7CE5">
        <w:rPr>
          <w:szCs w:val="22"/>
        </w:rPr>
        <w:t xml:space="preserve">traditional </w:t>
      </w:r>
      <w:r w:rsidRPr="00BD544D" w:rsidR="002520F8">
        <w:rPr>
          <w:szCs w:val="22"/>
        </w:rPr>
        <w:t xml:space="preserve">employees, but which instead enlist volunteers or similar </w:t>
      </w:r>
      <w:r w:rsidRPr="00BD544D" w:rsidR="005F7DD1">
        <w:rPr>
          <w:szCs w:val="22"/>
        </w:rPr>
        <w:t>personnel</w:t>
      </w:r>
      <w:r w:rsidRPr="00BD544D" w:rsidR="005F7DD1">
        <w:rPr>
          <w:szCs w:val="22"/>
        </w:rPr>
        <w:t xml:space="preserve"> </w:t>
      </w:r>
      <w:r w:rsidRPr="00BD544D" w:rsidR="002520F8">
        <w:rPr>
          <w:szCs w:val="22"/>
        </w:rPr>
        <w:t xml:space="preserve">to perform the duties </w:t>
      </w:r>
      <w:r w:rsidRPr="00BD544D" w:rsidR="004214A6">
        <w:rPr>
          <w:szCs w:val="22"/>
        </w:rPr>
        <w:t xml:space="preserve">required by </w:t>
      </w:r>
      <w:r w:rsidRPr="00BD544D" w:rsidR="002520F8">
        <w:rPr>
          <w:szCs w:val="22"/>
        </w:rPr>
        <w:t>the organization</w:t>
      </w:r>
      <w:r w:rsidR="002F0F7A">
        <w:rPr>
          <w:szCs w:val="22"/>
        </w:rPr>
        <w:t xml:space="preserve">, </w:t>
      </w:r>
      <w:r w:rsidR="00AF4B33">
        <w:rPr>
          <w:szCs w:val="22"/>
        </w:rPr>
        <w:t xml:space="preserve">who are also under the direct control of the organization and authorized </w:t>
      </w:r>
      <w:r w:rsidR="00ED3BCD">
        <w:rPr>
          <w:szCs w:val="22"/>
        </w:rPr>
        <w:t xml:space="preserve">by the organization </w:t>
      </w:r>
      <w:r w:rsidR="00AF4B33">
        <w:rPr>
          <w:szCs w:val="22"/>
        </w:rPr>
        <w:t>to sign an application</w:t>
      </w:r>
      <w:r w:rsidRPr="00BD544D" w:rsidR="002520F8">
        <w:rPr>
          <w:szCs w:val="22"/>
        </w:rPr>
        <w:t xml:space="preserve">.  This may include various </w:t>
      </w:r>
      <w:r w:rsidRPr="00BD544D" w:rsidR="00ED3B11">
        <w:rPr>
          <w:szCs w:val="22"/>
        </w:rPr>
        <w:t xml:space="preserve">workforce </w:t>
      </w:r>
      <w:r w:rsidRPr="00BD544D" w:rsidR="002520F8">
        <w:rPr>
          <w:szCs w:val="22"/>
        </w:rPr>
        <w:t xml:space="preserve">titles at the </w:t>
      </w:r>
      <w:r w:rsidRPr="00BD544D" w:rsidR="00AE2D74">
        <w:rPr>
          <w:szCs w:val="22"/>
        </w:rPr>
        <w:t>numerous</w:t>
      </w:r>
      <w:r w:rsidRPr="00BD544D" w:rsidR="002520F8">
        <w:rPr>
          <w:szCs w:val="22"/>
        </w:rPr>
        <w:t xml:space="preserve"> </w:t>
      </w:r>
      <w:r w:rsidRPr="00BD544D" w:rsidR="006739BF">
        <w:rPr>
          <w:szCs w:val="22"/>
        </w:rPr>
        <w:t xml:space="preserve">organizational </w:t>
      </w:r>
      <w:r w:rsidRPr="00BD544D" w:rsidR="002520F8">
        <w:rPr>
          <w:szCs w:val="22"/>
        </w:rPr>
        <w:t xml:space="preserve">entities from which the Commission receives </w:t>
      </w:r>
      <w:r w:rsidRPr="00BD544D" w:rsidR="00ED3B11">
        <w:rPr>
          <w:szCs w:val="22"/>
        </w:rPr>
        <w:t xml:space="preserve">broadcast </w:t>
      </w:r>
      <w:r w:rsidRPr="00BD544D" w:rsidR="002520F8">
        <w:rPr>
          <w:szCs w:val="22"/>
        </w:rPr>
        <w:t xml:space="preserve">applications. </w:t>
      </w:r>
      <w:r w:rsidRPr="00BD544D" w:rsidR="001E7202">
        <w:rPr>
          <w:szCs w:val="22"/>
        </w:rPr>
        <w:t xml:space="preserve"> </w:t>
      </w:r>
      <w:r w:rsidRPr="00BD544D" w:rsidR="00AF7064">
        <w:rPr>
          <w:szCs w:val="22"/>
        </w:rPr>
        <w:t xml:space="preserve">As such, the Bureau </w:t>
      </w:r>
      <w:r w:rsidR="00205CC6">
        <w:rPr>
          <w:szCs w:val="22"/>
        </w:rPr>
        <w:t>should</w:t>
      </w:r>
      <w:r w:rsidRPr="00BD544D" w:rsidR="004D48D8">
        <w:rPr>
          <w:szCs w:val="22"/>
        </w:rPr>
        <w:t xml:space="preserve"> </w:t>
      </w:r>
      <w:r w:rsidRPr="00BD544D" w:rsidR="002F79BE">
        <w:rPr>
          <w:szCs w:val="22"/>
        </w:rPr>
        <w:t xml:space="preserve">consider and </w:t>
      </w:r>
      <w:r w:rsidRPr="00BD544D" w:rsidR="00AF7064">
        <w:rPr>
          <w:szCs w:val="22"/>
        </w:rPr>
        <w:t xml:space="preserve">assess </w:t>
      </w:r>
      <w:r w:rsidRPr="00BD544D" w:rsidR="004D48D8">
        <w:rPr>
          <w:szCs w:val="22"/>
        </w:rPr>
        <w:t>th</w:t>
      </w:r>
      <w:r w:rsidRPr="00BD544D" w:rsidR="00740A97">
        <w:rPr>
          <w:szCs w:val="22"/>
        </w:rPr>
        <w:t>is</w:t>
      </w:r>
      <w:r w:rsidRPr="00BD544D" w:rsidR="004D48D8">
        <w:rPr>
          <w:szCs w:val="22"/>
        </w:rPr>
        <w:t xml:space="preserve"> </w:t>
      </w:r>
      <w:r w:rsidRPr="00BD544D" w:rsidR="0010208F">
        <w:rPr>
          <w:szCs w:val="22"/>
        </w:rPr>
        <w:t xml:space="preserve">broad </w:t>
      </w:r>
      <w:r w:rsidRPr="00BD544D" w:rsidR="007F566C">
        <w:rPr>
          <w:szCs w:val="22"/>
        </w:rPr>
        <w:t>array</w:t>
      </w:r>
      <w:r w:rsidRPr="00BD544D" w:rsidR="004D48D8">
        <w:rPr>
          <w:szCs w:val="22"/>
        </w:rPr>
        <w:t xml:space="preserve"> of </w:t>
      </w:r>
      <w:r w:rsidRPr="00BD544D" w:rsidR="00740A97">
        <w:rPr>
          <w:szCs w:val="22"/>
        </w:rPr>
        <w:t>potential</w:t>
      </w:r>
      <w:r w:rsidRPr="00BD544D" w:rsidR="004D48D8">
        <w:rPr>
          <w:szCs w:val="22"/>
        </w:rPr>
        <w:t xml:space="preserve"> positions</w:t>
      </w:r>
      <w:r w:rsidRPr="00BD544D" w:rsidR="009B7C2B">
        <w:rPr>
          <w:szCs w:val="22"/>
        </w:rPr>
        <w:t xml:space="preserve"> based on each applicant’s unique organizational structure</w:t>
      </w:r>
      <w:r w:rsidR="00C164BE">
        <w:rPr>
          <w:szCs w:val="22"/>
        </w:rPr>
        <w:t xml:space="preserve"> under the principles we have articulated here</w:t>
      </w:r>
      <w:r w:rsidRPr="00BD544D" w:rsidR="004D48D8">
        <w:rPr>
          <w:szCs w:val="22"/>
        </w:rPr>
        <w:t>.</w:t>
      </w:r>
      <w:r w:rsidRPr="00BD544D" w:rsidR="004E3C57">
        <w:rPr>
          <w:szCs w:val="22"/>
        </w:rPr>
        <w:t xml:space="preserve"> </w:t>
      </w:r>
      <w:r w:rsidRPr="00BD544D" w:rsidR="004D48D8">
        <w:rPr>
          <w:szCs w:val="22"/>
        </w:rPr>
        <w:t xml:space="preserve"> </w:t>
      </w:r>
      <w:r w:rsidRPr="00BD544D" w:rsidR="00FF10C9">
        <w:rPr>
          <w:szCs w:val="22"/>
        </w:rPr>
        <w:t>We also recognize that there will likely be many</w:t>
      </w:r>
      <w:r w:rsidRPr="00BD544D" w:rsidR="00B10266">
        <w:rPr>
          <w:szCs w:val="22"/>
        </w:rPr>
        <w:t xml:space="preserve"> different types of</w:t>
      </w:r>
      <w:r w:rsidRPr="00BD544D" w:rsidR="00FF10C9">
        <w:rPr>
          <w:szCs w:val="22"/>
        </w:rPr>
        <w:t xml:space="preserve"> </w:t>
      </w:r>
      <w:r w:rsidRPr="00BD544D" w:rsidR="001E0896">
        <w:rPr>
          <w:szCs w:val="22"/>
        </w:rPr>
        <w:t>employees</w:t>
      </w:r>
      <w:r w:rsidRPr="00BD544D" w:rsidR="00FF10C9">
        <w:rPr>
          <w:szCs w:val="22"/>
        </w:rPr>
        <w:t xml:space="preserve"> who </w:t>
      </w:r>
      <w:r w:rsidRPr="00BD544D" w:rsidR="00FD5A6C">
        <w:rPr>
          <w:szCs w:val="22"/>
        </w:rPr>
        <w:t xml:space="preserve">are </w:t>
      </w:r>
      <w:r w:rsidRPr="00BD544D" w:rsidR="001E0896">
        <w:rPr>
          <w:szCs w:val="22"/>
        </w:rPr>
        <w:t xml:space="preserve">now </w:t>
      </w:r>
      <w:r w:rsidR="005D5EB9">
        <w:rPr>
          <w:szCs w:val="22"/>
        </w:rPr>
        <w:t xml:space="preserve">eligible </w:t>
      </w:r>
      <w:r w:rsidRPr="00BD544D" w:rsidR="00FD5A6C">
        <w:rPr>
          <w:szCs w:val="22"/>
        </w:rPr>
        <w:t>to</w:t>
      </w:r>
      <w:r w:rsidRPr="00BD544D" w:rsidR="00DD1B3E">
        <w:rPr>
          <w:szCs w:val="22"/>
        </w:rPr>
        <w:t xml:space="preserve"> sign an application</w:t>
      </w:r>
      <w:r w:rsidR="005D5EB9">
        <w:rPr>
          <w:szCs w:val="22"/>
        </w:rPr>
        <w:t xml:space="preserve"> if </w:t>
      </w:r>
      <w:r w:rsidR="008056DA">
        <w:rPr>
          <w:szCs w:val="22"/>
        </w:rPr>
        <w:t xml:space="preserve">duly </w:t>
      </w:r>
      <w:r w:rsidR="005D5EB9">
        <w:rPr>
          <w:szCs w:val="22"/>
        </w:rPr>
        <w:t xml:space="preserve">authorized by their </w:t>
      </w:r>
      <w:r w:rsidRPr="007C7757" w:rsidR="005D5EB9">
        <w:rPr>
          <w:szCs w:val="22"/>
        </w:rPr>
        <w:t>organization</w:t>
      </w:r>
      <w:r w:rsidRPr="007C7757" w:rsidR="008552B7">
        <w:rPr>
          <w:szCs w:val="22"/>
        </w:rPr>
        <w:t>.</w:t>
      </w:r>
      <w:r w:rsidRPr="007C7757" w:rsidR="00DD1B3E">
        <w:rPr>
          <w:szCs w:val="22"/>
        </w:rPr>
        <w:t xml:space="preserve"> </w:t>
      </w:r>
      <w:r w:rsidRPr="007C7757" w:rsidR="008552B7">
        <w:rPr>
          <w:szCs w:val="22"/>
        </w:rPr>
        <w:t xml:space="preserve"> </w:t>
      </w:r>
      <w:r w:rsidRPr="007C7757" w:rsidR="00A16267">
        <w:rPr>
          <w:szCs w:val="22"/>
        </w:rPr>
        <w:t xml:space="preserve">At the same time, we recognize that not every employee of an organization </w:t>
      </w:r>
      <w:r w:rsidRPr="007C7757" w:rsidR="00A43C7D">
        <w:rPr>
          <w:szCs w:val="22"/>
        </w:rPr>
        <w:t>will be duly authorized to sign an application.  Thus, w</w:t>
      </w:r>
      <w:r w:rsidRPr="007C7757">
        <w:rPr>
          <w:szCs w:val="22"/>
        </w:rPr>
        <w:t xml:space="preserve">hile we direct the Bureau to interpret “employee” broadly, </w:t>
      </w:r>
      <w:r w:rsidRPr="007C7757" w:rsidR="00FC0209">
        <w:rPr>
          <w:szCs w:val="22"/>
        </w:rPr>
        <w:t xml:space="preserve">we emphasize that </w:t>
      </w:r>
      <w:r w:rsidRPr="007C7757">
        <w:rPr>
          <w:szCs w:val="22"/>
        </w:rPr>
        <w:t>a necessary element of this term is “duly authorized</w:t>
      </w:r>
      <w:r w:rsidRPr="007C7757" w:rsidR="000C2214">
        <w:rPr>
          <w:szCs w:val="22"/>
        </w:rPr>
        <w:t>.</w:t>
      </w:r>
      <w:r w:rsidRPr="007C7757">
        <w:rPr>
          <w:szCs w:val="22"/>
        </w:rPr>
        <w:t>”</w:t>
      </w:r>
      <w:r w:rsidRPr="007C7757" w:rsidR="000C2214">
        <w:rPr>
          <w:szCs w:val="22"/>
        </w:rPr>
        <w:t xml:space="preserve">  D</w:t>
      </w:r>
      <w:r w:rsidRPr="007C7757">
        <w:rPr>
          <w:szCs w:val="22"/>
        </w:rPr>
        <w:t xml:space="preserve">espite the </w:t>
      </w:r>
      <w:r w:rsidRPr="007C7757" w:rsidR="000C2214">
        <w:rPr>
          <w:szCs w:val="22"/>
        </w:rPr>
        <w:t xml:space="preserve">Bureau’s </w:t>
      </w:r>
      <w:r w:rsidRPr="007C7757">
        <w:rPr>
          <w:szCs w:val="22"/>
        </w:rPr>
        <w:t xml:space="preserve">broad interpretation of “employee,” </w:t>
      </w:r>
      <w:r w:rsidRPr="007C7757" w:rsidR="009B761E">
        <w:rPr>
          <w:szCs w:val="22"/>
        </w:rPr>
        <w:t>such</w:t>
      </w:r>
      <w:r w:rsidRPr="00AC26D8" w:rsidR="009B761E">
        <w:rPr>
          <w:szCs w:val="22"/>
        </w:rPr>
        <w:t xml:space="preserve"> </w:t>
      </w:r>
      <w:r w:rsidRPr="00AC26D8">
        <w:rPr>
          <w:szCs w:val="22"/>
        </w:rPr>
        <w:t xml:space="preserve">employee must </w:t>
      </w:r>
      <w:r w:rsidRPr="007C7757">
        <w:rPr>
          <w:szCs w:val="22"/>
        </w:rPr>
        <w:t>nonetheless be</w:t>
      </w:r>
      <w:r w:rsidRPr="007C7757" w:rsidR="00CD1A28">
        <w:rPr>
          <w:szCs w:val="22"/>
        </w:rPr>
        <w:t xml:space="preserve"> </w:t>
      </w:r>
      <w:r w:rsidRPr="007C7757">
        <w:rPr>
          <w:szCs w:val="22"/>
        </w:rPr>
        <w:t>duly authoriz</w:t>
      </w:r>
      <w:r w:rsidRPr="00AC26D8">
        <w:rPr>
          <w:szCs w:val="22"/>
        </w:rPr>
        <w:t>ed</w:t>
      </w:r>
      <w:r w:rsidR="003833A4">
        <w:rPr>
          <w:szCs w:val="22"/>
        </w:rPr>
        <w:t xml:space="preserve"> by </w:t>
      </w:r>
      <w:r w:rsidR="00CD1A28">
        <w:rPr>
          <w:szCs w:val="22"/>
        </w:rPr>
        <w:t>that</w:t>
      </w:r>
      <w:r w:rsidR="003833A4">
        <w:rPr>
          <w:szCs w:val="22"/>
        </w:rPr>
        <w:t xml:space="preserve"> organization</w:t>
      </w:r>
      <w:r w:rsidRPr="00AC26D8">
        <w:rPr>
          <w:szCs w:val="22"/>
        </w:rPr>
        <w:t xml:space="preserve"> to sign an application</w:t>
      </w:r>
      <w:r w:rsidR="006C774E">
        <w:rPr>
          <w:szCs w:val="22"/>
        </w:rPr>
        <w:t>.</w:t>
      </w:r>
    </w:p>
    <w:p w:rsidR="000F7D70" w:rsidRPr="00BD544D" w:rsidP="000F7D70" w14:paraId="4F87F21D" w14:textId="4425F69F">
      <w:pPr>
        <w:pStyle w:val="ParaNum"/>
        <w:rPr>
          <w:szCs w:val="22"/>
        </w:rPr>
      </w:pPr>
      <w:r w:rsidRPr="00774D88">
        <w:rPr>
          <w:szCs w:val="22"/>
        </w:rPr>
        <w:t xml:space="preserve">To address </w:t>
      </w:r>
      <w:r w:rsidRPr="00774D88" w:rsidR="00664CD0">
        <w:rPr>
          <w:szCs w:val="22"/>
        </w:rPr>
        <w:t xml:space="preserve">REC’s </w:t>
      </w:r>
      <w:r w:rsidRPr="00774D88" w:rsidR="00FA35B3">
        <w:rPr>
          <w:szCs w:val="22"/>
        </w:rPr>
        <w:t>observation</w:t>
      </w:r>
      <w:r w:rsidRPr="00774D88" w:rsidR="001E0896">
        <w:rPr>
          <w:szCs w:val="22"/>
        </w:rPr>
        <w:t xml:space="preserve"> </w:t>
      </w:r>
      <w:r w:rsidRPr="00774D88" w:rsidR="00664CD0">
        <w:rPr>
          <w:szCs w:val="22"/>
        </w:rPr>
        <w:t>that</w:t>
      </w:r>
      <w:r w:rsidRPr="00774D88" w:rsidR="00DD1B3E">
        <w:rPr>
          <w:szCs w:val="22"/>
        </w:rPr>
        <w:t xml:space="preserve"> </w:t>
      </w:r>
      <w:r w:rsidRPr="00774D88">
        <w:rPr>
          <w:szCs w:val="22"/>
        </w:rPr>
        <w:t>the majority of t</w:t>
      </w:r>
      <w:r w:rsidRPr="00774D88" w:rsidR="006B0A03">
        <w:rPr>
          <w:szCs w:val="22"/>
        </w:rPr>
        <w:t>he applications with Signature Rule defects in the 2023 LPFM window were signed by consultants and technicians that were not</w:t>
      </w:r>
      <w:r w:rsidRPr="00774D88">
        <w:rPr>
          <w:szCs w:val="22"/>
        </w:rPr>
        <w:t xml:space="preserve"> </w:t>
      </w:r>
      <w:r w:rsidRPr="00774D88" w:rsidR="00510545">
        <w:rPr>
          <w:szCs w:val="22"/>
        </w:rPr>
        <w:t>under the “direct employ of the organization</w:t>
      </w:r>
      <w:r w:rsidRPr="00774D88" w:rsidR="006B0A03">
        <w:rPr>
          <w:szCs w:val="22"/>
        </w:rPr>
        <w:t>,</w:t>
      </w:r>
      <w:r w:rsidRPr="00774D88" w:rsidR="00510545">
        <w:rPr>
          <w:szCs w:val="22"/>
        </w:rPr>
        <w:t>”</w:t>
      </w:r>
      <w:r>
        <w:rPr>
          <w:rStyle w:val="FootnoteReference"/>
          <w:sz w:val="22"/>
          <w:szCs w:val="22"/>
        </w:rPr>
        <w:footnoteReference w:id="92"/>
      </w:r>
      <w:r w:rsidRPr="00774D88" w:rsidR="000E3D04">
        <w:rPr>
          <w:szCs w:val="22"/>
        </w:rPr>
        <w:t xml:space="preserve"> </w:t>
      </w:r>
      <w:r w:rsidRPr="00774D88" w:rsidR="00E34B8B">
        <w:rPr>
          <w:szCs w:val="22"/>
        </w:rPr>
        <w:t xml:space="preserve">we clarify that </w:t>
      </w:r>
      <w:r w:rsidRPr="00774D88" w:rsidR="006B0A03">
        <w:rPr>
          <w:szCs w:val="22"/>
        </w:rPr>
        <w:t>t</w:t>
      </w:r>
      <w:r w:rsidRPr="00774D88" w:rsidR="00726C32">
        <w:rPr>
          <w:szCs w:val="22"/>
        </w:rPr>
        <w:t xml:space="preserve">he term </w:t>
      </w:r>
      <w:r w:rsidRPr="00774D88" w:rsidR="002161E8">
        <w:rPr>
          <w:szCs w:val="22"/>
        </w:rPr>
        <w:t>“</w:t>
      </w:r>
      <w:r w:rsidRPr="00774D88" w:rsidR="00726C32">
        <w:rPr>
          <w:szCs w:val="22"/>
        </w:rPr>
        <w:t>d</w:t>
      </w:r>
      <w:r w:rsidRPr="00774D88" w:rsidR="002161E8">
        <w:rPr>
          <w:szCs w:val="22"/>
        </w:rPr>
        <w:t>uly authorized employee”</w:t>
      </w:r>
      <w:r w:rsidRPr="00774D88" w:rsidR="007309C0">
        <w:rPr>
          <w:szCs w:val="22"/>
        </w:rPr>
        <w:t xml:space="preserve"> will</w:t>
      </w:r>
      <w:r w:rsidRPr="00774D88" w:rsidR="002161E8">
        <w:rPr>
          <w:szCs w:val="22"/>
        </w:rPr>
        <w:t xml:space="preserve"> therefore</w:t>
      </w:r>
      <w:r w:rsidRPr="00774D88" w:rsidR="007309C0">
        <w:rPr>
          <w:szCs w:val="22"/>
        </w:rPr>
        <w:t xml:space="preserve"> not include</w:t>
      </w:r>
      <w:r w:rsidR="00943A47">
        <w:rPr>
          <w:szCs w:val="22"/>
        </w:rPr>
        <w:t xml:space="preserve"> independent</w:t>
      </w:r>
      <w:r w:rsidRPr="00774D88" w:rsidR="007309C0">
        <w:rPr>
          <w:szCs w:val="22"/>
        </w:rPr>
        <w:t xml:space="preserve"> </w:t>
      </w:r>
      <w:r w:rsidRPr="00774D88" w:rsidR="00FC278F">
        <w:rPr>
          <w:szCs w:val="22"/>
        </w:rPr>
        <w:t xml:space="preserve">consultants or other </w:t>
      </w:r>
      <w:r w:rsidRPr="00774D88" w:rsidR="00A45361">
        <w:rPr>
          <w:szCs w:val="22"/>
        </w:rPr>
        <w:t xml:space="preserve">third </w:t>
      </w:r>
      <w:r w:rsidRPr="00774D88" w:rsidR="00FC278F">
        <w:rPr>
          <w:szCs w:val="22"/>
        </w:rPr>
        <w:t>part</w:t>
      </w:r>
      <w:r w:rsidRPr="00774D88" w:rsidR="00E77B08">
        <w:rPr>
          <w:szCs w:val="22"/>
        </w:rPr>
        <w:t>y</w:t>
      </w:r>
      <w:r w:rsidRPr="00774D88" w:rsidR="00FC278F">
        <w:rPr>
          <w:szCs w:val="22"/>
        </w:rPr>
        <w:t xml:space="preserve"> </w:t>
      </w:r>
      <w:r w:rsidRPr="00774D88" w:rsidR="007F566C">
        <w:rPr>
          <w:szCs w:val="22"/>
        </w:rPr>
        <w:t xml:space="preserve">professionals </w:t>
      </w:r>
      <w:r w:rsidRPr="00774D88" w:rsidR="00FC278F">
        <w:rPr>
          <w:szCs w:val="22"/>
        </w:rPr>
        <w:t xml:space="preserve">outside </w:t>
      </w:r>
      <w:r w:rsidRPr="00774D88" w:rsidR="007F566C">
        <w:rPr>
          <w:szCs w:val="22"/>
        </w:rPr>
        <w:t xml:space="preserve">of </w:t>
      </w:r>
      <w:r w:rsidRPr="00774D88" w:rsidR="00FC278F">
        <w:rPr>
          <w:szCs w:val="22"/>
        </w:rPr>
        <w:t xml:space="preserve">the </w:t>
      </w:r>
      <w:r w:rsidRPr="00774D88" w:rsidR="00A062E1">
        <w:rPr>
          <w:szCs w:val="22"/>
        </w:rPr>
        <w:t xml:space="preserve">applicant </w:t>
      </w:r>
      <w:r w:rsidRPr="00774D88" w:rsidR="00FC278F">
        <w:rPr>
          <w:szCs w:val="22"/>
        </w:rPr>
        <w:t>organization.</w:t>
      </w:r>
      <w:r>
        <w:rPr>
          <w:rStyle w:val="FootnoteReference"/>
          <w:sz w:val="22"/>
          <w:szCs w:val="22"/>
        </w:rPr>
        <w:footnoteReference w:id="93"/>
      </w:r>
      <w:r w:rsidRPr="00774D88" w:rsidR="00FC278F">
        <w:rPr>
          <w:szCs w:val="22"/>
        </w:rPr>
        <w:t xml:space="preserve">  </w:t>
      </w:r>
      <w:r w:rsidR="00961069">
        <w:rPr>
          <w:szCs w:val="22"/>
        </w:rPr>
        <w:t xml:space="preserve">While </w:t>
      </w:r>
      <w:r w:rsidRPr="0017001E" w:rsidR="00961069">
        <w:rPr>
          <w:szCs w:val="22"/>
        </w:rPr>
        <w:t xml:space="preserve">many </w:t>
      </w:r>
      <w:r w:rsidRPr="0017001E" w:rsidR="00CC1DFC">
        <w:rPr>
          <w:szCs w:val="22"/>
        </w:rPr>
        <w:t xml:space="preserve">types of employees may be eligible to sign an application, they must </w:t>
      </w:r>
      <w:r w:rsidRPr="0017001E" w:rsidR="001666E0">
        <w:rPr>
          <w:szCs w:val="22"/>
        </w:rPr>
        <w:t xml:space="preserve">still </w:t>
      </w:r>
      <w:r w:rsidRPr="0017001E" w:rsidR="00CC1DFC">
        <w:rPr>
          <w:szCs w:val="22"/>
        </w:rPr>
        <w:t xml:space="preserve">be under the direct control of the </w:t>
      </w:r>
      <w:r w:rsidRPr="0017001E" w:rsidR="00215E46">
        <w:rPr>
          <w:szCs w:val="22"/>
        </w:rPr>
        <w:t xml:space="preserve">applicant </w:t>
      </w:r>
      <w:r w:rsidRPr="0017001E" w:rsidR="00CC1DFC">
        <w:rPr>
          <w:szCs w:val="22"/>
        </w:rPr>
        <w:t>organization to</w:t>
      </w:r>
      <w:r w:rsidRPr="0017001E" w:rsidR="00C305CF">
        <w:rPr>
          <w:szCs w:val="22"/>
        </w:rPr>
        <w:t xml:space="preserve"> sign </w:t>
      </w:r>
      <w:r w:rsidRPr="0017001E" w:rsidR="001666E0">
        <w:rPr>
          <w:szCs w:val="22"/>
        </w:rPr>
        <w:t>an application</w:t>
      </w:r>
      <w:r w:rsidRPr="0017001E" w:rsidR="00C305CF">
        <w:rPr>
          <w:szCs w:val="22"/>
        </w:rPr>
        <w:t>.</w:t>
      </w:r>
      <w:r w:rsidRPr="0017001E" w:rsidR="004D1B5D">
        <w:rPr>
          <w:szCs w:val="22"/>
        </w:rPr>
        <w:t xml:space="preserve">  We believe this </w:t>
      </w:r>
      <w:r w:rsidRPr="0017001E" w:rsidR="0005777D">
        <w:rPr>
          <w:szCs w:val="22"/>
        </w:rPr>
        <w:t xml:space="preserve">requirement </w:t>
      </w:r>
      <w:r w:rsidRPr="0017001E" w:rsidR="004D1B5D">
        <w:rPr>
          <w:szCs w:val="22"/>
        </w:rPr>
        <w:t xml:space="preserve">is necessary </w:t>
      </w:r>
      <w:r w:rsidRPr="0017001E" w:rsidR="001C5460">
        <w:rPr>
          <w:szCs w:val="22"/>
        </w:rPr>
        <w:t xml:space="preserve">to ensure </w:t>
      </w:r>
      <w:r w:rsidRPr="0017001E" w:rsidR="00DE0DCA">
        <w:rPr>
          <w:szCs w:val="22"/>
        </w:rPr>
        <w:t xml:space="preserve">that </w:t>
      </w:r>
      <w:r w:rsidRPr="0017001E" w:rsidR="005703F4">
        <w:rPr>
          <w:szCs w:val="22"/>
        </w:rPr>
        <w:t xml:space="preserve">our broad definition </w:t>
      </w:r>
      <w:r w:rsidRPr="0017001E" w:rsidR="002E72A3">
        <w:rPr>
          <w:szCs w:val="22"/>
        </w:rPr>
        <w:t xml:space="preserve">of employee </w:t>
      </w:r>
      <w:r w:rsidRPr="0017001E" w:rsidR="002815CD">
        <w:rPr>
          <w:szCs w:val="22"/>
        </w:rPr>
        <w:t xml:space="preserve">has </w:t>
      </w:r>
      <w:r w:rsidRPr="0017001E" w:rsidR="00773203">
        <w:rPr>
          <w:szCs w:val="22"/>
        </w:rPr>
        <w:t xml:space="preserve">no adverse </w:t>
      </w:r>
      <w:r w:rsidRPr="0017001E" w:rsidR="000929E4">
        <w:rPr>
          <w:szCs w:val="22"/>
        </w:rPr>
        <w:t xml:space="preserve">effect upon </w:t>
      </w:r>
      <w:r w:rsidRPr="0017001E" w:rsidR="009E0744">
        <w:rPr>
          <w:szCs w:val="22"/>
        </w:rPr>
        <w:t>licensee responsibility and accountability</w:t>
      </w:r>
      <w:r w:rsidRPr="0017001E" w:rsidR="008F3D6A">
        <w:rPr>
          <w:szCs w:val="22"/>
        </w:rPr>
        <w:t>.</w:t>
      </w:r>
      <w:r>
        <w:rPr>
          <w:rStyle w:val="FootnoteReference"/>
          <w:szCs w:val="22"/>
        </w:rPr>
        <w:footnoteReference w:id="94"/>
      </w:r>
      <w:r w:rsidR="00C305CF">
        <w:rPr>
          <w:szCs w:val="22"/>
        </w:rPr>
        <w:t xml:space="preserve">  </w:t>
      </w:r>
      <w:r w:rsidRPr="00774D88" w:rsidR="00B204E3">
        <w:rPr>
          <w:szCs w:val="22"/>
        </w:rPr>
        <w:t>Accordingly, we revise section</w:t>
      </w:r>
      <w:r w:rsidRPr="00BD544D" w:rsidR="00B204E3">
        <w:rPr>
          <w:szCs w:val="22"/>
        </w:rPr>
        <w:t xml:space="preserve"> 73.3513(a)</w:t>
      </w:r>
      <w:r w:rsidRPr="00BD544D" w:rsidR="0015448C">
        <w:rPr>
          <w:szCs w:val="22"/>
        </w:rPr>
        <w:t>(2)</w:t>
      </w:r>
      <w:r w:rsidRPr="00BD544D" w:rsidR="00CC292E">
        <w:rPr>
          <w:szCs w:val="22"/>
        </w:rPr>
        <w:t xml:space="preserve">, (3), (4), and </w:t>
      </w:r>
      <w:r w:rsidRPr="00BD544D" w:rsidR="0015448C">
        <w:rPr>
          <w:szCs w:val="22"/>
        </w:rPr>
        <w:t xml:space="preserve">(5), </w:t>
      </w:r>
      <w:r w:rsidRPr="00BD544D" w:rsidR="00E504B8">
        <w:rPr>
          <w:szCs w:val="22"/>
        </w:rPr>
        <w:t xml:space="preserve">to </w:t>
      </w:r>
      <w:r w:rsidRPr="00BD544D" w:rsidR="00877AF5">
        <w:rPr>
          <w:szCs w:val="22"/>
        </w:rPr>
        <w:t xml:space="preserve">include a “duly authorized employee.” </w:t>
      </w:r>
    </w:p>
    <w:p w:rsidR="002520F8" w:rsidRPr="00BD544D" w:rsidP="00E57860" w14:paraId="0B66C265" w14:textId="7DDF4926">
      <w:pPr>
        <w:pStyle w:val="ParaNum"/>
        <w:rPr>
          <w:szCs w:val="22"/>
        </w:rPr>
      </w:pPr>
      <w:r w:rsidRPr="00BD544D">
        <w:rPr>
          <w:szCs w:val="22"/>
        </w:rPr>
        <w:t xml:space="preserve">In response to </w:t>
      </w:r>
      <w:r w:rsidRPr="00BD544D" w:rsidR="00952E61">
        <w:rPr>
          <w:szCs w:val="22"/>
        </w:rPr>
        <w:t xml:space="preserve">the </w:t>
      </w:r>
      <w:r w:rsidRPr="00BD544D">
        <w:rPr>
          <w:i/>
          <w:iCs/>
          <w:szCs w:val="22"/>
        </w:rPr>
        <w:t>NPRM</w:t>
      </w:r>
      <w:r w:rsidRPr="00BD544D" w:rsidR="00952E61">
        <w:rPr>
          <w:i/>
          <w:iCs/>
          <w:szCs w:val="22"/>
        </w:rPr>
        <w:t>’s</w:t>
      </w:r>
      <w:r w:rsidRPr="00BD544D">
        <w:rPr>
          <w:szCs w:val="22"/>
        </w:rPr>
        <w:t xml:space="preserve"> proposal, commenters also seek an opportunity to amend or correct Signature Rule violations.  Specifically, Prometheus </w:t>
      </w:r>
      <w:r w:rsidRPr="00BD544D" w:rsidR="00F32D34">
        <w:rPr>
          <w:szCs w:val="22"/>
        </w:rPr>
        <w:t>r</w:t>
      </w:r>
      <w:r w:rsidRPr="00BD544D">
        <w:rPr>
          <w:szCs w:val="22"/>
        </w:rPr>
        <w:t>equests a “procedural mechanism” to correct signature rule violations.</w:t>
      </w:r>
      <w:r>
        <w:rPr>
          <w:rStyle w:val="FootnoteReference"/>
          <w:sz w:val="22"/>
          <w:szCs w:val="22"/>
        </w:rPr>
        <w:footnoteReference w:id="95"/>
      </w:r>
      <w:r w:rsidRPr="00BD544D">
        <w:rPr>
          <w:szCs w:val="22"/>
        </w:rPr>
        <w:t xml:space="preserve">  REC argues that if an application is dismissed due to a Signature Rule violation, that the application should be eligible for </w:t>
      </w:r>
      <w:r w:rsidRPr="00BD544D">
        <w:rPr>
          <w:i/>
          <w:iCs/>
          <w:szCs w:val="22"/>
        </w:rPr>
        <w:t xml:space="preserve">nunc pro tunc </w:t>
      </w:r>
      <w:r w:rsidRPr="00BD544D">
        <w:rPr>
          <w:szCs w:val="22"/>
        </w:rPr>
        <w:t>reinstatement</w:t>
      </w:r>
      <w:r w:rsidRPr="00BD544D" w:rsidR="00025745">
        <w:rPr>
          <w:szCs w:val="22"/>
        </w:rPr>
        <w:t>,</w:t>
      </w:r>
      <w:r>
        <w:rPr>
          <w:rStyle w:val="FootnoteReference"/>
          <w:sz w:val="22"/>
          <w:szCs w:val="22"/>
        </w:rPr>
        <w:footnoteReference w:id="96"/>
      </w:r>
      <w:r w:rsidRPr="00BD544D">
        <w:rPr>
          <w:szCs w:val="22"/>
        </w:rPr>
        <w:t xml:space="preserve"> </w:t>
      </w:r>
      <w:r w:rsidRPr="00BD544D" w:rsidR="00025745">
        <w:rPr>
          <w:szCs w:val="22"/>
        </w:rPr>
        <w:t>contending</w:t>
      </w:r>
      <w:r w:rsidRPr="00BD544D">
        <w:rPr>
          <w:szCs w:val="22"/>
        </w:rPr>
        <w:t xml:space="preserve"> that the Commission should change its strict adherence to the Signature Rule, under which violation is a fatal</w:t>
      </w:r>
      <w:r w:rsidRPr="00BD544D" w:rsidR="004F22BC">
        <w:rPr>
          <w:szCs w:val="22"/>
        </w:rPr>
        <w:t>, non-amendable</w:t>
      </w:r>
      <w:r w:rsidRPr="00BD544D">
        <w:rPr>
          <w:szCs w:val="22"/>
        </w:rPr>
        <w:t xml:space="preserve"> application </w:t>
      </w:r>
      <w:r w:rsidRPr="00BD544D" w:rsidR="004F22BC">
        <w:rPr>
          <w:szCs w:val="22"/>
        </w:rPr>
        <w:t>defect</w:t>
      </w:r>
      <w:r w:rsidRPr="00BD544D">
        <w:rPr>
          <w:szCs w:val="22"/>
        </w:rPr>
        <w:t>.</w:t>
      </w:r>
      <w:r>
        <w:rPr>
          <w:rStyle w:val="FootnoteReference"/>
          <w:sz w:val="22"/>
          <w:szCs w:val="22"/>
        </w:rPr>
        <w:footnoteReference w:id="97"/>
      </w:r>
      <w:r w:rsidRPr="00BD544D">
        <w:rPr>
          <w:szCs w:val="22"/>
        </w:rPr>
        <w:t xml:space="preserve">  </w:t>
      </w:r>
      <w:r w:rsidRPr="00BD544D" w:rsidR="00173939">
        <w:rPr>
          <w:szCs w:val="22"/>
        </w:rPr>
        <w:t xml:space="preserve">Whether dismissed by the Commission or challenged by pleading, </w:t>
      </w:r>
      <w:r w:rsidRPr="00BD544D">
        <w:rPr>
          <w:szCs w:val="22"/>
        </w:rPr>
        <w:t xml:space="preserve">Prometheus argues that </w:t>
      </w:r>
      <w:r w:rsidRPr="00BD544D" w:rsidR="00E576A8">
        <w:rPr>
          <w:szCs w:val="22"/>
        </w:rPr>
        <w:t xml:space="preserve">applicants </w:t>
      </w:r>
      <w:r w:rsidRPr="00BD544D" w:rsidR="00D53A55">
        <w:rPr>
          <w:szCs w:val="22"/>
        </w:rPr>
        <w:t>should be able to</w:t>
      </w:r>
      <w:r w:rsidRPr="00BD544D" w:rsidR="00E576A8">
        <w:rPr>
          <w:szCs w:val="22"/>
        </w:rPr>
        <w:t xml:space="preserve"> supply by amendment, such as minutes or a notarized party in interest signature,</w:t>
      </w:r>
      <w:r w:rsidRPr="00BD544D" w:rsidR="0065347B">
        <w:rPr>
          <w:szCs w:val="22"/>
        </w:rPr>
        <w:t xml:space="preserve"> </w:t>
      </w:r>
      <w:r w:rsidRPr="00BD544D" w:rsidR="00E576A8">
        <w:rPr>
          <w:szCs w:val="22"/>
        </w:rPr>
        <w:t xml:space="preserve">that the application was the will of the applicant, contrary to the current </w:t>
      </w:r>
      <w:r w:rsidRPr="00BD544D" w:rsidR="00E576A8">
        <w:rPr>
          <w:i/>
          <w:iCs/>
          <w:szCs w:val="22"/>
        </w:rPr>
        <w:t>Rackley</w:t>
      </w:r>
      <w:r w:rsidRPr="00BD544D" w:rsidR="00E576A8">
        <w:rPr>
          <w:szCs w:val="22"/>
        </w:rPr>
        <w:t xml:space="preserve"> restriction.</w:t>
      </w:r>
      <w:r>
        <w:rPr>
          <w:rStyle w:val="FootnoteReference"/>
          <w:sz w:val="22"/>
          <w:szCs w:val="22"/>
        </w:rPr>
        <w:footnoteReference w:id="98"/>
      </w:r>
      <w:r w:rsidRPr="00BD544D">
        <w:rPr>
          <w:szCs w:val="22"/>
        </w:rPr>
        <w:t xml:space="preserve">  REC asserts that if a curable </w:t>
      </w:r>
      <w:r w:rsidRPr="00BD544D">
        <w:rPr>
          <w:i/>
          <w:iCs/>
          <w:szCs w:val="22"/>
        </w:rPr>
        <w:t>nunc pro tunc</w:t>
      </w:r>
      <w:r w:rsidRPr="00BD544D">
        <w:rPr>
          <w:szCs w:val="22"/>
        </w:rPr>
        <w:t xml:space="preserve"> amendment is allowed, the application </w:t>
      </w:r>
      <w:r w:rsidRPr="00BD544D" w:rsidR="00F32D34">
        <w:rPr>
          <w:szCs w:val="22"/>
        </w:rPr>
        <w:t xml:space="preserve">amendment </w:t>
      </w:r>
      <w:r w:rsidRPr="00BD544D">
        <w:rPr>
          <w:szCs w:val="22"/>
        </w:rPr>
        <w:t>should include a notarized statement that the original signatory is employed by the applicant and authorized to sign</w:t>
      </w:r>
      <w:r w:rsidRPr="00BD544D" w:rsidR="00F32D34">
        <w:rPr>
          <w:szCs w:val="22"/>
        </w:rPr>
        <w:t xml:space="preserve"> on behalf of the applicant entity</w:t>
      </w:r>
      <w:r w:rsidRPr="00BD544D">
        <w:rPr>
          <w:szCs w:val="22"/>
        </w:rPr>
        <w:t>.</w:t>
      </w:r>
      <w:r>
        <w:rPr>
          <w:rStyle w:val="FootnoteReference"/>
          <w:sz w:val="22"/>
          <w:szCs w:val="22"/>
        </w:rPr>
        <w:footnoteReference w:id="99"/>
      </w:r>
      <w:r w:rsidRPr="00BD544D">
        <w:rPr>
          <w:szCs w:val="22"/>
        </w:rPr>
        <w:t xml:space="preserve">  Common Frequency proposes that if a signature is contested, the board of directors could provide proof of the signatory’s authority, for example a sworn statement from a director.</w:t>
      </w:r>
      <w:r>
        <w:rPr>
          <w:rStyle w:val="FootnoteReference"/>
          <w:sz w:val="22"/>
          <w:szCs w:val="22"/>
        </w:rPr>
        <w:footnoteReference w:id="100"/>
      </w:r>
    </w:p>
    <w:p w:rsidR="00306043" w:rsidRPr="00BD544D" w:rsidP="002520F8" w14:paraId="333959C9" w14:textId="452E32B7">
      <w:pPr>
        <w:pStyle w:val="ParaNum"/>
        <w:rPr>
          <w:szCs w:val="22"/>
        </w:rPr>
      </w:pPr>
      <w:r w:rsidRPr="00BD544D">
        <w:rPr>
          <w:szCs w:val="22"/>
        </w:rPr>
        <w:t xml:space="preserve">While </w:t>
      </w:r>
      <w:r w:rsidRPr="00BD544D" w:rsidR="007F566C">
        <w:rPr>
          <w:szCs w:val="22"/>
        </w:rPr>
        <w:t>several</w:t>
      </w:r>
      <w:r w:rsidRPr="00BD544D">
        <w:rPr>
          <w:szCs w:val="22"/>
        </w:rPr>
        <w:t xml:space="preserve"> commenters suggest</w:t>
      </w:r>
      <w:r w:rsidRPr="00BD544D" w:rsidR="00C947FD">
        <w:rPr>
          <w:szCs w:val="22"/>
        </w:rPr>
        <w:t xml:space="preserve"> that</w:t>
      </w:r>
      <w:r w:rsidRPr="00BD544D">
        <w:rPr>
          <w:szCs w:val="22"/>
        </w:rPr>
        <w:t xml:space="preserve"> we allow curative amendments an</w:t>
      </w:r>
      <w:r w:rsidRPr="00BD544D" w:rsidR="00F76BFE">
        <w:rPr>
          <w:szCs w:val="22"/>
        </w:rPr>
        <w:t>d</w:t>
      </w:r>
      <w:r w:rsidRPr="00BD544D">
        <w:rPr>
          <w:szCs w:val="22"/>
        </w:rPr>
        <w:t xml:space="preserve"> </w:t>
      </w:r>
      <w:r w:rsidRPr="00BD544D">
        <w:rPr>
          <w:i/>
          <w:iCs/>
          <w:szCs w:val="22"/>
        </w:rPr>
        <w:t xml:space="preserve">nunc pro tunc </w:t>
      </w:r>
      <w:r w:rsidRPr="00BD544D">
        <w:rPr>
          <w:szCs w:val="22"/>
        </w:rPr>
        <w:t>reinstatement of</w:t>
      </w:r>
      <w:r w:rsidRPr="00BD544D" w:rsidR="00E72540">
        <w:rPr>
          <w:szCs w:val="22"/>
        </w:rPr>
        <w:t xml:space="preserve"> applications </w:t>
      </w:r>
      <w:r w:rsidRPr="00BD544D" w:rsidR="00760607">
        <w:rPr>
          <w:szCs w:val="22"/>
        </w:rPr>
        <w:t xml:space="preserve">dismissed for </w:t>
      </w:r>
      <w:r w:rsidRPr="00BD544D">
        <w:rPr>
          <w:szCs w:val="22"/>
        </w:rPr>
        <w:t xml:space="preserve">Signature Rule </w:t>
      </w:r>
      <w:r w:rsidRPr="00BD544D" w:rsidR="00AA5636">
        <w:rPr>
          <w:szCs w:val="22"/>
        </w:rPr>
        <w:t>defects</w:t>
      </w:r>
      <w:r w:rsidRPr="00BD544D">
        <w:rPr>
          <w:szCs w:val="22"/>
        </w:rPr>
        <w:t xml:space="preserve">, </w:t>
      </w:r>
      <w:r w:rsidRPr="00BD544D" w:rsidR="00B67209">
        <w:rPr>
          <w:szCs w:val="22"/>
        </w:rPr>
        <w:t>we decline to adopt th</w:t>
      </w:r>
      <w:r w:rsidRPr="00BD544D" w:rsidR="00760607">
        <w:rPr>
          <w:szCs w:val="22"/>
        </w:rPr>
        <w:t>is</w:t>
      </w:r>
      <w:r w:rsidRPr="00BD544D" w:rsidR="00EC7C44">
        <w:rPr>
          <w:szCs w:val="22"/>
        </w:rPr>
        <w:t xml:space="preserve"> proposal</w:t>
      </w:r>
      <w:r w:rsidR="00D51CFF">
        <w:rPr>
          <w:szCs w:val="22"/>
        </w:rPr>
        <w:t xml:space="preserve">.  We note that the Commission has found </w:t>
      </w:r>
      <w:r w:rsidR="00314A87">
        <w:rPr>
          <w:szCs w:val="22"/>
        </w:rPr>
        <w:t xml:space="preserve">that strict adherence to </w:t>
      </w:r>
      <w:r w:rsidR="00D51CFF">
        <w:rPr>
          <w:szCs w:val="22"/>
        </w:rPr>
        <w:t>signature</w:t>
      </w:r>
      <w:r w:rsidR="00314A87">
        <w:rPr>
          <w:szCs w:val="22"/>
        </w:rPr>
        <w:t xml:space="preserve"> requirements is critical in holding applicants accountable for the truthfulness and accuracy of their applications.</w:t>
      </w:r>
      <w:r>
        <w:rPr>
          <w:rStyle w:val="FootnoteReference"/>
          <w:szCs w:val="22"/>
        </w:rPr>
        <w:footnoteReference w:id="101"/>
      </w:r>
      <w:r w:rsidR="00314A87">
        <w:rPr>
          <w:szCs w:val="22"/>
        </w:rPr>
        <w:t xml:space="preserve">  </w:t>
      </w:r>
      <w:r w:rsidRPr="00BD544D" w:rsidR="00760607">
        <w:rPr>
          <w:szCs w:val="22"/>
        </w:rPr>
        <w:t>W</w:t>
      </w:r>
      <w:r w:rsidRPr="00BD544D" w:rsidR="00F76BFE">
        <w:rPr>
          <w:szCs w:val="22"/>
        </w:rPr>
        <w:t>e anticipate that our broadening</w:t>
      </w:r>
      <w:r w:rsidRPr="00BD544D">
        <w:rPr>
          <w:szCs w:val="22"/>
        </w:rPr>
        <w:t xml:space="preserve"> of the definition</w:t>
      </w:r>
      <w:r w:rsidRPr="00BD544D" w:rsidR="00050B96">
        <w:rPr>
          <w:szCs w:val="22"/>
        </w:rPr>
        <w:t xml:space="preserve"> of who can certify and sign </w:t>
      </w:r>
      <w:r w:rsidRPr="00BD544D" w:rsidR="00760607">
        <w:rPr>
          <w:szCs w:val="22"/>
        </w:rPr>
        <w:t xml:space="preserve">an </w:t>
      </w:r>
      <w:r w:rsidRPr="00BD544D" w:rsidR="00050B96">
        <w:rPr>
          <w:szCs w:val="22"/>
        </w:rPr>
        <w:t>application</w:t>
      </w:r>
      <w:r w:rsidRPr="00BD544D" w:rsidR="003A3C06">
        <w:rPr>
          <w:szCs w:val="22"/>
        </w:rPr>
        <w:t xml:space="preserve"> to include </w:t>
      </w:r>
      <w:r w:rsidRPr="00BD544D" w:rsidR="00760607">
        <w:rPr>
          <w:szCs w:val="22"/>
        </w:rPr>
        <w:t xml:space="preserve">a </w:t>
      </w:r>
      <w:r w:rsidRPr="00BD544D" w:rsidR="002F79BE">
        <w:rPr>
          <w:szCs w:val="22"/>
        </w:rPr>
        <w:t>“</w:t>
      </w:r>
      <w:r w:rsidRPr="00BD544D" w:rsidR="003A3C06">
        <w:rPr>
          <w:szCs w:val="22"/>
        </w:rPr>
        <w:t>duly authorized employee</w:t>
      </w:r>
      <w:r w:rsidRPr="00BD544D" w:rsidR="002F79BE">
        <w:rPr>
          <w:szCs w:val="22"/>
        </w:rPr>
        <w:t>”</w:t>
      </w:r>
      <w:r w:rsidRPr="00BD544D" w:rsidR="000575F1">
        <w:rPr>
          <w:szCs w:val="22"/>
        </w:rPr>
        <w:t xml:space="preserve"> </w:t>
      </w:r>
      <w:r w:rsidRPr="00BD544D" w:rsidR="00EC7C44">
        <w:rPr>
          <w:szCs w:val="22"/>
        </w:rPr>
        <w:t xml:space="preserve">will </w:t>
      </w:r>
      <w:r w:rsidRPr="00BD544D" w:rsidR="00F71CD1">
        <w:rPr>
          <w:szCs w:val="22"/>
        </w:rPr>
        <w:t>significantly decrease the</w:t>
      </w:r>
      <w:r w:rsidRPr="00BD544D" w:rsidR="00D75D6C">
        <w:rPr>
          <w:szCs w:val="22"/>
        </w:rPr>
        <w:t xml:space="preserve"> number of</w:t>
      </w:r>
      <w:r w:rsidRPr="00BD544D" w:rsidR="00EC7C44">
        <w:rPr>
          <w:szCs w:val="22"/>
        </w:rPr>
        <w:t xml:space="preserve"> </w:t>
      </w:r>
      <w:r w:rsidRPr="00BD544D" w:rsidR="008A3F20">
        <w:rPr>
          <w:szCs w:val="22"/>
        </w:rPr>
        <w:t xml:space="preserve">Signature Rule violations and </w:t>
      </w:r>
      <w:r w:rsidRPr="00BD544D" w:rsidR="00760607">
        <w:rPr>
          <w:szCs w:val="22"/>
        </w:rPr>
        <w:t xml:space="preserve">application </w:t>
      </w:r>
      <w:r w:rsidRPr="00BD544D" w:rsidR="00B96A13">
        <w:rPr>
          <w:szCs w:val="22"/>
        </w:rPr>
        <w:t>dismiss</w:t>
      </w:r>
      <w:r w:rsidRPr="00BD544D" w:rsidR="00DF36B0">
        <w:rPr>
          <w:szCs w:val="22"/>
        </w:rPr>
        <w:t>al</w:t>
      </w:r>
      <w:r w:rsidRPr="00BD544D" w:rsidR="008A3F20">
        <w:rPr>
          <w:szCs w:val="22"/>
        </w:rPr>
        <w:t xml:space="preserve">s.  Moreover, </w:t>
      </w:r>
      <w:r w:rsidRPr="00BD544D" w:rsidR="00210274">
        <w:rPr>
          <w:szCs w:val="22"/>
        </w:rPr>
        <w:t xml:space="preserve">we are </w:t>
      </w:r>
      <w:r w:rsidR="00D36B73">
        <w:rPr>
          <w:szCs w:val="22"/>
        </w:rPr>
        <w:t xml:space="preserve">directing </w:t>
      </w:r>
      <w:r w:rsidR="00975E19">
        <w:rPr>
          <w:szCs w:val="22"/>
        </w:rPr>
        <w:t>the Bureau to</w:t>
      </w:r>
      <w:r w:rsidRPr="00BD544D" w:rsidR="00050B96">
        <w:rPr>
          <w:szCs w:val="22"/>
        </w:rPr>
        <w:t xml:space="preserve"> interpret</w:t>
      </w:r>
      <w:r w:rsidRPr="00BD544D" w:rsidR="0048153A">
        <w:rPr>
          <w:szCs w:val="22"/>
        </w:rPr>
        <w:t xml:space="preserve"> the </w:t>
      </w:r>
      <w:r w:rsidRPr="00BD544D" w:rsidR="00BB5008">
        <w:rPr>
          <w:szCs w:val="22"/>
        </w:rPr>
        <w:t>term</w:t>
      </w:r>
      <w:r w:rsidRPr="00BD544D" w:rsidR="00050B96">
        <w:rPr>
          <w:szCs w:val="22"/>
        </w:rPr>
        <w:t xml:space="preserve"> </w:t>
      </w:r>
      <w:r w:rsidRPr="00BD544D" w:rsidR="00BB5008">
        <w:rPr>
          <w:szCs w:val="22"/>
        </w:rPr>
        <w:t>“</w:t>
      </w:r>
      <w:r w:rsidRPr="00BD544D" w:rsidR="00050B96">
        <w:rPr>
          <w:szCs w:val="22"/>
        </w:rPr>
        <w:t>employee</w:t>
      </w:r>
      <w:r w:rsidRPr="00BD544D" w:rsidR="00BB5008">
        <w:rPr>
          <w:szCs w:val="22"/>
        </w:rPr>
        <w:t>”</w:t>
      </w:r>
      <w:r w:rsidRPr="00BD544D" w:rsidR="0048153A">
        <w:rPr>
          <w:szCs w:val="22"/>
        </w:rPr>
        <w:t xml:space="preserve"> broadly</w:t>
      </w:r>
      <w:r w:rsidRPr="00BD544D" w:rsidR="00162DB6">
        <w:rPr>
          <w:szCs w:val="22"/>
        </w:rPr>
        <w:t xml:space="preserve">.  </w:t>
      </w:r>
      <w:r w:rsidRPr="00BD544D" w:rsidR="007F0E3F">
        <w:rPr>
          <w:szCs w:val="22"/>
        </w:rPr>
        <w:t>We expect that t</w:t>
      </w:r>
      <w:r w:rsidRPr="00BD544D" w:rsidR="00162DB6">
        <w:rPr>
          <w:szCs w:val="22"/>
        </w:rPr>
        <w:t>his</w:t>
      </w:r>
      <w:r w:rsidRPr="00BD544D" w:rsidR="009C565B">
        <w:rPr>
          <w:szCs w:val="22"/>
        </w:rPr>
        <w:t xml:space="preserve"> expanded</w:t>
      </w:r>
      <w:r w:rsidRPr="00BD544D" w:rsidR="00162DB6">
        <w:rPr>
          <w:szCs w:val="22"/>
        </w:rPr>
        <w:t xml:space="preserve"> processing policy will</w:t>
      </w:r>
      <w:r w:rsidRPr="00BD544D">
        <w:rPr>
          <w:szCs w:val="22"/>
        </w:rPr>
        <w:t xml:space="preserve"> </w:t>
      </w:r>
      <w:r w:rsidR="00060685">
        <w:rPr>
          <w:szCs w:val="22"/>
        </w:rPr>
        <w:t>reduce</w:t>
      </w:r>
      <w:r w:rsidRPr="00BD544D" w:rsidR="002C373F">
        <w:rPr>
          <w:szCs w:val="22"/>
        </w:rPr>
        <w:t xml:space="preserve"> </w:t>
      </w:r>
      <w:r w:rsidRPr="00BD544D" w:rsidR="00BB5008">
        <w:rPr>
          <w:szCs w:val="22"/>
        </w:rPr>
        <w:t xml:space="preserve">prospective </w:t>
      </w:r>
      <w:r w:rsidRPr="00BD544D" w:rsidR="002C373F">
        <w:rPr>
          <w:szCs w:val="22"/>
        </w:rPr>
        <w:t xml:space="preserve">Signature Rule violations and </w:t>
      </w:r>
      <w:r w:rsidRPr="00BD544D" w:rsidR="00836998">
        <w:rPr>
          <w:szCs w:val="22"/>
        </w:rPr>
        <w:t>application</w:t>
      </w:r>
      <w:r w:rsidRPr="00BD544D" w:rsidR="00050B96">
        <w:rPr>
          <w:szCs w:val="22"/>
        </w:rPr>
        <w:t xml:space="preserve"> </w:t>
      </w:r>
      <w:r w:rsidRPr="00BD544D" w:rsidR="009F4DD4">
        <w:rPr>
          <w:szCs w:val="22"/>
        </w:rPr>
        <w:t>signature defects</w:t>
      </w:r>
      <w:r w:rsidR="004905A8">
        <w:rPr>
          <w:szCs w:val="22"/>
        </w:rPr>
        <w:t>, while at the same time</w:t>
      </w:r>
      <w:r w:rsidR="005C3624">
        <w:rPr>
          <w:szCs w:val="22"/>
        </w:rPr>
        <w:t xml:space="preserve"> will </w:t>
      </w:r>
      <w:r w:rsidR="004905A8">
        <w:rPr>
          <w:szCs w:val="22"/>
        </w:rPr>
        <w:t>safeguard</w:t>
      </w:r>
      <w:r w:rsidR="00927644">
        <w:rPr>
          <w:szCs w:val="22"/>
        </w:rPr>
        <w:t xml:space="preserve"> the integrity of the Commission’s processes </w:t>
      </w:r>
      <w:r w:rsidR="00352860">
        <w:rPr>
          <w:szCs w:val="22"/>
        </w:rPr>
        <w:t xml:space="preserve">that the Signature Rule was </w:t>
      </w:r>
      <w:r w:rsidR="00002B7D">
        <w:rPr>
          <w:szCs w:val="22"/>
        </w:rPr>
        <w:t>designed</w:t>
      </w:r>
      <w:r w:rsidR="00352860">
        <w:rPr>
          <w:szCs w:val="22"/>
        </w:rPr>
        <w:t xml:space="preserve"> to protect</w:t>
      </w:r>
      <w:r w:rsidRPr="00BD544D" w:rsidR="00050B96">
        <w:rPr>
          <w:szCs w:val="22"/>
        </w:rPr>
        <w:t xml:space="preserve">. </w:t>
      </w:r>
      <w:r w:rsidRPr="00BD544D" w:rsidR="00BE679F">
        <w:rPr>
          <w:szCs w:val="22"/>
        </w:rPr>
        <w:t xml:space="preserve"> </w:t>
      </w:r>
      <w:r w:rsidRPr="00BD544D" w:rsidR="00AA0DAA">
        <w:rPr>
          <w:szCs w:val="22"/>
        </w:rPr>
        <w:t xml:space="preserve">In light of </w:t>
      </w:r>
      <w:r w:rsidRPr="00BD544D" w:rsidR="004172B4">
        <w:rPr>
          <w:szCs w:val="22"/>
        </w:rPr>
        <w:t xml:space="preserve">our </w:t>
      </w:r>
      <w:r w:rsidRPr="00BD544D" w:rsidR="00073D62">
        <w:rPr>
          <w:szCs w:val="22"/>
        </w:rPr>
        <w:t>expanded</w:t>
      </w:r>
      <w:r w:rsidRPr="00BD544D" w:rsidR="004172B4">
        <w:rPr>
          <w:szCs w:val="22"/>
        </w:rPr>
        <w:t xml:space="preserve"> definition of who may sign an </w:t>
      </w:r>
      <w:r w:rsidRPr="00BD544D" w:rsidR="004172B4">
        <w:rPr>
          <w:szCs w:val="22"/>
        </w:rPr>
        <w:t xml:space="preserve">application, and our </w:t>
      </w:r>
      <w:r w:rsidRPr="00BD544D" w:rsidR="00073D62">
        <w:rPr>
          <w:szCs w:val="22"/>
        </w:rPr>
        <w:t>broad</w:t>
      </w:r>
      <w:r w:rsidRPr="00BD544D" w:rsidR="004172B4">
        <w:rPr>
          <w:szCs w:val="22"/>
        </w:rPr>
        <w:t xml:space="preserve"> interpretation of the term </w:t>
      </w:r>
      <w:r w:rsidRPr="00BD544D" w:rsidR="00932733">
        <w:rPr>
          <w:szCs w:val="22"/>
        </w:rPr>
        <w:t xml:space="preserve">“employee,” we decline to </w:t>
      </w:r>
      <w:r w:rsidRPr="00BD544D" w:rsidR="00096A14">
        <w:rPr>
          <w:szCs w:val="22"/>
        </w:rPr>
        <w:t>modify the</w:t>
      </w:r>
      <w:r w:rsidRPr="00BD544D" w:rsidR="00686C58">
        <w:rPr>
          <w:szCs w:val="22"/>
        </w:rPr>
        <w:t xml:space="preserve"> </w:t>
      </w:r>
      <w:r w:rsidRPr="00BD544D" w:rsidR="00096A14">
        <w:rPr>
          <w:szCs w:val="22"/>
        </w:rPr>
        <w:t xml:space="preserve">current </w:t>
      </w:r>
      <w:r w:rsidRPr="00BD544D" w:rsidR="00686C58">
        <w:rPr>
          <w:szCs w:val="22"/>
        </w:rPr>
        <w:t xml:space="preserve">curative amendment </w:t>
      </w:r>
      <w:r w:rsidRPr="00BD544D" w:rsidR="005F2B88">
        <w:rPr>
          <w:szCs w:val="22"/>
        </w:rPr>
        <w:t xml:space="preserve">or </w:t>
      </w:r>
      <w:r w:rsidRPr="00BD544D" w:rsidR="005F2B88">
        <w:rPr>
          <w:i/>
          <w:iCs/>
          <w:szCs w:val="22"/>
        </w:rPr>
        <w:t xml:space="preserve">nunc pro tunc </w:t>
      </w:r>
      <w:r w:rsidRPr="00BD544D" w:rsidR="005F2B88">
        <w:rPr>
          <w:szCs w:val="22"/>
        </w:rPr>
        <w:t>reinstatement</w:t>
      </w:r>
      <w:r w:rsidRPr="00BD544D" w:rsidR="006D355C">
        <w:rPr>
          <w:szCs w:val="22"/>
        </w:rPr>
        <w:t xml:space="preserve"> </w:t>
      </w:r>
      <w:r w:rsidRPr="00BD544D" w:rsidR="00096A14">
        <w:rPr>
          <w:szCs w:val="22"/>
        </w:rPr>
        <w:t xml:space="preserve">procedures </w:t>
      </w:r>
      <w:r w:rsidRPr="00BD544D" w:rsidR="006D355C">
        <w:rPr>
          <w:szCs w:val="22"/>
        </w:rPr>
        <w:t xml:space="preserve">for </w:t>
      </w:r>
      <w:r w:rsidRPr="00BD544D" w:rsidR="00FE01FC">
        <w:rPr>
          <w:szCs w:val="22"/>
        </w:rPr>
        <w:t xml:space="preserve">application dismissals for </w:t>
      </w:r>
      <w:r w:rsidRPr="00BD544D" w:rsidR="006D355C">
        <w:rPr>
          <w:szCs w:val="22"/>
        </w:rPr>
        <w:t>Signature Rule violations</w:t>
      </w:r>
      <w:r w:rsidRPr="00BD544D" w:rsidR="00932733">
        <w:rPr>
          <w:szCs w:val="22"/>
        </w:rPr>
        <w:t>.</w:t>
      </w:r>
    </w:p>
    <w:p w:rsidR="00017D14" w:rsidRPr="00BD544D" w:rsidP="004B6A66" w14:paraId="319F6541" w14:textId="5D979123">
      <w:pPr>
        <w:pStyle w:val="Heading2"/>
      </w:pPr>
      <w:r w:rsidRPr="00BD544D">
        <w:t>Local Public Notice Requirement After Acceptance for Filing</w:t>
      </w:r>
    </w:p>
    <w:p w:rsidR="00575EC1" w:rsidRPr="00BD544D" w:rsidP="0074307B" w14:paraId="52265A8D" w14:textId="52C82E73">
      <w:pPr>
        <w:pStyle w:val="ParaNum"/>
        <w:rPr>
          <w:szCs w:val="22"/>
        </w:rPr>
      </w:pPr>
      <w:r w:rsidRPr="00BD544D">
        <w:rPr>
          <w:szCs w:val="22"/>
        </w:rPr>
        <w:t xml:space="preserve">The </w:t>
      </w:r>
      <w:r w:rsidRPr="00BD544D">
        <w:rPr>
          <w:i/>
          <w:iCs/>
          <w:szCs w:val="22"/>
        </w:rPr>
        <w:t>NPRM</w:t>
      </w:r>
      <w:r w:rsidRPr="00BD544D">
        <w:rPr>
          <w:szCs w:val="22"/>
        </w:rPr>
        <w:t xml:space="preserve"> propose</w:t>
      </w:r>
      <w:r w:rsidRPr="00BD544D" w:rsidR="00F32A26">
        <w:rPr>
          <w:szCs w:val="22"/>
        </w:rPr>
        <w:t>d</w:t>
      </w:r>
      <w:r w:rsidRPr="00BD544D">
        <w:rPr>
          <w:szCs w:val="22"/>
        </w:rPr>
        <w:t xml:space="preserve"> to codify </w:t>
      </w:r>
      <w:r w:rsidRPr="00BD544D" w:rsidR="00B32428">
        <w:rPr>
          <w:szCs w:val="22"/>
        </w:rPr>
        <w:t xml:space="preserve">the established practice concerning </w:t>
      </w:r>
      <w:r w:rsidRPr="00BD544D">
        <w:rPr>
          <w:szCs w:val="22"/>
        </w:rPr>
        <w:t>when applicants for new NCE FM, NCE TV, or LPFM construction permits must give local public notice of their applications</w:t>
      </w:r>
      <w:r w:rsidRPr="00BD544D" w:rsidR="002F46F2">
        <w:rPr>
          <w:szCs w:val="22"/>
        </w:rPr>
        <w:t>.</w:t>
      </w:r>
      <w:r>
        <w:rPr>
          <w:rStyle w:val="FootnoteReference"/>
          <w:sz w:val="22"/>
          <w:szCs w:val="22"/>
        </w:rPr>
        <w:footnoteReference w:id="102"/>
      </w:r>
      <w:r w:rsidRPr="00BD544D" w:rsidR="00E7638C">
        <w:rPr>
          <w:szCs w:val="22"/>
        </w:rPr>
        <w:t xml:space="preserve">  </w:t>
      </w:r>
      <w:r w:rsidRPr="00BD544D" w:rsidR="0065728D">
        <w:rPr>
          <w:szCs w:val="22"/>
        </w:rPr>
        <w:t xml:space="preserve">Section 73.3580 of our Rules sets out what types of applicants and licensees are required to provide </w:t>
      </w:r>
      <w:r w:rsidRPr="00BD544D" w:rsidR="00EB1F59">
        <w:rPr>
          <w:szCs w:val="22"/>
        </w:rPr>
        <w:t xml:space="preserve">local </w:t>
      </w:r>
      <w:r w:rsidRPr="00BD544D" w:rsidR="0065728D">
        <w:rPr>
          <w:szCs w:val="22"/>
        </w:rPr>
        <w:t>public notice, what applications trigger the requirement, the timing of the notice</w:t>
      </w:r>
      <w:r w:rsidRPr="00BD544D" w:rsidR="00010232">
        <w:rPr>
          <w:szCs w:val="22"/>
        </w:rPr>
        <w:t>,</w:t>
      </w:r>
      <w:r w:rsidRPr="00BD544D" w:rsidR="0065728D">
        <w:rPr>
          <w:szCs w:val="22"/>
        </w:rPr>
        <w:t xml:space="preserve"> and the content of the notice.</w:t>
      </w:r>
      <w:r>
        <w:rPr>
          <w:rStyle w:val="FootnoteReference"/>
          <w:sz w:val="22"/>
          <w:szCs w:val="22"/>
        </w:rPr>
        <w:footnoteReference w:id="103"/>
      </w:r>
      <w:r w:rsidRPr="00BD544D" w:rsidR="0065728D">
        <w:rPr>
          <w:szCs w:val="22"/>
        </w:rPr>
        <w:t xml:space="preserve">  </w:t>
      </w:r>
      <w:r w:rsidRPr="00BD544D" w:rsidR="00D11A9E">
        <w:rPr>
          <w:szCs w:val="22"/>
        </w:rPr>
        <w:t>The current ru</w:t>
      </w:r>
      <w:r w:rsidRPr="00BD544D" w:rsidR="00CB1723">
        <w:rPr>
          <w:szCs w:val="22"/>
        </w:rPr>
        <w:t>le provides that the</w:t>
      </w:r>
      <w:r w:rsidRPr="00BD544D" w:rsidR="00D11A9E">
        <w:rPr>
          <w:szCs w:val="22"/>
        </w:rPr>
        <w:t xml:space="preserve"> Commission’s release of an “acceptance public notice” of a newly filed application triggers the applicant’s local public notice obligation</w:t>
      </w:r>
      <w:r w:rsidRPr="00BD544D" w:rsidR="00CB1723">
        <w:rPr>
          <w:szCs w:val="22"/>
        </w:rPr>
        <w:t>.</w:t>
      </w:r>
      <w:r>
        <w:rPr>
          <w:rStyle w:val="FootnoteReference"/>
          <w:sz w:val="22"/>
          <w:szCs w:val="22"/>
        </w:rPr>
        <w:footnoteReference w:id="104"/>
      </w:r>
      <w:r w:rsidRPr="00BD544D" w:rsidR="00CB1723">
        <w:rPr>
          <w:szCs w:val="22"/>
        </w:rPr>
        <w:t xml:space="preserve">  </w:t>
      </w:r>
      <w:r w:rsidRPr="00BD544D" w:rsidR="001956C4">
        <w:rPr>
          <w:szCs w:val="22"/>
        </w:rPr>
        <w:t>Section 73.3580(a)(1) defines an acceptance public notice as:  “A Commission public notice announcing that an application has been accepted for filing.”</w:t>
      </w:r>
      <w:r>
        <w:rPr>
          <w:rStyle w:val="FootnoteReference"/>
          <w:sz w:val="22"/>
          <w:szCs w:val="22"/>
        </w:rPr>
        <w:footnoteReference w:id="105"/>
      </w:r>
      <w:r w:rsidRPr="00BD544D" w:rsidR="001956C4">
        <w:rPr>
          <w:szCs w:val="22"/>
        </w:rPr>
        <w:t xml:space="preserve"> </w:t>
      </w:r>
      <w:r w:rsidRPr="00BD544D" w:rsidR="00D741D0">
        <w:rPr>
          <w:szCs w:val="22"/>
        </w:rPr>
        <w:t xml:space="preserve"> </w:t>
      </w:r>
    </w:p>
    <w:p w:rsidR="00F353AD" w:rsidRPr="00BD544D" w:rsidP="0074307B" w14:paraId="4292944D" w14:textId="25B6A42A">
      <w:pPr>
        <w:pStyle w:val="ParaNum"/>
        <w:rPr>
          <w:szCs w:val="22"/>
        </w:rPr>
      </w:pPr>
      <w:r w:rsidRPr="00BD544D">
        <w:rPr>
          <w:szCs w:val="22"/>
        </w:rPr>
        <w:t xml:space="preserve">However, the current rule does not </w:t>
      </w:r>
      <w:r w:rsidR="00875003">
        <w:rPr>
          <w:szCs w:val="22"/>
        </w:rPr>
        <w:t>specify</w:t>
      </w:r>
      <w:r w:rsidRPr="00BD544D">
        <w:rPr>
          <w:szCs w:val="22"/>
        </w:rPr>
        <w:t xml:space="preserve"> all of the ways that the Commission announces tentative selectees for new NCE FM, NCE TV, and LPFM construction permits</w:t>
      </w:r>
      <w:r w:rsidRPr="00BD544D" w:rsidR="002D6992">
        <w:rPr>
          <w:szCs w:val="22"/>
        </w:rPr>
        <w:t>, and accepts the tentative selectees’ application for filing</w:t>
      </w:r>
      <w:r w:rsidR="001445B0">
        <w:rPr>
          <w:szCs w:val="22"/>
        </w:rPr>
        <w:t xml:space="preserve">, </w:t>
      </w:r>
      <w:r w:rsidR="00762BB9">
        <w:rPr>
          <w:szCs w:val="22"/>
        </w:rPr>
        <w:t xml:space="preserve">which </w:t>
      </w:r>
      <w:r w:rsidR="001445B0">
        <w:rPr>
          <w:szCs w:val="22"/>
        </w:rPr>
        <w:t>can take various forms</w:t>
      </w:r>
      <w:r w:rsidRPr="00BD544D" w:rsidR="002D6992">
        <w:rPr>
          <w:szCs w:val="22"/>
        </w:rPr>
        <w:t>.</w:t>
      </w:r>
      <w:r w:rsidRPr="00BD544D">
        <w:rPr>
          <w:szCs w:val="22"/>
        </w:rPr>
        <w:t xml:space="preserve">  </w:t>
      </w:r>
      <w:r w:rsidRPr="00BD544D" w:rsidR="00D746B1">
        <w:rPr>
          <w:szCs w:val="22"/>
        </w:rPr>
        <w:t>The Bureau routinely releases</w:t>
      </w:r>
      <w:r w:rsidRPr="00BD544D" w:rsidR="00DA3AC1">
        <w:rPr>
          <w:szCs w:val="22"/>
        </w:rPr>
        <w:t xml:space="preserve"> with the ‘FCC Daily Digest’</w:t>
      </w:r>
      <w:r w:rsidRPr="00BD544D" w:rsidR="00D746B1">
        <w:rPr>
          <w:szCs w:val="22"/>
        </w:rPr>
        <w:t xml:space="preserve"> its </w:t>
      </w:r>
      <w:r w:rsidRPr="00BD544D" w:rsidR="002A2CA4">
        <w:rPr>
          <w:szCs w:val="22"/>
        </w:rPr>
        <w:t xml:space="preserve">LMS-generated </w:t>
      </w:r>
      <w:r w:rsidRPr="00BD544D" w:rsidR="00D746B1">
        <w:rPr>
          <w:szCs w:val="22"/>
        </w:rPr>
        <w:t>“Applications” public notice that singleton NCE and LPF</w:t>
      </w:r>
      <w:r w:rsidRPr="00BD544D" w:rsidR="002A2CA4">
        <w:rPr>
          <w:szCs w:val="22"/>
        </w:rPr>
        <w:t>M</w:t>
      </w:r>
      <w:r w:rsidRPr="00BD544D" w:rsidR="00D746B1">
        <w:rPr>
          <w:szCs w:val="22"/>
        </w:rPr>
        <w:t xml:space="preserve"> new station construction permit applications have been accepted for filing.</w:t>
      </w:r>
      <w:r>
        <w:rPr>
          <w:rStyle w:val="FootnoteReference"/>
          <w:sz w:val="22"/>
          <w:szCs w:val="22"/>
        </w:rPr>
        <w:footnoteReference w:id="106"/>
      </w:r>
      <w:r w:rsidRPr="00BD544D" w:rsidR="00D746B1">
        <w:rPr>
          <w:szCs w:val="22"/>
        </w:rPr>
        <w:t xml:space="preserve"> </w:t>
      </w:r>
      <w:r w:rsidRPr="00BD544D" w:rsidR="00CB1723">
        <w:rPr>
          <w:szCs w:val="22"/>
        </w:rPr>
        <w:t xml:space="preserve"> </w:t>
      </w:r>
      <w:r w:rsidRPr="00BD544D" w:rsidR="002A2CA4">
        <w:rPr>
          <w:szCs w:val="22"/>
        </w:rPr>
        <w:t>However, the</w:t>
      </w:r>
      <w:r w:rsidRPr="00BD544D" w:rsidR="00AF72E4">
        <w:rPr>
          <w:szCs w:val="22"/>
        </w:rPr>
        <w:t xml:space="preserve"> LMS-generated </w:t>
      </w:r>
      <w:r w:rsidRPr="00BD544D" w:rsidR="00373235">
        <w:rPr>
          <w:szCs w:val="22"/>
        </w:rPr>
        <w:t xml:space="preserve">Applications </w:t>
      </w:r>
      <w:r w:rsidRPr="00BD544D" w:rsidR="00AF72E4">
        <w:rPr>
          <w:szCs w:val="22"/>
        </w:rPr>
        <w:t>public notice</w:t>
      </w:r>
      <w:r w:rsidRPr="00BD544D" w:rsidR="002A2CA4">
        <w:rPr>
          <w:szCs w:val="22"/>
        </w:rPr>
        <w:t>s</w:t>
      </w:r>
      <w:r w:rsidRPr="00BD544D" w:rsidR="00373235">
        <w:rPr>
          <w:szCs w:val="22"/>
        </w:rPr>
        <w:t xml:space="preserve"> announcing that applications have been accepted for filing</w:t>
      </w:r>
      <w:r w:rsidRPr="00BD544D" w:rsidR="00AF72E4">
        <w:rPr>
          <w:szCs w:val="22"/>
        </w:rPr>
        <w:t xml:space="preserve">, </w:t>
      </w:r>
      <w:r w:rsidRPr="00BD544D" w:rsidR="002A2CA4">
        <w:rPr>
          <w:szCs w:val="22"/>
        </w:rPr>
        <w:t>are</w:t>
      </w:r>
      <w:r w:rsidRPr="00BD544D" w:rsidR="00AF72E4">
        <w:rPr>
          <w:szCs w:val="22"/>
        </w:rPr>
        <w:t xml:space="preserve"> not the only </w:t>
      </w:r>
      <w:r w:rsidRPr="00BD544D" w:rsidR="00373235">
        <w:rPr>
          <w:szCs w:val="22"/>
        </w:rPr>
        <w:t>means by which</w:t>
      </w:r>
      <w:r w:rsidRPr="00BD544D" w:rsidR="00AF72E4">
        <w:rPr>
          <w:szCs w:val="22"/>
        </w:rPr>
        <w:t xml:space="preserve"> </w:t>
      </w:r>
      <w:r w:rsidRPr="00BD544D" w:rsidR="005B1E22">
        <w:rPr>
          <w:szCs w:val="22"/>
        </w:rPr>
        <w:t xml:space="preserve">the local public notice obligation may be triggered. </w:t>
      </w:r>
      <w:r w:rsidRPr="00BD544D" w:rsidR="00D11A9E">
        <w:rPr>
          <w:szCs w:val="22"/>
        </w:rPr>
        <w:t xml:space="preserve"> </w:t>
      </w:r>
      <w:r w:rsidRPr="00BD544D" w:rsidR="00993D02">
        <w:rPr>
          <w:szCs w:val="22"/>
        </w:rPr>
        <w:t xml:space="preserve">In the context of MX NCE FM and LPFM new station construction permit applications, the “accepted for filing” notice, which triggers the section 73.3580 local notice obligation, occurs via other procedural means, </w:t>
      </w:r>
      <w:r w:rsidRPr="00BD544D" w:rsidR="00C8183C">
        <w:rPr>
          <w:szCs w:val="22"/>
        </w:rPr>
        <w:t>most often</w:t>
      </w:r>
      <w:r w:rsidRPr="00BD544D" w:rsidR="00993D02">
        <w:rPr>
          <w:szCs w:val="22"/>
        </w:rPr>
        <w:t xml:space="preserve"> </w:t>
      </w:r>
      <w:r w:rsidRPr="00BD544D" w:rsidR="00C8183C">
        <w:rPr>
          <w:szCs w:val="22"/>
        </w:rPr>
        <w:t xml:space="preserve">contained </w:t>
      </w:r>
      <w:r w:rsidRPr="00BD544D" w:rsidR="00993D02">
        <w:rPr>
          <w:szCs w:val="22"/>
        </w:rPr>
        <w:t>within an omnibus, multi-application, Commission-level or Bureau-level Order or Public Notice</w:t>
      </w:r>
      <w:r w:rsidRPr="00BD544D" w:rsidR="00C8183C">
        <w:rPr>
          <w:szCs w:val="22"/>
        </w:rPr>
        <w:t>.</w:t>
      </w:r>
      <w:r w:rsidRPr="00BD544D" w:rsidR="00993D02">
        <w:rPr>
          <w:szCs w:val="22"/>
        </w:rPr>
        <w:t xml:space="preserve">  </w:t>
      </w:r>
      <w:r w:rsidRPr="00BD544D" w:rsidR="00E2121E">
        <w:rPr>
          <w:szCs w:val="22"/>
        </w:rPr>
        <w:t>A Threshold Fair Distribution of Service Order,</w:t>
      </w:r>
      <w:r>
        <w:rPr>
          <w:rStyle w:val="FootnoteReference"/>
          <w:sz w:val="22"/>
          <w:szCs w:val="22"/>
        </w:rPr>
        <w:footnoteReference w:id="107"/>
      </w:r>
      <w:r w:rsidRPr="00BD544D" w:rsidR="00E2121E">
        <w:rPr>
          <w:szCs w:val="22"/>
        </w:rPr>
        <w:t xml:space="preserve"> an NCE Comparative Points Order,</w:t>
      </w:r>
      <w:r>
        <w:rPr>
          <w:rStyle w:val="FootnoteReference"/>
          <w:sz w:val="22"/>
          <w:szCs w:val="22"/>
        </w:rPr>
        <w:footnoteReference w:id="108"/>
      </w:r>
      <w:r w:rsidRPr="00BD544D" w:rsidR="00E2121E">
        <w:rPr>
          <w:szCs w:val="22"/>
        </w:rPr>
        <w:t xml:space="preserve"> an LPFM Tentative Selectee Order or Public Notice,</w:t>
      </w:r>
      <w:r>
        <w:rPr>
          <w:rStyle w:val="FootnoteReference"/>
          <w:sz w:val="22"/>
          <w:szCs w:val="22"/>
        </w:rPr>
        <w:footnoteReference w:id="109"/>
      </w:r>
      <w:r w:rsidRPr="00BD544D" w:rsidR="00E2121E">
        <w:rPr>
          <w:szCs w:val="22"/>
        </w:rPr>
        <w:t xml:space="preserve"> </w:t>
      </w:r>
      <w:r w:rsidRPr="00BD544D" w:rsidR="003F50AF">
        <w:rPr>
          <w:szCs w:val="22"/>
        </w:rPr>
        <w:t xml:space="preserve">or a Bureau decision issued under delegated authority </w:t>
      </w:r>
      <w:r w:rsidRPr="00BD544D" w:rsidR="003F50AF">
        <w:rPr>
          <w:szCs w:val="22"/>
        </w:rPr>
        <w:t>announcing a new tentative selectee following dismissal of a prior tentative selectee,</w:t>
      </w:r>
      <w:r>
        <w:rPr>
          <w:rStyle w:val="FootnoteReference"/>
          <w:sz w:val="22"/>
          <w:szCs w:val="22"/>
        </w:rPr>
        <w:footnoteReference w:id="110"/>
      </w:r>
      <w:r w:rsidRPr="00BD544D" w:rsidR="003F50AF">
        <w:rPr>
          <w:szCs w:val="22"/>
        </w:rPr>
        <w:t xml:space="preserve"> </w:t>
      </w:r>
      <w:r w:rsidRPr="00BD544D" w:rsidR="00C8183C">
        <w:rPr>
          <w:szCs w:val="22"/>
        </w:rPr>
        <w:t>may</w:t>
      </w:r>
      <w:r w:rsidRPr="00BD544D" w:rsidR="00E2121E">
        <w:rPr>
          <w:szCs w:val="22"/>
        </w:rPr>
        <w:t xml:space="preserve"> all </w:t>
      </w:r>
      <w:r w:rsidRPr="00BD544D" w:rsidR="00C8183C">
        <w:rPr>
          <w:szCs w:val="22"/>
        </w:rPr>
        <w:t>include an “accepted for filing” finding,</w:t>
      </w:r>
      <w:r w:rsidRPr="00BD544D" w:rsidR="00E2121E">
        <w:rPr>
          <w:szCs w:val="22"/>
        </w:rPr>
        <w:t xml:space="preserve"> which triggers that </w:t>
      </w:r>
      <w:r w:rsidRPr="00BD544D" w:rsidR="00EE1C3F">
        <w:rPr>
          <w:szCs w:val="22"/>
        </w:rPr>
        <w:t xml:space="preserve">tentatively selected </w:t>
      </w:r>
      <w:r w:rsidRPr="00BD544D" w:rsidR="00E2121E">
        <w:rPr>
          <w:szCs w:val="22"/>
        </w:rPr>
        <w:t>applicant’s local notice obligation.</w:t>
      </w:r>
      <w:r w:rsidRPr="00BD544D" w:rsidR="000247DA">
        <w:rPr>
          <w:szCs w:val="22"/>
        </w:rPr>
        <w:t xml:space="preserve">  </w:t>
      </w:r>
    </w:p>
    <w:p w:rsidR="005F6A5C" w:rsidRPr="00BD544D" w:rsidP="0074307B" w14:paraId="2BA099B9" w14:textId="7ED5ACDC">
      <w:pPr>
        <w:pStyle w:val="ParaNum"/>
        <w:rPr>
          <w:szCs w:val="22"/>
        </w:rPr>
      </w:pPr>
      <w:r w:rsidRPr="00BD544D">
        <w:rPr>
          <w:szCs w:val="22"/>
        </w:rPr>
        <w:t>Therefore, t</w:t>
      </w:r>
      <w:r w:rsidRPr="00BD544D" w:rsidR="009A1840">
        <w:rPr>
          <w:szCs w:val="22"/>
        </w:rPr>
        <w:t xml:space="preserve">he </w:t>
      </w:r>
      <w:r w:rsidRPr="00BD544D" w:rsidR="009A1840">
        <w:rPr>
          <w:i/>
          <w:iCs/>
          <w:szCs w:val="22"/>
        </w:rPr>
        <w:t xml:space="preserve">NPRM </w:t>
      </w:r>
      <w:r w:rsidRPr="00BD544D" w:rsidR="009A1840">
        <w:rPr>
          <w:szCs w:val="22"/>
        </w:rPr>
        <w:t xml:space="preserve">proposed </w:t>
      </w:r>
      <w:r w:rsidRPr="00BD544D" w:rsidR="00E33C9F">
        <w:rPr>
          <w:szCs w:val="22"/>
        </w:rPr>
        <w:t xml:space="preserve">to amend </w:t>
      </w:r>
      <w:r w:rsidRPr="00BD544D" w:rsidR="00EA5D99">
        <w:rPr>
          <w:szCs w:val="22"/>
        </w:rPr>
        <w:t>sections</w:t>
      </w:r>
      <w:r w:rsidRPr="00BD544D" w:rsidR="00E33C9F">
        <w:rPr>
          <w:szCs w:val="22"/>
        </w:rPr>
        <w:t xml:space="preserve"> 73.3580(a)(1), 73.7002(b), 73.7003(a), and 73.872(a) to indicate that the “acceptance for filing” of tentative selectee(s) in a 307(b) Order, NCE Comparative Points Order, or LPFM MX Tentative Selectee Order, triggers the applicant’s local public notice obligation in </w:t>
      </w:r>
      <w:r w:rsidRPr="00BD544D" w:rsidR="00EA5D99">
        <w:rPr>
          <w:szCs w:val="22"/>
        </w:rPr>
        <w:t>section</w:t>
      </w:r>
      <w:r w:rsidRPr="00BD544D" w:rsidR="00E33C9F">
        <w:rPr>
          <w:szCs w:val="22"/>
        </w:rPr>
        <w:t xml:space="preserve"> 73.3580.</w:t>
      </w:r>
      <w:r>
        <w:rPr>
          <w:rStyle w:val="FootnoteReference"/>
          <w:szCs w:val="22"/>
        </w:rPr>
        <w:footnoteReference w:id="111"/>
      </w:r>
      <w:r w:rsidRPr="00BD544D" w:rsidR="000435AB">
        <w:rPr>
          <w:szCs w:val="22"/>
        </w:rPr>
        <w:t xml:space="preserve">  </w:t>
      </w:r>
      <w:r w:rsidRPr="00BD544D" w:rsidR="000247DA">
        <w:rPr>
          <w:szCs w:val="22"/>
        </w:rPr>
        <w:t>T</w:t>
      </w:r>
      <w:r w:rsidRPr="00BD544D" w:rsidR="00DE583D">
        <w:rPr>
          <w:szCs w:val="22"/>
        </w:rPr>
        <w:t xml:space="preserve">he </w:t>
      </w:r>
      <w:r w:rsidRPr="00BD544D" w:rsidR="00DE583D">
        <w:rPr>
          <w:i/>
          <w:iCs/>
          <w:szCs w:val="22"/>
        </w:rPr>
        <w:t xml:space="preserve">NPRM </w:t>
      </w:r>
      <w:r w:rsidRPr="00BD544D" w:rsidR="000247DA">
        <w:rPr>
          <w:szCs w:val="22"/>
        </w:rPr>
        <w:t xml:space="preserve">also </w:t>
      </w:r>
      <w:r w:rsidRPr="00BD544D" w:rsidR="00DE583D">
        <w:rPr>
          <w:szCs w:val="22"/>
        </w:rPr>
        <w:t>proposed to</w:t>
      </w:r>
      <w:r w:rsidRPr="00BD544D" w:rsidR="000A7D26">
        <w:rPr>
          <w:szCs w:val="22"/>
        </w:rPr>
        <w:t xml:space="preserve"> revise</w:t>
      </w:r>
      <w:r w:rsidRPr="00BD544D" w:rsidR="00DE583D">
        <w:rPr>
          <w:szCs w:val="22"/>
        </w:rPr>
        <w:t xml:space="preserve"> section 73.3580(a)(1) to define “an acceptance public notice” as a Commission or Bureau public notice announcing that an application has been accepted for filing, or an equivalent Order accepting for filing applications from a filing window under section 73.7002, 73.7003 or 73.872.</w:t>
      </w:r>
      <w:r>
        <w:rPr>
          <w:rStyle w:val="FootnoteReference"/>
          <w:szCs w:val="22"/>
        </w:rPr>
        <w:footnoteReference w:id="112"/>
      </w:r>
      <w:r w:rsidRPr="00BD544D" w:rsidR="00506ABD">
        <w:rPr>
          <w:szCs w:val="22"/>
        </w:rPr>
        <w:t xml:space="preserve">  </w:t>
      </w:r>
    </w:p>
    <w:p w:rsidR="00EB69AF" w:rsidRPr="00BD544D" w:rsidP="002F46F2" w14:paraId="1F786305" w14:textId="20626F51">
      <w:pPr>
        <w:pStyle w:val="ParaNum"/>
        <w:rPr>
          <w:szCs w:val="22"/>
        </w:rPr>
      </w:pPr>
      <w:r w:rsidRPr="00BD544D">
        <w:rPr>
          <w:szCs w:val="22"/>
        </w:rPr>
        <w:t xml:space="preserve">Prometheus, </w:t>
      </w:r>
      <w:r w:rsidRPr="00BD544D">
        <w:rPr>
          <w:szCs w:val="22"/>
        </w:rPr>
        <w:t>REC</w:t>
      </w:r>
      <w:r w:rsidRPr="00BD544D">
        <w:rPr>
          <w:szCs w:val="22"/>
        </w:rPr>
        <w:t>,</w:t>
      </w:r>
      <w:r w:rsidRPr="00BD544D">
        <w:rPr>
          <w:szCs w:val="22"/>
        </w:rPr>
        <w:t xml:space="preserve"> and Public Broadcasters </w:t>
      </w:r>
      <w:r w:rsidRPr="00BD544D" w:rsidR="00B05280">
        <w:rPr>
          <w:szCs w:val="22"/>
        </w:rPr>
        <w:t xml:space="preserve">generally </w:t>
      </w:r>
      <w:r w:rsidRPr="00BD544D">
        <w:rPr>
          <w:szCs w:val="22"/>
        </w:rPr>
        <w:t xml:space="preserve">support </w:t>
      </w:r>
      <w:r w:rsidRPr="00BD544D" w:rsidR="00952E61">
        <w:rPr>
          <w:szCs w:val="22"/>
        </w:rPr>
        <w:t xml:space="preserve">the </w:t>
      </w:r>
      <w:r w:rsidRPr="00BD544D">
        <w:rPr>
          <w:szCs w:val="22"/>
        </w:rPr>
        <w:t>proposed updates.</w:t>
      </w:r>
      <w:r>
        <w:rPr>
          <w:rStyle w:val="FootnoteReference"/>
          <w:sz w:val="22"/>
          <w:szCs w:val="22"/>
        </w:rPr>
        <w:footnoteReference w:id="113"/>
      </w:r>
      <w:r w:rsidRPr="00BD544D">
        <w:rPr>
          <w:szCs w:val="22"/>
        </w:rPr>
        <w:t xml:space="preserve">  In addition, </w:t>
      </w:r>
      <w:r w:rsidR="00974DD8">
        <w:rPr>
          <w:szCs w:val="22"/>
        </w:rPr>
        <w:t xml:space="preserve">in response to our proposal, </w:t>
      </w:r>
      <w:r w:rsidRPr="00BD544D">
        <w:rPr>
          <w:szCs w:val="22"/>
        </w:rPr>
        <w:t xml:space="preserve">Prometheus and REC </w:t>
      </w:r>
      <w:r w:rsidRPr="00BD544D" w:rsidR="00B645F6">
        <w:rPr>
          <w:szCs w:val="22"/>
        </w:rPr>
        <w:t xml:space="preserve">request that </w:t>
      </w:r>
      <w:r w:rsidRPr="00BD544D" w:rsidR="00315272">
        <w:rPr>
          <w:szCs w:val="22"/>
        </w:rPr>
        <w:t xml:space="preserve">we modify LMS to </w:t>
      </w:r>
      <w:r w:rsidRPr="00BD544D" w:rsidR="00C96ED4">
        <w:rPr>
          <w:szCs w:val="22"/>
        </w:rPr>
        <w:t>display</w:t>
      </w:r>
      <w:r w:rsidRPr="00BD544D" w:rsidR="00315272">
        <w:rPr>
          <w:szCs w:val="22"/>
        </w:rPr>
        <w:t xml:space="preserve"> an “accepted for filing” application status </w:t>
      </w:r>
      <w:r w:rsidRPr="00BD544D" w:rsidR="00B05280">
        <w:rPr>
          <w:szCs w:val="22"/>
        </w:rPr>
        <w:t xml:space="preserve">field </w:t>
      </w:r>
      <w:r w:rsidRPr="00BD544D" w:rsidR="00315272">
        <w:rPr>
          <w:szCs w:val="22"/>
        </w:rPr>
        <w:t xml:space="preserve">because the current </w:t>
      </w:r>
      <w:r w:rsidRPr="00BD544D" w:rsidR="00B05280">
        <w:rPr>
          <w:szCs w:val="22"/>
        </w:rPr>
        <w:t>set</w:t>
      </w:r>
      <w:r w:rsidRPr="00BD544D" w:rsidR="00315272">
        <w:rPr>
          <w:szCs w:val="22"/>
        </w:rPr>
        <w:t xml:space="preserve"> of status fields </w:t>
      </w:r>
      <w:r w:rsidRPr="00BD544D" w:rsidR="00A00253">
        <w:rPr>
          <w:szCs w:val="22"/>
        </w:rPr>
        <w:t xml:space="preserve">do not include that </w:t>
      </w:r>
      <w:r w:rsidRPr="00BD544D" w:rsidR="00B05280">
        <w:rPr>
          <w:szCs w:val="22"/>
        </w:rPr>
        <w:t xml:space="preserve">particular </w:t>
      </w:r>
      <w:r w:rsidRPr="00BD544D" w:rsidR="00A00253">
        <w:rPr>
          <w:szCs w:val="22"/>
        </w:rPr>
        <w:t>status</w:t>
      </w:r>
      <w:r w:rsidRPr="00BD544D" w:rsidR="00315272">
        <w:rPr>
          <w:szCs w:val="22"/>
        </w:rPr>
        <w:t>.</w:t>
      </w:r>
      <w:r w:rsidRPr="00BD544D" w:rsidR="00064422">
        <w:rPr>
          <w:szCs w:val="22"/>
        </w:rPr>
        <w:t xml:space="preserve">  Prometheus </w:t>
      </w:r>
      <w:r w:rsidRPr="00BD544D" w:rsidR="006474D4">
        <w:rPr>
          <w:szCs w:val="22"/>
        </w:rPr>
        <w:t xml:space="preserve">argues that </w:t>
      </w:r>
      <w:r w:rsidRPr="00BD544D" w:rsidR="00952E61">
        <w:rPr>
          <w:szCs w:val="22"/>
        </w:rPr>
        <w:t xml:space="preserve">the </w:t>
      </w:r>
      <w:r w:rsidRPr="00BD544D" w:rsidR="003A5592">
        <w:rPr>
          <w:szCs w:val="22"/>
        </w:rPr>
        <w:t xml:space="preserve">proposal does not solve the confusion created by LMS’ current use of a “pending” status rather than an “accepted for filing” status, and </w:t>
      </w:r>
      <w:r w:rsidRPr="00BD544D" w:rsidR="00463800">
        <w:rPr>
          <w:szCs w:val="22"/>
        </w:rPr>
        <w:t>concludes</w:t>
      </w:r>
      <w:r w:rsidRPr="00BD544D" w:rsidR="00205D73">
        <w:rPr>
          <w:szCs w:val="22"/>
        </w:rPr>
        <w:t xml:space="preserve"> the</w:t>
      </w:r>
      <w:r w:rsidRPr="00BD544D" w:rsidR="003A5592">
        <w:rPr>
          <w:szCs w:val="22"/>
        </w:rPr>
        <w:t xml:space="preserve"> general public is not savvy enough to make its own determination on whether an application has been “accepted for filing,” thus triggering the local notice obligation.</w:t>
      </w:r>
      <w:r>
        <w:rPr>
          <w:rStyle w:val="FootnoteReference"/>
          <w:sz w:val="22"/>
          <w:szCs w:val="22"/>
        </w:rPr>
        <w:footnoteReference w:id="114"/>
      </w:r>
      <w:r w:rsidRPr="00BD544D" w:rsidR="00971DBC">
        <w:rPr>
          <w:szCs w:val="22"/>
        </w:rPr>
        <w:t xml:space="preserve">  REC </w:t>
      </w:r>
      <w:r w:rsidRPr="00BD544D" w:rsidR="00FF2E99">
        <w:rPr>
          <w:szCs w:val="22"/>
        </w:rPr>
        <w:t xml:space="preserve">similarly </w:t>
      </w:r>
      <w:r w:rsidRPr="00BD544D" w:rsidR="008C1744">
        <w:rPr>
          <w:szCs w:val="22"/>
        </w:rPr>
        <w:t>suggests</w:t>
      </w:r>
      <w:r w:rsidRPr="00BD544D" w:rsidR="00971DBC">
        <w:rPr>
          <w:szCs w:val="22"/>
        </w:rPr>
        <w:t xml:space="preserve"> we implement </w:t>
      </w:r>
      <w:r w:rsidRPr="00BD544D" w:rsidR="00760CFE">
        <w:rPr>
          <w:szCs w:val="22"/>
        </w:rPr>
        <w:t xml:space="preserve">an “accepted for filing” status in </w:t>
      </w:r>
      <w:r w:rsidRPr="00BD544D" w:rsidR="00827539">
        <w:rPr>
          <w:szCs w:val="22"/>
        </w:rPr>
        <w:t>LMS instead of the current use of a “pending” status</w:t>
      </w:r>
      <w:r w:rsidRPr="00BD544D" w:rsidR="00043075">
        <w:rPr>
          <w:szCs w:val="22"/>
        </w:rPr>
        <w:t>,</w:t>
      </w:r>
      <w:r w:rsidRPr="00BD544D" w:rsidR="00827539">
        <w:rPr>
          <w:szCs w:val="22"/>
        </w:rPr>
        <w:t xml:space="preserve"> and make the status date correspond to the date the application was accepted for filing.</w:t>
      </w:r>
      <w:r>
        <w:rPr>
          <w:rStyle w:val="FootnoteReference"/>
          <w:sz w:val="22"/>
          <w:szCs w:val="22"/>
        </w:rPr>
        <w:footnoteReference w:id="115"/>
      </w:r>
      <w:r w:rsidRPr="00BD544D" w:rsidR="00D34375">
        <w:rPr>
          <w:szCs w:val="22"/>
        </w:rPr>
        <w:t xml:space="preserve"> </w:t>
      </w:r>
      <w:r w:rsidRPr="00BD544D" w:rsidR="00827539">
        <w:rPr>
          <w:szCs w:val="22"/>
        </w:rPr>
        <w:t xml:space="preserve"> </w:t>
      </w:r>
      <w:r w:rsidRPr="00BD544D" w:rsidR="0045114D">
        <w:rPr>
          <w:szCs w:val="22"/>
        </w:rPr>
        <w:t xml:space="preserve">REC maintains that </w:t>
      </w:r>
      <w:r w:rsidRPr="00BD544D" w:rsidR="00827539">
        <w:rPr>
          <w:szCs w:val="22"/>
        </w:rPr>
        <w:t>tracking an application’s “accepted for filing” status</w:t>
      </w:r>
      <w:r w:rsidRPr="00BD544D" w:rsidR="00192C8E">
        <w:rPr>
          <w:szCs w:val="22"/>
        </w:rPr>
        <w:t xml:space="preserve"> in LMS is overly burdensome</w:t>
      </w:r>
      <w:r w:rsidRPr="00BD544D" w:rsidR="00827539">
        <w:rPr>
          <w:szCs w:val="22"/>
        </w:rPr>
        <w:t xml:space="preserve"> because </w:t>
      </w:r>
      <w:r w:rsidRPr="00BD544D" w:rsidR="00192C8E">
        <w:rPr>
          <w:szCs w:val="22"/>
        </w:rPr>
        <w:t>LMS</w:t>
      </w:r>
      <w:r w:rsidRPr="00BD544D" w:rsidR="00827539">
        <w:rPr>
          <w:szCs w:val="22"/>
        </w:rPr>
        <w:t xml:space="preserve"> does not </w:t>
      </w:r>
      <w:r w:rsidR="00E55DC7">
        <w:rPr>
          <w:szCs w:val="22"/>
        </w:rPr>
        <w:t xml:space="preserve">currently list </w:t>
      </w:r>
      <w:r w:rsidR="0055594A">
        <w:rPr>
          <w:szCs w:val="22"/>
        </w:rPr>
        <w:t>an</w:t>
      </w:r>
      <w:r w:rsidR="00E55DC7">
        <w:rPr>
          <w:szCs w:val="22"/>
        </w:rPr>
        <w:t xml:space="preserve"> “accepted for filing” </w:t>
      </w:r>
      <w:r w:rsidR="0055594A">
        <w:rPr>
          <w:szCs w:val="22"/>
        </w:rPr>
        <w:t xml:space="preserve">status nor display the </w:t>
      </w:r>
      <w:r w:rsidR="00E55DC7">
        <w:rPr>
          <w:szCs w:val="22"/>
        </w:rPr>
        <w:t xml:space="preserve">date </w:t>
      </w:r>
      <w:r w:rsidR="0055594A">
        <w:rPr>
          <w:szCs w:val="22"/>
        </w:rPr>
        <w:t xml:space="preserve">that the </w:t>
      </w:r>
      <w:r w:rsidR="00FC5D61">
        <w:rPr>
          <w:szCs w:val="22"/>
        </w:rPr>
        <w:t xml:space="preserve">application was </w:t>
      </w:r>
      <w:r w:rsidR="0055594A">
        <w:rPr>
          <w:szCs w:val="22"/>
        </w:rPr>
        <w:t>accepted for filing</w:t>
      </w:r>
      <w:r w:rsidR="00E55DC7">
        <w:rPr>
          <w:szCs w:val="22"/>
        </w:rPr>
        <w:t>.</w:t>
      </w:r>
      <w:r>
        <w:rPr>
          <w:rStyle w:val="FootnoteReference"/>
          <w:sz w:val="22"/>
          <w:szCs w:val="22"/>
        </w:rPr>
        <w:footnoteReference w:id="116"/>
      </w:r>
    </w:p>
    <w:p w:rsidR="00664321" w:rsidRPr="00BD544D" w:rsidP="00E16E0C" w14:paraId="0E7BB69B" w14:textId="33E89059">
      <w:pPr>
        <w:pStyle w:val="ParaNum"/>
        <w:rPr>
          <w:szCs w:val="22"/>
        </w:rPr>
      </w:pPr>
      <w:r w:rsidRPr="00BD544D">
        <w:rPr>
          <w:szCs w:val="22"/>
        </w:rPr>
        <w:t xml:space="preserve">The </w:t>
      </w:r>
      <w:r w:rsidRPr="00BD544D" w:rsidR="0018300A">
        <w:rPr>
          <w:i/>
          <w:iCs/>
          <w:szCs w:val="22"/>
        </w:rPr>
        <w:t>NPRM</w:t>
      </w:r>
      <w:r w:rsidRPr="00BD544D" w:rsidR="0018300A">
        <w:rPr>
          <w:szCs w:val="22"/>
        </w:rPr>
        <w:t xml:space="preserve"> proposal</w:t>
      </w:r>
      <w:r w:rsidRPr="00BD544D" w:rsidR="000F60C1">
        <w:rPr>
          <w:szCs w:val="22"/>
        </w:rPr>
        <w:t xml:space="preserve"> </w:t>
      </w:r>
      <w:r w:rsidR="00226B03">
        <w:rPr>
          <w:szCs w:val="22"/>
        </w:rPr>
        <w:t>sought to</w:t>
      </w:r>
      <w:r w:rsidRPr="00BD544D" w:rsidR="000F60C1">
        <w:rPr>
          <w:szCs w:val="22"/>
        </w:rPr>
        <w:t xml:space="preserve"> codif</w:t>
      </w:r>
      <w:r w:rsidR="00226B03">
        <w:rPr>
          <w:szCs w:val="22"/>
        </w:rPr>
        <w:t>y</w:t>
      </w:r>
      <w:r w:rsidRPr="00BD544D" w:rsidR="000F60C1">
        <w:rPr>
          <w:szCs w:val="22"/>
        </w:rPr>
        <w:t xml:space="preserve"> the </w:t>
      </w:r>
      <w:r w:rsidR="00314118">
        <w:rPr>
          <w:szCs w:val="22"/>
        </w:rPr>
        <w:t xml:space="preserve">various </w:t>
      </w:r>
      <w:r w:rsidRPr="00BD544D" w:rsidR="000F60C1">
        <w:rPr>
          <w:szCs w:val="22"/>
        </w:rPr>
        <w:t>scenarios under which certain applications are accepted for filing</w:t>
      </w:r>
      <w:r w:rsidRPr="00BD544D" w:rsidR="00EF60F3">
        <w:rPr>
          <w:szCs w:val="22"/>
        </w:rPr>
        <w:t>,</w:t>
      </w:r>
      <w:r w:rsidRPr="00BD544D" w:rsidR="00305C55">
        <w:rPr>
          <w:szCs w:val="22"/>
        </w:rPr>
        <w:t xml:space="preserve"> for purposes of triggering </w:t>
      </w:r>
      <w:r w:rsidRPr="00BD544D" w:rsidR="00FF3D56">
        <w:rPr>
          <w:szCs w:val="22"/>
        </w:rPr>
        <w:t>an</w:t>
      </w:r>
      <w:r w:rsidRPr="00BD544D" w:rsidR="00305C55">
        <w:rPr>
          <w:szCs w:val="22"/>
        </w:rPr>
        <w:t xml:space="preserve"> applicant’s local public notice obligation.  </w:t>
      </w:r>
      <w:r w:rsidR="008C6EAC">
        <w:rPr>
          <w:szCs w:val="22"/>
        </w:rPr>
        <w:t>We</w:t>
      </w:r>
      <w:r w:rsidRPr="00BD544D" w:rsidR="00247289">
        <w:rPr>
          <w:szCs w:val="22"/>
        </w:rPr>
        <w:t xml:space="preserve"> </w:t>
      </w:r>
      <w:r w:rsidR="00067524">
        <w:rPr>
          <w:szCs w:val="22"/>
        </w:rPr>
        <w:t>agree with</w:t>
      </w:r>
      <w:r w:rsidRPr="00BD544D" w:rsidR="00067524">
        <w:rPr>
          <w:szCs w:val="22"/>
        </w:rPr>
        <w:t xml:space="preserve"> </w:t>
      </w:r>
      <w:r w:rsidRPr="00BD544D" w:rsidR="008910CF">
        <w:rPr>
          <w:szCs w:val="22"/>
        </w:rPr>
        <w:t>commenters</w:t>
      </w:r>
      <w:r w:rsidR="009E3044">
        <w:rPr>
          <w:szCs w:val="22"/>
        </w:rPr>
        <w:t xml:space="preserve"> that</w:t>
      </w:r>
      <w:r w:rsidRPr="00BD544D" w:rsidR="008910CF">
        <w:rPr>
          <w:szCs w:val="22"/>
        </w:rPr>
        <w:t xml:space="preserve"> implementing </w:t>
      </w:r>
      <w:r w:rsidR="00E55DC7">
        <w:rPr>
          <w:szCs w:val="22"/>
        </w:rPr>
        <w:t>field</w:t>
      </w:r>
      <w:r w:rsidR="00BC2A1A">
        <w:rPr>
          <w:szCs w:val="22"/>
        </w:rPr>
        <w:t>s</w:t>
      </w:r>
      <w:r w:rsidR="009E3044">
        <w:rPr>
          <w:szCs w:val="22"/>
        </w:rPr>
        <w:t xml:space="preserve"> in LMS</w:t>
      </w:r>
      <w:r w:rsidR="00E55DC7">
        <w:rPr>
          <w:szCs w:val="22"/>
        </w:rPr>
        <w:t xml:space="preserve"> that would display</w:t>
      </w:r>
      <w:r w:rsidR="00362817">
        <w:rPr>
          <w:szCs w:val="22"/>
        </w:rPr>
        <w:t xml:space="preserve"> an application’s</w:t>
      </w:r>
      <w:r w:rsidRPr="00BD544D" w:rsidR="00390715">
        <w:rPr>
          <w:szCs w:val="22"/>
        </w:rPr>
        <w:t xml:space="preserve"> “accepted for filing” </w:t>
      </w:r>
      <w:r w:rsidR="002C4295">
        <w:rPr>
          <w:szCs w:val="22"/>
        </w:rPr>
        <w:t xml:space="preserve">status and </w:t>
      </w:r>
      <w:r w:rsidR="00362817">
        <w:rPr>
          <w:szCs w:val="22"/>
        </w:rPr>
        <w:t>date</w:t>
      </w:r>
      <w:r w:rsidR="00D92123">
        <w:rPr>
          <w:szCs w:val="22"/>
        </w:rPr>
        <w:t xml:space="preserve"> would bring </w:t>
      </w:r>
      <w:r w:rsidR="005772DC">
        <w:rPr>
          <w:szCs w:val="22"/>
        </w:rPr>
        <w:t xml:space="preserve">clarity and </w:t>
      </w:r>
      <w:r w:rsidR="00BB5B03">
        <w:rPr>
          <w:szCs w:val="22"/>
        </w:rPr>
        <w:t xml:space="preserve">help to </w:t>
      </w:r>
      <w:r w:rsidR="005772DC">
        <w:rPr>
          <w:szCs w:val="22"/>
        </w:rPr>
        <w:t>fu</w:t>
      </w:r>
      <w:r w:rsidR="00BD75F1">
        <w:rPr>
          <w:szCs w:val="22"/>
        </w:rPr>
        <w:t xml:space="preserve">lfill </w:t>
      </w:r>
      <w:r w:rsidR="00B25A95">
        <w:rPr>
          <w:szCs w:val="22"/>
        </w:rPr>
        <w:t>our goal intended by this proposal</w:t>
      </w:r>
      <w:r w:rsidRPr="00BD544D" w:rsidR="0034251C">
        <w:rPr>
          <w:szCs w:val="22"/>
        </w:rPr>
        <w:t>.</w:t>
      </w:r>
      <w:r w:rsidRPr="00BD544D" w:rsidR="000A34BD">
        <w:rPr>
          <w:szCs w:val="22"/>
        </w:rPr>
        <w:t xml:space="preserve">  </w:t>
      </w:r>
      <w:r w:rsidRPr="00BD544D" w:rsidR="00DF10B7">
        <w:rPr>
          <w:szCs w:val="22"/>
        </w:rPr>
        <w:t>W</w:t>
      </w:r>
      <w:r w:rsidRPr="00BD544D" w:rsidR="000A34BD">
        <w:rPr>
          <w:szCs w:val="22"/>
        </w:rPr>
        <w:t xml:space="preserve">e </w:t>
      </w:r>
      <w:r w:rsidRPr="00BD544D" w:rsidR="0096466D">
        <w:rPr>
          <w:szCs w:val="22"/>
        </w:rPr>
        <w:t xml:space="preserve">direct the Bureau to </w:t>
      </w:r>
      <w:r w:rsidRPr="00BD544D" w:rsidR="001E48CE">
        <w:rPr>
          <w:szCs w:val="22"/>
        </w:rPr>
        <w:t>update LMS to</w:t>
      </w:r>
      <w:r w:rsidRPr="00BD544D" w:rsidR="00C22E65">
        <w:rPr>
          <w:szCs w:val="22"/>
        </w:rPr>
        <w:t xml:space="preserve"> display the</w:t>
      </w:r>
      <w:r w:rsidRPr="00BD544D" w:rsidR="00BE2EE3">
        <w:rPr>
          <w:szCs w:val="22"/>
        </w:rPr>
        <w:t xml:space="preserve"> date an application is “accepted for filing</w:t>
      </w:r>
      <w:r w:rsidRPr="00BD544D" w:rsidR="0079448D">
        <w:rPr>
          <w:szCs w:val="22"/>
        </w:rPr>
        <w:t>.</w:t>
      </w:r>
      <w:r w:rsidRPr="00BD544D" w:rsidR="00BE2EE3">
        <w:rPr>
          <w:szCs w:val="22"/>
        </w:rPr>
        <w:t>”</w:t>
      </w:r>
      <w:r>
        <w:rPr>
          <w:rStyle w:val="FootnoteReference"/>
          <w:sz w:val="22"/>
          <w:szCs w:val="22"/>
        </w:rPr>
        <w:footnoteReference w:id="117"/>
      </w:r>
      <w:r w:rsidRPr="00BD544D" w:rsidR="007973F3">
        <w:rPr>
          <w:szCs w:val="22"/>
        </w:rPr>
        <w:t xml:space="preserve"> </w:t>
      </w:r>
    </w:p>
    <w:p w:rsidR="00F92A90" w:rsidRPr="00BD544D" w:rsidP="004B6A66" w14:paraId="11253B0B" w14:textId="53EAA14A">
      <w:pPr>
        <w:pStyle w:val="ParaNum"/>
        <w:widowControl/>
        <w:rPr>
          <w:szCs w:val="22"/>
        </w:rPr>
      </w:pPr>
      <w:r w:rsidRPr="00BD544D">
        <w:rPr>
          <w:szCs w:val="22"/>
        </w:rPr>
        <w:t xml:space="preserve">Lastly, we clarify that the </w:t>
      </w:r>
      <w:r w:rsidRPr="00BD544D">
        <w:rPr>
          <w:i/>
          <w:iCs/>
          <w:szCs w:val="22"/>
        </w:rPr>
        <w:t xml:space="preserve">NPRM </w:t>
      </w:r>
      <w:r w:rsidRPr="00BD544D">
        <w:rPr>
          <w:szCs w:val="22"/>
        </w:rPr>
        <w:t>did not propose any new or additional local public notice obligations on parties.</w:t>
      </w:r>
      <w:r>
        <w:rPr>
          <w:rStyle w:val="FootnoteReference"/>
          <w:szCs w:val="22"/>
        </w:rPr>
        <w:footnoteReference w:id="118"/>
      </w:r>
      <w:r w:rsidRPr="00BD544D">
        <w:rPr>
          <w:szCs w:val="22"/>
        </w:rPr>
        <w:t xml:space="preserve">  The proposal </w:t>
      </w:r>
      <w:r w:rsidR="00E97057">
        <w:rPr>
          <w:szCs w:val="22"/>
        </w:rPr>
        <w:t xml:space="preserve">was meant to </w:t>
      </w:r>
      <w:r w:rsidRPr="00BD544D">
        <w:rPr>
          <w:szCs w:val="22"/>
        </w:rPr>
        <w:t>merely codif</w:t>
      </w:r>
      <w:r w:rsidR="00E97057">
        <w:rPr>
          <w:szCs w:val="22"/>
        </w:rPr>
        <w:t>y</w:t>
      </w:r>
      <w:r w:rsidRPr="00BD544D">
        <w:rPr>
          <w:szCs w:val="22"/>
        </w:rPr>
        <w:t xml:space="preserve"> the </w:t>
      </w:r>
      <w:r w:rsidRPr="00BD544D" w:rsidR="00C05F72">
        <w:rPr>
          <w:szCs w:val="22"/>
        </w:rPr>
        <w:t>longstanding</w:t>
      </w:r>
      <w:r w:rsidRPr="00BD544D" w:rsidR="00C05F72">
        <w:rPr>
          <w:szCs w:val="22"/>
        </w:rPr>
        <w:t xml:space="preserve"> </w:t>
      </w:r>
      <w:r w:rsidRPr="00BD544D">
        <w:rPr>
          <w:szCs w:val="22"/>
        </w:rPr>
        <w:t xml:space="preserve">practice concerning when </w:t>
      </w:r>
      <w:r w:rsidRPr="00BD544D" w:rsidR="00E524FE">
        <w:rPr>
          <w:szCs w:val="22"/>
        </w:rPr>
        <w:t xml:space="preserve">certain </w:t>
      </w:r>
      <w:r w:rsidRPr="00BD544D">
        <w:rPr>
          <w:szCs w:val="22"/>
        </w:rPr>
        <w:t xml:space="preserve">applicants must give local public notice of applications.  </w:t>
      </w:r>
      <w:r w:rsidRPr="00BD544D">
        <w:rPr>
          <w:szCs w:val="22"/>
        </w:rPr>
        <w:t>Accordingly, we</w:t>
      </w:r>
      <w:r w:rsidRPr="00BD544D" w:rsidR="00A92E6B">
        <w:rPr>
          <w:szCs w:val="22"/>
        </w:rPr>
        <w:t xml:space="preserve">: </w:t>
      </w:r>
      <w:r w:rsidRPr="00BD544D" w:rsidR="000D13F2">
        <w:rPr>
          <w:szCs w:val="22"/>
        </w:rPr>
        <w:t>(</w:t>
      </w:r>
      <w:r w:rsidRPr="00BD544D" w:rsidR="00A92E6B">
        <w:rPr>
          <w:szCs w:val="22"/>
        </w:rPr>
        <w:t>1)</w:t>
      </w:r>
      <w:r w:rsidRPr="00BD544D">
        <w:rPr>
          <w:szCs w:val="22"/>
        </w:rPr>
        <w:t xml:space="preserve"> amend section 73.7002(b) to indicate that the “acceptance for filing” of the various tentative selectee(s) in a Section 307(b) Order triggers the applicant’s local public notice obligation</w:t>
      </w:r>
      <w:r w:rsidRPr="00BD544D" w:rsidR="00A92E6B">
        <w:rPr>
          <w:szCs w:val="22"/>
        </w:rPr>
        <w:t xml:space="preserve">; </w:t>
      </w:r>
      <w:r w:rsidRPr="00BD544D" w:rsidR="000D13F2">
        <w:rPr>
          <w:szCs w:val="22"/>
        </w:rPr>
        <w:t>(</w:t>
      </w:r>
      <w:r w:rsidRPr="00BD544D" w:rsidR="00A92E6B">
        <w:rPr>
          <w:szCs w:val="22"/>
        </w:rPr>
        <w:t>2)</w:t>
      </w:r>
      <w:r w:rsidRPr="00BD544D">
        <w:rPr>
          <w:szCs w:val="22"/>
        </w:rPr>
        <w:t xml:space="preserve"> amend section 73.7003(a) to indicate that the “acceptance for filing” of the various tentative selectee(s) in an NCE Comparative Points Order triggers the applicant’s local public notice obligation</w:t>
      </w:r>
      <w:r w:rsidRPr="00BD544D" w:rsidR="00A92E6B">
        <w:rPr>
          <w:szCs w:val="22"/>
        </w:rPr>
        <w:t xml:space="preserve">; </w:t>
      </w:r>
      <w:r w:rsidRPr="00BD544D" w:rsidR="000D13F2">
        <w:rPr>
          <w:szCs w:val="22"/>
        </w:rPr>
        <w:t>(</w:t>
      </w:r>
      <w:r w:rsidRPr="00BD544D" w:rsidR="00A92E6B">
        <w:rPr>
          <w:szCs w:val="22"/>
        </w:rPr>
        <w:t>3)</w:t>
      </w:r>
      <w:r w:rsidRPr="00BD544D">
        <w:rPr>
          <w:szCs w:val="22"/>
        </w:rPr>
        <w:t xml:space="preserve"> amend section 73.872(a) to indicate that the “acceptance for filing” of the various tentative selectee(s) in an LPFM MX Tentative Selectee Order or Public Notice, triggers the applicant’s local public notice obligation</w:t>
      </w:r>
      <w:r w:rsidRPr="00BD544D" w:rsidR="00A92E6B">
        <w:rPr>
          <w:szCs w:val="22"/>
        </w:rPr>
        <w:t xml:space="preserve">; </w:t>
      </w:r>
      <w:r w:rsidRPr="00BD544D" w:rsidR="006D61BF">
        <w:rPr>
          <w:szCs w:val="22"/>
        </w:rPr>
        <w:t xml:space="preserve">and </w:t>
      </w:r>
      <w:r w:rsidRPr="00BD544D" w:rsidR="000D13F2">
        <w:rPr>
          <w:szCs w:val="22"/>
        </w:rPr>
        <w:t>(</w:t>
      </w:r>
      <w:r w:rsidRPr="00BD544D" w:rsidR="00A92E6B">
        <w:rPr>
          <w:szCs w:val="22"/>
        </w:rPr>
        <w:t xml:space="preserve">4) revise </w:t>
      </w:r>
      <w:r w:rsidRPr="00BD544D" w:rsidR="007B7E8F">
        <w:rPr>
          <w:szCs w:val="22"/>
        </w:rPr>
        <w:t>section 73.3580(a)(1) to define “an acceptance public notice” as a Commission or Bureau public notice announcing that an application has been accepted for filing, or an equivalent Order accepting for filing applications from a filing window under section 73.7002, 73.7003 or 73.872.</w:t>
      </w:r>
      <w:r w:rsidRPr="00BD544D" w:rsidR="008E65AA">
        <w:rPr>
          <w:szCs w:val="22"/>
        </w:rPr>
        <w:t xml:space="preserve"> </w:t>
      </w:r>
    </w:p>
    <w:p w:rsidR="00CE1DE9" w:rsidRPr="00BD544D" w:rsidP="004B6A66" w14:paraId="4453D464" w14:textId="104256F1">
      <w:pPr>
        <w:pStyle w:val="Heading2"/>
      </w:pPr>
      <w:r w:rsidRPr="00BD544D">
        <w:t>Remove 90-Day STA Restriction Necessitated by Technical or Equipment Problems</w:t>
      </w:r>
    </w:p>
    <w:p w:rsidR="00AC3329" w:rsidRPr="00BD544D" w:rsidP="0081130E" w14:paraId="79488E05" w14:textId="1B648E37">
      <w:pPr>
        <w:pStyle w:val="ParaNum"/>
        <w:rPr>
          <w:szCs w:val="22"/>
        </w:rPr>
      </w:pPr>
      <w:r w:rsidRPr="00BD544D">
        <w:rPr>
          <w:szCs w:val="22"/>
        </w:rPr>
        <w:t xml:space="preserve">In the </w:t>
      </w:r>
      <w:r w:rsidRPr="00BD544D">
        <w:rPr>
          <w:i/>
          <w:iCs/>
          <w:szCs w:val="22"/>
        </w:rPr>
        <w:t>NPRM</w:t>
      </w:r>
      <w:r w:rsidRPr="00BD544D">
        <w:rPr>
          <w:szCs w:val="22"/>
        </w:rPr>
        <w:t xml:space="preserve">, the Commission proposed to </w:t>
      </w:r>
      <w:r w:rsidRPr="00BD544D" w:rsidR="00F0605B">
        <w:rPr>
          <w:szCs w:val="22"/>
        </w:rPr>
        <w:t>amend section 73.1635(a)(4) of the Rules to</w:t>
      </w:r>
      <w:r w:rsidRPr="00BD544D" w:rsidR="00B36E68">
        <w:rPr>
          <w:szCs w:val="22"/>
        </w:rPr>
        <w:t xml:space="preserve"> </w:t>
      </w:r>
      <w:r w:rsidRPr="00BD544D" w:rsidR="00F0605B">
        <w:rPr>
          <w:szCs w:val="22"/>
        </w:rPr>
        <w:t xml:space="preserve"> remove language providing that an initial special temporary authorization (STA) necessitated by technical or equipment problems may only be granted for 90 days, with a limited number of 90-day extensions, rather than the full 180-day period permitted for STAs for other reasons.</w:t>
      </w:r>
      <w:r>
        <w:rPr>
          <w:rStyle w:val="FootnoteReference"/>
          <w:sz w:val="22"/>
          <w:szCs w:val="22"/>
        </w:rPr>
        <w:footnoteReference w:id="119"/>
      </w:r>
      <w:r w:rsidRPr="00BD544D" w:rsidR="0081130E">
        <w:rPr>
          <w:szCs w:val="22"/>
        </w:rPr>
        <w:t xml:space="preserve">  </w:t>
      </w:r>
      <w:r w:rsidRPr="00BD544D" w:rsidR="004D05FD">
        <w:rPr>
          <w:szCs w:val="22"/>
        </w:rPr>
        <w:t>Commenters support</w:t>
      </w:r>
      <w:r w:rsidRPr="00BD544D" w:rsidR="00B36E68">
        <w:rPr>
          <w:szCs w:val="22"/>
        </w:rPr>
        <w:t xml:space="preserve"> </w:t>
      </w:r>
      <w:r w:rsidRPr="00BD544D" w:rsidR="004D05FD">
        <w:rPr>
          <w:szCs w:val="22"/>
        </w:rPr>
        <w:t>this proposal without change.  REC agrees that this change is noncontroversial,</w:t>
      </w:r>
      <w:r>
        <w:rPr>
          <w:rStyle w:val="FootnoteReference"/>
          <w:sz w:val="22"/>
          <w:szCs w:val="22"/>
        </w:rPr>
        <w:footnoteReference w:id="120"/>
      </w:r>
      <w:r w:rsidRPr="00BD544D" w:rsidR="00D102E1">
        <w:rPr>
          <w:szCs w:val="22"/>
        </w:rPr>
        <w:t xml:space="preserve"> and</w:t>
      </w:r>
      <w:r w:rsidRPr="00BD544D" w:rsidR="00CC0A28">
        <w:rPr>
          <w:szCs w:val="22"/>
        </w:rPr>
        <w:t xml:space="preserve"> NAB agrees that the change reduces burdens on both applicants and </w:t>
      </w:r>
      <w:r w:rsidRPr="00BD544D" w:rsidR="004B291F">
        <w:rPr>
          <w:szCs w:val="22"/>
        </w:rPr>
        <w:t>FCC staff</w:t>
      </w:r>
      <w:r w:rsidRPr="00BD544D" w:rsidR="00D102E1">
        <w:rPr>
          <w:szCs w:val="22"/>
        </w:rPr>
        <w:t>.</w:t>
      </w:r>
      <w:r>
        <w:rPr>
          <w:rStyle w:val="FootnoteReference"/>
          <w:sz w:val="22"/>
          <w:szCs w:val="22"/>
        </w:rPr>
        <w:footnoteReference w:id="121"/>
      </w:r>
      <w:r w:rsidRPr="00BD544D" w:rsidR="004B291F">
        <w:rPr>
          <w:szCs w:val="22"/>
        </w:rPr>
        <w:t xml:space="preserve"> </w:t>
      </w:r>
      <w:r w:rsidRPr="00BD544D" w:rsidR="00542359">
        <w:rPr>
          <w:szCs w:val="22"/>
        </w:rPr>
        <w:t xml:space="preserve"> </w:t>
      </w:r>
      <w:r w:rsidRPr="00BD544D" w:rsidR="00D102E1">
        <w:rPr>
          <w:szCs w:val="22"/>
        </w:rPr>
        <w:t xml:space="preserve">Public Broadcasters also confirm that </w:t>
      </w:r>
      <w:r w:rsidRPr="00BD544D" w:rsidR="00C43F51">
        <w:rPr>
          <w:szCs w:val="22"/>
        </w:rPr>
        <w:t xml:space="preserve">public broadcasters would </w:t>
      </w:r>
      <w:r w:rsidRPr="00BD544D" w:rsidR="003917A1">
        <w:rPr>
          <w:szCs w:val="22"/>
        </w:rPr>
        <w:t xml:space="preserve">greatly benefit from </w:t>
      </w:r>
      <w:r w:rsidRPr="00BD544D" w:rsidR="00D9484C">
        <w:rPr>
          <w:szCs w:val="22"/>
        </w:rPr>
        <w:t>the</w:t>
      </w:r>
      <w:r w:rsidRPr="00BD544D" w:rsidR="003917A1">
        <w:rPr>
          <w:szCs w:val="22"/>
        </w:rPr>
        <w:t xml:space="preserve"> extension of this STA term, and</w:t>
      </w:r>
      <w:r w:rsidRPr="00BD544D" w:rsidR="00D9484C">
        <w:rPr>
          <w:szCs w:val="22"/>
        </w:rPr>
        <w:t xml:space="preserve"> </w:t>
      </w:r>
      <w:r w:rsidRPr="00BD544D" w:rsidR="00C00A81">
        <w:rPr>
          <w:szCs w:val="22"/>
        </w:rPr>
        <w:t>asserts that the period</w:t>
      </w:r>
      <w:r w:rsidRPr="00BD544D" w:rsidR="003917A1">
        <w:rPr>
          <w:szCs w:val="22"/>
        </w:rPr>
        <w:t xml:space="preserve"> is more realistic given the time it takes to procure and replace technical equipment.</w:t>
      </w:r>
      <w:r>
        <w:rPr>
          <w:rStyle w:val="FootnoteReference"/>
          <w:sz w:val="22"/>
          <w:szCs w:val="22"/>
        </w:rPr>
        <w:footnoteReference w:id="122"/>
      </w:r>
      <w:r w:rsidRPr="00BD544D" w:rsidR="00454C55">
        <w:rPr>
          <w:szCs w:val="22"/>
        </w:rPr>
        <w:t xml:space="preserve">  </w:t>
      </w:r>
      <w:r w:rsidRPr="00BD544D" w:rsidR="008F4E2C">
        <w:rPr>
          <w:szCs w:val="22"/>
        </w:rPr>
        <w:t xml:space="preserve">Accordingly, we amend section 73.1635(a)(4) to remove language providing that an initial </w:t>
      </w:r>
      <w:r w:rsidRPr="00BD544D" w:rsidR="000B12DA">
        <w:rPr>
          <w:szCs w:val="22"/>
        </w:rPr>
        <w:t xml:space="preserve">STA </w:t>
      </w:r>
      <w:r w:rsidRPr="00BD544D" w:rsidR="008F4E2C">
        <w:rPr>
          <w:szCs w:val="22"/>
        </w:rPr>
        <w:t>necessitated by technical or equipment problems may only be granted for 90 days with a limited number of 90-day extensions, rather than the full 180-day period permitted for STAs for other reasons.</w:t>
      </w:r>
      <w:r w:rsidRPr="00BD544D" w:rsidR="00CD29F1">
        <w:rPr>
          <w:szCs w:val="22"/>
        </w:rPr>
        <w:t xml:space="preserve">  We </w:t>
      </w:r>
      <w:r w:rsidRPr="00BD544D" w:rsidR="005E450C">
        <w:rPr>
          <w:szCs w:val="22"/>
        </w:rPr>
        <w:t xml:space="preserve">will </w:t>
      </w:r>
      <w:r w:rsidRPr="00BD544D" w:rsidR="00CD29F1">
        <w:rPr>
          <w:szCs w:val="22"/>
        </w:rPr>
        <w:t>also correct a typo in the fourth sentence of paragraph (a)(4) by replacing “expeditions” with “expeditious.”</w:t>
      </w:r>
      <w:r w:rsidRPr="00BD544D" w:rsidR="00B36E68">
        <w:rPr>
          <w:szCs w:val="22"/>
        </w:rPr>
        <w:t xml:space="preserve">  No commenters objected to this change.</w:t>
      </w:r>
    </w:p>
    <w:p w:rsidR="0064629B" w:rsidRPr="00BD544D" w:rsidP="004B6A66" w14:paraId="1EC6726D" w14:textId="1BA47A2E">
      <w:pPr>
        <w:pStyle w:val="Heading2"/>
      </w:pPr>
      <w:r w:rsidRPr="00BD544D">
        <w:t>Remove Obsolete Application Processing Language</w:t>
      </w:r>
    </w:p>
    <w:p w:rsidR="00A12148" w:rsidRPr="00BD544D" w:rsidP="00A12148" w14:paraId="5B72FA70" w14:textId="4DD9AF7A">
      <w:pPr>
        <w:pStyle w:val="ParaNum"/>
        <w:rPr>
          <w:szCs w:val="22"/>
        </w:rPr>
      </w:pPr>
      <w:r w:rsidRPr="00BD544D">
        <w:rPr>
          <w:szCs w:val="22"/>
        </w:rPr>
        <w:t xml:space="preserve">The </w:t>
      </w:r>
      <w:r w:rsidRPr="00BD544D" w:rsidR="007E4A50">
        <w:rPr>
          <w:i/>
          <w:iCs/>
          <w:szCs w:val="22"/>
        </w:rPr>
        <w:t>NPRM</w:t>
      </w:r>
      <w:r w:rsidRPr="00BD544D" w:rsidR="007E4A50">
        <w:rPr>
          <w:szCs w:val="22"/>
        </w:rPr>
        <w:t xml:space="preserve"> </w:t>
      </w:r>
      <w:r w:rsidRPr="00BD544D" w:rsidR="00F4474D">
        <w:rPr>
          <w:szCs w:val="22"/>
        </w:rPr>
        <w:t xml:space="preserve">proposed to modify various application processing rules to remove and/or revise references to application processing procedures that are no longer used, including, for example, replacing “tendered for filing” terminology with “filed,” and removing </w:t>
      </w:r>
      <w:r w:rsidRPr="00BD544D" w:rsidR="00E649B8">
        <w:rPr>
          <w:szCs w:val="22"/>
        </w:rPr>
        <w:t>obsolete</w:t>
      </w:r>
      <w:r w:rsidRPr="00BD544D" w:rsidR="00F4474D">
        <w:rPr>
          <w:szCs w:val="22"/>
        </w:rPr>
        <w:t xml:space="preserve"> paper-filing references.</w:t>
      </w:r>
      <w:r w:rsidRPr="00BD544D" w:rsidR="001038C2">
        <w:rPr>
          <w:szCs w:val="22"/>
        </w:rPr>
        <w:t xml:space="preserve">  </w:t>
      </w:r>
      <w:r w:rsidRPr="00BD544D" w:rsidR="003E7E64">
        <w:rPr>
          <w:szCs w:val="22"/>
        </w:rPr>
        <w:t xml:space="preserve">Many of these terms </w:t>
      </w:r>
      <w:r w:rsidRPr="00BD544D" w:rsidR="00C41582">
        <w:rPr>
          <w:szCs w:val="22"/>
        </w:rPr>
        <w:t xml:space="preserve">relate to </w:t>
      </w:r>
      <w:r w:rsidRPr="00BD544D" w:rsidR="00E649B8">
        <w:rPr>
          <w:szCs w:val="22"/>
        </w:rPr>
        <w:t xml:space="preserve">legacy </w:t>
      </w:r>
      <w:r w:rsidRPr="00BD544D" w:rsidR="00C41582">
        <w:rPr>
          <w:szCs w:val="22"/>
        </w:rPr>
        <w:t>paper filing</w:t>
      </w:r>
      <w:r w:rsidRPr="00BD544D" w:rsidR="00E649B8">
        <w:rPr>
          <w:szCs w:val="22"/>
        </w:rPr>
        <w:t xml:space="preserve"> procedures</w:t>
      </w:r>
      <w:r w:rsidRPr="00BD544D" w:rsidR="0017021E">
        <w:rPr>
          <w:szCs w:val="22"/>
        </w:rPr>
        <w:t>,</w:t>
      </w:r>
      <w:r w:rsidRPr="00BD544D" w:rsidR="00C41582">
        <w:rPr>
          <w:szCs w:val="22"/>
        </w:rPr>
        <w:t xml:space="preserve"> which ha</w:t>
      </w:r>
      <w:r w:rsidRPr="00BD544D" w:rsidR="00E97708">
        <w:rPr>
          <w:szCs w:val="22"/>
        </w:rPr>
        <w:t>ve</w:t>
      </w:r>
      <w:r w:rsidRPr="00BD544D" w:rsidR="00C41582">
        <w:rPr>
          <w:szCs w:val="22"/>
        </w:rPr>
        <w:t xml:space="preserve"> since been replaced by electronic filing.  </w:t>
      </w:r>
      <w:r w:rsidRPr="00BD544D" w:rsidR="0072282D">
        <w:rPr>
          <w:szCs w:val="22"/>
        </w:rPr>
        <w:t xml:space="preserve">REC </w:t>
      </w:r>
      <w:r w:rsidRPr="00BD544D" w:rsidR="000F2279">
        <w:rPr>
          <w:szCs w:val="22"/>
        </w:rPr>
        <w:t>supports these changes as noncontroversial</w:t>
      </w:r>
      <w:r w:rsidR="001C795E">
        <w:rPr>
          <w:szCs w:val="22"/>
        </w:rPr>
        <w:t>,</w:t>
      </w:r>
      <w:r w:rsidRPr="00BD544D" w:rsidR="000F2279">
        <w:rPr>
          <w:szCs w:val="22"/>
        </w:rPr>
        <w:t xml:space="preserve"> and NAB agrees with replacing </w:t>
      </w:r>
      <w:r w:rsidRPr="00BD544D" w:rsidR="00633E82">
        <w:rPr>
          <w:szCs w:val="22"/>
        </w:rPr>
        <w:t>terms and procedures related to paper filing.</w:t>
      </w:r>
      <w:r>
        <w:rPr>
          <w:rStyle w:val="FootnoteReference"/>
          <w:sz w:val="22"/>
          <w:szCs w:val="22"/>
        </w:rPr>
        <w:footnoteReference w:id="123"/>
      </w:r>
    </w:p>
    <w:p w:rsidR="00392B38" w:rsidRPr="00BD544D" w:rsidP="00A12148" w14:paraId="0E43CCD2" w14:textId="65146944">
      <w:pPr>
        <w:pStyle w:val="ParaNum"/>
        <w:rPr>
          <w:rStyle w:val="CommentReference"/>
          <w:sz w:val="22"/>
          <w:szCs w:val="22"/>
        </w:rPr>
      </w:pPr>
      <w:r w:rsidRPr="00BD544D">
        <w:rPr>
          <w:szCs w:val="22"/>
        </w:rPr>
        <w:t xml:space="preserve">Since these </w:t>
      </w:r>
      <w:r w:rsidRPr="00BD544D" w:rsidR="00E649B8">
        <w:rPr>
          <w:szCs w:val="22"/>
        </w:rPr>
        <w:t>practices</w:t>
      </w:r>
      <w:r w:rsidRPr="00BD544D">
        <w:rPr>
          <w:szCs w:val="22"/>
        </w:rPr>
        <w:t xml:space="preserve"> are </w:t>
      </w:r>
      <w:r w:rsidRPr="00BD544D" w:rsidR="0097158A">
        <w:rPr>
          <w:szCs w:val="22"/>
        </w:rPr>
        <w:t xml:space="preserve">antiqued based on current </w:t>
      </w:r>
      <w:r w:rsidRPr="00BD544D" w:rsidR="00A90BC6">
        <w:rPr>
          <w:szCs w:val="22"/>
        </w:rPr>
        <w:t xml:space="preserve">LMS </w:t>
      </w:r>
      <w:r w:rsidRPr="00BD544D" w:rsidR="0097158A">
        <w:rPr>
          <w:szCs w:val="22"/>
        </w:rPr>
        <w:t>processing practices</w:t>
      </w:r>
      <w:r w:rsidRPr="00BD544D" w:rsidR="00E51678">
        <w:rPr>
          <w:szCs w:val="22"/>
        </w:rPr>
        <w:t>,</w:t>
      </w:r>
      <w:r w:rsidRPr="00BD544D" w:rsidR="00065BAC">
        <w:rPr>
          <w:szCs w:val="22"/>
        </w:rPr>
        <w:t xml:space="preserve"> and because commenters support </w:t>
      </w:r>
      <w:r w:rsidRPr="00BD544D" w:rsidR="00952E61">
        <w:rPr>
          <w:szCs w:val="22"/>
        </w:rPr>
        <w:t xml:space="preserve">the </w:t>
      </w:r>
      <w:r w:rsidRPr="00BD544D" w:rsidR="00065BAC">
        <w:rPr>
          <w:szCs w:val="22"/>
        </w:rPr>
        <w:t>proposals,</w:t>
      </w:r>
      <w:r w:rsidRPr="00BD544D" w:rsidR="00E51678">
        <w:rPr>
          <w:szCs w:val="22"/>
        </w:rPr>
        <w:t xml:space="preserve"> we</w:t>
      </w:r>
      <w:r w:rsidRPr="00BD544D" w:rsidR="00E524FE">
        <w:rPr>
          <w:szCs w:val="22"/>
        </w:rPr>
        <w:t xml:space="preserve"> </w:t>
      </w:r>
      <w:r w:rsidRPr="00BD544D" w:rsidR="007B41C1">
        <w:rPr>
          <w:szCs w:val="22"/>
        </w:rPr>
        <w:t xml:space="preserve">first </w:t>
      </w:r>
      <w:r w:rsidRPr="00BD544D" w:rsidR="00287EF7">
        <w:rPr>
          <w:szCs w:val="22"/>
        </w:rPr>
        <w:t xml:space="preserve">remove references to applications and pleadings as being “tendered” with the Commission and instead refer to applications as being “filed” with the Commission in </w:t>
      </w:r>
      <w:r w:rsidR="00485F46">
        <w:rPr>
          <w:szCs w:val="22"/>
        </w:rPr>
        <w:t xml:space="preserve">multiple rules sections.  These include: </w:t>
      </w:r>
      <w:r w:rsidRPr="00BD544D" w:rsidR="00287EF7">
        <w:rPr>
          <w:szCs w:val="22"/>
        </w:rPr>
        <w:t>section 73.37(c), which addresses application requirements for new AM stations; section 73.3516(e), which sets forth the process for filing a petition to deny during a license renewal proceeding; sections 73.3526 and 73.3527, which describe required online public inspection file documents; section 73.3573(f)(1), which outlines the processing of FM applications; section 73.3578(a), which concerns amendments to applications; section 73.3591(b), which explains the processing of applications without a hearing; and section 73.3597(b)(2), which addresses the processing of transfer and assignment applications.</w:t>
      </w:r>
      <w:r w:rsidRPr="00BD544D" w:rsidR="009D605C">
        <w:rPr>
          <w:szCs w:val="22"/>
        </w:rPr>
        <w:t xml:space="preserve">  We also delete all </w:t>
      </w:r>
      <w:r w:rsidRPr="00BD544D" w:rsidR="009178EC">
        <w:rPr>
          <w:szCs w:val="22"/>
        </w:rPr>
        <w:t>obsolete paper-filing procedure</w:t>
      </w:r>
      <w:r w:rsidRPr="00BD544D" w:rsidR="00F5410C">
        <w:rPr>
          <w:szCs w:val="22"/>
        </w:rPr>
        <w:t xml:space="preserve"> references</w:t>
      </w:r>
      <w:r w:rsidRPr="00BD544D" w:rsidR="009178EC">
        <w:rPr>
          <w:szCs w:val="22"/>
        </w:rPr>
        <w:t xml:space="preserve"> from section 73.3564(a)</w:t>
      </w:r>
      <w:r w:rsidRPr="00BD544D" w:rsidR="00F5410C">
        <w:rPr>
          <w:szCs w:val="22"/>
        </w:rPr>
        <w:t>,</w:t>
      </w:r>
      <w:r w:rsidRPr="00BD544D" w:rsidR="009178EC">
        <w:rPr>
          <w:szCs w:val="22"/>
        </w:rPr>
        <w:t xml:space="preserve"> and replace the term “tendered for filing” with “filed” throughout section 73.3564.  We further delete section 73.3564(c) references to cut-off procedures for reserved band FM NCE applications that have since been eliminated by the Commission in favor of a filing window approach.</w:t>
      </w:r>
      <w:r w:rsidRPr="00BD544D" w:rsidR="00223CAA">
        <w:rPr>
          <w:szCs w:val="22"/>
        </w:rPr>
        <w:t xml:space="preserve">  Lastly, we remove Note 1 to section 73.3522, which reflects </w:t>
      </w:r>
      <w:r w:rsidRPr="00BD544D" w:rsidR="00046203">
        <w:rPr>
          <w:szCs w:val="22"/>
        </w:rPr>
        <w:t xml:space="preserve">amendment </w:t>
      </w:r>
      <w:r w:rsidRPr="00BD544D" w:rsidR="00223CAA">
        <w:rPr>
          <w:szCs w:val="22"/>
        </w:rPr>
        <w:t>processing procedures that have been eliminated with the implementation of electronic filing.</w:t>
      </w:r>
      <w:r w:rsidRPr="00BD544D" w:rsidR="001038C2">
        <w:rPr>
          <w:rStyle w:val="FootnoteReference"/>
          <w:sz w:val="22"/>
          <w:szCs w:val="22"/>
        </w:rPr>
        <w:t xml:space="preserve"> </w:t>
      </w:r>
      <w:r>
        <w:rPr>
          <w:rStyle w:val="FootnoteReference"/>
          <w:sz w:val="22"/>
          <w:szCs w:val="22"/>
        </w:rPr>
        <w:footnoteReference w:id="124"/>
      </w:r>
      <w:r w:rsidRPr="00BD544D" w:rsidR="001038C2">
        <w:rPr>
          <w:szCs w:val="22"/>
        </w:rPr>
        <w:t xml:space="preserve"> </w:t>
      </w:r>
      <w:r w:rsidRPr="00BD544D" w:rsidR="001038C2">
        <w:rPr>
          <w:rStyle w:val="CommentReference"/>
          <w:sz w:val="22"/>
          <w:szCs w:val="22"/>
        </w:rPr>
        <w:t xml:space="preserve"> </w:t>
      </w:r>
      <w:r w:rsidRPr="00BD544D" w:rsidR="000047CA">
        <w:rPr>
          <w:szCs w:val="22"/>
        </w:rPr>
        <w:t>We delegate authority to the Bureau to update LMS to display application statuses based on our Rules, including the changes adopted herein.  The Bureau is instructed to issue a Public Notice once the</w:t>
      </w:r>
      <w:r w:rsidRPr="00BD544D" w:rsidR="009D009E">
        <w:rPr>
          <w:szCs w:val="22"/>
        </w:rPr>
        <w:t xml:space="preserve"> LMS</w:t>
      </w:r>
      <w:r w:rsidRPr="00BD544D" w:rsidR="000047CA">
        <w:rPr>
          <w:szCs w:val="22"/>
        </w:rPr>
        <w:t xml:space="preserve"> updates have been completed and </w:t>
      </w:r>
      <w:r w:rsidRPr="00BD544D" w:rsidR="009D009E">
        <w:rPr>
          <w:szCs w:val="22"/>
        </w:rPr>
        <w:t>explain</w:t>
      </w:r>
      <w:r w:rsidRPr="00BD544D" w:rsidR="000047CA">
        <w:rPr>
          <w:szCs w:val="22"/>
        </w:rPr>
        <w:t xml:space="preserve"> the system revisions.</w:t>
      </w:r>
    </w:p>
    <w:p w:rsidR="00F51776" w:rsidRPr="00BD544D" w:rsidP="004B6A66" w14:paraId="56211DF6" w14:textId="36686E78">
      <w:pPr>
        <w:pStyle w:val="Heading2"/>
      </w:pPr>
      <w:r w:rsidRPr="00BD544D">
        <w:t>Redesignate Renewal Application Petition to Deny Rule</w:t>
      </w:r>
    </w:p>
    <w:p w:rsidR="006F68D1" w:rsidRPr="00BD544D" w:rsidP="000D1CFE" w14:paraId="1DBBECF9" w14:textId="2DD3C39B">
      <w:pPr>
        <w:pStyle w:val="ParaNum"/>
        <w:rPr>
          <w:szCs w:val="22"/>
        </w:rPr>
      </w:pPr>
      <w:r w:rsidRPr="00BD544D">
        <w:rPr>
          <w:szCs w:val="22"/>
        </w:rPr>
        <w:t xml:space="preserve">In the </w:t>
      </w:r>
      <w:r w:rsidRPr="00BD544D">
        <w:rPr>
          <w:i/>
          <w:iCs/>
          <w:szCs w:val="22"/>
        </w:rPr>
        <w:t>NPRM</w:t>
      </w:r>
      <w:r w:rsidRPr="00BD544D">
        <w:rPr>
          <w:szCs w:val="22"/>
        </w:rPr>
        <w:t xml:space="preserve">, the Commission proposed to </w:t>
      </w:r>
      <w:r w:rsidRPr="00BD544D" w:rsidR="005367C2">
        <w:rPr>
          <w:szCs w:val="22"/>
        </w:rPr>
        <w:t>consolidate the rules for filing petitions to deny against license renewal applications into one rule section.</w:t>
      </w:r>
      <w:r>
        <w:rPr>
          <w:rStyle w:val="FootnoteReference"/>
          <w:sz w:val="22"/>
          <w:szCs w:val="22"/>
        </w:rPr>
        <w:footnoteReference w:id="125"/>
      </w:r>
      <w:r w:rsidRPr="00BD544D" w:rsidR="00B66761">
        <w:rPr>
          <w:szCs w:val="22"/>
        </w:rPr>
        <w:t xml:space="preserve">  </w:t>
      </w:r>
      <w:r w:rsidRPr="00BD544D" w:rsidR="005D2423">
        <w:rPr>
          <w:szCs w:val="22"/>
        </w:rPr>
        <w:t xml:space="preserve">The general rules related to petitions to deny are found in section </w:t>
      </w:r>
      <w:r w:rsidRPr="00BD544D" w:rsidR="0070294F">
        <w:rPr>
          <w:szCs w:val="22"/>
        </w:rPr>
        <w:t>73.3584</w:t>
      </w:r>
      <w:r w:rsidRPr="00BD544D" w:rsidR="001F4DF5">
        <w:rPr>
          <w:szCs w:val="22"/>
        </w:rPr>
        <w:t>.</w:t>
      </w:r>
      <w:r>
        <w:rPr>
          <w:rStyle w:val="FootnoteReference"/>
          <w:sz w:val="22"/>
          <w:szCs w:val="22"/>
        </w:rPr>
        <w:footnoteReference w:id="126"/>
      </w:r>
      <w:r w:rsidRPr="00BD544D" w:rsidR="001F4DF5">
        <w:rPr>
          <w:szCs w:val="22"/>
        </w:rPr>
        <w:t xml:space="preserve">  </w:t>
      </w:r>
      <w:r w:rsidRPr="00BD544D" w:rsidR="002C624D">
        <w:rPr>
          <w:szCs w:val="22"/>
        </w:rPr>
        <w:t>However, p</w:t>
      </w:r>
      <w:r w:rsidRPr="00BD544D" w:rsidR="0070294F">
        <w:rPr>
          <w:szCs w:val="22"/>
        </w:rPr>
        <w:t>aragraph (e)</w:t>
      </w:r>
      <w:r w:rsidRPr="00BD544D" w:rsidR="007A5379">
        <w:rPr>
          <w:szCs w:val="22"/>
        </w:rPr>
        <w:t xml:space="preserve"> </w:t>
      </w:r>
      <w:r w:rsidRPr="00BD544D" w:rsidR="0070294F">
        <w:rPr>
          <w:szCs w:val="22"/>
        </w:rPr>
        <w:t xml:space="preserve">of section 73.3516 </w:t>
      </w:r>
      <w:r w:rsidRPr="00BD544D" w:rsidR="002C624D">
        <w:rPr>
          <w:szCs w:val="22"/>
        </w:rPr>
        <w:t>deals</w:t>
      </w:r>
      <w:r w:rsidRPr="00BD544D" w:rsidR="0070294F">
        <w:rPr>
          <w:szCs w:val="22"/>
        </w:rPr>
        <w:t xml:space="preserve"> with petitions to deny license renewal applications</w:t>
      </w:r>
      <w:r w:rsidRPr="00BD544D" w:rsidR="002C624D">
        <w:rPr>
          <w:szCs w:val="22"/>
        </w:rPr>
        <w:t>.</w:t>
      </w:r>
      <w:r>
        <w:rPr>
          <w:rStyle w:val="FootnoteReference"/>
          <w:sz w:val="22"/>
          <w:szCs w:val="22"/>
        </w:rPr>
        <w:footnoteReference w:id="127"/>
      </w:r>
      <w:r w:rsidRPr="00BD544D" w:rsidR="009765F4">
        <w:rPr>
          <w:szCs w:val="22"/>
        </w:rPr>
        <w:t xml:space="preserve">  Moving </w:t>
      </w:r>
      <w:r w:rsidRPr="00BD544D" w:rsidR="004912A9">
        <w:rPr>
          <w:szCs w:val="22"/>
        </w:rPr>
        <w:t>all of the</w:t>
      </w:r>
      <w:r w:rsidRPr="00BD544D" w:rsidR="00F46270">
        <w:rPr>
          <w:szCs w:val="22"/>
        </w:rPr>
        <w:t xml:space="preserve"> petition to deny rules</w:t>
      </w:r>
      <w:r w:rsidRPr="00BD544D" w:rsidR="005B55BD">
        <w:rPr>
          <w:szCs w:val="22"/>
        </w:rPr>
        <w:t xml:space="preserve"> </w:t>
      </w:r>
      <w:r w:rsidRPr="00BD544D" w:rsidR="001F4DF5">
        <w:rPr>
          <w:szCs w:val="22"/>
        </w:rPr>
        <w:t>in</w:t>
      </w:r>
      <w:r w:rsidRPr="00BD544D" w:rsidR="004912A9">
        <w:rPr>
          <w:szCs w:val="22"/>
        </w:rPr>
        <w:t>to</w:t>
      </w:r>
      <w:r w:rsidRPr="00BD544D" w:rsidR="001F4DF5">
        <w:rPr>
          <w:szCs w:val="22"/>
        </w:rPr>
        <w:t xml:space="preserve"> section 73.3584</w:t>
      </w:r>
      <w:r w:rsidRPr="00BD544D" w:rsidR="008F7929">
        <w:rPr>
          <w:szCs w:val="22"/>
        </w:rPr>
        <w:t xml:space="preserve"> </w:t>
      </w:r>
      <w:r w:rsidRPr="00BD544D" w:rsidR="004912A9">
        <w:rPr>
          <w:szCs w:val="22"/>
        </w:rPr>
        <w:t>will assist licensees and members of the public</w:t>
      </w:r>
      <w:r w:rsidRPr="00BD544D" w:rsidR="004B63E2">
        <w:rPr>
          <w:szCs w:val="22"/>
        </w:rPr>
        <w:t xml:space="preserve"> </w:t>
      </w:r>
      <w:r w:rsidRPr="00BD544D" w:rsidR="00D40A1E">
        <w:rPr>
          <w:szCs w:val="22"/>
        </w:rPr>
        <w:t>in complying with our R</w:t>
      </w:r>
      <w:r w:rsidRPr="00BD544D" w:rsidR="00BE2433">
        <w:rPr>
          <w:szCs w:val="22"/>
        </w:rPr>
        <w:t>ules</w:t>
      </w:r>
      <w:r w:rsidRPr="00BD544D" w:rsidR="001F4DF5">
        <w:rPr>
          <w:szCs w:val="22"/>
        </w:rPr>
        <w:t xml:space="preserve">.  </w:t>
      </w:r>
      <w:r w:rsidRPr="00BD544D" w:rsidR="00B66761">
        <w:rPr>
          <w:szCs w:val="22"/>
        </w:rPr>
        <w:t>REC supports this proposal as nonc</w:t>
      </w:r>
      <w:r w:rsidRPr="00BD544D" w:rsidR="006A62E6">
        <w:rPr>
          <w:szCs w:val="22"/>
        </w:rPr>
        <w:t>ontroversial.</w:t>
      </w:r>
      <w:r>
        <w:rPr>
          <w:rStyle w:val="FootnoteReference"/>
          <w:sz w:val="22"/>
          <w:szCs w:val="22"/>
        </w:rPr>
        <w:footnoteReference w:id="128"/>
      </w:r>
      <w:r w:rsidRPr="00BD544D" w:rsidR="001F063C">
        <w:rPr>
          <w:szCs w:val="22"/>
        </w:rPr>
        <w:t xml:space="preserve">  We did not receive any other comments on these changes.  Accordingly, we adopt </w:t>
      </w:r>
      <w:r w:rsidRPr="00BD544D" w:rsidR="007A5379">
        <w:rPr>
          <w:szCs w:val="22"/>
        </w:rPr>
        <w:t xml:space="preserve">these changes as proposed and </w:t>
      </w:r>
      <w:r w:rsidRPr="00BD544D" w:rsidR="000D1CFE">
        <w:rPr>
          <w:szCs w:val="22"/>
        </w:rPr>
        <w:t xml:space="preserve">redesignate the revised section 73.3516(e) as a new paragraph </w:t>
      </w:r>
      <w:r w:rsidRPr="00BD544D" w:rsidR="00F5410C">
        <w:rPr>
          <w:szCs w:val="22"/>
        </w:rPr>
        <w:t xml:space="preserve">(f) </w:t>
      </w:r>
      <w:r w:rsidRPr="00BD544D" w:rsidR="000D1CFE">
        <w:rPr>
          <w:szCs w:val="22"/>
        </w:rPr>
        <w:t xml:space="preserve">to rule section 73.3584.  We also replace cross-references to current section 73.3516(e) with references to redesignated section 73.3584(f). </w:t>
      </w:r>
    </w:p>
    <w:p w:rsidR="0090246B" w:rsidRPr="00BD544D" w:rsidP="004B6A66" w14:paraId="77D2B6F9" w14:textId="6E1FD451">
      <w:pPr>
        <w:pStyle w:val="Heading2"/>
      </w:pPr>
      <w:r w:rsidRPr="00BD544D">
        <w:t>Revise the Informal Objection Rule</w:t>
      </w:r>
    </w:p>
    <w:p w:rsidR="003E122C" w:rsidRPr="00BD544D" w:rsidP="008B6E87" w14:paraId="275153AD" w14:textId="2056FE9C">
      <w:pPr>
        <w:pStyle w:val="ParaNum"/>
        <w:rPr>
          <w:szCs w:val="22"/>
        </w:rPr>
      </w:pPr>
      <w:r w:rsidRPr="00BD544D">
        <w:rPr>
          <w:szCs w:val="22"/>
        </w:rPr>
        <w:t xml:space="preserve">In the </w:t>
      </w:r>
      <w:r w:rsidRPr="00BD544D">
        <w:rPr>
          <w:i/>
          <w:iCs/>
          <w:szCs w:val="22"/>
        </w:rPr>
        <w:t>NPRM</w:t>
      </w:r>
      <w:r w:rsidRPr="00BD544D" w:rsidR="00D46C84">
        <w:rPr>
          <w:szCs w:val="22"/>
        </w:rPr>
        <w:t>, we</w:t>
      </w:r>
      <w:r w:rsidRPr="00BD544D" w:rsidR="008B6E87">
        <w:rPr>
          <w:szCs w:val="22"/>
        </w:rPr>
        <w:t xml:space="preserve"> noted that </w:t>
      </w:r>
      <w:r w:rsidRPr="00BD544D" w:rsidR="006733D0">
        <w:rPr>
          <w:szCs w:val="22"/>
        </w:rPr>
        <w:t xml:space="preserve">under </w:t>
      </w:r>
      <w:r w:rsidRPr="00BD544D" w:rsidR="008B6E87">
        <w:rPr>
          <w:szCs w:val="22"/>
        </w:rPr>
        <w:t xml:space="preserve">the </w:t>
      </w:r>
      <w:r w:rsidRPr="00BD544D" w:rsidR="006733D0">
        <w:rPr>
          <w:szCs w:val="22"/>
        </w:rPr>
        <w:t>current</w:t>
      </w:r>
      <w:r w:rsidRPr="00BD544D" w:rsidR="008B6E87">
        <w:rPr>
          <w:szCs w:val="22"/>
        </w:rPr>
        <w:t xml:space="preserve"> rule</w:t>
      </w:r>
      <w:r w:rsidRPr="00BD544D" w:rsidR="00364D7A">
        <w:rPr>
          <w:szCs w:val="22"/>
        </w:rPr>
        <w:t>,</w:t>
      </w:r>
      <w:r w:rsidRPr="00BD544D" w:rsidR="008B6E87">
        <w:rPr>
          <w:szCs w:val="22"/>
        </w:rPr>
        <w:t xml:space="preserve"> </w:t>
      </w:r>
      <w:r w:rsidRPr="00BD544D" w:rsidR="00364D7A">
        <w:rPr>
          <w:szCs w:val="22"/>
        </w:rPr>
        <w:t xml:space="preserve">informal objections are </w:t>
      </w:r>
      <w:r w:rsidRPr="00BD544D" w:rsidR="008B6E87">
        <w:rPr>
          <w:szCs w:val="22"/>
        </w:rPr>
        <w:t>not require</w:t>
      </w:r>
      <w:r w:rsidRPr="00BD544D" w:rsidR="00364D7A">
        <w:rPr>
          <w:szCs w:val="22"/>
        </w:rPr>
        <w:t>d</w:t>
      </w:r>
      <w:r w:rsidRPr="00BD544D" w:rsidR="008B6E87">
        <w:rPr>
          <w:szCs w:val="22"/>
        </w:rPr>
        <w:t xml:space="preserve"> </w:t>
      </w:r>
      <w:r w:rsidRPr="00BD544D" w:rsidR="00364D7A">
        <w:rPr>
          <w:szCs w:val="22"/>
        </w:rPr>
        <w:t xml:space="preserve">to be </w:t>
      </w:r>
      <w:r w:rsidRPr="00BD544D" w:rsidR="008B6E87">
        <w:rPr>
          <w:szCs w:val="22"/>
        </w:rPr>
        <w:t>serv</w:t>
      </w:r>
      <w:r w:rsidRPr="00BD544D" w:rsidR="00364D7A">
        <w:rPr>
          <w:szCs w:val="22"/>
        </w:rPr>
        <w:t>ed upon the applicant</w:t>
      </w:r>
      <w:r w:rsidRPr="00BD544D" w:rsidR="008B6E87">
        <w:rPr>
          <w:szCs w:val="22"/>
        </w:rPr>
        <w:t xml:space="preserve">, </w:t>
      </w:r>
      <w:r w:rsidRPr="00BD544D" w:rsidR="00380B00">
        <w:rPr>
          <w:szCs w:val="22"/>
        </w:rPr>
        <w:t xml:space="preserve">which </w:t>
      </w:r>
      <w:r w:rsidRPr="00BD544D" w:rsidR="008B6E87">
        <w:rPr>
          <w:szCs w:val="22"/>
        </w:rPr>
        <w:t>often leads to considerable inefficiencies in the resolution of contested proceedings.</w:t>
      </w:r>
      <w:r>
        <w:rPr>
          <w:rStyle w:val="FootnoteReference"/>
          <w:sz w:val="22"/>
          <w:szCs w:val="22"/>
        </w:rPr>
        <w:footnoteReference w:id="129"/>
      </w:r>
      <w:r w:rsidRPr="00BD544D" w:rsidR="008B6E87">
        <w:rPr>
          <w:szCs w:val="22"/>
        </w:rPr>
        <w:t xml:space="preserve">  Additionally, our current rule contain</w:t>
      </w:r>
      <w:r w:rsidRPr="00BD544D" w:rsidR="00364D7A">
        <w:rPr>
          <w:szCs w:val="22"/>
        </w:rPr>
        <w:t>s</w:t>
      </w:r>
      <w:r w:rsidRPr="00BD544D" w:rsidR="008B6E87">
        <w:rPr>
          <w:szCs w:val="22"/>
        </w:rPr>
        <w:t xml:space="preserve"> no restriction on the number or type of pleadings that can be filed in response to an informal objection, and provide</w:t>
      </w:r>
      <w:r w:rsidRPr="00BD544D" w:rsidR="00364D7A">
        <w:rPr>
          <w:szCs w:val="22"/>
        </w:rPr>
        <w:t>s</w:t>
      </w:r>
      <w:r w:rsidRPr="00BD544D" w:rsidR="008B6E87">
        <w:rPr>
          <w:szCs w:val="22"/>
        </w:rPr>
        <w:t xml:space="preserve"> no pleading deadlines.</w:t>
      </w:r>
      <w:r>
        <w:rPr>
          <w:rStyle w:val="FootnoteReference"/>
          <w:sz w:val="22"/>
          <w:szCs w:val="22"/>
        </w:rPr>
        <w:footnoteReference w:id="130"/>
      </w:r>
      <w:r w:rsidRPr="00BD544D" w:rsidR="008B6E87">
        <w:rPr>
          <w:szCs w:val="22"/>
        </w:rPr>
        <w:t xml:space="preserve">  </w:t>
      </w:r>
      <w:r w:rsidRPr="00BD544D" w:rsidR="00243032">
        <w:rPr>
          <w:szCs w:val="22"/>
        </w:rPr>
        <w:t xml:space="preserve">Accordingly, </w:t>
      </w:r>
      <w:r w:rsidRPr="00BD544D" w:rsidR="00335B76">
        <w:rPr>
          <w:szCs w:val="22"/>
        </w:rPr>
        <w:t xml:space="preserve">the Commission </w:t>
      </w:r>
      <w:r w:rsidRPr="00BD544D" w:rsidR="00B73CE6">
        <w:rPr>
          <w:szCs w:val="22"/>
        </w:rPr>
        <w:t xml:space="preserve">proposed to revise the informal objection rule to: </w:t>
      </w:r>
      <w:r w:rsidRPr="00BD544D" w:rsidR="00335B76">
        <w:rPr>
          <w:szCs w:val="22"/>
        </w:rPr>
        <w:t>(</w:t>
      </w:r>
      <w:r w:rsidRPr="00BD544D" w:rsidR="00B73CE6">
        <w:rPr>
          <w:szCs w:val="22"/>
        </w:rPr>
        <w:t xml:space="preserve">1) require that informal objections and responsive pleadings be served upon the relevant applicant or objector; </w:t>
      </w:r>
      <w:r w:rsidRPr="00BD544D" w:rsidR="00335B76">
        <w:rPr>
          <w:szCs w:val="22"/>
        </w:rPr>
        <w:t>(</w:t>
      </w:r>
      <w:r w:rsidRPr="00BD544D" w:rsidR="00B73CE6">
        <w:rPr>
          <w:szCs w:val="22"/>
        </w:rPr>
        <w:t xml:space="preserve">2) limit the type of </w:t>
      </w:r>
      <w:r w:rsidRPr="00BD544D" w:rsidR="00B73CE6">
        <w:rPr>
          <w:szCs w:val="22"/>
        </w:rPr>
        <w:t xml:space="preserve">responsive pleadings that may be filed; and </w:t>
      </w:r>
      <w:r w:rsidRPr="00BD544D" w:rsidR="00335B76">
        <w:rPr>
          <w:szCs w:val="22"/>
        </w:rPr>
        <w:t>(</w:t>
      </w:r>
      <w:r w:rsidRPr="00BD544D" w:rsidR="00B73CE6">
        <w:rPr>
          <w:szCs w:val="22"/>
        </w:rPr>
        <w:t>3) impose filing deadlines for responsive pleadings that align</w:t>
      </w:r>
      <w:r w:rsidRPr="00BD544D" w:rsidR="00B25D4C">
        <w:rPr>
          <w:szCs w:val="22"/>
        </w:rPr>
        <w:t>ed</w:t>
      </w:r>
      <w:r w:rsidRPr="00BD544D" w:rsidR="00B73CE6">
        <w:rPr>
          <w:szCs w:val="22"/>
        </w:rPr>
        <w:t xml:space="preserve"> with the limitations set for responsive pleadings to petitions to deny.</w:t>
      </w:r>
      <w:r>
        <w:rPr>
          <w:rStyle w:val="FootnoteReference"/>
          <w:sz w:val="22"/>
          <w:szCs w:val="22"/>
        </w:rPr>
        <w:footnoteReference w:id="131"/>
      </w:r>
      <w:r w:rsidRPr="00BD544D" w:rsidR="00CC02D7">
        <w:rPr>
          <w:szCs w:val="22"/>
        </w:rPr>
        <w:t xml:space="preserve">  </w:t>
      </w:r>
    </w:p>
    <w:p w:rsidR="001313F5" w:rsidRPr="00BD544D" w:rsidP="008B6E87" w14:paraId="71537DA7" w14:textId="7EF6D520">
      <w:pPr>
        <w:pStyle w:val="ParaNum"/>
        <w:rPr>
          <w:szCs w:val="22"/>
        </w:rPr>
      </w:pPr>
      <w:r w:rsidRPr="00BD544D">
        <w:rPr>
          <w:szCs w:val="22"/>
        </w:rPr>
        <w:t xml:space="preserve">Four commenters </w:t>
      </w:r>
      <w:r w:rsidRPr="00BD544D" w:rsidR="00D04AAE">
        <w:rPr>
          <w:szCs w:val="22"/>
        </w:rPr>
        <w:t xml:space="preserve">support </w:t>
      </w:r>
      <w:r w:rsidRPr="00BD544D" w:rsidR="00DD1FAF">
        <w:rPr>
          <w:szCs w:val="22"/>
        </w:rPr>
        <w:t>requiring service on the applicant.</w:t>
      </w:r>
      <w:r>
        <w:rPr>
          <w:rStyle w:val="FootnoteReference"/>
          <w:sz w:val="22"/>
          <w:szCs w:val="22"/>
        </w:rPr>
        <w:footnoteReference w:id="132"/>
      </w:r>
      <w:r w:rsidRPr="00BD544D" w:rsidR="00DD1FAF">
        <w:rPr>
          <w:szCs w:val="22"/>
        </w:rPr>
        <w:t xml:space="preserve"> </w:t>
      </w:r>
      <w:r w:rsidRPr="00BD544D" w:rsidR="008341B4">
        <w:rPr>
          <w:szCs w:val="22"/>
        </w:rPr>
        <w:t xml:space="preserve"> NAB argues that </w:t>
      </w:r>
      <w:r w:rsidRPr="00BD544D" w:rsidR="006C0E98">
        <w:rPr>
          <w:szCs w:val="22"/>
        </w:rPr>
        <w:t xml:space="preserve">a service requirement for informal objections will afford opportunity for the applicant to respond and will improve staff processing efficiency without needing to act as </w:t>
      </w:r>
      <w:r w:rsidRPr="00BD544D" w:rsidR="00564CAD">
        <w:rPr>
          <w:szCs w:val="22"/>
        </w:rPr>
        <w:t xml:space="preserve">an </w:t>
      </w:r>
      <w:r w:rsidRPr="00BD544D" w:rsidR="006C0E98">
        <w:rPr>
          <w:szCs w:val="22"/>
        </w:rPr>
        <w:t>intermediary.</w:t>
      </w:r>
      <w:r>
        <w:rPr>
          <w:rStyle w:val="FootnoteReference"/>
          <w:sz w:val="22"/>
          <w:szCs w:val="22"/>
        </w:rPr>
        <w:footnoteReference w:id="133"/>
      </w:r>
      <w:r w:rsidRPr="00BD544D" w:rsidR="00B7168E">
        <w:rPr>
          <w:szCs w:val="22"/>
        </w:rPr>
        <w:t xml:space="preserve">  Prometheus agrees that informal objectors should notify the applicant and every contact representative by email or surface mail.</w:t>
      </w:r>
      <w:r>
        <w:rPr>
          <w:rStyle w:val="FootnoteReference"/>
          <w:sz w:val="22"/>
          <w:szCs w:val="22"/>
        </w:rPr>
        <w:footnoteReference w:id="134"/>
      </w:r>
      <w:r w:rsidRPr="00BD544D" w:rsidR="00CA2A6A">
        <w:rPr>
          <w:szCs w:val="22"/>
        </w:rPr>
        <w:t xml:space="preserve">  Public Broadcasters </w:t>
      </w:r>
      <w:r w:rsidRPr="00BD544D" w:rsidR="002C7095">
        <w:rPr>
          <w:szCs w:val="22"/>
        </w:rPr>
        <w:t>observes</w:t>
      </w:r>
      <w:r w:rsidRPr="00BD544D" w:rsidR="002C7095">
        <w:rPr>
          <w:szCs w:val="22"/>
        </w:rPr>
        <w:t xml:space="preserve"> </w:t>
      </w:r>
      <w:r w:rsidRPr="00BD544D" w:rsidR="00262182">
        <w:rPr>
          <w:szCs w:val="22"/>
        </w:rPr>
        <w:t xml:space="preserve">that </w:t>
      </w:r>
      <w:r w:rsidRPr="00BD544D" w:rsidR="008F739B">
        <w:rPr>
          <w:szCs w:val="22"/>
        </w:rPr>
        <w:t>these common-sense updates will provide clarity and improve organization regarding the procedures.</w:t>
      </w:r>
      <w:r>
        <w:rPr>
          <w:rStyle w:val="FootnoteReference"/>
          <w:sz w:val="22"/>
          <w:szCs w:val="22"/>
        </w:rPr>
        <w:footnoteReference w:id="135"/>
      </w:r>
      <w:r w:rsidRPr="00BD544D" w:rsidR="004A376E">
        <w:rPr>
          <w:szCs w:val="22"/>
        </w:rPr>
        <w:t xml:space="preserve">  </w:t>
      </w:r>
      <w:r w:rsidRPr="00BD544D" w:rsidR="00185F5D">
        <w:rPr>
          <w:szCs w:val="22"/>
        </w:rPr>
        <w:t>Two c</w:t>
      </w:r>
      <w:r w:rsidRPr="00BD544D" w:rsidR="001874D8">
        <w:rPr>
          <w:szCs w:val="22"/>
        </w:rPr>
        <w:t xml:space="preserve">ommenters also propose that </w:t>
      </w:r>
      <w:r w:rsidRPr="00BD544D" w:rsidR="00FE3F65">
        <w:rPr>
          <w:szCs w:val="22"/>
        </w:rPr>
        <w:t>service be implemented using LMS</w:t>
      </w:r>
      <w:r w:rsidRPr="00BD544D" w:rsidR="00310795">
        <w:rPr>
          <w:szCs w:val="22"/>
        </w:rPr>
        <w:t>,</w:t>
      </w:r>
      <w:r w:rsidRPr="00BD544D" w:rsidR="00FE3F65">
        <w:rPr>
          <w:szCs w:val="22"/>
        </w:rPr>
        <w:t xml:space="preserve"> </w:t>
      </w:r>
      <w:r w:rsidRPr="00BD544D" w:rsidR="00310795">
        <w:rPr>
          <w:szCs w:val="22"/>
        </w:rPr>
        <w:t>via</w:t>
      </w:r>
      <w:r w:rsidRPr="00BD544D" w:rsidR="00F62B7D">
        <w:rPr>
          <w:szCs w:val="22"/>
        </w:rPr>
        <w:t xml:space="preserve"> automatic email notifications to the applicant of any pleadings filed.</w:t>
      </w:r>
      <w:r>
        <w:rPr>
          <w:rStyle w:val="FootnoteReference"/>
          <w:sz w:val="22"/>
          <w:szCs w:val="22"/>
        </w:rPr>
        <w:footnoteReference w:id="136"/>
      </w:r>
    </w:p>
    <w:p w:rsidR="00A31AFF" w:rsidRPr="00BD544D" w:rsidP="008B6E87" w14:paraId="511CED7C" w14:textId="54C5529A">
      <w:pPr>
        <w:pStyle w:val="ParaNum"/>
        <w:rPr>
          <w:szCs w:val="22"/>
        </w:rPr>
      </w:pPr>
      <w:r w:rsidRPr="00BD544D">
        <w:rPr>
          <w:szCs w:val="22"/>
        </w:rPr>
        <w:t xml:space="preserve">REC </w:t>
      </w:r>
      <w:r w:rsidRPr="00BD544D" w:rsidR="001313F5">
        <w:rPr>
          <w:szCs w:val="22"/>
        </w:rPr>
        <w:t xml:space="preserve">opposes adding any </w:t>
      </w:r>
      <w:r w:rsidRPr="00BD544D" w:rsidR="00F171B6">
        <w:rPr>
          <w:szCs w:val="22"/>
        </w:rPr>
        <w:t xml:space="preserve">restrictions to the </w:t>
      </w:r>
      <w:r w:rsidRPr="00BD544D" w:rsidR="00C7340D">
        <w:rPr>
          <w:szCs w:val="22"/>
        </w:rPr>
        <w:t>infor</w:t>
      </w:r>
      <w:r w:rsidRPr="00BD544D" w:rsidR="00E07A33">
        <w:rPr>
          <w:szCs w:val="22"/>
        </w:rPr>
        <w:t>mal objection</w:t>
      </w:r>
      <w:r w:rsidRPr="00BD544D" w:rsidR="00564CAD">
        <w:rPr>
          <w:szCs w:val="22"/>
        </w:rPr>
        <w:t xml:space="preserve"> process</w:t>
      </w:r>
      <w:r w:rsidRPr="00BD544D" w:rsidR="007902C3">
        <w:rPr>
          <w:szCs w:val="22"/>
        </w:rPr>
        <w:t>, arguing that</w:t>
      </w:r>
      <w:r w:rsidRPr="00BD544D" w:rsidR="008A4187">
        <w:rPr>
          <w:szCs w:val="22"/>
        </w:rPr>
        <w:t xml:space="preserve">:  </w:t>
      </w:r>
      <w:r w:rsidRPr="00BD544D" w:rsidR="00335B76">
        <w:rPr>
          <w:szCs w:val="22"/>
        </w:rPr>
        <w:t>(</w:t>
      </w:r>
      <w:r w:rsidRPr="00BD544D" w:rsidR="008A4187">
        <w:rPr>
          <w:szCs w:val="22"/>
        </w:rPr>
        <w:t xml:space="preserve">1) informal objections are a critical tool to combat gamesmanship; </w:t>
      </w:r>
      <w:r w:rsidRPr="00BD544D" w:rsidR="00335B76">
        <w:rPr>
          <w:szCs w:val="22"/>
        </w:rPr>
        <w:t>(</w:t>
      </w:r>
      <w:r w:rsidRPr="00BD544D" w:rsidR="002B18C9">
        <w:rPr>
          <w:szCs w:val="22"/>
        </w:rPr>
        <w:t xml:space="preserve">2) </w:t>
      </w:r>
      <w:r w:rsidRPr="00BD544D" w:rsidR="008A4187">
        <w:rPr>
          <w:szCs w:val="22"/>
        </w:rPr>
        <w:t>LPFM and NCE community “watchdogs” use the mechanism to maintain application and service integrity</w:t>
      </w:r>
      <w:r w:rsidRPr="00BD544D" w:rsidR="00C75FAB">
        <w:rPr>
          <w:szCs w:val="22"/>
        </w:rPr>
        <w:t xml:space="preserve">; </w:t>
      </w:r>
      <w:r w:rsidRPr="00BD544D" w:rsidR="00335B76">
        <w:rPr>
          <w:szCs w:val="22"/>
        </w:rPr>
        <w:t>(</w:t>
      </w:r>
      <w:r w:rsidRPr="00BD544D" w:rsidR="00C75FAB">
        <w:rPr>
          <w:szCs w:val="22"/>
        </w:rPr>
        <w:t xml:space="preserve">3) informal objections </w:t>
      </w:r>
      <w:r w:rsidRPr="00BD544D" w:rsidR="00710458">
        <w:rPr>
          <w:szCs w:val="22"/>
        </w:rPr>
        <w:t xml:space="preserve">allow </w:t>
      </w:r>
      <w:r w:rsidRPr="00BD544D" w:rsidR="008A4187">
        <w:rPr>
          <w:szCs w:val="22"/>
        </w:rPr>
        <w:t>unsophisticated members of the public to participate without an attorney</w:t>
      </w:r>
      <w:r w:rsidRPr="00BD544D" w:rsidR="00107714">
        <w:rPr>
          <w:szCs w:val="22"/>
        </w:rPr>
        <w:t xml:space="preserve">; and </w:t>
      </w:r>
      <w:r w:rsidRPr="00BD544D" w:rsidR="00335B76">
        <w:rPr>
          <w:szCs w:val="22"/>
        </w:rPr>
        <w:t>(</w:t>
      </w:r>
      <w:r w:rsidRPr="00BD544D" w:rsidR="00107714">
        <w:rPr>
          <w:szCs w:val="22"/>
        </w:rPr>
        <w:t>4) the</w:t>
      </w:r>
      <w:r w:rsidRPr="00BD544D" w:rsidR="008A4187">
        <w:rPr>
          <w:szCs w:val="22"/>
        </w:rPr>
        <w:t xml:space="preserve"> </w:t>
      </w:r>
      <w:r w:rsidRPr="00BD544D" w:rsidR="00107714">
        <w:rPr>
          <w:szCs w:val="22"/>
        </w:rPr>
        <w:t>s</w:t>
      </w:r>
      <w:r w:rsidRPr="00BD544D" w:rsidR="008A4187">
        <w:rPr>
          <w:szCs w:val="22"/>
        </w:rPr>
        <w:t xml:space="preserve">ervice requirement is not in the public interest because </w:t>
      </w:r>
      <w:r w:rsidRPr="00BD544D" w:rsidR="00117DBA">
        <w:rPr>
          <w:szCs w:val="22"/>
        </w:rPr>
        <w:t xml:space="preserve">it would create a barrier to </w:t>
      </w:r>
      <w:r w:rsidRPr="00BD544D" w:rsidR="008A4187">
        <w:rPr>
          <w:szCs w:val="22"/>
        </w:rPr>
        <w:t>stations</w:t>
      </w:r>
      <w:r w:rsidRPr="00BD544D" w:rsidR="00117DBA">
        <w:rPr>
          <w:szCs w:val="22"/>
        </w:rPr>
        <w:t xml:space="preserve">’ </w:t>
      </w:r>
      <w:r w:rsidRPr="00BD544D" w:rsidR="008A4187">
        <w:rPr>
          <w:szCs w:val="22"/>
        </w:rPr>
        <w:t>obligation</w:t>
      </w:r>
      <w:r w:rsidRPr="00BD544D" w:rsidR="00117DBA">
        <w:rPr>
          <w:szCs w:val="22"/>
        </w:rPr>
        <w:t xml:space="preserve"> </w:t>
      </w:r>
      <w:r w:rsidRPr="00BD544D" w:rsidR="008A4187">
        <w:rPr>
          <w:szCs w:val="22"/>
        </w:rPr>
        <w:t>to allow for participation from local listeners</w:t>
      </w:r>
      <w:r w:rsidRPr="00BD544D" w:rsidR="00117DBA">
        <w:rPr>
          <w:szCs w:val="22"/>
        </w:rPr>
        <w:t>.</w:t>
      </w:r>
      <w:r>
        <w:rPr>
          <w:rStyle w:val="FootnoteReference"/>
          <w:sz w:val="22"/>
          <w:szCs w:val="22"/>
        </w:rPr>
        <w:footnoteReference w:id="137"/>
      </w:r>
      <w:r w:rsidRPr="00BD544D" w:rsidR="004E41DD">
        <w:rPr>
          <w:szCs w:val="22"/>
        </w:rPr>
        <w:t xml:space="preserve">  REC also expresses concern that applicants c</w:t>
      </w:r>
      <w:r w:rsidRPr="00BD544D" w:rsidR="00380B00">
        <w:rPr>
          <w:szCs w:val="22"/>
        </w:rPr>
        <w:t>ould</w:t>
      </w:r>
      <w:r w:rsidRPr="00BD544D" w:rsidR="004E41DD">
        <w:rPr>
          <w:szCs w:val="22"/>
        </w:rPr>
        <w:t xml:space="preserve"> </w:t>
      </w:r>
      <w:r w:rsidRPr="00BD544D" w:rsidR="006F74F4">
        <w:rPr>
          <w:szCs w:val="22"/>
        </w:rPr>
        <w:t>exploit procedural requirements to get informal objections dismissed.</w:t>
      </w:r>
      <w:r>
        <w:rPr>
          <w:rStyle w:val="FootnoteReference"/>
          <w:sz w:val="22"/>
          <w:szCs w:val="22"/>
        </w:rPr>
        <w:footnoteReference w:id="138"/>
      </w:r>
    </w:p>
    <w:p w:rsidR="008948A3" w:rsidRPr="00BD544D" w:rsidP="009729E7" w14:paraId="04935D05" w14:textId="7DAAD4C0">
      <w:pPr>
        <w:pStyle w:val="ParaNum"/>
        <w:rPr>
          <w:szCs w:val="22"/>
        </w:rPr>
      </w:pPr>
      <w:r w:rsidRPr="00BD544D">
        <w:rPr>
          <w:szCs w:val="22"/>
        </w:rPr>
        <w:t xml:space="preserve">We </w:t>
      </w:r>
      <w:r w:rsidRPr="00BD544D" w:rsidR="00B25D4C">
        <w:rPr>
          <w:szCs w:val="22"/>
        </w:rPr>
        <w:t xml:space="preserve">also </w:t>
      </w:r>
      <w:r w:rsidRPr="00BD544D">
        <w:rPr>
          <w:szCs w:val="22"/>
        </w:rPr>
        <w:t>receiv</w:t>
      </w:r>
      <w:r w:rsidRPr="00BD544D" w:rsidR="00BE28A1">
        <w:rPr>
          <w:szCs w:val="22"/>
        </w:rPr>
        <w:t xml:space="preserve">ed mixed comments </w:t>
      </w:r>
      <w:r w:rsidRPr="00BD544D" w:rsidR="00564CAD">
        <w:rPr>
          <w:szCs w:val="22"/>
        </w:rPr>
        <w:t>regarding</w:t>
      </w:r>
      <w:r w:rsidRPr="00BD544D" w:rsidR="00BE28A1">
        <w:rPr>
          <w:szCs w:val="22"/>
        </w:rPr>
        <w:t xml:space="preserve"> </w:t>
      </w:r>
      <w:r w:rsidRPr="00BD544D" w:rsidR="00335B76">
        <w:rPr>
          <w:szCs w:val="22"/>
        </w:rPr>
        <w:t xml:space="preserve">the </w:t>
      </w:r>
      <w:r w:rsidRPr="00BD544D" w:rsidR="00564CAD">
        <w:rPr>
          <w:szCs w:val="22"/>
        </w:rPr>
        <w:t xml:space="preserve">proposal to </w:t>
      </w:r>
      <w:r w:rsidRPr="00BD544D" w:rsidR="00BE28A1">
        <w:rPr>
          <w:szCs w:val="22"/>
        </w:rPr>
        <w:t xml:space="preserve">limit responsive pleading types to one </w:t>
      </w:r>
      <w:r w:rsidRPr="00BD544D" w:rsidR="00564CAD">
        <w:rPr>
          <w:szCs w:val="22"/>
        </w:rPr>
        <w:t>o</w:t>
      </w:r>
      <w:r w:rsidRPr="00BD544D" w:rsidR="00BE28A1">
        <w:rPr>
          <w:szCs w:val="22"/>
        </w:rPr>
        <w:t xml:space="preserve">pposition and one </w:t>
      </w:r>
      <w:r w:rsidRPr="00BD544D" w:rsidR="00564CAD">
        <w:rPr>
          <w:szCs w:val="22"/>
        </w:rPr>
        <w:t>r</w:t>
      </w:r>
      <w:r w:rsidRPr="00BD544D" w:rsidR="00BE28A1">
        <w:rPr>
          <w:szCs w:val="22"/>
        </w:rPr>
        <w:t>eply</w:t>
      </w:r>
      <w:r w:rsidRPr="00BD544D" w:rsidR="004730F6">
        <w:rPr>
          <w:szCs w:val="22"/>
        </w:rPr>
        <w:t>.</w:t>
      </w:r>
      <w:r w:rsidRPr="00BD544D" w:rsidR="00620598">
        <w:rPr>
          <w:szCs w:val="22"/>
        </w:rPr>
        <w:t xml:space="preserve">  </w:t>
      </w:r>
      <w:r w:rsidRPr="00BD544D" w:rsidR="00C623A4">
        <w:rPr>
          <w:szCs w:val="22"/>
        </w:rPr>
        <w:t>REC opposes limiting responsive pleadings to one opposition and one reply because new information may occur outside of the proposed deadlines, and objectors require flexibility with respect to supplemental pleadings.</w:t>
      </w:r>
      <w:r>
        <w:rPr>
          <w:rStyle w:val="FootnoteReference"/>
          <w:sz w:val="22"/>
          <w:szCs w:val="22"/>
        </w:rPr>
        <w:footnoteReference w:id="139"/>
      </w:r>
      <w:r w:rsidRPr="00BD544D" w:rsidR="00F57DD8">
        <w:rPr>
          <w:szCs w:val="22"/>
        </w:rPr>
        <w:t xml:space="preserve">  NAB</w:t>
      </w:r>
      <w:r w:rsidRPr="00BD544D" w:rsidR="000F6072">
        <w:rPr>
          <w:szCs w:val="22"/>
        </w:rPr>
        <w:t xml:space="preserve">, Public Broadcasters, and </w:t>
      </w:r>
      <w:r w:rsidRPr="00BD544D" w:rsidR="002220DC">
        <w:rPr>
          <w:szCs w:val="22"/>
        </w:rPr>
        <w:t>Common Frequency</w:t>
      </w:r>
      <w:r w:rsidRPr="00BD544D" w:rsidR="00717B9B">
        <w:rPr>
          <w:szCs w:val="22"/>
        </w:rPr>
        <w:t>, however,</w:t>
      </w:r>
      <w:r w:rsidRPr="00BD544D" w:rsidR="002220DC">
        <w:rPr>
          <w:szCs w:val="22"/>
        </w:rPr>
        <w:t xml:space="preserve"> </w:t>
      </w:r>
      <w:r w:rsidRPr="00BD544D" w:rsidR="00F57DD8">
        <w:rPr>
          <w:szCs w:val="22"/>
        </w:rPr>
        <w:t xml:space="preserve">agree with limiting the type of responsive pleadings allowed </w:t>
      </w:r>
      <w:r w:rsidRPr="00BD544D" w:rsidR="006A1236">
        <w:rPr>
          <w:szCs w:val="22"/>
        </w:rPr>
        <w:t>to</w:t>
      </w:r>
      <w:r w:rsidRPr="00BD544D" w:rsidR="00F57DD8">
        <w:rPr>
          <w:szCs w:val="22"/>
        </w:rPr>
        <w:t xml:space="preserve"> one </w:t>
      </w:r>
      <w:r w:rsidRPr="00BD544D" w:rsidR="006E36D1">
        <w:rPr>
          <w:szCs w:val="22"/>
        </w:rPr>
        <w:t>o</w:t>
      </w:r>
      <w:r w:rsidRPr="00BD544D" w:rsidR="00F57DD8">
        <w:rPr>
          <w:szCs w:val="22"/>
        </w:rPr>
        <w:t xml:space="preserve">pposition and one </w:t>
      </w:r>
      <w:r w:rsidRPr="00BD544D" w:rsidR="004F72A6">
        <w:rPr>
          <w:szCs w:val="22"/>
        </w:rPr>
        <w:t>r</w:t>
      </w:r>
      <w:r w:rsidRPr="00BD544D" w:rsidR="00F57DD8">
        <w:rPr>
          <w:szCs w:val="22"/>
        </w:rPr>
        <w:t>eply</w:t>
      </w:r>
      <w:r w:rsidRPr="00BD544D" w:rsidR="00AE6279">
        <w:rPr>
          <w:szCs w:val="22"/>
        </w:rPr>
        <w:t>.</w:t>
      </w:r>
      <w:r>
        <w:rPr>
          <w:rStyle w:val="FootnoteReference"/>
          <w:sz w:val="22"/>
          <w:szCs w:val="22"/>
        </w:rPr>
        <w:footnoteReference w:id="140"/>
      </w:r>
      <w:r w:rsidRPr="00BD544D" w:rsidR="00735857">
        <w:rPr>
          <w:szCs w:val="22"/>
        </w:rPr>
        <w:t xml:space="preserve">  </w:t>
      </w:r>
      <w:r w:rsidRPr="00BD544D" w:rsidR="00B25D4C">
        <w:rPr>
          <w:szCs w:val="22"/>
        </w:rPr>
        <w:t>Similarly, w</w:t>
      </w:r>
      <w:r w:rsidRPr="00BD544D" w:rsidR="00D1220B">
        <w:rPr>
          <w:szCs w:val="22"/>
        </w:rPr>
        <w:t xml:space="preserve">e received mixed </w:t>
      </w:r>
      <w:r w:rsidRPr="00BD544D" w:rsidR="006E36D1">
        <w:rPr>
          <w:szCs w:val="22"/>
        </w:rPr>
        <w:t>support</w:t>
      </w:r>
      <w:r w:rsidRPr="00BD544D" w:rsidR="00D1220B">
        <w:rPr>
          <w:szCs w:val="22"/>
        </w:rPr>
        <w:t xml:space="preserve"> regarding</w:t>
      </w:r>
      <w:r w:rsidRPr="00BD544D" w:rsidR="006E36D1">
        <w:rPr>
          <w:szCs w:val="22"/>
        </w:rPr>
        <w:t xml:space="preserve"> </w:t>
      </w:r>
      <w:r w:rsidRPr="00BD544D" w:rsidR="00335B76">
        <w:rPr>
          <w:szCs w:val="22"/>
        </w:rPr>
        <w:t xml:space="preserve">the </w:t>
      </w:r>
      <w:r w:rsidRPr="00BD544D" w:rsidR="006E36D1">
        <w:rPr>
          <w:szCs w:val="22"/>
        </w:rPr>
        <w:t>proposal to</w:t>
      </w:r>
      <w:r w:rsidRPr="00BD544D" w:rsidR="00D1220B">
        <w:rPr>
          <w:szCs w:val="22"/>
        </w:rPr>
        <w:t xml:space="preserve"> </w:t>
      </w:r>
      <w:r w:rsidRPr="00BD544D" w:rsidR="00053236">
        <w:rPr>
          <w:szCs w:val="22"/>
        </w:rPr>
        <w:t xml:space="preserve">implement filing deadlines for responsive pleadings.  For example, </w:t>
      </w:r>
      <w:r w:rsidRPr="00BD544D" w:rsidR="00684D0F">
        <w:rPr>
          <w:szCs w:val="22"/>
        </w:rPr>
        <w:t>REC supports use of time limits for responsive pleadings, and NAB</w:t>
      </w:r>
      <w:r w:rsidRPr="00BD544D" w:rsidR="00877F4E">
        <w:rPr>
          <w:szCs w:val="22"/>
        </w:rPr>
        <w:t xml:space="preserve"> </w:t>
      </w:r>
      <w:r w:rsidRPr="00BD544D" w:rsidR="001F07FC">
        <w:rPr>
          <w:szCs w:val="22"/>
        </w:rPr>
        <w:t>supports “appropriate response timelines</w:t>
      </w:r>
      <w:r w:rsidRPr="00BD544D" w:rsidR="00F31CB6">
        <w:rPr>
          <w:szCs w:val="22"/>
        </w:rPr>
        <w:t>,</w:t>
      </w:r>
      <w:r w:rsidRPr="00BD544D" w:rsidR="001F07FC">
        <w:rPr>
          <w:szCs w:val="22"/>
        </w:rPr>
        <w:t xml:space="preserve">” but proposes </w:t>
      </w:r>
      <w:r w:rsidRPr="00BD544D" w:rsidR="00067D4B">
        <w:rPr>
          <w:szCs w:val="22"/>
        </w:rPr>
        <w:t>relaxation of the deadlines for “</w:t>
      </w:r>
      <w:r w:rsidRPr="00BD544D" w:rsidR="00067D4B">
        <w:rPr>
          <w:i/>
          <w:iCs/>
          <w:szCs w:val="22"/>
        </w:rPr>
        <w:t>bona fide</w:t>
      </w:r>
      <w:r w:rsidRPr="00BD544D" w:rsidR="00067D4B">
        <w:rPr>
          <w:szCs w:val="22"/>
        </w:rPr>
        <w:t xml:space="preserve">” </w:t>
      </w:r>
      <w:r w:rsidRPr="00BD544D" w:rsidR="00B81E34">
        <w:rPr>
          <w:szCs w:val="22"/>
        </w:rPr>
        <w:t xml:space="preserve">objections filed by </w:t>
      </w:r>
      <w:r w:rsidRPr="00BD544D" w:rsidR="00E22EEF">
        <w:rPr>
          <w:szCs w:val="22"/>
        </w:rPr>
        <w:t>inexperienced</w:t>
      </w:r>
      <w:r w:rsidRPr="00BD544D" w:rsidR="00E22EEF">
        <w:rPr>
          <w:szCs w:val="22"/>
        </w:rPr>
        <w:t xml:space="preserve"> </w:t>
      </w:r>
      <w:r w:rsidRPr="00BD544D" w:rsidR="00B81E34">
        <w:rPr>
          <w:szCs w:val="22"/>
        </w:rPr>
        <w:t>parties.</w:t>
      </w:r>
      <w:r>
        <w:rPr>
          <w:rStyle w:val="FootnoteReference"/>
          <w:sz w:val="22"/>
          <w:szCs w:val="22"/>
        </w:rPr>
        <w:footnoteReference w:id="141"/>
      </w:r>
      <w:r w:rsidRPr="00BD544D" w:rsidR="0031100E">
        <w:rPr>
          <w:szCs w:val="22"/>
        </w:rPr>
        <w:t xml:space="preserve">  Common Frequency maintains that pleading time restr</w:t>
      </w:r>
      <w:r w:rsidRPr="00BD544D" w:rsidR="00980901">
        <w:rPr>
          <w:szCs w:val="22"/>
        </w:rPr>
        <w:t xml:space="preserve">ictions should only apply to renewal applications, and opposes deadlines for </w:t>
      </w:r>
      <w:r w:rsidRPr="00BD544D" w:rsidR="00442ABD">
        <w:rPr>
          <w:szCs w:val="22"/>
        </w:rPr>
        <w:t xml:space="preserve">informal objections filed against </w:t>
      </w:r>
      <w:r w:rsidRPr="00BD544D" w:rsidR="00980901">
        <w:rPr>
          <w:szCs w:val="22"/>
        </w:rPr>
        <w:t>non-renewal applications.</w:t>
      </w:r>
      <w:r>
        <w:rPr>
          <w:rStyle w:val="FootnoteReference"/>
          <w:sz w:val="22"/>
          <w:szCs w:val="22"/>
        </w:rPr>
        <w:footnoteReference w:id="142"/>
      </w:r>
      <w:r w:rsidRPr="00BD544D" w:rsidR="00735857">
        <w:rPr>
          <w:szCs w:val="22"/>
        </w:rPr>
        <w:t xml:space="preserve">  </w:t>
      </w:r>
      <w:r w:rsidR="004D2A42">
        <w:rPr>
          <w:szCs w:val="22"/>
        </w:rPr>
        <w:t>We are persuaded by the concerns REC raises</w:t>
      </w:r>
      <w:r w:rsidR="00D07CD1">
        <w:rPr>
          <w:szCs w:val="22"/>
        </w:rPr>
        <w:t xml:space="preserve"> </w:t>
      </w:r>
      <w:r w:rsidR="007C19CD">
        <w:rPr>
          <w:szCs w:val="22"/>
        </w:rPr>
        <w:t>regarding</w:t>
      </w:r>
      <w:r w:rsidR="00E5486A">
        <w:rPr>
          <w:szCs w:val="22"/>
        </w:rPr>
        <w:t xml:space="preserve"> </w:t>
      </w:r>
      <w:r w:rsidR="00523D59">
        <w:rPr>
          <w:szCs w:val="22"/>
        </w:rPr>
        <w:t>imposing new</w:t>
      </w:r>
      <w:r w:rsidR="004C28AC">
        <w:rPr>
          <w:szCs w:val="22"/>
        </w:rPr>
        <w:t xml:space="preserve"> requirements and restrictions on the informal objection process.  We</w:t>
      </w:r>
      <w:r w:rsidR="00041A17">
        <w:rPr>
          <w:szCs w:val="22"/>
        </w:rPr>
        <w:t xml:space="preserve"> conclude that the current rule strikes </w:t>
      </w:r>
      <w:r w:rsidR="00BC3914">
        <w:rPr>
          <w:szCs w:val="22"/>
        </w:rPr>
        <w:t>an</w:t>
      </w:r>
      <w:r w:rsidR="00041A17">
        <w:rPr>
          <w:szCs w:val="22"/>
        </w:rPr>
        <w:t xml:space="preserve"> appropriate balance </w:t>
      </w:r>
      <w:r w:rsidR="00CF32F0">
        <w:rPr>
          <w:szCs w:val="22"/>
        </w:rPr>
        <w:t xml:space="preserve">to promote </w:t>
      </w:r>
      <w:r w:rsidR="00D07CD1">
        <w:rPr>
          <w:szCs w:val="22"/>
        </w:rPr>
        <w:t xml:space="preserve">critical </w:t>
      </w:r>
      <w:r w:rsidR="0044728F">
        <w:rPr>
          <w:szCs w:val="22"/>
        </w:rPr>
        <w:t>participation</w:t>
      </w:r>
      <w:r w:rsidR="00D07CD1">
        <w:rPr>
          <w:szCs w:val="22"/>
        </w:rPr>
        <w:t xml:space="preserve"> </w:t>
      </w:r>
      <w:r w:rsidR="0044728F">
        <w:rPr>
          <w:szCs w:val="22"/>
        </w:rPr>
        <w:t>from</w:t>
      </w:r>
      <w:r w:rsidR="00D07CD1">
        <w:rPr>
          <w:szCs w:val="22"/>
        </w:rPr>
        <w:t xml:space="preserve"> members of the public</w:t>
      </w:r>
      <w:r w:rsidRPr="00A51DC8" w:rsidR="00A51DC8">
        <w:rPr>
          <w:szCs w:val="22"/>
        </w:rPr>
        <w:t xml:space="preserve"> </w:t>
      </w:r>
      <w:r w:rsidR="00A51DC8">
        <w:rPr>
          <w:szCs w:val="22"/>
        </w:rPr>
        <w:t>in our application filing and licensing proceedings</w:t>
      </w:r>
      <w:r w:rsidR="00CF32F0">
        <w:rPr>
          <w:szCs w:val="22"/>
        </w:rPr>
        <w:t>.</w:t>
      </w:r>
      <w:r w:rsidR="00777265">
        <w:rPr>
          <w:szCs w:val="22"/>
        </w:rPr>
        <w:t xml:space="preserve"> </w:t>
      </w:r>
      <w:r w:rsidR="00CF32F0">
        <w:rPr>
          <w:szCs w:val="22"/>
        </w:rPr>
        <w:t xml:space="preserve"> W</w:t>
      </w:r>
      <w:r w:rsidRPr="00BD544D" w:rsidR="0068449F">
        <w:rPr>
          <w:szCs w:val="22"/>
        </w:rPr>
        <w:t xml:space="preserve">e </w:t>
      </w:r>
      <w:r w:rsidR="00CF32F0">
        <w:rPr>
          <w:szCs w:val="22"/>
        </w:rPr>
        <w:t xml:space="preserve">therefore </w:t>
      </w:r>
      <w:r w:rsidRPr="00BD544D" w:rsidR="0068449F">
        <w:rPr>
          <w:szCs w:val="22"/>
        </w:rPr>
        <w:t xml:space="preserve">decline to adopt these </w:t>
      </w:r>
      <w:r w:rsidRPr="00BD544D" w:rsidR="00BF32F7">
        <w:rPr>
          <w:szCs w:val="22"/>
        </w:rPr>
        <w:t>specific changes</w:t>
      </w:r>
      <w:r w:rsidRPr="00BD544D" w:rsidR="0068449F">
        <w:rPr>
          <w:szCs w:val="22"/>
        </w:rPr>
        <w:t xml:space="preserve"> at this time</w:t>
      </w:r>
      <w:r w:rsidRPr="00BD544D" w:rsidR="00BF32F7">
        <w:rPr>
          <w:szCs w:val="22"/>
        </w:rPr>
        <w:t>.</w:t>
      </w:r>
      <w:r w:rsidRPr="00BD544D" w:rsidR="00335B76">
        <w:rPr>
          <w:szCs w:val="22"/>
        </w:rPr>
        <w:t xml:space="preserve">  </w:t>
      </w:r>
    </w:p>
    <w:p w:rsidR="009729E7" w:rsidRPr="00BD544D" w:rsidP="00D07A9C" w14:paraId="422E1085" w14:textId="7DA48152">
      <w:pPr>
        <w:pStyle w:val="Heading1"/>
      </w:pPr>
      <w:r w:rsidRPr="00BD544D">
        <w:t>procedural matters</w:t>
      </w:r>
    </w:p>
    <w:p w:rsidR="006C7C0A" w:rsidRPr="00926837" w:rsidP="00926837" w14:paraId="01AC8FF2" w14:textId="1BC1466D">
      <w:pPr>
        <w:pStyle w:val="ParaNum"/>
        <w:rPr>
          <w:szCs w:val="22"/>
        </w:rPr>
      </w:pPr>
      <w:r w:rsidRPr="00BD544D">
        <w:rPr>
          <w:i/>
          <w:iCs/>
          <w:szCs w:val="22"/>
        </w:rPr>
        <w:t>Regulatory Flexibility Act</w:t>
      </w:r>
      <w:r w:rsidRPr="00BD544D">
        <w:rPr>
          <w:szCs w:val="22"/>
        </w:rPr>
        <w:t>.</w:t>
      </w:r>
      <w:r w:rsidRPr="00BD544D" w:rsidR="00E524FE">
        <w:rPr>
          <w:szCs w:val="22"/>
        </w:rPr>
        <w:t xml:space="preserve"> </w:t>
      </w:r>
      <w:r w:rsidRPr="00BD544D">
        <w:rPr>
          <w:szCs w:val="22"/>
        </w:rPr>
        <w:t xml:space="preserve"> The Regulatory Flexibility Act of 1980, as amended (RFA),</w:t>
      </w:r>
      <w:r>
        <w:rPr>
          <w:rStyle w:val="FootnoteReference"/>
          <w:sz w:val="22"/>
          <w:szCs w:val="22"/>
        </w:rPr>
        <w:footnoteReference w:id="143"/>
      </w:r>
      <w:r w:rsidRPr="00BD544D">
        <w:rPr>
          <w:szCs w:val="22"/>
        </w:rPr>
        <w:t xml:space="preserve"> requires that an agency prepare a regulatory flexibility analysis for notice</w:t>
      </w:r>
      <w:r w:rsidR="00926837">
        <w:rPr>
          <w:szCs w:val="22"/>
        </w:rPr>
        <w:t>—</w:t>
      </w:r>
      <w:r w:rsidRPr="00926837">
        <w:rPr>
          <w:szCs w:val="22"/>
        </w:rPr>
        <w:t>and</w:t>
      </w:r>
      <w:r w:rsidR="00926837">
        <w:rPr>
          <w:szCs w:val="22"/>
        </w:rPr>
        <w:t>—</w:t>
      </w:r>
      <w:r w:rsidRPr="00926837">
        <w:rPr>
          <w:szCs w:val="22"/>
        </w:rPr>
        <w:t>comment rulemakings, unless the agency certifies that “the rule will not, if promulgated, have a significant economic impact on a substantial number of small entities.”</w:t>
      </w:r>
      <w:r>
        <w:rPr>
          <w:rStyle w:val="FootnoteReference"/>
          <w:sz w:val="22"/>
          <w:szCs w:val="22"/>
        </w:rPr>
        <w:footnoteReference w:id="144"/>
      </w:r>
      <w:r w:rsidRPr="00926837" w:rsidR="004244C6">
        <w:rPr>
          <w:szCs w:val="22"/>
        </w:rPr>
        <w:t xml:space="preserve"> </w:t>
      </w:r>
      <w:r w:rsidRPr="00926837">
        <w:rPr>
          <w:szCs w:val="22"/>
        </w:rPr>
        <w:t xml:space="preserve"> Accordingly, the Commission has prepared a Final Regulatory Flexibility Analysis (FRFA) concerning the possible impact of the rule and policy changes contained in this </w:t>
      </w:r>
      <w:r w:rsidRPr="00926837">
        <w:rPr>
          <w:i/>
          <w:iCs/>
          <w:szCs w:val="22"/>
        </w:rPr>
        <w:t>Report and Order</w:t>
      </w:r>
      <w:r w:rsidRPr="00926837">
        <w:rPr>
          <w:szCs w:val="22"/>
        </w:rPr>
        <w:t xml:space="preserve"> on small entities. </w:t>
      </w:r>
      <w:r w:rsidRPr="00926837" w:rsidR="00E70BDA">
        <w:rPr>
          <w:szCs w:val="22"/>
        </w:rPr>
        <w:t xml:space="preserve"> </w:t>
      </w:r>
      <w:r w:rsidRPr="00926837">
        <w:rPr>
          <w:szCs w:val="22"/>
        </w:rPr>
        <w:t>The FRFA is set forth in Appendix B.</w:t>
      </w:r>
    </w:p>
    <w:p w:rsidR="008A257E" w:rsidRPr="00BD544D" w:rsidP="006C7C0A" w14:paraId="5A0EBABD" w14:textId="0D718FE1">
      <w:pPr>
        <w:pStyle w:val="ParaNum"/>
        <w:rPr>
          <w:szCs w:val="22"/>
        </w:rPr>
      </w:pPr>
      <w:r w:rsidRPr="00BD544D">
        <w:rPr>
          <w:i/>
          <w:iCs/>
          <w:szCs w:val="22"/>
        </w:rPr>
        <w:t>Paperwork Reduction Act</w:t>
      </w:r>
      <w:r w:rsidRPr="00BD544D">
        <w:rPr>
          <w:szCs w:val="22"/>
        </w:rPr>
        <w:t xml:space="preserve">. </w:t>
      </w:r>
      <w:r w:rsidRPr="00BD544D" w:rsidR="00E524FE">
        <w:rPr>
          <w:szCs w:val="22"/>
        </w:rPr>
        <w:t xml:space="preserve"> </w:t>
      </w:r>
      <w:r w:rsidRPr="00BD544D">
        <w:rPr>
          <w:szCs w:val="22"/>
        </w:rPr>
        <w:t xml:space="preserve">This document does not contain new or substantively modified information collections subject to the Paperwork Reduction Act of 1995 (PRA), 44 U.S.C. §§ 3501-3521. </w:t>
      </w:r>
      <w:r w:rsidRPr="00BD544D" w:rsidR="00E524FE">
        <w:rPr>
          <w:szCs w:val="22"/>
        </w:rPr>
        <w:t xml:space="preserve"> </w:t>
      </w:r>
      <w:r w:rsidRPr="00BD544D">
        <w:rPr>
          <w:szCs w:val="22"/>
        </w:rPr>
        <w:t>Therefore it also does not contain any new or modified information collection burden</w:t>
      </w:r>
      <w:r w:rsidRPr="00BD544D" w:rsidR="00860DC5">
        <w:rPr>
          <w:szCs w:val="22"/>
        </w:rPr>
        <w:t>s</w:t>
      </w:r>
      <w:r w:rsidRPr="00BD544D">
        <w:rPr>
          <w:szCs w:val="22"/>
        </w:rPr>
        <w:t xml:space="preserve"> for small business concerns with fewer than 25 employees, pursuant to the Small Business Paperwork Relief Act of 2002, 44 U.S.C. § 3506(c)(4).</w:t>
      </w:r>
    </w:p>
    <w:p w:rsidR="0030071F" w:rsidRPr="00BD544D" w:rsidP="006C7C0A" w14:paraId="5603C001" w14:textId="281A48AC">
      <w:pPr>
        <w:pStyle w:val="ParaNum"/>
        <w:rPr>
          <w:szCs w:val="22"/>
        </w:rPr>
      </w:pPr>
      <w:r w:rsidRPr="00BD544D">
        <w:rPr>
          <w:i/>
          <w:iCs/>
          <w:szCs w:val="22"/>
        </w:rPr>
        <w:t>Congressional Review Act</w:t>
      </w:r>
      <w:r w:rsidRPr="00BD544D">
        <w:rPr>
          <w:szCs w:val="22"/>
        </w:rPr>
        <w:t xml:space="preserve">. </w:t>
      </w:r>
      <w:r w:rsidRPr="00BD544D" w:rsidR="00E524FE">
        <w:rPr>
          <w:szCs w:val="22"/>
        </w:rPr>
        <w:t xml:space="preserve"> </w:t>
      </w:r>
      <w:r w:rsidRPr="00BD544D">
        <w:rPr>
          <w:szCs w:val="22"/>
        </w:rPr>
        <w:t xml:space="preserve">The Commission has determined, and the Administrator of the Office of Information and Regulatory Affairs, Office of Management and Budget concurs, that this rule is “non-major” under the Congressional Review Act, 5 U.S.C. § 804(2). </w:t>
      </w:r>
      <w:r w:rsidRPr="00BD544D" w:rsidR="00E524FE">
        <w:rPr>
          <w:szCs w:val="22"/>
        </w:rPr>
        <w:t xml:space="preserve"> </w:t>
      </w:r>
      <w:r w:rsidRPr="00BD544D">
        <w:rPr>
          <w:szCs w:val="22"/>
        </w:rPr>
        <w:t xml:space="preserve">The Commission will send a copy of this </w:t>
      </w:r>
      <w:r w:rsidRPr="00F86996">
        <w:rPr>
          <w:i/>
          <w:iCs/>
          <w:szCs w:val="22"/>
        </w:rPr>
        <w:t>Report and Order</w:t>
      </w:r>
      <w:r w:rsidRPr="00BD544D">
        <w:rPr>
          <w:szCs w:val="22"/>
        </w:rPr>
        <w:t xml:space="preserve"> to Congress and the Government Accountability Office pursuant to the Congressional Review Act, see 5 U.S.C. § 801(a)(1)(A).</w:t>
      </w:r>
    </w:p>
    <w:p w:rsidR="0030071F" w:rsidRPr="00BD544D" w:rsidP="006C7C0A" w14:paraId="57E19D85" w14:textId="3956961C">
      <w:pPr>
        <w:pStyle w:val="ParaNum"/>
        <w:rPr>
          <w:szCs w:val="22"/>
        </w:rPr>
      </w:pPr>
      <w:r w:rsidRPr="00BD544D">
        <w:rPr>
          <w:i/>
          <w:iCs/>
          <w:szCs w:val="22"/>
        </w:rPr>
        <w:t>People with Disabilities</w:t>
      </w:r>
      <w:r w:rsidRPr="00BD544D">
        <w:rPr>
          <w:szCs w:val="22"/>
        </w:rPr>
        <w:t xml:space="preserve">. To request materials in accessible formats for people with disabilities (Braille, large print, electronic files, audio format), send an e-mail to </w:t>
      </w:r>
      <w:hyperlink r:id="rId6" w:history="1">
        <w:r w:rsidRPr="00BD544D" w:rsidR="00F614DB">
          <w:rPr>
            <w:rStyle w:val="Hyperlink"/>
            <w:szCs w:val="22"/>
          </w:rPr>
          <w:t>fcc504@fcc.gov</w:t>
        </w:r>
      </w:hyperlink>
      <w:r w:rsidRPr="00BD544D">
        <w:rPr>
          <w:szCs w:val="22"/>
        </w:rPr>
        <w:t xml:space="preserve"> or call the Consumer and Governmental Affairs Bureau at 202-418-0530 (voice).</w:t>
      </w:r>
    </w:p>
    <w:p w:rsidR="0073137C" w:rsidRPr="00BD544D" w:rsidP="006C7C0A" w14:paraId="6BAD2AAC" w14:textId="1BFE6D23">
      <w:pPr>
        <w:pStyle w:val="ParaNum"/>
        <w:rPr>
          <w:szCs w:val="22"/>
        </w:rPr>
      </w:pPr>
      <w:r w:rsidRPr="00BD544D">
        <w:rPr>
          <w:i/>
          <w:iCs/>
          <w:szCs w:val="22"/>
        </w:rPr>
        <w:t>Additional Information</w:t>
      </w:r>
      <w:r w:rsidRPr="00BD544D">
        <w:rPr>
          <w:szCs w:val="22"/>
        </w:rPr>
        <w:t xml:space="preserve">. </w:t>
      </w:r>
      <w:r w:rsidRPr="00BD544D" w:rsidR="00617EF0">
        <w:rPr>
          <w:szCs w:val="22"/>
        </w:rPr>
        <w:t xml:space="preserve">For additional information on this proceeding, contact Ariane Rangel, Audio Division, Media Bureau at </w:t>
      </w:r>
      <w:hyperlink r:id="rId7" w:history="1">
        <w:r w:rsidRPr="00BD544D" w:rsidR="00F614DB">
          <w:rPr>
            <w:rStyle w:val="Hyperlink"/>
            <w:szCs w:val="22"/>
          </w:rPr>
          <w:t>Ariane.Rangel@fcc.gov</w:t>
        </w:r>
      </w:hyperlink>
      <w:r w:rsidRPr="00BD544D" w:rsidR="00617EF0">
        <w:rPr>
          <w:szCs w:val="22"/>
        </w:rPr>
        <w:t xml:space="preserve"> or </w:t>
      </w:r>
      <w:r w:rsidRPr="00BD544D" w:rsidR="009E6308">
        <w:rPr>
          <w:szCs w:val="22"/>
        </w:rPr>
        <w:t xml:space="preserve">(202) </w:t>
      </w:r>
      <w:r w:rsidRPr="00BD544D" w:rsidR="00617EF0">
        <w:rPr>
          <w:szCs w:val="22"/>
        </w:rPr>
        <w:t xml:space="preserve">418-4036, or Lisa Scanlan, Audio Division, Media Bureau at </w:t>
      </w:r>
      <w:hyperlink r:id="rId8" w:history="1">
        <w:r w:rsidRPr="00BD544D" w:rsidR="00F614DB">
          <w:rPr>
            <w:rStyle w:val="Hyperlink"/>
            <w:szCs w:val="22"/>
          </w:rPr>
          <w:t>Lisa.Scanlan@fcc.gov</w:t>
        </w:r>
      </w:hyperlink>
      <w:r w:rsidRPr="00BD544D" w:rsidR="00617EF0">
        <w:rPr>
          <w:szCs w:val="22"/>
        </w:rPr>
        <w:t xml:space="preserve"> or (202) 418-</w:t>
      </w:r>
      <w:r w:rsidRPr="00BD544D" w:rsidR="00215D32">
        <w:rPr>
          <w:szCs w:val="22"/>
        </w:rPr>
        <w:t>2704</w:t>
      </w:r>
      <w:r w:rsidRPr="00BD544D" w:rsidR="00617EF0">
        <w:rPr>
          <w:szCs w:val="22"/>
        </w:rPr>
        <w:t>.</w:t>
      </w:r>
    </w:p>
    <w:p w:rsidR="002A7C55" w:rsidRPr="00BD544D" w:rsidP="00D07A9C" w14:paraId="2E3AEB32" w14:textId="02A7D8F5">
      <w:pPr>
        <w:pStyle w:val="Heading1"/>
      </w:pPr>
      <w:r w:rsidRPr="00BD544D">
        <w:t xml:space="preserve">ordering </w:t>
      </w:r>
      <w:r w:rsidRPr="00D07A9C">
        <w:t>clauses</w:t>
      </w:r>
    </w:p>
    <w:p w:rsidR="00D84D56" w:rsidP="007D5E0A" w14:paraId="3E2036B6" w14:textId="77777777">
      <w:pPr>
        <w:pStyle w:val="ParaNum"/>
        <w:rPr>
          <w:szCs w:val="22"/>
        </w:rPr>
      </w:pPr>
      <w:r w:rsidRPr="00BD544D">
        <w:rPr>
          <w:szCs w:val="22"/>
        </w:rPr>
        <w:t xml:space="preserve">Accordingly, </w:t>
      </w:r>
      <w:r w:rsidRPr="00BD544D">
        <w:rPr>
          <w:b/>
          <w:bCs/>
          <w:szCs w:val="22"/>
        </w:rPr>
        <w:t>IT IS ORDERED</w:t>
      </w:r>
      <w:r w:rsidRPr="00BD544D">
        <w:rPr>
          <w:szCs w:val="22"/>
        </w:rPr>
        <w:t xml:space="preserve"> that, pursuant to the authority found in </w:t>
      </w:r>
      <w:r w:rsidRPr="00BD544D" w:rsidR="009E6308">
        <w:rPr>
          <w:szCs w:val="22"/>
        </w:rPr>
        <w:t>sections 1, 4, 7, 301, 302, 303, 307, 308, 309, 310, 316, 319, 324, and 336 of the Communications Act of 1934, as amended, 47 U.S.C. §§ 151, 154, 157, 301, 302</w:t>
      </w:r>
      <w:r w:rsidR="001E701B">
        <w:rPr>
          <w:szCs w:val="22"/>
        </w:rPr>
        <w:t>a</w:t>
      </w:r>
      <w:r w:rsidRPr="00BD544D" w:rsidR="009E6308">
        <w:rPr>
          <w:szCs w:val="22"/>
        </w:rPr>
        <w:t>, 303, 307, 308, 309, 310, 316, 319, 324, and 336,</w:t>
      </w:r>
      <w:r w:rsidRPr="00BD544D">
        <w:rPr>
          <w:szCs w:val="22"/>
        </w:rPr>
        <w:t xml:space="preserve"> this </w:t>
      </w:r>
      <w:r w:rsidRPr="00547014">
        <w:rPr>
          <w:i/>
          <w:iCs/>
          <w:szCs w:val="22"/>
        </w:rPr>
        <w:t>Report and Order</w:t>
      </w:r>
      <w:r w:rsidRPr="00BD544D">
        <w:rPr>
          <w:szCs w:val="22"/>
        </w:rPr>
        <w:t xml:space="preserve"> </w:t>
      </w:r>
      <w:r w:rsidRPr="00BD544D">
        <w:rPr>
          <w:b/>
          <w:bCs/>
          <w:szCs w:val="22"/>
        </w:rPr>
        <w:t>IS ADOPTED</w:t>
      </w:r>
      <w:r w:rsidRPr="00955D71" w:rsidR="00955D71">
        <w:rPr>
          <w:b/>
          <w:bCs/>
          <w:szCs w:val="22"/>
        </w:rPr>
        <w:t xml:space="preserve"> </w:t>
      </w:r>
      <w:r w:rsidRPr="00230438" w:rsidR="00955D71">
        <w:rPr>
          <w:szCs w:val="22"/>
        </w:rPr>
        <w:t>and</w:t>
      </w:r>
      <w:r w:rsidR="00955D71">
        <w:rPr>
          <w:b/>
          <w:bCs/>
          <w:szCs w:val="22"/>
        </w:rPr>
        <w:t xml:space="preserve"> </w:t>
      </w:r>
      <w:r w:rsidRPr="00BD544D" w:rsidR="00955D71">
        <w:rPr>
          <w:b/>
          <w:bCs/>
          <w:szCs w:val="22"/>
        </w:rPr>
        <w:t>SHALL BECOME EFFECTIVE</w:t>
      </w:r>
      <w:r w:rsidRPr="00BD544D" w:rsidR="00955D71">
        <w:rPr>
          <w:szCs w:val="22"/>
        </w:rPr>
        <w:t xml:space="preserve"> 30 days after publication in the Federal Register</w:t>
      </w:r>
      <w:r w:rsidRPr="00BD544D">
        <w:rPr>
          <w:szCs w:val="22"/>
        </w:rPr>
        <w:t>.</w:t>
      </w:r>
      <w:r>
        <w:rPr>
          <w:rStyle w:val="FootnoteReference"/>
          <w:sz w:val="22"/>
          <w:szCs w:val="22"/>
        </w:rPr>
        <w:footnoteReference w:id="145"/>
      </w:r>
    </w:p>
    <w:p w:rsidR="008F3D47" w:rsidRPr="00BD544D" w:rsidP="007D5E0A" w14:paraId="7934181E" w14:textId="35CABF78">
      <w:pPr>
        <w:pStyle w:val="ParaNum"/>
        <w:rPr>
          <w:szCs w:val="22"/>
        </w:rPr>
      </w:pPr>
      <w:r w:rsidRPr="00BD544D">
        <w:rPr>
          <w:b/>
          <w:bCs/>
          <w:szCs w:val="22"/>
        </w:rPr>
        <w:t>IT IS FURTHER ORDERED</w:t>
      </w:r>
      <w:r w:rsidRPr="00BD544D">
        <w:rPr>
          <w:szCs w:val="22"/>
        </w:rPr>
        <w:t xml:space="preserve"> that, pursuant to the authority found in </w:t>
      </w:r>
      <w:r w:rsidRPr="00BD544D" w:rsidR="00C50FC2">
        <w:rPr>
          <w:szCs w:val="22"/>
        </w:rPr>
        <w:t>s</w:t>
      </w:r>
      <w:r w:rsidRPr="00BD544D">
        <w:rPr>
          <w:szCs w:val="22"/>
        </w:rPr>
        <w:t xml:space="preserve">ections </w:t>
      </w:r>
      <w:r w:rsidRPr="00BD544D" w:rsidR="004337D2">
        <w:rPr>
          <w:szCs w:val="22"/>
        </w:rPr>
        <w:t>1, 4, 7, 301, 302, 303, 307, 308, 309, 310, 316, 319, 324, and 336 of the Communications Act of 1934, as amended, 47 U.S.C. §§ 151, 154, 157, 301, 302</w:t>
      </w:r>
      <w:r w:rsidR="001E701B">
        <w:rPr>
          <w:szCs w:val="22"/>
        </w:rPr>
        <w:t>a</w:t>
      </w:r>
      <w:r w:rsidRPr="00BD544D" w:rsidR="004337D2">
        <w:rPr>
          <w:szCs w:val="22"/>
        </w:rPr>
        <w:t>, 303, 307, 308, 309, 310, 316, 319, 324, and 336</w:t>
      </w:r>
      <w:r w:rsidRPr="00BD544D">
        <w:rPr>
          <w:szCs w:val="22"/>
        </w:rPr>
        <w:t xml:space="preserve">, the Commission’s rules </w:t>
      </w:r>
      <w:r w:rsidRPr="00BD544D">
        <w:rPr>
          <w:b/>
          <w:bCs/>
          <w:szCs w:val="22"/>
        </w:rPr>
        <w:t>ARE AMENDED</w:t>
      </w:r>
      <w:r w:rsidRPr="00BD544D">
        <w:rPr>
          <w:szCs w:val="22"/>
        </w:rPr>
        <w:t xml:space="preserve"> as set forth in Appendix A</w:t>
      </w:r>
      <w:r w:rsidRPr="0021659B" w:rsidR="0021659B">
        <w:t xml:space="preserve"> </w:t>
      </w:r>
      <w:r w:rsidRPr="00B93EC8" w:rsidR="0021659B">
        <w:t xml:space="preserve">and such amendments shall be effective 30 days after publication in the </w:t>
      </w:r>
      <w:r w:rsidRPr="00B93EC8" w:rsidR="0021659B">
        <w:rPr>
          <w:i/>
          <w:iCs/>
        </w:rPr>
        <w:t>Federal Register</w:t>
      </w:r>
      <w:r w:rsidRPr="00BD544D">
        <w:rPr>
          <w:szCs w:val="22"/>
        </w:rPr>
        <w:t>.</w:t>
      </w:r>
    </w:p>
    <w:p w:rsidR="009B3883" w:rsidRPr="009B3883" w:rsidP="009B3883" w14:paraId="1FD29105" w14:textId="504D6579">
      <w:pPr>
        <w:pStyle w:val="ParaNum"/>
        <w:rPr>
          <w:szCs w:val="22"/>
        </w:rPr>
      </w:pPr>
      <w:r w:rsidRPr="00D84D56">
        <w:rPr>
          <w:b/>
          <w:bCs/>
          <w:szCs w:val="22"/>
        </w:rPr>
        <w:t>IT IS FURTHER ORDERED</w:t>
      </w:r>
      <w:r w:rsidRPr="00EA62ED">
        <w:rPr>
          <w:szCs w:val="22"/>
        </w:rPr>
        <w:t xml:space="preserve"> that the Media Bureau is </w:t>
      </w:r>
      <w:r w:rsidRPr="00D84D56">
        <w:rPr>
          <w:b/>
          <w:bCs/>
          <w:szCs w:val="22"/>
        </w:rPr>
        <w:t>DELEGATED</w:t>
      </w:r>
      <w:r w:rsidRPr="00EA62ED">
        <w:rPr>
          <w:szCs w:val="22"/>
        </w:rPr>
        <w:t xml:space="preserve"> authority to remove section 73.503(g) in accordance with the terms set forth herein.</w:t>
      </w:r>
    </w:p>
    <w:p w:rsidR="00270611" w:rsidRPr="00BD544D" w:rsidP="007D5E0A" w14:paraId="7556C111" w14:textId="307E95B1">
      <w:pPr>
        <w:pStyle w:val="ParaNum"/>
        <w:rPr>
          <w:szCs w:val="22"/>
        </w:rPr>
      </w:pPr>
      <w:r w:rsidRPr="00BD544D">
        <w:rPr>
          <w:b/>
          <w:bCs/>
          <w:szCs w:val="22"/>
        </w:rPr>
        <w:t>IT IS FURTHER ORDERED</w:t>
      </w:r>
      <w:r w:rsidRPr="00BD544D">
        <w:rPr>
          <w:szCs w:val="22"/>
        </w:rPr>
        <w:t xml:space="preserve"> that the </w:t>
      </w:r>
      <w:r w:rsidRPr="00BD544D" w:rsidR="00526716">
        <w:rPr>
          <w:szCs w:val="22"/>
        </w:rPr>
        <w:t xml:space="preserve">Commission’s </w:t>
      </w:r>
      <w:r w:rsidRPr="00BD544D">
        <w:rPr>
          <w:szCs w:val="22"/>
        </w:rPr>
        <w:t xml:space="preserve">Office of the Secretary, </w:t>
      </w:r>
      <w:r w:rsidRPr="00BD544D">
        <w:rPr>
          <w:b/>
          <w:bCs/>
          <w:szCs w:val="22"/>
        </w:rPr>
        <w:t>SHALL SEND</w:t>
      </w:r>
      <w:r w:rsidRPr="00BD544D">
        <w:rPr>
          <w:szCs w:val="22"/>
        </w:rPr>
        <w:t xml:space="preserve"> a copy of this </w:t>
      </w:r>
      <w:r w:rsidRPr="00547014">
        <w:rPr>
          <w:i/>
          <w:iCs/>
          <w:szCs w:val="22"/>
        </w:rPr>
        <w:t>Report and Order</w:t>
      </w:r>
      <w:r w:rsidRPr="00BD544D">
        <w:rPr>
          <w:szCs w:val="22"/>
        </w:rPr>
        <w:t>, including the Final Regulatory Flexibility Analysis, to the Chief Counsel for the Small Business Administration</w:t>
      </w:r>
      <w:r w:rsidRPr="00BD544D" w:rsidR="00CC7631">
        <w:rPr>
          <w:szCs w:val="22"/>
        </w:rPr>
        <w:t xml:space="preserve"> (SBA) Office of Advocacy</w:t>
      </w:r>
      <w:r w:rsidRPr="00BD544D">
        <w:rPr>
          <w:szCs w:val="22"/>
        </w:rPr>
        <w:t>.</w:t>
      </w:r>
    </w:p>
    <w:p w:rsidR="00270611" w:rsidRPr="00BD544D" w:rsidP="007D5E0A" w14:paraId="1E2A64A0" w14:textId="731B7AC4">
      <w:pPr>
        <w:pStyle w:val="ParaNum"/>
        <w:rPr>
          <w:szCs w:val="22"/>
        </w:rPr>
      </w:pPr>
      <w:r w:rsidRPr="00BD544D">
        <w:rPr>
          <w:b/>
          <w:bCs/>
          <w:szCs w:val="22"/>
        </w:rPr>
        <w:t>IT IS FURTHER ORDERED</w:t>
      </w:r>
      <w:r w:rsidRPr="00BD544D">
        <w:rPr>
          <w:szCs w:val="22"/>
        </w:rPr>
        <w:t xml:space="preserve"> </w:t>
      </w:r>
      <w:r w:rsidRPr="00BD544D" w:rsidR="002A32BF">
        <w:rPr>
          <w:szCs w:val="22"/>
        </w:rPr>
        <w:t xml:space="preserve">that the Office of the Managing Director, Performance Program Management </w:t>
      </w:r>
      <w:r w:rsidRPr="00BD544D" w:rsidR="002A32BF">
        <w:rPr>
          <w:b/>
          <w:bCs/>
          <w:szCs w:val="22"/>
        </w:rPr>
        <w:t>SHALL SEND</w:t>
      </w:r>
      <w:r w:rsidRPr="00BD544D" w:rsidR="002A32BF">
        <w:rPr>
          <w:szCs w:val="22"/>
        </w:rPr>
        <w:t xml:space="preserve"> a copy of this </w:t>
      </w:r>
      <w:r w:rsidRPr="00547014" w:rsidR="002A32BF">
        <w:rPr>
          <w:i/>
          <w:iCs/>
          <w:szCs w:val="22"/>
        </w:rPr>
        <w:t>Report and Order</w:t>
      </w:r>
      <w:r w:rsidRPr="00BD544D" w:rsidR="002A32BF">
        <w:rPr>
          <w:szCs w:val="22"/>
        </w:rPr>
        <w:t xml:space="preserve"> in a report to be sent to Congress and the Government Accountability Office pursuant to the Congressional Review Act, </w:t>
      </w:r>
      <w:r w:rsidRPr="00BD544D" w:rsidR="002A32BF">
        <w:rPr>
          <w:i/>
          <w:iCs/>
          <w:szCs w:val="22"/>
        </w:rPr>
        <w:t>see</w:t>
      </w:r>
      <w:r w:rsidRPr="00BD544D" w:rsidR="002A32BF">
        <w:rPr>
          <w:szCs w:val="22"/>
        </w:rPr>
        <w:t xml:space="preserve"> 5 U.S.C. § 801(a)(1)(A).</w:t>
      </w:r>
    </w:p>
    <w:p w:rsidR="00D10A92" w:rsidRPr="00BD544D" w:rsidP="007D5E0A" w14:paraId="0C727029" w14:textId="0D00DA09">
      <w:pPr>
        <w:pStyle w:val="ParaNum"/>
        <w:rPr>
          <w:szCs w:val="22"/>
        </w:rPr>
      </w:pPr>
      <w:r w:rsidRPr="00BD544D">
        <w:rPr>
          <w:b/>
          <w:bCs/>
          <w:szCs w:val="22"/>
        </w:rPr>
        <w:t>IT IS FURTHER ORDERED</w:t>
      </w:r>
      <w:r w:rsidRPr="00BD544D">
        <w:rPr>
          <w:szCs w:val="22"/>
        </w:rPr>
        <w:t xml:space="preserve"> that should no petitions for reconsideration or petitions for judicial review be timely filed, </w:t>
      </w:r>
      <w:r w:rsidRPr="00BD544D" w:rsidR="00ED773B">
        <w:rPr>
          <w:szCs w:val="22"/>
        </w:rPr>
        <w:t>MB</w:t>
      </w:r>
      <w:r w:rsidRPr="00BD544D">
        <w:rPr>
          <w:szCs w:val="22"/>
        </w:rPr>
        <w:t xml:space="preserve"> Docket No. 2</w:t>
      </w:r>
      <w:r w:rsidRPr="00BD544D" w:rsidR="00ED773B">
        <w:rPr>
          <w:szCs w:val="22"/>
        </w:rPr>
        <w:t>4</w:t>
      </w:r>
      <w:r w:rsidRPr="00BD544D">
        <w:rPr>
          <w:szCs w:val="22"/>
        </w:rPr>
        <w:t>-</w:t>
      </w:r>
      <w:r w:rsidRPr="00BD544D" w:rsidR="00ED773B">
        <w:rPr>
          <w:szCs w:val="22"/>
        </w:rPr>
        <w:t>626</w:t>
      </w:r>
      <w:r w:rsidRPr="00BD544D">
        <w:rPr>
          <w:szCs w:val="22"/>
        </w:rPr>
        <w:t xml:space="preserve"> </w:t>
      </w:r>
      <w:r w:rsidRPr="00BD544D">
        <w:rPr>
          <w:b/>
          <w:bCs/>
          <w:szCs w:val="22"/>
        </w:rPr>
        <w:t>SHALL BE TERMINATED</w:t>
      </w:r>
      <w:r w:rsidRPr="00BD544D">
        <w:rPr>
          <w:szCs w:val="22"/>
        </w:rPr>
        <w:t xml:space="preserve">, and </w:t>
      </w:r>
      <w:r w:rsidRPr="00BD544D" w:rsidR="00F85A74">
        <w:rPr>
          <w:szCs w:val="22"/>
        </w:rPr>
        <w:t>the</w:t>
      </w:r>
      <w:r w:rsidRPr="00BD544D">
        <w:rPr>
          <w:szCs w:val="22"/>
        </w:rPr>
        <w:t xml:space="preserve"> docket closed.</w:t>
      </w:r>
    </w:p>
    <w:p w:rsidR="00DD3AE3" w:rsidRPr="00BD544D" w:rsidP="00DD3AE3" w14:paraId="0078B72B" w14:textId="2479015C">
      <w:pPr>
        <w:pStyle w:val="ParaNum"/>
        <w:numPr>
          <w:ilvl w:val="0"/>
          <w:numId w:val="0"/>
        </w:numPr>
        <w:spacing w:after="0"/>
        <w:ind w:left="4320"/>
        <w:rPr>
          <w:szCs w:val="22"/>
        </w:rPr>
      </w:pPr>
      <w:r w:rsidRPr="00BD544D">
        <w:rPr>
          <w:szCs w:val="22"/>
        </w:rPr>
        <w:t xml:space="preserve">FEDERAL COMMUNICATIONS COMMISSION </w:t>
      </w:r>
    </w:p>
    <w:p w:rsidR="00DD3AE3" w:rsidRPr="00BD544D" w:rsidP="00DD3AE3" w14:paraId="51B5D61D" w14:textId="77777777">
      <w:pPr>
        <w:pStyle w:val="ParaNum"/>
        <w:numPr>
          <w:ilvl w:val="0"/>
          <w:numId w:val="0"/>
        </w:numPr>
        <w:spacing w:after="0"/>
        <w:ind w:left="4320"/>
        <w:rPr>
          <w:szCs w:val="22"/>
        </w:rPr>
      </w:pPr>
    </w:p>
    <w:p w:rsidR="0094781D" w:rsidRPr="00BD544D" w:rsidP="00DD3AE3" w14:paraId="2289F9BF" w14:textId="77777777">
      <w:pPr>
        <w:pStyle w:val="ParaNum"/>
        <w:numPr>
          <w:ilvl w:val="0"/>
          <w:numId w:val="0"/>
        </w:numPr>
        <w:spacing w:after="0"/>
        <w:ind w:left="4320"/>
        <w:rPr>
          <w:szCs w:val="22"/>
        </w:rPr>
      </w:pPr>
    </w:p>
    <w:p w:rsidR="0094781D" w:rsidRPr="00BD544D" w:rsidP="00DD3AE3" w14:paraId="61492FA2" w14:textId="77777777">
      <w:pPr>
        <w:pStyle w:val="ParaNum"/>
        <w:numPr>
          <w:ilvl w:val="0"/>
          <w:numId w:val="0"/>
        </w:numPr>
        <w:spacing w:after="0"/>
        <w:ind w:left="4320"/>
        <w:rPr>
          <w:szCs w:val="22"/>
        </w:rPr>
      </w:pPr>
    </w:p>
    <w:p w:rsidR="00F614DB" w:rsidRPr="00BD544D" w:rsidP="00DD3AE3" w14:paraId="79F37A0B" w14:textId="77777777">
      <w:pPr>
        <w:pStyle w:val="ParaNum"/>
        <w:numPr>
          <w:ilvl w:val="0"/>
          <w:numId w:val="0"/>
        </w:numPr>
        <w:spacing w:after="0"/>
        <w:ind w:left="4320"/>
        <w:rPr>
          <w:szCs w:val="22"/>
        </w:rPr>
      </w:pPr>
    </w:p>
    <w:p w:rsidR="004432A2" w:rsidRPr="00BD544D" w:rsidP="00DD3AE3" w14:paraId="66FA730A" w14:textId="223EE0F7">
      <w:pPr>
        <w:pStyle w:val="ParaNum"/>
        <w:numPr>
          <w:ilvl w:val="0"/>
          <w:numId w:val="0"/>
        </w:numPr>
        <w:spacing w:after="0"/>
        <w:ind w:left="4320"/>
        <w:rPr>
          <w:szCs w:val="22"/>
        </w:rPr>
      </w:pPr>
      <w:r w:rsidRPr="00BD544D">
        <w:rPr>
          <w:szCs w:val="22"/>
        </w:rPr>
        <w:t xml:space="preserve">Marlene H. Dortch </w:t>
      </w:r>
    </w:p>
    <w:p w:rsidR="0058559C" w:rsidRPr="00BD544D" w:rsidP="0058559C" w14:paraId="1E23CD54" w14:textId="038BB110">
      <w:pPr>
        <w:pStyle w:val="ParaNum"/>
        <w:numPr>
          <w:ilvl w:val="0"/>
          <w:numId w:val="0"/>
        </w:numPr>
        <w:spacing w:after="0"/>
        <w:ind w:left="4320"/>
        <w:rPr>
          <w:szCs w:val="22"/>
        </w:rPr>
        <w:sectPr w:rsidSect="00211941">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cols w:space="720"/>
          <w:noEndnote/>
          <w:titlePg/>
        </w:sectPr>
      </w:pPr>
      <w:r w:rsidRPr="00BD544D">
        <w:rPr>
          <w:szCs w:val="22"/>
        </w:rPr>
        <w:t>Secretary</w:t>
      </w:r>
    </w:p>
    <w:p w:rsidR="00A32431" w:rsidRPr="00BD544D" w:rsidP="00A32431" w14:paraId="634FC0FB" w14:textId="77777777">
      <w:pPr>
        <w:spacing w:line="480" w:lineRule="auto"/>
        <w:jc w:val="center"/>
        <w:rPr>
          <w:b/>
          <w:bCs/>
          <w:szCs w:val="22"/>
        </w:rPr>
      </w:pPr>
      <w:bookmarkStart w:id="0" w:name="_Hlk86044782"/>
      <w:r w:rsidRPr="00BD544D">
        <w:rPr>
          <w:b/>
          <w:bCs/>
          <w:szCs w:val="22"/>
        </w:rPr>
        <w:t>APPENDIX A</w:t>
      </w:r>
    </w:p>
    <w:p w:rsidR="00A32431" w:rsidRPr="00BD544D" w:rsidP="00A32431" w14:paraId="05AB44E3" w14:textId="568827B8">
      <w:pPr>
        <w:spacing w:line="480" w:lineRule="auto"/>
        <w:jc w:val="center"/>
        <w:rPr>
          <w:b/>
          <w:bCs/>
          <w:szCs w:val="22"/>
        </w:rPr>
      </w:pPr>
      <w:r w:rsidRPr="00BD544D">
        <w:rPr>
          <w:b/>
          <w:bCs/>
          <w:szCs w:val="22"/>
        </w:rPr>
        <w:t>FINAL RULES</w:t>
      </w:r>
    </w:p>
    <w:p w:rsidR="00A32431" w:rsidRPr="00BD544D" w:rsidP="00A32431" w14:paraId="167E7AEE" w14:textId="77777777">
      <w:pPr>
        <w:spacing w:line="480" w:lineRule="auto"/>
        <w:rPr>
          <w:bCs/>
          <w:szCs w:val="22"/>
        </w:rPr>
      </w:pPr>
      <w:r w:rsidRPr="00BD544D">
        <w:rPr>
          <w:szCs w:val="22"/>
        </w:rPr>
        <w:tab/>
        <w:t xml:space="preserve">For the reasons discussed in the preamble, the Federal Communications Commission amends 47 CFR parts </w:t>
      </w:r>
      <w:r w:rsidRPr="00BD544D">
        <w:rPr>
          <w:bCs/>
          <w:szCs w:val="22"/>
        </w:rPr>
        <w:t>1, 73, 74, and 76 as follows:</w:t>
      </w:r>
    </w:p>
    <w:bookmarkEnd w:id="0"/>
    <w:p w:rsidR="00A32431" w:rsidRPr="00BD544D" w:rsidP="00A32431" w14:paraId="0D3EB45C" w14:textId="77777777">
      <w:pPr>
        <w:spacing w:line="480" w:lineRule="auto"/>
        <w:rPr>
          <w:b/>
          <w:szCs w:val="22"/>
        </w:rPr>
      </w:pPr>
      <w:r w:rsidRPr="00BD544D">
        <w:rPr>
          <w:b/>
          <w:szCs w:val="22"/>
        </w:rPr>
        <w:t>PART 1 – PRACTICE AND PROCEDURE</w:t>
      </w:r>
    </w:p>
    <w:p w:rsidR="00A32431" w:rsidRPr="00BD544D" w:rsidP="00A32431" w14:paraId="3999F43B" w14:textId="77777777">
      <w:pPr>
        <w:spacing w:line="480" w:lineRule="auto"/>
        <w:ind w:firstLine="720"/>
        <w:rPr>
          <w:bCs/>
          <w:szCs w:val="22"/>
        </w:rPr>
      </w:pPr>
      <w:r w:rsidRPr="00BD544D">
        <w:rPr>
          <w:bCs/>
          <w:szCs w:val="22"/>
        </w:rPr>
        <w:t>1. The authority citation for part 1 continues to read as follows:</w:t>
      </w:r>
    </w:p>
    <w:p w:rsidR="00A32431" w:rsidRPr="00BD544D" w:rsidP="00A32431" w14:paraId="623B47DC" w14:textId="77777777">
      <w:pPr>
        <w:spacing w:line="480" w:lineRule="auto"/>
        <w:ind w:firstLine="720"/>
        <w:rPr>
          <w:bCs/>
          <w:szCs w:val="22"/>
        </w:rPr>
      </w:pPr>
      <w:r w:rsidRPr="00BD544D">
        <w:rPr>
          <w:b/>
          <w:szCs w:val="22"/>
        </w:rPr>
        <w:t>Authority:</w:t>
      </w:r>
      <w:r w:rsidRPr="00BD544D">
        <w:rPr>
          <w:bCs/>
          <w:szCs w:val="22"/>
        </w:rPr>
        <w:t xml:space="preserve">  47 U.S.C. </w:t>
      </w:r>
      <w:r w:rsidRPr="00BD544D">
        <w:rPr>
          <w:bCs/>
          <w:szCs w:val="22"/>
        </w:rPr>
        <w:t>chs</w:t>
      </w:r>
      <w:r w:rsidRPr="00BD544D">
        <w:rPr>
          <w:bCs/>
          <w:szCs w:val="22"/>
        </w:rPr>
        <w:t>. 2, 5, 9, 13; 28 U.S.C. 2461 note; 47 U.S.C. 1754, unless otherwise noted.</w:t>
      </w:r>
    </w:p>
    <w:p w:rsidR="00A32431" w:rsidRPr="00BD544D" w:rsidP="00A32431" w14:paraId="1740A741" w14:textId="77777777">
      <w:pPr>
        <w:spacing w:line="480" w:lineRule="auto"/>
        <w:ind w:firstLine="720"/>
        <w:rPr>
          <w:bCs/>
          <w:szCs w:val="22"/>
        </w:rPr>
      </w:pPr>
      <w:r w:rsidRPr="00BD544D">
        <w:rPr>
          <w:szCs w:val="22"/>
        </w:rPr>
        <w:t>2. Amend § 1.401 by revising paragraph (d) to read as follows:</w:t>
      </w:r>
    </w:p>
    <w:p w:rsidR="00A32431" w:rsidRPr="00BD544D" w:rsidP="00A32431" w14:paraId="265D2468" w14:textId="77777777">
      <w:pPr>
        <w:spacing w:line="480" w:lineRule="auto"/>
        <w:rPr>
          <w:b/>
          <w:bCs/>
          <w:szCs w:val="22"/>
        </w:rPr>
      </w:pPr>
      <w:r w:rsidRPr="00BD544D">
        <w:rPr>
          <w:b/>
          <w:bCs/>
          <w:szCs w:val="22"/>
        </w:rPr>
        <w:t>§ 1.401 Petitions for rulemaking.</w:t>
      </w:r>
    </w:p>
    <w:p w:rsidR="00A32431" w:rsidRPr="00BD544D" w:rsidP="00A32431" w14:paraId="5E4A81AC" w14:textId="77777777">
      <w:pPr>
        <w:pStyle w:val="ParaNum"/>
        <w:numPr>
          <w:ilvl w:val="0"/>
          <w:numId w:val="0"/>
        </w:numPr>
        <w:spacing w:after="0" w:line="480" w:lineRule="auto"/>
        <w:rPr>
          <w:szCs w:val="22"/>
        </w:rPr>
      </w:pPr>
      <w:r w:rsidRPr="00BD544D">
        <w:rPr>
          <w:szCs w:val="22"/>
        </w:rPr>
        <w:t>* * * * *</w:t>
      </w:r>
    </w:p>
    <w:p w:rsidR="00A32431" w:rsidRPr="00BD544D" w:rsidP="00A32431" w14:paraId="6B5D7FCB" w14:textId="40B44C27">
      <w:pPr>
        <w:pStyle w:val="ParaNum"/>
        <w:numPr>
          <w:ilvl w:val="0"/>
          <w:numId w:val="0"/>
        </w:numPr>
        <w:spacing w:after="0" w:line="480" w:lineRule="auto"/>
        <w:rPr>
          <w:szCs w:val="22"/>
        </w:rPr>
      </w:pPr>
      <w:r w:rsidRPr="00BD544D">
        <w:rPr>
          <w:szCs w:val="22"/>
        </w:rPr>
        <w:tab/>
        <w:t>(d) Petitions for amendment of the Table of FM Allotments (§ 73.202 of this chapter) or the Table of TV Allotments (§ 73.6</w:t>
      </w:r>
      <w:r w:rsidRPr="00BD544D" w:rsidR="00C0658D">
        <w:rPr>
          <w:szCs w:val="22"/>
        </w:rPr>
        <w:t>22</w:t>
      </w:r>
      <w:r w:rsidRPr="00BD544D">
        <w:rPr>
          <w:szCs w:val="22"/>
        </w:rPr>
        <w:t>) shall be served by petitioner on any Commission licensee or permittee whose channel assignment would be changed by grant of the petition. The petition shall be accompanied by a certificate of service on such licensees or permittees. Petitions to amend the Table of FM Allotments must be accompanied by the appropriate construction permit application and payment of the appropriate application filing fee.</w:t>
      </w:r>
    </w:p>
    <w:p w:rsidR="00A32431" w:rsidRPr="00BD544D" w:rsidP="00A32431" w14:paraId="7CFC868E" w14:textId="77777777">
      <w:pPr>
        <w:spacing w:line="480" w:lineRule="auto"/>
        <w:rPr>
          <w:bCs/>
          <w:szCs w:val="22"/>
        </w:rPr>
      </w:pPr>
      <w:r w:rsidRPr="00BD544D">
        <w:rPr>
          <w:szCs w:val="22"/>
        </w:rPr>
        <w:t>* * * * *</w:t>
      </w:r>
    </w:p>
    <w:p w:rsidR="00A32431" w:rsidRPr="00BD544D" w:rsidP="00A32431" w14:paraId="7EC2E081" w14:textId="67A1130F">
      <w:pPr>
        <w:spacing w:line="480" w:lineRule="auto"/>
        <w:ind w:firstLine="720"/>
        <w:rPr>
          <w:bCs/>
          <w:szCs w:val="22"/>
        </w:rPr>
      </w:pPr>
      <w:r w:rsidRPr="00BD544D">
        <w:rPr>
          <w:szCs w:val="22"/>
        </w:rPr>
        <w:t>3. Revise § 1.403 to read as follows:</w:t>
      </w:r>
    </w:p>
    <w:p w:rsidR="00A32431" w:rsidRPr="00BD544D" w:rsidP="00A32431" w14:paraId="152BBCDC" w14:textId="77777777">
      <w:pPr>
        <w:spacing w:line="480" w:lineRule="auto"/>
        <w:rPr>
          <w:b/>
          <w:bCs/>
          <w:szCs w:val="22"/>
        </w:rPr>
      </w:pPr>
      <w:r w:rsidRPr="00BD544D">
        <w:rPr>
          <w:b/>
          <w:bCs/>
          <w:szCs w:val="22"/>
        </w:rPr>
        <w:t>§ 1.403 Notice and availability.</w:t>
      </w:r>
    </w:p>
    <w:p w:rsidR="00A32431" w:rsidRPr="00BD544D" w:rsidP="00A32431" w14:paraId="49F91179" w14:textId="77777777">
      <w:pPr>
        <w:spacing w:line="480" w:lineRule="auto"/>
        <w:rPr>
          <w:szCs w:val="22"/>
        </w:rPr>
      </w:pPr>
      <w:r w:rsidRPr="00BD544D">
        <w:rPr>
          <w:szCs w:val="22"/>
        </w:rPr>
        <w:tab/>
        <w:t>All petitions for rulemaking (other than petitions to amend the Table of FM Allotments, Table of TV Allotments, and Air-Ground Table of Assignments) meeting the requirements of § 1.401 will be given a file number and, promptly thereafter, a “Public Notice” will be issued (by means of a Commission release entitled “Petitions for Rule Making Filed”) as to the petition, file number, nature of the proposal, and date of filing.  Petitions for rulemaking are available through the Commission's Reference Information Center at the FCC's main office, and electronically at https://www.fcc.gov.</w:t>
      </w:r>
    </w:p>
    <w:p w:rsidR="00A32431" w:rsidRPr="00BD544D" w:rsidP="00A32431" w14:paraId="732028B8" w14:textId="77777777">
      <w:pPr>
        <w:spacing w:line="480" w:lineRule="auto"/>
        <w:ind w:firstLine="720"/>
        <w:rPr>
          <w:szCs w:val="22"/>
        </w:rPr>
      </w:pPr>
      <w:r w:rsidRPr="00BD544D">
        <w:rPr>
          <w:szCs w:val="22"/>
        </w:rPr>
        <w:t>4. Amend § 1.420 by:</w:t>
      </w:r>
    </w:p>
    <w:p w:rsidR="00A32431" w:rsidRPr="00BD544D" w:rsidP="00A32431" w14:paraId="33C70BE9" w14:textId="77777777">
      <w:pPr>
        <w:spacing w:line="480" w:lineRule="auto"/>
        <w:ind w:firstLine="720"/>
        <w:rPr>
          <w:szCs w:val="22"/>
        </w:rPr>
      </w:pPr>
      <w:r w:rsidRPr="00BD544D">
        <w:rPr>
          <w:szCs w:val="22"/>
        </w:rPr>
        <w:t>a. Revising the section heading, and paragraphs (a), and (b);</w:t>
      </w:r>
    </w:p>
    <w:p w:rsidR="00A32431" w:rsidRPr="00BD544D" w:rsidP="00A32431" w14:paraId="7620C73A" w14:textId="3028CFFB">
      <w:pPr>
        <w:spacing w:line="480" w:lineRule="auto"/>
        <w:ind w:firstLine="720"/>
        <w:rPr>
          <w:szCs w:val="22"/>
        </w:rPr>
      </w:pPr>
      <w:r w:rsidRPr="00BD544D">
        <w:rPr>
          <w:szCs w:val="22"/>
        </w:rPr>
        <w:t>b. Redesignating the Note to paragraph (g) as Note 1 to paragraph (g);</w:t>
      </w:r>
    </w:p>
    <w:p w:rsidR="00A32431" w:rsidRPr="00BD544D" w:rsidP="00A32431" w14:paraId="6287F740" w14:textId="4DCBBAA6">
      <w:pPr>
        <w:spacing w:line="480" w:lineRule="auto"/>
        <w:ind w:firstLine="720"/>
        <w:rPr>
          <w:szCs w:val="22"/>
        </w:rPr>
      </w:pPr>
      <w:r w:rsidRPr="00BD544D">
        <w:rPr>
          <w:szCs w:val="22"/>
        </w:rPr>
        <w:t>c. Redesignating Note 1 to paragraph (h) as Note 2 to paragraph (h);</w:t>
      </w:r>
    </w:p>
    <w:p w:rsidR="00A32431" w:rsidRPr="00BD544D" w:rsidP="00A32431" w14:paraId="152543C5" w14:textId="77777777">
      <w:pPr>
        <w:spacing w:line="480" w:lineRule="auto"/>
        <w:ind w:firstLine="720"/>
        <w:rPr>
          <w:szCs w:val="22"/>
        </w:rPr>
      </w:pPr>
      <w:r w:rsidRPr="00BD544D">
        <w:rPr>
          <w:szCs w:val="22"/>
        </w:rPr>
        <w:t>d. Revising paragraph (j)  introductory text, and the note at the end of the section.</w:t>
      </w:r>
    </w:p>
    <w:p w:rsidR="00A32431" w:rsidRPr="00BD544D" w:rsidP="00A32431" w14:paraId="51A59729" w14:textId="77777777">
      <w:pPr>
        <w:spacing w:line="480" w:lineRule="auto"/>
        <w:ind w:firstLine="720"/>
        <w:rPr>
          <w:szCs w:val="22"/>
        </w:rPr>
      </w:pPr>
      <w:r w:rsidRPr="00BD544D">
        <w:rPr>
          <w:szCs w:val="22"/>
        </w:rPr>
        <w:t>The revisions read as follows:</w:t>
      </w:r>
    </w:p>
    <w:p w:rsidR="00A32431" w:rsidRPr="00BD544D" w:rsidP="00A32431" w14:paraId="58A4DB61" w14:textId="77777777">
      <w:pPr>
        <w:spacing w:line="480" w:lineRule="auto"/>
        <w:rPr>
          <w:b/>
          <w:bCs/>
          <w:szCs w:val="22"/>
        </w:rPr>
      </w:pPr>
      <w:r w:rsidRPr="00BD544D">
        <w:rPr>
          <w:b/>
          <w:bCs/>
          <w:szCs w:val="22"/>
        </w:rPr>
        <w:t>§ 1.420 Additional procedures in proceedings for amendment of the Table of FM Allotments, the Table of TV Allotments, or for amendment of certain FM assignments.</w:t>
      </w:r>
    </w:p>
    <w:p w:rsidR="00A32431" w:rsidRPr="00BD544D" w:rsidP="00A32431" w14:paraId="47811020" w14:textId="77777777">
      <w:pPr>
        <w:spacing w:line="480" w:lineRule="auto"/>
        <w:ind w:firstLine="720"/>
        <w:rPr>
          <w:szCs w:val="22"/>
        </w:rPr>
      </w:pPr>
      <w:r w:rsidRPr="00BD544D">
        <w:rPr>
          <w:szCs w:val="22"/>
        </w:rPr>
        <w:t>(a) Comments filed in proceedings for amendment of the Table of FM Allotments (§ 73.202 of this chapter) or the Table of TV Allotments (§ 73.622(j) of this chapter) which are initiated on a petition for rule making shall be served on petitioner by the person who files the comments.</w:t>
      </w:r>
    </w:p>
    <w:p w:rsidR="00A32431" w:rsidRPr="00BD544D" w:rsidP="00A32431" w14:paraId="3D546714" w14:textId="77777777">
      <w:pPr>
        <w:spacing w:line="480" w:lineRule="auto"/>
        <w:ind w:firstLine="720"/>
        <w:rPr>
          <w:szCs w:val="22"/>
        </w:rPr>
      </w:pPr>
      <w:r w:rsidRPr="00BD544D">
        <w:rPr>
          <w:szCs w:val="22"/>
        </w:rPr>
        <w:t>(b) Reply comments filed in proceedings for amendment of the Table of FM Allotments or the Table of TV Allotments shall be served on the person(s) who filed the comments to which the reply is directed.</w:t>
      </w:r>
    </w:p>
    <w:p w:rsidR="00A32431" w:rsidRPr="00BD544D" w:rsidP="00A32431" w14:paraId="6A0340BB" w14:textId="77777777">
      <w:pPr>
        <w:spacing w:line="480" w:lineRule="auto"/>
        <w:rPr>
          <w:szCs w:val="22"/>
        </w:rPr>
      </w:pPr>
      <w:r w:rsidRPr="00BD544D">
        <w:rPr>
          <w:szCs w:val="22"/>
        </w:rPr>
        <w:t>* * * * *</w:t>
      </w:r>
    </w:p>
    <w:p w:rsidR="00A32431" w:rsidRPr="00BD544D" w:rsidP="00A32431" w14:paraId="19D7374E" w14:textId="77777777">
      <w:pPr>
        <w:spacing w:line="480" w:lineRule="auto"/>
        <w:rPr>
          <w:szCs w:val="22"/>
        </w:rPr>
      </w:pPr>
      <w:r w:rsidRPr="00BD544D">
        <w:rPr>
          <w:szCs w:val="22"/>
        </w:rPr>
        <w:tab/>
        <w:t>(j) Whenever an expression of interest in applying for, constructing, and operating a station has been filed in a proceeding to amend the Table of FM Allotments or the Table of TV Allotments, and the filing party seeks to dismiss or withdraw the expression of interest, either unilaterally or in exchange for financial consideration, that party must file with the Commission a request for approval of the dismissal or withdrawal, a copy of any written agreement related to the dismissal or withdrawal, and an affidavit setting forth:</w:t>
      </w:r>
    </w:p>
    <w:p w:rsidR="00A32431" w:rsidRPr="00BD544D" w:rsidP="00A32431" w14:paraId="707157FE" w14:textId="77777777">
      <w:pPr>
        <w:spacing w:line="480" w:lineRule="auto"/>
        <w:rPr>
          <w:szCs w:val="22"/>
        </w:rPr>
      </w:pPr>
      <w:r w:rsidRPr="00BD544D">
        <w:rPr>
          <w:szCs w:val="22"/>
        </w:rPr>
        <w:t>* * * * *</w:t>
      </w:r>
    </w:p>
    <w:p w:rsidR="00A32431" w:rsidRPr="00BD544D" w:rsidP="00A32431" w14:paraId="47498F01" w14:textId="2E7A13AF">
      <w:pPr>
        <w:spacing w:line="480" w:lineRule="auto"/>
        <w:rPr>
          <w:szCs w:val="22"/>
        </w:rPr>
      </w:pPr>
      <w:r w:rsidRPr="00BD544D">
        <w:rPr>
          <w:szCs w:val="22"/>
        </w:rPr>
        <w:tab/>
      </w:r>
      <w:r w:rsidRPr="00D202A8">
        <w:rPr>
          <w:szCs w:val="22"/>
        </w:rPr>
        <w:t xml:space="preserve">Note 3 to § 1.420: The reclassification of a Class C station in accordance with the procedure set forth in Note 4 to § 73.3573 may be initiated through the filing of an original petition for amendment of the Table of FM Allotments. The Commission will notify the affected Class C station licensee of the proposed reclassification by issuing a notice of proposed rulemaking, except that where a triggering </w:t>
      </w:r>
      <w:r w:rsidRPr="00D202A8">
        <w:rPr>
          <w:szCs w:val="22"/>
        </w:rPr>
        <w:t>petition proposes an amendment or amendments to the Table of FM Allotments in addition to the proposed reclassification, the Commission will issue an order to show cause as set forth in Note 4 to § 73.3573, and a notice of proposed rulemaking will be issued only after the reclassification issue is resolved. Triggering petitions will be dismissed upon the filing, rather than the grant, of an acceptable construction permit application to increase antenna height to at least 451 meters HAAT by a subject Class C station.</w:t>
      </w:r>
    </w:p>
    <w:p w:rsidR="00A32431" w:rsidRPr="00BD544D" w:rsidP="00A32431" w14:paraId="6BFFEA35" w14:textId="77777777">
      <w:pPr>
        <w:spacing w:line="480" w:lineRule="auto"/>
        <w:ind w:firstLine="720"/>
        <w:rPr>
          <w:bCs/>
          <w:szCs w:val="22"/>
        </w:rPr>
      </w:pPr>
      <w:r w:rsidRPr="00BD544D">
        <w:rPr>
          <w:bCs/>
          <w:szCs w:val="22"/>
        </w:rPr>
        <w:t xml:space="preserve">5.  Amend § 1.5000 by </w:t>
      </w:r>
      <w:r w:rsidRPr="00BD544D">
        <w:rPr>
          <w:szCs w:val="22"/>
        </w:rPr>
        <w:t>revising</w:t>
      </w:r>
      <w:r w:rsidRPr="00BD544D">
        <w:rPr>
          <w:bCs/>
          <w:szCs w:val="22"/>
        </w:rPr>
        <w:t xml:space="preserve"> the third sentence of paragraph (b) to read as follows:</w:t>
      </w:r>
    </w:p>
    <w:p w:rsidR="00A32431" w:rsidRPr="00BD544D" w:rsidP="00A32431" w14:paraId="53C8F315" w14:textId="77777777">
      <w:pPr>
        <w:spacing w:line="480" w:lineRule="auto"/>
        <w:rPr>
          <w:b/>
          <w:bCs/>
          <w:szCs w:val="22"/>
        </w:rPr>
      </w:pPr>
      <w:r w:rsidRPr="00BD544D">
        <w:rPr>
          <w:b/>
          <w:bCs/>
          <w:szCs w:val="22"/>
        </w:rPr>
        <w:t>§ 1.5000 Citizenship and filing requirements under section 310(b) of the Communications Act of 1934, as amended.</w:t>
      </w:r>
    </w:p>
    <w:p w:rsidR="00A32431" w:rsidRPr="00BD544D" w:rsidP="00A32431" w14:paraId="5F2241F8" w14:textId="77777777">
      <w:pPr>
        <w:spacing w:line="480" w:lineRule="auto"/>
        <w:rPr>
          <w:bCs/>
          <w:szCs w:val="22"/>
        </w:rPr>
      </w:pPr>
      <w:r w:rsidRPr="00BD544D">
        <w:rPr>
          <w:bCs/>
          <w:szCs w:val="22"/>
        </w:rPr>
        <w:t>* * * * *</w:t>
      </w:r>
    </w:p>
    <w:p w:rsidR="00A32431" w:rsidRPr="00BD544D" w:rsidP="00A32431" w14:paraId="4049C307" w14:textId="77777777">
      <w:pPr>
        <w:spacing w:line="480" w:lineRule="auto"/>
        <w:rPr>
          <w:bCs/>
          <w:szCs w:val="22"/>
        </w:rPr>
      </w:pPr>
      <w:r w:rsidRPr="00BD544D">
        <w:rPr>
          <w:bCs/>
          <w:szCs w:val="22"/>
        </w:rPr>
        <w:tab/>
        <w:t xml:space="preserve">(b) * * * Petitions for declaratory ruling required by paragraph (a) of this section involving broadcast stations only shall be filed electronically on the Internet through the Media Bureau's </w:t>
      </w:r>
      <w:r w:rsidRPr="00BD544D">
        <w:rPr>
          <w:szCs w:val="22"/>
        </w:rPr>
        <w:t>Licensing and Management System (LMS)</w:t>
      </w:r>
      <w:r w:rsidRPr="00BD544D">
        <w:rPr>
          <w:bCs/>
          <w:szCs w:val="22"/>
        </w:rPr>
        <w:t xml:space="preserve"> or any successor system thereto when submitted to the Commission as part of an application for a construction permit, assignment, or transfer of control of a broadcast license; if there is no associated construction permit, assignment or transfer of control application, petitions for declaratory ruling should be filed with the Office of the Secretary via the Commission's Electronic Comment Filing System (ECFS).</w:t>
      </w:r>
    </w:p>
    <w:p w:rsidR="00A32431" w:rsidRPr="00BD544D" w:rsidP="00A32431" w14:paraId="68CBA7A7" w14:textId="77777777">
      <w:pPr>
        <w:spacing w:line="480" w:lineRule="auto"/>
        <w:rPr>
          <w:bCs/>
          <w:szCs w:val="22"/>
        </w:rPr>
      </w:pPr>
      <w:r w:rsidRPr="00BD544D">
        <w:rPr>
          <w:bCs/>
          <w:szCs w:val="22"/>
        </w:rPr>
        <w:t>* * * * *</w:t>
      </w:r>
    </w:p>
    <w:p w:rsidR="00A32431" w:rsidRPr="00BD544D" w:rsidP="00A32431" w14:paraId="67EB8FC7" w14:textId="77777777">
      <w:pPr>
        <w:spacing w:line="480" w:lineRule="auto"/>
        <w:ind w:firstLine="720"/>
        <w:rPr>
          <w:bCs/>
          <w:szCs w:val="22"/>
        </w:rPr>
      </w:pPr>
      <w:r w:rsidRPr="00BD544D">
        <w:rPr>
          <w:bCs/>
          <w:szCs w:val="22"/>
        </w:rPr>
        <w:t xml:space="preserve">6.  Amend § 1.5004 by </w:t>
      </w:r>
      <w:r w:rsidRPr="00BD544D">
        <w:rPr>
          <w:szCs w:val="22"/>
        </w:rPr>
        <w:t>revising</w:t>
      </w:r>
      <w:r w:rsidRPr="00BD544D">
        <w:rPr>
          <w:bCs/>
          <w:szCs w:val="22"/>
        </w:rPr>
        <w:t xml:space="preserve"> the third sentence of paragraph (d)(2) to read as follows:</w:t>
      </w:r>
    </w:p>
    <w:p w:rsidR="00A32431" w:rsidRPr="00BD544D" w:rsidP="00A32431" w14:paraId="52F7A487" w14:textId="77777777">
      <w:pPr>
        <w:spacing w:line="480" w:lineRule="auto"/>
        <w:rPr>
          <w:b/>
          <w:bCs/>
          <w:szCs w:val="22"/>
        </w:rPr>
      </w:pPr>
      <w:r w:rsidRPr="00BD544D">
        <w:rPr>
          <w:b/>
          <w:bCs/>
          <w:szCs w:val="22"/>
        </w:rPr>
        <w:t>§ 1.5004 Routine terms and conditions.</w:t>
      </w:r>
    </w:p>
    <w:p w:rsidR="00A32431" w:rsidRPr="00BD544D" w:rsidP="00A32431" w14:paraId="016FA3B7" w14:textId="77777777">
      <w:pPr>
        <w:spacing w:line="480" w:lineRule="auto"/>
        <w:rPr>
          <w:bCs/>
          <w:szCs w:val="22"/>
        </w:rPr>
      </w:pPr>
      <w:r w:rsidRPr="00BD544D">
        <w:rPr>
          <w:bCs/>
          <w:szCs w:val="22"/>
        </w:rPr>
        <w:t>* * * * *</w:t>
      </w:r>
    </w:p>
    <w:p w:rsidR="00A32431" w:rsidRPr="00BD544D" w:rsidP="00A32431" w14:paraId="32E860B3" w14:textId="77777777">
      <w:pPr>
        <w:spacing w:line="480" w:lineRule="auto"/>
        <w:rPr>
          <w:bCs/>
          <w:szCs w:val="22"/>
        </w:rPr>
      </w:pPr>
      <w:r w:rsidRPr="00BD544D">
        <w:rPr>
          <w:bCs/>
          <w:szCs w:val="22"/>
        </w:rPr>
        <w:tab/>
        <w:t xml:space="preserve">(d) * * * </w:t>
      </w:r>
    </w:p>
    <w:p w:rsidR="00A32431" w:rsidRPr="00BD544D" w:rsidP="00A32431" w14:paraId="17D275DE" w14:textId="77777777">
      <w:pPr>
        <w:spacing w:line="480" w:lineRule="auto"/>
        <w:rPr>
          <w:bCs/>
          <w:szCs w:val="22"/>
        </w:rPr>
      </w:pPr>
      <w:r w:rsidRPr="00BD544D">
        <w:rPr>
          <w:bCs/>
          <w:szCs w:val="22"/>
        </w:rPr>
        <w:tab/>
        <w:t xml:space="preserve">(2) * * * The letter must also reference the licensee's foreign ownership ruling(s) by ICFS File No. and FCC Record citation, if available; or, if a broadcast licensee, the letter must reference the licensee's foreign ownership ruling(s) by </w:t>
      </w:r>
      <w:r w:rsidRPr="00BD544D">
        <w:rPr>
          <w:szCs w:val="22"/>
        </w:rPr>
        <w:t>LMS</w:t>
      </w:r>
      <w:r w:rsidRPr="00BD544D">
        <w:rPr>
          <w:bCs/>
          <w:szCs w:val="22"/>
        </w:rPr>
        <w:t xml:space="preserve"> File No., Docket No., call sign(s), facility identification number(s), and FCC Record citation, if available. * * *</w:t>
      </w:r>
    </w:p>
    <w:p w:rsidR="00A32431" w:rsidRPr="00BD544D" w:rsidP="00A32431" w14:paraId="00008587" w14:textId="77777777">
      <w:pPr>
        <w:spacing w:line="480" w:lineRule="auto"/>
        <w:rPr>
          <w:bCs/>
          <w:szCs w:val="22"/>
        </w:rPr>
      </w:pPr>
      <w:r w:rsidRPr="00BD544D">
        <w:rPr>
          <w:bCs/>
          <w:szCs w:val="22"/>
        </w:rPr>
        <w:t>* * * * *</w:t>
      </w:r>
    </w:p>
    <w:p w:rsidR="00A32431" w:rsidRPr="00BD544D" w:rsidP="00A32431" w14:paraId="2F0F4CE5" w14:textId="77777777">
      <w:pPr>
        <w:spacing w:line="480" w:lineRule="auto"/>
        <w:ind w:firstLine="720"/>
        <w:rPr>
          <w:bCs/>
          <w:szCs w:val="22"/>
        </w:rPr>
      </w:pPr>
      <w:r w:rsidRPr="00BD544D">
        <w:rPr>
          <w:bCs/>
          <w:szCs w:val="22"/>
        </w:rPr>
        <w:t xml:space="preserve">7.  Amend § 1.30001 by </w:t>
      </w:r>
      <w:r w:rsidRPr="00BD544D">
        <w:rPr>
          <w:szCs w:val="22"/>
        </w:rPr>
        <w:t>revising</w:t>
      </w:r>
      <w:r w:rsidRPr="00BD544D">
        <w:rPr>
          <w:bCs/>
          <w:szCs w:val="22"/>
        </w:rPr>
        <w:t xml:space="preserve"> paragraph (d) to read as follows:</w:t>
      </w:r>
    </w:p>
    <w:p w:rsidR="00A32431" w:rsidRPr="00BD544D" w:rsidP="00A32431" w14:paraId="7905BBE7" w14:textId="77777777">
      <w:pPr>
        <w:spacing w:line="480" w:lineRule="auto"/>
        <w:rPr>
          <w:b/>
          <w:bCs/>
          <w:szCs w:val="22"/>
        </w:rPr>
      </w:pPr>
      <w:r w:rsidRPr="00BD544D">
        <w:rPr>
          <w:b/>
          <w:bCs/>
          <w:szCs w:val="22"/>
        </w:rPr>
        <w:t>§ 1.30001 Definitions.</w:t>
      </w:r>
    </w:p>
    <w:p w:rsidR="00A32431" w:rsidRPr="00BD544D" w:rsidP="00A32431" w14:paraId="6C068091" w14:textId="77777777">
      <w:pPr>
        <w:spacing w:line="480" w:lineRule="auto"/>
        <w:rPr>
          <w:bCs/>
          <w:szCs w:val="22"/>
        </w:rPr>
      </w:pPr>
      <w:r w:rsidRPr="00BD544D">
        <w:rPr>
          <w:bCs/>
          <w:szCs w:val="22"/>
        </w:rPr>
        <w:t>* * * * *</w:t>
      </w:r>
    </w:p>
    <w:p w:rsidR="00A32431" w:rsidRPr="00BD544D" w:rsidP="00A32431" w14:paraId="507F35A2" w14:textId="77777777">
      <w:pPr>
        <w:spacing w:line="480" w:lineRule="auto"/>
        <w:rPr>
          <w:bCs/>
          <w:szCs w:val="22"/>
        </w:rPr>
      </w:pPr>
      <w:r w:rsidRPr="00BD544D">
        <w:rPr>
          <w:bCs/>
          <w:szCs w:val="22"/>
        </w:rPr>
        <w:tab/>
        <w:t xml:space="preserve">(d) </w:t>
      </w:r>
      <w:r w:rsidRPr="00BD544D">
        <w:rPr>
          <w:bCs/>
          <w:i/>
          <w:iCs/>
          <w:szCs w:val="22"/>
        </w:rPr>
        <w:t>Distance from the AM station</w:t>
      </w:r>
      <w:r w:rsidRPr="00BD544D">
        <w:rPr>
          <w:bCs/>
          <w:szCs w:val="22"/>
        </w:rPr>
        <w:t xml:space="preserve">.  The distance shall be calculated from the tower coordinates in the case of a nondirectional AM station, or from the array center coordinates given in </w:t>
      </w:r>
      <w:r w:rsidRPr="00BD544D">
        <w:rPr>
          <w:szCs w:val="22"/>
        </w:rPr>
        <w:t>LMS</w:t>
      </w:r>
      <w:r w:rsidRPr="00BD544D">
        <w:rPr>
          <w:bCs/>
          <w:szCs w:val="22"/>
        </w:rPr>
        <w:t xml:space="preserve"> or any successor database for a directional AM station.</w:t>
      </w:r>
    </w:p>
    <w:p w:rsidR="00A32431" w:rsidRPr="00BD544D" w:rsidP="00A32431" w14:paraId="3B39648A" w14:textId="77777777">
      <w:pPr>
        <w:spacing w:line="480" w:lineRule="auto"/>
        <w:ind w:firstLine="720"/>
        <w:rPr>
          <w:bCs/>
          <w:szCs w:val="22"/>
        </w:rPr>
      </w:pPr>
      <w:r w:rsidRPr="00BD544D">
        <w:rPr>
          <w:bCs/>
          <w:szCs w:val="22"/>
        </w:rPr>
        <w:t xml:space="preserve">8.  Amend § 1.30004 by </w:t>
      </w:r>
      <w:r w:rsidRPr="00BD544D">
        <w:rPr>
          <w:szCs w:val="22"/>
        </w:rPr>
        <w:t>revising</w:t>
      </w:r>
      <w:r w:rsidRPr="00BD544D">
        <w:rPr>
          <w:bCs/>
          <w:szCs w:val="22"/>
        </w:rPr>
        <w:t xml:space="preserve"> the second sentence of paragraph (a) to read as follows:</w:t>
      </w:r>
    </w:p>
    <w:p w:rsidR="00A32431" w:rsidRPr="00BD544D" w:rsidP="00A32431" w14:paraId="23D2D00F" w14:textId="77777777">
      <w:pPr>
        <w:spacing w:line="480" w:lineRule="auto"/>
        <w:rPr>
          <w:b/>
          <w:bCs/>
          <w:szCs w:val="22"/>
        </w:rPr>
      </w:pPr>
      <w:r w:rsidRPr="00BD544D">
        <w:rPr>
          <w:b/>
          <w:bCs/>
          <w:szCs w:val="22"/>
        </w:rPr>
        <w:t>§ 1.30004 Notice of tower construction or modification near AM stations.</w:t>
      </w:r>
    </w:p>
    <w:p w:rsidR="00A32431" w:rsidRPr="00BD544D" w:rsidP="00A32431" w14:paraId="6984A5B1" w14:textId="77777777">
      <w:pPr>
        <w:spacing w:line="480" w:lineRule="auto"/>
        <w:rPr>
          <w:bCs/>
          <w:szCs w:val="22"/>
        </w:rPr>
      </w:pPr>
      <w:r w:rsidRPr="00BD544D">
        <w:rPr>
          <w:bCs/>
          <w:szCs w:val="22"/>
        </w:rPr>
        <w:tab/>
        <w:t xml:space="preserve">(a) * * * Notice shall be provided to any AM station that is licensed or operating under Program Test Authority using the official licensee information and address listed in </w:t>
      </w:r>
      <w:r w:rsidRPr="00BD544D">
        <w:rPr>
          <w:szCs w:val="22"/>
        </w:rPr>
        <w:t>LMS</w:t>
      </w:r>
      <w:r w:rsidRPr="00BD544D">
        <w:rPr>
          <w:bCs/>
          <w:szCs w:val="22"/>
        </w:rPr>
        <w:t xml:space="preserve"> or any successor database. * * *</w:t>
      </w:r>
    </w:p>
    <w:p w:rsidR="00A32431" w:rsidRPr="00BD544D" w:rsidP="00A32431" w14:paraId="20D553C4" w14:textId="77777777">
      <w:pPr>
        <w:spacing w:line="480" w:lineRule="auto"/>
        <w:rPr>
          <w:bCs/>
          <w:szCs w:val="22"/>
        </w:rPr>
      </w:pPr>
      <w:r w:rsidRPr="00BD544D">
        <w:rPr>
          <w:bCs/>
          <w:szCs w:val="22"/>
        </w:rPr>
        <w:t>* * * * *</w:t>
      </w:r>
    </w:p>
    <w:p w:rsidR="00A32431" w:rsidRPr="00BD544D" w:rsidP="00A32431" w14:paraId="32FB3F3A" w14:textId="77777777">
      <w:pPr>
        <w:spacing w:line="480" w:lineRule="auto"/>
        <w:rPr>
          <w:b/>
          <w:szCs w:val="22"/>
        </w:rPr>
      </w:pPr>
      <w:r w:rsidRPr="00BD544D">
        <w:rPr>
          <w:b/>
          <w:szCs w:val="22"/>
        </w:rPr>
        <w:t>PART 73 – RADIO BROADCAST SERVICES</w:t>
      </w:r>
    </w:p>
    <w:p w:rsidR="00A32431" w:rsidRPr="00BD544D" w:rsidP="00A32431" w14:paraId="6BB5504F" w14:textId="77777777">
      <w:pPr>
        <w:spacing w:line="480" w:lineRule="auto"/>
        <w:ind w:firstLine="720"/>
        <w:rPr>
          <w:bCs/>
          <w:szCs w:val="22"/>
        </w:rPr>
      </w:pPr>
      <w:bookmarkStart w:id="1" w:name="_Hlk179880762"/>
      <w:r w:rsidRPr="00BD544D">
        <w:rPr>
          <w:bCs/>
          <w:szCs w:val="22"/>
        </w:rPr>
        <w:t>9.  The authority citation for part 73 continues to read as follows:</w:t>
      </w:r>
    </w:p>
    <w:p w:rsidR="00A32431" w:rsidRPr="00BD544D" w:rsidP="00A32431" w14:paraId="25D6E867" w14:textId="77777777">
      <w:pPr>
        <w:spacing w:line="480" w:lineRule="auto"/>
        <w:ind w:firstLine="720"/>
        <w:rPr>
          <w:bCs/>
          <w:szCs w:val="22"/>
        </w:rPr>
      </w:pPr>
      <w:r w:rsidRPr="00BD544D">
        <w:rPr>
          <w:b/>
          <w:szCs w:val="22"/>
        </w:rPr>
        <w:t>Authority:</w:t>
      </w:r>
      <w:r w:rsidRPr="00BD544D">
        <w:rPr>
          <w:bCs/>
          <w:szCs w:val="22"/>
        </w:rPr>
        <w:t xml:space="preserve">  47 U.S.C. 154, 155, 301, 303, 307, 309, 310, 334, 336, 339.</w:t>
      </w:r>
      <w:bookmarkEnd w:id="1"/>
    </w:p>
    <w:p w:rsidR="00A32431" w:rsidRPr="00BD544D" w:rsidP="00A32431" w14:paraId="409E7B14" w14:textId="77777777">
      <w:pPr>
        <w:spacing w:line="480" w:lineRule="auto"/>
        <w:ind w:firstLine="720"/>
        <w:rPr>
          <w:szCs w:val="22"/>
        </w:rPr>
      </w:pPr>
      <w:r w:rsidRPr="00BD544D">
        <w:rPr>
          <w:bCs/>
          <w:szCs w:val="22"/>
        </w:rPr>
        <w:t xml:space="preserve">10.  Amend </w:t>
      </w:r>
      <w:r w:rsidRPr="00BD544D">
        <w:rPr>
          <w:szCs w:val="22"/>
        </w:rPr>
        <w:t>§ 73.30 by revising paragraph (c) and redesignating notes 1 through 5 as notes 1 through 5 to § 73.30.</w:t>
      </w:r>
    </w:p>
    <w:p w:rsidR="00A32431" w:rsidRPr="00BD544D" w:rsidP="00A32431" w14:paraId="1AE488EE" w14:textId="77777777">
      <w:pPr>
        <w:spacing w:line="480" w:lineRule="auto"/>
        <w:ind w:firstLine="720"/>
        <w:rPr>
          <w:bCs/>
          <w:szCs w:val="22"/>
        </w:rPr>
      </w:pPr>
      <w:r w:rsidRPr="00BD544D">
        <w:rPr>
          <w:szCs w:val="22"/>
        </w:rPr>
        <w:t>The revision reads as follows:</w:t>
      </w:r>
    </w:p>
    <w:p w:rsidR="00A32431" w:rsidRPr="00BD544D" w:rsidP="00A32431" w14:paraId="4C65E40F" w14:textId="77777777">
      <w:pPr>
        <w:spacing w:line="480" w:lineRule="auto"/>
        <w:rPr>
          <w:b/>
          <w:szCs w:val="22"/>
        </w:rPr>
      </w:pPr>
      <w:r w:rsidRPr="00BD544D">
        <w:rPr>
          <w:b/>
          <w:szCs w:val="22"/>
        </w:rPr>
        <w:t>§ 73.30 Petition for authorization of an allotment in the 1605-1705 kHz band.</w:t>
      </w:r>
    </w:p>
    <w:p w:rsidR="00A32431" w:rsidRPr="00BD544D" w:rsidP="00A32431" w14:paraId="7BEAE5DE" w14:textId="77777777">
      <w:pPr>
        <w:spacing w:line="480" w:lineRule="auto"/>
        <w:rPr>
          <w:bCs/>
          <w:szCs w:val="22"/>
        </w:rPr>
      </w:pPr>
      <w:r w:rsidRPr="00BD544D">
        <w:rPr>
          <w:bCs/>
          <w:szCs w:val="22"/>
        </w:rPr>
        <w:t>* * * * *</w:t>
      </w:r>
    </w:p>
    <w:p w:rsidR="00A32431" w:rsidRPr="00BD544D" w:rsidP="00A32431" w14:paraId="7D816E5B" w14:textId="77777777">
      <w:pPr>
        <w:spacing w:line="480" w:lineRule="auto"/>
        <w:rPr>
          <w:bCs/>
          <w:szCs w:val="22"/>
        </w:rPr>
      </w:pPr>
      <w:r w:rsidRPr="00BD544D">
        <w:rPr>
          <w:bCs/>
          <w:szCs w:val="22"/>
        </w:rPr>
        <w:tab/>
        <w:t xml:space="preserve">(c) If awarded an allotment, a petitioner will have sixty (60) days from the date of public notice of selection to file an application for construction permit on FCC Form 2100, Schedule 301. (See §§ 73.24 and 73.37(e) for filing requirements). Unless instructed by the Commission to do otherwise, the application shall specify Model I facilities. (See § 73.14). Upon grant of the application and subsequent construction of the authorized facility, the applicant must file a license application on FCC Form 2100, </w:t>
      </w:r>
      <w:r w:rsidRPr="00BD544D">
        <w:rPr>
          <w:bCs/>
          <w:szCs w:val="22"/>
        </w:rPr>
        <w:t>Schedule 302.</w:t>
      </w:r>
    </w:p>
    <w:p w:rsidR="00A32431" w:rsidRPr="00BD544D" w:rsidP="00A32431" w14:paraId="69738ADF" w14:textId="77777777">
      <w:pPr>
        <w:spacing w:line="480" w:lineRule="auto"/>
        <w:rPr>
          <w:bCs/>
          <w:szCs w:val="22"/>
        </w:rPr>
      </w:pPr>
      <w:r w:rsidRPr="00BD544D">
        <w:rPr>
          <w:bCs/>
          <w:szCs w:val="22"/>
        </w:rPr>
        <w:t>* * * * *</w:t>
      </w:r>
    </w:p>
    <w:p w:rsidR="00A32431" w:rsidRPr="00BD544D" w:rsidP="00A32431" w14:paraId="10A389EC" w14:textId="77777777">
      <w:pPr>
        <w:spacing w:line="480" w:lineRule="auto"/>
        <w:ind w:firstLine="720"/>
        <w:rPr>
          <w:bCs/>
          <w:szCs w:val="22"/>
        </w:rPr>
      </w:pPr>
      <w:r w:rsidRPr="00BD544D">
        <w:rPr>
          <w:szCs w:val="22"/>
        </w:rPr>
        <w:t>11.  Amend § 73.37 by revising paragraph (c) to read as follows:</w:t>
      </w:r>
    </w:p>
    <w:p w:rsidR="00A32431" w:rsidRPr="00BD544D" w:rsidP="00A32431" w14:paraId="6CEECE57" w14:textId="77777777">
      <w:pPr>
        <w:spacing w:line="480" w:lineRule="auto"/>
        <w:rPr>
          <w:b/>
          <w:bCs/>
          <w:szCs w:val="22"/>
        </w:rPr>
      </w:pPr>
      <w:r w:rsidRPr="00BD544D">
        <w:rPr>
          <w:b/>
          <w:bCs/>
          <w:szCs w:val="22"/>
        </w:rPr>
        <w:t>§ 73.37 Applications for broadcast facilities, showing required.</w:t>
      </w:r>
    </w:p>
    <w:p w:rsidR="00A32431" w:rsidRPr="00BD544D" w:rsidP="00A32431" w14:paraId="206ED4DF" w14:textId="77777777">
      <w:pPr>
        <w:spacing w:line="480" w:lineRule="auto"/>
        <w:rPr>
          <w:szCs w:val="22"/>
        </w:rPr>
      </w:pPr>
      <w:r w:rsidRPr="00BD544D">
        <w:rPr>
          <w:szCs w:val="22"/>
        </w:rPr>
        <w:t>* * * * *</w:t>
      </w:r>
    </w:p>
    <w:p w:rsidR="00A32431" w:rsidRPr="00BD544D" w:rsidP="00A32431" w14:paraId="56E92CD4" w14:textId="77777777">
      <w:pPr>
        <w:spacing w:line="480" w:lineRule="auto"/>
        <w:rPr>
          <w:szCs w:val="22"/>
        </w:rPr>
      </w:pPr>
      <w:r w:rsidRPr="00BD544D">
        <w:rPr>
          <w:szCs w:val="22"/>
        </w:rPr>
        <w:tab/>
        <w:t>(c) If otherwise consistent with the public interest, an application requesting an increase in the daytime power of an existing Class C station on a local channel from 250 watts to a maximum of 1kW, or from 100 watts to a maximum of 500 watts, may be granted notwithstanding overlap prohibited by paragraph (a) of this section. In the case of a 100 watt Class C station increasing daytime power, the provisions of this paragraph shall not be construed to permit an increase in power to more than 500 watts, if prohibited overlap would be involved, even if successive applications should be filed.</w:t>
      </w:r>
    </w:p>
    <w:p w:rsidR="00A32431" w:rsidRPr="00BD544D" w:rsidP="00A32431" w14:paraId="4A69953C" w14:textId="77777777">
      <w:pPr>
        <w:spacing w:line="480" w:lineRule="auto"/>
        <w:rPr>
          <w:bCs/>
          <w:szCs w:val="22"/>
        </w:rPr>
      </w:pPr>
      <w:r w:rsidRPr="00BD544D">
        <w:rPr>
          <w:szCs w:val="22"/>
        </w:rPr>
        <w:t>* * * * *</w:t>
      </w:r>
    </w:p>
    <w:p w:rsidR="00A32431" w:rsidRPr="00BD544D" w:rsidP="00A32431" w14:paraId="4F8EFEEE" w14:textId="77777777">
      <w:pPr>
        <w:spacing w:line="480" w:lineRule="auto"/>
        <w:ind w:firstLine="720"/>
        <w:rPr>
          <w:bCs/>
          <w:szCs w:val="22"/>
        </w:rPr>
      </w:pPr>
      <w:r w:rsidRPr="00BD544D">
        <w:rPr>
          <w:bCs/>
          <w:szCs w:val="22"/>
        </w:rPr>
        <w:t>12.  Amend § 73.45 by revising paragraph (d)(1) to read as follows:</w:t>
      </w:r>
    </w:p>
    <w:p w:rsidR="00A32431" w:rsidRPr="00BD544D" w:rsidP="00A32431" w14:paraId="3BD6CC06" w14:textId="77777777">
      <w:pPr>
        <w:spacing w:line="480" w:lineRule="auto"/>
        <w:rPr>
          <w:bCs/>
          <w:szCs w:val="22"/>
        </w:rPr>
      </w:pPr>
      <w:r w:rsidRPr="00BD544D">
        <w:rPr>
          <w:b/>
          <w:szCs w:val="22"/>
        </w:rPr>
        <w:t>§ 73.45 AM antenna systems.</w:t>
      </w:r>
    </w:p>
    <w:p w:rsidR="00A32431" w:rsidRPr="00BD544D" w:rsidP="00A32431" w14:paraId="3A5DDAAC" w14:textId="77777777">
      <w:pPr>
        <w:spacing w:line="480" w:lineRule="auto"/>
        <w:rPr>
          <w:bCs/>
          <w:szCs w:val="22"/>
        </w:rPr>
      </w:pPr>
      <w:r w:rsidRPr="00BD544D">
        <w:rPr>
          <w:bCs/>
          <w:szCs w:val="22"/>
        </w:rPr>
        <w:t>* * * * *</w:t>
      </w:r>
    </w:p>
    <w:p w:rsidR="00A32431" w:rsidRPr="00BD544D" w:rsidP="00A32431" w14:paraId="3D9ABFD1" w14:textId="77777777">
      <w:pPr>
        <w:spacing w:line="480" w:lineRule="auto"/>
        <w:rPr>
          <w:bCs/>
          <w:szCs w:val="22"/>
        </w:rPr>
      </w:pPr>
      <w:r w:rsidRPr="00BD544D">
        <w:rPr>
          <w:bCs/>
          <w:szCs w:val="22"/>
        </w:rPr>
        <w:tab/>
        <w:t>(d) * * *</w:t>
      </w:r>
    </w:p>
    <w:p w:rsidR="00A32431" w:rsidRPr="00BD544D" w:rsidP="00A32431" w14:paraId="74BD8BC4" w14:textId="77777777">
      <w:pPr>
        <w:spacing w:line="480" w:lineRule="auto"/>
        <w:rPr>
          <w:bCs/>
          <w:szCs w:val="22"/>
        </w:rPr>
      </w:pPr>
      <w:r w:rsidRPr="00BD544D">
        <w:rPr>
          <w:bCs/>
          <w:szCs w:val="22"/>
        </w:rPr>
        <w:tab/>
        <w:t>(1) Whenever the measurements show that the antenna or common point resistance differs from that shown on the station authorization by more than 2%, FCC Form 2100, Schedule 302 must be filed with the information and measurement data specified in § 73.54(d).</w:t>
      </w:r>
    </w:p>
    <w:p w:rsidR="00A32431" w:rsidRPr="00BD544D" w:rsidP="00A32431" w14:paraId="26A7CC0D" w14:textId="77777777">
      <w:pPr>
        <w:spacing w:line="480" w:lineRule="auto"/>
        <w:rPr>
          <w:bCs/>
          <w:szCs w:val="22"/>
        </w:rPr>
      </w:pPr>
      <w:r w:rsidRPr="00BD544D">
        <w:rPr>
          <w:bCs/>
          <w:szCs w:val="22"/>
        </w:rPr>
        <w:t>* * * * *</w:t>
      </w:r>
    </w:p>
    <w:p w:rsidR="00A32431" w:rsidRPr="00BD544D" w:rsidP="00A32431" w14:paraId="0E4BCD4B" w14:textId="77777777">
      <w:pPr>
        <w:spacing w:line="480" w:lineRule="auto"/>
        <w:ind w:firstLine="720"/>
        <w:rPr>
          <w:bCs/>
          <w:szCs w:val="22"/>
        </w:rPr>
      </w:pPr>
      <w:r w:rsidRPr="00BD544D">
        <w:rPr>
          <w:bCs/>
          <w:szCs w:val="22"/>
        </w:rPr>
        <w:t>13.  Amend § 73.51 by revising paragraph (c) introductory text to read as follows:</w:t>
      </w:r>
    </w:p>
    <w:p w:rsidR="00A32431" w:rsidRPr="00BD544D" w:rsidP="00A32431" w14:paraId="0D0F5D10" w14:textId="77777777">
      <w:pPr>
        <w:spacing w:line="480" w:lineRule="auto"/>
        <w:rPr>
          <w:bCs/>
          <w:szCs w:val="22"/>
        </w:rPr>
      </w:pPr>
      <w:r w:rsidRPr="00BD544D">
        <w:rPr>
          <w:b/>
          <w:szCs w:val="22"/>
        </w:rPr>
        <w:t>§ 73.51 Determining operating power.</w:t>
      </w:r>
    </w:p>
    <w:p w:rsidR="00A32431" w:rsidRPr="00BD544D" w:rsidP="00A32431" w14:paraId="2171E5BD" w14:textId="77777777">
      <w:pPr>
        <w:spacing w:line="480" w:lineRule="auto"/>
        <w:rPr>
          <w:bCs/>
          <w:szCs w:val="22"/>
        </w:rPr>
      </w:pPr>
      <w:r w:rsidRPr="00BD544D">
        <w:rPr>
          <w:bCs/>
          <w:szCs w:val="22"/>
        </w:rPr>
        <w:t>* * * * *</w:t>
      </w:r>
    </w:p>
    <w:p w:rsidR="00A32431" w:rsidRPr="00BD544D" w:rsidP="00A32431" w14:paraId="29873C9B" w14:textId="52D77A3D">
      <w:pPr>
        <w:spacing w:line="480" w:lineRule="auto"/>
        <w:rPr>
          <w:b/>
          <w:szCs w:val="22"/>
        </w:rPr>
      </w:pPr>
      <w:r w:rsidRPr="00BD544D">
        <w:rPr>
          <w:bCs/>
          <w:szCs w:val="22"/>
        </w:rPr>
        <w:tab/>
        <w:t xml:space="preserve">(c) Applications for authority to operate with antenna input power which is less than nominal power and/or to employ a dissipative network in the antenna system shall be made on FCC Form 2100, Schedule 302. The technical information supplied on this form shall be that applying to the proposed </w:t>
      </w:r>
      <w:r w:rsidRPr="00BD544D">
        <w:rPr>
          <w:bCs/>
          <w:szCs w:val="22"/>
        </w:rPr>
        <w:t>conditions of operation. In addition, the following information shall be furnished, as pertinent:</w:t>
      </w:r>
    </w:p>
    <w:p w:rsidR="00A32431" w:rsidRPr="00BD544D" w:rsidP="00A32431" w14:paraId="442CE1F2" w14:textId="77777777">
      <w:pPr>
        <w:spacing w:line="480" w:lineRule="auto"/>
        <w:rPr>
          <w:bCs/>
          <w:szCs w:val="22"/>
        </w:rPr>
      </w:pPr>
      <w:r w:rsidRPr="00BD544D">
        <w:rPr>
          <w:bCs/>
          <w:szCs w:val="22"/>
        </w:rPr>
        <w:t>* * * * *</w:t>
      </w:r>
    </w:p>
    <w:p w:rsidR="00A32431" w:rsidRPr="00BD544D" w:rsidP="00A32431" w14:paraId="08E4E060" w14:textId="77777777">
      <w:pPr>
        <w:spacing w:line="480" w:lineRule="auto"/>
        <w:ind w:firstLine="720"/>
        <w:rPr>
          <w:bCs/>
          <w:szCs w:val="22"/>
        </w:rPr>
      </w:pPr>
      <w:r w:rsidRPr="00BD544D">
        <w:rPr>
          <w:bCs/>
          <w:szCs w:val="22"/>
        </w:rPr>
        <w:t xml:space="preserve">14.  Amend § 73.202 by revising the third sentence of paragraph (a) introductory text to read as follows: </w:t>
      </w:r>
    </w:p>
    <w:p w:rsidR="00A32431" w:rsidRPr="00BD544D" w:rsidP="00A32431" w14:paraId="4F808616" w14:textId="77777777">
      <w:pPr>
        <w:spacing w:line="480" w:lineRule="auto"/>
        <w:rPr>
          <w:b/>
          <w:bCs/>
          <w:szCs w:val="22"/>
        </w:rPr>
      </w:pPr>
      <w:r w:rsidRPr="00BD544D">
        <w:rPr>
          <w:b/>
          <w:bCs/>
          <w:szCs w:val="22"/>
        </w:rPr>
        <w:t>§ 73.202 Table of Allotments.</w:t>
      </w:r>
    </w:p>
    <w:p w:rsidR="00A32431" w:rsidRPr="00BD544D" w:rsidP="00A32431" w14:paraId="10A4D136" w14:textId="77777777">
      <w:pPr>
        <w:spacing w:line="480" w:lineRule="auto"/>
        <w:rPr>
          <w:bCs/>
          <w:szCs w:val="22"/>
        </w:rPr>
      </w:pPr>
      <w:r w:rsidRPr="00BD544D">
        <w:rPr>
          <w:bCs/>
          <w:szCs w:val="22"/>
        </w:rPr>
        <w:tab/>
        <w:t xml:space="preserve">(a) </w:t>
      </w:r>
      <w:bookmarkStart w:id="2" w:name="_Hlk74218591"/>
      <w:r w:rsidRPr="00BD544D">
        <w:rPr>
          <w:szCs w:val="22"/>
        </w:rPr>
        <w:t>* * *</w:t>
      </w:r>
      <w:r w:rsidRPr="00BD544D">
        <w:rPr>
          <w:b/>
          <w:bCs/>
          <w:szCs w:val="22"/>
        </w:rPr>
        <w:t xml:space="preserve"> </w:t>
      </w:r>
      <w:r w:rsidRPr="00BD544D">
        <w:rPr>
          <w:bCs/>
          <w:szCs w:val="22"/>
        </w:rPr>
        <w:t xml:space="preserve">Channels to which licensed, permitted, and “reserved” facilities have been assigned are reflected in the Media Bureau's publicly available </w:t>
      </w:r>
      <w:r w:rsidRPr="00BD544D">
        <w:rPr>
          <w:szCs w:val="22"/>
        </w:rPr>
        <w:t>Licensing and Management System.</w:t>
      </w:r>
      <w:bookmarkEnd w:id="2"/>
    </w:p>
    <w:p w:rsidR="00A32431" w:rsidRPr="00BD544D" w:rsidP="00A32431" w14:paraId="1DFAC894" w14:textId="77777777">
      <w:pPr>
        <w:spacing w:line="480" w:lineRule="auto"/>
        <w:rPr>
          <w:bCs/>
          <w:szCs w:val="22"/>
        </w:rPr>
      </w:pPr>
      <w:r w:rsidRPr="00BD544D">
        <w:rPr>
          <w:bCs/>
          <w:szCs w:val="22"/>
        </w:rPr>
        <w:t>* * * * *</w:t>
      </w:r>
    </w:p>
    <w:p w:rsidR="00A32431" w:rsidRPr="00BD544D" w:rsidP="00A32431" w14:paraId="38EDA5F1" w14:textId="77777777">
      <w:pPr>
        <w:pStyle w:val="ParaNum"/>
        <w:numPr>
          <w:ilvl w:val="0"/>
          <w:numId w:val="0"/>
        </w:numPr>
        <w:spacing w:after="0" w:line="480" w:lineRule="auto"/>
        <w:ind w:firstLine="720"/>
        <w:rPr>
          <w:szCs w:val="22"/>
        </w:rPr>
      </w:pPr>
      <w:r w:rsidRPr="00BD544D">
        <w:rPr>
          <w:szCs w:val="22"/>
        </w:rPr>
        <w:t xml:space="preserve">15.  Amend § 73.311 by revising paragraph (a) to read as follows: </w:t>
      </w:r>
    </w:p>
    <w:p w:rsidR="00A32431" w:rsidRPr="00BD544D" w:rsidP="00A32431" w14:paraId="1003CFAB" w14:textId="77777777">
      <w:pPr>
        <w:pStyle w:val="ParaNum"/>
        <w:numPr>
          <w:ilvl w:val="0"/>
          <w:numId w:val="0"/>
        </w:numPr>
        <w:spacing w:after="0" w:line="480" w:lineRule="auto"/>
        <w:rPr>
          <w:b/>
          <w:bCs/>
          <w:szCs w:val="22"/>
        </w:rPr>
      </w:pPr>
      <w:r w:rsidRPr="00BD544D">
        <w:rPr>
          <w:b/>
          <w:bCs/>
          <w:szCs w:val="22"/>
        </w:rPr>
        <w:t>§ 73.311 Field strength contours.</w:t>
      </w:r>
    </w:p>
    <w:p w:rsidR="00A32431" w:rsidRPr="00BD544D" w:rsidP="00A32431" w14:paraId="7D4280AD" w14:textId="77777777">
      <w:pPr>
        <w:pStyle w:val="ParaNum"/>
        <w:numPr>
          <w:ilvl w:val="0"/>
          <w:numId w:val="0"/>
        </w:numPr>
        <w:tabs>
          <w:tab w:val="left" w:pos="0"/>
        </w:tabs>
        <w:spacing w:after="0" w:line="480" w:lineRule="auto"/>
        <w:rPr>
          <w:szCs w:val="22"/>
        </w:rPr>
      </w:pPr>
      <w:r w:rsidRPr="00BD544D">
        <w:rPr>
          <w:szCs w:val="22"/>
        </w:rPr>
        <w:tab/>
        <w:t>(a) Applications for FM broadcast authorizations must show the field strength contours required by FCC Form 2100, Schedule 301 or 340, as appropriate.</w:t>
      </w:r>
    </w:p>
    <w:p w:rsidR="00A32431" w:rsidRPr="00BD544D" w:rsidP="00A32431" w14:paraId="7B4F5778" w14:textId="77777777">
      <w:pPr>
        <w:pStyle w:val="ParaNum"/>
        <w:numPr>
          <w:ilvl w:val="0"/>
          <w:numId w:val="0"/>
        </w:numPr>
        <w:spacing w:after="0" w:line="480" w:lineRule="auto"/>
        <w:rPr>
          <w:szCs w:val="22"/>
        </w:rPr>
      </w:pPr>
      <w:r w:rsidRPr="00BD544D">
        <w:rPr>
          <w:szCs w:val="22"/>
        </w:rPr>
        <w:t>* * * * *</w:t>
      </w:r>
    </w:p>
    <w:p w:rsidR="00A32431" w:rsidRPr="00BD544D" w:rsidP="00A32431" w14:paraId="2DDB82B7" w14:textId="77777777">
      <w:pPr>
        <w:pStyle w:val="ParaNum"/>
        <w:numPr>
          <w:ilvl w:val="0"/>
          <w:numId w:val="0"/>
        </w:numPr>
        <w:spacing w:after="0" w:line="480" w:lineRule="auto"/>
        <w:ind w:firstLine="720"/>
        <w:rPr>
          <w:szCs w:val="22"/>
        </w:rPr>
      </w:pPr>
      <w:r w:rsidRPr="00BD544D">
        <w:rPr>
          <w:szCs w:val="22"/>
        </w:rPr>
        <w:t>16.  Amend § 73.512 by revising paragraph (a) introductory text to read as follows:</w:t>
      </w:r>
    </w:p>
    <w:p w:rsidR="00A32431" w:rsidRPr="00BD544D" w:rsidP="00A32431" w14:paraId="59328484" w14:textId="77777777">
      <w:pPr>
        <w:pStyle w:val="ParaNum"/>
        <w:numPr>
          <w:ilvl w:val="0"/>
          <w:numId w:val="0"/>
        </w:numPr>
        <w:spacing w:after="0" w:line="480" w:lineRule="auto"/>
        <w:rPr>
          <w:szCs w:val="22"/>
        </w:rPr>
      </w:pPr>
      <w:r w:rsidRPr="00BD544D">
        <w:rPr>
          <w:b/>
          <w:bCs/>
          <w:szCs w:val="22"/>
        </w:rPr>
        <w:t>§ 73.512 Special procedures applicable to Class D noncommercial educational stations.</w:t>
      </w:r>
    </w:p>
    <w:p w:rsidR="00A32431" w:rsidRPr="00BD544D" w:rsidP="00A32431" w14:paraId="02129439" w14:textId="77777777">
      <w:pPr>
        <w:pStyle w:val="ParaNum"/>
        <w:numPr>
          <w:ilvl w:val="0"/>
          <w:numId w:val="0"/>
        </w:numPr>
        <w:spacing w:after="0" w:line="480" w:lineRule="auto"/>
        <w:rPr>
          <w:szCs w:val="22"/>
        </w:rPr>
      </w:pPr>
      <w:r w:rsidRPr="00BD544D">
        <w:rPr>
          <w:szCs w:val="22"/>
        </w:rPr>
        <w:tab/>
        <w:t>(a) All Class D stations seeking renewal of license for any term expiring June 1, 1980, or thereafter shall comply with the requirements set forth below and shall simultaneously file an application on FCC Form 2100, Schedule 340, containing full information regarding such compliance with the provisions set forth in paragraphs (a)(1) through (3) of this section.</w:t>
      </w:r>
    </w:p>
    <w:p w:rsidR="00A32431" w:rsidRPr="00BD544D" w:rsidP="00A32431" w14:paraId="1DCD0123" w14:textId="77777777">
      <w:pPr>
        <w:pStyle w:val="ParaNum"/>
        <w:numPr>
          <w:ilvl w:val="0"/>
          <w:numId w:val="0"/>
        </w:numPr>
        <w:spacing w:after="0" w:line="480" w:lineRule="auto"/>
        <w:rPr>
          <w:szCs w:val="22"/>
        </w:rPr>
      </w:pPr>
      <w:r w:rsidRPr="00BD544D">
        <w:rPr>
          <w:szCs w:val="22"/>
        </w:rPr>
        <w:t>* * * * *</w:t>
      </w:r>
    </w:p>
    <w:p w:rsidR="00A32431" w:rsidRPr="00BD544D" w:rsidP="00A32431" w14:paraId="5CB1588F" w14:textId="77777777">
      <w:pPr>
        <w:pStyle w:val="ParaNum"/>
        <w:numPr>
          <w:ilvl w:val="0"/>
          <w:numId w:val="0"/>
        </w:numPr>
        <w:spacing w:after="0" w:line="480" w:lineRule="auto"/>
        <w:ind w:firstLine="720"/>
        <w:rPr>
          <w:szCs w:val="22"/>
        </w:rPr>
      </w:pPr>
      <w:r w:rsidRPr="00BD544D">
        <w:rPr>
          <w:szCs w:val="22"/>
        </w:rPr>
        <w:t>17.  Amend § 73.625 by revising the second sentence of paragraph (c)(4)(</w:t>
      </w:r>
      <w:r w:rsidRPr="00BD544D">
        <w:rPr>
          <w:szCs w:val="22"/>
        </w:rPr>
        <w:t>i</w:t>
      </w:r>
      <w:r w:rsidRPr="00BD544D">
        <w:rPr>
          <w:szCs w:val="22"/>
        </w:rPr>
        <w:t>) to read as follows:</w:t>
      </w:r>
    </w:p>
    <w:p w:rsidR="00A32431" w:rsidRPr="00BD544D" w:rsidP="00A32431" w14:paraId="1A9F4350" w14:textId="77777777">
      <w:pPr>
        <w:pStyle w:val="ParaNum"/>
        <w:numPr>
          <w:ilvl w:val="0"/>
          <w:numId w:val="0"/>
        </w:numPr>
        <w:spacing w:after="0" w:line="480" w:lineRule="auto"/>
        <w:rPr>
          <w:szCs w:val="22"/>
        </w:rPr>
      </w:pPr>
      <w:r w:rsidRPr="00BD544D">
        <w:rPr>
          <w:b/>
          <w:bCs/>
          <w:szCs w:val="22"/>
        </w:rPr>
        <w:t>§ 73.625 TV antenna system.</w:t>
      </w:r>
    </w:p>
    <w:p w:rsidR="00A32431" w:rsidRPr="00BD544D" w:rsidP="00A32431" w14:paraId="6AE613F9" w14:textId="77777777">
      <w:pPr>
        <w:pStyle w:val="ParaNum"/>
        <w:numPr>
          <w:ilvl w:val="0"/>
          <w:numId w:val="0"/>
        </w:numPr>
        <w:spacing w:after="0" w:line="480" w:lineRule="auto"/>
        <w:rPr>
          <w:szCs w:val="22"/>
        </w:rPr>
      </w:pPr>
      <w:r w:rsidRPr="00BD544D">
        <w:rPr>
          <w:szCs w:val="22"/>
        </w:rPr>
        <w:t>* * * * *</w:t>
      </w:r>
    </w:p>
    <w:p w:rsidR="00A32431" w:rsidRPr="00BD544D" w:rsidP="00A32431" w14:paraId="17993557" w14:textId="77777777">
      <w:pPr>
        <w:pStyle w:val="ParaNum"/>
        <w:numPr>
          <w:ilvl w:val="0"/>
          <w:numId w:val="0"/>
        </w:numPr>
        <w:spacing w:after="0" w:line="480" w:lineRule="auto"/>
        <w:rPr>
          <w:szCs w:val="22"/>
        </w:rPr>
      </w:pPr>
      <w:r w:rsidRPr="00BD544D">
        <w:rPr>
          <w:szCs w:val="22"/>
        </w:rPr>
        <w:tab/>
        <w:t>(c) * * *</w:t>
      </w:r>
    </w:p>
    <w:p w:rsidR="00A32431" w:rsidRPr="00BD544D" w:rsidP="00A32431" w14:paraId="6BA00413" w14:textId="77777777">
      <w:pPr>
        <w:pStyle w:val="ParaNum"/>
        <w:numPr>
          <w:ilvl w:val="0"/>
          <w:numId w:val="0"/>
        </w:numPr>
        <w:spacing w:after="0" w:line="480" w:lineRule="auto"/>
        <w:ind w:left="720"/>
        <w:rPr>
          <w:szCs w:val="22"/>
        </w:rPr>
      </w:pPr>
      <w:r w:rsidRPr="00BD544D">
        <w:rPr>
          <w:szCs w:val="22"/>
        </w:rPr>
        <w:t>(4) * * *</w:t>
      </w:r>
    </w:p>
    <w:p w:rsidR="00A32431" w:rsidRPr="00BD544D" w:rsidP="00A32431" w14:paraId="74C932F4" w14:textId="77777777">
      <w:pPr>
        <w:pStyle w:val="ParaNum"/>
        <w:numPr>
          <w:ilvl w:val="0"/>
          <w:numId w:val="0"/>
        </w:numPr>
        <w:spacing w:after="0" w:line="480" w:lineRule="auto"/>
        <w:rPr>
          <w:szCs w:val="22"/>
        </w:rPr>
      </w:pPr>
      <w:r w:rsidRPr="00BD544D">
        <w:rPr>
          <w:szCs w:val="22"/>
        </w:rPr>
        <w:tab/>
        <w:t>(</w:t>
      </w:r>
      <w:r w:rsidRPr="00BD544D">
        <w:rPr>
          <w:szCs w:val="22"/>
        </w:rPr>
        <w:t>i</w:t>
      </w:r>
      <w:r w:rsidRPr="00BD544D">
        <w:rPr>
          <w:szCs w:val="22"/>
        </w:rPr>
        <w:t xml:space="preserve">) * * * A formal application (FCC Form 2100, Schedule 301, or FCC Form 2100, Schedule 340 </w:t>
      </w:r>
      <w:r w:rsidRPr="00BD544D">
        <w:rPr>
          <w:szCs w:val="22"/>
        </w:rPr>
        <w:t>for a noncommercial educational station) will be required if the proposal involves substantial change in the physical height or radiation characteristics of the AM broadcast antennas; otherwise an informal application will be acceptable.</w:t>
      </w:r>
    </w:p>
    <w:p w:rsidR="00A32431" w:rsidRPr="00BD544D" w:rsidP="00A32431" w14:paraId="65B4A3C3" w14:textId="77777777">
      <w:pPr>
        <w:pStyle w:val="ParaNum"/>
        <w:numPr>
          <w:ilvl w:val="0"/>
          <w:numId w:val="0"/>
        </w:numPr>
        <w:spacing w:after="0" w:line="480" w:lineRule="auto"/>
        <w:rPr>
          <w:szCs w:val="22"/>
        </w:rPr>
      </w:pPr>
      <w:r w:rsidRPr="00BD544D">
        <w:rPr>
          <w:szCs w:val="22"/>
        </w:rPr>
        <w:t>* * * * *</w:t>
      </w:r>
    </w:p>
    <w:p w:rsidR="00A32431" w:rsidRPr="00BD544D" w:rsidP="00A32431" w14:paraId="5DFB6A0C" w14:textId="77777777">
      <w:pPr>
        <w:pStyle w:val="ParaNum"/>
        <w:numPr>
          <w:ilvl w:val="0"/>
          <w:numId w:val="0"/>
        </w:numPr>
        <w:spacing w:after="0" w:line="480" w:lineRule="auto"/>
        <w:ind w:firstLine="720"/>
        <w:rPr>
          <w:szCs w:val="22"/>
        </w:rPr>
      </w:pPr>
      <w:r w:rsidRPr="00BD544D">
        <w:rPr>
          <w:szCs w:val="22"/>
        </w:rPr>
        <w:t>18.  Amend § 73.807 by:</w:t>
      </w:r>
    </w:p>
    <w:p w:rsidR="00A32431" w:rsidRPr="00BD544D" w:rsidP="00A32431" w14:paraId="11203204" w14:textId="77777777">
      <w:pPr>
        <w:pStyle w:val="ParaNum"/>
        <w:numPr>
          <w:ilvl w:val="0"/>
          <w:numId w:val="0"/>
        </w:numPr>
        <w:spacing w:after="0" w:line="480" w:lineRule="auto"/>
        <w:ind w:firstLine="720"/>
        <w:rPr>
          <w:szCs w:val="22"/>
        </w:rPr>
      </w:pPr>
      <w:r w:rsidRPr="00BD544D">
        <w:rPr>
          <w:szCs w:val="22"/>
        </w:rPr>
        <w:t xml:space="preserve">a. Revising paragraph (a)(1) introductory text and designating the table as Table 1 to paragraph (a)(1); </w:t>
      </w:r>
    </w:p>
    <w:p w:rsidR="00A32431" w:rsidRPr="00BD544D" w:rsidP="00A32431" w14:paraId="1B2B8D43" w14:textId="77777777">
      <w:pPr>
        <w:pStyle w:val="ParaNum"/>
        <w:numPr>
          <w:ilvl w:val="0"/>
          <w:numId w:val="0"/>
        </w:numPr>
        <w:spacing w:after="0" w:line="480" w:lineRule="auto"/>
        <w:ind w:firstLine="720"/>
        <w:rPr>
          <w:szCs w:val="22"/>
        </w:rPr>
      </w:pPr>
      <w:r w:rsidRPr="00BD544D">
        <w:rPr>
          <w:szCs w:val="22"/>
        </w:rPr>
        <w:t>b. Designating the table in paragraph (b) as Table 2 to paragraph (b);</w:t>
      </w:r>
    </w:p>
    <w:p w:rsidR="00A32431" w:rsidRPr="00BD544D" w:rsidP="00A32431" w14:paraId="70D6F397" w14:textId="77777777">
      <w:pPr>
        <w:pStyle w:val="ParaNum"/>
        <w:numPr>
          <w:ilvl w:val="0"/>
          <w:numId w:val="0"/>
        </w:numPr>
        <w:spacing w:after="0" w:line="480" w:lineRule="auto"/>
        <w:ind w:firstLine="720"/>
        <w:rPr>
          <w:szCs w:val="22"/>
        </w:rPr>
      </w:pPr>
      <w:r w:rsidRPr="00BD544D">
        <w:rPr>
          <w:szCs w:val="22"/>
        </w:rPr>
        <w:t>c. Revising (c) introductory text and designating the table as Table 3 to paragraph (c); and</w:t>
      </w:r>
    </w:p>
    <w:p w:rsidR="00A32431" w:rsidRPr="00BD544D" w:rsidP="00A32431" w14:paraId="014BE72A" w14:textId="77777777">
      <w:pPr>
        <w:pStyle w:val="ParaNum"/>
        <w:numPr>
          <w:ilvl w:val="0"/>
          <w:numId w:val="0"/>
        </w:numPr>
        <w:spacing w:after="0" w:line="480" w:lineRule="auto"/>
        <w:ind w:firstLine="720"/>
        <w:rPr>
          <w:szCs w:val="22"/>
        </w:rPr>
      </w:pPr>
      <w:r w:rsidRPr="00BD544D">
        <w:rPr>
          <w:szCs w:val="22"/>
        </w:rPr>
        <w:t>d. Designating the table in paragraph (g)(1) as Table 4 to paragraph (g)(1) and the table in paragraph (g)(2) as Table 5 to paragraph (g)(2).</w:t>
      </w:r>
    </w:p>
    <w:p w:rsidR="00A32431" w:rsidRPr="00BD544D" w:rsidP="00A32431" w14:paraId="57EFDABF" w14:textId="77777777">
      <w:pPr>
        <w:pStyle w:val="ParaNum"/>
        <w:numPr>
          <w:ilvl w:val="0"/>
          <w:numId w:val="0"/>
        </w:numPr>
        <w:spacing w:after="0" w:line="480" w:lineRule="auto"/>
        <w:ind w:firstLine="720"/>
        <w:rPr>
          <w:szCs w:val="22"/>
        </w:rPr>
      </w:pPr>
      <w:r w:rsidRPr="00BD544D">
        <w:rPr>
          <w:szCs w:val="22"/>
        </w:rPr>
        <w:t>The revisions read as follows:</w:t>
      </w:r>
    </w:p>
    <w:p w:rsidR="00A32431" w:rsidRPr="00BD544D" w:rsidP="00A32431" w14:paraId="27A7BCD6" w14:textId="77777777">
      <w:pPr>
        <w:pStyle w:val="ParaNum"/>
        <w:numPr>
          <w:ilvl w:val="0"/>
          <w:numId w:val="0"/>
        </w:numPr>
        <w:spacing w:after="0" w:line="480" w:lineRule="auto"/>
        <w:rPr>
          <w:b/>
          <w:bCs/>
          <w:szCs w:val="22"/>
        </w:rPr>
      </w:pPr>
      <w:r w:rsidRPr="00BD544D">
        <w:rPr>
          <w:b/>
          <w:szCs w:val="22"/>
        </w:rPr>
        <w:t xml:space="preserve">§ 73.807 </w:t>
      </w:r>
      <w:r w:rsidRPr="00BD544D">
        <w:rPr>
          <w:b/>
          <w:bCs/>
          <w:szCs w:val="22"/>
        </w:rPr>
        <w:t>Minimum distance separation between stations.</w:t>
      </w:r>
    </w:p>
    <w:p w:rsidR="00A32431" w:rsidRPr="00BD544D" w:rsidP="00A32431" w14:paraId="69042ED0" w14:textId="77777777">
      <w:pPr>
        <w:pStyle w:val="ParaNum"/>
        <w:numPr>
          <w:ilvl w:val="0"/>
          <w:numId w:val="0"/>
        </w:numPr>
        <w:spacing w:after="0" w:line="480" w:lineRule="auto"/>
        <w:rPr>
          <w:szCs w:val="22"/>
        </w:rPr>
      </w:pPr>
      <w:r w:rsidRPr="00BD544D">
        <w:rPr>
          <w:szCs w:val="22"/>
        </w:rPr>
        <w:t>* * * * *</w:t>
      </w:r>
    </w:p>
    <w:p w:rsidR="00A32431" w:rsidRPr="00BD544D" w:rsidP="00A32431" w14:paraId="6084CFEE" w14:textId="77777777">
      <w:pPr>
        <w:pStyle w:val="ParaNum"/>
        <w:numPr>
          <w:ilvl w:val="0"/>
          <w:numId w:val="0"/>
        </w:numPr>
        <w:tabs>
          <w:tab w:val="left" w:pos="0"/>
        </w:tabs>
        <w:spacing w:after="0" w:line="480" w:lineRule="auto"/>
        <w:rPr>
          <w:szCs w:val="22"/>
        </w:rPr>
      </w:pPr>
      <w:r w:rsidRPr="00BD544D">
        <w:rPr>
          <w:szCs w:val="22"/>
        </w:rPr>
        <w:tab/>
        <w:t>(a) * * *</w:t>
      </w:r>
    </w:p>
    <w:p w:rsidR="00A32431" w:rsidRPr="00BD544D" w:rsidP="00A32431" w14:paraId="6229CCA7" w14:textId="77777777">
      <w:pPr>
        <w:pStyle w:val="ParaNum"/>
        <w:numPr>
          <w:ilvl w:val="0"/>
          <w:numId w:val="0"/>
        </w:numPr>
        <w:spacing w:after="0" w:line="480" w:lineRule="auto"/>
        <w:rPr>
          <w:szCs w:val="22"/>
        </w:rPr>
      </w:pPr>
      <w:r w:rsidRPr="00BD544D">
        <w:rPr>
          <w:szCs w:val="22"/>
        </w:rPr>
        <w:tab/>
        <w:t>(1) An LPFM station will not be authorized initially unless the minimum distance separations in the following table are met with respect to authorized FM stations, applications for new and existing FM stations filed prior to the release of the public notice announcing the filing procedures for the LPFM window period, authorized LPFM stations, LPFM station applications that were timely-filed within a previous window, and vacant FM allotments.  The term authorized [FM or LPFM] station means the FM or LPFM station currently holds a granted construction permit and/or a granted license.  LPFM modification applications must either meet the distance separations in the following table or, if short-spaced, not lessen the spacing to subsequently authorized stations.</w:t>
      </w:r>
    </w:p>
    <w:p w:rsidR="00A32431" w:rsidRPr="00BD544D" w:rsidP="00A32431" w14:paraId="789D11C9" w14:textId="77777777">
      <w:pPr>
        <w:pStyle w:val="ParaNum"/>
        <w:numPr>
          <w:ilvl w:val="0"/>
          <w:numId w:val="0"/>
        </w:numPr>
        <w:spacing w:after="0" w:line="480" w:lineRule="auto"/>
        <w:rPr>
          <w:szCs w:val="22"/>
        </w:rPr>
      </w:pPr>
      <w:r w:rsidRPr="00BD544D">
        <w:rPr>
          <w:szCs w:val="22"/>
        </w:rPr>
        <w:t>* * * * *</w:t>
      </w:r>
    </w:p>
    <w:p w:rsidR="00A32431" w:rsidRPr="00BD544D" w:rsidP="00A32431" w14:paraId="3CC0342C" w14:textId="77777777">
      <w:pPr>
        <w:pStyle w:val="ParaNum"/>
        <w:numPr>
          <w:ilvl w:val="0"/>
          <w:numId w:val="0"/>
        </w:numPr>
        <w:spacing w:after="0" w:line="480" w:lineRule="auto"/>
        <w:rPr>
          <w:b/>
          <w:bCs/>
          <w:szCs w:val="22"/>
        </w:rPr>
      </w:pPr>
      <w:r w:rsidRPr="00BD544D">
        <w:rPr>
          <w:szCs w:val="22"/>
        </w:rPr>
        <w:tab/>
        <w:t xml:space="preserve">(c) In addition to meeting the separations specified in paragraphs (a) and (b) of this section, LPFM applications must meet the minimum separation requirements in the following table with respect to </w:t>
      </w:r>
      <w:r w:rsidRPr="00BD544D">
        <w:rPr>
          <w:szCs w:val="22"/>
        </w:rPr>
        <w:t>authorized FM translator stations, and FM translator applications filed prior to the release of the Public Notice announcing the filing procedures for the LPFM window period.  The term authorized FM translator station means the FM translator station currently holds a granted construction permit and/or a granted license.</w:t>
      </w:r>
    </w:p>
    <w:p w:rsidR="00A32431" w:rsidRPr="00BD544D" w:rsidP="00A32431" w14:paraId="349E420B" w14:textId="77777777">
      <w:pPr>
        <w:pStyle w:val="ParaNum"/>
        <w:numPr>
          <w:ilvl w:val="0"/>
          <w:numId w:val="0"/>
        </w:numPr>
        <w:spacing w:after="0" w:line="480" w:lineRule="auto"/>
        <w:rPr>
          <w:szCs w:val="22"/>
        </w:rPr>
      </w:pPr>
      <w:r w:rsidRPr="00BD544D">
        <w:rPr>
          <w:szCs w:val="22"/>
        </w:rPr>
        <w:t>* * * * *</w:t>
      </w:r>
    </w:p>
    <w:p w:rsidR="00A32431" w:rsidRPr="00BD544D" w:rsidP="00A32431" w14:paraId="36587378" w14:textId="77777777">
      <w:pPr>
        <w:pStyle w:val="ParaNum"/>
        <w:numPr>
          <w:ilvl w:val="0"/>
          <w:numId w:val="0"/>
        </w:numPr>
        <w:spacing w:after="0" w:line="480" w:lineRule="auto"/>
        <w:ind w:firstLine="720"/>
        <w:rPr>
          <w:szCs w:val="22"/>
        </w:rPr>
      </w:pPr>
      <w:r w:rsidRPr="00BD544D">
        <w:rPr>
          <w:szCs w:val="22"/>
        </w:rPr>
        <w:t>19.  Amend § 73.872 by revising paragraphs (a) and (b)(1) to read as follows:</w:t>
      </w:r>
    </w:p>
    <w:p w:rsidR="00A32431" w:rsidRPr="00BD544D" w:rsidP="00A32431" w14:paraId="7A528367" w14:textId="77777777">
      <w:pPr>
        <w:pStyle w:val="ParaNum"/>
        <w:numPr>
          <w:ilvl w:val="0"/>
          <w:numId w:val="0"/>
        </w:numPr>
        <w:spacing w:after="0" w:line="480" w:lineRule="auto"/>
        <w:rPr>
          <w:b/>
          <w:bCs/>
          <w:szCs w:val="22"/>
        </w:rPr>
      </w:pPr>
      <w:r w:rsidRPr="00BD544D">
        <w:rPr>
          <w:b/>
          <w:bCs/>
          <w:szCs w:val="22"/>
        </w:rPr>
        <w:t>§ 73.872 Selection procedure for mutually exclusive LPFM applications.</w:t>
      </w:r>
    </w:p>
    <w:p w:rsidR="00A32431" w:rsidRPr="00BD544D" w:rsidP="00A32431" w14:paraId="4A880B31" w14:textId="77777777">
      <w:pPr>
        <w:pStyle w:val="ParaNum"/>
        <w:numPr>
          <w:ilvl w:val="0"/>
          <w:numId w:val="0"/>
        </w:numPr>
        <w:tabs>
          <w:tab w:val="left" w:pos="0"/>
        </w:tabs>
        <w:spacing w:after="0" w:line="480" w:lineRule="auto"/>
        <w:rPr>
          <w:szCs w:val="22"/>
        </w:rPr>
      </w:pPr>
      <w:r w:rsidRPr="00BD544D">
        <w:rPr>
          <w:szCs w:val="22"/>
        </w:rPr>
        <w:tab/>
        <w:t>(a) Following the close of each window for new LPFM stations and for modifications in the facilities of authorized LPFM stations, the Commission will issue a public notice identifying all groups of mutually exclusive applications. Such applications will be awarded points to determine the tentative selectee. Unless resolved by settlement pursuant to paragraph (e) of this section, the tentative selectee will be the applicant within each group with the highest point total under the procedure set forth in this section, except as provided in paragraphs (c) and (d) of this section. Acceptance for filing of a tentative selectee’s application in the LPFM Mutually Exclusive Tentative Selectee Order or Public Notice, or an equivalent Order, triggers the applicant’s local public notice obligation under § 73.3580.</w:t>
      </w:r>
    </w:p>
    <w:p w:rsidR="00A32431" w:rsidRPr="00BD544D" w:rsidP="00A32431" w14:paraId="60222B8B" w14:textId="77777777">
      <w:pPr>
        <w:pStyle w:val="ParaNum"/>
        <w:numPr>
          <w:ilvl w:val="0"/>
          <w:numId w:val="0"/>
        </w:numPr>
        <w:spacing w:after="0" w:line="480" w:lineRule="auto"/>
        <w:rPr>
          <w:szCs w:val="22"/>
        </w:rPr>
      </w:pPr>
      <w:r w:rsidRPr="00BD544D">
        <w:rPr>
          <w:szCs w:val="22"/>
        </w:rPr>
        <w:t>* * * * *</w:t>
      </w:r>
    </w:p>
    <w:p w:rsidR="00A32431" w:rsidRPr="00BD544D" w:rsidP="00A32431" w14:paraId="19ED5E0C" w14:textId="77777777">
      <w:pPr>
        <w:pStyle w:val="ParaNum"/>
        <w:numPr>
          <w:ilvl w:val="0"/>
          <w:numId w:val="0"/>
        </w:numPr>
        <w:spacing w:after="0" w:line="480" w:lineRule="auto"/>
        <w:rPr>
          <w:szCs w:val="22"/>
        </w:rPr>
      </w:pPr>
      <w:r w:rsidRPr="00BD544D">
        <w:rPr>
          <w:szCs w:val="22"/>
        </w:rPr>
        <w:tab/>
        <w:t>(b) * * *</w:t>
      </w:r>
    </w:p>
    <w:p w:rsidR="00A32431" w:rsidRPr="00BD544D" w:rsidP="00A32431" w14:paraId="423DB113" w14:textId="77777777">
      <w:pPr>
        <w:pStyle w:val="ParaNum"/>
        <w:numPr>
          <w:ilvl w:val="0"/>
          <w:numId w:val="0"/>
        </w:numPr>
        <w:spacing w:after="0" w:line="480" w:lineRule="auto"/>
        <w:rPr>
          <w:szCs w:val="22"/>
        </w:rPr>
      </w:pPr>
      <w:r w:rsidRPr="00BD544D">
        <w:rPr>
          <w:szCs w:val="22"/>
        </w:rPr>
        <w:tab/>
        <w:t xml:space="preserve">(1) </w:t>
      </w:r>
      <w:r w:rsidRPr="00BD544D">
        <w:rPr>
          <w:i/>
          <w:iCs/>
          <w:szCs w:val="22"/>
        </w:rPr>
        <w:t>Established community presence.</w:t>
      </w:r>
      <w:r w:rsidRPr="00BD544D">
        <w:rPr>
          <w:szCs w:val="22"/>
        </w:rPr>
        <w:t xml:space="preserve"> An applicant must, for a period of at least two years prior to application and at all times thereafter, have qualified as local pursuant to § 73.853(b). Applicants claiming a point for this criterion must submit any documentation specified in FCC Form 2100, Schedule 318 at the time of filing their applications.</w:t>
      </w:r>
    </w:p>
    <w:p w:rsidR="00A32431" w:rsidRPr="00BD544D" w:rsidP="00A32431" w14:paraId="53BF0104" w14:textId="77777777">
      <w:pPr>
        <w:pStyle w:val="ParaNum"/>
        <w:numPr>
          <w:ilvl w:val="0"/>
          <w:numId w:val="0"/>
        </w:numPr>
        <w:spacing w:after="0" w:line="480" w:lineRule="auto"/>
        <w:rPr>
          <w:szCs w:val="22"/>
        </w:rPr>
      </w:pPr>
      <w:r w:rsidRPr="00BD544D">
        <w:rPr>
          <w:szCs w:val="22"/>
        </w:rPr>
        <w:t>* * * * *</w:t>
      </w:r>
    </w:p>
    <w:p w:rsidR="00A32431" w:rsidRPr="00BD544D" w:rsidP="00A32431" w14:paraId="6196CB7F" w14:textId="77777777">
      <w:pPr>
        <w:pStyle w:val="ParaNum"/>
        <w:numPr>
          <w:ilvl w:val="0"/>
          <w:numId w:val="0"/>
        </w:numPr>
        <w:spacing w:after="0" w:line="480" w:lineRule="auto"/>
        <w:ind w:firstLine="720"/>
        <w:rPr>
          <w:szCs w:val="22"/>
        </w:rPr>
      </w:pPr>
      <w:r w:rsidRPr="00BD544D">
        <w:rPr>
          <w:szCs w:val="22"/>
        </w:rPr>
        <w:t xml:space="preserve">20.  Amend § 73.875 by revising </w:t>
      </w:r>
      <w:r w:rsidRPr="00BD544D">
        <w:rPr>
          <w:bCs/>
          <w:szCs w:val="22"/>
        </w:rPr>
        <w:t>paragraph (b)</w:t>
      </w:r>
      <w:r w:rsidRPr="00BD544D">
        <w:rPr>
          <w:szCs w:val="22"/>
        </w:rPr>
        <w:t xml:space="preserve"> introductory text and the second sentence of paragraph (c) introductory text to read as follows:</w:t>
      </w:r>
    </w:p>
    <w:p w:rsidR="00A32431" w:rsidRPr="00BD544D" w:rsidP="00A32431" w14:paraId="7109A731" w14:textId="77777777">
      <w:pPr>
        <w:pStyle w:val="ParaNum"/>
        <w:numPr>
          <w:ilvl w:val="0"/>
          <w:numId w:val="0"/>
        </w:numPr>
        <w:spacing w:after="0" w:line="480" w:lineRule="auto"/>
        <w:rPr>
          <w:szCs w:val="22"/>
        </w:rPr>
      </w:pPr>
      <w:r w:rsidRPr="00BD544D">
        <w:rPr>
          <w:b/>
          <w:bCs/>
          <w:szCs w:val="22"/>
        </w:rPr>
        <w:t>§ 73.875 Modification of transmission systems.</w:t>
      </w:r>
    </w:p>
    <w:p w:rsidR="00A32431" w:rsidRPr="00BD544D" w:rsidP="00A32431" w14:paraId="1A5FFDC3" w14:textId="77777777">
      <w:pPr>
        <w:pStyle w:val="ParaNum"/>
        <w:numPr>
          <w:ilvl w:val="0"/>
          <w:numId w:val="0"/>
        </w:numPr>
        <w:spacing w:after="0" w:line="480" w:lineRule="auto"/>
        <w:rPr>
          <w:szCs w:val="22"/>
        </w:rPr>
      </w:pPr>
      <w:r w:rsidRPr="00BD544D">
        <w:rPr>
          <w:szCs w:val="22"/>
        </w:rPr>
        <w:t>* * * * *</w:t>
      </w:r>
    </w:p>
    <w:p w:rsidR="00A32431" w:rsidRPr="00BD544D" w:rsidP="00A32431" w14:paraId="6F96D829" w14:textId="77777777">
      <w:pPr>
        <w:pStyle w:val="ParaNum"/>
        <w:numPr>
          <w:ilvl w:val="0"/>
          <w:numId w:val="0"/>
        </w:numPr>
        <w:spacing w:after="0" w:line="480" w:lineRule="auto"/>
        <w:rPr>
          <w:szCs w:val="22"/>
        </w:rPr>
      </w:pPr>
      <w:r w:rsidRPr="00BD544D">
        <w:rPr>
          <w:szCs w:val="22"/>
        </w:rPr>
        <w:tab/>
        <w:t>(b) The following changes may be made only after the grant of a construction permit application on FCC Form 2100, Schedule 318.</w:t>
      </w:r>
    </w:p>
    <w:p w:rsidR="00A32431" w:rsidRPr="00BD544D" w:rsidP="00A32431" w14:paraId="08EF9130" w14:textId="77777777">
      <w:pPr>
        <w:pStyle w:val="ParaNum"/>
        <w:numPr>
          <w:ilvl w:val="0"/>
          <w:numId w:val="0"/>
        </w:numPr>
        <w:spacing w:after="0" w:line="480" w:lineRule="auto"/>
        <w:rPr>
          <w:szCs w:val="22"/>
        </w:rPr>
      </w:pPr>
      <w:r w:rsidRPr="00BD544D">
        <w:rPr>
          <w:szCs w:val="22"/>
        </w:rPr>
        <w:t>* * * * *</w:t>
      </w:r>
    </w:p>
    <w:p w:rsidR="00A32431" w:rsidRPr="00BD544D" w:rsidP="00A32431" w14:paraId="69A18E51" w14:textId="77777777">
      <w:pPr>
        <w:pStyle w:val="ParaNum"/>
        <w:numPr>
          <w:ilvl w:val="0"/>
          <w:numId w:val="0"/>
        </w:numPr>
        <w:spacing w:after="0" w:line="480" w:lineRule="auto"/>
        <w:rPr>
          <w:szCs w:val="22"/>
        </w:rPr>
      </w:pPr>
      <w:r w:rsidRPr="00BD544D">
        <w:rPr>
          <w:szCs w:val="22"/>
        </w:rPr>
        <w:tab/>
        <w:t>(c) * * * A modification of license application (FCC Form 2100, Schedule 319) must be submitted to the Commission within 10 days of commencing program test operations pursuant to § 73.1620. * * *</w:t>
      </w:r>
    </w:p>
    <w:p w:rsidR="00A32431" w:rsidRPr="00BD544D" w:rsidP="00A32431" w14:paraId="75DD95E2" w14:textId="77777777">
      <w:pPr>
        <w:pStyle w:val="ParaNum"/>
        <w:numPr>
          <w:ilvl w:val="0"/>
          <w:numId w:val="0"/>
        </w:numPr>
        <w:spacing w:after="0" w:line="480" w:lineRule="auto"/>
        <w:rPr>
          <w:szCs w:val="22"/>
        </w:rPr>
      </w:pPr>
      <w:r w:rsidRPr="00BD544D">
        <w:rPr>
          <w:szCs w:val="22"/>
        </w:rPr>
        <w:t>* * * * *</w:t>
      </w:r>
    </w:p>
    <w:p w:rsidR="00A32431" w:rsidRPr="00BD544D" w:rsidP="00A32431" w14:paraId="50CC04D9" w14:textId="77777777">
      <w:pPr>
        <w:pStyle w:val="ParaNum"/>
        <w:numPr>
          <w:ilvl w:val="0"/>
          <w:numId w:val="0"/>
        </w:numPr>
        <w:spacing w:after="0" w:line="480" w:lineRule="auto"/>
        <w:ind w:firstLine="720"/>
        <w:rPr>
          <w:szCs w:val="22"/>
        </w:rPr>
      </w:pPr>
      <w:r w:rsidRPr="00BD544D">
        <w:rPr>
          <w:szCs w:val="22"/>
        </w:rPr>
        <w:t>21. Amend § 73.1020 by revising paragraph (b) to read as follows:</w:t>
      </w:r>
    </w:p>
    <w:p w:rsidR="00A32431" w:rsidRPr="00BD544D" w:rsidP="00A32431" w14:paraId="3DE2DB83" w14:textId="77777777">
      <w:pPr>
        <w:pStyle w:val="ParaNum"/>
        <w:numPr>
          <w:ilvl w:val="0"/>
          <w:numId w:val="0"/>
        </w:numPr>
        <w:spacing w:after="0" w:line="480" w:lineRule="auto"/>
        <w:rPr>
          <w:b/>
          <w:bCs/>
          <w:szCs w:val="22"/>
        </w:rPr>
      </w:pPr>
      <w:r w:rsidRPr="00BD544D">
        <w:rPr>
          <w:b/>
          <w:bCs/>
          <w:szCs w:val="22"/>
        </w:rPr>
        <w:t>§ 73.1020 Station license period.</w:t>
      </w:r>
    </w:p>
    <w:p w:rsidR="00A32431" w:rsidRPr="00BD544D" w:rsidP="00A32431" w14:paraId="430C12E5" w14:textId="77777777">
      <w:pPr>
        <w:pStyle w:val="ParaNum"/>
        <w:numPr>
          <w:ilvl w:val="0"/>
          <w:numId w:val="0"/>
        </w:numPr>
        <w:spacing w:after="0" w:line="480" w:lineRule="auto"/>
        <w:rPr>
          <w:szCs w:val="22"/>
        </w:rPr>
      </w:pPr>
      <w:r w:rsidRPr="00BD544D">
        <w:rPr>
          <w:szCs w:val="22"/>
        </w:rPr>
        <w:t>* * * * *</w:t>
      </w:r>
    </w:p>
    <w:p w:rsidR="00A32431" w:rsidRPr="00BD544D" w:rsidP="00A32431" w14:paraId="413DC105" w14:textId="77777777">
      <w:pPr>
        <w:pStyle w:val="ParaNum"/>
        <w:numPr>
          <w:ilvl w:val="0"/>
          <w:numId w:val="0"/>
        </w:numPr>
        <w:spacing w:after="0" w:line="480" w:lineRule="auto"/>
        <w:rPr>
          <w:szCs w:val="22"/>
        </w:rPr>
      </w:pPr>
      <w:r w:rsidRPr="00BD544D">
        <w:rPr>
          <w:szCs w:val="22"/>
        </w:rPr>
        <w:tab/>
        <w:t>(b) For the deadline for filing petitions to deny renewal applications, see § 73.3584(f).</w:t>
      </w:r>
    </w:p>
    <w:p w:rsidR="00A32431" w:rsidRPr="00BD544D" w:rsidP="00A32431" w14:paraId="7922B0E2" w14:textId="77777777">
      <w:pPr>
        <w:pStyle w:val="ParaNum"/>
        <w:numPr>
          <w:ilvl w:val="0"/>
          <w:numId w:val="0"/>
        </w:numPr>
        <w:spacing w:after="0" w:line="480" w:lineRule="auto"/>
        <w:rPr>
          <w:szCs w:val="22"/>
        </w:rPr>
      </w:pPr>
      <w:r w:rsidRPr="00BD544D">
        <w:rPr>
          <w:szCs w:val="22"/>
        </w:rPr>
        <w:t>* * * * *</w:t>
      </w:r>
    </w:p>
    <w:p w:rsidR="00A32431" w:rsidRPr="00BD544D" w:rsidP="00A32431" w14:paraId="42E8C6A9" w14:textId="77777777">
      <w:pPr>
        <w:pStyle w:val="ParaNum"/>
        <w:numPr>
          <w:ilvl w:val="0"/>
          <w:numId w:val="0"/>
        </w:numPr>
        <w:spacing w:after="0" w:line="480" w:lineRule="auto"/>
        <w:ind w:firstLine="720"/>
        <w:rPr>
          <w:szCs w:val="22"/>
        </w:rPr>
      </w:pPr>
      <w:r w:rsidRPr="00BD544D">
        <w:rPr>
          <w:szCs w:val="22"/>
        </w:rPr>
        <w:t>22.  Amend § 73.1635 by revising paragraph (a)(4) to read as follows:</w:t>
      </w:r>
    </w:p>
    <w:p w:rsidR="00A32431" w:rsidRPr="00BD544D" w:rsidP="00A32431" w14:paraId="771A2545" w14:textId="77777777">
      <w:pPr>
        <w:pStyle w:val="ParaNum"/>
        <w:numPr>
          <w:ilvl w:val="0"/>
          <w:numId w:val="0"/>
        </w:numPr>
        <w:spacing w:after="0" w:line="480" w:lineRule="auto"/>
        <w:rPr>
          <w:b/>
          <w:bCs/>
          <w:szCs w:val="22"/>
        </w:rPr>
      </w:pPr>
      <w:r w:rsidRPr="00BD544D">
        <w:rPr>
          <w:b/>
          <w:bCs/>
          <w:szCs w:val="22"/>
        </w:rPr>
        <w:t>§ 73.1635 Special temporary authorizations (STA).</w:t>
      </w:r>
    </w:p>
    <w:p w:rsidR="00A32431" w:rsidRPr="00BD544D" w:rsidP="00A32431" w14:paraId="4114CD24" w14:textId="77777777">
      <w:pPr>
        <w:pStyle w:val="ParaNum"/>
        <w:numPr>
          <w:ilvl w:val="0"/>
          <w:numId w:val="0"/>
        </w:numPr>
        <w:spacing w:after="0" w:line="480" w:lineRule="auto"/>
        <w:rPr>
          <w:szCs w:val="22"/>
        </w:rPr>
      </w:pPr>
      <w:r w:rsidRPr="00BD544D">
        <w:rPr>
          <w:szCs w:val="22"/>
        </w:rPr>
        <w:tab/>
        <w:t>(a) * * *</w:t>
      </w:r>
    </w:p>
    <w:p w:rsidR="00A32431" w:rsidRPr="00BD544D" w:rsidP="00A32431" w14:paraId="560EA855" w14:textId="77777777">
      <w:pPr>
        <w:pStyle w:val="ParaNum"/>
        <w:numPr>
          <w:ilvl w:val="0"/>
          <w:numId w:val="0"/>
        </w:numPr>
        <w:spacing w:after="0" w:line="480" w:lineRule="auto"/>
        <w:rPr>
          <w:szCs w:val="22"/>
        </w:rPr>
      </w:pPr>
      <w:r w:rsidRPr="00BD544D">
        <w:rPr>
          <w:szCs w:val="22"/>
        </w:rPr>
        <w:tab/>
        <w:t>(4) An STA may be granted for an initial period not to exceed 180 days.  A limited number of extensions of such authorizations may be granted for additional periods not exceeding 180 days per extension. The permittee or licensee must demonstrate that any further extensions requested are necessary and that all steps to resume normal operation are being undertaken in an expeditious and timely fashion.  The license of a broadcasting station that fails to transmit broadcast signals for any consecutive 12-month period expires as a matter of law at the end of that period, notwithstanding any STA or provision, term, or condition of the license to the contrary.</w:t>
      </w:r>
    </w:p>
    <w:p w:rsidR="00A32431" w:rsidRPr="00BD544D" w:rsidP="00A32431" w14:paraId="0B5C9EF2" w14:textId="77777777">
      <w:pPr>
        <w:pStyle w:val="ParaNum"/>
        <w:numPr>
          <w:ilvl w:val="0"/>
          <w:numId w:val="0"/>
        </w:numPr>
        <w:spacing w:after="0" w:line="480" w:lineRule="auto"/>
        <w:rPr>
          <w:szCs w:val="22"/>
        </w:rPr>
      </w:pPr>
      <w:r w:rsidRPr="00BD544D">
        <w:rPr>
          <w:szCs w:val="22"/>
        </w:rPr>
        <w:t>* * * * *</w:t>
      </w:r>
    </w:p>
    <w:p w:rsidR="00A32431" w:rsidRPr="00BD544D" w:rsidP="00A32431" w14:paraId="7B4A6A20" w14:textId="77777777">
      <w:pPr>
        <w:pStyle w:val="ParaNum"/>
        <w:numPr>
          <w:ilvl w:val="0"/>
          <w:numId w:val="0"/>
        </w:numPr>
        <w:spacing w:after="0" w:line="480" w:lineRule="auto"/>
        <w:ind w:firstLine="720"/>
        <w:rPr>
          <w:szCs w:val="22"/>
        </w:rPr>
      </w:pPr>
      <w:r w:rsidRPr="00BD544D">
        <w:rPr>
          <w:szCs w:val="22"/>
        </w:rPr>
        <w:t>23.  Amend § 73.1670 by revising paragraph (b) to read as follows:</w:t>
      </w:r>
    </w:p>
    <w:p w:rsidR="00A32431" w:rsidRPr="00BD544D" w:rsidP="00A32431" w14:paraId="70D64103" w14:textId="77777777">
      <w:pPr>
        <w:pStyle w:val="ParaNum"/>
        <w:numPr>
          <w:ilvl w:val="0"/>
          <w:numId w:val="0"/>
        </w:numPr>
        <w:spacing w:after="0" w:line="480" w:lineRule="auto"/>
        <w:rPr>
          <w:szCs w:val="22"/>
        </w:rPr>
      </w:pPr>
      <w:r w:rsidRPr="00BD544D">
        <w:rPr>
          <w:b/>
          <w:bCs/>
          <w:szCs w:val="22"/>
        </w:rPr>
        <w:t>§ 73.1670 Auxiliary transmitters.</w:t>
      </w:r>
    </w:p>
    <w:p w:rsidR="00A32431" w:rsidRPr="00BD544D" w:rsidP="00A32431" w14:paraId="668905CD" w14:textId="77777777">
      <w:pPr>
        <w:pStyle w:val="ParaNum"/>
        <w:numPr>
          <w:ilvl w:val="0"/>
          <w:numId w:val="0"/>
        </w:numPr>
        <w:spacing w:after="0" w:line="480" w:lineRule="auto"/>
        <w:rPr>
          <w:szCs w:val="22"/>
        </w:rPr>
      </w:pPr>
      <w:r w:rsidRPr="00BD544D">
        <w:rPr>
          <w:szCs w:val="22"/>
        </w:rPr>
        <w:t>* * * * *</w:t>
      </w:r>
    </w:p>
    <w:p w:rsidR="00A32431" w:rsidRPr="00BD544D" w:rsidP="00A32431" w14:paraId="31B0711A" w14:textId="77777777">
      <w:pPr>
        <w:pStyle w:val="ParaNum"/>
        <w:numPr>
          <w:ilvl w:val="0"/>
          <w:numId w:val="0"/>
        </w:numPr>
        <w:spacing w:after="0" w:line="480" w:lineRule="auto"/>
        <w:rPr>
          <w:szCs w:val="22"/>
        </w:rPr>
      </w:pPr>
      <w:r w:rsidRPr="00BD544D">
        <w:rPr>
          <w:szCs w:val="22"/>
        </w:rPr>
        <w:tab/>
        <w:t>(b) Authorization to install an auxiliary transmitter for use with other than the main antenna or authorized auxiliary antenna must be obtained by filing an application for a construction permit on FCC Form 2100, Schedule 301 (FCC Form 2100, Schedule 340 for noncommercial educational stations).</w:t>
      </w:r>
    </w:p>
    <w:p w:rsidR="00A32431" w:rsidRPr="00BD544D" w:rsidP="00A32431" w14:paraId="58EFADF0" w14:textId="77777777">
      <w:pPr>
        <w:pStyle w:val="ParaNum"/>
        <w:numPr>
          <w:ilvl w:val="0"/>
          <w:numId w:val="0"/>
        </w:numPr>
        <w:spacing w:after="0" w:line="480" w:lineRule="auto"/>
        <w:rPr>
          <w:szCs w:val="22"/>
        </w:rPr>
      </w:pPr>
      <w:r w:rsidRPr="00BD544D">
        <w:rPr>
          <w:szCs w:val="22"/>
        </w:rPr>
        <w:t>* * * * *</w:t>
      </w:r>
    </w:p>
    <w:p w:rsidR="00A32431" w:rsidRPr="00BD544D" w:rsidP="00A32431" w14:paraId="7DF0B291" w14:textId="77777777">
      <w:pPr>
        <w:pStyle w:val="ParaNum"/>
        <w:numPr>
          <w:ilvl w:val="0"/>
          <w:numId w:val="0"/>
        </w:numPr>
        <w:spacing w:after="0" w:line="480" w:lineRule="auto"/>
        <w:ind w:firstLine="720"/>
        <w:rPr>
          <w:szCs w:val="22"/>
        </w:rPr>
      </w:pPr>
      <w:r w:rsidRPr="00BD544D">
        <w:rPr>
          <w:szCs w:val="22"/>
        </w:rPr>
        <w:t>24.</w:t>
      </w:r>
      <w:r w:rsidRPr="00BD544D">
        <w:rPr>
          <w:szCs w:val="22"/>
        </w:rPr>
        <w:tab/>
        <w:t>Amend § 73.1690 by revising the first sentence of paragraph (c)(9) to read as follows:</w:t>
      </w:r>
    </w:p>
    <w:p w:rsidR="00A32431" w:rsidRPr="00BD544D" w:rsidP="00A32431" w14:paraId="15FF5179" w14:textId="77777777">
      <w:pPr>
        <w:pStyle w:val="ParaNum"/>
        <w:numPr>
          <w:ilvl w:val="0"/>
          <w:numId w:val="0"/>
        </w:numPr>
        <w:spacing w:after="0" w:line="480" w:lineRule="auto"/>
        <w:rPr>
          <w:szCs w:val="22"/>
        </w:rPr>
      </w:pPr>
      <w:r w:rsidRPr="00BD544D">
        <w:rPr>
          <w:b/>
          <w:bCs/>
          <w:szCs w:val="22"/>
        </w:rPr>
        <w:t>§ 73.1690 Modification of transmission systems.</w:t>
      </w:r>
    </w:p>
    <w:p w:rsidR="00A32431" w:rsidRPr="00BD544D" w:rsidP="00A32431" w14:paraId="7EE55EE7" w14:textId="77777777">
      <w:pPr>
        <w:pStyle w:val="ParaNum"/>
        <w:numPr>
          <w:ilvl w:val="0"/>
          <w:numId w:val="0"/>
        </w:numPr>
        <w:spacing w:after="0" w:line="480" w:lineRule="auto"/>
        <w:rPr>
          <w:szCs w:val="22"/>
        </w:rPr>
      </w:pPr>
      <w:r w:rsidRPr="00BD544D">
        <w:rPr>
          <w:szCs w:val="22"/>
        </w:rPr>
        <w:t>* * * * *</w:t>
      </w:r>
    </w:p>
    <w:p w:rsidR="00A32431" w:rsidRPr="00BD544D" w:rsidP="00A32431" w14:paraId="4076BCDA" w14:textId="77777777">
      <w:pPr>
        <w:pStyle w:val="ParaNum"/>
        <w:numPr>
          <w:ilvl w:val="0"/>
          <w:numId w:val="0"/>
        </w:numPr>
        <w:spacing w:after="0" w:line="480" w:lineRule="auto"/>
        <w:rPr>
          <w:szCs w:val="22"/>
        </w:rPr>
      </w:pPr>
      <w:r w:rsidRPr="00BD544D">
        <w:rPr>
          <w:szCs w:val="22"/>
        </w:rPr>
        <w:tab/>
        <w:t>(c) * * *</w:t>
      </w:r>
    </w:p>
    <w:p w:rsidR="00A32431" w:rsidRPr="00BD544D" w:rsidP="00A32431" w14:paraId="2637D7A1" w14:textId="77777777">
      <w:pPr>
        <w:pStyle w:val="ParaNum"/>
        <w:numPr>
          <w:ilvl w:val="0"/>
          <w:numId w:val="0"/>
        </w:numPr>
        <w:spacing w:after="0" w:line="480" w:lineRule="auto"/>
        <w:rPr>
          <w:szCs w:val="22"/>
        </w:rPr>
      </w:pPr>
      <w:r w:rsidRPr="00BD544D">
        <w:rPr>
          <w:szCs w:val="22"/>
        </w:rPr>
        <w:tab/>
        <w:t>(9) The licensee of an AM, FM, or TV commercial station may propose to change from commercial to noncommercial educational on a modification of license application, provided that the application contains the completed Eligibility Certifications and Financial sections from FCC Form 2100, Schedule 340. * * *</w:t>
      </w:r>
    </w:p>
    <w:p w:rsidR="00A32431" w:rsidRPr="00BD544D" w:rsidP="00A32431" w14:paraId="47580C90" w14:textId="77777777">
      <w:pPr>
        <w:pStyle w:val="ParaNum"/>
        <w:numPr>
          <w:ilvl w:val="0"/>
          <w:numId w:val="0"/>
        </w:numPr>
        <w:spacing w:after="0" w:line="480" w:lineRule="auto"/>
        <w:rPr>
          <w:szCs w:val="22"/>
        </w:rPr>
      </w:pPr>
      <w:r w:rsidRPr="00BD544D">
        <w:rPr>
          <w:szCs w:val="22"/>
        </w:rPr>
        <w:t>* * * * *</w:t>
      </w:r>
    </w:p>
    <w:p w:rsidR="00A32431" w:rsidRPr="00BD544D" w:rsidP="00A32431" w14:paraId="17E6B852" w14:textId="6917AE88">
      <w:pPr>
        <w:pStyle w:val="ParaNum"/>
        <w:numPr>
          <w:ilvl w:val="0"/>
          <w:numId w:val="0"/>
        </w:numPr>
        <w:spacing w:after="0" w:line="480" w:lineRule="auto"/>
        <w:ind w:firstLine="720"/>
        <w:rPr>
          <w:szCs w:val="22"/>
        </w:rPr>
      </w:pPr>
      <w:r w:rsidRPr="00BD544D">
        <w:rPr>
          <w:szCs w:val="22"/>
        </w:rPr>
        <w:t>25.  Amend § 73.3513 by revising paragraphs (a)</w:t>
      </w:r>
      <w:r w:rsidRPr="00BD544D" w:rsidR="004E7C73">
        <w:rPr>
          <w:szCs w:val="22"/>
        </w:rPr>
        <w:t xml:space="preserve">(2) </w:t>
      </w:r>
      <w:r w:rsidRPr="00BD544D" w:rsidR="00887C89">
        <w:rPr>
          <w:szCs w:val="22"/>
        </w:rPr>
        <w:t>through</w:t>
      </w:r>
      <w:r w:rsidRPr="00BD544D" w:rsidR="004E7C73">
        <w:rPr>
          <w:szCs w:val="22"/>
        </w:rPr>
        <w:t xml:space="preserve"> </w:t>
      </w:r>
      <w:r w:rsidRPr="00BD544D" w:rsidR="00887C89">
        <w:rPr>
          <w:szCs w:val="22"/>
        </w:rPr>
        <w:t>(a)</w:t>
      </w:r>
      <w:r w:rsidRPr="00BD544D" w:rsidR="004E7C73">
        <w:rPr>
          <w:szCs w:val="22"/>
        </w:rPr>
        <w:t>(5)</w:t>
      </w:r>
      <w:r w:rsidRPr="00BD544D">
        <w:rPr>
          <w:szCs w:val="22"/>
        </w:rPr>
        <w:t>, and adding paragraph (e) to read as follows:</w:t>
      </w:r>
    </w:p>
    <w:p w:rsidR="00A32431" w:rsidRPr="00BD544D" w:rsidP="00A32431" w14:paraId="0939EA9F" w14:textId="77777777">
      <w:pPr>
        <w:pStyle w:val="ParaNum"/>
        <w:numPr>
          <w:ilvl w:val="0"/>
          <w:numId w:val="0"/>
        </w:numPr>
        <w:spacing w:after="0" w:line="480" w:lineRule="auto"/>
        <w:rPr>
          <w:b/>
          <w:bCs/>
          <w:szCs w:val="22"/>
        </w:rPr>
      </w:pPr>
      <w:r w:rsidRPr="00BD544D">
        <w:rPr>
          <w:b/>
          <w:bCs/>
          <w:szCs w:val="22"/>
        </w:rPr>
        <w:t>§ 73.3513 Signing of applications.</w:t>
      </w:r>
    </w:p>
    <w:p w:rsidR="00A32431" w:rsidRPr="00BD544D" w:rsidP="00A32431" w14:paraId="0DEA9E85" w14:textId="77777777">
      <w:pPr>
        <w:pStyle w:val="ParaNum"/>
        <w:numPr>
          <w:ilvl w:val="0"/>
          <w:numId w:val="0"/>
        </w:numPr>
        <w:tabs>
          <w:tab w:val="left" w:pos="0"/>
        </w:tabs>
        <w:spacing w:after="0" w:line="480" w:lineRule="auto"/>
        <w:rPr>
          <w:szCs w:val="22"/>
        </w:rPr>
      </w:pPr>
      <w:r w:rsidRPr="00BD544D">
        <w:rPr>
          <w:szCs w:val="22"/>
        </w:rPr>
        <w:tab/>
        <w:t>(a) * * *</w:t>
      </w:r>
    </w:p>
    <w:p w:rsidR="00A32431" w:rsidRPr="00BD544D" w:rsidP="00A32431" w14:paraId="7CD0161A" w14:textId="77777777">
      <w:pPr>
        <w:pStyle w:val="ParaNum"/>
        <w:numPr>
          <w:ilvl w:val="0"/>
          <w:numId w:val="0"/>
        </w:numPr>
        <w:tabs>
          <w:tab w:val="left" w:pos="0"/>
        </w:tabs>
        <w:spacing w:after="0" w:line="480" w:lineRule="auto"/>
        <w:rPr>
          <w:szCs w:val="22"/>
        </w:rPr>
      </w:pPr>
      <w:r w:rsidRPr="00BD544D">
        <w:rPr>
          <w:szCs w:val="22"/>
        </w:rPr>
        <w:tab/>
        <w:t>(1) * * *</w:t>
      </w:r>
    </w:p>
    <w:p w:rsidR="00A32431" w:rsidRPr="00BD544D" w:rsidP="00A32431" w14:paraId="55ECCFB7" w14:textId="69211FA3">
      <w:pPr>
        <w:pStyle w:val="ParaNum"/>
        <w:numPr>
          <w:ilvl w:val="0"/>
          <w:numId w:val="0"/>
        </w:numPr>
        <w:tabs>
          <w:tab w:val="left" w:pos="0"/>
        </w:tabs>
        <w:spacing w:after="0" w:line="480" w:lineRule="auto"/>
        <w:rPr>
          <w:szCs w:val="22"/>
        </w:rPr>
      </w:pPr>
      <w:r w:rsidRPr="00BD544D">
        <w:rPr>
          <w:szCs w:val="22"/>
        </w:rPr>
        <w:tab/>
        <w:t xml:space="preserve">(2) </w:t>
      </w:r>
      <w:r w:rsidRPr="00BD544D">
        <w:rPr>
          <w:i/>
          <w:iCs/>
          <w:szCs w:val="22"/>
        </w:rPr>
        <w:t>Partnership.</w:t>
      </w:r>
      <w:r w:rsidRPr="00BD544D">
        <w:rPr>
          <w:szCs w:val="22"/>
        </w:rPr>
        <w:t xml:space="preserve"> One of the partners, </w:t>
      </w:r>
      <w:r w:rsidRPr="00BD544D" w:rsidR="004852B8">
        <w:rPr>
          <w:szCs w:val="22"/>
        </w:rPr>
        <w:t xml:space="preserve">or a duly authorized employee, </w:t>
      </w:r>
      <w:r w:rsidRPr="00BD544D">
        <w:rPr>
          <w:szCs w:val="22"/>
        </w:rPr>
        <w:t>if the applicant is a partnership.</w:t>
      </w:r>
    </w:p>
    <w:p w:rsidR="00A32431" w:rsidRPr="00BD544D" w:rsidP="00A32431" w14:paraId="78E98B73" w14:textId="61E59B0C">
      <w:pPr>
        <w:pStyle w:val="ParaNum"/>
        <w:numPr>
          <w:ilvl w:val="0"/>
          <w:numId w:val="0"/>
        </w:numPr>
        <w:spacing w:after="0" w:line="480" w:lineRule="auto"/>
        <w:rPr>
          <w:szCs w:val="22"/>
        </w:rPr>
      </w:pPr>
      <w:r w:rsidRPr="00BD544D">
        <w:rPr>
          <w:szCs w:val="22"/>
        </w:rPr>
        <w:tab/>
        <w:t xml:space="preserve">(3) </w:t>
      </w:r>
      <w:r w:rsidRPr="00BD544D">
        <w:rPr>
          <w:i/>
          <w:iCs/>
          <w:szCs w:val="22"/>
        </w:rPr>
        <w:t>Corporation</w:t>
      </w:r>
      <w:r w:rsidRPr="00BD544D">
        <w:rPr>
          <w:szCs w:val="22"/>
        </w:rPr>
        <w:t xml:space="preserve">. An officer, director, </w:t>
      </w:r>
      <w:r w:rsidRPr="00BD544D" w:rsidR="00E50973">
        <w:rPr>
          <w:szCs w:val="22"/>
        </w:rPr>
        <w:t xml:space="preserve">or duly authorized employee, </w:t>
      </w:r>
      <w:r w:rsidRPr="00BD544D">
        <w:rPr>
          <w:szCs w:val="22"/>
        </w:rPr>
        <w:t>if the applicant is a corporation.</w:t>
      </w:r>
    </w:p>
    <w:p w:rsidR="00A32431" w:rsidRPr="00BD544D" w:rsidP="00A32431" w14:paraId="3297B12A" w14:textId="5680115E">
      <w:pPr>
        <w:pStyle w:val="ParaNum"/>
        <w:numPr>
          <w:ilvl w:val="0"/>
          <w:numId w:val="0"/>
        </w:numPr>
        <w:spacing w:after="0" w:line="480" w:lineRule="auto"/>
        <w:rPr>
          <w:szCs w:val="22"/>
        </w:rPr>
      </w:pPr>
      <w:r w:rsidRPr="00BD544D">
        <w:rPr>
          <w:szCs w:val="22"/>
        </w:rPr>
        <w:tab/>
        <w:t xml:space="preserve">(4) </w:t>
      </w:r>
      <w:r w:rsidRPr="00BD544D">
        <w:rPr>
          <w:i/>
          <w:iCs/>
          <w:szCs w:val="22"/>
        </w:rPr>
        <w:t>Unincorporated Association.</w:t>
      </w:r>
      <w:r w:rsidRPr="00BD544D">
        <w:rPr>
          <w:szCs w:val="22"/>
        </w:rPr>
        <w:t xml:space="preserve"> A member who is an officer, </w:t>
      </w:r>
      <w:r w:rsidRPr="00BD544D" w:rsidR="00E459B2">
        <w:rPr>
          <w:szCs w:val="22"/>
        </w:rPr>
        <w:t xml:space="preserve">or a duly authorized employee, </w:t>
      </w:r>
      <w:r w:rsidRPr="00BD544D">
        <w:rPr>
          <w:szCs w:val="22"/>
        </w:rPr>
        <w:t>if the applicant is an unincorporated association.</w:t>
      </w:r>
    </w:p>
    <w:p w:rsidR="00A32431" w:rsidRPr="00BD544D" w:rsidP="00A32431" w14:paraId="007471CD" w14:textId="24397A64">
      <w:pPr>
        <w:pStyle w:val="ParaNum"/>
        <w:numPr>
          <w:ilvl w:val="0"/>
          <w:numId w:val="0"/>
        </w:numPr>
        <w:spacing w:after="0" w:line="480" w:lineRule="auto"/>
        <w:rPr>
          <w:szCs w:val="22"/>
        </w:rPr>
      </w:pPr>
      <w:r w:rsidRPr="00BD544D">
        <w:rPr>
          <w:szCs w:val="22"/>
        </w:rPr>
        <w:tab/>
        <w:t xml:space="preserve">(5) </w:t>
      </w:r>
      <w:r w:rsidRPr="00BD544D">
        <w:rPr>
          <w:i/>
          <w:iCs/>
          <w:szCs w:val="22"/>
        </w:rPr>
        <w:t>Governmental Entity</w:t>
      </w:r>
      <w:r w:rsidRPr="00BD544D">
        <w:rPr>
          <w:szCs w:val="22"/>
        </w:rPr>
        <w:t xml:space="preserve">. Such duly elected or appointed officials as may be competent to do so under the law of the applicable jurisdiction, </w:t>
      </w:r>
      <w:r w:rsidRPr="00BD544D" w:rsidR="00E459B2">
        <w:rPr>
          <w:szCs w:val="22"/>
        </w:rPr>
        <w:t xml:space="preserve">or a duly authorized employee, </w:t>
      </w:r>
      <w:r w:rsidRPr="00BD544D">
        <w:rPr>
          <w:szCs w:val="22"/>
        </w:rPr>
        <w:t xml:space="preserve">if the applicant is an eligible </w:t>
      </w:r>
      <w:r w:rsidRPr="00BD544D">
        <w:rPr>
          <w:szCs w:val="22"/>
        </w:rPr>
        <w:t>governmental entity, such as a State or Territory of the United States and political subdivisions thereof, the District of Columbia, and a unit of local government, including an unincorporated municipality.</w:t>
      </w:r>
    </w:p>
    <w:p w:rsidR="00A32431" w:rsidRPr="00BD544D" w:rsidP="00A32431" w14:paraId="0E3E7B46" w14:textId="77777777">
      <w:pPr>
        <w:pStyle w:val="ParaNum"/>
        <w:numPr>
          <w:ilvl w:val="0"/>
          <w:numId w:val="0"/>
        </w:numPr>
        <w:spacing w:after="0" w:line="480" w:lineRule="auto"/>
        <w:rPr>
          <w:szCs w:val="22"/>
        </w:rPr>
      </w:pPr>
      <w:r w:rsidRPr="00BD544D">
        <w:rPr>
          <w:szCs w:val="22"/>
        </w:rPr>
        <w:t>* * * * *</w:t>
      </w:r>
    </w:p>
    <w:p w:rsidR="00A32431" w:rsidRPr="00BD544D" w:rsidP="00A32431" w14:paraId="0E0BEFF2" w14:textId="77777777">
      <w:pPr>
        <w:pStyle w:val="ParaNum"/>
        <w:numPr>
          <w:ilvl w:val="0"/>
          <w:numId w:val="0"/>
        </w:numPr>
        <w:tabs>
          <w:tab w:val="left" w:pos="0"/>
        </w:tabs>
        <w:spacing w:after="0" w:line="480" w:lineRule="auto"/>
        <w:rPr>
          <w:szCs w:val="22"/>
        </w:rPr>
      </w:pPr>
      <w:r w:rsidRPr="00BD544D">
        <w:rPr>
          <w:szCs w:val="22"/>
        </w:rPr>
        <w:tab/>
        <w:t>(e) The Commission only accepts electronic applications. An electronic application is “signed” when there is an electronic signature. An electronic signature is the typed name of the person “signing” the application, which is then electronically transmitted via LMS.</w:t>
      </w:r>
    </w:p>
    <w:p w:rsidR="00A32431" w:rsidRPr="00BD544D" w:rsidP="00A32431" w14:paraId="7B00C8C7" w14:textId="77777777">
      <w:pPr>
        <w:pStyle w:val="ParaNum"/>
        <w:numPr>
          <w:ilvl w:val="0"/>
          <w:numId w:val="0"/>
        </w:numPr>
        <w:spacing w:after="0" w:line="480" w:lineRule="auto"/>
        <w:rPr>
          <w:szCs w:val="22"/>
        </w:rPr>
      </w:pPr>
      <w:r w:rsidRPr="00BD544D">
        <w:rPr>
          <w:b/>
          <w:bCs/>
          <w:szCs w:val="22"/>
        </w:rPr>
        <w:t>§ 73.3516 [Amended]</w:t>
      </w:r>
    </w:p>
    <w:p w:rsidR="00A32431" w:rsidRPr="00BD544D" w:rsidP="00A32431" w14:paraId="682362C7" w14:textId="2DD6A90F">
      <w:pPr>
        <w:pStyle w:val="ParaNum"/>
        <w:numPr>
          <w:ilvl w:val="0"/>
          <w:numId w:val="0"/>
        </w:numPr>
        <w:spacing w:after="0" w:line="480" w:lineRule="auto"/>
        <w:ind w:firstLine="720"/>
        <w:rPr>
          <w:szCs w:val="22"/>
        </w:rPr>
      </w:pPr>
      <w:r w:rsidRPr="00BD544D">
        <w:rPr>
          <w:szCs w:val="22"/>
        </w:rPr>
        <w:t>26.  Amend § 73.3516 by removing paragraph (e).</w:t>
      </w:r>
    </w:p>
    <w:p w:rsidR="00A32431" w:rsidRPr="00BD544D" w:rsidP="00A32431" w14:paraId="309164DB" w14:textId="77777777">
      <w:pPr>
        <w:pStyle w:val="ParaNum"/>
        <w:numPr>
          <w:ilvl w:val="0"/>
          <w:numId w:val="0"/>
        </w:numPr>
        <w:spacing w:after="0" w:line="480" w:lineRule="auto"/>
        <w:rPr>
          <w:szCs w:val="22"/>
        </w:rPr>
      </w:pPr>
      <w:r w:rsidRPr="00BD544D">
        <w:rPr>
          <w:b/>
          <w:bCs/>
          <w:szCs w:val="22"/>
        </w:rPr>
        <w:t>§ 73.3522 [Amended]</w:t>
      </w:r>
    </w:p>
    <w:p w:rsidR="00A32431" w:rsidRPr="00BD544D" w:rsidP="00A32431" w14:paraId="54D6E300" w14:textId="40689A4E">
      <w:pPr>
        <w:pStyle w:val="ParaNum"/>
        <w:numPr>
          <w:ilvl w:val="0"/>
          <w:numId w:val="0"/>
        </w:numPr>
        <w:spacing w:after="0" w:line="480" w:lineRule="auto"/>
        <w:ind w:firstLine="720"/>
        <w:rPr>
          <w:szCs w:val="22"/>
        </w:rPr>
      </w:pPr>
      <w:r w:rsidRPr="00BD544D">
        <w:rPr>
          <w:szCs w:val="22"/>
        </w:rPr>
        <w:t>27.  Amend § 73.3522 by removing the note 1:</w:t>
      </w:r>
    </w:p>
    <w:p w:rsidR="00A32431" w:rsidRPr="00BD544D" w:rsidP="00A32431" w14:paraId="52CF4EBD" w14:textId="77777777">
      <w:pPr>
        <w:pStyle w:val="ParaNum"/>
        <w:numPr>
          <w:ilvl w:val="0"/>
          <w:numId w:val="0"/>
        </w:numPr>
        <w:spacing w:after="0" w:line="480" w:lineRule="auto"/>
        <w:ind w:firstLine="720"/>
        <w:rPr>
          <w:szCs w:val="22"/>
        </w:rPr>
      </w:pPr>
      <w:r w:rsidRPr="00BD544D">
        <w:rPr>
          <w:szCs w:val="22"/>
        </w:rPr>
        <w:t>28.  Amend § 73.3526 by revising paragraphs (e)(2) and (4), redesignating paragraphs (e)(18)(1) and (2) as paragraphs (e)(18)(</w:t>
      </w:r>
      <w:r w:rsidRPr="00BD544D">
        <w:rPr>
          <w:szCs w:val="22"/>
        </w:rPr>
        <w:t>i</w:t>
      </w:r>
      <w:r w:rsidRPr="00BD544D">
        <w:rPr>
          <w:szCs w:val="22"/>
        </w:rPr>
        <w:t>) and (ii), and revising paragraphs (f)(1) and (2).</w:t>
      </w:r>
    </w:p>
    <w:p w:rsidR="00A32431" w:rsidRPr="00BD544D" w:rsidP="00A32431" w14:paraId="760C9D65" w14:textId="77777777">
      <w:pPr>
        <w:pStyle w:val="ParaNum"/>
        <w:numPr>
          <w:ilvl w:val="0"/>
          <w:numId w:val="0"/>
        </w:numPr>
        <w:spacing w:after="0" w:line="480" w:lineRule="auto"/>
        <w:ind w:firstLine="720"/>
        <w:rPr>
          <w:szCs w:val="22"/>
        </w:rPr>
      </w:pPr>
      <w:r w:rsidRPr="00BD544D">
        <w:rPr>
          <w:szCs w:val="22"/>
        </w:rPr>
        <w:t>The revisions read as follows:</w:t>
      </w:r>
    </w:p>
    <w:p w:rsidR="00A32431" w:rsidRPr="00BD544D" w:rsidP="00A32431" w14:paraId="5CFF2BBE" w14:textId="3EAD7FF3">
      <w:pPr>
        <w:pStyle w:val="ParaNum"/>
        <w:numPr>
          <w:ilvl w:val="0"/>
          <w:numId w:val="0"/>
        </w:numPr>
        <w:spacing w:after="0" w:line="480" w:lineRule="auto"/>
        <w:rPr>
          <w:b/>
          <w:bCs/>
          <w:szCs w:val="22"/>
        </w:rPr>
      </w:pPr>
      <w:r w:rsidRPr="00BD544D">
        <w:rPr>
          <w:b/>
          <w:bCs/>
          <w:szCs w:val="22"/>
        </w:rPr>
        <w:t>§ 73.3526 Online public inspection file of commercial stations.</w:t>
      </w:r>
    </w:p>
    <w:p w:rsidR="00A32431" w:rsidRPr="00BD544D" w:rsidP="00A32431" w14:paraId="443E0232" w14:textId="77777777">
      <w:pPr>
        <w:pStyle w:val="ParaNum"/>
        <w:numPr>
          <w:ilvl w:val="0"/>
          <w:numId w:val="0"/>
        </w:numPr>
        <w:spacing w:after="0" w:line="480" w:lineRule="auto"/>
        <w:rPr>
          <w:szCs w:val="22"/>
        </w:rPr>
      </w:pPr>
      <w:r w:rsidRPr="00BD544D">
        <w:rPr>
          <w:szCs w:val="22"/>
        </w:rPr>
        <w:t>* * * * *</w:t>
      </w:r>
    </w:p>
    <w:p w:rsidR="00A32431" w:rsidRPr="00BD544D" w:rsidP="00A32431" w14:paraId="19E720C4" w14:textId="77777777">
      <w:pPr>
        <w:pStyle w:val="ParaNum"/>
        <w:numPr>
          <w:ilvl w:val="0"/>
          <w:numId w:val="0"/>
        </w:numPr>
        <w:spacing w:after="0" w:line="480" w:lineRule="auto"/>
        <w:rPr>
          <w:szCs w:val="22"/>
        </w:rPr>
      </w:pPr>
      <w:r w:rsidRPr="00BD544D">
        <w:rPr>
          <w:szCs w:val="22"/>
        </w:rPr>
        <w:tab/>
        <w:t>(e) * * *</w:t>
      </w:r>
    </w:p>
    <w:p w:rsidR="00A32431" w:rsidRPr="00BD544D" w:rsidP="00A32431" w14:paraId="52E0C88F" w14:textId="77777777">
      <w:pPr>
        <w:pStyle w:val="ParaNum"/>
        <w:numPr>
          <w:ilvl w:val="0"/>
          <w:numId w:val="0"/>
        </w:numPr>
        <w:spacing w:after="0" w:line="480" w:lineRule="auto"/>
        <w:rPr>
          <w:szCs w:val="22"/>
        </w:rPr>
      </w:pPr>
      <w:r w:rsidRPr="00BD544D">
        <w:rPr>
          <w:szCs w:val="22"/>
        </w:rPr>
        <w:tab/>
        <w:t xml:space="preserve">(2) </w:t>
      </w:r>
      <w:r w:rsidRPr="00BD544D">
        <w:rPr>
          <w:i/>
          <w:iCs/>
          <w:szCs w:val="22"/>
        </w:rPr>
        <w:t>Applications and related materials</w:t>
      </w:r>
      <w:r w:rsidRPr="00BD544D">
        <w:rPr>
          <w:szCs w:val="22"/>
        </w:rPr>
        <w:t>. A copy of any application filed with the FCC, together with all related material, and copies of Initial Decisions and Final Decisions in hearing cases pertaining thereto. If petitions to deny are filed against the application and have been served on the applicant, a statement that such a petition has been filed shall be maintained in the file together with the name and address of the party filing the petition. Applications shall be retained in the public inspection file until final action has been taken on the application, except that applications for a new construction permit granted pursuant to a waiver showing and applications for assignment or transfer of license granted pursuant to a waiver showing shall be retained for as long as the waiver is in effect. In addition, license renewal applications granted on a short-term basis shall be retained until final action has been taken on the license renewal application filed immediately following the shortened license term.</w:t>
      </w:r>
    </w:p>
    <w:p w:rsidR="00A32431" w:rsidRPr="00BD544D" w:rsidP="00A32431" w14:paraId="147AE91F" w14:textId="77777777">
      <w:pPr>
        <w:pStyle w:val="ParaNum"/>
        <w:numPr>
          <w:ilvl w:val="0"/>
          <w:numId w:val="0"/>
        </w:numPr>
        <w:spacing w:after="0" w:line="480" w:lineRule="auto"/>
        <w:rPr>
          <w:szCs w:val="22"/>
        </w:rPr>
      </w:pPr>
      <w:r w:rsidRPr="00BD544D">
        <w:rPr>
          <w:szCs w:val="22"/>
        </w:rPr>
        <w:t>* * * * *</w:t>
      </w:r>
    </w:p>
    <w:p w:rsidR="00A32431" w:rsidRPr="00BD544D" w:rsidP="00A32431" w14:paraId="4A4E1590" w14:textId="77777777">
      <w:pPr>
        <w:pStyle w:val="ParaNum"/>
        <w:numPr>
          <w:ilvl w:val="0"/>
          <w:numId w:val="0"/>
        </w:numPr>
        <w:spacing w:after="0" w:line="480" w:lineRule="auto"/>
        <w:rPr>
          <w:szCs w:val="22"/>
        </w:rPr>
      </w:pPr>
      <w:r w:rsidRPr="00BD544D">
        <w:rPr>
          <w:szCs w:val="22"/>
        </w:rPr>
        <w:tab/>
        <w:t xml:space="preserve">(4) </w:t>
      </w:r>
      <w:r w:rsidRPr="00BD544D">
        <w:rPr>
          <w:i/>
          <w:iCs/>
          <w:szCs w:val="22"/>
        </w:rPr>
        <w:t>Contour maps</w:t>
      </w:r>
      <w:r w:rsidRPr="00BD544D">
        <w:rPr>
          <w:szCs w:val="22"/>
        </w:rPr>
        <w:t>. A copy of any service contour maps, submitted with any application filed</w:t>
      </w:r>
      <w:r w:rsidRPr="00BD544D">
        <w:rPr>
          <w:b/>
          <w:bCs/>
          <w:szCs w:val="22"/>
        </w:rPr>
        <w:t xml:space="preserve"> </w:t>
      </w:r>
      <w:r w:rsidRPr="00BD544D">
        <w:rPr>
          <w:szCs w:val="22"/>
        </w:rPr>
        <w:t>with the FCC, together with any other information in the application showing service contours and/or transmitter location (State, county, city, street address, or other identifying information). These documents shall be retained for as long as they reflect current, accurate information regarding the station.</w:t>
      </w:r>
    </w:p>
    <w:p w:rsidR="00A32431" w:rsidRPr="00BD544D" w:rsidP="00A32431" w14:paraId="309E2435" w14:textId="77777777">
      <w:pPr>
        <w:pStyle w:val="ParaNum"/>
        <w:numPr>
          <w:ilvl w:val="0"/>
          <w:numId w:val="0"/>
        </w:numPr>
        <w:spacing w:after="0" w:line="480" w:lineRule="auto"/>
        <w:rPr>
          <w:szCs w:val="22"/>
        </w:rPr>
      </w:pPr>
      <w:r w:rsidRPr="00BD544D">
        <w:rPr>
          <w:szCs w:val="22"/>
        </w:rPr>
        <w:t>* * * * *</w:t>
      </w:r>
    </w:p>
    <w:p w:rsidR="00A32431" w:rsidRPr="00BD544D" w:rsidP="00A32431" w14:paraId="3DDFD880" w14:textId="77777777">
      <w:pPr>
        <w:pStyle w:val="ParaNum"/>
        <w:numPr>
          <w:ilvl w:val="0"/>
          <w:numId w:val="0"/>
        </w:numPr>
        <w:tabs>
          <w:tab w:val="left" w:pos="0"/>
        </w:tabs>
        <w:spacing w:after="0" w:line="480" w:lineRule="auto"/>
        <w:rPr>
          <w:szCs w:val="22"/>
        </w:rPr>
      </w:pPr>
      <w:r w:rsidRPr="00BD544D">
        <w:rPr>
          <w:szCs w:val="22"/>
        </w:rPr>
        <w:tab/>
        <w:t>(f) * * *</w:t>
      </w:r>
    </w:p>
    <w:p w:rsidR="00A32431" w:rsidRPr="00BD544D" w:rsidP="00A32431" w14:paraId="4F8178C5" w14:textId="77777777">
      <w:pPr>
        <w:pStyle w:val="ParaNum"/>
        <w:numPr>
          <w:ilvl w:val="0"/>
          <w:numId w:val="0"/>
        </w:numPr>
        <w:spacing w:after="0" w:line="480" w:lineRule="auto"/>
        <w:ind w:firstLine="720"/>
        <w:rPr>
          <w:szCs w:val="22"/>
        </w:rPr>
      </w:pPr>
      <w:r w:rsidRPr="00BD544D">
        <w:rPr>
          <w:szCs w:val="22"/>
        </w:rPr>
        <w:t>(1) For purposes of this section, action taken on an application filed with the FCC becomes final when that action is no longer subject to reconsideration, review, or appeal either at the FCC or in the courts.</w:t>
      </w:r>
    </w:p>
    <w:p w:rsidR="00A32431" w:rsidRPr="00BD544D" w:rsidP="00A32431" w14:paraId="35030857" w14:textId="77777777">
      <w:pPr>
        <w:pStyle w:val="ParaNum"/>
        <w:numPr>
          <w:ilvl w:val="0"/>
          <w:numId w:val="0"/>
        </w:numPr>
        <w:spacing w:after="0" w:line="480" w:lineRule="auto"/>
        <w:ind w:firstLine="720"/>
        <w:rPr>
          <w:szCs w:val="22"/>
        </w:rPr>
      </w:pPr>
      <w:r w:rsidRPr="00BD544D">
        <w:rPr>
          <w:szCs w:val="22"/>
        </w:rPr>
        <w:t>(2) For purposes of this section, the term “all related material” includes all exhibits, letters, and other documents filed</w:t>
      </w:r>
      <w:r w:rsidRPr="00BD544D">
        <w:rPr>
          <w:b/>
          <w:bCs/>
          <w:szCs w:val="22"/>
        </w:rPr>
        <w:t xml:space="preserve"> </w:t>
      </w:r>
      <w:r w:rsidRPr="00BD544D">
        <w:rPr>
          <w:szCs w:val="22"/>
        </w:rPr>
        <w:t>with the FCC as part of an application, report, or other document, all amendments to the application, report, or other document, copies of all documents incorporated therein by reference and not already maintained in the public inspection file, and all correspondence between the FCC and the applicant pertaining to the application, report, or other document, which according to the provisions of §§ 0.451 through 0.461 of this chapter are open for public inspection at the offices of the FCC.</w:t>
      </w:r>
    </w:p>
    <w:p w:rsidR="00A32431" w:rsidRPr="00BD544D" w:rsidP="00A32431" w14:paraId="5063C53A" w14:textId="77777777">
      <w:pPr>
        <w:pStyle w:val="ParaNum"/>
        <w:numPr>
          <w:ilvl w:val="0"/>
          <w:numId w:val="0"/>
        </w:numPr>
        <w:spacing w:after="0" w:line="480" w:lineRule="auto"/>
        <w:ind w:firstLine="720"/>
        <w:rPr>
          <w:szCs w:val="22"/>
        </w:rPr>
      </w:pPr>
      <w:r w:rsidRPr="00BD544D">
        <w:rPr>
          <w:szCs w:val="22"/>
        </w:rPr>
        <w:t>29.  Amend § 73.3527 by revising paragraphs (e)(2) and (3) and (f)(1) and (2) to read as follows:</w:t>
      </w:r>
    </w:p>
    <w:p w:rsidR="00A32431" w:rsidRPr="00BD544D" w:rsidP="00A32431" w14:paraId="1E9210D3" w14:textId="77777777">
      <w:pPr>
        <w:pStyle w:val="ParaNum"/>
        <w:numPr>
          <w:ilvl w:val="0"/>
          <w:numId w:val="0"/>
        </w:numPr>
        <w:spacing w:after="0" w:line="480" w:lineRule="auto"/>
        <w:rPr>
          <w:b/>
          <w:bCs/>
          <w:szCs w:val="22"/>
        </w:rPr>
      </w:pPr>
      <w:r w:rsidRPr="00BD544D">
        <w:rPr>
          <w:b/>
          <w:bCs/>
          <w:szCs w:val="22"/>
        </w:rPr>
        <w:t>§ 73.3527 Online public inspection file of noncommercial educational stations.</w:t>
      </w:r>
    </w:p>
    <w:p w:rsidR="00A32431" w:rsidRPr="00BD544D" w:rsidP="00A32431" w14:paraId="649C1E74" w14:textId="77777777">
      <w:pPr>
        <w:pStyle w:val="ParaNum"/>
        <w:numPr>
          <w:ilvl w:val="0"/>
          <w:numId w:val="0"/>
        </w:numPr>
        <w:spacing w:after="0" w:line="480" w:lineRule="auto"/>
        <w:rPr>
          <w:szCs w:val="22"/>
        </w:rPr>
      </w:pPr>
      <w:r w:rsidRPr="00BD544D">
        <w:rPr>
          <w:szCs w:val="22"/>
        </w:rPr>
        <w:t>* * * * *</w:t>
      </w:r>
    </w:p>
    <w:p w:rsidR="00A32431" w:rsidRPr="00BD544D" w:rsidP="00A32431" w14:paraId="544943FF" w14:textId="77777777">
      <w:pPr>
        <w:pStyle w:val="ParaNum"/>
        <w:numPr>
          <w:ilvl w:val="0"/>
          <w:numId w:val="0"/>
        </w:numPr>
        <w:tabs>
          <w:tab w:val="left" w:pos="0"/>
        </w:tabs>
        <w:spacing w:after="0" w:line="480" w:lineRule="auto"/>
        <w:rPr>
          <w:szCs w:val="22"/>
        </w:rPr>
      </w:pPr>
      <w:r w:rsidRPr="00BD544D">
        <w:rPr>
          <w:szCs w:val="22"/>
        </w:rPr>
        <w:tab/>
        <w:t>(e) * * *</w:t>
      </w:r>
    </w:p>
    <w:p w:rsidR="00A32431" w:rsidRPr="00BD544D" w:rsidP="00A32431" w14:paraId="19C27125" w14:textId="77777777">
      <w:pPr>
        <w:pStyle w:val="ParaNum"/>
        <w:numPr>
          <w:ilvl w:val="0"/>
          <w:numId w:val="0"/>
        </w:numPr>
        <w:spacing w:after="0" w:line="480" w:lineRule="auto"/>
        <w:ind w:firstLine="720"/>
        <w:rPr>
          <w:szCs w:val="22"/>
        </w:rPr>
      </w:pPr>
      <w:r w:rsidRPr="00BD544D">
        <w:rPr>
          <w:szCs w:val="22"/>
        </w:rPr>
        <w:t xml:space="preserve">(2) </w:t>
      </w:r>
      <w:r w:rsidRPr="00BD544D">
        <w:rPr>
          <w:i/>
          <w:iCs/>
          <w:szCs w:val="22"/>
        </w:rPr>
        <w:t>Applications and related materials</w:t>
      </w:r>
      <w:r w:rsidRPr="00BD544D">
        <w:rPr>
          <w:szCs w:val="22"/>
        </w:rPr>
        <w:t xml:space="preserve">. A copy of any application filed with the FCC, together with all related material, including supporting documentation of any points claimed in the application pursuant to § 73.7003, and copies of FCC decisions pertaining thereto. If petitions to deny are filed against the application and have been served on the applicant, a statement that such a petition has been filed shall be maintained in the file together with the name and address of the party filing the petition. Applications shall be retained in the public inspection file until final action has been taken on the </w:t>
      </w:r>
      <w:r w:rsidRPr="00BD544D">
        <w:rPr>
          <w:szCs w:val="22"/>
        </w:rPr>
        <w:t>application, except that applications for a new construction permit granted pursuant to a waiver showing and applications for assignment or transfer of license granted pursuant to a waiver showing shall be retained for as long as the waiver is in effect. In addition, license renewal applications granted on a short-term basis shall be retained until final action has been taken on the license renewal application filed immediately following the shortened license term.</w:t>
      </w:r>
    </w:p>
    <w:p w:rsidR="00A32431" w:rsidRPr="00BD544D" w:rsidP="00A32431" w14:paraId="537B544F" w14:textId="77777777">
      <w:pPr>
        <w:pStyle w:val="ParaNum"/>
        <w:numPr>
          <w:ilvl w:val="0"/>
          <w:numId w:val="0"/>
        </w:numPr>
        <w:spacing w:after="0" w:line="480" w:lineRule="auto"/>
        <w:ind w:firstLine="720"/>
        <w:rPr>
          <w:szCs w:val="22"/>
        </w:rPr>
      </w:pPr>
      <w:r w:rsidRPr="00BD544D">
        <w:rPr>
          <w:szCs w:val="22"/>
        </w:rPr>
        <w:t xml:space="preserve">(3) </w:t>
      </w:r>
      <w:r w:rsidRPr="00BD544D">
        <w:rPr>
          <w:i/>
          <w:iCs/>
          <w:szCs w:val="22"/>
        </w:rPr>
        <w:t>Contour maps</w:t>
      </w:r>
      <w:r w:rsidRPr="00BD544D">
        <w:rPr>
          <w:szCs w:val="22"/>
        </w:rPr>
        <w:t>. A copy of any service contour maps, submitted with any application filed with the FCC, together with any other information in the application showing service contours and/or transmitter location (State, county, city, street address, or other identifying information). These documents shall be retained for as long as they reflect current, accurate information regarding the station.</w:t>
      </w:r>
    </w:p>
    <w:p w:rsidR="00A32431" w:rsidRPr="00BD544D" w:rsidP="00A32431" w14:paraId="3D5E398F" w14:textId="77777777">
      <w:pPr>
        <w:pStyle w:val="ParaNum"/>
        <w:numPr>
          <w:ilvl w:val="0"/>
          <w:numId w:val="0"/>
        </w:numPr>
        <w:spacing w:after="0" w:line="480" w:lineRule="auto"/>
        <w:rPr>
          <w:szCs w:val="22"/>
        </w:rPr>
      </w:pPr>
      <w:r w:rsidRPr="00BD544D">
        <w:rPr>
          <w:szCs w:val="22"/>
        </w:rPr>
        <w:t>* * * * *</w:t>
      </w:r>
    </w:p>
    <w:p w:rsidR="00A32431" w:rsidRPr="00BD544D" w:rsidP="00A32431" w14:paraId="62D2FB23" w14:textId="77777777">
      <w:pPr>
        <w:pStyle w:val="ParaNum"/>
        <w:numPr>
          <w:ilvl w:val="0"/>
          <w:numId w:val="0"/>
        </w:numPr>
        <w:spacing w:after="0" w:line="480" w:lineRule="auto"/>
        <w:rPr>
          <w:szCs w:val="22"/>
        </w:rPr>
      </w:pPr>
      <w:r w:rsidRPr="00BD544D">
        <w:rPr>
          <w:szCs w:val="22"/>
        </w:rPr>
        <w:tab/>
        <w:t>(f) * * *</w:t>
      </w:r>
    </w:p>
    <w:p w:rsidR="00A32431" w:rsidRPr="00BD544D" w:rsidP="00A32431" w14:paraId="52F965E6" w14:textId="77777777">
      <w:pPr>
        <w:pStyle w:val="ParaNum"/>
        <w:numPr>
          <w:ilvl w:val="0"/>
          <w:numId w:val="0"/>
        </w:numPr>
        <w:spacing w:after="0" w:line="480" w:lineRule="auto"/>
        <w:ind w:firstLine="720"/>
        <w:rPr>
          <w:szCs w:val="22"/>
        </w:rPr>
      </w:pPr>
      <w:r w:rsidRPr="00BD544D">
        <w:rPr>
          <w:szCs w:val="22"/>
        </w:rPr>
        <w:t>(1) For purposes of this section, a decision made with respect to an application filed with the FCC becomes final when that decision is no longer subject to reconsideration, review, or appeal either at the FCC or in the courts.</w:t>
      </w:r>
    </w:p>
    <w:p w:rsidR="00A32431" w:rsidRPr="00BD544D" w:rsidP="00A32431" w14:paraId="44C70FE1" w14:textId="77777777">
      <w:pPr>
        <w:pStyle w:val="ParaNum"/>
        <w:numPr>
          <w:ilvl w:val="0"/>
          <w:numId w:val="0"/>
        </w:numPr>
        <w:spacing w:after="0" w:line="480" w:lineRule="auto"/>
        <w:ind w:firstLine="720"/>
        <w:rPr>
          <w:szCs w:val="22"/>
        </w:rPr>
      </w:pPr>
      <w:r w:rsidRPr="00BD544D">
        <w:rPr>
          <w:szCs w:val="22"/>
        </w:rPr>
        <w:t>(2) For purposes of this section, the term “all related material” includes all exhibits, letters, and other documents filed with the FCC as part of an application, report, or other document, all amendments to the application, report, or other document, copies of all documents incorporated therein by reference and not already maintained in the public inspection file, and all correspondence between the FCC and the applicant pertaining to the application, report, or other document, which according to the provisions of §§ 0.451 through 0.461 of this chapter are open for public inspection at the offices of the FCC.</w:t>
      </w:r>
    </w:p>
    <w:p w:rsidR="00A32431" w:rsidRPr="00BD544D" w:rsidP="00A32431" w14:paraId="23B91716" w14:textId="77777777">
      <w:pPr>
        <w:pStyle w:val="ParaNum"/>
        <w:numPr>
          <w:ilvl w:val="0"/>
          <w:numId w:val="0"/>
        </w:numPr>
        <w:spacing w:after="0" w:line="480" w:lineRule="auto"/>
        <w:ind w:firstLine="720"/>
        <w:rPr>
          <w:szCs w:val="22"/>
        </w:rPr>
      </w:pPr>
      <w:r w:rsidRPr="00BD544D">
        <w:rPr>
          <w:szCs w:val="22"/>
        </w:rPr>
        <w:t>30.  Amend § 73.3564 by revising paragraphs (a)(1) and (3), (c), and (e) to read as follows:</w:t>
      </w:r>
    </w:p>
    <w:p w:rsidR="00A32431" w:rsidRPr="00BD544D" w:rsidP="00A32431" w14:paraId="0EB7737F" w14:textId="77777777">
      <w:pPr>
        <w:pStyle w:val="ParaNum"/>
        <w:numPr>
          <w:ilvl w:val="0"/>
          <w:numId w:val="0"/>
        </w:numPr>
        <w:spacing w:after="0" w:line="480" w:lineRule="auto"/>
        <w:rPr>
          <w:b/>
          <w:bCs/>
          <w:szCs w:val="22"/>
        </w:rPr>
      </w:pPr>
      <w:r w:rsidRPr="00BD544D">
        <w:rPr>
          <w:b/>
          <w:bCs/>
          <w:szCs w:val="22"/>
        </w:rPr>
        <w:t>§ 73.3564 Acceptance of applications.</w:t>
      </w:r>
    </w:p>
    <w:p w:rsidR="00A32431" w:rsidRPr="00BD544D" w:rsidP="00A32431" w14:paraId="2ED69412" w14:textId="77777777">
      <w:pPr>
        <w:pStyle w:val="ParaNum"/>
        <w:numPr>
          <w:ilvl w:val="0"/>
          <w:numId w:val="0"/>
        </w:numPr>
        <w:tabs>
          <w:tab w:val="left" w:pos="0"/>
        </w:tabs>
        <w:spacing w:after="0" w:line="480" w:lineRule="auto"/>
        <w:rPr>
          <w:szCs w:val="22"/>
        </w:rPr>
      </w:pPr>
      <w:r w:rsidRPr="00BD544D">
        <w:rPr>
          <w:szCs w:val="22"/>
        </w:rPr>
        <w:tab/>
        <w:t xml:space="preserve">(a)(1) Applications are dated upon filing in LMS. Except for applications for minor modifications of facilities in the non-reserved FM band, as defined in § 73.3573(a)(2), long form applications subject to the provisions of § 73.5005 found to be complete or substantially complete are accepted for filing and are given file numbers. In the case of minor defects as to completeness, a deficiency letter will be issued and </w:t>
      </w:r>
      <w:r w:rsidRPr="00BD544D">
        <w:rPr>
          <w:szCs w:val="22"/>
        </w:rPr>
        <w:t>the applicant will be required to supply the missing or corrective information. Applications that are not substantially complete will not be considered and will be returned to the applicant.</w:t>
      </w:r>
    </w:p>
    <w:p w:rsidR="00A32431" w:rsidRPr="00BD544D" w:rsidP="00A32431" w14:paraId="78FB5492" w14:textId="77777777">
      <w:pPr>
        <w:spacing w:line="480" w:lineRule="auto"/>
        <w:rPr>
          <w:szCs w:val="22"/>
        </w:rPr>
      </w:pPr>
      <w:r w:rsidRPr="00BD544D">
        <w:rPr>
          <w:szCs w:val="22"/>
        </w:rPr>
        <w:t>* * * * *</w:t>
      </w:r>
    </w:p>
    <w:p w:rsidR="00A32431" w:rsidRPr="00BD544D" w:rsidP="00A32431" w14:paraId="5CE863AB" w14:textId="77777777">
      <w:pPr>
        <w:pStyle w:val="ParaNum"/>
        <w:numPr>
          <w:ilvl w:val="0"/>
          <w:numId w:val="0"/>
        </w:numPr>
        <w:spacing w:after="0" w:line="480" w:lineRule="auto"/>
        <w:ind w:firstLine="720"/>
        <w:rPr>
          <w:szCs w:val="22"/>
        </w:rPr>
      </w:pPr>
      <w:r w:rsidRPr="00BD544D">
        <w:rPr>
          <w:szCs w:val="22"/>
        </w:rPr>
        <w:t>(3) Applications found not to meet minimum filing requirements will be returned to the applicant. Applications found to meet minimum filing requirements, but that contain deficiencies, shall be given an opportunity for corrective amendment pursuant to 73.3522. Applications found to be substantially complete and in accordance with the Commission's core legal and technical requirements will be accepted for filing. Applications with uncorrected defects remaining after the opportunity for corrective amendment will be dismissed with no further opportunity for amendment.</w:t>
      </w:r>
    </w:p>
    <w:p w:rsidR="00A32431" w:rsidRPr="00BD544D" w:rsidP="00A32431" w14:paraId="5A44700F" w14:textId="77777777">
      <w:pPr>
        <w:pStyle w:val="ParaNum"/>
        <w:numPr>
          <w:ilvl w:val="0"/>
          <w:numId w:val="0"/>
        </w:numPr>
        <w:spacing w:after="0" w:line="480" w:lineRule="auto"/>
        <w:rPr>
          <w:szCs w:val="22"/>
        </w:rPr>
      </w:pPr>
      <w:r w:rsidRPr="00BD544D">
        <w:rPr>
          <w:szCs w:val="22"/>
        </w:rPr>
        <w:t>* * * * *</w:t>
      </w:r>
    </w:p>
    <w:p w:rsidR="00A32431" w:rsidRPr="00BD544D" w:rsidP="00A32431" w14:paraId="0E8BE098" w14:textId="77777777">
      <w:pPr>
        <w:pStyle w:val="ParaNum"/>
        <w:numPr>
          <w:ilvl w:val="0"/>
          <w:numId w:val="0"/>
        </w:numPr>
        <w:spacing w:after="0" w:line="480" w:lineRule="auto"/>
        <w:rPr>
          <w:szCs w:val="22"/>
        </w:rPr>
      </w:pPr>
      <w:r w:rsidRPr="00BD544D">
        <w:rPr>
          <w:szCs w:val="22"/>
        </w:rPr>
        <w:tab/>
        <w:t>(c) At regular intervals, the FCC will issue a Public Notice listing all long form applications which have been accepted for filing. Pursuant to §§ 73.3571(h), 73.3572, and 73.3573(f), such notice shall establish a cut-off date for the filing of petitions to deny. However, no application will be accepted for filing unless certification of compliance with the local notice requirements of § 73.3580(h) has been made in the tendered application.</w:t>
      </w:r>
    </w:p>
    <w:p w:rsidR="00A32431" w:rsidRPr="00BD544D" w:rsidP="00A32431" w14:paraId="2733E556" w14:textId="77777777">
      <w:pPr>
        <w:pStyle w:val="ParaNum"/>
        <w:numPr>
          <w:ilvl w:val="0"/>
          <w:numId w:val="0"/>
        </w:numPr>
        <w:spacing w:after="0" w:line="480" w:lineRule="auto"/>
        <w:rPr>
          <w:szCs w:val="22"/>
        </w:rPr>
      </w:pPr>
      <w:r w:rsidRPr="00BD544D">
        <w:rPr>
          <w:szCs w:val="22"/>
        </w:rPr>
        <w:t>* * * * *</w:t>
      </w:r>
    </w:p>
    <w:p w:rsidR="00A32431" w:rsidRPr="00BD544D" w:rsidP="00A32431" w14:paraId="0CF1DDFA" w14:textId="77777777">
      <w:pPr>
        <w:pStyle w:val="ParaNum"/>
        <w:numPr>
          <w:ilvl w:val="0"/>
          <w:numId w:val="0"/>
        </w:numPr>
        <w:spacing w:after="0" w:line="480" w:lineRule="auto"/>
        <w:rPr>
          <w:szCs w:val="22"/>
        </w:rPr>
      </w:pPr>
      <w:r w:rsidRPr="00BD544D">
        <w:rPr>
          <w:szCs w:val="22"/>
        </w:rPr>
        <w:tab/>
        <w:t>(e) Applications for minor modification of facilities may be filed</w:t>
      </w:r>
      <w:r w:rsidRPr="00BD544D">
        <w:rPr>
          <w:b/>
          <w:bCs/>
          <w:szCs w:val="22"/>
        </w:rPr>
        <w:t xml:space="preserve"> </w:t>
      </w:r>
      <w:r w:rsidRPr="00BD544D">
        <w:rPr>
          <w:szCs w:val="22"/>
        </w:rPr>
        <w:t>at any time, unless restricted by the FCC. These applications will be processed on a “first come/first served” basis and will be treated as simultaneously filed if filed on the same day. Any applications received after the filing of a lead application will be grouped according to filing date, and placed in a queue behind the lead applicant. The FCC will periodically release a Public Notice listing those minor modification of facilities applications accepted for filing.</w:t>
      </w:r>
    </w:p>
    <w:p w:rsidR="00A32431" w:rsidRPr="00BD544D" w:rsidP="00A32431" w14:paraId="35DD691B" w14:textId="77777777">
      <w:pPr>
        <w:pStyle w:val="ParaNum"/>
        <w:numPr>
          <w:ilvl w:val="0"/>
          <w:numId w:val="0"/>
        </w:numPr>
        <w:spacing w:after="0" w:line="480" w:lineRule="auto"/>
        <w:rPr>
          <w:szCs w:val="22"/>
        </w:rPr>
      </w:pPr>
      <w:r w:rsidRPr="00BD544D">
        <w:rPr>
          <w:szCs w:val="22"/>
        </w:rPr>
        <w:t>* * * * *</w:t>
      </w:r>
    </w:p>
    <w:p w:rsidR="00A32431" w:rsidRPr="00BD544D" w:rsidP="00A32431" w14:paraId="0A160DE0" w14:textId="77777777">
      <w:pPr>
        <w:pStyle w:val="ParaNum"/>
        <w:numPr>
          <w:ilvl w:val="0"/>
          <w:numId w:val="0"/>
        </w:numPr>
        <w:spacing w:after="0" w:line="480" w:lineRule="auto"/>
        <w:ind w:firstLine="720"/>
        <w:rPr>
          <w:szCs w:val="22"/>
        </w:rPr>
      </w:pPr>
      <w:r w:rsidRPr="00BD544D">
        <w:rPr>
          <w:szCs w:val="22"/>
        </w:rPr>
        <w:t>31.  Amend § 73.3571 by:</w:t>
      </w:r>
    </w:p>
    <w:p w:rsidR="00A32431" w:rsidRPr="00BD544D" w:rsidP="00A32431" w14:paraId="0B1EEE6B" w14:textId="77777777">
      <w:pPr>
        <w:pStyle w:val="ParaNum"/>
        <w:numPr>
          <w:ilvl w:val="0"/>
          <w:numId w:val="0"/>
        </w:numPr>
        <w:spacing w:after="0" w:line="480" w:lineRule="auto"/>
        <w:ind w:firstLine="720"/>
        <w:rPr>
          <w:szCs w:val="22"/>
        </w:rPr>
      </w:pPr>
      <w:r w:rsidRPr="00BD544D">
        <w:rPr>
          <w:szCs w:val="22"/>
        </w:rPr>
        <w:t xml:space="preserve">a. Revising paragraph (e); </w:t>
      </w:r>
    </w:p>
    <w:p w:rsidR="00A32431" w:rsidRPr="00BD544D" w:rsidP="00A32431" w14:paraId="3CAD4082" w14:textId="77777777">
      <w:pPr>
        <w:pStyle w:val="ParaNum"/>
        <w:numPr>
          <w:ilvl w:val="0"/>
          <w:numId w:val="0"/>
        </w:numPr>
        <w:spacing w:after="0" w:line="480" w:lineRule="auto"/>
        <w:ind w:firstLine="720"/>
        <w:rPr>
          <w:szCs w:val="22"/>
        </w:rPr>
      </w:pPr>
      <w:r w:rsidRPr="00BD544D">
        <w:rPr>
          <w:szCs w:val="22"/>
        </w:rPr>
        <w:t xml:space="preserve">b. Adding paragraph (h)(1)(ii)(D); and </w:t>
      </w:r>
    </w:p>
    <w:p w:rsidR="00A32431" w:rsidRPr="00BD544D" w:rsidP="00A32431" w14:paraId="5D90998F" w14:textId="77777777">
      <w:pPr>
        <w:pStyle w:val="ParaNum"/>
        <w:numPr>
          <w:ilvl w:val="0"/>
          <w:numId w:val="0"/>
        </w:numPr>
        <w:spacing w:after="0" w:line="480" w:lineRule="auto"/>
        <w:ind w:firstLine="720"/>
        <w:rPr>
          <w:szCs w:val="22"/>
        </w:rPr>
      </w:pPr>
      <w:r w:rsidRPr="00BD544D">
        <w:rPr>
          <w:szCs w:val="22"/>
        </w:rPr>
        <w:t>c. Removing the note to § 73.3571.</w:t>
      </w:r>
    </w:p>
    <w:p w:rsidR="00A32431" w:rsidRPr="00BD544D" w:rsidP="00A32431" w14:paraId="0F5FF717" w14:textId="77777777">
      <w:pPr>
        <w:pStyle w:val="ParaNum"/>
        <w:numPr>
          <w:ilvl w:val="0"/>
          <w:numId w:val="0"/>
        </w:numPr>
        <w:spacing w:after="0" w:line="480" w:lineRule="auto"/>
        <w:ind w:left="720"/>
        <w:rPr>
          <w:szCs w:val="22"/>
        </w:rPr>
      </w:pPr>
      <w:r w:rsidRPr="00BD544D">
        <w:rPr>
          <w:szCs w:val="22"/>
        </w:rPr>
        <w:t>The revision and addition read as follows:</w:t>
      </w:r>
    </w:p>
    <w:p w:rsidR="00A32431" w:rsidRPr="00BD544D" w:rsidP="00A32431" w14:paraId="6F96F5A9" w14:textId="77777777">
      <w:pPr>
        <w:pStyle w:val="ParaNum"/>
        <w:numPr>
          <w:ilvl w:val="0"/>
          <w:numId w:val="0"/>
        </w:numPr>
        <w:spacing w:after="0" w:line="480" w:lineRule="auto"/>
        <w:rPr>
          <w:szCs w:val="22"/>
        </w:rPr>
      </w:pPr>
      <w:r w:rsidRPr="00BD544D">
        <w:rPr>
          <w:b/>
          <w:bCs/>
          <w:szCs w:val="22"/>
        </w:rPr>
        <w:t>§ 73.3571 Processing of AM broadcast station applications.</w:t>
      </w:r>
    </w:p>
    <w:p w:rsidR="00A32431" w:rsidRPr="00BD544D" w:rsidP="00A32431" w14:paraId="0D5B391A" w14:textId="77777777">
      <w:pPr>
        <w:pStyle w:val="ParaNum"/>
        <w:numPr>
          <w:ilvl w:val="0"/>
          <w:numId w:val="0"/>
        </w:numPr>
        <w:spacing w:after="0" w:line="480" w:lineRule="auto"/>
        <w:rPr>
          <w:szCs w:val="22"/>
        </w:rPr>
      </w:pPr>
      <w:r w:rsidRPr="00BD544D">
        <w:rPr>
          <w:szCs w:val="22"/>
        </w:rPr>
        <w:t>* * * * *</w:t>
      </w:r>
    </w:p>
    <w:p w:rsidR="00A32431" w:rsidRPr="00BD544D" w:rsidP="00A32431" w14:paraId="7FAA52B7" w14:textId="77777777">
      <w:pPr>
        <w:pStyle w:val="ParaNum"/>
        <w:numPr>
          <w:ilvl w:val="0"/>
          <w:numId w:val="0"/>
        </w:numPr>
        <w:spacing w:after="0" w:line="480" w:lineRule="auto"/>
        <w:rPr>
          <w:szCs w:val="22"/>
        </w:rPr>
      </w:pPr>
      <w:r w:rsidRPr="00BD544D">
        <w:rPr>
          <w:szCs w:val="22"/>
        </w:rPr>
        <w:tab/>
        <w:t>(e) The following special procedures will be followed in authorizing Class D daytime-only stations on 940 and 1550 kHz, and Class D daytime-only stations on the 41 regional channels listed in § 73.26(a), to operate unlimited-time.</w:t>
      </w:r>
    </w:p>
    <w:p w:rsidR="00A32431" w:rsidRPr="00BD544D" w:rsidP="00A32431" w14:paraId="44342021" w14:textId="77777777">
      <w:pPr>
        <w:pBdr>
          <w:left w:val="none" w:sz="0" w:space="20" w:color="auto"/>
        </w:pBdr>
        <w:spacing w:line="480" w:lineRule="auto"/>
        <w:ind w:firstLine="720"/>
        <w:rPr>
          <w:szCs w:val="22"/>
        </w:rPr>
      </w:pPr>
      <w:r w:rsidRPr="00BD544D">
        <w:rPr>
          <w:szCs w:val="22"/>
        </w:rPr>
        <w:t>(1) Each eligible daytime-only station in the foregoing categories will receive an Order to Show Cause why its license should not be modified to specify operation during nighttime hours with the facilities it is licensed to start using at local sunrise, using the power stated in the Order to Show Cause, that the Commission finds is the highest nighttime level—not exceeding 0.5 kW—at which the station could operate without causing prohibited interference to other domestic or foreign stations, or to co-channel or adjacent channel stations for which pending applications were filed before December 1, 1987.</w:t>
      </w:r>
    </w:p>
    <w:p w:rsidR="00A32431" w:rsidRPr="00BD544D" w:rsidP="00A32431" w14:paraId="1EC17053" w14:textId="77777777">
      <w:pPr>
        <w:pBdr>
          <w:left w:val="none" w:sz="0" w:space="20" w:color="auto"/>
        </w:pBdr>
        <w:spacing w:line="480" w:lineRule="auto"/>
        <w:ind w:firstLine="720"/>
        <w:rPr>
          <w:szCs w:val="22"/>
        </w:rPr>
      </w:pPr>
      <w:r w:rsidRPr="00BD544D">
        <w:rPr>
          <w:szCs w:val="22"/>
        </w:rPr>
        <w:t>(2)</w:t>
      </w:r>
      <w:r w:rsidRPr="00BD544D">
        <w:rPr>
          <w:b/>
          <w:bCs/>
          <w:szCs w:val="22"/>
        </w:rPr>
        <w:t xml:space="preserve"> </w:t>
      </w:r>
      <w:r w:rsidRPr="00BD544D">
        <w:rPr>
          <w:szCs w:val="22"/>
        </w:rPr>
        <w:t>Stations accepting such modification shall be reclassified. Those authorized in such Show Cause Orders to operate during nighttime hours with a power of 0.25 kW or more, or with a power that, although less than 0.25 kW, is sufficient to enable them to attain an equivalent RMS field strength of at least 107.5 mV/m at 1 kilometer, shall be redesignated as Class B stations if they are assigned to 940 or 1550 kHz, and as unlimited-time Class B stations if they are assigned to regional channels.</w:t>
      </w:r>
    </w:p>
    <w:p w:rsidR="00A32431" w:rsidRPr="00BD544D" w:rsidP="00A32431" w14:paraId="7DFEEDED" w14:textId="77777777">
      <w:pPr>
        <w:pBdr>
          <w:left w:val="none" w:sz="0" w:space="20" w:color="auto"/>
        </w:pBdr>
        <w:spacing w:line="480" w:lineRule="auto"/>
        <w:ind w:firstLine="720"/>
        <w:rPr>
          <w:szCs w:val="22"/>
        </w:rPr>
      </w:pPr>
      <w:r w:rsidRPr="00BD544D">
        <w:rPr>
          <w:szCs w:val="22"/>
        </w:rPr>
        <w:t>(3) Stations accepting such modification that are authorized to operate during nighttime hours at powers less than 0.25 kW, and that cannot with such powers attain an equivalent RMS field strength of less than 107.5 mV/m at 1 kilometer, shall be redesignated as Class D stations if they are assigned to 940 or 1550 kHz, and as Class D stations if they are assigned to regional channels.</w:t>
      </w:r>
    </w:p>
    <w:p w:rsidR="00A32431" w:rsidRPr="00BD544D" w:rsidP="00A32431" w14:paraId="37FA8BC4" w14:textId="77777777">
      <w:pPr>
        <w:pStyle w:val="ParaNum"/>
        <w:numPr>
          <w:ilvl w:val="0"/>
          <w:numId w:val="0"/>
        </w:numPr>
        <w:spacing w:after="0" w:line="480" w:lineRule="auto"/>
        <w:ind w:firstLine="720"/>
        <w:rPr>
          <w:szCs w:val="22"/>
        </w:rPr>
      </w:pPr>
      <w:r w:rsidRPr="00BD544D">
        <w:rPr>
          <w:szCs w:val="22"/>
        </w:rPr>
        <w:t xml:space="preserve">(4) Applications for new stations may be filed at any time on 940 and 1550 kHz and on the regional channels. Also, stations assigned to 940 or 1550 kHz, or to the regional channels, may at any time, regardless of their classifications, apply for power increases up to the maximum generally permitted. Such applications for new or changed facilities will be granted without taking into account </w:t>
      </w:r>
      <w:r w:rsidRPr="00BD544D">
        <w:rPr>
          <w:szCs w:val="22"/>
        </w:rPr>
        <w:t>interference caused to Class D stations, but will be required to show interference protection to other classes of stations, including stations that were previously classified as Class D, but were later reclassified as Class B unlimited-time stations.</w:t>
      </w:r>
    </w:p>
    <w:p w:rsidR="00A32431" w:rsidRPr="00BD544D" w:rsidP="00A32431" w14:paraId="21D0C2FC" w14:textId="77777777">
      <w:pPr>
        <w:pStyle w:val="ParaNum"/>
        <w:numPr>
          <w:ilvl w:val="0"/>
          <w:numId w:val="0"/>
        </w:numPr>
        <w:spacing w:after="0" w:line="480" w:lineRule="auto"/>
        <w:rPr>
          <w:szCs w:val="22"/>
        </w:rPr>
      </w:pPr>
      <w:r w:rsidRPr="00BD544D">
        <w:rPr>
          <w:szCs w:val="22"/>
        </w:rPr>
        <w:t>* * * * *</w:t>
      </w:r>
    </w:p>
    <w:p w:rsidR="00A32431" w:rsidRPr="00BD544D" w:rsidP="00A32431" w14:paraId="60D4FCC9" w14:textId="77777777">
      <w:pPr>
        <w:pStyle w:val="ParaNum"/>
        <w:numPr>
          <w:ilvl w:val="0"/>
          <w:numId w:val="0"/>
        </w:numPr>
        <w:tabs>
          <w:tab w:val="left" w:pos="0"/>
        </w:tabs>
        <w:spacing w:after="0" w:line="480" w:lineRule="auto"/>
        <w:rPr>
          <w:szCs w:val="22"/>
        </w:rPr>
      </w:pPr>
      <w:r w:rsidRPr="00BD544D">
        <w:rPr>
          <w:szCs w:val="22"/>
        </w:rPr>
        <w:tab/>
        <w:t>(h) * * *</w:t>
      </w:r>
    </w:p>
    <w:p w:rsidR="00134569" w:rsidRPr="00BD544D" w:rsidP="00A32431" w14:paraId="7F69CBAC" w14:textId="17A4B7C2">
      <w:pPr>
        <w:pStyle w:val="ParaNum"/>
        <w:numPr>
          <w:ilvl w:val="0"/>
          <w:numId w:val="0"/>
        </w:numPr>
        <w:tabs>
          <w:tab w:val="left" w:pos="0"/>
        </w:tabs>
        <w:spacing w:after="0" w:line="480" w:lineRule="auto"/>
        <w:ind w:firstLine="720"/>
        <w:rPr>
          <w:szCs w:val="22"/>
        </w:rPr>
      </w:pPr>
      <w:r w:rsidRPr="00BD544D">
        <w:rPr>
          <w:szCs w:val="22"/>
        </w:rPr>
        <w:t>(1) * * *</w:t>
      </w:r>
    </w:p>
    <w:p w:rsidR="00A32431" w:rsidRPr="00BD544D" w:rsidP="00A32431" w14:paraId="25A0296C" w14:textId="77777777">
      <w:pPr>
        <w:pStyle w:val="ParaNum"/>
        <w:numPr>
          <w:ilvl w:val="0"/>
          <w:numId w:val="0"/>
        </w:numPr>
        <w:tabs>
          <w:tab w:val="left" w:pos="0"/>
        </w:tabs>
        <w:spacing w:after="0" w:line="480" w:lineRule="auto"/>
        <w:ind w:firstLine="720"/>
        <w:rPr>
          <w:szCs w:val="22"/>
        </w:rPr>
      </w:pPr>
      <w:r w:rsidRPr="00BD544D">
        <w:rPr>
          <w:szCs w:val="22"/>
        </w:rPr>
        <w:t>(ii) * * *</w:t>
      </w:r>
    </w:p>
    <w:p w:rsidR="00A32431" w:rsidRPr="00BD544D" w:rsidP="00A32431" w14:paraId="0C61D08E" w14:textId="77777777">
      <w:pPr>
        <w:pStyle w:val="ParaNum"/>
        <w:numPr>
          <w:ilvl w:val="0"/>
          <w:numId w:val="0"/>
        </w:numPr>
        <w:spacing w:after="0" w:line="480" w:lineRule="auto"/>
        <w:rPr>
          <w:szCs w:val="22"/>
        </w:rPr>
      </w:pPr>
      <w:r w:rsidRPr="00BD544D">
        <w:rPr>
          <w:szCs w:val="22"/>
        </w:rPr>
        <w:tab/>
        <w:t>(D) For purposes of this paragraph (h)(1)(ii), § 73.182(k) interference standards apply when determining nighttime mutual exclusivity between applications to provide AM service that are filed in the same window. Two applications would be deemed to be mutually exclusive if either application would be subject to dismissal because it would enter into, i.e., raise, the twenty-five percent exclusion RSS nighttime limit of the other.</w:t>
      </w:r>
    </w:p>
    <w:p w:rsidR="00A32431" w:rsidRPr="00BD544D" w:rsidP="00A32431" w14:paraId="1F8A9388" w14:textId="77777777">
      <w:pPr>
        <w:pStyle w:val="ParaNum"/>
        <w:numPr>
          <w:ilvl w:val="0"/>
          <w:numId w:val="0"/>
        </w:numPr>
        <w:spacing w:after="0" w:line="480" w:lineRule="auto"/>
        <w:rPr>
          <w:szCs w:val="22"/>
        </w:rPr>
      </w:pPr>
      <w:r w:rsidRPr="00BD544D">
        <w:rPr>
          <w:szCs w:val="22"/>
        </w:rPr>
        <w:t>* * * * *</w:t>
      </w:r>
    </w:p>
    <w:p w:rsidR="00A32431" w:rsidRPr="00BD544D" w:rsidP="00A32431" w14:paraId="224A87DF" w14:textId="77777777">
      <w:pPr>
        <w:pStyle w:val="ParaNum"/>
        <w:numPr>
          <w:ilvl w:val="0"/>
          <w:numId w:val="0"/>
        </w:numPr>
        <w:spacing w:after="0" w:line="480" w:lineRule="auto"/>
        <w:ind w:firstLine="720"/>
        <w:rPr>
          <w:szCs w:val="22"/>
        </w:rPr>
      </w:pPr>
      <w:r w:rsidRPr="00BD544D">
        <w:rPr>
          <w:szCs w:val="22"/>
        </w:rPr>
        <w:t>32. Amend § 73.3573 by revising paragraph (f)(1) and note 4 to read as follows:</w:t>
      </w:r>
    </w:p>
    <w:p w:rsidR="00A32431" w:rsidRPr="00BD544D" w:rsidP="00A32431" w14:paraId="204B4A15" w14:textId="77777777">
      <w:pPr>
        <w:pStyle w:val="ParaNum"/>
        <w:numPr>
          <w:ilvl w:val="0"/>
          <w:numId w:val="0"/>
        </w:numPr>
        <w:spacing w:after="0" w:line="480" w:lineRule="auto"/>
        <w:rPr>
          <w:b/>
          <w:bCs/>
          <w:szCs w:val="22"/>
        </w:rPr>
      </w:pPr>
      <w:r w:rsidRPr="00BD544D">
        <w:rPr>
          <w:b/>
          <w:bCs/>
          <w:szCs w:val="22"/>
        </w:rPr>
        <w:t>§ 73.3573 Processing FM broadcast station applications.</w:t>
      </w:r>
    </w:p>
    <w:p w:rsidR="00A32431" w:rsidRPr="00BD544D" w:rsidP="00A32431" w14:paraId="0365D9D4" w14:textId="77777777">
      <w:pPr>
        <w:pStyle w:val="ParaNum"/>
        <w:numPr>
          <w:ilvl w:val="0"/>
          <w:numId w:val="0"/>
        </w:numPr>
        <w:spacing w:after="0" w:line="480" w:lineRule="auto"/>
        <w:rPr>
          <w:szCs w:val="22"/>
        </w:rPr>
      </w:pPr>
      <w:r w:rsidRPr="00BD544D">
        <w:rPr>
          <w:szCs w:val="22"/>
        </w:rPr>
        <w:t>* * * * *</w:t>
      </w:r>
    </w:p>
    <w:p w:rsidR="00A32431" w:rsidRPr="00BD544D" w:rsidP="00A32431" w14:paraId="75625774" w14:textId="77777777">
      <w:pPr>
        <w:pStyle w:val="ParaNum"/>
        <w:numPr>
          <w:ilvl w:val="0"/>
          <w:numId w:val="0"/>
        </w:numPr>
        <w:spacing w:after="0" w:line="480" w:lineRule="auto"/>
        <w:rPr>
          <w:szCs w:val="22"/>
        </w:rPr>
      </w:pPr>
      <w:r w:rsidRPr="00BD544D">
        <w:rPr>
          <w:szCs w:val="22"/>
        </w:rPr>
        <w:tab/>
        <w:t xml:space="preserve">(f) * * * </w:t>
      </w:r>
    </w:p>
    <w:p w:rsidR="00A32431" w:rsidRPr="00BD544D" w:rsidP="00A32431" w14:paraId="58C1FB3E" w14:textId="77777777">
      <w:pPr>
        <w:pStyle w:val="ParaNum"/>
        <w:numPr>
          <w:ilvl w:val="0"/>
          <w:numId w:val="0"/>
        </w:numPr>
        <w:spacing w:after="0" w:line="480" w:lineRule="auto"/>
        <w:ind w:firstLine="720"/>
        <w:rPr>
          <w:szCs w:val="22"/>
        </w:rPr>
      </w:pPr>
      <w:r w:rsidRPr="00BD544D">
        <w:rPr>
          <w:szCs w:val="22"/>
        </w:rPr>
        <w:t>(1) Applications for minor modifications for non-reserved FM broadcast stations, as defined in paragraph (a)(2) of this section, may be filed at any time, unless restricted by the FCC, and, generally, will be processed in the order in which they are tendered. The FCC will periodically release a Public Notice listing those applications accepted for filing. Processing of these applications will be on a “first come/first serve” basis with the first acceptable application cutting off the filing rights of subsequent applicants. All applications received on the same day will be treated as simultaneously filed and, if they are found to be mutually exclusive, must be resolved through settlement or technical amendment. Applications received after the filing</w:t>
      </w:r>
      <w:r w:rsidRPr="00BD544D">
        <w:rPr>
          <w:b/>
          <w:bCs/>
          <w:szCs w:val="22"/>
        </w:rPr>
        <w:t xml:space="preserve"> </w:t>
      </w:r>
      <w:r w:rsidRPr="00BD544D">
        <w:rPr>
          <w:szCs w:val="22"/>
        </w:rPr>
        <w:t xml:space="preserve">of a lead application will be grouped, according to filing date, behind the lead application in a queue. The priority rights of the lead applicant, as against all other </w:t>
      </w:r>
      <w:r w:rsidRPr="00BD544D">
        <w:rPr>
          <w:szCs w:val="22"/>
        </w:rPr>
        <w:t>applicants, are determined by the date of filing, but the filing date for subsequent applicants for that channel and community only reserves a place in the queue. The rights of an applicant in a queue ripen only upon a final determination that the lead applicant is unacceptable and if the queue member is reached and found acceptable. The queue will remain behind the lead applicant until a construction permit is finally granted, at which time the queue dissolves.</w:t>
      </w:r>
    </w:p>
    <w:p w:rsidR="00A32431" w:rsidRPr="00BD544D" w:rsidP="00A32431" w14:paraId="24D06E57" w14:textId="77777777">
      <w:pPr>
        <w:pStyle w:val="ParaNum"/>
        <w:numPr>
          <w:ilvl w:val="0"/>
          <w:numId w:val="0"/>
        </w:numPr>
        <w:spacing w:after="0" w:line="480" w:lineRule="auto"/>
        <w:rPr>
          <w:szCs w:val="22"/>
        </w:rPr>
      </w:pPr>
      <w:r w:rsidRPr="00BD544D">
        <w:rPr>
          <w:szCs w:val="22"/>
        </w:rPr>
        <w:t>* * * * *</w:t>
      </w:r>
    </w:p>
    <w:p w:rsidR="00A32431" w:rsidRPr="00BD544D" w:rsidP="00A32431" w14:paraId="6B25B9E6" w14:textId="77777777">
      <w:pPr>
        <w:pStyle w:val="ParaNum"/>
        <w:numPr>
          <w:ilvl w:val="0"/>
          <w:numId w:val="0"/>
        </w:numPr>
        <w:tabs>
          <w:tab w:val="left" w:pos="0"/>
        </w:tabs>
        <w:spacing w:after="0" w:line="480" w:lineRule="auto"/>
        <w:rPr>
          <w:szCs w:val="22"/>
        </w:rPr>
      </w:pPr>
      <w:r w:rsidRPr="00BD544D">
        <w:rPr>
          <w:szCs w:val="22"/>
        </w:rPr>
        <w:tab/>
        <w:t xml:space="preserve">Note 4 to § 73.3573: A Class C station operating with antenna height above average terrain (“HAAT”) of less than 451 meters is subject to reclassification as a Class C0 station upon the filing of a triggering application for construction permit that is short-spaced to such a Class C station under § 73.207 but would be fully spaced to such a station considered as a Class C0 assignment. Triggering applications may utilize § 73.215. Triggering applications must certify that no alternative channel is available for the proposed service. Available alternative frequencies are limited to frequencies that the proposed service could use at the specified antenna location in full compliance with the distance separation requirements of § 73.207, without any other changes to the Table of FM Allotments. Copies of a triggering application and related pleadings must be served on the licensee of the affected Class C station. If the staff concludes that a triggering application is acceptable for filing, it will issue an order to show cause why the affected station should not be reclassified as a Class C0 station The order to show cause will provide the licensee 30 days to express in writing an intention to seek authority to modify the subject station's technical facilities to minimum Class C HAAT or to otherwise challenge the triggering application. If no such intention is expressed and the triggering application is not challenged, the subject station will be reclassified as a Class C0 station, and processing of the triggering application will be completed. If an intention to modify is expressed, an additional 180-day period will be provided during which the Class C station licensee must file an acceptable construction permit application to increase antenna height to at least 451 meters HAAT. Upon grant of such a construction permit application, the triggering application will be dismissed. Class C station licensees must serve on triggering applicants copies of any FAA submissions related to the application grant process. If the construction is not completed as authorized, </w:t>
      </w:r>
      <w:r w:rsidRPr="00BD544D">
        <w:rPr>
          <w:szCs w:val="22"/>
        </w:rPr>
        <w:t>the subject Class C station will be reclassified automatically as a Class C0 station. The reclassification procedure also may be initiated through the filing of an original petition for rulemaking to amend the Table of FM Allotments as set forth in the Note to § 1.420(g).</w:t>
      </w:r>
    </w:p>
    <w:p w:rsidR="00A32431" w:rsidRPr="00BD544D" w:rsidP="00A32431" w14:paraId="21599289" w14:textId="77777777">
      <w:pPr>
        <w:pStyle w:val="ParaNum"/>
        <w:numPr>
          <w:ilvl w:val="0"/>
          <w:numId w:val="0"/>
        </w:numPr>
        <w:spacing w:after="0" w:line="480" w:lineRule="auto"/>
        <w:rPr>
          <w:szCs w:val="22"/>
        </w:rPr>
      </w:pPr>
      <w:r w:rsidRPr="00BD544D">
        <w:rPr>
          <w:szCs w:val="22"/>
        </w:rPr>
        <w:t>* * * * *</w:t>
      </w:r>
    </w:p>
    <w:p w:rsidR="00A32431" w:rsidRPr="00BD544D" w:rsidP="00A32431" w14:paraId="04574D7E" w14:textId="77777777">
      <w:pPr>
        <w:pStyle w:val="ParaNum"/>
        <w:numPr>
          <w:ilvl w:val="0"/>
          <w:numId w:val="0"/>
        </w:numPr>
        <w:spacing w:after="0" w:line="480" w:lineRule="auto"/>
        <w:ind w:firstLine="720"/>
        <w:rPr>
          <w:szCs w:val="22"/>
        </w:rPr>
      </w:pPr>
      <w:r w:rsidRPr="00BD544D">
        <w:rPr>
          <w:szCs w:val="22"/>
        </w:rPr>
        <w:t>33.  Amend § 73.3578 by revising paragraph (a) to read as follows:</w:t>
      </w:r>
    </w:p>
    <w:p w:rsidR="00A32431" w:rsidRPr="00BD544D" w:rsidP="00A32431" w14:paraId="24448556" w14:textId="77777777">
      <w:pPr>
        <w:pStyle w:val="ParaNum"/>
        <w:numPr>
          <w:ilvl w:val="0"/>
          <w:numId w:val="0"/>
        </w:numPr>
        <w:spacing w:after="0" w:line="480" w:lineRule="auto"/>
        <w:rPr>
          <w:b/>
          <w:bCs/>
          <w:szCs w:val="22"/>
        </w:rPr>
      </w:pPr>
      <w:r w:rsidRPr="00BD544D">
        <w:rPr>
          <w:b/>
          <w:bCs/>
          <w:szCs w:val="22"/>
        </w:rPr>
        <w:t>§ 73.3578 Amendments to applications for renewal, assignment or transfer of control.</w:t>
      </w:r>
    </w:p>
    <w:p w:rsidR="00A32431" w:rsidRPr="00BD544D" w:rsidP="00A32431" w14:paraId="73BBEE4F" w14:textId="77777777">
      <w:pPr>
        <w:pStyle w:val="ParaNum"/>
        <w:numPr>
          <w:ilvl w:val="0"/>
          <w:numId w:val="0"/>
        </w:numPr>
        <w:tabs>
          <w:tab w:val="left" w:pos="0"/>
        </w:tabs>
        <w:spacing w:after="0" w:line="480" w:lineRule="auto"/>
        <w:rPr>
          <w:szCs w:val="22"/>
        </w:rPr>
      </w:pPr>
      <w:r w:rsidRPr="00BD544D">
        <w:rPr>
          <w:szCs w:val="22"/>
        </w:rPr>
        <w:tab/>
        <w:t>(a) Any amendments to an application for renewal of any instrument of authorization shall be considered to be a minor amendment. However, the FCC may, within 15 days after filing of any amendment, advise the applicant that the amendment is considered to be a major amendment and therefore is subject to the provisions of § 73.3580.</w:t>
      </w:r>
    </w:p>
    <w:p w:rsidR="00A32431" w:rsidRPr="00BD544D" w:rsidP="00A32431" w14:paraId="0BB24423" w14:textId="77777777">
      <w:pPr>
        <w:pStyle w:val="ParaNum"/>
        <w:numPr>
          <w:ilvl w:val="0"/>
          <w:numId w:val="0"/>
        </w:numPr>
        <w:spacing w:after="0" w:line="480" w:lineRule="auto"/>
        <w:rPr>
          <w:szCs w:val="22"/>
        </w:rPr>
      </w:pPr>
      <w:r w:rsidRPr="00BD544D">
        <w:rPr>
          <w:szCs w:val="22"/>
        </w:rPr>
        <w:t>* * * * *</w:t>
      </w:r>
    </w:p>
    <w:p w:rsidR="00A32431" w:rsidRPr="00BD544D" w:rsidP="00A32431" w14:paraId="50ECBADF" w14:textId="77777777">
      <w:pPr>
        <w:pStyle w:val="ParaNum"/>
        <w:numPr>
          <w:ilvl w:val="0"/>
          <w:numId w:val="0"/>
        </w:numPr>
        <w:spacing w:after="0" w:line="480" w:lineRule="auto"/>
        <w:ind w:firstLine="720"/>
        <w:rPr>
          <w:szCs w:val="22"/>
        </w:rPr>
      </w:pPr>
      <w:r w:rsidRPr="00BD544D">
        <w:rPr>
          <w:szCs w:val="22"/>
        </w:rPr>
        <w:t>34.  Amend § 73.3580 by revising paragraphs (a)(1) and (d)(2) to read as follows:</w:t>
      </w:r>
    </w:p>
    <w:p w:rsidR="00A32431" w:rsidRPr="00BD544D" w:rsidP="00A32431" w14:paraId="24C9D3C8" w14:textId="77777777">
      <w:pPr>
        <w:pStyle w:val="ParaNum"/>
        <w:numPr>
          <w:ilvl w:val="0"/>
          <w:numId w:val="0"/>
        </w:numPr>
        <w:spacing w:after="0" w:line="480" w:lineRule="auto"/>
        <w:rPr>
          <w:b/>
          <w:bCs/>
          <w:szCs w:val="22"/>
        </w:rPr>
      </w:pPr>
      <w:r w:rsidRPr="00BD544D">
        <w:rPr>
          <w:b/>
          <w:bCs/>
          <w:szCs w:val="22"/>
        </w:rPr>
        <w:t>§ 73.3580 Local public notice of filing of broadcast applications.</w:t>
      </w:r>
    </w:p>
    <w:p w:rsidR="00A32431" w:rsidRPr="00BD544D" w:rsidP="00A32431" w14:paraId="6DCE602B" w14:textId="77777777">
      <w:pPr>
        <w:pStyle w:val="ParaNum"/>
        <w:numPr>
          <w:ilvl w:val="0"/>
          <w:numId w:val="0"/>
        </w:numPr>
        <w:tabs>
          <w:tab w:val="left" w:pos="0"/>
        </w:tabs>
        <w:spacing w:after="0" w:line="480" w:lineRule="auto"/>
        <w:rPr>
          <w:szCs w:val="22"/>
        </w:rPr>
      </w:pPr>
      <w:r w:rsidRPr="00BD544D">
        <w:rPr>
          <w:szCs w:val="22"/>
        </w:rPr>
        <w:tab/>
        <w:t>(a) * * *</w:t>
      </w:r>
    </w:p>
    <w:p w:rsidR="00A32431" w:rsidRPr="00BD544D" w:rsidP="00A32431" w14:paraId="214C3A86" w14:textId="77777777">
      <w:pPr>
        <w:pStyle w:val="ParaNum"/>
        <w:numPr>
          <w:ilvl w:val="0"/>
          <w:numId w:val="0"/>
        </w:numPr>
        <w:spacing w:after="0" w:line="480" w:lineRule="auto"/>
        <w:rPr>
          <w:szCs w:val="22"/>
        </w:rPr>
      </w:pPr>
      <w:r w:rsidRPr="00BD544D">
        <w:rPr>
          <w:szCs w:val="22"/>
        </w:rPr>
        <w:tab/>
        <w:t xml:space="preserve">(1) </w:t>
      </w:r>
      <w:r w:rsidRPr="00BD544D">
        <w:rPr>
          <w:i/>
          <w:iCs/>
          <w:szCs w:val="22"/>
        </w:rPr>
        <w:t>Acceptance public notice</w:t>
      </w:r>
      <w:r w:rsidRPr="00BD544D">
        <w:rPr>
          <w:szCs w:val="22"/>
        </w:rPr>
        <w:t>. A Commission or Bureau public notice announcing that an application has been accepted for filing, or an equivalent Order accepting for filing applications from a filing window under § 73.7002, § 73.7003 or § 73.872.</w:t>
      </w:r>
    </w:p>
    <w:p w:rsidR="00A32431" w:rsidRPr="00BD544D" w:rsidP="00A32431" w14:paraId="046DE58C" w14:textId="77777777">
      <w:pPr>
        <w:pStyle w:val="ParaNum"/>
        <w:numPr>
          <w:ilvl w:val="0"/>
          <w:numId w:val="0"/>
        </w:numPr>
        <w:spacing w:after="0" w:line="480" w:lineRule="auto"/>
        <w:rPr>
          <w:szCs w:val="22"/>
        </w:rPr>
      </w:pPr>
      <w:r w:rsidRPr="00BD544D">
        <w:rPr>
          <w:szCs w:val="22"/>
        </w:rPr>
        <w:t>* * * * *</w:t>
      </w:r>
    </w:p>
    <w:p w:rsidR="00A32431" w:rsidRPr="00BD544D" w:rsidP="00A32431" w14:paraId="070BEE8D" w14:textId="77777777">
      <w:pPr>
        <w:pStyle w:val="ParaNum"/>
        <w:numPr>
          <w:ilvl w:val="0"/>
          <w:numId w:val="0"/>
        </w:numPr>
        <w:tabs>
          <w:tab w:val="left" w:pos="0"/>
        </w:tabs>
        <w:spacing w:after="0" w:line="480" w:lineRule="auto"/>
        <w:rPr>
          <w:szCs w:val="22"/>
        </w:rPr>
      </w:pPr>
      <w:r w:rsidRPr="00BD544D">
        <w:rPr>
          <w:szCs w:val="22"/>
        </w:rPr>
        <w:tab/>
        <w:t>(d) * * *</w:t>
      </w:r>
    </w:p>
    <w:p w:rsidR="00A32431" w:rsidRPr="00BD544D" w:rsidP="00A32431" w14:paraId="6FCB3DA9" w14:textId="77777777">
      <w:pPr>
        <w:pStyle w:val="ParaNum"/>
        <w:numPr>
          <w:ilvl w:val="0"/>
          <w:numId w:val="0"/>
        </w:numPr>
        <w:spacing w:after="0" w:line="480" w:lineRule="auto"/>
        <w:rPr>
          <w:szCs w:val="22"/>
        </w:rPr>
      </w:pPr>
      <w:r w:rsidRPr="00BD544D">
        <w:rPr>
          <w:szCs w:val="22"/>
        </w:rPr>
        <w:tab/>
        <w:t>(2) Consent to an involuntary assignment or transfer or to a voluntary assignment or transfer which does not result in a change of control and which may be applied for on FCC Form 2100, Schedule 316, or any successor form released in the future, pursuant to the provisions of § 73.3540(b).</w:t>
      </w:r>
    </w:p>
    <w:p w:rsidR="00A32431" w:rsidRPr="00BD544D" w:rsidP="00A32431" w14:paraId="63095D33" w14:textId="77777777">
      <w:pPr>
        <w:pStyle w:val="ParaNum"/>
        <w:numPr>
          <w:ilvl w:val="0"/>
          <w:numId w:val="0"/>
        </w:numPr>
        <w:spacing w:after="0" w:line="480" w:lineRule="auto"/>
        <w:rPr>
          <w:szCs w:val="22"/>
        </w:rPr>
      </w:pPr>
      <w:r w:rsidRPr="00BD544D">
        <w:rPr>
          <w:szCs w:val="22"/>
        </w:rPr>
        <w:t>* * * * *</w:t>
      </w:r>
    </w:p>
    <w:p w:rsidR="00A32431" w:rsidRPr="00BD544D" w:rsidP="00A32431" w14:paraId="79496170" w14:textId="77777777">
      <w:pPr>
        <w:pStyle w:val="ParaNum"/>
        <w:numPr>
          <w:ilvl w:val="0"/>
          <w:numId w:val="0"/>
        </w:numPr>
        <w:spacing w:after="0" w:line="480" w:lineRule="auto"/>
        <w:ind w:firstLine="720"/>
        <w:rPr>
          <w:szCs w:val="22"/>
        </w:rPr>
      </w:pPr>
      <w:r w:rsidRPr="00BD544D">
        <w:rPr>
          <w:szCs w:val="22"/>
        </w:rPr>
        <w:t>35. Amend § 73.3584 by revising paragraphs (a) and (c) and adding paragraph (f) to read as follows:</w:t>
      </w:r>
    </w:p>
    <w:p w:rsidR="00A32431" w:rsidRPr="00BD544D" w:rsidP="00A32431" w14:paraId="0F2C05D1" w14:textId="77777777">
      <w:pPr>
        <w:pStyle w:val="ParaNum"/>
        <w:numPr>
          <w:ilvl w:val="0"/>
          <w:numId w:val="0"/>
        </w:numPr>
        <w:spacing w:after="0" w:line="480" w:lineRule="auto"/>
        <w:rPr>
          <w:b/>
          <w:bCs/>
          <w:szCs w:val="22"/>
        </w:rPr>
      </w:pPr>
      <w:r w:rsidRPr="00BD544D">
        <w:rPr>
          <w:b/>
          <w:bCs/>
          <w:szCs w:val="22"/>
        </w:rPr>
        <w:t>§ 73.3584 Procedure for filing petitions to deny.</w:t>
      </w:r>
    </w:p>
    <w:p w:rsidR="00A32431" w:rsidRPr="00BD544D" w:rsidP="00A32431" w14:paraId="26E7EDC8" w14:textId="77777777">
      <w:pPr>
        <w:pStyle w:val="ParaNum"/>
        <w:numPr>
          <w:ilvl w:val="0"/>
          <w:numId w:val="0"/>
        </w:numPr>
        <w:spacing w:after="0" w:line="480" w:lineRule="auto"/>
        <w:rPr>
          <w:szCs w:val="22"/>
        </w:rPr>
      </w:pPr>
      <w:r w:rsidRPr="00BD544D">
        <w:rPr>
          <w:szCs w:val="22"/>
        </w:rPr>
        <w:tab/>
        <w:t>(a) For mutually exclusive applications subject to selection by competitive bidding (non-reserved channels) or fair distribution/point system (reserved channels), petitions to deny may be filed only against the winning bidders or tentative selectee(s), and such petitions will be governed by §§ 73.5006 and 73.7004, respectively. For all other applications the following rules will govern. Except in the case of applications for new low power TV and TV translator stations, for major changes in the existing facilities of such stations, or for applications for a change in output channel tendered by displaced low power TV and TV translator stations pursuant to § 73.3572(a)(1), any party in interest may file with the Commission a Petition to Deny any application (whether as originally filed or if amended so as to require a new file number pursuant to § 73.3571(j), § 73.3572(b), § 73.3573(b), § 73.3574(b) or § 73.3578) for which local notice pursuant to § 73.3580 is required, provided such petitions are filed prior to the day such applications are granted or designated for hearing; but where the FCC issues a public notice pursuant to the provisions of § 73.3571(c), § 73.3572(c) or § 73.3573(d), establishing a “cut-off” date, such petitions must be filed by the date specified. In the case of applications for transfers and assignments of construction permits or station licenses, Petitions to Deny must be filed not later than 30 days after issuance of a public notice of the acceptance for filing of the applications. In the case of applications for renewal of license, Petitions to Deny may be filed at any time up to the deadline established in paragraph (f) of this section. Requests for extension of time to file Petitions to Deny applications for new broadcast stations or major changes in the facilities of existing stations or applications for renewal of license will not be granted unless all parties concerned, including the applicant, consent to such requests, or unless a compelling showing can be made that unusual circumstances make the filing of a timely petition impossible and the granting of an extension warranted.</w:t>
      </w:r>
    </w:p>
    <w:p w:rsidR="00A32431" w:rsidRPr="00BD544D" w:rsidP="00A32431" w14:paraId="2A99D6BE" w14:textId="77777777">
      <w:pPr>
        <w:pStyle w:val="ParaNum"/>
        <w:numPr>
          <w:ilvl w:val="0"/>
          <w:numId w:val="0"/>
        </w:numPr>
        <w:spacing w:after="0" w:line="480" w:lineRule="auto"/>
        <w:rPr>
          <w:szCs w:val="22"/>
        </w:rPr>
      </w:pPr>
      <w:r w:rsidRPr="00BD544D">
        <w:rPr>
          <w:szCs w:val="22"/>
        </w:rPr>
        <w:t>* * * * *</w:t>
      </w:r>
    </w:p>
    <w:p w:rsidR="00A32431" w:rsidRPr="00BD544D" w:rsidP="00A32431" w14:paraId="6ACFFCA1" w14:textId="77777777">
      <w:pPr>
        <w:pStyle w:val="ParaNum"/>
        <w:numPr>
          <w:ilvl w:val="0"/>
          <w:numId w:val="0"/>
        </w:numPr>
        <w:spacing w:after="0" w:line="480" w:lineRule="auto"/>
        <w:rPr>
          <w:szCs w:val="22"/>
        </w:rPr>
      </w:pPr>
      <w:r w:rsidRPr="00BD544D">
        <w:rPr>
          <w:szCs w:val="22"/>
        </w:rPr>
        <w:tab/>
        <w:t xml:space="preserve">(c) In the case of applications for new low power TV and TV translator stations, for major changes in the existing facilities of such stations, or for applications for a change in output channel tendered by displaced low power TV and TV translator stations pursuant to § 73.3572(a)(1), any party in interest may file with the FCC a Petition to Deny any application (whether as originally filed or if </w:t>
      </w:r>
      <w:r w:rsidRPr="00BD544D">
        <w:rPr>
          <w:szCs w:val="22"/>
        </w:rPr>
        <w:t>amended so as to require a new file number pursuant to § 73.3572(b)) for which local notice pursuant to § 73.3580 is required, provided such petitions are filed within 30 days of the FCC Public Notice proposing the application for grant (applicants may file oppositions within 15 days after the Petition to Deny is filed); but where the FCC selects a tentative permittee pursuant to Section 1.1601 et seq. of this chapter, Petitions to Deny shall be accepted only if directed against the tentative selectee and filed after issuance of and within 15 days of FCC Public Notice announcing the tentative selectee. The applicant may file an opposition within 15 days after the Petition to Deny is filed. In cases in which the minimum diversity preference provided for in § 1.1623(f)(1) of this chapter has been applied, an “objection to diversity claim” and opposition thereto, may be filed against any applicant receiving a diversity preference, within the same time period provided herein for Petitions and Oppositions. In all pleadings, allegations of fact or denials thereof shall be supported by appropriate certification. However, the FCC may announce, by the Public Notice announcing the acceptance of the last-filed mutually exclusive application, that a notice of Petition to Deny will be required to be filed no later than 30 days after issuance of the Public Notice.</w:t>
      </w:r>
    </w:p>
    <w:p w:rsidR="00A32431" w:rsidRPr="00BD544D" w:rsidP="00A32431" w14:paraId="481BA2E0" w14:textId="77777777">
      <w:pPr>
        <w:pStyle w:val="ParaNum"/>
        <w:numPr>
          <w:ilvl w:val="0"/>
          <w:numId w:val="0"/>
        </w:numPr>
        <w:spacing w:after="0" w:line="480" w:lineRule="auto"/>
        <w:rPr>
          <w:szCs w:val="22"/>
        </w:rPr>
      </w:pPr>
      <w:r w:rsidRPr="00BD544D">
        <w:rPr>
          <w:szCs w:val="22"/>
        </w:rPr>
        <w:t>* * * * *</w:t>
      </w:r>
    </w:p>
    <w:p w:rsidR="00A32431" w:rsidRPr="00BD544D" w:rsidP="00A32431" w14:paraId="674444EA" w14:textId="77777777">
      <w:pPr>
        <w:pStyle w:val="ParaNum"/>
        <w:numPr>
          <w:ilvl w:val="0"/>
          <w:numId w:val="0"/>
        </w:numPr>
        <w:tabs>
          <w:tab w:val="left" w:pos="0"/>
        </w:tabs>
        <w:spacing w:after="0" w:line="480" w:lineRule="auto"/>
        <w:rPr>
          <w:szCs w:val="22"/>
        </w:rPr>
      </w:pPr>
      <w:r w:rsidRPr="00BD544D">
        <w:rPr>
          <w:szCs w:val="22"/>
        </w:rPr>
        <w:tab/>
        <w:t>(f) A petition to deny an application for renewal of license of an existing broadcast station will be considered as timely filed if it is filed by the end of the first day of the last full calendar month of the expiring license term.</w:t>
      </w:r>
    </w:p>
    <w:p w:rsidR="00A32431" w:rsidRPr="00BD544D" w:rsidP="00A32431" w14:paraId="4114A12B" w14:textId="77777777">
      <w:pPr>
        <w:pStyle w:val="ParaNum"/>
        <w:numPr>
          <w:ilvl w:val="0"/>
          <w:numId w:val="0"/>
        </w:numPr>
        <w:spacing w:after="0" w:line="480" w:lineRule="auto"/>
        <w:ind w:firstLine="720"/>
        <w:rPr>
          <w:szCs w:val="22"/>
        </w:rPr>
      </w:pPr>
      <w:r w:rsidRPr="00BD544D">
        <w:rPr>
          <w:szCs w:val="22"/>
        </w:rPr>
        <w:t>(1) If the license renewal application is not timely filed as prescribed in § 73.3539, the deadline for filing petitions to deny thereto is the 90th day after the FCC gives public notice that it has accepted the late-filed renewal application for filing.</w:t>
      </w:r>
    </w:p>
    <w:p w:rsidR="00A32431" w:rsidRPr="00BD544D" w:rsidP="00A32431" w14:paraId="4F77D87F" w14:textId="77777777">
      <w:pPr>
        <w:pStyle w:val="ParaNum"/>
        <w:numPr>
          <w:ilvl w:val="0"/>
          <w:numId w:val="0"/>
        </w:numPr>
        <w:spacing w:after="0" w:line="480" w:lineRule="auto"/>
        <w:ind w:firstLine="720"/>
        <w:rPr>
          <w:szCs w:val="22"/>
        </w:rPr>
      </w:pPr>
      <w:r w:rsidRPr="00BD544D">
        <w:rPr>
          <w:szCs w:val="22"/>
        </w:rPr>
        <w:t>(2) If any deadline falls on a nonbusiness day, the cutoff shall be the close of business of the first full business day thereafter.</w:t>
      </w:r>
    </w:p>
    <w:p w:rsidR="00A32431" w:rsidRPr="00BD544D" w:rsidP="00A32431" w14:paraId="43B94CDD" w14:textId="77777777">
      <w:pPr>
        <w:pStyle w:val="ParaNum"/>
        <w:numPr>
          <w:ilvl w:val="0"/>
          <w:numId w:val="0"/>
        </w:numPr>
        <w:spacing w:after="0" w:line="480" w:lineRule="auto"/>
        <w:ind w:firstLine="720"/>
        <w:rPr>
          <w:szCs w:val="22"/>
        </w:rPr>
      </w:pPr>
      <w:r w:rsidRPr="00BD544D">
        <w:rPr>
          <w:szCs w:val="22"/>
        </w:rPr>
        <w:t>(3) The dates when the licenses of all broadcast and broadcast auxiliary services regularly expire are listed in §§ 73.733, 73.1020 and 74.15.</w:t>
      </w:r>
    </w:p>
    <w:p w:rsidR="00A32431" w:rsidRPr="00BD544D" w:rsidP="00A32431" w14:paraId="36C69420" w14:textId="77777777">
      <w:pPr>
        <w:pStyle w:val="ParaNum"/>
        <w:numPr>
          <w:ilvl w:val="0"/>
          <w:numId w:val="0"/>
        </w:numPr>
        <w:spacing w:after="0" w:line="480" w:lineRule="auto"/>
        <w:ind w:firstLine="720"/>
        <w:rPr>
          <w:szCs w:val="22"/>
        </w:rPr>
      </w:pPr>
      <w:r w:rsidRPr="00BD544D">
        <w:rPr>
          <w:szCs w:val="22"/>
        </w:rPr>
        <w:t>36. Amend § 73.3591 by revising paragraphs (b) introductory text and (b)(2) to read as follows:</w:t>
      </w:r>
    </w:p>
    <w:p w:rsidR="00A32431" w:rsidRPr="00BD544D" w:rsidP="00A32431" w14:paraId="7B2D614B" w14:textId="77777777">
      <w:pPr>
        <w:pStyle w:val="ParaNum"/>
        <w:numPr>
          <w:ilvl w:val="0"/>
          <w:numId w:val="0"/>
        </w:numPr>
        <w:spacing w:after="0" w:line="480" w:lineRule="auto"/>
        <w:rPr>
          <w:b/>
          <w:bCs/>
          <w:szCs w:val="22"/>
        </w:rPr>
      </w:pPr>
      <w:r w:rsidRPr="00BD544D">
        <w:rPr>
          <w:b/>
          <w:bCs/>
          <w:szCs w:val="22"/>
        </w:rPr>
        <w:t>§ 73.3591 Grants without hearing.</w:t>
      </w:r>
    </w:p>
    <w:p w:rsidR="00A32431" w:rsidRPr="00BD544D" w:rsidP="00A32431" w14:paraId="16FA7A00" w14:textId="77777777">
      <w:pPr>
        <w:pStyle w:val="ParaNum"/>
        <w:numPr>
          <w:ilvl w:val="0"/>
          <w:numId w:val="0"/>
        </w:numPr>
        <w:spacing w:after="0" w:line="480" w:lineRule="auto"/>
        <w:rPr>
          <w:szCs w:val="22"/>
        </w:rPr>
      </w:pPr>
      <w:r w:rsidRPr="00BD544D">
        <w:rPr>
          <w:szCs w:val="22"/>
        </w:rPr>
        <w:t>* * * * *</w:t>
      </w:r>
    </w:p>
    <w:p w:rsidR="00A32431" w:rsidRPr="00BD544D" w:rsidP="00A32431" w14:paraId="2227204D" w14:textId="77777777">
      <w:pPr>
        <w:pStyle w:val="ParaNum"/>
        <w:numPr>
          <w:ilvl w:val="0"/>
          <w:numId w:val="0"/>
        </w:numPr>
        <w:tabs>
          <w:tab w:val="left" w:pos="0"/>
        </w:tabs>
        <w:spacing w:after="0" w:line="480" w:lineRule="auto"/>
        <w:rPr>
          <w:szCs w:val="22"/>
        </w:rPr>
      </w:pPr>
      <w:r w:rsidRPr="00BD544D">
        <w:rPr>
          <w:szCs w:val="22"/>
        </w:rPr>
        <w:tab/>
        <w:t>(b) In making its determinations pursuant to the provisions of paragraph (a) of this section, the FCC will not consider any other application, or any application if amended so as to require a new file number, as being mutually exclusive or in conflict with the application under consideration unless such other application was substantially complete, and filed by:</w:t>
      </w:r>
    </w:p>
    <w:p w:rsidR="00A32431" w:rsidRPr="00BD544D" w:rsidP="00A32431" w14:paraId="520EFCB1" w14:textId="77777777">
      <w:pPr>
        <w:pStyle w:val="ParaNum"/>
        <w:numPr>
          <w:ilvl w:val="0"/>
          <w:numId w:val="0"/>
        </w:numPr>
        <w:spacing w:after="0" w:line="480" w:lineRule="auto"/>
        <w:rPr>
          <w:szCs w:val="22"/>
        </w:rPr>
      </w:pPr>
      <w:r w:rsidRPr="00BD544D">
        <w:rPr>
          <w:szCs w:val="22"/>
        </w:rPr>
        <w:t>* * * * *</w:t>
      </w:r>
    </w:p>
    <w:p w:rsidR="00A32431" w:rsidRPr="00BD544D" w:rsidP="00A32431" w14:paraId="24010086" w14:textId="77777777">
      <w:pPr>
        <w:pStyle w:val="ParaNum"/>
        <w:numPr>
          <w:ilvl w:val="0"/>
          <w:numId w:val="0"/>
        </w:numPr>
        <w:spacing w:after="0" w:line="480" w:lineRule="auto"/>
        <w:rPr>
          <w:szCs w:val="22"/>
        </w:rPr>
      </w:pPr>
      <w:r w:rsidRPr="00BD544D">
        <w:rPr>
          <w:szCs w:val="22"/>
        </w:rPr>
        <w:tab/>
        <w:t>(2) The date prescribed in § 73.3584(f)</w:t>
      </w:r>
      <w:r w:rsidRPr="00BD544D">
        <w:rPr>
          <w:b/>
          <w:bCs/>
          <w:szCs w:val="22"/>
        </w:rPr>
        <w:t xml:space="preserve"> </w:t>
      </w:r>
      <w:r w:rsidRPr="00BD544D">
        <w:rPr>
          <w:szCs w:val="22"/>
        </w:rPr>
        <w:t>in the case of applications which are mutually exclusive with applications for renewal of license of broadcast stations; or</w:t>
      </w:r>
    </w:p>
    <w:p w:rsidR="00A32431" w:rsidRPr="00BD544D" w:rsidP="00A32431" w14:paraId="557DCF93" w14:textId="77777777">
      <w:pPr>
        <w:pStyle w:val="ParaNum"/>
        <w:numPr>
          <w:ilvl w:val="0"/>
          <w:numId w:val="0"/>
        </w:numPr>
        <w:spacing w:after="0" w:line="480" w:lineRule="auto"/>
        <w:rPr>
          <w:szCs w:val="22"/>
        </w:rPr>
      </w:pPr>
      <w:r w:rsidRPr="00BD544D">
        <w:rPr>
          <w:szCs w:val="22"/>
        </w:rPr>
        <w:t>* * * * *</w:t>
      </w:r>
    </w:p>
    <w:p w:rsidR="00A32431" w:rsidRPr="00BD544D" w:rsidP="00A32431" w14:paraId="56910B66" w14:textId="77777777">
      <w:pPr>
        <w:pStyle w:val="ParaNum"/>
        <w:numPr>
          <w:ilvl w:val="0"/>
          <w:numId w:val="0"/>
        </w:numPr>
        <w:spacing w:after="0" w:line="480" w:lineRule="auto"/>
        <w:ind w:firstLine="720"/>
        <w:rPr>
          <w:szCs w:val="22"/>
        </w:rPr>
      </w:pPr>
      <w:r w:rsidRPr="00BD544D">
        <w:rPr>
          <w:szCs w:val="22"/>
        </w:rPr>
        <w:t>37. Amend § 73.3597 by revising paragraph (b)(2) to read as follows:</w:t>
      </w:r>
    </w:p>
    <w:p w:rsidR="00A32431" w:rsidRPr="00BD544D" w:rsidP="00A32431" w14:paraId="156F2F75" w14:textId="77777777">
      <w:pPr>
        <w:pStyle w:val="ParaNum"/>
        <w:numPr>
          <w:ilvl w:val="0"/>
          <w:numId w:val="0"/>
        </w:numPr>
        <w:spacing w:after="0" w:line="480" w:lineRule="auto"/>
        <w:rPr>
          <w:b/>
          <w:bCs/>
          <w:szCs w:val="22"/>
        </w:rPr>
      </w:pPr>
      <w:r w:rsidRPr="00BD544D">
        <w:rPr>
          <w:b/>
          <w:bCs/>
          <w:szCs w:val="22"/>
        </w:rPr>
        <w:t>§ 73.3597 Procedures on transfer and assignment applications.</w:t>
      </w:r>
    </w:p>
    <w:p w:rsidR="00A32431" w:rsidRPr="00BD544D" w:rsidP="00A32431" w14:paraId="657C6874" w14:textId="77777777">
      <w:pPr>
        <w:pStyle w:val="ParaNum"/>
        <w:numPr>
          <w:ilvl w:val="0"/>
          <w:numId w:val="0"/>
        </w:numPr>
        <w:spacing w:after="0" w:line="480" w:lineRule="auto"/>
        <w:rPr>
          <w:szCs w:val="22"/>
        </w:rPr>
      </w:pPr>
      <w:r w:rsidRPr="00BD544D">
        <w:rPr>
          <w:szCs w:val="22"/>
        </w:rPr>
        <w:t>* * * * *</w:t>
      </w:r>
    </w:p>
    <w:p w:rsidR="00A32431" w:rsidRPr="00BD544D" w:rsidP="00A32431" w14:paraId="70C018E2" w14:textId="77777777">
      <w:pPr>
        <w:pStyle w:val="ParaNum"/>
        <w:numPr>
          <w:ilvl w:val="0"/>
          <w:numId w:val="0"/>
        </w:numPr>
        <w:tabs>
          <w:tab w:val="left" w:pos="0"/>
        </w:tabs>
        <w:spacing w:after="0" w:line="480" w:lineRule="auto"/>
        <w:rPr>
          <w:szCs w:val="22"/>
        </w:rPr>
      </w:pPr>
      <w:r w:rsidRPr="00BD544D">
        <w:rPr>
          <w:szCs w:val="22"/>
        </w:rPr>
        <w:tab/>
        <w:t>(b) * * *</w:t>
      </w:r>
    </w:p>
    <w:p w:rsidR="00A32431" w:rsidRPr="00BD544D" w:rsidP="00A32431" w14:paraId="148781C7" w14:textId="77777777">
      <w:pPr>
        <w:pStyle w:val="ParaNum"/>
        <w:numPr>
          <w:ilvl w:val="0"/>
          <w:numId w:val="0"/>
        </w:numPr>
        <w:spacing w:after="0" w:line="480" w:lineRule="auto"/>
        <w:rPr>
          <w:szCs w:val="22"/>
        </w:rPr>
      </w:pPr>
      <w:r w:rsidRPr="00BD544D">
        <w:rPr>
          <w:szCs w:val="22"/>
        </w:rPr>
        <w:tab/>
        <w:t>(2) In determining whether the station has been operating on-air for one year, the FCC will calculate the period between the date of initiation of program tests (as specified in paragraph (b)(1) of this section) and the date the application for transfer or assignment is filed with the FCC.</w:t>
      </w:r>
    </w:p>
    <w:p w:rsidR="00A32431" w:rsidRPr="00BD544D" w:rsidP="00A32431" w14:paraId="2D8A6385" w14:textId="77777777">
      <w:pPr>
        <w:pStyle w:val="ParaNum"/>
        <w:numPr>
          <w:ilvl w:val="0"/>
          <w:numId w:val="0"/>
        </w:numPr>
        <w:spacing w:after="0" w:line="480" w:lineRule="auto"/>
        <w:rPr>
          <w:szCs w:val="22"/>
        </w:rPr>
      </w:pPr>
      <w:r w:rsidRPr="00BD544D">
        <w:rPr>
          <w:szCs w:val="22"/>
        </w:rPr>
        <w:t>* * * * *</w:t>
      </w:r>
    </w:p>
    <w:p w:rsidR="00A32431" w:rsidRPr="00BD544D" w:rsidP="00A32431" w14:paraId="3118AFF2" w14:textId="242C1903">
      <w:pPr>
        <w:pStyle w:val="ParaNum"/>
        <w:numPr>
          <w:ilvl w:val="0"/>
          <w:numId w:val="0"/>
        </w:numPr>
        <w:spacing w:after="0" w:line="480" w:lineRule="auto"/>
        <w:ind w:firstLine="720"/>
        <w:rPr>
          <w:szCs w:val="22"/>
        </w:rPr>
      </w:pPr>
      <w:r w:rsidRPr="00BD544D">
        <w:rPr>
          <w:szCs w:val="22"/>
        </w:rPr>
        <w:t>38. Amend § 73.3700 by revising paragraph (b)(5)(iv)</w:t>
      </w:r>
      <w:r w:rsidRPr="00BD544D" w:rsidR="00491658">
        <w:rPr>
          <w:szCs w:val="22"/>
        </w:rPr>
        <w:t>,</w:t>
      </w:r>
      <w:r w:rsidRPr="00BD544D">
        <w:rPr>
          <w:szCs w:val="22"/>
        </w:rPr>
        <w:t xml:space="preserve"> and removing and reserving paragraph (c)</w:t>
      </w:r>
      <w:r w:rsidRPr="00BD544D" w:rsidR="00491658">
        <w:rPr>
          <w:szCs w:val="22"/>
        </w:rPr>
        <w:t>,</w:t>
      </w:r>
      <w:r w:rsidRPr="00BD544D">
        <w:rPr>
          <w:szCs w:val="22"/>
        </w:rPr>
        <w:t xml:space="preserve"> and</w:t>
      </w:r>
      <w:r w:rsidRPr="00BD544D" w:rsidR="00BA05D8">
        <w:rPr>
          <w:szCs w:val="22"/>
        </w:rPr>
        <w:t xml:space="preserve"> removing paragraph</w:t>
      </w:r>
      <w:r w:rsidRPr="00BD544D">
        <w:rPr>
          <w:szCs w:val="22"/>
        </w:rPr>
        <w:t xml:space="preserve"> (</w:t>
      </w:r>
      <w:r w:rsidRPr="00BD544D">
        <w:rPr>
          <w:szCs w:val="22"/>
        </w:rPr>
        <w:t>i</w:t>
      </w:r>
      <w:r w:rsidRPr="00BD544D">
        <w:rPr>
          <w:szCs w:val="22"/>
        </w:rPr>
        <w:t xml:space="preserve">).  </w:t>
      </w:r>
    </w:p>
    <w:p w:rsidR="00A32431" w:rsidRPr="00BD544D" w:rsidP="00A32431" w14:paraId="1B22AD75" w14:textId="77777777">
      <w:pPr>
        <w:pStyle w:val="ParaNum"/>
        <w:numPr>
          <w:ilvl w:val="0"/>
          <w:numId w:val="0"/>
        </w:numPr>
        <w:spacing w:after="0" w:line="480" w:lineRule="auto"/>
        <w:ind w:firstLine="720"/>
        <w:rPr>
          <w:szCs w:val="22"/>
        </w:rPr>
      </w:pPr>
      <w:r w:rsidRPr="00BD544D">
        <w:rPr>
          <w:szCs w:val="22"/>
        </w:rPr>
        <w:t>The revision reads as follows:</w:t>
      </w:r>
    </w:p>
    <w:p w:rsidR="00A32431" w:rsidRPr="00BD544D" w:rsidP="00A32431" w14:paraId="1C65337A" w14:textId="77777777">
      <w:pPr>
        <w:pStyle w:val="ParaNum"/>
        <w:numPr>
          <w:ilvl w:val="0"/>
          <w:numId w:val="0"/>
        </w:numPr>
        <w:spacing w:after="0" w:line="480" w:lineRule="auto"/>
        <w:rPr>
          <w:szCs w:val="22"/>
        </w:rPr>
      </w:pPr>
      <w:r w:rsidRPr="00BD544D">
        <w:rPr>
          <w:b/>
          <w:bCs/>
          <w:szCs w:val="22"/>
        </w:rPr>
        <w:t>§ 73.3700 Post-incentive auction licensing and operation.</w:t>
      </w:r>
    </w:p>
    <w:p w:rsidR="00A32431" w:rsidRPr="00BD544D" w:rsidP="00A32431" w14:paraId="71749E38" w14:textId="77777777">
      <w:pPr>
        <w:pStyle w:val="ParaNum"/>
        <w:numPr>
          <w:ilvl w:val="0"/>
          <w:numId w:val="0"/>
        </w:numPr>
        <w:spacing w:after="0" w:line="480" w:lineRule="auto"/>
        <w:rPr>
          <w:szCs w:val="22"/>
        </w:rPr>
      </w:pPr>
      <w:r w:rsidRPr="00BD544D">
        <w:rPr>
          <w:szCs w:val="22"/>
        </w:rPr>
        <w:t>* * * * *</w:t>
      </w:r>
    </w:p>
    <w:p w:rsidR="00A32431" w:rsidRPr="00BD544D" w:rsidP="00A32431" w14:paraId="21E6AE73" w14:textId="77777777">
      <w:pPr>
        <w:pStyle w:val="ParaNum"/>
        <w:numPr>
          <w:ilvl w:val="0"/>
          <w:numId w:val="0"/>
        </w:numPr>
        <w:spacing w:after="0" w:line="480" w:lineRule="auto"/>
        <w:rPr>
          <w:szCs w:val="22"/>
        </w:rPr>
      </w:pPr>
      <w:r w:rsidRPr="00BD544D">
        <w:rPr>
          <w:szCs w:val="22"/>
        </w:rPr>
        <w:tab/>
        <w:t>(b) * * *</w:t>
      </w:r>
    </w:p>
    <w:p w:rsidR="00A32431" w:rsidRPr="00BD544D" w:rsidP="00A32431" w14:paraId="29BF3F08" w14:textId="77777777">
      <w:pPr>
        <w:pStyle w:val="ParaNum"/>
        <w:numPr>
          <w:ilvl w:val="0"/>
          <w:numId w:val="0"/>
        </w:numPr>
        <w:spacing w:after="0" w:line="480" w:lineRule="auto"/>
        <w:ind w:left="720"/>
        <w:rPr>
          <w:szCs w:val="22"/>
        </w:rPr>
      </w:pPr>
      <w:r w:rsidRPr="00BD544D">
        <w:rPr>
          <w:szCs w:val="22"/>
        </w:rPr>
        <w:t>(5) * * *</w:t>
      </w:r>
    </w:p>
    <w:p w:rsidR="00A32431" w:rsidRPr="00BD544D" w:rsidP="00A32431" w14:paraId="28E1D3CC" w14:textId="77777777">
      <w:pPr>
        <w:pStyle w:val="ParaNum"/>
        <w:numPr>
          <w:ilvl w:val="0"/>
          <w:numId w:val="0"/>
        </w:numPr>
        <w:spacing w:after="0" w:line="480" w:lineRule="auto"/>
        <w:rPr>
          <w:szCs w:val="22"/>
        </w:rPr>
      </w:pPr>
      <w:r w:rsidRPr="00BD544D">
        <w:rPr>
          <w:szCs w:val="22"/>
        </w:rPr>
        <w:tab/>
        <w:t>(iv) Applications for additional time to complete construction must be filed electronically in LMS using FCC Form 337 no less than 90 days before the expiration of the construction permit.</w:t>
      </w:r>
    </w:p>
    <w:p w:rsidR="00A32431" w:rsidRPr="00BD544D" w:rsidP="00A32431" w14:paraId="7A87144B" w14:textId="77777777">
      <w:pPr>
        <w:pStyle w:val="ParaNum"/>
        <w:numPr>
          <w:ilvl w:val="0"/>
          <w:numId w:val="0"/>
        </w:numPr>
        <w:spacing w:after="0" w:line="480" w:lineRule="auto"/>
        <w:rPr>
          <w:szCs w:val="22"/>
        </w:rPr>
      </w:pPr>
      <w:r w:rsidRPr="00BD544D">
        <w:rPr>
          <w:szCs w:val="22"/>
        </w:rPr>
        <w:t>* * * * *</w:t>
      </w:r>
    </w:p>
    <w:p w:rsidR="00A32431" w:rsidRPr="00BD544D" w:rsidP="00A32431" w14:paraId="2B22839F" w14:textId="77777777">
      <w:pPr>
        <w:pStyle w:val="ParaNum"/>
        <w:numPr>
          <w:ilvl w:val="0"/>
          <w:numId w:val="0"/>
        </w:numPr>
        <w:spacing w:after="0" w:line="480" w:lineRule="auto"/>
        <w:ind w:firstLine="720"/>
        <w:rPr>
          <w:szCs w:val="22"/>
        </w:rPr>
      </w:pPr>
      <w:r w:rsidRPr="00BD544D">
        <w:rPr>
          <w:szCs w:val="22"/>
        </w:rPr>
        <w:t>39. Amend § 73.3801 by revising paragraph (h)(4)(</w:t>
      </w:r>
      <w:r w:rsidRPr="00BD544D">
        <w:rPr>
          <w:szCs w:val="22"/>
        </w:rPr>
        <w:t>i</w:t>
      </w:r>
      <w:r w:rsidRPr="00BD544D">
        <w:rPr>
          <w:szCs w:val="22"/>
        </w:rPr>
        <w:t>) to read as follows:</w:t>
      </w:r>
    </w:p>
    <w:p w:rsidR="00A32431" w:rsidRPr="00BD544D" w:rsidP="00A32431" w14:paraId="662046B2" w14:textId="77777777">
      <w:pPr>
        <w:pStyle w:val="ParaNum"/>
        <w:numPr>
          <w:ilvl w:val="0"/>
          <w:numId w:val="0"/>
        </w:numPr>
        <w:spacing w:after="0" w:line="480" w:lineRule="auto"/>
        <w:rPr>
          <w:szCs w:val="22"/>
        </w:rPr>
      </w:pPr>
      <w:r w:rsidRPr="00BD544D">
        <w:rPr>
          <w:b/>
          <w:bCs/>
          <w:szCs w:val="22"/>
        </w:rPr>
        <w:t>§ 73.3801 Full power television simulcasting during the ATSC 3.0 (Next Gen TV) transition.</w:t>
      </w:r>
    </w:p>
    <w:p w:rsidR="00A32431" w:rsidRPr="00BD544D" w:rsidP="00A32431" w14:paraId="7F4515FE" w14:textId="77777777">
      <w:pPr>
        <w:pStyle w:val="ParaNum"/>
        <w:numPr>
          <w:ilvl w:val="0"/>
          <w:numId w:val="0"/>
        </w:numPr>
        <w:spacing w:after="0" w:line="480" w:lineRule="auto"/>
        <w:rPr>
          <w:szCs w:val="22"/>
        </w:rPr>
      </w:pPr>
      <w:r w:rsidRPr="00BD544D">
        <w:rPr>
          <w:szCs w:val="22"/>
        </w:rPr>
        <w:t>* * * * *</w:t>
      </w:r>
    </w:p>
    <w:p w:rsidR="00A32431" w:rsidRPr="00BD544D" w:rsidP="00A32431" w14:paraId="1869B0BB" w14:textId="77777777">
      <w:pPr>
        <w:pStyle w:val="ParaNum"/>
        <w:numPr>
          <w:ilvl w:val="0"/>
          <w:numId w:val="0"/>
        </w:numPr>
        <w:spacing w:after="0" w:line="480" w:lineRule="auto"/>
        <w:rPr>
          <w:szCs w:val="22"/>
        </w:rPr>
      </w:pPr>
      <w:r w:rsidRPr="00BD544D">
        <w:rPr>
          <w:szCs w:val="22"/>
        </w:rPr>
        <w:tab/>
        <w:t>(h) * * *</w:t>
      </w:r>
    </w:p>
    <w:p w:rsidR="00A32431" w:rsidRPr="00BD544D" w:rsidP="00A32431" w14:paraId="29ADA85D" w14:textId="77777777">
      <w:pPr>
        <w:pStyle w:val="ParaNum"/>
        <w:numPr>
          <w:ilvl w:val="0"/>
          <w:numId w:val="0"/>
        </w:numPr>
        <w:spacing w:after="0" w:line="480" w:lineRule="auto"/>
        <w:ind w:left="720"/>
        <w:rPr>
          <w:szCs w:val="22"/>
        </w:rPr>
      </w:pPr>
      <w:r w:rsidRPr="00BD544D">
        <w:rPr>
          <w:szCs w:val="22"/>
        </w:rPr>
        <w:t>(4) * * *</w:t>
      </w:r>
    </w:p>
    <w:p w:rsidR="00A32431" w:rsidRPr="00BD544D" w:rsidP="00A32431" w14:paraId="0620B4A1" w14:textId="77777777">
      <w:pPr>
        <w:pStyle w:val="ParaNum"/>
        <w:numPr>
          <w:ilvl w:val="0"/>
          <w:numId w:val="0"/>
        </w:numPr>
        <w:spacing w:after="0" w:line="480" w:lineRule="auto"/>
        <w:rPr>
          <w:szCs w:val="22"/>
        </w:rPr>
      </w:pPr>
      <w:r w:rsidRPr="00BD544D">
        <w:rPr>
          <w:szCs w:val="22"/>
        </w:rPr>
        <w:tab/>
        <w:t>(</w:t>
      </w:r>
      <w:r w:rsidRPr="00BD544D">
        <w:rPr>
          <w:szCs w:val="22"/>
        </w:rPr>
        <w:t>i</w:t>
      </w:r>
      <w:r w:rsidRPr="00BD544D">
        <w:rPr>
          <w:szCs w:val="22"/>
        </w:rPr>
        <w:t>) Next Gen TV stations must provide notice at least 90 days in advance of relocating their ATSC 1.0 signals.</w:t>
      </w:r>
    </w:p>
    <w:p w:rsidR="00A32431" w:rsidRPr="00BD544D" w:rsidP="00A32431" w14:paraId="2FBE4AD9" w14:textId="77777777">
      <w:pPr>
        <w:pStyle w:val="ParaNum"/>
        <w:numPr>
          <w:ilvl w:val="0"/>
          <w:numId w:val="0"/>
        </w:numPr>
        <w:spacing w:after="0" w:line="480" w:lineRule="auto"/>
        <w:rPr>
          <w:szCs w:val="22"/>
        </w:rPr>
      </w:pPr>
      <w:r w:rsidRPr="00BD544D">
        <w:rPr>
          <w:szCs w:val="22"/>
        </w:rPr>
        <w:t>* * * * *</w:t>
      </w:r>
    </w:p>
    <w:p w:rsidR="00A32431" w:rsidRPr="00BD544D" w:rsidP="00A32431" w14:paraId="324A2FD0" w14:textId="77777777">
      <w:pPr>
        <w:pStyle w:val="ParaNum"/>
        <w:numPr>
          <w:ilvl w:val="0"/>
          <w:numId w:val="0"/>
        </w:numPr>
        <w:spacing w:after="0" w:line="480" w:lineRule="auto"/>
        <w:ind w:firstLine="720"/>
        <w:rPr>
          <w:szCs w:val="22"/>
        </w:rPr>
      </w:pPr>
      <w:r w:rsidRPr="00BD544D">
        <w:rPr>
          <w:szCs w:val="22"/>
        </w:rPr>
        <w:t>40. Amend § 73.5002 by revising the second sentence of paragraph (b) to read as follows:</w:t>
      </w:r>
    </w:p>
    <w:p w:rsidR="00A32431" w:rsidRPr="00BD544D" w:rsidP="00A32431" w14:paraId="63191541" w14:textId="77777777">
      <w:pPr>
        <w:pStyle w:val="ParaNum"/>
        <w:numPr>
          <w:ilvl w:val="0"/>
          <w:numId w:val="0"/>
        </w:numPr>
        <w:spacing w:after="0" w:line="480" w:lineRule="auto"/>
        <w:rPr>
          <w:szCs w:val="22"/>
        </w:rPr>
      </w:pPr>
      <w:r w:rsidRPr="00BD544D">
        <w:rPr>
          <w:b/>
          <w:bCs/>
          <w:szCs w:val="22"/>
        </w:rPr>
        <w:t>§ 73.5002 Application and certification procedures; return of mutually exclusive applications not subject to competitive bidding procedures; prohibition of collusion.</w:t>
      </w:r>
    </w:p>
    <w:p w:rsidR="00A32431" w:rsidRPr="00BD544D" w:rsidP="00A32431" w14:paraId="54513E85" w14:textId="77777777">
      <w:pPr>
        <w:pStyle w:val="ParaNum"/>
        <w:numPr>
          <w:ilvl w:val="0"/>
          <w:numId w:val="0"/>
        </w:numPr>
        <w:spacing w:after="0" w:line="480" w:lineRule="auto"/>
        <w:rPr>
          <w:szCs w:val="22"/>
        </w:rPr>
      </w:pPr>
      <w:r w:rsidRPr="00BD544D">
        <w:rPr>
          <w:szCs w:val="22"/>
        </w:rPr>
        <w:t>* * * * *</w:t>
      </w:r>
    </w:p>
    <w:p w:rsidR="00A32431" w:rsidRPr="00BD544D" w:rsidP="00A32431" w14:paraId="4BD86156" w14:textId="77777777">
      <w:pPr>
        <w:pStyle w:val="ParaNum"/>
        <w:numPr>
          <w:ilvl w:val="0"/>
          <w:numId w:val="0"/>
        </w:numPr>
        <w:spacing w:after="0" w:line="480" w:lineRule="auto"/>
        <w:rPr>
          <w:szCs w:val="22"/>
        </w:rPr>
      </w:pPr>
      <w:r w:rsidRPr="00BD544D">
        <w:rPr>
          <w:szCs w:val="22"/>
        </w:rPr>
        <w:tab/>
        <w:t>(b) * * * So determinations of mutual exclusivity for auction purposes can be made, applicants for non-table broadcast services must also submit the engineering data contained in the appropriate FCC application FCC Form 2100, Schedule 301, 346, or 349.</w:t>
      </w:r>
    </w:p>
    <w:p w:rsidR="00A32431" w:rsidRPr="00BD544D" w:rsidP="00A32431" w14:paraId="471B0518" w14:textId="77777777">
      <w:pPr>
        <w:pStyle w:val="ParaNum"/>
        <w:numPr>
          <w:ilvl w:val="0"/>
          <w:numId w:val="0"/>
        </w:numPr>
        <w:spacing w:after="0" w:line="480" w:lineRule="auto"/>
        <w:rPr>
          <w:szCs w:val="22"/>
        </w:rPr>
      </w:pPr>
      <w:r w:rsidRPr="00BD544D">
        <w:rPr>
          <w:szCs w:val="22"/>
        </w:rPr>
        <w:t>* * * * *</w:t>
      </w:r>
    </w:p>
    <w:p w:rsidR="00A32431" w:rsidRPr="00BD544D" w:rsidP="00A32431" w14:paraId="729F5649" w14:textId="77777777">
      <w:pPr>
        <w:pStyle w:val="ParaNum"/>
        <w:numPr>
          <w:ilvl w:val="0"/>
          <w:numId w:val="0"/>
        </w:numPr>
        <w:spacing w:after="0" w:line="480" w:lineRule="auto"/>
        <w:ind w:firstLine="720"/>
        <w:rPr>
          <w:szCs w:val="22"/>
        </w:rPr>
      </w:pPr>
      <w:r w:rsidRPr="00BD544D">
        <w:rPr>
          <w:szCs w:val="22"/>
        </w:rPr>
        <w:t>41. Amend § 73.6029 by revising paragraph (h)(4)(</w:t>
      </w:r>
      <w:r w:rsidRPr="00BD544D">
        <w:rPr>
          <w:szCs w:val="22"/>
        </w:rPr>
        <w:t>i</w:t>
      </w:r>
      <w:r w:rsidRPr="00BD544D">
        <w:rPr>
          <w:szCs w:val="22"/>
        </w:rPr>
        <w:t>) to read as follows:</w:t>
      </w:r>
    </w:p>
    <w:p w:rsidR="00A32431" w:rsidRPr="00BD544D" w:rsidP="00A32431" w14:paraId="65BE364A" w14:textId="77777777">
      <w:pPr>
        <w:pStyle w:val="ParaNum"/>
        <w:numPr>
          <w:ilvl w:val="0"/>
          <w:numId w:val="0"/>
        </w:numPr>
        <w:spacing w:after="0" w:line="480" w:lineRule="auto"/>
        <w:rPr>
          <w:szCs w:val="22"/>
        </w:rPr>
      </w:pPr>
      <w:r w:rsidRPr="00BD544D">
        <w:rPr>
          <w:b/>
          <w:bCs/>
          <w:szCs w:val="22"/>
        </w:rPr>
        <w:t>§ 73.6029 Class A television simulcasting during the ATSC 3.0 (Next Gen TV) transition.</w:t>
      </w:r>
    </w:p>
    <w:p w:rsidR="00A32431" w:rsidRPr="00BD544D" w:rsidP="00A32431" w14:paraId="4D3593D1" w14:textId="77777777">
      <w:pPr>
        <w:pStyle w:val="ParaNum"/>
        <w:numPr>
          <w:ilvl w:val="0"/>
          <w:numId w:val="0"/>
        </w:numPr>
        <w:spacing w:after="0" w:line="480" w:lineRule="auto"/>
        <w:rPr>
          <w:szCs w:val="22"/>
        </w:rPr>
      </w:pPr>
      <w:r w:rsidRPr="00BD544D">
        <w:rPr>
          <w:szCs w:val="22"/>
        </w:rPr>
        <w:t>* * * * *</w:t>
      </w:r>
    </w:p>
    <w:p w:rsidR="00A32431" w:rsidRPr="00BD544D" w:rsidP="00A32431" w14:paraId="1B749816" w14:textId="77777777">
      <w:pPr>
        <w:pStyle w:val="ParaNum"/>
        <w:numPr>
          <w:ilvl w:val="0"/>
          <w:numId w:val="0"/>
        </w:numPr>
        <w:spacing w:after="0" w:line="480" w:lineRule="auto"/>
        <w:rPr>
          <w:szCs w:val="22"/>
        </w:rPr>
      </w:pPr>
      <w:r w:rsidRPr="00BD544D">
        <w:rPr>
          <w:szCs w:val="22"/>
        </w:rPr>
        <w:tab/>
        <w:t>(h) * * *</w:t>
      </w:r>
    </w:p>
    <w:p w:rsidR="00A32431" w:rsidRPr="00BD544D" w:rsidP="00A32431" w14:paraId="62FB51B1" w14:textId="77777777">
      <w:pPr>
        <w:pStyle w:val="ParaNum"/>
        <w:numPr>
          <w:ilvl w:val="0"/>
          <w:numId w:val="0"/>
        </w:numPr>
        <w:spacing w:after="0" w:line="480" w:lineRule="auto"/>
        <w:ind w:left="720"/>
        <w:rPr>
          <w:szCs w:val="22"/>
        </w:rPr>
      </w:pPr>
      <w:r w:rsidRPr="00BD544D">
        <w:rPr>
          <w:szCs w:val="22"/>
        </w:rPr>
        <w:t>(4) * * *</w:t>
      </w:r>
    </w:p>
    <w:p w:rsidR="00A32431" w:rsidRPr="00BD544D" w:rsidP="00A32431" w14:paraId="5E79DB00" w14:textId="77777777">
      <w:pPr>
        <w:spacing w:line="480" w:lineRule="auto"/>
        <w:rPr>
          <w:strike/>
          <w:szCs w:val="22"/>
        </w:rPr>
      </w:pPr>
      <w:r w:rsidRPr="00BD544D">
        <w:rPr>
          <w:szCs w:val="22"/>
        </w:rPr>
        <w:tab/>
        <w:t>(</w:t>
      </w:r>
      <w:r w:rsidRPr="00BD544D">
        <w:rPr>
          <w:szCs w:val="22"/>
        </w:rPr>
        <w:t>i</w:t>
      </w:r>
      <w:r w:rsidRPr="00BD544D">
        <w:rPr>
          <w:szCs w:val="22"/>
        </w:rPr>
        <w:t>) Next Gen TV stations must provide notice at least 90 days in advance of relocating their ATSC 1.0 signals.</w:t>
      </w:r>
    </w:p>
    <w:p w:rsidR="00A32431" w:rsidRPr="00BD544D" w:rsidP="00A32431" w14:paraId="03D377D4" w14:textId="77777777">
      <w:pPr>
        <w:pStyle w:val="ParaNum"/>
        <w:numPr>
          <w:ilvl w:val="0"/>
          <w:numId w:val="0"/>
        </w:numPr>
        <w:spacing w:after="0" w:line="480" w:lineRule="auto"/>
        <w:rPr>
          <w:szCs w:val="22"/>
        </w:rPr>
      </w:pPr>
      <w:r w:rsidRPr="00BD544D">
        <w:rPr>
          <w:szCs w:val="22"/>
        </w:rPr>
        <w:t>* * * * *</w:t>
      </w:r>
    </w:p>
    <w:p w:rsidR="00A32431" w:rsidRPr="00BD544D" w:rsidP="00A32431" w14:paraId="62A8B7E9" w14:textId="77777777">
      <w:pPr>
        <w:pStyle w:val="ParaNum"/>
        <w:numPr>
          <w:ilvl w:val="0"/>
          <w:numId w:val="0"/>
        </w:numPr>
        <w:spacing w:after="0" w:line="480" w:lineRule="auto"/>
        <w:ind w:firstLine="720"/>
        <w:rPr>
          <w:szCs w:val="22"/>
        </w:rPr>
      </w:pPr>
      <w:r w:rsidRPr="00BD544D">
        <w:rPr>
          <w:szCs w:val="22"/>
        </w:rPr>
        <w:t>42.  Amend § 73.7002 by revising paragraph (b) to read as follows:</w:t>
      </w:r>
    </w:p>
    <w:p w:rsidR="00A32431" w:rsidRPr="00BD544D" w:rsidP="00A32431" w14:paraId="7DA452D0" w14:textId="77777777">
      <w:pPr>
        <w:pStyle w:val="ParaNum"/>
        <w:numPr>
          <w:ilvl w:val="0"/>
          <w:numId w:val="0"/>
        </w:numPr>
        <w:spacing w:after="0" w:line="480" w:lineRule="auto"/>
        <w:rPr>
          <w:b/>
          <w:bCs/>
          <w:szCs w:val="22"/>
        </w:rPr>
      </w:pPr>
      <w:r w:rsidRPr="00BD544D">
        <w:rPr>
          <w:b/>
          <w:bCs/>
          <w:szCs w:val="22"/>
        </w:rPr>
        <w:t>§ 73.7002 Fair distribution of service on reserved band FM channels.</w:t>
      </w:r>
    </w:p>
    <w:p w:rsidR="00A32431" w:rsidRPr="00BD544D" w:rsidP="00A32431" w14:paraId="2409E85B" w14:textId="77777777">
      <w:pPr>
        <w:pStyle w:val="ParaNum"/>
        <w:numPr>
          <w:ilvl w:val="0"/>
          <w:numId w:val="0"/>
        </w:numPr>
        <w:spacing w:after="0" w:line="480" w:lineRule="auto"/>
        <w:rPr>
          <w:szCs w:val="22"/>
        </w:rPr>
      </w:pPr>
      <w:r w:rsidRPr="00BD544D">
        <w:rPr>
          <w:szCs w:val="22"/>
        </w:rPr>
        <w:t>* * * * *</w:t>
      </w:r>
    </w:p>
    <w:p w:rsidR="00A32431" w:rsidRPr="00BD544D" w:rsidP="00A32431" w14:paraId="2B23A907" w14:textId="77777777">
      <w:pPr>
        <w:pStyle w:val="ParaNum"/>
        <w:numPr>
          <w:ilvl w:val="0"/>
          <w:numId w:val="0"/>
        </w:numPr>
        <w:spacing w:after="0" w:line="480" w:lineRule="auto"/>
        <w:rPr>
          <w:szCs w:val="22"/>
        </w:rPr>
      </w:pPr>
      <w:r w:rsidRPr="00BD544D">
        <w:rPr>
          <w:szCs w:val="22"/>
        </w:rPr>
        <w:tab/>
        <w:t xml:space="preserve">(b) In an analysis performed pursuant to paragraph (a) of this section, a full-service FM applicant that identifies itself as a Tribal Applicant, that proposes Tribal Coverage, and that proposes the first reserved channel NCE service owned by any Tribal Applicant at a community of license located on Tribal Lands, will be awarded a construction permit. If two or more full-service FM applicants identify themselves as Tribal Applicants and meet the above criteria, the applicant providing the most people with reserved channel NCE service to Tribal Lands will be awarded a construction permit, regardless of the magnitude of the superior service or the populations of the communities of license proposed, if different. If two or more full-service FM applicants identifying themselves as Tribal Applicants each meet the above criteria and propose identical levels of NCE aural service to Tribal Lands, only those applicants shall proceed to be considered together in a point system analysis. In an analysis performed pursuant to paragraph (a) of this section that does not include a Tribal Applicant, a full service FM applicant that will provide the first or second reserved channel noncommercial educational (NCE) aural signal received by at least 10% of the population within the station's 60dBu (1mV/m) service contours will be considered to substantially further fair distribution of service goals and to be superior to mutually exclusive applicants not proposing that level of service, provided that such service to fewer than 2,000 people will be considered insignificant. First service to 2,000 or more people will be considered superior to second service to a population of any size. If only one applicant will provide such first or second service, that applicant will be selected as a threshold matter. If more than one applicant will provide an equivalent level (first or second) of NCE aural service, the size of the population to receive such service from the mutually exclusive applicants will be compared. The applicant providing the most people with the highest level of service will be awarded a construction permit, if it will provide such service to 5,000 or more people than the next best applicant. If none of the applicants in a mutually exclusive group would substantially further fair distribution goals, all applicants will proceed to examination under a point system. If two or more applicants will provide the same level of service to an equivalent number of </w:t>
      </w:r>
      <w:r w:rsidRPr="00BD544D">
        <w:rPr>
          <w:szCs w:val="22"/>
        </w:rPr>
        <w:t>people (differing by less than 5,000), only those equivalent applicants will be considered together in a point system. Acceptance for filing of a tentative selectee’s application in a Threshold Fair Distribution of Service Order, or an equivalent Order, triggers the applicant’s local public notice obligation under § 73.3580.</w:t>
      </w:r>
    </w:p>
    <w:p w:rsidR="00A32431" w:rsidRPr="00BD544D" w:rsidP="00A32431" w14:paraId="12182D57" w14:textId="77777777">
      <w:pPr>
        <w:pStyle w:val="ParaNum"/>
        <w:numPr>
          <w:ilvl w:val="0"/>
          <w:numId w:val="0"/>
        </w:numPr>
        <w:spacing w:after="0" w:line="480" w:lineRule="auto"/>
        <w:rPr>
          <w:szCs w:val="22"/>
        </w:rPr>
      </w:pPr>
      <w:r w:rsidRPr="00BD544D">
        <w:rPr>
          <w:szCs w:val="22"/>
        </w:rPr>
        <w:t>* * * * *</w:t>
      </w:r>
    </w:p>
    <w:p w:rsidR="00A32431" w:rsidRPr="00BD544D" w:rsidP="00A32431" w14:paraId="44901422" w14:textId="77777777">
      <w:pPr>
        <w:pStyle w:val="ParaNum"/>
        <w:numPr>
          <w:ilvl w:val="0"/>
          <w:numId w:val="0"/>
        </w:numPr>
        <w:spacing w:after="0" w:line="480" w:lineRule="auto"/>
        <w:ind w:firstLine="720"/>
        <w:rPr>
          <w:szCs w:val="22"/>
        </w:rPr>
      </w:pPr>
      <w:r w:rsidRPr="00BD544D">
        <w:rPr>
          <w:szCs w:val="22"/>
        </w:rPr>
        <w:t>43.</w:t>
      </w:r>
      <w:r w:rsidRPr="00BD544D">
        <w:rPr>
          <w:szCs w:val="22"/>
        </w:rPr>
        <w:tab/>
        <w:t>Amend § 73.7003 by revising paragraph (a) to read as follows:</w:t>
      </w:r>
    </w:p>
    <w:p w:rsidR="00A32431" w:rsidRPr="00BD544D" w:rsidP="00A32431" w14:paraId="666138A9" w14:textId="77777777">
      <w:pPr>
        <w:pStyle w:val="ParaNum"/>
        <w:numPr>
          <w:ilvl w:val="0"/>
          <w:numId w:val="0"/>
        </w:numPr>
        <w:spacing w:after="0" w:line="480" w:lineRule="auto"/>
        <w:rPr>
          <w:b/>
          <w:bCs/>
          <w:szCs w:val="22"/>
        </w:rPr>
      </w:pPr>
      <w:r w:rsidRPr="00BD544D">
        <w:rPr>
          <w:b/>
          <w:bCs/>
          <w:szCs w:val="22"/>
        </w:rPr>
        <w:t>§ 73.7003 Point system selection procedures.</w:t>
      </w:r>
    </w:p>
    <w:p w:rsidR="00A32431" w:rsidRPr="00BD544D" w:rsidP="00A32431" w14:paraId="3AC7A335" w14:textId="77777777">
      <w:pPr>
        <w:pStyle w:val="ParaNum"/>
        <w:numPr>
          <w:ilvl w:val="0"/>
          <w:numId w:val="0"/>
        </w:numPr>
        <w:tabs>
          <w:tab w:val="left" w:pos="0"/>
        </w:tabs>
        <w:spacing w:after="0" w:line="480" w:lineRule="auto"/>
        <w:rPr>
          <w:b/>
          <w:bCs/>
          <w:szCs w:val="22"/>
        </w:rPr>
      </w:pPr>
      <w:r w:rsidRPr="00BD544D">
        <w:rPr>
          <w:szCs w:val="22"/>
        </w:rPr>
        <w:tab/>
        <w:t>(a) If timely filed applications for reserved FM channels or reserved TV channels are determined to be mutually exclusive, applications will be processed and assessed points to determine the tentative selectee for the particular channels. The tentative selectee will be the applicant with the highest point total under the procedure set forth in this section and will be awarded the requested permit if the Commission determines that an award will serve the public interest, convenience, and necessity. Acceptance for filing of a tentative selectee’s application in an NCE Comparative Points Order, or an equivalent Order, determined under this section triggers the applicant’s local public notice obligation under § 73.3580.</w:t>
      </w:r>
    </w:p>
    <w:p w:rsidR="00A32431" w:rsidRPr="00BD544D" w:rsidP="00A32431" w14:paraId="17CCECBE" w14:textId="77777777">
      <w:pPr>
        <w:pStyle w:val="ParaNum"/>
        <w:numPr>
          <w:ilvl w:val="0"/>
          <w:numId w:val="0"/>
        </w:numPr>
        <w:spacing w:after="0" w:line="480" w:lineRule="auto"/>
        <w:rPr>
          <w:szCs w:val="22"/>
        </w:rPr>
      </w:pPr>
      <w:r w:rsidRPr="00BD544D">
        <w:rPr>
          <w:szCs w:val="22"/>
        </w:rPr>
        <w:t>* * * * *</w:t>
      </w:r>
    </w:p>
    <w:p w:rsidR="00A32431" w:rsidRPr="00BD544D" w:rsidP="00A32431" w14:paraId="2BA2E940" w14:textId="77777777">
      <w:pPr>
        <w:pStyle w:val="ParaNum"/>
        <w:numPr>
          <w:ilvl w:val="0"/>
          <w:numId w:val="0"/>
        </w:numPr>
        <w:spacing w:after="0" w:line="480" w:lineRule="auto"/>
        <w:rPr>
          <w:b/>
          <w:bCs/>
          <w:szCs w:val="22"/>
        </w:rPr>
      </w:pPr>
      <w:r w:rsidRPr="00BD544D">
        <w:rPr>
          <w:b/>
          <w:bCs/>
          <w:szCs w:val="22"/>
        </w:rPr>
        <w:t>PART 74 – EXPERIMENTAL RADIO, AUXILIARY, SPECIAL BROADCAST AND OTHER PROGRAM DISTRIBUTIONAL SERVICES</w:t>
      </w:r>
    </w:p>
    <w:p w:rsidR="00A32431" w:rsidRPr="00BD544D" w:rsidP="00A32431" w14:paraId="23DB06E1" w14:textId="77777777">
      <w:pPr>
        <w:pStyle w:val="ParaNum"/>
        <w:numPr>
          <w:ilvl w:val="0"/>
          <w:numId w:val="0"/>
        </w:numPr>
        <w:spacing w:after="0" w:line="480" w:lineRule="auto"/>
        <w:ind w:firstLine="720"/>
        <w:rPr>
          <w:szCs w:val="22"/>
        </w:rPr>
      </w:pPr>
      <w:r w:rsidRPr="00BD544D">
        <w:rPr>
          <w:szCs w:val="22"/>
        </w:rPr>
        <w:t>44. The authority citation for part 74 continues to read as follows:</w:t>
      </w:r>
    </w:p>
    <w:p w:rsidR="00A32431" w:rsidRPr="00BD544D" w:rsidP="00A32431" w14:paraId="24A3BC48" w14:textId="77777777">
      <w:pPr>
        <w:pStyle w:val="ParaNum"/>
        <w:numPr>
          <w:ilvl w:val="0"/>
          <w:numId w:val="0"/>
        </w:numPr>
        <w:spacing w:after="0" w:line="480" w:lineRule="auto"/>
        <w:ind w:firstLine="720"/>
        <w:rPr>
          <w:szCs w:val="22"/>
        </w:rPr>
      </w:pPr>
      <w:r w:rsidRPr="00BD544D">
        <w:rPr>
          <w:b/>
          <w:bCs/>
          <w:szCs w:val="22"/>
        </w:rPr>
        <w:t>Authority:</w:t>
      </w:r>
      <w:r w:rsidRPr="00BD544D">
        <w:rPr>
          <w:szCs w:val="22"/>
        </w:rPr>
        <w:t xml:space="preserve">  47 U.S.C. 154, 302a, 303, 307, 309, 310, 325, 336 and 554.</w:t>
      </w:r>
    </w:p>
    <w:p w:rsidR="00A32431" w:rsidRPr="00BD544D" w:rsidP="00A32431" w14:paraId="387AE821" w14:textId="77777777">
      <w:pPr>
        <w:pStyle w:val="ParaNum"/>
        <w:numPr>
          <w:ilvl w:val="0"/>
          <w:numId w:val="0"/>
        </w:numPr>
        <w:spacing w:after="0" w:line="480" w:lineRule="auto"/>
        <w:ind w:firstLine="720"/>
        <w:rPr>
          <w:szCs w:val="22"/>
        </w:rPr>
      </w:pPr>
      <w:r w:rsidRPr="00BD544D">
        <w:rPr>
          <w:szCs w:val="22"/>
        </w:rPr>
        <w:t>45. Amend § 74.782 by revising paragraph (</w:t>
      </w:r>
      <w:r w:rsidRPr="00BD544D">
        <w:rPr>
          <w:szCs w:val="22"/>
        </w:rPr>
        <w:t>i</w:t>
      </w:r>
      <w:r w:rsidRPr="00BD544D">
        <w:rPr>
          <w:szCs w:val="22"/>
        </w:rPr>
        <w:t>)(4)(</w:t>
      </w:r>
      <w:r w:rsidRPr="00BD544D">
        <w:rPr>
          <w:szCs w:val="22"/>
        </w:rPr>
        <w:t>i</w:t>
      </w:r>
      <w:r w:rsidRPr="00BD544D">
        <w:rPr>
          <w:szCs w:val="22"/>
        </w:rPr>
        <w:t>) to read as follows:</w:t>
      </w:r>
    </w:p>
    <w:p w:rsidR="00A32431" w:rsidRPr="00BD544D" w:rsidP="00A32431" w14:paraId="5E2808E3" w14:textId="77777777">
      <w:pPr>
        <w:pStyle w:val="ParaNum"/>
        <w:numPr>
          <w:ilvl w:val="0"/>
          <w:numId w:val="0"/>
        </w:numPr>
        <w:spacing w:after="0" w:line="480" w:lineRule="auto"/>
        <w:rPr>
          <w:szCs w:val="22"/>
        </w:rPr>
      </w:pPr>
      <w:r w:rsidRPr="00BD544D">
        <w:rPr>
          <w:b/>
          <w:bCs/>
          <w:szCs w:val="22"/>
        </w:rPr>
        <w:t>§ 74.782 Low power television and TV translator simulcasting during the ATSC 3.0 (Next Gen TV) transition.</w:t>
      </w:r>
    </w:p>
    <w:p w:rsidR="00A32431" w:rsidRPr="00BD544D" w:rsidP="00A32431" w14:paraId="40E9D092" w14:textId="77777777">
      <w:pPr>
        <w:pStyle w:val="ParaNum"/>
        <w:numPr>
          <w:ilvl w:val="0"/>
          <w:numId w:val="0"/>
        </w:numPr>
        <w:spacing w:after="0" w:line="480" w:lineRule="auto"/>
        <w:rPr>
          <w:szCs w:val="22"/>
        </w:rPr>
      </w:pPr>
      <w:r w:rsidRPr="00BD544D">
        <w:rPr>
          <w:szCs w:val="22"/>
        </w:rPr>
        <w:t>* * * * *</w:t>
      </w:r>
    </w:p>
    <w:p w:rsidR="00A32431" w:rsidRPr="00BD544D" w:rsidP="00A32431" w14:paraId="64F33E4A" w14:textId="77777777">
      <w:pPr>
        <w:pStyle w:val="ParaNum"/>
        <w:numPr>
          <w:ilvl w:val="0"/>
          <w:numId w:val="0"/>
        </w:numPr>
        <w:spacing w:after="0" w:line="480" w:lineRule="auto"/>
        <w:rPr>
          <w:szCs w:val="22"/>
        </w:rPr>
      </w:pPr>
      <w:r w:rsidRPr="00BD544D">
        <w:rPr>
          <w:szCs w:val="22"/>
        </w:rPr>
        <w:tab/>
        <w:t>(</w:t>
      </w:r>
      <w:r w:rsidRPr="00BD544D">
        <w:rPr>
          <w:szCs w:val="22"/>
        </w:rPr>
        <w:t>i</w:t>
      </w:r>
      <w:r w:rsidRPr="00BD544D">
        <w:rPr>
          <w:szCs w:val="22"/>
        </w:rPr>
        <w:t>) * * *</w:t>
      </w:r>
    </w:p>
    <w:p w:rsidR="00A32431" w:rsidRPr="00BD544D" w:rsidP="00A32431" w14:paraId="62A98123" w14:textId="77777777">
      <w:pPr>
        <w:pStyle w:val="ParaNum"/>
        <w:numPr>
          <w:ilvl w:val="0"/>
          <w:numId w:val="0"/>
        </w:numPr>
        <w:spacing w:after="0" w:line="480" w:lineRule="auto"/>
        <w:ind w:left="720"/>
        <w:rPr>
          <w:szCs w:val="22"/>
        </w:rPr>
      </w:pPr>
      <w:r w:rsidRPr="00BD544D">
        <w:rPr>
          <w:szCs w:val="22"/>
        </w:rPr>
        <w:t>(4) * * *</w:t>
      </w:r>
    </w:p>
    <w:p w:rsidR="00A32431" w:rsidRPr="00BD544D" w:rsidP="00A32431" w14:paraId="1BCBF6E8" w14:textId="77777777">
      <w:pPr>
        <w:spacing w:line="480" w:lineRule="auto"/>
        <w:rPr>
          <w:szCs w:val="22"/>
        </w:rPr>
      </w:pPr>
      <w:r w:rsidRPr="00BD544D">
        <w:rPr>
          <w:szCs w:val="22"/>
        </w:rPr>
        <w:tab/>
        <w:t>(</w:t>
      </w:r>
      <w:r w:rsidRPr="00BD544D">
        <w:rPr>
          <w:szCs w:val="22"/>
        </w:rPr>
        <w:t>i</w:t>
      </w:r>
      <w:r w:rsidRPr="00BD544D">
        <w:rPr>
          <w:szCs w:val="22"/>
        </w:rPr>
        <w:t xml:space="preserve">) Next Gen TV stations must provide notice at least 90 days in advance of relocating their </w:t>
      </w:r>
      <w:r w:rsidRPr="00BD544D">
        <w:rPr>
          <w:szCs w:val="22"/>
        </w:rPr>
        <w:t>ATSC 1.0 signals.</w:t>
      </w:r>
    </w:p>
    <w:p w:rsidR="00A32431" w:rsidRPr="00BD544D" w:rsidP="00A32431" w14:paraId="7ACBD7ED" w14:textId="77777777">
      <w:pPr>
        <w:pStyle w:val="ParaNum"/>
        <w:numPr>
          <w:ilvl w:val="0"/>
          <w:numId w:val="0"/>
        </w:numPr>
        <w:spacing w:after="0" w:line="480" w:lineRule="auto"/>
        <w:rPr>
          <w:szCs w:val="22"/>
        </w:rPr>
      </w:pPr>
      <w:r w:rsidRPr="00BD544D">
        <w:rPr>
          <w:szCs w:val="22"/>
        </w:rPr>
        <w:t>* * * * *</w:t>
      </w:r>
    </w:p>
    <w:p w:rsidR="00A32431" w:rsidRPr="00BD544D" w:rsidP="00A32431" w14:paraId="7927A165" w14:textId="77777777">
      <w:pPr>
        <w:pStyle w:val="ParaNum"/>
        <w:numPr>
          <w:ilvl w:val="0"/>
          <w:numId w:val="0"/>
        </w:numPr>
        <w:spacing w:after="0" w:line="480" w:lineRule="auto"/>
        <w:rPr>
          <w:b/>
          <w:bCs/>
          <w:szCs w:val="22"/>
        </w:rPr>
      </w:pPr>
      <w:r w:rsidRPr="00BD544D">
        <w:rPr>
          <w:b/>
          <w:bCs/>
          <w:szCs w:val="22"/>
        </w:rPr>
        <w:t xml:space="preserve">PART 76 – MULTICHANNEL VIDEO AND CABLE TELEVISION SERVICE </w:t>
      </w:r>
    </w:p>
    <w:p w:rsidR="00A32431" w:rsidRPr="00BD544D" w:rsidP="00A32431" w14:paraId="00679B1A" w14:textId="77777777">
      <w:pPr>
        <w:pStyle w:val="ParaNum"/>
        <w:numPr>
          <w:ilvl w:val="0"/>
          <w:numId w:val="0"/>
        </w:numPr>
        <w:spacing w:after="0" w:line="480" w:lineRule="auto"/>
        <w:ind w:firstLine="720"/>
        <w:rPr>
          <w:szCs w:val="22"/>
        </w:rPr>
      </w:pPr>
      <w:r w:rsidRPr="00BD544D">
        <w:rPr>
          <w:szCs w:val="22"/>
        </w:rPr>
        <w:t>46. The authority citation for part 76 continues to read as follows:</w:t>
      </w:r>
    </w:p>
    <w:p w:rsidR="00A32431" w:rsidRPr="00BD544D" w:rsidP="00A32431" w14:paraId="21B5EE38" w14:textId="77777777">
      <w:pPr>
        <w:pStyle w:val="ParaNum"/>
        <w:numPr>
          <w:ilvl w:val="0"/>
          <w:numId w:val="0"/>
        </w:numPr>
        <w:spacing w:after="0" w:line="480" w:lineRule="auto"/>
        <w:ind w:firstLine="720"/>
        <w:rPr>
          <w:szCs w:val="22"/>
        </w:rPr>
      </w:pPr>
      <w:r w:rsidRPr="00BD544D">
        <w:rPr>
          <w:b/>
          <w:bCs/>
          <w:szCs w:val="22"/>
        </w:rPr>
        <w:t>Authority:</w:t>
      </w:r>
      <w:r w:rsidRPr="00BD544D">
        <w:rPr>
          <w:szCs w:val="22"/>
        </w:rPr>
        <w:t xml:space="preserve"> 47 U.S.C. 151, 152, 153, 154, 301, 302, 302a, 303, 303a, 307, 308, 309, 312, 315, 317, 325, 335, 338, 339, 340, 341, 503, 521, 522, 531, 532, 534, 535, 536, 537, 543, 544, 544a, 545, 548, 549, 552, 554, 556, 558, 560, 561, 562, 571, 572, 573.</w:t>
      </w:r>
    </w:p>
    <w:p w:rsidR="00A32431" w:rsidRPr="00BD544D" w:rsidP="00A32431" w14:paraId="5B808F8B" w14:textId="77777777">
      <w:pPr>
        <w:pStyle w:val="ParaNum"/>
        <w:numPr>
          <w:ilvl w:val="0"/>
          <w:numId w:val="0"/>
        </w:numPr>
        <w:spacing w:after="0" w:line="480" w:lineRule="auto"/>
        <w:ind w:firstLine="720"/>
        <w:rPr>
          <w:szCs w:val="22"/>
        </w:rPr>
      </w:pPr>
      <w:r w:rsidRPr="00BD544D">
        <w:rPr>
          <w:szCs w:val="22"/>
        </w:rPr>
        <w:t>47. Amend § 76.66 by revising paragraph (d)(2)(ii) to read as follows:</w:t>
      </w:r>
    </w:p>
    <w:p w:rsidR="00A32431" w:rsidRPr="00BD544D" w:rsidP="00A32431" w14:paraId="6E0FAE5F" w14:textId="77777777">
      <w:pPr>
        <w:pStyle w:val="ParaNum"/>
        <w:numPr>
          <w:ilvl w:val="0"/>
          <w:numId w:val="0"/>
        </w:numPr>
        <w:spacing w:after="0" w:line="480" w:lineRule="auto"/>
        <w:rPr>
          <w:szCs w:val="22"/>
        </w:rPr>
      </w:pPr>
      <w:r w:rsidRPr="00BD544D">
        <w:rPr>
          <w:b/>
          <w:bCs/>
          <w:szCs w:val="22"/>
        </w:rPr>
        <w:t>§ 76.66 Satellite broadcast signal carriage.</w:t>
      </w:r>
    </w:p>
    <w:p w:rsidR="00A32431" w:rsidRPr="00BD544D" w:rsidP="00A32431" w14:paraId="6AA15B69" w14:textId="77777777">
      <w:pPr>
        <w:pStyle w:val="ParaNum"/>
        <w:numPr>
          <w:ilvl w:val="0"/>
          <w:numId w:val="0"/>
        </w:numPr>
        <w:spacing w:after="0" w:line="480" w:lineRule="auto"/>
        <w:rPr>
          <w:szCs w:val="22"/>
        </w:rPr>
      </w:pPr>
      <w:r w:rsidRPr="00BD544D">
        <w:rPr>
          <w:szCs w:val="22"/>
        </w:rPr>
        <w:t>* * * * *</w:t>
      </w:r>
    </w:p>
    <w:p w:rsidR="00A32431" w:rsidRPr="00BD544D" w:rsidP="00A32431" w14:paraId="4B3CB05F" w14:textId="77777777">
      <w:pPr>
        <w:pStyle w:val="ParaNum"/>
        <w:numPr>
          <w:ilvl w:val="0"/>
          <w:numId w:val="0"/>
        </w:numPr>
        <w:spacing w:after="0" w:line="480" w:lineRule="auto"/>
        <w:rPr>
          <w:szCs w:val="22"/>
        </w:rPr>
      </w:pPr>
      <w:r w:rsidRPr="00BD544D">
        <w:rPr>
          <w:szCs w:val="22"/>
        </w:rPr>
        <w:tab/>
        <w:t>(d) * * *</w:t>
      </w:r>
    </w:p>
    <w:p w:rsidR="00A32431" w:rsidRPr="00BD544D" w:rsidP="00A32431" w14:paraId="7247158F" w14:textId="77777777">
      <w:pPr>
        <w:pStyle w:val="ParaNum"/>
        <w:numPr>
          <w:ilvl w:val="0"/>
          <w:numId w:val="0"/>
        </w:numPr>
        <w:spacing w:after="0" w:line="480" w:lineRule="auto"/>
        <w:ind w:left="720"/>
        <w:rPr>
          <w:szCs w:val="22"/>
        </w:rPr>
      </w:pPr>
      <w:r w:rsidRPr="00BD544D">
        <w:rPr>
          <w:szCs w:val="22"/>
        </w:rPr>
        <w:t>(2) * * *</w:t>
      </w:r>
    </w:p>
    <w:p w:rsidR="00A32431" w:rsidRPr="00BD544D" w:rsidP="00A32431" w14:paraId="2C13021E" w14:textId="77777777">
      <w:pPr>
        <w:pStyle w:val="ParaNum"/>
        <w:numPr>
          <w:ilvl w:val="0"/>
          <w:numId w:val="0"/>
        </w:numPr>
        <w:spacing w:after="0" w:line="480" w:lineRule="auto"/>
        <w:rPr>
          <w:szCs w:val="22"/>
        </w:rPr>
      </w:pPr>
      <w:r w:rsidRPr="00BD544D">
        <w:rPr>
          <w:szCs w:val="22"/>
        </w:rPr>
        <w:tab/>
        <w:t>(ii) Except as provided in this paragraph (d)(2)(ii), satellite carriers shall transmit the notices required by paragraph (d)(2)(</w:t>
      </w:r>
      <w:r w:rsidRPr="00BD544D">
        <w:rPr>
          <w:szCs w:val="22"/>
        </w:rPr>
        <w:t>i</w:t>
      </w:r>
      <w:r w:rsidRPr="00BD544D">
        <w:rPr>
          <w:szCs w:val="22"/>
        </w:rPr>
        <w:t>) of this section via certified mail to the address for such television station licensee listed in the Licensing and Management System maintained by the Commission. After July 31, 2020, the written notices required by paragraphs (d)(1)(vi), (d)(2)(</w:t>
      </w:r>
      <w:r w:rsidRPr="00BD544D">
        <w:rPr>
          <w:szCs w:val="22"/>
        </w:rPr>
        <w:t>i</w:t>
      </w:r>
      <w:r w:rsidRPr="00BD544D">
        <w:rPr>
          <w:szCs w:val="22"/>
        </w:rPr>
        <w:t>), (v), and (vi), (d)(3)(iv), (d)(5)(</w:t>
      </w:r>
      <w:r w:rsidRPr="00BD544D">
        <w:rPr>
          <w:szCs w:val="22"/>
        </w:rPr>
        <w:t>i</w:t>
      </w:r>
      <w:r w:rsidRPr="00BD544D">
        <w:rPr>
          <w:szCs w:val="22"/>
        </w:rPr>
        <w:t>), (f)(3) and (4), and (h)(5) of this section shall be delivered electronically via email to the email address for carriage-related questions that the station lists in its public file in accordance with §§ 73.3526 and 73.3527 of this subchapter.</w:t>
      </w:r>
    </w:p>
    <w:p w:rsidR="00823AB0" w:rsidP="004F55A8" w14:paraId="1AB058DE" w14:textId="77777777">
      <w:pPr>
        <w:pStyle w:val="ParaNum"/>
        <w:numPr>
          <w:ilvl w:val="0"/>
          <w:numId w:val="0"/>
        </w:numPr>
        <w:spacing w:after="0" w:line="480" w:lineRule="auto"/>
        <w:rPr>
          <w:szCs w:val="22"/>
        </w:rPr>
        <w:sectPr w:rsidSect="00EB5827">
          <w:endnotePr>
            <w:numFmt w:val="decimal"/>
          </w:endnotePr>
          <w:pgSz w:w="12240" w:h="15840"/>
          <w:pgMar w:top="1440" w:right="1440" w:bottom="720" w:left="1440" w:header="720" w:footer="720" w:gutter="0"/>
          <w:cols w:space="720"/>
          <w:noEndnote/>
          <w:docGrid w:linePitch="299"/>
        </w:sectPr>
      </w:pPr>
      <w:r w:rsidRPr="00BD544D">
        <w:rPr>
          <w:szCs w:val="22"/>
        </w:rPr>
        <w:t>* * * * *</w:t>
      </w:r>
    </w:p>
    <w:p w:rsidR="003275A0" w:rsidRPr="0021080A" w:rsidP="003275A0" w14:paraId="043E236E" w14:textId="77777777">
      <w:pPr>
        <w:pStyle w:val="NoSpacing"/>
        <w:jc w:val="center"/>
        <w:rPr>
          <w:rFonts w:ascii="Times New Roman" w:hAnsi="Times New Roman"/>
          <w:b/>
        </w:rPr>
      </w:pPr>
      <w:r w:rsidRPr="0021080A">
        <w:rPr>
          <w:rFonts w:ascii="Times New Roman" w:hAnsi="Times New Roman"/>
          <w:b/>
        </w:rPr>
        <w:t xml:space="preserve">APPENDIX </w:t>
      </w:r>
      <w:r>
        <w:rPr>
          <w:rFonts w:ascii="Times New Roman" w:hAnsi="Times New Roman"/>
          <w:b/>
        </w:rPr>
        <w:t>B</w:t>
      </w:r>
    </w:p>
    <w:p w:rsidR="003275A0" w:rsidRPr="0021080A" w:rsidP="003275A0" w14:paraId="5EE1D62D" w14:textId="77777777">
      <w:pPr>
        <w:jc w:val="center"/>
        <w:rPr>
          <w:b/>
          <w:szCs w:val="22"/>
        </w:rPr>
      </w:pPr>
      <w:r w:rsidRPr="0021080A">
        <w:rPr>
          <w:b/>
          <w:szCs w:val="22"/>
        </w:rPr>
        <w:t xml:space="preserve"> </w:t>
      </w:r>
    </w:p>
    <w:p w:rsidR="003275A0" w:rsidRPr="0021080A" w:rsidP="003275A0" w14:paraId="18E2646D" w14:textId="77777777">
      <w:pPr>
        <w:jc w:val="center"/>
        <w:rPr>
          <w:b/>
          <w:szCs w:val="22"/>
        </w:rPr>
      </w:pPr>
      <w:r w:rsidRPr="0021080A">
        <w:rPr>
          <w:b/>
          <w:szCs w:val="22"/>
        </w:rPr>
        <w:t>Final Regulatory Flexibility Analysis</w:t>
      </w:r>
    </w:p>
    <w:p w:rsidR="003275A0" w:rsidRPr="0021080A" w:rsidP="003275A0" w14:paraId="4033688A" w14:textId="77777777">
      <w:pPr>
        <w:jc w:val="center"/>
        <w:rPr>
          <w:szCs w:val="22"/>
        </w:rPr>
      </w:pPr>
    </w:p>
    <w:p w:rsidR="003275A0" w:rsidRPr="00A93C8F" w:rsidP="00EE0A32" w14:paraId="0F3E3FCA" w14:textId="77777777">
      <w:pPr>
        <w:pStyle w:val="ParaNum"/>
        <w:numPr>
          <w:ilvl w:val="0"/>
          <w:numId w:val="0"/>
        </w:numPr>
        <w:snapToGrid w:val="0"/>
        <w:ind w:firstLine="720"/>
        <w:rPr>
          <w:snapToGrid/>
          <w:szCs w:val="22"/>
        </w:rPr>
      </w:pPr>
      <w:r>
        <w:rPr>
          <w:szCs w:val="22"/>
        </w:rPr>
        <w:t xml:space="preserve">1. </w:t>
      </w:r>
      <w:r>
        <w:rPr>
          <w:szCs w:val="22"/>
        </w:rPr>
        <w:tab/>
      </w:r>
      <w:r w:rsidRPr="00A93C8F">
        <w:rPr>
          <w:szCs w:val="22"/>
        </w:rPr>
        <w:t>As required by the Regulatory Flexibility Act of 1980, as amended (RFA),</w:t>
      </w:r>
      <w:r>
        <w:rPr>
          <w:rStyle w:val="FootnoteReference"/>
          <w:sz w:val="22"/>
          <w:szCs w:val="22"/>
        </w:rPr>
        <w:footnoteReference w:id="146"/>
      </w:r>
      <w:r w:rsidRPr="00A93C8F">
        <w:rPr>
          <w:szCs w:val="22"/>
        </w:rPr>
        <w:t xml:space="preserve"> the Federal Communications Commission (Commission) incorporated </w:t>
      </w:r>
      <w:r w:rsidRPr="00A93C8F">
        <w:rPr>
          <w:snapToGrid/>
          <w:szCs w:val="22"/>
        </w:rPr>
        <w:t xml:space="preserve">an Initial Regulatory Flexibility Analysis (IRFA) in the </w:t>
      </w:r>
      <w:r w:rsidRPr="00A93C8F">
        <w:rPr>
          <w:i/>
          <w:iCs/>
          <w:snapToGrid/>
          <w:szCs w:val="22"/>
        </w:rPr>
        <w:t>Amendment of Parts 1, 73, 74 and 76 of the Commission’s Rules to Update Rules Applicable to Broadcast Stations</w:t>
      </w:r>
      <w:r w:rsidRPr="00A93C8F">
        <w:rPr>
          <w:snapToGrid/>
          <w:szCs w:val="22"/>
        </w:rPr>
        <w:t xml:space="preserve">, </w:t>
      </w:r>
      <w:r w:rsidRPr="00A93C8F">
        <w:rPr>
          <w:i/>
          <w:iCs/>
          <w:snapToGrid/>
          <w:szCs w:val="22"/>
        </w:rPr>
        <w:t xml:space="preserve">Notice of Proposed Rulemaking </w:t>
      </w:r>
      <w:r w:rsidRPr="00A93C8F">
        <w:rPr>
          <w:snapToGrid/>
          <w:szCs w:val="22"/>
        </w:rPr>
        <w:t>(</w:t>
      </w:r>
      <w:r w:rsidRPr="00A93C8F">
        <w:rPr>
          <w:i/>
          <w:iCs/>
          <w:snapToGrid/>
          <w:szCs w:val="22"/>
        </w:rPr>
        <w:t>NPRM</w:t>
      </w:r>
      <w:r w:rsidRPr="00A93C8F">
        <w:rPr>
          <w:snapToGrid/>
          <w:szCs w:val="22"/>
        </w:rPr>
        <w:t>)</w:t>
      </w:r>
      <w:r w:rsidRPr="00A93C8F">
        <w:rPr>
          <w:szCs w:val="22"/>
        </w:rPr>
        <w:t>, released in December 2024.</w:t>
      </w:r>
      <w:r>
        <w:rPr>
          <w:rStyle w:val="FootnoteReference"/>
          <w:sz w:val="22"/>
          <w:szCs w:val="22"/>
        </w:rPr>
        <w:footnoteReference w:id="147"/>
      </w:r>
      <w:r w:rsidRPr="00A93C8F">
        <w:rPr>
          <w:szCs w:val="22"/>
        </w:rPr>
        <w:t xml:space="preserve">  </w:t>
      </w:r>
      <w:r w:rsidRPr="00A93C8F">
        <w:rPr>
          <w:snapToGrid/>
          <w:szCs w:val="22"/>
        </w:rPr>
        <w:t xml:space="preserve">The Commission sought written public comment on the proposals in the </w:t>
      </w:r>
      <w:r w:rsidRPr="00A93C8F">
        <w:rPr>
          <w:i/>
          <w:iCs/>
          <w:snapToGrid/>
          <w:szCs w:val="22"/>
        </w:rPr>
        <w:t>NPRM</w:t>
      </w:r>
      <w:r w:rsidRPr="00A93C8F">
        <w:rPr>
          <w:szCs w:val="22"/>
        </w:rPr>
        <w:t>, including comment on the IRFA.  No</w:t>
      </w:r>
      <w:r w:rsidRPr="00A93C8F">
        <w:rPr>
          <w:snapToGrid/>
          <w:szCs w:val="22"/>
        </w:rPr>
        <w:t xml:space="preserve"> comments were filed addressing the IRFA, however, we discuss relevant comments and related proposals that may impact small entities below.  This Final Regulatory Flexibility Analysis (FRFA) conforms to the RFA and it (</w:t>
      </w:r>
      <w:r w:rsidRPr="00A93C8F">
        <w:rPr>
          <w:szCs w:val="22"/>
        </w:rPr>
        <w:t xml:space="preserve">or summaries thereof) will be published in the </w:t>
      </w:r>
      <w:r w:rsidRPr="00A93C8F">
        <w:rPr>
          <w:iCs/>
          <w:szCs w:val="22"/>
        </w:rPr>
        <w:t>Federal Register</w:t>
      </w:r>
      <w:r w:rsidRPr="00A93C8F">
        <w:rPr>
          <w:snapToGrid/>
          <w:szCs w:val="22"/>
        </w:rPr>
        <w:t>.</w:t>
      </w:r>
      <w:r>
        <w:rPr>
          <w:rStyle w:val="FootnoteReference"/>
          <w:kern w:val="0"/>
          <w:sz w:val="22"/>
          <w:szCs w:val="22"/>
        </w:rPr>
        <w:footnoteReference w:id="148"/>
      </w:r>
      <w:r w:rsidRPr="00A93C8F">
        <w:rPr>
          <w:snapToGrid/>
          <w:szCs w:val="22"/>
        </w:rPr>
        <w:t xml:space="preserve">   </w:t>
      </w:r>
    </w:p>
    <w:p w:rsidR="003275A0" w:rsidRPr="0021080A" w:rsidP="004B6A66" w14:paraId="6221F110" w14:textId="77777777">
      <w:pPr>
        <w:pStyle w:val="Heading2"/>
      </w:pPr>
      <w:bookmarkStart w:id="3" w:name="_Toc262465660"/>
      <w:bookmarkStart w:id="4" w:name="_Toc310524628"/>
      <w:bookmarkStart w:id="5" w:name="_Toc310524896"/>
      <w:bookmarkStart w:id="6" w:name="_Toc314645318"/>
      <w:bookmarkStart w:id="7" w:name="_Toc314648949"/>
      <w:bookmarkStart w:id="8" w:name="_Toc314738875"/>
      <w:bookmarkStart w:id="9" w:name="_Toc314738918"/>
      <w:bookmarkStart w:id="10" w:name="_Toc393478008"/>
      <w:bookmarkStart w:id="11" w:name="_Toc394658129"/>
      <w:bookmarkStart w:id="12" w:name="_Toc394659974"/>
      <w:bookmarkStart w:id="13" w:name="_Toc394678814"/>
      <w:bookmarkStart w:id="14" w:name="_Toc394679528"/>
      <w:bookmarkStart w:id="15" w:name="_Toc395264435"/>
      <w:bookmarkStart w:id="16" w:name="_Toc397508650"/>
      <w:bookmarkStart w:id="17" w:name="_Toc397604500"/>
      <w:bookmarkStart w:id="18" w:name="_Toc397686588"/>
      <w:bookmarkStart w:id="19" w:name="_Toc399935851"/>
      <w:bookmarkStart w:id="20" w:name="_Toc403121201"/>
      <w:bookmarkStart w:id="21" w:name="_Toc465357613"/>
      <w:bookmarkStart w:id="22" w:name="_Toc468201215"/>
      <w:bookmarkStart w:id="23" w:name="_Toc468702539"/>
      <w:bookmarkStart w:id="24" w:name="_Toc473563723"/>
      <w:bookmarkStart w:id="25" w:name="_Toc474348299"/>
      <w:bookmarkStart w:id="26" w:name="_Toc474351636"/>
      <w:bookmarkStart w:id="27" w:name="_Toc474352567"/>
      <w:bookmarkStart w:id="28" w:name="_Toc474353429"/>
      <w:bookmarkStart w:id="29" w:name="_Toc474532754"/>
      <w:bookmarkStart w:id="30" w:name="_Toc474534420"/>
      <w:bookmarkStart w:id="31" w:name="_Toc474752047"/>
      <w:bookmarkStart w:id="32" w:name="_Toc474947286"/>
      <w:bookmarkStart w:id="33" w:name="_Toc475028086"/>
      <w:bookmarkStart w:id="34" w:name="_Toc475537249"/>
      <w:bookmarkStart w:id="35" w:name="_Toc475899449"/>
      <w:bookmarkStart w:id="36" w:name="_Toc477805783"/>
      <w:bookmarkStart w:id="37" w:name="_Toc477954217"/>
      <w:r w:rsidRPr="0021080A">
        <w:t xml:space="preserve">Need for, and Objectives of, the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1080A">
        <w:t>Rules</w:t>
      </w:r>
    </w:p>
    <w:p w:rsidR="003275A0" w:rsidRPr="00432B95" w:rsidP="003275A0" w14:paraId="4B29D3FE" w14:textId="77777777">
      <w:pPr>
        <w:pStyle w:val="ParaNum"/>
        <w:numPr>
          <w:ilvl w:val="0"/>
          <w:numId w:val="8"/>
        </w:numPr>
        <w:ind w:left="0" w:firstLine="720"/>
        <w:rPr>
          <w:szCs w:val="22"/>
        </w:rPr>
      </w:pPr>
      <w:bookmarkStart w:id="38" w:name="_Toc262465661"/>
      <w:r>
        <w:rPr>
          <w:szCs w:val="22"/>
        </w:rPr>
        <w:t>The</w:t>
      </w:r>
      <w:r w:rsidRPr="0021080A">
        <w:rPr>
          <w:szCs w:val="22"/>
        </w:rPr>
        <w:t xml:space="preserve"> </w:t>
      </w:r>
      <w:r w:rsidRPr="0021080A">
        <w:rPr>
          <w:i/>
          <w:iCs/>
          <w:szCs w:val="22"/>
        </w:rPr>
        <w:t>Report and Order</w:t>
      </w:r>
      <w:r w:rsidRPr="0021080A">
        <w:rPr>
          <w:szCs w:val="22"/>
        </w:rPr>
        <w:t xml:space="preserve"> updates the Commission’s rules by revising various broadcast radio and television regulations in Parts 1, 73, 74, and 76 of the Code of Federal Regulations (CFR).</w:t>
      </w:r>
      <w:r>
        <w:rPr>
          <w:rStyle w:val="FootnoteReference"/>
          <w:szCs w:val="22"/>
        </w:rPr>
        <w:footnoteReference w:id="149"/>
      </w:r>
      <w:r w:rsidRPr="0021080A">
        <w:rPr>
          <w:szCs w:val="22"/>
        </w:rPr>
        <w:t xml:space="preserve">  The proposals </w:t>
      </w:r>
      <w:r w:rsidRPr="00432B95">
        <w:rPr>
          <w:szCs w:val="22"/>
        </w:rPr>
        <w:t xml:space="preserve">adopted </w:t>
      </w:r>
      <w:r>
        <w:rPr>
          <w:szCs w:val="22"/>
        </w:rPr>
        <w:t>t</w:t>
      </w:r>
      <w:r w:rsidRPr="00432B95">
        <w:rPr>
          <w:szCs w:val="22"/>
        </w:rPr>
        <w:t xml:space="preserve">herein revise rules to best reflect current application processing requirements, codify existing Media Bureau (Bureau) practices, and remove references to outdated licensing procedures.  These revisions further the Commission’s continued effort to remove rules and processes that are no longer necessary, and ensure that our rules are clear and functional for licensees and the public.  </w:t>
      </w:r>
    </w:p>
    <w:p w:rsidR="003275A0" w:rsidRPr="00CD76F3" w:rsidP="00CD76F3" w14:paraId="1EB6A7AB" w14:textId="329B42BA">
      <w:pPr>
        <w:pStyle w:val="ParaNum"/>
        <w:numPr>
          <w:ilvl w:val="0"/>
          <w:numId w:val="8"/>
        </w:numPr>
        <w:ind w:left="0" w:firstLine="720"/>
        <w:rPr>
          <w:szCs w:val="22"/>
        </w:rPr>
      </w:pPr>
      <w:r w:rsidRPr="00432B95">
        <w:rPr>
          <w:szCs w:val="22"/>
        </w:rPr>
        <w:t xml:space="preserve">Specifically, the </w:t>
      </w:r>
      <w:r w:rsidRPr="00432B95">
        <w:rPr>
          <w:i/>
          <w:iCs/>
          <w:szCs w:val="22"/>
        </w:rPr>
        <w:t>Report and Order</w:t>
      </w:r>
      <w:r w:rsidRPr="00432B95">
        <w:rPr>
          <w:szCs w:val="22"/>
        </w:rPr>
        <w:t>: (1) replaces references to the Bureau’s legacy Consolidated Database System (CDBS) electronic filing system with references to the new Licensing and Management System (LMS) electronic filing system;</w:t>
      </w:r>
      <w:r w:rsidRPr="00432B95">
        <w:rPr>
          <w:szCs w:val="22"/>
          <w:vertAlign w:val="superscript"/>
        </w:rPr>
        <w:t xml:space="preserve"> </w:t>
      </w:r>
      <w:r>
        <w:rPr>
          <w:szCs w:val="22"/>
          <w:vertAlign w:val="superscript"/>
        </w:rPr>
        <w:footnoteReference w:id="150"/>
      </w:r>
      <w:r w:rsidRPr="00432B95">
        <w:rPr>
          <w:szCs w:val="22"/>
        </w:rPr>
        <w:t xml:space="preserve"> (2) updates rules to correspond to the form naming conventions used in LMS;</w:t>
      </w:r>
      <w:r>
        <w:rPr>
          <w:szCs w:val="22"/>
          <w:vertAlign w:val="superscript"/>
        </w:rPr>
        <w:footnoteReference w:id="151"/>
      </w:r>
      <w:r w:rsidRPr="00432B95">
        <w:rPr>
          <w:szCs w:val="22"/>
        </w:rPr>
        <w:t xml:space="preserve"> (3) changes table of assignments/allotments references to conform to current standard language;</w:t>
      </w:r>
      <w:r>
        <w:rPr>
          <w:szCs w:val="22"/>
          <w:vertAlign w:val="superscript"/>
        </w:rPr>
        <w:footnoteReference w:id="152"/>
      </w:r>
      <w:r w:rsidRPr="00432B95">
        <w:rPr>
          <w:szCs w:val="22"/>
        </w:rPr>
        <w:t xml:space="preserve"> (4) </w:t>
      </w:r>
      <w:r w:rsidRPr="00A70F6D" w:rsidR="00A70F6D">
        <w:rPr>
          <w:szCs w:val="22"/>
        </w:rPr>
        <w:t>delegates authority to the Bureau to remove a ten application cap adopted for the 2021 Noncommercial (NCE) FM new station application window, upon finality of the remaining NCE FM applications;</w:t>
      </w:r>
      <w:r>
        <w:rPr>
          <w:rStyle w:val="FootnoteReference"/>
          <w:szCs w:val="22"/>
        </w:rPr>
        <w:footnoteReference w:id="153"/>
      </w:r>
      <w:r w:rsidRPr="00A70F6D" w:rsidR="00A70F6D">
        <w:rPr>
          <w:szCs w:val="22"/>
        </w:rPr>
        <w:t xml:space="preserve"> </w:t>
      </w:r>
      <w:r w:rsidR="00CD76F3">
        <w:rPr>
          <w:szCs w:val="22"/>
        </w:rPr>
        <w:t xml:space="preserve">(5) </w:t>
      </w:r>
      <w:r w:rsidRPr="00CD76F3">
        <w:rPr>
          <w:szCs w:val="22"/>
        </w:rPr>
        <w:t>updates the AM station power increase rules to eliminate the requirement that stations seeking facility modifications request at least a 20% increase in power and to reflect current AM station classifications and other administrative updates;</w:t>
      </w:r>
      <w:r>
        <w:rPr>
          <w:szCs w:val="22"/>
          <w:vertAlign w:val="superscript"/>
        </w:rPr>
        <w:footnoteReference w:id="154"/>
      </w:r>
      <w:r w:rsidRPr="00CD76F3">
        <w:rPr>
          <w:szCs w:val="22"/>
        </w:rPr>
        <w:t xml:space="preserve"> (</w:t>
      </w:r>
      <w:r w:rsidR="00CD76F3">
        <w:rPr>
          <w:szCs w:val="22"/>
        </w:rPr>
        <w:t>6</w:t>
      </w:r>
      <w:r w:rsidRPr="00CD76F3">
        <w:rPr>
          <w:szCs w:val="22"/>
        </w:rPr>
        <w:t>) updates the TV rules to remove obsolete language concerning the now-completed incentive auction;</w:t>
      </w:r>
      <w:r>
        <w:rPr>
          <w:szCs w:val="22"/>
          <w:vertAlign w:val="superscript"/>
        </w:rPr>
        <w:footnoteReference w:id="155"/>
      </w:r>
      <w:r w:rsidRPr="00CD76F3">
        <w:rPr>
          <w:szCs w:val="22"/>
        </w:rPr>
        <w:t xml:space="preserve"> (</w:t>
      </w:r>
      <w:r w:rsidR="00CD76F3">
        <w:rPr>
          <w:szCs w:val="22"/>
        </w:rPr>
        <w:t>7</w:t>
      </w:r>
      <w:r w:rsidRPr="00CD76F3">
        <w:rPr>
          <w:szCs w:val="22"/>
        </w:rPr>
        <w:t xml:space="preserve">) codifies in section 73.807 of the Commission’s rules the existing interpretation of the term “authorized” stations to include both licensed </w:t>
      </w:r>
      <w:r w:rsidRPr="00CD76F3">
        <w:rPr>
          <w:szCs w:val="22"/>
        </w:rPr>
        <w:t>stations and/or granted construction permits;</w:t>
      </w:r>
      <w:r>
        <w:rPr>
          <w:szCs w:val="22"/>
          <w:vertAlign w:val="superscript"/>
        </w:rPr>
        <w:footnoteReference w:id="156"/>
      </w:r>
      <w:r w:rsidRPr="00CD76F3">
        <w:rPr>
          <w:szCs w:val="22"/>
        </w:rPr>
        <w:t xml:space="preserve"> (</w:t>
      </w:r>
      <w:r w:rsidR="00CD76F3">
        <w:rPr>
          <w:szCs w:val="22"/>
        </w:rPr>
        <w:t>8</w:t>
      </w:r>
      <w:r w:rsidRPr="00CD76F3">
        <w:rPr>
          <w:szCs w:val="22"/>
        </w:rPr>
        <w:t>) modifies sections 73.807(a)(1) and 73.807(c) of the Commission’s rules to clarify that a low power FM (LPFM) applicant submitting an application in a filing window for a new construction permit or modification of an existing LPFM authorization must protect FM, LPFM, and FM translator applications submitted prior to a public notice announcing the procedures for an LPFM filing window;</w:t>
      </w:r>
      <w:r>
        <w:rPr>
          <w:szCs w:val="22"/>
          <w:vertAlign w:val="superscript"/>
        </w:rPr>
        <w:footnoteReference w:id="157"/>
      </w:r>
      <w:r w:rsidRPr="00CD76F3">
        <w:rPr>
          <w:szCs w:val="22"/>
        </w:rPr>
        <w:t xml:space="preserve"> (</w:t>
      </w:r>
      <w:r w:rsidR="00CD76F3">
        <w:rPr>
          <w:szCs w:val="22"/>
        </w:rPr>
        <w:t>9</w:t>
      </w:r>
      <w:r w:rsidRPr="00CD76F3">
        <w:rPr>
          <w:szCs w:val="22"/>
        </w:rPr>
        <w:t>) modifies the Signature Rule, which currently states</w:t>
      </w:r>
      <w:r w:rsidRPr="00CD76F3">
        <w:rPr>
          <w:szCs w:val="22"/>
        </w:rPr>
        <w:t xml:space="preserve"> </w:t>
      </w:r>
      <w:r w:rsidRPr="00CD76F3">
        <w:rPr>
          <w:szCs w:val="22"/>
        </w:rPr>
        <w:t>that only officers can sign applications, to allow a “duly authorized employee” to sign, and codifies the existing rule interpretation that directors may sign applications;</w:t>
      </w:r>
      <w:r>
        <w:rPr>
          <w:szCs w:val="22"/>
          <w:vertAlign w:val="superscript"/>
        </w:rPr>
        <w:footnoteReference w:id="158"/>
      </w:r>
      <w:r w:rsidRPr="00CD76F3">
        <w:rPr>
          <w:szCs w:val="22"/>
        </w:rPr>
        <w:t xml:space="preserve"> (</w:t>
      </w:r>
      <w:r w:rsidR="00CD76F3">
        <w:rPr>
          <w:szCs w:val="22"/>
        </w:rPr>
        <w:t>10</w:t>
      </w:r>
      <w:r w:rsidRPr="00CD76F3">
        <w:rPr>
          <w:szCs w:val="22"/>
        </w:rPr>
        <w:t>) clarifies the rules concerning when an applicant for a new Noncommercial Educational (NCE) FM, NCE TV, or LPFM construction permit must give local public notice of its application;</w:t>
      </w:r>
      <w:r>
        <w:rPr>
          <w:szCs w:val="22"/>
          <w:vertAlign w:val="superscript"/>
        </w:rPr>
        <w:footnoteReference w:id="159"/>
      </w:r>
      <w:r w:rsidRPr="00CD76F3">
        <w:rPr>
          <w:szCs w:val="22"/>
        </w:rPr>
        <w:t xml:space="preserve"> (1</w:t>
      </w:r>
      <w:r w:rsidR="00CD76F3">
        <w:rPr>
          <w:szCs w:val="22"/>
        </w:rPr>
        <w:t>1</w:t>
      </w:r>
      <w:r w:rsidRPr="00CD76F3">
        <w:rPr>
          <w:szCs w:val="22"/>
        </w:rPr>
        <w:t>) removes language limiting grant of certain Special Temporary Authority (STA) submissions to 90 days, rather than the full 180-day period permitted for other reasons;</w:t>
      </w:r>
      <w:r>
        <w:rPr>
          <w:szCs w:val="22"/>
          <w:vertAlign w:val="superscript"/>
        </w:rPr>
        <w:footnoteReference w:id="160"/>
      </w:r>
      <w:r w:rsidRPr="00CD76F3">
        <w:rPr>
          <w:szCs w:val="22"/>
        </w:rPr>
        <w:t xml:space="preserve"> (1</w:t>
      </w:r>
      <w:r w:rsidR="00CD76F3">
        <w:rPr>
          <w:szCs w:val="22"/>
        </w:rPr>
        <w:t>2</w:t>
      </w:r>
      <w:r w:rsidRPr="00CD76F3">
        <w:rPr>
          <w:szCs w:val="22"/>
        </w:rPr>
        <w:t>) modifies the application processing rules to remove and revise references to various procedures that are now obsolete;</w:t>
      </w:r>
      <w:r>
        <w:rPr>
          <w:szCs w:val="22"/>
          <w:vertAlign w:val="superscript"/>
        </w:rPr>
        <w:footnoteReference w:id="161"/>
      </w:r>
      <w:r w:rsidRPr="00CD76F3">
        <w:rPr>
          <w:szCs w:val="22"/>
        </w:rPr>
        <w:t xml:space="preserve"> and </w:t>
      </w:r>
      <w:r w:rsidRPr="00432B95">
        <w:t>(1</w:t>
      </w:r>
      <w:r w:rsidR="00CD76F3">
        <w:t>3</w:t>
      </w:r>
      <w:r w:rsidRPr="00432B95">
        <w:t>) consolidates the rules for petitions to deny license renewal applications under a single rule section.</w:t>
      </w:r>
      <w:r>
        <w:rPr>
          <w:rStyle w:val="FootnoteReference"/>
        </w:rPr>
        <w:footnoteReference w:id="162"/>
      </w:r>
    </w:p>
    <w:p w:rsidR="003275A0" w:rsidRPr="0021080A" w:rsidP="003275A0" w14:paraId="604B1047" w14:textId="77777777">
      <w:pPr>
        <w:pStyle w:val="ParaNum"/>
        <w:numPr>
          <w:ilvl w:val="0"/>
          <w:numId w:val="8"/>
        </w:numPr>
        <w:ind w:left="0" w:firstLine="720"/>
        <w:rPr>
          <w:szCs w:val="22"/>
        </w:rPr>
      </w:pPr>
      <w:r w:rsidRPr="0021080A">
        <w:rPr>
          <w:szCs w:val="22"/>
        </w:rPr>
        <w:t xml:space="preserve">In response to the </w:t>
      </w:r>
      <w:r w:rsidRPr="0021080A">
        <w:rPr>
          <w:i/>
          <w:iCs/>
          <w:szCs w:val="22"/>
        </w:rPr>
        <w:t>NPRM</w:t>
      </w:r>
      <w:r w:rsidRPr="0021080A">
        <w:rPr>
          <w:szCs w:val="22"/>
        </w:rPr>
        <w:t>, we received comments and replies from broadcast industry stakeholders who overwhelmingly support the majority of the proposed changes.</w:t>
      </w:r>
      <w:r>
        <w:rPr>
          <w:rStyle w:val="FootnoteReference"/>
          <w:sz w:val="22"/>
          <w:szCs w:val="22"/>
        </w:rPr>
        <w:footnoteReference w:id="163"/>
      </w:r>
      <w:r w:rsidRPr="0021080A">
        <w:rPr>
          <w:szCs w:val="22"/>
        </w:rPr>
        <w:t xml:space="preserve">  We received mixed comments in response to our proposal to harmonize processing procedures for minor change LPFM applications with the current processing procedures for minor change full service FM and FM translator applications, and in response to our proposal to revise the informal objection rule to require service of pleadings upon the relevant applicant and objector, limit the number of responsive pleadings, and impose filing deadlines.</w:t>
      </w:r>
      <w:r>
        <w:rPr>
          <w:szCs w:val="22"/>
        </w:rPr>
        <w:t xml:space="preserve">  While these two proposals were significant, </w:t>
      </w:r>
      <w:r w:rsidRPr="00394B1E">
        <w:rPr>
          <w:szCs w:val="22"/>
        </w:rPr>
        <w:t>the record on these proposals is mixed and lacks clear support from commenters</w:t>
      </w:r>
      <w:r>
        <w:rPr>
          <w:szCs w:val="22"/>
        </w:rPr>
        <w:t xml:space="preserve">.  Therefore </w:t>
      </w:r>
      <w:r w:rsidRPr="00394B1E">
        <w:rPr>
          <w:szCs w:val="22"/>
        </w:rPr>
        <w:t xml:space="preserve">we decline to adopt these </w:t>
      </w:r>
      <w:r>
        <w:rPr>
          <w:szCs w:val="22"/>
        </w:rPr>
        <w:t xml:space="preserve">two </w:t>
      </w:r>
      <w:r w:rsidRPr="00394B1E">
        <w:rPr>
          <w:szCs w:val="22"/>
        </w:rPr>
        <w:t xml:space="preserve">specific changes </w:t>
      </w:r>
      <w:r>
        <w:rPr>
          <w:szCs w:val="22"/>
        </w:rPr>
        <w:t xml:space="preserve">in the </w:t>
      </w:r>
      <w:r>
        <w:rPr>
          <w:i/>
          <w:iCs/>
          <w:szCs w:val="22"/>
        </w:rPr>
        <w:t>Report and Order</w:t>
      </w:r>
      <w:r w:rsidRPr="00394B1E">
        <w:rPr>
          <w:szCs w:val="22"/>
        </w:rPr>
        <w:t>.</w:t>
      </w:r>
    </w:p>
    <w:p w:rsidR="003275A0" w:rsidRPr="0021080A" w:rsidP="004B6A66" w14:paraId="3ABC66BC" w14:textId="77777777">
      <w:pPr>
        <w:pStyle w:val="Heading2"/>
      </w:pPr>
      <w:bookmarkStart w:id="39" w:name="_Toc468201216"/>
      <w:bookmarkStart w:id="40" w:name="_Toc468702540"/>
      <w:bookmarkStart w:id="41" w:name="_Toc473563724"/>
      <w:bookmarkStart w:id="42" w:name="_Toc474348300"/>
      <w:bookmarkStart w:id="43" w:name="_Toc474351637"/>
      <w:bookmarkStart w:id="44" w:name="_Toc474352568"/>
      <w:bookmarkStart w:id="45" w:name="_Toc474353430"/>
      <w:bookmarkStart w:id="46" w:name="_Toc474532755"/>
      <w:bookmarkStart w:id="47" w:name="_Toc474534421"/>
      <w:bookmarkStart w:id="48" w:name="_Toc474752048"/>
      <w:bookmarkStart w:id="49" w:name="_Toc474947288"/>
      <w:bookmarkStart w:id="50" w:name="_Toc475028088"/>
      <w:bookmarkStart w:id="51" w:name="_Toc475537251"/>
      <w:bookmarkStart w:id="52" w:name="_Toc475899451"/>
      <w:bookmarkStart w:id="53" w:name="_Toc477805784"/>
      <w:bookmarkStart w:id="54" w:name="_Toc477954218"/>
      <w:bookmarkEnd w:id="38"/>
      <w:r w:rsidRPr="0021080A">
        <w:t>Summary of Significant Issues Raised by Public Comments in Response to the IRFA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3275A0" w:rsidRPr="007F3E5C" w:rsidP="003275A0" w14:paraId="68BE0632" w14:textId="77777777">
      <w:pPr>
        <w:pStyle w:val="ParaNum"/>
        <w:numPr>
          <w:ilvl w:val="0"/>
          <w:numId w:val="8"/>
        </w:numPr>
        <w:tabs>
          <w:tab w:val="left" w:pos="1440"/>
        </w:tabs>
        <w:ind w:left="0" w:firstLine="720"/>
        <w:rPr>
          <w:b/>
          <w:bCs/>
          <w:szCs w:val="22"/>
        </w:rPr>
      </w:pPr>
      <w:r w:rsidRPr="007F3E5C">
        <w:rPr>
          <w:szCs w:val="22"/>
        </w:rPr>
        <w:t xml:space="preserve">Though no comments were filed directly addressing the IRFA, </w:t>
      </w:r>
      <w:r w:rsidRPr="000C7494">
        <w:rPr>
          <w:szCs w:val="22"/>
        </w:rPr>
        <w:t>a number of comment</w:t>
      </w:r>
      <w:r w:rsidRPr="007F3E5C">
        <w:rPr>
          <w:szCs w:val="22"/>
        </w:rPr>
        <w:t xml:space="preserve">s were submitted regarding proposals that may impact small entities.  We received substantive comments for the following five proposals: (1) updating the AM station power increase rules to eliminate the </w:t>
      </w:r>
      <w:r w:rsidRPr="007F3E5C">
        <w:rPr>
          <w:szCs w:val="22"/>
        </w:rPr>
        <w:t xml:space="preserve">requirement that stations seeking facility modifications request at least a 20% increase in power, and to reflect current AM station classifications; (2) modifying sections 73.807(a)(1) and 73.807(c) to clarify that an LPFM applicant submitting an application in a filing window for a new construction permit or modification of an existing LPFM authorization must protect FM, LPFM, and FM translator applications submitted prior to a public notice announcing the procedures for the LPFM filing window; (3) modifying the Signature Rule to allow a “duly authorized employee” to sign, and codifying the existing rule interpretation that directors may sign applications; (4) clarifying the rules concerning when an applicant for a new NCE FM, NCE TV, or LPFM construction permit must give local public notice of its application; and (5) removing language limiting grant of certain Special Temporary Authority (STA) submissions to 90 days, rather than the full 180-day period permitted for other reasons.  </w:t>
      </w:r>
    </w:p>
    <w:p w:rsidR="003275A0" w:rsidRPr="00432B95" w:rsidP="003275A0" w14:paraId="5D00AC71" w14:textId="77777777">
      <w:pPr>
        <w:pStyle w:val="ParaNum"/>
        <w:numPr>
          <w:ilvl w:val="0"/>
          <w:numId w:val="8"/>
        </w:numPr>
        <w:tabs>
          <w:tab w:val="left" w:pos="1440"/>
        </w:tabs>
        <w:ind w:left="0" w:firstLine="720"/>
        <w:rPr>
          <w:b/>
          <w:bCs/>
          <w:szCs w:val="22"/>
        </w:rPr>
      </w:pPr>
      <w:r>
        <w:rPr>
          <w:szCs w:val="22"/>
        </w:rPr>
        <w:t>W</w:t>
      </w:r>
      <w:r w:rsidRPr="00A40159">
        <w:rPr>
          <w:szCs w:val="22"/>
        </w:rPr>
        <w:t>e received a</w:t>
      </w:r>
      <w:r>
        <w:rPr>
          <w:szCs w:val="22"/>
        </w:rPr>
        <w:t xml:space="preserve"> robust </w:t>
      </w:r>
      <w:r w:rsidRPr="00A40159">
        <w:rPr>
          <w:szCs w:val="22"/>
        </w:rPr>
        <w:t>record</w:t>
      </w:r>
      <w:r>
        <w:rPr>
          <w:szCs w:val="22"/>
        </w:rPr>
        <w:t xml:space="preserve"> on these five significant proposals.  For example,  </w:t>
      </w:r>
      <w:r w:rsidRPr="00C70F0F">
        <w:rPr>
          <w:szCs w:val="22"/>
        </w:rPr>
        <w:t>Prometheus, REC</w:t>
      </w:r>
      <w:r>
        <w:rPr>
          <w:szCs w:val="22"/>
        </w:rPr>
        <w:t>,</w:t>
      </w:r>
      <w:r w:rsidRPr="00C70F0F">
        <w:rPr>
          <w:szCs w:val="22"/>
        </w:rPr>
        <w:t xml:space="preserve"> and NAB support the</w:t>
      </w:r>
      <w:r>
        <w:rPr>
          <w:szCs w:val="22"/>
        </w:rPr>
        <w:t xml:space="preserve"> AM power increase rule revisions</w:t>
      </w:r>
      <w:r w:rsidRPr="00C70F0F">
        <w:rPr>
          <w:szCs w:val="22"/>
        </w:rPr>
        <w:t xml:space="preserve"> and agree </w:t>
      </w:r>
      <w:r>
        <w:rPr>
          <w:szCs w:val="22"/>
        </w:rPr>
        <w:t xml:space="preserve">that </w:t>
      </w:r>
      <w:r w:rsidRPr="00C70F0F">
        <w:rPr>
          <w:szCs w:val="22"/>
        </w:rPr>
        <w:t>the</w:t>
      </w:r>
      <w:r>
        <w:rPr>
          <w:szCs w:val="22"/>
        </w:rPr>
        <w:t xml:space="preserve"> changes</w:t>
      </w:r>
      <w:r w:rsidRPr="00C70F0F">
        <w:rPr>
          <w:szCs w:val="22"/>
        </w:rPr>
        <w:t xml:space="preserve"> would offer increased flexibility to AM broadcasters.  NAB also maintains that eliminating the 20% minimum increase in power requirement will help AM stations achieve required community of license coverage, and contribute to the elimination of minimum efficiency requirements for AM stations.</w:t>
      </w:r>
      <w:r>
        <w:rPr>
          <w:rStyle w:val="FootnoteReference"/>
          <w:szCs w:val="22"/>
        </w:rPr>
        <w:footnoteReference w:id="164"/>
      </w:r>
      <w:r>
        <w:rPr>
          <w:szCs w:val="22"/>
        </w:rPr>
        <w:t xml:space="preserve"> </w:t>
      </w:r>
      <w:r w:rsidRPr="00A40159">
        <w:rPr>
          <w:szCs w:val="22"/>
        </w:rPr>
        <w:t xml:space="preserve"> </w:t>
      </w:r>
      <w:r>
        <w:rPr>
          <w:szCs w:val="22"/>
        </w:rPr>
        <w:t>Commenters largely</w:t>
      </w:r>
      <w:r>
        <w:rPr>
          <w:szCs w:val="22"/>
        </w:rPr>
        <w:t xml:space="preserve"> </w:t>
      </w:r>
      <w:r>
        <w:rPr>
          <w:szCs w:val="22"/>
        </w:rPr>
        <w:t xml:space="preserve">support codifying the term “authorized” </w:t>
      </w:r>
      <w:r w:rsidRPr="00E47787">
        <w:rPr>
          <w:szCs w:val="22"/>
        </w:rPr>
        <w:t>to include both licensed stations and/or granted construction permits</w:t>
      </w:r>
      <w:r>
        <w:rPr>
          <w:szCs w:val="22"/>
        </w:rPr>
        <w:t xml:space="preserve"> </w:t>
      </w:r>
      <w:r>
        <w:t>as proposed</w:t>
      </w:r>
      <w:r w:rsidRPr="000C33B5">
        <w:t>.</w:t>
      </w:r>
      <w:r>
        <w:rPr>
          <w:rStyle w:val="FootnoteReference"/>
        </w:rPr>
        <w:footnoteReference w:id="165"/>
      </w:r>
      <w:r>
        <w:t xml:space="preserve">  </w:t>
      </w:r>
      <w:r w:rsidRPr="00A46FCB">
        <w:t>REC argue</w:t>
      </w:r>
      <w:r>
        <w:t>d</w:t>
      </w:r>
      <w:r w:rsidRPr="00A46FCB">
        <w:t xml:space="preserve"> there should only be one </w:t>
      </w:r>
      <w:r>
        <w:t>public notice</w:t>
      </w:r>
      <w:r w:rsidRPr="00A46FCB">
        <w:t xml:space="preserve"> released prior to </w:t>
      </w:r>
      <w:r>
        <w:t xml:space="preserve">an LPFM filing </w:t>
      </w:r>
      <w:r w:rsidRPr="00A46FCB">
        <w:t>window, and that it should contain all of the relevant window information and filing procedures</w:t>
      </w:r>
      <w:r>
        <w:t>.</w:t>
      </w:r>
      <w:r>
        <w:rPr>
          <w:rStyle w:val="FootnoteReference"/>
        </w:rPr>
        <w:footnoteReference w:id="166"/>
      </w:r>
      <w:r w:rsidRPr="00A46FCB">
        <w:t xml:space="preserve">  NAB argue</w:t>
      </w:r>
      <w:r>
        <w:t>d</w:t>
      </w:r>
      <w:r w:rsidRPr="00A46FCB">
        <w:t xml:space="preserve"> that a </w:t>
      </w:r>
      <w:r>
        <w:t>public notice</w:t>
      </w:r>
      <w:r w:rsidRPr="00A46FCB">
        <w:t xml:space="preserve"> that only announces future filing window dates should not trigger the rule’s protections.</w:t>
      </w:r>
      <w:r>
        <w:rPr>
          <w:rStyle w:val="FootnoteReference"/>
        </w:rPr>
        <w:footnoteReference w:id="167"/>
      </w:r>
      <w:r>
        <w:t xml:space="preserve">  We also received varied</w:t>
      </w:r>
      <w:r>
        <w:t xml:space="preserve"> </w:t>
      </w:r>
      <w:r>
        <w:t xml:space="preserve">responses regarding our proposed changes to the Signature Rule.  </w:t>
      </w:r>
      <w:r w:rsidRPr="00102BB4">
        <w:t>Prometheus and P</w:t>
      </w:r>
      <w:r>
        <w:t xml:space="preserve">ublic </w:t>
      </w:r>
      <w:r w:rsidRPr="00102BB4">
        <w:t>B</w:t>
      </w:r>
      <w:r>
        <w:t>roadcasters</w:t>
      </w:r>
      <w:r w:rsidRPr="00102BB4">
        <w:t xml:space="preserve"> support the changes, and feel the term “duly authorized employee” should be interpreted broadly</w:t>
      </w:r>
      <w:r>
        <w:t xml:space="preserve">.  </w:t>
      </w:r>
      <w:r w:rsidRPr="00102BB4">
        <w:t>P</w:t>
      </w:r>
      <w:r>
        <w:t>ublic Broadcasters also</w:t>
      </w:r>
      <w:r w:rsidRPr="00102BB4">
        <w:t xml:space="preserve"> request</w:t>
      </w:r>
      <w:r>
        <w:t>ed</w:t>
      </w:r>
      <w:r w:rsidRPr="00102BB4">
        <w:t xml:space="preserve"> that it be extended to government entities</w:t>
      </w:r>
      <w:r>
        <w:t>, in order to alleviate the burdensome requirement</w:t>
      </w:r>
      <w:r>
        <w:t xml:space="preserve"> </w:t>
      </w:r>
      <w:r>
        <w:t>that a high-level government official must be the signatory</w:t>
      </w:r>
      <w:r w:rsidRPr="00102BB4">
        <w:t>.</w:t>
      </w:r>
      <w:r>
        <w:rPr>
          <w:rStyle w:val="FootnoteReference"/>
        </w:rPr>
        <w:footnoteReference w:id="168"/>
      </w:r>
      <w:r w:rsidRPr="00102BB4">
        <w:t xml:space="preserve">  REC oppose</w:t>
      </w:r>
      <w:r>
        <w:t>d</w:t>
      </w:r>
      <w:r w:rsidRPr="00102BB4">
        <w:t xml:space="preserve"> our proposed changes, arguing that the signatory must be a person with a presumed attributable interest</w:t>
      </w:r>
      <w:r>
        <w:t xml:space="preserve"> in the application</w:t>
      </w:r>
      <w:r w:rsidRPr="00102BB4">
        <w:t xml:space="preserve">, </w:t>
      </w:r>
      <w:r>
        <w:t>such as</w:t>
      </w:r>
      <w:r w:rsidRPr="00102BB4">
        <w:t xml:space="preserve"> an officer or director.</w:t>
      </w:r>
      <w:r>
        <w:rPr>
          <w:rStyle w:val="FootnoteReference"/>
        </w:rPr>
        <w:footnoteReference w:id="169"/>
      </w:r>
      <w:r w:rsidRPr="00102BB4">
        <w:t xml:space="preserve">  Prometheus and REC both propose</w:t>
      </w:r>
      <w:r>
        <w:t>d</w:t>
      </w:r>
      <w:r w:rsidRPr="00102BB4">
        <w:t xml:space="preserve"> allowing </w:t>
      </w:r>
      <w:r w:rsidRPr="005A0ACE">
        <w:rPr>
          <w:i/>
          <w:iCs/>
        </w:rPr>
        <w:t>nunc pro tunc</w:t>
      </w:r>
      <w:r w:rsidRPr="00102BB4">
        <w:t xml:space="preserve"> reinstatement </w:t>
      </w:r>
      <w:r>
        <w:t xml:space="preserve">and curative amendments </w:t>
      </w:r>
      <w:r w:rsidRPr="00102BB4">
        <w:t>for signature rule violations.</w:t>
      </w:r>
      <w:r>
        <w:rPr>
          <w:rStyle w:val="FootnoteReference"/>
        </w:rPr>
        <w:footnoteReference w:id="170"/>
      </w:r>
      <w:r>
        <w:t xml:space="preserve">  Regarding when an NCE applicant must give local public notice of its application, </w:t>
      </w:r>
      <w:r w:rsidRPr="000C33B5">
        <w:t>REC and P</w:t>
      </w:r>
      <w:r>
        <w:t xml:space="preserve">ublic </w:t>
      </w:r>
      <w:r w:rsidRPr="000C33B5">
        <w:t>B</w:t>
      </w:r>
      <w:r>
        <w:t>roadcasters</w:t>
      </w:r>
      <w:r w:rsidRPr="000C33B5">
        <w:t xml:space="preserve"> support</w:t>
      </w:r>
      <w:r>
        <w:t>ed</w:t>
      </w:r>
      <w:r w:rsidRPr="000C33B5">
        <w:t xml:space="preserve"> the proposed </w:t>
      </w:r>
      <w:r>
        <w:t xml:space="preserve">rule </w:t>
      </w:r>
      <w:r w:rsidRPr="000C33B5">
        <w:t>updates.  In addition, Prometheus and REC request</w:t>
      </w:r>
      <w:r>
        <w:t>ed</w:t>
      </w:r>
      <w:r w:rsidRPr="000C33B5">
        <w:t xml:space="preserve"> that we </w:t>
      </w:r>
      <w:r>
        <w:t>update</w:t>
      </w:r>
      <w:r w:rsidRPr="000C33B5">
        <w:t xml:space="preserve"> </w:t>
      </w:r>
      <w:r w:rsidRPr="000C33B5">
        <w:t>LMS to display an “accepted for filing” application status.</w:t>
      </w:r>
      <w:r>
        <w:rPr>
          <w:rStyle w:val="FootnoteReference"/>
        </w:rPr>
        <w:footnoteReference w:id="171"/>
      </w:r>
      <w:r>
        <w:t xml:space="preserve">  Lastly, commenters s</w:t>
      </w:r>
      <w:r w:rsidRPr="007D33EF">
        <w:t xml:space="preserve">upport </w:t>
      </w:r>
      <w:r>
        <w:t>removing the 90-day grant restriction on technical STAs</w:t>
      </w:r>
      <w:r w:rsidRPr="007D33EF">
        <w:t xml:space="preserve">; </w:t>
      </w:r>
      <w:r>
        <w:t xml:space="preserve">NAB </w:t>
      </w:r>
      <w:r w:rsidRPr="007D33EF">
        <w:t>agree</w:t>
      </w:r>
      <w:r>
        <w:t>d that</w:t>
      </w:r>
      <w:r w:rsidRPr="007D33EF">
        <w:t xml:space="preserve"> this reduces burdens on both applicants and FCC staff</w:t>
      </w:r>
      <w:r>
        <w:t>.</w:t>
      </w:r>
      <w:r>
        <w:rPr>
          <w:rStyle w:val="FootnoteReference"/>
        </w:rPr>
        <w:footnoteReference w:id="172"/>
      </w:r>
      <w:r>
        <w:t xml:space="preserve">  </w:t>
      </w:r>
      <w:r w:rsidRPr="00713DE4">
        <w:t>P</w:t>
      </w:r>
      <w:r>
        <w:t xml:space="preserve">ublic </w:t>
      </w:r>
      <w:r w:rsidRPr="00713DE4">
        <w:t>B</w:t>
      </w:r>
      <w:r>
        <w:t>roadcasters also agreed it</w:t>
      </w:r>
      <w:r w:rsidRPr="00713DE4">
        <w:t xml:space="preserve"> would greatly benefit from this extension of the STA term, </w:t>
      </w:r>
      <w:r>
        <w:t>which</w:t>
      </w:r>
      <w:r w:rsidRPr="00713DE4">
        <w:t xml:space="preserve"> is more realistic</w:t>
      </w:r>
      <w:r>
        <w:t>,</w:t>
      </w:r>
      <w:r w:rsidRPr="00713DE4">
        <w:t xml:space="preserve"> given the time it takes to procure and replace technical equipment.</w:t>
      </w:r>
      <w:r>
        <w:rPr>
          <w:rStyle w:val="FootnoteReference"/>
        </w:rPr>
        <w:footnoteReference w:id="173"/>
      </w:r>
      <w:r>
        <w:t xml:space="preserve">  We discuss these proposals and other alternatives that minimize the impact on small broadcasters in section F.</w:t>
      </w:r>
    </w:p>
    <w:p w:rsidR="003275A0" w:rsidRPr="0021080A" w:rsidP="004B6A66" w14:paraId="7DE443B0" w14:textId="77777777">
      <w:pPr>
        <w:pStyle w:val="Heading2"/>
      </w:pPr>
      <w:bookmarkStart w:id="55" w:name="_Toc468201217"/>
      <w:bookmarkStart w:id="56" w:name="_Toc468702541"/>
      <w:bookmarkStart w:id="57" w:name="_Toc473563725"/>
      <w:bookmarkStart w:id="58" w:name="_Toc474348301"/>
      <w:bookmarkStart w:id="59" w:name="_Toc474351638"/>
      <w:bookmarkStart w:id="60" w:name="_Toc474352569"/>
      <w:bookmarkStart w:id="61" w:name="_Toc474353431"/>
      <w:bookmarkStart w:id="62" w:name="_Toc474532756"/>
      <w:bookmarkStart w:id="63" w:name="_Toc474534422"/>
      <w:bookmarkStart w:id="64" w:name="_Toc474752049"/>
      <w:bookmarkStart w:id="65" w:name="_Toc474947289"/>
      <w:bookmarkStart w:id="66" w:name="_Toc475028089"/>
      <w:bookmarkStart w:id="67" w:name="_Toc475537252"/>
      <w:bookmarkStart w:id="68" w:name="_Toc475899452"/>
      <w:bookmarkStart w:id="69" w:name="_Toc477805785"/>
      <w:bookmarkStart w:id="70" w:name="_Toc477954219"/>
      <w:bookmarkStart w:id="71" w:name="_Toc262465662"/>
      <w:bookmarkStart w:id="72" w:name="_Toc310524630"/>
      <w:bookmarkStart w:id="73" w:name="_Toc310524898"/>
      <w:bookmarkStart w:id="74" w:name="_Toc314645320"/>
      <w:bookmarkStart w:id="75" w:name="_Toc314648951"/>
      <w:bookmarkStart w:id="76" w:name="_Toc314738877"/>
      <w:bookmarkStart w:id="77" w:name="_Toc314738920"/>
      <w:bookmarkStart w:id="78" w:name="_Toc393478010"/>
      <w:bookmarkStart w:id="79" w:name="_Toc394658131"/>
      <w:bookmarkStart w:id="80" w:name="_Toc394659976"/>
      <w:bookmarkStart w:id="81" w:name="_Toc394678816"/>
      <w:bookmarkStart w:id="82" w:name="_Toc394679530"/>
      <w:bookmarkStart w:id="83" w:name="_Toc395264437"/>
      <w:bookmarkStart w:id="84" w:name="_Toc397508652"/>
      <w:bookmarkStart w:id="85" w:name="_Toc397604502"/>
      <w:bookmarkStart w:id="86" w:name="_Toc397686590"/>
      <w:bookmarkStart w:id="87" w:name="_Toc399935853"/>
      <w:bookmarkStart w:id="88" w:name="_Toc403121203"/>
      <w:bookmarkStart w:id="89" w:name="_Toc465357615"/>
      <w:r w:rsidRPr="0021080A">
        <w:t xml:space="preserve">Response to Comments by the Chief Counsel </w:t>
      </w:r>
      <w:bookmarkStart w:id="90" w:name="_Hlk217914514"/>
      <w:r w:rsidRPr="0021080A">
        <w:t>for the Small Business Administration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21080A">
        <w:t xml:space="preserve"> Office of Advocacy</w:t>
      </w:r>
      <w:bookmarkEnd w:id="90"/>
    </w:p>
    <w:p w:rsidR="003275A0" w:rsidRPr="0021080A" w:rsidP="003275A0" w14:paraId="3905B292" w14:textId="77777777">
      <w:pPr>
        <w:pStyle w:val="ParaNum"/>
        <w:numPr>
          <w:ilvl w:val="0"/>
          <w:numId w:val="8"/>
        </w:numPr>
        <w:snapToGrid w:val="0"/>
        <w:ind w:left="0" w:firstLine="720"/>
        <w:rPr>
          <w:b/>
          <w:bCs/>
          <w:szCs w:val="22"/>
        </w:rPr>
      </w:pPr>
      <w:r w:rsidRPr="0021080A">
        <w:rPr>
          <w:szCs w:val="22"/>
        </w:rPr>
        <w:t>Pursuant to the Small Business Jobs Act of 2010, which amended the RFA,</w:t>
      </w:r>
      <w:r>
        <w:rPr>
          <w:rStyle w:val="FootnoteReference"/>
          <w:sz w:val="22"/>
          <w:szCs w:val="22"/>
        </w:rPr>
        <w:footnoteReference w:id="174"/>
      </w:r>
      <w:r w:rsidRPr="0021080A">
        <w:rPr>
          <w:szCs w:val="22"/>
        </w:rPr>
        <w:t xml:space="preserve"> the Commission is required to respond to any comments filed by the Chief Counsel for the Small Business Administration (SBA) Office of Advocacy, and also provide a detailed statement of any change made to the proposed rules as a result of those comments.</w:t>
      </w:r>
      <w:r>
        <w:rPr>
          <w:rStyle w:val="FootnoteReference"/>
          <w:sz w:val="22"/>
          <w:szCs w:val="22"/>
        </w:rPr>
        <w:footnoteReference w:id="175"/>
      </w:r>
      <w:r w:rsidRPr="0021080A">
        <w:rPr>
          <w:szCs w:val="22"/>
        </w:rPr>
        <w:t xml:space="preserve">  The Chief Counsel did not file any comments in response to the proposed rules in this proceeding.</w:t>
      </w:r>
    </w:p>
    <w:p w:rsidR="003275A0" w:rsidRPr="0021080A" w:rsidP="004B6A66" w14:paraId="2AA059CA" w14:textId="77777777">
      <w:pPr>
        <w:pStyle w:val="Heading2"/>
      </w:pPr>
      <w:bookmarkStart w:id="91" w:name="_Toc468201218"/>
      <w:bookmarkStart w:id="92" w:name="_Toc468702542"/>
      <w:bookmarkStart w:id="93" w:name="_Toc473563726"/>
      <w:bookmarkStart w:id="94" w:name="_Toc474348302"/>
      <w:bookmarkStart w:id="95" w:name="_Toc474351639"/>
      <w:bookmarkStart w:id="96" w:name="_Toc474352570"/>
      <w:bookmarkStart w:id="97" w:name="_Toc474353432"/>
      <w:bookmarkStart w:id="98" w:name="_Toc474532757"/>
      <w:bookmarkStart w:id="99" w:name="_Toc474534423"/>
      <w:bookmarkStart w:id="100" w:name="_Toc474752050"/>
      <w:bookmarkStart w:id="101" w:name="_Toc474947290"/>
      <w:bookmarkStart w:id="102" w:name="_Toc475028090"/>
      <w:bookmarkStart w:id="103" w:name="_Toc475537253"/>
      <w:bookmarkStart w:id="104" w:name="_Toc475899453"/>
      <w:bookmarkStart w:id="105" w:name="_Toc477805786"/>
      <w:bookmarkStart w:id="106" w:name="_Toc477954220"/>
      <w:r w:rsidRPr="0021080A">
        <w:t>Description and Estimate of the Number of Small Entities to Which the Rules Will Apply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3275A0" w:rsidRPr="0021080A" w:rsidP="003275A0" w14:paraId="64A1708C" w14:textId="77777777">
      <w:pPr>
        <w:pStyle w:val="ParaNum"/>
        <w:numPr>
          <w:ilvl w:val="0"/>
          <w:numId w:val="8"/>
        </w:numPr>
        <w:snapToGrid w:val="0"/>
        <w:ind w:left="0" w:firstLine="720"/>
        <w:rPr>
          <w:szCs w:val="22"/>
        </w:rPr>
      </w:pPr>
      <w:r w:rsidRPr="0021080A">
        <w:rPr>
          <w:szCs w:val="22"/>
        </w:rPr>
        <w:t>The RFA directs agencies to provide a description of, and where feasible, an estimate of the number of small entities that may be affected by the adopted rules.</w:t>
      </w:r>
      <w:r>
        <w:rPr>
          <w:szCs w:val="22"/>
          <w:vertAlign w:val="superscript"/>
        </w:rPr>
        <w:footnoteReference w:id="176"/>
      </w:r>
      <w:r w:rsidRPr="0021080A">
        <w:rPr>
          <w:szCs w:val="22"/>
        </w:rPr>
        <w:t xml:space="preserve">  The RFA generally defines the term “small entity” as having the same meaning as the terms “small business,” “small organization,” and “small governmental jurisdiction.”</w:t>
      </w:r>
      <w:r>
        <w:rPr>
          <w:szCs w:val="22"/>
          <w:vertAlign w:val="superscript"/>
        </w:rPr>
        <w:footnoteReference w:id="177"/>
      </w:r>
      <w:r w:rsidRPr="0021080A">
        <w:rPr>
          <w:szCs w:val="22"/>
        </w:rPr>
        <w:t xml:space="preserve">  In addition, the term “small business” has the same meaning as the term “small business concern” under the Small Business Act.</w:t>
      </w:r>
      <w:r>
        <w:rPr>
          <w:szCs w:val="22"/>
          <w:vertAlign w:val="superscript"/>
        </w:rPr>
        <w:footnoteReference w:id="178"/>
      </w:r>
      <w:r w:rsidRPr="0021080A">
        <w:rPr>
          <w:szCs w:val="22"/>
        </w:rPr>
        <w:t xml:space="preserve">  A “small business concern” is one which: (1) is independently owned and operated; (2) is not dominant in its field of operation; and (3) satisfies any additional criteria established by the SBA.</w:t>
      </w:r>
      <w:r>
        <w:rPr>
          <w:szCs w:val="22"/>
          <w:vertAlign w:val="superscript"/>
        </w:rPr>
        <w:footnoteReference w:id="179"/>
      </w:r>
      <w:r w:rsidRPr="0021080A">
        <w:rPr>
          <w:szCs w:val="22"/>
        </w:rPr>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szCs w:val="22"/>
          <w:vertAlign w:val="superscript"/>
        </w:rPr>
        <w:footnoteReference w:id="180"/>
      </w:r>
      <w:r w:rsidRPr="0021080A">
        <w:rPr>
          <w:szCs w:val="22"/>
        </w:rPr>
        <w:t xml:space="preserve">  </w:t>
      </w:r>
    </w:p>
    <w:p w:rsidR="003275A0" w:rsidRPr="0021080A" w:rsidP="003275A0" w14:paraId="2067A6B8" w14:textId="77777777">
      <w:pPr>
        <w:pStyle w:val="ParaNum"/>
        <w:numPr>
          <w:ilvl w:val="0"/>
          <w:numId w:val="8"/>
        </w:numPr>
        <w:snapToGrid w:val="0"/>
        <w:ind w:left="0" w:firstLine="720"/>
        <w:rPr>
          <w:szCs w:val="22"/>
        </w:rPr>
      </w:pPr>
      <w:r w:rsidRPr="0021080A">
        <w:rPr>
          <w:szCs w:val="22"/>
        </w:rPr>
        <w:t>Our actions, over time, may affect small entities that are not easily categorized at present.  We therefore describe three broad groups of small entities that could be directly affected by our actions.</w:t>
      </w:r>
      <w:r>
        <w:rPr>
          <w:szCs w:val="22"/>
          <w:vertAlign w:val="superscript"/>
        </w:rPr>
        <w:footnoteReference w:id="181"/>
      </w:r>
      <w:r w:rsidRPr="0021080A">
        <w:rPr>
          <w:szCs w:val="22"/>
        </w:rPr>
        <w:t xml:space="preserve">  In general, a small business is an independent business having fewer than 500 employees.</w:t>
      </w:r>
      <w:r>
        <w:rPr>
          <w:szCs w:val="22"/>
          <w:vertAlign w:val="superscript"/>
        </w:rPr>
        <w:footnoteReference w:id="182"/>
      </w:r>
      <w:r w:rsidRPr="0021080A">
        <w:rPr>
          <w:szCs w:val="22"/>
        </w:rPr>
        <w:t xml:space="preserve">  These types of small businesses represent 99.9% of all businesses in the United States, which translates to 34.75 million businesses.</w:t>
      </w:r>
      <w:r>
        <w:rPr>
          <w:szCs w:val="22"/>
          <w:vertAlign w:val="superscript"/>
        </w:rPr>
        <w:footnoteReference w:id="183"/>
      </w:r>
      <w:r w:rsidRPr="0021080A">
        <w:rPr>
          <w:szCs w:val="22"/>
        </w:rPr>
        <w:t xml:space="preserve">  Next, “small organizations” are not-for-profit enterprises that are independently owned and operated and are not dominant in their field.</w:t>
      </w:r>
      <w:r>
        <w:rPr>
          <w:szCs w:val="22"/>
          <w:vertAlign w:val="superscript"/>
        </w:rPr>
        <w:footnoteReference w:id="184"/>
      </w:r>
      <w:r w:rsidRPr="0021080A">
        <w:rPr>
          <w:szCs w:val="22"/>
        </w:rPr>
        <w:t xml:space="preserve">  While we do not have data regarding the number of non-profits that meet that criteria, over 99 percent of nonprofits have fewer than 500 </w:t>
      </w:r>
      <w:r w:rsidRPr="0021080A">
        <w:rPr>
          <w:szCs w:val="22"/>
        </w:rPr>
        <w:t>employees.</w:t>
      </w:r>
      <w:r>
        <w:rPr>
          <w:szCs w:val="22"/>
          <w:vertAlign w:val="superscript"/>
        </w:rPr>
        <w:footnoteReference w:id="185"/>
      </w:r>
      <w:r w:rsidRPr="0021080A">
        <w:rPr>
          <w:szCs w:val="22"/>
        </w:rPr>
        <w:t xml:space="preserve">  Finally, “small governmental jurisdictions” are defined as cities, counties, towns, townships, villages, school districts, or special districts with populations of less than fifty thousand.</w:t>
      </w:r>
      <w:r>
        <w:rPr>
          <w:szCs w:val="22"/>
          <w:vertAlign w:val="superscript"/>
        </w:rPr>
        <w:footnoteReference w:id="186"/>
      </w:r>
      <w:r w:rsidRPr="0021080A">
        <w:rPr>
          <w:szCs w:val="22"/>
        </w:rPr>
        <w:t xml:space="preserve">  Based on the 2022 U.S. Census of Governments data, we estimate that at least 48,724 out of 90,835 local government jurisdictions have a population of less than 50,000.</w:t>
      </w:r>
      <w:r>
        <w:rPr>
          <w:szCs w:val="22"/>
          <w:vertAlign w:val="superscript"/>
        </w:rPr>
        <w:footnoteReference w:id="187"/>
      </w:r>
      <w:r w:rsidRPr="0021080A">
        <w:rPr>
          <w:szCs w:val="22"/>
        </w:rPr>
        <w:t xml:space="preserve">  </w:t>
      </w:r>
    </w:p>
    <w:p w:rsidR="003275A0" w:rsidP="003275A0" w14:paraId="43739DFC" w14:textId="77777777">
      <w:pPr>
        <w:pStyle w:val="ParaNum"/>
        <w:numPr>
          <w:ilvl w:val="0"/>
          <w:numId w:val="8"/>
        </w:numPr>
        <w:snapToGrid w:val="0"/>
        <w:ind w:left="0" w:firstLine="720"/>
        <w:rPr>
          <w:szCs w:val="22"/>
        </w:rPr>
      </w:pPr>
      <w:r w:rsidRPr="0021080A">
        <w:rPr>
          <w:szCs w:val="22"/>
        </w:rPr>
        <w:t xml:space="preserve">The rules adopted in the </w:t>
      </w:r>
      <w:r w:rsidRPr="0021080A">
        <w:rPr>
          <w:i/>
          <w:iCs/>
          <w:szCs w:val="22"/>
        </w:rPr>
        <w:t>Report and Order</w:t>
      </w:r>
      <w:r w:rsidRPr="0021080A">
        <w:rPr>
          <w:szCs w:val="22"/>
        </w:rPr>
        <w:t xml:space="preserve"> will apply to small entities in the industries identified in the chart below by their six-digit North American Industry Classification System (NAICS)</w:t>
      </w:r>
      <w:r>
        <w:rPr>
          <w:szCs w:val="22"/>
          <w:vertAlign w:val="superscript"/>
        </w:rPr>
        <w:footnoteReference w:id="188"/>
      </w:r>
      <w:r w:rsidRPr="0021080A">
        <w:rPr>
          <w:szCs w:val="22"/>
        </w:rPr>
        <w:t xml:space="preserve"> codes and corresponding SBA size standard.</w:t>
      </w:r>
      <w:r>
        <w:rPr>
          <w:szCs w:val="22"/>
          <w:vertAlign w:val="superscript"/>
        </w:rPr>
        <w:footnoteReference w:id="189"/>
      </w:r>
      <w:r w:rsidRPr="0021080A">
        <w:rPr>
          <w:szCs w:val="22"/>
        </w:rPr>
        <w:t xml:space="preserve">  Based on currently available U.S. Census data regarding the estimated number of small firms in each identified industry, we conclude that the adopted rules will impact a substantial number of small entities.  Where available, we also provide additional information regarding the number of potentially affected entities in the identified industries below.</w:t>
      </w:r>
    </w:p>
    <w:p w:rsidR="003275A0" w:rsidRPr="0085704E" w:rsidP="003275A0" w14:paraId="4580AEC7" w14:textId="77777777">
      <w:pPr>
        <w:pStyle w:val="ListParagraph"/>
        <w:keepNext/>
        <w:spacing w:after="120"/>
        <w:rPr>
          <w:b/>
          <w:bCs/>
          <w:szCs w:val="22"/>
        </w:rPr>
      </w:pPr>
      <w:r w:rsidRPr="0085704E">
        <w:rPr>
          <w:b/>
          <w:bCs/>
          <w:szCs w:val="22"/>
        </w:rPr>
        <w:t>Table 1.  2022 U.S. Census Bureau Data by NAICS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tblPr>
      <w:tblGrid>
        <w:gridCol w:w="2712"/>
        <w:gridCol w:w="1328"/>
        <w:gridCol w:w="1328"/>
        <w:gridCol w:w="1328"/>
        <w:gridCol w:w="1328"/>
        <w:gridCol w:w="1326"/>
      </w:tblGrid>
      <w:tr w14:paraId="2779906B" w14:textId="77777777">
        <w:tblPrEx>
          <w:tblW w:w="5000" w:type="pct"/>
          <w:jc w:val="center"/>
          <w:tblLook w:val="0100"/>
        </w:tblPrEx>
        <w:trPr>
          <w:tblHeader/>
          <w:jc w:val="center"/>
        </w:trPr>
        <w:tc>
          <w:tcPr>
            <w:tcW w:w="1450" w:type="pct"/>
            <w:shd w:val="pct5" w:color="auto" w:fill="auto"/>
          </w:tcPr>
          <w:p w:rsidR="003275A0" w:rsidRPr="00A80877" w14:paraId="74BDE726" w14:textId="77777777">
            <w:pPr>
              <w:rPr>
                <w:b/>
                <w:bCs/>
                <w:szCs w:val="22"/>
              </w:rPr>
            </w:pPr>
            <w:r w:rsidRPr="00A80877">
              <w:rPr>
                <w:b/>
                <w:bCs/>
                <w:szCs w:val="22"/>
              </w:rPr>
              <w:t>Regulated Industry (Footnotes specify potentially affected entities within a regulated industry where applicable)</w:t>
            </w:r>
          </w:p>
        </w:tc>
        <w:tc>
          <w:tcPr>
            <w:tcW w:w="710" w:type="pct"/>
            <w:shd w:val="pct5" w:color="auto" w:fill="auto"/>
            <w:vAlign w:val="center"/>
          </w:tcPr>
          <w:p w:rsidR="003275A0" w:rsidRPr="00A80877" w14:paraId="34599B5C" w14:textId="77777777">
            <w:pPr>
              <w:jc w:val="center"/>
              <w:rPr>
                <w:b/>
                <w:bCs/>
                <w:szCs w:val="22"/>
              </w:rPr>
            </w:pPr>
            <w:r w:rsidRPr="00A80877">
              <w:rPr>
                <w:b/>
                <w:bCs/>
                <w:szCs w:val="22"/>
              </w:rPr>
              <w:t>NAICS Code</w:t>
            </w:r>
          </w:p>
        </w:tc>
        <w:tc>
          <w:tcPr>
            <w:tcW w:w="710" w:type="pct"/>
            <w:shd w:val="pct5" w:color="auto" w:fill="auto"/>
            <w:vAlign w:val="center"/>
          </w:tcPr>
          <w:p w:rsidR="003275A0" w:rsidRPr="00A80877" w14:paraId="6CA9EA51" w14:textId="77777777">
            <w:pPr>
              <w:jc w:val="center"/>
              <w:rPr>
                <w:b/>
                <w:bCs/>
                <w:szCs w:val="22"/>
              </w:rPr>
            </w:pPr>
          </w:p>
          <w:p w:rsidR="003275A0" w:rsidRPr="00A80877" w14:paraId="4D8F13B8" w14:textId="77777777">
            <w:pPr>
              <w:jc w:val="center"/>
              <w:rPr>
                <w:b/>
                <w:bCs/>
                <w:szCs w:val="22"/>
              </w:rPr>
            </w:pPr>
            <w:r w:rsidRPr="00A80877">
              <w:rPr>
                <w:b/>
                <w:bCs/>
                <w:szCs w:val="22"/>
              </w:rPr>
              <w:t>SBA Size Standard</w:t>
            </w:r>
          </w:p>
          <w:p w:rsidR="003275A0" w:rsidRPr="00A80877" w14:paraId="04F46213" w14:textId="77777777">
            <w:pPr>
              <w:jc w:val="center"/>
              <w:rPr>
                <w:b/>
                <w:bCs/>
                <w:szCs w:val="22"/>
              </w:rPr>
            </w:pPr>
          </w:p>
        </w:tc>
        <w:tc>
          <w:tcPr>
            <w:tcW w:w="710" w:type="pct"/>
            <w:shd w:val="pct5" w:color="auto" w:fill="auto"/>
            <w:vAlign w:val="center"/>
          </w:tcPr>
          <w:p w:rsidR="003275A0" w:rsidRPr="00A80877" w14:paraId="2E63196B" w14:textId="77777777">
            <w:pPr>
              <w:jc w:val="center"/>
              <w:rPr>
                <w:b/>
                <w:bCs/>
                <w:szCs w:val="22"/>
              </w:rPr>
            </w:pPr>
            <w:r w:rsidRPr="00A80877">
              <w:rPr>
                <w:b/>
                <w:bCs/>
                <w:szCs w:val="22"/>
              </w:rPr>
              <w:t>Total Firms</w:t>
            </w:r>
            <w:r>
              <w:rPr>
                <w:bCs/>
                <w:szCs w:val="22"/>
                <w:vertAlign w:val="superscript"/>
              </w:rPr>
              <w:footnoteReference w:id="190"/>
            </w:r>
          </w:p>
        </w:tc>
        <w:tc>
          <w:tcPr>
            <w:tcW w:w="710" w:type="pct"/>
            <w:shd w:val="pct5" w:color="auto" w:fill="auto"/>
            <w:vAlign w:val="center"/>
          </w:tcPr>
          <w:p w:rsidR="003275A0" w:rsidRPr="00A80877" w14:paraId="2AD2DF49" w14:textId="77777777">
            <w:pPr>
              <w:jc w:val="center"/>
              <w:rPr>
                <w:b/>
                <w:bCs/>
                <w:szCs w:val="22"/>
              </w:rPr>
            </w:pPr>
            <w:r w:rsidRPr="00A80877">
              <w:rPr>
                <w:b/>
                <w:bCs/>
                <w:szCs w:val="22"/>
              </w:rPr>
              <w:t>Total Small Firms</w:t>
            </w:r>
            <w:r>
              <w:rPr>
                <w:bCs/>
                <w:szCs w:val="22"/>
                <w:vertAlign w:val="superscript"/>
              </w:rPr>
              <w:footnoteReference w:id="191"/>
            </w:r>
          </w:p>
        </w:tc>
        <w:tc>
          <w:tcPr>
            <w:tcW w:w="709" w:type="pct"/>
            <w:shd w:val="pct5" w:color="auto" w:fill="auto"/>
            <w:vAlign w:val="center"/>
          </w:tcPr>
          <w:p w:rsidR="003275A0" w:rsidRPr="00A80877" w14:paraId="76CCBCF2" w14:textId="77777777">
            <w:pPr>
              <w:jc w:val="center"/>
              <w:rPr>
                <w:b/>
                <w:bCs/>
                <w:szCs w:val="22"/>
              </w:rPr>
            </w:pPr>
            <w:r w:rsidRPr="00A80877">
              <w:rPr>
                <w:b/>
                <w:bCs/>
                <w:szCs w:val="22"/>
              </w:rPr>
              <w:t>% Small Firms</w:t>
            </w:r>
          </w:p>
        </w:tc>
      </w:tr>
      <w:tr w14:paraId="2BF76474" w14:textId="77777777">
        <w:tblPrEx>
          <w:tblW w:w="5000" w:type="pct"/>
          <w:jc w:val="center"/>
          <w:tblLook w:val="0100"/>
        </w:tblPrEx>
        <w:trPr>
          <w:jc w:val="center"/>
        </w:trPr>
        <w:tc>
          <w:tcPr>
            <w:tcW w:w="1450" w:type="pct"/>
          </w:tcPr>
          <w:p w:rsidR="003275A0" w:rsidRPr="00A80877" w14:paraId="7DA62020" w14:textId="77777777">
            <w:pPr>
              <w:rPr>
                <w:szCs w:val="22"/>
              </w:rPr>
            </w:pPr>
            <w:r w:rsidRPr="00A80877">
              <w:rPr>
                <w:szCs w:val="22"/>
              </w:rPr>
              <w:t>Radio Broadcasting Stations</w:t>
            </w:r>
            <w:r>
              <w:rPr>
                <w:szCs w:val="22"/>
                <w:vertAlign w:val="superscript"/>
              </w:rPr>
              <w:footnoteReference w:id="192"/>
            </w:r>
          </w:p>
        </w:tc>
        <w:tc>
          <w:tcPr>
            <w:tcW w:w="710" w:type="pct"/>
            <w:vAlign w:val="center"/>
          </w:tcPr>
          <w:p w:rsidR="003275A0" w:rsidRPr="00A80877" w14:paraId="692B61DC" w14:textId="77777777">
            <w:pPr>
              <w:jc w:val="center"/>
              <w:rPr>
                <w:szCs w:val="22"/>
              </w:rPr>
            </w:pPr>
            <w:r w:rsidRPr="00A80877">
              <w:rPr>
                <w:szCs w:val="22"/>
              </w:rPr>
              <w:t>516110</w:t>
            </w:r>
          </w:p>
        </w:tc>
        <w:tc>
          <w:tcPr>
            <w:tcW w:w="710" w:type="pct"/>
            <w:vAlign w:val="center"/>
          </w:tcPr>
          <w:p w:rsidR="003275A0" w:rsidRPr="00A80877" w14:paraId="4056270A" w14:textId="77777777">
            <w:pPr>
              <w:jc w:val="center"/>
              <w:rPr>
                <w:szCs w:val="22"/>
              </w:rPr>
            </w:pPr>
            <w:r w:rsidRPr="00A80877">
              <w:rPr>
                <w:szCs w:val="22"/>
              </w:rPr>
              <w:t>$47 million</w:t>
            </w:r>
          </w:p>
        </w:tc>
        <w:tc>
          <w:tcPr>
            <w:tcW w:w="710" w:type="pct"/>
            <w:vAlign w:val="center"/>
          </w:tcPr>
          <w:p w:rsidR="003275A0" w:rsidRPr="00A80877" w14:paraId="4424769C" w14:textId="77777777">
            <w:pPr>
              <w:jc w:val="center"/>
              <w:rPr>
                <w:szCs w:val="22"/>
              </w:rPr>
            </w:pPr>
            <w:r w:rsidRPr="00A80877">
              <w:rPr>
                <w:szCs w:val="22"/>
              </w:rPr>
              <w:t>2,616</w:t>
            </w:r>
          </w:p>
        </w:tc>
        <w:tc>
          <w:tcPr>
            <w:tcW w:w="710" w:type="pct"/>
            <w:vAlign w:val="center"/>
          </w:tcPr>
          <w:p w:rsidR="003275A0" w:rsidRPr="00A80877" w14:paraId="45E71F8E" w14:textId="77777777">
            <w:pPr>
              <w:jc w:val="center"/>
              <w:rPr>
                <w:szCs w:val="22"/>
              </w:rPr>
            </w:pPr>
            <w:r w:rsidRPr="00A80877">
              <w:rPr>
                <w:szCs w:val="22"/>
              </w:rPr>
              <w:t>2,136</w:t>
            </w:r>
          </w:p>
        </w:tc>
        <w:tc>
          <w:tcPr>
            <w:tcW w:w="709" w:type="pct"/>
            <w:vAlign w:val="center"/>
          </w:tcPr>
          <w:p w:rsidR="003275A0" w:rsidRPr="00A80877" w14:paraId="4EB25F1B" w14:textId="77777777">
            <w:pPr>
              <w:jc w:val="center"/>
              <w:rPr>
                <w:szCs w:val="22"/>
              </w:rPr>
            </w:pPr>
            <w:r w:rsidRPr="00A80877">
              <w:rPr>
                <w:color w:val="000000"/>
                <w:szCs w:val="22"/>
              </w:rPr>
              <w:t>81.65%</w:t>
            </w:r>
          </w:p>
        </w:tc>
      </w:tr>
      <w:tr w14:paraId="4C192954" w14:textId="77777777">
        <w:tblPrEx>
          <w:tblW w:w="5000" w:type="pct"/>
          <w:jc w:val="center"/>
          <w:tblLook w:val="0100"/>
        </w:tblPrEx>
        <w:trPr>
          <w:jc w:val="center"/>
        </w:trPr>
        <w:tc>
          <w:tcPr>
            <w:tcW w:w="1450" w:type="pct"/>
          </w:tcPr>
          <w:p w:rsidR="003275A0" w:rsidRPr="00A80877" w14:paraId="4CD58138" w14:textId="77777777">
            <w:pPr>
              <w:rPr>
                <w:szCs w:val="22"/>
              </w:rPr>
            </w:pPr>
            <w:r w:rsidRPr="00A80877">
              <w:rPr>
                <w:szCs w:val="22"/>
              </w:rPr>
              <w:t>Television Broadcasting Stations</w:t>
            </w:r>
            <w:r>
              <w:rPr>
                <w:szCs w:val="22"/>
                <w:vertAlign w:val="superscript"/>
              </w:rPr>
              <w:footnoteReference w:id="193"/>
            </w:r>
          </w:p>
        </w:tc>
        <w:tc>
          <w:tcPr>
            <w:tcW w:w="710" w:type="pct"/>
            <w:vAlign w:val="center"/>
          </w:tcPr>
          <w:p w:rsidR="003275A0" w:rsidRPr="00A80877" w14:paraId="35CB1B55" w14:textId="77777777">
            <w:pPr>
              <w:jc w:val="center"/>
              <w:rPr>
                <w:szCs w:val="22"/>
              </w:rPr>
            </w:pPr>
            <w:r w:rsidRPr="00A80877">
              <w:rPr>
                <w:szCs w:val="22"/>
              </w:rPr>
              <w:t>516120</w:t>
            </w:r>
          </w:p>
        </w:tc>
        <w:tc>
          <w:tcPr>
            <w:tcW w:w="710" w:type="pct"/>
            <w:vAlign w:val="center"/>
          </w:tcPr>
          <w:p w:rsidR="003275A0" w:rsidRPr="00A80877" w14:paraId="4BE46B7D" w14:textId="77777777">
            <w:pPr>
              <w:jc w:val="center"/>
              <w:rPr>
                <w:szCs w:val="22"/>
              </w:rPr>
            </w:pPr>
            <w:r w:rsidRPr="00A80877">
              <w:rPr>
                <w:szCs w:val="22"/>
              </w:rPr>
              <w:t>$47 million</w:t>
            </w:r>
          </w:p>
        </w:tc>
        <w:tc>
          <w:tcPr>
            <w:tcW w:w="710" w:type="pct"/>
            <w:vAlign w:val="center"/>
          </w:tcPr>
          <w:p w:rsidR="003275A0" w:rsidRPr="00A80877" w14:paraId="14FC6B8F" w14:textId="77777777">
            <w:pPr>
              <w:jc w:val="center"/>
              <w:rPr>
                <w:szCs w:val="22"/>
              </w:rPr>
            </w:pPr>
            <w:r w:rsidRPr="00A80877">
              <w:rPr>
                <w:szCs w:val="22"/>
              </w:rPr>
              <w:t>413</w:t>
            </w:r>
          </w:p>
        </w:tc>
        <w:tc>
          <w:tcPr>
            <w:tcW w:w="710" w:type="pct"/>
            <w:vAlign w:val="center"/>
          </w:tcPr>
          <w:p w:rsidR="003275A0" w:rsidRPr="00A80877" w14:paraId="32B71BED" w14:textId="77777777">
            <w:pPr>
              <w:jc w:val="center"/>
              <w:rPr>
                <w:szCs w:val="22"/>
              </w:rPr>
            </w:pPr>
            <w:r w:rsidRPr="00A80877">
              <w:rPr>
                <w:szCs w:val="22"/>
              </w:rPr>
              <w:t>316</w:t>
            </w:r>
          </w:p>
        </w:tc>
        <w:tc>
          <w:tcPr>
            <w:tcW w:w="709" w:type="pct"/>
            <w:vAlign w:val="center"/>
          </w:tcPr>
          <w:p w:rsidR="003275A0" w:rsidRPr="00A80877" w14:paraId="35B717CF" w14:textId="77777777">
            <w:pPr>
              <w:jc w:val="center"/>
              <w:rPr>
                <w:color w:val="000000"/>
                <w:szCs w:val="22"/>
              </w:rPr>
            </w:pPr>
            <w:r w:rsidRPr="00A80877">
              <w:rPr>
                <w:color w:val="000000"/>
                <w:szCs w:val="22"/>
              </w:rPr>
              <w:t>76.51%</w:t>
            </w:r>
          </w:p>
        </w:tc>
      </w:tr>
    </w:tbl>
    <w:p w:rsidR="003275A0" w:rsidRPr="0085704E" w:rsidP="003275A0" w14:paraId="7C536024" w14:textId="77777777">
      <w:pPr>
        <w:keepNext/>
        <w:spacing w:before="120" w:after="120"/>
        <w:ind w:firstLine="720"/>
        <w:rPr>
          <w:b/>
          <w:bCs/>
          <w:szCs w:val="22"/>
        </w:rPr>
      </w:pPr>
      <w:r w:rsidRPr="0085704E">
        <w:rPr>
          <w:b/>
          <w:bCs/>
          <w:szCs w:val="22"/>
        </w:rPr>
        <w:t>Table 2.  Broadcast Entity Data</w:t>
      </w: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890"/>
        <w:gridCol w:w="900"/>
        <w:gridCol w:w="1345"/>
      </w:tblGrid>
      <w:tr w14:paraId="5770DB51" w14:textId="77777777">
        <w:tblPrEx>
          <w:tblW w:w="7195" w:type="dxa"/>
          <w:jc w:val="center"/>
          <w:tblLayout w:type="fixed"/>
          <w:tblLook w:val="04A0"/>
        </w:tblPrEx>
        <w:trPr>
          <w:trHeight w:val="300"/>
          <w:tblHeader/>
          <w:jc w:val="center"/>
        </w:trPr>
        <w:tc>
          <w:tcPr>
            <w:tcW w:w="3060" w:type="dxa"/>
            <w:shd w:val="pct5" w:color="auto" w:fill="auto"/>
            <w:noWrap/>
          </w:tcPr>
          <w:p w:rsidR="003275A0" w:rsidRPr="00A80877" w14:paraId="259C431C" w14:textId="77777777">
            <w:pPr>
              <w:spacing w:after="120"/>
              <w:ind w:left="60"/>
              <w:rPr>
                <w:b/>
                <w:bCs/>
                <w:kern w:val="0"/>
                <w:szCs w:val="22"/>
              </w:rPr>
            </w:pPr>
            <w:r w:rsidRPr="00A80877">
              <w:rPr>
                <w:b/>
                <w:bCs/>
                <w:kern w:val="0"/>
                <w:szCs w:val="22"/>
              </w:rPr>
              <w:t>Broadcast Station Owners (as of August 8, 2025)</w:t>
            </w:r>
            <w:r>
              <w:rPr>
                <w:rStyle w:val="FootnoteReference"/>
                <w:b/>
                <w:bCs/>
                <w:sz w:val="22"/>
                <w:szCs w:val="22"/>
              </w:rPr>
              <w:footnoteReference w:id="194"/>
            </w:r>
          </w:p>
        </w:tc>
        <w:tc>
          <w:tcPr>
            <w:tcW w:w="4135" w:type="dxa"/>
            <w:gridSpan w:val="3"/>
            <w:shd w:val="pct5" w:color="auto" w:fill="auto"/>
            <w:noWrap/>
          </w:tcPr>
          <w:p w:rsidR="003275A0" w:rsidRPr="00A80877" w14:paraId="76C750BA" w14:textId="77777777">
            <w:pPr>
              <w:jc w:val="center"/>
              <w:rPr>
                <w:kern w:val="0"/>
                <w:szCs w:val="22"/>
              </w:rPr>
            </w:pPr>
            <w:r w:rsidRPr="00A80877">
              <w:rPr>
                <w:b/>
                <w:bCs/>
                <w:kern w:val="0"/>
                <w:szCs w:val="22"/>
              </w:rPr>
              <w:t>SBA Size Standard ($47 Million)</w:t>
            </w:r>
          </w:p>
        </w:tc>
      </w:tr>
      <w:tr w14:paraId="57C7AC96" w14:textId="77777777">
        <w:tblPrEx>
          <w:tblW w:w="7195" w:type="dxa"/>
          <w:jc w:val="center"/>
          <w:tblLayout w:type="fixed"/>
          <w:tblLook w:val="04A0"/>
        </w:tblPrEx>
        <w:trPr>
          <w:trHeight w:val="300"/>
          <w:tblHeader/>
          <w:jc w:val="center"/>
        </w:trPr>
        <w:tc>
          <w:tcPr>
            <w:tcW w:w="3060" w:type="dxa"/>
            <w:shd w:val="pct5" w:color="auto" w:fill="auto"/>
            <w:noWrap/>
          </w:tcPr>
          <w:p w:rsidR="003275A0" w:rsidRPr="00A80877" w14:paraId="1F9A940F" w14:textId="77777777">
            <w:pPr>
              <w:spacing w:after="120"/>
              <w:rPr>
                <w:iCs/>
                <w:szCs w:val="22"/>
              </w:rPr>
            </w:pPr>
            <w:r w:rsidRPr="00A80877">
              <w:rPr>
                <w:b/>
                <w:bCs/>
                <w:kern w:val="0"/>
                <w:szCs w:val="22"/>
              </w:rPr>
              <w:t>Affected Entity</w:t>
            </w:r>
          </w:p>
        </w:tc>
        <w:tc>
          <w:tcPr>
            <w:tcW w:w="1890" w:type="dxa"/>
            <w:shd w:val="pct5" w:color="auto" w:fill="auto"/>
            <w:noWrap/>
          </w:tcPr>
          <w:p w:rsidR="003275A0" w:rsidRPr="00A80877" w14:paraId="082ED0EE" w14:textId="77777777">
            <w:pPr>
              <w:spacing w:after="120"/>
              <w:rPr>
                <w:b/>
                <w:bCs/>
                <w:kern w:val="0"/>
                <w:szCs w:val="22"/>
              </w:rPr>
            </w:pPr>
            <w:r w:rsidRPr="00A80877">
              <w:rPr>
                <w:b/>
                <w:bCs/>
                <w:kern w:val="0"/>
                <w:szCs w:val="22"/>
              </w:rPr>
              <w:t># Commercial Licensed</w:t>
            </w:r>
            <w:r>
              <w:rPr>
                <w:rStyle w:val="FootnoteReference"/>
                <w:b/>
                <w:bCs/>
                <w:sz w:val="22"/>
                <w:szCs w:val="22"/>
              </w:rPr>
              <w:footnoteReference w:id="195"/>
            </w:r>
            <w:r w:rsidRPr="00A80877">
              <w:rPr>
                <w:b/>
                <w:bCs/>
                <w:kern w:val="0"/>
                <w:szCs w:val="22"/>
              </w:rPr>
              <w:t xml:space="preserve"> </w:t>
            </w:r>
            <w:r>
              <w:rPr>
                <w:rStyle w:val="FootnoteReference"/>
                <w:b/>
                <w:bCs/>
                <w:sz w:val="22"/>
                <w:szCs w:val="22"/>
              </w:rPr>
              <w:footnoteReference w:id="196"/>
            </w:r>
          </w:p>
        </w:tc>
        <w:tc>
          <w:tcPr>
            <w:tcW w:w="900" w:type="dxa"/>
            <w:shd w:val="pct5" w:color="auto" w:fill="auto"/>
          </w:tcPr>
          <w:p w:rsidR="003275A0" w:rsidRPr="00A80877" w14:paraId="0711E6E6" w14:textId="77777777">
            <w:pPr>
              <w:spacing w:after="120"/>
              <w:rPr>
                <w:kern w:val="0"/>
                <w:szCs w:val="22"/>
              </w:rPr>
            </w:pPr>
            <w:r w:rsidRPr="00A80877">
              <w:rPr>
                <w:b/>
                <w:bCs/>
                <w:kern w:val="0"/>
                <w:szCs w:val="22"/>
              </w:rPr>
              <w:t>Small Firms</w:t>
            </w:r>
          </w:p>
        </w:tc>
        <w:tc>
          <w:tcPr>
            <w:tcW w:w="1345" w:type="dxa"/>
            <w:shd w:val="pct5" w:color="auto" w:fill="auto"/>
            <w:noWrap/>
          </w:tcPr>
          <w:p w:rsidR="003275A0" w:rsidRPr="00A80877" w14:paraId="54D3AE04" w14:textId="77777777">
            <w:pPr>
              <w:spacing w:after="120"/>
              <w:rPr>
                <w:kern w:val="0"/>
                <w:szCs w:val="22"/>
              </w:rPr>
            </w:pPr>
            <w:r w:rsidRPr="00A80877">
              <w:rPr>
                <w:b/>
                <w:bCs/>
                <w:kern w:val="0"/>
                <w:szCs w:val="22"/>
              </w:rPr>
              <w:t>% Small Entities</w:t>
            </w:r>
          </w:p>
        </w:tc>
      </w:tr>
      <w:tr w14:paraId="4F144352" w14:textId="77777777">
        <w:tblPrEx>
          <w:tblW w:w="7195" w:type="dxa"/>
          <w:jc w:val="center"/>
          <w:tblLayout w:type="fixed"/>
          <w:tblLook w:val="04A0"/>
        </w:tblPrEx>
        <w:trPr>
          <w:trHeight w:val="300"/>
          <w:jc w:val="center"/>
        </w:trPr>
        <w:tc>
          <w:tcPr>
            <w:tcW w:w="3060" w:type="dxa"/>
            <w:noWrap/>
          </w:tcPr>
          <w:p w:rsidR="003275A0" w:rsidRPr="00A80877" w14:paraId="2234EE3B" w14:textId="77777777">
            <w:pPr>
              <w:spacing w:after="120"/>
              <w:rPr>
                <w:iCs/>
                <w:kern w:val="0"/>
                <w:szCs w:val="22"/>
              </w:rPr>
            </w:pPr>
            <w:r w:rsidRPr="00A80877">
              <w:rPr>
                <w:iCs/>
                <w:szCs w:val="22"/>
              </w:rPr>
              <w:t>Radio Stations (AM &amp; FM) Groups</w:t>
            </w:r>
          </w:p>
        </w:tc>
        <w:tc>
          <w:tcPr>
            <w:tcW w:w="1890" w:type="dxa"/>
            <w:noWrap/>
            <w:vAlign w:val="center"/>
          </w:tcPr>
          <w:p w:rsidR="003275A0" w:rsidRPr="00A80877" w14:paraId="63A40AF3" w14:textId="77777777">
            <w:pPr>
              <w:spacing w:after="120"/>
              <w:jc w:val="center"/>
              <w:rPr>
                <w:iCs/>
                <w:kern w:val="0"/>
                <w:szCs w:val="22"/>
              </w:rPr>
            </w:pPr>
            <w:r w:rsidRPr="00A80877">
              <w:rPr>
                <w:iCs/>
                <w:kern w:val="0"/>
                <w:szCs w:val="22"/>
              </w:rPr>
              <w:t>2,881</w:t>
            </w:r>
          </w:p>
        </w:tc>
        <w:tc>
          <w:tcPr>
            <w:tcW w:w="900" w:type="dxa"/>
            <w:vAlign w:val="center"/>
          </w:tcPr>
          <w:p w:rsidR="003275A0" w:rsidRPr="00A80877" w14:paraId="2744EAFD" w14:textId="77777777">
            <w:pPr>
              <w:spacing w:after="120"/>
              <w:jc w:val="center"/>
              <w:rPr>
                <w:iCs/>
                <w:kern w:val="0"/>
                <w:szCs w:val="22"/>
              </w:rPr>
            </w:pPr>
            <w:r w:rsidRPr="00A80877">
              <w:rPr>
                <w:iCs/>
                <w:kern w:val="0"/>
                <w:szCs w:val="22"/>
              </w:rPr>
              <w:t>2,863</w:t>
            </w:r>
          </w:p>
        </w:tc>
        <w:tc>
          <w:tcPr>
            <w:tcW w:w="1345" w:type="dxa"/>
            <w:noWrap/>
            <w:vAlign w:val="center"/>
          </w:tcPr>
          <w:p w:rsidR="003275A0" w:rsidRPr="00A80877" w14:paraId="19F7B62B" w14:textId="77777777">
            <w:pPr>
              <w:spacing w:after="120"/>
              <w:jc w:val="center"/>
              <w:rPr>
                <w:iCs/>
                <w:kern w:val="0"/>
                <w:szCs w:val="22"/>
              </w:rPr>
            </w:pPr>
            <w:r w:rsidRPr="00A80877">
              <w:rPr>
                <w:iCs/>
                <w:kern w:val="0"/>
                <w:szCs w:val="22"/>
              </w:rPr>
              <w:t>99.38</w:t>
            </w:r>
          </w:p>
        </w:tc>
      </w:tr>
      <w:tr w14:paraId="419537DE" w14:textId="77777777">
        <w:tblPrEx>
          <w:tblW w:w="7195" w:type="dxa"/>
          <w:jc w:val="center"/>
          <w:tblLayout w:type="fixed"/>
          <w:tblLook w:val="04A0"/>
        </w:tblPrEx>
        <w:trPr>
          <w:trHeight w:val="255"/>
          <w:jc w:val="center"/>
        </w:trPr>
        <w:tc>
          <w:tcPr>
            <w:tcW w:w="3060" w:type="dxa"/>
            <w:noWrap/>
          </w:tcPr>
          <w:p w:rsidR="003275A0" w:rsidRPr="00A80877" w14:paraId="5767875D" w14:textId="77777777">
            <w:pPr>
              <w:spacing w:after="120"/>
              <w:rPr>
                <w:iCs/>
                <w:kern w:val="0"/>
                <w:szCs w:val="22"/>
              </w:rPr>
            </w:pPr>
            <w:r w:rsidRPr="00A80877">
              <w:rPr>
                <w:iCs/>
                <w:szCs w:val="22"/>
              </w:rPr>
              <w:t>Television Stations</w:t>
            </w:r>
          </w:p>
        </w:tc>
        <w:tc>
          <w:tcPr>
            <w:tcW w:w="1890" w:type="dxa"/>
            <w:noWrap/>
            <w:vAlign w:val="center"/>
          </w:tcPr>
          <w:p w:rsidR="003275A0" w:rsidRPr="00A80877" w14:paraId="39C0EE2D" w14:textId="77777777">
            <w:pPr>
              <w:spacing w:after="120"/>
              <w:jc w:val="center"/>
              <w:rPr>
                <w:iCs/>
                <w:kern w:val="0"/>
                <w:szCs w:val="22"/>
              </w:rPr>
            </w:pPr>
            <w:r w:rsidRPr="00A80877">
              <w:rPr>
                <w:iCs/>
                <w:kern w:val="0"/>
                <w:szCs w:val="22"/>
              </w:rPr>
              <w:t>171</w:t>
            </w:r>
          </w:p>
        </w:tc>
        <w:tc>
          <w:tcPr>
            <w:tcW w:w="900" w:type="dxa"/>
            <w:vAlign w:val="center"/>
          </w:tcPr>
          <w:p w:rsidR="003275A0" w:rsidRPr="00A80877" w14:paraId="397E03B3" w14:textId="77777777">
            <w:pPr>
              <w:spacing w:after="120"/>
              <w:jc w:val="center"/>
              <w:rPr>
                <w:iCs/>
                <w:kern w:val="0"/>
                <w:szCs w:val="22"/>
              </w:rPr>
            </w:pPr>
            <w:r w:rsidRPr="00A80877">
              <w:rPr>
                <w:iCs/>
                <w:kern w:val="0"/>
                <w:szCs w:val="22"/>
              </w:rPr>
              <w:t>142</w:t>
            </w:r>
          </w:p>
        </w:tc>
        <w:tc>
          <w:tcPr>
            <w:tcW w:w="1345" w:type="dxa"/>
            <w:noWrap/>
            <w:vAlign w:val="center"/>
          </w:tcPr>
          <w:p w:rsidR="003275A0" w:rsidRPr="00A80877" w14:paraId="3260AB37" w14:textId="77777777">
            <w:pPr>
              <w:spacing w:after="120"/>
              <w:jc w:val="center"/>
              <w:rPr>
                <w:iCs/>
                <w:kern w:val="0"/>
                <w:szCs w:val="22"/>
              </w:rPr>
            </w:pPr>
            <w:r w:rsidRPr="00A80877">
              <w:rPr>
                <w:iCs/>
                <w:kern w:val="0"/>
                <w:szCs w:val="22"/>
              </w:rPr>
              <w:t>83.04</w:t>
            </w:r>
          </w:p>
        </w:tc>
      </w:tr>
    </w:tbl>
    <w:p w:rsidR="003275A0" w:rsidRPr="0021080A" w:rsidP="003275A0" w14:paraId="148D2627" w14:textId="77777777">
      <w:pPr>
        <w:pStyle w:val="ParaNum"/>
        <w:numPr>
          <w:ilvl w:val="0"/>
          <w:numId w:val="0"/>
        </w:numPr>
        <w:tabs>
          <w:tab w:val="left" w:pos="1440"/>
        </w:tabs>
        <w:ind w:right="720"/>
        <w:rPr>
          <w:szCs w:val="22"/>
        </w:rPr>
      </w:pPr>
    </w:p>
    <w:p w:rsidR="003275A0" w:rsidRPr="0021080A" w:rsidP="004B6A66" w14:paraId="05FD6C3B" w14:textId="77777777">
      <w:pPr>
        <w:pStyle w:val="Heading2"/>
      </w:pPr>
      <w:bookmarkStart w:id="107" w:name="_Hlk217914562"/>
      <w:r w:rsidRPr="0021080A">
        <w:t>Description</w:t>
      </w:r>
      <w:r w:rsidRPr="0021080A">
        <w:rPr>
          <w:bCs/>
        </w:rPr>
        <w:t xml:space="preserve"> of Economic Impact and Projected Reporting, </w:t>
      </w:r>
      <w:r w:rsidRPr="0021080A">
        <w:t>Recordkeeping</w:t>
      </w:r>
      <w:r w:rsidRPr="0021080A">
        <w:rPr>
          <w:bCs/>
        </w:rPr>
        <w:t xml:space="preserve"> and Other </w:t>
      </w:r>
      <w:r w:rsidRPr="0021080A">
        <w:t>Compliance</w:t>
      </w:r>
      <w:r w:rsidRPr="0021080A">
        <w:rPr>
          <w:bCs/>
        </w:rPr>
        <w:t xml:space="preserve"> </w:t>
      </w:r>
      <w:r w:rsidRPr="0021080A">
        <w:t>Requirements for Small Entities</w:t>
      </w:r>
    </w:p>
    <w:bookmarkEnd w:id="107"/>
    <w:p w:rsidR="003275A0" w:rsidRPr="0021080A" w:rsidP="003275A0" w14:paraId="662DC08A" w14:textId="77777777">
      <w:pPr>
        <w:pStyle w:val="ParaNum"/>
        <w:numPr>
          <w:ilvl w:val="0"/>
          <w:numId w:val="8"/>
        </w:numPr>
        <w:ind w:left="0" w:firstLine="720"/>
        <w:rPr>
          <w:szCs w:val="22"/>
        </w:rPr>
      </w:pPr>
      <w:r w:rsidRPr="0021080A">
        <w:rPr>
          <w:szCs w:val="22"/>
        </w:rPr>
        <w:t>The RFA directs agencies to describe the economic impact of adopted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rStyle w:val="FootnoteReference"/>
          <w:sz w:val="22"/>
          <w:szCs w:val="22"/>
        </w:rPr>
        <w:footnoteReference w:id="197"/>
      </w:r>
      <w:r w:rsidRPr="0021080A">
        <w:rPr>
          <w:szCs w:val="22"/>
        </w:rPr>
        <w:t xml:space="preserve"> </w:t>
      </w:r>
    </w:p>
    <w:p w:rsidR="003275A0" w:rsidRPr="0021080A" w:rsidP="003275A0" w14:paraId="04405550" w14:textId="77777777">
      <w:pPr>
        <w:pStyle w:val="ParaNum"/>
        <w:numPr>
          <w:ilvl w:val="0"/>
          <w:numId w:val="8"/>
        </w:numPr>
        <w:ind w:left="0" w:firstLine="720"/>
        <w:rPr>
          <w:szCs w:val="22"/>
        </w:rPr>
      </w:pPr>
      <w:r>
        <w:rPr>
          <w:rFonts w:eastAsia="Calibri"/>
          <w:snapToGrid/>
          <w:kern w:val="0"/>
          <w:szCs w:val="22"/>
        </w:rPr>
        <w:t>As discussed above, t</w:t>
      </w:r>
      <w:r w:rsidRPr="0021080A">
        <w:rPr>
          <w:rFonts w:eastAsia="Calibri"/>
          <w:snapToGrid/>
          <w:kern w:val="0"/>
          <w:szCs w:val="22"/>
        </w:rPr>
        <w:t xml:space="preserve">he </w:t>
      </w:r>
      <w:r w:rsidRPr="0021080A">
        <w:rPr>
          <w:i/>
          <w:iCs/>
          <w:szCs w:val="22"/>
        </w:rPr>
        <w:t>Report and Order</w:t>
      </w:r>
      <w:r w:rsidRPr="0021080A">
        <w:rPr>
          <w:szCs w:val="22"/>
        </w:rPr>
        <w:t xml:space="preserve"> </w:t>
      </w:r>
      <w:r>
        <w:rPr>
          <w:rFonts w:eastAsia="Calibri"/>
          <w:snapToGrid/>
          <w:kern w:val="0"/>
          <w:szCs w:val="22"/>
        </w:rPr>
        <w:t>updates various broadcast radio and television regulations</w:t>
      </w:r>
      <w:r w:rsidRPr="0021080A">
        <w:rPr>
          <w:rFonts w:eastAsia="Calibri"/>
          <w:snapToGrid/>
          <w:kern w:val="0"/>
          <w:szCs w:val="22"/>
        </w:rPr>
        <w:t xml:space="preserve"> </w:t>
      </w:r>
      <w:r>
        <w:rPr>
          <w:rFonts w:eastAsia="Calibri"/>
          <w:snapToGrid/>
          <w:kern w:val="0"/>
          <w:szCs w:val="22"/>
        </w:rPr>
        <w:t xml:space="preserve">in Parts 1, 73, 74, and 76 of the CFR.  The proposals adopted in the </w:t>
      </w:r>
      <w:r w:rsidRPr="008B146D">
        <w:rPr>
          <w:rFonts w:eastAsia="Calibri"/>
          <w:i/>
          <w:iCs/>
          <w:snapToGrid/>
          <w:kern w:val="0"/>
          <w:szCs w:val="22"/>
        </w:rPr>
        <w:t>Report and Order</w:t>
      </w:r>
      <w:r>
        <w:rPr>
          <w:rFonts w:eastAsia="Calibri"/>
          <w:snapToGrid/>
          <w:kern w:val="0"/>
          <w:szCs w:val="22"/>
        </w:rPr>
        <w:t xml:space="preserve"> </w:t>
      </w:r>
      <w:r w:rsidRPr="0021080A">
        <w:rPr>
          <w:rFonts w:eastAsia="Calibri"/>
          <w:snapToGrid/>
          <w:kern w:val="0"/>
          <w:szCs w:val="22"/>
        </w:rPr>
        <w:t xml:space="preserve">amend existing rules to better reflect current application processing requirements, </w:t>
      </w:r>
      <w:r>
        <w:rPr>
          <w:rFonts w:eastAsia="Calibri"/>
          <w:snapToGrid/>
          <w:kern w:val="0"/>
          <w:szCs w:val="22"/>
        </w:rPr>
        <w:t xml:space="preserve">codify existing Media Bureau practices, </w:t>
      </w:r>
      <w:r w:rsidRPr="0021080A">
        <w:rPr>
          <w:rFonts w:eastAsia="Calibri"/>
          <w:snapToGrid/>
          <w:kern w:val="0"/>
          <w:szCs w:val="22"/>
        </w:rPr>
        <w:t>clarif</w:t>
      </w:r>
      <w:r>
        <w:rPr>
          <w:rFonts w:eastAsia="Calibri"/>
          <w:snapToGrid/>
          <w:kern w:val="0"/>
          <w:szCs w:val="22"/>
        </w:rPr>
        <w:t>y</w:t>
      </w:r>
      <w:r w:rsidRPr="0021080A">
        <w:rPr>
          <w:rFonts w:eastAsia="Calibri"/>
          <w:snapToGrid/>
          <w:kern w:val="0"/>
          <w:szCs w:val="22"/>
        </w:rPr>
        <w:t xml:space="preserve"> and harmonize </w:t>
      </w:r>
      <w:r>
        <w:rPr>
          <w:rFonts w:eastAsia="Calibri"/>
          <w:snapToGrid/>
          <w:kern w:val="0"/>
          <w:szCs w:val="22"/>
        </w:rPr>
        <w:t xml:space="preserve">rule </w:t>
      </w:r>
      <w:r w:rsidRPr="0021080A">
        <w:rPr>
          <w:rFonts w:eastAsia="Calibri"/>
          <w:snapToGrid/>
          <w:kern w:val="0"/>
          <w:szCs w:val="22"/>
        </w:rPr>
        <w:t xml:space="preserve">provisions, and remove references to outdated procedures and legacy filing systems.  </w:t>
      </w:r>
      <w:r>
        <w:rPr>
          <w:rFonts w:eastAsia="Calibri"/>
          <w:snapToGrid/>
          <w:kern w:val="0"/>
          <w:szCs w:val="22"/>
        </w:rPr>
        <w:t xml:space="preserve">These included, for example, replacing references to the legacy database system; changing table of allotment references to conform to current language; updating rules to correspond to the application form naming conventions used in the new LMS electronic filing system; updating the TV rules to remove obsolete language concerning the no-completed incentive auction; codifying the existing interpretation of the term “authorized stations” to include both licensed stations and granted construction permits; and consolidating the rules for petitions to deny license renewal applications under a single rule section.  </w:t>
      </w:r>
    </w:p>
    <w:p w:rsidR="003275A0" w:rsidRPr="005A0ACE" w:rsidP="003275A0" w14:paraId="3315961C" w14:textId="77777777">
      <w:pPr>
        <w:pStyle w:val="ParaNum"/>
        <w:numPr>
          <w:ilvl w:val="0"/>
          <w:numId w:val="8"/>
        </w:numPr>
        <w:ind w:left="0" w:firstLine="720"/>
        <w:rPr>
          <w:szCs w:val="22"/>
        </w:rPr>
      </w:pPr>
      <w:r w:rsidRPr="0021080A">
        <w:rPr>
          <w:rFonts w:eastAsia="Calibri"/>
          <w:snapToGrid/>
          <w:kern w:val="0"/>
          <w:szCs w:val="22"/>
        </w:rPr>
        <w:t xml:space="preserve">The </w:t>
      </w:r>
      <w:r>
        <w:rPr>
          <w:rFonts w:eastAsia="Calibri"/>
          <w:snapToGrid/>
          <w:kern w:val="0"/>
          <w:szCs w:val="22"/>
        </w:rPr>
        <w:t>other</w:t>
      </w:r>
      <w:r w:rsidRPr="0021080A">
        <w:rPr>
          <w:rFonts w:eastAsia="Calibri"/>
          <w:snapToGrid/>
          <w:kern w:val="0"/>
          <w:szCs w:val="22"/>
        </w:rPr>
        <w:t xml:space="preserve"> rule revisions</w:t>
      </w:r>
      <w:r>
        <w:rPr>
          <w:rFonts w:eastAsia="Calibri"/>
          <w:snapToGrid/>
          <w:kern w:val="0"/>
          <w:szCs w:val="22"/>
        </w:rPr>
        <w:t xml:space="preserve"> do not impose additional reporting requirements or compliance requirements for small entities, but rather, reduce</w:t>
      </w:r>
      <w:r>
        <w:rPr>
          <w:rFonts w:eastAsia="Calibri"/>
          <w:snapToGrid/>
          <w:kern w:val="0"/>
          <w:szCs w:val="22"/>
        </w:rPr>
        <w:t xml:space="preserve"> </w:t>
      </w:r>
      <w:r>
        <w:rPr>
          <w:rFonts w:eastAsia="Calibri"/>
          <w:snapToGrid/>
          <w:kern w:val="0"/>
          <w:szCs w:val="22"/>
        </w:rPr>
        <w:t xml:space="preserve">and/or clarify compliance burdens.  For example, the </w:t>
      </w:r>
      <w:r>
        <w:rPr>
          <w:rFonts w:eastAsia="Calibri"/>
          <w:i/>
          <w:iCs/>
          <w:snapToGrid/>
          <w:kern w:val="0"/>
          <w:szCs w:val="22"/>
        </w:rPr>
        <w:t>Report and Order</w:t>
      </w:r>
      <w:r w:rsidRPr="0021080A">
        <w:rPr>
          <w:rFonts w:eastAsia="Calibri"/>
          <w:snapToGrid/>
          <w:kern w:val="0"/>
          <w:szCs w:val="22"/>
        </w:rPr>
        <w:t xml:space="preserve"> eliminate</w:t>
      </w:r>
      <w:r>
        <w:rPr>
          <w:rFonts w:eastAsia="Calibri"/>
          <w:snapToGrid/>
          <w:kern w:val="0"/>
          <w:szCs w:val="22"/>
        </w:rPr>
        <w:t>s</w:t>
      </w:r>
      <w:r w:rsidRPr="0021080A">
        <w:rPr>
          <w:rFonts w:eastAsia="Calibri"/>
          <w:snapToGrid/>
          <w:kern w:val="0"/>
          <w:szCs w:val="22"/>
        </w:rPr>
        <w:t xml:space="preserve"> the requirement that an AM station requesting to increase power must propose at least a 20% increase in the station’s nominal power.  </w:t>
      </w:r>
      <w:r>
        <w:rPr>
          <w:rFonts w:eastAsia="Calibri"/>
          <w:snapToGrid/>
          <w:kern w:val="0"/>
          <w:szCs w:val="22"/>
        </w:rPr>
        <w:t xml:space="preserve">Elimination of this requirement </w:t>
      </w:r>
      <w:r w:rsidRPr="0021080A">
        <w:rPr>
          <w:rFonts w:eastAsia="Calibri"/>
          <w:snapToGrid/>
          <w:kern w:val="0"/>
          <w:szCs w:val="22"/>
        </w:rPr>
        <w:t xml:space="preserve">will provide AM broadcasters </w:t>
      </w:r>
      <w:r>
        <w:rPr>
          <w:rFonts w:eastAsia="Calibri"/>
          <w:snapToGrid/>
          <w:kern w:val="0"/>
          <w:szCs w:val="22"/>
        </w:rPr>
        <w:t xml:space="preserve">with </w:t>
      </w:r>
      <w:r w:rsidRPr="0021080A">
        <w:rPr>
          <w:rFonts w:eastAsia="Calibri"/>
          <w:snapToGrid/>
          <w:kern w:val="0"/>
          <w:szCs w:val="22"/>
        </w:rPr>
        <w:t xml:space="preserve">greater flexibility and </w:t>
      </w:r>
      <w:r>
        <w:rPr>
          <w:rFonts w:eastAsia="Calibri"/>
          <w:snapToGrid/>
          <w:kern w:val="0"/>
          <w:szCs w:val="22"/>
        </w:rPr>
        <w:t xml:space="preserve">thus </w:t>
      </w:r>
      <w:r w:rsidRPr="0021080A">
        <w:rPr>
          <w:rFonts w:eastAsia="Calibri"/>
          <w:snapToGrid/>
          <w:kern w:val="0"/>
          <w:szCs w:val="22"/>
        </w:rPr>
        <w:t xml:space="preserve">allow for new opportunities for stations to optimize their </w:t>
      </w:r>
      <w:r>
        <w:rPr>
          <w:rFonts w:eastAsia="Calibri"/>
          <w:snapToGrid/>
          <w:kern w:val="0"/>
          <w:szCs w:val="22"/>
        </w:rPr>
        <w:t xml:space="preserve">technical </w:t>
      </w:r>
      <w:r w:rsidRPr="0021080A">
        <w:rPr>
          <w:rFonts w:eastAsia="Calibri"/>
          <w:snapToGrid/>
          <w:kern w:val="0"/>
          <w:szCs w:val="22"/>
        </w:rPr>
        <w:t xml:space="preserve">operations.  The </w:t>
      </w:r>
      <w:r w:rsidRPr="0021080A">
        <w:rPr>
          <w:i/>
          <w:iCs/>
          <w:szCs w:val="22"/>
        </w:rPr>
        <w:t>Report and Order</w:t>
      </w:r>
      <w:r w:rsidRPr="0021080A">
        <w:rPr>
          <w:szCs w:val="22"/>
        </w:rPr>
        <w:t xml:space="preserve"> </w:t>
      </w:r>
      <w:r w:rsidRPr="0021080A">
        <w:rPr>
          <w:rFonts w:eastAsia="Calibri"/>
          <w:snapToGrid/>
          <w:kern w:val="0"/>
          <w:szCs w:val="22"/>
        </w:rPr>
        <w:t xml:space="preserve">also revises the minimum distance separation </w:t>
      </w:r>
      <w:r>
        <w:rPr>
          <w:rFonts w:eastAsia="Calibri"/>
          <w:snapToGrid/>
          <w:kern w:val="0"/>
          <w:szCs w:val="22"/>
        </w:rPr>
        <w:t>rule</w:t>
      </w:r>
      <w:r w:rsidRPr="0021080A">
        <w:rPr>
          <w:rFonts w:eastAsia="Calibri"/>
          <w:snapToGrid/>
          <w:kern w:val="0"/>
          <w:szCs w:val="22"/>
        </w:rPr>
        <w:t xml:space="preserve"> for new and modified LPFM applications to </w:t>
      </w:r>
      <w:r>
        <w:rPr>
          <w:rFonts w:eastAsia="Calibri"/>
          <w:snapToGrid/>
          <w:kern w:val="0"/>
          <w:szCs w:val="22"/>
        </w:rPr>
        <w:t>clarify</w:t>
      </w:r>
      <w:r w:rsidRPr="0021080A">
        <w:rPr>
          <w:rFonts w:eastAsia="Calibri"/>
          <w:snapToGrid/>
          <w:kern w:val="0"/>
          <w:szCs w:val="22"/>
        </w:rPr>
        <w:t xml:space="preserve"> which </w:t>
      </w:r>
      <w:r>
        <w:rPr>
          <w:rFonts w:eastAsia="Calibri"/>
          <w:snapToGrid/>
          <w:kern w:val="0"/>
          <w:szCs w:val="22"/>
        </w:rPr>
        <w:t xml:space="preserve">prior-filed </w:t>
      </w:r>
      <w:r w:rsidRPr="0021080A">
        <w:rPr>
          <w:rFonts w:eastAsia="Calibri"/>
          <w:snapToGrid/>
          <w:kern w:val="0"/>
          <w:szCs w:val="22"/>
        </w:rPr>
        <w:t>applications must be protected</w:t>
      </w:r>
      <w:r>
        <w:rPr>
          <w:rFonts w:eastAsia="Calibri"/>
          <w:snapToGrid/>
          <w:kern w:val="0"/>
          <w:szCs w:val="22"/>
        </w:rPr>
        <w:t>;</w:t>
      </w:r>
      <w:r w:rsidRPr="0021080A">
        <w:rPr>
          <w:rFonts w:eastAsia="Calibri"/>
          <w:snapToGrid/>
          <w:kern w:val="0"/>
          <w:szCs w:val="22"/>
        </w:rPr>
        <w:t xml:space="preserve"> </w:t>
      </w:r>
      <w:r w:rsidRPr="0021080A">
        <w:rPr>
          <w:rFonts w:eastAsia="Calibri"/>
          <w:snapToGrid/>
          <w:kern w:val="0"/>
          <w:szCs w:val="22"/>
        </w:rPr>
        <w:t>define</w:t>
      </w:r>
      <w:r>
        <w:rPr>
          <w:rFonts w:eastAsia="Calibri"/>
          <w:snapToGrid/>
          <w:kern w:val="0"/>
          <w:szCs w:val="22"/>
        </w:rPr>
        <w:t>s</w:t>
      </w:r>
      <w:r w:rsidRPr="0021080A">
        <w:rPr>
          <w:rFonts w:eastAsia="Calibri"/>
          <w:snapToGrid/>
          <w:kern w:val="0"/>
          <w:szCs w:val="22"/>
        </w:rPr>
        <w:t xml:space="preserve"> </w:t>
      </w:r>
      <w:r>
        <w:rPr>
          <w:rFonts w:eastAsia="Calibri"/>
          <w:snapToGrid/>
          <w:kern w:val="0"/>
          <w:szCs w:val="22"/>
        </w:rPr>
        <w:t xml:space="preserve">an </w:t>
      </w:r>
      <w:r w:rsidRPr="0021080A">
        <w:rPr>
          <w:rFonts w:eastAsia="Calibri"/>
          <w:snapToGrid/>
          <w:kern w:val="0"/>
          <w:szCs w:val="22"/>
        </w:rPr>
        <w:t xml:space="preserve">“authorized station” </w:t>
      </w:r>
      <w:r>
        <w:rPr>
          <w:rFonts w:eastAsia="Calibri"/>
          <w:snapToGrid/>
          <w:kern w:val="0"/>
          <w:szCs w:val="22"/>
        </w:rPr>
        <w:t xml:space="preserve">that must be protected; </w:t>
      </w:r>
      <w:r w:rsidRPr="0021080A">
        <w:rPr>
          <w:rFonts w:eastAsia="Calibri"/>
          <w:snapToGrid/>
          <w:kern w:val="0"/>
          <w:szCs w:val="22"/>
        </w:rPr>
        <w:t>and clarif</w:t>
      </w:r>
      <w:r>
        <w:rPr>
          <w:rFonts w:eastAsia="Calibri"/>
          <w:snapToGrid/>
          <w:kern w:val="0"/>
          <w:szCs w:val="22"/>
        </w:rPr>
        <w:t>ies</w:t>
      </w:r>
      <w:r w:rsidRPr="0021080A">
        <w:rPr>
          <w:rFonts w:eastAsia="Calibri"/>
          <w:snapToGrid/>
          <w:kern w:val="0"/>
          <w:szCs w:val="22"/>
        </w:rPr>
        <w:t xml:space="preserve"> that a public notice that just announces the filing window dates will not serve to terminate protection requirements for prior-filed applications</w:t>
      </w:r>
      <w:r>
        <w:rPr>
          <w:rFonts w:eastAsia="Calibri"/>
          <w:snapToGrid/>
          <w:kern w:val="0"/>
          <w:szCs w:val="22"/>
        </w:rPr>
        <w:t>.  These clarifications will help small entities understand their compliance obligations, thus reducing the amount of time and financial resources broadcast applicants incur</w:t>
      </w:r>
      <w:r w:rsidRPr="0021080A">
        <w:rPr>
          <w:rFonts w:eastAsia="Calibri"/>
          <w:snapToGrid/>
          <w:kern w:val="0"/>
          <w:szCs w:val="22"/>
        </w:rPr>
        <w:t xml:space="preserve">.  </w:t>
      </w:r>
    </w:p>
    <w:p w:rsidR="003275A0" w:rsidRPr="001E4CB6" w:rsidP="003275A0" w14:paraId="5E2C84EA" w14:textId="77777777">
      <w:pPr>
        <w:pStyle w:val="ParaNum"/>
        <w:numPr>
          <w:ilvl w:val="0"/>
          <w:numId w:val="8"/>
        </w:numPr>
        <w:ind w:left="0" w:firstLine="720"/>
        <w:rPr>
          <w:rFonts w:eastAsia="Calibri"/>
          <w:snapToGrid/>
          <w:kern w:val="0"/>
          <w:szCs w:val="22"/>
        </w:rPr>
      </w:pPr>
      <w:r w:rsidRPr="00051F32">
        <w:rPr>
          <w:rFonts w:eastAsia="Calibri"/>
          <w:snapToGrid/>
          <w:kern w:val="0"/>
          <w:szCs w:val="22"/>
        </w:rPr>
        <w:t xml:space="preserve">The </w:t>
      </w:r>
      <w:r w:rsidRPr="00051F32">
        <w:rPr>
          <w:i/>
          <w:iCs/>
          <w:szCs w:val="22"/>
        </w:rPr>
        <w:t>Report and Order</w:t>
      </w:r>
      <w:r w:rsidRPr="00051F32">
        <w:rPr>
          <w:rFonts w:eastAsia="Calibri"/>
          <w:i/>
          <w:iCs/>
          <w:snapToGrid/>
          <w:kern w:val="0"/>
          <w:szCs w:val="22"/>
        </w:rPr>
        <w:t xml:space="preserve"> </w:t>
      </w:r>
      <w:r w:rsidRPr="00051F32">
        <w:rPr>
          <w:rFonts w:eastAsia="Calibri"/>
          <w:snapToGrid/>
          <w:kern w:val="0"/>
          <w:szCs w:val="22"/>
        </w:rPr>
        <w:t xml:space="preserve">further defines the term “acceptance public notice,” which triggers the local public notice obligations for applicants for new NCE FM, NCE TV, or LPFM construction permits, many of whom are small entities.  The rule currently only addresses an application’s acceptance for filing vis-a-vis a routinely released LMS Public Notice, but the rule revisions in the </w:t>
      </w:r>
      <w:r w:rsidRPr="00051F32">
        <w:rPr>
          <w:rFonts w:eastAsia="Calibri"/>
          <w:i/>
          <w:iCs/>
          <w:snapToGrid/>
          <w:kern w:val="0"/>
          <w:szCs w:val="22"/>
        </w:rPr>
        <w:t xml:space="preserve">Report and Order </w:t>
      </w:r>
      <w:r w:rsidRPr="00051F32">
        <w:rPr>
          <w:rFonts w:eastAsia="Calibri"/>
          <w:snapToGrid/>
          <w:kern w:val="0"/>
          <w:szCs w:val="22"/>
        </w:rPr>
        <w:t xml:space="preserve">clarify that certain types of NCE construction permit applications are “accepted for filing” by Orders and documents other than a standard LMS-issued Acceptance public notice.  While this change simply codifies an existing interpretation, it will help applicants understand and thus better comply with their local notice obligations.  </w:t>
      </w:r>
    </w:p>
    <w:p w:rsidR="003275A0" w:rsidP="003275A0" w14:paraId="6CF3EF8E" w14:textId="77777777">
      <w:pPr>
        <w:pStyle w:val="ParaNum"/>
        <w:numPr>
          <w:ilvl w:val="0"/>
          <w:numId w:val="8"/>
        </w:numPr>
        <w:ind w:left="0" w:firstLine="720"/>
        <w:rPr>
          <w:szCs w:val="22"/>
        </w:rPr>
      </w:pPr>
      <w:r w:rsidRPr="00051F32">
        <w:rPr>
          <w:rFonts w:eastAsia="Calibri"/>
          <w:snapToGrid/>
          <w:kern w:val="0"/>
          <w:szCs w:val="22"/>
        </w:rPr>
        <w:t xml:space="preserve">The </w:t>
      </w:r>
      <w:r w:rsidRPr="00051F32">
        <w:rPr>
          <w:i/>
          <w:iCs/>
          <w:szCs w:val="22"/>
        </w:rPr>
        <w:t>Report and Order</w:t>
      </w:r>
      <w:r w:rsidRPr="00051F32">
        <w:rPr>
          <w:szCs w:val="22"/>
        </w:rPr>
        <w:t xml:space="preserve"> </w:t>
      </w:r>
      <w:r w:rsidRPr="00051F32">
        <w:rPr>
          <w:rFonts w:eastAsia="Calibri"/>
          <w:snapToGrid/>
          <w:kern w:val="0"/>
          <w:szCs w:val="22"/>
        </w:rPr>
        <w:t>also removes language providing that an initial STA required by technical or equipment problems may only be granted for 90 days with a limited number of 90-day extensions, rather</w:t>
      </w:r>
      <w:r w:rsidRPr="00051F32">
        <w:rPr>
          <w:szCs w:val="22"/>
        </w:rPr>
        <w:t xml:space="preserve"> </w:t>
      </w:r>
      <w:r w:rsidRPr="00051F32">
        <w:rPr>
          <w:rFonts w:eastAsia="Calibri"/>
          <w:snapToGrid/>
          <w:kern w:val="0"/>
          <w:szCs w:val="22"/>
        </w:rPr>
        <w:t>than the full 180-day period</w:t>
      </w:r>
      <w:r w:rsidRPr="00051F32">
        <w:rPr>
          <w:szCs w:val="22"/>
        </w:rPr>
        <w:t xml:space="preserve"> permitted for STAs for other reasons</w:t>
      </w:r>
      <w:r w:rsidRPr="00051F32">
        <w:rPr>
          <w:rFonts w:eastAsia="Calibri"/>
          <w:snapToGrid/>
          <w:kern w:val="0"/>
          <w:szCs w:val="22"/>
        </w:rPr>
        <w:t>, which will ease the regulatory burden on small entities.</w:t>
      </w:r>
      <w:r w:rsidRPr="00051F32">
        <w:rPr>
          <w:szCs w:val="22"/>
        </w:rPr>
        <w:t xml:space="preserve">  Applicants seeking a technical STA currently have to file STA requests twice as often as applicants for other STAs – 90 days instead of 180 days.  However, as commenters note, station technical problems</w:t>
      </w:r>
      <w:r w:rsidRPr="00051F32">
        <w:rPr>
          <w:szCs w:val="22"/>
        </w:rPr>
        <w:t xml:space="preserve"> </w:t>
      </w:r>
      <w:r w:rsidRPr="00051F32">
        <w:rPr>
          <w:szCs w:val="22"/>
        </w:rPr>
        <w:t xml:space="preserve">often require at least 180 days to order equipment and complete the repairs.  Therefore, this revision allows stations to reduce their STA filing requirements in half.  </w:t>
      </w:r>
    </w:p>
    <w:p w:rsidR="003275A0" w:rsidP="003275A0" w14:paraId="6539FFAA" w14:textId="77777777">
      <w:pPr>
        <w:pStyle w:val="ParaNum"/>
        <w:numPr>
          <w:ilvl w:val="0"/>
          <w:numId w:val="8"/>
        </w:numPr>
        <w:ind w:left="0" w:firstLine="720"/>
        <w:rPr>
          <w:szCs w:val="22"/>
        </w:rPr>
      </w:pPr>
      <w:r w:rsidRPr="00051F32">
        <w:rPr>
          <w:szCs w:val="22"/>
        </w:rPr>
        <w:t xml:space="preserve">In addition, the </w:t>
      </w:r>
      <w:r w:rsidRPr="00051F32">
        <w:rPr>
          <w:i/>
          <w:iCs/>
          <w:szCs w:val="22"/>
        </w:rPr>
        <w:t>Report and Order</w:t>
      </w:r>
      <w:r w:rsidRPr="00051F32">
        <w:rPr>
          <w:szCs w:val="22"/>
        </w:rPr>
        <w:t xml:space="preserve"> expands the definition of who may sign a certification beyond an officer of the corporation, a partner in the partnership, a member who is an officer of the unincorporated association, or a governmental entity to include a “duly authorized employee,” similar to rules used by other bureaus and offices that allow for directors and authorized employees to sign applications and amendments for the organization.  This revision will help small entities avoid signature rule violations, reduce the number of application dismissals, and avoid excessive</w:t>
      </w:r>
      <w:r w:rsidRPr="00051F32">
        <w:rPr>
          <w:szCs w:val="22"/>
        </w:rPr>
        <w:t xml:space="preserve"> </w:t>
      </w:r>
      <w:r w:rsidRPr="00051F32">
        <w:rPr>
          <w:szCs w:val="22"/>
        </w:rPr>
        <w:t xml:space="preserve">costs associated with responding to petitions to deny.  </w:t>
      </w:r>
    </w:p>
    <w:p w:rsidR="003275A0" w:rsidRPr="00C164EA" w:rsidP="003275A0" w14:paraId="7D11F7F1" w14:textId="77777777">
      <w:pPr>
        <w:pStyle w:val="ParaNum"/>
        <w:numPr>
          <w:ilvl w:val="0"/>
          <w:numId w:val="8"/>
        </w:numPr>
        <w:ind w:left="0" w:firstLine="720"/>
        <w:rPr>
          <w:szCs w:val="22"/>
        </w:rPr>
      </w:pPr>
      <w:r w:rsidRPr="00051F32">
        <w:rPr>
          <w:szCs w:val="22"/>
        </w:rPr>
        <w:t>All of the above changes will promote application efficiency and shorter application processing times.</w:t>
      </w:r>
      <w:r>
        <w:rPr>
          <w:szCs w:val="22"/>
        </w:rPr>
        <w:t xml:space="preserve">  </w:t>
      </w:r>
      <w:r w:rsidRPr="00051F32">
        <w:rPr>
          <w:szCs w:val="22"/>
        </w:rPr>
        <w:t xml:space="preserve">In determining the economic impact and projected compliance requirements for small and other entities, in the </w:t>
      </w:r>
      <w:r w:rsidRPr="00051F32">
        <w:rPr>
          <w:i/>
          <w:iCs/>
          <w:szCs w:val="22"/>
        </w:rPr>
        <w:t>NPRM</w:t>
      </w:r>
      <w:r w:rsidRPr="00051F32">
        <w:rPr>
          <w:szCs w:val="22"/>
        </w:rPr>
        <w:t xml:space="preserve">, the Commission sought comment on the costs and benefits associated with the proposals made in the </w:t>
      </w:r>
      <w:r w:rsidRPr="00051F32">
        <w:rPr>
          <w:i/>
          <w:iCs/>
          <w:szCs w:val="22"/>
        </w:rPr>
        <w:t>NPRM</w:t>
      </w:r>
      <w:r w:rsidRPr="00051F32">
        <w:rPr>
          <w:szCs w:val="22"/>
        </w:rPr>
        <w:t>.  However, no commenters directly addressed this inquiry.</w:t>
      </w:r>
    </w:p>
    <w:p w:rsidR="003275A0" w:rsidRPr="0021080A" w:rsidP="004B6A66" w14:paraId="3561DAED" w14:textId="77777777">
      <w:pPr>
        <w:pStyle w:val="Heading2"/>
      </w:pPr>
      <w:bookmarkStart w:id="108" w:name="_Toc310524632"/>
      <w:bookmarkStart w:id="109" w:name="_Toc310524900"/>
      <w:bookmarkStart w:id="110" w:name="_Toc314645322"/>
      <w:bookmarkStart w:id="111" w:name="_Toc314648953"/>
      <w:bookmarkStart w:id="112" w:name="_Toc314738879"/>
      <w:bookmarkStart w:id="113" w:name="_Toc314738922"/>
      <w:bookmarkStart w:id="114" w:name="_Toc393478012"/>
      <w:bookmarkStart w:id="115" w:name="_Toc394658134"/>
      <w:bookmarkStart w:id="116" w:name="_Toc394659979"/>
      <w:bookmarkStart w:id="117" w:name="_Toc394678819"/>
      <w:bookmarkStart w:id="118" w:name="_Toc394679533"/>
      <w:bookmarkStart w:id="119" w:name="_Toc395264440"/>
      <w:bookmarkStart w:id="120" w:name="_Toc397508655"/>
      <w:bookmarkStart w:id="121" w:name="_Toc397604505"/>
      <w:bookmarkStart w:id="122" w:name="_Toc397686593"/>
      <w:bookmarkStart w:id="123" w:name="_Toc399935856"/>
      <w:bookmarkStart w:id="124" w:name="_Toc403121206"/>
      <w:bookmarkStart w:id="125" w:name="_Toc465357617"/>
      <w:bookmarkStart w:id="126" w:name="_Toc468201220"/>
      <w:bookmarkStart w:id="127" w:name="_Toc468702544"/>
      <w:bookmarkStart w:id="128" w:name="_Toc473563728"/>
      <w:bookmarkStart w:id="129" w:name="_Toc474348304"/>
      <w:bookmarkStart w:id="130" w:name="_Toc474351641"/>
      <w:bookmarkStart w:id="131" w:name="_Toc474352572"/>
      <w:bookmarkStart w:id="132" w:name="_Toc474353434"/>
      <w:bookmarkStart w:id="133" w:name="_Toc474532759"/>
      <w:bookmarkStart w:id="134" w:name="_Toc474534425"/>
      <w:bookmarkStart w:id="135" w:name="_Toc474752052"/>
      <w:bookmarkStart w:id="136" w:name="_Toc474947292"/>
      <w:bookmarkStart w:id="137" w:name="_Toc475028092"/>
      <w:bookmarkStart w:id="138" w:name="_Toc475537255"/>
      <w:bookmarkStart w:id="139" w:name="_Toc475899455"/>
      <w:bookmarkStart w:id="140" w:name="_Toc477805788"/>
      <w:bookmarkStart w:id="141" w:name="_Toc477954222"/>
      <w:bookmarkStart w:id="142" w:name="_Toc262465663"/>
      <w:bookmarkStart w:id="143" w:name="_Toc310524631"/>
      <w:bookmarkStart w:id="144" w:name="_Toc310524899"/>
      <w:bookmarkStart w:id="145" w:name="_Toc314645321"/>
      <w:bookmarkStart w:id="146" w:name="_Toc314648952"/>
      <w:bookmarkStart w:id="147" w:name="_Toc314738878"/>
      <w:bookmarkStart w:id="148" w:name="_Toc314738921"/>
      <w:bookmarkStart w:id="149" w:name="_Toc393478011"/>
      <w:bookmarkStart w:id="150" w:name="_Toc394658133"/>
      <w:bookmarkStart w:id="151" w:name="_Toc394659978"/>
      <w:bookmarkStart w:id="152" w:name="_Toc394678818"/>
      <w:bookmarkStart w:id="153" w:name="_Toc394679532"/>
      <w:bookmarkStart w:id="154" w:name="_Toc395264439"/>
      <w:bookmarkStart w:id="155" w:name="_Toc397508654"/>
      <w:bookmarkStart w:id="156" w:name="_Toc397604504"/>
      <w:bookmarkStart w:id="157" w:name="_Toc397686592"/>
      <w:bookmarkStart w:id="158" w:name="_Toc399935855"/>
      <w:bookmarkStart w:id="159" w:name="_Toc403121205"/>
      <w:bookmarkStart w:id="160" w:name="_Toc465357616"/>
      <w:bookmarkStart w:id="161" w:name="_Toc468201219"/>
      <w:bookmarkStart w:id="162" w:name="_Toc468702543"/>
      <w:bookmarkStart w:id="163" w:name="_Toc473563727"/>
      <w:bookmarkStart w:id="164" w:name="_Toc474348303"/>
      <w:bookmarkStart w:id="165" w:name="_Toc474351640"/>
      <w:bookmarkStart w:id="166" w:name="_Toc474352571"/>
      <w:bookmarkStart w:id="167" w:name="_Toc474353433"/>
      <w:bookmarkStart w:id="168" w:name="_Toc474532758"/>
      <w:bookmarkStart w:id="169" w:name="_Toc474534424"/>
      <w:bookmarkStart w:id="170" w:name="_Toc474752051"/>
      <w:bookmarkStart w:id="171" w:name="_Toc474947291"/>
      <w:bookmarkStart w:id="172" w:name="_Toc475028091"/>
      <w:bookmarkStart w:id="173" w:name="_Toc475537254"/>
      <w:bookmarkStart w:id="174" w:name="_Toc475899454"/>
      <w:bookmarkStart w:id="175" w:name="_Toc477805787"/>
      <w:bookmarkStart w:id="176" w:name="_Toc477954221"/>
      <w:r w:rsidRPr="0021080A">
        <w:t>Discussion of Steps Taken to Minimize the Significant Economic Impact on Small Entities, and Significant Alternatives Considered</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3275A0" w:rsidP="003275A0" w14:paraId="0618920A" w14:textId="77777777">
      <w:pPr>
        <w:pStyle w:val="ParaNum"/>
        <w:keepNext/>
        <w:numPr>
          <w:ilvl w:val="0"/>
          <w:numId w:val="8"/>
        </w:numPr>
        <w:ind w:left="0" w:firstLine="720"/>
        <w:rPr>
          <w:szCs w:val="22"/>
        </w:rPr>
      </w:pPr>
      <w:r w:rsidRPr="0021080A">
        <w:rPr>
          <w:szCs w:val="22"/>
        </w:rPr>
        <w:t>The RFA requires an agency to provide, “a description of the steps the agency has taken to minimize the significant economic impact on small entities…including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sz w:val="22"/>
          <w:szCs w:val="22"/>
        </w:rPr>
        <w:footnoteReference w:id="198"/>
      </w:r>
    </w:p>
    <w:p w:rsidR="003275A0" w:rsidP="003275A0" w14:paraId="77A7383C" w14:textId="77777777">
      <w:pPr>
        <w:pStyle w:val="ParaNum"/>
        <w:keepNext/>
        <w:numPr>
          <w:ilvl w:val="0"/>
          <w:numId w:val="8"/>
        </w:numPr>
        <w:ind w:left="0" w:firstLine="720"/>
        <w:rPr>
          <w:szCs w:val="22"/>
        </w:rPr>
      </w:pPr>
      <w:r w:rsidRPr="003D3F4A">
        <w:rPr>
          <w:szCs w:val="22"/>
        </w:rPr>
        <w:t xml:space="preserve">In the </w:t>
      </w:r>
      <w:r w:rsidRPr="00BD29CF">
        <w:rPr>
          <w:i/>
          <w:iCs/>
          <w:szCs w:val="22"/>
        </w:rPr>
        <w:t>NPRM</w:t>
      </w:r>
      <w:r w:rsidRPr="003D3F4A">
        <w:rPr>
          <w:szCs w:val="22"/>
        </w:rPr>
        <w:t xml:space="preserve">, the Commission considered alternatives such as retaining the existing rules, while </w:t>
      </w:r>
      <w:r>
        <w:rPr>
          <w:szCs w:val="22"/>
        </w:rPr>
        <w:t xml:space="preserve">taking steps to </w:t>
      </w:r>
      <w:r w:rsidRPr="003D3F4A">
        <w:rPr>
          <w:szCs w:val="22"/>
        </w:rPr>
        <w:t xml:space="preserve">amend other related rules to further improve the accuracy of the CFR, many of which may minimize the impact of the regulations on small broadcasters. </w:t>
      </w:r>
      <w:r>
        <w:rPr>
          <w:szCs w:val="22"/>
        </w:rPr>
        <w:t xml:space="preserve"> </w:t>
      </w:r>
      <w:r w:rsidRPr="003D3F4A">
        <w:rPr>
          <w:szCs w:val="22"/>
        </w:rPr>
        <w:t xml:space="preserve">For example, in proposing to revise the </w:t>
      </w:r>
      <w:r>
        <w:rPr>
          <w:szCs w:val="22"/>
        </w:rPr>
        <w:t>S</w:t>
      </w:r>
      <w:r w:rsidRPr="003D3F4A">
        <w:rPr>
          <w:szCs w:val="22"/>
        </w:rPr>
        <w:t xml:space="preserve">ignature </w:t>
      </w:r>
      <w:r>
        <w:rPr>
          <w:szCs w:val="22"/>
        </w:rPr>
        <w:t>R</w:t>
      </w:r>
      <w:r w:rsidRPr="003D3F4A">
        <w:rPr>
          <w:szCs w:val="22"/>
        </w:rPr>
        <w:t>ule, we considered whether to permit a “duly authorized employee” to sign for the corporation, partnership or unincorporated association, or, in the alternative, to maintain our current rules requiring officers, partners, or members who are officers to sign, which often results in application dismissals.</w:t>
      </w:r>
      <w:r>
        <w:rPr>
          <w:szCs w:val="22"/>
        </w:rPr>
        <w:t xml:space="preserve"> </w:t>
      </w:r>
      <w:r w:rsidRPr="003D3F4A">
        <w:rPr>
          <w:szCs w:val="22"/>
        </w:rPr>
        <w:t xml:space="preserve"> </w:t>
      </w:r>
      <w:r>
        <w:rPr>
          <w:szCs w:val="22"/>
        </w:rPr>
        <w:t xml:space="preserve">Public Broadcasters noted that, for governmental organizations, </w:t>
      </w:r>
      <w:r>
        <w:t>t</w:t>
      </w:r>
      <w:r w:rsidRPr="000C33B5">
        <w:t xml:space="preserve">he current rule is </w:t>
      </w:r>
      <w:r w:rsidRPr="000C33B5">
        <w:t>burdensome and requires signatures from high-level officials in large organizations</w:t>
      </w:r>
      <w:r>
        <w:t>, which are often difficult to obtain</w:t>
      </w:r>
      <w:r w:rsidRPr="000C33B5">
        <w:t>.</w:t>
      </w:r>
      <w:r>
        <w:rPr>
          <w:rStyle w:val="FootnoteReference"/>
        </w:rPr>
        <w:footnoteReference w:id="199"/>
      </w:r>
      <w:r>
        <w:rPr>
          <w:szCs w:val="22"/>
        </w:rPr>
        <w:t xml:space="preserve">  We therefore considered adding “duly authorized employee” to the rule defining who may sign on behalf of a governmental entity applicant.  </w:t>
      </w:r>
      <w:r w:rsidRPr="003D3F4A">
        <w:rPr>
          <w:szCs w:val="22"/>
        </w:rPr>
        <w:t xml:space="preserve">We also considered whether we should limit </w:t>
      </w:r>
      <w:r>
        <w:rPr>
          <w:szCs w:val="22"/>
        </w:rPr>
        <w:t>“duly authorized employee”</w:t>
      </w:r>
      <w:r w:rsidRPr="003D3F4A">
        <w:rPr>
          <w:szCs w:val="22"/>
        </w:rPr>
        <w:t xml:space="preserve"> to specific employees, and how this decision, if adopted, might impact small broadcasters that may not be represented by counsel.</w:t>
      </w:r>
      <w:r>
        <w:rPr>
          <w:szCs w:val="22"/>
        </w:rPr>
        <w:t xml:space="preserve"> </w:t>
      </w:r>
      <w:r w:rsidRPr="003D3F4A">
        <w:rPr>
          <w:szCs w:val="22"/>
        </w:rPr>
        <w:t xml:space="preserve"> In </w:t>
      </w:r>
      <w:r>
        <w:rPr>
          <w:szCs w:val="22"/>
        </w:rPr>
        <w:t xml:space="preserve">the </w:t>
      </w:r>
      <w:r w:rsidRPr="0021080A">
        <w:rPr>
          <w:i/>
          <w:iCs/>
          <w:szCs w:val="22"/>
        </w:rPr>
        <w:t>Report and Order</w:t>
      </w:r>
      <w:r>
        <w:rPr>
          <w:szCs w:val="22"/>
        </w:rPr>
        <w:t xml:space="preserve">, </w:t>
      </w:r>
      <w:r w:rsidRPr="008C2E4C">
        <w:rPr>
          <w:szCs w:val="22"/>
        </w:rPr>
        <w:t xml:space="preserve">to minimize the impact on small and other entities, </w:t>
      </w:r>
      <w:r>
        <w:rPr>
          <w:szCs w:val="22"/>
        </w:rPr>
        <w:t>and to prevent dismissal of applications for signature rule violations</w:t>
      </w:r>
      <w:r w:rsidRPr="008C2E4C">
        <w:rPr>
          <w:szCs w:val="22"/>
        </w:rPr>
        <w:t xml:space="preserve">, the Commission </w:t>
      </w:r>
      <w:r>
        <w:rPr>
          <w:szCs w:val="22"/>
        </w:rPr>
        <w:t xml:space="preserve">now allows duly authorized employees to sign applications on behalf of partnerships, corporations, unincorporated associations, and governmental entities.  We also considered updating our processing procedures to allow for curative amendments </w:t>
      </w:r>
      <w:r w:rsidRPr="0008587E">
        <w:rPr>
          <w:szCs w:val="22"/>
        </w:rPr>
        <w:t xml:space="preserve">or </w:t>
      </w:r>
      <w:r w:rsidRPr="0008587E">
        <w:rPr>
          <w:i/>
          <w:iCs/>
          <w:szCs w:val="22"/>
        </w:rPr>
        <w:t xml:space="preserve">nunc pro tunc </w:t>
      </w:r>
      <w:r w:rsidRPr="0008587E">
        <w:rPr>
          <w:szCs w:val="22"/>
        </w:rPr>
        <w:t>reinstatement procedures</w:t>
      </w:r>
      <w:r>
        <w:rPr>
          <w:szCs w:val="22"/>
        </w:rPr>
        <w:t xml:space="preserve"> to remedy signature rule violations, but ultimately declined to do so because </w:t>
      </w:r>
      <w:r w:rsidRPr="0084230B">
        <w:rPr>
          <w:szCs w:val="22"/>
        </w:rPr>
        <w:t>strict adherence to signature requirements is critical in holding applicants accountable for the truthfulness and accuracy of their applications.</w:t>
      </w:r>
      <w:r>
        <w:rPr>
          <w:szCs w:val="22"/>
        </w:rPr>
        <w:t xml:space="preserve">  We anticipate that the increased processing flexibility for signature rule compliance will ease compliance burdens for small entities and result in a significant reduction of rule violations.</w:t>
      </w:r>
    </w:p>
    <w:p w:rsidR="003275A0" w:rsidP="003275A0" w14:paraId="6525553F" w14:textId="77777777">
      <w:pPr>
        <w:pStyle w:val="ParaNum"/>
        <w:keepNext/>
        <w:numPr>
          <w:ilvl w:val="0"/>
          <w:numId w:val="8"/>
        </w:numPr>
        <w:ind w:left="0" w:firstLine="720"/>
        <w:rPr>
          <w:szCs w:val="22"/>
        </w:rPr>
      </w:pPr>
      <w:r>
        <w:rPr>
          <w:szCs w:val="22"/>
        </w:rPr>
        <w:t>We similarly considered leaving the technical STA filing requirement at 90 days, but based on comments, decided that revising the rule, to the allow for the</w:t>
      </w:r>
      <w:r w:rsidRPr="00051F32">
        <w:rPr>
          <w:rFonts w:eastAsia="Calibri"/>
          <w:snapToGrid/>
          <w:kern w:val="0"/>
          <w:szCs w:val="22"/>
        </w:rPr>
        <w:t xml:space="preserve"> full 180-day period</w:t>
      </w:r>
      <w:r w:rsidRPr="00051F32">
        <w:rPr>
          <w:szCs w:val="22"/>
        </w:rPr>
        <w:t xml:space="preserve"> permitted for STAs for other reasons</w:t>
      </w:r>
      <w:r>
        <w:rPr>
          <w:szCs w:val="22"/>
        </w:rPr>
        <w:t>, would result in fewer burdens and application processing obligations.  NAB agreed with this approach, noting that it reduces burdens on both applicants and staff.</w:t>
      </w:r>
      <w:r>
        <w:rPr>
          <w:rStyle w:val="FootnoteReference"/>
          <w:szCs w:val="22"/>
        </w:rPr>
        <w:footnoteReference w:id="200"/>
      </w:r>
      <w:r>
        <w:rPr>
          <w:szCs w:val="22"/>
        </w:rPr>
        <w:t xml:space="preserve">  Public Broadcasters also noted that applicants will greatly benefit from this revision because the longer term more realistically reflects the time it takes to procure and replace defective technical equipment.</w:t>
      </w:r>
      <w:r>
        <w:rPr>
          <w:rStyle w:val="FootnoteReference"/>
          <w:szCs w:val="22"/>
        </w:rPr>
        <w:footnoteReference w:id="201"/>
      </w:r>
      <w:r>
        <w:rPr>
          <w:szCs w:val="22"/>
        </w:rPr>
        <w:t xml:space="preserve">  </w:t>
      </w:r>
      <w:r w:rsidRPr="009D5DED">
        <w:rPr>
          <w:szCs w:val="22"/>
        </w:rPr>
        <w:t>Commenters generally agreed with our proposal to update the AM station power increase rules to eliminate the requirement that stations seeking facility modifications request at least a 20% increase in power, which will reduce compliance burdens for these small entities.</w:t>
      </w:r>
    </w:p>
    <w:p w:rsidR="003275A0" w:rsidP="003275A0" w14:paraId="6444510A" w14:textId="77777777">
      <w:pPr>
        <w:pStyle w:val="ParaNum"/>
        <w:keepNext/>
        <w:numPr>
          <w:ilvl w:val="0"/>
          <w:numId w:val="8"/>
        </w:numPr>
        <w:ind w:left="0" w:firstLine="720"/>
        <w:rPr>
          <w:szCs w:val="22"/>
        </w:rPr>
      </w:pPr>
      <w:r w:rsidRPr="00DB665E">
        <w:rPr>
          <w:szCs w:val="22"/>
        </w:rPr>
        <w:t xml:space="preserve">As discussed in section B, REC and NAB proposed certain modifications to the prior-filed application protections found in sections 73.807(a)(1) and 73.807(c) of the Commission’s rules.  We did not adopt those alternatives because the modifications in the </w:t>
      </w:r>
      <w:r w:rsidRPr="00C970AF">
        <w:rPr>
          <w:i/>
          <w:iCs/>
          <w:szCs w:val="22"/>
        </w:rPr>
        <w:t>Report and Order</w:t>
      </w:r>
      <w:r w:rsidRPr="00DB665E">
        <w:rPr>
          <w:szCs w:val="22"/>
        </w:rPr>
        <w:t xml:space="preserve"> clarify that a public notice, which simply announces an upcoming filing window, would not terminate protection requirements for prior-filed applications under </w:t>
      </w:r>
      <w:r>
        <w:rPr>
          <w:szCs w:val="22"/>
        </w:rPr>
        <w:t>the applicable rules.</w:t>
      </w:r>
      <w:r w:rsidRPr="00DB665E">
        <w:rPr>
          <w:szCs w:val="22"/>
        </w:rPr>
        <w:t xml:space="preserve">    </w:t>
      </w:r>
    </w:p>
    <w:p w:rsidR="003275A0" w:rsidRPr="00C970AF" w:rsidP="003275A0" w14:paraId="2BE5CFD7" w14:textId="77777777">
      <w:pPr>
        <w:pStyle w:val="ParaNum"/>
        <w:keepNext/>
        <w:numPr>
          <w:ilvl w:val="0"/>
          <w:numId w:val="8"/>
        </w:numPr>
        <w:ind w:left="0" w:firstLine="720"/>
        <w:rPr>
          <w:snapToGrid/>
          <w:kern w:val="0"/>
          <w:sz w:val="24"/>
        </w:rPr>
      </w:pPr>
      <w:r>
        <w:rPr>
          <w:kern w:val="0"/>
        </w:rPr>
        <w:t>Lastly, w</w:t>
      </w:r>
      <w:r w:rsidRPr="00D879C5">
        <w:rPr>
          <w:kern w:val="0"/>
        </w:rPr>
        <w:t xml:space="preserve">e declined to adopt the proposal in the </w:t>
      </w:r>
      <w:r w:rsidRPr="00D879C5">
        <w:rPr>
          <w:i/>
          <w:iCs/>
          <w:kern w:val="0"/>
        </w:rPr>
        <w:t>NPRM</w:t>
      </w:r>
      <w:r w:rsidRPr="00D879C5">
        <w:rPr>
          <w:kern w:val="0"/>
        </w:rPr>
        <w:t xml:space="preserve"> to codify the existing interpretation of section 73.870(e) that LPFM minor modification applications received on the same day will be treated as simultaneously filed and, if mutually exclusive, directed to use engineering solutions and good-faith negotiation </w:t>
      </w:r>
      <w:r w:rsidRPr="00C970AF">
        <w:rPr>
          <w:szCs w:val="22"/>
        </w:rPr>
        <w:t>to</w:t>
      </w:r>
      <w:r w:rsidRPr="00D879C5">
        <w:rPr>
          <w:kern w:val="0"/>
        </w:rPr>
        <w:t xml:space="preserve"> resolve the mutual exclusivity.  There was a general lack of support from commenters, with some alternatively proposing that the Commission move to a true first-come, first-served approach based on the exact time of day an application is received.</w:t>
      </w:r>
      <w:r>
        <w:rPr>
          <w:vertAlign w:val="superscript"/>
        </w:rPr>
        <w:footnoteReference w:id="202"/>
      </w:r>
      <w:r w:rsidRPr="00D879C5">
        <w:rPr>
          <w:kern w:val="0"/>
        </w:rPr>
        <w:t xml:space="preserve">  This alternative goes beyond the scope of the rule revisions posed in this proceeding, and will not be adopted at this time. </w:t>
      </w:r>
    </w:p>
    <w:p w:rsidR="003275A0" w:rsidRPr="0021080A" w:rsidP="004B6A66" w14:paraId="2A633177" w14:textId="77777777">
      <w:pPr>
        <w:pStyle w:val="Heading2"/>
      </w:pPr>
      <w:bookmarkStart w:id="177" w:name="_Toc394658128"/>
      <w:bookmarkStart w:id="178" w:name="_Toc394659973"/>
      <w:bookmarkStart w:id="179" w:name="_Toc394678813"/>
      <w:bookmarkStart w:id="180" w:name="_Toc394679527"/>
      <w:bookmarkStart w:id="181" w:name="_Toc395264434"/>
      <w:bookmarkStart w:id="182" w:name="_Toc397508649"/>
      <w:bookmarkStart w:id="183" w:name="_Toc397604499"/>
      <w:bookmarkStart w:id="184" w:name="_Toc397686587"/>
      <w:bookmarkStart w:id="185" w:name="_Toc399935850"/>
      <w:bookmarkStart w:id="186" w:name="_Toc403121200"/>
      <w:bookmarkStart w:id="187" w:name="_Toc423370699"/>
      <w:bookmarkStart w:id="188" w:name="_Toc450326202"/>
      <w:bookmarkStart w:id="189" w:name="_Toc465357619"/>
      <w:bookmarkStart w:id="190" w:name="_Toc468201221"/>
      <w:bookmarkStart w:id="191" w:name="_Toc468702545"/>
      <w:bookmarkStart w:id="192" w:name="_Toc473563729"/>
      <w:bookmarkStart w:id="193" w:name="_Toc474348305"/>
      <w:bookmarkStart w:id="194" w:name="_Toc474351642"/>
      <w:bookmarkStart w:id="195" w:name="_Toc474352573"/>
      <w:bookmarkStart w:id="196" w:name="_Toc474353435"/>
      <w:bookmarkStart w:id="197" w:name="_Toc474532760"/>
      <w:bookmarkStart w:id="198" w:name="_Toc474534426"/>
      <w:bookmarkStart w:id="199" w:name="_Toc474752053"/>
      <w:bookmarkStart w:id="200" w:name="_Toc474947293"/>
      <w:bookmarkStart w:id="201" w:name="_Toc475028093"/>
      <w:bookmarkStart w:id="202" w:name="_Toc475537256"/>
      <w:bookmarkStart w:id="203" w:name="_Toc475899456"/>
      <w:r w:rsidRPr="0021080A">
        <w:t>Report to Congress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275A0" w:rsidRPr="00823AB0" w:rsidP="003275A0" w14:paraId="3A6D6B36" w14:textId="77777777">
      <w:pPr>
        <w:pStyle w:val="ParaNum"/>
        <w:widowControl/>
        <w:numPr>
          <w:ilvl w:val="0"/>
          <w:numId w:val="8"/>
        </w:numPr>
        <w:snapToGrid w:val="0"/>
        <w:spacing w:after="240"/>
        <w:ind w:left="0" w:firstLine="720"/>
        <w:rPr>
          <w:b/>
          <w:bCs/>
          <w:szCs w:val="22"/>
        </w:rPr>
      </w:pPr>
      <w:r w:rsidRPr="0021080A">
        <w:rPr>
          <w:szCs w:val="22"/>
        </w:rPr>
        <w:t xml:space="preserve">The Commission will send a copy of the </w:t>
      </w:r>
      <w:r w:rsidRPr="0021080A">
        <w:rPr>
          <w:i/>
          <w:iCs/>
          <w:szCs w:val="22"/>
        </w:rPr>
        <w:t>Report and Order</w:t>
      </w:r>
      <w:r w:rsidRPr="00C03A2C">
        <w:rPr>
          <w:szCs w:val="22"/>
        </w:rPr>
        <w:t>,</w:t>
      </w:r>
      <w:r w:rsidRPr="0021080A">
        <w:rPr>
          <w:szCs w:val="22"/>
        </w:rPr>
        <w:t xml:space="preserve"> including this Final Regulatory Flexibility Analysis, </w:t>
      </w:r>
      <w:bookmarkStart w:id="204" w:name="_Hlk9495338"/>
      <w:r w:rsidRPr="0021080A">
        <w:rPr>
          <w:szCs w:val="22"/>
        </w:rPr>
        <w:t>in a report to Congress pursuant to the Congressional Review Act.</w:t>
      </w:r>
      <w:r>
        <w:rPr>
          <w:rStyle w:val="FootnoteReference"/>
          <w:sz w:val="22"/>
          <w:szCs w:val="22"/>
        </w:rPr>
        <w:footnoteReference w:id="203"/>
      </w:r>
      <w:r w:rsidRPr="0021080A">
        <w:rPr>
          <w:szCs w:val="22"/>
        </w:rPr>
        <w:t xml:space="preserve">  </w:t>
      </w:r>
      <w:bookmarkEnd w:id="204"/>
      <w:r w:rsidRPr="0021080A">
        <w:rPr>
          <w:szCs w:val="22"/>
        </w:rPr>
        <w:t>In addition, the Commission will send a copy of the</w:t>
      </w:r>
      <w:r>
        <w:rPr>
          <w:szCs w:val="22"/>
        </w:rPr>
        <w:t xml:space="preserve"> </w:t>
      </w:r>
      <w:r w:rsidRPr="0021080A">
        <w:rPr>
          <w:i/>
          <w:iCs/>
          <w:szCs w:val="22"/>
        </w:rPr>
        <w:t>Report and Order</w:t>
      </w:r>
      <w:r w:rsidRPr="0021080A">
        <w:rPr>
          <w:szCs w:val="22"/>
        </w:rPr>
        <w:t xml:space="preserve">, including this Final Regulatory Flexibility Analysis, to the Chief Counsel for the SBA Office of Advocacy </w:t>
      </w:r>
      <w:bookmarkStart w:id="205" w:name="_Hlk217915010"/>
      <w:r w:rsidRPr="0021080A">
        <w:rPr>
          <w:szCs w:val="22"/>
        </w:rPr>
        <w:t xml:space="preserve">and will publish a copy of the </w:t>
      </w:r>
      <w:bookmarkEnd w:id="205"/>
      <w:r w:rsidRPr="0021080A">
        <w:rPr>
          <w:i/>
          <w:iCs/>
          <w:szCs w:val="22"/>
        </w:rPr>
        <w:t>Report and Order</w:t>
      </w:r>
      <w:r>
        <w:rPr>
          <w:szCs w:val="22"/>
        </w:rPr>
        <w:t>,</w:t>
      </w:r>
      <w:r w:rsidRPr="0021080A">
        <w:rPr>
          <w:szCs w:val="22"/>
        </w:rPr>
        <w:t xml:space="preserve"> and this Final Regulatory Flexibility Analysis</w:t>
      </w:r>
      <w:r w:rsidRPr="0021080A">
        <w:rPr>
          <w:szCs w:val="22"/>
        </w:rPr>
        <w:t xml:space="preserve"> </w:t>
      </w:r>
      <w:r w:rsidRPr="0021080A">
        <w:rPr>
          <w:szCs w:val="22"/>
        </w:rPr>
        <w:t xml:space="preserve">(or summaries thereof) in the </w:t>
      </w:r>
      <w:r w:rsidRPr="0021080A">
        <w:rPr>
          <w:iCs/>
          <w:szCs w:val="22"/>
        </w:rPr>
        <w:t>Federal Register</w:t>
      </w:r>
      <w:r w:rsidRPr="0021080A">
        <w:rPr>
          <w:szCs w:val="22"/>
        </w:rPr>
        <w:t>.</w:t>
      </w:r>
      <w:bookmarkStart w:id="206" w:name="_Hlk217915070"/>
      <w:r>
        <w:rPr>
          <w:rStyle w:val="FootnoteReference"/>
          <w:sz w:val="22"/>
          <w:szCs w:val="22"/>
        </w:rPr>
        <w:footnoteReference w:id="204"/>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206"/>
    </w:p>
    <w:p w:rsidR="00A32431" w:rsidRPr="00823AB0" w:rsidP="003275A0" w14:paraId="1E5FFBE8" w14:textId="77D6CDC9">
      <w:pPr>
        <w:pStyle w:val="NoSpacing"/>
        <w:jc w:val="center"/>
        <w:rPr>
          <w:b/>
          <w:bCs/>
        </w:rPr>
      </w:pPr>
    </w:p>
    <w:sectPr w:rsidSect="003275A0">
      <w:footerReference w:type="even" r:id="rId14"/>
      <w:footerReference w:type="default" r:id="rId15"/>
      <w:footerReference w:type="first" r:id="rId16"/>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DCD" w14:paraId="4DE17FEA" w14:textId="77777777">
      <w:pPr>
        <w:spacing w:line="20" w:lineRule="exact"/>
      </w:pPr>
    </w:p>
  </w:endnote>
  <w:endnote w:type="continuationSeparator" w:id="1">
    <w:p w:rsidR="00146DCD" w14:paraId="78F05D36" w14:textId="77777777">
      <w:r>
        <w:t xml:space="preserve"> </w:t>
      </w:r>
    </w:p>
  </w:endnote>
  <w:endnote w:type="continuationNotice" w:id="2">
    <w:p w:rsidR="00146DCD" w14:paraId="5C09D36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27E3F5F"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051FF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DF3D51" w14:paraId="1AE8CAC9" w14:textId="402BC5D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BDA" w14:paraId="74C28071" w14:textId="53B485D6">
    <w:pPr>
      <w:pStyle w:val="Footer"/>
      <w:jc w:val="center"/>
    </w:pPr>
  </w:p>
  <w:p w:rsidR="00D25FB5" w:rsidP="00DF3D51" w14:paraId="76DE6EC2" w14:textId="2C39B88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5A0" w14:paraId="140A4F7A" w14:textId="77777777">
    <w:pPr>
      <w:pStyle w:val="Footer"/>
      <w:framePr w:wrap="around" w:vAnchor="text" w:hAnchor="margin" w:xAlign="center" w:y="1"/>
    </w:pPr>
    <w:r>
      <w:fldChar w:fldCharType="begin"/>
    </w:r>
    <w:r>
      <w:instrText xml:space="preserve">PAGE  </w:instrText>
    </w:r>
    <w:r>
      <w:fldChar w:fldCharType="separate"/>
    </w:r>
    <w:r>
      <w:fldChar w:fldCharType="end"/>
    </w:r>
  </w:p>
  <w:p w:rsidR="003275A0" w14:paraId="6A97B69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5A0" w14:paraId="64D79AAC" w14:textId="77777777">
    <w:pPr>
      <w:suppressAutoHyphens/>
      <w:spacing w:line="227"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5A0" w:rsidRPr="00DF0B66" w14:paraId="7459C622" w14:textId="77777777">
    <w:pPr>
      <w:pStyle w:val="Footer"/>
      <w:jc w:val="center"/>
      <w:rPr>
        <w:sz w:val="20"/>
      </w:rPr>
    </w:pPr>
    <w:r w:rsidRPr="00DF0B66">
      <w:rPr>
        <w:sz w:val="20"/>
      </w:rPr>
      <w:fldChar w:fldCharType="begin"/>
    </w:r>
    <w:r w:rsidRPr="00DF0B66">
      <w:rPr>
        <w:sz w:val="20"/>
      </w:rPr>
      <w:instrText xml:space="preserve"> PAGE   \* MERGEFORMAT </w:instrText>
    </w:r>
    <w:r w:rsidRPr="00DF0B66">
      <w:rPr>
        <w:sz w:val="20"/>
      </w:rPr>
      <w:fldChar w:fldCharType="separate"/>
    </w:r>
    <w:r>
      <w:rPr>
        <w:noProof/>
        <w:sz w:val="20"/>
      </w:rPr>
      <w:t>1</w:t>
    </w:r>
    <w:r w:rsidRPr="00DF0B6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DCD" w14:paraId="1DC94ECF" w14:textId="77777777">
      <w:r>
        <w:separator/>
      </w:r>
    </w:p>
  </w:footnote>
  <w:footnote w:type="continuationSeparator" w:id="1">
    <w:p w:rsidR="00146DCD" w:rsidP="00C721AC" w14:paraId="2AE5D58E" w14:textId="77777777">
      <w:pPr>
        <w:spacing w:before="120"/>
        <w:rPr>
          <w:sz w:val="20"/>
        </w:rPr>
      </w:pPr>
      <w:r>
        <w:rPr>
          <w:sz w:val="20"/>
        </w:rPr>
        <w:t xml:space="preserve">(Continued from previous page)  </w:t>
      </w:r>
      <w:r>
        <w:rPr>
          <w:sz w:val="20"/>
        </w:rPr>
        <w:separator/>
      </w:r>
    </w:p>
  </w:footnote>
  <w:footnote w:type="continuationNotice" w:id="2">
    <w:p w:rsidR="00146DCD" w:rsidP="00C721AC" w14:paraId="4E3E2B5B" w14:textId="77777777">
      <w:pPr>
        <w:jc w:val="right"/>
        <w:rPr>
          <w:sz w:val="20"/>
        </w:rPr>
      </w:pPr>
      <w:r>
        <w:rPr>
          <w:sz w:val="20"/>
        </w:rPr>
        <w:t>(continued….)</w:t>
      </w:r>
    </w:p>
  </w:footnote>
  <w:footnote w:id="3">
    <w:p w:rsidR="008F7015" w:rsidRPr="00817FC2" w:rsidP="00D07A9C" w14:paraId="130F332E" w14:textId="091AFC2F">
      <w:pPr>
        <w:pStyle w:val="FootnoteText"/>
      </w:pPr>
      <w:r w:rsidRPr="00817FC2">
        <w:rPr>
          <w:rStyle w:val="FootnoteReference"/>
        </w:rPr>
        <w:footnoteRef/>
      </w:r>
      <w:r w:rsidRPr="00817FC2">
        <w:t xml:space="preserve"> </w:t>
      </w:r>
      <w:r w:rsidRPr="00817FC2" w:rsidR="00805C41">
        <w:t xml:space="preserve">The </w:t>
      </w:r>
      <w:r w:rsidRPr="00817FC2" w:rsidR="00284C6D">
        <w:t>National Association of Broadcasters (NAB) and REC Netw</w:t>
      </w:r>
      <w:r w:rsidRPr="00817FC2" w:rsidR="00C54641">
        <w:t xml:space="preserve">orks (REC) </w:t>
      </w:r>
      <w:r w:rsidRPr="00817FC2" w:rsidR="00FA5802">
        <w:t xml:space="preserve">submitted comments in both MB Docket No. 24-626 and GN Docket No. 25-133, encouraging the Commission to adopt new streamlining and efficiency </w:t>
      </w:r>
      <w:r w:rsidRPr="00863427" w:rsidR="00FA5802">
        <w:t>initiatives.</w:t>
      </w:r>
      <w:r w:rsidRPr="00863427" w:rsidR="00DA64EC">
        <w:t xml:space="preserve">  This </w:t>
      </w:r>
      <w:r w:rsidRPr="00863427" w:rsidR="00DA64EC">
        <w:rPr>
          <w:i/>
          <w:iCs/>
        </w:rPr>
        <w:t>Report and Order</w:t>
      </w:r>
      <w:r w:rsidRPr="00863427" w:rsidR="00DA64EC">
        <w:t xml:space="preserve"> will </w:t>
      </w:r>
      <w:r w:rsidRPr="00863427" w:rsidR="002373B1">
        <w:t>consider</w:t>
      </w:r>
      <w:r w:rsidRPr="00863427" w:rsidR="00DA64EC">
        <w:t xml:space="preserve"> their comments </w:t>
      </w:r>
      <w:r w:rsidRPr="00863427" w:rsidR="008043A8">
        <w:t>on th</w:t>
      </w:r>
      <w:r w:rsidRPr="00863427" w:rsidR="009730F3">
        <w:t>e</w:t>
      </w:r>
      <w:r w:rsidRPr="00863427" w:rsidR="008043A8">
        <w:t xml:space="preserve"> issue</w:t>
      </w:r>
      <w:r w:rsidRPr="00863427" w:rsidR="009730F3">
        <w:t>s</w:t>
      </w:r>
      <w:r w:rsidRPr="00863427" w:rsidR="00DA64EC">
        <w:t xml:space="preserve"> raised in MB Docket No. 24-626.</w:t>
      </w:r>
    </w:p>
  </w:footnote>
  <w:footnote w:id="4">
    <w:p w:rsidR="006407D6" w:rsidRPr="00817FC2" w:rsidP="00D07A9C" w14:paraId="321486C6" w14:textId="7CAEBE4B">
      <w:pPr>
        <w:pStyle w:val="FootnoteText"/>
      </w:pPr>
      <w:r w:rsidRPr="00817FC2">
        <w:rPr>
          <w:rStyle w:val="FootnoteReference"/>
        </w:rPr>
        <w:footnoteRef/>
      </w:r>
      <w:r w:rsidRPr="00817FC2">
        <w:t xml:space="preserve"> </w:t>
      </w:r>
      <w:r w:rsidRPr="00817FC2" w:rsidR="00093672">
        <w:rPr>
          <w:i/>
          <w:iCs/>
        </w:rPr>
        <w:t>See Amendment of Parts 1, 73, 74 and 76 of the Commission’s Rules to Update Rules Applicable to Broadcast Stations</w:t>
      </w:r>
      <w:r w:rsidRPr="00817FC2" w:rsidR="00093672">
        <w:t>, Notice of Proposed Rulemaking, 39 FCC Rcd 13954 (2024)</w:t>
      </w:r>
      <w:r w:rsidRPr="00817FC2" w:rsidR="002E1226">
        <w:t xml:space="preserve"> </w:t>
      </w:r>
      <w:r w:rsidRPr="00817FC2">
        <w:t>(</w:t>
      </w:r>
      <w:r w:rsidRPr="00817FC2">
        <w:rPr>
          <w:i/>
          <w:iCs/>
        </w:rPr>
        <w:t>NPRM</w:t>
      </w:r>
      <w:r w:rsidRPr="00817FC2">
        <w:t>), available at</w:t>
      </w:r>
      <w:r w:rsidRPr="00817FC2">
        <w:rPr>
          <w:i/>
          <w:iCs/>
        </w:rPr>
        <w:t xml:space="preserve"> </w:t>
      </w:r>
      <w:hyperlink r:id="rId1" w:history="1">
        <w:r w:rsidRPr="00817FC2">
          <w:rPr>
            <w:rStyle w:val="Hyperlink"/>
          </w:rPr>
          <w:t>https://docs.fcc.gov/public/attachments/FCC-24-126A1.pdf</w:t>
        </w:r>
      </w:hyperlink>
      <w:r w:rsidRPr="00817FC2">
        <w:t xml:space="preserve"> (las</w:t>
      </w:r>
      <w:r w:rsidRPr="00817FC2" w:rsidR="00763D33">
        <w:t>t</w:t>
      </w:r>
      <w:r w:rsidRPr="00817FC2">
        <w:t xml:space="preserve"> visited </w:t>
      </w:r>
      <w:r w:rsidRPr="00817FC2" w:rsidR="002B4981">
        <w:t>Feb</w:t>
      </w:r>
      <w:r w:rsidRPr="00817FC2">
        <w:t xml:space="preserve">. </w:t>
      </w:r>
      <w:r w:rsidRPr="00817FC2" w:rsidR="002B4981">
        <w:t>25</w:t>
      </w:r>
      <w:r w:rsidRPr="00817FC2">
        <w:t>, 202</w:t>
      </w:r>
      <w:r w:rsidRPr="00817FC2" w:rsidR="002B4981">
        <w:t>6</w:t>
      </w:r>
      <w:r w:rsidRPr="00817FC2">
        <w:t>).</w:t>
      </w:r>
    </w:p>
  </w:footnote>
  <w:footnote w:id="5">
    <w:p w:rsidR="008E2BAF" w:rsidRPr="00817FC2" w:rsidP="00D07A9C" w14:paraId="7A4CA2BA" w14:textId="60E357F4">
      <w:pPr>
        <w:pStyle w:val="FootnoteText"/>
      </w:pPr>
      <w:r w:rsidRPr="00817FC2">
        <w:rPr>
          <w:rStyle w:val="FootnoteReference"/>
        </w:rPr>
        <w:footnoteRef/>
      </w:r>
      <w:r w:rsidRPr="00817FC2">
        <w:t xml:space="preserve"> 47 CFR §§ 1.5000(b), 1.5004(d)(2), 1.30001(d), 1.30004(a), 73.202(a), 73.3700(b)(5)(iv), and 76.66(d)(2)(ii).</w:t>
      </w:r>
    </w:p>
  </w:footnote>
  <w:footnote w:id="6">
    <w:p w:rsidR="008E2BAF" w:rsidRPr="00817FC2" w:rsidP="00D07A9C" w14:paraId="458FA874" w14:textId="784C2E45">
      <w:pPr>
        <w:pStyle w:val="FootnoteText"/>
      </w:pPr>
      <w:r w:rsidRPr="00817FC2">
        <w:rPr>
          <w:rStyle w:val="FootnoteReference"/>
        </w:rPr>
        <w:footnoteRef/>
      </w:r>
      <w:r w:rsidRPr="00817FC2">
        <w:t xml:space="preserve"> </w:t>
      </w:r>
      <w:r w:rsidRPr="00817FC2" w:rsidR="00A92A58">
        <w:t>47 CFR §§ 73.30(c), 73.45(d)(1), 73.51(c), 73.311(a), 73.512(a), 73.625(c)(4)(</w:t>
      </w:r>
      <w:r w:rsidRPr="00817FC2" w:rsidR="00A92A58">
        <w:t>i</w:t>
      </w:r>
      <w:r w:rsidRPr="00817FC2" w:rsidR="00A92A58">
        <w:t>), 73.872(b)(1), 73.875, 73.1670(b), 73.1690(c)(9), 73.3580(d)(2), and 73.5002(b).</w:t>
      </w:r>
    </w:p>
  </w:footnote>
  <w:footnote w:id="7">
    <w:p w:rsidR="00985C4C" w:rsidRPr="00817FC2" w:rsidP="00D07A9C" w14:paraId="4CCDFBC9" w14:textId="4C71673D">
      <w:pPr>
        <w:pStyle w:val="FootnoteText"/>
      </w:pPr>
      <w:r w:rsidRPr="00817FC2">
        <w:rPr>
          <w:rStyle w:val="FootnoteReference"/>
        </w:rPr>
        <w:footnoteRef/>
      </w:r>
      <w:r w:rsidRPr="00817FC2">
        <w:t xml:space="preserve"> </w:t>
      </w:r>
      <w:r w:rsidRPr="00817FC2" w:rsidR="00924D34">
        <w:t>47 CFR §§ 1.401, 1.403, 1.420, and 73.3573.</w:t>
      </w:r>
    </w:p>
  </w:footnote>
  <w:footnote w:id="8">
    <w:p w:rsidR="00F875A4" w:rsidRPr="00817FC2" w:rsidP="00D07A9C" w14:paraId="66DC5A54" w14:textId="40320F98">
      <w:pPr>
        <w:pStyle w:val="FootnoteText"/>
      </w:pPr>
      <w:r w:rsidRPr="00817FC2">
        <w:rPr>
          <w:rStyle w:val="FootnoteReference"/>
        </w:rPr>
        <w:footnoteRef/>
      </w:r>
      <w:r w:rsidRPr="00817FC2">
        <w:t xml:space="preserve"> 47 CFR § 73.503(g).</w:t>
      </w:r>
    </w:p>
  </w:footnote>
  <w:footnote w:id="9">
    <w:p w:rsidR="00214D42" w:rsidRPr="00817FC2" w:rsidP="00D07A9C" w14:paraId="0130C957" w14:textId="472836BF">
      <w:pPr>
        <w:pStyle w:val="FootnoteText"/>
      </w:pPr>
      <w:r w:rsidRPr="00817FC2">
        <w:rPr>
          <w:rStyle w:val="FootnoteReference"/>
        </w:rPr>
        <w:footnoteRef/>
      </w:r>
      <w:r w:rsidRPr="00817FC2">
        <w:t xml:space="preserve"> </w:t>
      </w:r>
      <w:r w:rsidRPr="00817FC2" w:rsidR="009B2CFD">
        <w:t>47 CFR § 73.3571(e)(1)</w:t>
      </w:r>
      <w:r w:rsidRPr="00817FC2" w:rsidR="00715F58">
        <w:t>-(4).</w:t>
      </w:r>
      <w:r w:rsidRPr="00817FC2" w:rsidR="004A34A3">
        <w:t xml:space="preserve"> </w:t>
      </w:r>
    </w:p>
  </w:footnote>
  <w:footnote w:id="10">
    <w:p w:rsidR="008F098B" w:rsidRPr="00817FC2" w:rsidP="00D07A9C" w14:paraId="1104A980" w14:textId="02B3A9A8">
      <w:pPr>
        <w:pStyle w:val="FootnoteText"/>
        <w:rPr>
          <w:lang w:val="pt-BR"/>
        </w:rPr>
      </w:pPr>
      <w:r w:rsidRPr="00817FC2">
        <w:rPr>
          <w:rStyle w:val="FootnoteReference"/>
        </w:rPr>
        <w:footnoteRef/>
      </w:r>
      <w:r w:rsidRPr="00817FC2">
        <w:rPr>
          <w:lang w:val="pt-BR"/>
        </w:rPr>
        <w:t xml:space="preserve"> </w:t>
      </w:r>
      <w:r w:rsidRPr="00817FC2" w:rsidR="00C17E8F">
        <w:rPr>
          <w:lang w:val="pt-BR"/>
        </w:rPr>
        <w:t>47 CFR §§ 73.3700(c), 73.3801(h)(4)(i), 73.6029(h)(4)(i), and 74.782(i)(4)(i)</w:t>
      </w:r>
      <w:r w:rsidRPr="00817FC2" w:rsidR="00277BD5">
        <w:rPr>
          <w:lang w:val="pt-BR"/>
        </w:rPr>
        <w:t>.</w:t>
      </w:r>
    </w:p>
  </w:footnote>
  <w:footnote w:id="11">
    <w:p w:rsidR="00CF6B35" w:rsidRPr="00817FC2" w:rsidP="00D07A9C" w14:paraId="44ACC0E5" w14:textId="46B330A4">
      <w:pPr>
        <w:pStyle w:val="FootnoteText"/>
        <w:rPr>
          <w:lang w:val="pt-BR"/>
        </w:rPr>
      </w:pPr>
      <w:r w:rsidRPr="00817FC2">
        <w:rPr>
          <w:rStyle w:val="FootnoteReference"/>
        </w:rPr>
        <w:footnoteRef/>
      </w:r>
      <w:r w:rsidRPr="00817FC2">
        <w:rPr>
          <w:lang w:val="pt-BR"/>
        </w:rPr>
        <w:t xml:space="preserve"> </w:t>
      </w:r>
      <w:r w:rsidRPr="00817FC2" w:rsidR="000044AE">
        <w:rPr>
          <w:lang w:val="pt-BR"/>
        </w:rPr>
        <w:t>47 CFR § 73.870(e).</w:t>
      </w:r>
    </w:p>
  </w:footnote>
  <w:footnote w:id="12">
    <w:p w:rsidR="002E1F78" w:rsidRPr="00817FC2" w:rsidP="00D07A9C" w14:paraId="076FEDE8" w14:textId="3BD219A2">
      <w:pPr>
        <w:pStyle w:val="FootnoteText"/>
        <w:rPr>
          <w:lang w:val="pt-BR"/>
        </w:rPr>
      </w:pPr>
      <w:r w:rsidRPr="00817FC2">
        <w:rPr>
          <w:rStyle w:val="FootnoteReference"/>
        </w:rPr>
        <w:footnoteRef/>
      </w:r>
      <w:r w:rsidRPr="00817FC2">
        <w:rPr>
          <w:lang w:val="pt-BR"/>
        </w:rPr>
        <w:t xml:space="preserve"> </w:t>
      </w:r>
      <w:r w:rsidRPr="00817FC2" w:rsidR="004B5C26">
        <w:rPr>
          <w:lang w:val="pt-BR"/>
        </w:rPr>
        <w:t xml:space="preserve">47 </w:t>
      </w:r>
      <w:r w:rsidRPr="00817FC2" w:rsidR="004B5C26">
        <w:rPr>
          <w:lang w:val="pt-BR"/>
        </w:rPr>
        <w:t>CFR § 73.807(a)(1) and (c)</w:t>
      </w:r>
      <w:r w:rsidRPr="00817FC2" w:rsidR="00211DEB">
        <w:rPr>
          <w:lang w:val="pt-BR"/>
        </w:rPr>
        <w:t>.</w:t>
      </w:r>
    </w:p>
  </w:footnote>
  <w:footnote w:id="13">
    <w:p w:rsidR="008D7F5D" w:rsidRPr="00817FC2" w:rsidP="00D07A9C" w14:paraId="6AB77214" w14:textId="3A4E2D25">
      <w:pPr>
        <w:pStyle w:val="FootnoteText"/>
      </w:pPr>
      <w:r w:rsidRPr="00817FC2">
        <w:rPr>
          <w:rStyle w:val="FootnoteReference"/>
        </w:rPr>
        <w:footnoteRef/>
      </w:r>
      <w:r w:rsidRPr="00817FC2">
        <w:t xml:space="preserve"> Id.</w:t>
      </w:r>
    </w:p>
  </w:footnote>
  <w:footnote w:id="14">
    <w:p w:rsidR="00211DEB" w:rsidRPr="00817FC2" w:rsidP="00D07A9C" w14:paraId="17FC7B4D" w14:textId="7E3C52F0">
      <w:pPr>
        <w:pStyle w:val="FootnoteText"/>
      </w:pPr>
      <w:r w:rsidRPr="00817FC2">
        <w:rPr>
          <w:rStyle w:val="FootnoteReference"/>
        </w:rPr>
        <w:footnoteRef/>
      </w:r>
      <w:r w:rsidRPr="00817FC2">
        <w:t xml:space="preserve"> </w:t>
      </w:r>
      <w:r w:rsidRPr="00817FC2" w:rsidR="00CE0FDB">
        <w:t>47 CFR § 73.3513.</w:t>
      </w:r>
    </w:p>
  </w:footnote>
  <w:footnote w:id="15">
    <w:p w:rsidR="00360F0F" w:rsidRPr="00817FC2" w:rsidP="00D07A9C" w14:paraId="23C61D1E" w14:textId="721322E6">
      <w:pPr>
        <w:pStyle w:val="FootnoteText"/>
      </w:pPr>
      <w:r w:rsidRPr="00817FC2">
        <w:rPr>
          <w:rStyle w:val="FootnoteReference"/>
        </w:rPr>
        <w:footnoteRef/>
      </w:r>
      <w:r w:rsidRPr="00817FC2">
        <w:t xml:space="preserve"> </w:t>
      </w:r>
      <w:r w:rsidRPr="00817FC2" w:rsidR="00164EC6">
        <w:t>47 CFR §§ 73.3580(a)(1), 73.7002(b), 73.7003(a), and 73.872(a).</w:t>
      </w:r>
    </w:p>
  </w:footnote>
  <w:footnote w:id="16">
    <w:p w:rsidR="009E1943" w:rsidRPr="00817FC2" w:rsidP="00D07A9C" w14:paraId="0135C12D" w14:textId="0548F8B8">
      <w:pPr>
        <w:pStyle w:val="FootnoteText"/>
      </w:pPr>
      <w:r w:rsidRPr="00817FC2">
        <w:rPr>
          <w:rStyle w:val="FootnoteReference"/>
        </w:rPr>
        <w:footnoteRef/>
      </w:r>
      <w:r w:rsidRPr="00817FC2">
        <w:t xml:space="preserve"> </w:t>
      </w:r>
      <w:r w:rsidRPr="00817FC2" w:rsidR="00950C97">
        <w:t>47 CFR § 73.1635(a)(4).</w:t>
      </w:r>
    </w:p>
  </w:footnote>
  <w:footnote w:id="17">
    <w:p w:rsidR="00EC5536" w:rsidRPr="00817FC2" w:rsidP="00D07A9C" w14:paraId="5B293C2F" w14:textId="61701E4C">
      <w:pPr>
        <w:pStyle w:val="FootnoteText"/>
      </w:pPr>
      <w:r w:rsidRPr="00817FC2">
        <w:rPr>
          <w:rStyle w:val="FootnoteReference"/>
        </w:rPr>
        <w:footnoteRef/>
      </w:r>
      <w:r w:rsidRPr="00817FC2">
        <w:t xml:space="preserve"> </w:t>
      </w:r>
      <w:r w:rsidRPr="00817FC2" w:rsidR="002B6069">
        <w:t>47 CFR §§ 73.37(c), 73.3516(e), 73.3526, 73.3527, 73.3573(f)(1), 73.3578(a), 73.3591(b), 73.3597(b)(2),</w:t>
      </w:r>
      <w:r w:rsidRPr="00817FC2" w:rsidR="00822C2F">
        <w:t>73.3564(a) and (c)</w:t>
      </w:r>
      <w:r w:rsidRPr="00817FC2" w:rsidR="002167F3">
        <w:t xml:space="preserve">, and </w:t>
      </w:r>
      <w:r w:rsidRPr="00817FC2" w:rsidR="00462F75">
        <w:t>Note 1 to 73.3522</w:t>
      </w:r>
      <w:r w:rsidRPr="00817FC2" w:rsidR="00F867DA">
        <w:t>.</w:t>
      </w:r>
    </w:p>
  </w:footnote>
  <w:footnote w:id="18">
    <w:p w:rsidR="00232DDF" w:rsidRPr="00817FC2" w:rsidP="00D07A9C" w14:paraId="64037862" w14:textId="6848548E">
      <w:pPr>
        <w:pStyle w:val="FootnoteText"/>
      </w:pPr>
      <w:r w:rsidRPr="00817FC2">
        <w:rPr>
          <w:rStyle w:val="FootnoteReference"/>
        </w:rPr>
        <w:footnoteRef/>
      </w:r>
      <w:r w:rsidRPr="00817FC2">
        <w:t xml:space="preserve"> </w:t>
      </w:r>
      <w:r w:rsidRPr="00817FC2" w:rsidR="00FC6095">
        <w:t>47 CFR §</w:t>
      </w:r>
      <w:r w:rsidRPr="00817FC2" w:rsidR="0064333E">
        <w:t>§</w:t>
      </w:r>
      <w:r w:rsidRPr="00817FC2" w:rsidR="00FC6095">
        <w:t xml:space="preserve"> 73.3516(e)</w:t>
      </w:r>
      <w:r w:rsidRPr="00817FC2" w:rsidR="0013765D">
        <w:t xml:space="preserve"> and 73.3584.</w:t>
      </w:r>
    </w:p>
  </w:footnote>
  <w:footnote w:id="19">
    <w:p w:rsidR="003023E2" w:rsidRPr="00817FC2" w:rsidP="00D07A9C" w14:paraId="75D73B76" w14:textId="4E0B88EA">
      <w:pPr>
        <w:pStyle w:val="FootnoteText"/>
      </w:pPr>
      <w:r w:rsidRPr="00817FC2">
        <w:rPr>
          <w:rStyle w:val="FootnoteReference"/>
        </w:rPr>
        <w:footnoteRef/>
      </w:r>
      <w:r w:rsidRPr="00817FC2">
        <w:t xml:space="preserve"> </w:t>
      </w:r>
      <w:r w:rsidRPr="00817FC2" w:rsidR="002B0871">
        <w:t>47 CFR § 73.3587.</w:t>
      </w:r>
    </w:p>
  </w:footnote>
  <w:footnote w:id="20">
    <w:p w:rsidR="00B9067D" w:rsidRPr="00817FC2" w:rsidP="00D07A9C" w14:paraId="35367837" w14:textId="13FE7D38">
      <w:pPr>
        <w:pStyle w:val="FootnoteText"/>
      </w:pPr>
      <w:r w:rsidRPr="00817FC2">
        <w:rPr>
          <w:rStyle w:val="FootnoteReference"/>
        </w:rPr>
        <w:footnoteRef/>
      </w:r>
      <w:r w:rsidRPr="00817FC2">
        <w:t xml:space="preserve"> </w:t>
      </w:r>
      <w:r w:rsidRPr="00817FC2">
        <w:rPr>
          <w:i/>
          <w:iCs/>
        </w:rPr>
        <w:t xml:space="preserve">See </w:t>
      </w:r>
      <w:r w:rsidRPr="00817FC2">
        <w:t xml:space="preserve">Comments of Prometheus Radio Project, MB Docket No. 24-626 (filed Jan. 13, 2025) (Prometheus Comments); Comments of Electron Benders, MB Docket No. 24-626 (filed Mar. 25, 2025) (EB Comments); Comments of REC Networks, MB Docket No. 25-133 (filed Apr. 14, 2025) (REC 25-133 Comments); Comments of REC Networks, MB Docket No. 24-626 (filed Apr. 21, 2025) (REC Comments); Comments of National Association of Broadcasters, MB Docket No. 24-626 (filed Apr. 23, 2025) (NAB Comments); Comments of Ten Public Broadcast Licensees, MB Docket No. 24-626 (filed Apr. 23, 2025) (Public Broadcasters Comments); Reply Comments of REC Networks, MB Docket No. 25-133 (filed Apr. 29, 2025) (REC 25-133 Reply Comments); Reply Comments of REC Networks, MB Docket No. 24-626 (filed May 5, 2025) (REC Reply Comments); Reply Comments of Broadcast Warning Working Group, MB Docket No. 24-626 (filed May 8, 2025) (BWWG Reply Comments); Comments of Kelly Moore, MB Docket No. 24-626 (filed May 8, 2025) (Moore Comments); and Letter from Todd Urick, President, Common Frequency, Inc., to </w:t>
      </w:r>
      <w:r w:rsidRPr="00817FC2">
        <w:rPr>
          <w:rStyle w:val="markedcontent"/>
        </w:rPr>
        <w:t xml:space="preserve">Marlene H. Dortch, Secretary, FCC, MB Docket No. 24-626 (filed June 16, 2025) (Common Frequency </w:t>
      </w:r>
      <w:r w:rsidRPr="00817FC2">
        <w:rPr>
          <w:rStyle w:val="markedcontent"/>
          <w:i/>
          <w:iCs/>
        </w:rPr>
        <w:t xml:space="preserve">Ex </w:t>
      </w:r>
      <w:r w:rsidRPr="00817FC2">
        <w:rPr>
          <w:rStyle w:val="markedcontent"/>
          <w:i/>
          <w:iCs/>
        </w:rPr>
        <w:t>Parte</w:t>
      </w:r>
      <w:r w:rsidRPr="00817FC2">
        <w:rPr>
          <w:rStyle w:val="markedcontent"/>
          <w:i/>
          <w:iCs/>
        </w:rPr>
        <w:t xml:space="preserve"> </w:t>
      </w:r>
      <w:r w:rsidRPr="00817FC2">
        <w:rPr>
          <w:rStyle w:val="markedcontent"/>
        </w:rPr>
        <w:t>Comments).</w:t>
      </w:r>
    </w:p>
  </w:footnote>
  <w:footnote w:id="21">
    <w:p w:rsidR="00F719C5" w:rsidRPr="00817FC2" w:rsidP="00D07A9C" w14:paraId="78757705" w14:textId="5E8D8881">
      <w:pPr>
        <w:pStyle w:val="FootnoteText"/>
      </w:pPr>
      <w:r w:rsidRPr="00817FC2">
        <w:rPr>
          <w:rStyle w:val="FootnoteReference"/>
        </w:rPr>
        <w:footnoteRef/>
      </w:r>
      <w:r w:rsidRPr="00817FC2">
        <w:t xml:space="preserve"> </w:t>
      </w:r>
      <w:r w:rsidRPr="00817FC2" w:rsidR="00872BC7">
        <w:rPr>
          <w:i/>
          <w:iCs/>
        </w:rPr>
        <w:t>NPRM</w:t>
      </w:r>
      <w:r w:rsidRPr="00817FC2" w:rsidR="00F80CCD">
        <w:t>,</w:t>
      </w:r>
      <w:r w:rsidRPr="00817FC2" w:rsidR="00F80CCD">
        <w:rPr>
          <w:i/>
          <w:iCs/>
        </w:rPr>
        <w:t xml:space="preserve"> </w:t>
      </w:r>
      <w:r w:rsidRPr="00817FC2" w:rsidR="00F80CCD">
        <w:t>39 FCC Rcd</w:t>
      </w:r>
      <w:r w:rsidRPr="00817FC2" w:rsidR="00872BC7">
        <w:rPr>
          <w:i/>
          <w:iCs/>
        </w:rPr>
        <w:t xml:space="preserve"> </w:t>
      </w:r>
      <w:r w:rsidRPr="00817FC2" w:rsidR="00872BC7">
        <w:t xml:space="preserve">at </w:t>
      </w:r>
      <w:r w:rsidRPr="00817FC2" w:rsidR="0075664B">
        <w:t>13955</w:t>
      </w:r>
      <w:r w:rsidRPr="00817FC2" w:rsidR="00872BC7">
        <w:t xml:space="preserve">, para. </w:t>
      </w:r>
      <w:r w:rsidRPr="00817FC2" w:rsidR="000E63EA">
        <w:t>3</w:t>
      </w:r>
      <w:r w:rsidRPr="00817FC2" w:rsidR="002E66B6">
        <w:t>;</w:t>
      </w:r>
      <w:r w:rsidRPr="00817FC2" w:rsidR="000E63EA">
        <w:t xml:space="preserve"> </w:t>
      </w:r>
      <w:r w:rsidRPr="00817FC2">
        <w:t>47 CFR §§ 1.5000(b), 1.5004(d)(2), 1.30001(d), 1.30004(a), 73.202(a), 73.3700(b)(5)(iv), and 76.66(d)(2)(ii)</w:t>
      </w:r>
      <w:r w:rsidRPr="00817FC2" w:rsidR="002E66B6">
        <w:t xml:space="preserve">.  </w:t>
      </w:r>
      <w:r w:rsidRPr="00817FC2" w:rsidR="002E66B6">
        <w:rPr>
          <w:i/>
          <w:iCs/>
        </w:rPr>
        <w:t>See</w:t>
      </w:r>
      <w:r w:rsidRPr="00817FC2" w:rsidR="002B3BAF">
        <w:t xml:space="preserve"> </w:t>
      </w:r>
      <w:r w:rsidRPr="00817FC2" w:rsidR="002B3BAF">
        <w:rPr>
          <w:i/>
          <w:iCs/>
        </w:rPr>
        <w:t>Mass Media Bureau Implements Consolidated Database System (CDBS) Public Access</w:t>
      </w:r>
      <w:r w:rsidRPr="00817FC2" w:rsidR="002B3BAF">
        <w:t xml:space="preserve">, Public Notice, 15 FCC Rcd 15754 (MMB 2000) (announcing implementation of CDBS) (CDBS Implementation Public Notice); </w:t>
      </w:r>
      <w:r w:rsidRPr="00817FC2" w:rsidR="002B3BAF">
        <w:rPr>
          <w:i/>
          <w:iCs/>
        </w:rPr>
        <w:t>Media Bureau Implements Licensing and Management System (LMS) Electronic Filing for Radio Stations</w:t>
      </w:r>
      <w:r w:rsidRPr="00817FC2" w:rsidR="002B3BAF">
        <w:t>, Public Notice, 34 FCC Rcd 2302 (MB 2019) (announcing implementation of LMS).</w:t>
      </w:r>
    </w:p>
  </w:footnote>
  <w:footnote w:id="22">
    <w:p w:rsidR="00BF1127" w:rsidRPr="00817FC2" w:rsidP="00D07A9C" w14:paraId="6F028D6A" w14:textId="19232AA8">
      <w:pPr>
        <w:pStyle w:val="FootnoteText"/>
      </w:pPr>
      <w:r w:rsidRPr="00817FC2">
        <w:rPr>
          <w:rStyle w:val="FootnoteReference"/>
        </w:rPr>
        <w:footnoteRef/>
      </w:r>
      <w:r w:rsidRPr="00817FC2">
        <w:t xml:space="preserve"> </w:t>
      </w:r>
      <w:r w:rsidRPr="00817FC2" w:rsidR="00822417">
        <w:rPr>
          <w:i/>
          <w:iCs/>
        </w:rPr>
        <w:t>See Media Bureau Announces Transition of Additional Filings to Licensing and Management System</w:t>
      </w:r>
      <w:r w:rsidRPr="00817FC2" w:rsidR="00822417">
        <w:t xml:space="preserve">, Public Notice, 38 FCC Rcd 6138 (MB 2023); see also Federal Communications Commission, Media Bureau Filing Systems and Databases, https://www.fcc.gov/media/filing-systems-and-databases (last visited </w:t>
      </w:r>
      <w:r w:rsidRPr="00817FC2" w:rsidR="007540FA">
        <w:t>Feb</w:t>
      </w:r>
      <w:r w:rsidRPr="00817FC2" w:rsidR="00FA5CFD">
        <w:t xml:space="preserve">. </w:t>
      </w:r>
      <w:r w:rsidRPr="00817FC2" w:rsidR="007540FA">
        <w:t>3</w:t>
      </w:r>
      <w:r w:rsidRPr="00817FC2" w:rsidR="00FA5CFD">
        <w:t>, 202</w:t>
      </w:r>
      <w:r w:rsidRPr="00817FC2" w:rsidR="007540FA">
        <w:t>6</w:t>
      </w:r>
      <w:r w:rsidRPr="00817FC2" w:rsidR="00822417">
        <w:t>).</w:t>
      </w:r>
    </w:p>
  </w:footnote>
  <w:footnote w:id="23">
    <w:p w:rsidR="00A41751" w:rsidRPr="00817FC2" w:rsidP="00D07A9C" w14:paraId="6C34811B" w14:textId="61ED5872">
      <w:pPr>
        <w:pStyle w:val="FootnoteText"/>
      </w:pPr>
      <w:r w:rsidRPr="00817FC2">
        <w:rPr>
          <w:rStyle w:val="FootnoteReference"/>
        </w:rPr>
        <w:footnoteRef/>
      </w:r>
      <w:r w:rsidRPr="00817FC2">
        <w:t xml:space="preserve"> REC Comments at 22-23, NAB Comments at </w:t>
      </w:r>
      <w:r w:rsidRPr="00817FC2" w:rsidR="008A2AAD">
        <w:t>2.</w:t>
      </w:r>
    </w:p>
  </w:footnote>
  <w:footnote w:id="24">
    <w:p w:rsidR="00C577ED" w:rsidRPr="00817FC2" w:rsidP="00D07A9C" w14:paraId="3D32D192" w14:textId="3AB1B5EF">
      <w:pPr>
        <w:pStyle w:val="FootnoteText"/>
      </w:pPr>
      <w:r w:rsidRPr="00817FC2">
        <w:rPr>
          <w:rStyle w:val="FootnoteReference"/>
        </w:rPr>
        <w:footnoteRef/>
      </w:r>
      <w:r w:rsidRPr="00817FC2">
        <w:t xml:space="preserve"> NAB Comments at </w:t>
      </w:r>
      <w:r w:rsidRPr="00817FC2" w:rsidR="0041734D">
        <w:t>2</w:t>
      </w:r>
      <w:r w:rsidRPr="00817FC2" w:rsidR="00342F19">
        <w:t xml:space="preserve">.  NAB also </w:t>
      </w:r>
      <w:r w:rsidRPr="00817FC2" w:rsidR="009E3A84">
        <w:t>propose</w:t>
      </w:r>
      <w:r w:rsidRPr="00817FC2" w:rsidR="005E346B">
        <w:t>s that</w:t>
      </w:r>
      <w:r w:rsidRPr="00817FC2" w:rsidR="009E3A84">
        <w:t xml:space="preserve"> we</w:t>
      </w:r>
      <w:r w:rsidRPr="00817FC2" w:rsidR="003B3AF3">
        <w:t xml:space="preserve"> </w:t>
      </w:r>
      <w:r w:rsidRPr="00817FC2" w:rsidR="006D7FDA">
        <w:t xml:space="preserve">ensure access to AM station records that predate electronic filing systems.  </w:t>
      </w:r>
      <w:r w:rsidRPr="00817FC2" w:rsidR="009E3A84">
        <w:t xml:space="preserve">NAB Comments </w:t>
      </w:r>
      <w:r w:rsidRPr="00863427" w:rsidR="009E3A84">
        <w:t xml:space="preserve">at </w:t>
      </w:r>
      <w:r w:rsidRPr="00863427" w:rsidR="00855D9E">
        <w:t>4</w:t>
      </w:r>
      <w:r w:rsidRPr="00863427" w:rsidR="001F75B7">
        <w:t xml:space="preserve">.  </w:t>
      </w:r>
      <w:r w:rsidRPr="00863427" w:rsidR="0064780C">
        <w:t xml:space="preserve">We note that the Commission maintains all </w:t>
      </w:r>
      <w:r w:rsidRPr="00863427" w:rsidR="00BB0CDE">
        <w:t xml:space="preserve">station </w:t>
      </w:r>
      <w:r w:rsidRPr="00863427" w:rsidR="0064780C">
        <w:t>records</w:t>
      </w:r>
      <w:r w:rsidRPr="00863427" w:rsidR="00AC2576">
        <w:t xml:space="preserve"> at FCC Headquarters or its off-site facility</w:t>
      </w:r>
      <w:r w:rsidRPr="00863427" w:rsidR="0064780C">
        <w:t xml:space="preserve"> and makes them available to the public upon request</w:t>
      </w:r>
      <w:r w:rsidRPr="00863427" w:rsidR="00AC2576">
        <w:t xml:space="preserve"> through the FCC Reference Information Center</w:t>
      </w:r>
      <w:r w:rsidRPr="00863427" w:rsidR="002F3A88">
        <w:t>.</w:t>
      </w:r>
      <w:r w:rsidRPr="00863427" w:rsidR="00512947">
        <w:t xml:space="preserve"> </w:t>
      </w:r>
      <w:r w:rsidRPr="00863427" w:rsidR="002F3A88">
        <w:t xml:space="preserve"> S</w:t>
      </w:r>
      <w:r w:rsidRPr="00863427" w:rsidR="00193545">
        <w:rPr>
          <w:i/>
          <w:iCs/>
        </w:rPr>
        <w:t>ee</w:t>
      </w:r>
      <w:r w:rsidRPr="00863427" w:rsidR="002D7326">
        <w:rPr>
          <w:i/>
          <w:iCs/>
        </w:rPr>
        <w:t xml:space="preserve"> </w:t>
      </w:r>
      <w:r w:rsidRPr="00863427" w:rsidR="002D7326">
        <w:t xml:space="preserve">FCC Reference Information Center, </w:t>
      </w:r>
      <w:r w:rsidRPr="00863427" w:rsidR="00717FAD">
        <w:t>https://www.fcc.gov/ric (last visited Feb.</w:t>
      </w:r>
      <w:r w:rsidRPr="00863427" w:rsidR="00125E46">
        <w:t xml:space="preserve"> </w:t>
      </w:r>
      <w:r w:rsidRPr="00863427" w:rsidR="00717FAD">
        <w:t>27, 2026)</w:t>
      </w:r>
      <w:r w:rsidRPr="00863427" w:rsidR="001F75B7">
        <w:rPr>
          <w:i/>
          <w:iCs/>
        </w:rPr>
        <w:t>.</w:t>
      </w:r>
      <w:r w:rsidRPr="00863427" w:rsidR="003A26ED">
        <w:t xml:space="preserve">  BWWG also submits a number of comments that primarily relate to off-topic </w:t>
      </w:r>
      <w:r w:rsidRPr="00863427" w:rsidR="001B50DA">
        <w:t>emergency alert system (EAS) concerns</w:t>
      </w:r>
      <w:r w:rsidRPr="00863427" w:rsidR="00A73E21">
        <w:t xml:space="preserve"> and complaints regarding the FCC’s </w:t>
      </w:r>
      <w:r w:rsidRPr="00863427" w:rsidR="00BB0CDE">
        <w:t xml:space="preserve">main </w:t>
      </w:r>
      <w:r w:rsidRPr="00863427" w:rsidR="00A73E21">
        <w:t>website</w:t>
      </w:r>
      <w:r w:rsidRPr="00863427" w:rsidR="001B50DA">
        <w:t xml:space="preserve">.  BWWG </w:t>
      </w:r>
      <w:r w:rsidRPr="00863427" w:rsidR="00D92E50">
        <w:t>Reply</w:t>
      </w:r>
      <w:r w:rsidRPr="00863427" w:rsidR="001B50DA">
        <w:t xml:space="preserve"> Comments at </w:t>
      </w:r>
      <w:r w:rsidRPr="00863427" w:rsidR="00DB3794">
        <w:t xml:space="preserve">1-5.  </w:t>
      </w:r>
      <w:r w:rsidRPr="00863427" w:rsidR="00FC11BF">
        <w:t xml:space="preserve">These comments are </w:t>
      </w:r>
      <w:r w:rsidRPr="00863427" w:rsidR="00993CCC">
        <w:t xml:space="preserve">not responsive </w:t>
      </w:r>
      <w:r w:rsidRPr="00863427" w:rsidR="00FC11BF">
        <w:t xml:space="preserve">to the </w:t>
      </w:r>
      <w:r w:rsidRPr="00863427" w:rsidR="00FC11BF">
        <w:rPr>
          <w:i/>
        </w:rPr>
        <w:t>NPRM</w:t>
      </w:r>
      <w:r w:rsidRPr="00863427" w:rsidR="00FC11BF">
        <w:t xml:space="preserve"> proposal</w:t>
      </w:r>
      <w:r w:rsidRPr="00863427" w:rsidR="00993CCC">
        <w:t>s</w:t>
      </w:r>
      <w:r w:rsidRPr="00863427" w:rsidR="00E47750">
        <w:t>, are therefore</w:t>
      </w:r>
      <w:r w:rsidRPr="00817FC2" w:rsidR="00E47750">
        <w:t xml:space="preserve"> beyond the scope of this proceeding</w:t>
      </w:r>
      <w:r w:rsidRPr="00817FC2" w:rsidR="00AF6639">
        <w:t>,</w:t>
      </w:r>
      <w:r w:rsidRPr="00817FC2" w:rsidR="00E47750">
        <w:t xml:space="preserve"> </w:t>
      </w:r>
      <w:r w:rsidRPr="00817FC2" w:rsidR="00AF6639">
        <w:t>and</w:t>
      </w:r>
      <w:r w:rsidRPr="00817FC2" w:rsidR="00E47750">
        <w:t xml:space="preserve"> </w:t>
      </w:r>
      <w:r w:rsidRPr="00817FC2" w:rsidR="00FC11BF">
        <w:t xml:space="preserve">we decline to </w:t>
      </w:r>
      <w:r w:rsidRPr="00817FC2" w:rsidR="004A081C">
        <w:t>address</w:t>
      </w:r>
      <w:r w:rsidRPr="00817FC2" w:rsidR="00FC11BF">
        <w:t xml:space="preserve"> them further.</w:t>
      </w:r>
    </w:p>
  </w:footnote>
  <w:footnote w:id="25">
    <w:p w:rsidR="00ED434E" w:rsidRPr="00817FC2" w:rsidP="00D07A9C" w14:paraId="35A04AA3" w14:textId="0F55FF83">
      <w:pPr>
        <w:pStyle w:val="FootnoteText"/>
      </w:pPr>
      <w:r w:rsidRPr="00817FC2">
        <w:rPr>
          <w:rStyle w:val="FootnoteReference"/>
        </w:rPr>
        <w:footnoteRef/>
      </w:r>
      <w:r w:rsidRPr="00817FC2">
        <w:t xml:space="preserve"> </w:t>
      </w:r>
      <w:r w:rsidRPr="00817FC2">
        <w:rPr>
          <w:i/>
          <w:iCs/>
        </w:rPr>
        <w:t>NPRM</w:t>
      </w:r>
      <w:r w:rsidRPr="00817FC2" w:rsidR="004D47FD">
        <w:t>,</w:t>
      </w:r>
      <w:r w:rsidRPr="00817FC2" w:rsidR="004D47FD">
        <w:rPr>
          <w:i/>
          <w:iCs/>
        </w:rPr>
        <w:t xml:space="preserve"> </w:t>
      </w:r>
      <w:r w:rsidRPr="00817FC2" w:rsidR="004D47FD">
        <w:t>39 FCC Rcd</w:t>
      </w:r>
      <w:r w:rsidRPr="00817FC2">
        <w:t xml:space="preserve"> at </w:t>
      </w:r>
      <w:r w:rsidRPr="00817FC2" w:rsidR="0018797A">
        <w:t>13955</w:t>
      </w:r>
      <w:r w:rsidRPr="00817FC2" w:rsidR="00E5793D">
        <w:t>, para. 4</w:t>
      </w:r>
      <w:r w:rsidRPr="00817FC2" w:rsidR="002E66B6">
        <w:t>;</w:t>
      </w:r>
      <w:r w:rsidRPr="00817FC2" w:rsidR="00E5793D">
        <w:t xml:space="preserve"> </w:t>
      </w:r>
      <w:r w:rsidRPr="00817FC2" w:rsidR="00AB29CB">
        <w:t>47 CFR §§ 73.30(c), 73.45(d)(1), 73.51(c), 73.311(a), 73.512(a), 73.625(c)(4)(</w:t>
      </w:r>
      <w:r w:rsidRPr="00817FC2" w:rsidR="00AB29CB">
        <w:t>i</w:t>
      </w:r>
      <w:r w:rsidRPr="00817FC2" w:rsidR="00AB29CB">
        <w:t xml:space="preserve">), 73.872(b)(1), 73.875, 73.1670(b), 73.1690(c)(9), 73.3580(d)(2), and 73.5002(b). </w:t>
      </w:r>
      <w:r w:rsidRPr="00817FC2" w:rsidR="00AD044B">
        <w:t xml:space="preserve"> </w:t>
      </w:r>
      <w:r w:rsidRPr="00817FC2" w:rsidR="00AB29CB">
        <w:t>Specifically, in these rules we update references to FCC Forms 301, 302, 316, 318, 319, 340, 346, and 349.</w:t>
      </w:r>
    </w:p>
  </w:footnote>
  <w:footnote w:id="26">
    <w:p w:rsidR="0093348A" w:rsidRPr="00817FC2" w:rsidP="00D07A9C" w14:paraId="3D798959" w14:textId="77777777">
      <w:pPr>
        <w:pStyle w:val="FootnoteText"/>
      </w:pPr>
      <w:r w:rsidRPr="00817FC2">
        <w:rPr>
          <w:rStyle w:val="FootnoteReference"/>
        </w:rPr>
        <w:footnoteRef/>
      </w:r>
      <w:r w:rsidRPr="00817FC2">
        <w:t xml:space="preserve"> </w:t>
      </w:r>
      <w:r w:rsidRPr="00817FC2">
        <w:rPr>
          <w:i/>
          <w:iCs/>
        </w:rPr>
        <w:t>See generally</w:t>
      </w:r>
      <w:r w:rsidRPr="00817FC2">
        <w:t xml:space="preserve"> 47 CFR § 73.3500.</w:t>
      </w:r>
    </w:p>
  </w:footnote>
  <w:footnote w:id="27">
    <w:p w:rsidR="008B20DB" w:rsidRPr="00817FC2" w:rsidP="00D07A9C" w14:paraId="3024F281" w14:textId="6AF912A5">
      <w:pPr>
        <w:pStyle w:val="FootnoteText"/>
      </w:pPr>
      <w:r w:rsidRPr="00817FC2">
        <w:rPr>
          <w:rStyle w:val="FootnoteReference"/>
        </w:rPr>
        <w:footnoteRef/>
      </w:r>
      <w:r w:rsidRPr="00817FC2">
        <w:t xml:space="preserve"> </w:t>
      </w:r>
      <w:r w:rsidRPr="00817FC2" w:rsidR="0021241C">
        <w:t xml:space="preserve">REC </w:t>
      </w:r>
      <w:r w:rsidRPr="00817FC2" w:rsidR="00D92E50">
        <w:t>Reply</w:t>
      </w:r>
      <w:r w:rsidRPr="00817FC2" w:rsidR="0021241C">
        <w:t xml:space="preserve"> Comments at 22-23.</w:t>
      </w:r>
      <w:r w:rsidRPr="00817FC2" w:rsidR="00947944">
        <w:t xml:space="preserve">  BWWG also submits comments primarily related to off-topic EAS concerns.  BWWG </w:t>
      </w:r>
      <w:r w:rsidRPr="00817FC2" w:rsidR="00760253">
        <w:t xml:space="preserve">Reply </w:t>
      </w:r>
      <w:r w:rsidRPr="00817FC2" w:rsidR="00947944">
        <w:t xml:space="preserve">Comments at 1-5.  </w:t>
      </w:r>
      <w:r w:rsidRPr="00817FC2" w:rsidR="00114FD0">
        <w:t>As noted above, these</w:t>
      </w:r>
      <w:r w:rsidRPr="00817FC2" w:rsidR="00947944">
        <w:t xml:space="preserve"> comments are unrelated to </w:t>
      </w:r>
      <w:r w:rsidRPr="00817FC2" w:rsidR="00114FD0">
        <w:t>our specific</w:t>
      </w:r>
      <w:r w:rsidRPr="00817FC2" w:rsidR="00947944">
        <w:t xml:space="preserve"> </w:t>
      </w:r>
      <w:r w:rsidRPr="00817FC2" w:rsidR="00947944">
        <w:rPr>
          <w:i/>
          <w:iCs/>
        </w:rPr>
        <w:t>NPRM</w:t>
      </w:r>
      <w:r w:rsidRPr="00817FC2" w:rsidR="00947944">
        <w:t xml:space="preserve"> proposal</w:t>
      </w:r>
      <w:r w:rsidRPr="00817FC2" w:rsidR="000A4782">
        <w:t>,</w:t>
      </w:r>
      <w:r w:rsidRPr="00817FC2" w:rsidR="00947944">
        <w:t xml:space="preserve"> and we </w:t>
      </w:r>
      <w:r w:rsidRPr="00817FC2" w:rsidR="00114FD0">
        <w:t>therefore</w:t>
      </w:r>
      <w:r w:rsidRPr="00817FC2" w:rsidR="00947944">
        <w:t xml:space="preserve"> decline to address them further.</w:t>
      </w:r>
    </w:p>
  </w:footnote>
  <w:footnote w:id="28">
    <w:p w:rsidR="00B33DE0" w:rsidRPr="00817FC2" w:rsidP="00D07A9C" w14:paraId="56A3A870" w14:textId="2BCDB8A2">
      <w:pPr>
        <w:pStyle w:val="FootnoteText"/>
      </w:pPr>
      <w:r w:rsidRPr="00817FC2">
        <w:rPr>
          <w:rStyle w:val="FootnoteReference"/>
        </w:rPr>
        <w:footnoteRef/>
      </w:r>
      <w:r w:rsidRPr="00817FC2">
        <w:t xml:space="preserve"> NAB Comments at 2.  </w:t>
      </w:r>
    </w:p>
  </w:footnote>
  <w:footnote w:id="29">
    <w:p w:rsidR="00C722DB" w:rsidRPr="00817FC2" w:rsidP="00D07A9C" w14:paraId="29DAB35E" w14:textId="33CF977C">
      <w:pPr>
        <w:pStyle w:val="FootnoteText"/>
      </w:pPr>
      <w:r w:rsidRPr="00817FC2">
        <w:rPr>
          <w:rStyle w:val="FootnoteReference"/>
        </w:rPr>
        <w:footnoteRef/>
      </w:r>
      <w:r w:rsidRPr="00817FC2">
        <w:t xml:space="preserve"> Prometheus </w:t>
      </w:r>
      <w:r w:rsidRPr="00817FC2" w:rsidR="001651A4">
        <w:t>requests that</w:t>
      </w:r>
      <w:r w:rsidRPr="00817FC2">
        <w:t xml:space="preserve"> the Commission use “plain language, straightforward instructions” to make it easier for small organizations to navigate FCC processes and systems in a more affordable manner. </w:t>
      </w:r>
      <w:r w:rsidRPr="00817FC2" w:rsidR="0027651F">
        <w:t xml:space="preserve"> </w:t>
      </w:r>
      <w:r w:rsidRPr="00817FC2">
        <w:t xml:space="preserve">Prometheus </w:t>
      </w:r>
      <w:r w:rsidRPr="00817FC2" w:rsidR="00F155C2">
        <w:t>Comments</w:t>
      </w:r>
      <w:r w:rsidRPr="00817FC2">
        <w:t xml:space="preserve"> at 8. </w:t>
      </w:r>
      <w:r w:rsidRPr="00817FC2" w:rsidR="00F155C2">
        <w:t xml:space="preserve"> </w:t>
      </w:r>
      <w:r w:rsidRPr="00817FC2" w:rsidR="000A6E77">
        <w:t>The Commission</w:t>
      </w:r>
      <w:r w:rsidRPr="00817FC2" w:rsidR="00E16ADA">
        <w:t xml:space="preserve"> agrees and notes that it</w:t>
      </w:r>
      <w:r w:rsidRPr="00817FC2" w:rsidR="000A6E77">
        <w:t xml:space="preserve"> </w:t>
      </w:r>
      <w:r w:rsidRPr="00817FC2" w:rsidR="000D449A">
        <w:t xml:space="preserve">purposefully strives to </w:t>
      </w:r>
      <w:r w:rsidRPr="00817FC2" w:rsidR="000A6E77">
        <w:t xml:space="preserve">employ clear, </w:t>
      </w:r>
      <w:r w:rsidRPr="00817FC2" w:rsidR="00FF3410">
        <w:t>straightforward</w:t>
      </w:r>
      <w:r w:rsidRPr="00817FC2" w:rsidR="000A6E77">
        <w:t xml:space="preserve"> language in </w:t>
      </w:r>
      <w:r w:rsidRPr="00817FC2" w:rsidR="004A6126">
        <w:t xml:space="preserve">drafting and updating its rules.  </w:t>
      </w:r>
      <w:r w:rsidRPr="00817FC2">
        <w:t xml:space="preserve">Prometheus </w:t>
      </w:r>
      <w:r w:rsidRPr="00817FC2" w:rsidR="004A6126">
        <w:t xml:space="preserve">also </w:t>
      </w:r>
      <w:r w:rsidRPr="00817FC2">
        <w:t xml:space="preserve">requests </w:t>
      </w:r>
      <w:r w:rsidRPr="00817FC2" w:rsidR="004A6126">
        <w:t>that the</w:t>
      </w:r>
      <w:r w:rsidRPr="00817FC2">
        <w:t xml:space="preserve"> Commission make application and regulatory materials available in languages other than English.</w:t>
      </w:r>
      <w:r w:rsidRPr="00817FC2" w:rsidR="00172229">
        <w:t xml:space="preserve">  </w:t>
      </w:r>
      <w:r w:rsidRPr="00817FC2" w:rsidR="00172229">
        <w:rPr>
          <w:i/>
          <w:iCs/>
        </w:rPr>
        <w:t>Id.</w:t>
      </w:r>
      <w:r w:rsidRPr="00817FC2" w:rsidR="00172229">
        <w:t xml:space="preserve"> at </w:t>
      </w:r>
      <w:r w:rsidRPr="00817FC2" w:rsidR="007E6AEE">
        <w:t>9.</w:t>
      </w:r>
      <w:r w:rsidRPr="00817FC2">
        <w:t xml:space="preserve"> </w:t>
      </w:r>
      <w:r w:rsidRPr="00817FC2" w:rsidR="004D2B78">
        <w:t xml:space="preserve"> </w:t>
      </w:r>
      <w:r w:rsidRPr="00817FC2" w:rsidR="002321DD">
        <w:t xml:space="preserve">While application forms are presented in English, Commission staff is available to assist </w:t>
      </w:r>
      <w:r w:rsidRPr="00817FC2" w:rsidR="0073641C">
        <w:t xml:space="preserve">non-native English speakers </w:t>
      </w:r>
      <w:r w:rsidRPr="00817FC2" w:rsidR="00F41D69">
        <w:t>to the extent possible</w:t>
      </w:r>
      <w:r w:rsidRPr="00817FC2" w:rsidR="002321DD">
        <w:t xml:space="preserve">.  </w:t>
      </w:r>
      <w:r w:rsidRPr="00817FC2" w:rsidR="002321DD">
        <w:rPr>
          <w:i/>
          <w:iCs/>
        </w:rPr>
        <w:t>See, e.g</w:t>
      </w:r>
      <w:r w:rsidRPr="00817FC2" w:rsidR="002321DD">
        <w:t xml:space="preserve">., regulatory guides and services offered by the </w:t>
      </w:r>
      <w:r w:rsidRPr="00817FC2" w:rsidR="004D2B78">
        <w:t>Consumer and Governmental Affairs Bureau</w:t>
      </w:r>
      <w:r w:rsidRPr="00817FC2" w:rsidR="00932DD2">
        <w:t>,</w:t>
      </w:r>
      <w:r w:rsidRPr="00817FC2" w:rsidR="00B86FE8">
        <w:t xml:space="preserve"> </w:t>
      </w:r>
      <w:r w:rsidRPr="00817FC2" w:rsidR="00B86FE8">
        <w:rPr>
          <w:i/>
          <w:iCs/>
        </w:rPr>
        <w:t xml:space="preserve">available at </w:t>
      </w:r>
      <w:r w:rsidRPr="00817FC2" w:rsidR="003E3605">
        <w:t xml:space="preserve">https://www.fcc.gov/consumer-guides </w:t>
      </w:r>
      <w:r w:rsidRPr="00817FC2" w:rsidR="00B86FE8">
        <w:t xml:space="preserve">(last visited </w:t>
      </w:r>
      <w:r w:rsidRPr="00817FC2" w:rsidR="00D91CC9">
        <w:t>Feb</w:t>
      </w:r>
      <w:r w:rsidRPr="00817FC2" w:rsidR="00B86FE8">
        <w:t xml:space="preserve">. </w:t>
      </w:r>
      <w:r w:rsidRPr="00817FC2" w:rsidR="00D91CC9">
        <w:t>24</w:t>
      </w:r>
      <w:r w:rsidRPr="00817FC2" w:rsidR="00B86FE8">
        <w:t>, 202</w:t>
      </w:r>
      <w:r w:rsidRPr="00817FC2" w:rsidR="00D91CC9">
        <w:t>6</w:t>
      </w:r>
      <w:r w:rsidRPr="00817FC2" w:rsidR="00B86FE8">
        <w:t>).</w:t>
      </w:r>
    </w:p>
  </w:footnote>
  <w:footnote w:id="30">
    <w:p w:rsidR="007B10C3" w:rsidRPr="00817FC2" w:rsidP="00D07A9C" w14:paraId="1E85EA2F" w14:textId="493BF8CF">
      <w:pPr>
        <w:pStyle w:val="FootnoteText"/>
      </w:pPr>
      <w:r w:rsidRPr="00817FC2">
        <w:rPr>
          <w:rStyle w:val="FootnoteReference"/>
        </w:rPr>
        <w:footnoteRef/>
      </w:r>
      <w:r w:rsidRPr="00817FC2">
        <w:t xml:space="preserve"> </w:t>
      </w:r>
      <w:r w:rsidRPr="00817FC2">
        <w:rPr>
          <w:i/>
          <w:iCs/>
        </w:rPr>
        <w:t>NPRM</w:t>
      </w:r>
      <w:r w:rsidRPr="00817FC2" w:rsidR="00CB6A19">
        <w:t>,</w:t>
      </w:r>
      <w:r w:rsidRPr="00817FC2" w:rsidR="00CB6A19">
        <w:rPr>
          <w:i/>
          <w:iCs/>
        </w:rPr>
        <w:t xml:space="preserve"> </w:t>
      </w:r>
      <w:r w:rsidRPr="00817FC2" w:rsidR="00CB6A19">
        <w:t>39 FCC Rcd</w:t>
      </w:r>
      <w:r w:rsidRPr="00817FC2">
        <w:t xml:space="preserve"> at </w:t>
      </w:r>
      <w:r w:rsidRPr="00817FC2" w:rsidR="00710C0A">
        <w:t>13955-56</w:t>
      </w:r>
      <w:r w:rsidRPr="00817FC2">
        <w:t>, para. 5</w:t>
      </w:r>
      <w:r w:rsidRPr="00817FC2" w:rsidR="002E66B6">
        <w:t xml:space="preserve">; </w:t>
      </w:r>
      <w:r w:rsidRPr="00817FC2" w:rsidR="00A03A9D">
        <w:t>47 CFR §§ 1.401, 1.403, 1.420, and 73.3573.</w:t>
      </w:r>
    </w:p>
  </w:footnote>
  <w:footnote w:id="31">
    <w:p w:rsidR="008D069D" w:rsidRPr="00817FC2" w:rsidP="00D07A9C" w14:paraId="3A6CB5AE" w14:textId="6C2D80EA">
      <w:pPr>
        <w:pStyle w:val="FootnoteText"/>
      </w:pPr>
      <w:r w:rsidRPr="00817FC2">
        <w:rPr>
          <w:rStyle w:val="FootnoteReference"/>
        </w:rPr>
        <w:footnoteRef/>
      </w:r>
      <w:r w:rsidRPr="00817FC2">
        <w:t xml:space="preserve"> REC Comments at 22-23.</w:t>
      </w:r>
    </w:p>
  </w:footnote>
  <w:footnote w:id="32">
    <w:p w:rsidR="000F3EB0" w:rsidRPr="00817FC2" w:rsidP="00D07A9C" w14:paraId="5E841BE7" w14:textId="54D8F593">
      <w:pPr>
        <w:pStyle w:val="FootnoteText"/>
      </w:pPr>
      <w:r w:rsidRPr="00817FC2">
        <w:rPr>
          <w:rStyle w:val="FootnoteReference"/>
        </w:rPr>
        <w:footnoteRef/>
      </w:r>
      <w:r w:rsidRPr="00817FC2">
        <w:t xml:space="preserve"> NAB Comments at 5-6.</w:t>
      </w:r>
    </w:p>
  </w:footnote>
  <w:footnote w:id="33">
    <w:p w:rsidR="0093460C" w:rsidRPr="00817FC2" w:rsidP="00D07A9C" w14:paraId="0881181E" w14:textId="25769EE2">
      <w:pPr>
        <w:pStyle w:val="FootnoteText"/>
      </w:pPr>
      <w:r w:rsidRPr="00817FC2">
        <w:rPr>
          <w:rStyle w:val="FootnoteReference"/>
        </w:rPr>
        <w:footnoteRef/>
      </w:r>
      <w:r w:rsidRPr="00817FC2">
        <w:t xml:space="preserve"> </w:t>
      </w:r>
      <w:r w:rsidRPr="00817FC2" w:rsidR="00AA2A57">
        <w:t xml:space="preserve">We also update the cross-reference contained </w:t>
      </w:r>
      <w:r w:rsidRPr="00817FC2" w:rsidR="005B3EE5">
        <w:t xml:space="preserve">in </w:t>
      </w:r>
      <w:r w:rsidRPr="00817FC2" w:rsidR="00AA2A57">
        <w:t>47 CFR § 1.401(d) from 47 CFR § 73.606</w:t>
      </w:r>
      <w:r w:rsidRPr="00817FC2" w:rsidR="00A40F36">
        <w:t xml:space="preserve"> (the analog </w:t>
      </w:r>
      <w:r w:rsidRPr="00817FC2" w:rsidR="003F4C97">
        <w:t>television</w:t>
      </w:r>
      <w:r w:rsidRPr="00817FC2" w:rsidR="00A40F36">
        <w:t xml:space="preserve"> </w:t>
      </w:r>
      <w:r w:rsidRPr="00817FC2" w:rsidR="003F4C97">
        <w:t>t</w:t>
      </w:r>
      <w:r w:rsidRPr="00817FC2" w:rsidR="00A40F36">
        <w:t xml:space="preserve">able of </w:t>
      </w:r>
      <w:r w:rsidRPr="00817FC2" w:rsidR="003F4C97">
        <w:t>a</w:t>
      </w:r>
      <w:r w:rsidRPr="00817FC2" w:rsidR="00A40F36">
        <w:t>llotments)</w:t>
      </w:r>
      <w:r w:rsidRPr="00817FC2" w:rsidR="00AA2A57">
        <w:t xml:space="preserve"> to 47 CFR § 73.622</w:t>
      </w:r>
      <w:r w:rsidRPr="00817FC2" w:rsidR="00A40F36">
        <w:t xml:space="preserve"> (the digital television table of allotments).</w:t>
      </w:r>
      <w:r w:rsidRPr="00817FC2" w:rsidR="00A40F36">
        <w:t xml:space="preserve"> </w:t>
      </w:r>
      <w:r w:rsidRPr="00817FC2" w:rsidR="00AA2A57">
        <w:t xml:space="preserve">.  This change is necessary to reflect revisions to our Rules previously adopted by the Commission.  </w:t>
      </w:r>
      <w:r w:rsidRPr="00817FC2" w:rsidR="00AA2A57">
        <w:rPr>
          <w:i/>
          <w:iCs/>
        </w:rPr>
        <w:t>See Expanding the Economic and Innovation Opportunities of Spectrum Through Incentive Auction</w:t>
      </w:r>
      <w:r w:rsidRPr="00817FC2" w:rsidR="00AA2A57">
        <w:t>, GN Docket No. 12-268, Order, 36 FCC Rcd 15891, 15896, para. 11 (2021)</w:t>
      </w:r>
      <w:r w:rsidRPr="00817FC2" w:rsidR="000F5491">
        <w:t xml:space="preserve"> (</w:t>
      </w:r>
      <w:r w:rsidRPr="00817FC2" w:rsidR="00C0152C">
        <w:t>deleting cross-references to “§ 73.606(b)” and replacing them with “§ 73.622(j)</w:t>
      </w:r>
      <w:r w:rsidRPr="00817FC2" w:rsidR="00A735E0">
        <w:t>)</w:t>
      </w:r>
      <w:r w:rsidRPr="00817FC2" w:rsidR="00815F40">
        <w:t>.</w:t>
      </w:r>
      <w:r w:rsidRPr="00817FC2" w:rsidR="00C0152C">
        <w:t>”</w:t>
      </w:r>
      <w:r w:rsidRPr="00817FC2" w:rsidR="00815F40">
        <w:t xml:space="preserve">  </w:t>
      </w:r>
      <w:r w:rsidRPr="00817FC2" w:rsidR="00AA2A57">
        <w:t xml:space="preserve">While this update was not proposed in the </w:t>
      </w:r>
      <w:r w:rsidRPr="00817FC2" w:rsidR="00AA2A57">
        <w:rPr>
          <w:i/>
          <w:iCs/>
        </w:rPr>
        <w:t>NPRM</w:t>
      </w:r>
      <w:r w:rsidRPr="00817FC2" w:rsidR="00AA2A57">
        <w:t xml:space="preserve">, we find that notice and comment procedures are unnecessary under the “good cause” exception of the Administrative Procedure Act </w:t>
      </w:r>
      <w:r w:rsidRPr="00817FC2" w:rsidR="00151988">
        <w:t>(AP</w:t>
      </w:r>
      <w:r w:rsidRPr="00817FC2" w:rsidR="00A91B59">
        <w:t>A</w:t>
      </w:r>
      <w:r w:rsidRPr="00817FC2" w:rsidR="00151988">
        <w:t xml:space="preserve">) </w:t>
      </w:r>
      <w:r w:rsidRPr="00817FC2" w:rsidR="00AA2A57">
        <w:t xml:space="preserve">because the changes constitute routine “clean-up” matters that entail no substantive decisions of any consequence or significance to industry or the general public.  </w:t>
      </w:r>
      <w:r w:rsidRPr="00817FC2" w:rsidR="00AA2A57">
        <w:rPr>
          <w:i/>
          <w:iCs/>
        </w:rPr>
        <w:t>See</w:t>
      </w:r>
      <w:r w:rsidRPr="00817FC2" w:rsidR="00AA2A57">
        <w:t xml:space="preserve"> 5 U.S.C. § 553(b)(3)(B) (notice and comment is not necessary “when the agency for good cause finds (and incorporates the finding and a brief statement of reasons therefor in the rules issued) that notice and public procedure thereon are impracticable, unnecessary, or contrary to the public interest.”).</w:t>
      </w:r>
    </w:p>
  </w:footnote>
  <w:footnote w:id="34">
    <w:p w:rsidR="0003382F" w:rsidRPr="00817FC2" w:rsidP="00D07A9C" w14:paraId="255B6AAE" w14:textId="69DFA524">
      <w:pPr>
        <w:pStyle w:val="FootnoteText"/>
      </w:pPr>
      <w:r w:rsidRPr="00817FC2">
        <w:rPr>
          <w:rStyle w:val="FootnoteReference"/>
        </w:rPr>
        <w:footnoteRef/>
      </w:r>
      <w:r w:rsidRPr="00817FC2">
        <w:t xml:space="preserve"> </w:t>
      </w:r>
      <w:r w:rsidRPr="00817FC2">
        <w:rPr>
          <w:i/>
          <w:iCs/>
        </w:rPr>
        <w:t>NPRM</w:t>
      </w:r>
      <w:r w:rsidRPr="00817FC2" w:rsidR="00CB6A19">
        <w:t>,</w:t>
      </w:r>
      <w:r w:rsidRPr="00817FC2" w:rsidR="00CB6A19">
        <w:rPr>
          <w:i/>
          <w:iCs/>
        </w:rPr>
        <w:t xml:space="preserve"> </w:t>
      </w:r>
      <w:r w:rsidRPr="00817FC2" w:rsidR="00CB6A19">
        <w:t>39 FCC Rcd</w:t>
      </w:r>
      <w:r w:rsidRPr="00817FC2">
        <w:rPr>
          <w:i/>
          <w:iCs/>
        </w:rPr>
        <w:t xml:space="preserve"> </w:t>
      </w:r>
      <w:r w:rsidRPr="00817FC2">
        <w:t xml:space="preserve">at </w:t>
      </w:r>
      <w:r w:rsidRPr="00817FC2" w:rsidR="00710C0A">
        <w:t>13956</w:t>
      </w:r>
      <w:r w:rsidRPr="00817FC2">
        <w:t>, para. 6; 47 CFR § 73.503(g).</w:t>
      </w:r>
    </w:p>
  </w:footnote>
  <w:footnote w:id="35">
    <w:p w:rsidR="00544D59" w:rsidRPr="00817FC2" w:rsidP="00D07A9C" w14:paraId="107C5562" w14:textId="3BDBBC40">
      <w:pPr>
        <w:pStyle w:val="FootnoteText"/>
      </w:pPr>
      <w:r w:rsidRPr="00817FC2">
        <w:rPr>
          <w:rStyle w:val="FootnoteReference"/>
        </w:rPr>
        <w:footnoteRef/>
      </w:r>
      <w:r w:rsidRPr="00817FC2">
        <w:t xml:space="preserve"> Prometheus Comments at 1; REC Comments at 22-23; NAB Comments at 6.</w:t>
      </w:r>
      <w:r w:rsidRPr="00817FC2" w:rsidR="002B68CD">
        <w:t xml:space="preserve">  Prometheus also suggests we use caps for future windows to promote new entrants and local ownership.</w:t>
      </w:r>
      <w:r w:rsidRPr="00817FC2" w:rsidR="00F440ED">
        <w:t xml:space="preserve">  </w:t>
      </w:r>
      <w:r w:rsidRPr="00817FC2" w:rsidR="002F7C4A">
        <w:t xml:space="preserve">The Commission agrees </w:t>
      </w:r>
      <w:r w:rsidRPr="00817FC2" w:rsidR="00611724">
        <w:t xml:space="preserve">with Prometheus concerning the utility of application caps, </w:t>
      </w:r>
      <w:r w:rsidRPr="00817FC2" w:rsidR="002F7C4A">
        <w:t xml:space="preserve">and </w:t>
      </w:r>
      <w:r w:rsidRPr="00817FC2" w:rsidR="00611724">
        <w:t xml:space="preserve">in this regard </w:t>
      </w:r>
      <w:r w:rsidRPr="00817FC2" w:rsidR="002F7C4A">
        <w:t xml:space="preserve">has recently proposed a </w:t>
      </w:r>
      <w:r w:rsidRPr="00817FC2" w:rsidR="00611724">
        <w:t xml:space="preserve">10-application </w:t>
      </w:r>
      <w:r w:rsidRPr="00817FC2" w:rsidR="002F7C4A">
        <w:t>cap in</w:t>
      </w:r>
      <w:r w:rsidRPr="00817FC2" w:rsidR="00DD6662">
        <w:t xml:space="preserve"> </w:t>
      </w:r>
      <w:r w:rsidRPr="00817FC2" w:rsidR="00611724">
        <w:t xml:space="preserve">the context of an upcoming new NCE reserved band FM translator </w:t>
      </w:r>
      <w:r w:rsidRPr="00817FC2" w:rsidR="00DD6662">
        <w:t xml:space="preserve">application filing window.  </w:t>
      </w:r>
      <w:r w:rsidRPr="00817FC2" w:rsidR="00DD6662">
        <w:rPr>
          <w:i/>
          <w:iCs/>
        </w:rPr>
        <w:t>See</w:t>
      </w:r>
      <w:r w:rsidRPr="00817FC2" w:rsidR="00DD6662">
        <w:t xml:space="preserve"> </w:t>
      </w:r>
      <w:r w:rsidRPr="00817FC2" w:rsidR="0006644E">
        <w:rPr>
          <w:i/>
          <w:iCs/>
        </w:rPr>
        <w:t>FCC Seeks Comment on Proposed Application Limit for New Noncommercial Educational Reserved Band FM Translator Station Applications in Upcoming 2026 Filing Window</w:t>
      </w:r>
      <w:r w:rsidRPr="00817FC2" w:rsidR="0006644E">
        <w:t>,</w:t>
      </w:r>
      <w:r w:rsidRPr="00817FC2" w:rsidR="002F7C4A">
        <w:t xml:space="preserve"> </w:t>
      </w:r>
      <w:r w:rsidRPr="00817FC2" w:rsidR="00B330C2">
        <w:t xml:space="preserve">Public Notice, MB Docket No. 26-20, </w:t>
      </w:r>
      <w:r w:rsidRPr="00817FC2" w:rsidR="0006644E">
        <w:t xml:space="preserve">FCC </w:t>
      </w:r>
      <w:r w:rsidRPr="00817FC2" w:rsidR="00C45DE7">
        <w:t>26-10</w:t>
      </w:r>
      <w:r w:rsidRPr="00817FC2" w:rsidR="00A579C8">
        <w:t xml:space="preserve">  </w:t>
      </w:r>
      <w:r w:rsidRPr="00817FC2" w:rsidR="00EC3851">
        <w:t>(</w:t>
      </w:r>
      <w:r w:rsidRPr="00817FC2" w:rsidR="00A579C8">
        <w:t>Feb. 1</w:t>
      </w:r>
      <w:r w:rsidRPr="00817FC2" w:rsidR="00EC3851">
        <w:t>8</w:t>
      </w:r>
      <w:r w:rsidRPr="00817FC2" w:rsidR="00A579C8">
        <w:t>, 2026)</w:t>
      </w:r>
      <w:r w:rsidRPr="00817FC2" w:rsidR="002F7C4A">
        <w:t>.</w:t>
      </w:r>
      <w:r w:rsidRPr="00817FC2" w:rsidR="00C35690">
        <w:t xml:space="preserve">  </w:t>
      </w:r>
      <w:r w:rsidRPr="00817FC2" w:rsidR="00BA07E9">
        <w:t xml:space="preserve">While NAB agrees with removal of the rule, </w:t>
      </w:r>
      <w:r w:rsidRPr="00817FC2" w:rsidR="00595C73">
        <w:t>it</w:t>
      </w:r>
      <w:r w:rsidRPr="00817FC2" w:rsidR="00656289">
        <w:t xml:space="preserve"> </w:t>
      </w:r>
      <w:r w:rsidRPr="00817FC2" w:rsidR="00590CFE">
        <w:t xml:space="preserve">also </w:t>
      </w:r>
      <w:r w:rsidRPr="00817FC2" w:rsidR="00651B35">
        <w:t xml:space="preserve">contends that </w:t>
      </w:r>
      <w:r w:rsidRPr="00817FC2" w:rsidR="000E2855">
        <w:t xml:space="preserve">filings windows referenced in </w:t>
      </w:r>
      <w:r w:rsidRPr="00817FC2" w:rsidR="008646B9">
        <w:t xml:space="preserve">the Commission’s rules are </w:t>
      </w:r>
      <w:r w:rsidRPr="00817FC2" w:rsidR="002E2D29">
        <w:t>“</w:t>
      </w:r>
      <w:r w:rsidRPr="00817FC2" w:rsidR="00621BFC">
        <w:t>often</w:t>
      </w:r>
      <w:r w:rsidRPr="00817FC2" w:rsidR="002E2D29">
        <w:t>”</w:t>
      </w:r>
      <w:r w:rsidRPr="00817FC2" w:rsidR="00621BFC">
        <w:t xml:space="preserve"> out-of-date and </w:t>
      </w:r>
      <w:r w:rsidRPr="00817FC2" w:rsidR="005D758B">
        <w:t>“can cause significant confusion to the public</w:t>
      </w:r>
      <w:r w:rsidRPr="00817FC2" w:rsidR="00651B35">
        <w:t>”</w:t>
      </w:r>
      <w:r w:rsidRPr="00817FC2" w:rsidR="005415AE">
        <w:t xml:space="preserve"> and </w:t>
      </w:r>
      <w:r w:rsidRPr="00817FC2" w:rsidR="003A4179">
        <w:t>proposes</w:t>
      </w:r>
      <w:r w:rsidRPr="00817FC2" w:rsidR="00130467">
        <w:t xml:space="preserve"> that </w:t>
      </w:r>
      <w:r w:rsidRPr="00817FC2" w:rsidR="001169D4">
        <w:t xml:space="preserve">the Commission should </w:t>
      </w:r>
      <w:r w:rsidRPr="00817FC2" w:rsidR="005904CB">
        <w:t>develop a “flexible mechanism for public</w:t>
      </w:r>
      <w:r w:rsidRPr="00817FC2" w:rsidR="00590CFE">
        <w:t xml:space="preserve">izing its specific-filing </w:t>
      </w:r>
      <w:r w:rsidRPr="00817FC2" w:rsidR="00D820BD">
        <w:t>windows</w:t>
      </w:r>
      <w:r w:rsidRPr="00817FC2" w:rsidR="00965878">
        <w:t>.</w:t>
      </w:r>
      <w:r w:rsidRPr="00817FC2" w:rsidR="00A95332">
        <w:t>”</w:t>
      </w:r>
      <w:r w:rsidRPr="00817FC2" w:rsidR="00965878">
        <w:t xml:space="preserve">  NAB Comments at 6. </w:t>
      </w:r>
      <w:r w:rsidRPr="00817FC2" w:rsidR="00A95332">
        <w:t xml:space="preserve"> </w:t>
      </w:r>
      <w:r w:rsidRPr="00817FC2" w:rsidR="005D758B">
        <w:t xml:space="preserve">We disagree </w:t>
      </w:r>
      <w:r w:rsidRPr="00817FC2" w:rsidR="001E5893">
        <w:t xml:space="preserve">with NAB </w:t>
      </w:r>
      <w:r w:rsidRPr="00817FC2" w:rsidR="005B1A0D">
        <w:t>because</w:t>
      </w:r>
      <w:r w:rsidRPr="00817FC2" w:rsidR="001E5893">
        <w:t xml:space="preserve"> </w:t>
      </w:r>
      <w:r w:rsidRPr="00817FC2" w:rsidR="00666CD7">
        <w:t>even if out of date, the rules are clear as to which filing window they pertain</w:t>
      </w:r>
      <w:r w:rsidRPr="00817FC2" w:rsidR="00975918">
        <w:t xml:space="preserve"> to</w:t>
      </w:r>
      <w:r w:rsidRPr="00817FC2" w:rsidR="00A94265">
        <w:t xml:space="preserve">.  </w:t>
      </w:r>
      <w:r w:rsidRPr="00817FC2" w:rsidR="0024154B">
        <w:rPr>
          <w:i/>
        </w:rPr>
        <w:t>See</w:t>
      </w:r>
      <w:r w:rsidRPr="00817FC2" w:rsidR="00FF7467">
        <w:rPr>
          <w:i/>
        </w:rPr>
        <w:t>, e.g.,</w:t>
      </w:r>
      <w:r w:rsidRPr="00817FC2" w:rsidR="0024154B">
        <w:rPr>
          <w:i/>
        </w:rPr>
        <w:t xml:space="preserve"> </w:t>
      </w:r>
      <w:r w:rsidRPr="00817FC2" w:rsidR="0024154B">
        <w:t xml:space="preserve">47 CFR </w:t>
      </w:r>
      <w:r w:rsidRPr="00817FC2" w:rsidR="0049259C">
        <w:t>§ 73.503(g) (“An applicant may file no more than a total of 10 applica</w:t>
      </w:r>
      <w:r w:rsidRPr="00817FC2" w:rsidR="0014779E">
        <w:t>tions</w:t>
      </w:r>
      <w:r w:rsidRPr="00817FC2" w:rsidR="0049259C">
        <w:t xml:space="preserve"> in the </w:t>
      </w:r>
      <w:r w:rsidRPr="00817FC2" w:rsidR="0014779E">
        <w:rPr>
          <w:i/>
        </w:rPr>
        <w:t xml:space="preserve">2021 </w:t>
      </w:r>
      <w:r w:rsidRPr="00817FC2" w:rsidR="0049259C">
        <w:rPr>
          <w:i/>
        </w:rPr>
        <w:t>NCE FM filing window</w:t>
      </w:r>
      <w:r w:rsidRPr="00817FC2" w:rsidR="0049259C">
        <w:t>.”)</w:t>
      </w:r>
      <w:r w:rsidRPr="00817FC2" w:rsidR="0014779E">
        <w:t xml:space="preserve"> (emphasis added)</w:t>
      </w:r>
      <w:r w:rsidRPr="00817FC2" w:rsidR="000B13EC">
        <w:t xml:space="preserve">.  </w:t>
      </w:r>
      <w:r w:rsidRPr="00817FC2" w:rsidR="00295C96">
        <w:t xml:space="preserve">In addition, the </w:t>
      </w:r>
      <w:r w:rsidRPr="00817FC2" w:rsidR="00031122">
        <w:t xml:space="preserve">Media Bureau </w:t>
      </w:r>
      <w:r w:rsidRPr="00817FC2" w:rsidR="004F355D">
        <w:t xml:space="preserve">informs the public of </w:t>
      </w:r>
      <w:r w:rsidRPr="00817FC2" w:rsidR="00A73F6F">
        <w:t xml:space="preserve">filing windows </w:t>
      </w:r>
      <w:r w:rsidRPr="00817FC2" w:rsidR="004F355D">
        <w:t xml:space="preserve">by issuing </w:t>
      </w:r>
      <w:r w:rsidRPr="00817FC2" w:rsidR="00A73F6F">
        <w:t>Public Notices</w:t>
      </w:r>
      <w:r w:rsidRPr="00817FC2" w:rsidR="0049259C">
        <w:t xml:space="preserve">.  </w:t>
      </w:r>
      <w:r w:rsidRPr="00817FC2" w:rsidR="00FC27EF">
        <w:rPr>
          <w:i/>
          <w:iCs/>
        </w:rPr>
        <w:t>Media Bureau Announces LPFM New Station Application Filing Window; Window Open from November 1, 2023, to November 8, 2023</w:t>
      </w:r>
      <w:r w:rsidRPr="00817FC2" w:rsidR="00FC27EF">
        <w:t xml:space="preserve">, Public Notice, 38 FCC Rcd 5763 (MB 2023); </w:t>
      </w:r>
      <w:r w:rsidRPr="00817FC2" w:rsidR="00FC27EF">
        <w:rPr>
          <w:i/>
          <w:iCs/>
        </w:rPr>
        <w:t>Media Bureau Announces Filing Procedures and Requirements for November 1 - November 8, 2023, Low Power FM Filing Window; Limited Application Filing Freeze to Commence on September 1, 2023</w:t>
      </w:r>
      <w:r w:rsidRPr="00817FC2" w:rsidR="00FC27EF">
        <w:t>, Public Notice, 38 FCC Rcd 6660 (MB 2023).</w:t>
      </w:r>
    </w:p>
  </w:footnote>
  <w:footnote w:id="36">
    <w:p w:rsidR="009F04F6" w:rsidRPr="00817FC2" w:rsidP="00D07A9C" w14:paraId="1A259D38" w14:textId="4B0CF89C">
      <w:pPr>
        <w:pStyle w:val="FootnoteText"/>
      </w:pPr>
      <w:r w:rsidRPr="00817FC2">
        <w:rPr>
          <w:rStyle w:val="FootnoteReference"/>
        </w:rPr>
        <w:footnoteRef/>
      </w:r>
      <w:r w:rsidRPr="00817FC2">
        <w:t xml:space="preserve"> </w:t>
      </w:r>
      <w:r w:rsidRPr="00817FC2">
        <w:rPr>
          <w:i/>
          <w:iCs/>
        </w:rPr>
        <w:t>NPRM</w:t>
      </w:r>
      <w:r w:rsidRPr="00817FC2" w:rsidR="00CB6A19">
        <w:t>,</w:t>
      </w:r>
      <w:r w:rsidRPr="00817FC2" w:rsidR="00CB6A19">
        <w:rPr>
          <w:i/>
          <w:iCs/>
        </w:rPr>
        <w:t xml:space="preserve"> </w:t>
      </w:r>
      <w:r w:rsidRPr="00817FC2" w:rsidR="00CB6A19">
        <w:t>39 FCC Rcd</w:t>
      </w:r>
      <w:r w:rsidRPr="00817FC2">
        <w:t xml:space="preserve"> at </w:t>
      </w:r>
      <w:r w:rsidRPr="00817FC2" w:rsidR="00CB6A19">
        <w:t xml:space="preserve">13955, para. </w:t>
      </w:r>
      <w:r w:rsidRPr="00817FC2">
        <w:t xml:space="preserve">3. </w:t>
      </w:r>
    </w:p>
  </w:footnote>
  <w:footnote w:id="37">
    <w:p w:rsidR="009F04F6" w:rsidRPr="00817FC2" w:rsidP="00D07A9C" w14:paraId="0F125942" w14:textId="62BD947B">
      <w:pPr>
        <w:pStyle w:val="FootnoteText"/>
      </w:pPr>
      <w:r w:rsidRPr="00817FC2">
        <w:rPr>
          <w:rStyle w:val="FootnoteReference"/>
        </w:rPr>
        <w:footnoteRef/>
      </w:r>
      <w:r w:rsidRPr="00817FC2">
        <w:t xml:space="preserve"> </w:t>
      </w:r>
      <w:r w:rsidRPr="00817FC2">
        <w:rPr>
          <w:i/>
          <w:iCs/>
        </w:rPr>
        <w:t>See</w:t>
      </w:r>
      <w:r w:rsidRPr="00817FC2">
        <w:t xml:space="preserve"> 47 CFR §§ 1.106, 1.115,</w:t>
      </w:r>
      <w:r w:rsidRPr="00817FC2" w:rsidR="00952E61">
        <w:t xml:space="preserve"> and </w:t>
      </w:r>
      <w:r w:rsidRPr="00817FC2">
        <w:t>1.117.</w:t>
      </w:r>
    </w:p>
  </w:footnote>
  <w:footnote w:id="38">
    <w:p w:rsidR="00726558" w:rsidRPr="00817FC2" w:rsidP="00D07A9C" w14:paraId="305B2782" w14:textId="02F1BB2F">
      <w:pPr>
        <w:pStyle w:val="FootnoteText"/>
      </w:pPr>
      <w:r w:rsidRPr="00817FC2">
        <w:rPr>
          <w:rStyle w:val="FootnoteReference"/>
        </w:rPr>
        <w:footnoteRef/>
      </w:r>
      <w:r w:rsidRPr="00817FC2">
        <w:t xml:space="preserve"> </w:t>
      </w:r>
      <w:r w:rsidRPr="00817FC2" w:rsidR="003C1F2F">
        <w:rPr>
          <w:i/>
          <w:iCs/>
        </w:rPr>
        <w:t>NPRM</w:t>
      </w:r>
      <w:r w:rsidRPr="00817FC2" w:rsidR="003C1F2F">
        <w:t>,</w:t>
      </w:r>
      <w:r w:rsidRPr="00817FC2" w:rsidR="003C1F2F">
        <w:rPr>
          <w:i/>
          <w:iCs/>
        </w:rPr>
        <w:t xml:space="preserve"> </w:t>
      </w:r>
      <w:r w:rsidRPr="00817FC2" w:rsidR="00A8433A">
        <w:t>39 FCC Rcd</w:t>
      </w:r>
      <w:r w:rsidRPr="00817FC2">
        <w:t xml:space="preserve"> at </w:t>
      </w:r>
      <w:r w:rsidRPr="00817FC2" w:rsidR="00710C0A">
        <w:t>13956-58</w:t>
      </w:r>
      <w:r w:rsidRPr="00817FC2" w:rsidR="007014AE">
        <w:t>, paras. 7-11</w:t>
      </w:r>
      <w:r w:rsidRPr="00817FC2" w:rsidR="009920BE">
        <w:t xml:space="preserve">; </w:t>
      </w:r>
      <w:r w:rsidRPr="00817FC2" w:rsidR="009E0C43">
        <w:t>47 CFR § 73.3571(e)(1)</w:t>
      </w:r>
      <w:r w:rsidRPr="00817FC2" w:rsidR="00814558">
        <w:t xml:space="preserve">, </w:t>
      </w:r>
      <w:r w:rsidRPr="00817FC2" w:rsidR="009E0C43">
        <w:t>(2)</w:t>
      </w:r>
      <w:r w:rsidRPr="00817FC2" w:rsidR="00814558">
        <w:t>, (3), and (4)</w:t>
      </w:r>
      <w:r w:rsidRPr="00817FC2" w:rsidR="002C2286">
        <w:t>.</w:t>
      </w:r>
      <w:r w:rsidRPr="00817FC2" w:rsidR="00F269F6">
        <w:t xml:space="preserve">  As explained in the </w:t>
      </w:r>
      <w:r w:rsidRPr="00817FC2" w:rsidR="00F269F6">
        <w:rPr>
          <w:i/>
          <w:iCs/>
        </w:rPr>
        <w:t>NPRM</w:t>
      </w:r>
      <w:r w:rsidRPr="00817FC2" w:rsidR="00F269F6">
        <w:t xml:space="preserve">, </w:t>
      </w:r>
      <w:r w:rsidRPr="00817FC2" w:rsidR="00E132C8">
        <w:t xml:space="preserve">in 1991, the Commission updated station classifications to conform to international agreements, however, paragraph </w:t>
      </w:r>
      <w:r w:rsidRPr="00817FC2" w:rsidR="00E70002">
        <w:t>(e)</w:t>
      </w:r>
      <w:r w:rsidRPr="00817FC2" w:rsidR="00E132C8">
        <w:t xml:space="preserve">(4) was not updated at the time the stations were </w:t>
      </w:r>
      <w:r w:rsidRPr="00817FC2" w:rsidR="00E70002">
        <w:t>reclassified</w:t>
      </w:r>
      <w:r w:rsidRPr="00817FC2" w:rsidR="00A71EF3">
        <w:t>, and the current rule still reflects the old classifications</w:t>
      </w:r>
      <w:r w:rsidRPr="00817FC2" w:rsidR="00E70002">
        <w:t>.</w:t>
      </w:r>
      <w:r w:rsidRPr="00817FC2" w:rsidR="00E71FC3">
        <w:t xml:space="preserve">  </w:t>
      </w:r>
      <w:r w:rsidRPr="00817FC2" w:rsidR="00B54B17">
        <w:t xml:space="preserve"> </w:t>
      </w:r>
    </w:p>
  </w:footnote>
  <w:footnote w:id="39">
    <w:p w:rsidR="00785EF2" w:rsidRPr="00817FC2" w:rsidP="00D07A9C" w14:paraId="35229DC9" w14:textId="5BC4A6D8">
      <w:pPr>
        <w:pStyle w:val="FootnoteText"/>
      </w:pPr>
      <w:r w:rsidRPr="00817FC2">
        <w:rPr>
          <w:rStyle w:val="FootnoteReference"/>
        </w:rPr>
        <w:footnoteRef/>
      </w:r>
      <w:r w:rsidRPr="00817FC2">
        <w:t xml:space="preserve"> </w:t>
      </w:r>
      <w:r w:rsidRPr="00817FC2">
        <w:rPr>
          <w:i/>
          <w:iCs/>
        </w:rPr>
        <w:t xml:space="preserve">See </w:t>
      </w:r>
      <w:r w:rsidRPr="00817FC2">
        <w:t xml:space="preserve">47 CFR § 73.3571, </w:t>
      </w:r>
      <w:r w:rsidRPr="00817FC2" w:rsidR="007014AE">
        <w:t>N</w:t>
      </w:r>
      <w:r w:rsidRPr="00817FC2">
        <w:t>ote to § 73.3571.</w:t>
      </w:r>
    </w:p>
  </w:footnote>
  <w:footnote w:id="40">
    <w:p w:rsidR="00CC67CD" w:rsidRPr="00817FC2" w:rsidP="00D07A9C" w14:paraId="1E86C37B" w14:textId="38D8F75C">
      <w:pPr>
        <w:pStyle w:val="FootnoteText"/>
      </w:pPr>
      <w:r w:rsidRPr="00817FC2">
        <w:rPr>
          <w:rStyle w:val="FootnoteReference"/>
        </w:rPr>
        <w:footnoteRef/>
      </w:r>
      <w:r w:rsidRPr="00817FC2">
        <w:t xml:space="preserve"> </w:t>
      </w:r>
      <w:r w:rsidRPr="00817FC2" w:rsidR="00856F4D">
        <w:t xml:space="preserve">Prometheus Comments at 2; REC Comments at 22-23; NAB Comments at 7.  </w:t>
      </w:r>
    </w:p>
  </w:footnote>
  <w:footnote w:id="41">
    <w:p w:rsidR="00E80023" w:rsidRPr="00817FC2" w:rsidP="00D07A9C" w14:paraId="0ABEEF9A" w14:textId="5F76CBC9">
      <w:pPr>
        <w:pStyle w:val="FootnoteText"/>
      </w:pPr>
      <w:r w:rsidRPr="00817FC2">
        <w:rPr>
          <w:rStyle w:val="FootnoteReference"/>
        </w:rPr>
        <w:footnoteRef/>
      </w:r>
      <w:r w:rsidRPr="00817FC2">
        <w:t xml:space="preserve"> NAB Comments at 7. </w:t>
      </w:r>
    </w:p>
  </w:footnote>
  <w:footnote w:id="42">
    <w:p w:rsidR="001F4538" w:rsidRPr="00817FC2" w:rsidP="00D07A9C" w14:paraId="0D8655C2" w14:textId="6FAF603F">
      <w:pPr>
        <w:pStyle w:val="FootnoteText"/>
        <w:rPr>
          <w:lang w:val="pt-BR"/>
        </w:rPr>
      </w:pPr>
      <w:r w:rsidRPr="00817FC2">
        <w:rPr>
          <w:rStyle w:val="FootnoteReference"/>
        </w:rPr>
        <w:footnoteRef/>
      </w:r>
      <w:r w:rsidRPr="00817FC2">
        <w:t xml:space="preserve"> </w:t>
      </w:r>
      <w:r w:rsidRPr="00817FC2">
        <w:rPr>
          <w:i/>
          <w:iCs/>
        </w:rPr>
        <w:t>NPRM</w:t>
      </w:r>
      <w:r w:rsidRPr="00817FC2" w:rsidR="00A8433A">
        <w:t>, 39 FCC Rcd</w:t>
      </w:r>
      <w:r w:rsidRPr="00817FC2">
        <w:rPr>
          <w:i/>
          <w:iCs/>
        </w:rPr>
        <w:t xml:space="preserve"> </w:t>
      </w:r>
      <w:r w:rsidRPr="00817FC2">
        <w:t xml:space="preserve">at </w:t>
      </w:r>
      <w:r w:rsidRPr="00817FC2" w:rsidR="00CF16FA">
        <w:t xml:space="preserve">13958-59, paras. </w:t>
      </w:r>
      <w:r w:rsidRPr="00817FC2" w:rsidR="00060B81">
        <w:rPr>
          <w:lang w:val="pt-BR"/>
        </w:rPr>
        <w:t>12-14</w:t>
      </w:r>
      <w:r w:rsidRPr="00817FC2">
        <w:rPr>
          <w:lang w:val="pt-BR"/>
        </w:rPr>
        <w:t xml:space="preserve">; </w:t>
      </w:r>
      <w:r w:rsidRPr="00817FC2" w:rsidR="005A67F4">
        <w:rPr>
          <w:lang w:val="pt-BR"/>
        </w:rPr>
        <w:t xml:space="preserve">47 CFR </w:t>
      </w:r>
      <w:r w:rsidRPr="00817FC2" w:rsidR="00EF0EAE">
        <w:rPr>
          <w:lang w:val="pt-BR"/>
        </w:rPr>
        <w:t xml:space="preserve">§ </w:t>
      </w:r>
      <w:r w:rsidRPr="00817FC2" w:rsidR="005A67F4">
        <w:rPr>
          <w:lang w:val="pt-BR"/>
        </w:rPr>
        <w:t>73.3700(c)</w:t>
      </w:r>
      <w:r w:rsidRPr="00817FC2" w:rsidR="00EF0EAE">
        <w:rPr>
          <w:lang w:val="pt-BR"/>
        </w:rPr>
        <w:t xml:space="preserve">, </w:t>
      </w:r>
      <w:r w:rsidRPr="00817FC2" w:rsidR="005A67F4">
        <w:rPr>
          <w:lang w:val="pt-BR"/>
        </w:rPr>
        <w:t>73.3801(h)(4)(i), 73.6029(h)(4)(i), and 74.782(i)(4)(i)</w:t>
      </w:r>
      <w:r w:rsidRPr="00817FC2" w:rsidR="00EF0EAE">
        <w:rPr>
          <w:lang w:val="pt-BR"/>
        </w:rPr>
        <w:t>.</w:t>
      </w:r>
    </w:p>
  </w:footnote>
  <w:footnote w:id="43">
    <w:p w:rsidR="006E7ED0" w:rsidRPr="00817FC2" w:rsidP="00D07A9C" w14:paraId="08659B1C" w14:textId="546F3197">
      <w:pPr>
        <w:pStyle w:val="FootnoteText"/>
      </w:pPr>
      <w:r w:rsidRPr="00817FC2">
        <w:rPr>
          <w:rStyle w:val="FootnoteReference"/>
        </w:rPr>
        <w:footnoteRef/>
      </w:r>
      <w:r w:rsidRPr="00817FC2">
        <w:t xml:space="preserve"> REC Comments at 22-23, NAB Comments at 6. </w:t>
      </w:r>
    </w:p>
  </w:footnote>
  <w:footnote w:id="44">
    <w:p w:rsidR="0088386D" w:rsidRPr="00817FC2" w:rsidP="00D07A9C" w14:paraId="351BBFDF" w14:textId="5CA16815">
      <w:pPr>
        <w:pStyle w:val="FootnoteText"/>
      </w:pPr>
      <w:r w:rsidRPr="00817FC2">
        <w:rPr>
          <w:rStyle w:val="FootnoteReference"/>
        </w:rPr>
        <w:footnoteRef/>
      </w:r>
      <w:r w:rsidRPr="00817FC2">
        <w:t xml:space="preserve"> </w:t>
      </w:r>
      <w:r w:rsidRPr="00817FC2">
        <w:rPr>
          <w:i/>
          <w:iCs/>
        </w:rPr>
        <w:t>See</w:t>
      </w:r>
      <w:r w:rsidRPr="00817FC2">
        <w:t xml:space="preserve"> </w:t>
      </w:r>
      <w:r w:rsidRPr="00817FC2">
        <w:rPr>
          <w:i/>
          <w:iCs/>
        </w:rPr>
        <w:t>Amendment of the Commission’s Rules to Advance the Low Power Television, TV Translator and Class A TV Service</w:t>
      </w:r>
      <w:r w:rsidRPr="00817FC2">
        <w:t xml:space="preserve">, MB Docket No. 24-148, Report and Order, FCC 25-84, paras. 52-55 (rel. Dec. 19, 2025) (concluding that no TV stations are operating above channel 37 and prohibiting operations in the 600 MHz band for LPTV and TV translators); </w:t>
      </w:r>
      <w:r w:rsidRPr="00817FC2">
        <w:rPr>
          <w:i/>
          <w:iCs/>
        </w:rPr>
        <w:t>Amendment of Part 73 of the Commission’s Rules to Update Television and Class A Television Broadcast Station Rules, and Rules Applicable to All Broadcast Stations</w:t>
      </w:r>
      <w:r w:rsidRPr="00817FC2">
        <w:t>, MB Docket No. 22-227, 38 FCC Rcd 8706, 8719, paras. 22-23 (2023) (deleting as obsolete outdated rules relating to the post-incentive auction transition period, which among other things required full power and Class A TV stations to vacate their pre-auction channels (including those above TV channel 37) by July 13, 2020).</w:t>
      </w:r>
    </w:p>
  </w:footnote>
  <w:footnote w:id="45">
    <w:p w:rsidR="00BD250D" w:rsidRPr="00817FC2" w:rsidP="00D07A9C" w14:paraId="1376324A" w14:textId="7F04C1E5">
      <w:pPr>
        <w:pStyle w:val="FootnoteText"/>
      </w:pPr>
      <w:r w:rsidRPr="00817FC2">
        <w:rPr>
          <w:rStyle w:val="FootnoteReference"/>
        </w:rPr>
        <w:footnoteRef/>
      </w:r>
      <w:r w:rsidRPr="00817FC2">
        <w:t xml:space="preserve"> </w:t>
      </w:r>
      <w:r w:rsidRPr="00817FC2" w:rsidR="00E6142A">
        <w:rPr>
          <w:i/>
          <w:iCs/>
        </w:rPr>
        <w:t xml:space="preserve">See </w:t>
      </w:r>
      <w:r w:rsidRPr="00817FC2">
        <w:t xml:space="preserve">5 U.S.C. § 553(b)(3)(B) (notice and comment is not necessary “when the agency for good cause finds (and incorporates the finding and a brief statement of reasons therefor in the rules issued) that notice and public procedure thereon are impracticable, </w:t>
      </w:r>
      <w:r w:rsidRPr="002E0E42">
        <w:t>unnecessary, or contrary to the public interest.”)</w:t>
      </w:r>
      <w:r w:rsidRPr="002E0E42" w:rsidR="00D51867">
        <w:t xml:space="preserve">; </w:t>
      </w:r>
      <w:r w:rsidRPr="002E0E42" w:rsidR="00D51867">
        <w:rPr>
          <w:i/>
          <w:iCs/>
        </w:rPr>
        <w:t xml:space="preserve">see also Amendment of Part 95, Subpart E, </w:t>
      </w:r>
      <w:r w:rsidRPr="002E0E42" w:rsidR="00C34B1B">
        <w:rPr>
          <w:i/>
          <w:iCs/>
        </w:rPr>
        <w:t xml:space="preserve">Technical Regulations in the Personal Radio Services Rules, </w:t>
      </w:r>
      <w:r w:rsidRPr="002E0E42" w:rsidR="004B23C5">
        <w:t xml:space="preserve">Order on Reconsideration and Second Report and Order, </w:t>
      </w:r>
      <w:r w:rsidRPr="002E0E42" w:rsidR="00C34B1B">
        <w:t xml:space="preserve">31 FCC Rcd </w:t>
      </w:r>
      <w:r w:rsidRPr="002E0E42" w:rsidR="00D75E77">
        <w:t>5032 para. 11 (1988) (</w:t>
      </w:r>
      <w:r w:rsidRPr="002E0E42" w:rsidR="00792065">
        <w:t>notice and comment unnecessary when revisions in an order “merely...delete redundant or</w:t>
      </w:r>
      <w:r w:rsidRPr="002E0E42" w:rsidR="00034670">
        <w:t xml:space="preserve"> obsolete</w:t>
      </w:r>
      <w:r w:rsidRPr="002E0E42" w:rsidR="00792065">
        <w:t> rules</w:t>
      </w:r>
      <w:r w:rsidRPr="002E0E42" w:rsidR="00A316B4">
        <w:t>,</w:t>
      </w:r>
      <w:r w:rsidRPr="002E0E42" w:rsidR="00792065">
        <w:t>”</w:t>
      </w:r>
      <w:r w:rsidRPr="002E0E42" w:rsidR="00A316B4">
        <w:t xml:space="preserve"> the actions will</w:t>
      </w:r>
      <w:r w:rsidRPr="00817FC2" w:rsidR="00A316B4">
        <w:t xml:space="preserve"> not result in any change in Commission </w:t>
      </w:r>
      <w:r w:rsidRPr="00817FC2" w:rsidR="008F69BB">
        <w:t>procedures and, thus, t</w:t>
      </w:r>
      <w:r w:rsidRPr="00817FC2" w:rsidR="0000244E">
        <w:t>here will be no impact upon regulated entities).</w:t>
      </w:r>
      <w:r w:rsidRPr="00817FC2" w:rsidR="00792065">
        <w:t xml:space="preserve"> </w:t>
      </w:r>
    </w:p>
  </w:footnote>
  <w:footnote w:id="46">
    <w:p w:rsidR="00F137FC" w:rsidRPr="00817FC2" w:rsidP="00D07A9C" w14:paraId="433381DC" w14:textId="0FC7CF68">
      <w:pPr>
        <w:pStyle w:val="FootnoteText"/>
      </w:pPr>
      <w:r w:rsidRPr="00817FC2">
        <w:rPr>
          <w:rStyle w:val="FootnoteReference"/>
        </w:rPr>
        <w:footnoteRef/>
      </w:r>
      <w:r w:rsidRPr="00817FC2">
        <w:t xml:space="preserve"> </w:t>
      </w:r>
      <w:r w:rsidRPr="00817FC2" w:rsidR="00E47BCC">
        <w:rPr>
          <w:i/>
          <w:iCs/>
        </w:rPr>
        <w:t>NPRM</w:t>
      </w:r>
      <w:r w:rsidRPr="00817FC2" w:rsidR="00A8433A">
        <w:t>, 39 FCC Rcd</w:t>
      </w:r>
      <w:r w:rsidRPr="00817FC2" w:rsidR="00E47BCC">
        <w:t xml:space="preserve"> at </w:t>
      </w:r>
      <w:r w:rsidRPr="00817FC2" w:rsidR="00D66D0D">
        <w:t>13959-61, paras. 15-18</w:t>
      </w:r>
      <w:r w:rsidRPr="00817FC2" w:rsidR="00676587">
        <w:t>; 47 CFR § 73.870(e).</w:t>
      </w:r>
      <w:r w:rsidRPr="00817FC2" w:rsidR="00A544C0">
        <w:t xml:space="preserve">  </w:t>
      </w:r>
    </w:p>
  </w:footnote>
  <w:footnote w:id="47">
    <w:p w:rsidR="00AE2C64" w:rsidRPr="00817FC2" w:rsidP="00D07A9C" w14:paraId="6FA875D0" w14:textId="6070C29B">
      <w:pPr>
        <w:pStyle w:val="FootnoteText"/>
      </w:pPr>
      <w:r w:rsidRPr="00817FC2">
        <w:rPr>
          <w:rStyle w:val="FootnoteReference"/>
        </w:rPr>
        <w:footnoteRef/>
      </w:r>
      <w:r w:rsidRPr="00817FC2" w:rsidR="008F3D3D">
        <w:t xml:space="preserve"> </w:t>
      </w:r>
      <w:r w:rsidRPr="00817FC2" w:rsidR="000C6FB6">
        <w:t xml:space="preserve">Generally, applications for minor modifications of </w:t>
      </w:r>
      <w:r w:rsidRPr="00817FC2" w:rsidR="008F3D3D">
        <w:t xml:space="preserve">full service </w:t>
      </w:r>
      <w:r w:rsidRPr="00817FC2" w:rsidR="000C6FB6">
        <w:t xml:space="preserve">FM broadcast </w:t>
      </w:r>
      <w:r w:rsidRPr="00817FC2" w:rsidR="008F3D3D">
        <w:t xml:space="preserve">and FM translator stations </w:t>
      </w:r>
      <w:r w:rsidRPr="00817FC2" w:rsidR="000C6FB6">
        <w:t>“may be filed at any time, unless restricted by the FCC, and will be processed on a ‘first come/first served’ basis.”</w:t>
      </w:r>
      <w:r w:rsidRPr="00817FC2" w:rsidR="008F3D3D">
        <w:t xml:space="preserve">  </w:t>
      </w:r>
      <w:hyperlink r:id="rId2" w:anchor="co_pp_06a60000dfdc6" w:history="1">
        <w:r w:rsidRPr="00817FC2" w:rsidR="008F3D3D">
          <w:rPr>
            <w:rStyle w:val="Hyperlink"/>
            <w:color w:val="auto"/>
            <w:u w:val="none"/>
          </w:rPr>
          <w:t>47 CFR §§ 73.3573</w:t>
        </w:r>
        <w:r w:rsidRPr="00817FC2" w:rsidR="00917A86">
          <w:rPr>
            <w:rStyle w:val="Hyperlink"/>
            <w:color w:val="auto"/>
            <w:u w:val="none"/>
          </w:rPr>
          <w:t xml:space="preserve"> (full service)</w:t>
        </w:r>
        <w:r w:rsidRPr="00817FC2" w:rsidR="008F3D3D">
          <w:rPr>
            <w:rStyle w:val="Hyperlink"/>
            <w:color w:val="auto"/>
            <w:u w:val="none"/>
          </w:rPr>
          <w:t>, 74.1233</w:t>
        </w:r>
        <w:r w:rsidRPr="00817FC2" w:rsidR="006265F6">
          <w:rPr>
            <w:rStyle w:val="Hyperlink"/>
            <w:color w:val="auto"/>
            <w:u w:val="none"/>
          </w:rPr>
          <w:t xml:space="preserve"> (translators)</w:t>
        </w:r>
        <w:r w:rsidRPr="00817FC2" w:rsidR="008F3D3D">
          <w:rPr>
            <w:rStyle w:val="Hyperlink"/>
            <w:color w:val="auto"/>
            <w:u w:val="none"/>
          </w:rPr>
          <w:t xml:space="preserve">.  </w:t>
        </w:r>
      </w:hyperlink>
      <w:r w:rsidRPr="00817FC2" w:rsidR="008F3D3D">
        <w:t xml:space="preserve">Section 73.3573 outlines the processing procedures for full service FM broadcast station applications.  </w:t>
      </w:r>
      <w:r w:rsidRPr="00817FC2" w:rsidR="000C6FB6">
        <w:t>Section 73.3573(e)(1), which governs reserved channel FM broadcast stations, states that “[c]</w:t>
      </w:r>
      <w:r w:rsidRPr="00817FC2" w:rsidR="000C6FB6">
        <w:t>onflicting</w:t>
      </w:r>
      <w:r w:rsidRPr="00817FC2" w:rsidR="000C6FB6">
        <w:t xml:space="preserve"> minor change FM applications received on the same day are treated as simultaneously filed and mutually exclusive.”  With respect to non-reserved </w:t>
      </w:r>
      <w:r w:rsidRPr="00817FC2" w:rsidR="00C84D39">
        <w:t xml:space="preserve">band </w:t>
      </w:r>
      <w:r w:rsidRPr="00817FC2" w:rsidR="000C6FB6">
        <w:t>FM broadcast stations, section 73.3573(f)(1) states that “[a]</w:t>
      </w:r>
      <w:r w:rsidRPr="00817FC2" w:rsidR="000C6FB6">
        <w:t>ll</w:t>
      </w:r>
      <w:r w:rsidRPr="00817FC2" w:rsidR="000C6FB6">
        <w:t xml:space="preserve"> applications received on the same day will be treated as simultaneously tendered and, if they are found to be mutually exclusive, must be resolved through settlement or technical amendment.”</w:t>
      </w:r>
    </w:p>
  </w:footnote>
  <w:footnote w:id="48">
    <w:p w:rsidR="00800061" w:rsidRPr="00817FC2" w:rsidP="00D07A9C" w14:paraId="53D2ACE1" w14:textId="671A5F3F">
      <w:pPr>
        <w:pStyle w:val="FootnoteText"/>
      </w:pPr>
      <w:r w:rsidRPr="00817FC2">
        <w:rPr>
          <w:rStyle w:val="FootnoteReference"/>
        </w:rPr>
        <w:footnoteRef/>
      </w:r>
      <w:r w:rsidRPr="00817FC2">
        <w:t xml:space="preserve"> The same processing procedures apply to conflicting minor change FM translator applications received on the same day pursuant to section 74.1233.  </w:t>
      </w:r>
      <w:r w:rsidRPr="00817FC2">
        <w:rPr>
          <w:i/>
          <w:iCs/>
        </w:rPr>
        <w:t xml:space="preserve">See </w:t>
      </w:r>
      <w:r w:rsidRPr="00817FC2">
        <w:t>47 CFR §§ 74.1233(b)(1) (Processing booster and reserved band FM translator applications.  “Conflicting applications received on the same day will be treated as simultaneously filed and mutually exclusive.”) and 74.1233(d)(1) (Processing non-reserved band FM translator applications.  “Applications received on the same day will be treated as simultaneously filed and, if they are found to be mutually exclusive, must be resolved through settlement or technical amendment.”).</w:t>
      </w:r>
    </w:p>
  </w:footnote>
  <w:footnote w:id="49">
    <w:p w:rsidR="006F4BAF" w:rsidRPr="00817FC2" w:rsidP="00D07A9C" w14:paraId="5B7F8E91" w14:textId="6F895258">
      <w:pPr>
        <w:pStyle w:val="FootnoteText"/>
      </w:pPr>
      <w:r w:rsidRPr="00817FC2">
        <w:rPr>
          <w:rStyle w:val="FootnoteReference"/>
        </w:rPr>
        <w:footnoteRef/>
      </w:r>
      <w:r w:rsidRPr="00817FC2">
        <w:t xml:space="preserve"> </w:t>
      </w:r>
      <w:r w:rsidRPr="00817FC2" w:rsidR="009F2E1D">
        <w:t>The c</w:t>
      </w:r>
      <w:r w:rsidRPr="00817FC2" w:rsidR="00233D60">
        <w:t xml:space="preserve">urrent </w:t>
      </w:r>
      <w:r w:rsidRPr="00817FC2" w:rsidR="00C8123C">
        <w:t xml:space="preserve">text of </w:t>
      </w:r>
      <w:r w:rsidRPr="00817FC2" w:rsidR="00233D60">
        <w:t>section 73.870(e) simply states:  “Minor change LPFM applications may be filed at any time, unless restricted by the staff, and generally, will be processed in the order in which they are tendered.  Such applications must meet all technical and legal requirements applicable to new LPFM station applications.”</w:t>
      </w:r>
      <w:r w:rsidRPr="00817FC2" w:rsidR="00C8123C">
        <w:t xml:space="preserve">  47 CFR § 73.870</w:t>
      </w:r>
      <w:r w:rsidRPr="00817FC2" w:rsidR="009F2E1D">
        <w:t>(e).</w:t>
      </w:r>
    </w:p>
  </w:footnote>
  <w:footnote w:id="50">
    <w:p w:rsidR="00D274C6" w:rsidRPr="00817FC2" w:rsidP="00D07A9C" w14:paraId="514CD470" w14:textId="07329942">
      <w:pPr>
        <w:pStyle w:val="FootnoteText"/>
      </w:pPr>
      <w:r w:rsidRPr="00817FC2">
        <w:rPr>
          <w:rStyle w:val="FootnoteReference"/>
        </w:rPr>
        <w:footnoteRef/>
      </w:r>
      <w:r w:rsidRPr="00817FC2">
        <w:t xml:space="preserve"> </w:t>
      </w:r>
      <w:r w:rsidRPr="00817FC2" w:rsidR="007E2DC5">
        <w:rPr>
          <w:i/>
          <w:iCs/>
        </w:rPr>
        <w:t>Electron Benders</w:t>
      </w:r>
      <w:r w:rsidRPr="00817FC2" w:rsidR="007E2DC5">
        <w:t xml:space="preserve">, </w:t>
      </w:r>
      <w:r w:rsidRPr="00817FC2" w:rsidR="002F5819">
        <w:t xml:space="preserve">Letter </w:t>
      </w:r>
      <w:r w:rsidRPr="00817FC2" w:rsidR="00EE2C8D">
        <w:t>Order</w:t>
      </w:r>
      <w:r w:rsidRPr="00817FC2" w:rsidR="002F5819">
        <w:t xml:space="preserve">, 38 FCC Rcd 12125 </w:t>
      </w:r>
      <w:r w:rsidRPr="00817FC2" w:rsidR="007E2DC5">
        <w:t>(MB 2023)</w:t>
      </w:r>
      <w:r w:rsidRPr="00817FC2" w:rsidR="005B207D">
        <w:t xml:space="preserve"> (</w:t>
      </w:r>
      <w:r w:rsidRPr="00817FC2" w:rsidR="005B207D">
        <w:rPr>
          <w:i/>
          <w:iCs/>
        </w:rPr>
        <w:t>E</w:t>
      </w:r>
      <w:r w:rsidRPr="00817FC2" w:rsidR="009D586C">
        <w:rPr>
          <w:i/>
          <w:iCs/>
        </w:rPr>
        <w:t>lectron Benders</w:t>
      </w:r>
      <w:r w:rsidRPr="00817FC2" w:rsidR="009D586C">
        <w:t>)</w:t>
      </w:r>
      <w:r w:rsidRPr="00817FC2" w:rsidR="007E2DC5">
        <w:t>.</w:t>
      </w:r>
    </w:p>
  </w:footnote>
  <w:footnote w:id="51">
    <w:p w:rsidR="00AD421F" w:rsidRPr="00817FC2" w:rsidP="00D07A9C" w14:paraId="0BFEEDA7" w14:textId="65E640E0">
      <w:pPr>
        <w:pStyle w:val="FootnoteText"/>
      </w:pPr>
      <w:r w:rsidRPr="00817FC2">
        <w:rPr>
          <w:rStyle w:val="FootnoteReference"/>
        </w:rPr>
        <w:footnoteRef/>
      </w:r>
      <w:r w:rsidRPr="00817FC2">
        <w:t xml:space="preserve"> </w:t>
      </w:r>
      <w:r w:rsidRPr="00817FC2" w:rsidR="005F738D">
        <w:rPr>
          <w:i/>
          <w:iCs/>
        </w:rPr>
        <w:t>NPRM</w:t>
      </w:r>
      <w:r w:rsidRPr="00817FC2" w:rsidR="00F41057">
        <w:t>, 39 FCC Rcd</w:t>
      </w:r>
      <w:r w:rsidRPr="00817FC2" w:rsidR="005F738D">
        <w:t xml:space="preserve"> at </w:t>
      </w:r>
      <w:r w:rsidRPr="00817FC2" w:rsidR="00C82B89">
        <w:t>13960-61</w:t>
      </w:r>
      <w:r w:rsidRPr="00817FC2" w:rsidR="005F738D">
        <w:t>, para. 18.</w:t>
      </w:r>
    </w:p>
  </w:footnote>
  <w:footnote w:id="52">
    <w:p w:rsidR="00DB4905" w:rsidRPr="00817FC2" w:rsidP="00D07A9C" w14:paraId="4267A238" w14:textId="7DEA25D4">
      <w:pPr>
        <w:pStyle w:val="FootnoteText"/>
      </w:pPr>
      <w:r w:rsidRPr="00817FC2">
        <w:rPr>
          <w:rStyle w:val="FootnoteReference"/>
        </w:rPr>
        <w:footnoteRef/>
      </w:r>
      <w:r w:rsidRPr="00817FC2">
        <w:t xml:space="preserve"> </w:t>
      </w:r>
      <w:r w:rsidRPr="00817FC2">
        <w:rPr>
          <w:i/>
          <w:iCs/>
        </w:rPr>
        <w:t>See</w:t>
      </w:r>
      <w:r w:rsidRPr="00817FC2">
        <w:t xml:space="preserve"> 47 CFR §§ 73.3573(e)(1)</w:t>
      </w:r>
      <w:r w:rsidRPr="00817FC2" w:rsidR="00C8123C">
        <w:t>,</w:t>
      </w:r>
      <w:r w:rsidRPr="00817FC2" w:rsidR="00EF54DF">
        <w:t xml:space="preserve"> </w:t>
      </w:r>
      <w:r w:rsidRPr="00817FC2">
        <w:t>(f)(1) and 74.1233(b)(1)</w:t>
      </w:r>
      <w:r w:rsidRPr="00817FC2" w:rsidR="00C8123C">
        <w:t>,</w:t>
      </w:r>
      <w:r w:rsidRPr="00817FC2" w:rsidR="00EF54DF">
        <w:t xml:space="preserve"> </w:t>
      </w:r>
      <w:r w:rsidRPr="00817FC2">
        <w:t>(d)(1).</w:t>
      </w:r>
    </w:p>
  </w:footnote>
  <w:footnote w:id="53">
    <w:p w:rsidR="00CA68ED" w:rsidRPr="00817FC2" w:rsidP="00D07A9C" w14:paraId="66F5A3EB" w14:textId="77777777">
      <w:pPr>
        <w:pStyle w:val="FootnoteText"/>
      </w:pPr>
      <w:r w:rsidRPr="00817FC2">
        <w:rPr>
          <w:rStyle w:val="FootnoteReference"/>
        </w:rPr>
        <w:footnoteRef/>
      </w:r>
      <w:r w:rsidRPr="00817FC2">
        <w:t xml:space="preserve"> Prometheus Comments at 2; Electron Benders Comments at 1; REC Comments at 7-8; NAB Comments at 6; REC Reply Comments at 8.</w:t>
      </w:r>
    </w:p>
  </w:footnote>
  <w:footnote w:id="54">
    <w:p w:rsidR="00842A7E" w:rsidRPr="00817FC2" w:rsidP="00D07A9C" w14:paraId="0C44BD31" w14:textId="5E20FFD4">
      <w:pPr>
        <w:pStyle w:val="FootnoteText"/>
      </w:pPr>
      <w:r w:rsidRPr="00817FC2">
        <w:rPr>
          <w:rStyle w:val="FootnoteReference"/>
        </w:rPr>
        <w:footnoteRef/>
      </w:r>
      <w:r w:rsidRPr="00817FC2">
        <w:t xml:space="preserve"> </w:t>
      </w:r>
      <w:r w:rsidRPr="00817FC2" w:rsidR="00B06546">
        <w:t xml:space="preserve"> Prometheus Comments at 2; Electron Benders Comments at 1; REC Comments at 6-7; and REC Reply Comments at 8.  Electron Benders maintains that the Commission should simply delete the term “and generally” from the current rule to clarify a first come, first served approach.  Electron Benders Comments at 1-2.  </w:t>
      </w:r>
      <w:r w:rsidRPr="00817FC2" w:rsidR="000D0E36">
        <w:t xml:space="preserve">We decline to modify the rule in order to preserve the Bureau’s flexibility to process minor change LPFM applications based on the particular circumstances presented.  </w:t>
      </w:r>
    </w:p>
  </w:footnote>
  <w:footnote w:id="55">
    <w:p w:rsidR="00CE268B" w:rsidRPr="00817FC2" w:rsidP="00D07A9C" w14:paraId="54473961" w14:textId="7298AF81">
      <w:pPr>
        <w:pStyle w:val="FootnoteText"/>
      </w:pPr>
      <w:r w:rsidRPr="00817FC2">
        <w:rPr>
          <w:rStyle w:val="FootnoteReference"/>
        </w:rPr>
        <w:footnoteRef/>
      </w:r>
      <w:r w:rsidRPr="00817FC2">
        <w:t xml:space="preserve"> </w:t>
      </w:r>
      <w:r w:rsidRPr="00817FC2" w:rsidR="004B4C11">
        <w:t xml:space="preserve">REC Comments </w:t>
      </w:r>
      <w:r w:rsidRPr="00817FC2">
        <w:t xml:space="preserve">at </w:t>
      </w:r>
      <w:r w:rsidRPr="00817FC2" w:rsidR="00CC36D0">
        <w:t>7-</w:t>
      </w:r>
      <w:r w:rsidRPr="00817FC2">
        <w:t>8</w:t>
      </w:r>
      <w:r w:rsidRPr="00817FC2" w:rsidR="00B41930">
        <w:t xml:space="preserve">.  REC also cites its survey of small broadcast stations in both the commercial and noncommercial educational sectors, particularly LPFM, which indicated that </w:t>
      </w:r>
      <w:r w:rsidRPr="00817FC2" w:rsidR="00B81E25">
        <w:t xml:space="preserve">97.6% </w:t>
      </w:r>
      <w:r w:rsidRPr="00817FC2" w:rsidR="000630FF">
        <w:t>believe</w:t>
      </w:r>
      <w:r w:rsidRPr="00817FC2" w:rsidR="000630FF">
        <w:t xml:space="preserve"> </w:t>
      </w:r>
      <w:r w:rsidRPr="00817FC2" w:rsidR="00B81E25">
        <w:t xml:space="preserve">regulations should reflect current electronic filing system technology.  </w:t>
      </w:r>
      <w:r w:rsidRPr="00817FC2" w:rsidR="00D5485C">
        <w:rPr>
          <w:i/>
          <w:iCs/>
        </w:rPr>
        <w:t>Id.</w:t>
      </w:r>
      <w:r w:rsidRPr="00817FC2" w:rsidR="00B81E25">
        <w:t xml:space="preserve"> at 6-7</w:t>
      </w:r>
      <w:r w:rsidRPr="00817FC2" w:rsidR="00595E3A">
        <w:t>.  REC also proposes that</w:t>
      </w:r>
      <w:r w:rsidRPr="00817FC2" w:rsidR="000630FF">
        <w:t>,</w:t>
      </w:r>
      <w:r w:rsidRPr="00817FC2" w:rsidR="00595E3A">
        <w:t xml:space="preserve"> for application</w:t>
      </w:r>
      <w:r w:rsidRPr="00817FC2" w:rsidR="00AE3221">
        <w:t>s</w:t>
      </w:r>
      <w:r w:rsidRPr="00817FC2" w:rsidR="00595E3A">
        <w:t xml:space="preserve"> </w:t>
      </w:r>
      <w:r w:rsidRPr="00817FC2" w:rsidR="00AE3221">
        <w:t>requiring</w:t>
      </w:r>
      <w:r w:rsidRPr="00817FC2" w:rsidR="00AE3221">
        <w:t xml:space="preserve"> </w:t>
      </w:r>
      <w:r w:rsidRPr="00817FC2" w:rsidR="00AE3221">
        <w:t xml:space="preserve">filing </w:t>
      </w:r>
      <w:r w:rsidRPr="00817FC2" w:rsidR="00595E3A">
        <w:t xml:space="preserve">fees, we </w:t>
      </w:r>
      <w:r w:rsidRPr="00817FC2" w:rsidR="009D2915">
        <w:t xml:space="preserve">apply a </w:t>
      </w:r>
      <w:r w:rsidRPr="00817FC2" w:rsidR="00595E3A">
        <w:t>“first paid”</w:t>
      </w:r>
      <w:r w:rsidRPr="00817FC2" w:rsidR="009D2915">
        <w:t xml:space="preserve"> determination using LMS.</w:t>
      </w:r>
      <w:r w:rsidRPr="00817FC2" w:rsidR="00595E3A">
        <w:t xml:space="preserve"> </w:t>
      </w:r>
      <w:r w:rsidRPr="00817FC2" w:rsidR="00BD706C">
        <w:t xml:space="preserve"> </w:t>
      </w:r>
      <w:r w:rsidRPr="00817FC2" w:rsidR="00A439C1">
        <w:rPr>
          <w:i/>
          <w:iCs/>
        </w:rPr>
        <w:t>Id.</w:t>
      </w:r>
      <w:r w:rsidRPr="00817FC2" w:rsidR="00A439C1">
        <w:t xml:space="preserve"> at 8.  </w:t>
      </w:r>
      <w:r w:rsidRPr="00817FC2" w:rsidR="00BD706C">
        <w:t xml:space="preserve">As an </w:t>
      </w:r>
      <w:r w:rsidRPr="00817FC2" w:rsidR="007539B9">
        <w:t xml:space="preserve">additional </w:t>
      </w:r>
      <w:r w:rsidRPr="00817FC2" w:rsidR="00BD706C">
        <w:t xml:space="preserve">alternative option, some commenters suggest that if we codify processing LPFM minor modification applications </w:t>
      </w:r>
      <w:r w:rsidRPr="00817FC2" w:rsidR="00E41A7B">
        <w:t>received on</w:t>
      </w:r>
      <w:r w:rsidRPr="00817FC2" w:rsidR="00BD706C">
        <w:t xml:space="preserve"> the same day as simultaneously filed, as proposed in the NPRM, we “hold” the application, or prevent LMS from publicly displaying the application until the next day to avoid gamesmanship or blocking.  </w:t>
      </w:r>
      <w:r w:rsidRPr="00817FC2" w:rsidR="00E12210">
        <w:t xml:space="preserve">Prometheus Comments at 3; NAB Comments at 7. </w:t>
      </w:r>
      <w:r w:rsidRPr="00817FC2" w:rsidR="00BD706C">
        <w:t xml:space="preserve"> REC opposes this suggestion because it fails to modernize processing policies to reflect current technology.</w:t>
      </w:r>
      <w:r w:rsidRPr="00817FC2" w:rsidR="00E12210">
        <w:t xml:space="preserve">  REC Comments at 8; REC Reply Comments at 8-9.</w:t>
      </w:r>
      <w:r w:rsidRPr="00817FC2" w:rsidR="00BD706C">
        <w:t xml:space="preserve">  Despite some support for this </w:t>
      </w:r>
      <w:r w:rsidRPr="00817FC2" w:rsidR="00B1635E">
        <w:t>delayed display</w:t>
      </w:r>
      <w:r w:rsidRPr="00817FC2" w:rsidR="00BD706C">
        <w:t xml:space="preserve"> suggestion, commenter response was</w:t>
      </w:r>
      <w:r w:rsidRPr="00817FC2" w:rsidR="00E41A7B">
        <w:t xml:space="preserve"> limited.</w:t>
      </w:r>
      <w:r w:rsidRPr="00817FC2" w:rsidR="00BD706C">
        <w:t xml:space="preserve">  As with the receipt time stamp proposal, we </w:t>
      </w:r>
      <w:r w:rsidRPr="00817FC2" w:rsidR="00E57D82">
        <w:t>anticipate</w:t>
      </w:r>
      <w:r w:rsidRPr="00817FC2" w:rsidR="00A439C1">
        <w:t xml:space="preserve"> </w:t>
      </w:r>
      <w:r w:rsidRPr="00817FC2" w:rsidR="00BD706C">
        <w:t>consider</w:t>
      </w:r>
      <w:r w:rsidRPr="00817FC2" w:rsidR="00A439C1">
        <w:t>ing</w:t>
      </w:r>
      <w:r w:rsidRPr="00817FC2" w:rsidR="00BD706C">
        <w:t xml:space="preserve"> this </w:t>
      </w:r>
      <w:r w:rsidRPr="00817FC2" w:rsidR="007539B9">
        <w:t xml:space="preserve">additional </w:t>
      </w:r>
      <w:r w:rsidRPr="00817FC2" w:rsidR="00BD706C">
        <w:t xml:space="preserve">suggestion </w:t>
      </w:r>
      <w:r w:rsidRPr="00817FC2" w:rsidR="00A439C1">
        <w:t xml:space="preserve">as part of our continued effort to improve our processes and </w:t>
      </w:r>
      <w:r w:rsidRPr="00817FC2" w:rsidR="00BD706C">
        <w:t xml:space="preserve">assess </w:t>
      </w:r>
      <w:r w:rsidRPr="00817FC2" w:rsidR="007539B9">
        <w:t xml:space="preserve">the efficacy of </w:t>
      </w:r>
      <w:r w:rsidRPr="00817FC2" w:rsidR="00A439C1">
        <w:t xml:space="preserve">new </w:t>
      </w:r>
      <w:r w:rsidRPr="00817FC2" w:rsidR="00BD706C">
        <w:t>techn</w:t>
      </w:r>
      <w:r w:rsidRPr="00817FC2" w:rsidR="00E41A7B">
        <w:t>ical</w:t>
      </w:r>
      <w:r w:rsidRPr="00817FC2" w:rsidR="00BD706C">
        <w:t xml:space="preserve"> solutions</w:t>
      </w:r>
      <w:r w:rsidRPr="00817FC2" w:rsidR="00A439C1">
        <w:t xml:space="preserve"> for our filing systems</w:t>
      </w:r>
      <w:r w:rsidRPr="00817FC2" w:rsidR="00BD706C">
        <w:t>.</w:t>
      </w:r>
    </w:p>
  </w:footnote>
  <w:footnote w:id="56">
    <w:p w:rsidR="00037EBA" w:rsidRPr="00817FC2" w:rsidP="00D07A9C" w14:paraId="1CC690F5" w14:textId="0F9C4080">
      <w:pPr>
        <w:pStyle w:val="FootnoteText"/>
      </w:pPr>
      <w:r w:rsidRPr="00817FC2">
        <w:rPr>
          <w:rStyle w:val="FootnoteReference"/>
        </w:rPr>
        <w:footnoteRef/>
      </w:r>
      <w:r w:rsidRPr="00817FC2">
        <w:t xml:space="preserve"> </w:t>
      </w:r>
      <w:r w:rsidRPr="00817FC2">
        <w:rPr>
          <w:i/>
          <w:iCs/>
        </w:rPr>
        <w:t>NPRM</w:t>
      </w:r>
      <w:r w:rsidRPr="00817FC2" w:rsidR="000630FF">
        <w:t>, 39 FCC Rcd</w:t>
      </w:r>
      <w:r w:rsidRPr="00817FC2">
        <w:rPr>
          <w:i/>
          <w:iCs/>
        </w:rPr>
        <w:t xml:space="preserve"> </w:t>
      </w:r>
      <w:r w:rsidRPr="00817FC2">
        <w:t xml:space="preserve">at </w:t>
      </w:r>
      <w:r w:rsidRPr="00817FC2" w:rsidR="00117B08">
        <w:t>13960-61</w:t>
      </w:r>
      <w:r w:rsidRPr="00817FC2" w:rsidR="0001359C">
        <w:t>, para. 18.</w:t>
      </w:r>
    </w:p>
  </w:footnote>
  <w:footnote w:id="57">
    <w:p w:rsidR="00144FD2" w:rsidRPr="00817FC2" w:rsidP="00D07A9C" w14:paraId="2F8722B3" w14:textId="1C2B4162">
      <w:pPr>
        <w:pStyle w:val="FootnoteText"/>
      </w:pPr>
      <w:r w:rsidRPr="00817FC2">
        <w:rPr>
          <w:rStyle w:val="FootnoteReference"/>
        </w:rPr>
        <w:footnoteRef/>
      </w:r>
      <w:r w:rsidRPr="00817FC2">
        <w:t xml:space="preserve"> In our ongoing pursuit of ways</w:t>
      </w:r>
      <w:r w:rsidRPr="00817FC2">
        <w:t xml:space="preserve"> </w:t>
      </w:r>
      <w:r w:rsidRPr="00817FC2">
        <w:t>to modernize our processes and improve government efficiency, we anticipate exploring the utility of</w:t>
      </w:r>
      <w:r w:rsidRPr="00817FC2" w:rsidR="0028274D">
        <w:t xml:space="preserve"> utilizing</w:t>
      </w:r>
      <w:r w:rsidRPr="00817FC2">
        <w:t xml:space="preserve"> electronic filing system time stamp technology</w:t>
      </w:r>
      <w:r w:rsidRPr="00817FC2" w:rsidR="002A2087">
        <w:t xml:space="preserve"> for purposes of processing priority</w:t>
      </w:r>
      <w:r w:rsidRPr="00817FC2" w:rsidR="00625CD9">
        <w:t>.  I</w:t>
      </w:r>
      <w:r w:rsidRPr="00817FC2">
        <w:t>f it is found by the Bureau to be technically and practically feasible</w:t>
      </w:r>
      <w:r w:rsidRPr="00817FC2" w:rsidR="003A3899">
        <w:t>,</w:t>
      </w:r>
      <w:r w:rsidRPr="00817FC2">
        <w:t xml:space="preserve"> we will evaluate such an approach at</w:t>
      </w:r>
      <w:r w:rsidRPr="00817FC2" w:rsidR="00625CD9">
        <w:t xml:space="preserve"> that time.</w:t>
      </w:r>
    </w:p>
  </w:footnote>
  <w:footnote w:id="58">
    <w:p w:rsidR="005B207D" w:rsidRPr="00817FC2" w:rsidP="00D07A9C" w14:paraId="4AF2D994" w14:textId="171D9EB5">
      <w:pPr>
        <w:pStyle w:val="FootnoteText"/>
      </w:pPr>
      <w:r w:rsidRPr="00817FC2">
        <w:rPr>
          <w:rStyle w:val="FootnoteReference"/>
        </w:rPr>
        <w:footnoteRef/>
      </w:r>
      <w:r w:rsidRPr="00817FC2">
        <w:t xml:space="preserve"> </w:t>
      </w:r>
      <w:r w:rsidRPr="00817FC2" w:rsidR="009D586C">
        <w:t>See Electron Benders</w:t>
      </w:r>
      <w:r w:rsidRPr="00817FC2" w:rsidR="00EF5CE6">
        <w:t xml:space="preserve"> supra note 4</w:t>
      </w:r>
      <w:r w:rsidRPr="00817FC2" w:rsidR="009730F3">
        <w:t>8</w:t>
      </w:r>
      <w:r w:rsidRPr="00817FC2" w:rsidR="00EF5CE6">
        <w:t>.</w:t>
      </w:r>
    </w:p>
  </w:footnote>
  <w:footnote w:id="59">
    <w:p w:rsidR="00E23E03" w:rsidRPr="00817FC2" w:rsidP="00D07A9C" w14:paraId="28B97890" w14:textId="2F558D6E">
      <w:pPr>
        <w:pStyle w:val="FootnoteText"/>
      </w:pPr>
      <w:r w:rsidRPr="00817FC2">
        <w:rPr>
          <w:rStyle w:val="FootnoteReference"/>
        </w:rPr>
        <w:footnoteRef/>
      </w:r>
      <w:r w:rsidRPr="00817FC2">
        <w:t xml:space="preserve"> </w:t>
      </w:r>
      <w:r w:rsidRPr="00817FC2" w:rsidR="001D3701">
        <w:rPr>
          <w:i/>
          <w:iCs/>
        </w:rPr>
        <w:t xml:space="preserve">Id. </w:t>
      </w:r>
      <w:r w:rsidRPr="00817FC2">
        <w:t>at</w:t>
      </w:r>
      <w:r w:rsidRPr="00817FC2" w:rsidR="000630FF">
        <w:t xml:space="preserve"> </w:t>
      </w:r>
      <w:r w:rsidRPr="00817FC2" w:rsidR="00117B08">
        <w:t>13961-62</w:t>
      </w:r>
      <w:r w:rsidRPr="00817FC2">
        <w:t>, paras. 19-20; 47 CFR § 73.807.</w:t>
      </w:r>
    </w:p>
  </w:footnote>
  <w:footnote w:id="60">
    <w:p w:rsidR="00E23E03" w:rsidRPr="00817FC2" w:rsidP="00D07A9C" w14:paraId="6E52F810" w14:textId="77777777">
      <w:pPr>
        <w:pStyle w:val="FootnoteText"/>
      </w:pPr>
      <w:r w:rsidRPr="00817FC2">
        <w:rPr>
          <w:rStyle w:val="FootnoteReference"/>
        </w:rPr>
        <w:footnoteRef/>
      </w:r>
      <w:r w:rsidRPr="00817FC2">
        <w:t xml:space="preserve"> REC Comments at 8.</w:t>
      </w:r>
    </w:p>
  </w:footnote>
  <w:footnote w:id="61">
    <w:p w:rsidR="00E23E03" w:rsidRPr="00817FC2" w:rsidP="00D07A9C" w14:paraId="00037028" w14:textId="77777777">
      <w:pPr>
        <w:pStyle w:val="FootnoteText"/>
      </w:pPr>
      <w:r w:rsidRPr="00817FC2">
        <w:rPr>
          <w:rStyle w:val="FootnoteReference"/>
        </w:rPr>
        <w:footnoteRef/>
      </w:r>
      <w:r w:rsidRPr="00817FC2">
        <w:t xml:space="preserve"> NAB Comments at 7. </w:t>
      </w:r>
    </w:p>
  </w:footnote>
  <w:footnote w:id="62">
    <w:p w:rsidR="002C462A" w:rsidRPr="00817FC2" w:rsidP="00D07A9C" w14:paraId="30C20A3D" w14:textId="6487C7D8">
      <w:pPr>
        <w:pStyle w:val="FootnoteText"/>
      </w:pPr>
      <w:r w:rsidRPr="00817FC2">
        <w:rPr>
          <w:rStyle w:val="FootnoteReference"/>
        </w:rPr>
        <w:footnoteRef/>
      </w:r>
      <w:r w:rsidRPr="00817FC2">
        <w:t xml:space="preserve"> </w:t>
      </w:r>
      <w:r w:rsidRPr="00817FC2">
        <w:rPr>
          <w:i/>
          <w:iCs/>
        </w:rPr>
        <w:t>NPRM</w:t>
      </w:r>
      <w:r w:rsidRPr="00817FC2" w:rsidR="008B0FCC">
        <w:t>, 39 FCC Rcd</w:t>
      </w:r>
      <w:r w:rsidRPr="00817FC2">
        <w:t xml:space="preserve"> at </w:t>
      </w:r>
      <w:r w:rsidRPr="00817FC2" w:rsidR="00CE16F9">
        <w:t>13962-63</w:t>
      </w:r>
      <w:r w:rsidRPr="00817FC2">
        <w:t>, paras. 21-24.</w:t>
      </w:r>
    </w:p>
  </w:footnote>
  <w:footnote w:id="63">
    <w:p w:rsidR="002C462A" w:rsidRPr="00ED4544" w:rsidP="00D07A9C" w14:paraId="1F0F95D0" w14:textId="77777777">
      <w:pPr>
        <w:pStyle w:val="FootnoteText"/>
        <w:rPr>
          <w:i/>
          <w:iCs/>
        </w:rPr>
      </w:pPr>
      <w:r w:rsidRPr="00817FC2">
        <w:rPr>
          <w:rStyle w:val="FootnoteReference"/>
        </w:rPr>
        <w:footnoteRef/>
      </w:r>
      <w:r w:rsidRPr="00817FC2">
        <w:t xml:space="preserve"> </w:t>
      </w:r>
      <w:r w:rsidRPr="00ED4544">
        <w:rPr>
          <w:i/>
          <w:iCs/>
        </w:rPr>
        <w:t>Id.</w:t>
      </w:r>
    </w:p>
  </w:footnote>
  <w:footnote w:id="64">
    <w:p w:rsidR="002C462A" w:rsidRPr="00817FC2" w:rsidP="00D07A9C" w14:paraId="33F30343" w14:textId="6D5F42C2">
      <w:pPr>
        <w:pStyle w:val="FootnoteText"/>
      </w:pPr>
      <w:r w:rsidRPr="00817FC2">
        <w:rPr>
          <w:rStyle w:val="FootnoteReference"/>
        </w:rPr>
        <w:footnoteRef/>
      </w:r>
      <w:r w:rsidRPr="00817FC2">
        <w:t xml:space="preserve"> REC Comments at 10.  </w:t>
      </w:r>
      <w:r w:rsidRPr="00817FC2" w:rsidR="00F807EB">
        <w:t xml:space="preserve">REC also maintains that a filing freeze </w:t>
      </w:r>
      <w:r w:rsidRPr="00817FC2" w:rsidR="00501AE4">
        <w:t xml:space="preserve">for all LPFM and FM translator minor change applications </w:t>
      </w:r>
      <w:r w:rsidRPr="00817FC2" w:rsidR="00F807EB">
        <w:t xml:space="preserve">should begin the first business day following the date of this notice. </w:t>
      </w:r>
    </w:p>
  </w:footnote>
  <w:footnote w:id="65">
    <w:p w:rsidR="00055674" w:rsidRPr="00817FC2" w:rsidP="00D07A9C" w14:paraId="5CBD4BD5" w14:textId="7039ACD1">
      <w:pPr>
        <w:pStyle w:val="FootnoteText"/>
      </w:pPr>
      <w:r w:rsidRPr="00817FC2">
        <w:rPr>
          <w:rStyle w:val="FootnoteReference"/>
        </w:rPr>
        <w:footnoteRef/>
      </w:r>
      <w:r w:rsidRPr="00817FC2">
        <w:t xml:space="preserve"> </w:t>
      </w:r>
      <w:r w:rsidRPr="00FD549B" w:rsidR="00012631">
        <w:rPr>
          <w:i/>
          <w:iCs/>
        </w:rPr>
        <w:t>Media Bureau Announces LPFM New Station Application Filing Window</w:t>
      </w:r>
      <w:r w:rsidRPr="00817FC2" w:rsidR="00012631">
        <w:t xml:space="preserve">; </w:t>
      </w:r>
      <w:r w:rsidRPr="00FD549B" w:rsidR="00012631">
        <w:rPr>
          <w:i/>
          <w:iCs/>
        </w:rPr>
        <w:t>Window Open from November 1, 2023, to November 8, 2023</w:t>
      </w:r>
      <w:r w:rsidRPr="00817FC2" w:rsidR="00012631">
        <w:t>, Public Notice, 38 FCC Rcd 5763 (MB 2023).</w:t>
      </w:r>
    </w:p>
  </w:footnote>
  <w:footnote w:id="66">
    <w:p w:rsidR="002C462A" w:rsidRPr="00817FC2" w:rsidP="00D07A9C" w14:paraId="0CD0EBBF" w14:textId="4C6263A6">
      <w:pPr>
        <w:pStyle w:val="FootnoteText"/>
      </w:pPr>
      <w:r w:rsidRPr="00817FC2">
        <w:rPr>
          <w:rStyle w:val="FootnoteReference"/>
        </w:rPr>
        <w:footnoteRef/>
      </w:r>
      <w:r w:rsidRPr="00817FC2">
        <w:t xml:space="preserve"> </w:t>
      </w:r>
      <w:r w:rsidRPr="00FD549B" w:rsidR="006A3A06">
        <w:rPr>
          <w:i/>
          <w:iCs/>
        </w:rPr>
        <w:t>Media Bureau Announces Filing Procedures and Requirements for November 1 - November 8, 2023, Low Power</w:t>
      </w:r>
      <w:r w:rsidRPr="00FD549B" w:rsidR="00423DCE">
        <w:rPr>
          <w:i/>
          <w:iCs/>
        </w:rPr>
        <w:t xml:space="preserve"> </w:t>
      </w:r>
      <w:r w:rsidRPr="00FD549B" w:rsidR="006A3A06">
        <w:rPr>
          <w:i/>
          <w:iCs/>
        </w:rPr>
        <w:t>FM Filing Window; Limited Application Filing Freeze to Commence on September 1, 2023</w:t>
      </w:r>
      <w:r w:rsidRPr="00817FC2" w:rsidR="006A3A06">
        <w:t>, Public Notice, 38 FCC</w:t>
      </w:r>
      <w:r w:rsidRPr="00817FC2" w:rsidR="00423DCE">
        <w:t xml:space="preserve"> </w:t>
      </w:r>
      <w:r w:rsidRPr="00817FC2" w:rsidR="006A3A06">
        <w:t>Rcd 6660 (MB 2023)</w:t>
      </w:r>
      <w:r w:rsidRPr="00817FC2" w:rsidR="00C5210F">
        <w:t xml:space="preserve"> (</w:t>
      </w:r>
      <w:r w:rsidRPr="00817FC2" w:rsidR="0061745D">
        <w:t>LPFM P</w:t>
      </w:r>
      <w:r w:rsidRPr="00817FC2" w:rsidR="00C5210F">
        <w:t>rocedures Public Notice)</w:t>
      </w:r>
      <w:r w:rsidRPr="00817FC2" w:rsidR="00423DCE">
        <w:t>;</w:t>
      </w:r>
      <w:r w:rsidRPr="00817FC2" w:rsidR="006A3A06">
        <w:t xml:space="preserve"> </w:t>
      </w:r>
      <w:r w:rsidRPr="00817FC2">
        <w:t>NPRM</w:t>
      </w:r>
      <w:r w:rsidRPr="00817FC2" w:rsidR="00C30C0D">
        <w:t>, 39 FCC Rcd</w:t>
      </w:r>
      <w:r w:rsidRPr="00817FC2">
        <w:t xml:space="preserve"> at </w:t>
      </w:r>
      <w:r w:rsidRPr="00817FC2" w:rsidR="00EC294D">
        <w:t>13962-63</w:t>
      </w:r>
      <w:r w:rsidRPr="00817FC2">
        <w:t>, para. 23.</w:t>
      </w:r>
    </w:p>
  </w:footnote>
  <w:footnote w:id="67">
    <w:p w:rsidR="002C462A" w:rsidRPr="00817FC2" w:rsidP="00D07A9C" w14:paraId="45F0C006" w14:textId="77777777">
      <w:pPr>
        <w:pStyle w:val="FootnoteText"/>
      </w:pPr>
      <w:r w:rsidRPr="00817FC2">
        <w:rPr>
          <w:rStyle w:val="FootnoteReference"/>
        </w:rPr>
        <w:footnoteRef/>
      </w:r>
      <w:r w:rsidRPr="00817FC2">
        <w:t xml:space="preserve"> </w:t>
      </w:r>
      <w:r w:rsidRPr="00ED4544">
        <w:rPr>
          <w:i/>
          <w:iCs/>
        </w:rPr>
        <w:t>Id.</w:t>
      </w:r>
    </w:p>
  </w:footnote>
  <w:footnote w:id="68">
    <w:p w:rsidR="002C462A" w:rsidRPr="00817FC2" w:rsidP="00D07A9C" w14:paraId="61FF89BA" w14:textId="77777777">
      <w:pPr>
        <w:pStyle w:val="FootnoteText"/>
      </w:pPr>
      <w:r w:rsidRPr="00817FC2">
        <w:rPr>
          <w:rStyle w:val="FootnoteReference"/>
        </w:rPr>
        <w:footnoteRef/>
      </w:r>
      <w:r w:rsidRPr="00817FC2">
        <w:t xml:space="preserve"> NAB Comments at 8.</w:t>
      </w:r>
    </w:p>
  </w:footnote>
  <w:footnote w:id="69">
    <w:p w:rsidR="007323E2" w:rsidRPr="00817FC2" w:rsidP="00D07A9C" w14:paraId="6AD45F62" w14:textId="1054F117">
      <w:pPr>
        <w:pStyle w:val="FootnoteText"/>
        <w:rPr>
          <w:i/>
          <w:iCs/>
        </w:rPr>
      </w:pPr>
      <w:r w:rsidRPr="00817FC2">
        <w:rPr>
          <w:rStyle w:val="FootnoteReference"/>
        </w:rPr>
        <w:footnoteRef/>
      </w:r>
      <w:r w:rsidRPr="00817FC2">
        <w:t xml:space="preserve"> We decline to adopt REC’s </w:t>
      </w:r>
      <w:r w:rsidRPr="00817FC2" w:rsidR="002B39E7">
        <w:t xml:space="preserve">additional </w:t>
      </w:r>
      <w:r w:rsidRPr="00817FC2">
        <w:t xml:space="preserve">suggestion that the filing freeze for modifications to existing FM translator and LPFM stations </w:t>
      </w:r>
      <w:r w:rsidRPr="00817FC2">
        <w:rPr>
          <w:i/>
          <w:iCs/>
        </w:rPr>
        <w:t>must</w:t>
      </w:r>
      <w:r w:rsidRPr="00817FC2">
        <w:t xml:space="preserve"> begin the first day after issuance of </w:t>
      </w:r>
      <w:r w:rsidRPr="00817FC2" w:rsidR="00535325">
        <w:t>a single</w:t>
      </w:r>
      <w:r w:rsidRPr="00817FC2" w:rsidR="002B39E7">
        <w:t xml:space="preserve"> p</w:t>
      </w:r>
      <w:r w:rsidRPr="00817FC2">
        <w:t>ublic notice</w:t>
      </w:r>
      <w:r w:rsidRPr="00817FC2" w:rsidR="002B39E7">
        <w:t xml:space="preserve"> announcing</w:t>
      </w:r>
      <w:r w:rsidRPr="00817FC2" w:rsidR="00535325">
        <w:t xml:space="preserve"> both</w:t>
      </w:r>
      <w:r w:rsidRPr="00817FC2" w:rsidR="002B39E7">
        <w:t xml:space="preserve"> the window dates and filing procedures</w:t>
      </w:r>
      <w:r w:rsidRPr="00817FC2">
        <w:t xml:space="preserve">.  As with the </w:t>
      </w:r>
      <w:r w:rsidRPr="00817FC2" w:rsidR="005D46B3">
        <w:t xml:space="preserve">need for </w:t>
      </w:r>
      <w:r w:rsidRPr="00817FC2" w:rsidR="00F60FAB">
        <w:t xml:space="preserve">flexibility governing the </w:t>
      </w:r>
      <w:r w:rsidRPr="00817FC2">
        <w:t xml:space="preserve">number of </w:t>
      </w:r>
      <w:r w:rsidRPr="00817FC2" w:rsidR="008C2875">
        <w:t xml:space="preserve">public </w:t>
      </w:r>
      <w:r w:rsidRPr="00817FC2">
        <w:t xml:space="preserve">notices preceding </w:t>
      </w:r>
      <w:r w:rsidRPr="00817FC2" w:rsidR="00CC4154">
        <w:t>a</w:t>
      </w:r>
      <w:r w:rsidRPr="00817FC2">
        <w:t xml:space="preserve"> filing window, the Bureau must </w:t>
      </w:r>
      <w:r w:rsidRPr="00817FC2" w:rsidR="005D46B3">
        <w:t xml:space="preserve">also </w:t>
      </w:r>
      <w:r w:rsidRPr="00817FC2" w:rsidR="009515DC">
        <w:t>have</w:t>
      </w:r>
      <w:r w:rsidRPr="00817FC2" w:rsidR="009515DC">
        <w:t xml:space="preserve"> </w:t>
      </w:r>
      <w:r w:rsidRPr="00817FC2">
        <w:t xml:space="preserve">the </w:t>
      </w:r>
      <w:r w:rsidRPr="00817FC2" w:rsidR="00C44FF5">
        <w:t>discretion</w:t>
      </w:r>
      <w:r w:rsidRPr="00817FC2">
        <w:t xml:space="preserve"> to </w:t>
      </w:r>
      <w:r w:rsidRPr="00817FC2" w:rsidR="008C2875">
        <w:t xml:space="preserve">determine </w:t>
      </w:r>
      <w:r w:rsidRPr="00817FC2" w:rsidR="00F7564A">
        <w:t xml:space="preserve">specific </w:t>
      </w:r>
      <w:r w:rsidRPr="00817FC2" w:rsidR="008C2875">
        <w:t>filing freeze dates</w:t>
      </w:r>
      <w:r w:rsidRPr="00817FC2" w:rsidR="00FA4F88">
        <w:t xml:space="preserve"> </w:t>
      </w:r>
      <w:r w:rsidRPr="00817FC2" w:rsidR="00F7564A">
        <w:t>in order to best</w:t>
      </w:r>
      <w:r w:rsidRPr="00817FC2" w:rsidR="001D14BE">
        <w:t xml:space="preserve"> </w:t>
      </w:r>
      <w:r w:rsidRPr="00817FC2" w:rsidR="00F7564A">
        <w:t xml:space="preserve">accommodate </w:t>
      </w:r>
      <w:r w:rsidRPr="00817FC2" w:rsidR="000813DC">
        <w:t xml:space="preserve">any </w:t>
      </w:r>
      <w:r w:rsidRPr="00817FC2" w:rsidR="009015FA">
        <w:t xml:space="preserve">database or processing </w:t>
      </w:r>
      <w:r w:rsidRPr="00817FC2" w:rsidR="005D46B3">
        <w:t xml:space="preserve">conditions </w:t>
      </w:r>
      <w:r w:rsidRPr="00817FC2" w:rsidR="00F7564A">
        <w:t xml:space="preserve">unique to </w:t>
      </w:r>
      <w:r w:rsidRPr="00817FC2" w:rsidR="005D46B3">
        <w:t>each</w:t>
      </w:r>
      <w:r w:rsidRPr="00817FC2" w:rsidR="00F7564A">
        <w:t xml:space="preserve"> particular filing window</w:t>
      </w:r>
      <w:r w:rsidRPr="00817FC2" w:rsidR="00FA4F88">
        <w:t>.</w:t>
      </w:r>
      <w:r w:rsidRPr="00817FC2" w:rsidR="00EE4370">
        <w:t xml:space="preserve"> </w:t>
      </w:r>
      <w:r w:rsidRPr="00817FC2" w:rsidR="003F4388">
        <w:rPr>
          <w:i/>
          <w:iCs/>
        </w:rPr>
        <w:t xml:space="preserve"> </w:t>
      </w:r>
      <w:r w:rsidRPr="00817FC2" w:rsidR="00F60FAB">
        <w:rPr>
          <w:i/>
          <w:iCs/>
        </w:rPr>
        <w:t>See</w:t>
      </w:r>
      <w:r w:rsidRPr="00817FC2" w:rsidR="00CC4154">
        <w:rPr>
          <w:i/>
          <w:iCs/>
        </w:rPr>
        <w:t>,</w:t>
      </w:r>
      <w:r w:rsidRPr="00817FC2" w:rsidR="00F60FAB">
        <w:t xml:space="preserve"> </w:t>
      </w:r>
      <w:r w:rsidRPr="00817FC2" w:rsidR="00F60FAB">
        <w:rPr>
          <w:i/>
          <w:iCs/>
        </w:rPr>
        <w:t>e.g</w:t>
      </w:r>
      <w:r w:rsidRPr="00817FC2" w:rsidR="00F60FAB">
        <w:t>., note</w:t>
      </w:r>
      <w:r w:rsidRPr="00817FC2" w:rsidR="00964962">
        <w:t>s</w:t>
      </w:r>
      <w:r w:rsidRPr="00817FC2" w:rsidR="00F60FAB">
        <w:t xml:space="preserve"> </w:t>
      </w:r>
      <w:r w:rsidRPr="00817FC2" w:rsidR="00964962">
        <w:t>6</w:t>
      </w:r>
      <w:r w:rsidRPr="00817FC2" w:rsidR="00D36D97">
        <w:t>3</w:t>
      </w:r>
      <w:r w:rsidRPr="00817FC2" w:rsidR="00522029">
        <w:t xml:space="preserve"> and</w:t>
      </w:r>
      <w:r w:rsidRPr="00817FC2" w:rsidR="00816716">
        <w:t xml:space="preserve"> </w:t>
      </w:r>
      <w:r w:rsidRPr="00817FC2" w:rsidR="009515DC">
        <w:t>6</w:t>
      </w:r>
      <w:r w:rsidRPr="00817FC2" w:rsidR="00D36D97">
        <w:t>4</w:t>
      </w:r>
      <w:r w:rsidRPr="00817FC2" w:rsidR="00F60FAB">
        <w:t xml:space="preserve"> </w:t>
      </w:r>
      <w:r w:rsidRPr="00817FC2" w:rsidR="00F60FAB">
        <w:rPr>
          <w:i/>
          <w:iCs/>
        </w:rPr>
        <w:t>supra</w:t>
      </w:r>
      <w:r w:rsidRPr="00817FC2" w:rsidR="00F60FAB">
        <w:t xml:space="preserve">.  </w:t>
      </w:r>
      <w:r w:rsidRPr="00817FC2" w:rsidR="00165F4B">
        <w:t xml:space="preserve">For example, in the case of the 2023 LPFM </w:t>
      </w:r>
      <w:r w:rsidRPr="00817FC2" w:rsidR="00CC4154">
        <w:t>w</w:t>
      </w:r>
      <w:r w:rsidRPr="00817FC2" w:rsidR="00165F4B">
        <w:t xml:space="preserve">indow, the </w:t>
      </w:r>
      <w:r w:rsidRPr="00817FC2" w:rsidR="001D027E">
        <w:t>LPFM window Procedures P</w:t>
      </w:r>
      <w:r w:rsidRPr="00817FC2" w:rsidR="00F96A97">
        <w:t>ublic Notice</w:t>
      </w:r>
      <w:r w:rsidRPr="00817FC2" w:rsidR="001D027E">
        <w:t xml:space="preserve"> </w:t>
      </w:r>
      <w:r w:rsidRPr="00817FC2" w:rsidR="00165F4B">
        <w:t xml:space="preserve">was </w:t>
      </w:r>
      <w:r w:rsidRPr="00817FC2" w:rsidR="001D027E">
        <w:t>released July 31, 2023</w:t>
      </w:r>
      <w:r w:rsidRPr="00817FC2" w:rsidR="001E4A7E">
        <w:t>, and the filing freeze began September 1, 2023</w:t>
      </w:r>
      <w:r w:rsidRPr="00817FC2" w:rsidR="00FF0928">
        <w:t xml:space="preserve">. </w:t>
      </w:r>
      <w:r w:rsidRPr="00817FC2" w:rsidR="007344B1">
        <w:t xml:space="preserve"> </w:t>
      </w:r>
      <w:r w:rsidRPr="00817FC2" w:rsidR="00D87AB3">
        <w:t>The freeze continued in effect until the close of the application filing window</w:t>
      </w:r>
      <w:r w:rsidRPr="00817FC2" w:rsidR="00BD3A1C">
        <w:t>, December 15, 2023</w:t>
      </w:r>
      <w:r w:rsidRPr="00817FC2" w:rsidR="00D87AB3">
        <w:t>.</w:t>
      </w:r>
      <w:r w:rsidRPr="00817FC2" w:rsidR="00294C82">
        <w:rPr>
          <w:rFonts w:ascii="TimesNewRomanPSMT" w:hAnsi="TimesNewRomanPSMT" w:cs="TimesNewRomanPSMT"/>
        </w:rPr>
        <w:t xml:space="preserve"> </w:t>
      </w:r>
      <w:r w:rsidRPr="00817FC2" w:rsidR="000439D1">
        <w:rPr>
          <w:rFonts w:ascii="TimesNewRomanPSMT" w:hAnsi="TimesNewRomanPSMT" w:cs="TimesNewRomanPSMT"/>
        </w:rPr>
        <w:t xml:space="preserve"> </w:t>
      </w:r>
      <w:r w:rsidRPr="00817FC2" w:rsidR="00F96A97">
        <w:rPr>
          <w:rFonts w:ascii="TimesNewRomanPSMT" w:hAnsi="TimesNewRomanPSMT" w:cs="TimesNewRomanPSMT"/>
          <w:i/>
          <w:iCs/>
        </w:rPr>
        <w:t>LPFM</w:t>
      </w:r>
      <w:r w:rsidRPr="00817FC2" w:rsidR="00F96A97">
        <w:rPr>
          <w:rFonts w:ascii="TimesNewRomanPSMT" w:hAnsi="TimesNewRomanPSMT" w:cs="TimesNewRomanPSMT"/>
        </w:rPr>
        <w:t xml:space="preserve"> </w:t>
      </w:r>
      <w:r w:rsidRPr="00817FC2" w:rsidR="00294C82">
        <w:rPr>
          <w:rFonts w:ascii="TimesNewRomanPS-ItalicMT" w:hAnsi="TimesNewRomanPS-ItalicMT" w:cs="TimesNewRomanPS-ItalicMT"/>
          <w:i/>
          <w:iCs/>
        </w:rPr>
        <w:t>Procedures Public Notice</w:t>
      </w:r>
      <w:r w:rsidRPr="00817FC2" w:rsidR="001E4A7E">
        <w:rPr>
          <w:rFonts w:ascii="TimesNewRomanPSMT" w:hAnsi="TimesNewRomanPSMT" w:cs="TimesNewRomanPSMT"/>
        </w:rPr>
        <w:t>, 38 FCC Rcd</w:t>
      </w:r>
      <w:r w:rsidRPr="00817FC2" w:rsidR="00D87AB3">
        <w:rPr>
          <w:rFonts w:ascii="TimesNewRomanPSMT" w:hAnsi="TimesNewRomanPSMT" w:cs="TimesNewRomanPSMT"/>
        </w:rPr>
        <w:t xml:space="preserve"> at 6660.</w:t>
      </w:r>
      <w:r w:rsidRPr="00817FC2" w:rsidR="00294C82">
        <w:rPr>
          <w:rFonts w:ascii="TimesNewRomanPSMT" w:hAnsi="TimesNewRomanPSMT" w:cs="TimesNewRomanPSMT"/>
        </w:rPr>
        <w:t xml:space="preserve"> </w:t>
      </w:r>
      <w:r w:rsidRPr="00817FC2" w:rsidR="00FF0928">
        <w:rPr>
          <w:rFonts w:ascii="TimesNewRomanPSMT" w:hAnsi="TimesNewRomanPSMT" w:cs="TimesNewRomanPSMT"/>
        </w:rPr>
        <w:t xml:space="preserve"> </w:t>
      </w:r>
      <w:r w:rsidRPr="00817FC2" w:rsidR="00294C82">
        <w:rPr>
          <w:rFonts w:ascii="TimesNewRomanPSMT" w:hAnsi="TimesNewRomanPSMT" w:cs="TimesNewRomanPSMT"/>
        </w:rPr>
        <w:t>Based on a request</w:t>
      </w:r>
      <w:r w:rsidRPr="00817FC2" w:rsidR="00FF0928">
        <w:rPr>
          <w:i/>
          <w:iCs/>
        </w:rPr>
        <w:t xml:space="preserve"> </w:t>
      </w:r>
      <w:r w:rsidRPr="00817FC2" w:rsidR="00294C82">
        <w:rPr>
          <w:rFonts w:ascii="TimesNewRomanPSMT" w:hAnsi="TimesNewRomanPSMT" w:cs="TimesNewRomanPSMT"/>
        </w:rPr>
        <w:t xml:space="preserve">from LPFM advocates, the Bureau subsequently delayed the window until December 6, 2023. </w:t>
      </w:r>
      <w:r w:rsidRPr="00817FC2" w:rsidR="00FF0928">
        <w:rPr>
          <w:rFonts w:ascii="TimesNewRomanPSMT" w:hAnsi="TimesNewRomanPSMT" w:cs="TimesNewRomanPSMT"/>
        </w:rPr>
        <w:t xml:space="preserve"> </w:t>
      </w:r>
      <w:r w:rsidRPr="00817FC2" w:rsidR="00294C82">
        <w:rPr>
          <w:rFonts w:ascii="TimesNewRomanPS-ItalicMT" w:hAnsi="TimesNewRomanPS-ItalicMT" w:cs="TimesNewRomanPS-ItalicMT"/>
          <w:i/>
          <w:iCs/>
        </w:rPr>
        <w:t>Media Bureau</w:t>
      </w:r>
      <w:r w:rsidRPr="00817FC2" w:rsidR="00FF0928">
        <w:rPr>
          <w:i/>
          <w:iCs/>
        </w:rPr>
        <w:t xml:space="preserve"> </w:t>
      </w:r>
      <w:r w:rsidRPr="00817FC2" w:rsidR="00294C82">
        <w:rPr>
          <w:rFonts w:ascii="TimesNewRomanPS-ItalicMT" w:hAnsi="TimesNewRomanPS-ItalicMT" w:cs="TimesNewRomanPS-ItalicMT"/>
          <w:i/>
          <w:iCs/>
        </w:rPr>
        <w:t>Announces Revised Dates for LPFM New Station Application Filing Window</w:t>
      </w:r>
      <w:r w:rsidRPr="00817FC2" w:rsidR="00294C82">
        <w:rPr>
          <w:rFonts w:ascii="TimesNewRomanPSMT" w:hAnsi="TimesNewRomanPSMT" w:cs="TimesNewRomanPSMT"/>
        </w:rPr>
        <w:t>, Public Notice, 38 FCC Rcd 9589 (MB</w:t>
      </w:r>
      <w:r w:rsidRPr="00817FC2" w:rsidR="00FF0928">
        <w:rPr>
          <w:i/>
          <w:iCs/>
        </w:rPr>
        <w:t xml:space="preserve"> </w:t>
      </w:r>
      <w:r w:rsidRPr="00817FC2" w:rsidR="00294C82">
        <w:rPr>
          <w:rFonts w:ascii="TimesNewRomanPSMT" w:hAnsi="TimesNewRomanPSMT" w:cs="TimesNewRomanPSMT"/>
        </w:rPr>
        <w:t xml:space="preserve">2023). </w:t>
      </w:r>
      <w:r w:rsidRPr="00817FC2" w:rsidR="00FF0928">
        <w:rPr>
          <w:rFonts w:ascii="TimesNewRomanPSMT" w:hAnsi="TimesNewRomanPSMT" w:cs="TimesNewRomanPSMT"/>
        </w:rPr>
        <w:t xml:space="preserve"> </w:t>
      </w:r>
      <w:r w:rsidRPr="00817FC2" w:rsidR="00294C82">
        <w:rPr>
          <w:rFonts w:ascii="TimesNewRomanPSMT" w:hAnsi="TimesNewRomanPSMT" w:cs="TimesNewRomanPSMT"/>
        </w:rPr>
        <w:t xml:space="preserve">The Bureau subsequently extended the close of the window until December 15, 2023. </w:t>
      </w:r>
      <w:r w:rsidRPr="00817FC2" w:rsidR="00364A1C">
        <w:rPr>
          <w:rFonts w:ascii="TimesNewRomanPSMT" w:hAnsi="TimesNewRomanPSMT" w:cs="TimesNewRomanPSMT"/>
        </w:rPr>
        <w:t xml:space="preserve"> </w:t>
      </w:r>
      <w:r w:rsidRPr="00817FC2" w:rsidR="00294C82">
        <w:rPr>
          <w:rFonts w:ascii="TimesNewRomanPS-ItalicMT" w:hAnsi="TimesNewRomanPS-ItalicMT" w:cs="TimesNewRomanPS-ItalicMT"/>
          <w:i/>
          <w:iCs/>
        </w:rPr>
        <w:t>Media Bureau</w:t>
      </w:r>
      <w:r w:rsidRPr="00817FC2" w:rsidR="000C0C0E">
        <w:rPr>
          <w:i/>
          <w:iCs/>
        </w:rPr>
        <w:t xml:space="preserve"> </w:t>
      </w:r>
      <w:r w:rsidRPr="00817FC2" w:rsidR="00294C82">
        <w:rPr>
          <w:rFonts w:ascii="TimesNewRomanPS-ItalicMT" w:hAnsi="TimesNewRomanPS-ItalicMT" w:cs="TimesNewRomanPS-ItalicMT"/>
          <w:i/>
          <w:iCs/>
        </w:rPr>
        <w:t>Announces Extension of LPFM New Station Application Filing Window</w:t>
      </w:r>
      <w:r w:rsidRPr="00817FC2" w:rsidR="00294C82">
        <w:rPr>
          <w:rFonts w:ascii="TimesNewRomanPSMT" w:hAnsi="TimesNewRomanPSMT" w:cs="TimesNewRomanPSMT"/>
        </w:rPr>
        <w:t>, Public Notice, 38 FCC Rcd 11882 (MB</w:t>
      </w:r>
      <w:r w:rsidRPr="00817FC2" w:rsidR="000C0C0E">
        <w:rPr>
          <w:rFonts w:ascii="TimesNewRomanPSMT" w:hAnsi="TimesNewRomanPSMT" w:cs="TimesNewRomanPSMT"/>
        </w:rPr>
        <w:t xml:space="preserve"> </w:t>
      </w:r>
      <w:r w:rsidRPr="00817FC2" w:rsidR="00294C82">
        <w:rPr>
          <w:rFonts w:ascii="TimesNewRomanPSMT" w:hAnsi="TimesNewRomanPSMT" w:cs="TimesNewRomanPSMT"/>
        </w:rPr>
        <w:t>2023).</w:t>
      </w:r>
    </w:p>
  </w:footnote>
  <w:footnote w:id="70">
    <w:p w:rsidR="002520F8" w:rsidRPr="00817FC2" w:rsidP="00D07A9C" w14:paraId="2458193E" w14:textId="4880FA90">
      <w:pPr>
        <w:pStyle w:val="FootnoteText"/>
      </w:pPr>
      <w:r w:rsidRPr="00817FC2">
        <w:rPr>
          <w:rStyle w:val="FootnoteReference"/>
        </w:rPr>
        <w:footnoteRef/>
      </w:r>
      <w:r w:rsidRPr="00817FC2">
        <w:t xml:space="preserve"> </w:t>
      </w:r>
      <w:r w:rsidRPr="00817FC2">
        <w:rPr>
          <w:i/>
          <w:iCs/>
        </w:rPr>
        <w:t>NPRM</w:t>
      </w:r>
      <w:r w:rsidRPr="00817FC2" w:rsidR="002C0273">
        <w:t>,</w:t>
      </w:r>
      <w:r w:rsidRPr="00817FC2">
        <w:rPr>
          <w:i/>
          <w:iCs/>
        </w:rPr>
        <w:t xml:space="preserve"> </w:t>
      </w:r>
      <w:r w:rsidRPr="00817FC2" w:rsidR="002C0273">
        <w:t xml:space="preserve">39 FCC Rcd at </w:t>
      </w:r>
      <w:r w:rsidRPr="00817FC2">
        <w:t>13963-65, paras. 25-28.</w:t>
      </w:r>
    </w:p>
  </w:footnote>
  <w:footnote w:id="71">
    <w:p w:rsidR="00C31913" w:rsidRPr="00817FC2" w:rsidP="00D07A9C" w14:paraId="150B582E" w14:textId="7B30C7FF">
      <w:pPr>
        <w:pStyle w:val="FootnoteText"/>
      </w:pPr>
      <w:r w:rsidRPr="00817FC2">
        <w:rPr>
          <w:rStyle w:val="FootnoteReference"/>
        </w:rPr>
        <w:footnoteRef/>
      </w:r>
      <w:r w:rsidRPr="00817FC2">
        <w:t xml:space="preserve"> Prometheus Comments at 4, REC Comments at 12, REC Reply Comments at 2, Common Frequency </w:t>
      </w:r>
      <w:r w:rsidRPr="00817FC2">
        <w:rPr>
          <w:i/>
          <w:iCs/>
        </w:rPr>
        <w:t xml:space="preserve">Ex </w:t>
      </w:r>
      <w:r w:rsidRPr="00817FC2">
        <w:rPr>
          <w:i/>
          <w:iCs/>
        </w:rPr>
        <w:t>Parte</w:t>
      </w:r>
      <w:r w:rsidRPr="00817FC2">
        <w:t xml:space="preserve"> Comments at 2. </w:t>
      </w:r>
    </w:p>
  </w:footnote>
  <w:footnote w:id="72">
    <w:p w:rsidR="008A52A5" w:rsidRPr="00817FC2" w:rsidP="00D07A9C" w14:paraId="6F7A07E8" w14:textId="01FC4294">
      <w:pPr>
        <w:pStyle w:val="FootnoteText"/>
      </w:pPr>
      <w:r w:rsidRPr="00817FC2">
        <w:rPr>
          <w:rStyle w:val="FootnoteReference"/>
        </w:rPr>
        <w:footnoteRef/>
      </w:r>
      <w:r w:rsidRPr="00817FC2">
        <w:t xml:space="preserve"> Prometheus Comments at 3-6, Public Broadcasters Comments at 2-5, Common Frequency </w:t>
      </w:r>
      <w:r w:rsidRPr="00817FC2">
        <w:rPr>
          <w:i/>
          <w:iCs/>
        </w:rPr>
        <w:t xml:space="preserve">Ex </w:t>
      </w:r>
      <w:r w:rsidRPr="00817FC2">
        <w:rPr>
          <w:i/>
          <w:iCs/>
        </w:rPr>
        <w:t>Parte</w:t>
      </w:r>
      <w:r w:rsidRPr="00817FC2" w:rsidR="00B43DA8">
        <w:rPr>
          <w:i/>
          <w:iCs/>
        </w:rPr>
        <w:t xml:space="preserve"> </w:t>
      </w:r>
      <w:r w:rsidRPr="00817FC2">
        <w:t>Comments at 1-2.</w:t>
      </w:r>
    </w:p>
  </w:footnote>
  <w:footnote w:id="73">
    <w:p w:rsidR="00F5780B" w:rsidRPr="00817FC2" w:rsidP="00D07A9C" w14:paraId="4F05535C" w14:textId="415FF738">
      <w:pPr>
        <w:pStyle w:val="FootnoteText"/>
      </w:pPr>
      <w:r w:rsidRPr="00817FC2">
        <w:rPr>
          <w:rStyle w:val="FootnoteReference"/>
        </w:rPr>
        <w:footnoteRef/>
      </w:r>
      <w:r w:rsidRPr="00817FC2">
        <w:t xml:space="preserve"> </w:t>
      </w:r>
      <w:r w:rsidRPr="00817FC2" w:rsidR="004C269E">
        <w:t xml:space="preserve">Prometheus Comments at 3-6. Public Broadcasters Comments at </w:t>
      </w:r>
      <w:r w:rsidRPr="00817FC2" w:rsidR="00E5047D">
        <w:t>2-5.</w:t>
      </w:r>
    </w:p>
  </w:footnote>
  <w:footnote w:id="74">
    <w:p w:rsidR="00772E10" w:rsidRPr="00817FC2" w:rsidP="00D07A9C" w14:paraId="1CF2A1BD" w14:textId="0DEA2F15">
      <w:pPr>
        <w:pStyle w:val="FootnoteText"/>
      </w:pPr>
      <w:r w:rsidRPr="00817FC2">
        <w:rPr>
          <w:rStyle w:val="FootnoteReference"/>
        </w:rPr>
        <w:footnoteRef/>
      </w:r>
      <w:r w:rsidRPr="00817FC2">
        <w:t xml:space="preserve"> REC Comments at </w:t>
      </w:r>
      <w:r w:rsidRPr="00817FC2" w:rsidR="006E46F3">
        <w:t xml:space="preserve">14, </w:t>
      </w:r>
      <w:r w:rsidRPr="00817FC2" w:rsidR="006434E4">
        <w:t xml:space="preserve">REC Reply Comments </w:t>
      </w:r>
      <w:r w:rsidRPr="00817FC2" w:rsidR="00B30D80">
        <w:t>a</w:t>
      </w:r>
      <w:r w:rsidRPr="00817FC2" w:rsidR="006434E4">
        <w:t>t 7.</w:t>
      </w:r>
    </w:p>
  </w:footnote>
  <w:footnote w:id="75">
    <w:p w:rsidR="008A52A5" w:rsidRPr="00817FC2" w:rsidP="00D07A9C" w14:paraId="3CEE73C8" w14:textId="5A85ADA7">
      <w:pPr>
        <w:pStyle w:val="FootnoteText"/>
      </w:pPr>
      <w:r w:rsidRPr="00817FC2">
        <w:rPr>
          <w:rStyle w:val="FootnoteReference"/>
        </w:rPr>
        <w:footnoteRef/>
      </w:r>
      <w:r w:rsidRPr="00817FC2">
        <w:t xml:space="preserve"> Prometheus Comments at 3.</w:t>
      </w:r>
    </w:p>
  </w:footnote>
  <w:footnote w:id="76">
    <w:p w:rsidR="004619A5" w:rsidRPr="00817FC2" w:rsidP="00D07A9C" w14:paraId="7CF3E3AB" w14:textId="77777777">
      <w:pPr>
        <w:pStyle w:val="FootnoteText"/>
      </w:pPr>
      <w:r w:rsidRPr="00817FC2">
        <w:rPr>
          <w:rStyle w:val="FootnoteReference"/>
        </w:rPr>
        <w:footnoteRef/>
      </w:r>
      <w:r w:rsidRPr="00817FC2">
        <w:t xml:space="preserve"> </w:t>
      </w:r>
      <w:r w:rsidRPr="00817FC2">
        <w:rPr>
          <w:i/>
          <w:iCs/>
        </w:rPr>
        <w:t>Id.</w:t>
      </w:r>
      <w:r w:rsidRPr="00817FC2">
        <w:t xml:space="preserve"> at 4-5.  </w:t>
      </w:r>
    </w:p>
  </w:footnote>
  <w:footnote w:id="77">
    <w:p w:rsidR="00E91C71" w:rsidRPr="00817FC2" w:rsidP="00D07A9C" w14:paraId="0CBB89E2" w14:textId="55AFC896">
      <w:pPr>
        <w:pStyle w:val="FootnoteText"/>
      </w:pPr>
      <w:r w:rsidRPr="00817FC2">
        <w:rPr>
          <w:rStyle w:val="FootnoteReference"/>
        </w:rPr>
        <w:footnoteRef/>
      </w:r>
      <w:r w:rsidRPr="00817FC2">
        <w:t xml:space="preserve"> </w:t>
      </w:r>
      <w:r w:rsidRPr="00817FC2">
        <w:rPr>
          <w:i/>
          <w:iCs/>
        </w:rPr>
        <w:t>Id</w:t>
      </w:r>
      <w:r w:rsidRPr="00817FC2">
        <w:t>.</w:t>
      </w:r>
      <w:r w:rsidRPr="00817FC2" w:rsidR="008558B9">
        <w:t xml:space="preserve">   </w:t>
      </w:r>
      <w:r w:rsidRPr="00817FC2" w:rsidR="009D7275">
        <w:t>Since the goal of the Signature Rule is to assure that the application is not fraudulent, Prometheus submits that the issue is not which signature appears as the certifier, but whether the applicat</w:t>
      </w:r>
      <w:r w:rsidRPr="00817FC2" w:rsidR="0024524A">
        <w:t>ion</w:t>
      </w:r>
      <w:r w:rsidRPr="00817FC2" w:rsidR="009D7275">
        <w:t xml:space="preserve"> represents the </w:t>
      </w:r>
      <w:r w:rsidRPr="00817FC2" w:rsidR="0024524A">
        <w:t>“</w:t>
      </w:r>
      <w:r w:rsidRPr="00817FC2" w:rsidR="009D7275">
        <w:t>will of the organization.</w:t>
      </w:r>
      <w:r w:rsidRPr="00817FC2" w:rsidR="0024524A">
        <w:t>”</w:t>
      </w:r>
      <w:r w:rsidRPr="00817FC2" w:rsidR="009D7275">
        <w:t xml:space="preserve">  Therefore, </w:t>
      </w:r>
      <w:r w:rsidRPr="00817FC2" w:rsidR="008558B9">
        <w:t xml:space="preserve">Prometheus suggests that </w:t>
      </w:r>
      <w:r w:rsidRPr="00817FC2" w:rsidR="005C2602">
        <w:t xml:space="preserve">certification signatures from parties in interest listed in the application should generally be assumed to represent </w:t>
      </w:r>
      <w:r w:rsidRPr="00817FC2" w:rsidR="008558B9">
        <w:t xml:space="preserve">the “will of the organization;” </w:t>
      </w:r>
      <w:r w:rsidRPr="00817FC2" w:rsidR="005C2602">
        <w:t xml:space="preserve">signatures </w:t>
      </w:r>
      <w:r w:rsidRPr="00817FC2" w:rsidR="00492F15">
        <w:t>from non-</w:t>
      </w:r>
      <w:r w:rsidRPr="00817FC2" w:rsidR="005C2602">
        <w:t xml:space="preserve">parties in interest may </w:t>
      </w:r>
      <w:r w:rsidRPr="00817FC2" w:rsidR="00492F15">
        <w:t>prompt</w:t>
      </w:r>
      <w:r w:rsidRPr="00817FC2" w:rsidR="005C2602">
        <w:t xml:space="preserve"> </w:t>
      </w:r>
      <w:r w:rsidRPr="00817FC2" w:rsidR="00492F15">
        <w:t xml:space="preserve">a </w:t>
      </w:r>
      <w:r w:rsidRPr="00817FC2" w:rsidR="005C2602">
        <w:t xml:space="preserve">request from the Commission for proof that the application represents the </w:t>
      </w:r>
      <w:r w:rsidRPr="00817FC2" w:rsidR="009D7275">
        <w:t xml:space="preserve">legal </w:t>
      </w:r>
      <w:r w:rsidRPr="00817FC2" w:rsidR="005C2602">
        <w:t>will of the organization, in a manner similar to how missing corporate-status documents are currently handled.</w:t>
      </w:r>
      <w:r w:rsidRPr="00817FC2" w:rsidR="008558B9">
        <w:t xml:space="preserve"> </w:t>
      </w:r>
      <w:r w:rsidRPr="00817FC2" w:rsidR="00492F15">
        <w:t xml:space="preserve"> </w:t>
      </w:r>
      <w:r w:rsidRPr="00817FC2" w:rsidR="00492F15">
        <w:rPr>
          <w:i/>
          <w:iCs/>
        </w:rPr>
        <w:t>Id</w:t>
      </w:r>
      <w:r w:rsidRPr="00817FC2" w:rsidR="00492F15">
        <w:t>.</w:t>
      </w:r>
    </w:p>
  </w:footnote>
  <w:footnote w:id="78">
    <w:p w:rsidR="00B50F66" w:rsidRPr="00817FC2" w:rsidP="00D07A9C" w14:paraId="54CA643F" w14:textId="5D76DDAE">
      <w:pPr>
        <w:pStyle w:val="FootnoteText"/>
      </w:pPr>
      <w:r w:rsidRPr="00817FC2">
        <w:rPr>
          <w:rStyle w:val="FootnoteReference"/>
        </w:rPr>
        <w:footnoteRef/>
      </w:r>
      <w:r w:rsidRPr="00817FC2">
        <w:t xml:space="preserve"> Common Frequency </w:t>
      </w:r>
      <w:r w:rsidRPr="00817FC2">
        <w:rPr>
          <w:i/>
          <w:iCs/>
        </w:rPr>
        <w:t xml:space="preserve">Ex </w:t>
      </w:r>
      <w:r w:rsidRPr="00817FC2">
        <w:rPr>
          <w:i/>
          <w:iCs/>
        </w:rPr>
        <w:t>Parte</w:t>
      </w:r>
      <w:r w:rsidRPr="00817FC2">
        <w:t xml:space="preserve"> Comments at 2.</w:t>
      </w:r>
    </w:p>
  </w:footnote>
  <w:footnote w:id="79">
    <w:p w:rsidR="002520F8" w:rsidRPr="00817FC2" w:rsidP="00D07A9C" w14:paraId="78B54C23" w14:textId="78A6457A">
      <w:pPr>
        <w:pStyle w:val="FootnoteText"/>
      </w:pPr>
      <w:r w:rsidRPr="00817FC2">
        <w:rPr>
          <w:rStyle w:val="FootnoteReference"/>
        </w:rPr>
        <w:footnoteRef/>
      </w:r>
      <w:r w:rsidRPr="00817FC2">
        <w:t xml:space="preserve"> Public Broadcasters Comments at 2.</w:t>
      </w:r>
      <w:r w:rsidRPr="00817FC2" w:rsidR="00304393">
        <w:t xml:space="preserve">  Section 73.3513(a)(5) specifically applies to Governmental Entities: “(a) Applications, amendments thereto, and related statements of fact required by the FCC must be signed by the following persons:  … (5) </w:t>
      </w:r>
      <w:r w:rsidRPr="00817FC2" w:rsidR="00304393">
        <w:rPr>
          <w:b/>
          <w:bCs/>
          <w:i/>
          <w:iCs/>
        </w:rPr>
        <w:t>Governmental Entity.</w:t>
      </w:r>
      <w:r w:rsidRPr="00817FC2" w:rsidR="00304393">
        <w:t xml:space="preserve">  Such duly elected or appointed officials as may be competent to do so under the law of the applicable jurisdiction, if the applicant is an eligible governmental entity, such as a State or Territory of the United States and political subdivisions thereof, the District of Columbia, and a unit of local government, including an unincorporated municipality.”</w:t>
      </w:r>
    </w:p>
  </w:footnote>
  <w:footnote w:id="80">
    <w:p w:rsidR="002520F8" w:rsidRPr="00817FC2" w:rsidP="00D07A9C" w14:paraId="5E36E435" w14:textId="412B772B">
      <w:pPr>
        <w:pStyle w:val="FootnoteText"/>
      </w:pPr>
      <w:r w:rsidRPr="00817FC2">
        <w:rPr>
          <w:rStyle w:val="FootnoteReference"/>
        </w:rPr>
        <w:footnoteRef/>
      </w:r>
      <w:r w:rsidRPr="00817FC2">
        <w:t xml:space="preserve"> </w:t>
      </w:r>
      <w:r w:rsidRPr="00817FC2" w:rsidR="00004C80">
        <w:t xml:space="preserve">Public Broadcasters Comments </w:t>
      </w:r>
      <w:r w:rsidRPr="00817FC2">
        <w:t>at 3-4.</w:t>
      </w:r>
      <w:r w:rsidRPr="00817FC2" w:rsidR="000243BC">
        <w:t xml:space="preserve">  Public Broadcasters notes that many public broadcasters are state or local governmental entities, including state colleges and universities.  Some public broadcaster licensees are part of large public university systems or large research universities; some are state authorities that hold broadcast licenses for entire statewide public broadcast networks; some are smaller universities that rely on duly authorized employees to manage their broadcast operations.  </w:t>
      </w:r>
      <w:r w:rsidRPr="00817FC2" w:rsidR="000243BC">
        <w:rPr>
          <w:i/>
          <w:iCs/>
        </w:rPr>
        <w:t>Id</w:t>
      </w:r>
      <w:r w:rsidRPr="00817FC2" w:rsidR="000243BC">
        <w:t xml:space="preserve"> at 3.  </w:t>
      </w:r>
    </w:p>
  </w:footnote>
  <w:footnote w:id="81">
    <w:p w:rsidR="00222F7A" w:rsidRPr="00817FC2" w:rsidP="00D07A9C" w14:paraId="32A2C58B" w14:textId="3D008C4A">
      <w:pPr>
        <w:pStyle w:val="FootnoteText"/>
      </w:pPr>
      <w:r w:rsidRPr="00817FC2">
        <w:rPr>
          <w:rStyle w:val="FootnoteReference"/>
        </w:rPr>
        <w:footnoteRef/>
      </w:r>
      <w:r w:rsidRPr="00817FC2">
        <w:t xml:space="preserve"> </w:t>
      </w:r>
      <w:r w:rsidRPr="00817FC2">
        <w:rPr>
          <w:i/>
          <w:iCs/>
        </w:rPr>
        <w:t>Id</w:t>
      </w:r>
      <w:r w:rsidRPr="00817FC2">
        <w:t>. at 3.  Public Broadcasters states that Commission case law offers limited guidance regarding the ability of governmental entities to authorize “duly appointed” signatories, but the Commission has accepted such appointments in practice</w:t>
      </w:r>
      <w:r w:rsidRPr="00817FC2" w:rsidR="004B767C">
        <w:t xml:space="preserve">, citing </w:t>
      </w:r>
      <w:r w:rsidRPr="00817FC2" w:rsidR="004B767C">
        <w:rPr>
          <w:i/>
          <w:iCs/>
        </w:rPr>
        <w:t>Bloomfield Hills School District</w:t>
      </w:r>
      <w:r w:rsidRPr="00817FC2" w:rsidR="004B767C">
        <w:t xml:space="preserve">, Memorandum Opinion and Order and Notice of Apparent Liability for Forfeiture, 22 FCC Rcd 14055, 14058-59 (MB 2007) </w:t>
      </w:r>
      <w:r w:rsidRPr="00817FC2" w:rsidR="003041C9">
        <w:t>(the signatory</w:t>
      </w:r>
      <w:r w:rsidRPr="00817FC2" w:rsidR="00BA4EA0">
        <w:t xml:space="preserve">’s position as </w:t>
      </w:r>
      <w:r w:rsidRPr="00817FC2" w:rsidR="002B037E">
        <w:t>“</w:t>
      </w:r>
      <w:r w:rsidRPr="00817FC2" w:rsidR="00BA4EA0">
        <w:t>ge</w:t>
      </w:r>
      <w:r w:rsidRPr="00817FC2" w:rsidR="003041C9">
        <w:t xml:space="preserve">neral manager” </w:t>
      </w:r>
      <w:r w:rsidRPr="00817FC2" w:rsidR="00BA4EA0">
        <w:t>did</w:t>
      </w:r>
      <w:r w:rsidRPr="00817FC2" w:rsidR="003041C9">
        <w:t xml:space="preserve"> not automatically </w:t>
      </w:r>
      <w:r w:rsidRPr="00817FC2" w:rsidR="00FA65E2">
        <w:t>confer</w:t>
      </w:r>
      <w:r w:rsidRPr="00817FC2" w:rsidR="000D4EDF">
        <w:t xml:space="preserve"> </w:t>
      </w:r>
      <w:r w:rsidRPr="00817FC2" w:rsidR="002B037E">
        <w:t>authority to sign</w:t>
      </w:r>
      <w:r w:rsidRPr="00817FC2" w:rsidR="00075490">
        <w:t xml:space="preserve"> </w:t>
      </w:r>
      <w:r w:rsidRPr="00817FC2" w:rsidR="000D4EDF">
        <w:t>the application</w:t>
      </w:r>
      <w:r w:rsidRPr="00817FC2" w:rsidR="003041C9">
        <w:t xml:space="preserve">, however, because </w:t>
      </w:r>
      <w:r w:rsidRPr="00817FC2" w:rsidR="00515F33">
        <w:t>the applicant</w:t>
      </w:r>
      <w:r w:rsidRPr="00817FC2" w:rsidR="003041C9">
        <w:t xml:space="preserve"> granted the signatory full authority to carry out acts on behalf of the station</w:t>
      </w:r>
      <w:r w:rsidRPr="00817FC2" w:rsidR="00EA2F64">
        <w:t xml:space="preserve">, the signatory </w:t>
      </w:r>
      <w:r w:rsidRPr="00817FC2" w:rsidR="003041C9">
        <w:t>was</w:t>
      </w:r>
      <w:r w:rsidRPr="00817FC2" w:rsidR="00B4398D">
        <w:t xml:space="preserve"> qualified to sign as </w:t>
      </w:r>
      <w:r w:rsidRPr="00817FC2" w:rsidR="003041C9">
        <w:t xml:space="preserve">an appointed official of a governmental entity); </w:t>
      </w:r>
      <w:r w:rsidRPr="00817FC2" w:rsidR="004B767C">
        <w:t xml:space="preserve">and </w:t>
      </w:r>
      <w:r w:rsidRPr="00817FC2" w:rsidR="004B767C">
        <w:rPr>
          <w:i/>
          <w:iCs/>
        </w:rPr>
        <w:t>David T. Murray</w:t>
      </w:r>
      <w:r w:rsidRPr="00817FC2" w:rsidR="004B767C">
        <w:t>, Memorandum Opinion and Order, 5 FCC Rcd 5770</w:t>
      </w:r>
      <w:r w:rsidRPr="00817FC2" w:rsidR="00321B7E">
        <w:t>, 5771</w:t>
      </w:r>
      <w:r w:rsidRPr="00817FC2" w:rsidR="004B767C">
        <w:t xml:space="preserve"> at para. 9 (MB 1990)</w:t>
      </w:r>
      <w:r w:rsidRPr="00817FC2" w:rsidR="00EA2F64">
        <w:t xml:space="preserve"> (</w:t>
      </w:r>
      <w:r w:rsidRPr="00817FC2" w:rsidR="009B780C">
        <w:t xml:space="preserve">holding that </w:t>
      </w:r>
      <w:r w:rsidRPr="00817FC2" w:rsidR="002D6E7F">
        <w:t>signatory was qualified to sign the application becaus</w:t>
      </w:r>
      <w:r w:rsidRPr="00817FC2" w:rsidR="00D12807">
        <w:t>e section 73.3513</w:t>
      </w:r>
      <w:r w:rsidRPr="00817FC2" w:rsidR="00EF7C81">
        <w:t xml:space="preserve">(a)(5) does not </w:t>
      </w:r>
      <w:r w:rsidRPr="00817FC2" w:rsidR="0070448E">
        <w:t xml:space="preserve">specify </w:t>
      </w:r>
      <w:r w:rsidRPr="00817FC2" w:rsidR="00EF7C81">
        <w:t>acceptable titles</w:t>
      </w:r>
      <w:r w:rsidRPr="00817FC2" w:rsidR="0070448E">
        <w:t xml:space="preserve"> for certifying officials</w:t>
      </w:r>
      <w:r w:rsidRPr="00817FC2" w:rsidR="00EF7C81">
        <w:t>, and</w:t>
      </w:r>
      <w:r w:rsidRPr="00817FC2" w:rsidR="009B780C">
        <w:t xml:space="preserve"> the signatory was the </w:t>
      </w:r>
      <w:r w:rsidRPr="00817FC2" w:rsidR="000A0C2B">
        <w:t xml:space="preserve">board-appointed </w:t>
      </w:r>
      <w:r w:rsidRPr="00817FC2" w:rsidR="00423EF7">
        <w:t xml:space="preserve">“general manager and operating head” </w:t>
      </w:r>
      <w:r w:rsidRPr="00817FC2" w:rsidR="009B780C">
        <w:t>of the governmental entity</w:t>
      </w:r>
      <w:r w:rsidRPr="00817FC2" w:rsidR="005775DB">
        <w:t>)</w:t>
      </w:r>
      <w:r w:rsidRPr="00817FC2" w:rsidR="004B767C">
        <w:t xml:space="preserve">. </w:t>
      </w:r>
      <w:r w:rsidRPr="00817FC2">
        <w:t xml:space="preserve"> </w:t>
      </w:r>
    </w:p>
  </w:footnote>
  <w:footnote w:id="82">
    <w:p w:rsidR="002520F8" w:rsidRPr="00817FC2" w:rsidP="00D07A9C" w14:paraId="7ADDAB14" w14:textId="25DD67DD">
      <w:pPr>
        <w:pStyle w:val="FootnoteText"/>
      </w:pPr>
      <w:r w:rsidRPr="00817FC2">
        <w:rPr>
          <w:rStyle w:val="FootnoteReference"/>
        </w:rPr>
        <w:footnoteRef/>
      </w:r>
      <w:r w:rsidRPr="00817FC2">
        <w:t xml:space="preserve"> </w:t>
      </w:r>
      <w:r w:rsidRPr="00817FC2">
        <w:rPr>
          <w:i/>
          <w:iCs/>
        </w:rPr>
        <w:t>Id.</w:t>
      </w:r>
      <w:r w:rsidRPr="00817FC2">
        <w:t xml:space="preserve"> at 4.</w:t>
      </w:r>
    </w:p>
  </w:footnote>
  <w:footnote w:id="83">
    <w:p w:rsidR="002520F8" w:rsidRPr="00817FC2" w:rsidP="00D07A9C" w14:paraId="24F918B3" w14:textId="77777777">
      <w:pPr>
        <w:pStyle w:val="FootnoteText"/>
      </w:pPr>
      <w:r w:rsidRPr="00817FC2">
        <w:rPr>
          <w:rStyle w:val="FootnoteReference"/>
        </w:rPr>
        <w:footnoteRef/>
      </w:r>
      <w:r w:rsidRPr="00817FC2">
        <w:t xml:space="preserve"> REC Reply Comments at 2-3.</w:t>
      </w:r>
    </w:p>
  </w:footnote>
  <w:footnote w:id="84">
    <w:p w:rsidR="00386892" w:rsidRPr="00817FC2" w:rsidP="00D07A9C" w14:paraId="0B397E7C" w14:textId="15E0FAB1">
      <w:pPr>
        <w:pStyle w:val="FootnoteText"/>
      </w:pPr>
      <w:r w:rsidRPr="00817FC2">
        <w:rPr>
          <w:rStyle w:val="FootnoteReference"/>
        </w:rPr>
        <w:footnoteRef/>
      </w:r>
      <w:r w:rsidRPr="00817FC2">
        <w:t xml:space="preserve"> </w:t>
      </w:r>
      <w:r w:rsidRPr="00817FC2">
        <w:rPr>
          <w:i/>
          <w:iCs/>
        </w:rPr>
        <w:t>Id</w:t>
      </w:r>
      <w:r w:rsidRPr="00817FC2">
        <w:t>. at 5.  REC cites to past occurrences</w:t>
      </w:r>
      <w:r w:rsidRPr="00817FC2">
        <w:t xml:space="preserve"> </w:t>
      </w:r>
      <w:r w:rsidRPr="00817FC2">
        <w:t xml:space="preserve">in the 2013 LPFM Window where board members or officers, those with the ultimate responsibility, were unaware that an application had been filed.  </w:t>
      </w:r>
      <w:r w:rsidRPr="00817FC2">
        <w:rPr>
          <w:i/>
          <w:iCs/>
        </w:rPr>
        <w:t>Id</w:t>
      </w:r>
      <w:r w:rsidRPr="00817FC2" w:rsidR="00AC085A">
        <w:rPr>
          <w:i/>
          <w:iCs/>
        </w:rPr>
        <w:t>.</w:t>
      </w:r>
      <w:r w:rsidRPr="00817FC2">
        <w:t xml:space="preserve"> at 4-6.</w:t>
      </w:r>
    </w:p>
  </w:footnote>
  <w:footnote w:id="85">
    <w:p w:rsidR="002520F8" w:rsidRPr="00817FC2" w:rsidP="00D07A9C" w14:paraId="314BF741" w14:textId="27D54C98">
      <w:pPr>
        <w:pStyle w:val="FootnoteText"/>
      </w:pPr>
      <w:r w:rsidRPr="00817FC2">
        <w:rPr>
          <w:rStyle w:val="FootnoteReference"/>
        </w:rPr>
        <w:footnoteRef/>
      </w:r>
      <w:r w:rsidRPr="00817FC2">
        <w:t xml:space="preserve"> REC Comments a</w:t>
      </w:r>
      <w:r w:rsidRPr="00817FC2" w:rsidR="007C177E">
        <w:t>t</w:t>
      </w:r>
      <w:r w:rsidRPr="00817FC2">
        <w:t xml:space="preserve"> 12</w:t>
      </w:r>
      <w:r w:rsidRPr="00817FC2" w:rsidR="00004C80">
        <w:t>-13</w:t>
      </w:r>
      <w:r w:rsidRPr="00817FC2">
        <w:t>; REC Reply Comments at 2.</w:t>
      </w:r>
    </w:p>
  </w:footnote>
  <w:footnote w:id="86">
    <w:p w:rsidR="00220C8D" w:rsidRPr="00817FC2" w:rsidP="00D07A9C" w14:paraId="33E2966A" w14:textId="460A25D3">
      <w:pPr>
        <w:pStyle w:val="FootnoteText"/>
      </w:pPr>
      <w:r w:rsidRPr="00817FC2">
        <w:rPr>
          <w:rStyle w:val="FootnoteReference"/>
        </w:rPr>
        <w:footnoteRef/>
      </w:r>
      <w:r w:rsidRPr="00817FC2">
        <w:t xml:space="preserve"> REC Comments at 11.</w:t>
      </w:r>
      <w:r w:rsidRPr="00817FC2" w:rsidR="007C177E">
        <w:t xml:space="preserve">  </w:t>
      </w:r>
      <w:r w:rsidRPr="00817FC2" w:rsidR="00F73A9A">
        <w:t xml:space="preserve">REC </w:t>
      </w:r>
      <w:r w:rsidRPr="00817FC2" w:rsidR="007C177E">
        <w:t xml:space="preserve">notes that, in the 2023 LPFM window, of the 12 applications it identified with signature violations, </w:t>
      </w:r>
      <w:r w:rsidRPr="00817FC2" w:rsidR="004A3DB1">
        <w:t xml:space="preserve">eight (75%) of those applications did not involve “duly authorized employees,” but instead involved </w:t>
      </w:r>
      <w:r w:rsidRPr="00817FC2" w:rsidR="007C177E">
        <w:t xml:space="preserve">consultants </w:t>
      </w:r>
      <w:r w:rsidRPr="00817FC2" w:rsidR="004A3DB1">
        <w:t>and</w:t>
      </w:r>
      <w:r w:rsidRPr="00817FC2" w:rsidR="007C177E">
        <w:t xml:space="preserve"> technicians</w:t>
      </w:r>
      <w:r w:rsidRPr="00817FC2" w:rsidR="004A3DB1">
        <w:t xml:space="preserve"> that were not under the direct employ of the organization</w:t>
      </w:r>
      <w:r w:rsidRPr="00817FC2" w:rsidR="007C177E">
        <w:t>.</w:t>
      </w:r>
      <w:r w:rsidRPr="00817FC2" w:rsidR="004A3DB1">
        <w:t xml:space="preserve">  </w:t>
      </w:r>
      <w:r w:rsidRPr="00817FC2" w:rsidR="004A3DB1">
        <w:rPr>
          <w:i/>
          <w:iCs/>
        </w:rPr>
        <w:t>Id</w:t>
      </w:r>
      <w:r w:rsidRPr="00817FC2" w:rsidR="004A3DB1">
        <w:t>. at 12.</w:t>
      </w:r>
      <w:r w:rsidRPr="00817FC2" w:rsidR="007C177E">
        <w:t xml:space="preserve">  </w:t>
      </w:r>
    </w:p>
  </w:footnote>
  <w:footnote w:id="87">
    <w:p w:rsidR="00C660BE" w:rsidRPr="00817FC2" w:rsidP="00D07A9C" w14:paraId="4A471949" w14:textId="1130904C">
      <w:pPr>
        <w:pStyle w:val="FootnoteText"/>
      </w:pPr>
      <w:r w:rsidRPr="00817FC2">
        <w:rPr>
          <w:rStyle w:val="FootnoteReference"/>
        </w:rPr>
        <w:footnoteRef/>
      </w:r>
      <w:r w:rsidRPr="00817FC2">
        <w:t xml:space="preserve"> REC Reply Comments at 5-6.</w:t>
      </w:r>
    </w:p>
  </w:footnote>
  <w:footnote w:id="88">
    <w:p w:rsidR="00C64DF2" w:rsidRPr="00817FC2" w:rsidP="00D07A9C" w14:paraId="5B3049A1" w14:textId="33A1983B">
      <w:pPr>
        <w:pStyle w:val="FootnoteText"/>
      </w:pPr>
      <w:r w:rsidRPr="00817FC2">
        <w:rPr>
          <w:rStyle w:val="FootnoteReference"/>
        </w:rPr>
        <w:footnoteRef/>
      </w:r>
      <w:r w:rsidRPr="00817FC2">
        <w:t xml:space="preserve"> To that point, REC contends that the Commission needs to end the policy whereby a signature violation is fatal and non-curable.  Instead, the Commission should permit applicants to make a one-time amendment to their application </w:t>
      </w:r>
      <w:r w:rsidRPr="00817FC2">
        <w:rPr>
          <w:i/>
          <w:iCs/>
        </w:rPr>
        <w:t>nunc pro tunc</w:t>
      </w:r>
      <w:r w:rsidRPr="00817FC2">
        <w:t xml:space="preserve"> to fix the signature rule defect.  </w:t>
      </w:r>
      <w:r w:rsidRPr="00817FC2">
        <w:rPr>
          <w:i/>
          <w:iCs/>
        </w:rPr>
        <w:t>See</w:t>
      </w:r>
      <w:r w:rsidRPr="00817FC2">
        <w:t xml:space="preserve"> </w:t>
      </w:r>
      <w:r w:rsidRPr="00817FC2" w:rsidR="008F5704">
        <w:rPr>
          <w:i/>
          <w:iCs/>
        </w:rPr>
        <w:t>infra</w:t>
      </w:r>
      <w:r w:rsidRPr="00817FC2" w:rsidR="008F5704">
        <w:t xml:space="preserve"> </w:t>
      </w:r>
      <w:r w:rsidRPr="00817FC2">
        <w:t>para. 2</w:t>
      </w:r>
      <w:r w:rsidRPr="00817FC2" w:rsidR="00090491">
        <w:t>5</w:t>
      </w:r>
      <w:r w:rsidRPr="00817FC2" w:rsidR="00495E3A">
        <w:t>.</w:t>
      </w:r>
    </w:p>
  </w:footnote>
  <w:footnote w:id="89">
    <w:p w:rsidR="00242656" w:rsidRPr="00817FC2" w:rsidP="00D07A9C" w14:paraId="54E9CC57" w14:textId="77777777">
      <w:pPr>
        <w:pStyle w:val="FootnoteText"/>
      </w:pPr>
      <w:r w:rsidRPr="00817FC2">
        <w:rPr>
          <w:rStyle w:val="FootnoteReference"/>
        </w:rPr>
        <w:footnoteRef/>
      </w:r>
      <w:r w:rsidRPr="00817FC2">
        <w:t xml:space="preserve"> REC Comments at 14. </w:t>
      </w:r>
    </w:p>
  </w:footnote>
  <w:footnote w:id="90">
    <w:p w:rsidR="00E20E4C" w:rsidRPr="00817FC2" w:rsidP="00D07A9C" w14:paraId="6FF6B87C" w14:textId="37805553">
      <w:pPr>
        <w:pStyle w:val="FootnoteText"/>
      </w:pPr>
      <w:r w:rsidRPr="00817FC2">
        <w:rPr>
          <w:rStyle w:val="FootnoteReference"/>
        </w:rPr>
        <w:footnoteRef/>
      </w:r>
      <w:r w:rsidRPr="00817FC2">
        <w:t xml:space="preserve"> </w:t>
      </w:r>
      <w:r w:rsidRPr="00817FC2">
        <w:rPr>
          <w:i/>
          <w:iCs/>
        </w:rPr>
        <w:t xml:space="preserve">See </w:t>
      </w:r>
      <w:r w:rsidRPr="00817FC2">
        <w:t>47 CFR § 73.3513</w:t>
      </w:r>
      <w:r w:rsidRPr="00817FC2" w:rsidR="00FF6A5D">
        <w:t>(a)(5).</w:t>
      </w:r>
    </w:p>
  </w:footnote>
  <w:footnote w:id="91">
    <w:p w:rsidR="00574E78" w:rsidRPr="00817FC2" w:rsidP="00D07A9C" w14:paraId="0D4431B4" w14:textId="22D09E2E">
      <w:pPr>
        <w:pStyle w:val="FootnoteText"/>
      </w:pPr>
      <w:r w:rsidRPr="00817FC2">
        <w:rPr>
          <w:rStyle w:val="FootnoteReference"/>
        </w:rPr>
        <w:footnoteRef/>
      </w:r>
      <w:r w:rsidRPr="00817FC2">
        <w:t xml:space="preserve"> </w:t>
      </w:r>
      <w:r w:rsidRPr="00817FC2">
        <w:rPr>
          <w:i/>
          <w:iCs/>
        </w:rPr>
        <w:t>See</w:t>
      </w:r>
      <w:r w:rsidRPr="00817FC2" w:rsidR="0020567D">
        <w:rPr>
          <w:i/>
          <w:iCs/>
        </w:rPr>
        <w:t>,</w:t>
      </w:r>
      <w:r w:rsidRPr="00817FC2">
        <w:rPr>
          <w:i/>
          <w:iCs/>
        </w:rPr>
        <w:t xml:space="preserve"> e.g. supra </w:t>
      </w:r>
      <w:r w:rsidRPr="00817FC2">
        <w:t>para. 20.</w:t>
      </w:r>
      <w:r w:rsidRPr="00817FC2" w:rsidR="00CD766D">
        <w:t xml:space="preserve">   </w:t>
      </w:r>
      <w:r w:rsidRPr="00817FC2" w:rsidR="00712505">
        <w:t>We note that this list is not exhaustive.</w:t>
      </w:r>
    </w:p>
  </w:footnote>
  <w:footnote w:id="92">
    <w:p w:rsidR="00FD3551" w:rsidRPr="00817FC2" w:rsidP="00D07A9C" w14:paraId="1BEA71AA" w14:textId="5C31981A">
      <w:pPr>
        <w:pStyle w:val="FootnoteText"/>
      </w:pPr>
      <w:r w:rsidRPr="00817FC2">
        <w:rPr>
          <w:rStyle w:val="FootnoteReference"/>
        </w:rPr>
        <w:footnoteRef/>
      </w:r>
      <w:r w:rsidRPr="00817FC2">
        <w:t xml:space="preserve"> </w:t>
      </w:r>
      <w:r w:rsidRPr="00817FC2" w:rsidR="00395F84">
        <w:t>REC Comments at 12.</w:t>
      </w:r>
    </w:p>
  </w:footnote>
  <w:footnote w:id="93">
    <w:p w:rsidR="00FC278F" w:rsidRPr="002E0E42" w:rsidP="00D07A9C" w14:paraId="39405B22" w14:textId="430FD424">
      <w:pPr>
        <w:pStyle w:val="FootnoteText"/>
      </w:pPr>
      <w:r w:rsidRPr="00817FC2">
        <w:rPr>
          <w:rStyle w:val="FootnoteReference"/>
        </w:rPr>
        <w:footnoteRef/>
      </w:r>
      <w:r w:rsidRPr="00817FC2">
        <w:t xml:space="preserve"> For example, in </w:t>
      </w:r>
      <w:r w:rsidRPr="002E0E42">
        <w:t xml:space="preserve">broadening the definition of who may sign an application to include a duly authorized employee, this definition </w:t>
      </w:r>
      <w:r w:rsidRPr="002E0E42" w:rsidR="003541D2">
        <w:t>does not</w:t>
      </w:r>
      <w:r w:rsidRPr="002E0E42">
        <w:t xml:space="preserve"> include an engineering or technical consultant, as the</w:t>
      </w:r>
      <w:r w:rsidRPr="002E0E42" w:rsidR="00E77B08">
        <w:t>se consultants</w:t>
      </w:r>
      <w:r w:rsidRPr="002E0E42">
        <w:t xml:space="preserve"> are not under the direct </w:t>
      </w:r>
      <w:r w:rsidRPr="002E0E42" w:rsidR="00187DF8">
        <w:t>control</w:t>
      </w:r>
      <w:r w:rsidRPr="002E0E42" w:rsidR="00AD0A1D">
        <w:t xml:space="preserve"> </w:t>
      </w:r>
      <w:r w:rsidRPr="002E0E42">
        <w:t xml:space="preserve">of the </w:t>
      </w:r>
      <w:r w:rsidRPr="002E0E42" w:rsidR="00AD0A1D">
        <w:t>applicant</w:t>
      </w:r>
      <w:r w:rsidRPr="002E0E42" w:rsidR="003541D2">
        <w:t xml:space="preserve"> </w:t>
      </w:r>
      <w:r w:rsidRPr="002E0E42">
        <w:t>organization.</w:t>
      </w:r>
      <w:r w:rsidRPr="002E0E42" w:rsidR="009F1FA3">
        <w:t xml:space="preserve">  REC Comments at </w:t>
      </w:r>
      <w:r w:rsidRPr="002E0E42" w:rsidR="00BA02C4">
        <w:t>12.</w:t>
      </w:r>
    </w:p>
  </w:footnote>
  <w:footnote w:id="94">
    <w:p w:rsidR="00F63751" w:rsidRPr="002E0E42" w:rsidP="00D07A9C" w14:paraId="1AAEA9C1" w14:textId="21F2A409">
      <w:pPr>
        <w:pStyle w:val="FootnoteText"/>
      </w:pPr>
      <w:r w:rsidRPr="002E0E42">
        <w:rPr>
          <w:rStyle w:val="FootnoteReference"/>
        </w:rPr>
        <w:footnoteRef/>
      </w:r>
      <w:r w:rsidRPr="002E0E42">
        <w:t xml:space="preserve"> See Amendment of Parts 1, 81, 83, 87, 89, 91, 93, 94 and 95 of the Commission’s </w:t>
      </w:r>
      <w:r w:rsidRPr="002E0E42" w:rsidR="006514F5">
        <w:t xml:space="preserve">Rules to Permit Corporate Officers or Duly Authorized Employees of Corporations to Sign Applications, Amendments thereto, and Related Statements of Fact Required by the Commission, Memorandum Opinion and Order, </w:t>
      </w:r>
      <w:r w:rsidRPr="002E0E42" w:rsidR="00C701F5">
        <w:t xml:space="preserve">69 FCC 2d 934 </w:t>
      </w:r>
      <w:r w:rsidRPr="002E0E42" w:rsidR="009F4B49">
        <w:t>(1978).</w:t>
      </w:r>
    </w:p>
  </w:footnote>
  <w:footnote w:id="95">
    <w:p w:rsidR="002520F8" w:rsidRPr="00817FC2" w:rsidP="00D07A9C" w14:paraId="6F403851" w14:textId="77777777">
      <w:pPr>
        <w:pStyle w:val="FootnoteText"/>
      </w:pPr>
      <w:r w:rsidRPr="002E0E42">
        <w:rPr>
          <w:rStyle w:val="FootnoteReference"/>
        </w:rPr>
        <w:footnoteRef/>
      </w:r>
      <w:r w:rsidRPr="002E0E42">
        <w:t xml:space="preserve"> Prometheus Comments at 4.</w:t>
      </w:r>
    </w:p>
  </w:footnote>
  <w:footnote w:id="96">
    <w:p w:rsidR="002520F8" w:rsidRPr="00817FC2" w:rsidP="00D07A9C" w14:paraId="0DBD60BC" w14:textId="77777777">
      <w:pPr>
        <w:pStyle w:val="FootnoteText"/>
      </w:pPr>
      <w:r w:rsidRPr="00817FC2">
        <w:rPr>
          <w:rStyle w:val="FootnoteReference"/>
        </w:rPr>
        <w:footnoteRef/>
      </w:r>
      <w:r w:rsidRPr="00817FC2">
        <w:t xml:space="preserve"> REC Comments at 12-13. </w:t>
      </w:r>
    </w:p>
  </w:footnote>
  <w:footnote w:id="97">
    <w:p w:rsidR="002520F8" w:rsidRPr="00817FC2" w:rsidP="00D07A9C" w14:paraId="3534C6AB" w14:textId="77777777">
      <w:pPr>
        <w:pStyle w:val="FootnoteText"/>
      </w:pPr>
      <w:r w:rsidRPr="00817FC2">
        <w:rPr>
          <w:rStyle w:val="FootnoteReference"/>
        </w:rPr>
        <w:footnoteRef/>
      </w:r>
      <w:r w:rsidRPr="00817FC2">
        <w:t xml:space="preserve"> REC Reply Comments at 4 and 7.</w:t>
      </w:r>
    </w:p>
  </w:footnote>
  <w:footnote w:id="98">
    <w:p w:rsidR="002520F8" w:rsidRPr="00817FC2" w:rsidP="00D07A9C" w14:paraId="44B654B4" w14:textId="13B7B58D">
      <w:pPr>
        <w:pStyle w:val="FootnoteText"/>
      </w:pPr>
      <w:r w:rsidRPr="00817FC2">
        <w:rPr>
          <w:rStyle w:val="FootnoteReference"/>
        </w:rPr>
        <w:footnoteRef/>
      </w:r>
      <w:r w:rsidRPr="00817FC2">
        <w:t xml:space="preserve"> Prometheus Comments at 6.</w:t>
      </w:r>
      <w:r w:rsidRPr="00817FC2" w:rsidR="00F32D34">
        <w:t xml:space="preserve">  </w:t>
      </w:r>
      <w:r w:rsidRPr="00817FC2" w:rsidR="0065347B">
        <w:rPr>
          <w:i/>
          <w:iCs/>
        </w:rPr>
        <w:t>See Frank Rackley, Jr</w:t>
      </w:r>
      <w:r w:rsidRPr="00817FC2" w:rsidR="0065347B">
        <w:t>., Memorandum Opinion and Order, 35 FCC Rcd 681</w:t>
      </w:r>
      <w:r w:rsidRPr="00817FC2" w:rsidR="00457447">
        <w:t>, 684 para. 10</w:t>
      </w:r>
      <w:r w:rsidRPr="00817FC2" w:rsidR="0065347B">
        <w:t xml:space="preserve"> (2020)</w:t>
      </w:r>
      <w:r w:rsidRPr="00817FC2" w:rsidR="00A24585">
        <w:t xml:space="preserve"> (</w:t>
      </w:r>
      <w:r w:rsidRPr="00817FC2" w:rsidR="00A24585">
        <w:rPr>
          <w:i/>
          <w:iCs/>
        </w:rPr>
        <w:t>Rackley</w:t>
      </w:r>
      <w:r w:rsidRPr="00817FC2" w:rsidR="00A24585">
        <w:t>)</w:t>
      </w:r>
      <w:r w:rsidRPr="00817FC2" w:rsidR="00AA114F">
        <w:t xml:space="preserve"> (citing </w:t>
      </w:r>
      <w:r w:rsidRPr="00817FC2" w:rsidR="00AA114F">
        <w:rPr>
          <w:i/>
          <w:iCs/>
        </w:rPr>
        <w:t>Hardrock Concrete Placement Company</w:t>
      </w:r>
      <w:r w:rsidRPr="00817FC2" w:rsidR="00AA114F">
        <w:t xml:space="preserve">, Memorandum Opinion and Order, 16 FCC Rcd 2593, 2595-96, para. 8 (2001) </w:t>
      </w:r>
      <w:r w:rsidRPr="00817FC2" w:rsidR="00314A87">
        <w:t>(</w:t>
      </w:r>
      <w:r w:rsidRPr="00817FC2" w:rsidR="00314A87">
        <w:rPr>
          <w:i/>
          <w:iCs/>
        </w:rPr>
        <w:t>Hardrock Concrete Placement Company</w:t>
      </w:r>
      <w:r w:rsidRPr="00817FC2" w:rsidR="00314A87">
        <w:t xml:space="preserve">) </w:t>
      </w:r>
      <w:r w:rsidRPr="00817FC2" w:rsidR="00AA114F">
        <w:t>(“The potential for abuse and uncertainty would be too great were we to accept applications that were not signed by the applicant. An applicant could easily deny making such signatures, and there would be no accountability in such a system.”))</w:t>
      </w:r>
      <w:r w:rsidRPr="00817FC2" w:rsidR="0065347B">
        <w:t xml:space="preserve">.  </w:t>
      </w:r>
      <w:r w:rsidRPr="00817FC2" w:rsidR="0005423C">
        <w:rPr>
          <w:i/>
          <w:iCs/>
        </w:rPr>
        <w:t>See also</w:t>
      </w:r>
      <w:r w:rsidRPr="00817FC2" w:rsidR="0005423C">
        <w:t xml:space="preserve"> </w:t>
      </w:r>
      <w:r w:rsidRPr="00817FC2" w:rsidR="00AA114F">
        <w:rPr>
          <w:i/>
          <w:iCs/>
        </w:rPr>
        <w:t>Rackley</w:t>
      </w:r>
      <w:r w:rsidRPr="00817FC2" w:rsidR="00AA114F">
        <w:t xml:space="preserve">, 35 FCC Rcd at 684, para. 10 (“the Commission expressly overruled prior cases that allowed applications not signed in accordance with the Commission's Rules to be amended </w:t>
      </w:r>
      <w:r w:rsidRPr="00817FC2" w:rsidR="00AA114F">
        <w:rPr>
          <w:i/>
          <w:iCs/>
        </w:rPr>
        <w:t>nunc pro tunc</w:t>
      </w:r>
      <w:r w:rsidRPr="00817FC2" w:rsidR="00AA114F">
        <w:t xml:space="preserve"> to comply with the Rules based on equitable considerations”). </w:t>
      </w:r>
      <w:r w:rsidRPr="00817FC2" w:rsidR="0005423C">
        <w:t xml:space="preserve">  </w:t>
      </w:r>
      <w:r w:rsidRPr="00817FC2" w:rsidR="00AA114F">
        <w:t xml:space="preserve"> </w:t>
      </w:r>
    </w:p>
  </w:footnote>
  <w:footnote w:id="99">
    <w:p w:rsidR="002520F8" w:rsidRPr="00817FC2" w:rsidP="00D07A9C" w14:paraId="21DC5B47" w14:textId="3E3C7374">
      <w:pPr>
        <w:pStyle w:val="FootnoteText"/>
      </w:pPr>
      <w:r w:rsidRPr="00817FC2">
        <w:rPr>
          <w:rStyle w:val="FootnoteReference"/>
        </w:rPr>
        <w:footnoteRef/>
      </w:r>
      <w:r w:rsidRPr="00817FC2">
        <w:t xml:space="preserve"> </w:t>
      </w:r>
      <w:r w:rsidRPr="00817FC2" w:rsidR="0057488A">
        <w:t>REC Comments</w:t>
      </w:r>
      <w:r w:rsidRPr="00817FC2" w:rsidR="004B1B53">
        <w:t xml:space="preserve"> </w:t>
      </w:r>
      <w:r w:rsidRPr="00817FC2">
        <w:t>at 13; REC Reply Comments at 6.</w:t>
      </w:r>
    </w:p>
  </w:footnote>
  <w:footnote w:id="100">
    <w:p w:rsidR="002520F8" w:rsidRPr="00817FC2" w:rsidP="00D07A9C" w14:paraId="1DA67D20" w14:textId="2D4648A7">
      <w:pPr>
        <w:pStyle w:val="FootnoteText"/>
      </w:pPr>
      <w:r w:rsidRPr="00817FC2">
        <w:rPr>
          <w:rStyle w:val="FootnoteReference"/>
        </w:rPr>
        <w:footnoteRef/>
      </w:r>
      <w:r w:rsidRPr="00817FC2">
        <w:t xml:space="preserve"> Common Frequency </w:t>
      </w:r>
      <w:r w:rsidRPr="00817FC2">
        <w:rPr>
          <w:i/>
          <w:iCs/>
        </w:rPr>
        <w:t xml:space="preserve">Ex </w:t>
      </w:r>
      <w:r w:rsidRPr="00817FC2">
        <w:rPr>
          <w:i/>
          <w:iCs/>
        </w:rPr>
        <w:t>Parte</w:t>
      </w:r>
      <w:r w:rsidRPr="00817FC2">
        <w:t xml:space="preserve"> Comments at 2.</w:t>
      </w:r>
    </w:p>
  </w:footnote>
  <w:footnote w:id="101">
    <w:p w:rsidR="00314A87" w:rsidRPr="00817FC2" w:rsidP="00D07A9C" w14:paraId="7E2E2B95" w14:textId="7710838B">
      <w:pPr>
        <w:pStyle w:val="FootnoteText"/>
      </w:pPr>
      <w:r w:rsidRPr="00817FC2">
        <w:rPr>
          <w:rStyle w:val="FootnoteReference"/>
        </w:rPr>
        <w:footnoteRef/>
      </w:r>
      <w:r w:rsidRPr="00817FC2">
        <w:t xml:space="preserve"> Hardrock Concrete Placement Company, 16 FCC Rcd at 2595, para. 8.</w:t>
      </w:r>
    </w:p>
  </w:footnote>
  <w:footnote w:id="102">
    <w:p w:rsidR="002F46F2" w:rsidRPr="00817FC2" w:rsidP="00D07A9C" w14:paraId="7E70DB0A" w14:textId="240A7186">
      <w:pPr>
        <w:pStyle w:val="FootnoteText"/>
      </w:pPr>
      <w:r w:rsidRPr="00817FC2">
        <w:rPr>
          <w:rStyle w:val="FootnoteReference"/>
        </w:rPr>
        <w:footnoteRef/>
      </w:r>
      <w:r w:rsidRPr="00817FC2">
        <w:t xml:space="preserve"> </w:t>
      </w:r>
      <w:r w:rsidRPr="00817FC2">
        <w:rPr>
          <w:i/>
          <w:iCs/>
        </w:rPr>
        <w:t>NPRM</w:t>
      </w:r>
      <w:r w:rsidRPr="00817FC2">
        <w:t>,</w:t>
      </w:r>
      <w:r w:rsidRPr="00817FC2">
        <w:rPr>
          <w:i/>
          <w:iCs/>
        </w:rPr>
        <w:t xml:space="preserve"> </w:t>
      </w:r>
      <w:r w:rsidRPr="00817FC2">
        <w:t>39 FCC Rcd at 1396</w:t>
      </w:r>
      <w:r w:rsidRPr="00817FC2" w:rsidR="00F8166D">
        <w:t>5-67</w:t>
      </w:r>
      <w:r w:rsidRPr="00817FC2" w:rsidR="008F6C6A">
        <w:t>, paras. 29-31.</w:t>
      </w:r>
    </w:p>
  </w:footnote>
  <w:footnote w:id="103">
    <w:p w:rsidR="0065728D" w:rsidRPr="00817FC2" w:rsidP="00D07A9C" w14:paraId="0D690BFD" w14:textId="77777777">
      <w:pPr>
        <w:pStyle w:val="FootnoteText"/>
      </w:pPr>
      <w:r w:rsidRPr="00817FC2">
        <w:rPr>
          <w:rStyle w:val="FootnoteReference"/>
        </w:rPr>
        <w:footnoteRef/>
      </w:r>
      <w:r w:rsidRPr="00817FC2">
        <w:t xml:space="preserve"> 47 CFR § 73.3580. The rule was revised in 2020, to modernize the local public notice requirements, which previously required local notice using newspapers. </w:t>
      </w:r>
      <w:r w:rsidRPr="00817FC2">
        <w:rPr>
          <w:i/>
          <w:iCs/>
        </w:rPr>
        <w:t>See generally Amendment of Section 73.3580 of the Commission’s Rules Regarding Public Notice of the Filing of Applications, Modernization of Media Regulation Initiative, Revision of the Public Notice Requirements of Section 73.3580</w:t>
      </w:r>
      <w:r w:rsidRPr="00817FC2">
        <w:t>, MB Docket Nos. 17-264, 17-105, and 05-6, Second Report and Order, 35 FCC Rcd 5094, 5105, para. 21 (2020).</w:t>
      </w:r>
    </w:p>
  </w:footnote>
  <w:footnote w:id="104">
    <w:p w:rsidR="0065728D" w:rsidRPr="00817FC2" w:rsidP="00D07A9C" w14:paraId="404FC37B" w14:textId="528CBDCF">
      <w:pPr>
        <w:pStyle w:val="FootnoteText"/>
      </w:pPr>
      <w:r w:rsidRPr="00817FC2">
        <w:rPr>
          <w:rStyle w:val="FootnoteReference"/>
        </w:rPr>
        <w:footnoteRef/>
      </w:r>
      <w:r w:rsidRPr="00817FC2">
        <w:t xml:space="preserve"> </w:t>
      </w:r>
      <w:r w:rsidRPr="00817FC2" w:rsidR="00096B9F">
        <w:t>47 CFR § 73.3580.</w:t>
      </w:r>
    </w:p>
  </w:footnote>
  <w:footnote w:id="105">
    <w:p w:rsidR="001956C4" w:rsidRPr="00817FC2" w:rsidP="00D07A9C" w14:paraId="4CE32C95" w14:textId="001F8AFC">
      <w:pPr>
        <w:pStyle w:val="FootnoteText"/>
      </w:pPr>
      <w:r w:rsidRPr="00817FC2">
        <w:rPr>
          <w:rStyle w:val="FootnoteReference"/>
        </w:rPr>
        <w:footnoteRef/>
      </w:r>
      <w:r w:rsidRPr="00817FC2">
        <w:t xml:space="preserve"> 47 CFR § 73.3580(a)(1). </w:t>
      </w:r>
    </w:p>
  </w:footnote>
  <w:footnote w:id="106">
    <w:p w:rsidR="00D746B1" w:rsidRPr="00817FC2" w:rsidP="00D07A9C" w14:paraId="405632DB" w14:textId="1005EA23">
      <w:pPr>
        <w:pStyle w:val="FootnoteText"/>
      </w:pPr>
      <w:r w:rsidRPr="00817FC2">
        <w:rPr>
          <w:rStyle w:val="FootnoteReference"/>
        </w:rPr>
        <w:footnoteRef/>
      </w:r>
      <w:r w:rsidRPr="00817FC2">
        <w:t xml:space="preserve"> Singleton refers to both an application not in conflict with any other application at the time of filing and formerly mutually exclusive (MX) applications that became singletons upon </w:t>
      </w:r>
      <w:r w:rsidRPr="00817FC2" w:rsidR="00506A25">
        <w:t xml:space="preserve">the </w:t>
      </w:r>
      <w:r w:rsidRPr="00817FC2">
        <w:t>filing</w:t>
      </w:r>
      <w:r w:rsidRPr="00817FC2" w:rsidR="00506A25">
        <w:t xml:space="preserve"> of </w:t>
      </w:r>
      <w:r w:rsidRPr="00817FC2">
        <w:t xml:space="preserve">a settlement agreement or technical amendment.  </w:t>
      </w:r>
      <w:r w:rsidRPr="00817FC2">
        <w:rPr>
          <w:i/>
          <w:iCs/>
        </w:rPr>
        <w:t>See e.g</w:t>
      </w:r>
      <w:r w:rsidRPr="00817FC2">
        <w:t xml:space="preserve">., Applications, Public Notice, Report No. </w:t>
      </w:r>
      <w:r w:rsidRPr="00817FC2" w:rsidR="00B374EB">
        <w:t>PN-1-240102-01</w:t>
      </w:r>
      <w:r w:rsidRPr="00817FC2" w:rsidR="00506A25">
        <w:t xml:space="preserve"> (MB </w:t>
      </w:r>
      <w:r w:rsidRPr="00817FC2" w:rsidR="00153231">
        <w:t>Jan. 2</w:t>
      </w:r>
      <w:r w:rsidRPr="00817FC2" w:rsidR="00506A25">
        <w:t>, 2024) (accepting for filing new LPFM singleton applications).</w:t>
      </w:r>
      <w:r w:rsidRPr="00817FC2" w:rsidR="00DA3AC1">
        <w:t xml:space="preserve">  The Bureau also uses the Applications public notice in the same manner for television applications.  </w:t>
      </w:r>
      <w:r w:rsidRPr="00817FC2" w:rsidR="00506A25">
        <w:t xml:space="preserve">  </w:t>
      </w:r>
    </w:p>
  </w:footnote>
  <w:footnote w:id="107">
    <w:p w:rsidR="00993D02" w:rsidRPr="00817FC2" w:rsidP="00D07A9C" w14:paraId="4F3F9F5C" w14:textId="201C5567">
      <w:pPr>
        <w:pStyle w:val="FootnoteText"/>
      </w:pPr>
      <w:r w:rsidRPr="00817FC2">
        <w:rPr>
          <w:rStyle w:val="FootnoteReference"/>
        </w:rPr>
        <w:footnoteRef/>
      </w:r>
      <w:r w:rsidRPr="00817FC2">
        <w:t xml:space="preserve"> </w:t>
      </w:r>
      <w:r w:rsidRPr="00817FC2" w:rsidR="005C565F">
        <w:t xml:space="preserve">A Threshold Fair Distribution of Service Order, issued under delegated authority, designates a tentative selectee for a full service NCE FM construction permit pursuant to section 307(b) of the Act.  </w:t>
      </w:r>
      <w:r w:rsidRPr="00817FC2" w:rsidR="00863C38">
        <w:t xml:space="preserve">(Section 307(b) Order)  </w:t>
      </w:r>
      <w:r w:rsidRPr="00817FC2" w:rsidR="005C565F">
        <w:rPr>
          <w:i/>
          <w:iCs/>
        </w:rPr>
        <w:t>See e.g</w:t>
      </w:r>
      <w:r w:rsidRPr="00817FC2" w:rsidR="005C565F">
        <w:t xml:space="preserve">., </w:t>
      </w:r>
      <w:r w:rsidRPr="00817FC2" w:rsidR="00573CA1">
        <w:rPr>
          <w:i/>
          <w:iCs/>
        </w:rPr>
        <w:t>Threshold Fair Distribution Analysis of 15 Groups of Mutually Exclusive Applications for Permits to Construct New Noncommercial Educational FM Stations</w:t>
      </w:r>
      <w:r w:rsidRPr="00817FC2" w:rsidR="00573CA1">
        <w:t>, Memorandum Opinion and Order, 37 FCC Rcd 2981 (MB 2022).</w:t>
      </w:r>
    </w:p>
  </w:footnote>
  <w:footnote w:id="108">
    <w:p w:rsidR="00993D02" w:rsidRPr="00817FC2" w:rsidP="00D07A9C" w14:paraId="6817B580" w14:textId="427DC601">
      <w:pPr>
        <w:pStyle w:val="FootnoteText"/>
      </w:pPr>
      <w:r w:rsidRPr="00817FC2">
        <w:rPr>
          <w:rStyle w:val="FootnoteReference"/>
        </w:rPr>
        <w:footnoteRef/>
      </w:r>
      <w:r w:rsidRPr="00817FC2">
        <w:t xml:space="preserve"> </w:t>
      </w:r>
      <w:r w:rsidRPr="00817FC2" w:rsidR="005C565F">
        <w:t xml:space="preserve">An NCE Comparative Points Order designates a tentative selectee pursuant to section 73.7003.  See e.g., </w:t>
      </w:r>
      <w:r w:rsidRPr="00817FC2" w:rsidR="00573CA1">
        <w:t>Comparative Consideration of 27 Groups of Mutually Exclusive Applications for Permits to Construct New Noncommercial Educational FM Stations, Memorandum Opinion and Order, 37 FCC Rcd 9869 (2022).</w:t>
      </w:r>
    </w:p>
  </w:footnote>
  <w:footnote w:id="109">
    <w:p w:rsidR="00993D02" w:rsidRPr="00817FC2" w:rsidP="00D07A9C" w14:paraId="73452C6C" w14:textId="0A19A2C8">
      <w:pPr>
        <w:pStyle w:val="FootnoteText"/>
      </w:pPr>
      <w:r w:rsidRPr="00817FC2">
        <w:rPr>
          <w:rStyle w:val="FootnoteReference"/>
        </w:rPr>
        <w:footnoteRef/>
      </w:r>
      <w:r w:rsidRPr="00817FC2">
        <w:t xml:space="preserve"> </w:t>
      </w:r>
      <w:r w:rsidRPr="00817FC2" w:rsidR="005C565F">
        <w:t>An LPFM MX Tentative Selectee Order or Public Notice identifies tentative selectees pursuant to section 73.872.  See</w:t>
      </w:r>
      <w:r w:rsidRPr="00817FC2" w:rsidR="00E3751D">
        <w:t>,</w:t>
      </w:r>
      <w:r w:rsidRPr="00817FC2" w:rsidR="005C565F">
        <w:t xml:space="preserve"> e.g., </w:t>
      </w:r>
      <w:r w:rsidRPr="00817FC2" w:rsidR="005D078D">
        <w:t>Commission Identifies Tentative Selectees in 93 Groups of Mutually Exclusive Applications Submitted in the December 2023 LPFM Window, Public Notice, FCC 24-113 (2024); LPFM MX Group 198, Memorandum Opinion and Order, 30 FCC Rcd 10540 (2015) (Commission announces new tentative selectees in LPFM mutually exclusive group).</w:t>
      </w:r>
    </w:p>
  </w:footnote>
  <w:footnote w:id="110">
    <w:p w:rsidR="003F50AF" w:rsidRPr="00817FC2" w:rsidP="00D07A9C" w14:paraId="4A7F6C20" w14:textId="00D95809">
      <w:pPr>
        <w:pStyle w:val="FootnoteText"/>
      </w:pPr>
      <w:r w:rsidRPr="00817FC2">
        <w:rPr>
          <w:rStyle w:val="FootnoteReference"/>
        </w:rPr>
        <w:footnoteRef/>
      </w:r>
      <w:r w:rsidRPr="00817FC2">
        <w:t xml:space="preserve"> </w:t>
      </w:r>
      <w:r w:rsidRPr="00817FC2" w:rsidR="00863C38">
        <w:rPr>
          <w:i/>
          <w:iCs/>
        </w:rPr>
        <w:t>See</w:t>
      </w:r>
      <w:r w:rsidRPr="00817FC2" w:rsidR="00DA3AC1">
        <w:rPr>
          <w:i/>
          <w:iCs/>
        </w:rPr>
        <w:t>,</w:t>
      </w:r>
      <w:r w:rsidRPr="00817FC2" w:rsidR="00863C38">
        <w:rPr>
          <w:i/>
          <w:iCs/>
        </w:rPr>
        <w:t xml:space="preserve"> e.g., </w:t>
      </w:r>
      <w:r w:rsidRPr="00817FC2" w:rsidR="00CD2064">
        <w:rPr>
          <w:i/>
          <w:iCs/>
        </w:rPr>
        <w:t>NCE MX Group 59A</w:t>
      </w:r>
      <w:r w:rsidRPr="00817FC2" w:rsidR="00CD2064">
        <w:t xml:space="preserve">, Letter Order, 38 FCC Rcd 6810 (MB 2023) (Bureau grants petition to deny, announces new tentative selectee in MX group); </w:t>
      </w:r>
      <w:r w:rsidRPr="00817FC2" w:rsidR="00CD2064">
        <w:rPr>
          <w:i/>
          <w:iCs/>
        </w:rPr>
        <w:t>NCE MX Group 158</w:t>
      </w:r>
      <w:r w:rsidRPr="00817FC2" w:rsidR="00CD2064">
        <w:t>, Letter Order, 38 FCC Rcd 6147 (MB 2023) (Bureau announces new tentative selectee pursuant to delegated authority, based on Commission’s prior point analysis, following voluntary dismissal of prior tentative selectee).</w:t>
      </w:r>
    </w:p>
  </w:footnote>
  <w:footnote w:id="111">
    <w:p w:rsidR="00E3474C" w:rsidRPr="00817FC2" w:rsidP="00D07A9C" w14:paraId="68F0437F" w14:textId="2C6EB41C">
      <w:pPr>
        <w:pStyle w:val="FootnoteText"/>
      </w:pPr>
      <w:r w:rsidRPr="00817FC2">
        <w:rPr>
          <w:rStyle w:val="FootnoteReference"/>
        </w:rPr>
        <w:footnoteRef/>
      </w:r>
      <w:r w:rsidRPr="00817FC2">
        <w:t xml:space="preserve"> </w:t>
      </w:r>
      <w:r w:rsidRPr="00817FC2" w:rsidR="00246C92">
        <w:rPr>
          <w:i/>
          <w:iCs/>
        </w:rPr>
        <w:t xml:space="preserve"> NPRM</w:t>
      </w:r>
      <w:r w:rsidRPr="00817FC2" w:rsidR="00246C92">
        <w:t>,</w:t>
      </w:r>
      <w:r w:rsidRPr="00817FC2" w:rsidR="00246C92">
        <w:rPr>
          <w:i/>
          <w:iCs/>
        </w:rPr>
        <w:t xml:space="preserve"> </w:t>
      </w:r>
      <w:r w:rsidRPr="00817FC2" w:rsidR="00246C92">
        <w:t>39 FCC Rcd at 1396</w:t>
      </w:r>
      <w:r w:rsidRPr="00817FC2" w:rsidR="00B047AA">
        <w:t>6-6</w:t>
      </w:r>
      <w:r w:rsidRPr="00817FC2" w:rsidR="00246C92">
        <w:t>7, para. 31</w:t>
      </w:r>
      <w:r w:rsidRPr="00817FC2" w:rsidR="00B061AB">
        <w:t xml:space="preserve">.  </w:t>
      </w:r>
    </w:p>
  </w:footnote>
  <w:footnote w:id="112">
    <w:p w:rsidR="00836A99" w:rsidRPr="00817FC2" w:rsidP="00D07A9C" w14:paraId="665567C2" w14:textId="5D410E78">
      <w:pPr>
        <w:pStyle w:val="FootnoteText"/>
      </w:pPr>
      <w:r w:rsidRPr="00817FC2">
        <w:rPr>
          <w:rStyle w:val="FootnoteReference"/>
        </w:rPr>
        <w:footnoteRef/>
      </w:r>
      <w:r w:rsidRPr="00817FC2">
        <w:t xml:space="preserve"> Id.</w:t>
      </w:r>
    </w:p>
  </w:footnote>
  <w:footnote w:id="113">
    <w:p w:rsidR="00413B0F" w:rsidRPr="00817FC2" w:rsidP="00D07A9C" w14:paraId="7A84BF3C" w14:textId="059016D4">
      <w:pPr>
        <w:pStyle w:val="FootnoteText"/>
      </w:pPr>
      <w:r w:rsidRPr="00817FC2">
        <w:rPr>
          <w:rStyle w:val="FootnoteReference"/>
        </w:rPr>
        <w:footnoteRef/>
      </w:r>
      <w:r w:rsidRPr="00817FC2">
        <w:t xml:space="preserve"> Prometheus Comments at 6-7, REC Comments at </w:t>
      </w:r>
      <w:r w:rsidRPr="00817FC2" w:rsidR="001A084C">
        <w:t>14-15, Public Broadcasters Comments at 5.</w:t>
      </w:r>
      <w:r w:rsidRPr="00817FC2" w:rsidR="00B05280">
        <w:t xml:space="preserve">  Prometheus, however, contends that our proposed list of scenarios may be incomplete, and will likely change, so leaving the term as “public notice” in the rule may be “simpler” in the long run.  </w:t>
      </w:r>
      <w:r w:rsidRPr="00817FC2" w:rsidR="00F11299">
        <w:t>Prometheus Comments at 6.</w:t>
      </w:r>
    </w:p>
  </w:footnote>
  <w:footnote w:id="114">
    <w:p w:rsidR="00C71A55" w:rsidRPr="00817FC2" w:rsidP="00D07A9C" w14:paraId="69AEA878" w14:textId="64BCDEF1">
      <w:pPr>
        <w:pStyle w:val="FootnoteText"/>
      </w:pPr>
      <w:r w:rsidRPr="00817FC2">
        <w:rPr>
          <w:rStyle w:val="FootnoteReference"/>
        </w:rPr>
        <w:footnoteRef/>
      </w:r>
      <w:r w:rsidRPr="00817FC2">
        <w:t xml:space="preserve"> </w:t>
      </w:r>
      <w:r w:rsidRPr="00817FC2" w:rsidR="007D26EE">
        <w:t xml:space="preserve">Prometheus Comments </w:t>
      </w:r>
      <w:r w:rsidRPr="00817FC2">
        <w:t>at 7.</w:t>
      </w:r>
    </w:p>
  </w:footnote>
  <w:footnote w:id="115">
    <w:p w:rsidR="00827539" w:rsidRPr="00817FC2" w:rsidP="00D07A9C" w14:paraId="3DFC83B3" w14:textId="3D596493">
      <w:pPr>
        <w:pStyle w:val="FootnoteText"/>
      </w:pPr>
      <w:r w:rsidRPr="00817FC2">
        <w:rPr>
          <w:rStyle w:val="FootnoteReference"/>
        </w:rPr>
        <w:footnoteRef/>
      </w:r>
      <w:r w:rsidRPr="00817FC2">
        <w:t xml:space="preserve"> REC Comments at </w:t>
      </w:r>
      <w:r w:rsidRPr="00817FC2" w:rsidR="0045114D">
        <w:t>15.</w:t>
      </w:r>
    </w:p>
  </w:footnote>
  <w:footnote w:id="116">
    <w:p w:rsidR="0077298B" w:rsidRPr="00817FC2" w:rsidP="00D07A9C" w14:paraId="78CE3CE8" w14:textId="2E465CFF">
      <w:pPr>
        <w:pStyle w:val="FootnoteText"/>
      </w:pPr>
      <w:r w:rsidRPr="00817FC2">
        <w:rPr>
          <w:rStyle w:val="FootnoteReference"/>
        </w:rPr>
        <w:footnoteRef/>
      </w:r>
      <w:r w:rsidRPr="00817FC2">
        <w:t xml:space="preserve"> </w:t>
      </w:r>
      <w:r w:rsidRPr="00817FC2">
        <w:rPr>
          <w:i/>
          <w:iCs/>
        </w:rPr>
        <w:t>Id.</w:t>
      </w:r>
      <w:r w:rsidRPr="00817FC2">
        <w:t xml:space="preserve"> at 14</w:t>
      </w:r>
      <w:r w:rsidRPr="00817FC2" w:rsidR="00FC5D61">
        <w:t>-15</w:t>
      </w:r>
      <w:r w:rsidRPr="00817FC2">
        <w:t>.</w:t>
      </w:r>
    </w:p>
  </w:footnote>
  <w:footnote w:id="117">
    <w:p w:rsidR="00CF4B96" w:rsidRPr="00817FC2" w:rsidP="00D07A9C" w14:paraId="2FBDD1BF" w14:textId="1CA3A47C">
      <w:pPr>
        <w:pStyle w:val="FootnoteText"/>
      </w:pPr>
      <w:r w:rsidRPr="00817FC2">
        <w:rPr>
          <w:rStyle w:val="FootnoteReference"/>
        </w:rPr>
        <w:footnoteRef/>
      </w:r>
      <w:r w:rsidRPr="00817FC2">
        <w:t xml:space="preserve"> </w:t>
      </w:r>
      <w:r w:rsidRPr="00817FC2" w:rsidR="0079448D">
        <w:t>I</w:t>
      </w:r>
      <w:r w:rsidRPr="00817FC2">
        <w:t xml:space="preserve">n addition to </w:t>
      </w:r>
      <w:r w:rsidRPr="00817FC2" w:rsidR="00C22E65">
        <w:t xml:space="preserve">the </w:t>
      </w:r>
      <w:r w:rsidRPr="00817FC2">
        <w:t>public notice</w:t>
      </w:r>
      <w:r w:rsidRPr="00817FC2" w:rsidR="0051015F">
        <w:t xml:space="preserve"> obligations</w:t>
      </w:r>
      <w:r w:rsidRPr="00817FC2" w:rsidR="00D14FF4">
        <w:t xml:space="preserve"> for radio stations that are triggered </w:t>
      </w:r>
      <w:r w:rsidRPr="00817FC2" w:rsidR="00AA4A47">
        <w:t xml:space="preserve">once an application is “accepted for filing,” </w:t>
      </w:r>
      <w:r w:rsidRPr="00817FC2" w:rsidR="007F09CB">
        <w:t xml:space="preserve">there are similar public notice requirements for new and modified TV stations.  </w:t>
      </w:r>
      <w:r w:rsidRPr="00817FC2" w:rsidR="001A0123">
        <w:rPr>
          <w:i/>
          <w:iCs/>
        </w:rPr>
        <w:t>See, e.g.,</w:t>
      </w:r>
      <w:r w:rsidRPr="00817FC2" w:rsidR="00AA4A47">
        <w:rPr>
          <w:i/>
          <w:iCs/>
        </w:rPr>
        <w:t xml:space="preserve"> </w:t>
      </w:r>
      <w:r w:rsidRPr="00817FC2" w:rsidR="007F09CB">
        <w:t>47 CFR § 73.3580</w:t>
      </w:r>
      <w:r w:rsidRPr="00817FC2" w:rsidR="001A0123">
        <w:t>(c)</w:t>
      </w:r>
      <w:r w:rsidRPr="00817FC2" w:rsidR="004C0B54">
        <w:t>.</w:t>
      </w:r>
      <w:r w:rsidRPr="00817FC2" w:rsidR="00A715C3">
        <w:t xml:space="preserve"> </w:t>
      </w:r>
      <w:r w:rsidRPr="00817FC2" w:rsidR="00A715C3">
        <w:rPr>
          <w:i/>
          <w:iCs/>
        </w:rPr>
        <w:t xml:space="preserve"> See also</w:t>
      </w:r>
      <w:r w:rsidRPr="00817FC2" w:rsidR="00A715C3">
        <w:t xml:space="preserve"> </w:t>
      </w:r>
      <w:r w:rsidRPr="00817FC2" w:rsidR="00A715C3">
        <w:rPr>
          <w:i/>
          <w:iCs/>
        </w:rPr>
        <w:t>infra</w:t>
      </w:r>
      <w:r w:rsidRPr="00817FC2" w:rsidR="00A715C3">
        <w:t xml:space="preserve"> </w:t>
      </w:r>
      <w:r w:rsidRPr="00817FC2" w:rsidR="009D17ED">
        <w:t>para</w:t>
      </w:r>
      <w:r w:rsidRPr="00817FC2" w:rsidR="00B84342">
        <w:t>. 35</w:t>
      </w:r>
      <w:r w:rsidRPr="00817FC2" w:rsidR="009D17ED">
        <w:t xml:space="preserve"> and note </w:t>
      </w:r>
      <w:r w:rsidRPr="00817FC2" w:rsidR="00B84342">
        <w:t>122</w:t>
      </w:r>
      <w:r w:rsidRPr="00817FC2" w:rsidR="009D17ED">
        <w:t xml:space="preserve"> (discussing changes to </w:t>
      </w:r>
      <w:r w:rsidRPr="00817FC2" w:rsidR="00F35100">
        <w:t xml:space="preserve">Commission rules </w:t>
      </w:r>
      <w:r w:rsidRPr="00817FC2" w:rsidR="00DA5330">
        <w:t>and LMS, as necessary</w:t>
      </w:r>
      <w:r w:rsidRPr="00817FC2" w:rsidR="00F471A0">
        <w:t>,</w:t>
      </w:r>
      <w:r w:rsidRPr="00817FC2" w:rsidR="00DA5330">
        <w:t xml:space="preserve"> </w:t>
      </w:r>
      <w:r w:rsidRPr="00817FC2" w:rsidR="00F35100">
        <w:t>to reflect</w:t>
      </w:r>
      <w:r w:rsidRPr="00817FC2" w:rsidR="00DA5330">
        <w:t xml:space="preserve"> accurate application statuses).</w:t>
      </w:r>
      <w:r w:rsidRPr="00817FC2" w:rsidR="009D17ED">
        <w:t xml:space="preserve"> </w:t>
      </w:r>
    </w:p>
  </w:footnote>
  <w:footnote w:id="118">
    <w:p w:rsidR="00663E68" w:rsidRPr="00817FC2" w:rsidP="00D07A9C" w14:paraId="62F2F201" w14:textId="7D8D76C3">
      <w:pPr>
        <w:pStyle w:val="FootnoteText"/>
      </w:pPr>
      <w:r w:rsidRPr="00817FC2">
        <w:rPr>
          <w:rStyle w:val="FootnoteReference"/>
        </w:rPr>
        <w:footnoteRef/>
      </w:r>
      <w:r w:rsidRPr="00817FC2" w:rsidR="005C3624">
        <w:t xml:space="preserve"> NAB contends that LMS’s accepted for filing Applications public notices are sufficient to capture local notice obligations for new NCE FM and LPFM construction permit applicants.  </w:t>
      </w:r>
      <w:r w:rsidRPr="00817FC2" w:rsidR="00272C9C">
        <w:t>However</w:t>
      </w:r>
      <w:r w:rsidRPr="00817FC2" w:rsidR="005C3624">
        <w:t xml:space="preserve">, as fully discussed in </w:t>
      </w:r>
      <w:r w:rsidRPr="00817FC2" w:rsidR="00CB56C2">
        <w:rPr>
          <w:i/>
          <w:iCs/>
        </w:rPr>
        <w:t>supra</w:t>
      </w:r>
      <w:r w:rsidRPr="00817FC2" w:rsidR="005C3624">
        <w:t xml:space="preserve"> para. 28, routinely released LMS-generated Applications public notices announcing that NCE FM and LPFM construction permit applications have been accepted for filing, are only issued for singleton applications or former MX applications that became singletons upon the filing of a settlement.  As explained, these are not the only means by which NCE FM and LPFM local public notice obligations may be triggered.  There are various other procedural means -- multi-application, published Commission and Bureau-level Orders or Public Notices for example, wherein MX NCE FM and LPFM applicants are tentatively selected and accepted for filing in the  order or notice itself.    In these instances, no subsequent  LMS-generated accepted for filing public notice is released.  </w:t>
      </w:r>
      <w:r w:rsidRPr="00817FC2" w:rsidR="005C3624">
        <w:rPr>
          <w:i/>
          <w:iCs/>
        </w:rPr>
        <w:t xml:space="preserve">See generally </w:t>
      </w:r>
      <w:r w:rsidRPr="00817FC2" w:rsidR="00CB56C2">
        <w:rPr>
          <w:i/>
          <w:iCs/>
        </w:rPr>
        <w:t>supra</w:t>
      </w:r>
      <w:r w:rsidRPr="00817FC2" w:rsidR="005C3624">
        <w:t xml:space="preserve"> paras 27-29.</w:t>
      </w:r>
      <w:r w:rsidRPr="00817FC2" w:rsidR="00614BD0">
        <w:t xml:space="preserve"> </w:t>
      </w:r>
      <w:r w:rsidRPr="00817FC2">
        <w:t xml:space="preserve"> </w:t>
      </w:r>
    </w:p>
  </w:footnote>
  <w:footnote w:id="119">
    <w:p w:rsidR="005936A1" w:rsidRPr="00817FC2" w:rsidP="00D07A9C" w14:paraId="684B3885" w14:textId="7B00213A">
      <w:pPr>
        <w:pStyle w:val="FootnoteText"/>
      </w:pPr>
      <w:r w:rsidRPr="00817FC2">
        <w:rPr>
          <w:rStyle w:val="FootnoteReference"/>
        </w:rPr>
        <w:footnoteRef/>
      </w:r>
      <w:r w:rsidRPr="00817FC2">
        <w:t xml:space="preserve"> </w:t>
      </w:r>
      <w:r w:rsidRPr="00817FC2">
        <w:rPr>
          <w:i/>
          <w:iCs/>
        </w:rPr>
        <w:t>NPRM</w:t>
      </w:r>
      <w:r w:rsidRPr="00817FC2">
        <w:t>, 39 FCC Rcd</w:t>
      </w:r>
      <w:r w:rsidRPr="00817FC2">
        <w:rPr>
          <w:i/>
          <w:iCs/>
        </w:rPr>
        <w:t xml:space="preserve"> </w:t>
      </w:r>
      <w:r w:rsidRPr="00817FC2">
        <w:t>at 1396</w:t>
      </w:r>
      <w:r w:rsidRPr="00817FC2" w:rsidR="00DC1F54">
        <w:t>7, para. 32</w:t>
      </w:r>
      <w:r w:rsidRPr="00817FC2" w:rsidR="000D13F2">
        <w:t>; 47 CFR § 73.1635(a)(4)</w:t>
      </w:r>
      <w:r w:rsidRPr="00817FC2" w:rsidR="00DC1F54">
        <w:t>.</w:t>
      </w:r>
    </w:p>
  </w:footnote>
  <w:footnote w:id="120">
    <w:p w:rsidR="00CC0A28" w:rsidRPr="00817FC2" w:rsidP="00D07A9C" w14:paraId="691E48F1" w14:textId="6D777AB5">
      <w:pPr>
        <w:pStyle w:val="FootnoteText"/>
      </w:pPr>
      <w:r w:rsidRPr="00817FC2">
        <w:rPr>
          <w:rStyle w:val="FootnoteReference"/>
        </w:rPr>
        <w:footnoteRef/>
      </w:r>
      <w:r w:rsidRPr="00817FC2">
        <w:t xml:space="preserve"> REC Comments at 22-23.</w:t>
      </w:r>
    </w:p>
  </w:footnote>
  <w:footnote w:id="121">
    <w:p w:rsidR="004B291F" w:rsidRPr="00817FC2" w:rsidP="00D07A9C" w14:paraId="26265FCA" w14:textId="03659A3C">
      <w:pPr>
        <w:pStyle w:val="FootnoteText"/>
      </w:pPr>
      <w:r w:rsidRPr="00817FC2">
        <w:rPr>
          <w:rStyle w:val="FootnoteReference"/>
        </w:rPr>
        <w:footnoteRef/>
      </w:r>
      <w:r w:rsidRPr="00817FC2">
        <w:t xml:space="preserve"> NAB Comments at 8-9.</w:t>
      </w:r>
    </w:p>
  </w:footnote>
  <w:footnote w:id="122">
    <w:p w:rsidR="003917A1" w:rsidRPr="00817FC2" w:rsidP="00D07A9C" w14:paraId="2DF06BD9" w14:textId="10D2B24B">
      <w:pPr>
        <w:pStyle w:val="FootnoteText"/>
      </w:pPr>
      <w:r w:rsidRPr="00817FC2">
        <w:rPr>
          <w:rStyle w:val="FootnoteReference"/>
        </w:rPr>
        <w:footnoteRef/>
      </w:r>
      <w:r w:rsidRPr="00817FC2">
        <w:t xml:space="preserve"> Public Broadcasters Comments at 5.</w:t>
      </w:r>
    </w:p>
  </w:footnote>
  <w:footnote w:id="123">
    <w:p w:rsidR="00633E82" w:rsidRPr="00817FC2" w:rsidP="00D07A9C" w14:paraId="001EF8C9" w14:textId="5BBB985F">
      <w:pPr>
        <w:pStyle w:val="FootnoteText"/>
      </w:pPr>
      <w:r w:rsidRPr="00817FC2">
        <w:rPr>
          <w:rStyle w:val="FootnoteReference"/>
        </w:rPr>
        <w:footnoteRef/>
      </w:r>
      <w:r w:rsidRPr="00817FC2">
        <w:t xml:space="preserve"> REC Comments at 22-23</w:t>
      </w:r>
      <w:r w:rsidRPr="00817FC2" w:rsidR="00F05134">
        <w:t>, NAB Comments at 4.</w:t>
      </w:r>
    </w:p>
  </w:footnote>
  <w:footnote w:id="124">
    <w:p w:rsidR="001038C2" w:rsidRPr="00817FC2" w:rsidP="00D07A9C" w14:paraId="2D9796FB" w14:textId="6DD90E93">
      <w:pPr>
        <w:pStyle w:val="FootnoteText"/>
      </w:pPr>
      <w:r w:rsidRPr="00817FC2">
        <w:rPr>
          <w:rStyle w:val="FootnoteReference"/>
        </w:rPr>
        <w:footnoteRef/>
      </w:r>
      <w:r w:rsidRPr="00817FC2">
        <w:t xml:space="preserve"> This change in terminology does not change an applicant’s obligation to pay an application fee at the time of filing.  In the case of applications that are subject to an application fee, 47 CFR § 1.1104, the status in LMS will display as “Submitted” until the fee is paid.  It will then move to either “</w:t>
      </w:r>
      <w:r w:rsidRPr="00817FC2" w:rsidR="00C52FC7">
        <w:t>pending</w:t>
      </w:r>
      <w:r w:rsidRPr="00817FC2">
        <w:t>” or “accepted for filing” status based on the type of application and whether additional Commission review is required prior to the application being placed on public notice.  Failure to pay a required application fee will result in the application being dismissed and returned to the applicant.  47 CFR §§ 1.111</w:t>
      </w:r>
      <w:r w:rsidRPr="00817FC2" w:rsidR="00DD06E1">
        <w:t>1</w:t>
      </w:r>
      <w:r w:rsidRPr="00817FC2">
        <w:t>(c) and 1.11</w:t>
      </w:r>
      <w:r w:rsidRPr="00817FC2" w:rsidR="00EC3EC3">
        <w:t>1</w:t>
      </w:r>
      <w:r w:rsidRPr="00817FC2">
        <w:t xml:space="preserve">4(a)(1).  </w:t>
      </w:r>
    </w:p>
  </w:footnote>
  <w:footnote w:id="125">
    <w:p w:rsidR="000D13F2" w:rsidRPr="00817FC2" w:rsidP="00D07A9C" w14:paraId="3003D3EC" w14:textId="000A2CC7">
      <w:pPr>
        <w:pStyle w:val="FootnoteText"/>
      </w:pPr>
      <w:r w:rsidRPr="00817FC2">
        <w:rPr>
          <w:rStyle w:val="FootnoteReference"/>
        </w:rPr>
        <w:footnoteRef/>
      </w:r>
      <w:r w:rsidRPr="00817FC2">
        <w:t xml:space="preserve"> </w:t>
      </w:r>
      <w:r w:rsidRPr="00817FC2">
        <w:rPr>
          <w:i/>
          <w:iCs/>
        </w:rPr>
        <w:t>NPRM</w:t>
      </w:r>
      <w:r w:rsidRPr="00817FC2">
        <w:t xml:space="preserve">, 39 FCC Rcd at </w:t>
      </w:r>
      <w:r w:rsidRPr="00817FC2" w:rsidR="004E1DCC">
        <w:t>139</w:t>
      </w:r>
      <w:r w:rsidRPr="00817FC2" w:rsidR="00255845">
        <w:t>69</w:t>
      </w:r>
      <w:r w:rsidRPr="00817FC2">
        <w:t xml:space="preserve">, para. </w:t>
      </w:r>
      <w:r w:rsidRPr="00817FC2" w:rsidR="00255845">
        <w:t>38</w:t>
      </w:r>
      <w:r w:rsidRPr="00817FC2">
        <w:t>.</w:t>
      </w:r>
    </w:p>
  </w:footnote>
  <w:footnote w:id="126">
    <w:p w:rsidR="000D13F2" w:rsidRPr="00817FC2" w:rsidP="00D07A9C" w14:paraId="788719A6" w14:textId="129534F9">
      <w:pPr>
        <w:pStyle w:val="FootnoteText"/>
      </w:pPr>
      <w:r w:rsidRPr="00817FC2">
        <w:rPr>
          <w:rStyle w:val="FootnoteReference"/>
        </w:rPr>
        <w:footnoteRef/>
      </w:r>
      <w:r w:rsidRPr="00817FC2">
        <w:t xml:space="preserve"> 47 CFR § 73.3584.</w:t>
      </w:r>
    </w:p>
  </w:footnote>
  <w:footnote w:id="127">
    <w:p w:rsidR="000D13F2" w:rsidRPr="00817FC2" w:rsidP="00D07A9C" w14:paraId="67FC35C2" w14:textId="1029ABEF">
      <w:pPr>
        <w:pStyle w:val="FootnoteText"/>
      </w:pPr>
      <w:r w:rsidRPr="00817FC2">
        <w:rPr>
          <w:rStyle w:val="FootnoteReference"/>
        </w:rPr>
        <w:footnoteRef/>
      </w:r>
      <w:r w:rsidRPr="00817FC2">
        <w:t xml:space="preserve"> 47 CFR § 73.3516(e).</w:t>
      </w:r>
    </w:p>
  </w:footnote>
  <w:footnote w:id="128">
    <w:p w:rsidR="006A62E6" w:rsidRPr="00817FC2" w:rsidP="00D07A9C" w14:paraId="62EB1AC7" w14:textId="729998A2">
      <w:pPr>
        <w:pStyle w:val="FootnoteText"/>
      </w:pPr>
      <w:r w:rsidRPr="00817FC2">
        <w:rPr>
          <w:rStyle w:val="FootnoteReference"/>
        </w:rPr>
        <w:footnoteRef/>
      </w:r>
      <w:r w:rsidRPr="00817FC2">
        <w:t xml:space="preserve"> REC Comments at 22-23.</w:t>
      </w:r>
    </w:p>
  </w:footnote>
  <w:footnote w:id="129">
    <w:p w:rsidR="00A138B1" w:rsidRPr="00817FC2" w:rsidP="00D07A9C" w14:paraId="0485ECF9" w14:textId="3D098067">
      <w:pPr>
        <w:pStyle w:val="FootnoteText"/>
      </w:pPr>
      <w:r w:rsidRPr="00817FC2">
        <w:rPr>
          <w:rStyle w:val="FootnoteReference"/>
        </w:rPr>
        <w:footnoteRef/>
      </w:r>
      <w:r w:rsidRPr="00817FC2">
        <w:t xml:space="preserve"> </w:t>
      </w:r>
      <w:r w:rsidRPr="00817FC2">
        <w:rPr>
          <w:i/>
          <w:iCs/>
        </w:rPr>
        <w:t>NPRM</w:t>
      </w:r>
      <w:r w:rsidRPr="00817FC2" w:rsidR="000F2542">
        <w:t>, 39 FCC Rcd</w:t>
      </w:r>
      <w:r w:rsidRPr="00817FC2">
        <w:rPr>
          <w:i/>
          <w:iCs/>
        </w:rPr>
        <w:t xml:space="preserve"> </w:t>
      </w:r>
      <w:r w:rsidRPr="00817FC2">
        <w:t xml:space="preserve">at </w:t>
      </w:r>
      <w:r w:rsidRPr="00817FC2" w:rsidR="00371D27">
        <w:t>13969-70</w:t>
      </w:r>
      <w:r w:rsidRPr="00817FC2" w:rsidR="002113ED">
        <w:t>, para. 40</w:t>
      </w:r>
      <w:r w:rsidRPr="00817FC2" w:rsidR="00335B76">
        <w:t>; 47 CFR § 73.3587</w:t>
      </w:r>
      <w:r w:rsidRPr="00817FC2" w:rsidR="00E233D7">
        <w:t>.</w:t>
      </w:r>
    </w:p>
  </w:footnote>
  <w:footnote w:id="130">
    <w:p w:rsidR="0079321F" w:rsidRPr="00817FC2" w:rsidP="00D07A9C" w14:paraId="04CE9D86" w14:textId="6ECEF05F">
      <w:pPr>
        <w:pStyle w:val="FootnoteText"/>
      </w:pPr>
      <w:r w:rsidRPr="00817FC2">
        <w:rPr>
          <w:rStyle w:val="FootnoteReference"/>
        </w:rPr>
        <w:footnoteRef/>
      </w:r>
      <w:r w:rsidRPr="00817FC2">
        <w:t xml:space="preserve"> </w:t>
      </w:r>
      <w:r w:rsidRPr="00817FC2" w:rsidR="00FC5923">
        <w:rPr>
          <w:i/>
          <w:iCs/>
        </w:rPr>
        <w:t>Id.</w:t>
      </w:r>
      <w:r w:rsidRPr="00817FC2" w:rsidR="00E44332">
        <w:t xml:space="preserve">     </w:t>
      </w:r>
    </w:p>
  </w:footnote>
  <w:footnote w:id="131">
    <w:p w:rsidR="00B73CE6" w:rsidRPr="00817FC2" w:rsidP="00D07A9C" w14:paraId="51AD516F" w14:textId="0AA0EC13">
      <w:pPr>
        <w:pStyle w:val="FootnoteText"/>
      </w:pPr>
      <w:r w:rsidRPr="00817FC2">
        <w:rPr>
          <w:rStyle w:val="FootnoteReference"/>
        </w:rPr>
        <w:footnoteRef/>
      </w:r>
      <w:r w:rsidRPr="00817FC2">
        <w:t xml:space="preserve"> </w:t>
      </w:r>
      <w:r w:rsidRPr="00817FC2" w:rsidR="00DC1E56">
        <w:rPr>
          <w:i/>
          <w:iCs/>
        </w:rPr>
        <w:t>Id.</w:t>
      </w:r>
      <w:r w:rsidRPr="00817FC2" w:rsidR="00661F21">
        <w:t xml:space="preserve"> at </w:t>
      </w:r>
      <w:r w:rsidRPr="00817FC2" w:rsidR="007D6881">
        <w:t>13970-71</w:t>
      </w:r>
      <w:r w:rsidRPr="00817FC2" w:rsidR="00661F21">
        <w:t xml:space="preserve">, paras. </w:t>
      </w:r>
      <w:r w:rsidRPr="00817FC2" w:rsidR="00FE0C91">
        <w:t xml:space="preserve">41-42; </w:t>
      </w:r>
      <w:r w:rsidRPr="00817FC2" w:rsidR="00652CE1">
        <w:t>47 CFR § 73.3587.</w:t>
      </w:r>
    </w:p>
  </w:footnote>
  <w:footnote w:id="132">
    <w:p w:rsidR="00FD75E7" w:rsidRPr="00817FC2" w:rsidP="00D07A9C" w14:paraId="5C780A03" w14:textId="05410D27">
      <w:pPr>
        <w:pStyle w:val="FootnoteText"/>
      </w:pPr>
      <w:r w:rsidRPr="00817FC2">
        <w:rPr>
          <w:rStyle w:val="FootnoteReference"/>
        </w:rPr>
        <w:footnoteRef/>
      </w:r>
      <w:r w:rsidRPr="00817FC2">
        <w:t xml:space="preserve"> </w:t>
      </w:r>
      <w:r w:rsidRPr="00817FC2" w:rsidR="006B2A10">
        <w:t>Prometheus Comments at 7</w:t>
      </w:r>
      <w:r w:rsidRPr="00817FC2" w:rsidR="0081051D">
        <w:t>;</w:t>
      </w:r>
      <w:r w:rsidRPr="00817FC2" w:rsidR="006B2A10">
        <w:t xml:space="preserve"> </w:t>
      </w:r>
      <w:r w:rsidRPr="00817FC2" w:rsidR="005C2DDB">
        <w:t>NAB</w:t>
      </w:r>
      <w:r w:rsidRPr="00817FC2" w:rsidR="006B2A10">
        <w:t xml:space="preserve"> Comments</w:t>
      </w:r>
      <w:r w:rsidRPr="00817FC2" w:rsidR="005C2DDB">
        <w:t xml:space="preserve"> at 9</w:t>
      </w:r>
      <w:r w:rsidRPr="00817FC2" w:rsidR="0081051D">
        <w:t>;</w:t>
      </w:r>
      <w:r w:rsidRPr="00817FC2" w:rsidR="005C2DDB">
        <w:t xml:space="preserve"> Public Broadcasters Comments at </w:t>
      </w:r>
      <w:r w:rsidRPr="00817FC2" w:rsidR="0081051D">
        <w:t xml:space="preserve">5; </w:t>
      </w:r>
      <w:r w:rsidRPr="00817FC2" w:rsidR="0081051D">
        <w:rPr>
          <w:rStyle w:val="markedcontent"/>
        </w:rPr>
        <w:t xml:space="preserve">Common Frequency </w:t>
      </w:r>
      <w:r w:rsidRPr="00817FC2" w:rsidR="0081051D">
        <w:rPr>
          <w:rStyle w:val="markedcontent"/>
          <w:i/>
          <w:iCs/>
        </w:rPr>
        <w:t xml:space="preserve">Ex </w:t>
      </w:r>
      <w:r w:rsidRPr="00817FC2" w:rsidR="0081051D">
        <w:rPr>
          <w:rStyle w:val="markedcontent"/>
          <w:i/>
          <w:iCs/>
        </w:rPr>
        <w:t>Parte</w:t>
      </w:r>
      <w:r w:rsidRPr="00817FC2" w:rsidR="0081051D">
        <w:rPr>
          <w:rStyle w:val="markedcontent"/>
          <w:i/>
          <w:iCs/>
        </w:rPr>
        <w:t xml:space="preserve"> </w:t>
      </w:r>
      <w:r w:rsidRPr="00817FC2" w:rsidR="0081051D">
        <w:rPr>
          <w:rStyle w:val="markedcontent"/>
        </w:rPr>
        <w:t xml:space="preserve">Comments at 1. </w:t>
      </w:r>
    </w:p>
  </w:footnote>
  <w:footnote w:id="133">
    <w:p w:rsidR="006C0E98" w:rsidRPr="00817FC2" w:rsidP="00D07A9C" w14:paraId="0BC4FFEC" w14:textId="74D0B42B">
      <w:pPr>
        <w:pStyle w:val="FootnoteText"/>
      </w:pPr>
      <w:r w:rsidRPr="00817FC2">
        <w:rPr>
          <w:rStyle w:val="FootnoteReference"/>
        </w:rPr>
        <w:footnoteRef/>
      </w:r>
      <w:r w:rsidRPr="00817FC2">
        <w:t xml:space="preserve"> NAB Comments at </w:t>
      </w:r>
      <w:r w:rsidRPr="00817FC2" w:rsidR="00A577D8">
        <w:t xml:space="preserve">9. </w:t>
      </w:r>
    </w:p>
  </w:footnote>
  <w:footnote w:id="134">
    <w:p w:rsidR="00B7168E" w:rsidRPr="00817FC2" w:rsidP="00D07A9C" w14:paraId="058603C3" w14:textId="539E217B">
      <w:pPr>
        <w:pStyle w:val="FootnoteText"/>
      </w:pPr>
      <w:r w:rsidRPr="00817FC2">
        <w:rPr>
          <w:rStyle w:val="FootnoteReference"/>
        </w:rPr>
        <w:footnoteRef/>
      </w:r>
      <w:r w:rsidRPr="00817FC2">
        <w:t xml:space="preserve"> Prometheus </w:t>
      </w:r>
      <w:r w:rsidRPr="00817FC2" w:rsidR="00AD1E62">
        <w:t xml:space="preserve">Comments </w:t>
      </w:r>
      <w:r w:rsidRPr="00817FC2">
        <w:t xml:space="preserve">at </w:t>
      </w:r>
      <w:r w:rsidRPr="00817FC2" w:rsidR="00C76881">
        <w:t xml:space="preserve">7. </w:t>
      </w:r>
    </w:p>
  </w:footnote>
  <w:footnote w:id="135">
    <w:p w:rsidR="008F739B" w:rsidRPr="00817FC2" w:rsidP="00D07A9C" w14:paraId="050F2030" w14:textId="60C7195B">
      <w:pPr>
        <w:pStyle w:val="FootnoteText"/>
      </w:pPr>
      <w:r w:rsidRPr="00817FC2">
        <w:rPr>
          <w:rStyle w:val="FootnoteReference"/>
        </w:rPr>
        <w:footnoteRef/>
      </w:r>
      <w:r w:rsidRPr="00817FC2">
        <w:t xml:space="preserve"> Public Broadcasters </w:t>
      </w:r>
      <w:r w:rsidRPr="00817FC2" w:rsidR="00AD1E62">
        <w:t xml:space="preserve">Comments </w:t>
      </w:r>
      <w:r w:rsidRPr="00817FC2">
        <w:t xml:space="preserve">at 5. </w:t>
      </w:r>
    </w:p>
  </w:footnote>
  <w:footnote w:id="136">
    <w:p w:rsidR="00F62B7D" w:rsidRPr="00817FC2" w:rsidP="00D07A9C" w14:paraId="58A3F5CD" w14:textId="44D2B9E0">
      <w:pPr>
        <w:pStyle w:val="FootnoteText"/>
      </w:pPr>
      <w:r w:rsidRPr="00817FC2">
        <w:rPr>
          <w:rStyle w:val="FootnoteReference"/>
        </w:rPr>
        <w:footnoteRef/>
      </w:r>
      <w:r w:rsidRPr="00817FC2">
        <w:t xml:space="preserve"> REC Comments at 1</w:t>
      </w:r>
      <w:r w:rsidRPr="00817FC2" w:rsidR="004E464E">
        <w:t>8</w:t>
      </w:r>
      <w:r w:rsidRPr="00817FC2" w:rsidR="00D021CB">
        <w:t>-20</w:t>
      </w:r>
      <w:r w:rsidRPr="00817FC2" w:rsidR="001138F3">
        <w:t xml:space="preserve">; </w:t>
      </w:r>
      <w:r w:rsidRPr="00817FC2" w:rsidR="001138F3">
        <w:rPr>
          <w:rStyle w:val="markedcontent"/>
        </w:rPr>
        <w:t xml:space="preserve">Common Frequency </w:t>
      </w:r>
      <w:r w:rsidRPr="00817FC2" w:rsidR="001138F3">
        <w:rPr>
          <w:rStyle w:val="markedcontent"/>
          <w:i/>
          <w:iCs/>
        </w:rPr>
        <w:t xml:space="preserve">Ex </w:t>
      </w:r>
      <w:r w:rsidRPr="00817FC2" w:rsidR="001138F3">
        <w:rPr>
          <w:rStyle w:val="markedcontent"/>
          <w:i/>
          <w:iCs/>
        </w:rPr>
        <w:t>Parte</w:t>
      </w:r>
      <w:r w:rsidRPr="00817FC2" w:rsidR="001138F3">
        <w:rPr>
          <w:rStyle w:val="markedcontent"/>
          <w:i/>
          <w:iCs/>
        </w:rPr>
        <w:t xml:space="preserve"> </w:t>
      </w:r>
      <w:r w:rsidRPr="00817FC2" w:rsidR="001138F3">
        <w:rPr>
          <w:rStyle w:val="markedcontent"/>
        </w:rPr>
        <w:t>Comments at 1.</w:t>
      </w:r>
      <w:r w:rsidRPr="00817FC2" w:rsidR="00B236FC">
        <w:rPr>
          <w:rStyle w:val="markedcontent"/>
        </w:rPr>
        <w:t xml:space="preserve">  REC also</w:t>
      </w:r>
      <w:r w:rsidRPr="00817FC2" w:rsidR="00237B14">
        <w:rPr>
          <w:rStyle w:val="markedcontent"/>
        </w:rPr>
        <w:t xml:space="preserve"> notes that </w:t>
      </w:r>
      <w:r w:rsidRPr="00817FC2" w:rsidR="00237B14">
        <w:t xml:space="preserve">77.8% of its surveyed constituents support email instead of standard mail as the service mechanism.  REC Comments at </w:t>
      </w:r>
      <w:r w:rsidRPr="00817FC2" w:rsidR="00E0043F">
        <w:t>21.</w:t>
      </w:r>
    </w:p>
  </w:footnote>
  <w:footnote w:id="137">
    <w:p w:rsidR="00117DBA" w:rsidRPr="00817FC2" w:rsidP="00D07A9C" w14:paraId="7AFAA6FC" w14:textId="05E85323">
      <w:pPr>
        <w:pStyle w:val="FootnoteText"/>
      </w:pPr>
      <w:r w:rsidRPr="00817FC2">
        <w:rPr>
          <w:rStyle w:val="FootnoteReference"/>
        </w:rPr>
        <w:footnoteRef/>
      </w:r>
      <w:r w:rsidRPr="00817FC2">
        <w:t xml:space="preserve"> REC Comments at 16-18</w:t>
      </w:r>
      <w:r w:rsidRPr="00817FC2" w:rsidR="0016369F">
        <w:t>.</w:t>
      </w:r>
    </w:p>
  </w:footnote>
  <w:footnote w:id="138">
    <w:p w:rsidR="006F74F4" w:rsidRPr="00817FC2" w:rsidP="00D07A9C" w14:paraId="63292A3D" w14:textId="339F258E">
      <w:pPr>
        <w:pStyle w:val="FootnoteText"/>
      </w:pPr>
      <w:r w:rsidRPr="00817FC2">
        <w:rPr>
          <w:rStyle w:val="FootnoteReference"/>
        </w:rPr>
        <w:footnoteRef/>
      </w:r>
      <w:r w:rsidRPr="00817FC2">
        <w:t xml:space="preserve"> </w:t>
      </w:r>
      <w:r w:rsidRPr="00817FC2">
        <w:rPr>
          <w:i/>
          <w:iCs/>
        </w:rPr>
        <w:t>Id.</w:t>
      </w:r>
      <w:r w:rsidRPr="00817FC2">
        <w:t xml:space="preserve"> at </w:t>
      </w:r>
      <w:r w:rsidRPr="00817FC2" w:rsidR="005E10F9">
        <w:t>18.</w:t>
      </w:r>
      <w:r w:rsidRPr="00817FC2" w:rsidR="00380B00">
        <w:t xml:space="preserve">  But REC also noted that a survey of its constituents indicated that 69.2% feel a service requirement is needed.  </w:t>
      </w:r>
      <w:r w:rsidRPr="00817FC2" w:rsidR="00380B00">
        <w:rPr>
          <w:i/>
          <w:iCs/>
        </w:rPr>
        <w:t>Id</w:t>
      </w:r>
      <w:r w:rsidRPr="00817FC2" w:rsidR="00380B00">
        <w:t>. at 19</w:t>
      </w:r>
      <w:r w:rsidRPr="00817FC2" w:rsidR="002774D8">
        <w:t>.</w:t>
      </w:r>
    </w:p>
  </w:footnote>
  <w:footnote w:id="139">
    <w:p w:rsidR="00CF4E36" w:rsidRPr="00817FC2" w:rsidP="00D07A9C" w14:paraId="6B0B9AB5" w14:textId="5F59DFEC">
      <w:pPr>
        <w:pStyle w:val="FootnoteText"/>
      </w:pPr>
      <w:r w:rsidRPr="00817FC2">
        <w:rPr>
          <w:rStyle w:val="FootnoteReference"/>
        </w:rPr>
        <w:footnoteRef/>
      </w:r>
      <w:r w:rsidRPr="00817FC2">
        <w:t xml:space="preserve"> REC Comments at </w:t>
      </w:r>
      <w:r w:rsidRPr="00817FC2" w:rsidR="00291C61">
        <w:t>21.</w:t>
      </w:r>
    </w:p>
  </w:footnote>
  <w:footnote w:id="140">
    <w:p w:rsidR="00AE6279" w:rsidRPr="00817FC2" w:rsidP="00D07A9C" w14:paraId="2869EAEA" w14:textId="05482879">
      <w:pPr>
        <w:pStyle w:val="FootnoteText"/>
      </w:pPr>
      <w:r w:rsidRPr="00817FC2">
        <w:rPr>
          <w:rStyle w:val="FootnoteReference"/>
        </w:rPr>
        <w:footnoteRef/>
      </w:r>
      <w:r w:rsidRPr="00817FC2">
        <w:t xml:space="preserve"> NAB Comments at 9</w:t>
      </w:r>
      <w:r w:rsidRPr="00817FC2" w:rsidR="000F6072">
        <w:t xml:space="preserve">; Public Broadcasters Comments at </w:t>
      </w:r>
      <w:r w:rsidRPr="00817FC2" w:rsidR="00EA6ED4">
        <w:t xml:space="preserve">5; Common Frequency </w:t>
      </w:r>
      <w:r w:rsidRPr="00817FC2" w:rsidR="00EA6ED4">
        <w:rPr>
          <w:i/>
          <w:iCs/>
        </w:rPr>
        <w:t xml:space="preserve">Ex </w:t>
      </w:r>
      <w:r w:rsidRPr="00817FC2" w:rsidR="00EA6ED4">
        <w:rPr>
          <w:i/>
          <w:iCs/>
        </w:rPr>
        <w:t>Parte</w:t>
      </w:r>
      <w:r w:rsidRPr="00817FC2" w:rsidR="00EA6ED4">
        <w:rPr>
          <w:i/>
          <w:iCs/>
        </w:rPr>
        <w:t xml:space="preserve"> </w:t>
      </w:r>
      <w:r w:rsidRPr="00817FC2" w:rsidR="00EA6ED4">
        <w:t xml:space="preserve">Comments at 1. </w:t>
      </w:r>
    </w:p>
  </w:footnote>
  <w:footnote w:id="141">
    <w:p w:rsidR="00B81E34" w:rsidRPr="00817FC2" w:rsidP="00D07A9C" w14:paraId="2E6E221F" w14:textId="606BBF1B">
      <w:pPr>
        <w:pStyle w:val="FootnoteText"/>
      </w:pPr>
      <w:r w:rsidRPr="00817FC2">
        <w:rPr>
          <w:rStyle w:val="FootnoteReference"/>
        </w:rPr>
        <w:footnoteRef/>
      </w:r>
      <w:r w:rsidRPr="00817FC2">
        <w:t xml:space="preserve"> REC Comments at </w:t>
      </w:r>
      <w:r w:rsidRPr="00817FC2" w:rsidR="009357C4">
        <w:t>22; NAB Comments at 9.</w:t>
      </w:r>
    </w:p>
  </w:footnote>
  <w:footnote w:id="142">
    <w:p w:rsidR="00AC4D81" w:rsidRPr="00817FC2" w:rsidP="00D07A9C" w14:paraId="508967AD" w14:textId="6DB89BF3">
      <w:pPr>
        <w:pStyle w:val="FootnoteText"/>
      </w:pPr>
      <w:r w:rsidRPr="00817FC2">
        <w:rPr>
          <w:rStyle w:val="FootnoteReference"/>
        </w:rPr>
        <w:footnoteRef/>
      </w:r>
      <w:r w:rsidRPr="00817FC2">
        <w:t xml:space="preserve"> Common Frequency </w:t>
      </w:r>
      <w:r w:rsidRPr="00817FC2">
        <w:rPr>
          <w:i/>
          <w:iCs/>
        </w:rPr>
        <w:t xml:space="preserve">Ex </w:t>
      </w:r>
      <w:r w:rsidRPr="00817FC2">
        <w:rPr>
          <w:i/>
          <w:iCs/>
        </w:rPr>
        <w:t>Parte</w:t>
      </w:r>
      <w:r w:rsidRPr="00817FC2">
        <w:rPr>
          <w:i/>
          <w:iCs/>
        </w:rPr>
        <w:t xml:space="preserve"> </w:t>
      </w:r>
      <w:r w:rsidRPr="00817FC2">
        <w:t xml:space="preserve">Comments at 1. </w:t>
      </w:r>
    </w:p>
  </w:footnote>
  <w:footnote w:id="143">
    <w:p w:rsidR="00B60E16" w:rsidRPr="00817FC2" w:rsidP="00D07A9C" w14:paraId="64548414" w14:textId="7ABB583B">
      <w:pPr>
        <w:pStyle w:val="FootnoteText"/>
      </w:pPr>
      <w:r w:rsidRPr="00817FC2">
        <w:rPr>
          <w:rStyle w:val="FootnoteReference"/>
        </w:rPr>
        <w:footnoteRef/>
      </w:r>
      <w:r w:rsidRPr="00817FC2">
        <w:t xml:space="preserve"> </w:t>
      </w:r>
      <w:r w:rsidRPr="00817FC2" w:rsidR="00583599">
        <w:t xml:space="preserve">5 U.S.C. §§ 601 </w:t>
      </w:r>
      <w:r w:rsidRPr="00817FC2" w:rsidR="00583599">
        <w:rPr>
          <w:i/>
          <w:iCs/>
        </w:rPr>
        <w:t>et seq</w:t>
      </w:r>
      <w:r w:rsidRPr="00817FC2" w:rsidR="00583599">
        <w:t>., as amended by the Small Business Regulatory Enforcement and Fairness Act (SBREFA), Pub. L. No. 104-121, 110 Stat. 847 (1996).</w:t>
      </w:r>
    </w:p>
  </w:footnote>
  <w:footnote w:id="144">
    <w:p w:rsidR="004244C6" w:rsidRPr="00817FC2" w:rsidP="00D07A9C" w14:paraId="21F3B6F5" w14:textId="3C6ADB1C">
      <w:pPr>
        <w:pStyle w:val="FootnoteText"/>
      </w:pPr>
      <w:r w:rsidRPr="00817FC2">
        <w:rPr>
          <w:rStyle w:val="FootnoteReference"/>
        </w:rPr>
        <w:footnoteRef/>
      </w:r>
      <w:r w:rsidRPr="00817FC2">
        <w:t xml:space="preserve"> </w:t>
      </w:r>
      <w:r w:rsidRPr="00817FC2" w:rsidR="00697385">
        <w:rPr>
          <w:i/>
          <w:iCs/>
        </w:rPr>
        <w:t>Id</w:t>
      </w:r>
      <w:r w:rsidRPr="00817FC2" w:rsidR="00697385">
        <w:t>. § 605(b).</w:t>
      </w:r>
    </w:p>
  </w:footnote>
  <w:footnote w:id="145">
    <w:p w:rsidR="008F3D47" w:rsidRPr="00817FC2" w:rsidP="00D07A9C" w14:paraId="118384B9" w14:textId="43AC64E0">
      <w:pPr>
        <w:pStyle w:val="FootnoteText"/>
      </w:pPr>
      <w:r w:rsidRPr="00817FC2">
        <w:rPr>
          <w:rStyle w:val="FootnoteReference"/>
        </w:rPr>
        <w:footnoteRef/>
      </w:r>
      <w:r w:rsidRPr="00817FC2">
        <w:t xml:space="preserve"> Pursuant to </w:t>
      </w:r>
      <w:r w:rsidRPr="00D07A9C">
        <w:t>Executive</w:t>
      </w:r>
      <w:r w:rsidRPr="00817FC2">
        <w:t xml:space="preserve"> Order 14215, 90 Fed. Reg. 10447 (Feb. 20, 2025), this regulatory action has been determined to be not significant under Executive Order 12866, 58 Fed. Reg. 68708 (Dec. 28, 1993).</w:t>
      </w:r>
    </w:p>
  </w:footnote>
  <w:footnote w:id="146">
    <w:p w:rsidR="003275A0" w:rsidRPr="00817FC2" w:rsidP="005A0569" w14:paraId="38023A54" w14:textId="77777777">
      <w:pPr>
        <w:pStyle w:val="FootnoteText"/>
      </w:pPr>
      <w:r w:rsidRPr="00817FC2">
        <w:rPr>
          <w:rStyle w:val="FootnoteReference"/>
        </w:rPr>
        <w:footnoteRef/>
      </w:r>
      <w:r w:rsidRPr="00817FC2">
        <w:t xml:space="preserve"> 5 U.S.C. §§ 601 </w:t>
      </w:r>
      <w:r w:rsidRPr="00817FC2">
        <w:rPr>
          <w:i/>
        </w:rPr>
        <w:t>et seq</w:t>
      </w:r>
      <w:r w:rsidRPr="00817FC2">
        <w:t>., as amended by the Small Business Regulatory Enforcement and Fairness Act (SBREFA), Pub. L. No. 104-121, 110 Stat. 847 (1996).</w:t>
      </w:r>
    </w:p>
  </w:footnote>
  <w:footnote w:id="147">
    <w:p w:rsidR="003275A0" w:rsidRPr="00817FC2" w:rsidP="00D07A9C" w14:paraId="48848D5E" w14:textId="77777777">
      <w:pPr>
        <w:pStyle w:val="FootnoteText"/>
      </w:pPr>
      <w:r w:rsidRPr="00817FC2">
        <w:rPr>
          <w:rStyle w:val="FootnoteReference"/>
        </w:rPr>
        <w:footnoteRef/>
      </w:r>
      <w:r w:rsidRPr="00817FC2">
        <w:t xml:space="preserve"> See Amendment of Parts 1, 73, 74 and 76 of the Commission’s Rules to Update Rules Applicable to Broadcast Stations, Notice of Proposed Rulemaking, 39 FCC Rcd 13954, Appendix B (2024) (NPRM), available at </w:t>
      </w:r>
      <w:hyperlink r:id="rId1" w:history="1">
        <w:r w:rsidRPr="00817FC2">
          <w:rPr>
            <w:rStyle w:val="Hyperlink"/>
          </w:rPr>
          <w:t>https://docs.fcc.gov/public/attachments/FCC-24-126A1.pdf</w:t>
        </w:r>
      </w:hyperlink>
      <w:r w:rsidRPr="00817FC2">
        <w:t xml:space="preserve"> (last visited Feb. 2, 2026).</w:t>
      </w:r>
    </w:p>
  </w:footnote>
  <w:footnote w:id="148">
    <w:p w:rsidR="003275A0" w:rsidRPr="00817FC2" w:rsidP="00D07A9C" w14:paraId="20303BB9" w14:textId="77777777">
      <w:pPr>
        <w:pStyle w:val="FootnoteText"/>
      </w:pPr>
      <w:r w:rsidRPr="00817FC2">
        <w:rPr>
          <w:rStyle w:val="FootnoteReference"/>
        </w:rPr>
        <w:footnoteRef/>
      </w:r>
      <w:r w:rsidRPr="00817FC2">
        <w:t xml:space="preserve"> </w:t>
      </w:r>
      <w:r w:rsidRPr="00817FC2">
        <w:rPr>
          <w:szCs w:val="22"/>
        </w:rPr>
        <w:t xml:space="preserve">5 U.S.C. </w:t>
      </w:r>
      <w:r w:rsidRPr="00817FC2">
        <w:t>§ 604.</w:t>
      </w:r>
      <w:r w:rsidRPr="00817FC2">
        <w:tab/>
      </w:r>
    </w:p>
  </w:footnote>
  <w:footnote w:id="149">
    <w:p w:rsidR="003275A0" w:rsidRPr="00817FC2" w:rsidP="00D07A9C" w14:paraId="756FE33F" w14:textId="55B29902">
      <w:pPr>
        <w:pStyle w:val="FootnoteText"/>
      </w:pPr>
      <w:r w:rsidRPr="00817FC2">
        <w:rPr>
          <w:rStyle w:val="FootnoteReference"/>
        </w:rPr>
        <w:footnoteRef/>
      </w:r>
      <w:r w:rsidRPr="00817FC2">
        <w:t xml:space="preserve"> </w:t>
      </w:r>
      <w:r w:rsidRPr="00817FC2" w:rsidR="00C37B3A">
        <w:t>47 CFR pts. 1, 73, 74, and 76.</w:t>
      </w:r>
    </w:p>
  </w:footnote>
  <w:footnote w:id="150">
    <w:p w:rsidR="003275A0" w:rsidRPr="00817FC2" w:rsidP="00D07A9C" w14:paraId="606DED2F" w14:textId="77777777">
      <w:pPr>
        <w:pStyle w:val="FootnoteText"/>
      </w:pPr>
      <w:r w:rsidRPr="00817FC2">
        <w:rPr>
          <w:rStyle w:val="FootnoteReference"/>
        </w:rPr>
        <w:footnoteRef/>
      </w:r>
      <w:r w:rsidRPr="00817FC2">
        <w:t xml:space="preserve"> </w:t>
      </w:r>
      <w:r w:rsidRPr="00817FC2">
        <w:rPr>
          <w:i/>
          <w:iCs/>
        </w:rPr>
        <w:t xml:space="preserve">See </w:t>
      </w:r>
      <w:r w:rsidRPr="00817FC2">
        <w:t>47 CFR §§ 1.5000(b), 1.5004(d)(2), 1.30001(d), 1.30004(a), 73.202(a), 73.3700(b)(5)(iv), and 76.66(d)(2)(ii).</w:t>
      </w:r>
    </w:p>
  </w:footnote>
  <w:footnote w:id="151">
    <w:p w:rsidR="003275A0" w:rsidRPr="00817FC2" w:rsidP="00D07A9C" w14:paraId="7431034E" w14:textId="77777777">
      <w:pPr>
        <w:pStyle w:val="FootnoteText"/>
      </w:pPr>
      <w:r w:rsidRPr="00817FC2">
        <w:rPr>
          <w:rStyle w:val="FootnoteReference"/>
        </w:rPr>
        <w:footnoteRef/>
      </w:r>
      <w:r w:rsidRPr="00817FC2">
        <w:t xml:space="preserve"> </w:t>
      </w:r>
      <w:r w:rsidRPr="00817FC2">
        <w:rPr>
          <w:i/>
          <w:iCs/>
        </w:rPr>
        <w:t xml:space="preserve">See </w:t>
      </w:r>
      <w:r w:rsidRPr="00817FC2">
        <w:t>47 CFR §§ 73.30(c), 73.45(d)(1), 73.51(c), 73.311(a), 73.512(a), 73.625(c)(4)(</w:t>
      </w:r>
      <w:r w:rsidRPr="00817FC2">
        <w:t>i</w:t>
      </w:r>
      <w:r w:rsidRPr="00817FC2">
        <w:t>), 73.872(b)(1), 73.875, 73.1670(b), 73.1690(c)(9), 73.3580(d)(2), and 73.5002(b).</w:t>
      </w:r>
    </w:p>
  </w:footnote>
  <w:footnote w:id="152">
    <w:p w:rsidR="003275A0" w:rsidRPr="00817FC2" w:rsidP="00D07A9C" w14:paraId="1758C25F" w14:textId="77777777">
      <w:pPr>
        <w:pStyle w:val="FootnoteText"/>
      </w:pPr>
      <w:r w:rsidRPr="00817FC2">
        <w:rPr>
          <w:rStyle w:val="FootnoteReference"/>
        </w:rPr>
        <w:footnoteRef/>
      </w:r>
      <w:r w:rsidRPr="00817FC2">
        <w:t xml:space="preserve"> </w:t>
      </w:r>
      <w:r w:rsidRPr="00817FC2">
        <w:rPr>
          <w:i/>
          <w:iCs/>
        </w:rPr>
        <w:t>See</w:t>
      </w:r>
      <w:r w:rsidRPr="00817FC2">
        <w:t xml:space="preserve"> 47 CFR §§ 1.401, 1.403, 1.420, and 73.3573.</w:t>
      </w:r>
    </w:p>
  </w:footnote>
  <w:footnote w:id="153">
    <w:p w:rsidR="009740A2" w:rsidRPr="00817FC2" w:rsidP="00D07A9C" w14:paraId="74D72283" w14:textId="34B17936">
      <w:pPr>
        <w:pStyle w:val="FootnoteText"/>
        <w:rPr>
          <w:i/>
          <w:iCs/>
        </w:rPr>
      </w:pPr>
      <w:r w:rsidRPr="00817FC2">
        <w:rPr>
          <w:rStyle w:val="FootnoteReference"/>
        </w:rPr>
        <w:footnoteRef/>
      </w:r>
      <w:r w:rsidRPr="00817FC2">
        <w:t xml:space="preserve"> </w:t>
      </w:r>
      <w:r w:rsidRPr="00817FC2" w:rsidR="007758A8">
        <w:rPr>
          <w:i/>
          <w:iCs/>
        </w:rPr>
        <w:t xml:space="preserve">See </w:t>
      </w:r>
      <w:r w:rsidRPr="00817FC2" w:rsidR="007758A8">
        <w:t>47 CFR § 73.503(g).</w:t>
      </w:r>
    </w:p>
  </w:footnote>
  <w:footnote w:id="154">
    <w:p w:rsidR="003275A0" w:rsidRPr="00817FC2" w:rsidP="00D07A9C" w14:paraId="432573E1" w14:textId="77777777">
      <w:pPr>
        <w:pStyle w:val="FootnoteText"/>
      </w:pPr>
      <w:r w:rsidRPr="00817FC2">
        <w:rPr>
          <w:rStyle w:val="FootnoteReference"/>
        </w:rPr>
        <w:footnoteRef/>
      </w:r>
      <w:r w:rsidRPr="00817FC2">
        <w:t xml:space="preserve"> </w:t>
      </w:r>
      <w:r w:rsidRPr="00817FC2">
        <w:rPr>
          <w:i/>
          <w:iCs/>
        </w:rPr>
        <w:t>See</w:t>
      </w:r>
      <w:r w:rsidRPr="00817FC2">
        <w:t xml:space="preserve"> 47 CFR § 73.3571(e)(1)-(4). </w:t>
      </w:r>
    </w:p>
  </w:footnote>
  <w:footnote w:id="155">
    <w:p w:rsidR="003275A0" w:rsidRPr="00817FC2" w:rsidP="00D07A9C" w14:paraId="0EDB4F84" w14:textId="77777777">
      <w:pPr>
        <w:pStyle w:val="FootnoteText"/>
      </w:pPr>
      <w:r w:rsidRPr="00817FC2">
        <w:rPr>
          <w:rStyle w:val="FootnoteReference"/>
        </w:rPr>
        <w:footnoteRef/>
      </w:r>
      <w:r w:rsidRPr="00817FC2">
        <w:t xml:space="preserve"> </w:t>
      </w:r>
      <w:r w:rsidRPr="00817FC2">
        <w:rPr>
          <w:i/>
          <w:iCs/>
        </w:rPr>
        <w:t>See</w:t>
      </w:r>
      <w:r w:rsidRPr="00817FC2">
        <w:t xml:space="preserve"> 47 CFR §§ 73.3700(c) and (</w:t>
      </w:r>
      <w:r w:rsidRPr="00817FC2">
        <w:t>i</w:t>
      </w:r>
      <w:r w:rsidRPr="00817FC2">
        <w:t>), 73.3801(h)(4)(</w:t>
      </w:r>
      <w:r w:rsidRPr="00817FC2">
        <w:t>i</w:t>
      </w:r>
      <w:r w:rsidRPr="00817FC2">
        <w:t>), 73.6029(h)(4)(</w:t>
      </w:r>
      <w:r w:rsidRPr="00817FC2">
        <w:t>i</w:t>
      </w:r>
      <w:r w:rsidRPr="00817FC2">
        <w:t>), and 74.782(</w:t>
      </w:r>
      <w:r w:rsidRPr="00817FC2">
        <w:t>i</w:t>
      </w:r>
      <w:r w:rsidRPr="00817FC2">
        <w:t>)(4)(</w:t>
      </w:r>
      <w:r w:rsidRPr="00817FC2">
        <w:t>i</w:t>
      </w:r>
      <w:r w:rsidRPr="00817FC2">
        <w:t>).</w:t>
      </w:r>
    </w:p>
  </w:footnote>
  <w:footnote w:id="156">
    <w:p w:rsidR="003275A0" w:rsidRPr="00817FC2" w:rsidP="00D07A9C" w14:paraId="0E862717" w14:textId="77777777">
      <w:pPr>
        <w:pStyle w:val="FootnoteText"/>
      </w:pPr>
      <w:r w:rsidRPr="00817FC2">
        <w:rPr>
          <w:rStyle w:val="FootnoteReference"/>
        </w:rPr>
        <w:footnoteRef/>
      </w:r>
      <w:r w:rsidRPr="00817FC2">
        <w:t xml:space="preserve"> </w:t>
      </w:r>
      <w:r w:rsidRPr="00817FC2">
        <w:rPr>
          <w:i/>
          <w:iCs/>
        </w:rPr>
        <w:t>See</w:t>
      </w:r>
      <w:r w:rsidRPr="00817FC2">
        <w:t xml:space="preserve"> 47 CFR § 73.807(a)(1) and (c).</w:t>
      </w:r>
    </w:p>
  </w:footnote>
  <w:footnote w:id="157">
    <w:p w:rsidR="003275A0" w:rsidRPr="00817FC2" w:rsidP="00D07A9C" w14:paraId="4B96504E" w14:textId="77777777">
      <w:pPr>
        <w:pStyle w:val="FootnoteText"/>
      </w:pPr>
      <w:r w:rsidRPr="00817FC2">
        <w:rPr>
          <w:rStyle w:val="FootnoteReference"/>
        </w:rPr>
        <w:footnoteRef/>
      </w:r>
      <w:r w:rsidRPr="00817FC2">
        <w:t xml:space="preserve"> Id.</w:t>
      </w:r>
    </w:p>
  </w:footnote>
  <w:footnote w:id="158">
    <w:p w:rsidR="003275A0" w:rsidRPr="00817FC2" w:rsidP="00D07A9C" w14:paraId="6093ADF4" w14:textId="77777777">
      <w:pPr>
        <w:pStyle w:val="FootnoteText"/>
      </w:pPr>
      <w:r w:rsidRPr="00817FC2">
        <w:rPr>
          <w:rStyle w:val="FootnoteReference"/>
        </w:rPr>
        <w:footnoteRef/>
      </w:r>
      <w:r w:rsidRPr="00817FC2">
        <w:t xml:space="preserve"> </w:t>
      </w:r>
      <w:r w:rsidRPr="00817FC2">
        <w:rPr>
          <w:i/>
          <w:iCs/>
        </w:rPr>
        <w:t>See</w:t>
      </w:r>
      <w:r w:rsidRPr="00817FC2">
        <w:t xml:space="preserve"> 47 CFR § 73.3513.</w:t>
      </w:r>
    </w:p>
  </w:footnote>
  <w:footnote w:id="159">
    <w:p w:rsidR="003275A0" w:rsidRPr="00817FC2" w:rsidP="00D07A9C" w14:paraId="1C855FE1" w14:textId="77777777">
      <w:pPr>
        <w:pStyle w:val="FootnoteText"/>
      </w:pPr>
      <w:r w:rsidRPr="00817FC2">
        <w:rPr>
          <w:rStyle w:val="FootnoteReference"/>
        </w:rPr>
        <w:footnoteRef/>
      </w:r>
      <w:r w:rsidRPr="00817FC2">
        <w:t xml:space="preserve"> </w:t>
      </w:r>
      <w:r w:rsidRPr="00817FC2">
        <w:rPr>
          <w:i/>
          <w:iCs/>
        </w:rPr>
        <w:t>See</w:t>
      </w:r>
      <w:r w:rsidRPr="00817FC2">
        <w:t xml:space="preserve"> 47 CFR §§ 73.3580(a)(1), 73.7002(b), 73.7003(a), and 73.872(a).</w:t>
      </w:r>
    </w:p>
  </w:footnote>
  <w:footnote w:id="160">
    <w:p w:rsidR="003275A0" w:rsidRPr="00817FC2" w:rsidP="00D07A9C" w14:paraId="43BC0657" w14:textId="77777777">
      <w:pPr>
        <w:pStyle w:val="FootnoteText"/>
      </w:pPr>
      <w:r w:rsidRPr="00817FC2">
        <w:rPr>
          <w:rStyle w:val="FootnoteReference"/>
        </w:rPr>
        <w:footnoteRef/>
      </w:r>
      <w:r w:rsidRPr="00817FC2">
        <w:t xml:space="preserve"> </w:t>
      </w:r>
      <w:r w:rsidRPr="00817FC2">
        <w:rPr>
          <w:i/>
          <w:iCs/>
        </w:rPr>
        <w:t>See</w:t>
      </w:r>
      <w:r w:rsidRPr="00817FC2">
        <w:t xml:space="preserve"> 47 CFR § 73.1635(a)(4).</w:t>
      </w:r>
    </w:p>
  </w:footnote>
  <w:footnote w:id="161">
    <w:p w:rsidR="003275A0" w:rsidRPr="00817FC2" w:rsidP="00D07A9C" w14:paraId="1F4C1C03" w14:textId="77777777">
      <w:pPr>
        <w:pStyle w:val="FootnoteText"/>
      </w:pPr>
      <w:r w:rsidRPr="00817FC2">
        <w:rPr>
          <w:rStyle w:val="FootnoteReference"/>
        </w:rPr>
        <w:footnoteRef/>
      </w:r>
      <w:r w:rsidRPr="00817FC2">
        <w:t xml:space="preserve"> </w:t>
      </w:r>
      <w:r w:rsidRPr="00817FC2">
        <w:rPr>
          <w:i/>
          <w:iCs/>
        </w:rPr>
        <w:t>See</w:t>
      </w:r>
      <w:r w:rsidRPr="00817FC2">
        <w:t xml:space="preserve"> 47 CFR §§ 73.37(c), 73.3516(e), 73.3526, 73.3527, 73.3573(f)(1), 73.3578(a), 73.3591(b), 73.3597(b)(2),  73.3564(a) and (c), and Note 1 to 73.3522.</w:t>
      </w:r>
    </w:p>
  </w:footnote>
  <w:footnote w:id="162">
    <w:p w:rsidR="003275A0" w:rsidRPr="00817FC2" w:rsidP="00D07A9C" w14:paraId="45DB61DA" w14:textId="77777777">
      <w:pPr>
        <w:pStyle w:val="FootnoteText"/>
      </w:pPr>
      <w:r w:rsidRPr="00817FC2">
        <w:rPr>
          <w:rStyle w:val="FootnoteReference"/>
        </w:rPr>
        <w:footnoteRef/>
      </w:r>
      <w:r w:rsidRPr="00817FC2">
        <w:t xml:space="preserve"> </w:t>
      </w:r>
      <w:r w:rsidRPr="00817FC2">
        <w:rPr>
          <w:i/>
          <w:iCs/>
        </w:rPr>
        <w:t>See</w:t>
      </w:r>
      <w:r w:rsidRPr="00817FC2">
        <w:t xml:space="preserve"> 47 CFR §§ 73.3516(e) and 73.3584.</w:t>
      </w:r>
    </w:p>
  </w:footnote>
  <w:footnote w:id="163">
    <w:p w:rsidR="003275A0" w:rsidRPr="00817FC2" w:rsidP="00D07A9C" w14:paraId="0C45BBF8" w14:textId="77777777">
      <w:pPr>
        <w:pStyle w:val="FootnoteText"/>
      </w:pPr>
      <w:r w:rsidRPr="00817FC2">
        <w:rPr>
          <w:rStyle w:val="FootnoteReference"/>
        </w:rPr>
        <w:footnoteRef/>
      </w:r>
      <w:r w:rsidRPr="00817FC2">
        <w:t xml:space="preserve"> </w:t>
      </w:r>
      <w:r w:rsidRPr="00817FC2">
        <w:rPr>
          <w:i/>
          <w:iCs/>
        </w:rPr>
        <w:t xml:space="preserve">See </w:t>
      </w:r>
      <w:r w:rsidRPr="00817FC2">
        <w:t xml:space="preserve">Comments of Prometheus Radio Project, MB Docket No. 24-626 (filed Jan. 13, 2025) (Prometheus Comments); Comments of Electron Benders, MB Docket No. 24-626 (filed Mar. 25, 2025) (EB Comments); Comments of REC Networks, MB Docket No. 25-133 (filed Apr. 14, 2025) (REC 25-133 Comments); Comments of REC Networks, MB Docket No. 24-626 (filed Apr. 21, 2025) (REC Comments); Comments of National Association of Broadcasters, MB Docket No. 24-626 (filed Apr. 23, 2025) (NAB Comments); Comments of Ten Public Broadcast Licensees, MB Docket No. 24-626 (filed Apr. 23, 2025) (Public Broadcasters Comments); Reply Comments of REC Networks, MB Docket No. 25-133 (filed Apr. 29, 2025) (REC 25-133 Reply Comments); Reply Comments of REC Networks, MB Docket No. 24-626 (filed May 5, 2025) (REC Reply Comments); Reply Comments of Broadcast Warning Working Group, MB Docket No. 24-626 (filed May 8, 2025) (BWWG Reply Comments); Comments of Kelly Moore, MB Docket No. 24-626 (filed May 8, 2025) (Moore Comments); and Letter from Todd Urick, President, Common Frequency, Inc., to </w:t>
      </w:r>
      <w:r w:rsidRPr="00817FC2">
        <w:rPr>
          <w:rStyle w:val="markedcontent"/>
        </w:rPr>
        <w:t xml:space="preserve">Marlene H. Dortch, Secretary, FCC, MB Docket No. 24-626 (filed June 16, 2025) (Common Frequency </w:t>
      </w:r>
      <w:r w:rsidRPr="00817FC2">
        <w:rPr>
          <w:rStyle w:val="markedcontent"/>
          <w:i/>
          <w:iCs/>
        </w:rPr>
        <w:t xml:space="preserve">Ex </w:t>
      </w:r>
      <w:r w:rsidRPr="00817FC2">
        <w:rPr>
          <w:rStyle w:val="markedcontent"/>
          <w:i/>
          <w:iCs/>
        </w:rPr>
        <w:t>Parte</w:t>
      </w:r>
      <w:r w:rsidRPr="00817FC2">
        <w:rPr>
          <w:rStyle w:val="markedcontent"/>
          <w:i/>
          <w:iCs/>
        </w:rPr>
        <w:t xml:space="preserve"> </w:t>
      </w:r>
      <w:r w:rsidRPr="00817FC2">
        <w:rPr>
          <w:rStyle w:val="markedcontent"/>
        </w:rPr>
        <w:t>Comments).</w:t>
      </w:r>
    </w:p>
  </w:footnote>
  <w:footnote w:id="164">
    <w:p w:rsidR="003275A0" w:rsidRPr="00817FC2" w:rsidP="00D07A9C" w14:paraId="6A48CF6A" w14:textId="77777777">
      <w:pPr>
        <w:pStyle w:val="FootnoteText"/>
      </w:pPr>
      <w:r w:rsidRPr="00817FC2">
        <w:rPr>
          <w:rStyle w:val="FootnoteReference"/>
        </w:rPr>
        <w:footnoteRef/>
      </w:r>
      <w:r w:rsidRPr="00817FC2">
        <w:t xml:space="preserve"> NAB Comments at 7.</w:t>
      </w:r>
    </w:p>
  </w:footnote>
  <w:footnote w:id="165">
    <w:p w:rsidR="003275A0" w:rsidRPr="00817FC2" w:rsidP="00D07A9C" w14:paraId="064A09CD" w14:textId="77777777">
      <w:pPr>
        <w:pStyle w:val="FootnoteText"/>
      </w:pPr>
      <w:r w:rsidRPr="00817FC2">
        <w:rPr>
          <w:rStyle w:val="FootnoteReference"/>
        </w:rPr>
        <w:footnoteRef/>
      </w:r>
      <w:r w:rsidRPr="00817FC2">
        <w:t xml:space="preserve"> REC Comments at 8; NAB Comments at 7.</w:t>
      </w:r>
    </w:p>
  </w:footnote>
  <w:footnote w:id="166">
    <w:p w:rsidR="003275A0" w:rsidRPr="00817FC2" w:rsidP="00D07A9C" w14:paraId="6166AD5A" w14:textId="77777777">
      <w:pPr>
        <w:pStyle w:val="FootnoteText"/>
      </w:pPr>
      <w:r w:rsidRPr="00817FC2">
        <w:rPr>
          <w:rStyle w:val="FootnoteReference"/>
        </w:rPr>
        <w:footnoteRef/>
      </w:r>
      <w:r w:rsidRPr="00817FC2">
        <w:t xml:space="preserve"> REC Comments at 9-11.</w:t>
      </w:r>
    </w:p>
  </w:footnote>
  <w:footnote w:id="167">
    <w:p w:rsidR="003275A0" w:rsidRPr="00817FC2" w:rsidP="00D07A9C" w14:paraId="3B153228" w14:textId="77777777">
      <w:pPr>
        <w:pStyle w:val="FootnoteText"/>
      </w:pPr>
      <w:r w:rsidRPr="00817FC2">
        <w:rPr>
          <w:rStyle w:val="FootnoteReference"/>
        </w:rPr>
        <w:footnoteRef/>
      </w:r>
      <w:r w:rsidRPr="00817FC2">
        <w:t xml:space="preserve"> NAB Comments at 8.</w:t>
      </w:r>
    </w:p>
  </w:footnote>
  <w:footnote w:id="168">
    <w:p w:rsidR="003275A0" w:rsidRPr="00817FC2" w:rsidP="00D07A9C" w14:paraId="373207EA" w14:textId="77777777">
      <w:pPr>
        <w:pStyle w:val="FootnoteText"/>
      </w:pPr>
      <w:r w:rsidRPr="00817FC2">
        <w:rPr>
          <w:rStyle w:val="FootnoteReference"/>
        </w:rPr>
        <w:footnoteRef/>
      </w:r>
      <w:r w:rsidRPr="00817FC2">
        <w:t xml:space="preserve"> Prometheus Comments at 4-5; Public Broadcasters Comments at 4. </w:t>
      </w:r>
    </w:p>
  </w:footnote>
  <w:footnote w:id="169">
    <w:p w:rsidR="003275A0" w:rsidRPr="00817FC2" w:rsidP="00D07A9C" w14:paraId="15667E9E" w14:textId="77777777">
      <w:pPr>
        <w:pStyle w:val="FootnoteText"/>
      </w:pPr>
      <w:r w:rsidRPr="00817FC2">
        <w:rPr>
          <w:rStyle w:val="FootnoteReference"/>
        </w:rPr>
        <w:footnoteRef/>
      </w:r>
      <w:r w:rsidRPr="00817FC2">
        <w:t xml:space="preserve"> REC Comments at 12; REC Reply Comments at 2.</w:t>
      </w:r>
    </w:p>
  </w:footnote>
  <w:footnote w:id="170">
    <w:p w:rsidR="003275A0" w:rsidRPr="00817FC2" w:rsidP="00D07A9C" w14:paraId="18142860" w14:textId="77777777">
      <w:pPr>
        <w:pStyle w:val="FootnoteText"/>
      </w:pPr>
      <w:r w:rsidRPr="00817FC2">
        <w:rPr>
          <w:rStyle w:val="FootnoteReference"/>
        </w:rPr>
        <w:footnoteRef/>
      </w:r>
      <w:r w:rsidRPr="00817FC2">
        <w:t xml:space="preserve"> Prometheus Comments at 4; REC Comments at 12-14; REC Reply Comments at 6.</w:t>
      </w:r>
    </w:p>
  </w:footnote>
  <w:footnote w:id="171">
    <w:p w:rsidR="003275A0" w:rsidRPr="00817FC2" w:rsidP="00D07A9C" w14:paraId="585DAE76" w14:textId="77777777">
      <w:pPr>
        <w:pStyle w:val="FootnoteText"/>
      </w:pPr>
      <w:r w:rsidRPr="00817FC2">
        <w:rPr>
          <w:rStyle w:val="FootnoteReference"/>
        </w:rPr>
        <w:footnoteRef/>
      </w:r>
      <w:r w:rsidRPr="00817FC2">
        <w:t xml:space="preserve"> Prometheus Comments at 7; REC Comments at 15.</w:t>
      </w:r>
    </w:p>
  </w:footnote>
  <w:footnote w:id="172">
    <w:p w:rsidR="003275A0" w:rsidRPr="00817FC2" w:rsidP="00D07A9C" w14:paraId="1CFAB891" w14:textId="77777777">
      <w:pPr>
        <w:pStyle w:val="FootnoteText"/>
      </w:pPr>
      <w:r w:rsidRPr="00817FC2">
        <w:rPr>
          <w:rStyle w:val="FootnoteReference"/>
        </w:rPr>
        <w:footnoteRef/>
      </w:r>
      <w:r w:rsidRPr="00817FC2">
        <w:t xml:space="preserve"> NAB Comments at 8-9.</w:t>
      </w:r>
    </w:p>
  </w:footnote>
  <w:footnote w:id="173">
    <w:p w:rsidR="003275A0" w:rsidRPr="00817FC2" w:rsidP="00D07A9C" w14:paraId="59874207" w14:textId="77777777">
      <w:pPr>
        <w:pStyle w:val="FootnoteText"/>
      </w:pPr>
      <w:r w:rsidRPr="00817FC2">
        <w:rPr>
          <w:rStyle w:val="FootnoteReference"/>
        </w:rPr>
        <w:footnoteRef/>
      </w:r>
      <w:r w:rsidRPr="00817FC2">
        <w:t xml:space="preserve"> Public Broadcasters Comments at 5.</w:t>
      </w:r>
    </w:p>
  </w:footnote>
  <w:footnote w:id="174">
    <w:p w:rsidR="003275A0" w:rsidRPr="00817FC2" w:rsidP="00D07A9C" w14:paraId="34FCFEF4" w14:textId="77777777">
      <w:pPr>
        <w:pStyle w:val="FootnoteText"/>
      </w:pPr>
      <w:r w:rsidRPr="00817FC2">
        <w:rPr>
          <w:rStyle w:val="FootnoteReference"/>
        </w:rPr>
        <w:footnoteRef/>
      </w:r>
      <w:r w:rsidRPr="00817FC2">
        <w:t xml:space="preserve"> Small Business Jobs Act of 2010, Pub. L. No. 111-240, 124 Stat. 2504 (2010).</w:t>
      </w:r>
    </w:p>
  </w:footnote>
  <w:footnote w:id="175">
    <w:p w:rsidR="003275A0" w:rsidRPr="00817FC2" w:rsidP="00D07A9C" w14:paraId="68CDAC82" w14:textId="77777777">
      <w:pPr>
        <w:pStyle w:val="FootnoteText"/>
      </w:pPr>
      <w:r w:rsidRPr="00817FC2">
        <w:rPr>
          <w:rStyle w:val="FootnoteReference"/>
        </w:rPr>
        <w:footnoteRef/>
      </w:r>
      <w:r w:rsidRPr="00817FC2">
        <w:t xml:space="preserve"> </w:t>
      </w:r>
      <w:r w:rsidRPr="00817FC2">
        <w:rPr>
          <w:szCs w:val="22"/>
        </w:rPr>
        <w:t xml:space="preserve">5 U.S.C. </w:t>
      </w:r>
      <w:r w:rsidRPr="00817FC2">
        <w:t xml:space="preserve">§ 604 (a)(3). </w:t>
      </w:r>
    </w:p>
  </w:footnote>
  <w:footnote w:id="176">
    <w:p w:rsidR="003275A0" w:rsidRPr="00817FC2" w:rsidP="00D07A9C" w14:paraId="355FD736" w14:textId="77777777">
      <w:pPr>
        <w:pStyle w:val="FootnoteText"/>
      </w:pPr>
      <w:r w:rsidRPr="00817FC2">
        <w:rPr>
          <w:rStyle w:val="FootnoteReference"/>
        </w:rPr>
        <w:footnoteRef/>
      </w:r>
      <w:r w:rsidRPr="00817FC2">
        <w:t xml:space="preserve"> 5 U.S.C. § 604.  </w:t>
      </w:r>
    </w:p>
  </w:footnote>
  <w:footnote w:id="177">
    <w:p w:rsidR="003275A0" w:rsidRPr="00817FC2" w:rsidP="00D07A9C" w14:paraId="38D0003E" w14:textId="77777777">
      <w:pPr>
        <w:pStyle w:val="FootnoteText"/>
      </w:pPr>
      <w:r w:rsidRPr="00817FC2">
        <w:rPr>
          <w:rStyle w:val="FootnoteReference"/>
        </w:rPr>
        <w:footnoteRef/>
      </w:r>
      <w:r w:rsidRPr="00817FC2">
        <w:t xml:space="preserve"> </w:t>
      </w:r>
      <w:r w:rsidRPr="00817FC2">
        <w:rPr>
          <w:i/>
        </w:rPr>
        <w:t>Id</w:t>
      </w:r>
      <w:r w:rsidRPr="00817FC2">
        <w:t xml:space="preserve">. § 601(6).  </w:t>
      </w:r>
    </w:p>
  </w:footnote>
  <w:footnote w:id="178">
    <w:p w:rsidR="003275A0" w:rsidRPr="00817FC2" w:rsidP="00D07A9C" w14:paraId="1EA62B42" w14:textId="77777777">
      <w:pPr>
        <w:pStyle w:val="FootnoteText"/>
      </w:pPr>
      <w:r w:rsidRPr="00817FC2">
        <w:rPr>
          <w:rStyle w:val="FootnoteReference"/>
        </w:rPr>
        <w:footnoteRef/>
      </w:r>
      <w:r w:rsidRPr="00817FC2">
        <w:t xml:space="preserve"> </w:t>
      </w:r>
      <w:r w:rsidRPr="00817FC2">
        <w:rPr>
          <w:i/>
          <w:iCs/>
        </w:rPr>
        <w:t>Id</w:t>
      </w:r>
      <w:r w:rsidRPr="00817FC2">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79">
    <w:p w:rsidR="003275A0" w:rsidRPr="00817FC2" w:rsidP="00D07A9C" w14:paraId="67D6498F" w14:textId="77777777">
      <w:pPr>
        <w:pStyle w:val="FootnoteText"/>
      </w:pPr>
      <w:r w:rsidRPr="00817FC2">
        <w:rPr>
          <w:rStyle w:val="FootnoteReference"/>
        </w:rPr>
        <w:footnoteRef/>
      </w:r>
      <w:r w:rsidRPr="00817FC2">
        <w:t xml:space="preserve"> 15 U.S.C. § 632.</w:t>
      </w:r>
    </w:p>
  </w:footnote>
  <w:footnote w:id="180">
    <w:p w:rsidR="003275A0" w:rsidRPr="00817FC2" w:rsidP="00D07A9C" w14:paraId="22D0D0D6" w14:textId="77777777">
      <w:pPr>
        <w:pStyle w:val="FootnoteText"/>
      </w:pPr>
      <w:r w:rsidRPr="00817FC2">
        <w:rPr>
          <w:rStyle w:val="FootnoteReference"/>
        </w:rPr>
        <w:footnoteRef/>
      </w:r>
      <w:r w:rsidRPr="00817FC2">
        <w:t xml:space="preserve"> 13 CFR § 121.903.</w:t>
      </w:r>
    </w:p>
  </w:footnote>
  <w:footnote w:id="181">
    <w:p w:rsidR="003275A0" w:rsidRPr="00817FC2" w:rsidP="00D07A9C" w14:paraId="3FE86C12" w14:textId="77777777">
      <w:pPr>
        <w:pStyle w:val="FootnoteText"/>
      </w:pPr>
      <w:r w:rsidRPr="00817FC2">
        <w:rPr>
          <w:rStyle w:val="FootnoteReference"/>
          <w:rFonts w:eastAsia="Calibri"/>
        </w:rPr>
        <w:footnoteRef/>
      </w:r>
      <w:r w:rsidRPr="00817FC2">
        <w:t xml:space="preserve"> 5 U.S.C. § 601(3)-(6).</w:t>
      </w:r>
    </w:p>
  </w:footnote>
  <w:footnote w:id="182">
    <w:p w:rsidR="003275A0" w:rsidRPr="00817FC2" w:rsidP="00D07A9C" w14:paraId="5286CF92" w14:textId="77777777">
      <w:pPr>
        <w:pStyle w:val="FootnoteText"/>
      </w:pPr>
      <w:r w:rsidRPr="00817FC2">
        <w:rPr>
          <w:rStyle w:val="FootnoteReference"/>
          <w:rFonts w:eastAsia="Calibri"/>
        </w:rPr>
        <w:footnoteRef/>
      </w:r>
      <w:r w:rsidRPr="00817FC2">
        <w:t xml:space="preserve"> </w:t>
      </w:r>
      <w:r w:rsidRPr="00817FC2">
        <w:rPr>
          <w:i/>
          <w:iCs/>
        </w:rPr>
        <w:t>See</w:t>
      </w:r>
      <w:r w:rsidRPr="00817FC2">
        <w:t xml:space="preserve"> SBA, Office of Advocacy, </w:t>
      </w:r>
      <w:r w:rsidRPr="00817FC2">
        <w:rPr>
          <w:i/>
          <w:iCs/>
        </w:rPr>
        <w:t xml:space="preserve">Frequently Asked Questions About Small Business </w:t>
      </w:r>
      <w:r w:rsidRPr="00817FC2">
        <w:t xml:space="preserve"> (July 23, 2024), </w:t>
      </w:r>
      <w:hyperlink r:id="rId3" w:history="1">
        <w:r w:rsidRPr="00817FC2">
          <w:rPr>
            <w:rStyle w:val="Hyperlink"/>
          </w:rPr>
          <w:t>https://advocacy.sba.gov/wp-content/uploads/2024/12/Frequently-Asked-Questions-About-Small-Business_2024-508.pdf</w:t>
        </w:r>
      </w:hyperlink>
      <w:r w:rsidRPr="00817FC2">
        <w:t>.</w:t>
      </w:r>
    </w:p>
  </w:footnote>
  <w:footnote w:id="183">
    <w:p w:rsidR="003275A0" w:rsidRPr="00817FC2" w:rsidP="00D07A9C" w14:paraId="18D5F67F" w14:textId="77777777">
      <w:pPr>
        <w:pStyle w:val="FootnoteText"/>
      </w:pPr>
      <w:r w:rsidRPr="00817FC2">
        <w:rPr>
          <w:rStyle w:val="FootnoteReference"/>
        </w:rPr>
        <w:footnoteRef/>
      </w:r>
      <w:r w:rsidRPr="00817FC2">
        <w:t xml:space="preserve"> </w:t>
      </w:r>
      <w:r w:rsidRPr="00817FC2">
        <w:rPr>
          <w:i/>
          <w:iCs/>
        </w:rPr>
        <w:t>Id</w:t>
      </w:r>
      <w:r w:rsidRPr="00817FC2">
        <w:t>.</w:t>
      </w:r>
    </w:p>
  </w:footnote>
  <w:footnote w:id="184">
    <w:p w:rsidR="003275A0" w:rsidRPr="00817FC2" w:rsidP="00D07A9C" w14:paraId="635E3389" w14:textId="77777777">
      <w:pPr>
        <w:pStyle w:val="FootnoteText"/>
      </w:pPr>
      <w:r w:rsidRPr="00817FC2">
        <w:rPr>
          <w:rStyle w:val="FootnoteReference"/>
          <w:rFonts w:eastAsia="Calibri"/>
        </w:rPr>
        <w:footnoteRef/>
      </w:r>
      <w:r w:rsidRPr="00817FC2">
        <w:t xml:space="preserve"> </w:t>
      </w:r>
      <w:r w:rsidRPr="00817FC2">
        <w:rPr>
          <w:spacing w:val="-2"/>
        </w:rPr>
        <w:t>5 U.S.C.</w:t>
      </w:r>
      <w:r w:rsidRPr="00817FC2">
        <w:t xml:space="preserve"> § 601(4).</w:t>
      </w:r>
    </w:p>
  </w:footnote>
  <w:footnote w:id="185">
    <w:p w:rsidR="003275A0" w:rsidRPr="00817FC2" w:rsidP="00D07A9C" w14:paraId="2FEC00F6" w14:textId="77777777">
      <w:pPr>
        <w:pStyle w:val="FootnoteText"/>
      </w:pPr>
      <w:r w:rsidRPr="00817FC2">
        <w:rPr>
          <w:rStyle w:val="FootnoteReference"/>
        </w:rPr>
        <w:footnoteRef/>
      </w:r>
      <w:r w:rsidRPr="00817FC2">
        <w:t xml:space="preserve"> </w:t>
      </w:r>
      <w:r w:rsidRPr="00817FC2">
        <w:rPr>
          <w:i/>
          <w:iCs/>
        </w:rPr>
        <w:t xml:space="preserve">See </w:t>
      </w:r>
      <w:r w:rsidRPr="00817FC2">
        <w:t xml:space="preserve">SBA, Office of Advocacy, </w:t>
      </w:r>
      <w:r w:rsidRPr="00817FC2">
        <w:rPr>
          <w:i/>
          <w:iCs/>
        </w:rPr>
        <w:t>Small Business Facts, Spotlight on Nonprofits</w:t>
      </w:r>
      <w:r w:rsidRPr="00817FC2">
        <w:t xml:space="preserve"> (July 2019), </w:t>
      </w:r>
      <w:hyperlink r:id="rId4" w:history="1">
        <w:r w:rsidRPr="00817FC2">
          <w:rPr>
            <w:rStyle w:val="Hyperlink"/>
          </w:rPr>
          <w:t>https://advocacy.sba.gov/2019/07/25/small-business-facts-spotlight-on-nonprofits/</w:t>
        </w:r>
      </w:hyperlink>
      <w:r w:rsidRPr="00817FC2">
        <w:t xml:space="preserve">.  </w:t>
      </w:r>
    </w:p>
  </w:footnote>
  <w:footnote w:id="186">
    <w:p w:rsidR="003275A0" w:rsidRPr="00817FC2" w:rsidP="00D07A9C" w14:paraId="0BEDB051" w14:textId="77777777">
      <w:pPr>
        <w:pStyle w:val="FootnoteText"/>
      </w:pPr>
      <w:r w:rsidRPr="00817FC2">
        <w:rPr>
          <w:rStyle w:val="FootnoteReference"/>
          <w:rFonts w:eastAsia="Calibri"/>
          <w:spacing w:val="-2"/>
        </w:rPr>
        <w:footnoteRef/>
      </w:r>
      <w:r w:rsidRPr="00817FC2">
        <w:t xml:space="preserve"> 5 U.S.C. § 601(5).</w:t>
      </w:r>
    </w:p>
  </w:footnote>
  <w:footnote w:id="187">
    <w:p w:rsidR="003275A0" w:rsidRPr="00817FC2" w:rsidP="00D07A9C" w14:paraId="3891C9D3" w14:textId="77777777">
      <w:pPr>
        <w:pStyle w:val="FootnoteText"/>
      </w:pPr>
      <w:r w:rsidRPr="00817FC2">
        <w:rPr>
          <w:rStyle w:val="FootnoteReference"/>
        </w:rPr>
        <w:footnoteRef/>
      </w:r>
      <w:r w:rsidRPr="00817FC2">
        <w:t xml:space="preserve"> </w:t>
      </w:r>
      <w:r w:rsidRPr="00817FC2">
        <w:rPr>
          <w:i/>
        </w:rPr>
        <w:t>See</w:t>
      </w:r>
      <w:r w:rsidRPr="00817FC2">
        <w:t xml:space="preserve"> U.S. Census Bureau, 2022 Census of Governments –Organization, </w:t>
      </w:r>
      <w:hyperlink r:id="rId5" w:history="1">
        <w:r w:rsidRPr="00817FC2">
          <w:rPr>
            <w:rStyle w:val="Hyperlink"/>
          </w:rPr>
          <w:t>https://www.census.gov/data/tables/2022/econ/gus/2022-governments.html</w:t>
        </w:r>
      </w:hyperlink>
      <w:r w:rsidRPr="00817FC2">
        <w:t xml:space="preserve">, tables 1-11.  </w:t>
      </w:r>
    </w:p>
  </w:footnote>
  <w:footnote w:id="188">
    <w:p w:rsidR="003275A0" w:rsidRPr="00817FC2" w:rsidP="00D07A9C" w14:paraId="4BF8788C" w14:textId="77777777">
      <w:pPr>
        <w:pStyle w:val="FootnoteText"/>
      </w:pPr>
      <w:r w:rsidRPr="00817FC2">
        <w:rPr>
          <w:rStyle w:val="FootnoteReference"/>
        </w:rPr>
        <w:footnoteRef/>
      </w:r>
      <w:r w:rsidRPr="00817FC2">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817FC2">
        <w:rPr>
          <w:i/>
          <w:iCs/>
        </w:rPr>
        <w:t xml:space="preserve">See </w:t>
      </w:r>
      <w:hyperlink r:id="rId6" w:history="1">
        <w:r w:rsidRPr="00817FC2">
          <w:rPr>
            <w:rStyle w:val="Hyperlink"/>
          </w:rPr>
          <w:t>www.census.gov/NAICS</w:t>
        </w:r>
      </w:hyperlink>
      <w:r w:rsidRPr="00817FC2">
        <w:t xml:space="preserve"> for further details regarding the NAICS codes identified in this chart.</w:t>
      </w:r>
    </w:p>
  </w:footnote>
  <w:footnote w:id="189">
    <w:p w:rsidR="003275A0" w:rsidRPr="00817FC2" w:rsidP="00D07A9C" w14:paraId="163564FC" w14:textId="77777777">
      <w:pPr>
        <w:pStyle w:val="FootnoteText"/>
      </w:pPr>
      <w:r w:rsidRPr="00817FC2">
        <w:rPr>
          <w:rStyle w:val="FootnoteReference"/>
        </w:rPr>
        <w:footnoteRef/>
      </w:r>
      <w:r w:rsidRPr="00817FC2">
        <w:t xml:space="preserve"> The size standards in this chart are set forth in 13 CFR § 121.201, by six digit NAICS code.</w:t>
      </w:r>
    </w:p>
  </w:footnote>
  <w:footnote w:id="190">
    <w:p w:rsidR="003275A0" w:rsidRPr="00817FC2" w:rsidP="00D07A9C" w14:paraId="196FCE06" w14:textId="77777777">
      <w:pPr>
        <w:pStyle w:val="FootnoteText"/>
      </w:pPr>
      <w:r w:rsidRPr="00817FC2">
        <w:rPr>
          <w:rStyle w:val="FootnoteReference"/>
          <w:rFonts w:eastAsiaTheme="majorEastAsia"/>
        </w:rPr>
        <w:footnoteRef/>
      </w:r>
      <w:r w:rsidRPr="00817FC2">
        <w:t xml:space="preserve"> </w:t>
      </w:r>
      <w:r w:rsidRPr="00817FC2">
        <w:rPr>
          <w:i/>
          <w:iCs/>
        </w:rPr>
        <w:t>U.S. Census Bureau</w:t>
      </w:r>
      <w:r w:rsidRPr="00817FC2">
        <w:t>, “</w:t>
      </w:r>
      <w:r w:rsidRPr="00817FC2">
        <w:rPr>
          <w:i/>
          <w:iCs/>
        </w:rPr>
        <w:t>Selected Sectors: Sales, Value of Shipments, or Revenue Size of Firms for the U.S.: 2022</w:t>
      </w:r>
      <w:r w:rsidRPr="00817FC2">
        <w:t xml:space="preserve">." Economic Census, ECN Core Statistics Economic Census: Establishment and Firm Size Statistics for the U.S., Table EC2200SIZEREVFIRM, 2025. </w:t>
      </w:r>
    </w:p>
  </w:footnote>
  <w:footnote w:id="191">
    <w:p w:rsidR="003275A0" w:rsidRPr="00817FC2" w:rsidP="00D07A9C" w14:paraId="713F71AD" w14:textId="77777777">
      <w:pPr>
        <w:pStyle w:val="FootnoteText"/>
      </w:pPr>
      <w:r w:rsidRPr="00817FC2">
        <w:rPr>
          <w:rStyle w:val="FootnoteReference"/>
          <w:rFonts w:eastAsiaTheme="majorEastAsia"/>
        </w:rPr>
        <w:footnoteRef/>
      </w:r>
      <w:r w:rsidRPr="00817FC2">
        <w:t xml:space="preserve"> Id. </w:t>
      </w:r>
    </w:p>
  </w:footnote>
  <w:footnote w:id="192">
    <w:p w:rsidR="003275A0" w:rsidRPr="00817FC2" w:rsidP="00D07A9C" w14:paraId="29F8EE37" w14:textId="77777777">
      <w:pPr>
        <w:pStyle w:val="FootnoteText"/>
      </w:pPr>
      <w:r w:rsidRPr="00817FC2">
        <w:rPr>
          <w:rStyle w:val="FootnoteReference"/>
        </w:rPr>
        <w:footnoteRef/>
      </w:r>
      <w:r w:rsidRPr="00817FC2">
        <w:t xml:space="preserve"> Affected Entities in this industry include FM Translator Stations and Low Power FM Stations, Educational Broadcasting Services (Radio), and NCE and Public Broadcast Stations (Radio).</w:t>
      </w:r>
    </w:p>
  </w:footnote>
  <w:footnote w:id="193">
    <w:p w:rsidR="003275A0" w:rsidRPr="00817FC2" w:rsidP="00D07A9C" w14:paraId="4DD76AE7" w14:textId="77777777">
      <w:pPr>
        <w:pStyle w:val="FootnoteText"/>
      </w:pPr>
      <w:r w:rsidRPr="00817FC2">
        <w:rPr>
          <w:rStyle w:val="FootnoteReference"/>
        </w:rPr>
        <w:footnoteRef/>
      </w:r>
      <w:r w:rsidRPr="00817FC2">
        <w:t xml:space="preserve"> Affected Entities in this industry include Educational Broadcasting Services (TV) and NCE and Public Broadcast Stations (TV).</w:t>
      </w:r>
    </w:p>
  </w:footnote>
  <w:footnote w:id="194">
    <w:p w:rsidR="003275A0" w:rsidRPr="00817FC2" w:rsidP="005A0569" w14:paraId="5C2CFF3A" w14:textId="77777777">
      <w:pPr>
        <w:pStyle w:val="FootnoteText"/>
      </w:pPr>
      <w:r w:rsidRPr="00817FC2">
        <w:rPr>
          <w:rStyle w:val="FootnoteReference"/>
        </w:rPr>
        <w:footnoteRef/>
      </w:r>
      <w:r w:rsidRPr="00817FC2">
        <w:t xml:space="preserve"> Data as of 2024, according to Commission staff review of the BIA Kelsey Inc. Media Access Pro Television Database (BIA) on August 8, 2025.</w:t>
      </w:r>
    </w:p>
  </w:footnote>
  <w:footnote w:id="195">
    <w:p w:rsidR="003275A0" w:rsidRPr="00817FC2" w:rsidP="005A0569" w14:paraId="45482FB5" w14:textId="77777777">
      <w:pPr>
        <w:pStyle w:val="FootnoteText"/>
      </w:pPr>
      <w:r w:rsidRPr="00817FC2">
        <w:rPr>
          <w:rStyle w:val="FootnoteReference"/>
        </w:rPr>
        <w:footnoteRef/>
      </w:r>
      <w:r w:rsidRPr="00817FC2">
        <w:t xml:space="preserve"> </w:t>
      </w:r>
      <w:r w:rsidRPr="005A0569">
        <w:rPr>
          <w:i/>
          <w:iCs/>
        </w:rPr>
        <w:t>Id.</w:t>
      </w:r>
    </w:p>
  </w:footnote>
  <w:footnote w:id="196">
    <w:p w:rsidR="003275A0" w:rsidRPr="00817FC2" w:rsidP="005A0569" w14:paraId="7D5B1236" w14:textId="77777777">
      <w:pPr>
        <w:pStyle w:val="FootnoteText"/>
      </w:pPr>
      <w:r w:rsidRPr="00817FC2">
        <w:rPr>
          <w:rStyle w:val="FootnoteReference"/>
          <w:rFonts w:eastAsiaTheme="majorEastAsia"/>
        </w:rPr>
        <w:footnoteRef/>
      </w:r>
      <w:r w:rsidRPr="00817FC2">
        <w:rPr>
          <w:i/>
          <w:iCs/>
        </w:rPr>
        <w:t xml:space="preserve"> </w:t>
      </w:r>
      <w:r w:rsidRPr="00817FC2">
        <w:t xml:space="preserve">As of December 31, 2025, there were 4,342 licensed commercial AM radio stations and 6,589 licensed commercial FM radio stations, for a combined total of 10,931 commercial radio stations.  There were 4,755 licensed noncommercial (NCE) FM radio stations, 1,994 low power FM (LPFM) stations, and 8,867 FM translators and boosters.  Additionally, there were 1,389 licensed commercial television stations, 388 licensed noncommercial educational (NCE) television stations, 397 Class A TV stations, 1,760 LPTV stations and 3,092 TV translator stations.  </w:t>
      </w:r>
      <w:r w:rsidRPr="00817FC2">
        <w:rPr>
          <w:i/>
          <w:iCs/>
        </w:rPr>
        <w:t>Broadcast Station Totals as of December 31, 2025</w:t>
      </w:r>
      <w:r w:rsidRPr="00817FC2">
        <w:t>, Public Notice, DA 26-49 (rel. Jan. 13, 2026) (</w:t>
      </w:r>
      <w:r w:rsidRPr="00817FC2">
        <w:rPr>
          <w:i/>
          <w:iCs/>
        </w:rPr>
        <w:t>January 2026</w:t>
      </w:r>
      <w:r w:rsidRPr="00817FC2">
        <w:t xml:space="preserve"> </w:t>
      </w:r>
      <w:r w:rsidRPr="00817FC2">
        <w:rPr>
          <w:i/>
          <w:iCs/>
        </w:rPr>
        <w:t>Broadcast Station Totals PN</w:t>
      </w:r>
      <w:r w:rsidRPr="00817FC2">
        <w:t xml:space="preserve">), </w:t>
      </w:r>
      <w:hyperlink r:id="rId7" w:history="1">
        <w:r w:rsidRPr="00817FC2">
          <w:rPr>
            <w:rStyle w:val="Hyperlink"/>
          </w:rPr>
          <w:t>https://docs.fcc.gov/public/attachments/DA-26-49A1.pdf</w:t>
        </w:r>
      </w:hyperlink>
      <w:r w:rsidRPr="00817FC2">
        <w:rPr>
          <w:rStyle w:val="Hyperlink"/>
          <w:u w:val="none"/>
        </w:rPr>
        <w:t>.</w:t>
      </w:r>
    </w:p>
  </w:footnote>
  <w:footnote w:id="197">
    <w:p w:rsidR="003275A0" w:rsidRPr="00817FC2" w:rsidP="00D07A9C" w14:paraId="29D68B31" w14:textId="77777777">
      <w:pPr>
        <w:pStyle w:val="FootnoteText"/>
      </w:pPr>
      <w:r w:rsidRPr="00817FC2">
        <w:rPr>
          <w:rStyle w:val="FootnoteReference"/>
        </w:rPr>
        <w:footnoteRef/>
      </w:r>
      <w:r w:rsidRPr="00817FC2">
        <w:t xml:space="preserve"> </w:t>
      </w:r>
      <w:r w:rsidRPr="00817FC2">
        <w:rPr>
          <w:szCs w:val="22"/>
        </w:rPr>
        <w:t xml:space="preserve">5 U.S.C. </w:t>
      </w:r>
      <w:r w:rsidRPr="00817FC2">
        <w:t xml:space="preserve">§ 604(a)(5). </w:t>
      </w:r>
    </w:p>
  </w:footnote>
  <w:footnote w:id="198">
    <w:p w:rsidR="003275A0" w:rsidRPr="00817FC2" w:rsidP="005A0569" w14:paraId="26A6AE18" w14:textId="77777777">
      <w:pPr>
        <w:pStyle w:val="FootnoteText"/>
      </w:pPr>
      <w:r w:rsidRPr="00817FC2">
        <w:rPr>
          <w:rStyle w:val="FootnoteReference"/>
        </w:rPr>
        <w:footnoteRef/>
      </w:r>
      <w:r w:rsidRPr="00817FC2">
        <w:rPr>
          <w:b/>
          <w:bCs/>
          <w:i/>
          <w:iCs/>
        </w:rPr>
        <w:t xml:space="preserve"> </w:t>
      </w:r>
      <w:r w:rsidRPr="00817FC2">
        <w:t>5 U.S.C. § 604(a)(6).</w:t>
      </w:r>
    </w:p>
  </w:footnote>
  <w:footnote w:id="199">
    <w:p w:rsidR="003275A0" w:rsidRPr="00817FC2" w:rsidP="00D07A9C" w14:paraId="637199A5" w14:textId="77777777">
      <w:pPr>
        <w:pStyle w:val="FootnoteText"/>
      </w:pPr>
      <w:r w:rsidRPr="00817FC2">
        <w:rPr>
          <w:rStyle w:val="FootnoteReference"/>
        </w:rPr>
        <w:footnoteRef/>
      </w:r>
      <w:r w:rsidRPr="00817FC2">
        <w:t xml:space="preserve"> Public Broadcasters Comments at 4.</w:t>
      </w:r>
    </w:p>
  </w:footnote>
  <w:footnote w:id="200">
    <w:p w:rsidR="003275A0" w:rsidRPr="00817FC2" w:rsidP="00D07A9C" w14:paraId="1820415C" w14:textId="77777777">
      <w:pPr>
        <w:pStyle w:val="FootnoteText"/>
      </w:pPr>
      <w:r w:rsidRPr="00817FC2">
        <w:rPr>
          <w:rStyle w:val="FootnoteReference"/>
        </w:rPr>
        <w:footnoteRef/>
      </w:r>
      <w:r w:rsidRPr="00817FC2">
        <w:t xml:space="preserve"> NAB Comments at 8-9.</w:t>
      </w:r>
    </w:p>
  </w:footnote>
  <w:footnote w:id="201">
    <w:p w:rsidR="003275A0" w:rsidRPr="00817FC2" w:rsidP="00D07A9C" w14:paraId="287827E9" w14:textId="77777777">
      <w:pPr>
        <w:pStyle w:val="FootnoteText"/>
      </w:pPr>
      <w:r w:rsidRPr="00817FC2">
        <w:rPr>
          <w:rStyle w:val="FootnoteReference"/>
        </w:rPr>
        <w:footnoteRef/>
      </w:r>
      <w:r w:rsidRPr="00817FC2">
        <w:t xml:space="preserve"> Public Broadcasters at 5.</w:t>
      </w:r>
    </w:p>
  </w:footnote>
  <w:footnote w:id="202">
    <w:p w:rsidR="003275A0" w:rsidRPr="00817FC2" w:rsidP="00D07A9C" w14:paraId="249FE60B" w14:textId="77777777">
      <w:pPr>
        <w:pStyle w:val="FootnoteText"/>
        <w:rPr>
          <w:rFonts w:asciiTheme="minorHAnsi" w:hAnsiTheme="minorHAnsi" w:cstheme="minorBidi"/>
          <w14:ligatures w14:val="standardContextual"/>
        </w:rPr>
      </w:pPr>
      <w:r w:rsidRPr="00817FC2">
        <w:rPr>
          <w:rStyle w:val="FootnoteReference"/>
        </w:rPr>
        <w:footnoteRef/>
      </w:r>
      <w:r w:rsidRPr="00817FC2">
        <w:t xml:space="preserve"> Prometheus Comments at 2; Electron Benders Comments at 1; REC Comments at 6-7; and REC Reply Comments at 8.</w:t>
      </w:r>
    </w:p>
  </w:footnote>
  <w:footnote w:id="203">
    <w:p w:rsidR="003275A0" w:rsidRPr="00817FC2" w:rsidP="00D07A9C" w14:paraId="25490A04" w14:textId="77777777">
      <w:pPr>
        <w:pStyle w:val="FootnoteText"/>
      </w:pPr>
      <w:r w:rsidRPr="00817FC2">
        <w:rPr>
          <w:rStyle w:val="FootnoteReference"/>
        </w:rPr>
        <w:footnoteRef/>
      </w:r>
      <w:r w:rsidRPr="00817FC2">
        <w:t xml:space="preserve"> </w:t>
      </w:r>
      <w:r w:rsidRPr="00817FC2">
        <w:rPr>
          <w:szCs w:val="22"/>
        </w:rPr>
        <w:t xml:space="preserve">5 U.S.C. </w:t>
      </w:r>
      <w:r w:rsidRPr="00817FC2">
        <w:t>§ 801(a)(1)(A).</w:t>
      </w:r>
    </w:p>
  </w:footnote>
  <w:footnote w:id="204">
    <w:p w:rsidR="003275A0" w:rsidP="00D07A9C" w14:paraId="7E120302" w14:textId="77777777">
      <w:pPr>
        <w:pStyle w:val="FootnoteText"/>
      </w:pPr>
      <w:r w:rsidRPr="00817FC2">
        <w:rPr>
          <w:rStyle w:val="FootnoteReference"/>
        </w:rPr>
        <w:footnoteRef/>
      </w:r>
      <w:r w:rsidRPr="00817FC2">
        <w:t xml:space="preserve"> </w:t>
      </w:r>
      <w:r w:rsidRPr="00817FC2">
        <w:rPr>
          <w:i/>
          <w:iCs/>
        </w:rPr>
        <w:t xml:space="preserve">Id. </w:t>
      </w:r>
      <w:r w:rsidRPr="00817FC2">
        <w:t>§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AB83619" w14:textId="472E4C4C">
    <w:pPr>
      <w:pStyle w:val="Header"/>
      <w:rPr>
        <w:b w:val="0"/>
      </w:rPr>
    </w:pPr>
    <w:r>
      <w:tab/>
      <w:t>Federal Communications Commission</w:t>
    </w:r>
    <w:r>
      <w:tab/>
    </w:r>
    <w:r w:rsidR="00EA377B">
      <w:t>FCC 26-14</w:t>
    </w:r>
  </w:p>
  <w:p w:rsidR="00D25FB5" w14:paraId="080066A7" w14:textId="10C0EC7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26EDB07"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9E7F09F" w14:textId="28EBC6B2">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EA377B">
      <w:t>FCC 26-14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DABE5D6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2BD94FC4"/>
    <w:multiLevelType w:val="singleLevel"/>
    <w:tmpl w:val="3C9E0E56"/>
    <w:lvl w:ilvl="0">
      <w:start w:val="2"/>
      <w:numFmt w:val="decimal"/>
      <w:lvlText w:val="%1."/>
      <w:lvlJc w:val="left"/>
      <w:pPr>
        <w:ind w:left="720" w:hanging="360"/>
      </w:pPr>
      <w:rPr>
        <w:rFonts w:hint="default"/>
        <w:b w:val="0"/>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9530B2E"/>
    <w:multiLevelType w:val="hybridMultilevel"/>
    <w:tmpl w:val="F4367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A72308"/>
    <w:multiLevelType w:val="hybridMultilevel"/>
    <w:tmpl w:val="C57CC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63B6130F"/>
    <w:multiLevelType w:val="hybridMultilevel"/>
    <w:tmpl w:val="02E0A350"/>
    <w:lvl w:ilvl="0">
      <w:start w:val="1"/>
      <w:numFmt w:val="decimal"/>
      <w:lvlText w:val="%1."/>
      <w:lvlJc w:val="left"/>
      <w:pPr>
        <w:tabs>
          <w:tab w:val="num" w:pos="1080"/>
        </w:tabs>
        <w:ind w:left="0" w:firstLine="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6986009">
    <w:abstractNumId w:val="1"/>
  </w:num>
  <w:num w:numId="2" w16cid:durableId="1152985950">
    <w:abstractNumId w:val="8"/>
  </w:num>
  <w:num w:numId="3" w16cid:durableId="2120248267">
    <w:abstractNumId w:val="3"/>
  </w:num>
  <w:num w:numId="4" w16cid:durableId="334918570">
    <w:abstractNumId w:val="5"/>
  </w:num>
  <w:num w:numId="5" w16cid:durableId="608781985">
    <w:abstractNumId w:val="2"/>
  </w:num>
  <w:num w:numId="6" w16cid:durableId="1252930195">
    <w:abstractNumId w:val="0"/>
  </w:num>
  <w:num w:numId="7" w16cid:durableId="377710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947528">
    <w:abstractNumId w:val="4"/>
  </w:num>
  <w:num w:numId="9" w16cid:durableId="236743645">
    <w:abstractNumId w:val="9"/>
  </w:num>
  <w:num w:numId="10" w16cid:durableId="591354397">
    <w:abstractNumId w:val="7"/>
  </w:num>
  <w:num w:numId="11" w16cid:durableId="1558279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0A"/>
    <w:rsid w:val="00000714"/>
    <w:rsid w:val="00001732"/>
    <w:rsid w:val="00001899"/>
    <w:rsid w:val="00002253"/>
    <w:rsid w:val="0000244E"/>
    <w:rsid w:val="00002B7D"/>
    <w:rsid w:val="00002C04"/>
    <w:rsid w:val="000030AB"/>
    <w:rsid w:val="0000315A"/>
    <w:rsid w:val="000036FD"/>
    <w:rsid w:val="000043C9"/>
    <w:rsid w:val="000044AE"/>
    <w:rsid w:val="000047CA"/>
    <w:rsid w:val="00004C2E"/>
    <w:rsid w:val="00004C80"/>
    <w:rsid w:val="0000598C"/>
    <w:rsid w:val="00010000"/>
    <w:rsid w:val="00010019"/>
    <w:rsid w:val="00010232"/>
    <w:rsid w:val="00010277"/>
    <w:rsid w:val="00010342"/>
    <w:rsid w:val="00010414"/>
    <w:rsid w:val="000110FD"/>
    <w:rsid w:val="00012121"/>
    <w:rsid w:val="00012631"/>
    <w:rsid w:val="0001268B"/>
    <w:rsid w:val="000126BE"/>
    <w:rsid w:val="00012AAF"/>
    <w:rsid w:val="00012C6B"/>
    <w:rsid w:val="0001359C"/>
    <w:rsid w:val="000150C0"/>
    <w:rsid w:val="000152F8"/>
    <w:rsid w:val="0001569C"/>
    <w:rsid w:val="00015CCF"/>
    <w:rsid w:val="000160A9"/>
    <w:rsid w:val="000169D5"/>
    <w:rsid w:val="00017D14"/>
    <w:rsid w:val="00017D65"/>
    <w:rsid w:val="000206D4"/>
    <w:rsid w:val="0002070E"/>
    <w:rsid w:val="00021546"/>
    <w:rsid w:val="00021C96"/>
    <w:rsid w:val="000221B6"/>
    <w:rsid w:val="00022C8E"/>
    <w:rsid w:val="00022E63"/>
    <w:rsid w:val="000237FF"/>
    <w:rsid w:val="000243BC"/>
    <w:rsid w:val="000247DA"/>
    <w:rsid w:val="000254B3"/>
    <w:rsid w:val="000254B6"/>
    <w:rsid w:val="00025745"/>
    <w:rsid w:val="00025E24"/>
    <w:rsid w:val="000276A7"/>
    <w:rsid w:val="00027818"/>
    <w:rsid w:val="00027BC4"/>
    <w:rsid w:val="00027D52"/>
    <w:rsid w:val="00027FCD"/>
    <w:rsid w:val="00031122"/>
    <w:rsid w:val="00031505"/>
    <w:rsid w:val="00031EAC"/>
    <w:rsid w:val="00032BD5"/>
    <w:rsid w:val="00032D88"/>
    <w:rsid w:val="0003307D"/>
    <w:rsid w:val="00033353"/>
    <w:rsid w:val="0003382F"/>
    <w:rsid w:val="0003402E"/>
    <w:rsid w:val="00034670"/>
    <w:rsid w:val="00035BB1"/>
    <w:rsid w:val="00035F3A"/>
    <w:rsid w:val="00036039"/>
    <w:rsid w:val="00036CF9"/>
    <w:rsid w:val="00036E18"/>
    <w:rsid w:val="00037056"/>
    <w:rsid w:val="00037D57"/>
    <w:rsid w:val="00037EBA"/>
    <w:rsid w:val="00037F90"/>
    <w:rsid w:val="000402D8"/>
    <w:rsid w:val="00040837"/>
    <w:rsid w:val="00040D3C"/>
    <w:rsid w:val="000411E6"/>
    <w:rsid w:val="00041384"/>
    <w:rsid w:val="00041A17"/>
    <w:rsid w:val="00041A3E"/>
    <w:rsid w:val="000420E0"/>
    <w:rsid w:val="00042797"/>
    <w:rsid w:val="000429EB"/>
    <w:rsid w:val="00043075"/>
    <w:rsid w:val="000435AB"/>
    <w:rsid w:val="000439D1"/>
    <w:rsid w:val="00043B62"/>
    <w:rsid w:val="00044419"/>
    <w:rsid w:val="000449C9"/>
    <w:rsid w:val="000454D3"/>
    <w:rsid w:val="00046203"/>
    <w:rsid w:val="00046D3D"/>
    <w:rsid w:val="000470ED"/>
    <w:rsid w:val="00047503"/>
    <w:rsid w:val="0005017F"/>
    <w:rsid w:val="00050A07"/>
    <w:rsid w:val="00050B96"/>
    <w:rsid w:val="00050CC7"/>
    <w:rsid w:val="00050DFE"/>
    <w:rsid w:val="00051F32"/>
    <w:rsid w:val="000524AC"/>
    <w:rsid w:val="00053236"/>
    <w:rsid w:val="0005343E"/>
    <w:rsid w:val="0005362E"/>
    <w:rsid w:val="00053E6E"/>
    <w:rsid w:val="0005408C"/>
    <w:rsid w:val="0005417F"/>
    <w:rsid w:val="0005423C"/>
    <w:rsid w:val="000544D7"/>
    <w:rsid w:val="0005453C"/>
    <w:rsid w:val="000548A9"/>
    <w:rsid w:val="000554DD"/>
    <w:rsid w:val="00055674"/>
    <w:rsid w:val="000563A7"/>
    <w:rsid w:val="000566B4"/>
    <w:rsid w:val="000575F1"/>
    <w:rsid w:val="0005777D"/>
    <w:rsid w:val="000578F1"/>
    <w:rsid w:val="00057D98"/>
    <w:rsid w:val="00057E5E"/>
    <w:rsid w:val="000601F1"/>
    <w:rsid w:val="00060685"/>
    <w:rsid w:val="00060B7E"/>
    <w:rsid w:val="00060B81"/>
    <w:rsid w:val="00060DF9"/>
    <w:rsid w:val="000611D7"/>
    <w:rsid w:val="00061253"/>
    <w:rsid w:val="000612DC"/>
    <w:rsid w:val="0006131A"/>
    <w:rsid w:val="00061567"/>
    <w:rsid w:val="00062AEC"/>
    <w:rsid w:val="00062E1A"/>
    <w:rsid w:val="00062E21"/>
    <w:rsid w:val="000630FF"/>
    <w:rsid w:val="00063457"/>
    <w:rsid w:val="000634F8"/>
    <w:rsid w:val="00063567"/>
    <w:rsid w:val="00063761"/>
    <w:rsid w:val="00063B7F"/>
    <w:rsid w:val="00063D11"/>
    <w:rsid w:val="00063E7E"/>
    <w:rsid w:val="000642D5"/>
    <w:rsid w:val="00064422"/>
    <w:rsid w:val="00064A0C"/>
    <w:rsid w:val="00064FE8"/>
    <w:rsid w:val="00065362"/>
    <w:rsid w:val="000656E7"/>
    <w:rsid w:val="00065BAC"/>
    <w:rsid w:val="0006644E"/>
    <w:rsid w:val="0006702D"/>
    <w:rsid w:val="000671F5"/>
    <w:rsid w:val="00067524"/>
    <w:rsid w:val="00067CCC"/>
    <w:rsid w:val="00067D4B"/>
    <w:rsid w:val="00067D5D"/>
    <w:rsid w:val="000709CC"/>
    <w:rsid w:val="0007181B"/>
    <w:rsid w:val="000718A3"/>
    <w:rsid w:val="00071B8B"/>
    <w:rsid w:val="000721DB"/>
    <w:rsid w:val="000724E3"/>
    <w:rsid w:val="00072CCC"/>
    <w:rsid w:val="00073BCD"/>
    <w:rsid w:val="00073D62"/>
    <w:rsid w:val="00073E1A"/>
    <w:rsid w:val="00073EAB"/>
    <w:rsid w:val="000746B2"/>
    <w:rsid w:val="000748CB"/>
    <w:rsid w:val="00074937"/>
    <w:rsid w:val="00075385"/>
    <w:rsid w:val="00075490"/>
    <w:rsid w:val="00075AB5"/>
    <w:rsid w:val="00075FCC"/>
    <w:rsid w:val="00076EA1"/>
    <w:rsid w:val="00076FB5"/>
    <w:rsid w:val="000772EC"/>
    <w:rsid w:val="000774FB"/>
    <w:rsid w:val="0007765D"/>
    <w:rsid w:val="000779F5"/>
    <w:rsid w:val="00077A2A"/>
    <w:rsid w:val="00077DD8"/>
    <w:rsid w:val="00077FBD"/>
    <w:rsid w:val="00080652"/>
    <w:rsid w:val="000810EB"/>
    <w:rsid w:val="000813DC"/>
    <w:rsid w:val="000817C5"/>
    <w:rsid w:val="00082CB8"/>
    <w:rsid w:val="000832F2"/>
    <w:rsid w:val="000835CF"/>
    <w:rsid w:val="00083C13"/>
    <w:rsid w:val="00083C97"/>
    <w:rsid w:val="00083F01"/>
    <w:rsid w:val="00084744"/>
    <w:rsid w:val="00084748"/>
    <w:rsid w:val="000849CA"/>
    <w:rsid w:val="00085715"/>
    <w:rsid w:val="0008587E"/>
    <w:rsid w:val="00085D57"/>
    <w:rsid w:val="00085D63"/>
    <w:rsid w:val="00086B71"/>
    <w:rsid w:val="000875BF"/>
    <w:rsid w:val="00090491"/>
    <w:rsid w:val="00091745"/>
    <w:rsid w:val="00091954"/>
    <w:rsid w:val="000929C3"/>
    <w:rsid w:val="000929E4"/>
    <w:rsid w:val="00092F29"/>
    <w:rsid w:val="0009347D"/>
    <w:rsid w:val="0009363F"/>
    <w:rsid w:val="00093672"/>
    <w:rsid w:val="00094247"/>
    <w:rsid w:val="0009449F"/>
    <w:rsid w:val="0009469B"/>
    <w:rsid w:val="000948A9"/>
    <w:rsid w:val="00095035"/>
    <w:rsid w:val="0009516C"/>
    <w:rsid w:val="0009543B"/>
    <w:rsid w:val="00096A14"/>
    <w:rsid w:val="00096B9F"/>
    <w:rsid w:val="00096CD6"/>
    <w:rsid w:val="00096D8C"/>
    <w:rsid w:val="00097409"/>
    <w:rsid w:val="000975BD"/>
    <w:rsid w:val="00097B90"/>
    <w:rsid w:val="000A007A"/>
    <w:rsid w:val="000A0397"/>
    <w:rsid w:val="000A053E"/>
    <w:rsid w:val="000A0C2B"/>
    <w:rsid w:val="000A0F46"/>
    <w:rsid w:val="000A1533"/>
    <w:rsid w:val="000A1992"/>
    <w:rsid w:val="000A1DB2"/>
    <w:rsid w:val="000A1FC4"/>
    <w:rsid w:val="000A2372"/>
    <w:rsid w:val="000A23E5"/>
    <w:rsid w:val="000A256A"/>
    <w:rsid w:val="000A275F"/>
    <w:rsid w:val="000A2A62"/>
    <w:rsid w:val="000A2A99"/>
    <w:rsid w:val="000A31B4"/>
    <w:rsid w:val="000A3282"/>
    <w:rsid w:val="000A34BD"/>
    <w:rsid w:val="000A380C"/>
    <w:rsid w:val="000A38CE"/>
    <w:rsid w:val="000A3DCE"/>
    <w:rsid w:val="000A4782"/>
    <w:rsid w:val="000A4893"/>
    <w:rsid w:val="000A4F11"/>
    <w:rsid w:val="000A543F"/>
    <w:rsid w:val="000A5A22"/>
    <w:rsid w:val="000A5CA2"/>
    <w:rsid w:val="000A6E77"/>
    <w:rsid w:val="000A7266"/>
    <w:rsid w:val="000A75FE"/>
    <w:rsid w:val="000A77D0"/>
    <w:rsid w:val="000A7D26"/>
    <w:rsid w:val="000B01DB"/>
    <w:rsid w:val="000B01E7"/>
    <w:rsid w:val="000B0FAD"/>
    <w:rsid w:val="000B12DA"/>
    <w:rsid w:val="000B13EC"/>
    <w:rsid w:val="000B1DA6"/>
    <w:rsid w:val="000B2628"/>
    <w:rsid w:val="000B3860"/>
    <w:rsid w:val="000B39D4"/>
    <w:rsid w:val="000B3A86"/>
    <w:rsid w:val="000B4212"/>
    <w:rsid w:val="000B4479"/>
    <w:rsid w:val="000B49D6"/>
    <w:rsid w:val="000B53AA"/>
    <w:rsid w:val="000B5A98"/>
    <w:rsid w:val="000B5D06"/>
    <w:rsid w:val="000B5D9D"/>
    <w:rsid w:val="000B5EF5"/>
    <w:rsid w:val="000B680F"/>
    <w:rsid w:val="000C00C6"/>
    <w:rsid w:val="000C042F"/>
    <w:rsid w:val="000C0B65"/>
    <w:rsid w:val="000C0C0E"/>
    <w:rsid w:val="000C1014"/>
    <w:rsid w:val="000C126B"/>
    <w:rsid w:val="000C2075"/>
    <w:rsid w:val="000C2214"/>
    <w:rsid w:val="000C23C9"/>
    <w:rsid w:val="000C250A"/>
    <w:rsid w:val="000C33B5"/>
    <w:rsid w:val="000C351C"/>
    <w:rsid w:val="000C3614"/>
    <w:rsid w:val="000C3863"/>
    <w:rsid w:val="000C51BE"/>
    <w:rsid w:val="000C5B32"/>
    <w:rsid w:val="000C5B80"/>
    <w:rsid w:val="000C6053"/>
    <w:rsid w:val="000C6294"/>
    <w:rsid w:val="000C6FB6"/>
    <w:rsid w:val="000C7494"/>
    <w:rsid w:val="000D09D5"/>
    <w:rsid w:val="000D0E36"/>
    <w:rsid w:val="000D13F2"/>
    <w:rsid w:val="000D1C4B"/>
    <w:rsid w:val="000D1CDC"/>
    <w:rsid w:val="000D1CFE"/>
    <w:rsid w:val="000D1F69"/>
    <w:rsid w:val="000D3FDC"/>
    <w:rsid w:val="000D449A"/>
    <w:rsid w:val="000D47F9"/>
    <w:rsid w:val="000D4946"/>
    <w:rsid w:val="000D4EDF"/>
    <w:rsid w:val="000D579F"/>
    <w:rsid w:val="000D5832"/>
    <w:rsid w:val="000D5989"/>
    <w:rsid w:val="000D6F30"/>
    <w:rsid w:val="000D737F"/>
    <w:rsid w:val="000D7417"/>
    <w:rsid w:val="000D7D25"/>
    <w:rsid w:val="000E0378"/>
    <w:rsid w:val="000E050C"/>
    <w:rsid w:val="000E05C3"/>
    <w:rsid w:val="000E05FE"/>
    <w:rsid w:val="000E0898"/>
    <w:rsid w:val="000E15C1"/>
    <w:rsid w:val="000E1B52"/>
    <w:rsid w:val="000E2335"/>
    <w:rsid w:val="000E2835"/>
    <w:rsid w:val="000E2855"/>
    <w:rsid w:val="000E2A48"/>
    <w:rsid w:val="000E38E3"/>
    <w:rsid w:val="000E3D04"/>
    <w:rsid w:val="000E3D42"/>
    <w:rsid w:val="000E46AD"/>
    <w:rsid w:val="000E5013"/>
    <w:rsid w:val="000E5EC3"/>
    <w:rsid w:val="000E63EA"/>
    <w:rsid w:val="000E6937"/>
    <w:rsid w:val="000E695E"/>
    <w:rsid w:val="000E7652"/>
    <w:rsid w:val="000F03A4"/>
    <w:rsid w:val="000F052B"/>
    <w:rsid w:val="000F0D1C"/>
    <w:rsid w:val="000F1FFB"/>
    <w:rsid w:val="000F2279"/>
    <w:rsid w:val="000F2542"/>
    <w:rsid w:val="000F2B7D"/>
    <w:rsid w:val="000F2BDB"/>
    <w:rsid w:val="000F3EB0"/>
    <w:rsid w:val="000F4301"/>
    <w:rsid w:val="000F46DE"/>
    <w:rsid w:val="000F47F5"/>
    <w:rsid w:val="000F4CE3"/>
    <w:rsid w:val="000F5491"/>
    <w:rsid w:val="000F56A3"/>
    <w:rsid w:val="000F6072"/>
    <w:rsid w:val="000F60C1"/>
    <w:rsid w:val="000F615D"/>
    <w:rsid w:val="000F6750"/>
    <w:rsid w:val="000F687D"/>
    <w:rsid w:val="000F71C4"/>
    <w:rsid w:val="000F7433"/>
    <w:rsid w:val="000F7612"/>
    <w:rsid w:val="000F7D70"/>
    <w:rsid w:val="0010033C"/>
    <w:rsid w:val="00101530"/>
    <w:rsid w:val="00101A2B"/>
    <w:rsid w:val="00101A96"/>
    <w:rsid w:val="00101BD2"/>
    <w:rsid w:val="00101D27"/>
    <w:rsid w:val="0010208F"/>
    <w:rsid w:val="001026DE"/>
    <w:rsid w:val="00102BB4"/>
    <w:rsid w:val="0010357D"/>
    <w:rsid w:val="001038C2"/>
    <w:rsid w:val="00103BF6"/>
    <w:rsid w:val="00104098"/>
    <w:rsid w:val="00105112"/>
    <w:rsid w:val="00106200"/>
    <w:rsid w:val="0010709F"/>
    <w:rsid w:val="00107405"/>
    <w:rsid w:val="00107714"/>
    <w:rsid w:val="001105EE"/>
    <w:rsid w:val="0011078A"/>
    <w:rsid w:val="00112477"/>
    <w:rsid w:val="001129AC"/>
    <w:rsid w:val="00112AA8"/>
    <w:rsid w:val="00112AD4"/>
    <w:rsid w:val="00112B89"/>
    <w:rsid w:val="001138F3"/>
    <w:rsid w:val="00113DC2"/>
    <w:rsid w:val="00114962"/>
    <w:rsid w:val="00114D72"/>
    <w:rsid w:val="00114FD0"/>
    <w:rsid w:val="00115014"/>
    <w:rsid w:val="0011567B"/>
    <w:rsid w:val="001157EA"/>
    <w:rsid w:val="00115E30"/>
    <w:rsid w:val="00115FB0"/>
    <w:rsid w:val="0011631C"/>
    <w:rsid w:val="00116376"/>
    <w:rsid w:val="001169D4"/>
    <w:rsid w:val="00116C51"/>
    <w:rsid w:val="00117336"/>
    <w:rsid w:val="00117390"/>
    <w:rsid w:val="00117865"/>
    <w:rsid w:val="00117B08"/>
    <w:rsid w:val="00117DBA"/>
    <w:rsid w:val="00122166"/>
    <w:rsid w:val="0012226A"/>
    <w:rsid w:val="001222F3"/>
    <w:rsid w:val="00122BD5"/>
    <w:rsid w:val="00122C18"/>
    <w:rsid w:val="00122E7C"/>
    <w:rsid w:val="00122F49"/>
    <w:rsid w:val="001231F9"/>
    <w:rsid w:val="001234B1"/>
    <w:rsid w:val="001237DE"/>
    <w:rsid w:val="0012395A"/>
    <w:rsid w:val="00125351"/>
    <w:rsid w:val="001253B4"/>
    <w:rsid w:val="00125460"/>
    <w:rsid w:val="00125667"/>
    <w:rsid w:val="00125A38"/>
    <w:rsid w:val="00125E46"/>
    <w:rsid w:val="00125F88"/>
    <w:rsid w:val="001263CE"/>
    <w:rsid w:val="00126527"/>
    <w:rsid w:val="0012694F"/>
    <w:rsid w:val="00126E7C"/>
    <w:rsid w:val="001273E8"/>
    <w:rsid w:val="00127E33"/>
    <w:rsid w:val="0013043D"/>
    <w:rsid w:val="00130467"/>
    <w:rsid w:val="00131282"/>
    <w:rsid w:val="001313F5"/>
    <w:rsid w:val="001325FD"/>
    <w:rsid w:val="0013260E"/>
    <w:rsid w:val="00133EB3"/>
    <w:rsid w:val="00133F79"/>
    <w:rsid w:val="00134569"/>
    <w:rsid w:val="00134AD6"/>
    <w:rsid w:val="001362FA"/>
    <w:rsid w:val="00136E38"/>
    <w:rsid w:val="00137031"/>
    <w:rsid w:val="0013765D"/>
    <w:rsid w:val="00137777"/>
    <w:rsid w:val="00137FAD"/>
    <w:rsid w:val="00140B18"/>
    <w:rsid w:val="00140B25"/>
    <w:rsid w:val="00141C2B"/>
    <w:rsid w:val="0014243A"/>
    <w:rsid w:val="0014320A"/>
    <w:rsid w:val="00143C77"/>
    <w:rsid w:val="00143CE8"/>
    <w:rsid w:val="00143FF3"/>
    <w:rsid w:val="001441BD"/>
    <w:rsid w:val="00144501"/>
    <w:rsid w:val="001445B0"/>
    <w:rsid w:val="00144AFA"/>
    <w:rsid w:val="00144D3A"/>
    <w:rsid w:val="00144FD2"/>
    <w:rsid w:val="0014505E"/>
    <w:rsid w:val="0014510C"/>
    <w:rsid w:val="0014552D"/>
    <w:rsid w:val="001456DA"/>
    <w:rsid w:val="001465CC"/>
    <w:rsid w:val="0014670F"/>
    <w:rsid w:val="00146A7A"/>
    <w:rsid w:val="00146B07"/>
    <w:rsid w:val="00146DCD"/>
    <w:rsid w:val="00146FF7"/>
    <w:rsid w:val="0014728B"/>
    <w:rsid w:val="0014779E"/>
    <w:rsid w:val="00147C72"/>
    <w:rsid w:val="0015010A"/>
    <w:rsid w:val="00150150"/>
    <w:rsid w:val="0015019B"/>
    <w:rsid w:val="001505EB"/>
    <w:rsid w:val="00150688"/>
    <w:rsid w:val="00150D12"/>
    <w:rsid w:val="00151988"/>
    <w:rsid w:val="00151A43"/>
    <w:rsid w:val="00151D3B"/>
    <w:rsid w:val="001527A1"/>
    <w:rsid w:val="00152E5A"/>
    <w:rsid w:val="00153231"/>
    <w:rsid w:val="00153C1C"/>
    <w:rsid w:val="00154429"/>
    <w:rsid w:val="0015448C"/>
    <w:rsid w:val="00154DB8"/>
    <w:rsid w:val="001551B9"/>
    <w:rsid w:val="00156249"/>
    <w:rsid w:val="0015664E"/>
    <w:rsid w:val="00156C43"/>
    <w:rsid w:val="00156D1A"/>
    <w:rsid w:val="00157758"/>
    <w:rsid w:val="00160351"/>
    <w:rsid w:val="00160A20"/>
    <w:rsid w:val="00160A48"/>
    <w:rsid w:val="001613BC"/>
    <w:rsid w:val="001614BF"/>
    <w:rsid w:val="00161871"/>
    <w:rsid w:val="00161B25"/>
    <w:rsid w:val="00162DB6"/>
    <w:rsid w:val="00162DF9"/>
    <w:rsid w:val="001632FF"/>
    <w:rsid w:val="001634D1"/>
    <w:rsid w:val="0016369F"/>
    <w:rsid w:val="00163CB4"/>
    <w:rsid w:val="00164992"/>
    <w:rsid w:val="00164DB5"/>
    <w:rsid w:val="00164EC6"/>
    <w:rsid w:val="00164F25"/>
    <w:rsid w:val="001651A4"/>
    <w:rsid w:val="001654C1"/>
    <w:rsid w:val="001655BD"/>
    <w:rsid w:val="001655E3"/>
    <w:rsid w:val="001657E4"/>
    <w:rsid w:val="00165DFF"/>
    <w:rsid w:val="00165F4B"/>
    <w:rsid w:val="00165FEE"/>
    <w:rsid w:val="001661CF"/>
    <w:rsid w:val="001666E0"/>
    <w:rsid w:val="00167616"/>
    <w:rsid w:val="0016796D"/>
    <w:rsid w:val="0017001E"/>
    <w:rsid w:val="0017021E"/>
    <w:rsid w:val="001702FB"/>
    <w:rsid w:val="00170EB3"/>
    <w:rsid w:val="00171165"/>
    <w:rsid w:val="00171388"/>
    <w:rsid w:val="001721B3"/>
    <w:rsid w:val="00172229"/>
    <w:rsid w:val="00172BB4"/>
    <w:rsid w:val="00172C5A"/>
    <w:rsid w:val="0017323C"/>
    <w:rsid w:val="001736C7"/>
    <w:rsid w:val="00173939"/>
    <w:rsid w:val="00173A90"/>
    <w:rsid w:val="00174AB1"/>
    <w:rsid w:val="00174B73"/>
    <w:rsid w:val="001755FE"/>
    <w:rsid w:val="00175939"/>
    <w:rsid w:val="001760DA"/>
    <w:rsid w:val="00176C67"/>
    <w:rsid w:val="00177138"/>
    <w:rsid w:val="00177164"/>
    <w:rsid w:val="00177414"/>
    <w:rsid w:val="001776D7"/>
    <w:rsid w:val="00177AA5"/>
    <w:rsid w:val="00177AB3"/>
    <w:rsid w:val="00180820"/>
    <w:rsid w:val="00180C88"/>
    <w:rsid w:val="001824D4"/>
    <w:rsid w:val="00182664"/>
    <w:rsid w:val="00182E45"/>
    <w:rsid w:val="0018300A"/>
    <w:rsid w:val="001832E8"/>
    <w:rsid w:val="00183760"/>
    <w:rsid w:val="00183E65"/>
    <w:rsid w:val="001843DF"/>
    <w:rsid w:val="00184505"/>
    <w:rsid w:val="001850C7"/>
    <w:rsid w:val="001857AC"/>
    <w:rsid w:val="00185E37"/>
    <w:rsid w:val="00185F5D"/>
    <w:rsid w:val="00186648"/>
    <w:rsid w:val="00186787"/>
    <w:rsid w:val="001874D8"/>
    <w:rsid w:val="0018797A"/>
    <w:rsid w:val="00187DF8"/>
    <w:rsid w:val="00190B6D"/>
    <w:rsid w:val="00190CF6"/>
    <w:rsid w:val="00191559"/>
    <w:rsid w:val="00191696"/>
    <w:rsid w:val="00191F20"/>
    <w:rsid w:val="00192432"/>
    <w:rsid w:val="00192BF1"/>
    <w:rsid w:val="00192C8E"/>
    <w:rsid w:val="00193545"/>
    <w:rsid w:val="00193F63"/>
    <w:rsid w:val="00193F72"/>
    <w:rsid w:val="00194164"/>
    <w:rsid w:val="00194A66"/>
    <w:rsid w:val="00194FD1"/>
    <w:rsid w:val="001951AF"/>
    <w:rsid w:val="001956C4"/>
    <w:rsid w:val="00195936"/>
    <w:rsid w:val="0019598C"/>
    <w:rsid w:val="00195C4D"/>
    <w:rsid w:val="00197051"/>
    <w:rsid w:val="001972F4"/>
    <w:rsid w:val="00197C53"/>
    <w:rsid w:val="00197F3B"/>
    <w:rsid w:val="001A0123"/>
    <w:rsid w:val="001A056E"/>
    <w:rsid w:val="001A084C"/>
    <w:rsid w:val="001A2409"/>
    <w:rsid w:val="001A2776"/>
    <w:rsid w:val="001A3150"/>
    <w:rsid w:val="001A3953"/>
    <w:rsid w:val="001A4015"/>
    <w:rsid w:val="001A46B4"/>
    <w:rsid w:val="001A4A43"/>
    <w:rsid w:val="001A4A85"/>
    <w:rsid w:val="001A4B5D"/>
    <w:rsid w:val="001A5589"/>
    <w:rsid w:val="001A5A46"/>
    <w:rsid w:val="001A6074"/>
    <w:rsid w:val="001A693F"/>
    <w:rsid w:val="001A6993"/>
    <w:rsid w:val="001A78EB"/>
    <w:rsid w:val="001B03B6"/>
    <w:rsid w:val="001B0FA4"/>
    <w:rsid w:val="001B132E"/>
    <w:rsid w:val="001B2139"/>
    <w:rsid w:val="001B23C6"/>
    <w:rsid w:val="001B286D"/>
    <w:rsid w:val="001B2B59"/>
    <w:rsid w:val="001B32B8"/>
    <w:rsid w:val="001B387E"/>
    <w:rsid w:val="001B50DA"/>
    <w:rsid w:val="001B52FA"/>
    <w:rsid w:val="001B6717"/>
    <w:rsid w:val="001B6980"/>
    <w:rsid w:val="001B6BAC"/>
    <w:rsid w:val="001B71BF"/>
    <w:rsid w:val="001B76DD"/>
    <w:rsid w:val="001B7B1D"/>
    <w:rsid w:val="001C011C"/>
    <w:rsid w:val="001C045E"/>
    <w:rsid w:val="001C046C"/>
    <w:rsid w:val="001C0A35"/>
    <w:rsid w:val="001C0F49"/>
    <w:rsid w:val="001C1B45"/>
    <w:rsid w:val="001C2854"/>
    <w:rsid w:val="001C2906"/>
    <w:rsid w:val="001C3066"/>
    <w:rsid w:val="001C3426"/>
    <w:rsid w:val="001C4269"/>
    <w:rsid w:val="001C4273"/>
    <w:rsid w:val="001C45A6"/>
    <w:rsid w:val="001C4E8B"/>
    <w:rsid w:val="001C50DC"/>
    <w:rsid w:val="001C53AE"/>
    <w:rsid w:val="001C53E2"/>
    <w:rsid w:val="001C5460"/>
    <w:rsid w:val="001C5713"/>
    <w:rsid w:val="001C5975"/>
    <w:rsid w:val="001C5E4E"/>
    <w:rsid w:val="001C7656"/>
    <w:rsid w:val="001C795E"/>
    <w:rsid w:val="001D027E"/>
    <w:rsid w:val="001D0AFD"/>
    <w:rsid w:val="001D1182"/>
    <w:rsid w:val="001D14BE"/>
    <w:rsid w:val="001D17A3"/>
    <w:rsid w:val="001D193E"/>
    <w:rsid w:val="001D1C00"/>
    <w:rsid w:val="001D214F"/>
    <w:rsid w:val="001D2F71"/>
    <w:rsid w:val="001D366E"/>
    <w:rsid w:val="001D3701"/>
    <w:rsid w:val="001D47AD"/>
    <w:rsid w:val="001D4858"/>
    <w:rsid w:val="001D4CB0"/>
    <w:rsid w:val="001D5134"/>
    <w:rsid w:val="001D521D"/>
    <w:rsid w:val="001D5466"/>
    <w:rsid w:val="001D5690"/>
    <w:rsid w:val="001D6B98"/>
    <w:rsid w:val="001D6BCF"/>
    <w:rsid w:val="001D6D3D"/>
    <w:rsid w:val="001D7013"/>
    <w:rsid w:val="001D7BF5"/>
    <w:rsid w:val="001D7F8D"/>
    <w:rsid w:val="001E01CA"/>
    <w:rsid w:val="001E023C"/>
    <w:rsid w:val="001E031F"/>
    <w:rsid w:val="001E0825"/>
    <w:rsid w:val="001E088C"/>
    <w:rsid w:val="001E0896"/>
    <w:rsid w:val="001E0F4E"/>
    <w:rsid w:val="001E1217"/>
    <w:rsid w:val="001E16EF"/>
    <w:rsid w:val="001E1833"/>
    <w:rsid w:val="001E1F5A"/>
    <w:rsid w:val="001E1FE1"/>
    <w:rsid w:val="001E37FB"/>
    <w:rsid w:val="001E4363"/>
    <w:rsid w:val="001E48CE"/>
    <w:rsid w:val="001E4A7E"/>
    <w:rsid w:val="001E4CB6"/>
    <w:rsid w:val="001E5893"/>
    <w:rsid w:val="001E5FB7"/>
    <w:rsid w:val="001E6017"/>
    <w:rsid w:val="001E701B"/>
    <w:rsid w:val="001E7202"/>
    <w:rsid w:val="001E727D"/>
    <w:rsid w:val="001F063C"/>
    <w:rsid w:val="001F07FC"/>
    <w:rsid w:val="001F0D9A"/>
    <w:rsid w:val="001F120B"/>
    <w:rsid w:val="001F1364"/>
    <w:rsid w:val="001F13E6"/>
    <w:rsid w:val="001F1952"/>
    <w:rsid w:val="001F1BF1"/>
    <w:rsid w:val="001F1F5C"/>
    <w:rsid w:val="001F20D5"/>
    <w:rsid w:val="001F25F3"/>
    <w:rsid w:val="001F28A6"/>
    <w:rsid w:val="001F2F2E"/>
    <w:rsid w:val="001F3042"/>
    <w:rsid w:val="001F3A88"/>
    <w:rsid w:val="001F3BFB"/>
    <w:rsid w:val="001F3D22"/>
    <w:rsid w:val="001F3D37"/>
    <w:rsid w:val="001F4538"/>
    <w:rsid w:val="001F4DF5"/>
    <w:rsid w:val="001F5FB7"/>
    <w:rsid w:val="001F610A"/>
    <w:rsid w:val="001F63FA"/>
    <w:rsid w:val="001F6F4C"/>
    <w:rsid w:val="001F7230"/>
    <w:rsid w:val="001F731A"/>
    <w:rsid w:val="001F7345"/>
    <w:rsid w:val="001F75B7"/>
    <w:rsid w:val="001F76CA"/>
    <w:rsid w:val="001F7D77"/>
    <w:rsid w:val="001F7DAF"/>
    <w:rsid w:val="001F7E72"/>
    <w:rsid w:val="00200C8F"/>
    <w:rsid w:val="00200D47"/>
    <w:rsid w:val="00201884"/>
    <w:rsid w:val="0020234B"/>
    <w:rsid w:val="00202600"/>
    <w:rsid w:val="002027BF"/>
    <w:rsid w:val="00202865"/>
    <w:rsid w:val="00202C12"/>
    <w:rsid w:val="00203A8D"/>
    <w:rsid w:val="0020434E"/>
    <w:rsid w:val="0020479B"/>
    <w:rsid w:val="0020567D"/>
    <w:rsid w:val="00205C4E"/>
    <w:rsid w:val="00205CC6"/>
    <w:rsid w:val="00205D73"/>
    <w:rsid w:val="0020677A"/>
    <w:rsid w:val="0020689E"/>
    <w:rsid w:val="00207052"/>
    <w:rsid w:val="00207808"/>
    <w:rsid w:val="002078CE"/>
    <w:rsid w:val="0020793A"/>
    <w:rsid w:val="00210274"/>
    <w:rsid w:val="0021080A"/>
    <w:rsid w:val="00210CE5"/>
    <w:rsid w:val="00210F0F"/>
    <w:rsid w:val="002113ED"/>
    <w:rsid w:val="00211643"/>
    <w:rsid w:val="00211941"/>
    <w:rsid w:val="00211A07"/>
    <w:rsid w:val="00211BAD"/>
    <w:rsid w:val="00211DEB"/>
    <w:rsid w:val="0021241C"/>
    <w:rsid w:val="00212568"/>
    <w:rsid w:val="00213BBD"/>
    <w:rsid w:val="0021421A"/>
    <w:rsid w:val="0021439F"/>
    <w:rsid w:val="00214460"/>
    <w:rsid w:val="00214B0C"/>
    <w:rsid w:val="00214D42"/>
    <w:rsid w:val="00214FC7"/>
    <w:rsid w:val="002156D1"/>
    <w:rsid w:val="00215D32"/>
    <w:rsid w:val="00215E46"/>
    <w:rsid w:val="00215E8C"/>
    <w:rsid w:val="002161E8"/>
    <w:rsid w:val="0021626E"/>
    <w:rsid w:val="0021659B"/>
    <w:rsid w:val="002167F3"/>
    <w:rsid w:val="00216DEE"/>
    <w:rsid w:val="00217597"/>
    <w:rsid w:val="00217B5A"/>
    <w:rsid w:val="00217CB1"/>
    <w:rsid w:val="00217F74"/>
    <w:rsid w:val="00220181"/>
    <w:rsid w:val="0022061D"/>
    <w:rsid w:val="00220C8D"/>
    <w:rsid w:val="002220DC"/>
    <w:rsid w:val="0022256B"/>
    <w:rsid w:val="00222A06"/>
    <w:rsid w:val="00222F7A"/>
    <w:rsid w:val="002236B5"/>
    <w:rsid w:val="00223CAA"/>
    <w:rsid w:val="0022423B"/>
    <w:rsid w:val="00224AF0"/>
    <w:rsid w:val="00224B0A"/>
    <w:rsid w:val="00224D7C"/>
    <w:rsid w:val="002251F1"/>
    <w:rsid w:val="002252A6"/>
    <w:rsid w:val="002253D9"/>
    <w:rsid w:val="00226637"/>
    <w:rsid w:val="00226B03"/>
    <w:rsid w:val="0022716C"/>
    <w:rsid w:val="00227460"/>
    <w:rsid w:val="00227625"/>
    <w:rsid w:val="00227F85"/>
    <w:rsid w:val="00227FA5"/>
    <w:rsid w:val="002302D9"/>
    <w:rsid w:val="00230438"/>
    <w:rsid w:val="0023077C"/>
    <w:rsid w:val="00230A1F"/>
    <w:rsid w:val="00231016"/>
    <w:rsid w:val="00231B0D"/>
    <w:rsid w:val="00231BAD"/>
    <w:rsid w:val="00231C48"/>
    <w:rsid w:val="00231FFE"/>
    <w:rsid w:val="002321DD"/>
    <w:rsid w:val="00232982"/>
    <w:rsid w:val="00232DDF"/>
    <w:rsid w:val="00232E33"/>
    <w:rsid w:val="002338E3"/>
    <w:rsid w:val="00233943"/>
    <w:rsid w:val="00233A91"/>
    <w:rsid w:val="00233D5D"/>
    <w:rsid w:val="00233D60"/>
    <w:rsid w:val="0023412B"/>
    <w:rsid w:val="002345FE"/>
    <w:rsid w:val="00234713"/>
    <w:rsid w:val="00236E64"/>
    <w:rsid w:val="00236EA4"/>
    <w:rsid w:val="00236ED2"/>
    <w:rsid w:val="002373B1"/>
    <w:rsid w:val="00237916"/>
    <w:rsid w:val="00237B14"/>
    <w:rsid w:val="00240273"/>
    <w:rsid w:val="00240559"/>
    <w:rsid w:val="00240BA4"/>
    <w:rsid w:val="0024154B"/>
    <w:rsid w:val="002417C1"/>
    <w:rsid w:val="00242656"/>
    <w:rsid w:val="002429D1"/>
    <w:rsid w:val="00243032"/>
    <w:rsid w:val="0024320E"/>
    <w:rsid w:val="002439E6"/>
    <w:rsid w:val="00243E31"/>
    <w:rsid w:val="0024502D"/>
    <w:rsid w:val="0024524A"/>
    <w:rsid w:val="0024557D"/>
    <w:rsid w:val="002458DC"/>
    <w:rsid w:val="00245AF9"/>
    <w:rsid w:val="00245DDB"/>
    <w:rsid w:val="002466CD"/>
    <w:rsid w:val="00246C92"/>
    <w:rsid w:val="00247289"/>
    <w:rsid w:val="00247947"/>
    <w:rsid w:val="00247D03"/>
    <w:rsid w:val="00250BF2"/>
    <w:rsid w:val="00251820"/>
    <w:rsid w:val="002520F8"/>
    <w:rsid w:val="00252455"/>
    <w:rsid w:val="00252FE8"/>
    <w:rsid w:val="002532DC"/>
    <w:rsid w:val="002536CC"/>
    <w:rsid w:val="0025379F"/>
    <w:rsid w:val="00253F22"/>
    <w:rsid w:val="00254040"/>
    <w:rsid w:val="00254DB1"/>
    <w:rsid w:val="00255219"/>
    <w:rsid w:val="0025574E"/>
    <w:rsid w:val="00255845"/>
    <w:rsid w:val="00256AB9"/>
    <w:rsid w:val="00256F5D"/>
    <w:rsid w:val="002571C2"/>
    <w:rsid w:val="00257352"/>
    <w:rsid w:val="002601F0"/>
    <w:rsid w:val="00260BF1"/>
    <w:rsid w:val="00261395"/>
    <w:rsid w:val="0026196B"/>
    <w:rsid w:val="00261C79"/>
    <w:rsid w:val="00262182"/>
    <w:rsid w:val="0026278D"/>
    <w:rsid w:val="002630BA"/>
    <w:rsid w:val="002637EB"/>
    <w:rsid w:val="00263E04"/>
    <w:rsid w:val="00264B3E"/>
    <w:rsid w:val="0026587E"/>
    <w:rsid w:val="00265C09"/>
    <w:rsid w:val="00265DDB"/>
    <w:rsid w:val="00266DCC"/>
    <w:rsid w:val="00270611"/>
    <w:rsid w:val="002706D7"/>
    <w:rsid w:val="00270E9D"/>
    <w:rsid w:val="00270FED"/>
    <w:rsid w:val="00272C9C"/>
    <w:rsid w:val="00272CD2"/>
    <w:rsid w:val="00272F20"/>
    <w:rsid w:val="00273258"/>
    <w:rsid w:val="00274329"/>
    <w:rsid w:val="00274456"/>
    <w:rsid w:val="0027452B"/>
    <w:rsid w:val="00274784"/>
    <w:rsid w:val="00275026"/>
    <w:rsid w:val="002750BE"/>
    <w:rsid w:val="00275560"/>
    <w:rsid w:val="00275891"/>
    <w:rsid w:val="00275A72"/>
    <w:rsid w:val="00275CF5"/>
    <w:rsid w:val="00276450"/>
    <w:rsid w:val="0027651F"/>
    <w:rsid w:val="002768C8"/>
    <w:rsid w:val="00276BB5"/>
    <w:rsid w:val="002774D8"/>
    <w:rsid w:val="00277875"/>
    <w:rsid w:val="00277BD5"/>
    <w:rsid w:val="00277C16"/>
    <w:rsid w:val="00280CD1"/>
    <w:rsid w:val="00280E05"/>
    <w:rsid w:val="00280E64"/>
    <w:rsid w:val="00280F0A"/>
    <w:rsid w:val="002815CD"/>
    <w:rsid w:val="00281D2B"/>
    <w:rsid w:val="0028267E"/>
    <w:rsid w:val="0028274D"/>
    <w:rsid w:val="002828AA"/>
    <w:rsid w:val="00282F24"/>
    <w:rsid w:val="0028301F"/>
    <w:rsid w:val="0028303E"/>
    <w:rsid w:val="002836E2"/>
    <w:rsid w:val="00283A0E"/>
    <w:rsid w:val="00283E08"/>
    <w:rsid w:val="002842BA"/>
    <w:rsid w:val="00284971"/>
    <w:rsid w:val="00284C6D"/>
    <w:rsid w:val="00284CE6"/>
    <w:rsid w:val="00285017"/>
    <w:rsid w:val="002853F8"/>
    <w:rsid w:val="0028548C"/>
    <w:rsid w:val="00285494"/>
    <w:rsid w:val="00285F8F"/>
    <w:rsid w:val="00286690"/>
    <w:rsid w:val="00287647"/>
    <w:rsid w:val="00287EF7"/>
    <w:rsid w:val="0029035E"/>
    <w:rsid w:val="00290617"/>
    <w:rsid w:val="002914AC"/>
    <w:rsid w:val="0029154D"/>
    <w:rsid w:val="00291A27"/>
    <w:rsid w:val="00291C61"/>
    <w:rsid w:val="0029265A"/>
    <w:rsid w:val="002926C9"/>
    <w:rsid w:val="002929A2"/>
    <w:rsid w:val="00292B09"/>
    <w:rsid w:val="00292C80"/>
    <w:rsid w:val="00293088"/>
    <w:rsid w:val="00294C82"/>
    <w:rsid w:val="00295914"/>
    <w:rsid w:val="00295C54"/>
    <w:rsid w:val="00295C96"/>
    <w:rsid w:val="002971B4"/>
    <w:rsid w:val="00297BEE"/>
    <w:rsid w:val="00297F48"/>
    <w:rsid w:val="002A02F6"/>
    <w:rsid w:val="002A041E"/>
    <w:rsid w:val="002A1095"/>
    <w:rsid w:val="002A12DE"/>
    <w:rsid w:val="002A143E"/>
    <w:rsid w:val="002A15E3"/>
    <w:rsid w:val="002A164C"/>
    <w:rsid w:val="002A2087"/>
    <w:rsid w:val="002A2457"/>
    <w:rsid w:val="002A295A"/>
    <w:rsid w:val="002A2CA4"/>
    <w:rsid w:val="002A2D2E"/>
    <w:rsid w:val="002A3071"/>
    <w:rsid w:val="002A32BF"/>
    <w:rsid w:val="002A3305"/>
    <w:rsid w:val="002A3D62"/>
    <w:rsid w:val="002A3E29"/>
    <w:rsid w:val="002A43DA"/>
    <w:rsid w:val="002A455D"/>
    <w:rsid w:val="002A46DC"/>
    <w:rsid w:val="002A4922"/>
    <w:rsid w:val="002A4DD8"/>
    <w:rsid w:val="002A502E"/>
    <w:rsid w:val="002A5637"/>
    <w:rsid w:val="002A56B8"/>
    <w:rsid w:val="002A63EA"/>
    <w:rsid w:val="002A6410"/>
    <w:rsid w:val="002A6CCF"/>
    <w:rsid w:val="002A7C55"/>
    <w:rsid w:val="002B037E"/>
    <w:rsid w:val="002B0871"/>
    <w:rsid w:val="002B08FC"/>
    <w:rsid w:val="002B12FC"/>
    <w:rsid w:val="002B18C9"/>
    <w:rsid w:val="002B191B"/>
    <w:rsid w:val="002B1966"/>
    <w:rsid w:val="002B1F10"/>
    <w:rsid w:val="002B2778"/>
    <w:rsid w:val="002B27E0"/>
    <w:rsid w:val="002B28F7"/>
    <w:rsid w:val="002B2B8E"/>
    <w:rsid w:val="002B3025"/>
    <w:rsid w:val="002B32B5"/>
    <w:rsid w:val="002B39E7"/>
    <w:rsid w:val="002B3A8F"/>
    <w:rsid w:val="002B3B7A"/>
    <w:rsid w:val="002B3BAF"/>
    <w:rsid w:val="002B40C4"/>
    <w:rsid w:val="002B44F0"/>
    <w:rsid w:val="002B48A2"/>
    <w:rsid w:val="002B493F"/>
    <w:rsid w:val="002B4981"/>
    <w:rsid w:val="002B4BAD"/>
    <w:rsid w:val="002B6069"/>
    <w:rsid w:val="002B6593"/>
    <w:rsid w:val="002B68CD"/>
    <w:rsid w:val="002B6C70"/>
    <w:rsid w:val="002C00E8"/>
    <w:rsid w:val="002C0273"/>
    <w:rsid w:val="002C0348"/>
    <w:rsid w:val="002C0665"/>
    <w:rsid w:val="002C2286"/>
    <w:rsid w:val="002C2C84"/>
    <w:rsid w:val="002C3401"/>
    <w:rsid w:val="002C373F"/>
    <w:rsid w:val="002C4000"/>
    <w:rsid w:val="002C4295"/>
    <w:rsid w:val="002C43B3"/>
    <w:rsid w:val="002C462A"/>
    <w:rsid w:val="002C545F"/>
    <w:rsid w:val="002C5F15"/>
    <w:rsid w:val="002C6030"/>
    <w:rsid w:val="002C624D"/>
    <w:rsid w:val="002C696D"/>
    <w:rsid w:val="002C6D7A"/>
    <w:rsid w:val="002C7095"/>
    <w:rsid w:val="002D01AB"/>
    <w:rsid w:val="002D12D9"/>
    <w:rsid w:val="002D2CAE"/>
    <w:rsid w:val="002D3362"/>
    <w:rsid w:val="002D3B4F"/>
    <w:rsid w:val="002D3DE8"/>
    <w:rsid w:val="002D4149"/>
    <w:rsid w:val="002D4882"/>
    <w:rsid w:val="002D4E25"/>
    <w:rsid w:val="002D5287"/>
    <w:rsid w:val="002D52CF"/>
    <w:rsid w:val="002D5709"/>
    <w:rsid w:val="002D6588"/>
    <w:rsid w:val="002D681E"/>
    <w:rsid w:val="002D6892"/>
    <w:rsid w:val="002D6992"/>
    <w:rsid w:val="002D6E7F"/>
    <w:rsid w:val="002D7326"/>
    <w:rsid w:val="002E0E42"/>
    <w:rsid w:val="002E1226"/>
    <w:rsid w:val="002E19EA"/>
    <w:rsid w:val="002E1F78"/>
    <w:rsid w:val="002E26D4"/>
    <w:rsid w:val="002E2D29"/>
    <w:rsid w:val="002E372A"/>
    <w:rsid w:val="002E377F"/>
    <w:rsid w:val="002E3AC3"/>
    <w:rsid w:val="002E3B71"/>
    <w:rsid w:val="002E471D"/>
    <w:rsid w:val="002E5718"/>
    <w:rsid w:val="002E63A9"/>
    <w:rsid w:val="002E66B6"/>
    <w:rsid w:val="002E6B2E"/>
    <w:rsid w:val="002E6B6B"/>
    <w:rsid w:val="002E6BD9"/>
    <w:rsid w:val="002E72A3"/>
    <w:rsid w:val="002E789D"/>
    <w:rsid w:val="002F0F7A"/>
    <w:rsid w:val="002F1E15"/>
    <w:rsid w:val="002F2283"/>
    <w:rsid w:val="002F25F5"/>
    <w:rsid w:val="002F28A0"/>
    <w:rsid w:val="002F2913"/>
    <w:rsid w:val="002F34ED"/>
    <w:rsid w:val="002F3A88"/>
    <w:rsid w:val="002F3A9E"/>
    <w:rsid w:val="002F42C6"/>
    <w:rsid w:val="002F461D"/>
    <w:rsid w:val="002F46F2"/>
    <w:rsid w:val="002F4880"/>
    <w:rsid w:val="002F49F5"/>
    <w:rsid w:val="002F4F28"/>
    <w:rsid w:val="002F57D7"/>
    <w:rsid w:val="002F5819"/>
    <w:rsid w:val="002F594F"/>
    <w:rsid w:val="002F5F26"/>
    <w:rsid w:val="002F6719"/>
    <w:rsid w:val="002F79BE"/>
    <w:rsid w:val="002F7C4A"/>
    <w:rsid w:val="00300604"/>
    <w:rsid w:val="0030071F"/>
    <w:rsid w:val="0030093A"/>
    <w:rsid w:val="00300AC2"/>
    <w:rsid w:val="0030119A"/>
    <w:rsid w:val="0030126E"/>
    <w:rsid w:val="003014EE"/>
    <w:rsid w:val="003023E2"/>
    <w:rsid w:val="00303152"/>
    <w:rsid w:val="003041C9"/>
    <w:rsid w:val="00304393"/>
    <w:rsid w:val="003045F0"/>
    <w:rsid w:val="0030501A"/>
    <w:rsid w:val="00305129"/>
    <w:rsid w:val="00305C55"/>
    <w:rsid w:val="00306043"/>
    <w:rsid w:val="003076E3"/>
    <w:rsid w:val="0031009A"/>
    <w:rsid w:val="003100A1"/>
    <w:rsid w:val="003103F2"/>
    <w:rsid w:val="00310795"/>
    <w:rsid w:val="00310A1D"/>
    <w:rsid w:val="0031100E"/>
    <w:rsid w:val="003120BD"/>
    <w:rsid w:val="00312801"/>
    <w:rsid w:val="0031296A"/>
    <w:rsid w:val="00312CCB"/>
    <w:rsid w:val="003136DB"/>
    <w:rsid w:val="00313C3F"/>
    <w:rsid w:val="00314118"/>
    <w:rsid w:val="00314249"/>
    <w:rsid w:val="00314A87"/>
    <w:rsid w:val="00314FBC"/>
    <w:rsid w:val="00315272"/>
    <w:rsid w:val="00315BC4"/>
    <w:rsid w:val="003162B8"/>
    <w:rsid w:val="003163B4"/>
    <w:rsid w:val="00320199"/>
    <w:rsid w:val="0032025B"/>
    <w:rsid w:val="0032051C"/>
    <w:rsid w:val="00320535"/>
    <w:rsid w:val="003213E5"/>
    <w:rsid w:val="00321B7E"/>
    <w:rsid w:val="00321E56"/>
    <w:rsid w:val="00322222"/>
    <w:rsid w:val="00322C44"/>
    <w:rsid w:val="00323285"/>
    <w:rsid w:val="00323A76"/>
    <w:rsid w:val="00324755"/>
    <w:rsid w:val="003249DF"/>
    <w:rsid w:val="0032590C"/>
    <w:rsid w:val="00325BC7"/>
    <w:rsid w:val="00326154"/>
    <w:rsid w:val="00326324"/>
    <w:rsid w:val="003263DA"/>
    <w:rsid w:val="0032694D"/>
    <w:rsid w:val="00326BD8"/>
    <w:rsid w:val="00327329"/>
    <w:rsid w:val="0032732D"/>
    <w:rsid w:val="003275A0"/>
    <w:rsid w:val="00327C8B"/>
    <w:rsid w:val="0033073B"/>
    <w:rsid w:val="00330767"/>
    <w:rsid w:val="00330C6D"/>
    <w:rsid w:val="00330EF1"/>
    <w:rsid w:val="003322A7"/>
    <w:rsid w:val="0033308B"/>
    <w:rsid w:val="00333D49"/>
    <w:rsid w:val="00334F1E"/>
    <w:rsid w:val="003355F7"/>
    <w:rsid w:val="00335B76"/>
    <w:rsid w:val="00335E79"/>
    <w:rsid w:val="003361D2"/>
    <w:rsid w:val="003374CA"/>
    <w:rsid w:val="00337C46"/>
    <w:rsid w:val="003403FE"/>
    <w:rsid w:val="00340B90"/>
    <w:rsid w:val="003413A4"/>
    <w:rsid w:val="00341539"/>
    <w:rsid w:val="00341C31"/>
    <w:rsid w:val="00341D46"/>
    <w:rsid w:val="003421F6"/>
    <w:rsid w:val="00342313"/>
    <w:rsid w:val="0034246C"/>
    <w:rsid w:val="0034251C"/>
    <w:rsid w:val="00342F19"/>
    <w:rsid w:val="00343749"/>
    <w:rsid w:val="0034374E"/>
    <w:rsid w:val="00343A88"/>
    <w:rsid w:val="00343BC6"/>
    <w:rsid w:val="00343FA5"/>
    <w:rsid w:val="00344778"/>
    <w:rsid w:val="00344DF5"/>
    <w:rsid w:val="00345D99"/>
    <w:rsid w:val="00345F95"/>
    <w:rsid w:val="00346ACC"/>
    <w:rsid w:val="003471DB"/>
    <w:rsid w:val="003472E5"/>
    <w:rsid w:val="00347B30"/>
    <w:rsid w:val="00347EAD"/>
    <w:rsid w:val="00350343"/>
    <w:rsid w:val="00350633"/>
    <w:rsid w:val="00350856"/>
    <w:rsid w:val="003516EB"/>
    <w:rsid w:val="00351BC3"/>
    <w:rsid w:val="00351ECA"/>
    <w:rsid w:val="00352295"/>
    <w:rsid w:val="003522C6"/>
    <w:rsid w:val="003523AE"/>
    <w:rsid w:val="00352860"/>
    <w:rsid w:val="00353C3F"/>
    <w:rsid w:val="0035411F"/>
    <w:rsid w:val="003541D2"/>
    <w:rsid w:val="00354286"/>
    <w:rsid w:val="00354323"/>
    <w:rsid w:val="00354984"/>
    <w:rsid w:val="003552E3"/>
    <w:rsid w:val="003553CD"/>
    <w:rsid w:val="0035544F"/>
    <w:rsid w:val="00355503"/>
    <w:rsid w:val="003559BA"/>
    <w:rsid w:val="00355BD7"/>
    <w:rsid w:val="003560EE"/>
    <w:rsid w:val="0035629E"/>
    <w:rsid w:val="00356F29"/>
    <w:rsid w:val="00357989"/>
    <w:rsid w:val="003604B0"/>
    <w:rsid w:val="00360F0F"/>
    <w:rsid w:val="0036133B"/>
    <w:rsid w:val="0036156B"/>
    <w:rsid w:val="00361A46"/>
    <w:rsid w:val="00361FCA"/>
    <w:rsid w:val="00362275"/>
    <w:rsid w:val="00362817"/>
    <w:rsid w:val="00362C12"/>
    <w:rsid w:val="00363A00"/>
    <w:rsid w:val="00363E47"/>
    <w:rsid w:val="00364321"/>
    <w:rsid w:val="00364548"/>
    <w:rsid w:val="00364A1C"/>
    <w:rsid w:val="00364D7A"/>
    <w:rsid w:val="00364FF4"/>
    <w:rsid w:val="003660ED"/>
    <w:rsid w:val="00366565"/>
    <w:rsid w:val="003670A2"/>
    <w:rsid w:val="00371D27"/>
    <w:rsid w:val="00371EEE"/>
    <w:rsid w:val="00371F21"/>
    <w:rsid w:val="00371F95"/>
    <w:rsid w:val="00373235"/>
    <w:rsid w:val="003742A9"/>
    <w:rsid w:val="00374404"/>
    <w:rsid w:val="00374E93"/>
    <w:rsid w:val="00374F35"/>
    <w:rsid w:val="00375150"/>
    <w:rsid w:val="003753DC"/>
    <w:rsid w:val="00375A13"/>
    <w:rsid w:val="0037622C"/>
    <w:rsid w:val="0037646C"/>
    <w:rsid w:val="00376A6D"/>
    <w:rsid w:val="00376F3C"/>
    <w:rsid w:val="0037703E"/>
    <w:rsid w:val="00377BE4"/>
    <w:rsid w:val="0038046C"/>
    <w:rsid w:val="003808E1"/>
    <w:rsid w:val="003808F1"/>
    <w:rsid w:val="00380B00"/>
    <w:rsid w:val="003819DD"/>
    <w:rsid w:val="00381C22"/>
    <w:rsid w:val="0038250A"/>
    <w:rsid w:val="00382797"/>
    <w:rsid w:val="003833A4"/>
    <w:rsid w:val="00383FA2"/>
    <w:rsid w:val="0038403F"/>
    <w:rsid w:val="0038425A"/>
    <w:rsid w:val="003844E7"/>
    <w:rsid w:val="00384AAE"/>
    <w:rsid w:val="003856E4"/>
    <w:rsid w:val="00385AFE"/>
    <w:rsid w:val="00385D17"/>
    <w:rsid w:val="003861C8"/>
    <w:rsid w:val="00386892"/>
    <w:rsid w:val="003871E8"/>
    <w:rsid w:val="003874B7"/>
    <w:rsid w:val="003877B8"/>
    <w:rsid w:val="0038782D"/>
    <w:rsid w:val="00390095"/>
    <w:rsid w:val="00390363"/>
    <w:rsid w:val="00390715"/>
    <w:rsid w:val="003917A1"/>
    <w:rsid w:val="00391C10"/>
    <w:rsid w:val="0039273D"/>
    <w:rsid w:val="00392909"/>
    <w:rsid w:val="00392A85"/>
    <w:rsid w:val="00392B38"/>
    <w:rsid w:val="00393186"/>
    <w:rsid w:val="00393D9A"/>
    <w:rsid w:val="00394004"/>
    <w:rsid w:val="00394169"/>
    <w:rsid w:val="00394243"/>
    <w:rsid w:val="00394330"/>
    <w:rsid w:val="003947AD"/>
    <w:rsid w:val="00394A70"/>
    <w:rsid w:val="00394B1E"/>
    <w:rsid w:val="00394CCE"/>
    <w:rsid w:val="00394CF5"/>
    <w:rsid w:val="00395E25"/>
    <w:rsid w:val="00395F84"/>
    <w:rsid w:val="0039658E"/>
    <w:rsid w:val="00396C96"/>
    <w:rsid w:val="00397297"/>
    <w:rsid w:val="00397371"/>
    <w:rsid w:val="00397604"/>
    <w:rsid w:val="003A0E90"/>
    <w:rsid w:val="003A1069"/>
    <w:rsid w:val="003A1A16"/>
    <w:rsid w:val="003A21BF"/>
    <w:rsid w:val="003A26ED"/>
    <w:rsid w:val="003A2989"/>
    <w:rsid w:val="003A2FFD"/>
    <w:rsid w:val="003A3327"/>
    <w:rsid w:val="003A348C"/>
    <w:rsid w:val="003A3889"/>
    <w:rsid w:val="003A3899"/>
    <w:rsid w:val="003A3C06"/>
    <w:rsid w:val="003A4131"/>
    <w:rsid w:val="003A4179"/>
    <w:rsid w:val="003A4298"/>
    <w:rsid w:val="003A5189"/>
    <w:rsid w:val="003A5250"/>
    <w:rsid w:val="003A5592"/>
    <w:rsid w:val="003A59E6"/>
    <w:rsid w:val="003A5F53"/>
    <w:rsid w:val="003A66E4"/>
    <w:rsid w:val="003A6839"/>
    <w:rsid w:val="003A6865"/>
    <w:rsid w:val="003A74DE"/>
    <w:rsid w:val="003A756C"/>
    <w:rsid w:val="003B0550"/>
    <w:rsid w:val="003B06D9"/>
    <w:rsid w:val="003B0EE3"/>
    <w:rsid w:val="003B12B6"/>
    <w:rsid w:val="003B19E7"/>
    <w:rsid w:val="003B2272"/>
    <w:rsid w:val="003B2D63"/>
    <w:rsid w:val="003B2E80"/>
    <w:rsid w:val="003B2F32"/>
    <w:rsid w:val="003B3927"/>
    <w:rsid w:val="003B3979"/>
    <w:rsid w:val="003B3AF3"/>
    <w:rsid w:val="003B3D8D"/>
    <w:rsid w:val="003B4AF1"/>
    <w:rsid w:val="003B562E"/>
    <w:rsid w:val="003B5E00"/>
    <w:rsid w:val="003B661C"/>
    <w:rsid w:val="003B668C"/>
    <w:rsid w:val="003B694F"/>
    <w:rsid w:val="003B6BDA"/>
    <w:rsid w:val="003B6D7E"/>
    <w:rsid w:val="003B70F1"/>
    <w:rsid w:val="003B7E52"/>
    <w:rsid w:val="003C02F3"/>
    <w:rsid w:val="003C02F8"/>
    <w:rsid w:val="003C0862"/>
    <w:rsid w:val="003C0AB4"/>
    <w:rsid w:val="003C0F90"/>
    <w:rsid w:val="003C1124"/>
    <w:rsid w:val="003C16DF"/>
    <w:rsid w:val="003C1F2F"/>
    <w:rsid w:val="003C2674"/>
    <w:rsid w:val="003C273E"/>
    <w:rsid w:val="003C32E7"/>
    <w:rsid w:val="003C33B1"/>
    <w:rsid w:val="003C547A"/>
    <w:rsid w:val="003C550E"/>
    <w:rsid w:val="003C6B4E"/>
    <w:rsid w:val="003C712E"/>
    <w:rsid w:val="003D0976"/>
    <w:rsid w:val="003D12E8"/>
    <w:rsid w:val="003D207A"/>
    <w:rsid w:val="003D249C"/>
    <w:rsid w:val="003D2916"/>
    <w:rsid w:val="003D29DC"/>
    <w:rsid w:val="003D29E7"/>
    <w:rsid w:val="003D2A2F"/>
    <w:rsid w:val="003D2B45"/>
    <w:rsid w:val="003D344B"/>
    <w:rsid w:val="003D3AB1"/>
    <w:rsid w:val="003D3F4A"/>
    <w:rsid w:val="003D3F6D"/>
    <w:rsid w:val="003D5535"/>
    <w:rsid w:val="003D5AA5"/>
    <w:rsid w:val="003D6199"/>
    <w:rsid w:val="003D65FB"/>
    <w:rsid w:val="003D68F0"/>
    <w:rsid w:val="003D760B"/>
    <w:rsid w:val="003D7B60"/>
    <w:rsid w:val="003E106F"/>
    <w:rsid w:val="003E11B0"/>
    <w:rsid w:val="003E122C"/>
    <w:rsid w:val="003E136D"/>
    <w:rsid w:val="003E1637"/>
    <w:rsid w:val="003E1D8E"/>
    <w:rsid w:val="003E3605"/>
    <w:rsid w:val="003E3664"/>
    <w:rsid w:val="003E484C"/>
    <w:rsid w:val="003E486D"/>
    <w:rsid w:val="003E5174"/>
    <w:rsid w:val="003E5255"/>
    <w:rsid w:val="003E5462"/>
    <w:rsid w:val="003E5A4B"/>
    <w:rsid w:val="003E604A"/>
    <w:rsid w:val="003E653B"/>
    <w:rsid w:val="003E66A0"/>
    <w:rsid w:val="003E6D23"/>
    <w:rsid w:val="003E6F04"/>
    <w:rsid w:val="003E74DF"/>
    <w:rsid w:val="003E765E"/>
    <w:rsid w:val="003E77B4"/>
    <w:rsid w:val="003E7E64"/>
    <w:rsid w:val="003E7EBF"/>
    <w:rsid w:val="003F015C"/>
    <w:rsid w:val="003F01A7"/>
    <w:rsid w:val="003F0D87"/>
    <w:rsid w:val="003F171C"/>
    <w:rsid w:val="003F1738"/>
    <w:rsid w:val="003F24D6"/>
    <w:rsid w:val="003F2887"/>
    <w:rsid w:val="003F2CBE"/>
    <w:rsid w:val="003F342B"/>
    <w:rsid w:val="003F427E"/>
    <w:rsid w:val="003F4388"/>
    <w:rsid w:val="003F4738"/>
    <w:rsid w:val="003F47EC"/>
    <w:rsid w:val="003F4C93"/>
    <w:rsid w:val="003F4C97"/>
    <w:rsid w:val="003F504D"/>
    <w:rsid w:val="003F50AF"/>
    <w:rsid w:val="003F519A"/>
    <w:rsid w:val="003F5B47"/>
    <w:rsid w:val="003F651C"/>
    <w:rsid w:val="003F6825"/>
    <w:rsid w:val="003F6DD8"/>
    <w:rsid w:val="003F7BC4"/>
    <w:rsid w:val="004002C4"/>
    <w:rsid w:val="004005AD"/>
    <w:rsid w:val="004012DF"/>
    <w:rsid w:val="00401569"/>
    <w:rsid w:val="004015B1"/>
    <w:rsid w:val="004017A2"/>
    <w:rsid w:val="00402026"/>
    <w:rsid w:val="00402115"/>
    <w:rsid w:val="0040291C"/>
    <w:rsid w:val="00403381"/>
    <w:rsid w:val="00403B1D"/>
    <w:rsid w:val="00403C6D"/>
    <w:rsid w:val="00404699"/>
    <w:rsid w:val="00404A83"/>
    <w:rsid w:val="00404F49"/>
    <w:rsid w:val="00405D14"/>
    <w:rsid w:val="00405D7F"/>
    <w:rsid w:val="004061F0"/>
    <w:rsid w:val="00406688"/>
    <w:rsid w:val="00406722"/>
    <w:rsid w:val="00406AE1"/>
    <w:rsid w:val="00410644"/>
    <w:rsid w:val="0041117A"/>
    <w:rsid w:val="00412EA0"/>
    <w:rsid w:val="00412FC5"/>
    <w:rsid w:val="004137F8"/>
    <w:rsid w:val="004139A3"/>
    <w:rsid w:val="00413B0F"/>
    <w:rsid w:val="00413BEE"/>
    <w:rsid w:val="00414428"/>
    <w:rsid w:val="0041481D"/>
    <w:rsid w:val="0041657D"/>
    <w:rsid w:val="00416717"/>
    <w:rsid w:val="00416BE4"/>
    <w:rsid w:val="00417279"/>
    <w:rsid w:val="004172B4"/>
    <w:rsid w:val="0041734D"/>
    <w:rsid w:val="00420166"/>
    <w:rsid w:val="00421008"/>
    <w:rsid w:val="00421372"/>
    <w:rsid w:val="004214A6"/>
    <w:rsid w:val="0042155A"/>
    <w:rsid w:val="004218C3"/>
    <w:rsid w:val="00421FDB"/>
    <w:rsid w:val="004220F6"/>
    <w:rsid w:val="00422276"/>
    <w:rsid w:val="00422B09"/>
    <w:rsid w:val="004233D6"/>
    <w:rsid w:val="00423DCE"/>
    <w:rsid w:val="00423EF7"/>
    <w:rsid w:val="004242F1"/>
    <w:rsid w:val="004244C6"/>
    <w:rsid w:val="004245E7"/>
    <w:rsid w:val="00424A8B"/>
    <w:rsid w:val="00424F0A"/>
    <w:rsid w:val="00426BD7"/>
    <w:rsid w:val="00426EF5"/>
    <w:rsid w:val="0043001B"/>
    <w:rsid w:val="00431931"/>
    <w:rsid w:val="0043269B"/>
    <w:rsid w:val="004326E0"/>
    <w:rsid w:val="00432B95"/>
    <w:rsid w:val="00433421"/>
    <w:rsid w:val="004337D2"/>
    <w:rsid w:val="0043392E"/>
    <w:rsid w:val="0043392F"/>
    <w:rsid w:val="00433F10"/>
    <w:rsid w:val="0043400E"/>
    <w:rsid w:val="004344F4"/>
    <w:rsid w:val="00434C92"/>
    <w:rsid w:val="00435612"/>
    <w:rsid w:val="00435D5E"/>
    <w:rsid w:val="004364FD"/>
    <w:rsid w:val="0043652A"/>
    <w:rsid w:val="004366EF"/>
    <w:rsid w:val="00436901"/>
    <w:rsid w:val="004377F1"/>
    <w:rsid w:val="00437B34"/>
    <w:rsid w:val="00441DA8"/>
    <w:rsid w:val="00442316"/>
    <w:rsid w:val="004425C3"/>
    <w:rsid w:val="00442ABD"/>
    <w:rsid w:val="004432A2"/>
    <w:rsid w:val="004445FE"/>
    <w:rsid w:val="00444752"/>
    <w:rsid w:val="004455B7"/>
    <w:rsid w:val="00445A00"/>
    <w:rsid w:val="00446FE7"/>
    <w:rsid w:val="0044728F"/>
    <w:rsid w:val="00447637"/>
    <w:rsid w:val="004476B0"/>
    <w:rsid w:val="00447E3A"/>
    <w:rsid w:val="00450DC9"/>
    <w:rsid w:val="00450FF0"/>
    <w:rsid w:val="0045114D"/>
    <w:rsid w:val="00451B0F"/>
    <w:rsid w:val="0045305E"/>
    <w:rsid w:val="00454913"/>
    <w:rsid w:val="00454A4E"/>
    <w:rsid w:val="00454BF3"/>
    <w:rsid w:val="00454C55"/>
    <w:rsid w:val="00455B8B"/>
    <w:rsid w:val="00455F25"/>
    <w:rsid w:val="00456155"/>
    <w:rsid w:val="004569CC"/>
    <w:rsid w:val="004569FE"/>
    <w:rsid w:val="00456B0C"/>
    <w:rsid w:val="0045727C"/>
    <w:rsid w:val="00457447"/>
    <w:rsid w:val="004575CB"/>
    <w:rsid w:val="00460058"/>
    <w:rsid w:val="004619A5"/>
    <w:rsid w:val="00461A5A"/>
    <w:rsid w:val="00461C5F"/>
    <w:rsid w:val="00461DDA"/>
    <w:rsid w:val="0046200E"/>
    <w:rsid w:val="004622A1"/>
    <w:rsid w:val="00462B0E"/>
    <w:rsid w:val="00462F75"/>
    <w:rsid w:val="004633EA"/>
    <w:rsid w:val="0046359D"/>
    <w:rsid w:val="0046364C"/>
    <w:rsid w:val="00463710"/>
    <w:rsid w:val="00463800"/>
    <w:rsid w:val="00465BE5"/>
    <w:rsid w:val="0046690C"/>
    <w:rsid w:val="00467316"/>
    <w:rsid w:val="00467622"/>
    <w:rsid w:val="00467AB3"/>
    <w:rsid w:val="004713FC"/>
    <w:rsid w:val="0047145F"/>
    <w:rsid w:val="00472187"/>
    <w:rsid w:val="004730F6"/>
    <w:rsid w:val="00473145"/>
    <w:rsid w:val="00473175"/>
    <w:rsid w:val="0047320E"/>
    <w:rsid w:val="00473DDE"/>
    <w:rsid w:val="00473DF8"/>
    <w:rsid w:val="004754F6"/>
    <w:rsid w:val="00475B40"/>
    <w:rsid w:val="004760F8"/>
    <w:rsid w:val="00476563"/>
    <w:rsid w:val="00476C9E"/>
    <w:rsid w:val="00476FD0"/>
    <w:rsid w:val="00477371"/>
    <w:rsid w:val="0048060B"/>
    <w:rsid w:val="00480D14"/>
    <w:rsid w:val="00480D72"/>
    <w:rsid w:val="0048153A"/>
    <w:rsid w:val="00481733"/>
    <w:rsid w:val="00481B9E"/>
    <w:rsid w:val="00481E27"/>
    <w:rsid w:val="00482436"/>
    <w:rsid w:val="0048261C"/>
    <w:rsid w:val="00482B6E"/>
    <w:rsid w:val="00482FC3"/>
    <w:rsid w:val="004835B3"/>
    <w:rsid w:val="00484606"/>
    <w:rsid w:val="004848AA"/>
    <w:rsid w:val="004848E9"/>
    <w:rsid w:val="00484A1C"/>
    <w:rsid w:val="00485082"/>
    <w:rsid w:val="004852B8"/>
    <w:rsid w:val="004854D9"/>
    <w:rsid w:val="00485BBD"/>
    <w:rsid w:val="00485F46"/>
    <w:rsid w:val="004869F4"/>
    <w:rsid w:val="004874C9"/>
    <w:rsid w:val="004900C9"/>
    <w:rsid w:val="004905A8"/>
    <w:rsid w:val="004905D0"/>
    <w:rsid w:val="00490B87"/>
    <w:rsid w:val="00490C00"/>
    <w:rsid w:val="00490E2D"/>
    <w:rsid w:val="00491078"/>
    <w:rsid w:val="004912A9"/>
    <w:rsid w:val="00491658"/>
    <w:rsid w:val="00491E3E"/>
    <w:rsid w:val="00491E98"/>
    <w:rsid w:val="00491FE3"/>
    <w:rsid w:val="004923EB"/>
    <w:rsid w:val="0049259C"/>
    <w:rsid w:val="00492648"/>
    <w:rsid w:val="00492975"/>
    <w:rsid w:val="00492AB5"/>
    <w:rsid w:val="00492B15"/>
    <w:rsid w:val="00492DB4"/>
    <w:rsid w:val="00492F15"/>
    <w:rsid w:val="0049396A"/>
    <w:rsid w:val="00494128"/>
    <w:rsid w:val="00494641"/>
    <w:rsid w:val="00494AC2"/>
    <w:rsid w:val="00494ED2"/>
    <w:rsid w:val="00495772"/>
    <w:rsid w:val="00495901"/>
    <w:rsid w:val="00495BA8"/>
    <w:rsid w:val="00495C8C"/>
    <w:rsid w:val="00495E3A"/>
    <w:rsid w:val="00496ED1"/>
    <w:rsid w:val="004973DF"/>
    <w:rsid w:val="00497C7F"/>
    <w:rsid w:val="004A081C"/>
    <w:rsid w:val="004A2767"/>
    <w:rsid w:val="004A28FA"/>
    <w:rsid w:val="004A29B8"/>
    <w:rsid w:val="004A34A3"/>
    <w:rsid w:val="004A376E"/>
    <w:rsid w:val="004A3BE8"/>
    <w:rsid w:val="004A3DB1"/>
    <w:rsid w:val="004A49EF"/>
    <w:rsid w:val="004A4F8D"/>
    <w:rsid w:val="004A5906"/>
    <w:rsid w:val="004A5C1E"/>
    <w:rsid w:val="004A6126"/>
    <w:rsid w:val="004A6688"/>
    <w:rsid w:val="004A6B18"/>
    <w:rsid w:val="004A6EC1"/>
    <w:rsid w:val="004A77D3"/>
    <w:rsid w:val="004B02D5"/>
    <w:rsid w:val="004B1010"/>
    <w:rsid w:val="004B103E"/>
    <w:rsid w:val="004B111D"/>
    <w:rsid w:val="004B16CA"/>
    <w:rsid w:val="004B1B53"/>
    <w:rsid w:val="004B1D6C"/>
    <w:rsid w:val="004B23C5"/>
    <w:rsid w:val="004B23F7"/>
    <w:rsid w:val="004B291F"/>
    <w:rsid w:val="004B34D9"/>
    <w:rsid w:val="004B3F2D"/>
    <w:rsid w:val="004B4329"/>
    <w:rsid w:val="004B499D"/>
    <w:rsid w:val="004B4AD3"/>
    <w:rsid w:val="004B4C11"/>
    <w:rsid w:val="004B5C26"/>
    <w:rsid w:val="004B6132"/>
    <w:rsid w:val="004B616C"/>
    <w:rsid w:val="004B639A"/>
    <w:rsid w:val="004B63E2"/>
    <w:rsid w:val="004B64DF"/>
    <w:rsid w:val="004B695B"/>
    <w:rsid w:val="004B6A66"/>
    <w:rsid w:val="004B6AE3"/>
    <w:rsid w:val="004B767C"/>
    <w:rsid w:val="004B7859"/>
    <w:rsid w:val="004B7CE5"/>
    <w:rsid w:val="004C0B54"/>
    <w:rsid w:val="004C22D4"/>
    <w:rsid w:val="004C269E"/>
    <w:rsid w:val="004C28AC"/>
    <w:rsid w:val="004C2C61"/>
    <w:rsid w:val="004C2EE3"/>
    <w:rsid w:val="004C3FA8"/>
    <w:rsid w:val="004C53CF"/>
    <w:rsid w:val="004C58FF"/>
    <w:rsid w:val="004C60F1"/>
    <w:rsid w:val="004C7470"/>
    <w:rsid w:val="004D05FD"/>
    <w:rsid w:val="004D064A"/>
    <w:rsid w:val="004D081B"/>
    <w:rsid w:val="004D0E4B"/>
    <w:rsid w:val="004D11C8"/>
    <w:rsid w:val="004D1B5D"/>
    <w:rsid w:val="004D1F86"/>
    <w:rsid w:val="004D243E"/>
    <w:rsid w:val="004D2601"/>
    <w:rsid w:val="004D29D3"/>
    <w:rsid w:val="004D2A42"/>
    <w:rsid w:val="004D2AE6"/>
    <w:rsid w:val="004D2B78"/>
    <w:rsid w:val="004D2D7B"/>
    <w:rsid w:val="004D3006"/>
    <w:rsid w:val="004D47FD"/>
    <w:rsid w:val="004D48D8"/>
    <w:rsid w:val="004D4971"/>
    <w:rsid w:val="004D5727"/>
    <w:rsid w:val="004D63A6"/>
    <w:rsid w:val="004D6B23"/>
    <w:rsid w:val="004D6DE9"/>
    <w:rsid w:val="004D7126"/>
    <w:rsid w:val="004D7F54"/>
    <w:rsid w:val="004E00CF"/>
    <w:rsid w:val="004E00E8"/>
    <w:rsid w:val="004E0646"/>
    <w:rsid w:val="004E0724"/>
    <w:rsid w:val="004E1082"/>
    <w:rsid w:val="004E1584"/>
    <w:rsid w:val="004E1DCC"/>
    <w:rsid w:val="004E2A4C"/>
    <w:rsid w:val="004E308A"/>
    <w:rsid w:val="004E33DA"/>
    <w:rsid w:val="004E3593"/>
    <w:rsid w:val="004E3C57"/>
    <w:rsid w:val="004E41DD"/>
    <w:rsid w:val="004E443E"/>
    <w:rsid w:val="004E464E"/>
    <w:rsid w:val="004E496F"/>
    <w:rsid w:val="004E4A22"/>
    <w:rsid w:val="004E4CA2"/>
    <w:rsid w:val="004E5602"/>
    <w:rsid w:val="004E5CB9"/>
    <w:rsid w:val="004E618B"/>
    <w:rsid w:val="004E6529"/>
    <w:rsid w:val="004E6711"/>
    <w:rsid w:val="004E6DD0"/>
    <w:rsid w:val="004E712F"/>
    <w:rsid w:val="004E734F"/>
    <w:rsid w:val="004E76B2"/>
    <w:rsid w:val="004E7C73"/>
    <w:rsid w:val="004F040B"/>
    <w:rsid w:val="004F08D7"/>
    <w:rsid w:val="004F0CB3"/>
    <w:rsid w:val="004F0F60"/>
    <w:rsid w:val="004F1134"/>
    <w:rsid w:val="004F22BC"/>
    <w:rsid w:val="004F355D"/>
    <w:rsid w:val="004F3A58"/>
    <w:rsid w:val="004F3E57"/>
    <w:rsid w:val="004F411D"/>
    <w:rsid w:val="004F50E1"/>
    <w:rsid w:val="004F55A8"/>
    <w:rsid w:val="004F72A6"/>
    <w:rsid w:val="004F75FE"/>
    <w:rsid w:val="004F7671"/>
    <w:rsid w:val="005019A0"/>
    <w:rsid w:val="00501AE4"/>
    <w:rsid w:val="00501DC5"/>
    <w:rsid w:val="00502189"/>
    <w:rsid w:val="0050232A"/>
    <w:rsid w:val="005031CE"/>
    <w:rsid w:val="005041E5"/>
    <w:rsid w:val="00504C27"/>
    <w:rsid w:val="00505332"/>
    <w:rsid w:val="005054FB"/>
    <w:rsid w:val="00505922"/>
    <w:rsid w:val="0050643C"/>
    <w:rsid w:val="00506A25"/>
    <w:rsid w:val="00506ABD"/>
    <w:rsid w:val="00506BBE"/>
    <w:rsid w:val="005072E7"/>
    <w:rsid w:val="0050741F"/>
    <w:rsid w:val="005075E2"/>
    <w:rsid w:val="005076F5"/>
    <w:rsid w:val="00510070"/>
    <w:rsid w:val="0051015F"/>
    <w:rsid w:val="00510545"/>
    <w:rsid w:val="00510883"/>
    <w:rsid w:val="00510B24"/>
    <w:rsid w:val="00511968"/>
    <w:rsid w:val="00512241"/>
    <w:rsid w:val="00512947"/>
    <w:rsid w:val="00512AAC"/>
    <w:rsid w:val="00512CA5"/>
    <w:rsid w:val="00512FF0"/>
    <w:rsid w:val="005132B0"/>
    <w:rsid w:val="00513302"/>
    <w:rsid w:val="00513F19"/>
    <w:rsid w:val="00514678"/>
    <w:rsid w:val="00514C56"/>
    <w:rsid w:val="00514F15"/>
    <w:rsid w:val="0051550C"/>
    <w:rsid w:val="00515586"/>
    <w:rsid w:val="00515C3E"/>
    <w:rsid w:val="00515CDE"/>
    <w:rsid w:val="00515F33"/>
    <w:rsid w:val="00516414"/>
    <w:rsid w:val="00516889"/>
    <w:rsid w:val="00516F50"/>
    <w:rsid w:val="00517942"/>
    <w:rsid w:val="00517A32"/>
    <w:rsid w:val="00520979"/>
    <w:rsid w:val="00520F87"/>
    <w:rsid w:val="00521738"/>
    <w:rsid w:val="005217B1"/>
    <w:rsid w:val="00522029"/>
    <w:rsid w:val="005222DE"/>
    <w:rsid w:val="00522B62"/>
    <w:rsid w:val="00522CD8"/>
    <w:rsid w:val="00522DC1"/>
    <w:rsid w:val="00522E04"/>
    <w:rsid w:val="00523611"/>
    <w:rsid w:val="00523D59"/>
    <w:rsid w:val="00524544"/>
    <w:rsid w:val="0052502C"/>
    <w:rsid w:val="00525465"/>
    <w:rsid w:val="00525C3E"/>
    <w:rsid w:val="005263BF"/>
    <w:rsid w:val="0052655D"/>
    <w:rsid w:val="00526716"/>
    <w:rsid w:val="00527A8D"/>
    <w:rsid w:val="00527D13"/>
    <w:rsid w:val="00530631"/>
    <w:rsid w:val="005309E4"/>
    <w:rsid w:val="00530CD8"/>
    <w:rsid w:val="00531271"/>
    <w:rsid w:val="00531443"/>
    <w:rsid w:val="005332CA"/>
    <w:rsid w:val="00534268"/>
    <w:rsid w:val="00535325"/>
    <w:rsid w:val="005357CF"/>
    <w:rsid w:val="00535AA9"/>
    <w:rsid w:val="00535BCE"/>
    <w:rsid w:val="00535BE4"/>
    <w:rsid w:val="00535D35"/>
    <w:rsid w:val="005367C2"/>
    <w:rsid w:val="00536B7E"/>
    <w:rsid w:val="00536E2B"/>
    <w:rsid w:val="005371BB"/>
    <w:rsid w:val="00537FFC"/>
    <w:rsid w:val="00540D97"/>
    <w:rsid w:val="00540FFA"/>
    <w:rsid w:val="0054117E"/>
    <w:rsid w:val="005413F6"/>
    <w:rsid w:val="005415AE"/>
    <w:rsid w:val="00541685"/>
    <w:rsid w:val="00542359"/>
    <w:rsid w:val="0054358F"/>
    <w:rsid w:val="00543619"/>
    <w:rsid w:val="00543D08"/>
    <w:rsid w:val="005446B4"/>
    <w:rsid w:val="00544D59"/>
    <w:rsid w:val="00545124"/>
    <w:rsid w:val="00545679"/>
    <w:rsid w:val="00545EFF"/>
    <w:rsid w:val="00546068"/>
    <w:rsid w:val="0054660B"/>
    <w:rsid w:val="00546B02"/>
    <w:rsid w:val="00546FF1"/>
    <w:rsid w:val="00547014"/>
    <w:rsid w:val="0054742A"/>
    <w:rsid w:val="00547D89"/>
    <w:rsid w:val="005502FA"/>
    <w:rsid w:val="005511F9"/>
    <w:rsid w:val="00551436"/>
    <w:rsid w:val="00551EC9"/>
    <w:rsid w:val="00552C1B"/>
    <w:rsid w:val="00552D14"/>
    <w:rsid w:val="0055335B"/>
    <w:rsid w:val="00553A2A"/>
    <w:rsid w:val="005542C7"/>
    <w:rsid w:val="0055472E"/>
    <w:rsid w:val="00554B2A"/>
    <w:rsid w:val="00555043"/>
    <w:rsid w:val="005550FA"/>
    <w:rsid w:val="00555112"/>
    <w:rsid w:val="0055594A"/>
    <w:rsid w:val="00555A86"/>
    <w:rsid w:val="00555AE6"/>
    <w:rsid w:val="0055614C"/>
    <w:rsid w:val="00556F01"/>
    <w:rsid w:val="005571C5"/>
    <w:rsid w:val="00557802"/>
    <w:rsid w:val="00557DA6"/>
    <w:rsid w:val="0056015D"/>
    <w:rsid w:val="005601DC"/>
    <w:rsid w:val="0056054C"/>
    <w:rsid w:val="00560B64"/>
    <w:rsid w:val="00560EB1"/>
    <w:rsid w:val="00561761"/>
    <w:rsid w:val="00561FE5"/>
    <w:rsid w:val="005622FD"/>
    <w:rsid w:val="00562754"/>
    <w:rsid w:val="00562AF5"/>
    <w:rsid w:val="005635F4"/>
    <w:rsid w:val="00564065"/>
    <w:rsid w:val="00564AA7"/>
    <w:rsid w:val="00564CAD"/>
    <w:rsid w:val="00564D79"/>
    <w:rsid w:val="0056526D"/>
    <w:rsid w:val="005652EE"/>
    <w:rsid w:val="00566016"/>
    <w:rsid w:val="00566A2C"/>
    <w:rsid w:val="00566D06"/>
    <w:rsid w:val="00566FFD"/>
    <w:rsid w:val="005671F4"/>
    <w:rsid w:val="005676D9"/>
    <w:rsid w:val="00567B40"/>
    <w:rsid w:val="005703F4"/>
    <w:rsid w:val="0057081F"/>
    <w:rsid w:val="00571C38"/>
    <w:rsid w:val="00571D10"/>
    <w:rsid w:val="005728DA"/>
    <w:rsid w:val="00572AC8"/>
    <w:rsid w:val="00572EB0"/>
    <w:rsid w:val="00573CA1"/>
    <w:rsid w:val="00573F8D"/>
    <w:rsid w:val="005747D2"/>
    <w:rsid w:val="0057488A"/>
    <w:rsid w:val="00574E78"/>
    <w:rsid w:val="00575EC1"/>
    <w:rsid w:val="00576B44"/>
    <w:rsid w:val="00576DA6"/>
    <w:rsid w:val="0057701E"/>
    <w:rsid w:val="00577191"/>
    <w:rsid w:val="00577232"/>
    <w:rsid w:val="005772DC"/>
    <w:rsid w:val="005775DB"/>
    <w:rsid w:val="00577C2F"/>
    <w:rsid w:val="00581F78"/>
    <w:rsid w:val="00582167"/>
    <w:rsid w:val="0058249F"/>
    <w:rsid w:val="00582803"/>
    <w:rsid w:val="00582E92"/>
    <w:rsid w:val="00583313"/>
    <w:rsid w:val="00583599"/>
    <w:rsid w:val="005837D0"/>
    <w:rsid w:val="00583855"/>
    <w:rsid w:val="005838DB"/>
    <w:rsid w:val="00583AA6"/>
    <w:rsid w:val="00583DC8"/>
    <w:rsid w:val="00584724"/>
    <w:rsid w:val="00585031"/>
    <w:rsid w:val="005850E8"/>
    <w:rsid w:val="0058559C"/>
    <w:rsid w:val="00585A76"/>
    <w:rsid w:val="005860AB"/>
    <w:rsid w:val="005869F3"/>
    <w:rsid w:val="00586DC3"/>
    <w:rsid w:val="00587C56"/>
    <w:rsid w:val="00590062"/>
    <w:rsid w:val="005904CB"/>
    <w:rsid w:val="005904F7"/>
    <w:rsid w:val="005908D8"/>
    <w:rsid w:val="00590ACC"/>
    <w:rsid w:val="00590B28"/>
    <w:rsid w:val="00590CFE"/>
    <w:rsid w:val="005915DD"/>
    <w:rsid w:val="005918D9"/>
    <w:rsid w:val="0059199C"/>
    <w:rsid w:val="00591A7C"/>
    <w:rsid w:val="0059289D"/>
    <w:rsid w:val="005929E8"/>
    <w:rsid w:val="00592FC1"/>
    <w:rsid w:val="005936A1"/>
    <w:rsid w:val="00593844"/>
    <w:rsid w:val="0059385E"/>
    <w:rsid w:val="00593D38"/>
    <w:rsid w:val="00594029"/>
    <w:rsid w:val="005948D3"/>
    <w:rsid w:val="00594E17"/>
    <w:rsid w:val="00594E83"/>
    <w:rsid w:val="00594F9F"/>
    <w:rsid w:val="005950DD"/>
    <w:rsid w:val="0059521C"/>
    <w:rsid w:val="00595C73"/>
    <w:rsid w:val="00595E2F"/>
    <w:rsid w:val="00595E3A"/>
    <w:rsid w:val="0059605E"/>
    <w:rsid w:val="00596157"/>
    <w:rsid w:val="005964DA"/>
    <w:rsid w:val="00596692"/>
    <w:rsid w:val="00597405"/>
    <w:rsid w:val="0059771F"/>
    <w:rsid w:val="005A021D"/>
    <w:rsid w:val="005A0569"/>
    <w:rsid w:val="005A06D6"/>
    <w:rsid w:val="005A0ACE"/>
    <w:rsid w:val="005A1FC5"/>
    <w:rsid w:val="005A20AE"/>
    <w:rsid w:val="005A2AAA"/>
    <w:rsid w:val="005A359C"/>
    <w:rsid w:val="005A3756"/>
    <w:rsid w:val="005A38B8"/>
    <w:rsid w:val="005A3B45"/>
    <w:rsid w:val="005A3E48"/>
    <w:rsid w:val="005A3F4C"/>
    <w:rsid w:val="005A4A28"/>
    <w:rsid w:val="005A5075"/>
    <w:rsid w:val="005A591E"/>
    <w:rsid w:val="005A59DB"/>
    <w:rsid w:val="005A614F"/>
    <w:rsid w:val="005A67F4"/>
    <w:rsid w:val="005A695F"/>
    <w:rsid w:val="005A6D42"/>
    <w:rsid w:val="005A7B7A"/>
    <w:rsid w:val="005B087A"/>
    <w:rsid w:val="005B08BE"/>
    <w:rsid w:val="005B1375"/>
    <w:rsid w:val="005B17D3"/>
    <w:rsid w:val="005B1A0D"/>
    <w:rsid w:val="005B1E22"/>
    <w:rsid w:val="005B207D"/>
    <w:rsid w:val="005B2B3B"/>
    <w:rsid w:val="005B2F45"/>
    <w:rsid w:val="005B31FC"/>
    <w:rsid w:val="005B39D2"/>
    <w:rsid w:val="005B3CD1"/>
    <w:rsid w:val="005B3EB9"/>
    <w:rsid w:val="005B3EE5"/>
    <w:rsid w:val="005B4260"/>
    <w:rsid w:val="005B4C30"/>
    <w:rsid w:val="005B4EE1"/>
    <w:rsid w:val="005B55BD"/>
    <w:rsid w:val="005B6100"/>
    <w:rsid w:val="005B679E"/>
    <w:rsid w:val="005B681F"/>
    <w:rsid w:val="005B6979"/>
    <w:rsid w:val="005B69E2"/>
    <w:rsid w:val="005B6D5D"/>
    <w:rsid w:val="005B6D98"/>
    <w:rsid w:val="005B78D8"/>
    <w:rsid w:val="005B7CDA"/>
    <w:rsid w:val="005C01D2"/>
    <w:rsid w:val="005C06BF"/>
    <w:rsid w:val="005C09C0"/>
    <w:rsid w:val="005C0B14"/>
    <w:rsid w:val="005C0BB2"/>
    <w:rsid w:val="005C0FE0"/>
    <w:rsid w:val="005C197D"/>
    <w:rsid w:val="005C2602"/>
    <w:rsid w:val="005C2704"/>
    <w:rsid w:val="005C2A74"/>
    <w:rsid w:val="005C2DDB"/>
    <w:rsid w:val="005C3624"/>
    <w:rsid w:val="005C3E92"/>
    <w:rsid w:val="005C3F11"/>
    <w:rsid w:val="005C565F"/>
    <w:rsid w:val="005C572B"/>
    <w:rsid w:val="005C6029"/>
    <w:rsid w:val="005C6034"/>
    <w:rsid w:val="005C6050"/>
    <w:rsid w:val="005C607B"/>
    <w:rsid w:val="005C6399"/>
    <w:rsid w:val="005C6A5C"/>
    <w:rsid w:val="005C7064"/>
    <w:rsid w:val="005C741B"/>
    <w:rsid w:val="005D0060"/>
    <w:rsid w:val="005D0642"/>
    <w:rsid w:val="005D070C"/>
    <w:rsid w:val="005D078D"/>
    <w:rsid w:val="005D1307"/>
    <w:rsid w:val="005D2423"/>
    <w:rsid w:val="005D2A45"/>
    <w:rsid w:val="005D2B50"/>
    <w:rsid w:val="005D3C91"/>
    <w:rsid w:val="005D3FD0"/>
    <w:rsid w:val="005D46B3"/>
    <w:rsid w:val="005D4CBB"/>
    <w:rsid w:val="005D5EB9"/>
    <w:rsid w:val="005D6376"/>
    <w:rsid w:val="005D656A"/>
    <w:rsid w:val="005D68DF"/>
    <w:rsid w:val="005D7473"/>
    <w:rsid w:val="005D758B"/>
    <w:rsid w:val="005D7C90"/>
    <w:rsid w:val="005E0628"/>
    <w:rsid w:val="005E0815"/>
    <w:rsid w:val="005E10F9"/>
    <w:rsid w:val="005E112B"/>
    <w:rsid w:val="005E14C2"/>
    <w:rsid w:val="005E1C86"/>
    <w:rsid w:val="005E1DAE"/>
    <w:rsid w:val="005E1E52"/>
    <w:rsid w:val="005E2462"/>
    <w:rsid w:val="005E3082"/>
    <w:rsid w:val="005E346B"/>
    <w:rsid w:val="005E3B66"/>
    <w:rsid w:val="005E3C62"/>
    <w:rsid w:val="005E3D99"/>
    <w:rsid w:val="005E3FB0"/>
    <w:rsid w:val="005E450C"/>
    <w:rsid w:val="005E46E4"/>
    <w:rsid w:val="005E50E0"/>
    <w:rsid w:val="005E5354"/>
    <w:rsid w:val="005E688A"/>
    <w:rsid w:val="005E69CE"/>
    <w:rsid w:val="005E6DCF"/>
    <w:rsid w:val="005F0260"/>
    <w:rsid w:val="005F0BF0"/>
    <w:rsid w:val="005F119C"/>
    <w:rsid w:val="005F2B88"/>
    <w:rsid w:val="005F2BA0"/>
    <w:rsid w:val="005F3D12"/>
    <w:rsid w:val="005F41FD"/>
    <w:rsid w:val="005F44C7"/>
    <w:rsid w:val="005F45F9"/>
    <w:rsid w:val="005F48D1"/>
    <w:rsid w:val="005F4B96"/>
    <w:rsid w:val="005F56F5"/>
    <w:rsid w:val="005F5BA7"/>
    <w:rsid w:val="005F601F"/>
    <w:rsid w:val="005F61FC"/>
    <w:rsid w:val="005F631E"/>
    <w:rsid w:val="005F6A5C"/>
    <w:rsid w:val="005F6D1B"/>
    <w:rsid w:val="005F738D"/>
    <w:rsid w:val="005F7820"/>
    <w:rsid w:val="005F7DD1"/>
    <w:rsid w:val="0060018C"/>
    <w:rsid w:val="00600905"/>
    <w:rsid w:val="00601491"/>
    <w:rsid w:val="0060321C"/>
    <w:rsid w:val="00604B16"/>
    <w:rsid w:val="00604B77"/>
    <w:rsid w:val="00605C0E"/>
    <w:rsid w:val="0060664E"/>
    <w:rsid w:val="00606A40"/>
    <w:rsid w:val="006073FF"/>
    <w:rsid w:val="00607BA5"/>
    <w:rsid w:val="006111D2"/>
    <w:rsid w:val="0061148D"/>
    <w:rsid w:val="00611724"/>
    <w:rsid w:val="0061180A"/>
    <w:rsid w:val="00612A70"/>
    <w:rsid w:val="00612BAC"/>
    <w:rsid w:val="006133B7"/>
    <w:rsid w:val="00613950"/>
    <w:rsid w:val="00613EEC"/>
    <w:rsid w:val="00614274"/>
    <w:rsid w:val="00614349"/>
    <w:rsid w:val="006144B7"/>
    <w:rsid w:val="006146C0"/>
    <w:rsid w:val="00614BD0"/>
    <w:rsid w:val="00615150"/>
    <w:rsid w:val="006152A7"/>
    <w:rsid w:val="00615646"/>
    <w:rsid w:val="00615851"/>
    <w:rsid w:val="0061592B"/>
    <w:rsid w:val="00616FBF"/>
    <w:rsid w:val="006170FD"/>
    <w:rsid w:val="0061745D"/>
    <w:rsid w:val="006175D4"/>
    <w:rsid w:val="0061788D"/>
    <w:rsid w:val="00617CB8"/>
    <w:rsid w:val="00617EF0"/>
    <w:rsid w:val="00620598"/>
    <w:rsid w:val="00621BFC"/>
    <w:rsid w:val="00622518"/>
    <w:rsid w:val="0062296B"/>
    <w:rsid w:val="0062312F"/>
    <w:rsid w:val="006245AB"/>
    <w:rsid w:val="0062492E"/>
    <w:rsid w:val="0062580C"/>
    <w:rsid w:val="00625CD9"/>
    <w:rsid w:val="006262A0"/>
    <w:rsid w:val="006265F6"/>
    <w:rsid w:val="006267CC"/>
    <w:rsid w:val="006269B1"/>
    <w:rsid w:val="00626EB6"/>
    <w:rsid w:val="00626EDC"/>
    <w:rsid w:val="00627D91"/>
    <w:rsid w:val="006302D6"/>
    <w:rsid w:val="00630FC5"/>
    <w:rsid w:val="00631ADE"/>
    <w:rsid w:val="00633A7E"/>
    <w:rsid w:val="00633AF7"/>
    <w:rsid w:val="00633E82"/>
    <w:rsid w:val="006345D0"/>
    <w:rsid w:val="00634672"/>
    <w:rsid w:val="006355A6"/>
    <w:rsid w:val="006356C2"/>
    <w:rsid w:val="00636204"/>
    <w:rsid w:val="006362F8"/>
    <w:rsid w:val="00636408"/>
    <w:rsid w:val="00637718"/>
    <w:rsid w:val="00640285"/>
    <w:rsid w:val="00640393"/>
    <w:rsid w:val="006403B4"/>
    <w:rsid w:val="006407D6"/>
    <w:rsid w:val="00640E75"/>
    <w:rsid w:val="00642257"/>
    <w:rsid w:val="00642879"/>
    <w:rsid w:val="0064333E"/>
    <w:rsid w:val="006434E4"/>
    <w:rsid w:val="00643AB9"/>
    <w:rsid w:val="006442F0"/>
    <w:rsid w:val="00644996"/>
    <w:rsid w:val="00644A1A"/>
    <w:rsid w:val="00644EB1"/>
    <w:rsid w:val="0064629B"/>
    <w:rsid w:val="006466DA"/>
    <w:rsid w:val="00646A22"/>
    <w:rsid w:val="0064707D"/>
    <w:rsid w:val="0064736F"/>
    <w:rsid w:val="006474D4"/>
    <w:rsid w:val="00647565"/>
    <w:rsid w:val="00647597"/>
    <w:rsid w:val="00647645"/>
    <w:rsid w:val="0064780C"/>
    <w:rsid w:val="00647EB8"/>
    <w:rsid w:val="00650E5C"/>
    <w:rsid w:val="006513DD"/>
    <w:rsid w:val="006514F5"/>
    <w:rsid w:val="00651B35"/>
    <w:rsid w:val="00651B73"/>
    <w:rsid w:val="00652594"/>
    <w:rsid w:val="00652CE1"/>
    <w:rsid w:val="00652FDE"/>
    <w:rsid w:val="00653030"/>
    <w:rsid w:val="0065347B"/>
    <w:rsid w:val="00653DFF"/>
    <w:rsid w:val="0065468A"/>
    <w:rsid w:val="00654E78"/>
    <w:rsid w:val="00655216"/>
    <w:rsid w:val="00655569"/>
    <w:rsid w:val="006556D6"/>
    <w:rsid w:val="00655D03"/>
    <w:rsid w:val="00656289"/>
    <w:rsid w:val="00656907"/>
    <w:rsid w:val="0065728D"/>
    <w:rsid w:val="00657440"/>
    <w:rsid w:val="006577D5"/>
    <w:rsid w:val="006605A0"/>
    <w:rsid w:val="006605BA"/>
    <w:rsid w:val="006611C0"/>
    <w:rsid w:val="00661251"/>
    <w:rsid w:val="00661869"/>
    <w:rsid w:val="00661AF4"/>
    <w:rsid w:val="00661F21"/>
    <w:rsid w:val="00662233"/>
    <w:rsid w:val="006623AE"/>
    <w:rsid w:val="00662895"/>
    <w:rsid w:val="0066368B"/>
    <w:rsid w:val="00663E68"/>
    <w:rsid w:val="00664199"/>
    <w:rsid w:val="00664321"/>
    <w:rsid w:val="006643A8"/>
    <w:rsid w:val="00664CD0"/>
    <w:rsid w:val="00664E39"/>
    <w:rsid w:val="00665127"/>
    <w:rsid w:val="006652F8"/>
    <w:rsid w:val="00665A24"/>
    <w:rsid w:val="00665C16"/>
    <w:rsid w:val="00665D51"/>
    <w:rsid w:val="00666CD7"/>
    <w:rsid w:val="00667C15"/>
    <w:rsid w:val="00667D6D"/>
    <w:rsid w:val="00667EDF"/>
    <w:rsid w:val="00670202"/>
    <w:rsid w:val="00670384"/>
    <w:rsid w:val="00670422"/>
    <w:rsid w:val="0067077A"/>
    <w:rsid w:val="00670810"/>
    <w:rsid w:val="006709B7"/>
    <w:rsid w:val="006709F3"/>
    <w:rsid w:val="00670D96"/>
    <w:rsid w:val="006717FE"/>
    <w:rsid w:val="00671CCC"/>
    <w:rsid w:val="00671FFE"/>
    <w:rsid w:val="00672437"/>
    <w:rsid w:val="0067254D"/>
    <w:rsid w:val="006727CA"/>
    <w:rsid w:val="006728FA"/>
    <w:rsid w:val="006733D0"/>
    <w:rsid w:val="00673455"/>
    <w:rsid w:val="006739BF"/>
    <w:rsid w:val="00673C27"/>
    <w:rsid w:val="00673F6E"/>
    <w:rsid w:val="0067439B"/>
    <w:rsid w:val="00674695"/>
    <w:rsid w:val="00674B10"/>
    <w:rsid w:val="00674C28"/>
    <w:rsid w:val="00674DC8"/>
    <w:rsid w:val="00674F79"/>
    <w:rsid w:val="00675002"/>
    <w:rsid w:val="006751D7"/>
    <w:rsid w:val="006756A9"/>
    <w:rsid w:val="00675CB5"/>
    <w:rsid w:val="00675DFF"/>
    <w:rsid w:val="0067612D"/>
    <w:rsid w:val="00676587"/>
    <w:rsid w:val="00676608"/>
    <w:rsid w:val="0067668D"/>
    <w:rsid w:val="00676833"/>
    <w:rsid w:val="00676BBF"/>
    <w:rsid w:val="00676C1C"/>
    <w:rsid w:val="00676F26"/>
    <w:rsid w:val="00680006"/>
    <w:rsid w:val="006803A6"/>
    <w:rsid w:val="006805F9"/>
    <w:rsid w:val="00680DD2"/>
    <w:rsid w:val="00681136"/>
    <w:rsid w:val="00681386"/>
    <w:rsid w:val="00681427"/>
    <w:rsid w:val="00681DFE"/>
    <w:rsid w:val="00681E07"/>
    <w:rsid w:val="00682094"/>
    <w:rsid w:val="006823C5"/>
    <w:rsid w:val="00683388"/>
    <w:rsid w:val="006835BD"/>
    <w:rsid w:val="00683CC1"/>
    <w:rsid w:val="00683F3D"/>
    <w:rsid w:val="00683F84"/>
    <w:rsid w:val="00684015"/>
    <w:rsid w:val="0068449F"/>
    <w:rsid w:val="006845B9"/>
    <w:rsid w:val="0068462C"/>
    <w:rsid w:val="006846D3"/>
    <w:rsid w:val="00684A9F"/>
    <w:rsid w:val="00684C4C"/>
    <w:rsid w:val="00684CE9"/>
    <w:rsid w:val="00684D0F"/>
    <w:rsid w:val="00684F94"/>
    <w:rsid w:val="006852C9"/>
    <w:rsid w:val="006853C0"/>
    <w:rsid w:val="006855CB"/>
    <w:rsid w:val="0068573F"/>
    <w:rsid w:val="00685AB3"/>
    <w:rsid w:val="00685FD6"/>
    <w:rsid w:val="00686658"/>
    <w:rsid w:val="00686C58"/>
    <w:rsid w:val="00686F26"/>
    <w:rsid w:val="00687437"/>
    <w:rsid w:val="0068763F"/>
    <w:rsid w:val="00690487"/>
    <w:rsid w:val="00690CD8"/>
    <w:rsid w:val="00690D2F"/>
    <w:rsid w:val="00691084"/>
    <w:rsid w:val="00691C4A"/>
    <w:rsid w:val="006923E2"/>
    <w:rsid w:val="006924DB"/>
    <w:rsid w:val="006927A3"/>
    <w:rsid w:val="00692B09"/>
    <w:rsid w:val="00692B79"/>
    <w:rsid w:val="00693EC5"/>
    <w:rsid w:val="006943A3"/>
    <w:rsid w:val="0069479B"/>
    <w:rsid w:val="00694886"/>
    <w:rsid w:val="0069501D"/>
    <w:rsid w:val="00695D5F"/>
    <w:rsid w:val="006964F6"/>
    <w:rsid w:val="00696573"/>
    <w:rsid w:val="0069694F"/>
    <w:rsid w:val="00697385"/>
    <w:rsid w:val="006A04A9"/>
    <w:rsid w:val="006A1236"/>
    <w:rsid w:val="006A185F"/>
    <w:rsid w:val="006A2145"/>
    <w:rsid w:val="006A2D94"/>
    <w:rsid w:val="006A33D6"/>
    <w:rsid w:val="006A3A06"/>
    <w:rsid w:val="006A3C5C"/>
    <w:rsid w:val="006A403C"/>
    <w:rsid w:val="006A41D6"/>
    <w:rsid w:val="006A46EF"/>
    <w:rsid w:val="006A48C7"/>
    <w:rsid w:val="006A49E4"/>
    <w:rsid w:val="006A4CEF"/>
    <w:rsid w:val="006A5283"/>
    <w:rsid w:val="006A553B"/>
    <w:rsid w:val="006A56A1"/>
    <w:rsid w:val="006A5FCD"/>
    <w:rsid w:val="006A62E6"/>
    <w:rsid w:val="006A6880"/>
    <w:rsid w:val="006A6A81"/>
    <w:rsid w:val="006A758C"/>
    <w:rsid w:val="006A7B31"/>
    <w:rsid w:val="006A7D77"/>
    <w:rsid w:val="006B0A03"/>
    <w:rsid w:val="006B1455"/>
    <w:rsid w:val="006B1865"/>
    <w:rsid w:val="006B2A10"/>
    <w:rsid w:val="006B2E2A"/>
    <w:rsid w:val="006B3035"/>
    <w:rsid w:val="006B329C"/>
    <w:rsid w:val="006B3410"/>
    <w:rsid w:val="006B3B12"/>
    <w:rsid w:val="006B47F6"/>
    <w:rsid w:val="006B4888"/>
    <w:rsid w:val="006B4DB9"/>
    <w:rsid w:val="006B4FE7"/>
    <w:rsid w:val="006B56E9"/>
    <w:rsid w:val="006B5996"/>
    <w:rsid w:val="006B5E21"/>
    <w:rsid w:val="006B6651"/>
    <w:rsid w:val="006B685A"/>
    <w:rsid w:val="006B6986"/>
    <w:rsid w:val="006B6A2F"/>
    <w:rsid w:val="006B7146"/>
    <w:rsid w:val="006B737F"/>
    <w:rsid w:val="006B7C8A"/>
    <w:rsid w:val="006C0030"/>
    <w:rsid w:val="006C0057"/>
    <w:rsid w:val="006C00B8"/>
    <w:rsid w:val="006C0384"/>
    <w:rsid w:val="006C06AA"/>
    <w:rsid w:val="006C09B6"/>
    <w:rsid w:val="006C0E98"/>
    <w:rsid w:val="006C15F2"/>
    <w:rsid w:val="006C1A3C"/>
    <w:rsid w:val="006C1B75"/>
    <w:rsid w:val="006C20FF"/>
    <w:rsid w:val="006C2D5A"/>
    <w:rsid w:val="006C2D61"/>
    <w:rsid w:val="006C30AB"/>
    <w:rsid w:val="006C3193"/>
    <w:rsid w:val="006C31FC"/>
    <w:rsid w:val="006C32E2"/>
    <w:rsid w:val="006C4018"/>
    <w:rsid w:val="006C40CF"/>
    <w:rsid w:val="006C4318"/>
    <w:rsid w:val="006C448B"/>
    <w:rsid w:val="006C456A"/>
    <w:rsid w:val="006C5856"/>
    <w:rsid w:val="006C607B"/>
    <w:rsid w:val="006C6330"/>
    <w:rsid w:val="006C69EF"/>
    <w:rsid w:val="006C6B8F"/>
    <w:rsid w:val="006C6BCD"/>
    <w:rsid w:val="006C6C44"/>
    <w:rsid w:val="006C774E"/>
    <w:rsid w:val="006C7C0A"/>
    <w:rsid w:val="006C7CB4"/>
    <w:rsid w:val="006C7DB8"/>
    <w:rsid w:val="006C7F9C"/>
    <w:rsid w:val="006D0475"/>
    <w:rsid w:val="006D0A4E"/>
    <w:rsid w:val="006D12EC"/>
    <w:rsid w:val="006D1A22"/>
    <w:rsid w:val="006D1B70"/>
    <w:rsid w:val="006D1E62"/>
    <w:rsid w:val="006D21F1"/>
    <w:rsid w:val="006D2D5A"/>
    <w:rsid w:val="006D31A7"/>
    <w:rsid w:val="006D355C"/>
    <w:rsid w:val="006D52A0"/>
    <w:rsid w:val="006D5B53"/>
    <w:rsid w:val="006D61BF"/>
    <w:rsid w:val="006D6DC9"/>
    <w:rsid w:val="006D6F88"/>
    <w:rsid w:val="006D7FDA"/>
    <w:rsid w:val="006E0143"/>
    <w:rsid w:val="006E069E"/>
    <w:rsid w:val="006E0B8C"/>
    <w:rsid w:val="006E2368"/>
    <w:rsid w:val="006E2853"/>
    <w:rsid w:val="006E36D1"/>
    <w:rsid w:val="006E3D63"/>
    <w:rsid w:val="006E4223"/>
    <w:rsid w:val="006E42DC"/>
    <w:rsid w:val="006E46F3"/>
    <w:rsid w:val="006E50D1"/>
    <w:rsid w:val="006E5229"/>
    <w:rsid w:val="006E5B70"/>
    <w:rsid w:val="006E7182"/>
    <w:rsid w:val="006E71C6"/>
    <w:rsid w:val="006E73E9"/>
    <w:rsid w:val="006E7E35"/>
    <w:rsid w:val="006E7ED0"/>
    <w:rsid w:val="006F0AA7"/>
    <w:rsid w:val="006F0DB9"/>
    <w:rsid w:val="006F14CA"/>
    <w:rsid w:val="006F220A"/>
    <w:rsid w:val="006F2293"/>
    <w:rsid w:val="006F245E"/>
    <w:rsid w:val="006F2601"/>
    <w:rsid w:val="006F26D5"/>
    <w:rsid w:val="006F26DF"/>
    <w:rsid w:val="006F341F"/>
    <w:rsid w:val="006F35DF"/>
    <w:rsid w:val="006F3E59"/>
    <w:rsid w:val="006F473A"/>
    <w:rsid w:val="006F4BAF"/>
    <w:rsid w:val="006F55DF"/>
    <w:rsid w:val="006F6634"/>
    <w:rsid w:val="006F68D1"/>
    <w:rsid w:val="006F6A60"/>
    <w:rsid w:val="006F7393"/>
    <w:rsid w:val="006F74F4"/>
    <w:rsid w:val="006F7A32"/>
    <w:rsid w:val="007003A1"/>
    <w:rsid w:val="007014AE"/>
    <w:rsid w:val="00701921"/>
    <w:rsid w:val="00701DF6"/>
    <w:rsid w:val="00701F7D"/>
    <w:rsid w:val="0070224F"/>
    <w:rsid w:val="0070294F"/>
    <w:rsid w:val="007029CC"/>
    <w:rsid w:val="00703150"/>
    <w:rsid w:val="00703A1F"/>
    <w:rsid w:val="00703B8E"/>
    <w:rsid w:val="0070448E"/>
    <w:rsid w:val="007046F8"/>
    <w:rsid w:val="00705569"/>
    <w:rsid w:val="00705B0E"/>
    <w:rsid w:val="00705C62"/>
    <w:rsid w:val="00707153"/>
    <w:rsid w:val="0070749A"/>
    <w:rsid w:val="00707E94"/>
    <w:rsid w:val="007103CD"/>
    <w:rsid w:val="00710458"/>
    <w:rsid w:val="007106BD"/>
    <w:rsid w:val="00710C0A"/>
    <w:rsid w:val="00710EAF"/>
    <w:rsid w:val="0071125F"/>
    <w:rsid w:val="007115F7"/>
    <w:rsid w:val="00711D36"/>
    <w:rsid w:val="00712505"/>
    <w:rsid w:val="007129DF"/>
    <w:rsid w:val="00712AC8"/>
    <w:rsid w:val="00712B58"/>
    <w:rsid w:val="00712C81"/>
    <w:rsid w:val="0071353E"/>
    <w:rsid w:val="007135E5"/>
    <w:rsid w:val="007139DF"/>
    <w:rsid w:val="00713CD8"/>
    <w:rsid w:val="00713D16"/>
    <w:rsid w:val="00713DA1"/>
    <w:rsid w:val="00713DE4"/>
    <w:rsid w:val="00714B85"/>
    <w:rsid w:val="00715690"/>
    <w:rsid w:val="00715F58"/>
    <w:rsid w:val="00716754"/>
    <w:rsid w:val="00716E53"/>
    <w:rsid w:val="007171D8"/>
    <w:rsid w:val="00717B73"/>
    <w:rsid w:val="00717B9B"/>
    <w:rsid w:val="00717FAD"/>
    <w:rsid w:val="00720F34"/>
    <w:rsid w:val="00720F89"/>
    <w:rsid w:val="0072133E"/>
    <w:rsid w:val="00721DDB"/>
    <w:rsid w:val="00722029"/>
    <w:rsid w:val="007222D1"/>
    <w:rsid w:val="0072282D"/>
    <w:rsid w:val="007229F9"/>
    <w:rsid w:val="00722C37"/>
    <w:rsid w:val="0072313B"/>
    <w:rsid w:val="00724B07"/>
    <w:rsid w:val="00725212"/>
    <w:rsid w:val="00725338"/>
    <w:rsid w:val="007253A1"/>
    <w:rsid w:val="00725575"/>
    <w:rsid w:val="00725A85"/>
    <w:rsid w:val="0072620F"/>
    <w:rsid w:val="00726558"/>
    <w:rsid w:val="00726C32"/>
    <w:rsid w:val="00727A90"/>
    <w:rsid w:val="00727FD8"/>
    <w:rsid w:val="007300D6"/>
    <w:rsid w:val="00730677"/>
    <w:rsid w:val="007309C0"/>
    <w:rsid w:val="00730AFD"/>
    <w:rsid w:val="00730B68"/>
    <w:rsid w:val="0073137C"/>
    <w:rsid w:val="007317A5"/>
    <w:rsid w:val="00731CEA"/>
    <w:rsid w:val="0073206E"/>
    <w:rsid w:val="007323E2"/>
    <w:rsid w:val="00732654"/>
    <w:rsid w:val="0073324E"/>
    <w:rsid w:val="0073361E"/>
    <w:rsid w:val="00733772"/>
    <w:rsid w:val="007344B1"/>
    <w:rsid w:val="007347B7"/>
    <w:rsid w:val="00734F75"/>
    <w:rsid w:val="00735857"/>
    <w:rsid w:val="007359BC"/>
    <w:rsid w:val="00736100"/>
    <w:rsid w:val="0073641C"/>
    <w:rsid w:val="007367E0"/>
    <w:rsid w:val="00740A97"/>
    <w:rsid w:val="00741232"/>
    <w:rsid w:val="007414C1"/>
    <w:rsid w:val="0074152C"/>
    <w:rsid w:val="00741BF3"/>
    <w:rsid w:val="0074307B"/>
    <w:rsid w:val="00743528"/>
    <w:rsid w:val="0074364E"/>
    <w:rsid w:val="00743F43"/>
    <w:rsid w:val="00744628"/>
    <w:rsid w:val="00745045"/>
    <w:rsid w:val="00745677"/>
    <w:rsid w:val="00746223"/>
    <w:rsid w:val="0074675B"/>
    <w:rsid w:val="00746B63"/>
    <w:rsid w:val="00746CD8"/>
    <w:rsid w:val="007473CC"/>
    <w:rsid w:val="007474B1"/>
    <w:rsid w:val="00747C02"/>
    <w:rsid w:val="00750837"/>
    <w:rsid w:val="007508DD"/>
    <w:rsid w:val="00750D7B"/>
    <w:rsid w:val="00751685"/>
    <w:rsid w:val="00751DDE"/>
    <w:rsid w:val="007522DB"/>
    <w:rsid w:val="007534BE"/>
    <w:rsid w:val="007539B9"/>
    <w:rsid w:val="007540FA"/>
    <w:rsid w:val="00754BA1"/>
    <w:rsid w:val="00754E54"/>
    <w:rsid w:val="00755436"/>
    <w:rsid w:val="00755B1C"/>
    <w:rsid w:val="0075664B"/>
    <w:rsid w:val="0075686D"/>
    <w:rsid w:val="00756C31"/>
    <w:rsid w:val="00756EF6"/>
    <w:rsid w:val="00756F48"/>
    <w:rsid w:val="007573CF"/>
    <w:rsid w:val="00757BEA"/>
    <w:rsid w:val="00760253"/>
    <w:rsid w:val="0076043E"/>
    <w:rsid w:val="00760607"/>
    <w:rsid w:val="00760841"/>
    <w:rsid w:val="00760B64"/>
    <w:rsid w:val="00760CFE"/>
    <w:rsid w:val="007611CF"/>
    <w:rsid w:val="00761461"/>
    <w:rsid w:val="00761499"/>
    <w:rsid w:val="00761854"/>
    <w:rsid w:val="00762459"/>
    <w:rsid w:val="00762BB9"/>
    <w:rsid w:val="00762E2D"/>
    <w:rsid w:val="00763D33"/>
    <w:rsid w:val="00764176"/>
    <w:rsid w:val="007643D9"/>
    <w:rsid w:val="00765651"/>
    <w:rsid w:val="00765915"/>
    <w:rsid w:val="00765A37"/>
    <w:rsid w:val="00765BA3"/>
    <w:rsid w:val="00767B6D"/>
    <w:rsid w:val="0077028B"/>
    <w:rsid w:val="0077035A"/>
    <w:rsid w:val="00771A98"/>
    <w:rsid w:val="00772270"/>
    <w:rsid w:val="007727ED"/>
    <w:rsid w:val="007728EB"/>
    <w:rsid w:val="0077298B"/>
    <w:rsid w:val="00772A3F"/>
    <w:rsid w:val="00772C19"/>
    <w:rsid w:val="00772D6F"/>
    <w:rsid w:val="00772E10"/>
    <w:rsid w:val="00772E81"/>
    <w:rsid w:val="00772FA0"/>
    <w:rsid w:val="00773203"/>
    <w:rsid w:val="007732F3"/>
    <w:rsid w:val="00773BDA"/>
    <w:rsid w:val="00773E7D"/>
    <w:rsid w:val="007749D6"/>
    <w:rsid w:val="00774D88"/>
    <w:rsid w:val="00774E9E"/>
    <w:rsid w:val="007758A8"/>
    <w:rsid w:val="00776B09"/>
    <w:rsid w:val="0077702E"/>
    <w:rsid w:val="007770C9"/>
    <w:rsid w:val="00777187"/>
    <w:rsid w:val="00777265"/>
    <w:rsid w:val="007774EE"/>
    <w:rsid w:val="00777DB2"/>
    <w:rsid w:val="00777FC5"/>
    <w:rsid w:val="007800CA"/>
    <w:rsid w:val="007805EC"/>
    <w:rsid w:val="00780F5E"/>
    <w:rsid w:val="00782667"/>
    <w:rsid w:val="007830F7"/>
    <w:rsid w:val="0078362F"/>
    <w:rsid w:val="00783773"/>
    <w:rsid w:val="00783E6E"/>
    <w:rsid w:val="007842CE"/>
    <w:rsid w:val="0078433D"/>
    <w:rsid w:val="00784777"/>
    <w:rsid w:val="00785306"/>
    <w:rsid w:val="00785689"/>
    <w:rsid w:val="0078572D"/>
    <w:rsid w:val="00785EF2"/>
    <w:rsid w:val="00786447"/>
    <w:rsid w:val="00786599"/>
    <w:rsid w:val="007869B7"/>
    <w:rsid w:val="00786FDE"/>
    <w:rsid w:val="00787205"/>
    <w:rsid w:val="00787B06"/>
    <w:rsid w:val="007902C3"/>
    <w:rsid w:val="00790A0D"/>
    <w:rsid w:val="00790EAF"/>
    <w:rsid w:val="00792065"/>
    <w:rsid w:val="00792692"/>
    <w:rsid w:val="007929EB"/>
    <w:rsid w:val="00792B8E"/>
    <w:rsid w:val="00792BD3"/>
    <w:rsid w:val="0079321F"/>
    <w:rsid w:val="007933F3"/>
    <w:rsid w:val="007934D7"/>
    <w:rsid w:val="00793C6D"/>
    <w:rsid w:val="00794068"/>
    <w:rsid w:val="007941A0"/>
    <w:rsid w:val="0079448D"/>
    <w:rsid w:val="00794A89"/>
    <w:rsid w:val="00795334"/>
    <w:rsid w:val="00795F48"/>
    <w:rsid w:val="00795FF6"/>
    <w:rsid w:val="0079659A"/>
    <w:rsid w:val="007965FF"/>
    <w:rsid w:val="00796AE9"/>
    <w:rsid w:val="007973F3"/>
    <w:rsid w:val="0079754B"/>
    <w:rsid w:val="00797F4E"/>
    <w:rsid w:val="007A065B"/>
    <w:rsid w:val="007A0D9A"/>
    <w:rsid w:val="007A0DE6"/>
    <w:rsid w:val="007A1DD6"/>
    <w:rsid w:val="007A1E6D"/>
    <w:rsid w:val="007A2C8A"/>
    <w:rsid w:val="007A33D4"/>
    <w:rsid w:val="007A362B"/>
    <w:rsid w:val="007A3DDA"/>
    <w:rsid w:val="007A3E22"/>
    <w:rsid w:val="007A3EBD"/>
    <w:rsid w:val="007A4C28"/>
    <w:rsid w:val="007A4E14"/>
    <w:rsid w:val="007A5379"/>
    <w:rsid w:val="007A5F97"/>
    <w:rsid w:val="007A62ED"/>
    <w:rsid w:val="007A71C3"/>
    <w:rsid w:val="007B084C"/>
    <w:rsid w:val="007B0EB2"/>
    <w:rsid w:val="007B10A8"/>
    <w:rsid w:val="007B10C3"/>
    <w:rsid w:val="007B28DD"/>
    <w:rsid w:val="007B2BD7"/>
    <w:rsid w:val="007B367E"/>
    <w:rsid w:val="007B38E0"/>
    <w:rsid w:val="007B3915"/>
    <w:rsid w:val="007B3BC5"/>
    <w:rsid w:val="007B41C1"/>
    <w:rsid w:val="007B433E"/>
    <w:rsid w:val="007B4600"/>
    <w:rsid w:val="007B48C6"/>
    <w:rsid w:val="007B4E8F"/>
    <w:rsid w:val="007B5AC6"/>
    <w:rsid w:val="007B6469"/>
    <w:rsid w:val="007B679C"/>
    <w:rsid w:val="007B74A9"/>
    <w:rsid w:val="007B7E8F"/>
    <w:rsid w:val="007C04A0"/>
    <w:rsid w:val="007C177E"/>
    <w:rsid w:val="007C19CD"/>
    <w:rsid w:val="007C25A8"/>
    <w:rsid w:val="007C2E95"/>
    <w:rsid w:val="007C35F4"/>
    <w:rsid w:val="007C3B92"/>
    <w:rsid w:val="007C3DBF"/>
    <w:rsid w:val="007C3E90"/>
    <w:rsid w:val="007C3EE8"/>
    <w:rsid w:val="007C3EF6"/>
    <w:rsid w:val="007C40E5"/>
    <w:rsid w:val="007C533A"/>
    <w:rsid w:val="007C57D7"/>
    <w:rsid w:val="007C5CBA"/>
    <w:rsid w:val="007C6546"/>
    <w:rsid w:val="007C6BB6"/>
    <w:rsid w:val="007C6BBF"/>
    <w:rsid w:val="007C6C04"/>
    <w:rsid w:val="007C6FDF"/>
    <w:rsid w:val="007C7024"/>
    <w:rsid w:val="007C74AA"/>
    <w:rsid w:val="007C74E2"/>
    <w:rsid w:val="007C760E"/>
    <w:rsid w:val="007C7757"/>
    <w:rsid w:val="007C7AF8"/>
    <w:rsid w:val="007C7BF1"/>
    <w:rsid w:val="007D068E"/>
    <w:rsid w:val="007D0908"/>
    <w:rsid w:val="007D1434"/>
    <w:rsid w:val="007D2639"/>
    <w:rsid w:val="007D26EE"/>
    <w:rsid w:val="007D2BDD"/>
    <w:rsid w:val="007D33DB"/>
    <w:rsid w:val="007D33EF"/>
    <w:rsid w:val="007D37A5"/>
    <w:rsid w:val="007D3993"/>
    <w:rsid w:val="007D40FD"/>
    <w:rsid w:val="007D435D"/>
    <w:rsid w:val="007D5E0A"/>
    <w:rsid w:val="007D6691"/>
    <w:rsid w:val="007D681F"/>
    <w:rsid w:val="007D6881"/>
    <w:rsid w:val="007E09FD"/>
    <w:rsid w:val="007E23DD"/>
    <w:rsid w:val="007E2DC5"/>
    <w:rsid w:val="007E304E"/>
    <w:rsid w:val="007E3590"/>
    <w:rsid w:val="007E42C5"/>
    <w:rsid w:val="007E4334"/>
    <w:rsid w:val="007E4A50"/>
    <w:rsid w:val="007E5F19"/>
    <w:rsid w:val="007E6AEE"/>
    <w:rsid w:val="007E6BDB"/>
    <w:rsid w:val="007E756F"/>
    <w:rsid w:val="007E7641"/>
    <w:rsid w:val="007E7A38"/>
    <w:rsid w:val="007F09CB"/>
    <w:rsid w:val="007F0C51"/>
    <w:rsid w:val="007F0E3F"/>
    <w:rsid w:val="007F14A0"/>
    <w:rsid w:val="007F21D7"/>
    <w:rsid w:val="007F347D"/>
    <w:rsid w:val="007F3E5C"/>
    <w:rsid w:val="007F3EA3"/>
    <w:rsid w:val="007F440A"/>
    <w:rsid w:val="007F5484"/>
    <w:rsid w:val="007F55B7"/>
    <w:rsid w:val="007F5619"/>
    <w:rsid w:val="007F566C"/>
    <w:rsid w:val="007F5F4C"/>
    <w:rsid w:val="007F5FE9"/>
    <w:rsid w:val="007F618D"/>
    <w:rsid w:val="007F63D3"/>
    <w:rsid w:val="007F6A83"/>
    <w:rsid w:val="007F7E28"/>
    <w:rsid w:val="00800061"/>
    <w:rsid w:val="0080080B"/>
    <w:rsid w:val="00800E5B"/>
    <w:rsid w:val="008017FA"/>
    <w:rsid w:val="008019C5"/>
    <w:rsid w:val="00801C2B"/>
    <w:rsid w:val="00801FC6"/>
    <w:rsid w:val="0080205D"/>
    <w:rsid w:val="008026B9"/>
    <w:rsid w:val="008035F0"/>
    <w:rsid w:val="00803CB1"/>
    <w:rsid w:val="00804070"/>
    <w:rsid w:val="008043A8"/>
    <w:rsid w:val="00804789"/>
    <w:rsid w:val="0080558B"/>
    <w:rsid w:val="00805692"/>
    <w:rsid w:val="008056DA"/>
    <w:rsid w:val="00805982"/>
    <w:rsid w:val="00805B76"/>
    <w:rsid w:val="00805BCC"/>
    <w:rsid w:val="00805C41"/>
    <w:rsid w:val="00806BF3"/>
    <w:rsid w:val="00806FCF"/>
    <w:rsid w:val="00807657"/>
    <w:rsid w:val="00807704"/>
    <w:rsid w:val="0081037C"/>
    <w:rsid w:val="0081051D"/>
    <w:rsid w:val="00810A97"/>
    <w:rsid w:val="00810B6F"/>
    <w:rsid w:val="00810E9C"/>
    <w:rsid w:val="00811196"/>
    <w:rsid w:val="0081130E"/>
    <w:rsid w:val="008113D9"/>
    <w:rsid w:val="00812393"/>
    <w:rsid w:val="00812776"/>
    <w:rsid w:val="00813062"/>
    <w:rsid w:val="008132AD"/>
    <w:rsid w:val="00813B51"/>
    <w:rsid w:val="00814184"/>
    <w:rsid w:val="00814558"/>
    <w:rsid w:val="00814999"/>
    <w:rsid w:val="00815120"/>
    <w:rsid w:val="00815720"/>
    <w:rsid w:val="00815D3E"/>
    <w:rsid w:val="00815F40"/>
    <w:rsid w:val="00816716"/>
    <w:rsid w:val="008179EB"/>
    <w:rsid w:val="00817E88"/>
    <w:rsid w:val="00817FC2"/>
    <w:rsid w:val="00820956"/>
    <w:rsid w:val="008209FD"/>
    <w:rsid w:val="00820B9C"/>
    <w:rsid w:val="00820C3B"/>
    <w:rsid w:val="00820EC9"/>
    <w:rsid w:val="00821EFB"/>
    <w:rsid w:val="00822417"/>
    <w:rsid w:val="00822843"/>
    <w:rsid w:val="00822999"/>
    <w:rsid w:val="008229F9"/>
    <w:rsid w:val="00822A71"/>
    <w:rsid w:val="00822C2F"/>
    <w:rsid w:val="00822CE0"/>
    <w:rsid w:val="00823A82"/>
    <w:rsid w:val="00823AB0"/>
    <w:rsid w:val="00824B41"/>
    <w:rsid w:val="00824C05"/>
    <w:rsid w:val="00825178"/>
    <w:rsid w:val="00826AB4"/>
    <w:rsid w:val="00826C3C"/>
    <w:rsid w:val="008270C3"/>
    <w:rsid w:val="008272CC"/>
    <w:rsid w:val="00827539"/>
    <w:rsid w:val="008277FD"/>
    <w:rsid w:val="00827BC3"/>
    <w:rsid w:val="0083001D"/>
    <w:rsid w:val="008302B9"/>
    <w:rsid w:val="00830639"/>
    <w:rsid w:val="008313F5"/>
    <w:rsid w:val="00832043"/>
    <w:rsid w:val="00832CFF"/>
    <w:rsid w:val="008336FB"/>
    <w:rsid w:val="00833A2D"/>
    <w:rsid w:val="00833C34"/>
    <w:rsid w:val="008341B4"/>
    <w:rsid w:val="00834514"/>
    <w:rsid w:val="008349A9"/>
    <w:rsid w:val="00834BDA"/>
    <w:rsid w:val="00835037"/>
    <w:rsid w:val="0083503F"/>
    <w:rsid w:val="008350D9"/>
    <w:rsid w:val="0083583D"/>
    <w:rsid w:val="0083587F"/>
    <w:rsid w:val="008360E6"/>
    <w:rsid w:val="00836998"/>
    <w:rsid w:val="00836A99"/>
    <w:rsid w:val="00836C4C"/>
    <w:rsid w:val="00836D77"/>
    <w:rsid w:val="00836FC4"/>
    <w:rsid w:val="0083709A"/>
    <w:rsid w:val="00837594"/>
    <w:rsid w:val="00840964"/>
    <w:rsid w:val="00841667"/>
    <w:rsid w:val="00841AB1"/>
    <w:rsid w:val="00842287"/>
    <w:rsid w:val="0084230B"/>
    <w:rsid w:val="00842A7E"/>
    <w:rsid w:val="00842B5A"/>
    <w:rsid w:val="008430D3"/>
    <w:rsid w:val="00843137"/>
    <w:rsid w:val="0084396C"/>
    <w:rsid w:val="00843D4A"/>
    <w:rsid w:val="008442CC"/>
    <w:rsid w:val="0084449C"/>
    <w:rsid w:val="0084468A"/>
    <w:rsid w:val="00844848"/>
    <w:rsid w:val="00845153"/>
    <w:rsid w:val="00845F18"/>
    <w:rsid w:val="0084627D"/>
    <w:rsid w:val="008469A1"/>
    <w:rsid w:val="0084785C"/>
    <w:rsid w:val="00847C35"/>
    <w:rsid w:val="00847E87"/>
    <w:rsid w:val="00847FE1"/>
    <w:rsid w:val="00850A58"/>
    <w:rsid w:val="00850C06"/>
    <w:rsid w:val="00851191"/>
    <w:rsid w:val="00851330"/>
    <w:rsid w:val="00851547"/>
    <w:rsid w:val="00851611"/>
    <w:rsid w:val="00851780"/>
    <w:rsid w:val="00852C91"/>
    <w:rsid w:val="00853011"/>
    <w:rsid w:val="0085332D"/>
    <w:rsid w:val="008540F9"/>
    <w:rsid w:val="00854605"/>
    <w:rsid w:val="008547B7"/>
    <w:rsid w:val="00854D97"/>
    <w:rsid w:val="00854E5D"/>
    <w:rsid w:val="008552B7"/>
    <w:rsid w:val="008552BB"/>
    <w:rsid w:val="008558B9"/>
    <w:rsid w:val="00855D9E"/>
    <w:rsid w:val="00856BBB"/>
    <w:rsid w:val="00856F4D"/>
    <w:rsid w:val="00856FB2"/>
    <w:rsid w:val="0085704E"/>
    <w:rsid w:val="008576E3"/>
    <w:rsid w:val="00857D7D"/>
    <w:rsid w:val="00860DC5"/>
    <w:rsid w:val="00860E6F"/>
    <w:rsid w:val="00861AE3"/>
    <w:rsid w:val="00861DC1"/>
    <w:rsid w:val="00861ED1"/>
    <w:rsid w:val="00862834"/>
    <w:rsid w:val="00862DC3"/>
    <w:rsid w:val="00863427"/>
    <w:rsid w:val="008635EF"/>
    <w:rsid w:val="00863C38"/>
    <w:rsid w:val="008646B9"/>
    <w:rsid w:val="008652B2"/>
    <w:rsid w:val="00865514"/>
    <w:rsid w:val="00865DB0"/>
    <w:rsid w:val="008666C3"/>
    <w:rsid w:val="008672D0"/>
    <w:rsid w:val="00870F43"/>
    <w:rsid w:val="008720D3"/>
    <w:rsid w:val="00872328"/>
    <w:rsid w:val="008724AA"/>
    <w:rsid w:val="00872860"/>
    <w:rsid w:val="00872BC7"/>
    <w:rsid w:val="00872D0D"/>
    <w:rsid w:val="008738D2"/>
    <w:rsid w:val="00874220"/>
    <w:rsid w:val="00874342"/>
    <w:rsid w:val="008744CD"/>
    <w:rsid w:val="00874C95"/>
    <w:rsid w:val="00874DEB"/>
    <w:rsid w:val="00874F2A"/>
    <w:rsid w:val="00874FDE"/>
    <w:rsid w:val="00875003"/>
    <w:rsid w:val="00875070"/>
    <w:rsid w:val="00875276"/>
    <w:rsid w:val="00875684"/>
    <w:rsid w:val="008759AB"/>
    <w:rsid w:val="00876B12"/>
    <w:rsid w:val="0087702B"/>
    <w:rsid w:val="0087766D"/>
    <w:rsid w:val="00877AF5"/>
    <w:rsid w:val="00877B62"/>
    <w:rsid w:val="00877B77"/>
    <w:rsid w:val="00877F4E"/>
    <w:rsid w:val="00880229"/>
    <w:rsid w:val="008803DF"/>
    <w:rsid w:val="008808C8"/>
    <w:rsid w:val="00880E13"/>
    <w:rsid w:val="00881977"/>
    <w:rsid w:val="0088386D"/>
    <w:rsid w:val="008850C1"/>
    <w:rsid w:val="008856DB"/>
    <w:rsid w:val="00885DDF"/>
    <w:rsid w:val="00886017"/>
    <w:rsid w:val="00886A96"/>
    <w:rsid w:val="00887A4D"/>
    <w:rsid w:val="00887AC2"/>
    <w:rsid w:val="00887C89"/>
    <w:rsid w:val="008910CF"/>
    <w:rsid w:val="00891430"/>
    <w:rsid w:val="00891511"/>
    <w:rsid w:val="0089161F"/>
    <w:rsid w:val="00892166"/>
    <w:rsid w:val="00892D17"/>
    <w:rsid w:val="00893A23"/>
    <w:rsid w:val="00893FA2"/>
    <w:rsid w:val="008947F7"/>
    <w:rsid w:val="008948A3"/>
    <w:rsid w:val="00895E6F"/>
    <w:rsid w:val="00896587"/>
    <w:rsid w:val="008967B6"/>
    <w:rsid w:val="00896AA3"/>
    <w:rsid w:val="008970B7"/>
    <w:rsid w:val="0089728A"/>
    <w:rsid w:val="008974D5"/>
    <w:rsid w:val="00897786"/>
    <w:rsid w:val="00897A9E"/>
    <w:rsid w:val="00897DFB"/>
    <w:rsid w:val="008A027F"/>
    <w:rsid w:val="008A0DF5"/>
    <w:rsid w:val="008A1396"/>
    <w:rsid w:val="008A17C9"/>
    <w:rsid w:val="008A21CC"/>
    <w:rsid w:val="008A257E"/>
    <w:rsid w:val="008A2AAD"/>
    <w:rsid w:val="008A3450"/>
    <w:rsid w:val="008A39AA"/>
    <w:rsid w:val="008A3B62"/>
    <w:rsid w:val="008A3B80"/>
    <w:rsid w:val="008A3F20"/>
    <w:rsid w:val="008A4187"/>
    <w:rsid w:val="008A44E2"/>
    <w:rsid w:val="008A45C4"/>
    <w:rsid w:val="008A4E5B"/>
    <w:rsid w:val="008A52A5"/>
    <w:rsid w:val="008A5651"/>
    <w:rsid w:val="008A5786"/>
    <w:rsid w:val="008A5BCC"/>
    <w:rsid w:val="008A5DE4"/>
    <w:rsid w:val="008A5FEE"/>
    <w:rsid w:val="008A60E0"/>
    <w:rsid w:val="008A687F"/>
    <w:rsid w:val="008A6D1E"/>
    <w:rsid w:val="008A72E8"/>
    <w:rsid w:val="008A75FC"/>
    <w:rsid w:val="008B00B4"/>
    <w:rsid w:val="008B030F"/>
    <w:rsid w:val="008B07CA"/>
    <w:rsid w:val="008B0BE4"/>
    <w:rsid w:val="008B0FCC"/>
    <w:rsid w:val="008B146D"/>
    <w:rsid w:val="008B16C2"/>
    <w:rsid w:val="008B1868"/>
    <w:rsid w:val="008B20DB"/>
    <w:rsid w:val="008B249B"/>
    <w:rsid w:val="008B2640"/>
    <w:rsid w:val="008B2AB4"/>
    <w:rsid w:val="008B2AFD"/>
    <w:rsid w:val="008B2B0A"/>
    <w:rsid w:val="008B2FAE"/>
    <w:rsid w:val="008B332E"/>
    <w:rsid w:val="008B3480"/>
    <w:rsid w:val="008B38B9"/>
    <w:rsid w:val="008B3932"/>
    <w:rsid w:val="008B482B"/>
    <w:rsid w:val="008B4DFC"/>
    <w:rsid w:val="008B5944"/>
    <w:rsid w:val="008B646C"/>
    <w:rsid w:val="008B6887"/>
    <w:rsid w:val="008B6E87"/>
    <w:rsid w:val="008B6FC9"/>
    <w:rsid w:val="008B7464"/>
    <w:rsid w:val="008B75A1"/>
    <w:rsid w:val="008B75F0"/>
    <w:rsid w:val="008B78E3"/>
    <w:rsid w:val="008B7B22"/>
    <w:rsid w:val="008B7C19"/>
    <w:rsid w:val="008B7F61"/>
    <w:rsid w:val="008C0481"/>
    <w:rsid w:val="008C05F7"/>
    <w:rsid w:val="008C0B52"/>
    <w:rsid w:val="008C0E9C"/>
    <w:rsid w:val="008C15F2"/>
    <w:rsid w:val="008C1744"/>
    <w:rsid w:val="008C1A2B"/>
    <w:rsid w:val="008C2875"/>
    <w:rsid w:val="008C2BB0"/>
    <w:rsid w:val="008C2C70"/>
    <w:rsid w:val="008C2E4C"/>
    <w:rsid w:val="008C313B"/>
    <w:rsid w:val="008C3631"/>
    <w:rsid w:val="008C45C1"/>
    <w:rsid w:val="008C4B05"/>
    <w:rsid w:val="008C4D5A"/>
    <w:rsid w:val="008C4E33"/>
    <w:rsid w:val="008C4E45"/>
    <w:rsid w:val="008C53B3"/>
    <w:rsid w:val="008C54E2"/>
    <w:rsid w:val="008C59C3"/>
    <w:rsid w:val="008C5CB6"/>
    <w:rsid w:val="008C66A2"/>
    <w:rsid w:val="008C68F1"/>
    <w:rsid w:val="008C6EAC"/>
    <w:rsid w:val="008C78DC"/>
    <w:rsid w:val="008C7FC6"/>
    <w:rsid w:val="008D069D"/>
    <w:rsid w:val="008D0EEF"/>
    <w:rsid w:val="008D22CC"/>
    <w:rsid w:val="008D289B"/>
    <w:rsid w:val="008D2E81"/>
    <w:rsid w:val="008D2F1D"/>
    <w:rsid w:val="008D311A"/>
    <w:rsid w:val="008D378D"/>
    <w:rsid w:val="008D3E0D"/>
    <w:rsid w:val="008D4043"/>
    <w:rsid w:val="008D413C"/>
    <w:rsid w:val="008D4B08"/>
    <w:rsid w:val="008D4E56"/>
    <w:rsid w:val="008D4EAE"/>
    <w:rsid w:val="008D5284"/>
    <w:rsid w:val="008D5641"/>
    <w:rsid w:val="008D70E9"/>
    <w:rsid w:val="008D71F7"/>
    <w:rsid w:val="008D7C3E"/>
    <w:rsid w:val="008D7F5D"/>
    <w:rsid w:val="008E025E"/>
    <w:rsid w:val="008E0952"/>
    <w:rsid w:val="008E1303"/>
    <w:rsid w:val="008E1BC0"/>
    <w:rsid w:val="008E2295"/>
    <w:rsid w:val="008E29AC"/>
    <w:rsid w:val="008E2AFE"/>
    <w:rsid w:val="008E2BAF"/>
    <w:rsid w:val="008E2D97"/>
    <w:rsid w:val="008E2EEC"/>
    <w:rsid w:val="008E44A1"/>
    <w:rsid w:val="008E5783"/>
    <w:rsid w:val="008E59CD"/>
    <w:rsid w:val="008E5B4B"/>
    <w:rsid w:val="008E5F0A"/>
    <w:rsid w:val="008E6224"/>
    <w:rsid w:val="008E65AA"/>
    <w:rsid w:val="008E689A"/>
    <w:rsid w:val="008E70B5"/>
    <w:rsid w:val="008E73AE"/>
    <w:rsid w:val="008E74FA"/>
    <w:rsid w:val="008E7990"/>
    <w:rsid w:val="008E7ACA"/>
    <w:rsid w:val="008F00FA"/>
    <w:rsid w:val="008F098B"/>
    <w:rsid w:val="008F0A8E"/>
    <w:rsid w:val="008F0FA6"/>
    <w:rsid w:val="008F0FE1"/>
    <w:rsid w:val="008F116B"/>
    <w:rsid w:val="008F173C"/>
    <w:rsid w:val="008F17D2"/>
    <w:rsid w:val="008F26B4"/>
    <w:rsid w:val="008F2AB1"/>
    <w:rsid w:val="008F2B70"/>
    <w:rsid w:val="008F2E2C"/>
    <w:rsid w:val="008F3D3D"/>
    <w:rsid w:val="008F3D47"/>
    <w:rsid w:val="008F3D6A"/>
    <w:rsid w:val="008F46E8"/>
    <w:rsid w:val="008F4E2C"/>
    <w:rsid w:val="008F53E9"/>
    <w:rsid w:val="008F5704"/>
    <w:rsid w:val="008F5B0B"/>
    <w:rsid w:val="008F618F"/>
    <w:rsid w:val="008F69BB"/>
    <w:rsid w:val="008F6B58"/>
    <w:rsid w:val="008F6C6A"/>
    <w:rsid w:val="008F6FDD"/>
    <w:rsid w:val="008F7015"/>
    <w:rsid w:val="008F701B"/>
    <w:rsid w:val="008F739B"/>
    <w:rsid w:val="008F7929"/>
    <w:rsid w:val="008F7B8A"/>
    <w:rsid w:val="009015FA"/>
    <w:rsid w:val="0090207F"/>
    <w:rsid w:val="0090246B"/>
    <w:rsid w:val="009035EF"/>
    <w:rsid w:val="00903755"/>
    <w:rsid w:val="00903DAF"/>
    <w:rsid w:val="00903E36"/>
    <w:rsid w:val="00904C47"/>
    <w:rsid w:val="009057CB"/>
    <w:rsid w:val="00906646"/>
    <w:rsid w:val="00906D42"/>
    <w:rsid w:val="00907592"/>
    <w:rsid w:val="009077C0"/>
    <w:rsid w:val="0091028F"/>
    <w:rsid w:val="009107ED"/>
    <w:rsid w:val="0091147C"/>
    <w:rsid w:val="00911606"/>
    <w:rsid w:val="00911A7C"/>
    <w:rsid w:val="00911DDC"/>
    <w:rsid w:val="00912345"/>
    <w:rsid w:val="009130FD"/>
    <w:rsid w:val="009132B1"/>
    <w:rsid w:val="00914D94"/>
    <w:rsid w:val="00915AC7"/>
    <w:rsid w:val="00916199"/>
    <w:rsid w:val="00916F45"/>
    <w:rsid w:val="009176F2"/>
    <w:rsid w:val="009178EC"/>
    <w:rsid w:val="00917A86"/>
    <w:rsid w:val="00917B0D"/>
    <w:rsid w:val="00920F81"/>
    <w:rsid w:val="0092118F"/>
    <w:rsid w:val="00921803"/>
    <w:rsid w:val="00921C0F"/>
    <w:rsid w:val="00921F8E"/>
    <w:rsid w:val="009223BA"/>
    <w:rsid w:val="0092247A"/>
    <w:rsid w:val="00923372"/>
    <w:rsid w:val="00923568"/>
    <w:rsid w:val="00923F03"/>
    <w:rsid w:val="00924655"/>
    <w:rsid w:val="00924D34"/>
    <w:rsid w:val="00924DA6"/>
    <w:rsid w:val="009254C2"/>
    <w:rsid w:val="009257D4"/>
    <w:rsid w:val="00926503"/>
    <w:rsid w:val="00926507"/>
    <w:rsid w:val="0092682C"/>
    <w:rsid w:val="00926837"/>
    <w:rsid w:val="00926CFF"/>
    <w:rsid w:val="00926F85"/>
    <w:rsid w:val="0092751A"/>
    <w:rsid w:val="00927644"/>
    <w:rsid w:val="0092775B"/>
    <w:rsid w:val="00927775"/>
    <w:rsid w:val="00927A23"/>
    <w:rsid w:val="00927A9B"/>
    <w:rsid w:val="00930320"/>
    <w:rsid w:val="009309B8"/>
    <w:rsid w:val="009309CF"/>
    <w:rsid w:val="00930A2B"/>
    <w:rsid w:val="00930C6F"/>
    <w:rsid w:val="0093100A"/>
    <w:rsid w:val="009318BA"/>
    <w:rsid w:val="009318C6"/>
    <w:rsid w:val="00931CD5"/>
    <w:rsid w:val="00931D28"/>
    <w:rsid w:val="009320D6"/>
    <w:rsid w:val="0093231E"/>
    <w:rsid w:val="00932733"/>
    <w:rsid w:val="00932DD2"/>
    <w:rsid w:val="0093348A"/>
    <w:rsid w:val="009336A1"/>
    <w:rsid w:val="00933C27"/>
    <w:rsid w:val="00933EC7"/>
    <w:rsid w:val="00933FBC"/>
    <w:rsid w:val="00934553"/>
    <w:rsid w:val="0093460C"/>
    <w:rsid w:val="009357C4"/>
    <w:rsid w:val="00935B5E"/>
    <w:rsid w:val="0093673A"/>
    <w:rsid w:val="00936A24"/>
    <w:rsid w:val="00936BD1"/>
    <w:rsid w:val="009379C3"/>
    <w:rsid w:val="00941584"/>
    <w:rsid w:val="00941EC9"/>
    <w:rsid w:val="00942437"/>
    <w:rsid w:val="009424BD"/>
    <w:rsid w:val="00942570"/>
    <w:rsid w:val="009428CC"/>
    <w:rsid w:val="00942A59"/>
    <w:rsid w:val="00942D94"/>
    <w:rsid w:val="00942FCF"/>
    <w:rsid w:val="0094307C"/>
    <w:rsid w:val="00943496"/>
    <w:rsid w:val="00943A47"/>
    <w:rsid w:val="00943B39"/>
    <w:rsid w:val="009441DE"/>
    <w:rsid w:val="00944374"/>
    <w:rsid w:val="00944FEC"/>
    <w:rsid w:val="00946517"/>
    <w:rsid w:val="00946799"/>
    <w:rsid w:val="00946B14"/>
    <w:rsid w:val="00946EAF"/>
    <w:rsid w:val="00947233"/>
    <w:rsid w:val="0094781D"/>
    <w:rsid w:val="00947944"/>
    <w:rsid w:val="0095001B"/>
    <w:rsid w:val="0095024C"/>
    <w:rsid w:val="009506BC"/>
    <w:rsid w:val="009508C6"/>
    <w:rsid w:val="00950A27"/>
    <w:rsid w:val="00950C97"/>
    <w:rsid w:val="00950E1D"/>
    <w:rsid w:val="009515DC"/>
    <w:rsid w:val="009521DB"/>
    <w:rsid w:val="00952302"/>
    <w:rsid w:val="00952835"/>
    <w:rsid w:val="00952E61"/>
    <w:rsid w:val="00953201"/>
    <w:rsid w:val="009537C6"/>
    <w:rsid w:val="0095392D"/>
    <w:rsid w:val="00953A0B"/>
    <w:rsid w:val="00953E2D"/>
    <w:rsid w:val="00954618"/>
    <w:rsid w:val="009547F4"/>
    <w:rsid w:val="00954971"/>
    <w:rsid w:val="009552AC"/>
    <w:rsid w:val="00955D71"/>
    <w:rsid w:val="00956123"/>
    <w:rsid w:val="009569D9"/>
    <w:rsid w:val="00956F45"/>
    <w:rsid w:val="009575ED"/>
    <w:rsid w:val="00957A21"/>
    <w:rsid w:val="00957A4D"/>
    <w:rsid w:val="00957C4D"/>
    <w:rsid w:val="00957CF5"/>
    <w:rsid w:val="00957E50"/>
    <w:rsid w:val="00960AEA"/>
    <w:rsid w:val="00961069"/>
    <w:rsid w:val="00962054"/>
    <w:rsid w:val="009625B2"/>
    <w:rsid w:val="009626C0"/>
    <w:rsid w:val="009627FF"/>
    <w:rsid w:val="00962BFB"/>
    <w:rsid w:val="00963314"/>
    <w:rsid w:val="00963D5D"/>
    <w:rsid w:val="00964129"/>
    <w:rsid w:val="00964638"/>
    <w:rsid w:val="0096466D"/>
    <w:rsid w:val="00964962"/>
    <w:rsid w:val="009655A1"/>
    <w:rsid w:val="00965878"/>
    <w:rsid w:val="00965EB1"/>
    <w:rsid w:val="0096602C"/>
    <w:rsid w:val="00966AF9"/>
    <w:rsid w:val="00966D5B"/>
    <w:rsid w:val="0096712E"/>
    <w:rsid w:val="00967145"/>
    <w:rsid w:val="00967162"/>
    <w:rsid w:val="00967353"/>
    <w:rsid w:val="00967903"/>
    <w:rsid w:val="00967E5B"/>
    <w:rsid w:val="0097073D"/>
    <w:rsid w:val="00970A96"/>
    <w:rsid w:val="00970E7B"/>
    <w:rsid w:val="00971092"/>
    <w:rsid w:val="0097158A"/>
    <w:rsid w:val="00971C74"/>
    <w:rsid w:val="00971DBC"/>
    <w:rsid w:val="00972645"/>
    <w:rsid w:val="009726D8"/>
    <w:rsid w:val="00972768"/>
    <w:rsid w:val="0097287A"/>
    <w:rsid w:val="009729D4"/>
    <w:rsid w:val="009729E7"/>
    <w:rsid w:val="00972A98"/>
    <w:rsid w:val="00972DAD"/>
    <w:rsid w:val="009730F3"/>
    <w:rsid w:val="009730FF"/>
    <w:rsid w:val="009740A2"/>
    <w:rsid w:val="00974239"/>
    <w:rsid w:val="00974767"/>
    <w:rsid w:val="00974DD8"/>
    <w:rsid w:val="00975134"/>
    <w:rsid w:val="00975583"/>
    <w:rsid w:val="00975918"/>
    <w:rsid w:val="00975E19"/>
    <w:rsid w:val="009765F4"/>
    <w:rsid w:val="00976BC8"/>
    <w:rsid w:val="00976E31"/>
    <w:rsid w:val="00976EE1"/>
    <w:rsid w:val="009779D7"/>
    <w:rsid w:val="00977CA0"/>
    <w:rsid w:val="00977F7B"/>
    <w:rsid w:val="009800C1"/>
    <w:rsid w:val="0098078A"/>
    <w:rsid w:val="00980901"/>
    <w:rsid w:val="00981251"/>
    <w:rsid w:val="00981394"/>
    <w:rsid w:val="009819CF"/>
    <w:rsid w:val="00981F6D"/>
    <w:rsid w:val="00981F8E"/>
    <w:rsid w:val="009821D7"/>
    <w:rsid w:val="00982A6B"/>
    <w:rsid w:val="00982AF5"/>
    <w:rsid w:val="00982F62"/>
    <w:rsid w:val="009830BE"/>
    <w:rsid w:val="00983A25"/>
    <w:rsid w:val="00984090"/>
    <w:rsid w:val="00984865"/>
    <w:rsid w:val="009855DD"/>
    <w:rsid w:val="00985C4C"/>
    <w:rsid w:val="00985F89"/>
    <w:rsid w:val="00986A8C"/>
    <w:rsid w:val="00986AF3"/>
    <w:rsid w:val="00986E09"/>
    <w:rsid w:val="0098703C"/>
    <w:rsid w:val="00987A12"/>
    <w:rsid w:val="00987B0A"/>
    <w:rsid w:val="00987DE1"/>
    <w:rsid w:val="0099022E"/>
    <w:rsid w:val="00990C7A"/>
    <w:rsid w:val="009911E6"/>
    <w:rsid w:val="009911EB"/>
    <w:rsid w:val="009912A9"/>
    <w:rsid w:val="00991759"/>
    <w:rsid w:val="00991C40"/>
    <w:rsid w:val="009920BE"/>
    <w:rsid w:val="0099289D"/>
    <w:rsid w:val="00992B4E"/>
    <w:rsid w:val="00993080"/>
    <w:rsid w:val="0099338A"/>
    <w:rsid w:val="00993392"/>
    <w:rsid w:val="00993CCC"/>
    <w:rsid w:val="00993D02"/>
    <w:rsid w:val="0099471B"/>
    <w:rsid w:val="00994BA6"/>
    <w:rsid w:val="00994E00"/>
    <w:rsid w:val="0099505B"/>
    <w:rsid w:val="00995131"/>
    <w:rsid w:val="00995C07"/>
    <w:rsid w:val="009960CB"/>
    <w:rsid w:val="009962C5"/>
    <w:rsid w:val="00996C5C"/>
    <w:rsid w:val="009970F6"/>
    <w:rsid w:val="009A0BED"/>
    <w:rsid w:val="009A0F7C"/>
    <w:rsid w:val="009A1074"/>
    <w:rsid w:val="009A1840"/>
    <w:rsid w:val="009A1B05"/>
    <w:rsid w:val="009A2BF7"/>
    <w:rsid w:val="009A3449"/>
    <w:rsid w:val="009A45D6"/>
    <w:rsid w:val="009A4C30"/>
    <w:rsid w:val="009A5113"/>
    <w:rsid w:val="009A514C"/>
    <w:rsid w:val="009A5320"/>
    <w:rsid w:val="009A5F8D"/>
    <w:rsid w:val="009A6004"/>
    <w:rsid w:val="009A69FB"/>
    <w:rsid w:val="009A6BA8"/>
    <w:rsid w:val="009A6F67"/>
    <w:rsid w:val="009B0108"/>
    <w:rsid w:val="009B0149"/>
    <w:rsid w:val="009B13A0"/>
    <w:rsid w:val="009B1529"/>
    <w:rsid w:val="009B2259"/>
    <w:rsid w:val="009B2CFD"/>
    <w:rsid w:val="009B3370"/>
    <w:rsid w:val="009B3883"/>
    <w:rsid w:val="009B3A36"/>
    <w:rsid w:val="009B481F"/>
    <w:rsid w:val="009B53EF"/>
    <w:rsid w:val="009B54E0"/>
    <w:rsid w:val="009B56B4"/>
    <w:rsid w:val="009B5D22"/>
    <w:rsid w:val="009B6092"/>
    <w:rsid w:val="009B61EF"/>
    <w:rsid w:val="009B6852"/>
    <w:rsid w:val="009B6F12"/>
    <w:rsid w:val="009B6F3D"/>
    <w:rsid w:val="009B73DD"/>
    <w:rsid w:val="009B761E"/>
    <w:rsid w:val="009B780C"/>
    <w:rsid w:val="009B7BB3"/>
    <w:rsid w:val="009B7C2B"/>
    <w:rsid w:val="009B7F84"/>
    <w:rsid w:val="009C014C"/>
    <w:rsid w:val="009C0BFD"/>
    <w:rsid w:val="009C1AC0"/>
    <w:rsid w:val="009C2B65"/>
    <w:rsid w:val="009C3F37"/>
    <w:rsid w:val="009C41EA"/>
    <w:rsid w:val="009C515B"/>
    <w:rsid w:val="009C565B"/>
    <w:rsid w:val="009C5F14"/>
    <w:rsid w:val="009C6028"/>
    <w:rsid w:val="009C6814"/>
    <w:rsid w:val="009C7558"/>
    <w:rsid w:val="009C7C82"/>
    <w:rsid w:val="009D009E"/>
    <w:rsid w:val="009D098D"/>
    <w:rsid w:val="009D0BB7"/>
    <w:rsid w:val="009D17ED"/>
    <w:rsid w:val="009D1D15"/>
    <w:rsid w:val="009D2915"/>
    <w:rsid w:val="009D3009"/>
    <w:rsid w:val="009D340D"/>
    <w:rsid w:val="009D4BDA"/>
    <w:rsid w:val="009D4FDE"/>
    <w:rsid w:val="009D55AD"/>
    <w:rsid w:val="009D5663"/>
    <w:rsid w:val="009D586C"/>
    <w:rsid w:val="009D58FE"/>
    <w:rsid w:val="009D5DED"/>
    <w:rsid w:val="009D605C"/>
    <w:rsid w:val="009D653D"/>
    <w:rsid w:val="009D6AE5"/>
    <w:rsid w:val="009D6D66"/>
    <w:rsid w:val="009D7275"/>
    <w:rsid w:val="009D7308"/>
    <w:rsid w:val="009E0116"/>
    <w:rsid w:val="009E0260"/>
    <w:rsid w:val="009E0744"/>
    <w:rsid w:val="009E0BA5"/>
    <w:rsid w:val="009E0C43"/>
    <w:rsid w:val="009E0D48"/>
    <w:rsid w:val="009E1943"/>
    <w:rsid w:val="009E2FA4"/>
    <w:rsid w:val="009E3044"/>
    <w:rsid w:val="009E35C0"/>
    <w:rsid w:val="009E37A4"/>
    <w:rsid w:val="009E3A84"/>
    <w:rsid w:val="009E495E"/>
    <w:rsid w:val="009E4AF7"/>
    <w:rsid w:val="009E536B"/>
    <w:rsid w:val="009E53D2"/>
    <w:rsid w:val="009E5455"/>
    <w:rsid w:val="009E5BF7"/>
    <w:rsid w:val="009E5EEA"/>
    <w:rsid w:val="009E6308"/>
    <w:rsid w:val="009E64C3"/>
    <w:rsid w:val="009E65FA"/>
    <w:rsid w:val="009E686B"/>
    <w:rsid w:val="009E6EDE"/>
    <w:rsid w:val="009E70FB"/>
    <w:rsid w:val="009E7E01"/>
    <w:rsid w:val="009F04AA"/>
    <w:rsid w:val="009F04F6"/>
    <w:rsid w:val="009F1192"/>
    <w:rsid w:val="009F1251"/>
    <w:rsid w:val="009F16B2"/>
    <w:rsid w:val="009F1FA3"/>
    <w:rsid w:val="009F239B"/>
    <w:rsid w:val="009F2E1D"/>
    <w:rsid w:val="009F3EB0"/>
    <w:rsid w:val="009F4506"/>
    <w:rsid w:val="009F4B49"/>
    <w:rsid w:val="009F4DD4"/>
    <w:rsid w:val="009F520E"/>
    <w:rsid w:val="009F56DB"/>
    <w:rsid w:val="009F5BD4"/>
    <w:rsid w:val="009F624E"/>
    <w:rsid w:val="009F73E9"/>
    <w:rsid w:val="009F7528"/>
    <w:rsid w:val="009F76DB"/>
    <w:rsid w:val="00A00253"/>
    <w:rsid w:val="00A004D1"/>
    <w:rsid w:val="00A00D08"/>
    <w:rsid w:val="00A00D37"/>
    <w:rsid w:val="00A01BD2"/>
    <w:rsid w:val="00A021B7"/>
    <w:rsid w:val="00A02365"/>
    <w:rsid w:val="00A02DCA"/>
    <w:rsid w:val="00A03A9D"/>
    <w:rsid w:val="00A03B4A"/>
    <w:rsid w:val="00A03B8E"/>
    <w:rsid w:val="00A03F81"/>
    <w:rsid w:val="00A04964"/>
    <w:rsid w:val="00A04E7D"/>
    <w:rsid w:val="00A0531A"/>
    <w:rsid w:val="00A0578D"/>
    <w:rsid w:val="00A062E1"/>
    <w:rsid w:val="00A06FFC"/>
    <w:rsid w:val="00A07156"/>
    <w:rsid w:val="00A07277"/>
    <w:rsid w:val="00A076C7"/>
    <w:rsid w:val="00A07F79"/>
    <w:rsid w:val="00A10728"/>
    <w:rsid w:val="00A10A08"/>
    <w:rsid w:val="00A10CA6"/>
    <w:rsid w:val="00A10FFB"/>
    <w:rsid w:val="00A11936"/>
    <w:rsid w:val="00A11AC0"/>
    <w:rsid w:val="00A11FFC"/>
    <w:rsid w:val="00A12148"/>
    <w:rsid w:val="00A1215A"/>
    <w:rsid w:val="00A13313"/>
    <w:rsid w:val="00A138B1"/>
    <w:rsid w:val="00A14373"/>
    <w:rsid w:val="00A14CDD"/>
    <w:rsid w:val="00A15B96"/>
    <w:rsid w:val="00A16267"/>
    <w:rsid w:val="00A16995"/>
    <w:rsid w:val="00A16C9E"/>
    <w:rsid w:val="00A16F14"/>
    <w:rsid w:val="00A174DF"/>
    <w:rsid w:val="00A17F3D"/>
    <w:rsid w:val="00A17FE2"/>
    <w:rsid w:val="00A20804"/>
    <w:rsid w:val="00A2081A"/>
    <w:rsid w:val="00A21A4B"/>
    <w:rsid w:val="00A21C1C"/>
    <w:rsid w:val="00A21FC9"/>
    <w:rsid w:val="00A222A1"/>
    <w:rsid w:val="00A2247E"/>
    <w:rsid w:val="00A22605"/>
    <w:rsid w:val="00A2280B"/>
    <w:rsid w:val="00A22B6C"/>
    <w:rsid w:val="00A22CC7"/>
    <w:rsid w:val="00A24585"/>
    <w:rsid w:val="00A2473A"/>
    <w:rsid w:val="00A24871"/>
    <w:rsid w:val="00A24D1F"/>
    <w:rsid w:val="00A2596A"/>
    <w:rsid w:val="00A25A2F"/>
    <w:rsid w:val="00A25B85"/>
    <w:rsid w:val="00A25B89"/>
    <w:rsid w:val="00A26D44"/>
    <w:rsid w:val="00A273CD"/>
    <w:rsid w:val="00A27C2B"/>
    <w:rsid w:val="00A30A32"/>
    <w:rsid w:val="00A3103D"/>
    <w:rsid w:val="00A3147C"/>
    <w:rsid w:val="00A316B4"/>
    <w:rsid w:val="00A31AFF"/>
    <w:rsid w:val="00A32038"/>
    <w:rsid w:val="00A322E4"/>
    <w:rsid w:val="00A32431"/>
    <w:rsid w:val="00A32BC6"/>
    <w:rsid w:val="00A32C3B"/>
    <w:rsid w:val="00A334B0"/>
    <w:rsid w:val="00A33B4C"/>
    <w:rsid w:val="00A33BC4"/>
    <w:rsid w:val="00A33D66"/>
    <w:rsid w:val="00A3463B"/>
    <w:rsid w:val="00A347B2"/>
    <w:rsid w:val="00A35807"/>
    <w:rsid w:val="00A364A3"/>
    <w:rsid w:val="00A40159"/>
    <w:rsid w:val="00A406EF"/>
    <w:rsid w:val="00A40ED7"/>
    <w:rsid w:val="00A40F36"/>
    <w:rsid w:val="00A41751"/>
    <w:rsid w:val="00A41F66"/>
    <w:rsid w:val="00A422C9"/>
    <w:rsid w:val="00A42532"/>
    <w:rsid w:val="00A4271D"/>
    <w:rsid w:val="00A42815"/>
    <w:rsid w:val="00A429E6"/>
    <w:rsid w:val="00A437FA"/>
    <w:rsid w:val="00A439C1"/>
    <w:rsid w:val="00A43A1D"/>
    <w:rsid w:val="00A43C7D"/>
    <w:rsid w:val="00A442C5"/>
    <w:rsid w:val="00A4472F"/>
    <w:rsid w:val="00A45361"/>
    <w:rsid w:val="00A45B12"/>
    <w:rsid w:val="00A45D32"/>
    <w:rsid w:val="00A45F4F"/>
    <w:rsid w:val="00A46C3A"/>
    <w:rsid w:val="00A46D7F"/>
    <w:rsid w:val="00A46FCB"/>
    <w:rsid w:val="00A479E6"/>
    <w:rsid w:val="00A50397"/>
    <w:rsid w:val="00A51A75"/>
    <w:rsid w:val="00A51DC8"/>
    <w:rsid w:val="00A528FF"/>
    <w:rsid w:val="00A52B3A"/>
    <w:rsid w:val="00A52EEA"/>
    <w:rsid w:val="00A5374C"/>
    <w:rsid w:val="00A53BAB"/>
    <w:rsid w:val="00A541D1"/>
    <w:rsid w:val="00A544C0"/>
    <w:rsid w:val="00A54F9B"/>
    <w:rsid w:val="00A557AD"/>
    <w:rsid w:val="00A55B0B"/>
    <w:rsid w:val="00A5624E"/>
    <w:rsid w:val="00A566F8"/>
    <w:rsid w:val="00A56E80"/>
    <w:rsid w:val="00A57324"/>
    <w:rsid w:val="00A577D8"/>
    <w:rsid w:val="00A579C8"/>
    <w:rsid w:val="00A57E88"/>
    <w:rsid w:val="00A600A9"/>
    <w:rsid w:val="00A614D6"/>
    <w:rsid w:val="00A620F1"/>
    <w:rsid w:val="00A625E5"/>
    <w:rsid w:val="00A62640"/>
    <w:rsid w:val="00A62DA1"/>
    <w:rsid w:val="00A62EB5"/>
    <w:rsid w:val="00A62FC4"/>
    <w:rsid w:val="00A63BEA"/>
    <w:rsid w:val="00A63D39"/>
    <w:rsid w:val="00A6487A"/>
    <w:rsid w:val="00A64D77"/>
    <w:rsid w:val="00A6524B"/>
    <w:rsid w:val="00A65E36"/>
    <w:rsid w:val="00A66A1F"/>
    <w:rsid w:val="00A66F96"/>
    <w:rsid w:val="00A674C2"/>
    <w:rsid w:val="00A67BB7"/>
    <w:rsid w:val="00A67ED5"/>
    <w:rsid w:val="00A707F0"/>
    <w:rsid w:val="00A70EBC"/>
    <w:rsid w:val="00A70F6D"/>
    <w:rsid w:val="00A715C3"/>
    <w:rsid w:val="00A71628"/>
    <w:rsid w:val="00A71A27"/>
    <w:rsid w:val="00A71EF3"/>
    <w:rsid w:val="00A72402"/>
    <w:rsid w:val="00A7258D"/>
    <w:rsid w:val="00A7275F"/>
    <w:rsid w:val="00A72A39"/>
    <w:rsid w:val="00A730DA"/>
    <w:rsid w:val="00A735E0"/>
    <w:rsid w:val="00A73894"/>
    <w:rsid w:val="00A73D9C"/>
    <w:rsid w:val="00A73E21"/>
    <w:rsid w:val="00A73F6F"/>
    <w:rsid w:val="00A74218"/>
    <w:rsid w:val="00A74E77"/>
    <w:rsid w:val="00A7540C"/>
    <w:rsid w:val="00A762B3"/>
    <w:rsid w:val="00A76BDC"/>
    <w:rsid w:val="00A76E41"/>
    <w:rsid w:val="00A775E8"/>
    <w:rsid w:val="00A77B55"/>
    <w:rsid w:val="00A80349"/>
    <w:rsid w:val="00A80877"/>
    <w:rsid w:val="00A8089A"/>
    <w:rsid w:val="00A80BCB"/>
    <w:rsid w:val="00A80C3C"/>
    <w:rsid w:val="00A80D85"/>
    <w:rsid w:val="00A81072"/>
    <w:rsid w:val="00A811C2"/>
    <w:rsid w:val="00A81E16"/>
    <w:rsid w:val="00A82593"/>
    <w:rsid w:val="00A8280A"/>
    <w:rsid w:val="00A8290E"/>
    <w:rsid w:val="00A82BEB"/>
    <w:rsid w:val="00A82DF3"/>
    <w:rsid w:val="00A833AE"/>
    <w:rsid w:val="00A837E4"/>
    <w:rsid w:val="00A83E6F"/>
    <w:rsid w:val="00A84109"/>
    <w:rsid w:val="00A8433A"/>
    <w:rsid w:val="00A85270"/>
    <w:rsid w:val="00A8539D"/>
    <w:rsid w:val="00A85712"/>
    <w:rsid w:val="00A858F1"/>
    <w:rsid w:val="00A86081"/>
    <w:rsid w:val="00A86331"/>
    <w:rsid w:val="00A863F4"/>
    <w:rsid w:val="00A866C0"/>
    <w:rsid w:val="00A86CDF"/>
    <w:rsid w:val="00A87D6B"/>
    <w:rsid w:val="00A900E4"/>
    <w:rsid w:val="00A90402"/>
    <w:rsid w:val="00A9062E"/>
    <w:rsid w:val="00A90BC6"/>
    <w:rsid w:val="00A91115"/>
    <w:rsid w:val="00A913CF"/>
    <w:rsid w:val="00A91827"/>
    <w:rsid w:val="00A919D5"/>
    <w:rsid w:val="00A91B59"/>
    <w:rsid w:val="00A91C07"/>
    <w:rsid w:val="00A91C8F"/>
    <w:rsid w:val="00A9210E"/>
    <w:rsid w:val="00A92353"/>
    <w:rsid w:val="00A92528"/>
    <w:rsid w:val="00A92A58"/>
    <w:rsid w:val="00A92A9A"/>
    <w:rsid w:val="00A92E6B"/>
    <w:rsid w:val="00A92FF3"/>
    <w:rsid w:val="00A93868"/>
    <w:rsid w:val="00A93C8F"/>
    <w:rsid w:val="00A93E83"/>
    <w:rsid w:val="00A94265"/>
    <w:rsid w:val="00A94D91"/>
    <w:rsid w:val="00A95332"/>
    <w:rsid w:val="00A959E9"/>
    <w:rsid w:val="00A95C08"/>
    <w:rsid w:val="00A95D13"/>
    <w:rsid w:val="00A95DC1"/>
    <w:rsid w:val="00A96657"/>
    <w:rsid w:val="00A96952"/>
    <w:rsid w:val="00A96AFD"/>
    <w:rsid w:val="00A96C1A"/>
    <w:rsid w:val="00A96C63"/>
    <w:rsid w:val="00A97322"/>
    <w:rsid w:val="00A97897"/>
    <w:rsid w:val="00A97BC5"/>
    <w:rsid w:val="00AA0A4E"/>
    <w:rsid w:val="00AA0DAA"/>
    <w:rsid w:val="00AA114F"/>
    <w:rsid w:val="00AA140E"/>
    <w:rsid w:val="00AA1690"/>
    <w:rsid w:val="00AA1862"/>
    <w:rsid w:val="00AA24B4"/>
    <w:rsid w:val="00AA2A57"/>
    <w:rsid w:val="00AA2A76"/>
    <w:rsid w:val="00AA3287"/>
    <w:rsid w:val="00AA34A8"/>
    <w:rsid w:val="00AA4A09"/>
    <w:rsid w:val="00AA4A47"/>
    <w:rsid w:val="00AA4D7A"/>
    <w:rsid w:val="00AA4EC4"/>
    <w:rsid w:val="00AA55B7"/>
    <w:rsid w:val="00AA5636"/>
    <w:rsid w:val="00AA5AA6"/>
    <w:rsid w:val="00AA5B9E"/>
    <w:rsid w:val="00AA668E"/>
    <w:rsid w:val="00AA6817"/>
    <w:rsid w:val="00AA6E55"/>
    <w:rsid w:val="00AA7CDD"/>
    <w:rsid w:val="00AB03AF"/>
    <w:rsid w:val="00AB0625"/>
    <w:rsid w:val="00AB23D0"/>
    <w:rsid w:val="00AB2407"/>
    <w:rsid w:val="00AB29CB"/>
    <w:rsid w:val="00AB2EAC"/>
    <w:rsid w:val="00AB458E"/>
    <w:rsid w:val="00AB4755"/>
    <w:rsid w:val="00AB4D41"/>
    <w:rsid w:val="00AB50D7"/>
    <w:rsid w:val="00AB53DF"/>
    <w:rsid w:val="00AB701F"/>
    <w:rsid w:val="00AB792E"/>
    <w:rsid w:val="00AB7A93"/>
    <w:rsid w:val="00AC0186"/>
    <w:rsid w:val="00AC085A"/>
    <w:rsid w:val="00AC1DBA"/>
    <w:rsid w:val="00AC2261"/>
    <w:rsid w:val="00AC23D0"/>
    <w:rsid w:val="00AC2576"/>
    <w:rsid w:val="00AC26D8"/>
    <w:rsid w:val="00AC2A75"/>
    <w:rsid w:val="00AC2B0F"/>
    <w:rsid w:val="00AC2C87"/>
    <w:rsid w:val="00AC2DF0"/>
    <w:rsid w:val="00AC3238"/>
    <w:rsid w:val="00AC3329"/>
    <w:rsid w:val="00AC3CB0"/>
    <w:rsid w:val="00AC3DB6"/>
    <w:rsid w:val="00AC40B4"/>
    <w:rsid w:val="00AC4D81"/>
    <w:rsid w:val="00AC4F56"/>
    <w:rsid w:val="00AC550A"/>
    <w:rsid w:val="00AC5A6C"/>
    <w:rsid w:val="00AC6171"/>
    <w:rsid w:val="00AC6353"/>
    <w:rsid w:val="00AC6A73"/>
    <w:rsid w:val="00AC70B7"/>
    <w:rsid w:val="00AC77D3"/>
    <w:rsid w:val="00AC7812"/>
    <w:rsid w:val="00AD0293"/>
    <w:rsid w:val="00AD044B"/>
    <w:rsid w:val="00AD09DF"/>
    <w:rsid w:val="00AD0A1D"/>
    <w:rsid w:val="00AD1552"/>
    <w:rsid w:val="00AD1872"/>
    <w:rsid w:val="00AD1E62"/>
    <w:rsid w:val="00AD2AB9"/>
    <w:rsid w:val="00AD2E08"/>
    <w:rsid w:val="00AD2E62"/>
    <w:rsid w:val="00AD3551"/>
    <w:rsid w:val="00AD4002"/>
    <w:rsid w:val="00AD4149"/>
    <w:rsid w:val="00AD421F"/>
    <w:rsid w:val="00AD4396"/>
    <w:rsid w:val="00AD49A8"/>
    <w:rsid w:val="00AD562B"/>
    <w:rsid w:val="00AD5917"/>
    <w:rsid w:val="00AD59AD"/>
    <w:rsid w:val="00AD6010"/>
    <w:rsid w:val="00AD601B"/>
    <w:rsid w:val="00AD63EE"/>
    <w:rsid w:val="00AD68A8"/>
    <w:rsid w:val="00AD6970"/>
    <w:rsid w:val="00AD6E84"/>
    <w:rsid w:val="00AD760A"/>
    <w:rsid w:val="00AD7E10"/>
    <w:rsid w:val="00AD7F5D"/>
    <w:rsid w:val="00AE08BB"/>
    <w:rsid w:val="00AE13B4"/>
    <w:rsid w:val="00AE19EF"/>
    <w:rsid w:val="00AE260B"/>
    <w:rsid w:val="00AE2C2D"/>
    <w:rsid w:val="00AE2C64"/>
    <w:rsid w:val="00AE2D74"/>
    <w:rsid w:val="00AE3221"/>
    <w:rsid w:val="00AE361C"/>
    <w:rsid w:val="00AE368C"/>
    <w:rsid w:val="00AE3A02"/>
    <w:rsid w:val="00AE3D94"/>
    <w:rsid w:val="00AE412C"/>
    <w:rsid w:val="00AE4967"/>
    <w:rsid w:val="00AE4A84"/>
    <w:rsid w:val="00AE57A2"/>
    <w:rsid w:val="00AE5841"/>
    <w:rsid w:val="00AE5E12"/>
    <w:rsid w:val="00AE616A"/>
    <w:rsid w:val="00AE6279"/>
    <w:rsid w:val="00AE62DF"/>
    <w:rsid w:val="00AE63C9"/>
    <w:rsid w:val="00AE780A"/>
    <w:rsid w:val="00AE7CD9"/>
    <w:rsid w:val="00AE7DDA"/>
    <w:rsid w:val="00AE7F9A"/>
    <w:rsid w:val="00AF0306"/>
    <w:rsid w:val="00AF0CAC"/>
    <w:rsid w:val="00AF1EA3"/>
    <w:rsid w:val="00AF2A25"/>
    <w:rsid w:val="00AF3BD3"/>
    <w:rsid w:val="00AF426D"/>
    <w:rsid w:val="00AF471F"/>
    <w:rsid w:val="00AF48AD"/>
    <w:rsid w:val="00AF4B33"/>
    <w:rsid w:val="00AF4C6D"/>
    <w:rsid w:val="00AF5B24"/>
    <w:rsid w:val="00AF5B50"/>
    <w:rsid w:val="00AF5E5D"/>
    <w:rsid w:val="00AF5F08"/>
    <w:rsid w:val="00AF5FE4"/>
    <w:rsid w:val="00AF65A2"/>
    <w:rsid w:val="00AF6639"/>
    <w:rsid w:val="00AF69CA"/>
    <w:rsid w:val="00AF6EEB"/>
    <w:rsid w:val="00AF7064"/>
    <w:rsid w:val="00AF72E4"/>
    <w:rsid w:val="00AF7B36"/>
    <w:rsid w:val="00AF7B64"/>
    <w:rsid w:val="00AF7BAB"/>
    <w:rsid w:val="00B00640"/>
    <w:rsid w:val="00B0122F"/>
    <w:rsid w:val="00B01A8F"/>
    <w:rsid w:val="00B022EC"/>
    <w:rsid w:val="00B0338B"/>
    <w:rsid w:val="00B033E6"/>
    <w:rsid w:val="00B036B6"/>
    <w:rsid w:val="00B038E8"/>
    <w:rsid w:val="00B040EF"/>
    <w:rsid w:val="00B042BE"/>
    <w:rsid w:val="00B0449E"/>
    <w:rsid w:val="00B0460E"/>
    <w:rsid w:val="00B047AA"/>
    <w:rsid w:val="00B04828"/>
    <w:rsid w:val="00B0515A"/>
    <w:rsid w:val="00B0515E"/>
    <w:rsid w:val="00B05280"/>
    <w:rsid w:val="00B055C9"/>
    <w:rsid w:val="00B05F31"/>
    <w:rsid w:val="00B061AB"/>
    <w:rsid w:val="00B062C5"/>
    <w:rsid w:val="00B06546"/>
    <w:rsid w:val="00B079C6"/>
    <w:rsid w:val="00B07E5C"/>
    <w:rsid w:val="00B10266"/>
    <w:rsid w:val="00B11A91"/>
    <w:rsid w:val="00B13732"/>
    <w:rsid w:val="00B13BF6"/>
    <w:rsid w:val="00B1486D"/>
    <w:rsid w:val="00B14AEE"/>
    <w:rsid w:val="00B14C2A"/>
    <w:rsid w:val="00B14ED5"/>
    <w:rsid w:val="00B1515A"/>
    <w:rsid w:val="00B15FB7"/>
    <w:rsid w:val="00B1635E"/>
    <w:rsid w:val="00B163B4"/>
    <w:rsid w:val="00B16770"/>
    <w:rsid w:val="00B16D26"/>
    <w:rsid w:val="00B16FD8"/>
    <w:rsid w:val="00B204E3"/>
    <w:rsid w:val="00B21706"/>
    <w:rsid w:val="00B21BEF"/>
    <w:rsid w:val="00B23105"/>
    <w:rsid w:val="00B231E8"/>
    <w:rsid w:val="00B236FC"/>
    <w:rsid w:val="00B2475D"/>
    <w:rsid w:val="00B2498F"/>
    <w:rsid w:val="00B25A95"/>
    <w:rsid w:val="00B25AFA"/>
    <w:rsid w:val="00B25D4C"/>
    <w:rsid w:val="00B26017"/>
    <w:rsid w:val="00B2618B"/>
    <w:rsid w:val="00B2636D"/>
    <w:rsid w:val="00B26681"/>
    <w:rsid w:val="00B2688E"/>
    <w:rsid w:val="00B26E8C"/>
    <w:rsid w:val="00B273EE"/>
    <w:rsid w:val="00B27736"/>
    <w:rsid w:val="00B27778"/>
    <w:rsid w:val="00B3097D"/>
    <w:rsid w:val="00B30B1D"/>
    <w:rsid w:val="00B30D80"/>
    <w:rsid w:val="00B30E51"/>
    <w:rsid w:val="00B311E4"/>
    <w:rsid w:val="00B3214E"/>
    <w:rsid w:val="00B32428"/>
    <w:rsid w:val="00B32A97"/>
    <w:rsid w:val="00B3300D"/>
    <w:rsid w:val="00B330C2"/>
    <w:rsid w:val="00B332A0"/>
    <w:rsid w:val="00B33752"/>
    <w:rsid w:val="00B33805"/>
    <w:rsid w:val="00B33DE0"/>
    <w:rsid w:val="00B34232"/>
    <w:rsid w:val="00B34452"/>
    <w:rsid w:val="00B344DD"/>
    <w:rsid w:val="00B35ECB"/>
    <w:rsid w:val="00B360E6"/>
    <w:rsid w:val="00B363DD"/>
    <w:rsid w:val="00B36E68"/>
    <w:rsid w:val="00B36F36"/>
    <w:rsid w:val="00B371A2"/>
    <w:rsid w:val="00B37201"/>
    <w:rsid w:val="00B374EB"/>
    <w:rsid w:val="00B407A3"/>
    <w:rsid w:val="00B41258"/>
    <w:rsid w:val="00B41930"/>
    <w:rsid w:val="00B41CBF"/>
    <w:rsid w:val="00B422D1"/>
    <w:rsid w:val="00B42386"/>
    <w:rsid w:val="00B42891"/>
    <w:rsid w:val="00B42B19"/>
    <w:rsid w:val="00B4398D"/>
    <w:rsid w:val="00B43DA8"/>
    <w:rsid w:val="00B44BD8"/>
    <w:rsid w:val="00B4586E"/>
    <w:rsid w:val="00B45CBB"/>
    <w:rsid w:val="00B464DD"/>
    <w:rsid w:val="00B47EA1"/>
    <w:rsid w:val="00B50645"/>
    <w:rsid w:val="00B506F0"/>
    <w:rsid w:val="00B50EFE"/>
    <w:rsid w:val="00B50F66"/>
    <w:rsid w:val="00B51F82"/>
    <w:rsid w:val="00B521C3"/>
    <w:rsid w:val="00B5280D"/>
    <w:rsid w:val="00B5308F"/>
    <w:rsid w:val="00B53446"/>
    <w:rsid w:val="00B53DF1"/>
    <w:rsid w:val="00B54B17"/>
    <w:rsid w:val="00B55D82"/>
    <w:rsid w:val="00B56208"/>
    <w:rsid w:val="00B563ED"/>
    <w:rsid w:val="00B5680B"/>
    <w:rsid w:val="00B56E90"/>
    <w:rsid w:val="00B56F49"/>
    <w:rsid w:val="00B57688"/>
    <w:rsid w:val="00B60153"/>
    <w:rsid w:val="00B60910"/>
    <w:rsid w:val="00B60E16"/>
    <w:rsid w:val="00B61FBD"/>
    <w:rsid w:val="00B62164"/>
    <w:rsid w:val="00B629D5"/>
    <w:rsid w:val="00B62E4C"/>
    <w:rsid w:val="00B632D1"/>
    <w:rsid w:val="00B63AA5"/>
    <w:rsid w:val="00B63CC4"/>
    <w:rsid w:val="00B640DB"/>
    <w:rsid w:val="00B645F6"/>
    <w:rsid w:val="00B6470E"/>
    <w:rsid w:val="00B64889"/>
    <w:rsid w:val="00B64972"/>
    <w:rsid w:val="00B66761"/>
    <w:rsid w:val="00B667EE"/>
    <w:rsid w:val="00B67209"/>
    <w:rsid w:val="00B67C90"/>
    <w:rsid w:val="00B67CB8"/>
    <w:rsid w:val="00B702E8"/>
    <w:rsid w:val="00B705BD"/>
    <w:rsid w:val="00B70612"/>
    <w:rsid w:val="00B707F3"/>
    <w:rsid w:val="00B7150D"/>
    <w:rsid w:val="00B7168E"/>
    <w:rsid w:val="00B71B61"/>
    <w:rsid w:val="00B72320"/>
    <w:rsid w:val="00B723F8"/>
    <w:rsid w:val="00B73CE6"/>
    <w:rsid w:val="00B73F56"/>
    <w:rsid w:val="00B7418A"/>
    <w:rsid w:val="00B74929"/>
    <w:rsid w:val="00B74C0E"/>
    <w:rsid w:val="00B75466"/>
    <w:rsid w:val="00B7624C"/>
    <w:rsid w:val="00B76384"/>
    <w:rsid w:val="00B76872"/>
    <w:rsid w:val="00B76882"/>
    <w:rsid w:val="00B768B0"/>
    <w:rsid w:val="00B76933"/>
    <w:rsid w:val="00B77545"/>
    <w:rsid w:val="00B779EB"/>
    <w:rsid w:val="00B80FAA"/>
    <w:rsid w:val="00B811F7"/>
    <w:rsid w:val="00B8194A"/>
    <w:rsid w:val="00B81E25"/>
    <w:rsid w:val="00B81E34"/>
    <w:rsid w:val="00B826A4"/>
    <w:rsid w:val="00B82D8F"/>
    <w:rsid w:val="00B82DE1"/>
    <w:rsid w:val="00B836E8"/>
    <w:rsid w:val="00B84342"/>
    <w:rsid w:val="00B84FBC"/>
    <w:rsid w:val="00B85468"/>
    <w:rsid w:val="00B856B5"/>
    <w:rsid w:val="00B857A8"/>
    <w:rsid w:val="00B85D4D"/>
    <w:rsid w:val="00B86175"/>
    <w:rsid w:val="00B86758"/>
    <w:rsid w:val="00B86BDB"/>
    <w:rsid w:val="00B86DB3"/>
    <w:rsid w:val="00B86E24"/>
    <w:rsid w:val="00B86E36"/>
    <w:rsid w:val="00B86FE8"/>
    <w:rsid w:val="00B9067D"/>
    <w:rsid w:val="00B919D4"/>
    <w:rsid w:val="00B91FB3"/>
    <w:rsid w:val="00B92100"/>
    <w:rsid w:val="00B924FD"/>
    <w:rsid w:val="00B9287E"/>
    <w:rsid w:val="00B93EC8"/>
    <w:rsid w:val="00B94422"/>
    <w:rsid w:val="00B94604"/>
    <w:rsid w:val="00B94A70"/>
    <w:rsid w:val="00B94C8E"/>
    <w:rsid w:val="00B95288"/>
    <w:rsid w:val="00B952E3"/>
    <w:rsid w:val="00B956E6"/>
    <w:rsid w:val="00B95A7F"/>
    <w:rsid w:val="00B95D88"/>
    <w:rsid w:val="00B96346"/>
    <w:rsid w:val="00B96A13"/>
    <w:rsid w:val="00B96D04"/>
    <w:rsid w:val="00B96ED9"/>
    <w:rsid w:val="00B97008"/>
    <w:rsid w:val="00B971DD"/>
    <w:rsid w:val="00BA0290"/>
    <w:rsid w:val="00BA02C4"/>
    <w:rsid w:val="00BA05D8"/>
    <w:rsid w:val="00BA0761"/>
    <w:rsid w:val="00BA07E9"/>
    <w:rsid w:val="00BA19BB"/>
    <w:rsid w:val="00BA2E6C"/>
    <w:rsid w:val="00BA4181"/>
    <w:rsid w:val="00BA44C3"/>
    <w:rsid w:val="00BA475D"/>
    <w:rsid w:val="00BA4EA0"/>
    <w:rsid w:val="00BA4F67"/>
    <w:rsid w:val="00BA5CEB"/>
    <w:rsid w:val="00BA5DC6"/>
    <w:rsid w:val="00BA5F09"/>
    <w:rsid w:val="00BA6196"/>
    <w:rsid w:val="00BA62A9"/>
    <w:rsid w:val="00BA6A2F"/>
    <w:rsid w:val="00BA6B30"/>
    <w:rsid w:val="00BA6B58"/>
    <w:rsid w:val="00BB0307"/>
    <w:rsid w:val="00BB05F3"/>
    <w:rsid w:val="00BB0A4A"/>
    <w:rsid w:val="00BB0CDE"/>
    <w:rsid w:val="00BB1082"/>
    <w:rsid w:val="00BB1260"/>
    <w:rsid w:val="00BB1288"/>
    <w:rsid w:val="00BB169E"/>
    <w:rsid w:val="00BB1A36"/>
    <w:rsid w:val="00BB200D"/>
    <w:rsid w:val="00BB28DD"/>
    <w:rsid w:val="00BB2A99"/>
    <w:rsid w:val="00BB3029"/>
    <w:rsid w:val="00BB3FE9"/>
    <w:rsid w:val="00BB47B8"/>
    <w:rsid w:val="00BB4AFE"/>
    <w:rsid w:val="00BB5008"/>
    <w:rsid w:val="00BB50D6"/>
    <w:rsid w:val="00BB5AAE"/>
    <w:rsid w:val="00BB5AFB"/>
    <w:rsid w:val="00BB5B03"/>
    <w:rsid w:val="00BB5CF5"/>
    <w:rsid w:val="00BB6530"/>
    <w:rsid w:val="00BB6561"/>
    <w:rsid w:val="00BB6B1F"/>
    <w:rsid w:val="00BB6D90"/>
    <w:rsid w:val="00BB749B"/>
    <w:rsid w:val="00BB79EA"/>
    <w:rsid w:val="00BC0589"/>
    <w:rsid w:val="00BC0CC7"/>
    <w:rsid w:val="00BC161B"/>
    <w:rsid w:val="00BC2391"/>
    <w:rsid w:val="00BC2A1A"/>
    <w:rsid w:val="00BC2AF8"/>
    <w:rsid w:val="00BC340C"/>
    <w:rsid w:val="00BC34BB"/>
    <w:rsid w:val="00BC366C"/>
    <w:rsid w:val="00BC3914"/>
    <w:rsid w:val="00BC3FA4"/>
    <w:rsid w:val="00BC4834"/>
    <w:rsid w:val="00BC4FD2"/>
    <w:rsid w:val="00BC501B"/>
    <w:rsid w:val="00BC58EA"/>
    <w:rsid w:val="00BC6A4F"/>
    <w:rsid w:val="00BC6D8C"/>
    <w:rsid w:val="00BC6E27"/>
    <w:rsid w:val="00BC79E8"/>
    <w:rsid w:val="00BC7BA0"/>
    <w:rsid w:val="00BD02D7"/>
    <w:rsid w:val="00BD11FD"/>
    <w:rsid w:val="00BD2119"/>
    <w:rsid w:val="00BD2305"/>
    <w:rsid w:val="00BD24A3"/>
    <w:rsid w:val="00BD250D"/>
    <w:rsid w:val="00BD27FF"/>
    <w:rsid w:val="00BD2937"/>
    <w:rsid w:val="00BD29CF"/>
    <w:rsid w:val="00BD33B0"/>
    <w:rsid w:val="00BD3A1C"/>
    <w:rsid w:val="00BD4188"/>
    <w:rsid w:val="00BD47AB"/>
    <w:rsid w:val="00BD505D"/>
    <w:rsid w:val="00BD544D"/>
    <w:rsid w:val="00BD554F"/>
    <w:rsid w:val="00BD5B6C"/>
    <w:rsid w:val="00BD5F96"/>
    <w:rsid w:val="00BD6195"/>
    <w:rsid w:val="00BD6EAB"/>
    <w:rsid w:val="00BD706C"/>
    <w:rsid w:val="00BD717E"/>
    <w:rsid w:val="00BD75F1"/>
    <w:rsid w:val="00BD7F58"/>
    <w:rsid w:val="00BE0AFF"/>
    <w:rsid w:val="00BE1425"/>
    <w:rsid w:val="00BE16AB"/>
    <w:rsid w:val="00BE1BF0"/>
    <w:rsid w:val="00BE1F06"/>
    <w:rsid w:val="00BE2433"/>
    <w:rsid w:val="00BE28A1"/>
    <w:rsid w:val="00BE2EE3"/>
    <w:rsid w:val="00BE2F71"/>
    <w:rsid w:val="00BE2F98"/>
    <w:rsid w:val="00BE36C3"/>
    <w:rsid w:val="00BE3720"/>
    <w:rsid w:val="00BE3DE3"/>
    <w:rsid w:val="00BE45BC"/>
    <w:rsid w:val="00BE46BF"/>
    <w:rsid w:val="00BE4767"/>
    <w:rsid w:val="00BE4918"/>
    <w:rsid w:val="00BE4D35"/>
    <w:rsid w:val="00BE5CE0"/>
    <w:rsid w:val="00BE6745"/>
    <w:rsid w:val="00BE679F"/>
    <w:rsid w:val="00BE68B8"/>
    <w:rsid w:val="00BE6B8C"/>
    <w:rsid w:val="00BE6F12"/>
    <w:rsid w:val="00BE7249"/>
    <w:rsid w:val="00BE7CE9"/>
    <w:rsid w:val="00BE7F13"/>
    <w:rsid w:val="00BF04AA"/>
    <w:rsid w:val="00BF05D2"/>
    <w:rsid w:val="00BF06C2"/>
    <w:rsid w:val="00BF085B"/>
    <w:rsid w:val="00BF09F9"/>
    <w:rsid w:val="00BF0CEC"/>
    <w:rsid w:val="00BF1127"/>
    <w:rsid w:val="00BF1C9D"/>
    <w:rsid w:val="00BF2073"/>
    <w:rsid w:val="00BF2267"/>
    <w:rsid w:val="00BF229E"/>
    <w:rsid w:val="00BF2D33"/>
    <w:rsid w:val="00BF32F7"/>
    <w:rsid w:val="00BF3A62"/>
    <w:rsid w:val="00BF4537"/>
    <w:rsid w:val="00BF45FD"/>
    <w:rsid w:val="00BF4779"/>
    <w:rsid w:val="00BF4A61"/>
    <w:rsid w:val="00BF515D"/>
    <w:rsid w:val="00BF519A"/>
    <w:rsid w:val="00BF6161"/>
    <w:rsid w:val="00BF6482"/>
    <w:rsid w:val="00BF6903"/>
    <w:rsid w:val="00BF6EEC"/>
    <w:rsid w:val="00BF6F7F"/>
    <w:rsid w:val="00BF712F"/>
    <w:rsid w:val="00BF734D"/>
    <w:rsid w:val="00BF7911"/>
    <w:rsid w:val="00BF79E8"/>
    <w:rsid w:val="00BF7B53"/>
    <w:rsid w:val="00BF7EA0"/>
    <w:rsid w:val="00C00913"/>
    <w:rsid w:val="00C00A81"/>
    <w:rsid w:val="00C01370"/>
    <w:rsid w:val="00C0152C"/>
    <w:rsid w:val="00C01B50"/>
    <w:rsid w:val="00C01F8D"/>
    <w:rsid w:val="00C02846"/>
    <w:rsid w:val="00C02C8E"/>
    <w:rsid w:val="00C030B4"/>
    <w:rsid w:val="00C038C4"/>
    <w:rsid w:val="00C03A2C"/>
    <w:rsid w:val="00C03CF4"/>
    <w:rsid w:val="00C03E3B"/>
    <w:rsid w:val="00C04285"/>
    <w:rsid w:val="00C04EC5"/>
    <w:rsid w:val="00C05526"/>
    <w:rsid w:val="00C05935"/>
    <w:rsid w:val="00C05F72"/>
    <w:rsid w:val="00C0658D"/>
    <w:rsid w:val="00C069BF"/>
    <w:rsid w:val="00C07477"/>
    <w:rsid w:val="00C0768A"/>
    <w:rsid w:val="00C07F81"/>
    <w:rsid w:val="00C1034B"/>
    <w:rsid w:val="00C10BCA"/>
    <w:rsid w:val="00C11428"/>
    <w:rsid w:val="00C11A74"/>
    <w:rsid w:val="00C13B1E"/>
    <w:rsid w:val="00C14FB4"/>
    <w:rsid w:val="00C15741"/>
    <w:rsid w:val="00C159B1"/>
    <w:rsid w:val="00C160BC"/>
    <w:rsid w:val="00C164BE"/>
    <w:rsid w:val="00C164EA"/>
    <w:rsid w:val="00C16F42"/>
    <w:rsid w:val="00C17D91"/>
    <w:rsid w:val="00C17E8F"/>
    <w:rsid w:val="00C20448"/>
    <w:rsid w:val="00C209BD"/>
    <w:rsid w:val="00C227AF"/>
    <w:rsid w:val="00C22824"/>
    <w:rsid w:val="00C22E65"/>
    <w:rsid w:val="00C23BF1"/>
    <w:rsid w:val="00C24114"/>
    <w:rsid w:val="00C24353"/>
    <w:rsid w:val="00C24401"/>
    <w:rsid w:val="00C24983"/>
    <w:rsid w:val="00C25775"/>
    <w:rsid w:val="00C25785"/>
    <w:rsid w:val="00C26282"/>
    <w:rsid w:val="00C2638B"/>
    <w:rsid w:val="00C26734"/>
    <w:rsid w:val="00C267C6"/>
    <w:rsid w:val="00C26BC5"/>
    <w:rsid w:val="00C2767A"/>
    <w:rsid w:val="00C27883"/>
    <w:rsid w:val="00C305CF"/>
    <w:rsid w:val="00C30A74"/>
    <w:rsid w:val="00C30A88"/>
    <w:rsid w:val="00C30C0D"/>
    <w:rsid w:val="00C31383"/>
    <w:rsid w:val="00C316DB"/>
    <w:rsid w:val="00C31913"/>
    <w:rsid w:val="00C31B60"/>
    <w:rsid w:val="00C330A4"/>
    <w:rsid w:val="00C33B98"/>
    <w:rsid w:val="00C33BB6"/>
    <w:rsid w:val="00C34006"/>
    <w:rsid w:val="00C343AF"/>
    <w:rsid w:val="00C34430"/>
    <w:rsid w:val="00C34595"/>
    <w:rsid w:val="00C345DA"/>
    <w:rsid w:val="00C34B1B"/>
    <w:rsid w:val="00C34CC8"/>
    <w:rsid w:val="00C35690"/>
    <w:rsid w:val="00C36B4C"/>
    <w:rsid w:val="00C37B3A"/>
    <w:rsid w:val="00C40404"/>
    <w:rsid w:val="00C409AD"/>
    <w:rsid w:val="00C40A86"/>
    <w:rsid w:val="00C41282"/>
    <w:rsid w:val="00C4128C"/>
    <w:rsid w:val="00C412AE"/>
    <w:rsid w:val="00C41582"/>
    <w:rsid w:val="00C41B0C"/>
    <w:rsid w:val="00C41D51"/>
    <w:rsid w:val="00C426B1"/>
    <w:rsid w:val="00C42BDC"/>
    <w:rsid w:val="00C43914"/>
    <w:rsid w:val="00C43CDE"/>
    <w:rsid w:val="00C43CEE"/>
    <w:rsid w:val="00C43F51"/>
    <w:rsid w:val="00C4495B"/>
    <w:rsid w:val="00C44BF4"/>
    <w:rsid w:val="00C44E6C"/>
    <w:rsid w:val="00C44ECE"/>
    <w:rsid w:val="00C44FF5"/>
    <w:rsid w:val="00C450F5"/>
    <w:rsid w:val="00C452A7"/>
    <w:rsid w:val="00C452E4"/>
    <w:rsid w:val="00C4575D"/>
    <w:rsid w:val="00C45DE7"/>
    <w:rsid w:val="00C468A7"/>
    <w:rsid w:val="00C479F7"/>
    <w:rsid w:val="00C50035"/>
    <w:rsid w:val="00C5015C"/>
    <w:rsid w:val="00C502CD"/>
    <w:rsid w:val="00C50879"/>
    <w:rsid w:val="00C50C07"/>
    <w:rsid w:val="00C50FC2"/>
    <w:rsid w:val="00C514E0"/>
    <w:rsid w:val="00C5187E"/>
    <w:rsid w:val="00C5187F"/>
    <w:rsid w:val="00C5194D"/>
    <w:rsid w:val="00C51B47"/>
    <w:rsid w:val="00C51D4D"/>
    <w:rsid w:val="00C51DBA"/>
    <w:rsid w:val="00C51FDA"/>
    <w:rsid w:val="00C520FF"/>
    <w:rsid w:val="00C5210F"/>
    <w:rsid w:val="00C522B0"/>
    <w:rsid w:val="00C524BC"/>
    <w:rsid w:val="00C52FC7"/>
    <w:rsid w:val="00C53AD4"/>
    <w:rsid w:val="00C53BDC"/>
    <w:rsid w:val="00C53F83"/>
    <w:rsid w:val="00C54641"/>
    <w:rsid w:val="00C5470C"/>
    <w:rsid w:val="00C54C54"/>
    <w:rsid w:val="00C557D2"/>
    <w:rsid w:val="00C55AA9"/>
    <w:rsid w:val="00C55BB1"/>
    <w:rsid w:val="00C560DF"/>
    <w:rsid w:val="00C56277"/>
    <w:rsid w:val="00C5646C"/>
    <w:rsid w:val="00C56F07"/>
    <w:rsid w:val="00C577ED"/>
    <w:rsid w:val="00C57FD6"/>
    <w:rsid w:val="00C60918"/>
    <w:rsid w:val="00C61929"/>
    <w:rsid w:val="00C62266"/>
    <w:rsid w:val="00C623A4"/>
    <w:rsid w:val="00C629C7"/>
    <w:rsid w:val="00C62E34"/>
    <w:rsid w:val="00C64566"/>
    <w:rsid w:val="00C646E2"/>
    <w:rsid w:val="00C648D9"/>
    <w:rsid w:val="00C64DF2"/>
    <w:rsid w:val="00C64F67"/>
    <w:rsid w:val="00C6524A"/>
    <w:rsid w:val="00C65B63"/>
    <w:rsid w:val="00C660BE"/>
    <w:rsid w:val="00C66160"/>
    <w:rsid w:val="00C663DE"/>
    <w:rsid w:val="00C66BBD"/>
    <w:rsid w:val="00C6743A"/>
    <w:rsid w:val="00C6749A"/>
    <w:rsid w:val="00C67D97"/>
    <w:rsid w:val="00C70030"/>
    <w:rsid w:val="00C701F5"/>
    <w:rsid w:val="00C70297"/>
    <w:rsid w:val="00C7046C"/>
    <w:rsid w:val="00C7058A"/>
    <w:rsid w:val="00C70D70"/>
    <w:rsid w:val="00C70F0F"/>
    <w:rsid w:val="00C713FD"/>
    <w:rsid w:val="00C71A55"/>
    <w:rsid w:val="00C71A9F"/>
    <w:rsid w:val="00C71EEB"/>
    <w:rsid w:val="00C721AC"/>
    <w:rsid w:val="00C722DB"/>
    <w:rsid w:val="00C732B7"/>
    <w:rsid w:val="00C7340D"/>
    <w:rsid w:val="00C73697"/>
    <w:rsid w:val="00C7409A"/>
    <w:rsid w:val="00C74632"/>
    <w:rsid w:val="00C75C2F"/>
    <w:rsid w:val="00C75FAB"/>
    <w:rsid w:val="00C76881"/>
    <w:rsid w:val="00C76DB1"/>
    <w:rsid w:val="00C76F2A"/>
    <w:rsid w:val="00C77849"/>
    <w:rsid w:val="00C8031C"/>
    <w:rsid w:val="00C8058A"/>
    <w:rsid w:val="00C8077C"/>
    <w:rsid w:val="00C80941"/>
    <w:rsid w:val="00C8123C"/>
    <w:rsid w:val="00C813DA"/>
    <w:rsid w:val="00C8183C"/>
    <w:rsid w:val="00C81896"/>
    <w:rsid w:val="00C81F72"/>
    <w:rsid w:val="00C82868"/>
    <w:rsid w:val="00C82B89"/>
    <w:rsid w:val="00C83526"/>
    <w:rsid w:val="00C84567"/>
    <w:rsid w:val="00C84C9D"/>
    <w:rsid w:val="00C84D39"/>
    <w:rsid w:val="00C8517A"/>
    <w:rsid w:val="00C8698B"/>
    <w:rsid w:val="00C87347"/>
    <w:rsid w:val="00C87604"/>
    <w:rsid w:val="00C876C1"/>
    <w:rsid w:val="00C8797B"/>
    <w:rsid w:val="00C87B6E"/>
    <w:rsid w:val="00C90800"/>
    <w:rsid w:val="00C90A11"/>
    <w:rsid w:val="00C90D6A"/>
    <w:rsid w:val="00C91B1E"/>
    <w:rsid w:val="00C91F0D"/>
    <w:rsid w:val="00C93031"/>
    <w:rsid w:val="00C93EB7"/>
    <w:rsid w:val="00C93EE5"/>
    <w:rsid w:val="00C93FEF"/>
    <w:rsid w:val="00C94081"/>
    <w:rsid w:val="00C947FD"/>
    <w:rsid w:val="00C953B2"/>
    <w:rsid w:val="00C95BCF"/>
    <w:rsid w:val="00C95D3C"/>
    <w:rsid w:val="00C96ED4"/>
    <w:rsid w:val="00C970AF"/>
    <w:rsid w:val="00C970EE"/>
    <w:rsid w:val="00C97BB0"/>
    <w:rsid w:val="00CA0961"/>
    <w:rsid w:val="00CA0BA7"/>
    <w:rsid w:val="00CA0E0A"/>
    <w:rsid w:val="00CA0E1B"/>
    <w:rsid w:val="00CA121F"/>
    <w:rsid w:val="00CA1325"/>
    <w:rsid w:val="00CA247E"/>
    <w:rsid w:val="00CA26D7"/>
    <w:rsid w:val="00CA28D1"/>
    <w:rsid w:val="00CA28FB"/>
    <w:rsid w:val="00CA28FD"/>
    <w:rsid w:val="00CA2A6A"/>
    <w:rsid w:val="00CA2D73"/>
    <w:rsid w:val="00CA3089"/>
    <w:rsid w:val="00CA39A2"/>
    <w:rsid w:val="00CA3A38"/>
    <w:rsid w:val="00CA41B0"/>
    <w:rsid w:val="00CA426A"/>
    <w:rsid w:val="00CA4602"/>
    <w:rsid w:val="00CA463D"/>
    <w:rsid w:val="00CA4BCD"/>
    <w:rsid w:val="00CA53A3"/>
    <w:rsid w:val="00CA563A"/>
    <w:rsid w:val="00CA5E3D"/>
    <w:rsid w:val="00CA64F7"/>
    <w:rsid w:val="00CA6515"/>
    <w:rsid w:val="00CA68D9"/>
    <w:rsid w:val="00CA68ED"/>
    <w:rsid w:val="00CA6D21"/>
    <w:rsid w:val="00CA6DE2"/>
    <w:rsid w:val="00CA7079"/>
    <w:rsid w:val="00CA7CD3"/>
    <w:rsid w:val="00CB0B1D"/>
    <w:rsid w:val="00CB1723"/>
    <w:rsid w:val="00CB2ABB"/>
    <w:rsid w:val="00CB4E0C"/>
    <w:rsid w:val="00CB53B1"/>
    <w:rsid w:val="00CB54CD"/>
    <w:rsid w:val="00CB5523"/>
    <w:rsid w:val="00CB55BF"/>
    <w:rsid w:val="00CB56C2"/>
    <w:rsid w:val="00CB56E8"/>
    <w:rsid w:val="00CB5842"/>
    <w:rsid w:val="00CB6680"/>
    <w:rsid w:val="00CB6A19"/>
    <w:rsid w:val="00CB6C6E"/>
    <w:rsid w:val="00CB71A0"/>
    <w:rsid w:val="00CB7BCC"/>
    <w:rsid w:val="00CC02D7"/>
    <w:rsid w:val="00CC0442"/>
    <w:rsid w:val="00CC05BC"/>
    <w:rsid w:val="00CC0A28"/>
    <w:rsid w:val="00CC19E3"/>
    <w:rsid w:val="00CC1DFC"/>
    <w:rsid w:val="00CC1F6B"/>
    <w:rsid w:val="00CC292E"/>
    <w:rsid w:val="00CC2B92"/>
    <w:rsid w:val="00CC2C53"/>
    <w:rsid w:val="00CC2E21"/>
    <w:rsid w:val="00CC303C"/>
    <w:rsid w:val="00CC36D0"/>
    <w:rsid w:val="00CC3823"/>
    <w:rsid w:val="00CC3CD2"/>
    <w:rsid w:val="00CC4154"/>
    <w:rsid w:val="00CC45EB"/>
    <w:rsid w:val="00CC4786"/>
    <w:rsid w:val="00CC4F06"/>
    <w:rsid w:val="00CC4F45"/>
    <w:rsid w:val="00CC5807"/>
    <w:rsid w:val="00CC5A05"/>
    <w:rsid w:val="00CC5AB9"/>
    <w:rsid w:val="00CC6457"/>
    <w:rsid w:val="00CC6490"/>
    <w:rsid w:val="00CC67CD"/>
    <w:rsid w:val="00CC6DC8"/>
    <w:rsid w:val="00CC72B6"/>
    <w:rsid w:val="00CC7631"/>
    <w:rsid w:val="00CC7633"/>
    <w:rsid w:val="00CC78C8"/>
    <w:rsid w:val="00CC79ED"/>
    <w:rsid w:val="00CD00CD"/>
    <w:rsid w:val="00CD0474"/>
    <w:rsid w:val="00CD082D"/>
    <w:rsid w:val="00CD0B05"/>
    <w:rsid w:val="00CD0C15"/>
    <w:rsid w:val="00CD1A28"/>
    <w:rsid w:val="00CD1AE1"/>
    <w:rsid w:val="00CD2064"/>
    <w:rsid w:val="00CD2599"/>
    <w:rsid w:val="00CD29F1"/>
    <w:rsid w:val="00CD3075"/>
    <w:rsid w:val="00CD3104"/>
    <w:rsid w:val="00CD4B7C"/>
    <w:rsid w:val="00CD4C36"/>
    <w:rsid w:val="00CD4E7C"/>
    <w:rsid w:val="00CD528D"/>
    <w:rsid w:val="00CD534C"/>
    <w:rsid w:val="00CD586E"/>
    <w:rsid w:val="00CD6384"/>
    <w:rsid w:val="00CD6595"/>
    <w:rsid w:val="00CD68C9"/>
    <w:rsid w:val="00CD6EFB"/>
    <w:rsid w:val="00CD7602"/>
    <w:rsid w:val="00CD766D"/>
    <w:rsid w:val="00CD76F3"/>
    <w:rsid w:val="00CD7EF6"/>
    <w:rsid w:val="00CE0106"/>
    <w:rsid w:val="00CE0C11"/>
    <w:rsid w:val="00CE0DDA"/>
    <w:rsid w:val="00CE0FDB"/>
    <w:rsid w:val="00CE0FF4"/>
    <w:rsid w:val="00CE1115"/>
    <w:rsid w:val="00CE16F9"/>
    <w:rsid w:val="00CE1B7C"/>
    <w:rsid w:val="00CE1DE9"/>
    <w:rsid w:val="00CE25E9"/>
    <w:rsid w:val="00CE268B"/>
    <w:rsid w:val="00CE3B0D"/>
    <w:rsid w:val="00CE3CB1"/>
    <w:rsid w:val="00CE3DE6"/>
    <w:rsid w:val="00CE43AA"/>
    <w:rsid w:val="00CE6353"/>
    <w:rsid w:val="00CE6A1C"/>
    <w:rsid w:val="00CE78F2"/>
    <w:rsid w:val="00CE7B1B"/>
    <w:rsid w:val="00CF0244"/>
    <w:rsid w:val="00CF02E0"/>
    <w:rsid w:val="00CF0395"/>
    <w:rsid w:val="00CF0803"/>
    <w:rsid w:val="00CF08CC"/>
    <w:rsid w:val="00CF1269"/>
    <w:rsid w:val="00CF16FA"/>
    <w:rsid w:val="00CF1E35"/>
    <w:rsid w:val="00CF2AAD"/>
    <w:rsid w:val="00CF2B38"/>
    <w:rsid w:val="00CF2C86"/>
    <w:rsid w:val="00CF2C99"/>
    <w:rsid w:val="00CF2D4D"/>
    <w:rsid w:val="00CF32A9"/>
    <w:rsid w:val="00CF32F0"/>
    <w:rsid w:val="00CF3500"/>
    <w:rsid w:val="00CF4326"/>
    <w:rsid w:val="00CF4676"/>
    <w:rsid w:val="00CF4B96"/>
    <w:rsid w:val="00CF4E36"/>
    <w:rsid w:val="00CF5679"/>
    <w:rsid w:val="00CF6B35"/>
    <w:rsid w:val="00CF6B41"/>
    <w:rsid w:val="00D00D1C"/>
    <w:rsid w:val="00D01009"/>
    <w:rsid w:val="00D01358"/>
    <w:rsid w:val="00D01698"/>
    <w:rsid w:val="00D01C65"/>
    <w:rsid w:val="00D0218D"/>
    <w:rsid w:val="00D021CB"/>
    <w:rsid w:val="00D033BB"/>
    <w:rsid w:val="00D033F8"/>
    <w:rsid w:val="00D03846"/>
    <w:rsid w:val="00D046C3"/>
    <w:rsid w:val="00D04AAE"/>
    <w:rsid w:val="00D04E85"/>
    <w:rsid w:val="00D04F51"/>
    <w:rsid w:val="00D051F9"/>
    <w:rsid w:val="00D0523D"/>
    <w:rsid w:val="00D057BB"/>
    <w:rsid w:val="00D058B8"/>
    <w:rsid w:val="00D05AB4"/>
    <w:rsid w:val="00D05C29"/>
    <w:rsid w:val="00D06920"/>
    <w:rsid w:val="00D069F8"/>
    <w:rsid w:val="00D071FA"/>
    <w:rsid w:val="00D07457"/>
    <w:rsid w:val="00D0791E"/>
    <w:rsid w:val="00D07A9C"/>
    <w:rsid w:val="00D07CD1"/>
    <w:rsid w:val="00D102E1"/>
    <w:rsid w:val="00D109F6"/>
    <w:rsid w:val="00D10A92"/>
    <w:rsid w:val="00D10FE6"/>
    <w:rsid w:val="00D11216"/>
    <w:rsid w:val="00D11222"/>
    <w:rsid w:val="00D11A9E"/>
    <w:rsid w:val="00D1220B"/>
    <w:rsid w:val="00D12770"/>
    <w:rsid w:val="00D12807"/>
    <w:rsid w:val="00D12A4D"/>
    <w:rsid w:val="00D12F64"/>
    <w:rsid w:val="00D144FE"/>
    <w:rsid w:val="00D14FF4"/>
    <w:rsid w:val="00D1652B"/>
    <w:rsid w:val="00D167C7"/>
    <w:rsid w:val="00D16BB3"/>
    <w:rsid w:val="00D16F19"/>
    <w:rsid w:val="00D17CA9"/>
    <w:rsid w:val="00D17CF3"/>
    <w:rsid w:val="00D200ED"/>
    <w:rsid w:val="00D202A8"/>
    <w:rsid w:val="00D212A7"/>
    <w:rsid w:val="00D22E82"/>
    <w:rsid w:val="00D2315D"/>
    <w:rsid w:val="00D234FD"/>
    <w:rsid w:val="00D237B1"/>
    <w:rsid w:val="00D246D8"/>
    <w:rsid w:val="00D25FB5"/>
    <w:rsid w:val="00D272E0"/>
    <w:rsid w:val="00D274C6"/>
    <w:rsid w:val="00D30200"/>
    <w:rsid w:val="00D30DBE"/>
    <w:rsid w:val="00D30ED0"/>
    <w:rsid w:val="00D31041"/>
    <w:rsid w:val="00D310AA"/>
    <w:rsid w:val="00D31415"/>
    <w:rsid w:val="00D31616"/>
    <w:rsid w:val="00D31C1B"/>
    <w:rsid w:val="00D321DD"/>
    <w:rsid w:val="00D325E2"/>
    <w:rsid w:val="00D32A98"/>
    <w:rsid w:val="00D32F98"/>
    <w:rsid w:val="00D3300B"/>
    <w:rsid w:val="00D33D04"/>
    <w:rsid w:val="00D341C9"/>
    <w:rsid w:val="00D34375"/>
    <w:rsid w:val="00D34CFA"/>
    <w:rsid w:val="00D35C7D"/>
    <w:rsid w:val="00D36611"/>
    <w:rsid w:val="00D36B73"/>
    <w:rsid w:val="00D36BE9"/>
    <w:rsid w:val="00D36C07"/>
    <w:rsid w:val="00D36D97"/>
    <w:rsid w:val="00D3703C"/>
    <w:rsid w:val="00D37634"/>
    <w:rsid w:val="00D37B0A"/>
    <w:rsid w:val="00D37F72"/>
    <w:rsid w:val="00D40321"/>
    <w:rsid w:val="00D405D0"/>
    <w:rsid w:val="00D408BB"/>
    <w:rsid w:val="00D4090A"/>
    <w:rsid w:val="00D40A1E"/>
    <w:rsid w:val="00D41175"/>
    <w:rsid w:val="00D4189C"/>
    <w:rsid w:val="00D41F19"/>
    <w:rsid w:val="00D425B1"/>
    <w:rsid w:val="00D436EF"/>
    <w:rsid w:val="00D43824"/>
    <w:rsid w:val="00D43C9F"/>
    <w:rsid w:val="00D43CB6"/>
    <w:rsid w:val="00D43DD2"/>
    <w:rsid w:val="00D43DDC"/>
    <w:rsid w:val="00D43F03"/>
    <w:rsid w:val="00D43FBE"/>
    <w:rsid w:val="00D44223"/>
    <w:rsid w:val="00D443BD"/>
    <w:rsid w:val="00D44D5E"/>
    <w:rsid w:val="00D44D92"/>
    <w:rsid w:val="00D451A0"/>
    <w:rsid w:val="00D45C80"/>
    <w:rsid w:val="00D4622C"/>
    <w:rsid w:val="00D463C0"/>
    <w:rsid w:val="00D46C84"/>
    <w:rsid w:val="00D47E0D"/>
    <w:rsid w:val="00D500D6"/>
    <w:rsid w:val="00D50347"/>
    <w:rsid w:val="00D507A6"/>
    <w:rsid w:val="00D510EF"/>
    <w:rsid w:val="00D515CF"/>
    <w:rsid w:val="00D51651"/>
    <w:rsid w:val="00D51867"/>
    <w:rsid w:val="00D5199C"/>
    <w:rsid w:val="00D51CFF"/>
    <w:rsid w:val="00D51DAC"/>
    <w:rsid w:val="00D51E70"/>
    <w:rsid w:val="00D521CE"/>
    <w:rsid w:val="00D522D0"/>
    <w:rsid w:val="00D535DD"/>
    <w:rsid w:val="00D536D8"/>
    <w:rsid w:val="00D53720"/>
    <w:rsid w:val="00D537BC"/>
    <w:rsid w:val="00D53A55"/>
    <w:rsid w:val="00D54331"/>
    <w:rsid w:val="00D547C6"/>
    <w:rsid w:val="00D5485C"/>
    <w:rsid w:val="00D54989"/>
    <w:rsid w:val="00D54B39"/>
    <w:rsid w:val="00D55174"/>
    <w:rsid w:val="00D5663B"/>
    <w:rsid w:val="00D57359"/>
    <w:rsid w:val="00D57C8F"/>
    <w:rsid w:val="00D60924"/>
    <w:rsid w:val="00D63678"/>
    <w:rsid w:val="00D63985"/>
    <w:rsid w:val="00D63BBF"/>
    <w:rsid w:val="00D63D19"/>
    <w:rsid w:val="00D63F2B"/>
    <w:rsid w:val="00D63F97"/>
    <w:rsid w:val="00D647C0"/>
    <w:rsid w:val="00D6668A"/>
    <w:rsid w:val="00D667BB"/>
    <w:rsid w:val="00D66D0D"/>
    <w:rsid w:val="00D67460"/>
    <w:rsid w:val="00D677CC"/>
    <w:rsid w:val="00D679E2"/>
    <w:rsid w:val="00D70409"/>
    <w:rsid w:val="00D70CCF"/>
    <w:rsid w:val="00D71320"/>
    <w:rsid w:val="00D71474"/>
    <w:rsid w:val="00D7155D"/>
    <w:rsid w:val="00D72004"/>
    <w:rsid w:val="00D724BE"/>
    <w:rsid w:val="00D73983"/>
    <w:rsid w:val="00D741D0"/>
    <w:rsid w:val="00D746B1"/>
    <w:rsid w:val="00D75D6C"/>
    <w:rsid w:val="00D75E77"/>
    <w:rsid w:val="00D76A6C"/>
    <w:rsid w:val="00D76F4A"/>
    <w:rsid w:val="00D80072"/>
    <w:rsid w:val="00D8065D"/>
    <w:rsid w:val="00D808EF"/>
    <w:rsid w:val="00D80BBC"/>
    <w:rsid w:val="00D80D9E"/>
    <w:rsid w:val="00D81B2A"/>
    <w:rsid w:val="00D820BD"/>
    <w:rsid w:val="00D8216E"/>
    <w:rsid w:val="00D82978"/>
    <w:rsid w:val="00D83507"/>
    <w:rsid w:val="00D83924"/>
    <w:rsid w:val="00D839AF"/>
    <w:rsid w:val="00D84D56"/>
    <w:rsid w:val="00D8504E"/>
    <w:rsid w:val="00D85BEF"/>
    <w:rsid w:val="00D85CA5"/>
    <w:rsid w:val="00D86221"/>
    <w:rsid w:val="00D86590"/>
    <w:rsid w:val="00D86613"/>
    <w:rsid w:val="00D86AF2"/>
    <w:rsid w:val="00D875FB"/>
    <w:rsid w:val="00D876E0"/>
    <w:rsid w:val="00D87716"/>
    <w:rsid w:val="00D87903"/>
    <w:rsid w:val="00D879C5"/>
    <w:rsid w:val="00D87AB3"/>
    <w:rsid w:val="00D902C8"/>
    <w:rsid w:val="00D90D88"/>
    <w:rsid w:val="00D9198C"/>
    <w:rsid w:val="00D91B6B"/>
    <w:rsid w:val="00D91CC9"/>
    <w:rsid w:val="00D92123"/>
    <w:rsid w:val="00D923DD"/>
    <w:rsid w:val="00D92E50"/>
    <w:rsid w:val="00D9428F"/>
    <w:rsid w:val="00D9484C"/>
    <w:rsid w:val="00D9615B"/>
    <w:rsid w:val="00D967C5"/>
    <w:rsid w:val="00D97958"/>
    <w:rsid w:val="00DA0215"/>
    <w:rsid w:val="00DA0292"/>
    <w:rsid w:val="00DA1528"/>
    <w:rsid w:val="00DA17B4"/>
    <w:rsid w:val="00DA2529"/>
    <w:rsid w:val="00DA2946"/>
    <w:rsid w:val="00DA2FA2"/>
    <w:rsid w:val="00DA3AC1"/>
    <w:rsid w:val="00DA3DD7"/>
    <w:rsid w:val="00DA48AA"/>
    <w:rsid w:val="00DA49BE"/>
    <w:rsid w:val="00DA4A20"/>
    <w:rsid w:val="00DA4CFC"/>
    <w:rsid w:val="00DA511C"/>
    <w:rsid w:val="00DA5330"/>
    <w:rsid w:val="00DA5421"/>
    <w:rsid w:val="00DA5901"/>
    <w:rsid w:val="00DA5A86"/>
    <w:rsid w:val="00DA64EC"/>
    <w:rsid w:val="00DA68D0"/>
    <w:rsid w:val="00DA70AE"/>
    <w:rsid w:val="00DA7D80"/>
    <w:rsid w:val="00DB02F8"/>
    <w:rsid w:val="00DB12BB"/>
    <w:rsid w:val="00DB130A"/>
    <w:rsid w:val="00DB14E0"/>
    <w:rsid w:val="00DB1BD7"/>
    <w:rsid w:val="00DB2EBA"/>
    <w:rsid w:val="00DB2EBB"/>
    <w:rsid w:val="00DB3301"/>
    <w:rsid w:val="00DB3794"/>
    <w:rsid w:val="00DB3C5E"/>
    <w:rsid w:val="00DB4288"/>
    <w:rsid w:val="00DB4309"/>
    <w:rsid w:val="00DB4318"/>
    <w:rsid w:val="00DB4564"/>
    <w:rsid w:val="00DB4905"/>
    <w:rsid w:val="00DB4BE9"/>
    <w:rsid w:val="00DB4CC4"/>
    <w:rsid w:val="00DB5037"/>
    <w:rsid w:val="00DB550A"/>
    <w:rsid w:val="00DB5560"/>
    <w:rsid w:val="00DB5C0B"/>
    <w:rsid w:val="00DB665E"/>
    <w:rsid w:val="00DB7421"/>
    <w:rsid w:val="00DB7904"/>
    <w:rsid w:val="00DB79B1"/>
    <w:rsid w:val="00DC0048"/>
    <w:rsid w:val="00DC085D"/>
    <w:rsid w:val="00DC10A1"/>
    <w:rsid w:val="00DC17C0"/>
    <w:rsid w:val="00DC1E56"/>
    <w:rsid w:val="00DC1F54"/>
    <w:rsid w:val="00DC2297"/>
    <w:rsid w:val="00DC3661"/>
    <w:rsid w:val="00DC4330"/>
    <w:rsid w:val="00DC4366"/>
    <w:rsid w:val="00DC477D"/>
    <w:rsid w:val="00DC5520"/>
    <w:rsid w:val="00DC5AB0"/>
    <w:rsid w:val="00DC655F"/>
    <w:rsid w:val="00DC6A70"/>
    <w:rsid w:val="00DC6D44"/>
    <w:rsid w:val="00DC6E19"/>
    <w:rsid w:val="00DC720C"/>
    <w:rsid w:val="00DD0198"/>
    <w:rsid w:val="00DD06E1"/>
    <w:rsid w:val="00DD0B59"/>
    <w:rsid w:val="00DD0D4E"/>
    <w:rsid w:val="00DD1204"/>
    <w:rsid w:val="00DD1B3E"/>
    <w:rsid w:val="00DD1FAF"/>
    <w:rsid w:val="00DD21BE"/>
    <w:rsid w:val="00DD2999"/>
    <w:rsid w:val="00DD3153"/>
    <w:rsid w:val="00DD3829"/>
    <w:rsid w:val="00DD3AE3"/>
    <w:rsid w:val="00DD44BC"/>
    <w:rsid w:val="00DD661B"/>
    <w:rsid w:val="00DD6662"/>
    <w:rsid w:val="00DD67BE"/>
    <w:rsid w:val="00DD6A11"/>
    <w:rsid w:val="00DD6F7F"/>
    <w:rsid w:val="00DD7EBD"/>
    <w:rsid w:val="00DE08D5"/>
    <w:rsid w:val="00DE0B14"/>
    <w:rsid w:val="00DE0D7C"/>
    <w:rsid w:val="00DE0DCA"/>
    <w:rsid w:val="00DE0E40"/>
    <w:rsid w:val="00DE10E9"/>
    <w:rsid w:val="00DE1531"/>
    <w:rsid w:val="00DE191B"/>
    <w:rsid w:val="00DE22D6"/>
    <w:rsid w:val="00DE24FD"/>
    <w:rsid w:val="00DE2B9E"/>
    <w:rsid w:val="00DE2CDC"/>
    <w:rsid w:val="00DE4E8E"/>
    <w:rsid w:val="00DE5555"/>
    <w:rsid w:val="00DE583D"/>
    <w:rsid w:val="00DE590D"/>
    <w:rsid w:val="00DE5C7B"/>
    <w:rsid w:val="00DE5D2A"/>
    <w:rsid w:val="00DE5DD9"/>
    <w:rsid w:val="00DE6749"/>
    <w:rsid w:val="00DE7492"/>
    <w:rsid w:val="00DF0545"/>
    <w:rsid w:val="00DF0B66"/>
    <w:rsid w:val="00DF10B7"/>
    <w:rsid w:val="00DF11E4"/>
    <w:rsid w:val="00DF1A47"/>
    <w:rsid w:val="00DF2805"/>
    <w:rsid w:val="00DF30AD"/>
    <w:rsid w:val="00DF3125"/>
    <w:rsid w:val="00DF36B0"/>
    <w:rsid w:val="00DF3D51"/>
    <w:rsid w:val="00DF40F5"/>
    <w:rsid w:val="00DF4294"/>
    <w:rsid w:val="00DF44F4"/>
    <w:rsid w:val="00DF5E86"/>
    <w:rsid w:val="00DF62B6"/>
    <w:rsid w:val="00DF687E"/>
    <w:rsid w:val="00DF6975"/>
    <w:rsid w:val="00DF6ADD"/>
    <w:rsid w:val="00DF6B3B"/>
    <w:rsid w:val="00DF71A2"/>
    <w:rsid w:val="00DF72FC"/>
    <w:rsid w:val="00DF7792"/>
    <w:rsid w:val="00E0043F"/>
    <w:rsid w:val="00E007FA"/>
    <w:rsid w:val="00E00A03"/>
    <w:rsid w:val="00E01113"/>
    <w:rsid w:val="00E016BA"/>
    <w:rsid w:val="00E01762"/>
    <w:rsid w:val="00E01A24"/>
    <w:rsid w:val="00E01D4A"/>
    <w:rsid w:val="00E02510"/>
    <w:rsid w:val="00E026F3"/>
    <w:rsid w:val="00E02C4B"/>
    <w:rsid w:val="00E03620"/>
    <w:rsid w:val="00E03ABA"/>
    <w:rsid w:val="00E03B7B"/>
    <w:rsid w:val="00E049BC"/>
    <w:rsid w:val="00E049D5"/>
    <w:rsid w:val="00E05BD9"/>
    <w:rsid w:val="00E05D35"/>
    <w:rsid w:val="00E0623B"/>
    <w:rsid w:val="00E062F4"/>
    <w:rsid w:val="00E07225"/>
    <w:rsid w:val="00E07A33"/>
    <w:rsid w:val="00E07E70"/>
    <w:rsid w:val="00E11477"/>
    <w:rsid w:val="00E119B2"/>
    <w:rsid w:val="00E121B3"/>
    <w:rsid w:val="00E12210"/>
    <w:rsid w:val="00E12CAB"/>
    <w:rsid w:val="00E12DCB"/>
    <w:rsid w:val="00E132C8"/>
    <w:rsid w:val="00E133EA"/>
    <w:rsid w:val="00E13511"/>
    <w:rsid w:val="00E145A3"/>
    <w:rsid w:val="00E14AE9"/>
    <w:rsid w:val="00E14B85"/>
    <w:rsid w:val="00E14D70"/>
    <w:rsid w:val="00E15288"/>
    <w:rsid w:val="00E152F5"/>
    <w:rsid w:val="00E16127"/>
    <w:rsid w:val="00E16ADA"/>
    <w:rsid w:val="00E16E0C"/>
    <w:rsid w:val="00E16E77"/>
    <w:rsid w:val="00E16EA4"/>
    <w:rsid w:val="00E176B0"/>
    <w:rsid w:val="00E17A1F"/>
    <w:rsid w:val="00E17DB3"/>
    <w:rsid w:val="00E2032D"/>
    <w:rsid w:val="00E20CB5"/>
    <w:rsid w:val="00E20E4C"/>
    <w:rsid w:val="00E2121E"/>
    <w:rsid w:val="00E2291D"/>
    <w:rsid w:val="00E22C16"/>
    <w:rsid w:val="00E22EEF"/>
    <w:rsid w:val="00E23361"/>
    <w:rsid w:val="00E233D7"/>
    <w:rsid w:val="00E2387A"/>
    <w:rsid w:val="00E23D45"/>
    <w:rsid w:val="00E23E03"/>
    <w:rsid w:val="00E23E18"/>
    <w:rsid w:val="00E24043"/>
    <w:rsid w:val="00E24A48"/>
    <w:rsid w:val="00E25626"/>
    <w:rsid w:val="00E25BF0"/>
    <w:rsid w:val="00E26481"/>
    <w:rsid w:val="00E2742E"/>
    <w:rsid w:val="00E27709"/>
    <w:rsid w:val="00E27CB6"/>
    <w:rsid w:val="00E27F4D"/>
    <w:rsid w:val="00E3105E"/>
    <w:rsid w:val="00E314CB"/>
    <w:rsid w:val="00E32011"/>
    <w:rsid w:val="00E3239C"/>
    <w:rsid w:val="00E3247E"/>
    <w:rsid w:val="00E33311"/>
    <w:rsid w:val="00E33635"/>
    <w:rsid w:val="00E33C9F"/>
    <w:rsid w:val="00E3474C"/>
    <w:rsid w:val="00E347B3"/>
    <w:rsid w:val="00E34B8B"/>
    <w:rsid w:val="00E361AD"/>
    <w:rsid w:val="00E363D4"/>
    <w:rsid w:val="00E364FA"/>
    <w:rsid w:val="00E3751D"/>
    <w:rsid w:val="00E4063E"/>
    <w:rsid w:val="00E40803"/>
    <w:rsid w:val="00E411ED"/>
    <w:rsid w:val="00E41808"/>
    <w:rsid w:val="00E41A7B"/>
    <w:rsid w:val="00E421B2"/>
    <w:rsid w:val="00E44332"/>
    <w:rsid w:val="00E449E7"/>
    <w:rsid w:val="00E44ECB"/>
    <w:rsid w:val="00E451C2"/>
    <w:rsid w:val="00E459B2"/>
    <w:rsid w:val="00E45B1C"/>
    <w:rsid w:val="00E45B46"/>
    <w:rsid w:val="00E45F84"/>
    <w:rsid w:val="00E47750"/>
    <w:rsid w:val="00E47787"/>
    <w:rsid w:val="00E47A17"/>
    <w:rsid w:val="00E47BCC"/>
    <w:rsid w:val="00E47D53"/>
    <w:rsid w:val="00E5047D"/>
    <w:rsid w:val="00E504B8"/>
    <w:rsid w:val="00E50973"/>
    <w:rsid w:val="00E509CE"/>
    <w:rsid w:val="00E50F6A"/>
    <w:rsid w:val="00E51678"/>
    <w:rsid w:val="00E519D8"/>
    <w:rsid w:val="00E521FE"/>
    <w:rsid w:val="00E522B8"/>
    <w:rsid w:val="00E524FE"/>
    <w:rsid w:val="00E531B9"/>
    <w:rsid w:val="00E536ED"/>
    <w:rsid w:val="00E5409F"/>
    <w:rsid w:val="00E54110"/>
    <w:rsid w:val="00E5486A"/>
    <w:rsid w:val="00E559A4"/>
    <w:rsid w:val="00E55DC7"/>
    <w:rsid w:val="00E56603"/>
    <w:rsid w:val="00E56733"/>
    <w:rsid w:val="00E56955"/>
    <w:rsid w:val="00E56AC4"/>
    <w:rsid w:val="00E57624"/>
    <w:rsid w:val="00E576A8"/>
    <w:rsid w:val="00E57860"/>
    <w:rsid w:val="00E5793D"/>
    <w:rsid w:val="00E57D82"/>
    <w:rsid w:val="00E6086A"/>
    <w:rsid w:val="00E60B27"/>
    <w:rsid w:val="00E60E26"/>
    <w:rsid w:val="00E60F03"/>
    <w:rsid w:val="00E613DA"/>
    <w:rsid w:val="00E6142A"/>
    <w:rsid w:val="00E616D5"/>
    <w:rsid w:val="00E61786"/>
    <w:rsid w:val="00E6187C"/>
    <w:rsid w:val="00E618AE"/>
    <w:rsid w:val="00E618B5"/>
    <w:rsid w:val="00E6199D"/>
    <w:rsid w:val="00E61BC4"/>
    <w:rsid w:val="00E61E33"/>
    <w:rsid w:val="00E6250F"/>
    <w:rsid w:val="00E626C9"/>
    <w:rsid w:val="00E630F8"/>
    <w:rsid w:val="00E63AE4"/>
    <w:rsid w:val="00E63D81"/>
    <w:rsid w:val="00E63F8D"/>
    <w:rsid w:val="00E649B8"/>
    <w:rsid w:val="00E64A39"/>
    <w:rsid w:val="00E657E1"/>
    <w:rsid w:val="00E65B00"/>
    <w:rsid w:val="00E65C66"/>
    <w:rsid w:val="00E67023"/>
    <w:rsid w:val="00E673C1"/>
    <w:rsid w:val="00E6740A"/>
    <w:rsid w:val="00E6749B"/>
    <w:rsid w:val="00E67E41"/>
    <w:rsid w:val="00E70002"/>
    <w:rsid w:val="00E70BDA"/>
    <w:rsid w:val="00E713D3"/>
    <w:rsid w:val="00E7165C"/>
    <w:rsid w:val="00E71692"/>
    <w:rsid w:val="00E71BBB"/>
    <w:rsid w:val="00E71FBF"/>
    <w:rsid w:val="00E71FC3"/>
    <w:rsid w:val="00E72398"/>
    <w:rsid w:val="00E72456"/>
    <w:rsid w:val="00E72540"/>
    <w:rsid w:val="00E72E7E"/>
    <w:rsid w:val="00E7356E"/>
    <w:rsid w:val="00E74241"/>
    <w:rsid w:val="00E74259"/>
    <w:rsid w:val="00E74703"/>
    <w:rsid w:val="00E7485D"/>
    <w:rsid w:val="00E75834"/>
    <w:rsid w:val="00E758E8"/>
    <w:rsid w:val="00E7638C"/>
    <w:rsid w:val="00E76853"/>
    <w:rsid w:val="00E76A30"/>
    <w:rsid w:val="00E77B08"/>
    <w:rsid w:val="00E77B39"/>
    <w:rsid w:val="00E77E94"/>
    <w:rsid w:val="00E80023"/>
    <w:rsid w:val="00E80401"/>
    <w:rsid w:val="00E8051F"/>
    <w:rsid w:val="00E808F1"/>
    <w:rsid w:val="00E81EE4"/>
    <w:rsid w:val="00E82E23"/>
    <w:rsid w:val="00E835E8"/>
    <w:rsid w:val="00E839E2"/>
    <w:rsid w:val="00E83B25"/>
    <w:rsid w:val="00E83E51"/>
    <w:rsid w:val="00E84967"/>
    <w:rsid w:val="00E84C3C"/>
    <w:rsid w:val="00E84F90"/>
    <w:rsid w:val="00E85021"/>
    <w:rsid w:val="00E85479"/>
    <w:rsid w:val="00E85BD8"/>
    <w:rsid w:val="00E85DBD"/>
    <w:rsid w:val="00E85E13"/>
    <w:rsid w:val="00E85E79"/>
    <w:rsid w:val="00E865C3"/>
    <w:rsid w:val="00E866ED"/>
    <w:rsid w:val="00E86928"/>
    <w:rsid w:val="00E86ADD"/>
    <w:rsid w:val="00E87765"/>
    <w:rsid w:val="00E9101D"/>
    <w:rsid w:val="00E9114C"/>
    <w:rsid w:val="00E912CD"/>
    <w:rsid w:val="00E912FF"/>
    <w:rsid w:val="00E91574"/>
    <w:rsid w:val="00E91C71"/>
    <w:rsid w:val="00E91D95"/>
    <w:rsid w:val="00E93819"/>
    <w:rsid w:val="00E939B8"/>
    <w:rsid w:val="00E94E37"/>
    <w:rsid w:val="00E94E73"/>
    <w:rsid w:val="00E951A6"/>
    <w:rsid w:val="00E95712"/>
    <w:rsid w:val="00E97057"/>
    <w:rsid w:val="00E97708"/>
    <w:rsid w:val="00E9770C"/>
    <w:rsid w:val="00E978BC"/>
    <w:rsid w:val="00EA08E9"/>
    <w:rsid w:val="00EA1221"/>
    <w:rsid w:val="00EA1299"/>
    <w:rsid w:val="00EA16F0"/>
    <w:rsid w:val="00EA1F99"/>
    <w:rsid w:val="00EA2116"/>
    <w:rsid w:val="00EA2163"/>
    <w:rsid w:val="00EA28F9"/>
    <w:rsid w:val="00EA2960"/>
    <w:rsid w:val="00EA2F64"/>
    <w:rsid w:val="00EA3351"/>
    <w:rsid w:val="00EA3627"/>
    <w:rsid w:val="00EA377B"/>
    <w:rsid w:val="00EA3BD6"/>
    <w:rsid w:val="00EA3D55"/>
    <w:rsid w:val="00EA3E72"/>
    <w:rsid w:val="00EA4056"/>
    <w:rsid w:val="00EA479E"/>
    <w:rsid w:val="00EA4A71"/>
    <w:rsid w:val="00EA52B5"/>
    <w:rsid w:val="00EA5CD3"/>
    <w:rsid w:val="00EA5D99"/>
    <w:rsid w:val="00EA62ED"/>
    <w:rsid w:val="00EA6377"/>
    <w:rsid w:val="00EA67BC"/>
    <w:rsid w:val="00EA68DF"/>
    <w:rsid w:val="00EA6DF5"/>
    <w:rsid w:val="00EA6ED4"/>
    <w:rsid w:val="00EA6FB9"/>
    <w:rsid w:val="00EA7667"/>
    <w:rsid w:val="00EA7989"/>
    <w:rsid w:val="00EB17A5"/>
    <w:rsid w:val="00EB1D9E"/>
    <w:rsid w:val="00EB1DB6"/>
    <w:rsid w:val="00EB1E9D"/>
    <w:rsid w:val="00EB1F59"/>
    <w:rsid w:val="00EB2008"/>
    <w:rsid w:val="00EB2212"/>
    <w:rsid w:val="00EB273E"/>
    <w:rsid w:val="00EB2A13"/>
    <w:rsid w:val="00EB303C"/>
    <w:rsid w:val="00EB36D8"/>
    <w:rsid w:val="00EB394D"/>
    <w:rsid w:val="00EB3C71"/>
    <w:rsid w:val="00EB4A20"/>
    <w:rsid w:val="00EB5240"/>
    <w:rsid w:val="00EB5827"/>
    <w:rsid w:val="00EB5B94"/>
    <w:rsid w:val="00EB5C51"/>
    <w:rsid w:val="00EB5D25"/>
    <w:rsid w:val="00EB640A"/>
    <w:rsid w:val="00EB69AF"/>
    <w:rsid w:val="00EB6D81"/>
    <w:rsid w:val="00EB6EFB"/>
    <w:rsid w:val="00EB7628"/>
    <w:rsid w:val="00EB77A4"/>
    <w:rsid w:val="00EB7A17"/>
    <w:rsid w:val="00EC05CC"/>
    <w:rsid w:val="00EC0721"/>
    <w:rsid w:val="00EC0B30"/>
    <w:rsid w:val="00EC13F8"/>
    <w:rsid w:val="00EC1462"/>
    <w:rsid w:val="00EC1B0D"/>
    <w:rsid w:val="00EC1C62"/>
    <w:rsid w:val="00EC20CB"/>
    <w:rsid w:val="00EC294D"/>
    <w:rsid w:val="00EC29FB"/>
    <w:rsid w:val="00EC3055"/>
    <w:rsid w:val="00EC34C4"/>
    <w:rsid w:val="00EC35C7"/>
    <w:rsid w:val="00EC3851"/>
    <w:rsid w:val="00EC3EC3"/>
    <w:rsid w:val="00EC3F90"/>
    <w:rsid w:val="00EC4CF7"/>
    <w:rsid w:val="00EC52B3"/>
    <w:rsid w:val="00EC5389"/>
    <w:rsid w:val="00EC5536"/>
    <w:rsid w:val="00EC695C"/>
    <w:rsid w:val="00EC72CF"/>
    <w:rsid w:val="00EC7C44"/>
    <w:rsid w:val="00EC7E34"/>
    <w:rsid w:val="00ED083A"/>
    <w:rsid w:val="00ED1466"/>
    <w:rsid w:val="00ED18EE"/>
    <w:rsid w:val="00ED24D3"/>
    <w:rsid w:val="00ED2FF3"/>
    <w:rsid w:val="00ED30D4"/>
    <w:rsid w:val="00ED3126"/>
    <w:rsid w:val="00ED3935"/>
    <w:rsid w:val="00ED3B11"/>
    <w:rsid w:val="00ED3BAE"/>
    <w:rsid w:val="00ED3BCD"/>
    <w:rsid w:val="00ED3F7A"/>
    <w:rsid w:val="00ED434E"/>
    <w:rsid w:val="00ED4544"/>
    <w:rsid w:val="00ED462E"/>
    <w:rsid w:val="00ED4A22"/>
    <w:rsid w:val="00ED4FCA"/>
    <w:rsid w:val="00ED5BF1"/>
    <w:rsid w:val="00ED6D61"/>
    <w:rsid w:val="00ED71AD"/>
    <w:rsid w:val="00ED71FE"/>
    <w:rsid w:val="00ED773B"/>
    <w:rsid w:val="00ED7D0B"/>
    <w:rsid w:val="00EE0A32"/>
    <w:rsid w:val="00EE1276"/>
    <w:rsid w:val="00EE1C3F"/>
    <w:rsid w:val="00EE2409"/>
    <w:rsid w:val="00EE256C"/>
    <w:rsid w:val="00EE2C8D"/>
    <w:rsid w:val="00EE2D2F"/>
    <w:rsid w:val="00EE2DB2"/>
    <w:rsid w:val="00EE37C2"/>
    <w:rsid w:val="00EE3B04"/>
    <w:rsid w:val="00EE41CE"/>
    <w:rsid w:val="00EE4370"/>
    <w:rsid w:val="00EE4FF3"/>
    <w:rsid w:val="00EE5591"/>
    <w:rsid w:val="00EE60D6"/>
    <w:rsid w:val="00EE6488"/>
    <w:rsid w:val="00EE6930"/>
    <w:rsid w:val="00EE7065"/>
    <w:rsid w:val="00EE7A7D"/>
    <w:rsid w:val="00EE7D34"/>
    <w:rsid w:val="00EF0381"/>
    <w:rsid w:val="00EF0705"/>
    <w:rsid w:val="00EF07AB"/>
    <w:rsid w:val="00EF0E77"/>
    <w:rsid w:val="00EF0EAE"/>
    <w:rsid w:val="00EF1B50"/>
    <w:rsid w:val="00EF1FDF"/>
    <w:rsid w:val="00EF32C2"/>
    <w:rsid w:val="00EF345B"/>
    <w:rsid w:val="00EF3772"/>
    <w:rsid w:val="00EF389F"/>
    <w:rsid w:val="00EF4896"/>
    <w:rsid w:val="00EF49DD"/>
    <w:rsid w:val="00EF4B54"/>
    <w:rsid w:val="00EF4EEF"/>
    <w:rsid w:val="00EF54DF"/>
    <w:rsid w:val="00EF5B6D"/>
    <w:rsid w:val="00EF5C86"/>
    <w:rsid w:val="00EF5CE6"/>
    <w:rsid w:val="00EF60AC"/>
    <w:rsid w:val="00EF60F3"/>
    <w:rsid w:val="00EF62F9"/>
    <w:rsid w:val="00EF64B8"/>
    <w:rsid w:val="00EF79C3"/>
    <w:rsid w:val="00EF7C3B"/>
    <w:rsid w:val="00EF7C81"/>
    <w:rsid w:val="00EF7D2E"/>
    <w:rsid w:val="00F021FA"/>
    <w:rsid w:val="00F026C3"/>
    <w:rsid w:val="00F02B9E"/>
    <w:rsid w:val="00F0334F"/>
    <w:rsid w:val="00F035FD"/>
    <w:rsid w:val="00F03718"/>
    <w:rsid w:val="00F03756"/>
    <w:rsid w:val="00F039D6"/>
    <w:rsid w:val="00F04D1B"/>
    <w:rsid w:val="00F04EB9"/>
    <w:rsid w:val="00F05134"/>
    <w:rsid w:val="00F05EB1"/>
    <w:rsid w:val="00F0605B"/>
    <w:rsid w:val="00F063A2"/>
    <w:rsid w:val="00F07C95"/>
    <w:rsid w:val="00F07CBD"/>
    <w:rsid w:val="00F101EA"/>
    <w:rsid w:val="00F10286"/>
    <w:rsid w:val="00F11299"/>
    <w:rsid w:val="00F11B68"/>
    <w:rsid w:val="00F11FDB"/>
    <w:rsid w:val="00F12238"/>
    <w:rsid w:val="00F13672"/>
    <w:rsid w:val="00F136A8"/>
    <w:rsid w:val="00F137FC"/>
    <w:rsid w:val="00F1383A"/>
    <w:rsid w:val="00F138A9"/>
    <w:rsid w:val="00F142FA"/>
    <w:rsid w:val="00F14551"/>
    <w:rsid w:val="00F14D7E"/>
    <w:rsid w:val="00F153DF"/>
    <w:rsid w:val="00F155C2"/>
    <w:rsid w:val="00F15CC6"/>
    <w:rsid w:val="00F15F28"/>
    <w:rsid w:val="00F1627E"/>
    <w:rsid w:val="00F16E5A"/>
    <w:rsid w:val="00F16FAF"/>
    <w:rsid w:val="00F171B6"/>
    <w:rsid w:val="00F1724E"/>
    <w:rsid w:val="00F1787D"/>
    <w:rsid w:val="00F17D1F"/>
    <w:rsid w:val="00F205FD"/>
    <w:rsid w:val="00F20E22"/>
    <w:rsid w:val="00F21812"/>
    <w:rsid w:val="00F228DD"/>
    <w:rsid w:val="00F229DE"/>
    <w:rsid w:val="00F22F3D"/>
    <w:rsid w:val="00F23403"/>
    <w:rsid w:val="00F24243"/>
    <w:rsid w:val="00F24289"/>
    <w:rsid w:val="00F248BF"/>
    <w:rsid w:val="00F24CBC"/>
    <w:rsid w:val="00F25148"/>
    <w:rsid w:val="00F25CD9"/>
    <w:rsid w:val="00F2635A"/>
    <w:rsid w:val="00F269F6"/>
    <w:rsid w:val="00F26CC3"/>
    <w:rsid w:val="00F26F9C"/>
    <w:rsid w:val="00F2720B"/>
    <w:rsid w:val="00F300FD"/>
    <w:rsid w:val="00F30289"/>
    <w:rsid w:val="00F30562"/>
    <w:rsid w:val="00F30565"/>
    <w:rsid w:val="00F305B8"/>
    <w:rsid w:val="00F30A9A"/>
    <w:rsid w:val="00F31A1C"/>
    <w:rsid w:val="00F31CB6"/>
    <w:rsid w:val="00F324D0"/>
    <w:rsid w:val="00F32A26"/>
    <w:rsid w:val="00F32AC5"/>
    <w:rsid w:val="00F32B29"/>
    <w:rsid w:val="00F32D34"/>
    <w:rsid w:val="00F32EBE"/>
    <w:rsid w:val="00F334D0"/>
    <w:rsid w:val="00F3382C"/>
    <w:rsid w:val="00F33B74"/>
    <w:rsid w:val="00F33F29"/>
    <w:rsid w:val="00F33FF0"/>
    <w:rsid w:val="00F35100"/>
    <w:rsid w:val="00F353AD"/>
    <w:rsid w:val="00F35926"/>
    <w:rsid w:val="00F36CA6"/>
    <w:rsid w:val="00F36EC3"/>
    <w:rsid w:val="00F373F9"/>
    <w:rsid w:val="00F37B6D"/>
    <w:rsid w:val="00F4015B"/>
    <w:rsid w:val="00F40E72"/>
    <w:rsid w:val="00F41057"/>
    <w:rsid w:val="00F41D69"/>
    <w:rsid w:val="00F42391"/>
    <w:rsid w:val="00F43727"/>
    <w:rsid w:val="00F43B1B"/>
    <w:rsid w:val="00F43C8E"/>
    <w:rsid w:val="00F440ED"/>
    <w:rsid w:val="00F441C2"/>
    <w:rsid w:val="00F4474D"/>
    <w:rsid w:val="00F44BE7"/>
    <w:rsid w:val="00F451CE"/>
    <w:rsid w:val="00F451E5"/>
    <w:rsid w:val="00F452E3"/>
    <w:rsid w:val="00F45BFD"/>
    <w:rsid w:val="00F45C0C"/>
    <w:rsid w:val="00F45CB7"/>
    <w:rsid w:val="00F45F18"/>
    <w:rsid w:val="00F46270"/>
    <w:rsid w:val="00F46CB6"/>
    <w:rsid w:val="00F471A0"/>
    <w:rsid w:val="00F47380"/>
    <w:rsid w:val="00F479ED"/>
    <w:rsid w:val="00F47A73"/>
    <w:rsid w:val="00F47E43"/>
    <w:rsid w:val="00F47E9C"/>
    <w:rsid w:val="00F50429"/>
    <w:rsid w:val="00F504CF"/>
    <w:rsid w:val="00F50904"/>
    <w:rsid w:val="00F50AB2"/>
    <w:rsid w:val="00F50CFD"/>
    <w:rsid w:val="00F50D60"/>
    <w:rsid w:val="00F514DD"/>
    <w:rsid w:val="00F51776"/>
    <w:rsid w:val="00F52409"/>
    <w:rsid w:val="00F52611"/>
    <w:rsid w:val="00F52635"/>
    <w:rsid w:val="00F5339D"/>
    <w:rsid w:val="00F5410C"/>
    <w:rsid w:val="00F542DD"/>
    <w:rsid w:val="00F54A44"/>
    <w:rsid w:val="00F54B6C"/>
    <w:rsid w:val="00F55367"/>
    <w:rsid w:val="00F55AA8"/>
    <w:rsid w:val="00F55E07"/>
    <w:rsid w:val="00F5639F"/>
    <w:rsid w:val="00F57405"/>
    <w:rsid w:val="00F5780B"/>
    <w:rsid w:val="00F57DD8"/>
    <w:rsid w:val="00F600DB"/>
    <w:rsid w:val="00F60F93"/>
    <w:rsid w:val="00F60FAB"/>
    <w:rsid w:val="00F614DB"/>
    <w:rsid w:val="00F62B7D"/>
    <w:rsid w:val="00F62E97"/>
    <w:rsid w:val="00F63751"/>
    <w:rsid w:val="00F641C5"/>
    <w:rsid w:val="00F64209"/>
    <w:rsid w:val="00F64FF5"/>
    <w:rsid w:val="00F650EC"/>
    <w:rsid w:val="00F653C4"/>
    <w:rsid w:val="00F654D1"/>
    <w:rsid w:val="00F65CC7"/>
    <w:rsid w:val="00F66194"/>
    <w:rsid w:val="00F66BCA"/>
    <w:rsid w:val="00F66C98"/>
    <w:rsid w:val="00F702AA"/>
    <w:rsid w:val="00F719C5"/>
    <w:rsid w:val="00F71CD1"/>
    <w:rsid w:val="00F72D96"/>
    <w:rsid w:val="00F7326E"/>
    <w:rsid w:val="00F734FB"/>
    <w:rsid w:val="00F73A9A"/>
    <w:rsid w:val="00F7441F"/>
    <w:rsid w:val="00F7493A"/>
    <w:rsid w:val="00F74B52"/>
    <w:rsid w:val="00F750AC"/>
    <w:rsid w:val="00F752D1"/>
    <w:rsid w:val="00F7564A"/>
    <w:rsid w:val="00F75F3E"/>
    <w:rsid w:val="00F76BFE"/>
    <w:rsid w:val="00F76DB8"/>
    <w:rsid w:val="00F76EE0"/>
    <w:rsid w:val="00F77EBD"/>
    <w:rsid w:val="00F8018D"/>
    <w:rsid w:val="00F8057B"/>
    <w:rsid w:val="00F80740"/>
    <w:rsid w:val="00F807EB"/>
    <w:rsid w:val="00F80BFF"/>
    <w:rsid w:val="00F80CCD"/>
    <w:rsid w:val="00F80E76"/>
    <w:rsid w:val="00F8166D"/>
    <w:rsid w:val="00F817CB"/>
    <w:rsid w:val="00F82064"/>
    <w:rsid w:val="00F8336E"/>
    <w:rsid w:val="00F83CCA"/>
    <w:rsid w:val="00F84C09"/>
    <w:rsid w:val="00F84DD6"/>
    <w:rsid w:val="00F84EBB"/>
    <w:rsid w:val="00F85267"/>
    <w:rsid w:val="00F859EB"/>
    <w:rsid w:val="00F85A74"/>
    <w:rsid w:val="00F86463"/>
    <w:rsid w:val="00F8656C"/>
    <w:rsid w:val="00F867DA"/>
    <w:rsid w:val="00F86996"/>
    <w:rsid w:val="00F875A4"/>
    <w:rsid w:val="00F877DA"/>
    <w:rsid w:val="00F877E7"/>
    <w:rsid w:val="00F87E2F"/>
    <w:rsid w:val="00F87EE9"/>
    <w:rsid w:val="00F90647"/>
    <w:rsid w:val="00F90C22"/>
    <w:rsid w:val="00F90EE6"/>
    <w:rsid w:val="00F90F75"/>
    <w:rsid w:val="00F9111F"/>
    <w:rsid w:val="00F9160E"/>
    <w:rsid w:val="00F921B6"/>
    <w:rsid w:val="00F92500"/>
    <w:rsid w:val="00F9274C"/>
    <w:rsid w:val="00F92A90"/>
    <w:rsid w:val="00F92E15"/>
    <w:rsid w:val="00F92E89"/>
    <w:rsid w:val="00F92FE2"/>
    <w:rsid w:val="00F93BF5"/>
    <w:rsid w:val="00F9552C"/>
    <w:rsid w:val="00F95FD4"/>
    <w:rsid w:val="00F961AE"/>
    <w:rsid w:val="00F963C3"/>
    <w:rsid w:val="00F96A97"/>
    <w:rsid w:val="00F97183"/>
    <w:rsid w:val="00F9763D"/>
    <w:rsid w:val="00F97F7F"/>
    <w:rsid w:val="00FA09A9"/>
    <w:rsid w:val="00FA09D1"/>
    <w:rsid w:val="00FA0C03"/>
    <w:rsid w:val="00FA0EF8"/>
    <w:rsid w:val="00FA0F3E"/>
    <w:rsid w:val="00FA1153"/>
    <w:rsid w:val="00FA1334"/>
    <w:rsid w:val="00FA169E"/>
    <w:rsid w:val="00FA2778"/>
    <w:rsid w:val="00FA2CBC"/>
    <w:rsid w:val="00FA2F57"/>
    <w:rsid w:val="00FA35B3"/>
    <w:rsid w:val="00FA4510"/>
    <w:rsid w:val="00FA452C"/>
    <w:rsid w:val="00FA4ECC"/>
    <w:rsid w:val="00FA4F88"/>
    <w:rsid w:val="00FA53FE"/>
    <w:rsid w:val="00FA548C"/>
    <w:rsid w:val="00FA54E3"/>
    <w:rsid w:val="00FA5802"/>
    <w:rsid w:val="00FA5CFD"/>
    <w:rsid w:val="00FA605E"/>
    <w:rsid w:val="00FA6511"/>
    <w:rsid w:val="00FA65E2"/>
    <w:rsid w:val="00FA68F7"/>
    <w:rsid w:val="00FA6AFD"/>
    <w:rsid w:val="00FB0792"/>
    <w:rsid w:val="00FB10B2"/>
    <w:rsid w:val="00FB1AF9"/>
    <w:rsid w:val="00FB1EF4"/>
    <w:rsid w:val="00FB3FDD"/>
    <w:rsid w:val="00FB43ED"/>
    <w:rsid w:val="00FB48B0"/>
    <w:rsid w:val="00FB4D19"/>
    <w:rsid w:val="00FB6767"/>
    <w:rsid w:val="00FB6E6C"/>
    <w:rsid w:val="00FB7685"/>
    <w:rsid w:val="00FB7F9C"/>
    <w:rsid w:val="00FC0209"/>
    <w:rsid w:val="00FC11BF"/>
    <w:rsid w:val="00FC1EF0"/>
    <w:rsid w:val="00FC204A"/>
    <w:rsid w:val="00FC209E"/>
    <w:rsid w:val="00FC278F"/>
    <w:rsid w:val="00FC27EF"/>
    <w:rsid w:val="00FC2E06"/>
    <w:rsid w:val="00FC30B7"/>
    <w:rsid w:val="00FC38CC"/>
    <w:rsid w:val="00FC4590"/>
    <w:rsid w:val="00FC4B5C"/>
    <w:rsid w:val="00FC4B77"/>
    <w:rsid w:val="00FC5289"/>
    <w:rsid w:val="00FC5923"/>
    <w:rsid w:val="00FC5AE3"/>
    <w:rsid w:val="00FC5D61"/>
    <w:rsid w:val="00FC5F38"/>
    <w:rsid w:val="00FC6095"/>
    <w:rsid w:val="00FC69D3"/>
    <w:rsid w:val="00FC6F96"/>
    <w:rsid w:val="00FC77A8"/>
    <w:rsid w:val="00FC7888"/>
    <w:rsid w:val="00FD0292"/>
    <w:rsid w:val="00FD0908"/>
    <w:rsid w:val="00FD0D27"/>
    <w:rsid w:val="00FD13E5"/>
    <w:rsid w:val="00FD1AB9"/>
    <w:rsid w:val="00FD21FE"/>
    <w:rsid w:val="00FD2A74"/>
    <w:rsid w:val="00FD2AAE"/>
    <w:rsid w:val="00FD2D0A"/>
    <w:rsid w:val="00FD3551"/>
    <w:rsid w:val="00FD35B1"/>
    <w:rsid w:val="00FD36BD"/>
    <w:rsid w:val="00FD3AFF"/>
    <w:rsid w:val="00FD3BEF"/>
    <w:rsid w:val="00FD4542"/>
    <w:rsid w:val="00FD496F"/>
    <w:rsid w:val="00FD4A31"/>
    <w:rsid w:val="00FD4D9C"/>
    <w:rsid w:val="00FD5284"/>
    <w:rsid w:val="00FD549B"/>
    <w:rsid w:val="00FD575B"/>
    <w:rsid w:val="00FD5A6C"/>
    <w:rsid w:val="00FD6DDB"/>
    <w:rsid w:val="00FD735A"/>
    <w:rsid w:val="00FD75E7"/>
    <w:rsid w:val="00FE01FC"/>
    <w:rsid w:val="00FE0C91"/>
    <w:rsid w:val="00FE100D"/>
    <w:rsid w:val="00FE1044"/>
    <w:rsid w:val="00FE142E"/>
    <w:rsid w:val="00FE16BB"/>
    <w:rsid w:val="00FE2062"/>
    <w:rsid w:val="00FE2065"/>
    <w:rsid w:val="00FE2FAD"/>
    <w:rsid w:val="00FE3840"/>
    <w:rsid w:val="00FE389F"/>
    <w:rsid w:val="00FE3F65"/>
    <w:rsid w:val="00FE505D"/>
    <w:rsid w:val="00FE534E"/>
    <w:rsid w:val="00FE53FF"/>
    <w:rsid w:val="00FE563A"/>
    <w:rsid w:val="00FE5816"/>
    <w:rsid w:val="00FE5A3A"/>
    <w:rsid w:val="00FE5E1A"/>
    <w:rsid w:val="00FE67BB"/>
    <w:rsid w:val="00FE6D06"/>
    <w:rsid w:val="00FE7286"/>
    <w:rsid w:val="00FE738C"/>
    <w:rsid w:val="00FF0928"/>
    <w:rsid w:val="00FF0F02"/>
    <w:rsid w:val="00FF10C9"/>
    <w:rsid w:val="00FF11B4"/>
    <w:rsid w:val="00FF15E5"/>
    <w:rsid w:val="00FF1E88"/>
    <w:rsid w:val="00FF213C"/>
    <w:rsid w:val="00FF249C"/>
    <w:rsid w:val="00FF24CB"/>
    <w:rsid w:val="00FF2E99"/>
    <w:rsid w:val="00FF2EFF"/>
    <w:rsid w:val="00FF3410"/>
    <w:rsid w:val="00FF3A14"/>
    <w:rsid w:val="00FF3D56"/>
    <w:rsid w:val="00FF3F5F"/>
    <w:rsid w:val="00FF4100"/>
    <w:rsid w:val="00FF44E9"/>
    <w:rsid w:val="00FF5787"/>
    <w:rsid w:val="00FF5957"/>
    <w:rsid w:val="00FF5A8D"/>
    <w:rsid w:val="00FF5EEF"/>
    <w:rsid w:val="00FF5FA8"/>
    <w:rsid w:val="00FF684B"/>
    <w:rsid w:val="00FF6A5D"/>
    <w:rsid w:val="00FF6AA7"/>
    <w:rsid w:val="00FF6D94"/>
    <w:rsid w:val="00FF6DC8"/>
    <w:rsid w:val="00FF7052"/>
    <w:rsid w:val="00FF7467"/>
    <w:rsid w:val="00FF7A78"/>
    <w:rsid w:val="2FF50BAD"/>
    <w:rsid w:val="5A041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24AE8C"/>
  <w15:chartTrackingRefBased/>
  <w15:docId w15:val="{4887B435-E9A0-4B4D-9C65-4042D103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377B"/>
    <w:pPr>
      <w:widowControl w:val="0"/>
    </w:pPr>
    <w:rPr>
      <w:snapToGrid w:val="0"/>
      <w:kern w:val="28"/>
      <w:sz w:val="22"/>
    </w:rPr>
  </w:style>
  <w:style w:type="paragraph" w:styleId="Heading1">
    <w:name w:val="heading 1"/>
    <w:basedOn w:val="Normal"/>
    <w:next w:val="ParaNum"/>
    <w:qFormat/>
    <w:rsid w:val="00EA377B"/>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2 Char,UNDERRUBRIK 1-2 Char,Heading 2 Char1,Heading 2 Char Char1,Heading 2 Char Char Char Char,Heading 2 Char1 Char Char1 Char Char,Heading 2 Char Char3 Char Char Char Char,Heading 2 Char1 Char Char Char Char1 Char Char"/>
    <w:basedOn w:val="Normal"/>
    <w:next w:val="ParaNum"/>
    <w:link w:val="Heading2Char"/>
    <w:autoRedefine/>
    <w:qFormat/>
    <w:rsid w:val="004B6A66"/>
    <w:pPr>
      <w:keepNext/>
      <w:widowControl/>
      <w:numPr>
        <w:ilvl w:val="1"/>
        <w:numId w:val="3"/>
      </w:numPr>
      <w:spacing w:after="120"/>
      <w:outlineLvl w:val="1"/>
    </w:pPr>
    <w:rPr>
      <w:b/>
    </w:rPr>
  </w:style>
  <w:style w:type="paragraph" w:styleId="Heading3">
    <w:name w:val="heading 3"/>
    <w:aliases w:val="3 Char,Titre 3 Char,1 Char,31 Char,Titre 31 Char,?? 3 Char,3,Titre 3,1,31,Titre 31,?? 3,Heading 3 Char1,Heading 3 Char Char,Heading 3 Char1 Char Char,Heading 3 Char Char Char Char,Heading 3 Char2 Char1 Char Char,Heading 3 Char Char1 Ch"/>
    <w:basedOn w:val="Normal"/>
    <w:next w:val="ParaNum"/>
    <w:qFormat/>
    <w:rsid w:val="00EA377B"/>
    <w:pPr>
      <w:keepNext/>
      <w:numPr>
        <w:ilvl w:val="2"/>
        <w:numId w:val="3"/>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2 Char Char,Heading 4 Char1 Char1 Char Char,Heading 4 Char Char Char1 Char Char,Heading 4 Char Char1 Char Char"/>
    <w:basedOn w:val="Normal"/>
    <w:next w:val="ParaNum"/>
    <w:qFormat/>
    <w:rsid w:val="00EA377B"/>
    <w:pPr>
      <w:keepNext/>
      <w:numPr>
        <w:ilvl w:val="3"/>
        <w:numId w:val="3"/>
      </w:numPr>
      <w:tabs>
        <w:tab w:val="left" w:pos="2880"/>
      </w:tabs>
      <w:spacing w:after="120"/>
      <w:outlineLvl w:val="3"/>
    </w:pPr>
    <w:rPr>
      <w:b/>
    </w:rPr>
  </w:style>
  <w:style w:type="paragraph" w:styleId="Heading5">
    <w:name w:val="heading 5"/>
    <w:basedOn w:val="Normal"/>
    <w:next w:val="ParaNum"/>
    <w:qFormat/>
    <w:rsid w:val="00EA377B"/>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EA377B"/>
    <w:pPr>
      <w:numPr>
        <w:ilvl w:val="5"/>
        <w:numId w:val="3"/>
      </w:numPr>
      <w:tabs>
        <w:tab w:val="left" w:pos="4320"/>
      </w:tabs>
      <w:spacing w:after="120"/>
      <w:outlineLvl w:val="5"/>
    </w:pPr>
    <w:rPr>
      <w:b/>
    </w:rPr>
  </w:style>
  <w:style w:type="paragraph" w:styleId="Heading7">
    <w:name w:val="heading 7"/>
    <w:basedOn w:val="Normal"/>
    <w:next w:val="ParaNum"/>
    <w:qFormat/>
    <w:rsid w:val="00EA377B"/>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EA377B"/>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EA377B"/>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A37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377B"/>
  </w:style>
  <w:style w:type="paragraph" w:customStyle="1" w:styleId="ParaNum">
    <w:name w:val="ParaNum"/>
    <w:basedOn w:val="Normal"/>
    <w:link w:val="ParaNumChar"/>
    <w:rsid w:val="00EA377B"/>
    <w:pPr>
      <w:numPr>
        <w:numId w:val="2"/>
      </w:numPr>
      <w:tabs>
        <w:tab w:val="clear" w:pos="1080"/>
        <w:tab w:val="num" w:pos="1440"/>
      </w:tabs>
      <w:spacing w:after="120"/>
    </w:pPr>
  </w:style>
  <w:style w:type="paragraph" w:styleId="EndnoteText">
    <w:name w:val="endnote text"/>
    <w:basedOn w:val="Normal"/>
    <w:semiHidden/>
    <w:rsid w:val="00EA377B"/>
    <w:rPr>
      <w:sz w:val="20"/>
    </w:rPr>
  </w:style>
  <w:style w:type="character" w:styleId="EndnoteReference">
    <w:name w:val="endnote reference"/>
    <w:semiHidden/>
    <w:rsid w:val="00EA377B"/>
    <w:rPr>
      <w:vertAlign w:val="superscript"/>
    </w:rPr>
  </w:style>
  <w:style w:type="paragraph" w:styleId="FootnoteText">
    <w:name w:val="footnote text"/>
    <w:link w:val="FootnoteTextChar"/>
    <w:qFormat/>
    <w:rsid w:val="00D07A9C"/>
    <w:pPr>
      <w:spacing w:after="120"/>
    </w:pPr>
  </w:style>
  <w:style w:type="character" w:styleId="FootnoteReference">
    <w:name w:val="footnote reference"/>
    <w:aliases w:val="Appel note de bas de p,Style 12,(NECG) Footnote Reference,Style 124,o,fr,Style 3,Style 13,Footnote Reference/,FR,Style 17,Style 6,Style 7,Style 4,Footnote Reference1,Style 34,Style 9,Style 20,callout,-E Funotenzeichen,A,Ref,Style 1,R"/>
    <w:rsid w:val="00EA377B"/>
    <w:rPr>
      <w:rFonts w:ascii="Times New Roman" w:hAnsi="Times New Roman"/>
      <w:dstrike w:val="0"/>
      <w:color w:val="auto"/>
      <w:sz w:val="20"/>
      <w:vertAlign w:val="superscript"/>
    </w:rPr>
  </w:style>
  <w:style w:type="paragraph" w:styleId="TOC1">
    <w:name w:val="toc 1"/>
    <w:basedOn w:val="Normal"/>
    <w:next w:val="Normal"/>
    <w:semiHidden/>
    <w:rsid w:val="00EA377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A377B"/>
    <w:pPr>
      <w:tabs>
        <w:tab w:val="left" w:pos="720"/>
        <w:tab w:val="right" w:leader="dot" w:pos="9360"/>
      </w:tabs>
      <w:suppressAutoHyphens/>
      <w:ind w:left="720" w:right="720" w:hanging="360"/>
    </w:pPr>
    <w:rPr>
      <w:noProof/>
    </w:rPr>
  </w:style>
  <w:style w:type="paragraph" w:styleId="TOC3">
    <w:name w:val="toc 3"/>
    <w:basedOn w:val="Normal"/>
    <w:next w:val="Normal"/>
    <w:semiHidden/>
    <w:rsid w:val="00EA377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A377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A377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A377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A377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A377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A377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A377B"/>
    <w:pPr>
      <w:tabs>
        <w:tab w:val="right" w:pos="9360"/>
      </w:tabs>
      <w:suppressAutoHyphens/>
    </w:pPr>
  </w:style>
  <w:style w:type="character" w:customStyle="1" w:styleId="EquationCaption">
    <w:name w:val="_Equation Caption"/>
    <w:rsid w:val="00EA377B"/>
  </w:style>
  <w:style w:type="paragraph" w:styleId="Header">
    <w:name w:val="header"/>
    <w:basedOn w:val="Normal"/>
    <w:autoRedefine/>
    <w:rsid w:val="00EA377B"/>
    <w:pPr>
      <w:tabs>
        <w:tab w:val="center" w:pos="4680"/>
        <w:tab w:val="right" w:pos="9360"/>
      </w:tabs>
    </w:pPr>
    <w:rPr>
      <w:b/>
    </w:rPr>
  </w:style>
  <w:style w:type="paragraph" w:styleId="Footer">
    <w:name w:val="footer"/>
    <w:basedOn w:val="Normal"/>
    <w:link w:val="FooterChar"/>
    <w:uiPriority w:val="99"/>
    <w:rsid w:val="00EA377B"/>
    <w:pPr>
      <w:tabs>
        <w:tab w:val="center" w:pos="4320"/>
        <w:tab w:val="right" w:pos="8640"/>
      </w:tabs>
    </w:pPr>
  </w:style>
  <w:style w:type="character" w:styleId="PageNumber">
    <w:name w:val="page number"/>
    <w:basedOn w:val="DefaultParagraphFont"/>
    <w:rsid w:val="00EA377B"/>
  </w:style>
  <w:style w:type="paragraph" w:styleId="BlockText">
    <w:name w:val="Block Text"/>
    <w:basedOn w:val="Normal"/>
    <w:rsid w:val="00EA377B"/>
    <w:pPr>
      <w:spacing w:after="240"/>
      <w:ind w:left="1440" w:right="1440"/>
    </w:pPr>
  </w:style>
  <w:style w:type="paragraph" w:customStyle="1" w:styleId="Paratitle">
    <w:name w:val="Para title"/>
    <w:basedOn w:val="Normal"/>
    <w:rsid w:val="00EA377B"/>
    <w:pPr>
      <w:tabs>
        <w:tab w:val="center" w:pos="9270"/>
      </w:tabs>
      <w:spacing w:after="240"/>
    </w:pPr>
    <w:rPr>
      <w:spacing w:val="-2"/>
    </w:rPr>
  </w:style>
  <w:style w:type="paragraph" w:customStyle="1" w:styleId="Bullet">
    <w:name w:val="Bullet"/>
    <w:basedOn w:val="Normal"/>
    <w:rsid w:val="00EA377B"/>
    <w:pPr>
      <w:tabs>
        <w:tab w:val="left" w:pos="2160"/>
      </w:tabs>
      <w:spacing w:after="220"/>
      <w:ind w:left="2160" w:hanging="720"/>
    </w:pPr>
  </w:style>
  <w:style w:type="paragraph" w:customStyle="1" w:styleId="TableFormat">
    <w:name w:val="TableFormat"/>
    <w:basedOn w:val="Bullet"/>
    <w:rsid w:val="00EA377B"/>
    <w:pPr>
      <w:tabs>
        <w:tab w:val="clear" w:pos="2160"/>
        <w:tab w:val="left" w:pos="5040"/>
      </w:tabs>
      <w:ind w:left="5040" w:hanging="3600"/>
    </w:pPr>
  </w:style>
  <w:style w:type="paragraph" w:customStyle="1" w:styleId="TOCTitle">
    <w:name w:val="TOC Title"/>
    <w:basedOn w:val="Normal"/>
    <w:rsid w:val="00EA377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A377B"/>
    <w:pPr>
      <w:jc w:val="center"/>
    </w:pPr>
    <w:rPr>
      <w:rFonts w:ascii="Times New Roman Bold" w:hAnsi="Times New Roman Bold"/>
      <w:b/>
      <w:bCs/>
      <w:caps/>
      <w:szCs w:val="22"/>
    </w:rPr>
  </w:style>
  <w:style w:type="character" w:styleId="Hyperlink">
    <w:name w:val="Hyperlink"/>
    <w:rsid w:val="00EA377B"/>
    <w:rPr>
      <w:color w:val="0000FF"/>
      <w:u w:val="single"/>
    </w:rPr>
  </w:style>
  <w:style w:type="character" w:customStyle="1" w:styleId="FooterChar">
    <w:name w:val="Footer Char"/>
    <w:link w:val="Footer"/>
    <w:uiPriority w:val="99"/>
    <w:rsid w:val="00EA377B"/>
    <w:rPr>
      <w:snapToGrid w:val="0"/>
      <w:kern w:val="28"/>
      <w:sz w:val="22"/>
    </w:rPr>
  </w:style>
  <w:style w:type="character" w:styleId="UnresolvedMention">
    <w:name w:val="Unresolved Mention"/>
    <w:basedOn w:val="DefaultParagraphFont"/>
    <w:uiPriority w:val="99"/>
    <w:unhideWhenUsed/>
    <w:rsid w:val="00592FC1"/>
    <w:rPr>
      <w:color w:val="605E5C"/>
      <w:shd w:val="clear" w:color="auto" w:fill="E1DFDD"/>
    </w:rPr>
  </w:style>
  <w:style w:type="character" w:customStyle="1" w:styleId="markedcontent">
    <w:name w:val="markedcontent"/>
    <w:basedOn w:val="DefaultParagraphFont"/>
    <w:rsid w:val="00433F10"/>
  </w:style>
  <w:style w:type="character" w:customStyle="1" w:styleId="Heading2Char">
    <w:name w:val="Heading 2 Char"/>
    <w:aliases w:val="h2 Char Char,UNDERRUBRIK 1-2 Char Char,Heading 2 Char1 Char,Heading 2 Char Char1 Char,Heading 2 Char Char Char Char Char,Heading 2 Char1 Char Char1 Char Char Char,Heading 2 Char Char3 Char Char Char Char Char"/>
    <w:basedOn w:val="DefaultParagraphFont"/>
    <w:link w:val="Heading2"/>
    <w:rsid w:val="004B6A66"/>
    <w:rPr>
      <w:b/>
      <w:snapToGrid w:val="0"/>
      <w:kern w:val="28"/>
      <w:sz w:val="22"/>
    </w:rPr>
  </w:style>
  <w:style w:type="paragraph" w:styleId="Revision">
    <w:name w:val="Revision"/>
    <w:hidden/>
    <w:uiPriority w:val="99"/>
    <w:semiHidden/>
    <w:rsid w:val="00BF734D"/>
    <w:rPr>
      <w:snapToGrid w:val="0"/>
      <w:kern w:val="28"/>
      <w:sz w:val="22"/>
    </w:rPr>
  </w:style>
  <w:style w:type="character" w:styleId="CommentReference">
    <w:name w:val="annotation reference"/>
    <w:basedOn w:val="DefaultParagraphFont"/>
    <w:rsid w:val="00D76F4A"/>
    <w:rPr>
      <w:sz w:val="16"/>
      <w:szCs w:val="16"/>
    </w:rPr>
  </w:style>
  <w:style w:type="paragraph" w:styleId="CommentText">
    <w:name w:val="annotation text"/>
    <w:basedOn w:val="Normal"/>
    <w:link w:val="CommentTextChar"/>
    <w:rsid w:val="00D76F4A"/>
    <w:rPr>
      <w:sz w:val="20"/>
    </w:rPr>
  </w:style>
  <w:style w:type="character" w:customStyle="1" w:styleId="CommentTextChar">
    <w:name w:val="Comment Text Char"/>
    <w:basedOn w:val="DefaultParagraphFont"/>
    <w:link w:val="CommentText"/>
    <w:rsid w:val="00D76F4A"/>
    <w:rPr>
      <w:snapToGrid w:val="0"/>
      <w:kern w:val="28"/>
    </w:rPr>
  </w:style>
  <w:style w:type="paragraph" w:styleId="CommentSubject">
    <w:name w:val="annotation subject"/>
    <w:basedOn w:val="CommentText"/>
    <w:next w:val="CommentText"/>
    <w:link w:val="CommentSubjectChar"/>
    <w:rsid w:val="00D76F4A"/>
    <w:rPr>
      <w:b/>
      <w:bCs/>
    </w:rPr>
  </w:style>
  <w:style w:type="character" w:customStyle="1" w:styleId="CommentSubjectChar">
    <w:name w:val="Comment Subject Char"/>
    <w:basedOn w:val="CommentTextChar"/>
    <w:link w:val="CommentSubject"/>
    <w:rsid w:val="00D76F4A"/>
    <w:rPr>
      <w:b/>
      <w:bCs/>
      <w:snapToGrid w:val="0"/>
      <w:kern w:val="28"/>
    </w:rPr>
  </w:style>
  <w:style w:type="character" w:customStyle="1" w:styleId="FootnoteTextChar">
    <w:name w:val="Footnote Text Char"/>
    <w:basedOn w:val="DefaultParagraphFont"/>
    <w:link w:val="FootnoteText"/>
    <w:rsid w:val="00D07A9C"/>
  </w:style>
  <w:style w:type="character" w:customStyle="1" w:styleId="ParaNumChar">
    <w:name w:val="ParaNum Char"/>
    <w:link w:val="ParaNum"/>
    <w:locked/>
    <w:rsid w:val="00805982"/>
    <w:rPr>
      <w:snapToGrid w:val="0"/>
      <w:kern w:val="28"/>
      <w:sz w:val="22"/>
    </w:rPr>
  </w:style>
  <w:style w:type="character" w:styleId="Mention">
    <w:name w:val="Mention"/>
    <w:basedOn w:val="DefaultParagraphFont"/>
    <w:uiPriority w:val="99"/>
    <w:unhideWhenUsed/>
    <w:rsid w:val="001038C2"/>
    <w:rPr>
      <w:color w:val="2B579A"/>
      <w:shd w:val="clear" w:color="auto" w:fill="E1DFDD"/>
    </w:rPr>
  </w:style>
  <w:style w:type="paragraph" w:styleId="NoSpacing">
    <w:name w:val="No Spacing"/>
    <w:uiPriority w:val="1"/>
    <w:qFormat/>
    <w:rsid w:val="00823AB0"/>
    <w:rPr>
      <w:rFonts w:ascii="Calibri" w:eastAsia="Calibri" w:hAnsi="Calibri"/>
      <w:sz w:val="22"/>
      <w:szCs w:val="22"/>
    </w:rPr>
  </w:style>
  <w:style w:type="paragraph" w:styleId="ListParagraph">
    <w:name w:val="List Paragraph"/>
    <w:basedOn w:val="Normal"/>
    <w:uiPriority w:val="34"/>
    <w:qFormat/>
    <w:rsid w:val="00823AB0"/>
    <w:pPr>
      <w:ind w:left="720"/>
      <w:contextualSpacing/>
    </w:pPr>
  </w:style>
  <w:style w:type="character" w:styleId="FollowedHyperlink">
    <w:name w:val="FollowedHyperlink"/>
    <w:basedOn w:val="DefaultParagraphFont"/>
    <w:rsid w:val="001D4CB0"/>
    <w:rPr>
      <w:color w:val="96607D" w:themeColor="followedHyperlink"/>
      <w:u w:val="single"/>
    </w:rPr>
  </w:style>
  <w:style w:type="character" w:customStyle="1" w:styleId="apple-converted-space">
    <w:name w:val="apple-converted-space"/>
    <w:basedOn w:val="DefaultParagraphFont"/>
    <w:rsid w:val="000A1DB2"/>
  </w:style>
  <w:style w:type="character" w:styleId="Emphasis">
    <w:name w:val="Emphasis"/>
    <w:basedOn w:val="DefaultParagraphFont"/>
    <w:uiPriority w:val="20"/>
    <w:qFormat/>
    <w:rsid w:val="000A1D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Ariane.Rangel@fcc.gov" TargetMode="External" /><Relationship Id="rId8" Type="http://schemas.openxmlformats.org/officeDocument/2006/relationships/hyperlink" Target="mailto:Lisa.Scanlan@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FCC-24-126A1.pdf" TargetMode="External" /><Relationship Id="rId2" Type="http://schemas.openxmlformats.org/officeDocument/2006/relationships/hyperlink" Target="https://1.next.westlaw.com/Link/Document/FullText?findType=L&amp;pubNum=1000547&amp;cite=47CFRS73.3573&amp;originatingDoc=I49a779e3a45511eeb85f86d3695eb649&amp;refType=RB&amp;originationContext=document&amp;transitionType=DocumentItem&amp;ppcid=438ecea24bf343e9bba7e5632ab92d60&amp;contextData=(sc.Search)" TargetMode="External" /><Relationship Id="rId3" Type="http://schemas.openxmlformats.org/officeDocument/2006/relationships/hyperlink" Target="https://advocacy.sba.gov/wp-content/uploads/2024/12/Frequently-Asked-Questions-About-Small-Business_2024-508.pdf" TargetMode="External" /><Relationship Id="rId4" Type="http://schemas.openxmlformats.org/officeDocument/2006/relationships/hyperlink" Target="https://advocacy.sba.gov/2019/07/25/small-business-facts-spotlight-on-nonprofits/" TargetMode="External" /><Relationship Id="rId5" Type="http://schemas.openxmlformats.org/officeDocument/2006/relationships/hyperlink" Target="https://www.census.gov/data/tables/2022/econ/gus/2022-governments.html" TargetMode="External" /><Relationship Id="rId6" Type="http://schemas.openxmlformats.org/officeDocument/2006/relationships/hyperlink" Target="http://www.census.gov/NAICS" TargetMode="External" /><Relationship Id="rId7" Type="http://schemas.openxmlformats.org/officeDocument/2006/relationships/hyperlink" Target="https://docs.fcc.gov/public/attachments/DA-26-49A1.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