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 Generated by Aspose.Words for Java 24.11.0 -->
  <w:body>
    <w:p w:rsidR="00934012" w:rsidRPr="005577AD" w:rsidP="00934012" w14:paraId="7A867FEE" w14:textId="77777777">
      <w:pPr>
        <w:jc w:val="center"/>
        <w:rPr>
          <w:b/>
          <w:bCs/>
          <w:caps/>
          <w:szCs w:val="22"/>
        </w:rPr>
      </w:pPr>
      <w:r w:rsidRPr="005577AD">
        <w:rPr>
          <w:b/>
          <w:bCs/>
          <w:caps/>
          <w:szCs w:val="22"/>
        </w:rPr>
        <w:t>Statement of</w:t>
      </w:r>
    </w:p>
    <w:p w:rsidR="00934012" w:rsidRPr="005577AD" w:rsidP="00934012" w14:paraId="14E6D23D" w14:textId="3586EC42">
      <w:pPr>
        <w:jc w:val="center"/>
        <w:rPr>
          <w:b/>
          <w:bCs/>
          <w:caps/>
          <w:szCs w:val="22"/>
        </w:rPr>
      </w:pPr>
      <w:r>
        <w:rPr>
          <w:b/>
          <w:bCs/>
          <w:caps/>
          <w:szCs w:val="22"/>
        </w:rPr>
        <w:t>Commissioner Olivia Trusty</w:t>
      </w:r>
    </w:p>
    <w:p w:rsidR="00934012" w:rsidRPr="005577AD" w:rsidP="00934012" w14:paraId="761C2814" w14:textId="77777777">
      <w:pPr>
        <w:jc w:val="center"/>
        <w:rPr>
          <w:b/>
          <w:bCs/>
          <w:caps/>
          <w:szCs w:val="22"/>
        </w:rPr>
      </w:pPr>
    </w:p>
    <w:p w:rsidR="00934012" w:rsidRPr="005577AD" w:rsidP="00C21EFF" w14:paraId="313A70C4" w14:textId="1632FA8D">
      <w:pPr>
        <w:ind w:left="720" w:hanging="720"/>
        <w:rPr>
          <w:i/>
          <w:iCs/>
          <w:szCs w:val="22"/>
        </w:rPr>
      </w:pPr>
      <w:r w:rsidRPr="005577AD">
        <w:rPr>
          <w:iCs/>
          <w:szCs w:val="22"/>
        </w:rPr>
        <w:t>Re:</w:t>
      </w:r>
      <w:r w:rsidRPr="005577AD">
        <w:rPr>
          <w:szCs w:val="22"/>
        </w:rPr>
        <w:t xml:space="preserve"> </w:t>
      </w:r>
      <w:r w:rsidRPr="005577AD">
        <w:rPr>
          <w:szCs w:val="22"/>
        </w:rPr>
        <w:tab/>
      </w:r>
      <w:r w:rsidRPr="00AE6DB6" w:rsidR="00701F9F">
        <w:rPr>
          <w:i/>
          <w:iCs/>
          <w:szCs w:val="22"/>
        </w:rPr>
        <w:t>Modernizing Spectrum Sharing for Satellite Broadband</w:t>
      </w:r>
      <w:r w:rsidRPr="00AE6DB6" w:rsidR="00701F9F">
        <w:rPr>
          <w:szCs w:val="22"/>
        </w:rPr>
        <w:t>, Report and Order, SB Docket No. 25-157 (Apr</w:t>
      </w:r>
      <w:r w:rsidR="00C21EFF">
        <w:rPr>
          <w:szCs w:val="22"/>
        </w:rPr>
        <w:t>il</w:t>
      </w:r>
      <w:r w:rsidRPr="00AE6DB6" w:rsidR="00701F9F">
        <w:rPr>
          <w:szCs w:val="22"/>
        </w:rPr>
        <w:t xml:space="preserve"> 30, 2026).</w:t>
      </w:r>
    </w:p>
    <w:p w:rsidR="00934012" w:rsidRPr="005577AD" w:rsidP="00934012" w14:paraId="2A04DF74" w14:textId="77777777">
      <w:pPr>
        <w:ind w:firstLine="720"/>
        <w:rPr>
          <w:szCs w:val="22"/>
        </w:rPr>
      </w:pPr>
    </w:p>
    <w:p w:rsidR="00AE6DB6" w:rsidRPr="00AE6DB6" w:rsidP="00AE6DB6" w14:paraId="3395F184" w14:textId="14EEC902">
      <w:pPr>
        <w:widowControl/>
        <w:spacing w:after="160"/>
        <w:ind w:firstLine="720"/>
        <w:rPr>
          <w:rFonts w:eastAsia="Aptos"/>
          <w:snapToGrid/>
          <w:kern w:val="0"/>
          <w:szCs w:val="22"/>
        </w:rPr>
      </w:pPr>
      <w:r w:rsidRPr="00AE6DB6">
        <w:rPr>
          <w:rFonts w:eastAsia="Aptos"/>
          <w:szCs w:val="22"/>
        </w:rPr>
        <w:t>Nearly thirty</w:t>
      </w:r>
      <w:r w:rsidRPr="00AE6DB6">
        <w:rPr>
          <w:rFonts w:eastAsia="Aptos"/>
          <w:snapToGrid/>
          <w:kern w:val="0"/>
          <w:szCs w:val="22"/>
        </w:rPr>
        <w:t xml:space="preserve"> years ago, global satellite policymakers endorsed equivalent power-flux density, or (EPFD), limits in the Ku- and Ka-</w:t>
      </w:r>
      <w:r w:rsidRPr="00AE6DB6">
        <w:rPr>
          <w:rFonts w:eastAsia="Aptos"/>
          <w:szCs w:val="22"/>
        </w:rPr>
        <w:t xml:space="preserve"> spec</w:t>
      </w:r>
      <w:r w:rsidRPr="00AE6DB6">
        <w:rPr>
          <w:rFonts w:eastAsia="Aptos"/>
          <w:snapToGrid/>
          <w:kern w:val="0"/>
          <w:szCs w:val="22"/>
        </w:rPr>
        <w:t>trum bands</w:t>
      </w:r>
      <w:r w:rsidRPr="00AE6DB6">
        <w:rPr>
          <w:rFonts w:eastAsia="Aptos"/>
          <w:szCs w:val="22"/>
        </w:rPr>
        <w:t>.  These limits reflected a precautionary approach to prote</w:t>
      </w:r>
      <w:r w:rsidRPr="00AE6DB6">
        <w:rPr>
          <w:rFonts w:eastAsia="Aptos"/>
          <w:snapToGrid/>
          <w:kern w:val="0"/>
          <w:szCs w:val="22"/>
        </w:rPr>
        <w:t>cting GSO satellite</w:t>
      </w:r>
      <w:r w:rsidRPr="00AE6DB6">
        <w:rPr>
          <w:rFonts w:eastAsia="Aptos"/>
          <w:szCs w:val="22"/>
        </w:rPr>
        <w:t>s from harmful interfere</w:t>
      </w:r>
      <w:r w:rsidRPr="00AE6DB6">
        <w:rPr>
          <w:rFonts w:eastAsia="Aptos"/>
          <w:snapToGrid/>
          <w:kern w:val="0"/>
          <w:szCs w:val="22"/>
        </w:rPr>
        <w:t xml:space="preserve">nce, while still enabling spectrum sharing between </w:t>
      </w:r>
      <w:r w:rsidR="004017E0">
        <w:rPr>
          <w:rFonts w:eastAsia="Aptos"/>
          <w:snapToGrid/>
          <w:kern w:val="0"/>
          <w:szCs w:val="22"/>
        </w:rPr>
        <w:t>NGSO</w:t>
      </w:r>
      <w:r w:rsidRPr="00AE6DB6">
        <w:rPr>
          <w:rFonts w:eastAsia="Aptos"/>
          <w:snapToGrid/>
          <w:kern w:val="0"/>
          <w:szCs w:val="22"/>
        </w:rPr>
        <w:t xml:space="preserve"> fixed satellite systems and incumbent </w:t>
      </w:r>
      <w:r w:rsidR="00D213C0">
        <w:rPr>
          <w:rFonts w:eastAsia="Aptos"/>
          <w:snapToGrid/>
          <w:kern w:val="0"/>
          <w:szCs w:val="22"/>
        </w:rPr>
        <w:t>GSO</w:t>
      </w:r>
      <w:r w:rsidRPr="00AE6DB6">
        <w:rPr>
          <w:rFonts w:eastAsia="Aptos"/>
          <w:snapToGrid/>
          <w:kern w:val="0"/>
          <w:szCs w:val="22"/>
        </w:rPr>
        <w:t xml:space="preserve"> operators.</w:t>
      </w:r>
      <w:r w:rsidRPr="00AE6DB6">
        <w:rPr>
          <w:rFonts w:eastAsia="Aptos"/>
          <w:szCs w:val="22"/>
        </w:rPr>
        <w:t xml:space="preserve">  Yet, notwithstanding th</w:t>
      </w:r>
      <w:r w:rsidRPr="00AE6DB6">
        <w:rPr>
          <w:rFonts w:eastAsia="Aptos"/>
          <w:snapToGrid/>
          <w:kern w:val="0"/>
          <w:szCs w:val="22"/>
        </w:rPr>
        <w:t>e utility of the EPFD framework, few could have anticipated the scale and dynamism of the satellite ecosystem</w:t>
      </w:r>
      <w:r w:rsidRPr="00AE6DB6">
        <w:rPr>
          <w:rFonts w:eastAsia="Aptos"/>
          <w:szCs w:val="22"/>
        </w:rPr>
        <w:t xml:space="preserve"> three decades following its</w:t>
      </w:r>
      <w:r w:rsidRPr="00AE6DB6">
        <w:rPr>
          <w:rFonts w:eastAsia="Aptos"/>
          <w:snapToGrid/>
          <w:kern w:val="0"/>
          <w:szCs w:val="22"/>
        </w:rPr>
        <w:t xml:space="preserve"> adoption.  </w:t>
      </w:r>
    </w:p>
    <w:p w:rsidR="00AE6DB6" w:rsidRPr="00AE6DB6" w:rsidP="00AE6DB6" w14:paraId="1A5F12B2" w14:textId="7CB7FA71">
      <w:pPr>
        <w:widowControl/>
        <w:spacing w:after="160"/>
        <w:ind w:firstLine="720"/>
        <w:rPr>
          <w:rFonts w:eastAsia="Aptos"/>
          <w:szCs w:val="22"/>
        </w:rPr>
      </w:pPr>
      <w:r w:rsidRPr="00AE6DB6">
        <w:rPr>
          <w:rFonts w:eastAsia="Aptos"/>
          <w:snapToGrid/>
          <w:kern w:val="0"/>
          <w:szCs w:val="22"/>
        </w:rPr>
        <w:t xml:space="preserve">Today, </w:t>
      </w:r>
      <w:r w:rsidR="007A459A">
        <w:rPr>
          <w:rFonts w:eastAsia="Aptos"/>
          <w:snapToGrid/>
          <w:kern w:val="0"/>
          <w:szCs w:val="22"/>
        </w:rPr>
        <w:t>GSO operators hav</w:t>
      </w:r>
      <w:r w:rsidRPr="00AE6DB6">
        <w:rPr>
          <w:rFonts w:eastAsia="Aptos"/>
          <w:snapToGrid/>
          <w:kern w:val="0"/>
          <w:szCs w:val="22"/>
        </w:rPr>
        <w:t xml:space="preserve">e deployed satellites with enhanced capabilities that support reliable internet connectivity, high-capacity video and audio distribution, and mission critical communications services for our military.  Meanwhile, the NGSO sector has experienced explosive growth, with commercial providers launching constellations of hundreds </w:t>
      </w:r>
      <w:r w:rsidRPr="00AE6DB6">
        <w:rPr>
          <w:rFonts w:eastAsia="Aptos"/>
          <w:szCs w:val="22"/>
        </w:rPr>
        <w:t>to</w:t>
      </w:r>
      <w:r w:rsidRPr="00AE6DB6">
        <w:rPr>
          <w:rFonts w:eastAsia="Aptos"/>
          <w:snapToGrid/>
          <w:kern w:val="0"/>
          <w:szCs w:val="22"/>
        </w:rPr>
        <w:t xml:space="preserve"> thousands of satellites in low Earth orbit.  These systems deliver high-speed, low latency broadband, enable direct-to-device communications services, and more.  Together, GSO and NGSO operators are expanding connectivity across the nation and making meaningful progress in our mission to close the digital divide.</w:t>
      </w:r>
    </w:p>
    <w:p w:rsidR="00AE6DB6" w:rsidRPr="00AE6DB6" w:rsidP="00AE6DB6" w14:paraId="4C5D03EA" w14:textId="77777777">
      <w:pPr>
        <w:widowControl/>
        <w:spacing w:after="160"/>
        <w:ind w:firstLine="720"/>
        <w:rPr>
          <w:rFonts w:eastAsia="Aptos"/>
          <w:szCs w:val="22"/>
        </w:rPr>
      </w:pPr>
      <w:r w:rsidRPr="00AE6DB6">
        <w:rPr>
          <w:rFonts w:eastAsia="Aptos"/>
          <w:snapToGrid/>
          <w:kern w:val="0"/>
          <w:szCs w:val="22"/>
        </w:rPr>
        <w:t xml:space="preserve">Importantly, technological advances now allow NGSO systems to use shared spectrum far more efficiently and to mitigate interference in ways that were not possible when EPFD limits were first </w:t>
      </w:r>
      <w:r w:rsidRPr="00AE6DB6">
        <w:rPr>
          <w:rFonts w:eastAsia="Aptos"/>
          <w:szCs w:val="22"/>
        </w:rPr>
        <w:t>implemented</w:t>
      </w:r>
      <w:r w:rsidRPr="00AE6DB6">
        <w:rPr>
          <w:rFonts w:eastAsia="Aptos"/>
          <w:snapToGrid/>
          <w:kern w:val="0"/>
          <w:szCs w:val="22"/>
        </w:rPr>
        <w:t xml:space="preserve">.  In light of these developments, it is clear that legacy rules, however well-intentioned, are a constraint to competition, innovation, and American leadership in the space economy.  Today, we begin to correct course. </w:t>
      </w:r>
    </w:p>
    <w:p w:rsidR="00AE6DB6" w:rsidRPr="00AE6DB6" w:rsidP="00AE6DB6" w14:paraId="276C0C44" w14:textId="77777777">
      <w:pPr>
        <w:widowControl/>
        <w:spacing w:after="160"/>
        <w:ind w:firstLine="720"/>
        <w:rPr>
          <w:rFonts w:eastAsia="Aptos"/>
          <w:snapToGrid/>
          <w:kern w:val="0"/>
          <w:szCs w:val="22"/>
        </w:rPr>
      </w:pPr>
      <w:r w:rsidRPr="00AE6DB6">
        <w:rPr>
          <w:rFonts w:eastAsia="Aptos"/>
          <w:snapToGrid/>
          <w:kern w:val="0"/>
          <w:szCs w:val="22"/>
        </w:rPr>
        <w:t xml:space="preserve">The President’s 2025 Executive Order on Ensuring American Space Superiority underscores the importance of U.S. leadership in spectrum policy and calls on policymakers to enable commercial space growth through more efficient spectrum management.   </w:t>
      </w:r>
    </w:p>
    <w:p w:rsidR="00AE6DB6" w:rsidRPr="00AE6DB6" w:rsidP="00AE6DB6" w14:paraId="771F4186" w14:textId="77777777">
      <w:pPr>
        <w:widowControl/>
        <w:spacing w:after="160"/>
        <w:ind w:firstLine="720"/>
        <w:rPr>
          <w:rFonts w:eastAsia="Aptos"/>
          <w:snapToGrid/>
          <w:kern w:val="0"/>
          <w:szCs w:val="22"/>
        </w:rPr>
      </w:pPr>
      <w:r w:rsidRPr="00AE6DB6">
        <w:rPr>
          <w:rFonts w:eastAsia="Aptos"/>
          <w:snapToGrid/>
          <w:kern w:val="0"/>
          <w:szCs w:val="22"/>
        </w:rPr>
        <w:t xml:space="preserve">This rulemaking advances that goal.  It follows the general approach that the Commission has already taken for NGSO-NGSO sharing and the ITU has adopted in the Q- and V- bands for GSO-NGSO sharing.  And it promotes more effective spectrum sharing by moving beyond rigid EPFD limits in the Ku- and Ka- downlink bands and toward a framework grounded in good-faith coordination, coupled with clear short- and long-term protection criteria.  This approach better balances the need for NGSO systems to expand capacity with appropriate safeguards for ongoing GSO operations. </w:t>
      </w:r>
    </w:p>
    <w:p w:rsidR="00AE6DB6" w:rsidRPr="00AE6DB6" w:rsidP="00AE6DB6" w14:paraId="0521B40F" w14:textId="77777777">
      <w:pPr>
        <w:widowControl/>
        <w:spacing w:after="160"/>
        <w:ind w:firstLine="720"/>
        <w:rPr>
          <w:rFonts w:eastAsia="Aptos"/>
          <w:snapToGrid/>
          <w:kern w:val="0"/>
          <w:szCs w:val="22"/>
        </w:rPr>
      </w:pPr>
      <w:r w:rsidRPr="00AE6DB6">
        <w:rPr>
          <w:rFonts w:eastAsia="Aptos"/>
          <w:snapToGrid/>
          <w:kern w:val="0"/>
          <w:szCs w:val="22"/>
        </w:rPr>
        <w:t>Just as important, today’s decision positions the United States to lead globally in modernizing satellite spectrum policy.  For years, the United States has recognized the need to revisit international EPFD rules that limit the ability of American companies to improve performance, reduce costs, and deliver better services worldwide.  I appreciate the Chairman’s collaboration</w:t>
      </w:r>
      <w:r w:rsidRPr="00AE6DB6">
        <w:rPr>
          <w:rFonts w:eastAsia="Aptos"/>
          <w:snapToGrid/>
          <w:kern w:val="0"/>
          <w:szCs w:val="22"/>
        </w:rPr>
        <w:t xml:space="preserve"> </w:t>
      </w:r>
      <w:r w:rsidRPr="00AE6DB6">
        <w:rPr>
          <w:rFonts w:eastAsia="Aptos"/>
          <w:snapToGrid/>
          <w:kern w:val="0"/>
          <w:szCs w:val="22"/>
        </w:rPr>
        <w:t>in advancing language that positions the U.S. as a leader in future international discussions on</w:t>
      </w:r>
      <w:r w:rsidRPr="00AE6DB6">
        <w:rPr>
          <w:rFonts w:eastAsia="Aptos"/>
          <w:snapToGrid/>
          <w:kern w:val="0"/>
          <w:szCs w:val="22"/>
        </w:rPr>
        <w:t xml:space="preserve"> </w:t>
      </w:r>
      <w:r w:rsidRPr="00AE6DB6">
        <w:rPr>
          <w:rFonts w:eastAsia="Aptos"/>
          <w:snapToGrid/>
          <w:kern w:val="0"/>
          <w:szCs w:val="22"/>
        </w:rPr>
        <w:t xml:space="preserve">EPFD limits.  I am optimistic that today’s action, and the real-world results it enables, will strengthen our hand in advancing global spectrum harmonization through the ITU process.  </w:t>
      </w:r>
    </w:p>
    <w:p w:rsidR="00AE6DB6" w:rsidRPr="00AE6DB6" w:rsidP="00AE6DB6" w14:paraId="79055905" w14:textId="77777777">
      <w:pPr>
        <w:widowControl/>
        <w:spacing w:after="160"/>
        <w:ind w:firstLine="720"/>
        <w:rPr>
          <w:rFonts w:eastAsia="Aptos"/>
          <w:snapToGrid/>
          <w:kern w:val="0"/>
          <w:szCs w:val="22"/>
        </w:rPr>
      </w:pPr>
      <w:r w:rsidRPr="00AE6DB6">
        <w:rPr>
          <w:rFonts w:eastAsia="Aptos"/>
          <w:snapToGrid/>
          <w:kern w:val="0"/>
          <w:szCs w:val="22"/>
        </w:rPr>
        <w:t xml:space="preserve">I thank the Space Bureau for their hard work on this item. </w:t>
      </w:r>
    </w:p>
    <w:p w:rsidR="00934012" w:rsidRPr="005577AD" w:rsidP="00934012" w14:paraId="66BCB381" w14:textId="77777777">
      <w:pPr>
        <w:widowControl/>
        <w:ind w:firstLine="720"/>
        <w:rPr>
          <w:szCs w:val="22"/>
        </w:rPr>
      </w:pPr>
    </w:p>
    <w:p w:rsidR="00934012" w:rsidRPr="00DE72D3" w:rsidP="00934012" w14:paraId="703F46DC" w14:textId="77777777"/>
    <w:p w:rsidR="002C00E8" w:rsidRPr="00934012" w:rsidP="00934012" w14:paraId="468E4E72" w14:textId="77777777"/>
    <w:sectPr w:rsidSect="0055614C">
      <w:headerReference w:type="default" r:id="rId6"/>
      <w:footerReference w:type="even" r:id="rId7"/>
      <w:footerReference w:type="default" r:id="rId8"/>
      <w:headerReference w:type="first" r:id="rId9"/>
      <w:footerReference w:type="first" r:id="rId10"/>
      <w:endnotePr>
        <w:numFmt w:val="decimal"/>
      </w:endnotePr>
      <w:pgSz w:w="12240" w:h="15840"/>
      <w:pgMar w:top="1440" w:right="1440" w:bottom="720" w:left="1440" w:header="720" w:footer="720" w:gutter="0"/>
      <w:pgNumType w:start="1"/>
      <w:cols w:space="720"/>
      <w:noEndnote/>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endnote w:type="separator" w:id="0">
    <w:p w:rsidR="00062070" w14:paraId="5022E4E0" w14:textId="77777777">
      <w:pPr>
        <w:spacing w:line="20" w:lineRule="exact"/>
      </w:pPr>
    </w:p>
  </w:endnote>
  <w:endnote w:type="continuationSeparator" w:id="1">
    <w:p w:rsidR="00062070" w14:paraId="2BA36F17" w14:textId="77777777">
      <w:r>
        <w:t xml:space="preserve"> </w:t>
      </w:r>
    </w:p>
  </w:endnote>
  <w:endnote w:type="continuationNotice" w:id="2">
    <w:p w:rsidR="00062070" w14:paraId="155F9770" w14:textId="77777777">
      <w:r>
        <w:t xml:space="preserve"> </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Times New Roman Bold">
    <w:altName w:val="Times New Roman"/>
    <w:panose1 w:val="02020803070505020304"/>
    <w:charset w:val="00"/>
    <w:family w:val="roman"/>
    <w:notTrueType/>
    <w:pitch w:val="default"/>
    <w:sig w:usb0="00000003" w:usb1="00000000" w:usb2="00000000" w:usb3="00000000" w:csb0="00000001" w:csb1="00000000"/>
  </w:font>
  <w:font w:name="Aptos">
    <w:charset w:val="00"/>
    <w:family w:val="swiss"/>
    <w:pitch w:val="variable"/>
    <w:sig w:usb0="20000287" w:usb1="00000003" w:usb2="00000000" w:usb3="00000000" w:csb0="0000019F"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D25FB5" w:rsidP="0055614C" w14:paraId="0B6B0A6B" w14:textId="77777777">
    <w:pPr>
      <w:pStyle w:val="Footer"/>
      <w:framePr w:wrap="around" w:vAnchor="text" w:hAnchor="margin" w:xAlign="center" w:y="1"/>
    </w:pPr>
    <w:r>
      <w:fldChar w:fldCharType="begin"/>
    </w:r>
    <w:r>
      <w:instrText xml:space="preserve">PAGE  </w:instrText>
    </w:r>
    <w:r>
      <w:fldChar w:fldCharType="separate"/>
    </w:r>
    <w:r>
      <w:fldChar w:fldCharType="end"/>
    </w:r>
  </w:p>
  <w:p w:rsidR="00D25FB5" w14:paraId="247B6278" w14:textId="7777777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D25FB5" w:rsidP="0055614C" w14:paraId="61E115BD" w14:textId="77777777">
    <w:pPr>
      <w:pStyle w:val="Footer"/>
      <w:framePr w:wrap="around" w:vAnchor="text" w:hAnchor="margin" w:xAlign="center" w:y="1"/>
    </w:pPr>
    <w:r>
      <w:fldChar w:fldCharType="begin"/>
    </w:r>
    <w:r>
      <w:instrText xml:space="preserve">PAGE  </w:instrText>
    </w:r>
    <w:r>
      <w:fldChar w:fldCharType="separate"/>
    </w:r>
    <w:r w:rsidR="005E14C2">
      <w:rPr>
        <w:noProof/>
      </w:rPr>
      <w:t>2</w:t>
    </w:r>
    <w:r>
      <w:fldChar w:fldCharType="end"/>
    </w:r>
  </w:p>
  <w:p w:rsidR="00D25FB5" w14:paraId="130BD67E" w14:textId="77777777">
    <w:pPr>
      <w:suppressAutoHyphens/>
      <w:spacing w:line="227" w:lineRule="auto"/>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D25FB5" w14:paraId="780A8879" w14:textId="77777777">
    <w:pPr>
      <w:pStyle w:val="Footer"/>
      <w:tabs>
        <w:tab w:val="clear" w:pos="8640"/>
      </w:tabs>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footnote w:type="separator" w:id="0">
    <w:p w:rsidR="00062070" w14:paraId="294D5481" w14:textId="77777777">
      <w:r>
        <w:separator/>
      </w:r>
    </w:p>
  </w:footnote>
  <w:footnote w:type="continuationSeparator" w:id="1">
    <w:p w:rsidR="00062070" w:rsidP="00C721AC" w14:paraId="6A7EF68E" w14:textId="77777777">
      <w:pPr>
        <w:spacing w:before="120"/>
        <w:rPr>
          <w:sz w:val="20"/>
        </w:rPr>
      </w:pPr>
      <w:r>
        <w:rPr>
          <w:sz w:val="20"/>
        </w:rPr>
        <w:t xml:space="preserve">(Continued from previous page)  </w:t>
      </w:r>
      <w:r>
        <w:rPr>
          <w:sz w:val="20"/>
        </w:rPr>
        <w:separator/>
      </w:r>
    </w:p>
  </w:footnote>
  <w:footnote w:type="continuationNotice" w:id="2">
    <w:p w:rsidR="00062070" w:rsidP="00C721AC" w14:paraId="6F5F3499" w14:textId="77777777">
      <w:pPr>
        <w:jc w:val="right"/>
        <w:rPr>
          <w:sz w:val="20"/>
        </w:rPr>
      </w:pPr>
      <w:r>
        <w:rPr>
          <w:sz w:val="20"/>
        </w:rPr>
        <w:t>(continued….)</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D25FB5" w:rsidP="00810B6F" w14:paraId="535D6316" w14:textId="77777777">
    <w:pPr>
      <w:pStyle w:val="Header"/>
      <w:rPr>
        <w:b w:val="0"/>
      </w:rPr>
    </w:pPr>
    <w:r>
      <w:tab/>
      <w:t>Federal Communications Commission</w:t>
    </w:r>
    <w:r>
      <w:tab/>
    </w:r>
    <w:r w:rsidR="0028301F">
      <w:fldChar w:fldCharType="begin"/>
    </w:r>
    <w:r w:rsidR="0028301F">
      <w:instrText xml:space="preserve"> MACROBUTTON  AcceptAllChangesShown "FCC  XX-XXX" </w:instrText>
    </w:r>
    <w:r w:rsidR="0028301F">
      <w:fldChar w:fldCharType="end"/>
    </w:r>
  </w:p>
  <w:p w:rsidR="00D25FB5" w14:paraId="40AF1377" w14:textId="176E3E6A">
    <w:pPr>
      <w:tabs>
        <w:tab w:val="left" w:pos="-720"/>
      </w:tabs>
      <w:suppressAutoHyphens/>
      <w:spacing w:line="19" w:lineRule="exact"/>
      <w:rPr>
        <w:spacing w:val="-2"/>
      </w:rPr>
    </w:pPr>
    <w:r>
      <w:rPr>
        <w:noProof/>
      </w:rPr>
      <mc:AlternateContent>
        <mc:Choice Requires="wps">
          <w:drawing>
            <wp:anchor distT="0" distB="0" distL="114300" distR="114300" simplePos="0" relativeHeight="251658240" behindDoc="1" locked="0" layoutInCell="0" allowOverlap="1">
              <wp:simplePos x="0" y="0"/>
              <wp:positionH relativeFrom="margin">
                <wp:posOffset>0</wp:posOffset>
              </wp:positionH>
              <wp:positionV relativeFrom="paragraph">
                <wp:posOffset>0</wp:posOffset>
              </wp:positionV>
              <wp:extent cx="5943600" cy="12065"/>
              <wp:effectExtent l="0" t="0" r="0" b="0"/>
              <wp:wrapNone/>
              <wp:docPr id="2" name="Rectangle 1"/>
              <wp:cNvGraphicFramePr/>
              <a:graphic xmlns:a="http://schemas.openxmlformats.org/drawingml/2006/main">
                <a:graphicData uri="http://schemas.microsoft.com/office/word/2010/wordprocessingShape">
                  <wps:wsp xmlns:wps="http://schemas.microsoft.com/office/word/2010/wordprocessingShape">
                    <wps:cNvSpPr>
                      <a:spLocks noChangeArrowheads="1"/>
                    </wps:cNvSpPr>
                    <wps:spPr bwMode="auto">
                      <a:xfrm>
                        <a:off x="0" y="0"/>
                        <a:ext cx="5943600" cy="12065"/>
                      </a:xfrm>
                      <a:prstGeom prst="rect">
                        <a:avLst/>
                      </a:prstGeom>
                      <a:solidFill>
                        <a:srgbClr val="000000"/>
                      </a:solidFill>
                      <a:ln>
                        <a:noFill/>
                      </a:ln>
                      <a:effectLst/>
                      <a:extLst>
                        <a:ext xmlns:a="http://schemas.openxmlformats.org/drawingml/2006/main" uri="{91240B29-F687-4F45-9708-019B960494DF}">
                          <a14:hiddenLine xmlns:a14="http://schemas.microsoft.com/office/drawing/2010/main" w="635">
                            <a:solidFill>
                              <a:srgbClr val="000000"/>
                            </a:solidFill>
                            <a:miter lim="800000"/>
                            <a:headEnd/>
                            <a:tailEnd/>
                          </a14:hiddenLine>
                        </a:ext>
                        <a:ext xmlns:a="http://schemas.openxmlformats.org/drawingml/2006/main" uri="{AF507438-7753-43E0-B8FC-AC1667EBCBE1}">
                          <a14:hiddenEffects xmlns:a14="http://schemas.microsoft.com/office/drawing/2010/main">
                            <a:effectLst>
                              <a:outerShdw algn="ctr" dir="2700000" dist="35921" rotWithShape="0">
                                <a:srgbClr val="808080"/>
                              </a:outerShdw>
                            </a:effectLst>
                          </a14:hiddenEffects>
                        </a:ext>
                      </a:extLst>
                    </wps:spPr>
                    <wps:bodyPr rot="0" vert="horz" wrap="square" lIns="91440" tIns="45720" rIns="91440" bIns="45720" anchor="t" anchorCtr="0" upright="1"/>
                  </wps:wsp>
                </a:graphicData>
              </a:graphic>
              <wp14:sizeRelH relativeFrom="page">
                <wp14:pctWidth>0</wp14:pctWidth>
              </wp14:sizeRelH>
              <wp14:sizeRelV relativeFrom="page">
                <wp14:pctHeight>0</wp14:pctHeight>
              </wp14:sizeRelV>
            </wp:anchor>
          </w:drawing>
        </mc:Choice>
        <mc:Fallback>
          <w:pict>
            <v:rect id="Rectangle 1" o:spid="_x0000_s2049" style="width:468pt;height:0.95pt;margin-top:0;margin-left:0;mso-height-percent:0;mso-height-relative:page;mso-position-horizontal-relative:margin;mso-width-percent:0;mso-width-relative:page;mso-wrap-distance-bottom:0;mso-wrap-distance-left:9pt;mso-wrap-distance-right:9pt;mso-wrap-distance-top:0;mso-wrap-style:square;position:absolute;visibility:visible;v-text-anchor:top;z-index:-251657216" o:allowincell="f" fillcolor="black" stroked="f" strokeweight="0.05pt">
              <w10:wrap anchorx="margin"/>
            </v:rect>
          </w:pict>
        </mc:Fallback>
      </mc:AlternateContent>
    </w:r>
  </w:p>
  <w:p w:rsidR="00D25FB5" w14:paraId="178A9938" w14:textId="77777777">
    <w:pPr>
      <w:spacing w:after="389" w:line="100" w:lineRule="exact"/>
      <w:rPr>
        <w:sz w:val="10"/>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D25FB5" w:rsidP="00810B6F" w14:paraId="04520942" w14:textId="7129E2DB">
    <w:pPr>
      <w:pStyle w:val="Header"/>
      <w:rPr>
        <w:b w:val="0"/>
      </w:rPr>
    </w:pPr>
    <w:r>
      <w:rPr>
        <w:noProof/>
      </w:rPr>
      <mc:AlternateContent>
        <mc:Choice Requires="wps">
          <w:drawing>
            <wp:anchor distT="0" distB="0" distL="114300" distR="114300" simplePos="0" relativeHeight="251660288" behindDoc="1" locked="0" layoutInCell="0" allowOverlap="1">
              <wp:simplePos x="0" y="0"/>
              <wp:positionH relativeFrom="margin">
                <wp:posOffset>7620</wp:posOffset>
              </wp:positionH>
              <wp:positionV relativeFrom="paragraph">
                <wp:posOffset>160655</wp:posOffset>
              </wp:positionV>
              <wp:extent cx="5943600" cy="12065"/>
              <wp:effectExtent l="0" t="0" r="0" b="0"/>
              <wp:wrapNone/>
              <wp:docPr id="1" name="Rectangle 3"/>
              <wp:cNvGraphicFramePr/>
              <a:graphic xmlns:a="http://schemas.openxmlformats.org/drawingml/2006/main">
                <a:graphicData uri="http://schemas.microsoft.com/office/word/2010/wordprocessingShape">
                  <wps:wsp xmlns:wps="http://schemas.microsoft.com/office/word/2010/wordprocessingShape">
                    <wps:cNvSpPr>
                      <a:spLocks noChangeArrowheads="1"/>
                    </wps:cNvSpPr>
                    <wps:spPr bwMode="auto">
                      <a:xfrm>
                        <a:off x="0" y="0"/>
                        <a:ext cx="5943600" cy="12065"/>
                      </a:xfrm>
                      <a:prstGeom prst="rect">
                        <a:avLst/>
                      </a:prstGeom>
                      <a:solidFill>
                        <a:srgbClr val="000000"/>
                      </a:solidFill>
                      <a:ln>
                        <a:noFill/>
                      </a:ln>
                      <a:effectLst/>
                      <a:extLst>
                        <a:ext xmlns:a="http://schemas.openxmlformats.org/drawingml/2006/main" uri="{91240B29-F687-4F45-9708-019B960494DF}">
                          <a14:hiddenLine xmlns:a14="http://schemas.microsoft.com/office/drawing/2010/main" w="635">
                            <a:solidFill>
                              <a:srgbClr val="000000"/>
                            </a:solidFill>
                            <a:miter lim="800000"/>
                            <a:headEnd/>
                            <a:tailEnd/>
                          </a14:hiddenLine>
                        </a:ext>
                        <a:ext xmlns:a="http://schemas.openxmlformats.org/drawingml/2006/main" uri="{AF507438-7753-43E0-B8FC-AC1667EBCBE1}">
                          <a14:hiddenEffects xmlns:a14="http://schemas.microsoft.com/office/drawing/2010/main">
                            <a:effectLst>
                              <a:outerShdw algn="ctr" dir="2700000" dist="35921" rotWithShape="0">
                                <a:srgbClr val="808080"/>
                              </a:outerShdw>
                            </a:effectLst>
                          </a14:hiddenEffects>
                        </a:ext>
                      </a:extLst>
                    </wps:spPr>
                    <wps:bodyPr rot="0" vert="horz" wrap="square" lIns="91440" tIns="45720" rIns="91440" bIns="45720" anchor="t" anchorCtr="0" upright="1"/>
                  </wps:wsp>
                </a:graphicData>
              </a:graphic>
              <wp14:sizeRelH relativeFrom="page">
                <wp14:pctWidth>0</wp14:pctWidth>
              </wp14:sizeRelH>
              <wp14:sizeRelV relativeFrom="page">
                <wp14:pctHeight>0</wp14:pctHeight>
              </wp14:sizeRelV>
            </wp:anchor>
          </w:drawing>
        </mc:Choice>
        <mc:Fallback>
          <w:pict>
            <v:rect id="Rectangle 3" o:spid="_x0000_s2050" style="width:468pt;height:0.95pt;margin-top:12.65pt;margin-left:0.6pt;mso-height-percent:0;mso-height-relative:page;mso-position-horizontal-relative:margin;mso-width-percent:0;mso-width-relative:page;mso-wrap-distance-bottom:0;mso-wrap-distance-left:9pt;mso-wrap-distance-right:9pt;mso-wrap-distance-top:0;mso-wrap-style:square;position:absolute;visibility:visible;v-text-anchor:top;z-index:-251655168" o:allowincell="f" fillcolor="black" stroked="f" strokeweight="0.05pt">
              <w10:wrap anchorx="margin"/>
            </v:rect>
          </w:pict>
        </mc:Fallback>
      </mc:AlternateContent>
    </w:r>
    <w:r>
      <w:tab/>
      <w:t>Federal Communications Commission</w:t>
    </w:r>
    <w:r>
      <w:tab/>
    </w:r>
    <w:r w:rsidR="004B41B2">
      <w:rPr>
        <w:spacing w:val="-2"/>
      </w:rPr>
      <w:t>FCC 26-26</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abstractNum w:abstractNumId="0">
    <w:nsid w:val="084B453C"/>
    <w:multiLevelType w:val="singleLevel"/>
    <w:tmpl w:val="40A8E97A"/>
    <w:lvl w:ilvl="0">
      <w:start w:val="1"/>
      <w:numFmt w:val="decimal"/>
      <w:lvlText w:val="%1."/>
      <w:lvlJc w:val="left"/>
      <w:pPr>
        <w:tabs>
          <w:tab w:val="num" w:pos="1080"/>
        </w:tabs>
        <w:ind w:left="0" w:firstLine="720"/>
      </w:pPr>
    </w:lvl>
  </w:abstractNum>
  <w:abstractNum w:abstractNumId="1">
    <w:nsid w:val="23F40A0F"/>
    <w:multiLevelType w:val="singleLevel"/>
    <w:tmpl w:val="3244DD0A"/>
    <w:lvl w:ilvl="0">
      <w:start w:val="1"/>
      <w:numFmt w:val="bullet"/>
      <w:lvlText w:val=""/>
      <w:lvlJc w:val="left"/>
      <w:pPr>
        <w:tabs>
          <w:tab w:val="num" w:pos="360"/>
        </w:tabs>
        <w:ind w:left="360" w:hanging="360"/>
      </w:pPr>
      <w:rPr>
        <w:rFonts w:ascii="Symbol" w:hAnsi="Symbol" w:hint="default"/>
      </w:rPr>
    </w:lvl>
  </w:abstractNum>
  <w:abstractNum w:abstractNumId="2">
    <w:nsid w:val="248246F3"/>
    <w:multiLevelType w:val="singleLevel"/>
    <w:tmpl w:val="B1F45678"/>
    <w:lvl w:ilvl="0">
      <w:start w:val="1"/>
      <w:numFmt w:val="decimal"/>
      <w:lvlText w:val="%1."/>
      <w:lvlJc w:val="left"/>
      <w:pPr>
        <w:tabs>
          <w:tab w:val="num" w:pos="1080"/>
        </w:tabs>
        <w:ind w:left="0" w:firstLine="720"/>
      </w:pPr>
    </w:lvl>
  </w:abstractNum>
  <w:abstractNum w:abstractNumId="3">
    <w:nsid w:val="27E06CBB"/>
    <w:multiLevelType w:val="multilevel"/>
    <w:tmpl w:val="F1A86982"/>
    <w:lvl w:ilvl="0">
      <w:start w:val="1"/>
      <w:numFmt w:val="upperRoman"/>
      <w:pStyle w:val="Heading1"/>
      <w:lvlText w:val="%1."/>
      <w:lvlJc w:val="left"/>
      <w:pPr>
        <w:tabs>
          <w:tab w:val="num" w:pos="720"/>
        </w:tabs>
        <w:ind w:left="720" w:hanging="720"/>
      </w:pPr>
    </w:lvl>
    <w:lvl w:ilvl="1">
      <w:start w:val="1"/>
      <w:numFmt w:val="upperLetter"/>
      <w:pStyle w:val="Heading2"/>
      <w:lvlText w:val="%2."/>
      <w:lvlJc w:val="left"/>
      <w:pPr>
        <w:tabs>
          <w:tab w:val="num" w:pos="1440"/>
        </w:tabs>
        <w:ind w:left="1440" w:hanging="720"/>
      </w:pPr>
    </w:lvl>
    <w:lvl w:ilvl="2">
      <w:start w:val="1"/>
      <w:numFmt w:val="decimal"/>
      <w:pStyle w:val="Heading3"/>
      <w:lvlText w:val="%3."/>
      <w:lvlJc w:val="left"/>
      <w:pPr>
        <w:tabs>
          <w:tab w:val="num" w:pos="2160"/>
        </w:tabs>
        <w:ind w:left="2160" w:hanging="720"/>
      </w:pPr>
    </w:lvl>
    <w:lvl w:ilvl="3">
      <w:start w:val="1"/>
      <w:numFmt w:val="lowerLetter"/>
      <w:pStyle w:val="Heading4"/>
      <w:lvlText w:val="%4."/>
      <w:lvlJc w:val="left"/>
      <w:pPr>
        <w:tabs>
          <w:tab w:val="num" w:pos="2880"/>
        </w:tabs>
        <w:ind w:left="2880" w:hanging="720"/>
      </w:pPr>
    </w:lvl>
    <w:lvl w:ilvl="4">
      <w:start w:val="1"/>
      <w:numFmt w:val="lowerRoman"/>
      <w:pStyle w:val="Heading5"/>
      <w:lvlText w:val="(%5)"/>
      <w:lvlJc w:val="left"/>
      <w:pPr>
        <w:tabs>
          <w:tab w:val="num" w:pos="3600"/>
        </w:tabs>
        <w:ind w:left="3600" w:hanging="720"/>
      </w:pPr>
    </w:lvl>
    <w:lvl w:ilvl="5">
      <w:start w:val="1"/>
      <w:numFmt w:val="lowerLetter"/>
      <w:pStyle w:val="Heading6"/>
      <w:lvlText w:val="(%6)"/>
      <w:lvlJc w:val="left"/>
      <w:pPr>
        <w:tabs>
          <w:tab w:val="num" w:pos="4320"/>
        </w:tabs>
        <w:ind w:left="4320" w:hanging="720"/>
      </w:pPr>
    </w:lvl>
    <w:lvl w:ilvl="6">
      <w:start w:val="1"/>
      <w:numFmt w:val="lowerRoman"/>
      <w:pStyle w:val="Heading7"/>
      <w:lvlText w:val="(%7)"/>
      <w:lvlJc w:val="left"/>
      <w:pPr>
        <w:tabs>
          <w:tab w:val="num" w:pos="5040"/>
        </w:tabs>
        <w:ind w:left="4320" w:firstLine="0"/>
      </w:pPr>
    </w:lvl>
    <w:lvl w:ilvl="7">
      <w:start w:val="1"/>
      <w:numFmt w:val="lowerLetter"/>
      <w:pStyle w:val="Heading8"/>
      <w:lvlText w:val="(%8)"/>
      <w:lvlJc w:val="left"/>
      <w:pPr>
        <w:tabs>
          <w:tab w:val="num" w:pos="5400"/>
        </w:tabs>
        <w:ind w:left="5040" w:firstLine="0"/>
      </w:pPr>
    </w:lvl>
    <w:lvl w:ilvl="8">
      <w:start w:val="1"/>
      <w:numFmt w:val="lowerRoman"/>
      <w:pStyle w:val="Heading9"/>
      <w:lvlText w:val="(%9)"/>
      <w:lvlJc w:val="left"/>
      <w:pPr>
        <w:tabs>
          <w:tab w:val="num" w:pos="6120"/>
        </w:tabs>
        <w:ind w:left="5760" w:firstLine="0"/>
      </w:pPr>
    </w:lvl>
  </w:abstractNum>
  <w:abstractNum w:abstractNumId="4">
    <w:nsid w:val="4DF61CE4"/>
    <w:multiLevelType w:val="multilevel"/>
    <w:tmpl w:val="F1A86982"/>
    <w:lvl w:ilvl="0">
      <w:start w:val="1"/>
      <w:numFmt w:val="upperRoman"/>
      <w:lvlText w:val="%1."/>
      <w:lvlJc w:val="left"/>
      <w:pPr>
        <w:tabs>
          <w:tab w:val="num" w:pos="720"/>
        </w:tabs>
        <w:ind w:left="720" w:hanging="720"/>
      </w:pPr>
    </w:lvl>
    <w:lvl w:ilvl="1">
      <w:start w:val="1"/>
      <w:numFmt w:val="upperLetter"/>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lowerLetter"/>
      <w:lvlText w:val="%4."/>
      <w:lvlJc w:val="left"/>
      <w:pPr>
        <w:tabs>
          <w:tab w:val="num" w:pos="2880"/>
        </w:tabs>
        <w:ind w:left="2880" w:hanging="720"/>
      </w:pPr>
    </w:lvl>
    <w:lvl w:ilvl="4">
      <w:start w:val="1"/>
      <w:numFmt w:val="lowerRoman"/>
      <w:lvlText w:val="(%5)"/>
      <w:lvlJc w:val="left"/>
      <w:pPr>
        <w:tabs>
          <w:tab w:val="num" w:pos="3600"/>
        </w:tabs>
        <w:ind w:left="3600" w:hanging="720"/>
      </w:pPr>
    </w:lvl>
    <w:lvl w:ilvl="5">
      <w:start w:val="1"/>
      <w:numFmt w:val="lowerLetter"/>
      <w:lvlText w:val="(%6)"/>
      <w:lvlJc w:val="left"/>
      <w:pPr>
        <w:tabs>
          <w:tab w:val="num" w:pos="4320"/>
        </w:tabs>
        <w:ind w:left="4320" w:hanging="720"/>
      </w:pPr>
    </w:lvl>
    <w:lvl w:ilvl="6">
      <w:start w:val="1"/>
      <w:numFmt w:val="lowerRoman"/>
      <w:lvlText w:val="(%7)"/>
      <w:lvlJc w:val="left"/>
      <w:pPr>
        <w:tabs>
          <w:tab w:val="num" w:pos="5040"/>
        </w:tabs>
        <w:ind w:left="4320" w:firstLine="0"/>
      </w:pPr>
    </w:lvl>
    <w:lvl w:ilvl="7">
      <w:start w:val="1"/>
      <w:numFmt w:val="lowerLetter"/>
      <w:lvlText w:val="(%8)"/>
      <w:lvlJc w:val="left"/>
      <w:pPr>
        <w:tabs>
          <w:tab w:val="num" w:pos="5400"/>
        </w:tabs>
        <w:ind w:left="5040" w:firstLine="0"/>
      </w:pPr>
    </w:lvl>
    <w:lvl w:ilvl="8">
      <w:start w:val="1"/>
      <w:numFmt w:val="lowerRoman"/>
      <w:lvlText w:val="(%9)"/>
      <w:lvlJc w:val="left"/>
      <w:pPr>
        <w:tabs>
          <w:tab w:val="num" w:pos="6120"/>
        </w:tabs>
        <w:ind w:left="5760" w:firstLine="0"/>
      </w:pPr>
    </w:lvl>
  </w:abstractNum>
  <w:abstractNum w:abstractNumId="5">
    <w:nsid w:val="61182925"/>
    <w:multiLevelType w:val="singleLevel"/>
    <w:tmpl w:val="A9EE9842"/>
    <w:lvl w:ilvl="0">
      <w:start w:val="1"/>
      <w:numFmt w:val="decimal"/>
      <w:pStyle w:val="ParaNum"/>
      <w:lvlText w:val="%1."/>
      <w:lvlJc w:val="left"/>
      <w:pPr>
        <w:tabs>
          <w:tab w:val="num" w:pos="1080"/>
        </w:tabs>
        <w:ind w:left="0" w:firstLine="720"/>
      </w:pPr>
    </w:lvl>
  </w:abstractNum>
  <w:num w:numId="1" w16cid:durableId="1314024374">
    <w:abstractNumId w:val="1"/>
  </w:num>
  <w:num w:numId="2" w16cid:durableId="329795009">
    <w:abstractNumId w:val="5"/>
  </w:num>
  <w:num w:numId="3" w16cid:durableId="786433980">
    <w:abstractNumId w:val="3"/>
  </w:num>
  <w:num w:numId="4" w16cid:durableId="541286301">
    <w:abstractNumId w:val="4"/>
  </w:num>
  <w:num w:numId="5" w16cid:durableId="683673678">
    <w:abstractNumId w:val="2"/>
  </w:num>
  <w:num w:numId="6" w16cid:durableId="125085149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80"/>
  <w:bordersDoNotSurroundHeader/>
  <w:bordersDoNotSurroundFooter/>
  <w:stylePaneFormatFilter w:val="3F01" w:allStyles="1" w:alternateStyleNames="0" w:clearFormatting="1" w:customStyles="0" w:directFormattingOnNumbering="1" w:directFormattingOnParagraphs="1" w:directFormattingOnRuns="1" w:directFormattingOnTables="1" w:headingStyles="0" w:latentStyles="0" w:numberingStyles="0" w:stylesInUse="0" w:tableStyles="0" w:top3HeadingStyles="1" w:visibleStyles="0"/>
  <w:defaultTabStop w:val="720"/>
  <w:hyphenationZone w:val="950"/>
  <w:doNotHyphenateCaps/>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footnotePr>
    <w:footnote w:id="0"/>
    <w:footnote w:id="1"/>
    <w:footnote w:id="2"/>
  </w:footnotePr>
  <w:endnotePr>
    <w:numFmt w:val="decimal"/>
    <w:endnote w:id="0"/>
    <w:endnote w:id="1"/>
    <w:endnote w:id="2"/>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34012"/>
    <w:rsid w:val="00036039"/>
    <w:rsid w:val="00037F90"/>
    <w:rsid w:val="00062070"/>
    <w:rsid w:val="000875BF"/>
    <w:rsid w:val="00096D8C"/>
    <w:rsid w:val="000C0B65"/>
    <w:rsid w:val="000E05FE"/>
    <w:rsid w:val="000E3D42"/>
    <w:rsid w:val="00122BD5"/>
    <w:rsid w:val="00133F79"/>
    <w:rsid w:val="00190B95"/>
    <w:rsid w:val="00194A66"/>
    <w:rsid w:val="001D2924"/>
    <w:rsid w:val="001D6BCF"/>
    <w:rsid w:val="001E01CA"/>
    <w:rsid w:val="00275CF5"/>
    <w:rsid w:val="0028301F"/>
    <w:rsid w:val="00285017"/>
    <w:rsid w:val="002A2D2E"/>
    <w:rsid w:val="002B7EDD"/>
    <w:rsid w:val="002C00E8"/>
    <w:rsid w:val="00324C6C"/>
    <w:rsid w:val="00343749"/>
    <w:rsid w:val="003660ED"/>
    <w:rsid w:val="003B0550"/>
    <w:rsid w:val="003B694F"/>
    <w:rsid w:val="003F171C"/>
    <w:rsid w:val="004017E0"/>
    <w:rsid w:val="00412FC5"/>
    <w:rsid w:val="00422276"/>
    <w:rsid w:val="004242F1"/>
    <w:rsid w:val="00445A00"/>
    <w:rsid w:val="00451B0F"/>
    <w:rsid w:val="004550E6"/>
    <w:rsid w:val="004B41B2"/>
    <w:rsid w:val="004C2EE3"/>
    <w:rsid w:val="004E4A22"/>
    <w:rsid w:val="00511968"/>
    <w:rsid w:val="0055614C"/>
    <w:rsid w:val="005577AD"/>
    <w:rsid w:val="005D108A"/>
    <w:rsid w:val="005E14C2"/>
    <w:rsid w:val="00607BA5"/>
    <w:rsid w:val="0061180A"/>
    <w:rsid w:val="00626EB6"/>
    <w:rsid w:val="006433AE"/>
    <w:rsid w:val="00655D03"/>
    <w:rsid w:val="00656B20"/>
    <w:rsid w:val="00683388"/>
    <w:rsid w:val="00683F84"/>
    <w:rsid w:val="006A6A81"/>
    <w:rsid w:val="006F7393"/>
    <w:rsid w:val="00701F9F"/>
    <w:rsid w:val="0070224F"/>
    <w:rsid w:val="007115F7"/>
    <w:rsid w:val="00785689"/>
    <w:rsid w:val="0079754B"/>
    <w:rsid w:val="007A1E6D"/>
    <w:rsid w:val="007A459A"/>
    <w:rsid w:val="007B0EB2"/>
    <w:rsid w:val="00810B6F"/>
    <w:rsid w:val="00822CE0"/>
    <w:rsid w:val="00841AB1"/>
    <w:rsid w:val="008C68F1"/>
    <w:rsid w:val="00921803"/>
    <w:rsid w:val="00926503"/>
    <w:rsid w:val="00934012"/>
    <w:rsid w:val="009726D8"/>
    <w:rsid w:val="009F6B06"/>
    <w:rsid w:val="009F76DB"/>
    <w:rsid w:val="00A32C3B"/>
    <w:rsid w:val="00A45F4F"/>
    <w:rsid w:val="00A600A9"/>
    <w:rsid w:val="00AA55B7"/>
    <w:rsid w:val="00AA5B9E"/>
    <w:rsid w:val="00AB09BF"/>
    <w:rsid w:val="00AB2407"/>
    <w:rsid w:val="00AB53DF"/>
    <w:rsid w:val="00AE6DB6"/>
    <w:rsid w:val="00B07E5C"/>
    <w:rsid w:val="00B811F7"/>
    <w:rsid w:val="00BA5DC6"/>
    <w:rsid w:val="00BA6196"/>
    <w:rsid w:val="00BC6D8C"/>
    <w:rsid w:val="00C21EFF"/>
    <w:rsid w:val="00C34006"/>
    <w:rsid w:val="00C426B1"/>
    <w:rsid w:val="00C61213"/>
    <w:rsid w:val="00C66160"/>
    <w:rsid w:val="00C721AC"/>
    <w:rsid w:val="00C90D6A"/>
    <w:rsid w:val="00CA247E"/>
    <w:rsid w:val="00CC5436"/>
    <w:rsid w:val="00CC72B6"/>
    <w:rsid w:val="00D0218D"/>
    <w:rsid w:val="00D213C0"/>
    <w:rsid w:val="00D25FB5"/>
    <w:rsid w:val="00D44223"/>
    <w:rsid w:val="00DA2529"/>
    <w:rsid w:val="00DB130A"/>
    <w:rsid w:val="00DB2EBB"/>
    <w:rsid w:val="00DC10A1"/>
    <w:rsid w:val="00DC655F"/>
    <w:rsid w:val="00DD0B59"/>
    <w:rsid w:val="00DD7EBD"/>
    <w:rsid w:val="00DE72D3"/>
    <w:rsid w:val="00DF62B6"/>
    <w:rsid w:val="00E07225"/>
    <w:rsid w:val="00E5409F"/>
    <w:rsid w:val="00E57A92"/>
    <w:rsid w:val="00EE6488"/>
    <w:rsid w:val="00F021FA"/>
    <w:rsid w:val="00F62E97"/>
    <w:rsid w:val="00F64209"/>
    <w:rsid w:val="00F93BF5"/>
  </w:rsids>
  <m:mathPr>
    <m:mathFont m:val="Cambria Math"/>
  </m:mathPr>
  <w:themeFontLang w:val="en-US"/>
  <w:clrSchemeMapping w:bg1="light1" w:t1="dark1" w:bg2="light2" w:t2="dark2" w:accent1="accent1" w:accent2="accent2" w:accent3="accent3" w:accent4="accent4" w:accent5="accent5" w:accent6="accent6" w:hyperlink="hyperlink" w:followedHyperlink="followedHyperlink"/>
  <w:doNotIncludeSubdocsInStats/>
  <w14:docId w14:val="522F25FA"/>
  <w15:chartTrackingRefBased/>
  <w15:docId w15:val="{A21E479C-F20A-4FC5-A034-6E894E8F8F5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iPriority="99" w:unhideWhenUsed="1"/>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Normal">
    <w:name w:val="Normal"/>
    <w:qFormat/>
    <w:rsid w:val="00934012"/>
    <w:pPr>
      <w:widowControl w:val="0"/>
    </w:pPr>
    <w:rPr>
      <w:snapToGrid w:val="0"/>
      <w:kern w:val="28"/>
      <w:sz w:val="22"/>
    </w:rPr>
  </w:style>
  <w:style w:type="paragraph" w:styleId="Heading1">
    <w:name w:val="heading 1"/>
    <w:basedOn w:val="Normal"/>
    <w:next w:val="ParaNum"/>
    <w:qFormat/>
    <w:rsid w:val="00626EB6"/>
    <w:pPr>
      <w:keepNext/>
      <w:numPr>
        <w:numId w:val="3"/>
      </w:numPr>
      <w:tabs>
        <w:tab w:val="left" w:pos="720"/>
      </w:tabs>
      <w:suppressAutoHyphens/>
      <w:spacing w:after="120"/>
      <w:outlineLvl w:val="0"/>
    </w:pPr>
    <w:rPr>
      <w:rFonts w:ascii="Times New Roman Bold" w:hAnsi="Times New Roman Bold"/>
      <w:b/>
      <w:caps/>
    </w:rPr>
  </w:style>
  <w:style w:type="paragraph" w:styleId="Heading2">
    <w:name w:val="heading 2"/>
    <w:basedOn w:val="Normal"/>
    <w:next w:val="ParaNum"/>
    <w:autoRedefine/>
    <w:qFormat/>
    <w:rsid w:val="007A1E6D"/>
    <w:pPr>
      <w:keepNext/>
      <w:numPr>
        <w:ilvl w:val="1"/>
        <w:numId w:val="3"/>
      </w:numPr>
      <w:spacing w:after="120"/>
      <w:outlineLvl w:val="1"/>
    </w:pPr>
    <w:rPr>
      <w:b/>
    </w:rPr>
  </w:style>
  <w:style w:type="paragraph" w:styleId="Heading3">
    <w:name w:val="heading 3"/>
    <w:basedOn w:val="Normal"/>
    <w:next w:val="ParaNum"/>
    <w:qFormat/>
    <w:rsid w:val="00BA6196"/>
    <w:pPr>
      <w:keepNext/>
      <w:numPr>
        <w:ilvl w:val="2"/>
        <w:numId w:val="3"/>
      </w:numPr>
      <w:tabs>
        <w:tab w:val="left" w:pos="2160"/>
      </w:tabs>
      <w:spacing w:after="120"/>
      <w:outlineLvl w:val="2"/>
    </w:pPr>
    <w:rPr>
      <w:b/>
    </w:rPr>
  </w:style>
  <w:style w:type="paragraph" w:styleId="Heading4">
    <w:name w:val="heading 4"/>
    <w:basedOn w:val="Normal"/>
    <w:next w:val="ParaNum"/>
    <w:qFormat/>
    <w:rsid w:val="00C426B1"/>
    <w:pPr>
      <w:keepNext/>
      <w:numPr>
        <w:ilvl w:val="3"/>
        <w:numId w:val="3"/>
      </w:numPr>
      <w:tabs>
        <w:tab w:val="left" w:pos="2880"/>
      </w:tabs>
      <w:spacing w:after="120"/>
      <w:outlineLvl w:val="3"/>
    </w:pPr>
    <w:rPr>
      <w:b/>
    </w:rPr>
  </w:style>
  <w:style w:type="paragraph" w:styleId="Heading5">
    <w:name w:val="heading 5"/>
    <w:basedOn w:val="Normal"/>
    <w:next w:val="ParaNum"/>
    <w:qFormat/>
    <w:rsid w:val="00511968"/>
    <w:pPr>
      <w:keepNext/>
      <w:numPr>
        <w:ilvl w:val="4"/>
        <w:numId w:val="3"/>
      </w:numPr>
      <w:tabs>
        <w:tab w:val="left" w:pos="3600"/>
      </w:tabs>
      <w:suppressAutoHyphens/>
      <w:spacing w:after="120"/>
      <w:outlineLvl w:val="4"/>
    </w:pPr>
    <w:rPr>
      <w:b/>
    </w:rPr>
  </w:style>
  <w:style w:type="paragraph" w:styleId="Heading6">
    <w:name w:val="heading 6"/>
    <w:basedOn w:val="Normal"/>
    <w:next w:val="ParaNum"/>
    <w:qFormat/>
    <w:rsid w:val="00036039"/>
    <w:pPr>
      <w:numPr>
        <w:ilvl w:val="5"/>
        <w:numId w:val="3"/>
      </w:numPr>
      <w:tabs>
        <w:tab w:val="left" w:pos="4320"/>
      </w:tabs>
      <w:spacing w:after="120"/>
      <w:outlineLvl w:val="5"/>
    </w:pPr>
    <w:rPr>
      <w:b/>
    </w:rPr>
  </w:style>
  <w:style w:type="paragraph" w:styleId="Heading7">
    <w:name w:val="heading 7"/>
    <w:basedOn w:val="Normal"/>
    <w:next w:val="ParaNum"/>
    <w:qFormat/>
    <w:rsid w:val="00036039"/>
    <w:pPr>
      <w:numPr>
        <w:ilvl w:val="6"/>
        <w:numId w:val="3"/>
      </w:numPr>
      <w:tabs>
        <w:tab w:val="left" w:pos="5040"/>
      </w:tabs>
      <w:spacing w:after="120"/>
      <w:ind w:left="5040" w:hanging="720"/>
      <w:outlineLvl w:val="6"/>
    </w:pPr>
    <w:rPr>
      <w:b/>
    </w:rPr>
  </w:style>
  <w:style w:type="paragraph" w:styleId="Heading8">
    <w:name w:val="heading 8"/>
    <w:basedOn w:val="Normal"/>
    <w:next w:val="ParaNum"/>
    <w:qFormat/>
    <w:rsid w:val="001E01CA"/>
    <w:pPr>
      <w:numPr>
        <w:ilvl w:val="7"/>
        <w:numId w:val="3"/>
      </w:numPr>
      <w:tabs>
        <w:tab w:val="clear" w:pos="5400"/>
        <w:tab w:val="left" w:pos="5760"/>
      </w:tabs>
      <w:spacing w:after="120"/>
      <w:ind w:left="5760" w:hanging="720"/>
      <w:outlineLvl w:val="7"/>
    </w:pPr>
    <w:rPr>
      <w:b/>
    </w:rPr>
  </w:style>
  <w:style w:type="paragraph" w:styleId="Heading9">
    <w:name w:val="heading 9"/>
    <w:basedOn w:val="Normal"/>
    <w:next w:val="ParaNum"/>
    <w:qFormat/>
    <w:rsid w:val="001E01CA"/>
    <w:pPr>
      <w:numPr>
        <w:ilvl w:val="8"/>
        <w:numId w:val="3"/>
      </w:numPr>
      <w:tabs>
        <w:tab w:val="clear" w:pos="6120"/>
        <w:tab w:val="left" w:pos="6480"/>
      </w:tabs>
      <w:spacing w:after="120"/>
      <w:ind w:left="6480" w:hanging="720"/>
      <w:outlineLvl w:val="8"/>
    </w:pPr>
    <w:rPr>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araNum">
    <w:name w:val="ParaNum"/>
    <w:basedOn w:val="Normal"/>
    <w:rsid w:val="00E07225"/>
    <w:pPr>
      <w:numPr>
        <w:numId w:val="2"/>
      </w:numPr>
      <w:tabs>
        <w:tab w:val="clear" w:pos="1080"/>
        <w:tab w:val="num" w:pos="1440"/>
      </w:tabs>
      <w:spacing w:after="120"/>
    </w:pPr>
  </w:style>
  <w:style w:type="paragraph" w:styleId="EndnoteText">
    <w:name w:val="endnote text"/>
    <w:basedOn w:val="Normal"/>
    <w:semiHidden/>
    <w:rPr>
      <w:sz w:val="20"/>
    </w:rPr>
  </w:style>
  <w:style w:type="character" w:styleId="EndnoteReference">
    <w:name w:val="endnote reference"/>
    <w:semiHidden/>
    <w:rPr>
      <w:vertAlign w:val="superscript"/>
    </w:rPr>
  </w:style>
  <w:style w:type="paragraph" w:styleId="FootnoteText">
    <w:name w:val="footnote text"/>
    <w:rsid w:val="000E3D42"/>
    <w:pPr>
      <w:spacing w:after="120"/>
    </w:pPr>
  </w:style>
  <w:style w:type="character" w:styleId="FootnoteReference">
    <w:name w:val="footnote reference"/>
    <w:rsid w:val="00A32C3B"/>
    <w:rPr>
      <w:rFonts w:ascii="Times New Roman" w:hAnsi="Times New Roman"/>
      <w:dstrike w:val="0"/>
      <w:color w:val="auto"/>
      <w:sz w:val="20"/>
      <w:vertAlign w:val="superscript"/>
    </w:rPr>
  </w:style>
  <w:style w:type="paragraph" w:styleId="TOC1">
    <w:name w:val="toc 1"/>
    <w:basedOn w:val="Normal"/>
    <w:next w:val="Normal"/>
    <w:semiHidden/>
    <w:pPr>
      <w:tabs>
        <w:tab w:val="left" w:pos="360"/>
        <w:tab w:val="right" w:leader="dot" w:pos="9360"/>
      </w:tabs>
      <w:suppressAutoHyphens/>
      <w:ind w:left="360" w:right="720" w:hanging="360"/>
    </w:pPr>
    <w:rPr>
      <w:caps/>
      <w:noProof/>
    </w:rPr>
  </w:style>
  <w:style w:type="paragraph" w:styleId="TOC2">
    <w:name w:val="toc 2"/>
    <w:basedOn w:val="Normal"/>
    <w:next w:val="Normal"/>
    <w:semiHidden/>
    <w:pPr>
      <w:tabs>
        <w:tab w:val="left" w:pos="720"/>
        <w:tab w:val="right" w:leader="dot" w:pos="9360"/>
      </w:tabs>
      <w:suppressAutoHyphens/>
      <w:ind w:left="720" w:right="720" w:hanging="360"/>
    </w:pPr>
    <w:rPr>
      <w:noProof/>
    </w:rPr>
  </w:style>
  <w:style w:type="paragraph" w:styleId="TOC3">
    <w:name w:val="toc 3"/>
    <w:basedOn w:val="Normal"/>
    <w:next w:val="Normal"/>
    <w:semiHidden/>
    <w:pPr>
      <w:tabs>
        <w:tab w:val="left" w:pos="1080"/>
        <w:tab w:val="right" w:leader="dot" w:pos="9360"/>
      </w:tabs>
      <w:suppressAutoHyphens/>
      <w:ind w:left="1080" w:right="720" w:hanging="360"/>
    </w:pPr>
    <w:rPr>
      <w:noProof/>
    </w:rPr>
  </w:style>
  <w:style w:type="paragraph" w:styleId="TOC4">
    <w:name w:val="toc 4"/>
    <w:basedOn w:val="Normal"/>
    <w:next w:val="Normal"/>
    <w:autoRedefine/>
    <w:semiHidden/>
    <w:pPr>
      <w:tabs>
        <w:tab w:val="left" w:pos="1440"/>
        <w:tab w:val="right" w:leader="dot" w:pos="9360"/>
      </w:tabs>
      <w:suppressAutoHyphens/>
      <w:ind w:left="1440" w:right="720" w:hanging="360"/>
    </w:pPr>
    <w:rPr>
      <w:noProof/>
    </w:rPr>
  </w:style>
  <w:style w:type="paragraph" w:styleId="TOC5">
    <w:name w:val="toc 5"/>
    <w:basedOn w:val="Normal"/>
    <w:next w:val="Normal"/>
    <w:autoRedefine/>
    <w:semiHidden/>
    <w:pPr>
      <w:tabs>
        <w:tab w:val="left" w:pos="1800"/>
        <w:tab w:val="right" w:leader="dot" w:pos="9360"/>
      </w:tabs>
      <w:suppressAutoHyphens/>
      <w:ind w:left="1800" w:right="720" w:hanging="360"/>
    </w:pPr>
    <w:rPr>
      <w:noProof/>
    </w:rPr>
  </w:style>
  <w:style w:type="paragraph" w:styleId="TOC6">
    <w:name w:val="toc 6"/>
    <w:basedOn w:val="Normal"/>
    <w:next w:val="Normal"/>
    <w:autoRedefine/>
    <w:semiHidden/>
    <w:pPr>
      <w:tabs>
        <w:tab w:val="left" w:pos="2160"/>
        <w:tab w:val="right" w:leader="dot" w:pos="9360"/>
      </w:tabs>
      <w:suppressAutoHyphens/>
      <w:ind w:left="2160" w:hanging="360"/>
    </w:pPr>
    <w:rPr>
      <w:noProof/>
    </w:rPr>
  </w:style>
  <w:style w:type="paragraph" w:styleId="TOC7">
    <w:name w:val="toc 7"/>
    <w:basedOn w:val="Normal"/>
    <w:next w:val="Normal"/>
    <w:autoRedefine/>
    <w:semiHidden/>
    <w:pPr>
      <w:tabs>
        <w:tab w:val="left" w:pos="2520"/>
        <w:tab w:val="right" w:leader="dot" w:pos="9360"/>
      </w:tabs>
      <w:suppressAutoHyphens/>
      <w:ind w:left="2520" w:hanging="360"/>
    </w:pPr>
    <w:rPr>
      <w:noProof/>
    </w:rPr>
  </w:style>
  <w:style w:type="paragraph" w:styleId="TOC8">
    <w:name w:val="toc 8"/>
    <w:basedOn w:val="Normal"/>
    <w:next w:val="Normal"/>
    <w:autoRedefine/>
    <w:semiHidden/>
    <w:pPr>
      <w:tabs>
        <w:tab w:val="left" w:pos="2880"/>
        <w:tab w:val="right" w:leader="dot" w:pos="9360"/>
      </w:tabs>
      <w:suppressAutoHyphens/>
      <w:ind w:left="2880" w:hanging="360"/>
    </w:pPr>
    <w:rPr>
      <w:noProof/>
    </w:rPr>
  </w:style>
  <w:style w:type="paragraph" w:styleId="TOC9">
    <w:name w:val="toc 9"/>
    <w:basedOn w:val="Normal"/>
    <w:next w:val="Normal"/>
    <w:autoRedefine/>
    <w:semiHidden/>
    <w:pPr>
      <w:tabs>
        <w:tab w:val="left" w:pos="3240"/>
        <w:tab w:val="right" w:leader="dot" w:pos="9360"/>
      </w:tabs>
      <w:suppressAutoHyphens/>
      <w:ind w:left="3240" w:hanging="360"/>
    </w:pPr>
    <w:rPr>
      <w:noProof/>
    </w:rPr>
  </w:style>
  <w:style w:type="paragraph" w:styleId="TOAHeading">
    <w:name w:val="toa heading"/>
    <w:basedOn w:val="Normal"/>
    <w:next w:val="Normal"/>
    <w:semiHidden/>
    <w:pPr>
      <w:tabs>
        <w:tab w:val="right" w:pos="9360"/>
      </w:tabs>
      <w:suppressAutoHyphens/>
    </w:pPr>
  </w:style>
  <w:style w:type="character" w:customStyle="1" w:styleId="EquationCaption">
    <w:name w:val="_Equation Caption"/>
  </w:style>
  <w:style w:type="paragraph" w:styleId="Header">
    <w:name w:val="header"/>
    <w:basedOn w:val="Normal"/>
    <w:autoRedefine/>
    <w:pPr>
      <w:tabs>
        <w:tab w:val="center" w:pos="4680"/>
        <w:tab w:val="right" w:pos="9360"/>
      </w:tabs>
    </w:pPr>
    <w:rPr>
      <w:b/>
    </w:rPr>
  </w:style>
  <w:style w:type="paragraph" w:styleId="Footer">
    <w:name w:val="footer"/>
    <w:basedOn w:val="Normal"/>
    <w:pPr>
      <w:tabs>
        <w:tab w:val="center" w:pos="4320"/>
        <w:tab w:val="right" w:pos="8640"/>
      </w:tabs>
    </w:pPr>
  </w:style>
  <w:style w:type="character" w:styleId="PageNumber">
    <w:name w:val="page number"/>
    <w:basedOn w:val="DefaultParagraphFont"/>
  </w:style>
  <w:style w:type="paragraph" w:styleId="BlockText">
    <w:name w:val="Block Text"/>
    <w:basedOn w:val="Normal"/>
    <w:pPr>
      <w:spacing w:after="240"/>
      <w:ind w:left="1440" w:right="1440"/>
    </w:pPr>
  </w:style>
  <w:style w:type="paragraph" w:customStyle="1" w:styleId="Paratitle">
    <w:name w:val="Para title"/>
    <w:basedOn w:val="Normal"/>
    <w:pPr>
      <w:tabs>
        <w:tab w:val="center" w:pos="9270"/>
      </w:tabs>
      <w:spacing w:after="240"/>
    </w:pPr>
    <w:rPr>
      <w:spacing w:val="-2"/>
    </w:rPr>
  </w:style>
  <w:style w:type="paragraph" w:customStyle="1" w:styleId="Bullet">
    <w:name w:val="Bullet"/>
    <w:basedOn w:val="Normal"/>
    <w:pPr>
      <w:tabs>
        <w:tab w:val="left" w:pos="2160"/>
      </w:tabs>
      <w:spacing w:after="220"/>
      <w:ind w:left="2160" w:hanging="720"/>
    </w:pPr>
  </w:style>
  <w:style w:type="paragraph" w:customStyle="1" w:styleId="TableFormat">
    <w:name w:val="TableFormat"/>
    <w:basedOn w:val="Bullet"/>
    <w:pPr>
      <w:tabs>
        <w:tab w:val="clear" w:pos="2160"/>
        <w:tab w:val="left" w:pos="5040"/>
      </w:tabs>
      <w:ind w:left="5040" w:hanging="3600"/>
    </w:pPr>
  </w:style>
  <w:style w:type="paragraph" w:customStyle="1" w:styleId="TOCTitle">
    <w:name w:val="TOC Title"/>
    <w:basedOn w:val="Normal"/>
    <w:pPr>
      <w:spacing w:before="240" w:after="240"/>
      <w:jc w:val="center"/>
    </w:pPr>
    <w:rPr>
      <w:rFonts w:ascii="Times New Roman Bold" w:hAnsi="Times New Roman Bold"/>
      <w:b/>
      <w:caps/>
      <w:spacing w:val="-2"/>
    </w:rPr>
  </w:style>
  <w:style w:type="paragraph" w:customStyle="1" w:styleId="StyleBoldCentered">
    <w:name w:val="Style Bold Centered"/>
    <w:basedOn w:val="Normal"/>
    <w:rsid w:val="00096D8C"/>
    <w:pPr>
      <w:jc w:val="center"/>
    </w:pPr>
    <w:rPr>
      <w:rFonts w:ascii="Times New Roman Bold" w:hAnsi="Times New Roman Bold"/>
      <w:b/>
      <w:bCs/>
      <w:caps/>
      <w:szCs w:val="22"/>
    </w:rPr>
  </w:style>
  <w:style w:type="character" w:styleId="Hyperlink">
    <w:name w:val="Hyperlink"/>
    <w:rsid w:val="002A2D2E"/>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webSettings>
</file>

<file path=word/_rels/document.xml.rels><?xml version="1.0" encoding="utf-8" standalone="yes"?><Relationships xmlns="http://schemas.openxmlformats.org/package/2006/relationships"><Relationship Id="rId1" Type="http://schemas.openxmlformats.org/officeDocument/2006/relationships/footnotes" Target="footnotes.xml" /><Relationship Id="rId10" Type="http://schemas.openxmlformats.org/officeDocument/2006/relationships/footer" Target="footer3.xml" /><Relationship Id="rId11" Type="http://schemas.openxmlformats.org/officeDocument/2006/relationships/theme" Target="theme/theme1.xml" /><Relationship Id="rId12" Type="http://schemas.openxmlformats.org/officeDocument/2006/relationships/numbering" Target="numbering.xml" /><Relationship Id="rId13" Type="http://schemas.openxmlformats.org/officeDocument/2006/relationships/styles" Target="styles.xml" /><Relationship Id="rId2" Type="http://schemas.openxmlformats.org/officeDocument/2006/relationships/endnotes" Target="endnot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ntTable" Target="fontTable.xml" /><Relationship Id="rId6" Type="http://schemas.openxmlformats.org/officeDocument/2006/relationships/header" Target="header1.xml" /><Relationship Id="rId7" Type="http://schemas.openxmlformats.org/officeDocument/2006/relationships/footer" Target="footer1.xml" /><Relationship Id="rId8" Type="http://schemas.openxmlformats.org/officeDocument/2006/relationships/footer" Target="footer2.xml" /><Relationship Id="rId9" Type="http://schemas.openxmlformats.org/officeDocument/2006/relationships/header" Target="header2.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0</Pages>
  <Words>0</Words>
  <Characters>0</Characters>
  <Application>Microsoft Office Word</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0</cp:revision>
</cp:coreProperties>
</file>