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ink/ink1.xml" ContentType="application/inkml+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05DAA" w:rsidP="00905DAA" w14:paraId="07FAC269" w14:textId="77777777">
      <w:pPr>
        <w:jc w:val="center"/>
        <w:rPr>
          <w:b/>
        </w:rPr>
      </w:pPr>
      <w:r w:rsidRPr="0070224F">
        <w:rPr>
          <w:rFonts w:ascii="Times New Roman Bold" w:hAnsi="Times New Roman Bold"/>
          <w:b/>
          <w:kern w:val="0"/>
          <w:szCs w:val="22"/>
        </w:rPr>
        <w:t>Before</w:t>
      </w:r>
      <w:r>
        <w:rPr>
          <w:b/>
        </w:rPr>
        <w:t xml:space="preserve"> the</w:t>
      </w:r>
    </w:p>
    <w:p w:rsidR="00905DAA" w:rsidP="00905DAA" w14:paraId="3A00DAB6" w14:textId="77777777">
      <w:pPr>
        <w:pStyle w:val="StyleBoldCentered"/>
      </w:pPr>
      <w:r>
        <w:t>F</w:t>
      </w:r>
      <w:r>
        <w:rPr>
          <w:caps w:val="0"/>
        </w:rPr>
        <w:t>ederal Communications Commission</w:t>
      </w:r>
    </w:p>
    <w:p w:rsidR="00905DAA" w:rsidP="00905DAA" w14:paraId="4DD3442B" w14:textId="77777777">
      <w:pPr>
        <w:pStyle w:val="StyleBoldCentered"/>
      </w:pPr>
      <w:r>
        <w:rPr>
          <w:caps w:val="0"/>
        </w:rPr>
        <w:t>Washington, D.C. 20554</w:t>
      </w:r>
    </w:p>
    <w:p w:rsidR="00905DAA" w:rsidP="00905DAA" w14:paraId="3CEB0D79" w14:textId="77777777"/>
    <w:tbl>
      <w:tblPr>
        <w:tblpPr w:leftFromText="180" w:rightFromText="180" w:vertAnchor="text" w:tblpY="1"/>
        <w:tblOverlap w:val="never"/>
        <w:tblW w:w="0" w:type="auto"/>
        <w:tblLayout w:type="fixed"/>
        <w:tblLook w:val="0000"/>
      </w:tblPr>
      <w:tblGrid>
        <w:gridCol w:w="4698"/>
        <w:gridCol w:w="630"/>
        <w:gridCol w:w="4248"/>
      </w:tblGrid>
      <w:tr w14:paraId="2ACADCBC" w14:textId="77777777" w:rsidTr="00A61662">
        <w:tblPrEx>
          <w:tblW w:w="0" w:type="auto"/>
          <w:tblLayout w:type="fixed"/>
          <w:tblLook w:val="0000"/>
        </w:tblPrEx>
        <w:tc>
          <w:tcPr>
            <w:tcW w:w="4698" w:type="dxa"/>
          </w:tcPr>
          <w:p w:rsidR="00905DAA" w:rsidP="00A61662" w14:paraId="2070AB5B" w14:textId="77777777">
            <w:pPr>
              <w:tabs>
                <w:tab w:val="center" w:pos="4680"/>
              </w:tabs>
              <w:suppressAutoHyphens/>
              <w:rPr>
                <w:spacing w:val="-2"/>
              </w:rPr>
            </w:pPr>
            <w:r>
              <w:rPr>
                <w:spacing w:val="-2"/>
              </w:rPr>
              <w:t>In the Matter of</w:t>
            </w:r>
          </w:p>
          <w:p w:rsidR="00905DAA" w:rsidP="00A61662" w14:paraId="1D6A9814" w14:textId="77777777">
            <w:pPr>
              <w:tabs>
                <w:tab w:val="center" w:pos="4680"/>
              </w:tabs>
              <w:suppressAutoHyphens/>
              <w:rPr>
                <w:spacing w:val="-2"/>
              </w:rPr>
            </w:pPr>
          </w:p>
          <w:p w:rsidR="00905DAA" w:rsidP="00A61662" w14:paraId="516BFCC0" w14:textId="148B098A">
            <w:pPr>
              <w:tabs>
                <w:tab w:val="center" w:pos="4680"/>
              </w:tabs>
              <w:suppressAutoHyphens/>
              <w:rPr>
                <w:spacing w:val="-2"/>
              </w:rPr>
            </w:pPr>
            <w:r>
              <w:rPr>
                <w:spacing w:val="-2"/>
              </w:rPr>
              <w:t>Advanced Methods to Target and Eliminate Unlawful Robocalls</w:t>
            </w:r>
          </w:p>
          <w:p w:rsidR="00905DAA" w:rsidP="00A61662" w14:paraId="36CC37BA" w14:textId="77777777">
            <w:pPr>
              <w:tabs>
                <w:tab w:val="center" w:pos="4680"/>
              </w:tabs>
              <w:suppressAutoHyphens/>
              <w:rPr>
                <w:spacing w:val="-2"/>
              </w:rPr>
            </w:pPr>
          </w:p>
          <w:p w:rsidR="00905DAA" w:rsidP="00A61662" w14:paraId="5382BC93" w14:textId="77777777">
            <w:pPr>
              <w:tabs>
                <w:tab w:val="center" w:pos="4680"/>
              </w:tabs>
              <w:suppressAutoHyphens/>
              <w:rPr>
                <w:spacing w:val="-2"/>
              </w:rPr>
            </w:pPr>
            <w:r>
              <w:rPr>
                <w:spacing w:val="-2"/>
              </w:rPr>
              <w:t>Rules and Regulations Implementing the Telephone Consumer Protection Act of 1991</w:t>
            </w:r>
          </w:p>
          <w:p w:rsidR="00905DAA" w:rsidP="00A61662" w14:paraId="598943B8" w14:textId="77777777">
            <w:pPr>
              <w:tabs>
                <w:tab w:val="center" w:pos="4680"/>
              </w:tabs>
              <w:suppressAutoHyphens/>
              <w:rPr>
                <w:spacing w:val="-2"/>
              </w:rPr>
            </w:pPr>
          </w:p>
          <w:p w:rsidR="00905DAA" w:rsidRPr="007115F7" w:rsidP="00A61662" w14:paraId="01F7CE67" w14:textId="63DED556">
            <w:pPr>
              <w:tabs>
                <w:tab w:val="center" w:pos="4680"/>
              </w:tabs>
              <w:suppressAutoHyphens/>
              <w:rPr>
                <w:spacing w:val="-2"/>
              </w:rPr>
            </w:pPr>
          </w:p>
        </w:tc>
        <w:tc>
          <w:tcPr>
            <w:tcW w:w="630" w:type="dxa"/>
          </w:tcPr>
          <w:p w:rsidR="00905DAA" w:rsidP="00A61662" w14:paraId="1AB5EFC1" w14:textId="77777777">
            <w:pPr>
              <w:tabs>
                <w:tab w:val="center" w:pos="4680"/>
              </w:tabs>
              <w:suppressAutoHyphens/>
              <w:rPr>
                <w:b/>
                <w:spacing w:val="-2"/>
              </w:rPr>
            </w:pPr>
            <w:r>
              <w:rPr>
                <w:b/>
                <w:spacing w:val="-2"/>
              </w:rPr>
              <w:t>)</w:t>
            </w:r>
          </w:p>
          <w:p w:rsidR="00905DAA" w:rsidP="00A61662" w14:paraId="50BB8AA5" w14:textId="77777777">
            <w:pPr>
              <w:tabs>
                <w:tab w:val="center" w:pos="4680"/>
              </w:tabs>
              <w:suppressAutoHyphens/>
              <w:rPr>
                <w:b/>
                <w:spacing w:val="-2"/>
              </w:rPr>
            </w:pPr>
            <w:r>
              <w:rPr>
                <w:b/>
                <w:spacing w:val="-2"/>
              </w:rPr>
              <w:t>)</w:t>
            </w:r>
          </w:p>
          <w:p w:rsidR="00905DAA" w:rsidP="00A61662" w14:paraId="45C2AA04" w14:textId="77777777">
            <w:pPr>
              <w:tabs>
                <w:tab w:val="center" w:pos="4680"/>
              </w:tabs>
              <w:suppressAutoHyphens/>
              <w:rPr>
                <w:b/>
                <w:spacing w:val="-2"/>
              </w:rPr>
            </w:pPr>
            <w:r>
              <w:rPr>
                <w:b/>
                <w:spacing w:val="-2"/>
              </w:rPr>
              <w:t>)</w:t>
            </w:r>
          </w:p>
          <w:p w:rsidR="00905DAA" w:rsidP="00A61662" w14:paraId="58013FA2" w14:textId="77777777">
            <w:pPr>
              <w:tabs>
                <w:tab w:val="center" w:pos="4680"/>
              </w:tabs>
              <w:suppressAutoHyphens/>
              <w:rPr>
                <w:b/>
                <w:spacing w:val="-2"/>
              </w:rPr>
            </w:pPr>
            <w:r>
              <w:rPr>
                <w:b/>
                <w:spacing w:val="-2"/>
              </w:rPr>
              <w:t>)</w:t>
            </w:r>
          </w:p>
          <w:p w:rsidR="00905DAA" w:rsidP="00A61662" w14:paraId="37CA1A0C" w14:textId="34F9A290">
            <w:pPr>
              <w:tabs>
                <w:tab w:val="center" w:pos="4680"/>
              </w:tabs>
              <w:suppressAutoHyphens/>
              <w:rPr>
                <w:b/>
                <w:spacing w:val="-2"/>
              </w:rPr>
            </w:pPr>
            <w:r>
              <w:rPr>
                <w:b/>
                <w:spacing w:val="-2"/>
              </w:rPr>
              <w:t>)</w:t>
            </w:r>
          </w:p>
          <w:p w:rsidR="00905DAA" w:rsidP="00A61662" w14:paraId="5F5616FF" w14:textId="77777777">
            <w:pPr>
              <w:tabs>
                <w:tab w:val="center" w:pos="4680"/>
              </w:tabs>
              <w:suppressAutoHyphens/>
              <w:rPr>
                <w:b/>
                <w:spacing w:val="-2"/>
              </w:rPr>
            </w:pPr>
            <w:r>
              <w:rPr>
                <w:b/>
                <w:spacing w:val="-2"/>
              </w:rPr>
              <w:t>)</w:t>
            </w:r>
          </w:p>
          <w:p w:rsidR="00905DAA" w:rsidP="00A61662" w14:paraId="04BD3046" w14:textId="77777777">
            <w:pPr>
              <w:tabs>
                <w:tab w:val="center" w:pos="4680"/>
              </w:tabs>
              <w:suppressAutoHyphens/>
              <w:rPr>
                <w:b/>
                <w:spacing w:val="-2"/>
              </w:rPr>
            </w:pPr>
            <w:r>
              <w:rPr>
                <w:b/>
                <w:spacing w:val="-2"/>
              </w:rPr>
              <w:t>)</w:t>
            </w:r>
          </w:p>
          <w:p w:rsidR="00905DAA" w:rsidRPr="00FE0EDD" w:rsidP="00A61662" w14:paraId="172D1F6F" w14:textId="11DFE68E">
            <w:pPr>
              <w:tabs>
                <w:tab w:val="center" w:pos="4680"/>
              </w:tabs>
              <w:suppressAutoHyphens/>
              <w:rPr>
                <w:b/>
                <w:spacing w:val="-2"/>
              </w:rPr>
            </w:pPr>
          </w:p>
        </w:tc>
        <w:tc>
          <w:tcPr>
            <w:tcW w:w="4248" w:type="dxa"/>
          </w:tcPr>
          <w:p w:rsidR="00905DAA" w:rsidP="00A61662" w14:paraId="391BA1B8" w14:textId="77777777">
            <w:pPr>
              <w:tabs>
                <w:tab w:val="center" w:pos="4680"/>
              </w:tabs>
              <w:suppressAutoHyphens/>
              <w:rPr>
                <w:spacing w:val="-2"/>
              </w:rPr>
            </w:pPr>
          </w:p>
          <w:p w:rsidR="00905DAA" w:rsidP="00A61662" w14:paraId="7417D2C0" w14:textId="77777777">
            <w:pPr>
              <w:pStyle w:val="TOAHeading"/>
              <w:tabs>
                <w:tab w:val="center" w:pos="4680"/>
                <w:tab w:val="clear" w:pos="9360"/>
              </w:tabs>
              <w:rPr>
                <w:spacing w:val="-2"/>
              </w:rPr>
            </w:pPr>
          </w:p>
          <w:p w:rsidR="00905DAA" w:rsidP="00A61662" w14:paraId="50FD17D2" w14:textId="77777777">
            <w:pPr>
              <w:tabs>
                <w:tab w:val="center" w:pos="4680"/>
              </w:tabs>
              <w:suppressAutoHyphens/>
              <w:rPr>
                <w:spacing w:val="-2"/>
              </w:rPr>
            </w:pPr>
            <w:r>
              <w:rPr>
                <w:spacing w:val="-2"/>
              </w:rPr>
              <w:t>CG Docket No. 17-59</w:t>
            </w:r>
          </w:p>
          <w:p w:rsidR="00905DAA" w:rsidP="00A61662" w14:paraId="0FFE10A9" w14:textId="49DDF764">
            <w:pPr>
              <w:tabs>
                <w:tab w:val="center" w:pos="4680"/>
              </w:tabs>
              <w:suppressAutoHyphens/>
              <w:rPr>
                <w:spacing w:val="-2"/>
              </w:rPr>
            </w:pPr>
          </w:p>
          <w:p w:rsidR="00905DAA" w:rsidP="00A61662" w14:paraId="20D1D6A6" w14:textId="77777777">
            <w:pPr>
              <w:tabs>
                <w:tab w:val="center" w:pos="4680"/>
              </w:tabs>
              <w:suppressAutoHyphens/>
              <w:rPr>
                <w:spacing w:val="-2"/>
              </w:rPr>
            </w:pPr>
          </w:p>
          <w:p w:rsidR="00905DAA" w:rsidP="00A61662" w14:paraId="2D245B13" w14:textId="090FC799">
            <w:pPr>
              <w:tabs>
                <w:tab w:val="center" w:pos="4680"/>
              </w:tabs>
              <w:suppressAutoHyphens/>
              <w:rPr>
                <w:spacing w:val="-2"/>
              </w:rPr>
            </w:pPr>
            <w:r>
              <w:rPr>
                <w:spacing w:val="-2"/>
              </w:rPr>
              <w:t>CG Docket No. 02-278</w:t>
            </w:r>
          </w:p>
          <w:p w:rsidR="00905DAA" w:rsidP="00A61662" w14:paraId="7895EDA5" w14:textId="31D67FE8">
            <w:pPr>
              <w:tabs>
                <w:tab w:val="center" w:pos="4680"/>
              </w:tabs>
              <w:suppressAutoHyphens/>
              <w:rPr>
                <w:spacing w:val="-2"/>
              </w:rPr>
            </w:pPr>
          </w:p>
        </w:tc>
      </w:tr>
    </w:tbl>
    <w:p w:rsidR="00905DAA" w:rsidP="00905DAA" w14:paraId="11C977CE" w14:textId="533F0D38">
      <w:pPr>
        <w:pStyle w:val="StyleBoldCentered"/>
      </w:pPr>
      <w:bookmarkStart w:id="0" w:name="_Hlk203484146"/>
      <w:r>
        <w:t>F</w:t>
      </w:r>
      <w:r w:rsidR="001338A5">
        <w:t>URTHER NOTICE OF PROPOSED RULEMAKING</w:t>
      </w:r>
      <w:bookmarkEnd w:id="0"/>
    </w:p>
    <w:p w:rsidR="00905DAA" w:rsidP="00905DAA" w14:paraId="7905C72A" w14:textId="77777777">
      <w:pPr>
        <w:tabs>
          <w:tab w:val="left" w:pos="-720"/>
        </w:tabs>
        <w:suppressAutoHyphens/>
        <w:spacing w:line="227" w:lineRule="auto"/>
        <w:rPr>
          <w:spacing w:val="-2"/>
        </w:rPr>
      </w:pPr>
    </w:p>
    <w:p w:rsidR="00905DAA" w:rsidP="00905DAA" w14:paraId="6DB69256" w14:textId="6AF2CBE9">
      <w:pPr>
        <w:tabs>
          <w:tab w:val="left" w:pos="720"/>
          <w:tab w:val="right" w:pos="9360"/>
        </w:tabs>
        <w:suppressAutoHyphens/>
        <w:spacing w:line="227" w:lineRule="auto"/>
        <w:rPr>
          <w:spacing w:val="-2"/>
        </w:rPr>
      </w:pPr>
      <w:r>
        <w:rPr>
          <w:b/>
          <w:spacing w:val="-2"/>
        </w:rPr>
        <w:t xml:space="preserve">Adopted: </w:t>
      </w:r>
      <w:r w:rsidR="00691AB7">
        <w:rPr>
          <w:b/>
          <w:spacing w:val="-2"/>
        </w:rPr>
        <w:t>April 30, 2026</w:t>
      </w:r>
      <w:r>
        <w:rPr>
          <w:b/>
          <w:spacing w:val="-2"/>
        </w:rPr>
        <w:tab/>
        <w:t xml:space="preserve">Released:  </w:t>
      </w:r>
      <w:r w:rsidR="00691AB7">
        <w:rPr>
          <w:b/>
          <w:spacing w:val="-2"/>
        </w:rPr>
        <w:t>May 1, 2026</w:t>
      </w:r>
    </w:p>
    <w:p w:rsidR="00905DAA" w:rsidP="00905DAA" w14:paraId="1018E5A8" w14:textId="77777777"/>
    <w:p w:rsidR="00905DAA" w:rsidRPr="00D00C83" w:rsidP="00905DAA" w14:paraId="262F0D9D" w14:textId="77777777">
      <w:pPr>
        <w:rPr>
          <w:b/>
          <w:bCs/>
        </w:rPr>
      </w:pPr>
      <w:r w:rsidRPr="00D00C83">
        <w:rPr>
          <w:b/>
          <w:bCs/>
        </w:rPr>
        <w:t>Comment Date: (30 days after date of publication in the Federal Register)</w:t>
      </w:r>
    </w:p>
    <w:p w:rsidR="00905DAA" w:rsidRPr="00D00C83" w:rsidP="00905DAA" w14:paraId="356BD8AC" w14:textId="7C4FF6D8">
      <w:pPr>
        <w:rPr>
          <w:b/>
          <w:bCs/>
        </w:rPr>
      </w:pPr>
      <w:r w:rsidRPr="00D00C83">
        <w:rPr>
          <w:b/>
          <w:bCs/>
        </w:rPr>
        <w:t>Reply Comment Date: (60 days after date of publication in the Federal Register)</w:t>
      </w:r>
    </w:p>
    <w:p w:rsidR="00905DAA" w:rsidP="00905DAA" w14:paraId="05640884" w14:textId="77777777"/>
    <w:p w:rsidR="00905DAA" w:rsidP="00905DAA" w14:paraId="69A7751C" w14:textId="58ED8E11">
      <w:r>
        <w:t xml:space="preserve">By the Commission: </w:t>
      </w:r>
      <w:r w:rsidR="00261F97">
        <w:t xml:space="preserve"> </w:t>
      </w:r>
      <w:r w:rsidRPr="00261F97" w:rsidR="00261F97">
        <w:t>Chairman Carr and Commissioner Trusty issuing separate statements.</w:t>
      </w:r>
    </w:p>
    <w:p w:rsidR="00905DAA" w:rsidRPr="00124A51" w:rsidP="00905DAA" w14:paraId="01E89138" w14:textId="77777777">
      <w:pPr>
        <w:rPr>
          <w:b/>
          <w:spacing w:val="-2"/>
        </w:rPr>
      </w:pPr>
    </w:p>
    <w:p w:rsidR="00905DAA" w:rsidRPr="00124A51" w:rsidP="006200EA" w14:paraId="5217D47B" w14:textId="77777777">
      <w:pPr>
        <w:pStyle w:val="Heading1"/>
      </w:pPr>
      <w:bookmarkStart w:id="1" w:name="_Toc206147639"/>
      <w:bookmarkStart w:id="2" w:name="_Toc209031259"/>
      <w:bookmarkStart w:id="3" w:name="_Toc209512694"/>
      <w:bookmarkStart w:id="4" w:name="_Toc210640430"/>
      <w:bookmarkStart w:id="5" w:name="_Toc212121462"/>
      <w:bookmarkStart w:id="6" w:name="_Toc212467137"/>
      <w:r w:rsidRPr="00124A51">
        <w:t>INTRODUCTION</w:t>
      </w:r>
      <w:bookmarkEnd w:id="1"/>
      <w:bookmarkEnd w:id="2"/>
      <w:bookmarkEnd w:id="3"/>
      <w:bookmarkEnd w:id="4"/>
      <w:bookmarkEnd w:id="5"/>
      <w:bookmarkEnd w:id="6"/>
    </w:p>
    <w:p w:rsidR="00766F4B" w:rsidP="00766F4B" w14:paraId="298329BF" w14:textId="68377D97">
      <w:pPr>
        <w:pStyle w:val="ParaNum"/>
        <w:tabs>
          <w:tab w:val="clear" w:pos="1440"/>
        </w:tabs>
      </w:pPr>
      <w:r>
        <w:t>C</w:t>
      </w:r>
      <w:r>
        <w:t xml:space="preserve">ombatting illegal calls </w:t>
      </w:r>
      <w:r>
        <w:t xml:space="preserve">is our </w:t>
      </w:r>
      <w:r>
        <w:t>top consumer protection priority</w:t>
      </w:r>
      <w:r>
        <w:t xml:space="preserve">, and </w:t>
      </w:r>
      <w:r>
        <w:t xml:space="preserve">we are taking a holistic approach by attacking </w:t>
      </w:r>
      <w:r w:rsidR="0065726D">
        <w:t xml:space="preserve">them </w:t>
      </w:r>
      <w:r>
        <w:t xml:space="preserve">at every </w:t>
      </w:r>
      <w:r w:rsidR="0065726D">
        <w:t xml:space="preserve">point in </w:t>
      </w:r>
      <w:r>
        <w:t>the</w:t>
      </w:r>
      <w:r>
        <w:t>ir</w:t>
      </w:r>
      <w:r>
        <w:t xml:space="preserve"> lifecycle</w:t>
      </w:r>
      <w:r>
        <w:t xml:space="preserve">.  </w:t>
      </w:r>
      <w:r w:rsidR="00B009D6">
        <w:t>This includes</w:t>
      </w:r>
      <w:r>
        <w:t xml:space="preserve"> </w:t>
      </w:r>
      <w:r>
        <w:t xml:space="preserve">stopping </w:t>
      </w:r>
      <w:r>
        <w:t xml:space="preserve">illegal </w:t>
      </w:r>
      <w:r>
        <w:t xml:space="preserve">calls before they </w:t>
      </w:r>
      <w:r>
        <w:t xml:space="preserve">enter the phone network, requiring intermediate providers to block them, and giving consumers more information to decide whether they </w:t>
      </w:r>
      <w:r w:rsidRPr="00624F3E" w:rsidR="00624F3E">
        <w:t xml:space="preserve">want </w:t>
      </w:r>
      <w:r>
        <w:t xml:space="preserve">to </w:t>
      </w:r>
      <w:r w:rsidR="00E24250">
        <w:t>answer</w:t>
      </w:r>
      <w:r>
        <w:t xml:space="preserve"> the calls that </w:t>
      </w:r>
      <w:r w:rsidR="00E24250">
        <w:t xml:space="preserve">reach </w:t>
      </w:r>
      <w:r>
        <w:t xml:space="preserve">their phones.  </w:t>
      </w:r>
    </w:p>
    <w:p w:rsidR="00766F4B" w:rsidP="00B666B2" w14:paraId="22ADA7A7" w14:textId="108EA5DA">
      <w:pPr>
        <w:pStyle w:val="ParaNum"/>
      </w:pPr>
      <w:r>
        <w:t>T</w:t>
      </w:r>
      <w:r w:rsidRPr="006A0F56" w:rsidR="007447EA">
        <w:t xml:space="preserve">he most effective way to prevent illegal calls from reaching American consumers is by ensuring </w:t>
      </w:r>
      <w:r w:rsidR="007447EA">
        <w:t xml:space="preserve">they </w:t>
      </w:r>
      <w:r w:rsidRPr="006A0F56" w:rsidR="007447EA">
        <w:t>never enter the network.</w:t>
      </w:r>
      <w:r>
        <w:t xml:space="preserve">  </w:t>
      </w:r>
      <w:r>
        <w:t>Originating voice service providers are best positioned to do that by screening new or renewing customers</w:t>
      </w:r>
      <w:r w:rsidR="00A37D24">
        <w:t xml:space="preserve"> before they make calls</w:t>
      </w:r>
      <w:r>
        <w:t>.</w:t>
      </w:r>
      <w:r>
        <w:rPr>
          <w:rStyle w:val="FootnoteReference"/>
        </w:rPr>
        <w:footnoteReference w:id="3"/>
      </w:r>
      <w:r>
        <w:t xml:space="preserve">  Although Commission rules already require </w:t>
      </w:r>
      <w:r w:rsidR="00EC764E">
        <w:t>originating</w:t>
      </w:r>
      <w:r>
        <w:t xml:space="preserve"> providers to take </w:t>
      </w:r>
      <w:r w:rsidR="00725BD2">
        <w:t>“</w:t>
      </w:r>
      <w:r>
        <w:t>affirmative</w:t>
      </w:r>
      <w:r w:rsidR="00725BD2">
        <w:t xml:space="preserve">, </w:t>
      </w:r>
      <w:r>
        <w:t>effective</w:t>
      </w:r>
      <w:r w:rsidR="00725BD2">
        <w:t>”</w:t>
      </w:r>
      <w:r>
        <w:t xml:space="preserve"> measures to </w:t>
      </w:r>
      <w:r w:rsidR="00461007">
        <w:t>“</w:t>
      </w:r>
      <w:r w:rsidR="00275D31">
        <w:t>know</w:t>
      </w:r>
      <w:r w:rsidR="00461007">
        <w:t>[</w:t>
      </w:r>
      <w:r w:rsidR="00275D31">
        <w:t xml:space="preserve"> </w:t>
      </w:r>
      <w:r w:rsidR="007328E4">
        <w:t>their</w:t>
      </w:r>
      <w:r w:rsidR="005D6A6B">
        <w:t>]</w:t>
      </w:r>
      <w:r w:rsidR="00725BD2">
        <w:t xml:space="preserve"> </w:t>
      </w:r>
      <w:r>
        <w:t>customers</w:t>
      </w:r>
      <w:r w:rsidR="00725BD2">
        <w:t>,</w:t>
      </w:r>
      <w:r w:rsidR="00461007">
        <w:t>”</w:t>
      </w:r>
      <w:r>
        <w:rPr>
          <w:vertAlign w:val="superscript"/>
        </w:rPr>
        <w:footnoteReference w:id="4"/>
      </w:r>
      <w:r>
        <w:t xml:space="preserve"> </w:t>
      </w:r>
      <w:r w:rsidR="00725BD2">
        <w:t>some</w:t>
      </w:r>
      <w:r>
        <w:t xml:space="preserve"> </w:t>
      </w:r>
      <w:r w:rsidR="005E0FFA">
        <w:t xml:space="preserve">originating </w:t>
      </w:r>
      <w:r>
        <w:t xml:space="preserve">providers do not </w:t>
      </w:r>
      <w:r w:rsidR="00725BD2">
        <w:t>do enough</w:t>
      </w:r>
      <w:r>
        <w:t xml:space="preserve">.  The result is </w:t>
      </w:r>
      <w:r w:rsidR="00725BD2">
        <w:t xml:space="preserve">more </w:t>
      </w:r>
      <w:r>
        <w:t xml:space="preserve">illegal calls that defraud </w:t>
      </w:r>
      <w:r w:rsidR="00F93150">
        <w:t xml:space="preserve">American </w:t>
      </w:r>
      <w:r>
        <w:t>consumers</w:t>
      </w:r>
      <w:r>
        <w:rPr>
          <w:vertAlign w:val="superscript"/>
        </w:rPr>
        <w:footnoteReference w:id="5"/>
      </w:r>
      <w:r>
        <w:t xml:space="preserve"> and </w:t>
      </w:r>
      <w:r w:rsidR="004244BC">
        <w:t>open our communications network to vulnerabilities</w:t>
      </w:r>
      <w:r>
        <w:t>.</w:t>
      </w:r>
      <w:r>
        <w:rPr>
          <w:vertAlign w:val="superscript"/>
        </w:rPr>
        <w:footnoteReference w:id="6"/>
      </w:r>
      <w:r>
        <w:t xml:space="preserve">  </w:t>
      </w:r>
      <w:r w:rsidRPr="00B36A6B" w:rsidR="00B36A6B">
        <w:t xml:space="preserve">Beyond </w:t>
      </w:r>
      <w:r w:rsidR="00716001">
        <w:t>allowing illegal</w:t>
      </w:r>
      <w:r w:rsidRPr="00B36A6B" w:rsidR="00B36A6B">
        <w:t xml:space="preserve"> calling, this lack of diligence on the part of </w:t>
      </w:r>
      <w:r w:rsidR="002F0645">
        <w:t xml:space="preserve">some </w:t>
      </w:r>
      <w:r w:rsidR="005E0FFA">
        <w:t xml:space="preserve">originating </w:t>
      </w:r>
      <w:r w:rsidRPr="00B36A6B" w:rsidR="00B36A6B">
        <w:t xml:space="preserve">providers can make it difficult for law enforcement to identify criminals that </w:t>
      </w:r>
      <w:r w:rsidR="002F0645">
        <w:t xml:space="preserve">use the </w:t>
      </w:r>
      <w:r w:rsidR="00D64999">
        <w:t xml:space="preserve">telephone </w:t>
      </w:r>
      <w:r w:rsidR="002F0645">
        <w:t xml:space="preserve">network </w:t>
      </w:r>
      <w:r w:rsidR="007C7BE1">
        <w:t>to perpetrate</w:t>
      </w:r>
      <w:r w:rsidR="002F0645">
        <w:t xml:space="preserve"> </w:t>
      </w:r>
      <w:r w:rsidRPr="00B36A6B" w:rsidR="00B36A6B">
        <w:t>drug deals</w:t>
      </w:r>
      <w:r w:rsidR="002F0645">
        <w:t xml:space="preserve">, </w:t>
      </w:r>
      <w:r w:rsidRPr="00B36A6B" w:rsidR="00B36A6B">
        <w:t>violent crimes</w:t>
      </w:r>
      <w:r w:rsidR="002F0645">
        <w:t>,</w:t>
      </w:r>
      <w:r w:rsidRPr="00B36A6B" w:rsidR="00B36A6B">
        <w:t xml:space="preserve"> and human trafficking</w:t>
      </w:r>
      <w:r w:rsidRPr="00D84A53">
        <w:t>.</w:t>
      </w:r>
      <w:r>
        <w:t xml:space="preserve">    </w:t>
      </w:r>
    </w:p>
    <w:p w:rsidR="00A623AA" w:rsidRPr="003C73D2" w:rsidP="009A34F9" w14:paraId="42AF8638" w14:textId="33DA0124">
      <w:pPr>
        <w:pStyle w:val="ParaNum"/>
        <w:widowControl/>
      </w:pPr>
      <w:r>
        <w:t xml:space="preserve">Here </w:t>
      </w:r>
      <w:r w:rsidRPr="00A623AA" w:rsidR="432A1BD8">
        <w:t xml:space="preserve">we </w:t>
      </w:r>
      <w:r w:rsidRPr="00A623AA" w:rsidR="506DE7ED">
        <w:t>seek</w:t>
      </w:r>
      <w:r w:rsidR="0082347B">
        <w:t xml:space="preserve"> </w:t>
      </w:r>
      <w:r w:rsidRPr="00A623AA" w:rsidR="432A1BD8">
        <w:t xml:space="preserve">to enhance the </w:t>
      </w:r>
      <w:r w:rsidR="3415ECAC">
        <w:t xml:space="preserve">existing </w:t>
      </w:r>
      <w:r w:rsidRPr="00A623AA" w:rsidR="432A1BD8">
        <w:t xml:space="preserve">“Know-Your-Customer” (KYC) </w:t>
      </w:r>
      <w:r w:rsidR="5852A6B9">
        <w:t>requirement</w:t>
      </w:r>
      <w:r w:rsidR="6C89B74F">
        <w:t xml:space="preserve"> </w:t>
      </w:r>
      <w:r w:rsidR="45CD94E9">
        <w:t xml:space="preserve">providing additional clarity </w:t>
      </w:r>
      <w:r w:rsidR="69BDD585">
        <w:t>to</w:t>
      </w:r>
      <w:r w:rsidRPr="00A623AA" w:rsidR="432A1BD8">
        <w:t xml:space="preserve"> </w:t>
      </w:r>
      <w:r>
        <w:t>fill the gap between our current general KYC requirement and the types of rigorous KYC steps necessary to protect consumers.</w:t>
      </w:r>
      <w:r w:rsidR="6DDDCC07">
        <w:t xml:space="preserve"> </w:t>
      </w:r>
      <w:r>
        <w:t xml:space="preserve"> </w:t>
      </w:r>
      <w:r w:rsidRPr="00A623AA" w:rsidR="432A1BD8">
        <w:t>Specifically, we</w:t>
      </w:r>
      <w:r w:rsidR="66F4399E">
        <w:t>:</w:t>
      </w:r>
      <w:r w:rsidRPr="00A623AA" w:rsidR="432A1BD8">
        <w:t xml:space="preserve"> </w:t>
      </w:r>
      <w:r w:rsidRPr="006457ED" w:rsidR="786561AA">
        <w:t xml:space="preserve">(1) </w:t>
      </w:r>
      <w:r w:rsidR="3F14227A">
        <w:t xml:space="preserve">seek comment on </w:t>
      </w:r>
      <w:r w:rsidRPr="006457ED" w:rsidR="786561AA">
        <w:t xml:space="preserve">customer identification requirements for new and renewing customers; (2) </w:t>
      </w:r>
      <w:r w:rsidR="3F14227A">
        <w:t xml:space="preserve">seek comment on </w:t>
      </w:r>
      <w:r w:rsidR="229271CF">
        <w:t>requirements</w:t>
      </w:r>
      <w:r w:rsidRPr="006457ED" w:rsidR="786561AA">
        <w:t xml:space="preserve"> for </w:t>
      </w:r>
      <w:r w:rsidR="20F8F965">
        <w:t xml:space="preserve">originating </w:t>
      </w:r>
      <w:r w:rsidRPr="006457ED" w:rsidR="786561AA">
        <w:t>providers to verify, retain, and re-verify customer information; (3) seek comment</w:t>
      </w:r>
      <w:r w:rsidRPr="19FE2745" w:rsidR="40BD076B">
        <w:rPr>
          <w:rFonts w:eastAsia="Aptos"/>
          <w:kern w:val="0"/>
        </w:rPr>
        <w:t xml:space="preserve"> </w:t>
      </w:r>
      <w:r w:rsidRPr="00A03C09" w:rsidR="40BD076B">
        <w:t xml:space="preserve">on </w:t>
      </w:r>
      <w:r w:rsidR="79216C2F">
        <w:t xml:space="preserve">requiring more information from </w:t>
      </w:r>
      <w:r w:rsidRPr="00A03C09" w:rsidR="40BD076B">
        <w:t>certain customers including high</w:t>
      </w:r>
      <w:r w:rsidR="470F041A">
        <w:t>-</w:t>
      </w:r>
      <w:r w:rsidRPr="00A03C09" w:rsidR="40BD076B">
        <w:t>volume</w:t>
      </w:r>
      <w:r w:rsidR="3F7B14C9">
        <w:t xml:space="preserve"> </w:t>
      </w:r>
      <w:r w:rsidRPr="00A03C09" w:rsidR="40BD076B">
        <w:t>customers</w:t>
      </w:r>
      <w:r w:rsidR="2D7D4896">
        <w:t>;</w:t>
      </w:r>
      <w:r w:rsidR="2AAF3F95">
        <w:t xml:space="preserve"> </w:t>
      </w:r>
      <w:r w:rsidR="441AF0BF">
        <w:t>(4) seek comment on how any new KYC requirements can complement call branding and caller name requirements the Commission may adopt</w:t>
      </w:r>
      <w:r w:rsidR="6E0A9224">
        <w:t>;</w:t>
      </w:r>
      <w:r w:rsidR="2D7D4896">
        <w:t xml:space="preserve"> and (</w:t>
      </w:r>
      <w:r w:rsidR="441AF0BF">
        <w:t>5</w:t>
      </w:r>
      <w:r w:rsidR="2D7D4896">
        <w:t>)</w:t>
      </w:r>
      <w:r w:rsidR="2F980E04">
        <w:t xml:space="preserve"> propose that the Commission assess penalties for violations of the KYC rule</w:t>
      </w:r>
      <w:r w:rsidR="2BDB0ACF">
        <w:t xml:space="preserve"> on a per call basis</w:t>
      </w:r>
      <w:r w:rsidRPr="006457ED" w:rsidR="786561AA">
        <w:t>.</w:t>
      </w:r>
    </w:p>
    <w:p w:rsidR="00905DAA" w:rsidP="00291DA6" w14:paraId="7A6F2E1F" w14:textId="396932CF">
      <w:pPr>
        <w:pStyle w:val="Heading1"/>
      </w:pPr>
      <w:bookmarkStart w:id="7" w:name="_Toc206147640"/>
      <w:bookmarkStart w:id="8" w:name="_Toc209031260"/>
      <w:bookmarkStart w:id="9" w:name="_Toc209512695"/>
      <w:bookmarkStart w:id="10" w:name="_Toc210640431"/>
      <w:bookmarkStart w:id="11" w:name="_Toc212121463"/>
      <w:bookmarkStart w:id="12" w:name="_Toc212467138"/>
      <w:r w:rsidRPr="00124A51">
        <w:t>B</w:t>
      </w:r>
      <w:r>
        <w:t>ACKGROUND</w:t>
      </w:r>
      <w:bookmarkEnd w:id="7"/>
      <w:bookmarkEnd w:id="8"/>
      <w:bookmarkEnd w:id="9"/>
      <w:bookmarkEnd w:id="10"/>
      <w:bookmarkEnd w:id="11"/>
      <w:bookmarkEnd w:id="12"/>
    </w:p>
    <w:p w:rsidR="00DF5B21" w:rsidP="00C542F6" w14:paraId="436F5EBC" w14:textId="71D02070">
      <w:pPr>
        <w:pStyle w:val="Heading2"/>
      </w:pPr>
      <w:r>
        <w:t>Financial Sector</w:t>
      </w:r>
    </w:p>
    <w:p w:rsidR="00651597" w:rsidP="00651597" w14:paraId="773D8DBF" w14:textId="70010316">
      <w:pPr>
        <w:pStyle w:val="ParaNum"/>
      </w:pPr>
      <w:r w:rsidRPr="00105C4F">
        <w:t xml:space="preserve">KYC </w:t>
      </w:r>
      <w:r w:rsidR="005144AB">
        <w:t>is</w:t>
      </w:r>
      <w:r w:rsidRPr="00105C4F">
        <w:t xml:space="preserve"> a fundamental concept guiding customer onboarding procedures in the financial sector.  </w:t>
      </w:r>
      <w:r w:rsidR="005B0DDC">
        <w:t>For example, t</w:t>
      </w:r>
      <w:r w:rsidRPr="00105C4F">
        <w:t xml:space="preserve">he Bank Secrecy Act (BSA) of 1970, </w:t>
      </w:r>
      <w:r w:rsidR="001437C9">
        <w:t xml:space="preserve">as amended, </w:t>
      </w:r>
      <w:r w:rsidR="0063795E">
        <w:t>and</w:t>
      </w:r>
      <w:r w:rsidRPr="00105C4F">
        <w:t xml:space="preserve"> its implementing rules, impose record retention and reporting requirements on financial institutions to help detect and prevent money laundering.</w:t>
      </w:r>
      <w:r>
        <w:rPr>
          <w:vertAlign w:val="superscript"/>
        </w:rPr>
        <w:footnoteReference w:id="7"/>
      </w:r>
      <w:r>
        <w:rPr>
          <w:rFonts w:eastAsia="Aptos"/>
          <w:kern w:val="0"/>
          <w:szCs w:val="22"/>
          <w:vertAlign w:val="superscript"/>
        </w:rPr>
        <w:t xml:space="preserve"> </w:t>
      </w:r>
      <w:r>
        <w:t xml:space="preserve"> In 2001</w:t>
      </w:r>
      <w:r w:rsidR="009C4CAA">
        <w:t>,</w:t>
      </w:r>
      <w:r>
        <w:t xml:space="preserve"> Congress amended </w:t>
      </w:r>
      <w:r w:rsidRPr="007F11E6" w:rsidR="007F11E6">
        <w:t xml:space="preserve">the BSA to require the </w:t>
      </w:r>
      <w:r w:rsidR="00D741C0">
        <w:t>U.S.</w:t>
      </w:r>
      <w:r w:rsidR="00DB2375">
        <w:t xml:space="preserve"> </w:t>
      </w:r>
      <w:r w:rsidRPr="007F11E6" w:rsidR="007F11E6">
        <w:t>Treasury Department (Treasury) to prescribe regulations “setting forth the minimum standards for financial institutions and their customers regarding the identity of the customer that shall apply in connection with the opening of an account at a financial institution.”</w:t>
      </w:r>
      <w:r>
        <w:rPr>
          <w:vertAlign w:val="superscript"/>
        </w:rPr>
        <w:footnoteReference w:id="8"/>
      </w:r>
      <w:r w:rsidRPr="007F11E6" w:rsidR="007F11E6">
        <w:t xml:space="preserve">  Speci</w:t>
      </w:r>
      <w:r w:rsidR="00017B15">
        <w:t>fic</w:t>
      </w:r>
      <w:r w:rsidRPr="007F11E6" w:rsidR="007F11E6">
        <w:t>ally, financial institutions must “verif[y] the identi</w:t>
      </w:r>
      <w:r w:rsidR="003938D4">
        <w:t>t</w:t>
      </w:r>
      <w:r w:rsidRPr="007F11E6" w:rsidR="007F11E6">
        <w:t>y of any person seeking to open an account to the extent reasonable and practicable” and “maintain[] records of the information used to verify a person’s identity including name, address, and other identifying information.”</w:t>
      </w:r>
      <w:r>
        <w:rPr>
          <w:vertAlign w:val="superscript"/>
        </w:rPr>
        <w:footnoteReference w:id="9"/>
      </w:r>
      <w:r w:rsidRPr="007F11E6" w:rsidR="007F11E6">
        <w:t xml:space="preserve"> </w:t>
      </w:r>
      <w:r w:rsidR="00A2791C">
        <w:t xml:space="preserve"> </w:t>
      </w:r>
    </w:p>
    <w:p w:rsidR="009C4B45" w:rsidRPr="007A6E65" w14:paraId="7DDCC28D" w14:textId="40781E7B">
      <w:pPr>
        <w:pStyle w:val="ParaNum"/>
      </w:pPr>
      <w:r>
        <w:t xml:space="preserve">The </w:t>
      </w:r>
      <w:r w:rsidRPr="007F11E6" w:rsidR="007F11E6">
        <w:t xml:space="preserve">Treasury </w:t>
      </w:r>
      <w:r w:rsidR="00ED4BB8">
        <w:t>requires</w:t>
      </w:r>
      <w:r w:rsidRPr="007F11E6" w:rsidR="007F11E6">
        <w:t xml:space="preserve"> </w:t>
      </w:r>
      <w:r w:rsidR="007E5B0A">
        <w:t>banks to implement a</w:t>
      </w:r>
      <w:r w:rsidR="00E6080F">
        <w:t xml:space="preserve"> written</w:t>
      </w:r>
      <w:r w:rsidRPr="007F11E6" w:rsidR="007F11E6">
        <w:t xml:space="preserve"> Customer</w:t>
      </w:r>
      <w:r w:rsidR="0089589E">
        <w:t xml:space="preserve"> </w:t>
      </w:r>
      <w:r w:rsidRPr="007F11E6" w:rsidR="007F11E6">
        <w:t>Identification Program (CIP)</w:t>
      </w:r>
      <w:r w:rsidR="00411E15">
        <w:t xml:space="preserve"> that includes certain minimum requirements</w:t>
      </w:r>
      <w:r w:rsidR="00000A89">
        <w:t xml:space="preserve"> to meet KYC requirements</w:t>
      </w:r>
      <w:r w:rsidRPr="007F11E6" w:rsidR="007F11E6">
        <w:t>.</w:t>
      </w:r>
      <w:r>
        <w:rPr>
          <w:vertAlign w:val="superscript"/>
        </w:rPr>
        <w:footnoteReference w:id="10"/>
      </w:r>
      <w:r w:rsidRPr="007F11E6" w:rsidR="007F11E6">
        <w:t xml:space="preserve">  </w:t>
      </w:r>
      <w:r w:rsidR="00512E39">
        <w:t>For example, i</w:t>
      </w:r>
      <w:r w:rsidRPr="007F11E6" w:rsidR="007F11E6">
        <w:t xml:space="preserve">n order to open an account, </w:t>
      </w:r>
      <w:r w:rsidR="0096352C">
        <w:t>banks</w:t>
      </w:r>
      <w:r w:rsidRPr="007F11E6" w:rsidR="007F11E6">
        <w:t xml:space="preserve"> must collect</w:t>
      </w:r>
      <w:r w:rsidR="0008694A">
        <w:t xml:space="preserve"> a </w:t>
      </w:r>
      <w:r w:rsidRPr="0008694A" w:rsidR="0008694A">
        <w:t xml:space="preserve">name, </w:t>
      </w:r>
      <w:r w:rsidRPr="00E12A4B" w:rsidR="00E12A4B">
        <w:t xml:space="preserve">date of birth (for individuals), </w:t>
      </w:r>
      <w:r w:rsidRPr="006A4E99" w:rsidR="006A4E99">
        <w:t xml:space="preserve">physical address, and </w:t>
      </w:r>
      <w:r w:rsidRPr="009A7322" w:rsidR="009A7322">
        <w:t>identification number</w:t>
      </w:r>
      <w:r w:rsidR="009A7322">
        <w:t>.</w:t>
      </w:r>
      <w:r>
        <w:rPr>
          <w:vertAlign w:val="superscript"/>
        </w:rPr>
        <w:footnoteReference w:id="11"/>
      </w:r>
      <w:r w:rsidR="00840BFA">
        <w:t xml:space="preserve"> </w:t>
      </w:r>
      <w:r w:rsidR="00D43BA2">
        <w:t xml:space="preserve"> </w:t>
      </w:r>
      <w:r w:rsidRPr="00C04698" w:rsidR="00C04698">
        <w:t xml:space="preserve">Bank CIPs must contain procedures for verifying the information collected within </w:t>
      </w:r>
      <w:r w:rsidRPr="00C04698" w:rsidR="00C04698">
        <w:t>a reasonable time after the account is opened.</w:t>
      </w:r>
      <w:r>
        <w:rPr>
          <w:vertAlign w:val="superscript"/>
        </w:rPr>
        <w:footnoteReference w:id="12"/>
      </w:r>
      <w:r w:rsidRPr="00C04698" w:rsidR="00C04698">
        <w:t xml:space="preserve">  </w:t>
      </w:r>
      <w:r w:rsidR="00750D8A">
        <w:t>B</w:t>
      </w:r>
      <w:r w:rsidRPr="00C04698" w:rsidR="00C04698">
        <w:t>anks can use documents, non-documentary methods, or a combination of both</w:t>
      </w:r>
      <w:r w:rsidR="00C25B22">
        <w:t xml:space="preserve"> to accomplish this</w:t>
      </w:r>
      <w:r w:rsidRPr="00C04698" w:rsidR="00C04698">
        <w:t>.</w:t>
      </w:r>
      <w:r>
        <w:rPr>
          <w:vertAlign w:val="superscript"/>
        </w:rPr>
        <w:footnoteReference w:id="13"/>
      </w:r>
      <w:r w:rsidRPr="00651597" w:rsidR="007E2321">
        <w:rPr>
          <w:rFonts w:eastAsia="Aptos"/>
          <w:kern w:val="0"/>
          <w:szCs w:val="22"/>
        </w:rPr>
        <w:t xml:space="preserve"> </w:t>
      </w:r>
      <w:r w:rsidR="005A28E3">
        <w:rPr>
          <w:rFonts w:eastAsia="Aptos"/>
          <w:kern w:val="0"/>
          <w:szCs w:val="22"/>
        </w:rPr>
        <w:t xml:space="preserve"> </w:t>
      </w:r>
      <w:r w:rsidRPr="008272A4" w:rsidR="008272A4">
        <w:rPr>
          <w:rFonts w:eastAsia="Aptos"/>
          <w:kern w:val="0"/>
          <w:szCs w:val="22"/>
        </w:rPr>
        <w:t>Bank CIPs must also include procedures for determining whether the customer appears on any list of known or suspected terrorists or terrorist organizations maintained by the federal government.</w:t>
      </w:r>
      <w:r>
        <w:rPr>
          <w:rFonts w:eastAsia="Aptos"/>
          <w:kern w:val="0"/>
          <w:szCs w:val="22"/>
          <w:vertAlign w:val="superscript"/>
        </w:rPr>
        <w:footnoteReference w:id="14"/>
      </w:r>
      <w:r w:rsidRPr="008272A4" w:rsidR="008272A4">
        <w:rPr>
          <w:rFonts w:eastAsia="Aptos"/>
          <w:kern w:val="0"/>
          <w:szCs w:val="22"/>
        </w:rPr>
        <w:t xml:space="preserve">  Banks must retain customer information for five years after the date the account is closed.</w:t>
      </w:r>
      <w:r>
        <w:rPr>
          <w:rFonts w:eastAsia="Aptos"/>
          <w:kern w:val="0"/>
          <w:szCs w:val="22"/>
          <w:vertAlign w:val="superscript"/>
        </w:rPr>
        <w:footnoteReference w:id="15"/>
      </w:r>
      <w:r w:rsidRPr="008272A4" w:rsidR="008272A4">
        <w:rPr>
          <w:rFonts w:eastAsia="Aptos"/>
          <w:kern w:val="0"/>
          <w:szCs w:val="22"/>
        </w:rPr>
        <w:t xml:space="preserve">  </w:t>
      </w:r>
      <w:r w:rsidRPr="007E2321" w:rsidR="007E2321">
        <w:t xml:space="preserve">  </w:t>
      </w:r>
    </w:p>
    <w:p w:rsidR="00905DAA" w:rsidP="00C542F6" w14:paraId="1649461D" w14:textId="5D493557">
      <w:pPr>
        <w:pStyle w:val="Heading2"/>
      </w:pPr>
      <w:r>
        <w:t xml:space="preserve">Know-Your-Customer Rule for </w:t>
      </w:r>
      <w:r w:rsidR="00D94E90">
        <w:t xml:space="preserve">Originating </w:t>
      </w:r>
      <w:r w:rsidR="00C26622">
        <w:t>Voice Service Providers</w:t>
      </w:r>
    </w:p>
    <w:p w:rsidR="00905DAA" w:rsidP="00CC6116" w14:paraId="14452847" w14:textId="06EC4510">
      <w:pPr>
        <w:pStyle w:val="ParaNum"/>
      </w:pPr>
      <w:r>
        <w:t>T</w:t>
      </w:r>
      <w:r w:rsidRPr="00BC77E1" w:rsidR="00BC77E1">
        <w:t>he Commission’s rules require a</w:t>
      </w:r>
      <w:r w:rsidR="008B2483">
        <w:t>n originating</w:t>
      </w:r>
      <w:r w:rsidRPr="00BC77E1" w:rsidR="00BC77E1">
        <w:t xml:space="preserve"> provider to “[t]ake affirmative, effective measures to prevent new and renewing customers from using its network to originate illegal calls, including knowing its customers and exercising due diligence in ensuring that its services are not used to originate illegal traffic.”</w:t>
      </w:r>
      <w:r>
        <w:rPr>
          <w:rStyle w:val="FootnoteReference"/>
        </w:rPr>
        <w:footnoteReference w:id="16"/>
      </w:r>
      <w:r w:rsidRPr="00BC77E1" w:rsidR="00BC77E1">
        <w:t xml:space="preserve"> </w:t>
      </w:r>
      <w:r w:rsidR="007F6DE0">
        <w:t xml:space="preserve"> </w:t>
      </w:r>
      <w:r w:rsidR="00065E39">
        <w:t>T</w:t>
      </w:r>
      <w:r w:rsidRPr="00BC77E1" w:rsidR="00BC77E1">
        <w:t xml:space="preserve">he Commission </w:t>
      </w:r>
      <w:r w:rsidR="007F6DE0">
        <w:t>has</w:t>
      </w:r>
      <w:r w:rsidRPr="00BC77E1" w:rsidR="00BC77E1">
        <w:t xml:space="preserve"> not mandate</w:t>
      </w:r>
      <w:r w:rsidR="007F6DE0">
        <w:t>d</w:t>
      </w:r>
      <w:r w:rsidRPr="00BC77E1" w:rsidR="00BC77E1">
        <w:t xml:space="preserve"> specific measures to comply with this rule, but rather </w:t>
      </w:r>
      <w:r w:rsidR="001945DC">
        <w:t>stated</w:t>
      </w:r>
      <w:r w:rsidRPr="00BC77E1" w:rsidR="00BC77E1">
        <w:t xml:space="preserve"> that “[v]oice service providers can comply in a number of ways, so long as they know their customers and take measures that have the effect of actually restricting the ability of new and renewing customers to originate illegal traffic.”</w:t>
      </w:r>
      <w:r>
        <w:rPr>
          <w:rStyle w:val="FootnoteReference"/>
        </w:rPr>
        <w:footnoteReference w:id="17"/>
      </w:r>
      <w:r w:rsidRPr="00BC77E1" w:rsidR="00BC77E1">
        <w:t xml:space="preserve"> </w:t>
      </w:r>
      <w:r w:rsidR="00A364D1">
        <w:t xml:space="preserve"> </w:t>
      </w:r>
      <w:r w:rsidRPr="00BC77E1" w:rsidR="00BC77E1">
        <w:t>The Commission has “recommend[ed] that voice service providers exercise caution in granting access to high-volume origination services, to ensure that bad actors do not abuse such services”</w:t>
      </w:r>
      <w:r>
        <w:rPr>
          <w:rStyle w:val="FootnoteReference"/>
        </w:rPr>
        <w:footnoteReference w:id="18"/>
      </w:r>
      <w:r w:rsidRPr="00BC77E1" w:rsidR="00BC77E1">
        <w:t xml:space="preserve"> and noted that </w:t>
      </w:r>
      <w:r w:rsidR="00CB7D6F">
        <w:t>originating</w:t>
      </w:r>
      <w:r w:rsidRPr="00BC77E1" w:rsidR="00BC77E1">
        <w:t xml:space="preserve"> providers may need to “extensively investigate new customers seeking access to high-volume origination services.”</w:t>
      </w:r>
      <w:r>
        <w:rPr>
          <w:rStyle w:val="FootnoteReference"/>
        </w:rPr>
        <w:footnoteReference w:id="19"/>
      </w:r>
      <w:r w:rsidRPr="00631881" w:rsidR="00631881">
        <w:t xml:space="preserve"> </w:t>
      </w:r>
      <w:r w:rsidR="00634598">
        <w:t xml:space="preserve"> </w:t>
      </w:r>
    </w:p>
    <w:p w:rsidR="00675301" w:rsidRPr="00484F69" w:rsidP="00401A2C" w14:paraId="6B1A7543" w14:textId="4D6AA283">
      <w:pPr>
        <w:pStyle w:val="ParaNum"/>
        <w:widowControl/>
      </w:pPr>
      <w:r>
        <w:t>Since adoption, the FCC has monitored compliance with its KYC requirement</w:t>
      </w:r>
      <w:r w:rsidR="007C1640">
        <w:t>.</w:t>
      </w:r>
      <w:r>
        <w:t xml:space="preserve">  </w:t>
      </w:r>
      <w:r w:rsidR="007F1D4A">
        <w:t xml:space="preserve">In 2024, the Commission </w:t>
      </w:r>
      <w:r w:rsidR="00C90DD8">
        <w:t>entered into a consent decree</w:t>
      </w:r>
      <w:r w:rsidR="00D15F2F">
        <w:t xml:space="preserve"> where</w:t>
      </w:r>
      <w:r w:rsidR="004F2CE0">
        <w:t xml:space="preserve"> Lingo Telecom, LLC </w:t>
      </w:r>
      <w:r w:rsidR="00D15F2F">
        <w:t>agreed to implement enhanced KYC measures for its customers</w:t>
      </w:r>
      <w:r>
        <w:rPr>
          <w:rStyle w:val="FootnoteReference"/>
        </w:rPr>
        <w:footnoteReference w:id="20"/>
      </w:r>
      <w:r w:rsidR="00D15F2F">
        <w:t xml:space="preserve"> after the Commission found</w:t>
      </w:r>
      <w:r w:rsidR="007F1D4A">
        <w:t xml:space="preserve"> that Lingo “</w:t>
      </w:r>
      <w:r w:rsidRPr="00567B62" w:rsidR="007F1D4A">
        <w:t>in a failure to utilize reasonable ‘Know Your Customer’ (KYC) protocols, applied incorrect STIR/SHAKEN attestations to spoofed robocalls” in</w:t>
      </w:r>
      <w:r w:rsidR="007F1D4A">
        <w:t xml:space="preserve"> </w:t>
      </w:r>
      <w:r w:rsidRPr="00567B62" w:rsidR="007F1D4A">
        <w:t>apparent violation of section 64.6301(a).</w:t>
      </w:r>
      <w:r>
        <w:rPr>
          <w:rStyle w:val="FootnoteReference"/>
        </w:rPr>
        <w:footnoteReference w:id="21"/>
      </w:r>
      <w:r w:rsidR="00D15F2F">
        <w:t xml:space="preserve">  Specifically, Lingo agreed to </w:t>
      </w:r>
      <w:r w:rsidRPr="00F9749F" w:rsidR="00F9749F">
        <w:t>obtain the following information about its customers: legal business name and supporting records confirming the same; place of formation and supporting records confirming the same; proof of good standing in the place of formation not older than six months prior to the date of the latest order by the customer of a Lingo Telecom SIP Trunking Product; U.S. federal Employer Identification Number or Business Registration Number (if applicable); physical business address and supporting records confirming the same; active telephone number and supporting records confirming the same; type of goods or services offered (e.g., marketing, education, political consulting), and verification of commercial presence reflecting same (e.g., website, social media, store front); name of authorized individual acting on behalf of the customer.</w:t>
      </w:r>
      <w:r>
        <w:rPr>
          <w:rStyle w:val="FootnoteReference"/>
        </w:rPr>
        <w:footnoteReference w:id="22"/>
      </w:r>
      <w:r w:rsidRPr="00F9749F" w:rsidR="00F9749F">
        <w:t xml:space="preserve"> </w:t>
      </w:r>
      <w:r w:rsidR="00D15F2F">
        <w:t xml:space="preserve">  </w:t>
      </w:r>
      <w:r w:rsidR="007F1D4A">
        <w:t xml:space="preserve">  </w:t>
      </w:r>
    </w:p>
    <w:p w:rsidR="00905DAA" w:rsidRPr="002E2CCE" w:rsidP="00C542F6" w14:paraId="6780373A" w14:textId="77777777">
      <w:pPr>
        <w:pStyle w:val="Heading1"/>
      </w:pPr>
      <w:bookmarkStart w:id="14" w:name="_Toc209031266"/>
      <w:bookmarkStart w:id="15" w:name="_Toc209512700"/>
      <w:bookmarkStart w:id="16" w:name="_Toc210640436"/>
      <w:bookmarkStart w:id="17" w:name="_Toc212121468"/>
      <w:bookmarkStart w:id="18" w:name="_Toc212467143"/>
      <w:r>
        <w:t>DISCUSSION</w:t>
      </w:r>
      <w:bookmarkEnd w:id="14"/>
      <w:bookmarkEnd w:id="15"/>
      <w:bookmarkEnd w:id="16"/>
      <w:bookmarkEnd w:id="17"/>
      <w:bookmarkEnd w:id="18"/>
    </w:p>
    <w:p w:rsidR="00861475" w:rsidRPr="00861475" w:rsidP="00B666B2" w14:paraId="06F7EDA0" w14:textId="4BFE7108">
      <w:pPr>
        <w:pStyle w:val="ParaNum"/>
      </w:pPr>
      <w:r>
        <w:t xml:space="preserve"> </w:t>
      </w:r>
      <w:r w:rsidR="00BF53C0">
        <w:t>Criminals</w:t>
      </w:r>
      <w:r w:rsidR="0075459C">
        <w:t xml:space="preserve"> continue to leverage the </w:t>
      </w:r>
      <w:r w:rsidR="00D87B87">
        <w:t>anonymity</w:t>
      </w:r>
      <w:r w:rsidR="0075459C">
        <w:t xml:space="preserve"> </w:t>
      </w:r>
      <w:r w:rsidR="00D87B87">
        <w:t>provide</w:t>
      </w:r>
      <w:r w:rsidR="00EE6B44">
        <w:t>d</w:t>
      </w:r>
      <w:r w:rsidR="00D87B87">
        <w:t xml:space="preserve"> by </w:t>
      </w:r>
      <w:r w:rsidR="00C11605">
        <w:t>phone calls and texts</w:t>
      </w:r>
      <w:r w:rsidR="00BC3848">
        <w:t xml:space="preserve"> to </w:t>
      </w:r>
      <w:r w:rsidR="00C91D67">
        <w:t xml:space="preserve">defraud </w:t>
      </w:r>
      <w:r w:rsidR="00B271C3">
        <w:t>Americans</w:t>
      </w:r>
      <w:r w:rsidR="0024418B">
        <w:t xml:space="preserve"> and exploit communications networks to </w:t>
      </w:r>
      <w:r w:rsidR="00666890">
        <w:t xml:space="preserve">further </w:t>
      </w:r>
      <w:r w:rsidR="0024418B">
        <w:t>other crimes</w:t>
      </w:r>
      <w:r w:rsidR="00C11605">
        <w:t>.</w:t>
      </w:r>
      <w:r w:rsidR="00141DB5">
        <w:t xml:space="preserve"> </w:t>
      </w:r>
      <w:r w:rsidR="00F464C0">
        <w:t xml:space="preserve"> </w:t>
      </w:r>
      <w:r w:rsidR="007E314C">
        <w:t>To bring illegal callers out of the shadows</w:t>
      </w:r>
      <w:r w:rsidR="00E91D3B">
        <w:t>,</w:t>
      </w:r>
      <w:r w:rsidR="00F464C0">
        <w:t xml:space="preserve"> we </w:t>
      </w:r>
      <w:r w:rsidR="0099239A">
        <w:t>seek comment on making</w:t>
      </w:r>
      <w:r w:rsidR="00BA5AAC">
        <w:t xml:space="preserve"> our KYC</w:t>
      </w:r>
      <w:r w:rsidR="00D45127">
        <w:t xml:space="preserve"> rules more robust by</w:t>
      </w:r>
      <w:r w:rsidR="00F464C0">
        <w:t xml:space="preserve"> specify</w:t>
      </w:r>
      <w:r w:rsidR="00D45127">
        <w:t>ing</w:t>
      </w:r>
      <w:r w:rsidR="00F464C0">
        <w:t xml:space="preserve"> information originating providers must obtain from customers before they </w:t>
      </w:r>
      <w:r w:rsidR="00BB4D20">
        <w:t xml:space="preserve">are granted access to </w:t>
      </w:r>
      <w:r w:rsidR="005B2B68">
        <w:t>its service</w:t>
      </w:r>
      <w:r w:rsidR="00BB4D20">
        <w:t xml:space="preserve"> to</w:t>
      </w:r>
      <w:r w:rsidR="00F464C0">
        <w:t xml:space="preserve"> make calls, how they should verify that information, and how we can </w:t>
      </w:r>
      <w:r w:rsidR="00695CBD">
        <w:t xml:space="preserve">assess </w:t>
      </w:r>
      <w:r w:rsidR="00F464C0">
        <w:t>enforce</w:t>
      </w:r>
      <w:r w:rsidR="00BF20F2">
        <w:t>ment</w:t>
      </w:r>
      <w:r w:rsidR="00F464C0">
        <w:t xml:space="preserve"> </w:t>
      </w:r>
      <w:r w:rsidR="00695CBD">
        <w:t xml:space="preserve">penalties </w:t>
      </w:r>
      <w:r w:rsidR="00040443">
        <w:t>that are</w:t>
      </w:r>
      <w:r w:rsidR="00F464C0">
        <w:t xml:space="preserve"> proportionate to the harms </w:t>
      </w:r>
      <w:r w:rsidR="008F37A5">
        <w:t xml:space="preserve">that </w:t>
      </w:r>
      <w:r w:rsidR="00E66D61">
        <w:t>unwanted and illegal calls</w:t>
      </w:r>
      <w:r w:rsidR="00F464C0">
        <w:t xml:space="preserve"> cause.  </w:t>
      </w:r>
      <w:r w:rsidR="003B5AE7">
        <w:t>Th</w:t>
      </w:r>
      <w:r w:rsidR="00CF747E">
        <w:t xml:space="preserve">rough this proceeding, the FCC aims to </w:t>
      </w:r>
      <w:r w:rsidR="00F464C0">
        <w:t xml:space="preserve">make it </w:t>
      </w:r>
      <w:r w:rsidR="00D6162A">
        <w:t xml:space="preserve">more difficult </w:t>
      </w:r>
      <w:r w:rsidR="006A77FA">
        <w:t xml:space="preserve">for scammers </w:t>
      </w:r>
      <w:r w:rsidR="00D6162A">
        <w:t>to originate illegal calls and</w:t>
      </w:r>
      <w:r w:rsidR="00B914B3">
        <w:t xml:space="preserve"> to enforce against them</w:t>
      </w:r>
      <w:r w:rsidR="00D6162A">
        <w:t xml:space="preserve"> when they do get onto the network. </w:t>
      </w:r>
      <w:r w:rsidR="00770FDF">
        <w:t xml:space="preserve"> In addition, </w:t>
      </w:r>
      <w:r w:rsidR="00142810">
        <w:t>we aim to</w:t>
      </w:r>
      <w:r w:rsidR="00695CBD">
        <w:t xml:space="preserve"> </w:t>
      </w:r>
      <w:r w:rsidR="0023780D">
        <w:t>clarify</w:t>
      </w:r>
      <w:r w:rsidR="0058171E">
        <w:t xml:space="preserve"> and reduce </w:t>
      </w:r>
      <w:r w:rsidR="00C549F2">
        <w:t xml:space="preserve">the </w:t>
      </w:r>
      <w:r w:rsidR="007208F8">
        <w:t>regulatory uncert</w:t>
      </w:r>
      <w:r w:rsidR="00C549F2">
        <w:t>ainty</w:t>
      </w:r>
      <w:r w:rsidR="0058171E">
        <w:t xml:space="preserve"> of</w:t>
      </w:r>
      <w:r w:rsidR="0023780D">
        <w:t xml:space="preserve"> </w:t>
      </w:r>
      <w:r w:rsidR="001D27AA">
        <w:t xml:space="preserve">KYC compliance </w:t>
      </w:r>
      <w:r w:rsidR="00695CBD">
        <w:t xml:space="preserve">for </w:t>
      </w:r>
      <w:r w:rsidR="001D27AA">
        <w:t>originating providers</w:t>
      </w:r>
      <w:r w:rsidRPr="00770FDF" w:rsidR="00770FDF">
        <w:t xml:space="preserve">. </w:t>
      </w:r>
      <w:r w:rsidR="00D6162A">
        <w:t xml:space="preserve"> </w:t>
      </w:r>
      <w:r w:rsidR="007247C7">
        <w:t xml:space="preserve">This </w:t>
      </w:r>
      <w:r w:rsidR="00155371">
        <w:t>proceeding</w:t>
      </w:r>
      <w:r w:rsidR="00695CBD">
        <w:t xml:space="preserve"> </w:t>
      </w:r>
      <w:r w:rsidR="00D6162A">
        <w:t>complement</w:t>
      </w:r>
      <w:r w:rsidR="007247C7">
        <w:t>s</w:t>
      </w:r>
      <w:r w:rsidR="00D6162A">
        <w:t xml:space="preserve"> our </w:t>
      </w:r>
      <w:r w:rsidR="0058171E">
        <w:t>broader work attacking illegal calls at all points in their lifecycle</w:t>
      </w:r>
      <w:r w:rsidR="00D6162A">
        <w:t>, including access to numbers, blocking, and call branding.</w:t>
      </w:r>
      <w:r>
        <w:rPr>
          <w:rStyle w:val="FootnoteReference"/>
        </w:rPr>
        <w:footnoteReference w:id="23"/>
      </w:r>
    </w:p>
    <w:p w:rsidR="00905DAA" w:rsidP="00C542F6" w14:paraId="0C02B7F1" w14:textId="3FD2B11E">
      <w:pPr>
        <w:pStyle w:val="Heading2"/>
      </w:pPr>
      <w:bookmarkStart w:id="19" w:name="_Toc209031268"/>
      <w:bookmarkStart w:id="20" w:name="_Toc209512702"/>
      <w:bookmarkStart w:id="21" w:name="_Toc210640438"/>
      <w:bookmarkStart w:id="22" w:name="_Toc212121470"/>
      <w:bookmarkStart w:id="23" w:name="_Toc212467145"/>
      <w:r>
        <w:t xml:space="preserve">Obtaining </w:t>
      </w:r>
      <w:r w:rsidR="001338A5">
        <w:t>C</w:t>
      </w:r>
      <w:r w:rsidR="00374783">
        <w:t>ustomer</w:t>
      </w:r>
      <w:r w:rsidR="001338A5">
        <w:t xml:space="preserve"> </w:t>
      </w:r>
      <w:r w:rsidR="001A697E">
        <w:t xml:space="preserve">Identification </w:t>
      </w:r>
      <w:r w:rsidR="001338A5">
        <w:t>Information</w:t>
      </w:r>
      <w:bookmarkEnd w:id="19"/>
      <w:bookmarkEnd w:id="20"/>
      <w:bookmarkEnd w:id="21"/>
      <w:bookmarkEnd w:id="22"/>
      <w:bookmarkEnd w:id="23"/>
    </w:p>
    <w:p w:rsidR="00C02271" w:rsidP="00F3654D" w14:paraId="62635A6A" w14:textId="7F8B8401">
      <w:pPr>
        <w:pStyle w:val="ParaNum"/>
      </w:pPr>
      <w:r>
        <w:t xml:space="preserve">We seek comment </w:t>
      </w:r>
      <w:r w:rsidR="003A29A1">
        <w:t xml:space="preserve">on </w:t>
      </w:r>
      <w:r w:rsidR="00FD1429">
        <w:t>requir</w:t>
      </w:r>
      <w:r w:rsidR="00813EF9">
        <w:t>ing</w:t>
      </w:r>
      <w:r w:rsidR="00FD1429">
        <w:t xml:space="preserve"> </w:t>
      </w:r>
      <w:r w:rsidR="00EB0656">
        <w:t xml:space="preserve">originating </w:t>
      </w:r>
      <w:r w:rsidR="00FD1429">
        <w:t xml:space="preserve">providers to obtain certain </w:t>
      </w:r>
      <w:r w:rsidR="006A1424">
        <w:t xml:space="preserve">identification </w:t>
      </w:r>
      <w:r w:rsidR="00FD1429">
        <w:t xml:space="preserve">information from </w:t>
      </w:r>
      <w:r w:rsidR="00130534">
        <w:t xml:space="preserve">both </w:t>
      </w:r>
      <w:r w:rsidR="00FD1429">
        <w:t xml:space="preserve">new </w:t>
      </w:r>
      <w:r w:rsidR="00130534">
        <w:t xml:space="preserve">and </w:t>
      </w:r>
      <w:r w:rsidR="00B53506">
        <w:t xml:space="preserve">renewing customers.  Specifically, we </w:t>
      </w:r>
      <w:r w:rsidR="00061C41">
        <w:t xml:space="preserve">seek comment on requiring </w:t>
      </w:r>
      <w:r w:rsidR="00EB0656">
        <w:t xml:space="preserve">originating </w:t>
      </w:r>
      <w:r w:rsidR="00B53506">
        <w:t xml:space="preserve">providers </w:t>
      </w:r>
      <w:r w:rsidR="00061C41">
        <w:t>to</w:t>
      </w:r>
      <w:r w:rsidR="0018732D">
        <w:t>, at a minimum,</w:t>
      </w:r>
      <w:r w:rsidR="00F142DB">
        <w:t xml:space="preserve"> </w:t>
      </w:r>
      <w:r w:rsidR="00B53506">
        <w:t>obtain</w:t>
      </w:r>
      <w:r w:rsidR="00AC3A73">
        <w:t xml:space="preserve"> and retain</w:t>
      </w:r>
      <w:r w:rsidR="00B53506">
        <w:t xml:space="preserve"> the </w:t>
      </w:r>
      <w:r w:rsidR="00EF6585">
        <w:t>name</w:t>
      </w:r>
      <w:r w:rsidR="00062347">
        <w:t xml:space="preserve">, </w:t>
      </w:r>
      <w:r w:rsidR="00EF6585">
        <w:t>physical address</w:t>
      </w:r>
      <w:r w:rsidR="00C07DC5">
        <w:t xml:space="preserve">, </w:t>
      </w:r>
      <w:r w:rsidR="008C72EE">
        <w:t xml:space="preserve">government issued </w:t>
      </w:r>
      <w:r w:rsidR="003C1B42">
        <w:t>identific</w:t>
      </w:r>
      <w:r w:rsidR="008C72EE">
        <w:t>ation number</w:t>
      </w:r>
      <w:r w:rsidR="00166E1B">
        <w:t xml:space="preserve">, </w:t>
      </w:r>
      <w:r w:rsidR="00D31C28">
        <w:t xml:space="preserve">and </w:t>
      </w:r>
      <w:r w:rsidR="00093E12">
        <w:t>an alternate</w:t>
      </w:r>
      <w:r w:rsidR="00D31C28">
        <w:t xml:space="preserve"> </w:t>
      </w:r>
      <w:r w:rsidR="00166E1B">
        <w:t>telephone number</w:t>
      </w:r>
      <w:r w:rsidR="00D31C28">
        <w:t xml:space="preserve"> </w:t>
      </w:r>
      <w:r w:rsidR="00166E1B">
        <w:t>of any new and renewing customer before granting access to its services</w:t>
      </w:r>
      <w:r w:rsidR="009957EE">
        <w:t>.</w:t>
      </w:r>
      <w:r w:rsidR="00C002DD">
        <w:t xml:space="preserve"> </w:t>
      </w:r>
      <w:r w:rsidR="00AC684D">
        <w:t xml:space="preserve"> </w:t>
      </w:r>
      <w:r w:rsidR="00E43F40">
        <w:t xml:space="preserve">For </w:t>
      </w:r>
      <w:r w:rsidR="00F76A09">
        <w:t>high-volume customer</w:t>
      </w:r>
      <w:r w:rsidR="00555E53">
        <w:t>s,</w:t>
      </w:r>
      <w:r w:rsidR="00F76A09">
        <w:t xml:space="preserve"> including </w:t>
      </w:r>
      <w:r w:rsidR="00E43F40">
        <w:t>business</w:t>
      </w:r>
      <w:r w:rsidR="00FD7F54">
        <w:t xml:space="preserve"> and foreign</w:t>
      </w:r>
      <w:r w:rsidR="00E43F40">
        <w:t xml:space="preserve"> customers, we </w:t>
      </w:r>
      <w:r w:rsidR="00061C41">
        <w:t>seek comment on requiring</w:t>
      </w:r>
      <w:r w:rsidR="00E43F40">
        <w:t xml:space="preserve"> </w:t>
      </w:r>
      <w:r w:rsidR="00330484">
        <w:t>originating</w:t>
      </w:r>
      <w:r w:rsidR="00E43F40">
        <w:t xml:space="preserve"> providers </w:t>
      </w:r>
      <w:r w:rsidR="00061C41">
        <w:t xml:space="preserve">to </w:t>
      </w:r>
      <w:r w:rsidR="00E43F40">
        <w:t xml:space="preserve">also </w:t>
      </w:r>
      <w:r w:rsidR="00AD457A">
        <w:t>collect the intended use of the service (e.g., marketing, education</w:t>
      </w:r>
      <w:r w:rsidR="006A2F2E">
        <w:t>, political</w:t>
      </w:r>
      <w:r w:rsidR="00847533">
        <w:t xml:space="preserve"> campaign</w:t>
      </w:r>
      <w:r w:rsidR="006A2F2E">
        <w:t>)</w:t>
      </w:r>
      <w:r w:rsidR="006E11BD">
        <w:t xml:space="preserve"> and</w:t>
      </w:r>
      <w:r w:rsidR="00AC087C">
        <w:t xml:space="preserve"> </w:t>
      </w:r>
      <w:r w:rsidR="00620C68">
        <w:t xml:space="preserve">the </w:t>
      </w:r>
      <w:r w:rsidR="00AD443B">
        <w:t>customer</w:t>
      </w:r>
      <w:r w:rsidR="00F8697B">
        <w:t>’</w:t>
      </w:r>
      <w:r w:rsidR="00AD443B">
        <w:t>s</w:t>
      </w:r>
      <w:r w:rsidR="006E11BD">
        <w:t xml:space="preserve"> IP address</w:t>
      </w:r>
      <w:r w:rsidR="006110BA">
        <w:t xml:space="preserve"> </w:t>
      </w:r>
      <w:r w:rsidR="00130534">
        <w:t xml:space="preserve">from which </w:t>
      </w:r>
      <w:r w:rsidR="001B47A9">
        <w:t>each</w:t>
      </w:r>
      <w:r w:rsidR="00AC087C">
        <w:t xml:space="preserve"> </w:t>
      </w:r>
      <w:r w:rsidR="00130534">
        <w:t>call will be placed</w:t>
      </w:r>
      <w:r w:rsidR="00404AC9">
        <w:t xml:space="preserve"> (if applicable)</w:t>
      </w:r>
      <w:r w:rsidR="004F419B">
        <w:t>.</w:t>
      </w:r>
      <w:r>
        <w:rPr>
          <w:rStyle w:val="FootnoteReference"/>
        </w:rPr>
        <w:footnoteReference w:id="24"/>
      </w:r>
      <w:r w:rsidR="004F419B">
        <w:t xml:space="preserve">  </w:t>
      </w:r>
      <w:r>
        <w:t xml:space="preserve">We believe that requiring </w:t>
      </w:r>
      <w:r w:rsidR="00330484">
        <w:t>originating</w:t>
      </w:r>
      <w:r>
        <w:t xml:space="preserve"> providers </w:t>
      </w:r>
      <w:r w:rsidR="002F0645">
        <w:t xml:space="preserve">to </w:t>
      </w:r>
      <w:r>
        <w:t>gather this basic identi</w:t>
      </w:r>
      <w:r w:rsidR="00470CDE">
        <w:t>fication</w:t>
      </w:r>
      <w:r>
        <w:t xml:space="preserve"> information will have two benefits.  First, it will deter some scam</w:t>
      </w:r>
      <w:r w:rsidR="00432CE8">
        <w:t>me</w:t>
      </w:r>
      <w:r w:rsidR="006F2C79">
        <w:t>r</w:t>
      </w:r>
      <w:r>
        <w:t xml:space="preserve">s from getting onto the network.  Second, </w:t>
      </w:r>
      <w:r w:rsidR="00F3654D">
        <w:t xml:space="preserve">enforcers will </w:t>
      </w:r>
      <w:r>
        <w:t xml:space="preserve">be </w:t>
      </w:r>
      <w:r w:rsidR="00F3654D">
        <w:t>better able to identify the scammers when they do</w:t>
      </w:r>
      <w:r>
        <w:t xml:space="preserve">.  Gathering such information is the standard to prevent money laundering, and </w:t>
      </w:r>
      <w:r w:rsidR="004842C0">
        <w:t xml:space="preserve">given the misuse of networks by bad actors such as organized criminal groups, </w:t>
      </w:r>
      <w:r>
        <w:t xml:space="preserve">we </w:t>
      </w:r>
      <w:r w:rsidR="004842C0">
        <w:t>believe</w:t>
      </w:r>
      <w:r>
        <w:t xml:space="preserve"> it provides a good model for our work.</w:t>
      </w:r>
      <w:r>
        <w:rPr>
          <w:rStyle w:val="FootnoteReference"/>
        </w:rPr>
        <w:footnoteReference w:id="25"/>
      </w:r>
    </w:p>
    <w:p w:rsidR="00720B23" w:rsidP="00B666B2" w14:paraId="3C21C1D5" w14:textId="2A8278C7">
      <w:pPr>
        <w:pStyle w:val="ParaNum"/>
      </w:pPr>
      <w:r>
        <w:t xml:space="preserve">We seek comment on our views.  </w:t>
      </w:r>
      <w:r w:rsidR="00571ACE">
        <w:t xml:space="preserve">Can enhanced KYC prevent misuses of U.S. communications networks and numbering resources?  </w:t>
      </w:r>
      <w:r>
        <w:t xml:space="preserve">Would </w:t>
      </w:r>
      <w:r w:rsidR="00A50CEB">
        <w:t>requiring the collection of this information</w:t>
      </w:r>
      <w:r w:rsidR="00F3654D">
        <w:t xml:space="preserve"> </w:t>
      </w:r>
      <w:r>
        <w:t xml:space="preserve">help cut down on illegal calls?  Is the information we describe above sufficient to enable </w:t>
      </w:r>
      <w:r w:rsidR="00550997">
        <w:t>originating</w:t>
      </w:r>
      <w:r w:rsidR="000B7E66">
        <w:t xml:space="preserve"> providers to identify </w:t>
      </w:r>
      <w:r w:rsidR="00A20C0E">
        <w:t xml:space="preserve">malicious actors </w:t>
      </w:r>
      <w:r w:rsidR="00A43F0A">
        <w:t>before they originate illegal calls</w:t>
      </w:r>
      <w:r>
        <w:t xml:space="preserve">?  </w:t>
      </w:r>
      <w:r w:rsidRPr="00605144" w:rsidR="005C08C1">
        <w:rPr>
          <w:snapToGrid/>
          <w:kern w:val="0"/>
          <w:szCs w:val="22"/>
        </w:rPr>
        <w:t>Is any of this information not needed</w:t>
      </w:r>
      <w:r w:rsidR="00810335">
        <w:rPr>
          <w:snapToGrid/>
          <w:kern w:val="0"/>
          <w:szCs w:val="22"/>
        </w:rPr>
        <w:t xml:space="preserve"> to verify the identity </w:t>
      </w:r>
      <w:r w:rsidR="00F06DFF">
        <w:rPr>
          <w:snapToGrid/>
          <w:kern w:val="0"/>
          <w:szCs w:val="22"/>
        </w:rPr>
        <w:t>of new and renewing customers</w:t>
      </w:r>
      <w:r w:rsidRPr="00605144" w:rsidR="005C08C1">
        <w:rPr>
          <w:snapToGrid/>
          <w:kern w:val="0"/>
          <w:szCs w:val="22"/>
        </w:rPr>
        <w:t>?</w:t>
      </w:r>
      <w:r w:rsidR="005C08C1">
        <w:rPr>
          <w:rFonts w:ascii="Helvetica" w:hAnsi="Helvetica" w:cs="Helvetica"/>
          <w:snapToGrid/>
          <w:kern w:val="0"/>
          <w:sz w:val="24"/>
          <w:szCs w:val="24"/>
        </w:rPr>
        <w:t xml:space="preserve">  </w:t>
      </w:r>
      <w:r w:rsidR="006B0339">
        <w:t xml:space="preserve">What privacy concerns may arise from such a collection of personally identifiable information </w:t>
      </w:r>
      <w:r w:rsidR="00F4777D">
        <w:t xml:space="preserve">(PII) </w:t>
      </w:r>
      <w:r w:rsidR="006B0339">
        <w:t xml:space="preserve">and how </w:t>
      </w:r>
      <w:r w:rsidR="00F3654D">
        <w:t xml:space="preserve">can we </w:t>
      </w:r>
      <w:r w:rsidR="006B0339">
        <w:t>mitigate</w:t>
      </w:r>
      <w:r w:rsidR="00F3654D">
        <w:t xml:space="preserve"> them</w:t>
      </w:r>
      <w:r w:rsidR="006B0339">
        <w:t xml:space="preserve">?  </w:t>
      </w:r>
      <w:r>
        <w:t>Should we require more</w:t>
      </w:r>
      <w:r w:rsidR="0025743B">
        <w:t xml:space="preserve"> information</w:t>
      </w:r>
      <w:r w:rsidR="006259F8">
        <w:t xml:space="preserve">, such as date of birth, like the </w:t>
      </w:r>
      <w:r w:rsidR="006041EE">
        <w:t xml:space="preserve">Treasury </w:t>
      </w:r>
      <w:r w:rsidR="00342DCD">
        <w:t xml:space="preserve">CIP </w:t>
      </w:r>
      <w:r w:rsidR="006041EE">
        <w:t>rule</w:t>
      </w:r>
      <w:r w:rsidR="006259F8">
        <w:t>?</w:t>
      </w:r>
      <w:r w:rsidR="00AC5738">
        <w:t xml:space="preserve">  </w:t>
      </w:r>
      <w:r w:rsidR="00EF584C">
        <w:t>Is</w:t>
      </w:r>
      <w:r w:rsidR="00AC5738">
        <w:t xml:space="preserve"> such information useful in </w:t>
      </w:r>
      <w:r w:rsidR="00AC5738">
        <w:t>identifying</w:t>
      </w:r>
      <w:r w:rsidR="0014328B">
        <w:t xml:space="preserve"> malicious actors before the</w:t>
      </w:r>
      <w:r w:rsidR="006358F0">
        <w:t>y</w:t>
      </w:r>
      <w:r w:rsidR="0014328B">
        <w:t xml:space="preserve"> make illegal calls</w:t>
      </w:r>
      <w:r w:rsidR="00AC5738">
        <w:t xml:space="preserve"> and </w:t>
      </w:r>
      <w:r w:rsidR="00910CEA">
        <w:t>locating</w:t>
      </w:r>
      <w:r w:rsidR="00AC5738">
        <w:t xml:space="preserve"> </w:t>
      </w:r>
      <w:r w:rsidR="00831509">
        <w:t>them</w:t>
      </w:r>
      <w:r w:rsidR="00AC5738">
        <w:t xml:space="preserve"> </w:t>
      </w:r>
      <w:r w:rsidR="00A351AC">
        <w:t>after</w:t>
      </w:r>
      <w:r w:rsidR="006358F0">
        <w:t xml:space="preserve"> </w:t>
      </w:r>
      <w:r w:rsidR="00AC5738">
        <w:t>they make illegal calls?</w:t>
      </w:r>
      <w:r w:rsidR="00EF0B17">
        <w:t xml:space="preserve"> </w:t>
      </w:r>
      <w:r w:rsidR="00F80051">
        <w:t xml:space="preserve">We seek comment on whether </w:t>
      </w:r>
      <w:r w:rsidR="00EF0B17">
        <w:t>AI</w:t>
      </w:r>
      <w:r w:rsidR="00256220">
        <w:t xml:space="preserve"> and </w:t>
      </w:r>
      <w:r w:rsidR="00F80051">
        <w:t xml:space="preserve">other </w:t>
      </w:r>
      <w:r w:rsidR="00256220">
        <w:t>automated technologies</w:t>
      </w:r>
      <w:r w:rsidR="00E556DC">
        <w:t xml:space="preserve"> </w:t>
      </w:r>
      <w:r w:rsidR="00F80051">
        <w:t xml:space="preserve">are </w:t>
      </w:r>
      <w:r w:rsidR="00EF0B17">
        <w:t>being used by originating providers</w:t>
      </w:r>
      <w:r w:rsidR="003B0EF9">
        <w:t xml:space="preserve"> </w:t>
      </w:r>
      <w:r w:rsidR="00641295">
        <w:t>for</w:t>
      </w:r>
      <w:r w:rsidR="003B0EF9">
        <w:t xml:space="preserve"> </w:t>
      </w:r>
      <w:r w:rsidR="00641295">
        <w:t>KYC compliance</w:t>
      </w:r>
      <w:r w:rsidR="00995AC5">
        <w:t xml:space="preserve"> purposes to</w:t>
      </w:r>
      <w:r w:rsidR="007665F4">
        <w:t xml:space="preserve"> detect bad actors and</w:t>
      </w:r>
      <w:r w:rsidR="00995AC5">
        <w:t xml:space="preserve"> prevent illegal calls</w:t>
      </w:r>
      <w:r w:rsidR="003B0EF9">
        <w:t>?</w:t>
      </w:r>
      <w:r w:rsidR="00DE5588">
        <w:t xml:space="preserve"> </w:t>
      </w:r>
      <w:r w:rsidR="00217DE1">
        <w:t xml:space="preserve"> </w:t>
      </w:r>
      <w:r w:rsidR="00216B68">
        <w:t xml:space="preserve">What types of information do automated tools </w:t>
      </w:r>
      <w:r w:rsidR="00D32566">
        <w:t xml:space="preserve">gather and validate for KYC compliance purposes? </w:t>
      </w:r>
      <w:r w:rsidR="00794471">
        <w:t xml:space="preserve"> </w:t>
      </w:r>
      <w:r w:rsidR="00332EDE">
        <w:t xml:space="preserve">If so, </w:t>
      </w:r>
      <w:r w:rsidR="00D8741F">
        <w:t>h</w:t>
      </w:r>
      <w:r w:rsidR="004E1CDE">
        <w:t>ow do</w:t>
      </w:r>
      <w:r w:rsidR="00E85200">
        <w:t>es</w:t>
      </w:r>
      <w:r w:rsidR="004E1CDE">
        <w:t xml:space="preserve"> the effectiveness of</w:t>
      </w:r>
      <w:r w:rsidR="00332EDE">
        <w:t xml:space="preserve"> these technologies </w:t>
      </w:r>
      <w:r w:rsidR="004E1CDE">
        <w:t>compare to more</w:t>
      </w:r>
      <w:r w:rsidR="002E30A4">
        <w:t xml:space="preserve"> traditional approaches </w:t>
      </w:r>
      <w:r w:rsidR="00FC4928">
        <w:t>that involve acquiring and verifying identification documents</w:t>
      </w:r>
      <w:r w:rsidR="0065576E">
        <w:t>?</w:t>
      </w:r>
      <w:r w:rsidR="006E1FE0">
        <w:t xml:space="preserve"> </w:t>
      </w:r>
      <w:r w:rsidR="00B73652">
        <w:t xml:space="preserve"> </w:t>
      </w:r>
      <w:r w:rsidR="006E1FE0">
        <w:t>H</w:t>
      </w:r>
      <w:r w:rsidR="0048188B">
        <w:t xml:space="preserve">ow do we ensure that any enhanced KYC requirements do not inhibit the development and deployment of </w:t>
      </w:r>
      <w:r w:rsidR="00A753BE">
        <w:t>AI and automated KYC systems</w:t>
      </w:r>
      <w:r w:rsidR="00842B20">
        <w:t>?</w:t>
      </w:r>
      <w:r w:rsidR="0048188B">
        <w:t xml:space="preserve"> </w:t>
      </w:r>
      <w:r w:rsidR="00217DE1">
        <w:t xml:space="preserve"> Are there specific networking </w:t>
      </w:r>
      <w:r w:rsidR="00717D9D">
        <w:t>protocols or layers that we should seek targeted information about given</w:t>
      </w:r>
      <w:r w:rsidR="00852C93">
        <w:t xml:space="preserve"> that</w:t>
      </w:r>
      <w:r w:rsidR="00717D9D">
        <w:t xml:space="preserve"> </w:t>
      </w:r>
      <w:r w:rsidR="00D1101A">
        <w:t xml:space="preserve">IP addresses can change, VPNs </w:t>
      </w:r>
      <w:r w:rsidR="00A97B08">
        <w:t>may be used</w:t>
      </w:r>
      <w:r w:rsidR="00D1101A">
        <w:t xml:space="preserve"> and there are a variety of ways to tunnel and port IP-based traffic?</w:t>
      </w:r>
      <w:r w:rsidR="00EC1D52">
        <w:t xml:space="preserve">  </w:t>
      </w:r>
      <w:r w:rsidR="00F3654D">
        <w:t xml:space="preserve">How can we minimize </w:t>
      </w:r>
      <w:r w:rsidR="00195111">
        <w:t xml:space="preserve">burdens </w:t>
      </w:r>
      <w:r w:rsidR="00F3654D">
        <w:t xml:space="preserve">on consumers so </w:t>
      </w:r>
      <w:r w:rsidR="00195111">
        <w:t xml:space="preserve">they </w:t>
      </w:r>
      <w:r w:rsidR="007D6759">
        <w:t>are not unduly hindered in</w:t>
      </w:r>
      <w:r w:rsidR="00195111">
        <w:t xml:space="preserve"> </w:t>
      </w:r>
      <w:r w:rsidR="00590E98">
        <w:t>gain</w:t>
      </w:r>
      <w:r w:rsidR="007D6759">
        <w:t>ing</w:t>
      </w:r>
      <w:r w:rsidR="00590E98">
        <w:t xml:space="preserve"> access to voice services</w:t>
      </w:r>
      <w:r w:rsidR="003A65F6">
        <w:t>?</w:t>
      </w:r>
      <w:r w:rsidR="00590E98">
        <w:t xml:space="preserve"> </w:t>
      </w:r>
      <w:r w:rsidR="00807D9B">
        <w:t xml:space="preserve"> </w:t>
      </w:r>
      <w:r w:rsidR="00034B2F">
        <w:t>Do enhanced KYC requirements impose burdens on smaller providers?  If so, are there ways to minimize such burdens?</w:t>
      </w:r>
      <w:r>
        <w:rPr>
          <w:rStyle w:val="FootnoteReference"/>
        </w:rPr>
        <w:footnoteReference w:id="26"/>
      </w:r>
      <w:r w:rsidR="00590E98">
        <w:t xml:space="preserve"> </w:t>
      </w:r>
      <w:r w:rsidR="00807D9B">
        <w:t xml:space="preserve"> </w:t>
      </w:r>
    </w:p>
    <w:p w:rsidR="00F3654D" w:rsidP="00B666B2" w14:paraId="4AC5F57A" w14:textId="1D882754">
      <w:pPr>
        <w:pStyle w:val="ParaNum"/>
      </w:pPr>
      <w:r>
        <w:t xml:space="preserve">How should we define “physical address” for these purposes?  Should we exclude the use of virtual addresses, shared office locations without a dedicated suite or floor, P.O. boxes, mail forwarding services, and hosted servers because such addresses are inadequate to confirm the identity of a customer and often used by bad actors to conceal its identity?  We also seek comment on whether foreign customers use domestic U.S. providers to originate large volumes of calls.  </w:t>
      </w:r>
      <w:r w:rsidR="0022110D">
        <w:t>A</w:t>
      </w:r>
      <w:r>
        <w:t>re there ways in which we can address any KYC issues relating to foreign</w:t>
      </w:r>
      <w:r w:rsidR="00811BAE">
        <w:t>-</w:t>
      </w:r>
      <w:r>
        <w:t>based callers?</w:t>
      </w:r>
    </w:p>
    <w:p w:rsidR="00A37F39" w:rsidP="00D656B7" w14:paraId="6D8D83BC" w14:textId="5AC335EA">
      <w:pPr>
        <w:pStyle w:val="ParaNum"/>
      </w:pPr>
      <w:r>
        <w:t xml:space="preserve">We seek comment on how we should define “new” and “renewing” customers for these purposes.  Should new customers be only those new to the </w:t>
      </w:r>
      <w:r w:rsidR="006E14B1">
        <w:t xml:space="preserve">originating </w:t>
      </w:r>
      <w:r>
        <w:t>provider?</w:t>
      </w:r>
      <w:r>
        <w:rPr>
          <w:rStyle w:val="FootnoteReference"/>
        </w:rPr>
        <w:footnoteReference w:id="27"/>
      </w:r>
      <w:r>
        <w:t xml:space="preserve">  Or are those switching </w:t>
      </w:r>
      <w:r w:rsidR="0045571E">
        <w:t xml:space="preserve">to different </w:t>
      </w:r>
      <w:r>
        <w:t xml:space="preserve">plans </w:t>
      </w:r>
      <w:r w:rsidR="00A840B1">
        <w:t xml:space="preserve">offered by the current provider </w:t>
      </w:r>
      <w:r w:rsidR="0021372A">
        <w:t xml:space="preserve">considered </w:t>
      </w:r>
      <w:r>
        <w:t>“new” for purposes</w:t>
      </w:r>
      <w:r w:rsidR="00E73964">
        <w:t xml:space="preserve"> of the KYC requirement</w:t>
      </w:r>
      <w:r>
        <w:t xml:space="preserve">?  Should “renewing” customers be only those who are merely continuing an existing plan for a new contract period?  </w:t>
      </w:r>
      <w:r w:rsidR="002E5739">
        <w:t>Should contracts that contain automatic renewal</w:t>
      </w:r>
      <w:r w:rsidR="00FB6CDC">
        <w:t xml:space="preserve"> clauses</w:t>
      </w:r>
      <w:r w:rsidR="00006128">
        <w:t xml:space="preserve"> be considered a renewal in this context?  </w:t>
      </w:r>
      <w:r w:rsidR="00B7703D">
        <w:t xml:space="preserve">How often do customers renew contracts for voice services? </w:t>
      </w:r>
      <w:r w:rsidR="00243F24">
        <w:t xml:space="preserve"> If infrequent</w:t>
      </w:r>
      <w:r w:rsidR="001C66F9">
        <w:t>ly</w:t>
      </w:r>
      <w:r w:rsidR="00243F24">
        <w:t>, should we consider</w:t>
      </w:r>
      <w:r w:rsidR="00D95208">
        <w:t xml:space="preserve"> </w:t>
      </w:r>
      <w:r w:rsidR="005018AF">
        <w:t xml:space="preserve">as an alternative to renewing </w:t>
      </w:r>
      <w:r w:rsidR="00AF400A">
        <w:t xml:space="preserve">customers </w:t>
      </w:r>
      <w:r w:rsidR="00D95208">
        <w:t>requiring</w:t>
      </w:r>
      <w:r w:rsidR="004D2577">
        <w:t xml:space="preserve"> re-verifi</w:t>
      </w:r>
      <w:r w:rsidR="0079537A">
        <w:t xml:space="preserve">cation of </w:t>
      </w:r>
      <w:r w:rsidR="00916437">
        <w:t xml:space="preserve">existing </w:t>
      </w:r>
      <w:r w:rsidR="004D2577">
        <w:t>customer identity information on a periodic basis such</w:t>
      </w:r>
      <w:r w:rsidR="001C66F9">
        <w:t xml:space="preserve"> </w:t>
      </w:r>
      <w:r w:rsidR="004A7892">
        <w:t xml:space="preserve">as </w:t>
      </w:r>
      <w:r w:rsidR="001C66F9">
        <w:t xml:space="preserve">after a specified number of years?  </w:t>
      </w:r>
    </w:p>
    <w:p w:rsidR="001C4888" w:rsidP="0057012C" w14:paraId="1BB3DF28" w14:textId="77077131">
      <w:pPr>
        <w:pStyle w:val="ParaNum"/>
      </w:pPr>
      <w:r w:rsidRPr="74A88105">
        <w:rPr>
          <w:i/>
          <w:iCs/>
        </w:rPr>
        <w:t>Risk-</w:t>
      </w:r>
      <w:r w:rsidRPr="74A88105" w:rsidR="00DB0979">
        <w:rPr>
          <w:i/>
          <w:iCs/>
        </w:rPr>
        <w:t>B</w:t>
      </w:r>
      <w:r w:rsidRPr="74A88105">
        <w:rPr>
          <w:i/>
          <w:iCs/>
        </w:rPr>
        <w:t xml:space="preserve">ased Differences.  </w:t>
      </w:r>
      <w:r w:rsidR="00481EE3">
        <w:t>S</w:t>
      </w:r>
      <w:r w:rsidRPr="00572CAD" w:rsidR="00572CAD">
        <w:t xml:space="preserve">hould </w:t>
      </w:r>
      <w:r w:rsidR="00481EE3">
        <w:t xml:space="preserve">we require </w:t>
      </w:r>
      <w:r w:rsidR="009D7400">
        <w:t>originating</w:t>
      </w:r>
      <w:r w:rsidR="00481EE3">
        <w:t xml:space="preserve"> providers to collect more information </w:t>
      </w:r>
      <w:r w:rsidR="006D17D1">
        <w:t>about</w:t>
      </w:r>
      <w:r w:rsidR="00481EE3">
        <w:t xml:space="preserve"> customers </w:t>
      </w:r>
      <w:r w:rsidR="009469DC">
        <w:t xml:space="preserve">that are </w:t>
      </w:r>
      <w:r w:rsidR="00481EE3">
        <w:t>more likely to make illegal calls</w:t>
      </w:r>
      <w:r w:rsidR="00F3654D">
        <w:t xml:space="preserve">, e.g., those subscribing to </w:t>
      </w:r>
      <w:r w:rsidRPr="00572CAD" w:rsidR="00F3654D">
        <w:t>high volume</w:t>
      </w:r>
      <w:r w:rsidR="00F3654D">
        <w:t xml:space="preserve"> services</w:t>
      </w:r>
      <w:r w:rsidR="00481EE3">
        <w:t xml:space="preserve"> </w:t>
      </w:r>
      <w:r w:rsidR="004E4FF2">
        <w:t xml:space="preserve">or </w:t>
      </w:r>
      <w:r w:rsidR="00F3654D">
        <w:t xml:space="preserve">those that may be </w:t>
      </w:r>
      <w:r w:rsidR="004E4FF2">
        <w:t xml:space="preserve">difficult to locate </w:t>
      </w:r>
      <w:r w:rsidR="00481EE3">
        <w:t>based on being foreign-based</w:t>
      </w:r>
      <w:r w:rsidR="00B9511E">
        <w:t>, or other factors</w:t>
      </w:r>
      <w:r w:rsidRPr="00572CAD" w:rsidR="00572CAD">
        <w:t>?</w:t>
      </w:r>
      <w:r w:rsidR="00C17EA1">
        <w:t xml:space="preserve"> </w:t>
      </w:r>
      <w:r w:rsidRPr="00E60036" w:rsidR="00E60036">
        <w:t xml:space="preserve">For example, should we consider a tiered approach where </w:t>
      </w:r>
      <w:r w:rsidR="00EF066F">
        <w:t xml:space="preserve">KYC </w:t>
      </w:r>
      <w:r w:rsidRPr="00E60036" w:rsidR="00E60036">
        <w:t>requirements</w:t>
      </w:r>
      <w:r w:rsidR="00EF066F">
        <w:t xml:space="preserve"> </w:t>
      </w:r>
      <w:r w:rsidRPr="00E60036" w:rsidR="00E60036">
        <w:t xml:space="preserve">become more stringent for high-volume callers, callers using specific types of </w:t>
      </w:r>
      <w:r w:rsidR="00F6132A">
        <w:t xml:space="preserve">calling </w:t>
      </w:r>
      <w:r w:rsidRPr="00E60036" w:rsidR="00E60036">
        <w:t>equipment</w:t>
      </w:r>
      <w:r w:rsidR="007708F2">
        <w:t xml:space="preserve"> associated with robocalling</w:t>
      </w:r>
      <w:r w:rsidRPr="00E60036" w:rsidR="00E60036">
        <w:t xml:space="preserve">, </w:t>
      </w:r>
      <w:r w:rsidR="004C6749">
        <w:t xml:space="preserve">or </w:t>
      </w:r>
      <w:r w:rsidRPr="00E60036" w:rsidR="00E60036">
        <w:t>callers engaged in certain traffic patterns</w:t>
      </w:r>
      <w:r w:rsidR="007708F2">
        <w:t>?</w:t>
      </w:r>
      <w:r w:rsidR="00C17EA1">
        <w:t xml:space="preserve"> </w:t>
      </w:r>
      <w:r w:rsidR="00F6132A">
        <w:t xml:space="preserve"> </w:t>
      </w:r>
      <w:r w:rsidR="00C17EA1">
        <w:t>I</w:t>
      </w:r>
      <w:r w:rsidR="00CB5B0E">
        <w:t xml:space="preserve">f so, </w:t>
      </w:r>
      <w:r w:rsidR="00C316DD">
        <w:t xml:space="preserve">what additional information should we require </w:t>
      </w:r>
      <w:r w:rsidR="009D7400">
        <w:t xml:space="preserve">originating </w:t>
      </w:r>
      <w:r w:rsidR="00C316DD">
        <w:t xml:space="preserve">providers to collect from higher-risk customers?  </w:t>
      </w:r>
      <w:r w:rsidR="00D57789">
        <w:t>How s</w:t>
      </w:r>
      <w:r w:rsidR="00A07604">
        <w:t xml:space="preserve">hould the Commission establish a threshold for what constitutes a “high-risk” </w:t>
      </w:r>
      <w:r w:rsidR="00951526">
        <w:t xml:space="preserve">and/or “high volume” </w:t>
      </w:r>
      <w:r w:rsidR="00C54860">
        <w:t xml:space="preserve">caller? </w:t>
      </w:r>
      <w:r w:rsidR="00B563AA">
        <w:t xml:space="preserve"> </w:t>
      </w:r>
      <w:r w:rsidRPr="000A7CBD" w:rsidR="000A7CBD">
        <w:t xml:space="preserve">For example, the </w:t>
      </w:r>
      <w:r w:rsidRPr="74A88105" w:rsidR="000A7CBD">
        <w:rPr>
          <w:i/>
          <w:iCs/>
        </w:rPr>
        <w:t>Lingo Consent Decree</w:t>
      </w:r>
      <w:r w:rsidRPr="000A7CBD" w:rsidR="000A7CBD">
        <w:t xml:space="preserve"> required</w:t>
      </w:r>
      <w:r w:rsidR="00F3654D">
        <w:t xml:space="preserve"> </w:t>
      </w:r>
      <w:r w:rsidRPr="000A7CBD" w:rsidR="000A7CBD">
        <w:t>the collection of</w:t>
      </w:r>
      <w:r w:rsidR="000A7CBD">
        <w:t xml:space="preserve"> </w:t>
      </w:r>
      <w:r w:rsidR="00784FAF">
        <w:t>an</w:t>
      </w:r>
      <w:r w:rsidR="007A7D46">
        <w:t xml:space="preserve"> </w:t>
      </w:r>
      <w:r w:rsidRPr="000A7CBD" w:rsidR="000A7CBD">
        <w:t>Employer Identification Numbe</w:t>
      </w:r>
      <w:r w:rsidR="008E71B6">
        <w:t>r</w:t>
      </w:r>
      <w:r w:rsidRPr="000A7CBD" w:rsidR="000A7CBD">
        <w:t xml:space="preserve"> (EIN) or Business Registration Number for business accounts</w:t>
      </w:r>
      <w:r w:rsidR="000A7CBD">
        <w:t>.</w:t>
      </w:r>
      <w:r>
        <w:rPr>
          <w:rStyle w:val="FootnoteReference"/>
        </w:rPr>
        <w:footnoteReference w:id="28"/>
      </w:r>
      <w:r w:rsidRPr="74A88105" w:rsidR="008E71B6">
        <w:rPr>
          <w:i/>
          <w:iCs/>
        </w:rPr>
        <w:t xml:space="preserve">  </w:t>
      </w:r>
      <w:r w:rsidR="008E71B6">
        <w:t xml:space="preserve">Should </w:t>
      </w:r>
      <w:r w:rsidR="00481EE3">
        <w:t xml:space="preserve">we impose </w:t>
      </w:r>
      <w:r w:rsidR="008E71B6">
        <w:t xml:space="preserve">similar requirements </w:t>
      </w:r>
      <w:r w:rsidR="002940BC">
        <w:t xml:space="preserve">for all </w:t>
      </w:r>
      <w:r w:rsidR="00A45634">
        <w:t xml:space="preserve">new and renewing </w:t>
      </w:r>
      <w:r w:rsidR="009B3C4B">
        <w:t>high</w:t>
      </w:r>
      <w:r w:rsidR="53459B90">
        <w:t>-</w:t>
      </w:r>
      <w:r w:rsidR="009B3C4B">
        <w:t>volume</w:t>
      </w:r>
      <w:r w:rsidR="002940BC">
        <w:t xml:space="preserve"> customers?</w:t>
      </w:r>
      <w:r w:rsidRPr="74A88105" w:rsidR="000A7CBD">
        <w:rPr>
          <w:i/>
          <w:iCs/>
        </w:rPr>
        <w:t xml:space="preserve"> </w:t>
      </w:r>
      <w:r w:rsidRPr="74A88105" w:rsidR="00823259">
        <w:rPr>
          <w:i/>
          <w:iCs/>
        </w:rPr>
        <w:t xml:space="preserve"> </w:t>
      </w:r>
      <w:r w:rsidR="00EE13C4">
        <w:t xml:space="preserve">To what extent would this assist in confirming the identity of the </w:t>
      </w:r>
      <w:r w:rsidR="00432EFF">
        <w:t>high</w:t>
      </w:r>
      <w:r w:rsidR="003E7A6E">
        <w:t>-</w:t>
      </w:r>
      <w:r w:rsidR="00432EFF">
        <w:t>volume customers</w:t>
      </w:r>
      <w:r w:rsidR="00EE13C4">
        <w:t xml:space="preserve"> seeking to obtain access to the network?</w:t>
      </w:r>
      <w:r w:rsidR="00A30800">
        <w:t xml:space="preserve">  </w:t>
      </w:r>
      <w:r w:rsidR="00211B25">
        <w:t xml:space="preserve">Is the distinction between a “high volume” and “low volume” customer sufficiently clear for KYC purposes or are there industry standards that should guide any such distinction, e.g., “high volume” being more than an individual caller or small business would typically make?  </w:t>
      </w:r>
      <w:r w:rsidR="00B50816">
        <w:t xml:space="preserve">Should all business </w:t>
      </w:r>
      <w:r w:rsidR="00343AA8">
        <w:t xml:space="preserve">customers </w:t>
      </w:r>
      <w:r w:rsidR="00B50816">
        <w:t xml:space="preserve">accounts be </w:t>
      </w:r>
      <w:r w:rsidR="00343AA8">
        <w:t xml:space="preserve">subject to the same KYC requirements </w:t>
      </w:r>
      <w:r w:rsidR="00343AA8">
        <w:t>regardless of their call volume?</w:t>
      </w:r>
      <w:r w:rsidR="00C857F6">
        <w:t xml:space="preserve"> </w:t>
      </w:r>
      <w:r w:rsidR="00B50816">
        <w:t xml:space="preserve"> </w:t>
      </w:r>
      <w:r w:rsidR="00850B0B">
        <w:t xml:space="preserve">Beyond call volume, are there other risk based call behaviors that should </w:t>
      </w:r>
      <w:r w:rsidR="009C2A54">
        <w:t xml:space="preserve">trigger enhanced KYC requirements for new or renewing customers? </w:t>
      </w:r>
      <w:r w:rsidR="00B83700">
        <w:t>Would a risk</w:t>
      </w:r>
      <w:r w:rsidR="0032340D">
        <w:t>-</w:t>
      </w:r>
      <w:r w:rsidR="00B83700">
        <w:t xml:space="preserve">tiered approach </w:t>
      </w:r>
      <w:r w:rsidR="008C482C">
        <w:t>be useful for smaller voice providers that may not typically have customers that generate high volume calls?</w:t>
      </w:r>
      <w:r>
        <w:rPr>
          <w:rStyle w:val="FootnoteReference"/>
        </w:rPr>
        <w:footnoteReference w:id="29"/>
      </w:r>
      <w:r w:rsidR="008C482C">
        <w:t xml:space="preserve">  </w:t>
      </w:r>
      <w:r w:rsidR="00DA09D4">
        <w:t>Should we require originating providers to collect more information</w:t>
      </w:r>
      <w:r w:rsidR="007E2093">
        <w:t xml:space="preserve"> from customers that utilize lead generators or </w:t>
      </w:r>
      <w:r w:rsidR="007A585C">
        <w:t>dialing platform</w:t>
      </w:r>
      <w:r w:rsidR="00A701ED">
        <w:t>s</w:t>
      </w:r>
      <w:r w:rsidR="009F270A">
        <w:t xml:space="preserve"> that may lack strong KYC requirements</w:t>
      </w:r>
      <w:r w:rsidR="00F340B6">
        <w:t>?</w:t>
      </w:r>
      <w:r w:rsidR="00536976">
        <w:t xml:space="preserve">  </w:t>
      </w:r>
      <w:r w:rsidRPr="00D52298" w:rsidR="00D52298">
        <w:t xml:space="preserve">Should we </w:t>
      </w:r>
      <w:r w:rsidR="007F3B1A">
        <w:t xml:space="preserve">require </w:t>
      </w:r>
      <w:r w:rsidR="006A5845">
        <w:t xml:space="preserve">originating providers to </w:t>
      </w:r>
      <w:r w:rsidR="00D52298">
        <w:t xml:space="preserve">consult </w:t>
      </w:r>
      <w:r w:rsidRPr="00D52298" w:rsidR="00D52298">
        <w:t>lists of terrorists and terrorist organizations</w:t>
      </w:r>
      <w:r w:rsidR="00F10905">
        <w:t xml:space="preserve"> and</w:t>
      </w:r>
      <w:r w:rsidRPr="00D52298" w:rsidR="00D52298">
        <w:t xml:space="preserve"> criminal persons maintained by law enforcement entities</w:t>
      </w:r>
      <w:r w:rsidR="00F10905">
        <w:t>?</w:t>
      </w:r>
    </w:p>
    <w:p w:rsidR="00C316DD" w:rsidP="00EC4AC8" w14:paraId="08C1C617" w14:textId="5064B32F">
      <w:pPr>
        <w:pStyle w:val="ParaNum"/>
      </w:pPr>
      <w:r>
        <w:rPr>
          <w:i/>
          <w:iCs/>
        </w:rPr>
        <w:t>Differences Based on Pre</w:t>
      </w:r>
      <w:r w:rsidR="00765A70">
        <w:rPr>
          <w:i/>
          <w:iCs/>
        </w:rPr>
        <w:t>p</w:t>
      </w:r>
      <w:r>
        <w:rPr>
          <w:i/>
          <w:iCs/>
        </w:rPr>
        <w:t>aid and Post</w:t>
      </w:r>
      <w:r w:rsidR="00765A70">
        <w:rPr>
          <w:i/>
          <w:iCs/>
        </w:rPr>
        <w:t>p</w:t>
      </w:r>
      <w:r>
        <w:rPr>
          <w:i/>
          <w:iCs/>
        </w:rPr>
        <w:t xml:space="preserve">aid Service.  </w:t>
      </w:r>
      <w:r w:rsidR="001C4888">
        <w:t>W</w:t>
      </w:r>
      <w:r w:rsidR="00D53C8A">
        <w:t xml:space="preserve">e seek comment on whether </w:t>
      </w:r>
      <w:r w:rsidR="00E74E55">
        <w:t xml:space="preserve">customer information </w:t>
      </w:r>
      <w:r w:rsidR="00CB3D47">
        <w:t>requirements</w:t>
      </w:r>
      <w:r w:rsidR="00D53C8A">
        <w:t xml:space="preserve"> should vary</w:t>
      </w:r>
      <w:r w:rsidR="00432999">
        <w:t xml:space="preserve"> depending upon </w:t>
      </w:r>
      <w:r w:rsidR="00A20C0E">
        <w:t xml:space="preserve">whether </w:t>
      </w:r>
      <w:r w:rsidR="00504BFE">
        <w:t>the customer is seeking a prepaid or postpaid</w:t>
      </w:r>
      <w:r w:rsidR="00657224">
        <w:t xml:space="preserve"> service</w:t>
      </w:r>
      <w:r w:rsidR="00504BFE">
        <w:t xml:space="preserve"> plan.  </w:t>
      </w:r>
      <w:r w:rsidR="00667E3A">
        <w:t>Are there difference</w:t>
      </w:r>
      <w:r w:rsidR="000C69A1">
        <w:t>s</w:t>
      </w:r>
      <w:r w:rsidR="00667E3A">
        <w:t xml:space="preserve"> in </w:t>
      </w:r>
      <w:r w:rsidR="0092539A">
        <w:t xml:space="preserve">current </w:t>
      </w:r>
      <w:r w:rsidR="00667E3A">
        <w:t>industry KYC information collection</w:t>
      </w:r>
      <w:r w:rsidR="0092539A">
        <w:t xml:space="preserve">s based upon whether the customer is </w:t>
      </w:r>
      <w:r w:rsidR="005C207B">
        <w:t>seeking</w:t>
      </w:r>
      <w:r w:rsidR="00667E3A">
        <w:t xml:space="preserve"> prepaid </w:t>
      </w:r>
      <w:r w:rsidR="00771E0B">
        <w:t>or</w:t>
      </w:r>
      <w:r w:rsidR="00667E3A">
        <w:t xml:space="preserve"> postpaid plans</w:t>
      </w:r>
      <w:r w:rsidR="00CE2706">
        <w:t xml:space="preserve"> or whether the customer purchases a prepaid plan at a retail store or online</w:t>
      </w:r>
      <w:r w:rsidR="00667E3A">
        <w:t xml:space="preserve">?  </w:t>
      </w:r>
      <w:r w:rsidR="00D2610E">
        <w:t xml:space="preserve">Are there KYC measures </w:t>
      </w:r>
      <w:r w:rsidR="00765A70">
        <w:t xml:space="preserve">we </w:t>
      </w:r>
      <w:r w:rsidR="00D2610E">
        <w:t>can impose for prepaid service purchased through third-party vendors</w:t>
      </w:r>
      <w:r w:rsidR="00C4622D">
        <w:t xml:space="preserve"> such as prepaid SIM cards?  What, if any, customer information do wireless provider</w:t>
      </w:r>
      <w:r w:rsidR="00DB05D7">
        <w:t>s</w:t>
      </w:r>
      <w:r w:rsidR="00246509">
        <w:t xml:space="preserve"> obtain </w:t>
      </w:r>
      <w:r w:rsidR="00DB05D7">
        <w:t>from</w:t>
      </w:r>
      <w:r w:rsidR="00246509">
        <w:t xml:space="preserve"> customers who purchase prepaid SIM card</w:t>
      </w:r>
      <w:r w:rsidR="00765A70">
        <w:t>s</w:t>
      </w:r>
      <w:r w:rsidR="00246509">
        <w:t>?</w:t>
      </w:r>
      <w:r w:rsidR="00C4622D">
        <w:t xml:space="preserve">  </w:t>
      </w:r>
      <w:r w:rsidR="00765A70">
        <w:t>W</w:t>
      </w:r>
      <w:r w:rsidR="00510677">
        <w:t xml:space="preserve">hat </w:t>
      </w:r>
      <w:r w:rsidR="00DB05D7">
        <w:t>percentage</w:t>
      </w:r>
      <w:r w:rsidR="00510677">
        <w:t xml:space="preserve"> of prepaid plans are purchased in person at retail stores?  </w:t>
      </w:r>
      <w:r w:rsidR="00EE6439">
        <w:t xml:space="preserve">What steps do providers currently take to validate KYC for </w:t>
      </w:r>
      <w:r w:rsidR="008D49EC">
        <w:t>prepaid services</w:t>
      </w:r>
      <w:r w:rsidR="00EE6439">
        <w:t xml:space="preserve"> purchased at third-party retailers?  </w:t>
      </w:r>
      <w:r w:rsidR="00156109">
        <w:t>D</w:t>
      </w:r>
      <w:r w:rsidR="001E69D5">
        <w:t>o prepaid customer</w:t>
      </w:r>
      <w:r w:rsidR="00203B52">
        <w:t>s</w:t>
      </w:r>
      <w:r w:rsidR="001E69D5">
        <w:t xml:space="preserve"> </w:t>
      </w:r>
      <w:r w:rsidR="00432999">
        <w:t>have the</w:t>
      </w:r>
      <w:r w:rsidR="00811801">
        <w:t xml:space="preserve"> same</w:t>
      </w:r>
      <w:r w:rsidR="00432999">
        <w:t xml:space="preserve"> ability to make</w:t>
      </w:r>
      <w:r w:rsidR="001E69D5">
        <w:t xml:space="preserve"> high</w:t>
      </w:r>
      <w:r w:rsidR="00B77D27">
        <w:t xml:space="preserve"> </w:t>
      </w:r>
      <w:r w:rsidR="001E69D5">
        <w:t xml:space="preserve">volumes of illegal calls </w:t>
      </w:r>
      <w:r w:rsidR="00765A70">
        <w:t xml:space="preserve">as </w:t>
      </w:r>
      <w:r w:rsidR="001E69D5">
        <w:t>postpaid customers</w:t>
      </w:r>
      <w:r w:rsidR="006048C6">
        <w:t>,</w:t>
      </w:r>
      <w:r w:rsidR="001E69D5">
        <w:t xml:space="preserve"> or are there </w:t>
      </w:r>
      <w:r w:rsidR="008C7D0F">
        <w:t xml:space="preserve">inherent </w:t>
      </w:r>
      <w:r w:rsidR="001E69D5">
        <w:t>limitations on prepaid plans?</w:t>
      </w:r>
      <w:r w:rsidR="008C7D0F">
        <w:t xml:space="preserve">  </w:t>
      </w:r>
      <w:r w:rsidR="004617F3">
        <w:t>To what extent</w:t>
      </w:r>
      <w:r w:rsidR="00255BF1">
        <w:t xml:space="preserve"> are </w:t>
      </w:r>
      <w:r w:rsidR="004617F3">
        <w:t>bad actors us</w:t>
      </w:r>
      <w:r w:rsidR="00255BF1">
        <w:t>ing</w:t>
      </w:r>
      <w:r w:rsidR="004617F3">
        <w:t xml:space="preserve"> prepaid service</w:t>
      </w:r>
      <w:r w:rsidR="002C3BFC">
        <w:t xml:space="preserve"> to make illegal calls?</w:t>
      </w:r>
      <w:r w:rsidRPr="001C4888" w:rsidR="001C4888">
        <w:t xml:space="preserve"> </w:t>
      </w:r>
      <w:r w:rsidR="001C4888">
        <w:t xml:space="preserve"> </w:t>
      </w:r>
      <w:r w:rsidR="00401E34">
        <w:t xml:space="preserve">Are current KYC standards associated with prepaid services being exploited by criminals committing other types of crime, such as </w:t>
      </w:r>
      <w:r w:rsidR="00093544">
        <w:t xml:space="preserve">human trafficking?  </w:t>
      </w:r>
      <w:r w:rsidRPr="001C4888" w:rsidR="001C4888">
        <w:t xml:space="preserve"> </w:t>
      </w:r>
      <w:r w:rsidR="001C4888">
        <w:t xml:space="preserve"> </w:t>
      </w:r>
    </w:p>
    <w:p w:rsidR="001C4888" w:rsidP="00401A2C" w14:paraId="01B69C58" w14:textId="6D85CFD7">
      <w:pPr>
        <w:pStyle w:val="ParaNum"/>
        <w:widowControl/>
      </w:pPr>
      <w:r>
        <w:t>For example,</w:t>
      </w:r>
      <w:r w:rsidR="006C58A3">
        <w:t xml:space="preserve"> </w:t>
      </w:r>
      <w:r w:rsidRPr="001C4888">
        <w:t xml:space="preserve">fraudulent </w:t>
      </w:r>
      <w:r w:rsidR="00690CC1">
        <w:t>Short Messaging Service (</w:t>
      </w:r>
      <w:r w:rsidRPr="001C4888">
        <w:t>SMS</w:t>
      </w:r>
      <w:r w:rsidR="00690CC1">
        <w:t>)</w:t>
      </w:r>
      <w:r>
        <w:t xml:space="preserve"> </w:t>
      </w:r>
      <w:r w:rsidR="00A566E5">
        <w:t xml:space="preserve">text messages </w:t>
      </w:r>
      <w:r w:rsidR="00E74183">
        <w:t xml:space="preserve">can </w:t>
      </w:r>
      <w:r w:rsidRPr="001C4888">
        <w:t xml:space="preserve">originate from </w:t>
      </w:r>
      <w:r w:rsidR="002266E5">
        <w:t xml:space="preserve">Subscriber Identity </w:t>
      </w:r>
      <w:r w:rsidR="008A23FF">
        <w:t>Module (</w:t>
      </w:r>
      <w:r w:rsidRPr="001C4888">
        <w:t>SIM</w:t>
      </w:r>
      <w:r w:rsidR="008A23FF">
        <w:t>)</w:t>
      </w:r>
      <w:r w:rsidRPr="001C4888">
        <w:t xml:space="preserve"> boxes.</w:t>
      </w:r>
      <w:r>
        <w:rPr>
          <w:rStyle w:val="FootnoteReference"/>
        </w:rPr>
        <w:footnoteReference w:id="30"/>
      </w:r>
      <w:r w:rsidRPr="001C4888">
        <w:t xml:space="preserve">  </w:t>
      </w:r>
      <w:r w:rsidR="0009748A">
        <w:t>W</w:t>
      </w:r>
      <w:r w:rsidRPr="001C4888">
        <w:t xml:space="preserve">hat steps </w:t>
      </w:r>
      <w:r w:rsidR="0009748A">
        <w:t xml:space="preserve">have </w:t>
      </w:r>
      <w:r w:rsidR="00115D4C">
        <w:t xml:space="preserve">Mobile Network Operators (MNO) and </w:t>
      </w:r>
      <w:r w:rsidRPr="001C4888">
        <w:t xml:space="preserve">Mobile Virtual Network Operators (MVNO) taken to address bulk purchases of SIM cards or </w:t>
      </w:r>
      <w:r w:rsidR="0020185A">
        <w:t xml:space="preserve">bulk </w:t>
      </w:r>
      <w:r w:rsidRPr="001C4888">
        <w:t>account activation</w:t>
      </w:r>
      <w:r w:rsidR="00907B86">
        <w:t xml:space="preserve">?  </w:t>
      </w:r>
      <w:r w:rsidRPr="001C4888">
        <w:t>Have these measures proven effective at reducing the number of illegal calls being made</w:t>
      </w:r>
      <w:r w:rsidR="00171983">
        <w:t xml:space="preserve"> using </w:t>
      </w:r>
      <w:r w:rsidR="005E7E43">
        <w:t>SIM</w:t>
      </w:r>
      <w:r w:rsidR="00AA511C">
        <w:t xml:space="preserve"> boxes</w:t>
      </w:r>
      <w:r>
        <w:t>?</w:t>
      </w:r>
      <w:r w:rsidRPr="001C4888">
        <w:t xml:space="preserve"> </w:t>
      </w:r>
      <w:r w:rsidR="0038778C">
        <w:t xml:space="preserve"> </w:t>
      </w:r>
      <w:r w:rsidRPr="001C4888">
        <w:t>If not, are there ways we should address this issue in the KYC framework that would not otherwise hinder access to affordable phone service to millions of Americans?</w:t>
      </w:r>
      <w:r w:rsidR="000351E7">
        <w:t xml:space="preserve">  </w:t>
      </w:r>
    </w:p>
    <w:p w:rsidR="00AA19BB" w:rsidP="005D6A6B" w14:paraId="07CB2564" w14:textId="1B03B1AD">
      <w:pPr>
        <w:pStyle w:val="ParaNum"/>
        <w:widowControl/>
      </w:pPr>
      <w:r>
        <w:t xml:space="preserve">How do </w:t>
      </w:r>
      <w:r w:rsidR="09514875">
        <w:t xml:space="preserve">the KYC </w:t>
      </w:r>
      <w:r w:rsidR="49864751">
        <w:t>requirements</w:t>
      </w:r>
      <w:r w:rsidR="09514875">
        <w:t xml:space="preserve"> discussed herein</w:t>
      </w:r>
      <w:r w:rsidR="139D52B9">
        <w:t xml:space="preserve"> compare </w:t>
      </w:r>
      <w:r>
        <w:t xml:space="preserve">to </w:t>
      </w:r>
      <w:r w:rsidRPr="00D84A71" w:rsidR="2CB461E6">
        <w:t>existing</w:t>
      </w:r>
      <w:r w:rsidR="3147B826">
        <w:t xml:space="preserve"> industry</w:t>
      </w:r>
      <w:r w:rsidRPr="00D84A71" w:rsidR="2CB461E6">
        <w:t xml:space="preserve"> practices and guidelines designed to satisfy the KYC r</w:t>
      </w:r>
      <w:r w:rsidR="49600E04">
        <w:t>equirement</w:t>
      </w:r>
      <w:r w:rsidR="6C8410FC">
        <w:t xml:space="preserve">?  To the extent </w:t>
      </w:r>
      <w:r w:rsidR="0F1DEBF2">
        <w:t xml:space="preserve">these </w:t>
      </w:r>
      <w:r w:rsidR="1417CCE2">
        <w:t>requirements</w:t>
      </w:r>
      <w:r w:rsidR="139D52B9">
        <w:t xml:space="preserve"> </w:t>
      </w:r>
      <w:r w:rsidR="096F244C">
        <w:t xml:space="preserve">create </w:t>
      </w:r>
      <w:r w:rsidR="6C8410FC">
        <w:t xml:space="preserve">new </w:t>
      </w:r>
      <w:r w:rsidR="0516DBE5">
        <w:t>burdens</w:t>
      </w:r>
      <w:r w:rsidR="6C8410FC">
        <w:t xml:space="preserve"> on </w:t>
      </w:r>
      <w:r w:rsidR="00C366DA">
        <w:t>originating</w:t>
      </w:r>
      <w:r w:rsidR="6C8410FC">
        <w:t xml:space="preserve"> providers, </w:t>
      </w:r>
      <w:r w:rsidR="139D52B9">
        <w:t>how can we minimize those</w:t>
      </w:r>
      <w:r w:rsidR="4B0AEAA7">
        <w:t xml:space="preserve"> burdens</w:t>
      </w:r>
      <w:r w:rsidR="139D52B9">
        <w:t>,</w:t>
      </w:r>
      <w:r w:rsidR="5909D90A">
        <w:t xml:space="preserve"> including </w:t>
      </w:r>
      <w:r w:rsidR="5B929AA7">
        <w:t xml:space="preserve">those on </w:t>
      </w:r>
      <w:r w:rsidR="5909D90A">
        <w:t xml:space="preserve">smaller </w:t>
      </w:r>
      <w:r w:rsidR="00C366DA">
        <w:t>originating</w:t>
      </w:r>
      <w:r w:rsidR="5909D90A">
        <w:t xml:space="preserve"> providers</w:t>
      </w:r>
      <w:r w:rsidR="5587BC75">
        <w:t xml:space="preserve"> such as </w:t>
      </w:r>
      <w:r w:rsidR="27BACFFA">
        <w:t>non-nationwide service providers</w:t>
      </w:r>
      <w:r w:rsidR="139D52B9">
        <w:t>,</w:t>
      </w:r>
      <w:r w:rsidR="7F459164">
        <w:t xml:space="preserve"> </w:t>
      </w:r>
      <w:r w:rsidR="432780CF">
        <w:t>while</w:t>
      </w:r>
      <w:r w:rsidR="3E1BB1E4">
        <w:t xml:space="preserve"> still</w:t>
      </w:r>
      <w:r w:rsidR="432780CF">
        <w:t xml:space="preserve"> promoting the objective to </w:t>
      </w:r>
      <w:r w:rsidR="22481BAE">
        <w:t xml:space="preserve">identify customers that pose </w:t>
      </w:r>
      <w:r w:rsidR="5D0F053A">
        <w:t xml:space="preserve">the </w:t>
      </w:r>
      <w:r w:rsidR="22481BAE">
        <w:t>greate</w:t>
      </w:r>
      <w:r w:rsidR="3BC22B54">
        <w:t>st</w:t>
      </w:r>
      <w:r w:rsidR="22481BAE">
        <w:t xml:space="preserve"> risks to make illegal calls</w:t>
      </w:r>
      <w:r w:rsidR="67AF0E1D">
        <w:t xml:space="preserve"> and to locate th</w:t>
      </w:r>
      <w:r w:rsidR="5B929AA7">
        <w:t xml:space="preserve">em </w:t>
      </w:r>
      <w:r w:rsidR="67AF0E1D">
        <w:t xml:space="preserve">if they do make </w:t>
      </w:r>
      <w:r w:rsidR="3E1BB1E4">
        <w:t>such</w:t>
      </w:r>
      <w:r w:rsidR="67AF0E1D">
        <w:t xml:space="preserve"> calls</w:t>
      </w:r>
      <w:r w:rsidR="139D52B9">
        <w:t>?</w:t>
      </w:r>
      <w:r w:rsidR="126851F1">
        <w:t xml:space="preserve">  </w:t>
      </w:r>
      <w:r w:rsidR="2E41EF48">
        <w:t xml:space="preserve">For example, </w:t>
      </w:r>
      <w:r w:rsidR="1CFA078F">
        <w:t xml:space="preserve">companies </w:t>
      </w:r>
      <w:r w:rsidR="2E41EF48">
        <w:t>in the financial services industry</w:t>
      </w:r>
      <w:r w:rsidR="0567181F">
        <w:t xml:space="preserve"> </w:t>
      </w:r>
      <w:r w:rsidR="1CFA078F">
        <w:t xml:space="preserve">need not </w:t>
      </w:r>
      <w:r w:rsidR="7993801C">
        <w:t>direct</w:t>
      </w:r>
      <w:r w:rsidR="1CFA078F">
        <w:t>ly</w:t>
      </w:r>
      <w:r w:rsidR="7993801C">
        <w:t xml:space="preserve"> collect</w:t>
      </w:r>
      <w:r w:rsidR="1CFA078F">
        <w:t xml:space="preserve"> </w:t>
      </w:r>
      <w:r w:rsidR="02D6356A">
        <w:t xml:space="preserve">KYC </w:t>
      </w:r>
      <w:r w:rsidR="7993801C">
        <w:t>information</w:t>
      </w:r>
      <w:r w:rsidR="4AD9620E">
        <w:t xml:space="preserve"> in certain circumstances </w:t>
      </w:r>
      <w:r w:rsidR="70A53355">
        <w:t xml:space="preserve">when </w:t>
      </w:r>
      <w:r w:rsidR="1CFA078F">
        <w:t xml:space="preserve">they can obtain it </w:t>
      </w:r>
      <w:r w:rsidR="4AD9620E">
        <w:t>from alternative sources such as credit reports.</w:t>
      </w:r>
      <w:r>
        <w:rPr>
          <w:rStyle w:val="FootnoteReference"/>
        </w:rPr>
        <w:footnoteReference w:id="31"/>
      </w:r>
      <w:r w:rsidR="4AD9620E">
        <w:t xml:space="preserve">  </w:t>
      </w:r>
      <w:r w:rsidR="7993801C">
        <w:t>Should we adopt a similar exemption</w:t>
      </w:r>
      <w:r w:rsidR="70A53355">
        <w:t xml:space="preserve"> in this context</w:t>
      </w:r>
      <w:r w:rsidR="7993801C">
        <w:t xml:space="preserve">?  </w:t>
      </w:r>
      <w:r w:rsidR="53F66D80">
        <w:t xml:space="preserve">If so, which </w:t>
      </w:r>
      <w:r w:rsidR="1EF8ADE8">
        <w:t xml:space="preserve">alternative sources should qualify for this exemption? </w:t>
      </w:r>
      <w:r w:rsidR="5628E77E">
        <w:t xml:space="preserve"> </w:t>
      </w:r>
      <w:r w:rsidR="00345A54">
        <w:t xml:space="preserve">Should </w:t>
      </w:r>
      <w:r w:rsidR="00206358">
        <w:t>we use</w:t>
      </w:r>
      <w:r w:rsidR="00345A54">
        <w:t xml:space="preserve"> </w:t>
      </w:r>
      <w:r w:rsidR="005227E0">
        <w:t>any existing</w:t>
      </w:r>
      <w:r w:rsidR="00140FB3">
        <w:t xml:space="preserve"> </w:t>
      </w:r>
      <w:r w:rsidR="00E54CE3">
        <w:t xml:space="preserve">industry </w:t>
      </w:r>
      <w:r w:rsidR="005227E0">
        <w:t xml:space="preserve">best </w:t>
      </w:r>
      <w:r w:rsidR="00356E47">
        <w:t xml:space="preserve">practices to set baseline </w:t>
      </w:r>
      <w:r w:rsidR="00572ED3">
        <w:t xml:space="preserve">KYC </w:t>
      </w:r>
      <w:r w:rsidR="001075A5">
        <w:t xml:space="preserve">compliance </w:t>
      </w:r>
      <w:r w:rsidR="00356E47">
        <w:t>standards</w:t>
      </w:r>
      <w:r w:rsidR="00C14DFE">
        <w:t>,</w:t>
      </w:r>
      <w:r w:rsidR="001075A5">
        <w:t xml:space="preserve"> including for smaller providers?</w:t>
      </w:r>
      <w:r>
        <w:rPr>
          <w:rStyle w:val="FootnoteReference"/>
        </w:rPr>
        <w:footnoteReference w:id="32"/>
      </w:r>
      <w:r w:rsidR="004E1BD7">
        <w:t xml:space="preserve"> </w:t>
      </w:r>
      <w:r w:rsidR="00356E47">
        <w:t xml:space="preserve"> </w:t>
      </w:r>
      <w:r w:rsidR="6C3CF7A5">
        <w:t xml:space="preserve">We also seek comment on whether </w:t>
      </w:r>
      <w:r w:rsidR="1E62B693">
        <w:t>such</w:t>
      </w:r>
      <w:r w:rsidR="6C3CF7A5">
        <w:t xml:space="preserve"> KYC requirements </w:t>
      </w:r>
      <w:r w:rsidR="1E62B693">
        <w:t>would</w:t>
      </w:r>
      <w:r w:rsidR="6C3CF7A5">
        <w:t xml:space="preserve"> provide sufficient flexibility to account for different services and customers with </w:t>
      </w:r>
      <w:r w:rsidR="1136AD8F">
        <w:t>varying</w:t>
      </w:r>
      <w:r w:rsidR="6C3CF7A5">
        <w:t xml:space="preserve"> risk profiles in a manner that allows providers to continue to adapt to the evolving tactics used by bad actors to gain access to voice services.</w:t>
      </w:r>
      <w:r>
        <w:rPr>
          <w:rStyle w:val="FootnoteReference"/>
        </w:rPr>
        <w:footnoteReference w:id="33"/>
      </w:r>
    </w:p>
    <w:p w:rsidR="007A68B8" w:rsidRPr="007A68B8" w:rsidP="00B666B2" w14:paraId="35E75869" w14:textId="608ADA78">
      <w:pPr>
        <w:pStyle w:val="ParaNum"/>
      </w:pPr>
      <w:r>
        <w:t xml:space="preserve"> </w:t>
      </w:r>
      <w:r w:rsidRPr="00520A18" w:rsidR="4883A646">
        <w:t xml:space="preserve">We </w:t>
      </w:r>
      <w:r w:rsidR="477A1D00">
        <w:t xml:space="preserve">also </w:t>
      </w:r>
      <w:r w:rsidRPr="00520A18" w:rsidR="4883A646">
        <w:t>seek comment on how we can ensure any new KYC requirements complement any Call Branding or Caller Name requirements we may adopt.</w:t>
      </w:r>
      <w:r>
        <w:rPr>
          <w:vertAlign w:val="superscript"/>
        </w:rPr>
        <w:footnoteReference w:id="34"/>
      </w:r>
      <w:r w:rsidRPr="00520A18" w:rsidR="4883A646">
        <w:t xml:space="preserve">  For example, how can we ensure we do not duplicate burdens on originating providers?  Is there a direct connection between the customer identity information originating providers would gather if we adopt </w:t>
      </w:r>
      <w:r w:rsidRPr="00520A18" w:rsidR="6F6AB500">
        <w:t>enhanced</w:t>
      </w:r>
      <w:r w:rsidRPr="00520A18" w:rsidR="4883A646">
        <w:t xml:space="preserve"> KYC </w:t>
      </w:r>
      <w:r w:rsidRPr="00520A18" w:rsidR="7722C1AF">
        <w:t>requirements</w:t>
      </w:r>
      <w:r w:rsidRPr="00520A18" w:rsidR="4883A646">
        <w:t xml:space="preserve"> and the caller identity information terminating providers would deliver to handsets?  Are there other considerations raised in the </w:t>
      </w:r>
      <w:r w:rsidRPr="19FE2745" w:rsidR="4883A646">
        <w:rPr>
          <w:i/>
          <w:iCs/>
        </w:rPr>
        <w:t xml:space="preserve">Call Branding FNPRM </w:t>
      </w:r>
      <w:r w:rsidRPr="00520A18" w:rsidR="4883A646">
        <w:t xml:space="preserve">proceeding that should be coordinated with </w:t>
      </w:r>
      <w:r w:rsidRPr="00520A18" w:rsidR="458E9287">
        <w:t>any</w:t>
      </w:r>
      <w:r w:rsidRPr="00520A18" w:rsidR="34AB5007">
        <w:t xml:space="preserve"> </w:t>
      </w:r>
      <w:r w:rsidRPr="00520A18" w:rsidR="7C384F2B">
        <w:t>enhanced</w:t>
      </w:r>
      <w:r w:rsidRPr="00520A18" w:rsidR="34AB5007">
        <w:t xml:space="preserve"> </w:t>
      </w:r>
      <w:r w:rsidRPr="00520A18" w:rsidR="4883A646">
        <w:t>KYC</w:t>
      </w:r>
      <w:r w:rsidRPr="00520A18" w:rsidR="429B234D">
        <w:t xml:space="preserve"> requirements</w:t>
      </w:r>
      <w:r w:rsidRPr="00520A18" w:rsidR="4883A646">
        <w:t xml:space="preserve"> to better promote the objectives of both proceedings?</w:t>
      </w:r>
      <w:r>
        <w:rPr>
          <w:vertAlign w:val="superscript"/>
        </w:rPr>
        <w:footnoteReference w:id="35"/>
      </w:r>
      <w:r w:rsidR="1D8DD862">
        <w:t xml:space="preserve">  </w:t>
      </w:r>
      <w:r w:rsidR="43B1395F">
        <w:t xml:space="preserve">We seek comment on these and any other issues relevant to this </w:t>
      </w:r>
      <w:r w:rsidR="51F42C35">
        <w:t>matter</w:t>
      </w:r>
      <w:r w:rsidR="43B1395F">
        <w:t>.</w:t>
      </w:r>
    </w:p>
    <w:p w:rsidR="00905DAA" w:rsidP="00C542F6" w14:paraId="4B5F1D2D" w14:textId="27AA0AA4">
      <w:pPr>
        <w:pStyle w:val="Heading2"/>
      </w:pPr>
      <w:r>
        <w:t>Verifying and Retaining</w:t>
      </w:r>
      <w:r w:rsidR="00444362">
        <w:t xml:space="preserve"> Customer Information</w:t>
      </w:r>
    </w:p>
    <w:p w:rsidR="003F00AE" w:rsidRPr="00E663AB" w:rsidP="00B666B2" w14:paraId="7A3F722B" w14:textId="7B432F06">
      <w:pPr>
        <w:pStyle w:val="ParaNum"/>
      </w:pPr>
      <w:r>
        <w:t xml:space="preserve">An effective KYC regime must confirm the accuracy of the information customers provide.  </w:t>
      </w:r>
      <w:r w:rsidR="00F53140">
        <w:t xml:space="preserve">We seek comment on </w:t>
      </w:r>
      <w:r w:rsidR="008729D2">
        <w:t>requir</w:t>
      </w:r>
      <w:r w:rsidR="00EA50A9">
        <w:t>ing</w:t>
      </w:r>
      <w:r w:rsidR="008729D2">
        <w:t xml:space="preserve"> </w:t>
      </w:r>
      <w:r w:rsidR="007F1316">
        <w:t xml:space="preserve">originating </w:t>
      </w:r>
      <w:r w:rsidR="008729D2">
        <w:t xml:space="preserve">providers to take </w:t>
      </w:r>
      <w:r w:rsidR="005C494B">
        <w:t xml:space="preserve">specific </w:t>
      </w:r>
      <w:r w:rsidR="008729D2">
        <w:t xml:space="preserve">measures to verify, </w:t>
      </w:r>
      <w:r w:rsidR="00905148">
        <w:t>re-verify</w:t>
      </w:r>
      <w:r w:rsidR="005E19EE">
        <w:t>, and retain</w:t>
      </w:r>
      <w:r w:rsidR="009E266F">
        <w:t xml:space="preserve"> collected</w:t>
      </w:r>
      <w:r w:rsidR="00905148">
        <w:t xml:space="preserve"> customer identification information.  </w:t>
      </w:r>
      <w:r w:rsidR="00667DD8">
        <w:t>B</w:t>
      </w:r>
      <w:r w:rsidRPr="00963751" w:rsidR="00963751">
        <w:t>ad actors</w:t>
      </w:r>
      <w:r w:rsidR="00172F38">
        <w:t xml:space="preserve"> may</w:t>
      </w:r>
      <w:r w:rsidRPr="00963751" w:rsidR="00963751">
        <w:t xml:space="preserve"> submit fake or stolen information to conceal their identity to </w:t>
      </w:r>
      <w:r w:rsidR="0038377F">
        <w:t xml:space="preserve">gain access to the network and </w:t>
      </w:r>
      <w:r w:rsidRPr="00963751" w:rsidR="00963751">
        <w:t>avoid accountab</w:t>
      </w:r>
      <w:r w:rsidR="00AE64D5">
        <w:t>i</w:t>
      </w:r>
      <w:r w:rsidRPr="00963751" w:rsidR="00963751">
        <w:t>l</w:t>
      </w:r>
      <w:r w:rsidR="00AE64D5">
        <w:t>ity</w:t>
      </w:r>
      <w:r w:rsidRPr="00963751" w:rsidR="00963751">
        <w:t xml:space="preserve"> for making illegal calls</w:t>
      </w:r>
      <w:r w:rsidR="00C1360B">
        <w:t>.</w:t>
      </w:r>
      <w:r w:rsidRPr="00963751" w:rsidR="00963751">
        <w:t xml:space="preserve">  </w:t>
      </w:r>
      <w:r w:rsidR="00FE6DA3">
        <w:t xml:space="preserve">Originating </w:t>
      </w:r>
      <w:r w:rsidRPr="00963751" w:rsidR="00963751">
        <w:t xml:space="preserve">providers that conduct a thorough </w:t>
      </w:r>
      <w:r w:rsidR="004C2D2F">
        <w:t>verification of the</w:t>
      </w:r>
      <w:r w:rsidR="00373856">
        <w:t>ir</w:t>
      </w:r>
      <w:r w:rsidR="004C2D2F">
        <w:t xml:space="preserve"> </w:t>
      </w:r>
      <w:r w:rsidR="00963751">
        <w:t>customers</w:t>
      </w:r>
      <w:r w:rsidR="00373856">
        <w:t>’</w:t>
      </w:r>
      <w:r w:rsidR="00963751">
        <w:t xml:space="preserve"> </w:t>
      </w:r>
      <w:r w:rsidR="004C2D2F">
        <w:t xml:space="preserve">information </w:t>
      </w:r>
      <w:r w:rsidR="00F834C1">
        <w:t xml:space="preserve">can </w:t>
      </w:r>
      <w:r w:rsidR="007B7BD7">
        <w:t>discover the use of</w:t>
      </w:r>
      <w:r w:rsidR="006A5A93">
        <w:t xml:space="preserve"> such</w:t>
      </w:r>
      <w:r w:rsidR="009C131D">
        <w:t xml:space="preserve"> fake information</w:t>
      </w:r>
      <w:r w:rsidR="006A5A93">
        <w:t xml:space="preserve"> </w:t>
      </w:r>
      <w:r w:rsidR="009C131D">
        <w:t>b</w:t>
      </w:r>
      <w:r w:rsidRPr="00963751" w:rsidR="00963751">
        <w:t xml:space="preserve">efore allowing </w:t>
      </w:r>
      <w:r w:rsidR="009C131D">
        <w:t>bad actors</w:t>
      </w:r>
      <w:r w:rsidRPr="00963751" w:rsidR="00963751">
        <w:t xml:space="preserve"> to originate calls </w:t>
      </w:r>
      <w:r w:rsidR="009B4DF4">
        <w:t>and</w:t>
      </w:r>
      <w:r w:rsidRPr="00963751" w:rsidR="00963751">
        <w:t xml:space="preserve"> stop illegal calls before they occur</w:t>
      </w:r>
      <w:r w:rsidR="00132654">
        <w:t xml:space="preserve">.  </w:t>
      </w:r>
      <w:r w:rsidR="00F930DE">
        <w:t>B</w:t>
      </w:r>
      <w:r w:rsidRPr="00963751" w:rsidR="00963751">
        <w:t>y better knowing their customers</w:t>
      </w:r>
      <w:r w:rsidR="00F930DE">
        <w:t>, providers can also help</w:t>
      </w:r>
      <w:r w:rsidRPr="00963751" w:rsidR="00963751">
        <w:t xml:space="preserve"> facilitate the Commission</w:t>
      </w:r>
      <w:r w:rsidR="00D148F6">
        <w:t xml:space="preserve"> and other law enforcement agency</w:t>
      </w:r>
      <w:r w:rsidRPr="00963751" w:rsidR="00963751">
        <w:t xml:space="preserve"> </w:t>
      </w:r>
      <w:r w:rsidR="002D69A2">
        <w:t xml:space="preserve">efforts to </w:t>
      </w:r>
      <w:r w:rsidRPr="00963751" w:rsidR="00963751">
        <w:t xml:space="preserve">locate such callers </w:t>
      </w:r>
      <w:r w:rsidR="00BD45C5">
        <w:t>by ensuring that the information provided is accurate</w:t>
      </w:r>
      <w:r w:rsidR="00963751">
        <w:t xml:space="preserve">. </w:t>
      </w:r>
      <w:r w:rsidR="009B4DF4">
        <w:t xml:space="preserve"> </w:t>
      </w:r>
      <w:r w:rsidR="00EA1841">
        <w:t>V</w:t>
      </w:r>
      <w:r w:rsidR="009B4DF4">
        <w:t xml:space="preserve">erification </w:t>
      </w:r>
      <w:r w:rsidR="00027E6C">
        <w:t xml:space="preserve">measures </w:t>
      </w:r>
      <w:r w:rsidR="009B4DF4">
        <w:t xml:space="preserve">also ensure </w:t>
      </w:r>
      <w:r w:rsidR="00BA4001">
        <w:t>originating providers</w:t>
      </w:r>
      <w:r w:rsidR="00765A70">
        <w:t>’</w:t>
      </w:r>
      <w:r w:rsidR="00BA4001">
        <w:t xml:space="preserve"> </w:t>
      </w:r>
      <w:r w:rsidR="009B4DF4">
        <w:t xml:space="preserve">compliance with the obligation to exercise due diligence to </w:t>
      </w:r>
      <w:r w:rsidR="001D04F4">
        <w:t xml:space="preserve">ensure that </w:t>
      </w:r>
      <w:r w:rsidR="002E1CFC">
        <w:t>its network is not used to originate illegal traffic.</w:t>
      </w:r>
      <w:r>
        <w:rPr>
          <w:rStyle w:val="FootnoteReference"/>
        </w:rPr>
        <w:footnoteReference w:id="36"/>
      </w:r>
      <w:r w:rsidR="002E1CFC">
        <w:t xml:space="preserve"> </w:t>
      </w:r>
      <w:r w:rsidRPr="00963751" w:rsidR="00963751">
        <w:t xml:space="preserve"> </w:t>
      </w:r>
      <w:r w:rsidRPr="0068746D" w:rsidR="0068746D">
        <w:t>Periodic review or ongoing re-verification of KYC information is essential to ensure that bad actors have not gained access to the network</w:t>
      </w:r>
      <w:r w:rsidR="003A6E41">
        <w:t xml:space="preserve"> and to enable the Commission to hold them accountable</w:t>
      </w:r>
      <w:r w:rsidRPr="0068746D" w:rsidR="0068746D">
        <w:t xml:space="preserve">.  </w:t>
      </w:r>
    </w:p>
    <w:p w:rsidR="00FD3501" w:rsidRPr="009F56C3" w:rsidP="008E3950" w14:paraId="48900EA9" w14:textId="5B6FE154">
      <w:pPr>
        <w:pStyle w:val="ParaNum"/>
        <w:widowControl/>
        <w:rPr>
          <w:u w:val="single"/>
        </w:rPr>
      </w:pPr>
      <w:r>
        <w:rPr>
          <w:i/>
          <w:iCs/>
        </w:rPr>
        <w:t>Verification</w:t>
      </w:r>
      <w:r>
        <w:t>.</w:t>
      </w:r>
      <w:r>
        <w:rPr>
          <w:i/>
          <w:iCs/>
        </w:rPr>
        <w:t xml:space="preserve">  </w:t>
      </w:r>
      <w:r w:rsidR="00352E48">
        <w:t>W</w:t>
      </w:r>
      <w:r w:rsidR="00513A1E">
        <w:t xml:space="preserve">e </w:t>
      </w:r>
      <w:r w:rsidR="004E7851">
        <w:t>seek comment on requiring</w:t>
      </w:r>
      <w:r w:rsidR="00513A1E">
        <w:t xml:space="preserve"> </w:t>
      </w:r>
      <w:r w:rsidR="00172F38">
        <w:t>originating</w:t>
      </w:r>
      <w:r w:rsidR="00513A1E">
        <w:t xml:space="preserve"> providers</w:t>
      </w:r>
      <w:r w:rsidRPr="00513A1E" w:rsidR="00513A1E">
        <w:t xml:space="preserve"> </w:t>
      </w:r>
      <w:r w:rsidR="004E7851">
        <w:t xml:space="preserve">to </w:t>
      </w:r>
      <w:r w:rsidRPr="00513A1E" w:rsidR="00513A1E">
        <w:t>obtain supporting records to verify the customer</w:t>
      </w:r>
      <w:r w:rsidR="0090785C">
        <w:t>’</w:t>
      </w:r>
      <w:r w:rsidRPr="00513A1E" w:rsidR="00513A1E">
        <w:t>s identity</w:t>
      </w:r>
      <w:r w:rsidR="0069095D">
        <w:t>,</w:t>
      </w:r>
      <w:r w:rsidRPr="00513A1E" w:rsidR="00513A1E">
        <w:t xml:space="preserve"> such as </w:t>
      </w:r>
      <w:r w:rsidRPr="00513A1E" w:rsidR="0090785C">
        <w:t>copies of government</w:t>
      </w:r>
      <w:r w:rsidR="00F163E7">
        <w:t>-</w:t>
      </w:r>
      <w:r w:rsidRPr="00513A1E" w:rsidR="0090785C">
        <w:t>issued identification</w:t>
      </w:r>
      <w:r w:rsidR="00892368">
        <w:t>.</w:t>
      </w:r>
      <w:r w:rsidRPr="00513A1E" w:rsidR="0090785C">
        <w:t xml:space="preserve"> </w:t>
      </w:r>
      <w:r w:rsidR="00505C08">
        <w:t xml:space="preserve"> </w:t>
      </w:r>
      <w:r w:rsidR="0090785C">
        <w:t xml:space="preserve">For </w:t>
      </w:r>
      <w:r w:rsidR="000D6AD9">
        <w:t xml:space="preserve">customers </w:t>
      </w:r>
      <w:r w:rsidR="00BF3965">
        <w:t>seeking access to</w:t>
      </w:r>
      <w:r w:rsidR="000D6AD9">
        <w:t xml:space="preserve"> services that enable origination of </w:t>
      </w:r>
      <w:r w:rsidR="00077659">
        <w:t xml:space="preserve">high volumes </w:t>
      </w:r>
      <w:r w:rsidR="000D6AD9">
        <w:t>of calls</w:t>
      </w:r>
      <w:r w:rsidR="00002391">
        <w:t xml:space="preserve"> </w:t>
      </w:r>
      <w:r w:rsidR="00D02B40">
        <w:t>(</w:t>
      </w:r>
      <w:r w:rsidR="00002391">
        <w:t>e.g., a number of calls abo</w:t>
      </w:r>
      <w:r w:rsidR="00834766">
        <w:t>ve</w:t>
      </w:r>
      <w:r w:rsidR="00002391">
        <w:t xml:space="preserve"> what a</w:t>
      </w:r>
      <w:r w:rsidR="00C55244">
        <w:t>n</w:t>
      </w:r>
      <w:r w:rsidR="00002391">
        <w:t xml:space="preserve"> individual caller would make</w:t>
      </w:r>
      <w:r w:rsidR="00C55244">
        <w:t xml:space="preserve"> using a personal account</w:t>
      </w:r>
      <w:r w:rsidR="00D02B40">
        <w:t>)</w:t>
      </w:r>
      <w:r w:rsidRPr="00513A1E" w:rsidR="0090785C">
        <w:t xml:space="preserve">, </w:t>
      </w:r>
      <w:r w:rsidR="0090785C">
        <w:t xml:space="preserve">we </w:t>
      </w:r>
      <w:r w:rsidR="004E7851">
        <w:t>seek comment on requiring</w:t>
      </w:r>
      <w:r w:rsidR="0090785C">
        <w:t xml:space="preserve"> </w:t>
      </w:r>
      <w:r w:rsidR="0047497E">
        <w:t xml:space="preserve">verification of customer information using </w:t>
      </w:r>
      <w:r w:rsidR="0090785C">
        <w:t xml:space="preserve">supporting records such as </w:t>
      </w:r>
      <w:r w:rsidRPr="00513A1E" w:rsidR="00513A1E">
        <w:t>corporate formation records, proof of good standing</w:t>
      </w:r>
      <w:r w:rsidR="0015749E">
        <w:t xml:space="preserve"> such as a state-issued certification</w:t>
      </w:r>
      <w:r w:rsidR="00765A70">
        <w:t>,</w:t>
      </w:r>
      <w:r w:rsidRPr="00513A1E" w:rsidR="00513A1E">
        <w:t xml:space="preserve"> </w:t>
      </w:r>
      <w:r w:rsidR="00A704E5">
        <w:t xml:space="preserve">confirmation that </w:t>
      </w:r>
      <w:r w:rsidR="0010345E">
        <w:t xml:space="preserve">the telephone number </w:t>
      </w:r>
      <w:r w:rsidR="00F14EB1">
        <w:t xml:space="preserve">provided </w:t>
      </w:r>
      <w:r w:rsidR="0010345E">
        <w:t xml:space="preserve">is the customer’s current active </w:t>
      </w:r>
      <w:r w:rsidR="0006645A">
        <w:t xml:space="preserve">telephone </w:t>
      </w:r>
      <w:r w:rsidR="0010345E">
        <w:t xml:space="preserve">number, </w:t>
      </w:r>
      <w:r w:rsidR="00B4029F">
        <w:t>third</w:t>
      </w:r>
      <w:r w:rsidR="005E0AD0">
        <w:t>-</w:t>
      </w:r>
      <w:r w:rsidR="00B4029F">
        <w:t xml:space="preserve">party records of a customer’s physical address, </w:t>
      </w:r>
      <w:r w:rsidR="00EE5153">
        <w:t>and</w:t>
      </w:r>
      <w:r w:rsidRPr="00513A1E" w:rsidR="00513A1E">
        <w:t xml:space="preserve"> verification of commercial presence</w:t>
      </w:r>
      <w:r w:rsidR="0090785C">
        <w:t xml:space="preserve"> </w:t>
      </w:r>
      <w:r w:rsidR="00FF649A">
        <w:t>(e.g.</w:t>
      </w:r>
      <w:r w:rsidR="00765A70">
        <w:t>,</w:t>
      </w:r>
      <w:r w:rsidR="00FF649A">
        <w:t xml:space="preserve"> website, social media, store front</w:t>
      </w:r>
      <w:r w:rsidR="00F736CA">
        <w:t>)</w:t>
      </w:r>
      <w:r w:rsidR="00CD61F4">
        <w:t xml:space="preserve"> </w:t>
      </w:r>
      <w:r w:rsidR="00BA6B82">
        <w:t xml:space="preserve">when applicable </w:t>
      </w:r>
      <w:r w:rsidR="00CD61F4">
        <w:t>before being granted access to the network</w:t>
      </w:r>
      <w:r w:rsidRPr="00513A1E" w:rsidR="00513A1E">
        <w:t>.</w:t>
      </w:r>
      <w:r>
        <w:rPr>
          <w:rStyle w:val="FootnoteReference"/>
        </w:rPr>
        <w:footnoteReference w:id="37"/>
      </w:r>
      <w:r w:rsidR="00615E30">
        <w:t xml:space="preserve">  </w:t>
      </w:r>
      <w:r w:rsidR="00703F3F">
        <w:t xml:space="preserve">We </w:t>
      </w:r>
      <w:r w:rsidR="00575242">
        <w:t>anticipate that most high</w:t>
      </w:r>
      <w:r w:rsidR="00F10697">
        <w:t>-</w:t>
      </w:r>
      <w:r w:rsidR="00575242">
        <w:t xml:space="preserve">volume callers will be </w:t>
      </w:r>
      <w:r w:rsidR="00703F3F">
        <w:t>business</w:t>
      </w:r>
      <w:r w:rsidR="00214F66">
        <w:t>e</w:t>
      </w:r>
      <w:r w:rsidR="00703F3F">
        <w:t>s</w:t>
      </w:r>
      <w:r w:rsidR="004E3C28">
        <w:t xml:space="preserve"> or similar entities</w:t>
      </w:r>
      <w:r w:rsidR="00BF1B87">
        <w:t xml:space="preserve"> that have such supporting records</w:t>
      </w:r>
      <w:r w:rsidR="00703F3F">
        <w:t>.</w:t>
      </w:r>
      <w:r w:rsidR="00843C92">
        <w:t xml:space="preserve">  To the extent, however, that they are individuals seeking access to high</w:t>
      </w:r>
      <w:r w:rsidR="007B7AB0">
        <w:t>-</w:t>
      </w:r>
      <w:r w:rsidR="00843C92">
        <w:t>volume service,</w:t>
      </w:r>
      <w:r w:rsidR="00FC39E6">
        <w:t xml:space="preserve"> what </w:t>
      </w:r>
      <w:r w:rsidR="00BF1B87">
        <w:t xml:space="preserve">additional </w:t>
      </w:r>
      <w:r w:rsidR="00FC39E6">
        <w:t xml:space="preserve">verification measures should </w:t>
      </w:r>
      <w:r w:rsidR="00765A70">
        <w:t>we require</w:t>
      </w:r>
      <w:r w:rsidR="00BF1B87">
        <w:t>?</w:t>
      </w:r>
    </w:p>
    <w:p w:rsidR="00A37F39" w:rsidRPr="00970944" w:rsidP="0022391B" w14:paraId="3CE81D57" w14:textId="45F31925">
      <w:pPr>
        <w:pStyle w:val="ParaNum"/>
        <w:tabs>
          <w:tab w:val="clear" w:pos="1440"/>
        </w:tabs>
        <w:rPr>
          <w:u w:val="single"/>
        </w:rPr>
      </w:pPr>
      <w:r>
        <w:t xml:space="preserve">Is this list comprehensive?  Should we require more or fewer verification </w:t>
      </w:r>
      <w:r w:rsidR="007527C9">
        <w:t>measures</w:t>
      </w:r>
      <w:r w:rsidR="006E50EB">
        <w:t xml:space="preserve">; should </w:t>
      </w:r>
      <w:r w:rsidR="00765A70">
        <w:t xml:space="preserve">any additional </w:t>
      </w:r>
      <w:r w:rsidR="006E50EB">
        <w:t xml:space="preserve">steps vary depending on </w:t>
      </w:r>
      <w:r w:rsidR="00043D3F">
        <w:t>whether the customer is deemed higher or lower risk</w:t>
      </w:r>
      <w:r>
        <w:t xml:space="preserve">?  And should we require that originating providers complete all steps successfully before allowing the customer </w:t>
      </w:r>
      <w:r>
        <w:t xml:space="preserve">to use its network?  If the customer is renewing, </w:t>
      </w:r>
      <w:r w:rsidR="00505ED0">
        <w:t xml:space="preserve">what period of time should the provider have to </w:t>
      </w:r>
      <w:r>
        <w:t>complete</w:t>
      </w:r>
      <w:r w:rsidR="00EE4EF3">
        <w:t xml:space="preserve"> it</w:t>
      </w:r>
      <w:r>
        <w:t>s verification</w:t>
      </w:r>
      <w:r w:rsidR="00EE4EF3">
        <w:t xml:space="preserve"> before suspending access to the network</w:t>
      </w:r>
      <w:r>
        <w:t xml:space="preserve">?  </w:t>
      </w:r>
      <w:r w:rsidR="00A11E0A">
        <w:t>What existing tools and practices do provide</w:t>
      </w:r>
      <w:r w:rsidR="00CF18D3">
        <w:t>r</w:t>
      </w:r>
      <w:r w:rsidR="00A11E0A">
        <w:t xml:space="preserve">s use to verify customer information?  </w:t>
      </w:r>
      <w:r w:rsidR="00C514F6">
        <w:t xml:space="preserve">Are there commercially available resources that originating providers can use to accurately verify the identity and location of a customer?  If so, should we find use of these resources sufficient to satisfy any enhanced KYC verification requirement?  </w:t>
      </w:r>
      <w:r w:rsidR="00A11E0A">
        <w:t xml:space="preserve">Are there other industries </w:t>
      </w:r>
      <w:r w:rsidR="005D497B">
        <w:t xml:space="preserve">and/or other countries </w:t>
      </w:r>
      <w:r w:rsidR="00A11E0A">
        <w:t xml:space="preserve">with successful KYC </w:t>
      </w:r>
      <w:r w:rsidR="00EE4EF3">
        <w:t xml:space="preserve">verification </w:t>
      </w:r>
      <w:r w:rsidR="00A11E0A">
        <w:t xml:space="preserve">requirements?  If so, </w:t>
      </w:r>
      <w:r w:rsidR="00FD2E1F">
        <w:t xml:space="preserve">are their models applicable to </w:t>
      </w:r>
      <w:r w:rsidR="005D497B">
        <w:t xml:space="preserve">U.S. </w:t>
      </w:r>
      <w:r w:rsidR="00FD2E1F">
        <w:t>communications services?</w:t>
      </w:r>
      <w:r w:rsidR="00765A70">
        <w:t xml:space="preserve">  What privacy issues related to the collection and retention of such information should we consider?  </w:t>
      </w:r>
    </w:p>
    <w:p w:rsidR="009F56C3" w:rsidRPr="0022391B" w:rsidP="00B666B2" w14:paraId="6B3BC568" w14:textId="51159D25">
      <w:pPr>
        <w:pStyle w:val="ParaNum"/>
        <w:tabs>
          <w:tab w:val="clear" w:pos="1440"/>
        </w:tabs>
        <w:rPr>
          <w:u w:val="single"/>
        </w:rPr>
      </w:pPr>
      <w:r>
        <w:t>We believe that there are r</w:t>
      </w:r>
      <w:r w:rsidRPr="009945C1">
        <w:t xml:space="preserve">ed </w:t>
      </w:r>
      <w:r w:rsidRPr="009945C1">
        <w:t xml:space="preserve">flags </w:t>
      </w:r>
      <w:r w:rsidR="002A6389">
        <w:t xml:space="preserve">that </w:t>
      </w:r>
      <w:r w:rsidR="001D7E1A">
        <w:t xml:space="preserve">should </w:t>
      </w:r>
      <w:r w:rsidR="00CF5B64">
        <w:t xml:space="preserve">raise concerns for closer verification </w:t>
      </w:r>
      <w:r w:rsidR="007A3170">
        <w:t>such as</w:t>
      </w:r>
      <w:r w:rsidRPr="009945C1">
        <w:t xml:space="preserve"> providing a registered agent or virtual office as a physical address</w:t>
      </w:r>
      <w:r>
        <w:t xml:space="preserve">; registering a corporate address using a residential address or random commercial location that </w:t>
      </w:r>
      <w:r w:rsidR="00AF4025">
        <w:t>is</w:t>
      </w:r>
      <w:r>
        <w:t xml:space="preserve"> unaffiliated with the customer; lacking a </w:t>
      </w:r>
      <w:r w:rsidR="005B095B">
        <w:t>commercial</w:t>
      </w:r>
      <w:r>
        <w:t xml:space="preserve"> presence or operating a suspicious website (e.g.</w:t>
      </w:r>
      <w:r w:rsidR="004209B3">
        <w:t>,</w:t>
      </w:r>
      <w:r>
        <w:t xml:space="preserve"> a newly created website</w:t>
      </w:r>
      <w:r w:rsidR="003D59FB">
        <w:t>)</w:t>
      </w:r>
      <w:r w:rsidR="003F5955">
        <w:t>;</w:t>
      </w:r>
      <w:r w:rsidR="003D59FB">
        <w:t xml:space="preserve"> using a suspicious email address</w:t>
      </w:r>
      <w:r>
        <w:t xml:space="preserve"> </w:t>
      </w:r>
      <w:r w:rsidR="003D59FB">
        <w:t>(e</w:t>
      </w:r>
      <w:r w:rsidR="00A6719B">
        <w:t>.</w:t>
      </w:r>
      <w:r w:rsidR="003D59FB">
        <w:t>g</w:t>
      </w:r>
      <w:r w:rsidR="00A6719B">
        <w:t>.</w:t>
      </w:r>
      <w:r w:rsidR="00765A70">
        <w:t>,</w:t>
      </w:r>
      <w:r w:rsidR="003D59FB">
        <w:t xml:space="preserve"> </w:t>
      </w:r>
      <w:r w:rsidR="003F5955">
        <w:t xml:space="preserve">a </w:t>
      </w:r>
      <w:r>
        <w:t>recently created email address</w:t>
      </w:r>
      <w:r w:rsidR="00233E6A">
        <w:t>, template website with little information unique to the company</w:t>
      </w:r>
      <w:r>
        <w:t xml:space="preserve">); not being registered in the state in which </w:t>
      </w:r>
      <w:r w:rsidR="007611C3">
        <w:t>it</w:t>
      </w:r>
      <w:r>
        <w:t xml:space="preserve"> purport</w:t>
      </w:r>
      <w:r w:rsidR="007611C3">
        <w:t>s</w:t>
      </w:r>
      <w:r>
        <w:t xml:space="preserve"> to be </w:t>
      </w:r>
      <w:r w:rsidR="007611C3">
        <w:t xml:space="preserve">located or </w:t>
      </w:r>
      <w:r>
        <w:t>incorporated</w:t>
      </w:r>
      <w:r w:rsidR="00D63F3E">
        <w:t>; or paying for</w:t>
      </w:r>
      <w:r w:rsidR="0042158D">
        <w:t xml:space="preserve"> service in non-traceable ways such as the use of </w:t>
      </w:r>
      <w:r w:rsidR="00C77FA0">
        <w:t>cryptocurrency</w:t>
      </w:r>
      <w:r>
        <w:t xml:space="preserve">. </w:t>
      </w:r>
      <w:r w:rsidRPr="009945C1">
        <w:t xml:space="preserve"> </w:t>
      </w:r>
      <w:r w:rsidR="005D3F92">
        <w:t xml:space="preserve">We </w:t>
      </w:r>
      <w:r w:rsidR="000D5D34">
        <w:t>tentatively conclude that t</w:t>
      </w:r>
      <w:r w:rsidR="005D3F92">
        <w:t xml:space="preserve">hese </w:t>
      </w:r>
      <w:r w:rsidR="0029598D">
        <w:t xml:space="preserve">red flags should alert an originating provider as to a customer’s </w:t>
      </w:r>
      <w:r w:rsidR="00D46D93">
        <w:t xml:space="preserve">potential </w:t>
      </w:r>
      <w:r w:rsidR="0029598D">
        <w:t>intention</w:t>
      </w:r>
      <w:r w:rsidR="00C64373">
        <w:t xml:space="preserve"> to use its service to make illegal calls</w:t>
      </w:r>
      <w:r w:rsidR="000D5D34">
        <w:t xml:space="preserve"> and seek comment on this conclusion</w:t>
      </w:r>
      <w:r w:rsidR="00614A8F">
        <w:t>.</w:t>
      </w:r>
      <w:r w:rsidR="0055516A">
        <w:t xml:space="preserve">  </w:t>
      </w:r>
      <w:r w:rsidR="006132E8">
        <w:t>Are there additional red flags that raise concerns</w:t>
      </w:r>
      <w:r w:rsidR="00A75D62">
        <w:t xml:space="preserve"> with a customer’s access to the network that should result in originating providers exercising more stringent </w:t>
      </w:r>
      <w:r w:rsidR="008A2DBD">
        <w:t>verification measures?</w:t>
      </w:r>
    </w:p>
    <w:p w:rsidR="009945C1" w:rsidRPr="009945C1" w:rsidP="00B666B2" w14:paraId="2663D956" w14:textId="1AF810BC">
      <w:pPr>
        <w:pStyle w:val="ParaNum"/>
        <w:rPr>
          <w:u w:val="single"/>
        </w:rPr>
      </w:pPr>
      <w:r w:rsidRPr="00605144">
        <w:rPr>
          <w:i/>
          <w:iCs/>
        </w:rPr>
        <w:t>Risk-</w:t>
      </w:r>
      <w:r w:rsidR="00402B35">
        <w:rPr>
          <w:i/>
          <w:iCs/>
        </w:rPr>
        <w:t>B</w:t>
      </w:r>
      <w:r w:rsidRPr="00605144">
        <w:rPr>
          <w:i/>
          <w:iCs/>
        </w:rPr>
        <w:t xml:space="preserve">ased </w:t>
      </w:r>
      <w:r w:rsidR="002C430B">
        <w:rPr>
          <w:i/>
          <w:iCs/>
        </w:rPr>
        <w:t>Re</w:t>
      </w:r>
      <w:r w:rsidR="009C3A71">
        <w:rPr>
          <w:i/>
          <w:iCs/>
        </w:rPr>
        <w:t>-</w:t>
      </w:r>
      <w:r w:rsidR="002C430B">
        <w:rPr>
          <w:i/>
          <w:iCs/>
        </w:rPr>
        <w:t>verification</w:t>
      </w:r>
      <w:r w:rsidR="002E5C62">
        <w:t>.</w:t>
      </w:r>
      <w:r w:rsidRPr="00401A2C" w:rsidR="002C430B">
        <w:t xml:space="preserve">  </w:t>
      </w:r>
      <w:r w:rsidR="00856206">
        <w:t>S</w:t>
      </w:r>
      <w:r w:rsidR="009C2724">
        <w:t xml:space="preserve">hould </w:t>
      </w:r>
      <w:r w:rsidR="00856206">
        <w:t xml:space="preserve">we </w:t>
      </w:r>
      <w:r w:rsidR="009C2724">
        <w:t xml:space="preserve">require </w:t>
      </w:r>
      <w:r w:rsidR="0060377D">
        <w:t xml:space="preserve">originating providers to </w:t>
      </w:r>
      <w:r w:rsidR="00282121">
        <w:t>re</w:t>
      </w:r>
      <w:r w:rsidR="009C3A71">
        <w:t>-</w:t>
      </w:r>
      <w:r w:rsidR="00282121">
        <w:t>verif</w:t>
      </w:r>
      <w:r w:rsidR="0060377D">
        <w:t>y</w:t>
      </w:r>
      <w:r w:rsidR="00282121">
        <w:t xml:space="preserve"> KYC </w:t>
      </w:r>
      <w:r w:rsidR="009F19EF">
        <w:t xml:space="preserve">customer information </w:t>
      </w:r>
      <w:r w:rsidR="009C2724">
        <w:t xml:space="preserve">in response to </w:t>
      </w:r>
      <w:r w:rsidR="00157926">
        <w:t>changes</w:t>
      </w:r>
      <w:r w:rsidR="00B50A9B">
        <w:t xml:space="preserve"> in traffic patterns </w:t>
      </w:r>
      <w:r w:rsidR="00A12A97">
        <w:t xml:space="preserve">or </w:t>
      </w:r>
      <w:r w:rsidR="00B50A9B">
        <w:t xml:space="preserve">other </w:t>
      </w:r>
      <w:r w:rsidR="00254496">
        <w:t>red flags</w:t>
      </w:r>
      <w:r w:rsidR="00A12A97">
        <w:t xml:space="preserve"> </w:t>
      </w:r>
      <w:r w:rsidR="009C2724">
        <w:t xml:space="preserve">that may suggest </w:t>
      </w:r>
      <w:r w:rsidR="002B38AE">
        <w:t>illegal calls</w:t>
      </w:r>
      <w:r w:rsidR="00856206">
        <w:t>?</w:t>
      </w:r>
      <w:r w:rsidR="002B38AE">
        <w:t xml:space="preserve">  </w:t>
      </w:r>
      <w:r w:rsidR="0060377D">
        <w:t xml:space="preserve">If so, what types of changes in traffic patterns?  We expect that originating </w:t>
      </w:r>
      <w:r w:rsidR="00FC37ED">
        <w:t>providers</w:t>
      </w:r>
      <w:r w:rsidR="00023FD7">
        <w:t xml:space="preserve"> </w:t>
      </w:r>
      <w:r w:rsidR="0060377D">
        <w:t xml:space="preserve">will </w:t>
      </w:r>
      <w:r w:rsidR="00023FD7">
        <w:t xml:space="preserve">monitor traffic on </w:t>
      </w:r>
      <w:r w:rsidR="0060377D">
        <w:t xml:space="preserve">their </w:t>
      </w:r>
      <w:r w:rsidR="00023FD7">
        <w:t>network</w:t>
      </w:r>
      <w:r w:rsidR="0060377D">
        <w:t>s</w:t>
      </w:r>
      <w:r w:rsidR="00023FD7">
        <w:t xml:space="preserve"> to </w:t>
      </w:r>
      <w:r w:rsidR="00AA3CAC">
        <w:t xml:space="preserve">determine if there are customer information inconsistencies such as </w:t>
      </w:r>
      <w:r w:rsidR="00DA0592">
        <w:t xml:space="preserve">a </w:t>
      </w:r>
      <w:r w:rsidR="00AA3CAC">
        <w:t>domestic</w:t>
      </w:r>
      <w:r w:rsidR="00BE1FDD">
        <w:t xml:space="preserve"> </w:t>
      </w:r>
      <w:r w:rsidR="00DA0592">
        <w:t>U</w:t>
      </w:r>
      <w:r w:rsidR="006F4387">
        <w:t>.</w:t>
      </w:r>
      <w:r w:rsidR="00DA0592">
        <w:t>S</w:t>
      </w:r>
      <w:r w:rsidR="006F4387">
        <w:t>.</w:t>
      </w:r>
      <w:r w:rsidR="00DA0592">
        <w:t xml:space="preserve"> </w:t>
      </w:r>
      <w:r w:rsidR="00BE1FDD">
        <w:t>company transmitting traffic from a foreign-based IP address</w:t>
      </w:r>
      <w:r w:rsidR="000F2DCB">
        <w:t xml:space="preserve"> or dormant accounts suddenly reappearing and sending large volumes of calls</w:t>
      </w:r>
      <w:r w:rsidR="00BE1FDD">
        <w:t>.</w:t>
      </w:r>
      <w:r w:rsidR="002F4D66">
        <w:t xml:space="preserve">  </w:t>
      </w:r>
      <w:r w:rsidR="006048CC">
        <w:t xml:space="preserve">In such instances, we seek comment on whether re-verification methods should </w:t>
      </w:r>
      <w:r w:rsidRPr="006048CC" w:rsidR="006048CC">
        <w:t>include contacting the customer</w:t>
      </w:r>
      <w:r w:rsidR="00E04B23">
        <w:t xml:space="preserve"> directly</w:t>
      </w:r>
      <w:r w:rsidRPr="006048CC" w:rsidR="006048CC">
        <w:t xml:space="preserve">; independently verifying the customer’s identity through the comparison of information provided by the customer with information obtained from a consumer reporting agency, public database, or other source; checking references with financial institutions; </w:t>
      </w:r>
      <w:r w:rsidR="00BC4AC8">
        <w:t>or</w:t>
      </w:r>
      <w:r w:rsidRPr="006048CC" w:rsidR="006048CC">
        <w:t xml:space="preserve"> obtaining a financial statement</w:t>
      </w:r>
      <w:r w:rsidR="00D225A6">
        <w:t>.</w:t>
      </w:r>
      <w:r w:rsidR="004C0929">
        <w:t xml:space="preserve">  We seek comment on what resources, databases, or third-party tools originating providers</w:t>
      </w:r>
      <w:r w:rsidR="006C3DCE">
        <w:t xml:space="preserve"> could use to verify customer identity.  Are there privacy, cost, or operational concerns that we should consider when determining which verification resources are appropriate?</w:t>
      </w:r>
    </w:p>
    <w:p w:rsidR="00F27CA8" w:rsidRPr="00F27CA8" w:rsidP="00B666B2" w14:paraId="18FCE79A" w14:textId="2ACE5461">
      <w:pPr>
        <w:pStyle w:val="ParaNum"/>
        <w:rPr>
          <w:u w:val="single"/>
        </w:rPr>
      </w:pPr>
      <w:r>
        <w:t>Alternatively, s</w:t>
      </w:r>
      <w:r w:rsidR="006E4B78">
        <w:t xml:space="preserve">hould we </w:t>
      </w:r>
      <w:r w:rsidR="00985BC4">
        <w:t xml:space="preserve">require </w:t>
      </w:r>
      <w:r w:rsidR="002446FE">
        <w:t xml:space="preserve">originating </w:t>
      </w:r>
      <w:r w:rsidR="00985BC4">
        <w:t>providers to</w:t>
      </w:r>
      <w:r w:rsidR="00C55211">
        <w:t xml:space="preserve"> periodically</w:t>
      </w:r>
      <w:r w:rsidR="006E4B78">
        <w:t xml:space="preserve"> re</w:t>
      </w:r>
      <w:r w:rsidR="00C55211">
        <w:t>-</w:t>
      </w:r>
      <w:r w:rsidR="006E4B78">
        <w:t>verify customer</w:t>
      </w:r>
      <w:r w:rsidR="00472A93">
        <w:t xml:space="preserve"> information </w:t>
      </w:r>
      <w:r w:rsidR="004B7044">
        <w:t>on a</w:t>
      </w:r>
      <w:r w:rsidR="00B71751">
        <w:t>n ongoing basis</w:t>
      </w:r>
      <w:r w:rsidR="00C50AF1">
        <w:t>,</w:t>
      </w:r>
      <w:r w:rsidR="004B7044">
        <w:t xml:space="preserve"> </w:t>
      </w:r>
      <w:r w:rsidR="00472A93">
        <w:t xml:space="preserve">such as </w:t>
      </w:r>
      <w:r w:rsidR="00713559">
        <w:t>annually</w:t>
      </w:r>
      <w:r w:rsidR="0060377D">
        <w:t>?</w:t>
      </w:r>
      <w:r w:rsidR="00472A93">
        <w:t xml:space="preserve"> </w:t>
      </w:r>
      <w:r w:rsidR="00DA2A66">
        <w:t xml:space="preserve"> </w:t>
      </w:r>
      <w:r w:rsidR="00713559">
        <w:t xml:space="preserve">How would the compliance burdens </w:t>
      </w:r>
      <w:r w:rsidR="00957EFD">
        <w:t xml:space="preserve">of this approach </w:t>
      </w:r>
      <w:r w:rsidR="00DF24D8">
        <w:t>including for smaller providers</w:t>
      </w:r>
      <w:r w:rsidR="00F61A57">
        <w:t xml:space="preserve"> </w:t>
      </w:r>
      <w:r w:rsidR="00713559">
        <w:t xml:space="preserve">compare to a re-verification process triggered </w:t>
      </w:r>
      <w:r w:rsidR="00957EFD">
        <w:t xml:space="preserve">only </w:t>
      </w:r>
      <w:r w:rsidR="00713559">
        <w:t xml:space="preserve">by </w:t>
      </w:r>
      <w:r w:rsidR="00D10818">
        <w:t>a red flag or unusual activity</w:t>
      </w:r>
      <w:r w:rsidR="0033568B">
        <w:t xml:space="preserve"> on the customer’s account</w:t>
      </w:r>
      <w:r w:rsidR="00B15ADC">
        <w:t>?</w:t>
      </w:r>
      <w:r w:rsidR="00D10818">
        <w:t xml:space="preserve">  </w:t>
      </w:r>
      <w:r w:rsidR="00C0492F">
        <w:t xml:space="preserve">Should </w:t>
      </w:r>
      <w:r w:rsidR="007E0614">
        <w:t xml:space="preserve">any </w:t>
      </w:r>
      <w:r w:rsidR="00C0492F">
        <w:t>re</w:t>
      </w:r>
      <w:r w:rsidR="00CF37F9">
        <w:t>-</w:t>
      </w:r>
      <w:r w:rsidR="00C0492F">
        <w:t xml:space="preserve">verification requirements be </w:t>
      </w:r>
      <w:r w:rsidR="00CF37F9">
        <w:t>identical to</w:t>
      </w:r>
      <w:r w:rsidR="00C0492F">
        <w:t xml:space="preserve"> the original verification</w:t>
      </w:r>
      <w:r w:rsidR="008E0EA9">
        <w:t xml:space="preserve"> measures</w:t>
      </w:r>
      <w:r w:rsidR="00CF37F9">
        <w:t xml:space="preserve"> when initiating service</w:t>
      </w:r>
      <w:r w:rsidR="008E0EA9">
        <w:t xml:space="preserve"> or, in the absence of any reasonable basis for concern</w:t>
      </w:r>
      <w:r w:rsidR="00CF37F9">
        <w:t xml:space="preserve"> or red flags</w:t>
      </w:r>
      <w:r w:rsidR="008E0EA9">
        <w:t xml:space="preserve">, be </w:t>
      </w:r>
      <w:r w:rsidR="00F318B9">
        <w:t>less stringent</w:t>
      </w:r>
      <w:r w:rsidR="00652F06">
        <w:t xml:space="preserve">? </w:t>
      </w:r>
      <w:r w:rsidR="00F318B9">
        <w:t xml:space="preserve"> </w:t>
      </w:r>
      <w:r w:rsidRPr="002913BD" w:rsidR="002913BD">
        <w:t xml:space="preserve">We seek comment on </w:t>
      </w:r>
      <w:r w:rsidR="002913BD">
        <w:t xml:space="preserve">the </w:t>
      </w:r>
      <w:r w:rsidRPr="002913BD" w:rsidR="002913BD">
        <w:t xml:space="preserve">current practices and guidelines that </w:t>
      </w:r>
      <w:r w:rsidR="002446FE">
        <w:t xml:space="preserve">originating </w:t>
      </w:r>
      <w:r w:rsidRPr="002913BD" w:rsidR="002913BD">
        <w:t xml:space="preserve">providers take in this context including how often and under what circumstances they re-verify customer information to ensure that it remains accurate and </w:t>
      </w:r>
      <w:r w:rsidR="008040C1">
        <w:t xml:space="preserve">what actions they take to ensure </w:t>
      </w:r>
      <w:r w:rsidRPr="002913BD" w:rsidR="002913BD">
        <w:t xml:space="preserve">that their services are not being used to originate illegal traffic.  </w:t>
      </w:r>
    </w:p>
    <w:p w:rsidR="00395305" w:rsidP="003C4004" w14:paraId="668100DC" w14:textId="3E04E27B">
      <w:pPr>
        <w:pStyle w:val="ParaNum"/>
      </w:pPr>
      <w:r w:rsidRPr="003C4004">
        <w:rPr>
          <w:i/>
          <w:iCs/>
        </w:rPr>
        <w:t>Retention</w:t>
      </w:r>
      <w:r w:rsidR="001D78D1">
        <w:t>.</w:t>
      </w:r>
      <w:r w:rsidRPr="00401A2C">
        <w:t xml:space="preserve">  </w:t>
      </w:r>
      <w:r w:rsidR="00615E30">
        <w:t xml:space="preserve">We </w:t>
      </w:r>
      <w:r w:rsidR="004009B7">
        <w:t>seek comment on requiring</w:t>
      </w:r>
      <w:r w:rsidR="00615E30">
        <w:t xml:space="preserve"> </w:t>
      </w:r>
      <w:r w:rsidR="001A46EB">
        <w:t>originating</w:t>
      </w:r>
      <w:r w:rsidR="00615E30">
        <w:t xml:space="preserve"> providers </w:t>
      </w:r>
      <w:r w:rsidR="004009B7">
        <w:t xml:space="preserve">to </w:t>
      </w:r>
      <w:r w:rsidR="00615E30">
        <w:t xml:space="preserve">retain </w:t>
      </w:r>
      <w:r w:rsidR="00B256EA">
        <w:t xml:space="preserve">KYC </w:t>
      </w:r>
      <w:r w:rsidR="00615E30">
        <w:t xml:space="preserve">information </w:t>
      </w:r>
      <w:r w:rsidR="00177778">
        <w:t xml:space="preserve">and supporting </w:t>
      </w:r>
      <w:r w:rsidR="00715427">
        <w:t>records</w:t>
      </w:r>
      <w:r w:rsidR="003E1154">
        <w:t xml:space="preserve"> </w:t>
      </w:r>
      <w:r w:rsidR="00615E30">
        <w:t xml:space="preserve">for </w:t>
      </w:r>
      <w:r w:rsidR="00BF70F7">
        <w:t xml:space="preserve">the entirety of </w:t>
      </w:r>
      <w:r w:rsidR="005B4055">
        <w:t>any potential</w:t>
      </w:r>
      <w:r w:rsidR="00CE5F51">
        <w:t xml:space="preserve"> statute of limitation</w:t>
      </w:r>
      <w:r w:rsidRPr="00914F26" w:rsidR="00914F26">
        <w:t xml:space="preserve"> </w:t>
      </w:r>
      <w:r w:rsidR="00190462">
        <w:t xml:space="preserve">period </w:t>
      </w:r>
      <w:r w:rsidR="00906188">
        <w:t xml:space="preserve">relating </w:t>
      </w:r>
      <w:r w:rsidRPr="00914F26" w:rsidR="00914F26">
        <w:t xml:space="preserve">to </w:t>
      </w:r>
      <w:r w:rsidR="00914F26">
        <w:t>misuse</w:t>
      </w:r>
      <w:r w:rsidRPr="00914F26" w:rsidR="00914F26">
        <w:t xml:space="preserve"> of </w:t>
      </w:r>
      <w:r w:rsidR="00190462">
        <w:t>their</w:t>
      </w:r>
      <w:r w:rsidRPr="00914F26" w:rsidR="00914F26">
        <w:t xml:space="preserve"> services to make illegal calls.</w:t>
      </w:r>
      <w:r w:rsidR="00CE5F51">
        <w:t xml:space="preserve">  In the case of spoofing or intentional violations</w:t>
      </w:r>
      <w:r w:rsidR="00412D39">
        <w:t xml:space="preserve"> of section 227(b) of the Communications Act</w:t>
      </w:r>
      <w:r w:rsidR="00CE5F51">
        <w:t>, th</w:t>
      </w:r>
      <w:r w:rsidR="00E4145E">
        <w:t>at</w:t>
      </w:r>
      <w:r w:rsidR="00CE5F51">
        <w:t xml:space="preserve"> statute of limitations </w:t>
      </w:r>
      <w:r w:rsidR="00440307">
        <w:t xml:space="preserve">period </w:t>
      </w:r>
      <w:r w:rsidR="00CE5F51">
        <w:t>is four years.</w:t>
      </w:r>
      <w:r>
        <w:rPr>
          <w:rStyle w:val="FootnoteReference"/>
        </w:rPr>
        <w:footnoteReference w:id="38"/>
      </w:r>
      <w:r w:rsidR="00CE5F51">
        <w:t xml:space="preserve">  </w:t>
      </w:r>
      <w:r w:rsidR="001A710E">
        <w:t xml:space="preserve">As a result, </w:t>
      </w:r>
      <w:r w:rsidR="006B7B28">
        <w:t>originating</w:t>
      </w:r>
      <w:r w:rsidR="00B01289">
        <w:t xml:space="preserve"> </w:t>
      </w:r>
      <w:r w:rsidR="001A710E">
        <w:t xml:space="preserve">providers </w:t>
      </w:r>
      <w:r w:rsidR="002A6B7F">
        <w:t xml:space="preserve">would be required to </w:t>
      </w:r>
      <w:r w:rsidR="001A710E">
        <w:t xml:space="preserve">retain KYC customer information </w:t>
      </w:r>
      <w:r w:rsidR="00331478">
        <w:t xml:space="preserve">and supporting records </w:t>
      </w:r>
      <w:r w:rsidR="001A710E">
        <w:t xml:space="preserve">for </w:t>
      </w:r>
      <w:r w:rsidR="00104ACC">
        <w:t>four years following termination of the customer relationship</w:t>
      </w:r>
      <w:r w:rsidR="002A6B7F">
        <w:t xml:space="preserve"> and </w:t>
      </w:r>
      <w:r w:rsidR="72C81FAE">
        <w:t xml:space="preserve">we </w:t>
      </w:r>
      <w:r w:rsidR="002A6B7F">
        <w:t xml:space="preserve">seek comment on this approach.  </w:t>
      </w:r>
      <w:r w:rsidR="00104ACC">
        <w:t>We seek c</w:t>
      </w:r>
      <w:r w:rsidR="00906188">
        <w:t>omment</w:t>
      </w:r>
      <w:r w:rsidR="00104ACC">
        <w:t xml:space="preserve"> </w:t>
      </w:r>
      <w:r w:rsidR="00970735">
        <w:t xml:space="preserve">on </w:t>
      </w:r>
      <w:r w:rsidR="00B9622D">
        <w:t xml:space="preserve">industry </w:t>
      </w:r>
      <w:r w:rsidR="00104ACC">
        <w:t>customer information ret</w:t>
      </w:r>
      <w:r w:rsidR="00D675E8">
        <w:t>ention</w:t>
      </w:r>
      <w:r w:rsidR="00104ACC">
        <w:t xml:space="preserve"> p</w:t>
      </w:r>
      <w:r w:rsidR="00D675E8">
        <w:t>eriods</w:t>
      </w:r>
      <w:r w:rsidR="00104ACC">
        <w:t xml:space="preserve"> including whether </w:t>
      </w:r>
      <w:r w:rsidR="009A03D0">
        <w:t>this approach</w:t>
      </w:r>
      <w:r w:rsidR="00104ACC">
        <w:t xml:space="preserve"> </w:t>
      </w:r>
      <w:r w:rsidR="00104ACC">
        <w:t xml:space="preserve">imposes any </w:t>
      </w:r>
      <w:r w:rsidR="00D675E8">
        <w:t xml:space="preserve">new </w:t>
      </w:r>
      <w:r w:rsidR="00104ACC">
        <w:t>burdens</w:t>
      </w:r>
      <w:r w:rsidR="00A11AF4">
        <w:t xml:space="preserve"> on smaller providers</w:t>
      </w:r>
      <w:r w:rsidR="00B9622D">
        <w:t xml:space="preserve"> by differing from those practices</w:t>
      </w:r>
      <w:r w:rsidR="00A11AF4">
        <w:t xml:space="preserve">. </w:t>
      </w:r>
      <w:r w:rsidR="00D675E8">
        <w:t xml:space="preserve"> </w:t>
      </w:r>
      <w:r w:rsidR="00DB4FFC">
        <w:t>What steps does the industry take to protect such information from unauthorized access</w:t>
      </w:r>
      <w:r w:rsidR="00DA1B66">
        <w:t xml:space="preserve">, </w:t>
      </w:r>
      <w:r w:rsidR="006460EB">
        <w:t>and would those steps offer enough protection to an expanded collection and retention of PII</w:t>
      </w:r>
      <w:r w:rsidR="00777D80">
        <w:t xml:space="preserve"> or would </w:t>
      </w:r>
      <w:r w:rsidR="00843B80">
        <w:t>heightened security be necessary</w:t>
      </w:r>
      <w:r w:rsidR="006460EB">
        <w:t xml:space="preserve">?  </w:t>
      </w:r>
      <w:r w:rsidR="00D675E8">
        <w:t>S</w:t>
      </w:r>
      <w:r w:rsidR="00A11AF4">
        <w:t xml:space="preserve">hould we consider </w:t>
      </w:r>
      <w:r w:rsidR="003745AB">
        <w:t>an alternative</w:t>
      </w:r>
      <w:r w:rsidR="00A11AF4">
        <w:t xml:space="preserve"> retention timeframe?</w:t>
      </w:r>
      <w:r>
        <w:rPr>
          <w:rStyle w:val="FootnoteReference"/>
        </w:rPr>
        <w:footnoteReference w:id="39"/>
      </w:r>
    </w:p>
    <w:p w:rsidR="00A27A5E" w:rsidP="00A27A5E" w14:paraId="54DCD898" w14:textId="666BE992">
      <w:pPr>
        <w:pStyle w:val="Heading2"/>
      </w:pPr>
      <w:r>
        <w:t>Enforcement</w:t>
      </w:r>
    </w:p>
    <w:p w:rsidR="00F14B58" w:rsidP="00B666B2" w14:paraId="1B3060ED" w14:textId="44F0EF68">
      <w:pPr>
        <w:pStyle w:val="ParaNum"/>
      </w:pPr>
      <w:r>
        <w:t>W</w:t>
      </w:r>
      <w:r w:rsidR="00AD2D12">
        <w:t xml:space="preserve">e propose </w:t>
      </w:r>
      <w:r>
        <w:t xml:space="preserve">to codify a base forfeiture amount </w:t>
      </w:r>
      <w:r w:rsidR="007B21DD">
        <w:t>f</w:t>
      </w:r>
      <w:r w:rsidR="001D5294">
        <w:t xml:space="preserve">or violations of </w:t>
      </w:r>
      <w:r w:rsidR="00942F16">
        <w:t>section 64.1200(n)(4)</w:t>
      </w:r>
      <w:r w:rsidR="006C1D08">
        <w:t xml:space="preserve"> on a per call basis</w:t>
      </w:r>
      <w:r w:rsidR="00BA104A">
        <w:t xml:space="preserve"> </w:t>
      </w:r>
      <w:r w:rsidR="007B21DD">
        <w:t xml:space="preserve">to </w:t>
      </w:r>
      <w:r w:rsidR="0072319A">
        <w:t xml:space="preserve">best </w:t>
      </w:r>
      <w:r w:rsidR="00491B9B">
        <w:t>corre</w:t>
      </w:r>
      <w:r w:rsidR="00A77ABF">
        <w:t xml:space="preserve">late </w:t>
      </w:r>
      <w:r w:rsidR="00491B9B">
        <w:t>penalties</w:t>
      </w:r>
      <w:r w:rsidR="007B21DD">
        <w:t xml:space="preserve"> to the volume of illegal calls</w:t>
      </w:r>
      <w:r w:rsidR="00491B9B">
        <w:t xml:space="preserve"> made</w:t>
      </w:r>
      <w:r w:rsidR="001B4FFE">
        <w:t>, and thus the harm caused</w:t>
      </w:r>
      <w:r w:rsidR="005204B5">
        <w:t xml:space="preserve"> by</w:t>
      </w:r>
      <w:r w:rsidR="007B21DD">
        <w:t xml:space="preserve"> any one caller</w:t>
      </w:r>
      <w:r w:rsidR="00AD2D12">
        <w:t>.</w:t>
      </w:r>
      <w:r>
        <w:t xml:space="preserve">  Specifically, we propose to codify </w:t>
      </w:r>
      <w:r w:rsidR="00C51EDA">
        <w:t xml:space="preserve">a </w:t>
      </w:r>
      <w:r>
        <w:t>$2,500 per call base forfeiture amount.</w:t>
      </w:r>
      <w:r w:rsidR="0012465F">
        <w:t xml:space="preserve">  </w:t>
      </w:r>
      <w:r w:rsidR="008F1512">
        <w:t>Alternative approaches, such as</w:t>
      </w:r>
      <w:r w:rsidR="00303BE9">
        <w:t xml:space="preserve"> assessing fines on</w:t>
      </w:r>
      <w:r w:rsidR="008F1512">
        <w:t xml:space="preserve"> a</w:t>
      </w:r>
      <w:r w:rsidR="00B40769">
        <w:t xml:space="preserve"> “per </w:t>
      </w:r>
      <w:r w:rsidR="00076C68">
        <w:t>customer</w:t>
      </w:r>
      <w:r w:rsidR="00303BE9">
        <w:t>” basis</w:t>
      </w:r>
      <w:r w:rsidR="00B40769">
        <w:t xml:space="preserve">, </w:t>
      </w:r>
      <w:r w:rsidR="007C1BCB">
        <w:t xml:space="preserve">would </w:t>
      </w:r>
      <w:r w:rsidR="00AB550C">
        <w:t>result in a</w:t>
      </w:r>
      <w:r w:rsidR="007C1BCB">
        <w:t xml:space="preserve"> </w:t>
      </w:r>
      <w:r w:rsidR="005D7685">
        <w:t xml:space="preserve">single </w:t>
      </w:r>
      <w:r w:rsidR="00654E4A">
        <w:t>base for</w:t>
      </w:r>
      <w:r w:rsidR="00AB550C">
        <w:t xml:space="preserve">feiture </w:t>
      </w:r>
      <w:r w:rsidR="003012FC">
        <w:t>regardless of the number of illegal calls made</w:t>
      </w:r>
      <w:r w:rsidR="00AB550C">
        <w:t xml:space="preserve"> by the customer</w:t>
      </w:r>
      <w:r w:rsidR="007C1BCB">
        <w:t xml:space="preserve">. </w:t>
      </w:r>
      <w:r w:rsidR="00380049">
        <w:t xml:space="preserve"> </w:t>
      </w:r>
      <w:r>
        <w:t>The Commission has confirmed that t</w:t>
      </w:r>
      <w:r w:rsidRPr="00D503E7">
        <w:t xml:space="preserve">he responsibility imposed by section 64.1200(n)(4) for </w:t>
      </w:r>
      <w:r w:rsidR="00B01289">
        <w:t xml:space="preserve">originating </w:t>
      </w:r>
      <w:r w:rsidRPr="00D503E7">
        <w:t>providers to know their customers is a critical aspect of protecting Americans from illegal and harmful calls.</w:t>
      </w:r>
      <w:r>
        <w:rPr>
          <w:rStyle w:val="FootnoteReference"/>
        </w:rPr>
        <w:footnoteReference w:id="40"/>
      </w:r>
      <w:r>
        <w:t xml:space="preserve">  </w:t>
      </w:r>
      <w:r w:rsidR="003018DE">
        <w:t xml:space="preserve">In that regard, we </w:t>
      </w:r>
      <w:r w:rsidR="00A97300">
        <w:t>emphasize</w:t>
      </w:r>
      <w:r w:rsidR="003018DE">
        <w:t xml:space="preserve"> that section 64.1200(n)(4) </w:t>
      </w:r>
      <w:r w:rsidR="00B53EE7">
        <w:t>requires that originating providers take “affirmative, effective measures to</w:t>
      </w:r>
      <w:r w:rsidR="00284414">
        <w:t xml:space="preserve"> prevent new and renewing customers from using its network to originate illegal calls,” </w:t>
      </w:r>
      <w:r w:rsidR="005E13DA">
        <w:t xml:space="preserve">which includes both </w:t>
      </w:r>
      <w:r w:rsidR="006313DC">
        <w:t>“</w:t>
      </w:r>
      <w:r w:rsidR="00B53EE7">
        <w:t>know</w:t>
      </w:r>
      <w:r w:rsidR="00FC3303">
        <w:t>ing</w:t>
      </w:r>
      <w:r w:rsidR="00B53EE7">
        <w:t xml:space="preserve"> its </w:t>
      </w:r>
      <w:r w:rsidR="005E13DA">
        <w:t>customers</w:t>
      </w:r>
      <w:r w:rsidR="006313DC">
        <w:t>,”</w:t>
      </w:r>
      <w:r w:rsidR="005E13DA">
        <w:t xml:space="preserve"> and </w:t>
      </w:r>
      <w:r w:rsidR="006F4E4E">
        <w:t>“exercis</w:t>
      </w:r>
      <w:r w:rsidR="005E13DA">
        <w:t>ing</w:t>
      </w:r>
      <w:r w:rsidR="006F4E4E">
        <w:t xml:space="preserve"> due diligence in ensuring that its service</w:t>
      </w:r>
      <w:r w:rsidR="00B813EA">
        <w:t>s are not used to originate illegal traffic.”</w:t>
      </w:r>
      <w:r>
        <w:rPr>
          <w:rStyle w:val="FootnoteReference"/>
        </w:rPr>
        <w:footnoteReference w:id="41"/>
      </w:r>
      <w:r w:rsidR="00B813EA">
        <w:t xml:space="preserve"> </w:t>
      </w:r>
      <w:r w:rsidR="00B75305">
        <w:t xml:space="preserve"> Originating providers that fail to satisfy </w:t>
      </w:r>
      <w:r w:rsidR="004104D0">
        <w:t>either</w:t>
      </w:r>
      <w:r w:rsidR="00B75305">
        <w:t xml:space="preserve"> obligation will be </w:t>
      </w:r>
      <w:r w:rsidR="00A21DEA">
        <w:t xml:space="preserve">deemed </w:t>
      </w:r>
      <w:r w:rsidR="00B75305">
        <w:t xml:space="preserve">in violation </w:t>
      </w:r>
      <w:r w:rsidR="008D215E">
        <w:t>o</w:t>
      </w:r>
      <w:r w:rsidR="00B75305">
        <w:t>f the rule.</w:t>
      </w:r>
      <w:r w:rsidR="00B813EA">
        <w:t xml:space="preserve"> </w:t>
      </w:r>
      <w:r w:rsidR="008D215E">
        <w:t xml:space="preserve"> </w:t>
      </w:r>
      <w:r>
        <w:t xml:space="preserve">We believe that our proposed approach would better encourage compliance with the rule.  We seek comment on this and any other issues relevant to this proposal including whether and how </w:t>
      </w:r>
      <w:r>
        <w:rPr>
          <w:rFonts w:eastAsia="Aptos"/>
          <w:kern w:val="0"/>
        </w:rPr>
        <w:t xml:space="preserve">to expedite the provision of customer information </w:t>
      </w:r>
      <w:r w:rsidR="00126B02">
        <w:rPr>
          <w:rFonts w:eastAsia="Aptos"/>
          <w:kern w:val="0"/>
        </w:rPr>
        <w:t xml:space="preserve">to the Commission </w:t>
      </w:r>
      <w:r w:rsidR="00A5696A">
        <w:rPr>
          <w:rFonts w:eastAsia="Aptos"/>
          <w:kern w:val="0"/>
        </w:rPr>
        <w:t xml:space="preserve">or law enforcement </w:t>
      </w:r>
      <w:r>
        <w:rPr>
          <w:rFonts w:eastAsia="Aptos"/>
          <w:kern w:val="0"/>
        </w:rPr>
        <w:t xml:space="preserve">upon any notification to the </w:t>
      </w:r>
      <w:r w:rsidR="00B01289">
        <w:rPr>
          <w:rFonts w:eastAsia="Aptos"/>
          <w:kern w:val="0"/>
        </w:rPr>
        <w:t>originating</w:t>
      </w:r>
      <w:r w:rsidR="00021602">
        <w:rPr>
          <w:rFonts w:eastAsia="Aptos"/>
          <w:kern w:val="0"/>
        </w:rPr>
        <w:t xml:space="preserve"> </w:t>
      </w:r>
      <w:r>
        <w:rPr>
          <w:rFonts w:eastAsia="Aptos"/>
          <w:kern w:val="0"/>
        </w:rPr>
        <w:t>provider that one of its customers is under investigation for using the provider’s network to make illegal calls</w:t>
      </w:r>
      <w:r>
        <w:t xml:space="preserve">.    </w:t>
      </w:r>
    </w:p>
    <w:p w:rsidR="000C3E62" w:rsidP="00FC67A9" w14:paraId="303D13C9" w14:textId="2598F44F">
      <w:pPr>
        <w:pStyle w:val="ParaNum"/>
      </w:pPr>
      <w:r>
        <w:t>We seek comment on</w:t>
      </w:r>
      <w:r w:rsidR="00324793">
        <w:t xml:space="preserve"> whether </w:t>
      </w:r>
      <w:r w:rsidR="00F93386">
        <w:t>the Commission should</w:t>
      </w:r>
      <w:r w:rsidR="005A6B1C">
        <w:t>, as an alternative to</w:t>
      </w:r>
      <w:r w:rsidR="00330DD6">
        <w:t xml:space="preserve"> </w:t>
      </w:r>
      <w:r w:rsidR="00897A4A">
        <w:t xml:space="preserve">adopting </w:t>
      </w:r>
      <w:r w:rsidR="005A6B1C">
        <w:t xml:space="preserve">specific KYC requirements, </w:t>
      </w:r>
      <w:r w:rsidR="00F93386">
        <w:t xml:space="preserve">issue </w:t>
      </w:r>
      <w:r w:rsidR="007B5B32">
        <w:t>baseline</w:t>
      </w:r>
      <w:r w:rsidR="00A907E8">
        <w:t xml:space="preserve"> </w:t>
      </w:r>
      <w:r w:rsidR="00771965">
        <w:t>KYC</w:t>
      </w:r>
      <w:r w:rsidR="00A907E8">
        <w:t xml:space="preserve"> </w:t>
      </w:r>
      <w:r w:rsidR="003D007F">
        <w:t xml:space="preserve">guidance or </w:t>
      </w:r>
      <w:r w:rsidR="00A907E8">
        <w:t>expectations</w:t>
      </w:r>
      <w:r w:rsidR="00771965">
        <w:t xml:space="preserve"> that act as a regulatory</w:t>
      </w:r>
      <w:r w:rsidR="005A6B1C">
        <w:t xml:space="preserve"> safe harbor.</w:t>
      </w:r>
      <w:r>
        <w:rPr>
          <w:vertAlign w:val="superscript"/>
        </w:rPr>
        <w:footnoteReference w:id="42"/>
      </w:r>
      <w:r w:rsidR="005A6B1C">
        <w:t xml:space="preserve">  Specifically, should </w:t>
      </w:r>
      <w:r w:rsidR="00ED1B4A">
        <w:t xml:space="preserve">we deem </w:t>
      </w:r>
      <w:r w:rsidR="00324793">
        <w:t xml:space="preserve">compliance with </w:t>
      </w:r>
      <w:r w:rsidR="0027218D">
        <w:t xml:space="preserve">any enhanced KYC obligations or </w:t>
      </w:r>
      <w:r w:rsidR="002246BD">
        <w:t>baseline</w:t>
      </w:r>
      <w:r w:rsidR="00D44946">
        <w:t xml:space="preserve"> </w:t>
      </w:r>
      <w:r w:rsidR="00324793">
        <w:t xml:space="preserve">KYC </w:t>
      </w:r>
      <w:r w:rsidR="002246BD">
        <w:t>expectations</w:t>
      </w:r>
      <w:r w:rsidR="00324793">
        <w:t xml:space="preserve"> </w:t>
      </w:r>
      <w:r w:rsidR="00035894">
        <w:t>a safe harbor from any enforcement action against the originating provider</w:t>
      </w:r>
      <w:r w:rsidR="006F7B48">
        <w:t>?</w:t>
      </w:r>
      <w:r w:rsidR="00471F8C">
        <w:t xml:space="preserve"> </w:t>
      </w:r>
      <w:r w:rsidR="0018651C">
        <w:t xml:space="preserve"> Should </w:t>
      </w:r>
      <w:r w:rsidR="0044694F">
        <w:t xml:space="preserve">using </w:t>
      </w:r>
      <w:r w:rsidR="0018651C">
        <w:t>an accredited th</w:t>
      </w:r>
      <w:r w:rsidR="00E42423">
        <w:t xml:space="preserve">ird party to verify customer identity trigger a safe harbor? </w:t>
      </w:r>
      <w:r w:rsidR="00D92DA1">
        <w:t xml:space="preserve"> Should</w:t>
      </w:r>
      <w:r w:rsidR="00682722">
        <w:t xml:space="preserve"> we establish a safe harbor for originating providers that employ effective AI</w:t>
      </w:r>
      <w:r w:rsidR="00726D26">
        <w:t xml:space="preserve"> or automated systems</w:t>
      </w:r>
      <w:r w:rsidR="0055168D">
        <w:t xml:space="preserve"> that satisfy KYC objectives by identifying bad actors and preventing illegal calls</w:t>
      </w:r>
      <w:r w:rsidR="007C6D8D">
        <w:t xml:space="preserve">? </w:t>
      </w:r>
      <w:r w:rsidR="00077A37">
        <w:t xml:space="preserve"> Would</w:t>
      </w:r>
      <w:r w:rsidR="00471F8C">
        <w:t xml:space="preserve"> </w:t>
      </w:r>
      <w:r w:rsidR="008628C6">
        <w:t xml:space="preserve">such </w:t>
      </w:r>
      <w:r w:rsidR="00471F8C">
        <w:t xml:space="preserve">a safe harbor approach </w:t>
      </w:r>
      <w:r w:rsidR="00ED1B4A">
        <w:t xml:space="preserve">sufficiently incent better KYC practices </w:t>
      </w:r>
      <w:r w:rsidR="00FF1086">
        <w:t xml:space="preserve">while </w:t>
      </w:r>
      <w:r w:rsidR="00ED1B4A">
        <w:t xml:space="preserve">giving </w:t>
      </w:r>
      <w:r w:rsidR="00C02991">
        <w:t xml:space="preserve">originating providers flexibility to </w:t>
      </w:r>
      <w:r w:rsidR="00330DD6">
        <w:t>develop</w:t>
      </w:r>
      <w:r w:rsidR="00C02991">
        <w:t xml:space="preserve"> </w:t>
      </w:r>
      <w:r w:rsidR="00321932">
        <w:t>innovative</w:t>
      </w:r>
      <w:r w:rsidR="001F16B7">
        <w:t xml:space="preserve"> </w:t>
      </w:r>
      <w:r w:rsidR="00C02991">
        <w:t xml:space="preserve">KYC </w:t>
      </w:r>
      <w:r w:rsidR="00A275EA">
        <w:t>protections</w:t>
      </w:r>
      <w:r w:rsidR="00C02991">
        <w:t xml:space="preserve"> and react to </w:t>
      </w:r>
      <w:r w:rsidR="00F74C69">
        <w:t>evolving</w:t>
      </w:r>
      <w:r w:rsidR="009B525D">
        <w:t xml:space="preserve"> tactics used by bad actors to gain access to voice networks?</w:t>
      </w:r>
      <w:r w:rsidR="00BA3560">
        <w:t xml:space="preserve">  Does such an approach </w:t>
      </w:r>
      <w:r w:rsidR="00700017">
        <w:t xml:space="preserve">promote innovation and competition among originating providers </w:t>
      </w:r>
      <w:r w:rsidR="004257A6">
        <w:t>leading to better KYC compliance and fraud prevention</w:t>
      </w:r>
      <w:r w:rsidR="00D96049">
        <w:t xml:space="preserve"> across</w:t>
      </w:r>
      <w:r w:rsidR="00F773B6">
        <w:t xml:space="preserve"> the ecosystem of voice calling customers</w:t>
      </w:r>
      <w:r w:rsidR="0024382E">
        <w:t>?</w:t>
      </w:r>
      <w:r w:rsidR="00ED5802">
        <w:t xml:space="preserve"> </w:t>
      </w:r>
    </w:p>
    <w:p w:rsidR="00B80CE8" w:rsidP="00FC67A9" w14:paraId="13CC8E99" w14:textId="71AA604B">
      <w:pPr>
        <w:pStyle w:val="ParaNum"/>
      </w:pPr>
      <w:r>
        <w:t xml:space="preserve">We seek comment on other enforcement measures we should consider to deter illegal calls.  For example, </w:t>
      </w:r>
      <w:r w:rsidR="00560042">
        <w:t xml:space="preserve">are </w:t>
      </w:r>
      <w:r w:rsidR="00E415C9">
        <w:t>our</w:t>
      </w:r>
      <w:r w:rsidR="00560042">
        <w:t xml:space="preserve"> existing rules sufficient to </w:t>
      </w:r>
      <w:r w:rsidR="005A3845">
        <w:t>ensure that</w:t>
      </w:r>
      <w:r>
        <w:t xml:space="preserve"> originating provider</w:t>
      </w:r>
      <w:r w:rsidR="00DB3098">
        <w:t>s</w:t>
      </w:r>
      <w:r>
        <w:t xml:space="preserve"> provide assurance </w:t>
      </w:r>
      <w:r w:rsidR="00B6558E">
        <w:t>of</w:t>
      </w:r>
      <w:r>
        <w:t xml:space="preserve"> their compliance with KYC rules?</w:t>
      </w:r>
      <w:r>
        <w:rPr>
          <w:rStyle w:val="FootnoteReference"/>
        </w:rPr>
        <w:footnoteReference w:id="43"/>
      </w:r>
      <w:r>
        <w:t xml:space="preserve">  </w:t>
      </w:r>
      <w:r w:rsidR="00EA399F">
        <w:t xml:space="preserve">If not, </w:t>
      </w:r>
      <w:r w:rsidR="00A04CC8">
        <w:t>should we require a specific certification</w:t>
      </w:r>
      <w:r w:rsidR="000308AA">
        <w:t xml:space="preserve"> </w:t>
      </w:r>
      <w:r w:rsidR="001A458C">
        <w:t>regarding</w:t>
      </w:r>
      <w:r w:rsidR="000308AA">
        <w:t xml:space="preserve"> KYC compliance</w:t>
      </w:r>
      <w:r w:rsidR="00F0132B">
        <w:t xml:space="preserve"> as part of the </w:t>
      </w:r>
      <w:r w:rsidR="001D13C7">
        <w:t>Robocall Mitigation Database (</w:t>
      </w:r>
      <w:r w:rsidR="00F0132B">
        <w:t>RMD</w:t>
      </w:r>
      <w:r w:rsidR="001D13C7">
        <w:t>)</w:t>
      </w:r>
      <w:r w:rsidR="00F0132B">
        <w:t xml:space="preserve"> filings?</w:t>
      </w:r>
      <w:r>
        <w:t xml:space="preserve">  It might also include requiring originating providers to obtain independent verification of their compliance, e.g., via an independent auditor using generally accepted standards for providing such assurance.  Should we consider broadening our downstream provider blocking requirements so that any provider downstream of an originating provider that fails to comply with our KYC requirements must block that originating provider’s traffic?  </w:t>
      </w:r>
      <w:r>
        <w:t xml:space="preserve">Would that be technically feasible, e.g., can all downstream providers (not just the </w:t>
      </w:r>
      <w:r w:rsidR="00773DCC">
        <w:t>immediate</w:t>
      </w:r>
      <w:r>
        <w:t xml:space="preserve"> downstr</w:t>
      </w:r>
      <w:r w:rsidR="00AF0F4E">
        <w:t>eam provider) identify the originating provider?</w:t>
      </w:r>
    </w:p>
    <w:p w:rsidR="00955791" w:rsidRPr="000300E3" w:rsidP="00955791" w14:paraId="7695F7AD" w14:textId="77777777">
      <w:pPr>
        <w:pStyle w:val="Heading2"/>
      </w:pPr>
      <w:r>
        <w:t>Deterring Other Criminal Use of the Network</w:t>
      </w:r>
    </w:p>
    <w:p w:rsidR="00955791" w:rsidP="00D656B7" w14:paraId="2B8BA9C1" w14:textId="53D65802">
      <w:pPr>
        <w:pStyle w:val="ParaNum"/>
      </w:pPr>
      <w:r>
        <w:t xml:space="preserve">We seek comment on whether </w:t>
      </w:r>
      <w:r w:rsidR="59D16ECC">
        <w:t xml:space="preserve">enhanced </w:t>
      </w:r>
      <w:r w:rsidR="601FA87B">
        <w:t>KYC requirements</w:t>
      </w:r>
      <w:r>
        <w:t xml:space="preserve"> </w:t>
      </w:r>
      <w:r w:rsidR="601FA87B">
        <w:t>can</w:t>
      </w:r>
      <w:r w:rsidR="172834C0">
        <w:t xml:space="preserve"> </w:t>
      </w:r>
      <w:r w:rsidR="24B2500D">
        <w:t xml:space="preserve">prevent or deter criminal use of </w:t>
      </w:r>
      <w:r w:rsidR="58E5A730">
        <w:t>communication</w:t>
      </w:r>
      <w:r w:rsidR="24B2500D">
        <w:t xml:space="preserve"> networks that do not involve </w:t>
      </w:r>
      <w:r w:rsidR="43D20980">
        <w:t xml:space="preserve">illegal </w:t>
      </w:r>
      <w:r w:rsidR="24B2500D">
        <w:t xml:space="preserve">calls.  </w:t>
      </w:r>
      <w:r w:rsidRPr="00D20A43" w:rsidR="00D20A43">
        <w:t xml:space="preserve">Enhanced KYC information can assist law enforcement to more easily identify callers that use the network to perpetuate crimes by ensuring that voice providers have accurate and complete customer information.  The KYC information gathered and verified would help ensure that law enforcement gets accurate information in response to subpoenas when investigating crimes. </w:t>
      </w:r>
      <w:r w:rsidR="00D20A43">
        <w:t xml:space="preserve"> </w:t>
      </w:r>
      <w:r w:rsidR="24B2500D">
        <w:t xml:space="preserve">For example, can </w:t>
      </w:r>
      <w:r w:rsidR="0BB1A233">
        <w:t>enhanced</w:t>
      </w:r>
      <w:r w:rsidR="24B2500D">
        <w:t xml:space="preserve"> </w:t>
      </w:r>
      <w:r w:rsidR="172834C0">
        <w:t xml:space="preserve">KYC </w:t>
      </w:r>
      <w:r w:rsidR="24B2500D">
        <w:t xml:space="preserve">rules assist law enforcement </w:t>
      </w:r>
      <w:r w:rsidR="09C44110">
        <w:t xml:space="preserve">in investigating organized criminal groups that use the network to facilitate illegal activities?  Can they be used to deter or detect trafficking operations that use </w:t>
      </w:r>
      <w:r w:rsidR="1E841C1D">
        <w:t xml:space="preserve">communication </w:t>
      </w:r>
      <w:r w:rsidR="09C44110">
        <w:t xml:space="preserve">networks to </w:t>
      </w:r>
      <w:r w:rsidR="75E32FCC">
        <w:t xml:space="preserve">buy and sell illicit goods?  </w:t>
      </w:r>
      <w:r w:rsidR="1BA3666D">
        <w:t>Would enhanced</w:t>
      </w:r>
      <w:r w:rsidR="1E42C71D">
        <w:t xml:space="preserve"> KYC measures for originating providers also address abuse in text messaging networks?  </w:t>
      </w:r>
      <w:r w:rsidR="44E27067">
        <w:t xml:space="preserve">Would such rules assist law enforcement in the investigation of fraud, espionage, or influence operations that undermine national security?  </w:t>
      </w:r>
      <w:r w:rsidR="75E32FCC">
        <w:t xml:space="preserve">Are there enhancements we could make </w:t>
      </w:r>
      <w:r w:rsidR="44E27067">
        <w:t>that would</w:t>
      </w:r>
      <w:r w:rsidR="75E32FCC">
        <w:t xml:space="preserve"> better assist law enforcement investigations?</w:t>
      </w:r>
    </w:p>
    <w:p w:rsidR="00955791" w:rsidRPr="00955791" w:rsidP="00955791" w14:paraId="7E3563D4" w14:textId="77777777">
      <w:pPr>
        <w:pStyle w:val="Heading2"/>
      </w:pPr>
      <w:r>
        <w:t>Implementation</w:t>
      </w:r>
    </w:p>
    <w:p w:rsidR="004B1E37" w:rsidP="00D656B7" w14:paraId="24CAA21E" w14:textId="408010C9">
      <w:pPr>
        <w:pStyle w:val="ParaNum"/>
      </w:pPr>
      <w:r>
        <w:t xml:space="preserve">We </w:t>
      </w:r>
      <w:r w:rsidR="4282FA31">
        <w:t>seek comment on whether</w:t>
      </w:r>
      <w:r>
        <w:t xml:space="preserve"> to make any rules </w:t>
      </w:r>
      <w:r w:rsidR="172834C0">
        <w:t xml:space="preserve">we </w:t>
      </w:r>
      <w:r>
        <w:t xml:space="preserve">adopt pursuant to this </w:t>
      </w:r>
      <w:r w:rsidRPr="19FE2745" w:rsidR="1FCDD6F2">
        <w:rPr>
          <w:i/>
          <w:iCs/>
        </w:rPr>
        <w:t>Notice</w:t>
      </w:r>
      <w:r>
        <w:t xml:space="preserve"> </w:t>
      </w:r>
      <w:r w:rsidR="3F56352E">
        <w:t>appl</w:t>
      </w:r>
      <w:r w:rsidR="1F7B6D4F">
        <w:t>icable</w:t>
      </w:r>
      <w:r w:rsidR="3F56352E">
        <w:t xml:space="preserve"> </w:t>
      </w:r>
      <w:r w:rsidR="3A659B89">
        <w:t xml:space="preserve">primarily only </w:t>
      </w:r>
      <w:r w:rsidR="3F56352E">
        <w:t xml:space="preserve">to </w:t>
      </w:r>
      <w:r w:rsidR="59F6B912">
        <w:t>new</w:t>
      </w:r>
      <w:r w:rsidR="7ADA1337">
        <w:t xml:space="preserve"> and renewing</w:t>
      </w:r>
      <w:r w:rsidR="59F6B912">
        <w:t xml:space="preserve"> </w:t>
      </w:r>
      <w:r w:rsidR="090BBA4B">
        <w:t xml:space="preserve">customers </w:t>
      </w:r>
      <w:r w:rsidR="22A286B7">
        <w:t xml:space="preserve">that </w:t>
      </w:r>
      <w:r w:rsidR="090BBA4B">
        <w:t xml:space="preserve">originating providers acquire </w:t>
      </w:r>
      <w:r w:rsidR="3F56352E">
        <w:t xml:space="preserve">after the effective date of </w:t>
      </w:r>
      <w:r w:rsidR="090BBA4B">
        <w:t xml:space="preserve">any </w:t>
      </w:r>
      <w:r w:rsidR="3F56352E">
        <w:t>new rules</w:t>
      </w:r>
      <w:r w:rsidR="090BBA4B">
        <w:t xml:space="preserve"> and to any customers that renew service with </w:t>
      </w:r>
      <w:r w:rsidR="4234FA31">
        <w:t>such</w:t>
      </w:r>
      <w:r w:rsidR="090BBA4B">
        <w:t xml:space="preserve"> provider</w:t>
      </w:r>
      <w:r w:rsidR="4234FA31">
        <w:t>s</w:t>
      </w:r>
      <w:r w:rsidR="090BBA4B">
        <w:t xml:space="preserve"> after the effective date.</w:t>
      </w:r>
      <w:r>
        <w:rPr>
          <w:rStyle w:val="FootnoteReference"/>
        </w:rPr>
        <w:footnoteReference w:id="44"/>
      </w:r>
      <w:r w:rsidR="090BBA4B">
        <w:t xml:space="preserve">  </w:t>
      </w:r>
      <w:r w:rsidR="3F56352E">
        <w:t xml:space="preserve">We also </w:t>
      </w:r>
      <w:r w:rsidR="70FC567F">
        <w:t>seek comment on whether</w:t>
      </w:r>
      <w:r w:rsidR="3F56352E">
        <w:t xml:space="preserve"> any </w:t>
      </w:r>
      <w:r w:rsidR="6DD50F33">
        <w:t xml:space="preserve">new </w:t>
      </w:r>
      <w:r w:rsidR="1581DC66">
        <w:t xml:space="preserve">KYC </w:t>
      </w:r>
      <w:r w:rsidR="3F56352E">
        <w:t>rules</w:t>
      </w:r>
      <w:r w:rsidR="0B31AC81">
        <w:t xml:space="preserve"> should</w:t>
      </w:r>
      <w:r w:rsidR="3F56352E">
        <w:t xml:space="preserve"> take effect six months after OMB approval of any applicable Paperwork Reduction Act requirements.  </w:t>
      </w:r>
      <w:r w:rsidR="00D61B72">
        <w:t>Would extending</w:t>
      </w:r>
      <w:r w:rsidR="00BD5DC8">
        <w:t xml:space="preserve"> the</w:t>
      </w:r>
      <w:r w:rsidR="003B2FAC">
        <w:t xml:space="preserve"> effective date</w:t>
      </w:r>
      <w:r w:rsidR="007E3A19">
        <w:t xml:space="preserve"> </w:t>
      </w:r>
      <w:r w:rsidR="00F35F99">
        <w:t xml:space="preserve">for smaller providers </w:t>
      </w:r>
      <w:r w:rsidR="00BD5DC8">
        <w:t xml:space="preserve">further </w:t>
      </w:r>
      <w:r w:rsidR="00A6575D">
        <w:t>minimize compliance burdens</w:t>
      </w:r>
      <w:r w:rsidR="007E3A19">
        <w:t>?</w:t>
      </w:r>
    </w:p>
    <w:p w:rsidR="004B1E37" w:rsidP="00D656B7" w14:paraId="42FCA99A" w14:textId="5408ACDC">
      <w:pPr>
        <w:pStyle w:val="ParaNum"/>
      </w:pPr>
      <w:r>
        <w:t xml:space="preserve">We seek comment on whether </w:t>
      </w:r>
      <w:r w:rsidR="005B002D">
        <w:t xml:space="preserve">we should adopt a different implementation </w:t>
      </w:r>
      <w:r w:rsidR="00840EEB">
        <w:t>timeline</w:t>
      </w:r>
      <w:r w:rsidR="005B002D">
        <w:t xml:space="preserve"> for</w:t>
      </w:r>
      <w:r w:rsidR="00A73E85">
        <w:t xml:space="preserve"> KYC requirements </w:t>
      </w:r>
      <w:r w:rsidR="00E40F67">
        <w:t>that would</w:t>
      </w:r>
      <w:r w:rsidR="00E47355">
        <w:t xml:space="preserve"> apply to existing </w:t>
      </w:r>
      <w:r w:rsidR="00BE7B92">
        <w:t xml:space="preserve">customers that use </w:t>
      </w:r>
      <w:r w:rsidR="00E47355">
        <w:t xml:space="preserve">high-volume </w:t>
      </w:r>
      <w:r w:rsidR="00BE7B92">
        <w:t>services</w:t>
      </w:r>
      <w:r w:rsidR="00E47355">
        <w:t xml:space="preserve"> if we were to </w:t>
      </w:r>
      <w:r w:rsidR="00925A65">
        <w:t>adopt</w:t>
      </w:r>
      <w:r w:rsidR="00711763">
        <w:t xml:space="preserve"> </w:t>
      </w:r>
      <w:r w:rsidR="00F62DDC">
        <w:t>heightened</w:t>
      </w:r>
      <w:r w:rsidR="004E3E76">
        <w:t xml:space="preserve"> KYC requirements </w:t>
      </w:r>
      <w:r w:rsidR="00311897">
        <w:t xml:space="preserve">for </w:t>
      </w:r>
      <w:r w:rsidR="007F6D9F">
        <w:t xml:space="preserve">such </w:t>
      </w:r>
      <w:r w:rsidR="00311897">
        <w:t xml:space="preserve">customers </w:t>
      </w:r>
      <w:r w:rsidR="00A95B6C">
        <w:t>seeking to obtain such services</w:t>
      </w:r>
      <w:r w:rsidR="004E3E76">
        <w:t xml:space="preserve">.  </w:t>
      </w:r>
      <w:r w:rsidR="009D42E4">
        <w:t>Or s</w:t>
      </w:r>
      <w:r w:rsidR="004E3E76">
        <w:t xml:space="preserve">hould existing </w:t>
      </w:r>
      <w:r w:rsidR="00A95B6C">
        <w:t xml:space="preserve">customers </w:t>
      </w:r>
      <w:r w:rsidR="0031271A">
        <w:t xml:space="preserve">that use </w:t>
      </w:r>
      <w:r w:rsidR="004E3E76">
        <w:t xml:space="preserve">high-volume </w:t>
      </w:r>
      <w:r w:rsidR="0031271A">
        <w:t>services</w:t>
      </w:r>
      <w:r w:rsidR="004E3E76">
        <w:t xml:space="preserve"> have to undergo heightened KYC </w:t>
      </w:r>
      <w:r w:rsidR="009D42E4">
        <w:t xml:space="preserve">measures only </w:t>
      </w:r>
      <w:r w:rsidR="004E3E76">
        <w:t xml:space="preserve">at service renewal?  How should we define renewal for </w:t>
      </w:r>
      <w:r w:rsidR="00856206">
        <w:t xml:space="preserve">this </w:t>
      </w:r>
      <w:r w:rsidR="004E3E76">
        <w:t>purpose?</w:t>
      </w:r>
    </w:p>
    <w:p w:rsidR="00955791" w:rsidP="00D656B7" w14:paraId="6896C8D2" w14:textId="6DCB0F25">
      <w:pPr>
        <w:pStyle w:val="ParaNum"/>
      </w:pPr>
      <w:r>
        <w:t xml:space="preserve">We seek comment on these </w:t>
      </w:r>
      <w:r w:rsidR="4BF302B7">
        <w:t>issues</w:t>
      </w:r>
      <w:r>
        <w:t xml:space="preserve"> and whether they best balance </w:t>
      </w:r>
      <w:r w:rsidR="154ACA12">
        <w:t xml:space="preserve">the need for enhanced </w:t>
      </w:r>
      <w:r w:rsidR="6DD50F33">
        <w:t xml:space="preserve">KYC </w:t>
      </w:r>
      <w:r w:rsidR="154ACA12">
        <w:t xml:space="preserve">requirements with the legitimate business requirements of providers, particularly small and rural providers.  </w:t>
      </w:r>
    </w:p>
    <w:p w:rsidR="00905DAA" w:rsidRPr="00A15B26" w:rsidP="00863B7A" w14:paraId="7683B80F" w14:textId="2AC35B10">
      <w:pPr>
        <w:pStyle w:val="Heading2"/>
      </w:pPr>
      <w:bookmarkStart w:id="24" w:name="_Toc209031274"/>
      <w:bookmarkStart w:id="25" w:name="_Toc209512708"/>
      <w:bookmarkStart w:id="26" w:name="_Toc210640444"/>
      <w:bookmarkStart w:id="27" w:name="_Toc212121476"/>
      <w:bookmarkStart w:id="28" w:name="_Toc212467151"/>
      <w:r>
        <w:t>Legal Authority</w:t>
      </w:r>
      <w:bookmarkEnd w:id="24"/>
      <w:bookmarkEnd w:id="25"/>
      <w:bookmarkEnd w:id="26"/>
      <w:bookmarkEnd w:id="27"/>
      <w:bookmarkEnd w:id="28"/>
    </w:p>
    <w:p w:rsidR="00856206" w:rsidRPr="00110307" w:rsidP="005D6A6B" w14:paraId="580660AA" w14:textId="79888ED5">
      <w:pPr>
        <w:pStyle w:val="ParaNum"/>
        <w:widowControl/>
      </w:pPr>
      <w:r>
        <w:t xml:space="preserve">Consistent with </w:t>
      </w:r>
      <w:r w:rsidR="00250336">
        <w:t xml:space="preserve">our approach in </w:t>
      </w:r>
      <w:r>
        <w:t xml:space="preserve">the </w:t>
      </w:r>
      <w:r w:rsidRPr="00FF6464">
        <w:rPr>
          <w:i/>
          <w:iCs/>
        </w:rPr>
        <w:t>Fourth Call Blocking Order</w:t>
      </w:r>
      <w:r>
        <w:t>, w</w:t>
      </w:r>
      <w:r w:rsidR="00E620AB">
        <w:t xml:space="preserve">e believe </w:t>
      </w:r>
      <w:r w:rsidRPr="000F0BD3" w:rsidR="000F0BD3">
        <w:t xml:space="preserve">sections 201(b), </w:t>
      </w:r>
      <w:r w:rsidR="001D2DB4">
        <w:t>227</w:t>
      </w:r>
      <w:r w:rsidR="003511E6">
        <w:t>(e</w:t>
      </w:r>
      <w:r w:rsidR="009130C0">
        <w:t>)</w:t>
      </w:r>
      <w:r w:rsidR="001D2DB4">
        <w:t xml:space="preserve">, </w:t>
      </w:r>
      <w:r w:rsidRPr="000F0BD3" w:rsidR="000F0BD3">
        <w:t xml:space="preserve">and 251(e) of the Communications Act of 1934, as amended, </w:t>
      </w:r>
      <w:r w:rsidR="00041A1F">
        <w:t xml:space="preserve">give us authority </w:t>
      </w:r>
      <w:r w:rsidR="00073E12">
        <w:t xml:space="preserve">to </w:t>
      </w:r>
      <w:r w:rsidR="00041A1F">
        <w:t xml:space="preserve">implement </w:t>
      </w:r>
      <w:r w:rsidRPr="000F0BD3" w:rsidR="000F0BD3">
        <w:t>affirmative measures requir</w:t>
      </w:r>
      <w:r w:rsidR="00BF2721">
        <w:t>ing</w:t>
      </w:r>
      <w:r w:rsidRPr="000F0BD3" w:rsidR="000F0BD3">
        <w:t xml:space="preserve"> </w:t>
      </w:r>
      <w:r w:rsidR="007C2550">
        <w:t xml:space="preserve">originating </w:t>
      </w:r>
      <w:r w:rsidRPr="000F0BD3" w:rsidR="000F0BD3">
        <w:t>providers to know their customers and exercise due diligence in ensuring that their services are not used to originate illegal calls.</w:t>
      </w:r>
      <w:r>
        <w:rPr>
          <w:rStyle w:val="FootnoteReference"/>
        </w:rPr>
        <w:footnoteReference w:id="45"/>
      </w:r>
      <w:r w:rsidRPr="000F0BD3" w:rsidR="000F0BD3">
        <w:t xml:space="preserve"> </w:t>
      </w:r>
      <w:r w:rsidR="00D41DC3">
        <w:t xml:space="preserve"> </w:t>
      </w:r>
      <w:r w:rsidR="001D2DB4">
        <w:t>Section 201(b) grant</w:t>
      </w:r>
      <w:r w:rsidR="00C468C6">
        <w:t>s</w:t>
      </w:r>
      <w:r w:rsidR="001D2DB4">
        <w:t xml:space="preserve"> us broad authority</w:t>
      </w:r>
      <w:r w:rsidRPr="00EC38D5" w:rsidR="001338A5">
        <w:t xml:space="preserve"> </w:t>
      </w:r>
      <w:r w:rsidR="00C16F32">
        <w:t>to adopt rules governing just and reasonable practices of common carriers.</w:t>
      </w:r>
      <w:r>
        <w:rPr>
          <w:rStyle w:val="FootnoteReference"/>
        </w:rPr>
        <w:footnoteReference w:id="46"/>
      </w:r>
      <w:r w:rsidR="002C1B09">
        <w:t xml:space="preserve">  </w:t>
      </w:r>
      <w:r w:rsidRPr="0095796C" w:rsidR="0070072E">
        <w:rPr>
          <w:kern w:val="0"/>
          <w:szCs w:val="22"/>
        </w:rPr>
        <w:t xml:space="preserve">Our section 251(e) numbering authority provides separate </w:t>
      </w:r>
      <w:r w:rsidR="0061282E">
        <w:rPr>
          <w:kern w:val="0"/>
          <w:szCs w:val="22"/>
        </w:rPr>
        <w:t>authority</w:t>
      </w:r>
      <w:r w:rsidRPr="0095796C" w:rsidR="0070072E">
        <w:rPr>
          <w:kern w:val="0"/>
          <w:szCs w:val="22"/>
        </w:rPr>
        <w:t xml:space="preserve"> to prevent the fraudulent abuse of North American Numbering Plan (NANP) resources; this particularly applies where callers spoof caller ID for </w:t>
      </w:r>
      <w:r w:rsidRPr="0095796C" w:rsidR="0070072E">
        <w:rPr>
          <w:kern w:val="0"/>
          <w:szCs w:val="22"/>
        </w:rPr>
        <w:t>fraudulent purposes and</w:t>
      </w:r>
      <w:r w:rsidR="0070072E">
        <w:rPr>
          <w:kern w:val="0"/>
          <w:szCs w:val="22"/>
        </w:rPr>
        <w:t xml:space="preserve"> </w:t>
      </w:r>
      <w:r w:rsidRPr="0095796C" w:rsidR="0070072E">
        <w:rPr>
          <w:kern w:val="0"/>
          <w:szCs w:val="22"/>
        </w:rPr>
        <w:t xml:space="preserve">therefore exploit numbering resources, regardless of whether the </w:t>
      </w:r>
      <w:r w:rsidR="00380564">
        <w:rPr>
          <w:kern w:val="0"/>
          <w:szCs w:val="22"/>
        </w:rPr>
        <w:t xml:space="preserve">originating </w:t>
      </w:r>
      <w:r w:rsidRPr="0095796C" w:rsidR="0070072E">
        <w:rPr>
          <w:kern w:val="0"/>
          <w:szCs w:val="22"/>
        </w:rPr>
        <w:t xml:space="preserve">voice service provider </w:t>
      </w:r>
      <w:r w:rsidR="00432A18">
        <w:rPr>
          <w:kern w:val="0"/>
          <w:szCs w:val="22"/>
        </w:rPr>
        <w:t>that places the calls onto the U.S. network is</w:t>
      </w:r>
      <w:r w:rsidRPr="0095796C" w:rsidR="0070072E">
        <w:rPr>
          <w:kern w:val="0"/>
          <w:szCs w:val="22"/>
        </w:rPr>
        <w:t xml:space="preserve"> a common carrier.</w:t>
      </w:r>
      <w:r>
        <w:rPr>
          <w:rStyle w:val="FootnoteReference"/>
          <w:kern w:val="0"/>
          <w:szCs w:val="22"/>
        </w:rPr>
        <w:footnoteReference w:id="47"/>
      </w:r>
      <w:r w:rsidRPr="0095796C" w:rsidR="0070072E">
        <w:rPr>
          <w:kern w:val="0"/>
          <w:szCs w:val="22"/>
        </w:rPr>
        <w:t xml:space="preserve">  </w:t>
      </w:r>
    </w:p>
    <w:p w:rsidR="00222200" w:rsidP="00B666B2" w14:paraId="612CAF0E" w14:textId="15407886">
      <w:pPr>
        <w:pStyle w:val="ParaNum"/>
      </w:pPr>
      <w:r w:rsidRPr="0095796C">
        <w:rPr>
          <w:kern w:val="0"/>
          <w:szCs w:val="22"/>
        </w:rPr>
        <w:t>Similarly, the Truth in Caller ID Act grants us authority to prescribe rules to make unlawful the spoofing of caller ID information with the intent to defraud, cause harm, or wrongfully obtain something of value.</w:t>
      </w:r>
      <w:r>
        <w:rPr>
          <w:rStyle w:val="FootnoteReference"/>
          <w:kern w:val="0"/>
          <w:szCs w:val="22"/>
        </w:rPr>
        <w:footnoteReference w:id="48"/>
      </w:r>
      <w:r w:rsidRPr="0095796C">
        <w:rPr>
          <w:kern w:val="0"/>
          <w:szCs w:val="22"/>
        </w:rPr>
        <w:t xml:space="preserve"> </w:t>
      </w:r>
      <w:r w:rsidR="00380564">
        <w:rPr>
          <w:kern w:val="0"/>
          <w:szCs w:val="22"/>
        </w:rPr>
        <w:t xml:space="preserve"> </w:t>
      </w:r>
      <w:r w:rsidRPr="0095796C">
        <w:rPr>
          <w:kern w:val="0"/>
          <w:szCs w:val="22"/>
        </w:rPr>
        <w:t xml:space="preserve">Taken together, section 251(e) and the Truth in Caller ID Act grant us authority to prescribe rules to prevent the unlawful spoofing of caller ID and abuse of </w:t>
      </w:r>
      <w:r>
        <w:rPr>
          <w:kern w:val="0"/>
          <w:szCs w:val="22"/>
        </w:rPr>
        <w:t xml:space="preserve">NANP </w:t>
      </w:r>
      <w:r w:rsidRPr="0095796C">
        <w:rPr>
          <w:kern w:val="0"/>
          <w:szCs w:val="22"/>
        </w:rPr>
        <w:t xml:space="preserve">resources by </w:t>
      </w:r>
      <w:r w:rsidR="004F6339">
        <w:rPr>
          <w:kern w:val="0"/>
          <w:szCs w:val="22"/>
        </w:rPr>
        <w:t xml:space="preserve">callers, and the </w:t>
      </w:r>
      <w:r w:rsidR="00D06318">
        <w:rPr>
          <w:kern w:val="0"/>
          <w:szCs w:val="22"/>
        </w:rPr>
        <w:t xml:space="preserve">proposed amendments to our </w:t>
      </w:r>
      <w:r w:rsidRPr="00110307" w:rsidR="00D06318">
        <w:rPr>
          <w:kern w:val="0"/>
        </w:rPr>
        <w:t>existing KYC</w:t>
      </w:r>
      <w:r w:rsidR="00D06318">
        <w:rPr>
          <w:kern w:val="0"/>
          <w:szCs w:val="22"/>
        </w:rPr>
        <w:t xml:space="preserve"> requirements </w:t>
      </w:r>
      <w:r w:rsidR="00FA5E2D">
        <w:rPr>
          <w:kern w:val="0"/>
          <w:szCs w:val="22"/>
        </w:rPr>
        <w:t>would</w:t>
      </w:r>
      <w:r w:rsidR="00D27B0B">
        <w:rPr>
          <w:kern w:val="0"/>
          <w:szCs w:val="22"/>
        </w:rPr>
        <w:t xml:space="preserve"> take </w:t>
      </w:r>
      <w:r w:rsidR="000C4B7D">
        <w:rPr>
          <w:kern w:val="0"/>
          <w:szCs w:val="22"/>
        </w:rPr>
        <w:t xml:space="preserve">a further positive step toward stopping such illegal calling.  </w:t>
      </w:r>
      <w:r w:rsidR="002C1B09">
        <w:t xml:space="preserve">Consistent with our existing </w:t>
      </w:r>
      <w:r w:rsidR="00846837">
        <w:t>s</w:t>
      </w:r>
      <w:r>
        <w:t>e</w:t>
      </w:r>
      <w:r w:rsidR="00846837">
        <w:t>ction 64.1200(n)(4)</w:t>
      </w:r>
      <w:r w:rsidR="002C1B09">
        <w:t xml:space="preserve"> rule, we find </w:t>
      </w:r>
      <w:r w:rsidR="00C909EE">
        <w:t xml:space="preserve">that it is essential that </w:t>
      </w:r>
      <w:r w:rsidR="006E0CBE">
        <w:t>any</w:t>
      </w:r>
      <w:r w:rsidR="00C909EE">
        <w:t xml:space="preserve"> rules apply</w:t>
      </w:r>
      <w:r w:rsidR="005F4520">
        <w:t xml:space="preserve"> to all </w:t>
      </w:r>
      <w:r w:rsidR="007C2550">
        <w:t>originating</w:t>
      </w:r>
      <w:r w:rsidR="005F4520">
        <w:t xml:space="preserve"> providers including VoIP providers</w:t>
      </w:r>
      <w:r w:rsidR="00CD11D7">
        <w:t>.</w:t>
      </w:r>
      <w:r>
        <w:rPr>
          <w:rStyle w:val="FootnoteReference"/>
        </w:rPr>
        <w:footnoteReference w:id="49"/>
      </w:r>
      <w:r w:rsidR="005F4520">
        <w:t xml:space="preserve"> </w:t>
      </w:r>
      <w:r w:rsidR="00F11C2E">
        <w:t xml:space="preserve"> Absent broad application</w:t>
      </w:r>
      <w:r w:rsidR="00E516EC">
        <w:t xml:space="preserve">, VoIP would remain a potential safe haven for malicious actors to make illegal calls to </w:t>
      </w:r>
      <w:r w:rsidR="009E5CD9">
        <w:t xml:space="preserve">consumers. </w:t>
      </w:r>
      <w:r w:rsidR="00DF537C">
        <w:t xml:space="preserve"> </w:t>
      </w:r>
      <w:r w:rsidR="00041A1F">
        <w:t>We seek comment on these views.</w:t>
      </w:r>
    </w:p>
    <w:p w:rsidR="00C0314A" w:rsidP="002F3FD1" w14:paraId="68862D10" w14:textId="39EA3204">
      <w:pPr>
        <w:pStyle w:val="ParaNum"/>
      </w:pPr>
      <w:r w:rsidRPr="19FE2745">
        <w:rPr>
          <w:i/>
          <w:iCs/>
        </w:rPr>
        <w:t>National Security</w:t>
      </w:r>
      <w:r w:rsidRPr="004174BE">
        <w:t>.</w:t>
      </w:r>
      <w:r>
        <w:t xml:space="preserve">  We believe that </w:t>
      </w:r>
      <w:r w:rsidR="00F15D0B">
        <w:t xml:space="preserve">the Commission’s national security </w:t>
      </w:r>
      <w:r>
        <w:t xml:space="preserve">authority </w:t>
      </w:r>
      <w:r w:rsidR="00F15D0B">
        <w:t xml:space="preserve">is another basis </w:t>
      </w:r>
      <w:r w:rsidR="00A95B24">
        <w:t xml:space="preserve">for the possible rules we discuss above.  </w:t>
      </w:r>
      <w:r w:rsidR="00F15D0B">
        <w:t xml:space="preserve">Illegal calls are more than </w:t>
      </w:r>
      <w:r w:rsidR="00D32C9F">
        <w:t xml:space="preserve">an </w:t>
      </w:r>
      <w:r w:rsidR="00F15D0B">
        <w:t xml:space="preserve">annoyance – bad actors can use them for denial-of-service attacks and </w:t>
      </w:r>
      <w:r w:rsidR="00EC0286">
        <w:t>also surveil and</w:t>
      </w:r>
      <w:r w:rsidR="00F15D0B">
        <w:t xml:space="preserve"> target government officials</w:t>
      </w:r>
      <w:r w:rsidR="00D5561E">
        <w:t xml:space="preserve"> and sensitive infrastructure</w:t>
      </w:r>
      <w:r w:rsidR="00F15D0B">
        <w:t>.</w:t>
      </w:r>
      <w:r>
        <w:rPr>
          <w:rStyle w:val="FootnoteReference"/>
        </w:rPr>
        <w:footnoteReference w:id="50"/>
      </w:r>
      <w:r w:rsidR="00F15D0B">
        <w:t xml:space="preserve">  We thus believe protecting networks with enhanced </w:t>
      </w:r>
      <w:r w:rsidR="00F50DCE">
        <w:t>KYC</w:t>
      </w:r>
      <w:r w:rsidR="00F15D0B">
        <w:t xml:space="preserve"> requirements advance</w:t>
      </w:r>
      <w:r w:rsidR="00F50DCE">
        <w:t>s</w:t>
      </w:r>
      <w:r w:rsidR="00F15D0B">
        <w:t xml:space="preserve"> our responsibility to </w:t>
      </w:r>
      <w:r w:rsidR="003E5309">
        <w:t>“</w:t>
      </w:r>
      <w:r w:rsidR="000E4D67">
        <w:t>make available</w:t>
      </w:r>
      <w:r w:rsidR="00C12DAF">
        <w:t>, so</w:t>
      </w:r>
      <w:r w:rsidR="008039FF">
        <w:t xml:space="preserve"> far as possible, . . . a rapid, efficient, N</w:t>
      </w:r>
      <w:r w:rsidR="009D25C5">
        <w:t xml:space="preserve">ation-wide and world-wide wire and radio communication service </w:t>
      </w:r>
      <w:r w:rsidR="00456965">
        <w:t xml:space="preserve"> . . </w:t>
      </w:r>
      <w:r w:rsidR="00E155CF">
        <w:t xml:space="preserve">. </w:t>
      </w:r>
      <w:r>
        <w:t xml:space="preserve"> for </w:t>
      </w:r>
      <w:r w:rsidR="00C12DAF">
        <w:t xml:space="preserve">the purpose of the </w:t>
      </w:r>
      <w:r>
        <w:t>national defense.</w:t>
      </w:r>
      <w:r w:rsidR="00C77A46">
        <w:t>”</w:t>
      </w:r>
      <w:r>
        <w:rPr>
          <w:rStyle w:val="FootnoteReference"/>
        </w:rPr>
        <w:footnoteReference w:id="51"/>
      </w:r>
      <w:r>
        <w:t xml:space="preserve">  </w:t>
      </w:r>
      <w:r w:rsidR="00D5561E">
        <w:t xml:space="preserve">With respect to international telecommunications services, </w:t>
      </w:r>
      <w:r w:rsidR="46E65FEE">
        <w:t xml:space="preserve">do </w:t>
      </w:r>
      <w:r w:rsidR="00D5561E">
        <w:t xml:space="preserve">we have </w:t>
      </w:r>
      <w:r w:rsidR="72B873C2">
        <w:t>authority under Section 303(r) to adopt rule</w:t>
      </w:r>
      <w:r w:rsidR="018929B7">
        <w:t>s</w:t>
      </w:r>
      <w:r w:rsidR="72B873C2">
        <w:t xml:space="preserve"> implementing</w:t>
      </w:r>
      <w:r w:rsidR="00D5561E">
        <w:t xml:space="preserve"> the General Agreement on Trade in Services</w:t>
      </w:r>
      <w:r w:rsidR="7EC62414">
        <w:t xml:space="preserve"> (GATS), which allows members, subject to certain conditions, </w:t>
      </w:r>
      <w:r w:rsidR="00D5561E">
        <w:t>to enforce</w:t>
      </w:r>
      <w:r w:rsidR="69E48FC7">
        <w:t xml:space="preserve"> measures necessary to secure compliance with laws or regulations relating to</w:t>
      </w:r>
      <w:r w:rsidR="00D5561E">
        <w:t xml:space="preserve"> “the protection of the privacy of individuals in relation to the processing and dissemination</w:t>
      </w:r>
      <w:r w:rsidR="00897192">
        <w:t xml:space="preserve"> of personal data and the protection of confidential</w:t>
      </w:r>
      <w:r w:rsidR="1F8DE8D7">
        <w:t>ity</w:t>
      </w:r>
      <w:r w:rsidR="51D17B43">
        <w:t xml:space="preserve"> of individual records and accounts</w:t>
      </w:r>
      <w:r w:rsidR="00897192">
        <w:t xml:space="preserve">” and </w:t>
      </w:r>
      <w:r w:rsidR="00A713E0">
        <w:t>“</w:t>
      </w:r>
      <w:r w:rsidR="027B49FA">
        <w:t xml:space="preserve">the </w:t>
      </w:r>
      <w:r w:rsidR="00897192">
        <w:t>pr</w:t>
      </w:r>
      <w:r w:rsidR="2E388CBD">
        <w:t>evention of</w:t>
      </w:r>
      <w:r w:rsidR="72D584B0">
        <w:t xml:space="preserve"> </w:t>
      </w:r>
      <w:r w:rsidR="00897192">
        <w:t xml:space="preserve">deceptive and </w:t>
      </w:r>
      <w:r w:rsidR="12BA9F2C">
        <w:t>fraudulent</w:t>
      </w:r>
      <w:r w:rsidR="00897192">
        <w:t xml:space="preserve"> practices</w:t>
      </w:r>
      <w:r w:rsidR="0058794C">
        <w:t>”</w:t>
      </w:r>
      <w:r w:rsidR="005E2366">
        <w:t>?</w:t>
      </w:r>
      <w:r>
        <w:rPr>
          <w:rStyle w:val="FootnoteReference"/>
        </w:rPr>
        <w:footnoteReference w:id="52"/>
      </w:r>
    </w:p>
    <w:p w:rsidR="00905DAA" w:rsidRPr="00EC38D5" w:rsidP="002F3FD1" w14:paraId="5B178018" w14:textId="239413B2">
      <w:pPr>
        <w:pStyle w:val="ParaNum"/>
      </w:pPr>
      <w:r w:rsidRPr="00EC38D5">
        <w:t xml:space="preserve">We seek comment on </w:t>
      </w:r>
      <w:r w:rsidR="00E06576">
        <w:t>th</w:t>
      </w:r>
      <w:r w:rsidR="00B80223">
        <w:t>ese possible bases of authority along with any</w:t>
      </w:r>
      <w:r w:rsidRPr="00EC38D5">
        <w:t xml:space="preserve"> other</w:t>
      </w:r>
      <w:r w:rsidR="00B80223">
        <w:t>s</w:t>
      </w:r>
      <w:r w:rsidR="000B1D9F">
        <w:t>, including how our rights under other trade agreements</w:t>
      </w:r>
      <w:r w:rsidR="008C45A1">
        <w:t xml:space="preserve">, including free trade agreements, might serve as authority for </w:t>
      </w:r>
      <w:r w:rsidR="001702FE">
        <w:t>any changes to our KYC</w:t>
      </w:r>
      <w:r w:rsidR="008C45A1">
        <w:t xml:space="preserve"> </w:t>
      </w:r>
      <w:r w:rsidR="001702FE">
        <w:t xml:space="preserve">requirements </w:t>
      </w:r>
      <w:r w:rsidR="004C2A61">
        <w:t>as discussed</w:t>
      </w:r>
      <w:r w:rsidR="001702FE">
        <w:t xml:space="preserve"> above</w:t>
      </w:r>
      <w:r w:rsidRPr="00EC38D5">
        <w:t>.</w:t>
      </w:r>
      <w:r>
        <w:rPr>
          <w:rStyle w:val="FootnoteReference"/>
        </w:rPr>
        <w:footnoteReference w:id="53"/>
      </w:r>
    </w:p>
    <w:p w:rsidR="00905DAA" w:rsidRPr="00020743" w:rsidP="00401A2C" w14:paraId="2F99FE06" w14:textId="77777777">
      <w:pPr>
        <w:pStyle w:val="Heading2"/>
        <w:widowControl/>
      </w:pPr>
      <w:bookmarkStart w:id="29" w:name="_Toc209512709"/>
      <w:bookmarkStart w:id="30" w:name="_Toc210640445"/>
      <w:bookmarkStart w:id="31" w:name="_Toc212121477"/>
      <w:bookmarkStart w:id="32" w:name="_Toc212467152"/>
      <w:r>
        <w:t>Costs and Benefits</w:t>
      </w:r>
      <w:bookmarkEnd w:id="29"/>
      <w:bookmarkEnd w:id="30"/>
      <w:bookmarkEnd w:id="31"/>
      <w:bookmarkEnd w:id="32"/>
    </w:p>
    <w:p w:rsidR="00905DAA" w:rsidP="00401A2C" w14:paraId="41B2F5D6" w14:textId="435D4A3B">
      <w:pPr>
        <w:pStyle w:val="ParaNum"/>
        <w:widowControl/>
      </w:pPr>
      <w:r>
        <w:t xml:space="preserve">The Commission </w:t>
      </w:r>
      <w:r w:rsidR="00181507">
        <w:t>receive</w:t>
      </w:r>
      <w:r>
        <w:t>s</w:t>
      </w:r>
      <w:r w:rsidR="00181507">
        <w:t xml:space="preserve"> more complaints about </w:t>
      </w:r>
      <w:r w:rsidR="00044074">
        <w:t xml:space="preserve">illegal </w:t>
      </w:r>
      <w:r w:rsidR="00181507">
        <w:t>calls than any other issue.</w:t>
      </w:r>
      <w:r>
        <w:rPr>
          <w:rStyle w:val="FootnoteReference"/>
        </w:rPr>
        <w:footnoteReference w:id="54"/>
      </w:r>
      <w:r w:rsidR="00181507">
        <w:t xml:space="preserve">  </w:t>
      </w:r>
      <w:r w:rsidR="00041A1F">
        <w:t>I</w:t>
      </w:r>
      <w:r w:rsidR="00B01799">
        <w:t>llegal</w:t>
      </w:r>
      <w:r w:rsidR="2FA588D7">
        <w:t xml:space="preserve"> </w:t>
      </w:r>
      <w:r w:rsidR="00B01799">
        <w:t xml:space="preserve">calls can annoy, defraud, and </w:t>
      </w:r>
      <w:r w:rsidR="00144DEF">
        <w:t>erod</w:t>
      </w:r>
      <w:r w:rsidR="00041A1F">
        <w:t xml:space="preserve">e </w:t>
      </w:r>
      <w:r w:rsidR="00144DEF">
        <w:t>confidence in the telecommunications network</w:t>
      </w:r>
      <w:r w:rsidR="00A313BF">
        <w:t xml:space="preserve"> while costing</w:t>
      </w:r>
      <w:r w:rsidR="00051094">
        <w:t xml:space="preserve"> </w:t>
      </w:r>
      <w:r w:rsidR="00051094">
        <w:t>consumers billions of dollars in</w:t>
      </w:r>
      <w:r w:rsidR="00120574">
        <w:t xml:space="preserve"> fraud</w:t>
      </w:r>
      <w:r w:rsidR="009D0339">
        <w:t xml:space="preserve"> and</w:t>
      </w:r>
      <w:r w:rsidR="00120574">
        <w:t xml:space="preserve"> wasted time</w:t>
      </w:r>
      <w:r w:rsidR="00144DEF">
        <w:t>.</w:t>
      </w:r>
      <w:r>
        <w:rPr>
          <w:rStyle w:val="FootnoteReference"/>
        </w:rPr>
        <w:footnoteReference w:id="55"/>
      </w:r>
      <w:r w:rsidR="00144DEF">
        <w:t xml:space="preserve">  </w:t>
      </w:r>
      <w:r w:rsidR="007B71FC">
        <w:t>As noted above, t</w:t>
      </w:r>
      <w:r w:rsidRPr="006A0F56" w:rsidR="006A0F56">
        <w:t xml:space="preserve">he most effective way to prevent illegal calls from reaching American consumers is by ensuring </w:t>
      </w:r>
      <w:r w:rsidR="00B80223">
        <w:t xml:space="preserve">they </w:t>
      </w:r>
      <w:r w:rsidRPr="006A0F56" w:rsidR="006A0F56">
        <w:t xml:space="preserve">never enter the network.  Originating providers are best positioned to stop illegal </w:t>
      </w:r>
      <w:r w:rsidR="006A0F56">
        <w:t>calls</w:t>
      </w:r>
      <w:r w:rsidRPr="006A0F56" w:rsidR="006A0F56">
        <w:t xml:space="preserve"> before they enter the network by screening new or renewing customers.  When a</w:t>
      </w:r>
      <w:r w:rsidR="00956934">
        <w:t>n originating</w:t>
      </w:r>
      <w:r w:rsidRPr="006A0F56" w:rsidR="006A0F56">
        <w:t xml:space="preserve"> provider fails to meet its obligations to properly scrutinize its customers before they commence using the provider’s services to originate calls, it creates a risk that malicious actors will gain access to those services to make illegal calls and opens the door for foreign actors to exploit U.S. networks for fraud, espionage, or influence operations that undermine national security.  In addition,</w:t>
      </w:r>
      <w:r w:rsidR="00041A1F">
        <w:t xml:space="preserve"> a lack of </w:t>
      </w:r>
      <w:r w:rsidRPr="006A0F56" w:rsidR="00041A1F">
        <w:t xml:space="preserve">accurate and complete customer information </w:t>
      </w:r>
      <w:r w:rsidR="00041A1F">
        <w:t xml:space="preserve">hinders </w:t>
      </w:r>
      <w:r w:rsidRPr="006A0F56" w:rsidR="006A0F56">
        <w:t>the Commission’s ability to identify and locate parties responsible for making illegal calls.</w:t>
      </w:r>
    </w:p>
    <w:p w:rsidR="00556BA1" w:rsidP="003F600C" w14:paraId="3726BA01" w14:textId="5A0EE7FE">
      <w:pPr>
        <w:pStyle w:val="ParaNum"/>
      </w:pPr>
      <w:r w:rsidRPr="000A6EDD">
        <w:t xml:space="preserve">In the </w:t>
      </w:r>
      <w:r w:rsidRPr="19FE2745">
        <w:rPr>
          <w:i/>
          <w:iCs/>
        </w:rPr>
        <w:t>Fourth Call Blocking Order</w:t>
      </w:r>
      <w:r w:rsidRPr="000A6EDD">
        <w:t>, the Commission required all originating providers to implement KYC obligations and exercise due diligence to ensure their services are not used</w:t>
      </w:r>
      <w:r w:rsidR="297473FE">
        <w:t xml:space="preserve"> to originate unlawful and illegal calls.</w:t>
      </w:r>
      <w:r>
        <w:rPr>
          <w:rStyle w:val="FootnoteReference"/>
        </w:rPr>
        <w:footnoteReference w:id="56"/>
      </w:r>
      <w:r w:rsidR="1045391C">
        <w:t xml:space="preserve">  </w:t>
      </w:r>
      <w:r w:rsidR="57BBECB0">
        <w:t xml:space="preserve">In this </w:t>
      </w:r>
      <w:r w:rsidRPr="19FE2745" w:rsidR="57BBECB0">
        <w:rPr>
          <w:i/>
          <w:iCs/>
        </w:rPr>
        <w:t>Notice</w:t>
      </w:r>
      <w:r w:rsidR="57BBECB0">
        <w:t>, we seek comment on</w:t>
      </w:r>
      <w:r w:rsidR="21C01ADB">
        <w:t xml:space="preserve"> </w:t>
      </w:r>
      <w:r w:rsidR="4E5A1B3A">
        <w:t xml:space="preserve">specific actions that </w:t>
      </w:r>
      <w:r w:rsidR="16360FB6">
        <w:t>originating</w:t>
      </w:r>
      <w:r w:rsidR="4E5A1B3A">
        <w:t xml:space="preserve"> providers </w:t>
      </w:r>
      <w:r w:rsidR="61E7AD68">
        <w:t xml:space="preserve">might </w:t>
      </w:r>
      <w:r w:rsidR="4E5A1B3A">
        <w:t xml:space="preserve">take to </w:t>
      </w:r>
      <w:r w:rsidR="213AB6E2">
        <w:t>comply with the existing KYC r</w:t>
      </w:r>
      <w:r w:rsidR="578BA173">
        <w:t>equirements</w:t>
      </w:r>
      <w:r w:rsidR="4E5A1B3A">
        <w:t xml:space="preserve">.  </w:t>
      </w:r>
      <w:r w:rsidR="75816D7C">
        <w:t>We anticipate that ma</w:t>
      </w:r>
      <w:r w:rsidR="675C9165">
        <w:t>ny</w:t>
      </w:r>
      <w:r w:rsidR="75816D7C">
        <w:t xml:space="preserve"> originating providers already</w:t>
      </w:r>
      <w:r w:rsidR="06812078">
        <w:t xml:space="preserve"> take KYC compliance measures</w:t>
      </w:r>
      <w:r w:rsidR="75816D7C">
        <w:t xml:space="preserve"> </w:t>
      </w:r>
      <w:r w:rsidR="1127E470">
        <w:t xml:space="preserve">and therefore </w:t>
      </w:r>
      <w:r w:rsidR="1EDAF9BD">
        <w:t>tentatively</w:t>
      </w:r>
      <w:r w:rsidR="108731AC">
        <w:t xml:space="preserve"> conclude that any incremental compliance costs will be minimal</w:t>
      </w:r>
      <w:r w:rsidR="29217BC9">
        <w:t xml:space="preserve">.  </w:t>
      </w:r>
      <w:r w:rsidR="00856206">
        <w:t xml:space="preserve">We expect that </w:t>
      </w:r>
      <w:r w:rsidR="1127E470">
        <w:t>any changes to the</w:t>
      </w:r>
      <w:r w:rsidR="1A304642">
        <w:t xml:space="preserve"> rules </w:t>
      </w:r>
      <w:r w:rsidR="00856206">
        <w:t xml:space="preserve">will </w:t>
      </w:r>
      <w:r w:rsidR="1A304642">
        <w:t>eliminate confusion and provide clear guidance to originating providers</w:t>
      </w:r>
      <w:r w:rsidR="11181D01">
        <w:t xml:space="preserve"> where ambiguity exists.  As a result, </w:t>
      </w:r>
      <w:r w:rsidR="32650729">
        <w:t>any</w:t>
      </w:r>
      <w:r w:rsidR="53065A57">
        <w:t xml:space="preserve"> rule changes are likely to </w:t>
      </w:r>
      <w:r w:rsidR="11181D01">
        <w:t xml:space="preserve">reduce regulatory uncertainty.  </w:t>
      </w:r>
      <w:r w:rsidRPr="00ED48AF" w:rsidR="774C54A4">
        <w:t xml:space="preserve">We seek comment on the costs and benefits of </w:t>
      </w:r>
      <w:r w:rsidR="1ECC888F">
        <w:t xml:space="preserve">changes to our rules, </w:t>
      </w:r>
      <w:r w:rsidRPr="00ED48AF" w:rsidR="774C54A4">
        <w:t xml:space="preserve">including the specific economic impact on small business entities </w:t>
      </w:r>
      <w:r w:rsidR="258D44E6">
        <w:t xml:space="preserve">and </w:t>
      </w:r>
      <w:r w:rsidRPr="00ED48AF" w:rsidR="774C54A4">
        <w:t xml:space="preserve">ways to minimize those impacts.  </w:t>
      </w:r>
    </w:p>
    <w:p w:rsidR="00905DAA" w:rsidP="003F600C" w14:paraId="22279F6B" w14:textId="6CF58136">
      <w:pPr>
        <w:pStyle w:val="ParaNum"/>
      </w:pPr>
      <w:r>
        <w:t>W</w:t>
      </w:r>
      <w:r w:rsidR="001338A5">
        <w:t xml:space="preserve">e believe that </w:t>
      </w:r>
      <w:r>
        <w:t>any</w:t>
      </w:r>
      <w:r w:rsidR="00193A12">
        <w:t xml:space="preserve"> potential rule changes discussed above</w:t>
      </w:r>
      <w:r w:rsidRPr="00E1774B" w:rsidR="00193A12">
        <w:t xml:space="preserve"> </w:t>
      </w:r>
      <w:r w:rsidR="00193A12">
        <w:t>will</w:t>
      </w:r>
      <w:r w:rsidR="00722AE5">
        <w:t xml:space="preserve"> </w:t>
      </w:r>
      <w:r w:rsidR="001338A5">
        <w:t>help consumers</w:t>
      </w:r>
      <w:r w:rsidRPr="00E1774B" w:rsidR="001338A5">
        <w:t xml:space="preserve"> avoid</w:t>
      </w:r>
      <w:r w:rsidR="00722AE5">
        <w:t xml:space="preserve"> illegal calls including</w:t>
      </w:r>
      <w:r w:rsidRPr="00E1774B" w:rsidR="001338A5">
        <w:t xml:space="preserve"> </w:t>
      </w:r>
      <w:r w:rsidR="001338A5">
        <w:t>scam</w:t>
      </w:r>
      <w:r w:rsidR="00722AE5">
        <w:t>s</w:t>
      </w:r>
      <w:r w:rsidR="001338A5">
        <w:t>, fraud, and otherwise unlawful</w:t>
      </w:r>
      <w:r w:rsidRPr="00E1774B" w:rsidR="001338A5">
        <w:t xml:space="preserve"> calls</w:t>
      </w:r>
      <w:r w:rsidR="00E13F46">
        <w:t xml:space="preserve"> and</w:t>
      </w:r>
      <w:r w:rsidR="00856206">
        <w:t xml:space="preserve"> </w:t>
      </w:r>
      <w:r w:rsidR="006D3D33">
        <w:t xml:space="preserve">better protect U.S. telecommunications networks from </w:t>
      </w:r>
      <w:r w:rsidR="007F0705">
        <w:t>foreign actors</w:t>
      </w:r>
      <w:r w:rsidR="00AC671F">
        <w:t xml:space="preserve">.  </w:t>
      </w:r>
      <w:r w:rsidR="00C96FB8">
        <w:t>In addition, we propose to codify</w:t>
      </w:r>
      <w:r w:rsidR="00C01EE1">
        <w:t xml:space="preserve"> the forfeiture amount for KYC violations on a per</w:t>
      </w:r>
      <w:r w:rsidR="00B7398E">
        <w:t xml:space="preserve"> </w:t>
      </w:r>
      <w:r w:rsidR="00C01EE1">
        <w:t xml:space="preserve">call basis, which we believe will create incentives </w:t>
      </w:r>
      <w:r w:rsidR="00E74702">
        <w:t xml:space="preserve">for compliance and further reduce the origination of unlawful and illegal calls.  </w:t>
      </w:r>
      <w:r w:rsidRPr="0095061D" w:rsidR="001338A5">
        <w:t xml:space="preserve">We </w:t>
      </w:r>
      <w:r w:rsidR="005C3E12">
        <w:t xml:space="preserve">seek comment on whether there are </w:t>
      </w:r>
      <w:r w:rsidRPr="0095061D" w:rsidR="001338A5">
        <w:t>additional costs</w:t>
      </w:r>
      <w:r w:rsidR="007B5756">
        <w:t xml:space="preserve"> and burdens on </w:t>
      </w:r>
      <w:r w:rsidR="00956934">
        <w:t xml:space="preserve">originating </w:t>
      </w:r>
      <w:r w:rsidR="007B5756">
        <w:t>providers</w:t>
      </w:r>
      <w:r w:rsidR="003A488F">
        <w:t xml:space="preserve"> that we have not identified </w:t>
      </w:r>
      <w:r w:rsidR="00AE3F03">
        <w:t>including ways to minimize burdens f</w:t>
      </w:r>
      <w:r w:rsidR="00EE0C71">
        <w:t>or</w:t>
      </w:r>
      <w:r w:rsidR="00AE3F03">
        <w:t xml:space="preserve"> </w:t>
      </w:r>
      <w:r w:rsidR="00F11298">
        <w:t xml:space="preserve">smaller </w:t>
      </w:r>
      <w:r w:rsidR="00FA2398">
        <w:t>voice service</w:t>
      </w:r>
      <w:r w:rsidR="00EE0C71">
        <w:t xml:space="preserve"> providers</w:t>
      </w:r>
      <w:r w:rsidR="007135CD">
        <w:t>.</w:t>
      </w:r>
      <w:r w:rsidR="001338A5">
        <w:t xml:space="preserve">  </w:t>
      </w:r>
    </w:p>
    <w:p w:rsidR="00905DAA" w:rsidRPr="00814418" w:rsidP="00863B7A" w14:paraId="056804B6" w14:textId="57CB5898">
      <w:pPr>
        <w:pStyle w:val="Heading1"/>
      </w:pPr>
      <w:bookmarkStart w:id="33" w:name="_Toc206147656"/>
      <w:bookmarkStart w:id="34" w:name="_Toc209031283"/>
      <w:bookmarkStart w:id="35" w:name="_Toc209512716"/>
      <w:bookmarkStart w:id="36" w:name="_Toc210640452"/>
      <w:bookmarkStart w:id="37" w:name="_Toc212121484"/>
      <w:bookmarkStart w:id="38" w:name="_Toc212467159"/>
      <w:r w:rsidRPr="00814418">
        <w:t>P</w:t>
      </w:r>
      <w:r>
        <w:t>ROCEDURAL MATTERS</w:t>
      </w:r>
      <w:bookmarkEnd w:id="33"/>
      <w:bookmarkEnd w:id="34"/>
      <w:bookmarkEnd w:id="35"/>
      <w:bookmarkEnd w:id="36"/>
      <w:bookmarkEnd w:id="37"/>
      <w:bookmarkEnd w:id="38"/>
    </w:p>
    <w:p w:rsidR="00905DAA" w:rsidRPr="00EF46F4" w:rsidP="00863B7A" w14:paraId="02897E62" w14:textId="77777777">
      <w:pPr>
        <w:pStyle w:val="Heading2"/>
      </w:pPr>
      <w:bookmarkStart w:id="39" w:name="_Toc192672217"/>
      <w:bookmarkStart w:id="40" w:name="_Toc192672553"/>
      <w:bookmarkStart w:id="41" w:name="_Toc192672743"/>
      <w:bookmarkStart w:id="42" w:name="_Toc192672815"/>
      <w:bookmarkStart w:id="43" w:name="_Toc193824748"/>
      <w:bookmarkStart w:id="44" w:name="_Toc193868132"/>
      <w:bookmarkStart w:id="45" w:name="_Toc193874498"/>
      <w:bookmarkStart w:id="46" w:name="_Toc193880649"/>
      <w:bookmarkStart w:id="47" w:name="_Toc193904478"/>
      <w:bookmarkStart w:id="48" w:name="_Toc193911265"/>
      <w:bookmarkStart w:id="49" w:name="_Toc194298429"/>
      <w:bookmarkStart w:id="50" w:name="_Toc194325187"/>
      <w:bookmarkStart w:id="51" w:name="_Toc194327760"/>
      <w:bookmarkStart w:id="52" w:name="_Toc194327908"/>
      <w:bookmarkStart w:id="53" w:name="_Toc194661927"/>
      <w:bookmarkStart w:id="54" w:name="_Toc194662616"/>
      <w:bookmarkStart w:id="55" w:name="_Toc196389625"/>
      <w:bookmarkStart w:id="56" w:name="_Toc206147657"/>
      <w:bookmarkStart w:id="57" w:name="_Toc209031284"/>
      <w:bookmarkStart w:id="58" w:name="_Toc209512717"/>
      <w:bookmarkStart w:id="59" w:name="_Toc210640453"/>
      <w:bookmarkStart w:id="60" w:name="_Toc212121485"/>
      <w:bookmarkStart w:id="61" w:name="_Toc212467160"/>
      <w:r w:rsidRPr="00EF46F4">
        <w:t>Initial Regulatory Flexibility Act Analysis</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rsidR="00905DAA" w:rsidRPr="003768B2" w:rsidP="00B666B2" w14:paraId="6FC214EB" w14:textId="23090E56">
      <w:pPr>
        <w:pStyle w:val="ParaNum"/>
      </w:pPr>
      <w:r w:rsidRPr="00DB2700">
        <w:rPr>
          <w:i/>
          <w:iCs/>
        </w:rPr>
        <w:t>Regulatory Flexibility Act</w:t>
      </w:r>
      <w:r w:rsidRPr="003E2F2C">
        <w:t>.  The Regulatory Flexibility Act of 1980, as amended (RFA),</w:t>
      </w:r>
      <w:r>
        <w:rPr>
          <w:rStyle w:val="FootnoteReference"/>
        </w:rPr>
        <w:footnoteReference w:id="57"/>
      </w:r>
      <w:r w:rsidRPr="003E2F2C">
        <w:t xml:space="preserve">  requires that an agency prepare a regulatory flexibility analysis for notice-and-comment rulemaking proceedings, unless the agency certifies that “the rule will not, if promulgated, have a significant economic impact on a substantial number of small entities.</w:t>
      </w:r>
      <w:r w:rsidRPr="00110307">
        <w:rPr>
          <w:vertAlign w:val="superscript"/>
        </w:rPr>
        <w:t>”</w:t>
      </w:r>
      <w:r>
        <w:rPr>
          <w:rStyle w:val="FootnoteReference"/>
        </w:rPr>
        <w:footnoteReference w:id="58"/>
      </w:r>
      <w:r w:rsidRPr="003E2F2C">
        <w:t xml:space="preserve">  Accordingly, the Commission has prepared an Initial Regulatory Flexibility Analysis (IRFA), concerning potential rule and policy changes contained in this Further </w:t>
      </w:r>
      <w:r w:rsidRPr="00110307">
        <w:t>Notice</w:t>
      </w:r>
      <w:r w:rsidRPr="003E2F2C">
        <w:t xml:space="preserve"> of Proposed Rulemaking.  The IRFA is set forth in Appendix B.  The Commission invites the general public, in particular small businesses, to comment on the IRFA.  Comments must be filed by the deadlines for comments on the Further </w:t>
      </w:r>
      <w:r w:rsidRPr="00110307">
        <w:t>Notice</w:t>
      </w:r>
      <w:r w:rsidRPr="003E2F2C">
        <w:t xml:space="preserve"> of Proposed Rulemaking indicated on the first page of this document, and must also have a separate and distinct heading designating them as responses to the IRFA.</w:t>
      </w:r>
    </w:p>
    <w:p w:rsidR="00905DAA" w:rsidRPr="007B5F05" w:rsidP="00863B7A" w14:paraId="03A978BC" w14:textId="77777777">
      <w:pPr>
        <w:pStyle w:val="Heading2"/>
      </w:pPr>
      <w:bookmarkStart w:id="62" w:name="_Toc206147658"/>
      <w:bookmarkStart w:id="63" w:name="_Toc209031285"/>
      <w:bookmarkStart w:id="64" w:name="_Toc209512718"/>
      <w:bookmarkStart w:id="65" w:name="_Toc210640454"/>
      <w:bookmarkStart w:id="66" w:name="_Toc212121486"/>
      <w:bookmarkStart w:id="67" w:name="_Toc212467161"/>
      <w:r w:rsidRPr="00814418">
        <w:rPr>
          <w:szCs w:val="22"/>
        </w:rPr>
        <w:t>Initial</w:t>
      </w:r>
      <w:r>
        <w:t xml:space="preserve"> Paperwork Reduction Act Analysis</w:t>
      </w:r>
      <w:bookmarkEnd w:id="62"/>
      <w:bookmarkEnd w:id="63"/>
      <w:bookmarkEnd w:id="64"/>
      <w:bookmarkEnd w:id="65"/>
      <w:bookmarkEnd w:id="66"/>
      <w:bookmarkEnd w:id="67"/>
    </w:p>
    <w:p w:rsidR="00905DAA" w:rsidP="005D6A6B" w14:paraId="178963FF" w14:textId="5C66D3BE">
      <w:pPr>
        <w:pStyle w:val="ParaNum"/>
        <w:widowControl/>
      </w:pPr>
      <w:r w:rsidRPr="001C688F">
        <w:t>This</w:t>
      </w:r>
      <w:r>
        <w:rPr>
          <w:iCs/>
        </w:rPr>
        <w:t xml:space="preserve"> </w:t>
      </w:r>
      <w:r w:rsidRPr="001C688F">
        <w:rPr>
          <w:i/>
        </w:rPr>
        <w:t>Notice</w:t>
      </w:r>
      <w:r>
        <w:t xml:space="preserve"> </w:t>
      </w:r>
      <w:r w:rsidRPr="001C688F">
        <w:t>may</w:t>
      </w:r>
      <w:r>
        <w:t xml:space="preserve"> </w:t>
      </w:r>
      <w:r w:rsidRPr="001C688F">
        <w:t>contain</w:t>
      </w:r>
      <w:r>
        <w:t xml:space="preserve"> </w:t>
      </w:r>
      <w:r w:rsidRPr="001C688F">
        <w:t>proposed</w:t>
      </w:r>
      <w:r>
        <w:t xml:space="preserve"> </w:t>
      </w:r>
      <w:r w:rsidRPr="001C688F">
        <w:t>new</w:t>
      </w:r>
      <w:r>
        <w:t xml:space="preserve"> or modified </w:t>
      </w:r>
      <w:r w:rsidRPr="001C688F">
        <w:t>information</w:t>
      </w:r>
      <w:r>
        <w:t xml:space="preserve"> </w:t>
      </w:r>
      <w:r w:rsidRPr="001C688F">
        <w:t>collection</w:t>
      </w:r>
      <w:r>
        <w:t xml:space="preserve"> </w:t>
      </w:r>
      <w:r w:rsidRPr="001C688F">
        <w:t>requirements.</w:t>
      </w:r>
      <w:r>
        <w:t xml:space="preserve">  </w:t>
      </w:r>
      <w:r w:rsidRPr="00EF46F4">
        <w:t>The Commission, as part of its continuing effort to reduce paperwork burdens, invites the general public and the Office of Management and Budget (OMB) to comment on these information collection requirements</w:t>
      </w:r>
      <w:r w:rsidR="000C44B7">
        <w:t xml:space="preserve">, as required by the </w:t>
      </w:r>
      <w:r w:rsidRPr="00EF46F4" w:rsidR="00F1479D">
        <w:t xml:space="preserve">Paperwork Reduction Act of 1995, </w:t>
      </w:r>
      <w:r w:rsidR="00F1479D">
        <w:t>44 U.S.C. §</w:t>
      </w:r>
      <w:r w:rsidR="002F418C">
        <w:t>§ 3501-3521</w:t>
      </w:r>
      <w:r w:rsidRPr="00EF46F4">
        <w:t xml:space="preserve">.  In addition, pursuant to the Small Business Paperwork Relief Act of 2002, 44 U.S.C. § 3506(c)(4), we seek specific comment on how we might further reduce the information collection burden for small business concerns with fewer than </w:t>
      </w:r>
      <w:r w:rsidRPr="001C688F">
        <w:t>25</w:t>
      </w:r>
      <w:r>
        <w:t xml:space="preserve"> </w:t>
      </w:r>
      <w:r w:rsidRPr="001C688F">
        <w:t>employees</w:t>
      </w:r>
      <w:r>
        <w:t>.</w:t>
      </w:r>
    </w:p>
    <w:p w:rsidR="00905DAA" w:rsidP="00863B7A" w14:paraId="0CCDDABF" w14:textId="77777777">
      <w:pPr>
        <w:pStyle w:val="Heading2"/>
      </w:pPr>
      <w:bookmarkStart w:id="68" w:name="_Toc206147659"/>
      <w:bookmarkStart w:id="69" w:name="_Toc209031286"/>
      <w:bookmarkStart w:id="70" w:name="_Toc209512719"/>
      <w:bookmarkStart w:id="71" w:name="_Toc210640455"/>
      <w:bookmarkStart w:id="72" w:name="_Toc212121487"/>
      <w:bookmarkStart w:id="73" w:name="_Toc212467162"/>
      <w:r>
        <w:t>Filing Requirements—Comments and Replies</w:t>
      </w:r>
      <w:bookmarkEnd w:id="68"/>
      <w:bookmarkEnd w:id="69"/>
      <w:bookmarkEnd w:id="70"/>
      <w:bookmarkEnd w:id="71"/>
      <w:bookmarkEnd w:id="72"/>
      <w:bookmarkEnd w:id="73"/>
    </w:p>
    <w:p w:rsidR="00905DAA" w:rsidRPr="00C22762" w:rsidP="00B666B2" w14:paraId="504D9233" w14:textId="77777777">
      <w:pPr>
        <w:pStyle w:val="ParaNum"/>
      </w:pPr>
      <w:r w:rsidRPr="00C22762">
        <w:t>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w:t>
      </w:r>
      <w:r>
        <w:rPr>
          <w:rStyle w:val="FootnoteReference"/>
          <w:sz w:val="22"/>
          <w:szCs w:val="22"/>
        </w:rPr>
        <w:footnoteReference w:id="59"/>
      </w:r>
      <w:r w:rsidRPr="00C22762">
        <w:t xml:space="preserve"> </w:t>
      </w:r>
    </w:p>
    <w:p w:rsidR="00905DAA" w:rsidRPr="00C22762" w:rsidP="00110307" w14:paraId="4AEE8CF0" w14:textId="77777777">
      <w:pPr>
        <w:numPr>
          <w:ilvl w:val="0"/>
          <w:numId w:val="9"/>
        </w:numPr>
        <w:spacing w:after="120"/>
      </w:pPr>
      <w:r w:rsidRPr="00C22762">
        <w:t xml:space="preserve">Electronic Filers:  Comments may be filed electronically using the Internet by accessing the ECFS:  </w:t>
      </w:r>
      <w:hyperlink r:id="rId6" w:history="1">
        <w:r w:rsidRPr="00C22762">
          <w:rPr>
            <w:color w:val="0000FF"/>
            <w:u w:val="single"/>
          </w:rPr>
          <w:t>https://www.fcc.gov/ecfs</w:t>
        </w:r>
      </w:hyperlink>
      <w:r w:rsidRPr="00C22762">
        <w:t xml:space="preserve">.  </w:t>
      </w:r>
    </w:p>
    <w:p w:rsidR="00905DAA" w:rsidRPr="00C22762" w:rsidP="00110307" w14:paraId="3CA1A7EF" w14:textId="77777777">
      <w:pPr>
        <w:numPr>
          <w:ilvl w:val="0"/>
          <w:numId w:val="9"/>
        </w:numPr>
        <w:spacing w:after="120"/>
      </w:pPr>
      <w:r w:rsidRPr="00C22762">
        <w:t xml:space="preserve">Paper Filers:  Parties who choose to file by paper must file an original and one copy of each filing.  </w:t>
      </w:r>
    </w:p>
    <w:p w:rsidR="00905DAA" w:rsidRPr="00C22762" w:rsidP="00110307" w14:paraId="20B44003" w14:textId="77777777">
      <w:pPr>
        <w:numPr>
          <w:ilvl w:val="1"/>
          <w:numId w:val="9"/>
        </w:numPr>
        <w:spacing w:after="120"/>
        <w:rPr>
          <w:b/>
          <w:bCs/>
        </w:rPr>
      </w:pPr>
      <w:r w:rsidRPr="00C22762">
        <w:t xml:space="preserve">Filings can be sent by hand or messenger delivery, by commercial courier, or by the U.S. Postal Service.  </w:t>
      </w:r>
      <w:r w:rsidRPr="00C22762">
        <w:rPr>
          <w:b/>
          <w:bCs/>
        </w:rPr>
        <w:t>All filings must be addressed to the Secretary, Federal Communications</w:t>
      </w:r>
      <w:r w:rsidRPr="00C22762">
        <w:rPr>
          <w:b/>
        </w:rPr>
        <w:t xml:space="preserve"> Commission</w:t>
      </w:r>
      <w:r w:rsidRPr="00C22762">
        <w:rPr>
          <w:b/>
          <w:bCs/>
        </w:rPr>
        <w:t>.</w:t>
      </w:r>
    </w:p>
    <w:p w:rsidR="00905DAA" w:rsidRPr="00C22762" w:rsidP="00110307" w14:paraId="3E0871CE" w14:textId="77777777">
      <w:pPr>
        <w:numPr>
          <w:ilvl w:val="1"/>
          <w:numId w:val="9"/>
        </w:numPr>
        <w:spacing w:after="120"/>
      </w:pPr>
      <w:r w:rsidRPr="00C22762">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905DAA" w:rsidRPr="00C22762" w:rsidP="00110307" w14:paraId="6502C6F2" w14:textId="77777777">
      <w:pPr>
        <w:numPr>
          <w:ilvl w:val="1"/>
          <w:numId w:val="9"/>
        </w:numPr>
        <w:spacing w:after="120"/>
      </w:pPr>
      <w:r w:rsidRPr="00C22762">
        <w:t>Commercial courier deliveries (any deliveries not by the U.S. Postal Service) must be sent to 9050 Junction Drive, Annapolis Junction, MD 20701.</w:t>
      </w:r>
    </w:p>
    <w:p w:rsidR="00905DAA" w:rsidP="00110307" w14:paraId="36972D52" w14:textId="77777777">
      <w:pPr>
        <w:numPr>
          <w:ilvl w:val="1"/>
          <w:numId w:val="9"/>
        </w:numPr>
        <w:spacing w:after="120"/>
      </w:pPr>
      <w:r w:rsidRPr="00C22762">
        <w:t>Filings sent by U.S. Postal Service First-Class Mail, Priority Mail, and Priority Mail Express must be sent to 45 L Street NE, Washington, DC 20554</w:t>
      </w:r>
      <w:r>
        <w:t>.</w:t>
      </w:r>
    </w:p>
    <w:p w:rsidR="00905DAA" w:rsidRPr="003768B2" w:rsidP="00110307" w14:paraId="60B282D8" w14:textId="6FD61715">
      <w:pPr>
        <w:numPr>
          <w:ilvl w:val="0"/>
          <w:numId w:val="9"/>
        </w:numPr>
        <w:spacing w:after="120"/>
      </w:pPr>
      <w:r w:rsidRPr="006275EF">
        <w:t>People with Disabilities.  To request materials in accessible formats for people with disabilities (braille, large print, electronic files, audio format), send an email to fcc504@fcc.gov or call the Consumer and Governmental Affairs Bureau at (202) 418-0530</w:t>
      </w:r>
      <w:r>
        <w:t>.</w:t>
      </w:r>
    </w:p>
    <w:p w:rsidR="00905DAA" w:rsidRPr="003768B2" w:rsidP="00863B7A" w14:paraId="3B52936D" w14:textId="77777777">
      <w:pPr>
        <w:pStyle w:val="Heading2"/>
      </w:pPr>
      <w:bookmarkStart w:id="74" w:name="_Toc206147660"/>
      <w:bookmarkStart w:id="75" w:name="_Toc209031287"/>
      <w:bookmarkStart w:id="76" w:name="_Toc209512720"/>
      <w:bookmarkStart w:id="77" w:name="_Toc210640456"/>
      <w:bookmarkStart w:id="78" w:name="_Toc212121488"/>
      <w:bookmarkStart w:id="79" w:name="_Toc212467163"/>
      <w:r>
        <w:t>Ex Parte Rules</w:t>
      </w:r>
      <w:bookmarkEnd w:id="74"/>
      <w:bookmarkEnd w:id="75"/>
      <w:bookmarkEnd w:id="76"/>
      <w:bookmarkEnd w:id="77"/>
      <w:bookmarkEnd w:id="78"/>
      <w:bookmarkEnd w:id="79"/>
    </w:p>
    <w:p w:rsidR="00905DAA" w:rsidRPr="003768B2" w:rsidP="00B666B2" w14:paraId="69EE9935" w14:textId="77777777">
      <w:pPr>
        <w:pStyle w:val="ParaNum"/>
      </w:pPr>
      <w:r>
        <w:t xml:space="preserve">The proceeding this </w:t>
      </w:r>
      <w:r w:rsidRPr="006275EF">
        <w:rPr>
          <w:i/>
          <w:iCs/>
        </w:rPr>
        <w:t>Notice</w:t>
      </w:r>
      <w:r>
        <w:t xml:space="preserve"> initiates </w:t>
      </w:r>
      <w:r w:rsidRPr="00EF46F4">
        <w:t xml:space="preserve">shall be treated as a “permit-but-disclose” proceeding in accordance with the Commission’s </w:t>
      </w:r>
      <w:r w:rsidRPr="00EF46F4">
        <w:rPr>
          <w:i/>
        </w:rPr>
        <w:t xml:space="preserve">ex parte </w:t>
      </w:r>
      <w:r w:rsidRPr="00EF46F4">
        <w:t>rules.</w:t>
      </w:r>
      <w:r>
        <w:rPr>
          <w:vertAlign w:val="superscript"/>
        </w:rPr>
        <w:footnoteReference w:id="60"/>
      </w:r>
      <w:r w:rsidRPr="00EF46F4">
        <w:t xml:space="preserve">  Persons making </w:t>
      </w:r>
      <w:r w:rsidRPr="00EF46F4">
        <w:rPr>
          <w:i/>
        </w:rPr>
        <w:t>ex parte</w:t>
      </w:r>
      <w:r w:rsidRPr="00EF46F4">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EF46F4">
        <w:rPr>
          <w:i/>
        </w:rPr>
        <w:t>ex parte</w:t>
      </w:r>
      <w:r w:rsidRPr="00EF46F4">
        <w:t xml:space="preserve"> presentations are reminded that memoranda summarizing the presentation must (1) list all persons attending or otherwise participating in the meeting at which the </w:t>
      </w:r>
      <w:r w:rsidRPr="00EF46F4">
        <w:rPr>
          <w:i/>
        </w:rPr>
        <w:t>ex parte</w:t>
      </w:r>
      <w:r w:rsidRPr="00EF46F4">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w:t>
      </w:r>
      <w:r w:rsidRPr="00EF46F4">
        <w:t xml:space="preserve">other filings (specifying the relevant page and/or paragraph numbers where such data or arguments can be found) in lieu of summarizing them in the memorandum.  Documents shown or given to Commission staff during </w:t>
      </w:r>
      <w:r w:rsidRPr="00EF46F4">
        <w:rPr>
          <w:i/>
        </w:rPr>
        <w:t>ex parte</w:t>
      </w:r>
      <w:r w:rsidRPr="00EF46F4">
        <w:t xml:space="preserve"> meetings are deemed to be written </w:t>
      </w:r>
      <w:r w:rsidRPr="00EF46F4">
        <w:rPr>
          <w:i/>
        </w:rPr>
        <w:t>ex parte</w:t>
      </w:r>
      <w:r w:rsidRPr="00EF46F4">
        <w:t xml:space="preserve"> presentations and must be filed consistent with rule 1.1206(b).  Written </w:t>
      </w:r>
      <w:r w:rsidRPr="00EF46F4">
        <w:rPr>
          <w:i/>
        </w:rPr>
        <w:t>ex parte</w:t>
      </w:r>
      <w:r w:rsidRPr="00EF46F4">
        <w:t xml:space="preserve"> presentations and memoranda summarizing oral </w:t>
      </w:r>
      <w:r w:rsidRPr="00EF46F4">
        <w:rPr>
          <w:i/>
        </w:rPr>
        <w:t>ex parte</w:t>
      </w:r>
      <w:r w:rsidRPr="00EF46F4">
        <w:t xml:space="preserve"> presentations, and all attachments thereto, must</w:t>
      </w:r>
      <w:r>
        <w:t xml:space="preserve">, when feasible, </w:t>
      </w:r>
      <w:r w:rsidRPr="00EF46F4">
        <w:t xml:space="preserve">be filed through the electronic comment filing system in the docket established for this proceeding, and must be filed in their native format (e.g., .doc, .xml, .ppt, searchable .pdf).  Participants in this proceeding should familiarize themselves with the Commission’s </w:t>
      </w:r>
      <w:r w:rsidRPr="00EF46F4">
        <w:rPr>
          <w:i/>
        </w:rPr>
        <w:t>ex parte</w:t>
      </w:r>
      <w:r w:rsidRPr="00EF46F4">
        <w:t xml:space="preserve"> rules</w:t>
      </w:r>
    </w:p>
    <w:p w:rsidR="00905DAA" w:rsidRPr="006275EF" w:rsidP="00863B7A" w14:paraId="01787394" w14:textId="77777777">
      <w:pPr>
        <w:pStyle w:val="Heading2"/>
      </w:pPr>
      <w:bookmarkStart w:id="80" w:name="_Toc206147661"/>
      <w:bookmarkStart w:id="81" w:name="_Toc209031288"/>
      <w:bookmarkStart w:id="82" w:name="_Toc209512721"/>
      <w:bookmarkStart w:id="83" w:name="_Toc210640457"/>
      <w:bookmarkStart w:id="84" w:name="_Toc212121489"/>
      <w:bookmarkStart w:id="85" w:name="_Toc212467164"/>
      <w:r>
        <w:t>Providing Accountability Through Transparency Act</w:t>
      </w:r>
      <w:bookmarkEnd w:id="80"/>
      <w:bookmarkEnd w:id="81"/>
      <w:bookmarkEnd w:id="82"/>
      <w:bookmarkEnd w:id="83"/>
      <w:bookmarkEnd w:id="84"/>
      <w:bookmarkEnd w:id="85"/>
    </w:p>
    <w:p w:rsidR="00905DAA" w:rsidP="00B666B2" w14:paraId="04F6A8C5" w14:textId="77777777">
      <w:pPr>
        <w:pStyle w:val="ParaNum"/>
      </w:pPr>
      <w:r w:rsidRPr="001C688F">
        <w:t>Consistent</w:t>
      </w:r>
      <w:r>
        <w:t xml:space="preserve"> </w:t>
      </w:r>
      <w:r w:rsidRPr="001C688F">
        <w:t>with</w:t>
      </w:r>
      <w:r>
        <w:t xml:space="preserve"> </w:t>
      </w:r>
      <w:r w:rsidRPr="001C688F">
        <w:t>the</w:t>
      </w:r>
      <w:r>
        <w:t xml:space="preserve"> </w:t>
      </w:r>
      <w:r w:rsidRPr="001C688F">
        <w:t>Providing</w:t>
      </w:r>
      <w:r>
        <w:t xml:space="preserve"> </w:t>
      </w:r>
      <w:r w:rsidRPr="001C688F">
        <w:t>Accountability</w:t>
      </w:r>
      <w:r>
        <w:t xml:space="preserve"> </w:t>
      </w:r>
      <w:r w:rsidRPr="001C688F">
        <w:t>Through</w:t>
      </w:r>
      <w:r>
        <w:t xml:space="preserve"> </w:t>
      </w:r>
      <w:r w:rsidRPr="001C688F">
        <w:t>Transparency</w:t>
      </w:r>
      <w:r>
        <w:t xml:space="preserve"> </w:t>
      </w:r>
      <w:r w:rsidRPr="001C688F">
        <w:t>Act,</w:t>
      </w:r>
      <w:r>
        <w:t xml:space="preserve"> </w:t>
      </w:r>
      <w:r w:rsidRPr="001C688F">
        <w:t>Public</w:t>
      </w:r>
      <w:r>
        <w:t xml:space="preserve"> </w:t>
      </w:r>
      <w:r w:rsidRPr="001C688F">
        <w:t>Law</w:t>
      </w:r>
      <w:r>
        <w:t xml:space="preserve"> </w:t>
      </w:r>
      <w:r w:rsidRPr="001C688F">
        <w:t>118-9,</w:t>
      </w:r>
      <w:r>
        <w:t xml:space="preserve"> </w:t>
      </w:r>
      <w:r w:rsidRPr="001C688F">
        <w:t>a</w:t>
      </w:r>
      <w:r>
        <w:t xml:space="preserve"> </w:t>
      </w:r>
      <w:r w:rsidRPr="001C688F">
        <w:t>summary</w:t>
      </w:r>
      <w:r>
        <w:t xml:space="preserve"> </w:t>
      </w:r>
      <w:r w:rsidRPr="001C688F">
        <w:t>of</w:t>
      </w:r>
      <w:r>
        <w:t xml:space="preserve"> </w:t>
      </w:r>
      <w:r w:rsidRPr="001C688F">
        <w:t>this</w:t>
      </w:r>
      <w:r>
        <w:t xml:space="preserve"> </w:t>
      </w:r>
      <w:r w:rsidRPr="001C688F">
        <w:t>document</w:t>
      </w:r>
      <w:r>
        <w:t xml:space="preserve"> </w:t>
      </w:r>
      <w:r w:rsidRPr="001C688F">
        <w:t>will</w:t>
      </w:r>
      <w:r>
        <w:t xml:space="preserve"> </w:t>
      </w:r>
      <w:r w:rsidRPr="001C688F">
        <w:t>be</w:t>
      </w:r>
      <w:r>
        <w:t xml:space="preserve"> </w:t>
      </w:r>
      <w:r w:rsidRPr="001C688F">
        <w:t>available</w:t>
      </w:r>
      <w:r>
        <w:t xml:space="preserve"> </w:t>
      </w:r>
      <w:r w:rsidRPr="001C688F">
        <w:t>on</w:t>
      </w:r>
      <w:r>
        <w:t xml:space="preserve"> </w:t>
      </w:r>
      <w:hyperlink r:id="rId7">
        <w:r w:rsidRPr="001C688F">
          <w:rPr>
            <w:rStyle w:val="Hyperlink"/>
          </w:rPr>
          <w:t>https://www.fcc.gov/proposed-rulemakings</w:t>
        </w:r>
      </w:hyperlink>
      <w:r w:rsidRPr="001C688F">
        <w:t>.</w:t>
      </w:r>
      <w:r>
        <w:rPr>
          <w:rStyle w:val="FootnoteReference"/>
          <w:sz w:val="22"/>
          <w:szCs w:val="22"/>
        </w:rPr>
        <w:footnoteReference w:id="61"/>
      </w:r>
    </w:p>
    <w:p w:rsidR="00905DAA" w:rsidRPr="006275EF" w:rsidP="00863B7A" w14:paraId="05B5434C" w14:textId="77777777">
      <w:pPr>
        <w:pStyle w:val="Heading2"/>
      </w:pPr>
      <w:bookmarkStart w:id="86" w:name="_Toc206147662"/>
      <w:bookmarkStart w:id="87" w:name="_Toc209031289"/>
      <w:bookmarkStart w:id="88" w:name="_Toc209512722"/>
      <w:bookmarkStart w:id="89" w:name="_Toc210640458"/>
      <w:bookmarkStart w:id="90" w:name="_Toc212121490"/>
      <w:bookmarkStart w:id="91" w:name="_Toc212467165"/>
      <w:r>
        <w:t>Additional Information</w:t>
      </w:r>
      <w:bookmarkEnd w:id="86"/>
      <w:bookmarkEnd w:id="87"/>
      <w:bookmarkEnd w:id="88"/>
      <w:bookmarkEnd w:id="89"/>
      <w:bookmarkEnd w:id="90"/>
      <w:bookmarkEnd w:id="91"/>
    </w:p>
    <w:p w:rsidR="00905DAA" w:rsidP="00B666B2" w14:paraId="15E35C4A" w14:textId="2DC871CC">
      <w:pPr>
        <w:pStyle w:val="ParaNum"/>
      </w:pPr>
      <w:r w:rsidRPr="001C688F">
        <w:t>For</w:t>
      </w:r>
      <w:r>
        <w:t xml:space="preserve"> </w:t>
      </w:r>
      <w:r w:rsidRPr="001C688F">
        <w:t>further</w:t>
      </w:r>
      <w:r>
        <w:t xml:space="preserve"> </w:t>
      </w:r>
      <w:r w:rsidRPr="001C688F">
        <w:t>information</w:t>
      </w:r>
      <w:r>
        <w:t xml:space="preserve"> </w:t>
      </w:r>
      <w:r w:rsidRPr="001C688F">
        <w:t>about</w:t>
      </w:r>
      <w:r>
        <w:t xml:space="preserve"> </w:t>
      </w:r>
      <w:r w:rsidRPr="001C688F">
        <w:t>th</w:t>
      </w:r>
      <w:r>
        <w:t xml:space="preserve">is </w:t>
      </w:r>
      <w:r w:rsidRPr="001C688F">
        <w:rPr>
          <w:i/>
        </w:rPr>
        <w:t>Notice</w:t>
      </w:r>
      <w:r w:rsidRPr="001C688F">
        <w:t>,</w:t>
      </w:r>
      <w:r>
        <w:t xml:space="preserve"> </w:t>
      </w:r>
      <w:r w:rsidRPr="001C688F">
        <w:t>contact</w:t>
      </w:r>
      <w:r>
        <w:t xml:space="preserve"> </w:t>
      </w:r>
      <w:r w:rsidR="004248E8">
        <w:t>Richard D. Smith</w:t>
      </w:r>
      <w:r w:rsidRPr="001C688F">
        <w:t>,</w:t>
      </w:r>
      <w:r>
        <w:t xml:space="preserve"> </w:t>
      </w:r>
      <w:r w:rsidRPr="001C688F">
        <w:t>Co</w:t>
      </w:r>
      <w:r>
        <w:t xml:space="preserve">nsumer </w:t>
      </w:r>
      <w:r w:rsidRPr="001C688F">
        <w:t>Policy</w:t>
      </w:r>
      <w:r>
        <w:t xml:space="preserve"> </w:t>
      </w:r>
      <w:r w:rsidRPr="001C688F">
        <w:t>Division,</w:t>
      </w:r>
      <w:r>
        <w:t xml:space="preserve"> Consumer and Governmental Affairs </w:t>
      </w:r>
      <w:r w:rsidRPr="001C688F">
        <w:t>Bureau,</w:t>
      </w:r>
      <w:r>
        <w:t xml:space="preserve"> </w:t>
      </w:r>
      <w:r w:rsidRPr="001C688F">
        <w:t>at</w:t>
      </w:r>
      <w:r>
        <w:t xml:space="preserve"> </w:t>
      </w:r>
      <w:hyperlink r:id="rId8" w:history="1">
        <w:r w:rsidRPr="000E28AA" w:rsidR="00BD59E5">
          <w:rPr>
            <w:rStyle w:val="Hyperlink"/>
          </w:rPr>
          <w:t>Richard.Smith@fcc.gov</w:t>
        </w:r>
      </w:hyperlink>
      <w:r>
        <w:t xml:space="preserve">. </w:t>
      </w:r>
    </w:p>
    <w:p w:rsidR="00905DAA" w:rsidRPr="00716CB3" w:rsidP="00863B7A" w14:paraId="4E583463" w14:textId="77777777">
      <w:pPr>
        <w:pStyle w:val="Heading1"/>
      </w:pPr>
      <w:bookmarkStart w:id="92" w:name="_Toc206147663"/>
      <w:bookmarkStart w:id="93" w:name="_Toc209031290"/>
      <w:bookmarkStart w:id="94" w:name="_Toc209512723"/>
      <w:bookmarkStart w:id="95" w:name="_Toc210640459"/>
      <w:bookmarkStart w:id="96" w:name="_Toc212121491"/>
      <w:bookmarkStart w:id="97" w:name="_Toc212467166"/>
      <w:r w:rsidRPr="00716CB3">
        <w:t>O</w:t>
      </w:r>
      <w:r>
        <w:t>RDERING CLAUSES</w:t>
      </w:r>
      <w:bookmarkEnd w:id="92"/>
      <w:bookmarkEnd w:id="93"/>
      <w:bookmarkEnd w:id="94"/>
      <w:bookmarkEnd w:id="95"/>
      <w:bookmarkEnd w:id="96"/>
      <w:bookmarkEnd w:id="97"/>
    </w:p>
    <w:p w:rsidR="00905DAA" w:rsidP="00B666B2" w14:paraId="28DE9681" w14:textId="622C8287">
      <w:pPr>
        <w:pStyle w:val="ParaNum"/>
      </w:pPr>
      <w:r>
        <w:t xml:space="preserve">Accordingly, </w:t>
      </w:r>
      <w:r>
        <w:rPr>
          <w:b/>
          <w:bCs/>
        </w:rPr>
        <w:t>IT IS ORDERED</w:t>
      </w:r>
      <w:r>
        <w:t>, pursuant to sections 1-4, 201(b), 227</w:t>
      </w:r>
      <w:r w:rsidR="00623BDD">
        <w:t>(e)</w:t>
      </w:r>
      <w:r>
        <w:t xml:space="preserve">, and 251(e) of the Communications Act of 1934, as amended, 47 U.S.C §§ 151-154, </w:t>
      </w:r>
      <w:r w:rsidR="00623BDD">
        <w:t xml:space="preserve">201(b), </w:t>
      </w:r>
      <w:r>
        <w:t>227</w:t>
      </w:r>
      <w:r w:rsidR="00623BDD">
        <w:t>(e)</w:t>
      </w:r>
      <w:r>
        <w:t>, 251(e), and sections</w:t>
      </w:r>
      <w:r w:rsidR="00D3279D">
        <w:t xml:space="preserve"> </w:t>
      </w:r>
      <w:r>
        <w:t>1.411</w:t>
      </w:r>
      <w:r w:rsidR="00DB0B0A">
        <w:t>-</w:t>
      </w:r>
      <w:r>
        <w:t xml:space="preserve">1.413, and 1.421 of the Commission’s rules, 47 CFR §§ 1.411-1.413, 1.421, that this </w:t>
      </w:r>
      <w:bookmarkStart w:id="98" w:name="_Hlk203484977"/>
      <w:r>
        <w:t xml:space="preserve">Further Notice of Proposed Rulemaking </w:t>
      </w:r>
      <w:bookmarkEnd w:id="98"/>
      <w:r>
        <w:rPr>
          <w:b/>
          <w:bCs/>
        </w:rPr>
        <w:t>IS ADOPTED</w:t>
      </w:r>
      <w:r>
        <w:t>.</w:t>
      </w:r>
      <w:r>
        <w:rPr>
          <w:rStyle w:val="FootnoteReference"/>
        </w:rPr>
        <w:footnoteReference w:id="62"/>
      </w:r>
    </w:p>
    <w:p w:rsidR="00905DAA" w:rsidP="00B666B2" w14:paraId="7E4092D9" w14:textId="757583DF">
      <w:pPr>
        <w:pStyle w:val="ParaNum"/>
      </w:pPr>
      <w:r w:rsidRPr="007D4CFA">
        <w:rPr>
          <w:b/>
          <w:bCs/>
        </w:rPr>
        <w:t>IT IS FURTHER ORDERED</w:t>
      </w:r>
      <w:r>
        <w:t xml:space="preserve">, pursuant to sections 1.415 and 1.419 of the Commission’s Rules, 47 CFR §§ 1.415, 1.419, that interested parties may file comments on this </w:t>
      </w:r>
      <w:r w:rsidRPr="00602115">
        <w:t xml:space="preserve">Further Notice of Proposed Rulemaking </w:t>
      </w:r>
      <w:r>
        <w:t xml:space="preserve">on or before 30 days after publication in the Federal Register, and reply comments on or before </w:t>
      </w:r>
      <w:r w:rsidR="00CD5884">
        <w:t>60</w:t>
      </w:r>
      <w:r>
        <w:t xml:space="preserve"> days after publication in the Federal Register.  Comments and reply comments </w:t>
      </w:r>
      <w:r>
        <w:rPr>
          <w:b/>
          <w:bCs/>
        </w:rPr>
        <w:t>SHALL BE FILED</w:t>
      </w:r>
      <w:r>
        <w:t xml:space="preserve"> in CG Docket No. 17-59</w:t>
      </w:r>
      <w:r w:rsidR="00CD5884">
        <w:t xml:space="preserve"> </w:t>
      </w:r>
      <w:r>
        <w:t>and CG Docket No. 02-278.</w:t>
      </w:r>
    </w:p>
    <w:p w:rsidR="00905DAA" w:rsidP="00B666B2" w14:paraId="2AE40509" w14:textId="22653F93">
      <w:pPr>
        <w:pStyle w:val="ParaNum"/>
      </w:pPr>
      <w:r w:rsidRPr="00837D09">
        <w:rPr>
          <w:b/>
          <w:bCs/>
        </w:rPr>
        <w:t>IT IS FURTHER ORDERED</w:t>
      </w:r>
      <w:r>
        <w:t xml:space="preserve"> that the Commission’s Office of </w:t>
      </w:r>
      <w:r w:rsidR="00232ADF">
        <w:t>Secretary</w:t>
      </w:r>
      <w:r>
        <w:t xml:space="preserve"> </w:t>
      </w:r>
      <w:r w:rsidRPr="00837D09">
        <w:rPr>
          <w:b/>
          <w:bCs/>
        </w:rPr>
        <w:t>SHALL SEND</w:t>
      </w:r>
      <w:r>
        <w:t xml:space="preserve"> a copy of this </w:t>
      </w:r>
      <w:bookmarkStart w:id="99" w:name="_Hlk203485330"/>
      <w:r w:rsidRPr="00110307">
        <w:rPr>
          <w:i/>
        </w:rPr>
        <w:t>Further Notice of Proposed Rulemaking</w:t>
      </w:r>
      <w:bookmarkEnd w:id="99"/>
      <w:r>
        <w:t xml:space="preserve">, including the Initial Regulatory Flexibility </w:t>
      </w:r>
      <w:r w:rsidR="00846A27">
        <w:t>Analysis</w:t>
      </w:r>
      <w:r>
        <w:t>, to the Chief Counsel for the Small Business Administration</w:t>
      </w:r>
      <w:r w:rsidR="00AF6B86">
        <w:t xml:space="preserve"> </w:t>
      </w:r>
      <w:r w:rsidR="002D0D36">
        <w:t xml:space="preserve">(SBA) </w:t>
      </w:r>
      <w:r w:rsidR="00AF6B86">
        <w:t>Office of Advocacy</w:t>
      </w:r>
      <w:r>
        <w:t>.</w:t>
      </w:r>
    </w:p>
    <w:p w:rsidR="00905DAA" w:rsidP="003C204A" w14:paraId="08A1E53E" w14:textId="77777777">
      <w:pPr>
        <w:pStyle w:val="ParaNum"/>
        <w:keepNext/>
        <w:keepLines/>
        <w:numPr>
          <w:ilvl w:val="0"/>
          <w:numId w:val="0"/>
        </w:numPr>
        <w:ind w:left="720"/>
      </w:pPr>
    </w:p>
    <w:p w:rsidR="00905DAA" w:rsidP="00905DAA" w14:paraId="45E42D20" w14:textId="77777777">
      <w:pPr>
        <w:ind w:left="4320"/>
      </w:pPr>
      <w:r>
        <w:t>FEDERAL COMMUNICATIONS COMMISSION</w:t>
      </w:r>
    </w:p>
    <w:p w:rsidR="00905DAA" w:rsidP="00905DAA" w14:paraId="5DA407E7" w14:textId="77777777">
      <w:pPr>
        <w:ind w:left="4320"/>
      </w:pPr>
    </w:p>
    <w:p w:rsidR="00905DAA" w:rsidP="00905DAA" w14:paraId="78D01C9B" w14:textId="77777777">
      <w:pPr>
        <w:ind w:left="4320"/>
      </w:pPr>
    </w:p>
    <w:p w:rsidR="00905DAA" w:rsidP="00905DAA" w14:paraId="62E65187" w14:textId="77777777">
      <w:pPr>
        <w:ind w:left="4320"/>
      </w:pPr>
    </w:p>
    <w:p w:rsidR="00905DAA" w:rsidP="00905DAA" w14:paraId="38D2A58C" w14:textId="77777777">
      <w:pPr>
        <w:ind w:left="4320"/>
      </w:pPr>
    </w:p>
    <w:p w:rsidR="00905DAA" w:rsidP="00905DAA" w14:paraId="0425CF38" w14:textId="77777777">
      <w:pPr>
        <w:ind w:left="4320"/>
      </w:pPr>
      <w:r>
        <w:t>Marlene H. Dortch</w:t>
      </w:r>
    </w:p>
    <w:p w:rsidR="00905DAA" w:rsidP="00905DAA" w14:paraId="398B4547" w14:textId="77777777">
      <w:pPr>
        <w:ind w:left="4320"/>
      </w:pPr>
      <w:r>
        <w:t>Secretary</w:t>
      </w:r>
    </w:p>
    <w:p w:rsidR="00905DAA" w:rsidP="00110307" w14:paraId="2EED7588" w14:textId="77777777">
      <w:pPr>
        <w:sectPr w:rsidSect="009F338E">
          <w:headerReference w:type="default" r:id="rId9"/>
          <w:footerReference w:type="even" r:id="rId10"/>
          <w:footerReference w:type="default" r:id="rId11"/>
          <w:headerReference w:type="first" r:id="rId12"/>
          <w:endnotePr>
            <w:numFmt w:val="decimal"/>
          </w:endnotePr>
          <w:pgSz w:w="12240" w:h="15840"/>
          <w:pgMar w:top="1440" w:right="1440" w:bottom="720" w:left="1440" w:header="720" w:footer="720" w:gutter="0"/>
          <w:pgNumType w:start="1"/>
          <w:cols w:space="720"/>
          <w:noEndnote/>
          <w:titlePg/>
          <w:docGrid w:linePitch="299"/>
        </w:sectPr>
      </w:pPr>
    </w:p>
    <w:p w:rsidR="00905DAA" w:rsidP="00905DAA" w14:paraId="66C2B9D8" w14:textId="77777777">
      <w:pPr>
        <w:keepNext/>
        <w:suppressAutoHyphens/>
        <w:spacing w:after="120"/>
        <w:jc w:val="center"/>
        <w:outlineLvl w:val="0"/>
        <w:rPr>
          <w:b/>
          <w:caps/>
        </w:rPr>
      </w:pPr>
      <w:bookmarkStart w:id="100" w:name="_Toc148563384"/>
      <w:bookmarkStart w:id="101" w:name="_Toc148598531"/>
      <w:r w:rsidRPr="00471A16">
        <w:rPr>
          <w:b/>
          <w:caps/>
        </w:rPr>
        <w:t>Appendix A</w:t>
      </w:r>
      <w:bookmarkEnd w:id="100"/>
      <w:bookmarkEnd w:id="101"/>
    </w:p>
    <w:p w:rsidR="00905DAA" w:rsidRPr="00471A16" w:rsidP="00905DAA" w14:paraId="576092B2" w14:textId="77777777">
      <w:pPr>
        <w:keepNext/>
        <w:suppressAutoHyphens/>
        <w:spacing w:after="120"/>
        <w:jc w:val="center"/>
        <w:outlineLvl w:val="0"/>
        <w:rPr>
          <w:b/>
          <w:bCs/>
        </w:rPr>
      </w:pPr>
      <w:r w:rsidRPr="00471A16">
        <w:rPr>
          <w:b/>
          <w:bCs/>
        </w:rPr>
        <w:t>Proposed Rules</w:t>
      </w:r>
    </w:p>
    <w:p w:rsidR="00905DAA" w:rsidRPr="00471A16" w:rsidP="00905DAA" w14:paraId="2EE8A0D7" w14:textId="77777777">
      <w:pPr>
        <w:jc w:val="center"/>
      </w:pPr>
    </w:p>
    <w:p w:rsidR="00905DAA" w:rsidP="00905DAA" w14:paraId="2D6F1A58" w14:textId="57615564">
      <w:pPr>
        <w:spacing w:after="120"/>
      </w:pPr>
      <w:r>
        <w:t xml:space="preserve">For the reasons discussed in the document, the Federal Communications Commission proposes to amend 47 CFR part </w:t>
      </w:r>
      <w:r w:rsidR="1796B48D">
        <w:t xml:space="preserve">1 </w:t>
      </w:r>
      <w:r>
        <w:t>as follows:</w:t>
      </w:r>
    </w:p>
    <w:p w:rsidR="00F70075" w:rsidP="00905DAA" w14:paraId="35DF9757" w14:textId="7C08DC50">
      <w:pPr>
        <w:spacing w:after="120"/>
        <w:rPr>
          <w:b/>
          <w:bCs/>
          <w:szCs w:val="22"/>
        </w:rPr>
      </w:pPr>
      <w:r>
        <w:rPr>
          <w:b/>
          <w:bCs/>
          <w:szCs w:val="22"/>
        </w:rPr>
        <w:t xml:space="preserve">PART 1 – Practice </w:t>
      </w:r>
      <w:r w:rsidR="00CC70D8">
        <w:rPr>
          <w:b/>
          <w:bCs/>
          <w:szCs w:val="22"/>
        </w:rPr>
        <w:t>and Procedure</w:t>
      </w:r>
    </w:p>
    <w:p w:rsidR="00CC70D8" w:rsidP="009F57C9" w14:paraId="3C1390B0" w14:textId="7945B4CE">
      <w:pPr>
        <w:numPr>
          <w:ilvl w:val="0"/>
          <w:numId w:val="10"/>
        </w:numPr>
        <w:spacing w:after="120" w:line="259" w:lineRule="auto"/>
        <w:rPr>
          <w:szCs w:val="22"/>
        </w:rPr>
      </w:pPr>
      <w:r>
        <w:rPr>
          <w:szCs w:val="22"/>
        </w:rPr>
        <w:t xml:space="preserve">The </w:t>
      </w:r>
      <w:r w:rsidR="007E30DE">
        <w:rPr>
          <w:szCs w:val="22"/>
        </w:rPr>
        <w:t>authority citation for part 1 continues to read as follows:</w:t>
      </w:r>
    </w:p>
    <w:p w:rsidR="007E30DE" w:rsidP="00905DAA" w14:paraId="746C42C2" w14:textId="66F2ABAF">
      <w:pPr>
        <w:spacing w:after="120"/>
        <w:rPr>
          <w:szCs w:val="22"/>
        </w:rPr>
      </w:pPr>
      <w:r>
        <w:rPr>
          <w:b/>
          <w:bCs/>
          <w:szCs w:val="22"/>
        </w:rPr>
        <w:t>Authority</w:t>
      </w:r>
      <w:r w:rsidR="003151F4">
        <w:rPr>
          <w:szCs w:val="22"/>
        </w:rPr>
        <w:t>:  47 U.S.C. chs. 2, 5, 9</w:t>
      </w:r>
      <w:r w:rsidR="00010FA0">
        <w:rPr>
          <w:szCs w:val="22"/>
        </w:rPr>
        <w:t>, 13; 28 U.S.C.  2</w:t>
      </w:r>
      <w:r w:rsidR="007E6960">
        <w:rPr>
          <w:szCs w:val="22"/>
        </w:rPr>
        <w:t>461 note; 47 U.S.C.  1754, unless otherwise noted</w:t>
      </w:r>
      <w:r w:rsidR="009F57C9">
        <w:rPr>
          <w:szCs w:val="22"/>
        </w:rPr>
        <w:t>.</w:t>
      </w:r>
    </w:p>
    <w:p w:rsidR="009F57C9" w:rsidP="002168BA" w14:paraId="2543A5C2" w14:textId="07CB1B69">
      <w:pPr>
        <w:numPr>
          <w:ilvl w:val="0"/>
          <w:numId w:val="10"/>
        </w:numPr>
        <w:spacing w:after="120" w:line="259" w:lineRule="auto"/>
        <w:rPr>
          <w:szCs w:val="22"/>
        </w:rPr>
      </w:pPr>
      <w:r>
        <w:rPr>
          <w:szCs w:val="22"/>
        </w:rPr>
        <w:t xml:space="preserve">Amend </w:t>
      </w:r>
      <w:r w:rsidRPr="000C685A">
        <w:rPr>
          <w:szCs w:val="22"/>
        </w:rPr>
        <w:t>§</w:t>
      </w:r>
      <w:r>
        <w:rPr>
          <w:szCs w:val="22"/>
        </w:rPr>
        <w:t xml:space="preserve"> 1.80</w:t>
      </w:r>
      <w:r w:rsidR="006A0187">
        <w:rPr>
          <w:szCs w:val="22"/>
        </w:rPr>
        <w:t>(b)(11) to read as follows</w:t>
      </w:r>
      <w:r w:rsidR="002168BA">
        <w:rPr>
          <w:szCs w:val="22"/>
        </w:rPr>
        <w:t>.</w:t>
      </w:r>
    </w:p>
    <w:p w:rsidR="002168BA" w:rsidP="002168BA" w14:paraId="6A1DC72B" w14:textId="455D3D07">
      <w:pPr>
        <w:spacing w:after="120" w:line="259" w:lineRule="auto"/>
        <w:rPr>
          <w:szCs w:val="22"/>
        </w:rPr>
      </w:pPr>
      <w:r>
        <w:rPr>
          <w:szCs w:val="22"/>
        </w:rPr>
        <w:t>(11) ***</w:t>
      </w:r>
    </w:p>
    <w:p w:rsidR="00CE5CB3" w:rsidRPr="00CE5CB3" w:rsidP="00CE5CB3" w14:paraId="45C0A23B" w14:textId="0DF47D4C">
      <w:pPr>
        <w:spacing w:after="120" w:line="259" w:lineRule="auto"/>
        <w:rPr>
          <w:b/>
          <w:bCs/>
          <w:szCs w:val="22"/>
        </w:rPr>
      </w:pPr>
      <w:r w:rsidRPr="00A40EDA">
        <w:rPr>
          <w:b/>
          <w:bCs/>
          <w:szCs w:val="22"/>
        </w:rPr>
        <w:t>TABLE 1 TO PARAGRAPH (b)(11)-BASE AMOUNTS FOR SECTION 503 FORFEITURES</w:t>
      </w:r>
    </w:p>
    <w:tbl>
      <w:tblPr>
        <w:tblW w:w="9225" w:type="dxa"/>
        <w:tblInd w:w="15" w:type="dxa"/>
        <w:tblCellMar>
          <w:top w:w="51" w:type="dxa"/>
          <w:left w:w="77" w:type="dxa"/>
          <w:right w:w="77" w:type="dxa"/>
        </w:tblCellMar>
        <w:tblLook w:val="04A0"/>
      </w:tblPr>
      <w:tblGrid>
        <w:gridCol w:w="8203"/>
        <w:gridCol w:w="1022"/>
      </w:tblGrid>
      <w:tr w14:paraId="70B36197" w14:textId="77777777" w:rsidTr="007357C3">
        <w:tblPrEx>
          <w:tblW w:w="9225" w:type="dxa"/>
          <w:tblInd w:w="15" w:type="dxa"/>
          <w:tblLook w:val="04A0"/>
        </w:tblPrEx>
        <w:trPr>
          <w:trHeight w:val="602"/>
        </w:trPr>
        <w:tc>
          <w:tcPr>
            <w:tcW w:w="8203" w:type="dxa"/>
            <w:tcBorders>
              <w:top w:val="single" w:sz="6" w:space="0" w:color="000000"/>
              <w:left w:val="nil"/>
              <w:bottom w:val="single" w:sz="6" w:space="0" w:color="000000"/>
              <w:right w:val="single" w:sz="6" w:space="0" w:color="000000"/>
            </w:tcBorders>
            <w:vAlign w:val="center"/>
          </w:tcPr>
          <w:p w:rsidR="00CE5CB3" w:rsidRPr="00CE5CB3" w:rsidP="00CE5CB3" w14:paraId="0A1C9877" w14:textId="77777777">
            <w:pPr>
              <w:spacing w:after="120" w:line="259" w:lineRule="auto"/>
              <w:rPr>
                <w:szCs w:val="22"/>
              </w:rPr>
            </w:pPr>
            <w:r w:rsidRPr="00CE5CB3">
              <w:rPr>
                <w:b/>
                <w:szCs w:val="22"/>
              </w:rPr>
              <w:t>Forfeitures</w:t>
            </w:r>
          </w:p>
        </w:tc>
        <w:tc>
          <w:tcPr>
            <w:tcW w:w="1022" w:type="dxa"/>
            <w:tcBorders>
              <w:top w:val="single" w:sz="6" w:space="0" w:color="000000"/>
              <w:left w:val="single" w:sz="6" w:space="0" w:color="000000"/>
              <w:bottom w:val="single" w:sz="6" w:space="0" w:color="000000"/>
              <w:right w:val="nil"/>
            </w:tcBorders>
          </w:tcPr>
          <w:p w:rsidR="00CE5CB3" w:rsidRPr="00CE5CB3" w:rsidP="00CE5CB3" w14:paraId="0611B758" w14:textId="77777777">
            <w:pPr>
              <w:spacing w:after="120" w:line="259" w:lineRule="auto"/>
              <w:rPr>
                <w:szCs w:val="22"/>
              </w:rPr>
            </w:pPr>
            <w:r w:rsidRPr="00CE5CB3">
              <w:rPr>
                <w:b/>
                <w:szCs w:val="22"/>
              </w:rPr>
              <w:t>Violation amount</w:t>
            </w:r>
          </w:p>
        </w:tc>
      </w:tr>
      <w:tr w14:paraId="65F24C57"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CB3C7A8" w14:textId="77777777">
            <w:pPr>
              <w:spacing w:after="120" w:line="259" w:lineRule="auto"/>
              <w:rPr>
                <w:szCs w:val="22"/>
              </w:rPr>
            </w:pPr>
            <w:r w:rsidRPr="00CE5CB3">
              <w:rPr>
                <w:szCs w:val="22"/>
              </w:rPr>
              <w:t>Misrepresentation/lack of candor</w:t>
            </w:r>
          </w:p>
        </w:tc>
        <w:tc>
          <w:tcPr>
            <w:tcW w:w="1022" w:type="dxa"/>
            <w:tcBorders>
              <w:top w:val="single" w:sz="6" w:space="0" w:color="000000"/>
              <w:left w:val="single" w:sz="6" w:space="0" w:color="000000"/>
              <w:bottom w:val="single" w:sz="6" w:space="0" w:color="000000"/>
              <w:right w:val="nil"/>
            </w:tcBorders>
          </w:tcPr>
          <w:p w:rsidR="00CE5CB3" w:rsidRPr="00CE5CB3" w:rsidP="00CE5CB3" w14:paraId="07FF3DCB" w14:textId="77777777">
            <w:pPr>
              <w:spacing w:after="120" w:line="259" w:lineRule="auto"/>
              <w:rPr>
                <w:szCs w:val="22"/>
              </w:rPr>
            </w:pPr>
            <w:r w:rsidRPr="00CE5CB3">
              <w:rPr>
                <w:szCs w:val="22"/>
              </w:rPr>
              <w:t>(1)</w:t>
            </w:r>
          </w:p>
        </w:tc>
      </w:tr>
      <w:tr w14:paraId="04B567DF" w14:textId="77777777" w:rsidTr="007357C3">
        <w:tblPrEx>
          <w:tblW w:w="9225" w:type="dxa"/>
          <w:tblInd w:w="15" w:type="dxa"/>
          <w:tblLook w:val="04A0"/>
        </w:tblPrEx>
        <w:trPr>
          <w:trHeight w:val="602"/>
        </w:trPr>
        <w:tc>
          <w:tcPr>
            <w:tcW w:w="8203" w:type="dxa"/>
            <w:tcBorders>
              <w:top w:val="single" w:sz="6" w:space="0" w:color="000000"/>
              <w:left w:val="nil"/>
              <w:bottom w:val="single" w:sz="6" w:space="0" w:color="000000"/>
              <w:right w:val="single" w:sz="6" w:space="0" w:color="000000"/>
            </w:tcBorders>
          </w:tcPr>
          <w:p w:rsidR="00CE5CB3" w:rsidRPr="00CE5CB3" w:rsidP="00CE5CB3" w14:paraId="1B679D45" w14:textId="77777777">
            <w:pPr>
              <w:spacing w:after="120" w:line="259" w:lineRule="auto"/>
              <w:rPr>
                <w:szCs w:val="22"/>
              </w:rPr>
            </w:pPr>
            <w:r w:rsidRPr="00CE5CB3">
              <w:rPr>
                <w:szCs w:val="22"/>
              </w:rPr>
              <w:t>Failure to file required DODC required forms, and/or filing materially inaccurate or incomplete DODC information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7109169D" w14:textId="77777777">
            <w:pPr>
              <w:spacing w:after="120" w:line="259" w:lineRule="auto"/>
              <w:rPr>
                <w:szCs w:val="22"/>
              </w:rPr>
            </w:pPr>
            <w:r w:rsidRPr="00CE5CB3">
              <w:rPr>
                <w:szCs w:val="22"/>
              </w:rPr>
              <w:t>$15,000</w:t>
            </w:r>
          </w:p>
        </w:tc>
      </w:tr>
      <w:tr w14:paraId="4C831833"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3E5E799A" w14:textId="77777777">
            <w:pPr>
              <w:spacing w:after="120" w:line="259" w:lineRule="auto"/>
              <w:rPr>
                <w:szCs w:val="22"/>
              </w:rPr>
            </w:pPr>
            <w:r w:rsidRPr="00CE5CB3">
              <w:rPr>
                <w:szCs w:val="22"/>
              </w:rPr>
              <w:t>Construction and/or operation without an instrument of authorization for the service</w:t>
            </w:r>
          </w:p>
        </w:tc>
        <w:tc>
          <w:tcPr>
            <w:tcW w:w="1022" w:type="dxa"/>
            <w:tcBorders>
              <w:top w:val="single" w:sz="6" w:space="0" w:color="000000"/>
              <w:left w:val="single" w:sz="6" w:space="0" w:color="000000"/>
              <w:bottom w:val="single" w:sz="6" w:space="0" w:color="000000"/>
              <w:right w:val="nil"/>
            </w:tcBorders>
          </w:tcPr>
          <w:p w:rsidR="00CE5CB3" w:rsidRPr="00CE5CB3" w:rsidP="00CE5CB3" w14:paraId="496BED80" w14:textId="77777777">
            <w:pPr>
              <w:spacing w:after="120" w:line="259" w:lineRule="auto"/>
              <w:rPr>
                <w:szCs w:val="22"/>
              </w:rPr>
            </w:pPr>
            <w:r w:rsidRPr="00CE5CB3">
              <w:rPr>
                <w:szCs w:val="22"/>
              </w:rPr>
              <w:t>10,000</w:t>
            </w:r>
          </w:p>
        </w:tc>
      </w:tr>
      <w:tr w14:paraId="431FA190"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5C44280E" w14:textId="77777777">
            <w:pPr>
              <w:spacing w:after="120" w:line="259" w:lineRule="auto"/>
              <w:rPr>
                <w:szCs w:val="22"/>
              </w:rPr>
            </w:pPr>
            <w:r w:rsidRPr="00CE5CB3">
              <w:rPr>
                <w:szCs w:val="22"/>
              </w:rPr>
              <w:t>Failure to comply with prescribed lighting and/or marking</w:t>
            </w:r>
          </w:p>
        </w:tc>
        <w:tc>
          <w:tcPr>
            <w:tcW w:w="1022" w:type="dxa"/>
            <w:tcBorders>
              <w:top w:val="single" w:sz="6" w:space="0" w:color="000000"/>
              <w:left w:val="single" w:sz="6" w:space="0" w:color="000000"/>
              <w:bottom w:val="single" w:sz="6" w:space="0" w:color="000000"/>
              <w:right w:val="nil"/>
            </w:tcBorders>
          </w:tcPr>
          <w:p w:rsidR="00CE5CB3" w:rsidRPr="00CE5CB3" w:rsidP="00CE5CB3" w14:paraId="3DC17E86" w14:textId="77777777">
            <w:pPr>
              <w:spacing w:after="120" w:line="259" w:lineRule="auto"/>
              <w:rPr>
                <w:szCs w:val="22"/>
              </w:rPr>
            </w:pPr>
            <w:r w:rsidRPr="00CE5CB3">
              <w:rPr>
                <w:szCs w:val="22"/>
              </w:rPr>
              <w:t>10,000</w:t>
            </w:r>
          </w:p>
        </w:tc>
      </w:tr>
      <w:tr w14:paraId="2E0766E6"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F85E4B6" w14:textId="77777777">
            <w:pPr>
              <w:spacing w:after="120" w:line="259" w:lineRule="auto"/>
              <w:rPr>
                <w:szCs w:val="22"/>
              </w:rPr>
            </w:pPr>
            <w:r w:rsidRPr="00CE5CB3">
              <w:rPr>
                <w:szCs w:val="22"/>
              </w:rPr>
              <w:t>Violation of public file rules</w:t>
            </w:r>
          </w:p>
        </w:tc>
        <w:tc>
          <w:tcPr>
            <w:tcW w:w="1022" w:type="dxa"/>
            <w:tcBorders>
              <w:top w:val="single" w:sz="6" w:space="0" w:color="000000"/>
              <w:left w:val="single" w:sz="6" w:space="0" w:color="000000"/>
              <w:bottom w:val="single" w:sz="6" w:space="0" w:color="000000"/>
              <w:right w:val="nil"/>
            </w:tcBorders>
          </w:tcPr>
          <w:p w:rsidR="00CE5CB3" w:rsidRPr="00CE5CB3" w:rsidP="00CE5CB3" w14:paraId="3EA3D3F6" w14:textId="77777777">
            <w:pPr>
              <w:spacing w:after="120" w:line="259" w:lineRule="auto"/>
              <w:rPr>
                <w:szCs w:val="22"/>
              </w:rPr>
            </w:pPr>
            <w:r w:rsidRPr="00CE5CB3">
              <w:rPr>
                <w:szCs w:val="22"/>
              </w:rPr>
              <w:t>10,000</w:t>
            </w:r>
          </w:p>
        </w:tc>
      </w:tr>
      <w:tr w14:paraId="1E2ED23C" w14:textId="77777777" w:rsidTr="007357C3">
        <w:tblPrEx>
          <w:tblW w:w="9225" w:type="dxa"/>
          <w:tblInd w:w="15" w:type="dxa"/>
          <w:tblLook w:val="04A0"/>
        </w:tblPrEx>
        <w:trPr>
          <w:trHeight w:val="602"/>
        </w:trPr>
        <w:tc>
          <w:tcPr>
            <w:tcW w:w="8203" w:type="dxa"/>
            <w:tcBorders>
              <w:top w:val="single" w:sz="6" w:space="0" w:color="000000"/>
              <w:left w:val="nil"/>
              <w:bottom w:val="single" w:sz="6" w:space="0" w:color="000000"/>
              <w:right w:val="single" w:sz="6" w:space="0" w:color="000000"/>
            </w:tcBorders>
          </w:tcPr>
          <w:p w:rsidR="00CE5CB3" w:rsidRPr="00CE5CB3" w:rsidP="00CE5CB3" w14:paraId="6D0359EC" w14:textId="77777777">
            <w:pPr>
              <w:spacing w:after="120" w:line="259" w:lineRule="auto"/>
              <w:rPr>
                <w:szCs w:val="22"/>
              </w:rPr>
            </w:pPr>
            <w:r w:rsidRPr="00CE5CB3">
              <w:rPr>
                <w:szCs w:val="22"/>
              </w:rPr>
              <w:t>Violation of political rules: Reasonable access, lowest unit charge, equal opportunity, and discrimination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349DA0CE" w14:textId="77777777">
            <w:pPr>
              <w:spacing w:after="120" w:line="259" w:lineRule="auto"/>
              <w:rPr>
                <w:szCs w:val="22"/>
              </w:rPr>
            </w:pPr>
            <w:r w:rsidRPr="00CE5CB3">
              <w:rPr>
                <w:szCs w:val="22"/>
              </w:rPr>
              <w:t>9,000</w:t>
            </w:r>
          </w:p>
        </w:tc>
      </w:tr>
      <w:tr w14:paraId="1D52AD8B"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054401A5" w14:textId="77777777">
            <w:pPr>
              <w:spacing w:after="120" w:line="259" w:lineRule="auto"/>
              <w:rPr>
                <w:szCs w:val="22"/>
              </w:rPr>
            </w:pPr>
            <w:r w:rsidRPr="00CE5CB3">
              <w:rPr>
                <w:szCs w:val="22"/>
              </w:rPr>
              <w:t>Unauthorized substantial transfer of control</w:t>
            </w:r>
          </w:p>
        </w:tc>
        <w:tc>
          <w:tcPr>
            <w:tcW w:w="1022" w:type="dxa"/>
            <w:tcBorders>
              <w:top w:val="single" w:sz="6" w:space="0" w:color="000000"/>
              <w:left w:val="single" w:sz="6" w:space="0" w:color="000000"/>
              <w:bottom w:val="single" w:sz="6" w:space="0" w:color="000000"/>
              <w:right w:val="nil"/>
            </w:tcBorders>
          </w:tcPr>
          <w:p w:rsidR="00CE5CB3" w:rsidRPr="00CE5CB3" w:rsidP="00CE5CB3" w14:paraId="1CFFD31C" w14:textId="77777777">
            <w:pPr>
              <w:spacing w:after="120" w:line="259" w:lineRule="auto"/>
              <w:rPr>
                <w:szCs w:val="22"/>
              </w:rPr>
            </w:pPr>
            <w:r w:rsidRPr="00CE5CB3">
              <w:rPr>
                <w:szCs w:val="22"/>
              </w:rPr>
              <w:t>8,000</w:t>
            </w:r>
          </w:p>
        </w:tc>
      </w:tr>
      <w:tr w14:paraId="435B33DB"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07D87535" w14:textId="77777777">
            <w:pPr>
              <w:spacing w:after="120" w:line="259" w:lineRule="auto"/>
              <w:rPr>
                <w:szCs w:val="22"/>
              </w:rPr>
            </w:pPr>
            <w:r w:rsidRPr="00CE5CB3">
              <w:rPr>
                <w:szCs w:val="22"/>
              </w:rPr>
              <w:t>Violation of children's television commercialization or programming requirements</w:t>
            </w:r>
          </w:p>
        </w:tc>
        <w:tc>
          <w:tcPr>
            <w:tcW w:w="1022" w:type="dxa"/>
            <w:tcBorders>
              <w:top w:val="single" w:sz="6" w:space="0" w:color="000000"/>
              <w:left w:val="single" w:sz="6" w:space="0" w:color="000000"/>
              <w:bottom w:val="single" w:sz="6" w:space="0" w:color="000000"/>
              <w:right w:val="nil"/>
            </w:tcBorders>
          </w:tcPr>
          <w:p w:rsidR="00CE5CB3" w:rsidRPr="00CE5CB3" w:rsidP="00CE5CB3" w14:paraId="16151F37" w14:textId="77777777">
            <w:pPr>
              <w:spacing w:after="120" w:line="259" w:lineRule="auto"/>
              <w:rPr>
                <w:szCs w:val="22"/>
              </w:rPr>
            </w:pPr>
            <w:r w:rsidRPr="00CE5CB3">
              <w:rPr>
                <w:szCs w:val="22"/>
              </w:rPr>
              <w:t>8,000</w:t>
            </w:r>
          </w:p>
        </w:tc>
      </w:tr>
      <w:tr w14:paraId="05FD284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1CE13F36" w14:textId="77777777">
            <w:pPr>
              <w:spacing w:after="120" w:line="259" w:lineRule="auto"/>
              <w:rPr>
                <w:szCs w:val="22"/>
              </w:rPr>
            </w:pPr>
            <w:r w:rsidRPr="00CE5CB3">
              <w:rPr>
                <w:szCs w:val="22"/>
              </w:rPr>
              <w:t>Violations of rules relating to distress and safety frequencies</w:t>
            </w:r>
          </w:p>
        </w:tc>
        <w:tc>
          <w:tcPr>
            <w:tcW w:w="1022" w:type="dxa"/>
            <w:tcBorders>
              <w:top w:val="single" w:sz="6" w:space="0" w:color="000000"/>
              <w:left w:val="single" w:sz="6" w:space="0" w:color="000000"/>
              <w:bottom w:val="single" w:sz="6" w:space="0" w:color="000000"/>
              <w:right w:val="nil"/>
            </w:tcBorders>
          </w:tcPr>
          <w:p w:rsidR="00CE5CB3" w:rsidRPr="00CE5CB3" w:rsidP="00CE5CB3" w14:paraId="0842CE9E" w14:textId="77777777">
            <w:pPr>
              <w:spacing w:after="120" w:line="259" w:lineRule="auto"/>
              <w:rPr>
                <w:szCs w:val="22"/>
              </w:rPr>
            </w:pPr>
            <w:r w:rsidRPr="00CE5CB3">
              <w:rPr>
                <w:szCs w:val="22"/>
              </w:rPr>
              <w:t>8,000</w:t>
            </w:r>
          </w:p>
        </w:tc>
      </w:tr>
      <w:tr w14:paraId="7E7D366F"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5BFE7A44" w14:textId="77777777">
            <w:pPr>
              <w:spacing w:after="120" w:line="259" w:lineRule="auto"/>
              <w:rPr>
                <w:szCs w:val="22"/>
              </w:rPr>
            </w:pPr>
            <w:r w:rsidRPr="00CE5CB3">
              <w:rPr>
                <w:szCs w:val="22"/>
              </w:rPr>
              <w:t>False distress communications</w:t>
            </w:r>
          </w:p>
        </w:tc>
        <w:tc>
          <w:tcPr>
            <w:tcW w:w="1022" w:type="dxa"/>
            <w:tcBorders>
              <w:top w:val="single" w:sz="6" w:space="0" w:color="000000"/>
              <w:left w:val="single" w:sz="6" w:space="0" w:color="000000"/>
              <w:bottom w:val="single" w:sz="6" w:space="0" w:color="000000"/>
              <w:right w:val="nil"/>
            </w:tcBorders>
          </w:tcPr>
          <w:p w:rsidR="00CE5CB3" w:rsidRPr="00CE5CB3" w:rsidP="00CE5CB3" w14:paraId="4CA55A12" w14:textId="77777777">
            <w:pPr>
              <w:spacing w:after="120" w:line="259" w:lineRule="auto"/>
              <w:rPr>
                <w:szCs w:val="22"/>
              </w:rPr>
            </w:pPr>
            <w:r w:rsidRPr="00CE5CB3">
              <w:rPr>
                <w:szCs w:val="22"/>
              </w:rPr>
              <w:t>8,000</w:t>
            </w:r>
          </w:p>
        </w:tc>
      </w:tr>
      <w:tr w14:paraId="3FB50600"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49E2E9F" w14:textId="77777777">
            <w:pPr>
              <w:spacing w:after="120" w:line="259" w:lineRule="auto"/>
              <w:rPr>
                <w:szCs w:val="22"/>
              </w:rPr>
            </w:pPr>
            <w:r w:rsidRPr="00CE5CB3">
              <w:rPr>
                <w:szCs w:val="22"/>
              </w:rPr>
              <w:t>EAS equipment not installed or operational</w:t>
            </w:r>
          </w:p>
        </w:tc>
        <w:tc>
          <w:tcPr>
            <w:tcW w:w="1022" w:type="dxa"/>
            <w:tcBorders>
              <w:top w:val="single" w:sz="6" w:space="0" w:color="000000"/>
              <w:left w:val="single" w:sz="6" w:space="0" w:color="000000"/>
              <w:bottom w:val="single" w:sz="6" w:space="0" w:color="000000"/>
              <w:right w:val="nil"/>
            </w:tcBorders>
          </w:tcPr>
          <w:p w:rsidR="00CE5CB3" w:rsidRPr="00CE5CB3" w:rsidP="00CE5CB3" w14:paraId="636F4B9F" w14:textId="77777777">
            <w:pPr>
              <w:spacing w:after="120" w:line="259" w:lineRule="auto"/>
              <w:rPr>
                <w:szCs w:val="22"/>
              </w:rPr>
            </w:pPr>
            <w:r w:rsidRPr="00CE5CB3">
              <w:rPr>
                <w:szCs w:val="22"/>
              </w:rPr>
              <w:t>8,000</w:t>
            </w:r>
          </w:p>
        </w:tc>
      </w:tr>
      <w:tr w14:paraId="068A5F59"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1EB415C7" w14:textId="77777777">
            <w:pPr>
              <w:spacing w:after="120" w:line="259" w:lineRule="auto"/>
              <w:rPr>
                <w:szCs w:val="22"/>
              </w:rPr>
            </w:pPr>
            <w:r w:rsidRPr="00CE5CB3">
              <w:rPr>
                <w:szCs w:val="22"/>
              </w:rPr>
              <w:t>Alien ownership violation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7DB43CB8" w14:textId="77777777">
            <w:pPr>
              <w:spacing w:after="120" w:line="259" w:lineRule="auto"/>
              <w:rPr>
                <w:szCs w:val="22"/>
              </w:rPr>
            </w:pPr>
            <w:r w:rsidRPr="00CE5CB3">
              <w:rPr>
                <w:szCs w:val="22"/>
              </w:rPr>
              <w:t>8,000</w:t>
            </w:r>
          </w:p>
        </w:tc>
      </w:tr>
      <w:tr w14:paraId="737E2189"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0578A098" w14:textId="77777777">
            <w:pPr>
              <w:spacing w:after="120" w:line="259" w:lineRule="auto"/>
              <w:rPr>
                <w:szCs w:val="22"/>
              </w:rPr>
            </w:pPr>
            <w:r w:rsidRPr="00CE5CB3">
              <w:rPr>
                <w:szCs w:val="22"/>
              </w:rPr>
              <w:t>Failure to permit inspection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7FB590BA" w14:textId="77777777">
            <w:pPr>
              <w:spacing w:after="120" w:line="259" w:lineRule="auto"/>
              <w:rPr>
                <w:szCs w:val="22"/>
              </w:rPr>
            </w:pPr>
            <w:r w:rsidRPr="00CE5CB3">
              <w:rPr>
                <w:szCs w:val="22"/>
              </w:rPr>
              <w:t>7,000</w:t>
            </w:r>
          </w:p>
        </w:tc>
      </w:tr>
      <w:tr w14:paraId="50CE9DB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48D96940" w14:textId="77777777">
            <w:pPr>
              <w:spacing w:after="120" w:line="259" w:lineRule="auto"/>
              <w:rPr>
                <w:szCs w:val="22"/>
              </w:rPr>
            </w:pPr>
            <w:r w:rsidRPr="00CE5CB3">
              <w:rPr>
                <w:szCs w:val="22"/>
              </w:rPr>
              <w:t>Transmission of indecent/obscene materials</w:t>
            </w:r>
          </w:p>
        </w:tc>
        <w:tc>
          <w:tcPr>
            <w:tcW w:w="1022" w:type="dxa"/>
            <w:tcBorders>
              <w:top w:val="single" w:sz="6" w:space="0" w:color="000000"/>
              <w:left w:val="single" w:sz="6" w:space="0" w:color="000000"/>
              <w:bottom w:val="single" w:sz="6" w:space="0" w:color="000000"/>
              <w:right w:val="nil"/>
            </w:tcBorders>
          </w:tcPr>
          <w:p w:rsidR="00CE5CB3" w:rsidRPr="00CE5CB3" w:rsidP="00CE5CB3" w14:paraId="57A7860E" w14:textId="77777777">
            <w:pPr>
              <w:spacing w:after="120" w:line="259" w:lineRule="auto"/>
              <w:rPr>
                <w:szCs w:val="22"/>
              </w:rPr>
            </w:pPr>
            <w:r w:rsidRPr="00CE5CB3">
              <w:rPr>
                <w:szCs w:val="22"/>
              </w:rPr>
              <w:t>7,000</w:t>
            </w:r>
          </w:p>
        </w:tc>
      </w:tr>
      <w:tr w14:paraId="09750F8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184DB55" w14:textId="77777777">
            <w:pPr>
              <w:spacing w:after="120" w:line="259" w:lineRule="auto"/>
              <w:rPr>
                <w:szCs w:val="22"/>
              </w:rPr>
            </w:pPr>
            <w:r w:rsidRPr="00CE5CB3">
              <w:rPr>
                <w:szCs w:val="22"/>
              </w:rPr>
              <w:t>Interference</w:t>
            </w:r>
          </w:p>
        </w:tc>
        <w:tc>
          <w:tcPr>
            <w:tcW w:w="1022" w:type="dxa"/>
            <w:tcBorders>
              <w:top w:val="single" w:sz="6" w:space="0" w:color="000000"/>
              <w:left w:val="single" w:sz="6" w:space="0" w:color="000000"/>
              <w:bottom w:val="single" w:sz="6" w:space="0" w:color="000000"/>
              <w:right w:val="nil"/>
            </w:tcBorders>
          </w:tcPr>
          <w:p w:rsidR="00CE5CB3" w:rsidRPr="00CE5CB3" w:rsidP="00CE5CB3" w14:paraId="00DF16A9" w14:textId="77777777">
            <w:pPr>
              <w:spacing w:after="120" w:line="259" w:lineRule="auto"/>
              <w:rPr>
                <w:szCs w:val="22"/>
              </w:rPr>
            </w:pPr>
            <w:r w:rsidRPr="00CE5CB3">
              <w:rPr>
                <w:szCs w:val="22"/>
              </w:rPr>
              <w:t>7,000</w:t>
            </w:r>
          </w:p>
        </w:tc>
      </w:tr>
      <w:tr w14:paraId="3F1F4502"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6AE0DE51" w14:textId="77777777">
            <w:pPr>
              <w:spacing w:after="120" w:line="259" w:lineRule="auto"/>
              <w:rPr>
                <w:szCs w:val="22"/>
              </w:rPr>
            </w:pPr>
            <w:r w:rsidRPr="00CE5CB3">
              <w:rPr>
                <w:szCs w:val="22"/>
              </w:rPr>
              <w:t>Importation or marketing of unauthorized equipment</w:t>
            </w:r>
          </w:p>
        </w:tc>
        <w:tc>
          <w:tcPr>
            <w:tcW w:w="1022" w:type="dxa"/>
            <w:tcBorders>
              <w:top w:val="single" w:sz="6" w:space="0" w:color="000000"/>
              <w:left w:val="single" w:sz="6" w:space="0" w:color="000000"/>
              <w:bottom w:val="single" w:sz="6" w:space="0" w:color="000000"/>
              <w:right w:val="nil"/>
            </w:tcBorders>
          </w:tcPr>
          <w:p w:rsidR="00CE5CB3" w:rsidRPr="00CE5CB3" w:rsidP="00CE5CB3" w14:paraId="4FBDCAF0" w14:textId="77777777">
            <w:pPr>
              <w:spacing w:after="120" w:line="259" w:lineRule="auto"/>
              <w:rPr>
                <w:szCs w:val="22"/>
              </w:rPr>
            </w:pPr>
            <w:r w:rsidRPr="00CE5CB3">
              <w:rPr>
                <w:szCs w:val="22"/>
              </w:rPr>
              <w:t>7,000</w:t>
            </w:r>
          </w:p>
        </w:tc>
      </w:tr>
      <w:tr w14:paraId="6BF6E366"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DA7462E" w14:textId="77777777">
            <w:pPr>
              <w:spacing w:after="120" w:line="259" w:lineRule="auto"/>
              <w:rPr>
                <w:szCs w:val="22"/>
              </w:rPr>
            </w:pPr>
            <w:r w:rsidRPr="00CE5CB3">
              <w:rPr>
                <w:szCs w:val="22"/>
              </w:rPr>
              <w:t>Exceeding of authorized antenna height</w:t>
            </w:r>
          </w:p>
        </w:tc>
        <w:tc>
          <w:tcPr>
            <w:tcW w:w="1022" w:type="dxa"/>
            <w:tcBorders>
              <w:top w:val="single" w:sz="6" w:space="0" w:color="000000"/>
              <w:left w:val="single" w:sz="6" w:space="0" w:color="000000"/>
              <w:bottom w:val="single" w:sz="6" w:space="0" w:color="000000"/>
              <w:right w:val="nil"/>
            </w:tcBorders>
          </w:tcPr>
          <w:p w:rsidR="00CE5CB3" w:rsidRPr="00CE5CB3" w:rsidP="00CE5CB3" w14:paraId="053C0E22" w14:textId="77777777">
            <w:pPr>
              <w:spacing w:after="120" w:line="259" w:lineRule="auto"/>
              <w:rPr>
                <w:szCs w:val="22"/>
              </w:rPr>
            </w:pPr>
            <w:r w:rsidRPr="00CE5CB3">
              <w:rPr>
                <w:szCs w:val="22"/>
              </w:rPr>
              <w:t>5,000</w:t>
            </w:r>
          </w:p>
        </w:tc>
      </w:tr>
      <w:tr w14:paraId="296EB8F2"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797EB0F8" w14:textId="77777777">
            <w:pPr>
              <w:spacing w:after="120" w:line="259" w:lineRule="auto"/>
              <w:rPr>
                <w:szCs w:val="22"/>
              </w:rPr>
            </w:pPr>
            <w:r w:rsidRPr="00CE5CB3">
              <w:rPr>
                <w:szCs w:val="22"/>
              </w:rPr>
              <w:t>Fraud by wire, radio or television</w:t>
            </w:r>
          </w:p>
        </w:tc>
        <w:tc>
          <w:tcPr>
            <w:tcW w:w="1022" w:type="dxa"/>
            <w:tcBorders>
              <w:top w:val="single" w:sz="6" w:space="0" w:color="000000"/>
              <w:left w:val="single" w:sz="6" w:space="0" w:color="000000"/>
              <w:bottom w:val="single" w:sz="6" w:space="0" w:color="000000"/>
              <w:right w:val="nil"/>
            </w:tcBorders>
          </w:tcPr>
          <w:p w:rsidR="00CE5CB3" w:rsidRPr="00CE5CB3" w:rsidP="00CE5CB3" w14:paraId="0C58101C" w14:textId="77777777">
            <w:pPr>
              <w:spacing w:after="120" w:line="259" w:lineRule="auto"/>
              <w:rPr>
                <w:szCs w:val="22"/>
              </w:rPr>
            </w:pPr>
            <w:r w:rsidRPr="00CE5CB3">
              <w:rPr>
                <w:szCs w:val="22"/>
              </w:rPr>
              <w:t>5,000</w:t>
            </w:r>
          </w:p>
        </w:tc>
      </w:tr>
      <w:tr w14:paraId="343040C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17B9ED4A" w14:textId="77777777">
            <w:pPr>
              <w:spacing w:after="120" w:line="259" w:lineRule="auto"/>
              <w:rPr>
                <w:szCs w:val="22"/>
              </w:rPr>
            </w:pPr>
            <w:r w:rsidRPr="00CE5CB3">
              <w:rPr>
                <w:szCs w:val="22"/>
              </w:rPr>
              <w:t>Unauthorized discontinuance of service</w:t>
            </w:r>
          </w:p>
        </w:tc>
        <w:tc>
          <w:tcPr>
            <w:tcW w:w="1022" w:type="dxa"/>
            <w:tcBorders>
              <w:top w:val="single" w:sz="6" w:space="0" w:color="000000"/>
              <w:left w:val="single" w:sz="6" w:space="0" w:color="000000"/>
              <w:bottom w:val="single" w:sz="6" w:space="0" w:color="000000"/>
              <w:right w:val="nil"/>
            </w:tcBorders>
          </w:tcPr>
          <w:p w:rsidR="00CE5CB3" w:rsidRPr="00CE5CB3" w:rsidP="00CE5CB3" w14:paraId="52D0ED66" w14:textId="77777777">
            <w:pPr>
              <w:spacing w:after="120" w:line="259" w:lineRule="auto"/>
              <w:rPr>
                <w:szCs w:val="22"/>
              </w:rPr>
            </w:pPr>
            <w:r w:rsidRPr="00CE5CB3">
              <w:rPr>
                <w:szCs w:val="22"/>
              </w:rPr>
              <w:t>5,000</w:t>
            </w:r>
          </w:p>
        </w:tc>
      </w:tr>
      <w:tr w14:paraId="7A08AC40"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3A316975" w14:textId="77777777">
            <w:pPr>
              <w:spacing w:after="120" w:line="259" w:lineRule="auto"/>
              <w:rPr>
                <w:szCs w:val="22"/>
              </w:rPr>
            </w:pPr>
            <w:r w:rsidRPr="00CE5CB3">
              <w:rPr>
                <w:szCs w:val="22"/>
              </w:rPr>
              <w:t>Use of unauthorized equipment</w:t>
            </w:r>
          </w:p>
        </w:tc>
        <w:tc>
          <w:tcPr>
            <w:tcW w:w="1022" w:type="dxa"/>
            <w:tcBorders>
              <w:top w:val="single" w:sz="6" w:space="0" w:color="000000"/>
              <w:left w:val="single" w:sz="6" w:space="0" w:color="000000"/>
              <w:bottom w:val="single" w:sz="6" w:space="0" w:color="000000"/>
              <w:right w:val="nil"/>
            </w:tcBorders>
          </w:tcPr>
          <w:p w:rsidR="00CE5CB3" w:rsidRPr="00CE5CB3" w:rsidP="00CE5CB3" w14:paraId="14A78792" w14:textId="77777777">
            <w:pPr>
              <w:spacing w:after="120" w:line="259" w:lineRule="auto"/>
              <w:rPr>
                <w:szCs w:val="22"/>
              </w:rPr>
            </w:pPr>
            <w:r w:rsidRPr="00CE5CB3">
              <w:rPr>
                <w:szCs w:val="22"/>
              </w:rPr>
              <w:t>5,000</w:t>
            </w:r>
          </w:p>
        </w:tc>
      </w:tr>
      <w:tr w14:paraId="4F70BBA6"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39C506A4" w14:textId="77777777">
            <w:pPr>
              <w:spacing w:after="120" w:line="259" w:lineRule="auto"/>
              <w:rPr>
                <w:szCs w:val="22"/>
              </w:rPr>
            </w:pPr>
            <w:r w:rsidRPr="00CE5CB3">
              <w:rPr>
                <w:szCs w:val="22"/>
              </w:rPr>
              <w:t>Exceeding power limits</w:t>
            </w:r>
          </w:p>
        </w:tc>
        <w:tc>
          <w:tcPr>
            <w:tcW w:w="1022" w:type="dxa"/>
            <w:tcBorders>
              <w:top w:val="single" w:sz="6" w:space="0" w:color="000000"/>
              <w:left w:val="single" w:sz="6" w:space="0" w:color="000000"/>
              <w:bottom w:val="single" w:sz="6" w:space="0" w:color="000000"/>
              <w:right w:val="nil"/>
            </w:tcBorders>
          </w:tcPr>
          <w:p w:rsidR="00CE5CB3" w:rsidRPr="00CE5CB3" w:rsidP="00CE5CB3" w14:paraId="569C90ED" w14:textId="77777777">
            <w:pPr>
              <w:spacing w:after="120" w:line="259" w:lineRule="auto"/>
              <w:rPr>
                <w:szCs w:val="22"/>
              </w:rPr>
            </w:pPr>
            <w:r w:rsidRPr="00CE5CB3">
              <w:rPr>
                <w:szCs w:val="22"/>
              </w:rPr>
              <w:t>4,000</w:t>
            </w:r>
          </w:p>
        </w:tc>
      </w:tr>
      <w:tr w14:paraId="63A1766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32DBAA32" w14:textId="77777777">
            <w:pPr>
              <w:spacing w:after="120" w:line="259" w:lineRule="auto"/>
              <w:rPr>
                <w:szCs w:val="22"/>
              </w:rPr>
            </w:pPr>
            <w:r w:rsidRPr="00CE5CB3">
              <w:rPr>
                <w:szCs w:val="22"/>
              </w:rPr>
              <w:t>Failure to Respond to Commission communications</w:t>
            </w:r>
          </w:p>
        </w:tc>
        <w:tc>
          <w:tcPr>
            <w:tcW w:w="1022" w:type="dxa"/>
            <w:tcBorders>
              <w:top w:val="single" w:sz="6" w:space="0" w:color="000000"/>
              <w:left w:val="single" w:sz="6" w:space="0" w:color="000000"/>
              <w:bottom w:val="single" w:sz="6" w:space="0" w:color="000000"/>
              <w:right w:val="nil"/>
            </w:tcBorders>
          </w:tcPr>
          <w:p w:rsidR="00CE5CB3" w:rsidRPr="00CE5CB3" w:rsidP="00CE5CB3" w14:paraId="301D004E" w14:textId="77777777">
            <w:pPr>
              <w:spacing w:after="120" w:line="259" w:lineRule="auto"/>
              <w:rPr>
                <w:szCs w:val="22"/>
              </w:rPr>
            </w:pPr>
            <w:r w:rsidRPr="00CE5CB3">
              <w:rPr>
                <w:szCs w:val="22"/>
              </w:rPr>
              <w:t>4,000</w:t>
            </w:r>
          </w:p>
        </w:tc>
      </w:tr>
      <w:tr w14:paraId="14AC60F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4447D429" w14:textId="77777777">
            <w:pPr>
              <w:spacing w:after="120" w:line="259" w:lineRule="auto"/>
              <w:rPr>
                <w:szCs w:val="22"/>
              </w:rPr>
            </w:pPr>
            <w:r w:rsidRPr="00CE5CB3">
              <w:rPr>
                <w:szCs w:val="22"/>
              </w:rPr>
              <w:t>Violation of sponsorship ID requirements</w:t>
            </w:r>
          </w:p>
        </w:tc>
        <w:tc>
          <w:tcPr>
            <w:tcW w:w="1022" w:type="dxa"/>
            <w:tcBorders>
              <w:top w:val="single" w:sz="6" w:space="0" w:color="000000"/>
              <w:left w:val="single" w:sz="6" w:space="0" w:color="000000"/>
              <w:bottom w:val="single" w:sz="6" w:space="0" w:color="000000"/>
              <w:right w:val="nil"/>
            </w:tcBorders>
          </w:tcPr>
          <w:p w:rsidR="00CE5CB3" w:rsidRPr="00CE5CB3" w:rsidP="00CE5CB3" w14:paraId="12A31013" w14:textId="77777777">
            <w:pPr>
              <w:spacing w:after="120" w:line="259" w:lineRule="auto"/>
              <w:rPr>
                <w:szCs w:val="22"/>
              </w:rPr>
            </w:pPr>
            <w:r w:rsidRPr="00CE5CB3">
              <w:rPr>
                <w:szCs w:val="22"/>
              </w:rPr>
              <w:t>4,000</w:t>
            </w:r>
          </w:p>
        </w:tc>
      </w:tr>
      <w:tr w14:paraId="5ED8EDDD"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34101F06" w14:textId="77777777">
            <w:pPr>
              <w:spacing w:after="120" w:line="259" w:lineRule="auto"/>
              <w:rPr>
                <w:szCs w:val="22"/>
              </w:rPr>
            </w:pPr>
            <w:r w:rsidRPr="00CE5CB3">
              <w:rPr>
                <w:szCs w:val="22"/>
              </w:rPr>
              <w:t>Unauthorized emissions</w:t>
            </w:r>
          </w:p>
        </w:tc>
        <w:tc>
          <w:tcPr>
            <w:tcW w:w="1022" w:type="dxa"/>
            <w:tcBorders>
              <w:top w:val="single" w:sz="6" w:space="0" w:color="000000"/>
              <w:left w:val="single" w:sz="6" w:space="0" w:color="000000"/>
              <w:bottom w:val="single" w:sz="6" w:space="0" w:color="000000"/>
              <w:right w:val="nil"/>
            </w:tcBorders>
          </w:tcPr>
          <w:p w:rsidR="00CE5CB3" w:rsidRPr="00CE5CB3" w:rsidP="00CE5CB3" w14:paraId="6982ED5D" w14:textId="77777777">
            <w:pPr>
              <w:spacing w:after="120" w:line="259" w:lineRule="auto"/>
              <w:rPr>
                <w:szCs w:val="22"/>
              </w:rPr>
            </w:pPr>
            <w:r w:rsidRPr="00CE5CB3">
              <w:rPr>
                <w:szCs w:val="22"/>
              </w:rPr>
              <w:t>4,000</w:t>
            </w:r>
          </w:p>
        </w:tc>
      </w:tr>
      <w:tr w14:paraId="5A0DA72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432A1266" w14:textId="77777777">
            <w:pPr>
              <w:spacing w:after="120" w:line="259" w:lineRule="auto"/>
              <w:rPr>
                <w:szCs w:val="22"/>
              </w:rPr>
            </w:pPr>
            <w:r w:rsidRPr="00CE5CB3">
              <w:rPr>
                <w:szCs w:val="22"/>
              </w:rPr>
              <w:t>Using unauthorized frequency</w:t>
            </w:r>
          </w:p>
        </w:tc>
        <w:tc>
          <w:tcPr>
            <w:tcW w:w="1022" w:type="dxa"/>
            <w:tcBorders>
              <w:top w:val="single" w:sz="6" w:space="0" w:color="000000"/>
              <w:left w:val="single" w:sz="6" w:space="0" w:color="000000"/>
              <w:bottom w:val="single" w:sz="6" w:space="0" w:color="000000"/>
              <w:right w:val="nil"/>
            </w:tcBorders>
          </w:tcPr>
          <w:p w:rsidR="00CE5CB3" w:rsidRPr="00CE5CB3" w:rsidP="00CE5CB3" w14:paraId="4010A819" w14:textId="77777777">
            <w:pPr>
              <w:spacing w:after="120" w:line="259" w:lineRule="auto"/>
              <w:rPr>
                <w:szCs w:val="22"/>
              </w:rPr>
            </w:pPr>
            <w:r w:rsidRPr="00CE5CB3">
              <w:rPr>
                <w:szCs w:val="22"/>
              </w:rPr>
              <w:t>4,000</w:t>
            </w:r>
          </w:p>
        </w:tc>
      </w:tr>
      <w:tr w14:paraId="026BC10B"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58D1E4AC" w14:textId="77777777">
            <w:pPr>
              <w:spacing w:after="120" w:line="259" w:lineRule="auto"/>
              <w:rPr>
                <w:szCs w:val="22"/>
              </w:rPr>
            </w:pPr>
            <w:r w:rsidRPr="00CE5CB3">
              <w:rPr>
                <w:szCs w:val="22"/>
              </w:rPr>
              <w:t>Failure to engage in required frequency coordination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073E7719" w14:textId="77777777">
            <w:pPr>
              <w:spacing w:after="120" w:line="259" w:lineRule="auto"/>
              <w:rPr>
                <w:szCs w:val="22"/>
              </w:rPr>
            </w:pPr>
            <w:r w:rsidRPr="00CE5CB3">
              <w:rPr>
                <w:szCs w:val="22"/>
              </w:rPr>
              <w:t>4,000</w:t>
            </w:r>
          </w:p>
        </w:tc>
      </w:tr>
      <w:tr w14:paraId="1C3DE31E"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7AD976FE" w14:textId="77777777">
            <w:pPr>
              <w:spacing w:after="120" w:line="259" w:lineRule="auto"/>
              <w:rPr>
                <w:szCs w:val="22"/>
              </w:rPr>
            </w:pPr>
            <w:r w:rsidRPr="00CE5CB3">
              <w:rPr>
                <w:szCs w:val="22"/>
              </w:rPr>
              <w:t>Construction or operation at unauthorized location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03B6F0BB" w14:textId="77777777">
            <w:pPr>
              <w:spacing w:after="120" w:line="259" w:lineRule="auto"/>
              <w:rPr>
                <w:szCs w:val="22"/>
              </w:rPr>
            </w:pPr>
            <w:r w:rsidRPr="00CE5CB3">
              <w:rPr>
                <w:szCs w:val="22"/>
              </w:rPr>
              <w:t>4,000</w:t>
            </w:r>
          </w:p>
        </w:tc>
      </w:tr>
      <w:tr w14:paraId="7A3D819E"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0D3EBDAF" w14:textId="77777777">
            <w:pPr>
              <w:spacing w:after="120" w:line="259" w:lineRule="auto"/>
              <w:rPr>
                <w:szCs w:val="22"/>
              </w:rPr>
            </w:pPr>
            <w:r w:rsidRPr="00CE5CB3">
              <w:rPr>
                <w:szCs w:val="22"/>
              </w:rPr>
              <w:t>Violation of requirements pertaining to broadcasting of lotteries or contests</w:t>
            </w:r>
          </w:p>
        </w:tc>
        <w:tc>
          <w:tcPr>
            <w:tcW w:w="1022" w:type="dxa"/>
            <w:tcBorders>
              <w:top w:val="single" w:sz="6" w:space="0" w:color="000000"/>
              <w:left w:val="single" w:sz="6" w:space="0" w:color="000000"/>
              <w:bottom w:val="single" w:sz="6" w:space="0" w:color="000000"/>
              <w:right w:val="nil"/>
            </w:tcBorders>
          </w:tcPr>
          <w:p w:rsidR="00CE5CB3" w:rsidRPr="00CE5CB3" w:rsidP="00CE5CB3" w14:paraId="3AFF9680" w14:textId="77777777">
            <w:pPr>
              <w:spacing w:after="120" w:line="259" w:lineRule="auto"/>
              <w:rPr>
                <w:szCs w:val="22"/>
              </w:rPr>
            </w:pPr>
            <w:r w:rsidRPr="00CE5CB3">
              <w:rPr>
                <w:szCs w:val="22"/>
              </w:rPr>
              <w:t>4,000</w:t>
            </w:r>
          </w:p>
        </w:tc>
      </w:tr>
      <w:tr w14:paraId="4844F665"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4A2716D" w14:textId="77777777">
            <w:pPr>
              <w:spacing w:after="120" w:line="259" w:lineRule="auto"/>
              <w:rPr>
                <w:szCs w:val="22"/>
              </w:rPr>
            </w:pPr>
            <w:r w:rsidRPr="00CE5CB3">
              <w:rPr>
                <w:szCs w:val="22"/>
              </w:rPr>
              <w:t>Violation of transmitter control and metering requirements</w:t>
            </w:r>
          </w:p>
        </w:tc>
        <w:tc>
          <w:tcPr>
            <w:tcW w:w="1022" w:type="dxa"/>
            <w:tcBorders>
              <w:top w:val="single" w:sz="6" w:space="0" w:color="000000"/>
              <w:left w:val="single" w:sz="6" w:space="0" w:color="000000"/>
              <w:bottom w:val="single" w:sz="6" w:space="0" w:color="000000"/>
              <w:right w:val="nil"/>
            </w:tcBorders>
          </w:tcPr>
          <w:p w:rsidR="00CE5CB3" w:rsidRPr="00CE5CB3" w:rsidP="00CE5CB3" w14:paraId="06E63326" w14:textId="77777777">
            <w:pPr>
              <w:spacing w:after="120" w:line="259" w:lineRule="auto"/>
              <w:rPr>
                <w:szCs w:val="22"/>
              </w:rPr>
            </w:pPr>
            <w:r w:rsidRPr="00CE5CB3">
              <w:rPr>
                <w:szCs w:val="22"/>
              </w:rPr>
              <w:t>3,000</w:t>
            </w:r>
          </w:p>
        </w:tc>
      </w:tr>
      <w:tr w14:paraId="74B46461"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18AD665F" w14:textId="77777777">
            <w:pPr>
              <w:spacing w:after="120" w:line="259" w:lineRule="auto"/>
              <w:rPr>
                <w:szCs w:val="22"/>
              </w:rPr>
            </w:pPr>
            <w:r w:rsidRPr="00CE5CB3">
              <w:rPr>
                <w:szCs w:val="22"/>
              </w:rPr>
              <w:t>Failure to file required forms or information</w:t>
            </w:r>
          </w:p>
        </w:tc>
        <w:tc>
          <w:tcPr>
            <w:tcW w:w="1022" w:type="dxa"/>
            <w:tcBorders>
              <w:top w:val="single" w:sz="6" w:space="0" w:color="000000"/>
              <w:left w:val="single" w:sz="6" w:space="0" w:color="000000"/>
              <w:bottom w:val="single" w:sz="6" w:space="0" w:color="000000"/>
              <w:right w:val="nil"/>
            </w:tcBorders>
          </w:tcPr>
          <w:p w:rsidR="00CE5CB3" w:rsidRPr="00CE5CB3" w:rsidP="00CE5CB3" w14:paraId="4F3D10A5" w14:textId="77777777">
            <w:pPr>
              <w:spacing w:after="120" w:line="259" w:lineRule="auto"/>
              <w:rPr>
                <w:szCs w:val="22"/>
              </w:rPr>
            </w:pPr>
            <w:r w:rsidRPr="00CE5CB3">
              <w:rPr>
                <w:szCs w:val="22"/>
              </w:rPr>
              <w:t>3,000</w:t>
            </w:r>
          </w:p>
        </w:tc>
      </w:tr>
      <w:tr w14:paraId="43E7AFDF"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477BC04B" w14:textId="77777777">
            <w:pPr>
              <w:spacing w:after="120" w:line="259" w:lineRule="auto"/>
              <w:rPr>
                <w:szCs w:val="22"/>
              </w:rPr>
            </w:pPr>
            <w:r w:rsidRPr="00CE5CB3">
              <w:rPr>
                <w:szCs w:val="22"/>
              </w:rPr>
              <w:t>Per call violations of the robocall blocking rules</w:t>
            </w:r>
          </w:p>
        </w:tc>
        <w:tc>
          <w:tcPr>
            <w:tcW w:w="1022" w:type="dxa"/>
            <w:tcBorders>
              <w:top w:val="single" w:sz="6" w:space="0" w:color="000000"/>
              <w:left w:val="single" w:sz="6" w:space="0" w:color="000000"/>
              <w:bottom w:val="single" w:sz="6" w:space="0" w:color="000000"/>
              <w:right w:val="nil"/>
            </w:tcBorders>
          </w:tcPr>
          <w:p w:rsidR="00CE5CB3" w:rsidRPr="00CE5CB3" w:rsidP="00CE5CB3" w14:paraId="718CDC2D" w14:textId="77777777">
            <w:pPr>
              <w:spacing w:after="120" w:line="259" w:lineRule="auto"/>
              <w:rPr>
                <w:szCs w:val="22"/>
              </w:rPr>
            </w:pPr>
            <w:r w:rsidRPr="00CE5CB3">
              <w:rPr>
                <w:szCs w:val="22"/>
              </w:rPr>
              <w:t>2,500</w:t>
            </w:r>
          </w:p>
        </w:tc>
      </w:tr>
      <w:tr w14:paraId="1BDFCA89"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2A52CBDD" w14:textId="77777777">
            <w:pPr>
              <w:spacing w:after="120" w:line="259" w:lineRule="auto"/>
              <w:rPr>
                <w:szCs w:val="22"/>
              </w:rPr>
            </w:pPr>
            <w:r w:rsidRPr="00CE5CB3">
              <w:rPr>
                <w:szCs w:val="22"/>
              </w:rPr>
              <w:t>Per call Know Your Customer violations</w:t>
            </w:r>
          </w:p>
        </w:tc>
        <w:tc>
          <w:tcPr>
            <w:tcW w:w="1022" w:type="dxa"/>
            <w:tcBorders>
              <w:top w:val="single" w:sz="6" w:space="0" w:color="000000"/>
              <w:left w:val="single" w:sz="6" w:space="0" w:color="000000"/>
              <w:bottom w:val="single" w:sz="6" w:space="0" w:color="000000"/>
              <w:right w:val="nil"/>
            </w:tcBorders>
          </w:tcPr>
          <w:p w:rsidR="00CE5CB3" w:rsidRPr="00CE5CB3" w:rsidP="00CE5CB3" w14:paraId="4563AC8F" w14:textId="77777777">
            <w:pPr>
              <w:spacing w:after="120" w:line="259" w:lineRule="auto"/>
              <w:rPr>
                <w:szCs w:val="22"/>
              </w:rPr>
            </w:pPr>
            <w:r w:rsidRPr="00CE5CB3">
              <w:rPr>
                <w:szCs w:val="22"/>
              </w:rPr>
              <w:t>2,500</w:t>
            </w:r>
          </w:p>
        </w:tc>
      </w:tr>
      <w:tr w14:paraId="32D410DF"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7369A26A" w14:textId="77777777">
            <w:pPr>
              <w:spacing w:after="120" w:line="259" w:lineRule="auto"/>
              <w:rPr>
                <w:szCs w:val="22"/>
              </w:rPr>
            </w:pPr>
            <w:r w:rsidRPr="00CE5CB3">
              <w:rPr>
                <w:szCs w:val="22"/>
              </w:rPr>
              <w:t>Failure to make required measurements or conduct required monitoring</w:t>
            </w:r>
          </w:p>
        </w:tc>
        <w:tc>
          <w:tcPr>
            <w:tcW w:w="1022" w:type="dxa"/>
            <w:tcBorders>
              <w:top w:val="single" w:sz="6" w:space="0" w:color="000000"/>
              <w:left w:val="single" w:sz="6" w:space="0" w:color="000000"/>
              <w:bottom w:val="single" w:sz="6" w:space="0" w:color="000000"/>
              <w:right w:val="nil"/>
            </w:tcBorders>
          </w:tcPr>
          <w:p w:rsidR="00CE5CB3" w:rsidRPr="00CE5CB3" w:rsidP="00CE5CB3" w14:paraId="3688A2A3" w14:textId="77777777">
            <w:pPr>
              <w:spacing w:after="120" w:line="259" w:lineRule="auto"/>
              <w:rPr>
                <w:szCs w:val="22"/>
              </w:rPr>
            </w:pPr>
            <w:r w:rsidRPr="00CE5CB3">
              <w:rPr>
                <w:szCs w:val="22"/>
              </w:rPr>
              <w:t>2,000</w:t>
            </w:r>
          </w:p>
        </w:tc>
      </w:tr>
      <w:tr w14:paraId="2C4B2514"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0C9803B2" w14:textId="77777777">
            <w:pPr>
              <w:spacing w:after="120" w:line="259" w:lineRule="auto"/>
              <w:rPr>
                <w:szCs w:val="22"/>
              </w:rPr>
            </w:pPr>
            <w:r w:rsidRPr="00CE5CB3">
              <w:rPr>
                <w:szCs w:val="22"/>
              </w:rPr>
              <w:t>Failure to provide station ID</w:t>
            </w:r>
          </w:p>
        </w:tc>
        <w:tc>
          <w:tcPr>
            <w:tcW w:w="1022" w:type="dxa"/>
            <w:tcBorders>
              <w:top w:val="single" w:sz="6" w:space="0" w:color="000000"/>
              <w:left w:val="single" w:sz="6" w:space="0" w:color="000000"/>
              <w:bottom w:val="single" w:sz="6" w:space="0" w:color="000000"/>
              <w:right w:val="nil"/>
            </w:tcBorders>
          </w:tcPr>
          <w:p w:rsidR="00CE5CB3" w:rsidRPr="00CE5CB3" w:rsidP="00CE5CB3" w14:paraId="3ED27E7C" w14:textId="77777777">
            <w:pPr>
              <w:spacing w:after="120" w:line="259" w:lineRule="auto"/>
              <w:rPr>
                <w:szCs w:val="22"/>
              </w:rPr>
            </w:pPr>
            <w:r w:rsidRPr="00CE5CB3">
              <w:rPr>
                <w:szCs w:val="22"/>
              </w:rPr>
              <w:t>1,000</w:t>
            </w:r>
          </w:p>
        </w:tc>
      </w:tr>
      <w:tr w14:paraId="7829813F"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59DA356C" w14:textId="77777777">
            <w:pPr>
              <w:spacing w:after="120" w:line="259" w:lineRule="auto"/>
              <w:rPr>
                <w:szCs w:val="22"/>
              </w:rPr>
            </w:pPr>
            <w:r w:rsidRPr="00CE5CB3">
              <w:rPr>
                <w:szCs w:val="22"/>
              </w:rPr>
              <w:t>Unauthorized pro forma transfer of control</w:t>
            </w:r>
          </w:p>
        </w:tc>
        <w:tc>
          <w:tcPr>
            <w:tcW w:w="1022" w:type="dxa"/>
            <w:tcBorders>
              <w:top w:val="single" w:sz="6" w:space="0" w:color="000000"/>
              <w:left w:val="single" w:sz="6" w:space="0" w:color="000000"/>
              <w:bottom w:val="single" w:sz="6" w:space="0" w:color="000000"/>
              <w:right w:val="nil"/>
            </w:tcBorders>
          </w:tcPr>
          <w:p w:rsidR="00CE5CB3" w:rsidRPr="00CE5CB3" w:rsidP="00CE5CB3" w14:paraId="2340632D" w14:textId="77777777">
            <w:pPr>
              <w:spacing w:after="120" w:line="259" w:lineRule="auto"/>
              <w:rPr>
                <w:szCs w:val="22"/>
              </w:rPr>
            </w:pPr>
            <w:r w:rsidRPr="00CE5CB3">
              <w:rPr>
                <w:szCs w:val="22"/>
              </w:rPr>
              <w:t>1,000</w:t>
            </w:r>
          </w:p>
        </w:tc>
      </w:tr>
      <w:tr w14:paraId="05F841E7" w14:textId="77777777" w:rsidTr="007357C3">
        <w:tblPrEx>
          <w:tblW w:w="9225" w:type="dxa"/>
          <w:tblInd w:w="15" w:type="dxa"/>
          <w:tblLook w:val="04A0"/>
        </w:tblPrEx>
        <w:trPr>
          <w:trHeight w:val="328"/>
        </w:trPr>
        <w:tc>
          <w:tcPr>
            <w:tcW w:w="8203" w:type="dxa"/>
            <w:tcBorders>
              <w:top w:val="single" w:sz="6" w:space="0" w:color="000000"/>
              <w:left w:val="nil"/>
              <w:bottom w:val="single" w:sz="6" w:space="0" w:color="000000"/>
              <w:right w:val="single" w:sz="6" w:space="0" w:color="000000"/>
            </w:tcBorders>
          </w:tcPr>
          <w:p w:rsidR="00CE5CB3" w:rsidRPr="00CE5CB3" w:rsidP="00CE5CB3" w14:paraId="6B504E29" w14:textId="77777777">
            <w:pPr>
              <w:spacing w:after="120" w:line="259" w:lineRule="auto"/>
              <w:rPr>
                <w:szCs w:val="22"/>
              </w:rPr>
            </w:pPr>
            <w:r w:rsidRPr="00CE5CB3">
              <w:rPr>
                <w:szCs w:val="22"/>
              </w:rPr>
              <w:t>Failure to maintain required records</w:t>
            </w:r>
          </w:p>
        </w:tc>
        <w:tc>
          <w:tcPr>
            <w:tcW w:w="1022" w:type="dxa"/>
            <w:tcBorders>
              <w:top w:val="single" w:sz="6" w:space="0" w:color="000000"/>
              <w:left w:val="single" w:sz="6" w:space="0" w:color="000000"/>
              <w:bottom w:val="single" w:sz="6" w:space="0" w:color="000000"/>
              <w:right w:val="nil"/>
            </w:tcBorders>
          </w:tcPr>
          <w:p w:rsidR="00CE5CB3" w:rsidRPr="00CE5CB3" w:rsidP="00CE5CB3" w14:paraId="02D379E7" w14:textId="77777777">
            <w:pPr>
              <w:spacing w:after="120" w:line="259" w:lineRule="auto"/>
              <w:rPr>
                <w:szCs w:val="22"/>
              </w:rPr>
            </w:pPr>
            <w:r w:rsidRPr="00CE5CB3">
              <w:rPr>
                <w:szCs w:val="22"/>
              </w:rPr>
              <w:t>1,000</w:t>
            </w:r>
          </w:p>
        </w:tc>
      </w:tr>
    </w:tbl>
    <w:p w:rsidR="00CE5CB3" w:rsidRPr="00CE5CB3" w:rsidP="00CE5CB3" w14:paraId="4CCB26DC" w14:textId="77777777">
      <w:pPr>
        <w:spacing w:after="120" w:line="259" w:lineRule="auto"/>
        <w:rPr>
          <w:szCs w:val="22"/>
        </w:rPr>
      </w:pPr>
    </w:p>
    <w:p w:rsidR="00335FA4" w:rsidRPr="003151F4" w:rsidP="002168BA" w14:paraId="4F1C8DAD" w14:textId="62EDE891">
      <w:pPr>
        <w:spacing w:after="120" w:line="259" w:lineRule="auto"/>
        <w:rPr>
          <w:szCs w:val="22"/>
        </w:rPr>
      </w:pPr>
      <w:r w:rsidRPr="00CE5CB3">
        <w:rPr>
          <w:szCs w:val="22"/>
        </w:rPr>
        <w:t>* * * * *</w:t>
      </w:r>
    </w:p>
    <w:p w:rsidR="00905DAA" w:rsidP="00793857" w14:paraId="3FC51263" w14:textId="1D670CCA">
      <w:pPr>
        <w:spacing w:after="120" w:line="259" w:lineRule="auto"/>
      </w:pPr>
    </w:p>
    <w:p w:rsidR="00905DAA" w:rsidP="00AF4B77" w14:paraId="594623F0" w14:textId="14452EBC">
      <w:pPr>
        <w:pStyle w:val="ListParagraph"/>
        <w:spacing w:after="120"/>
      </w:pPr>
    </w:p>
    <w:p w:rsidR="00905DAA" w:rsidP="00110307" w14:paraId="72DD980F" w14:textId="77777777">
      <w:pPr>
        <w:spacing w:after="120" w:line="259" w:lineRule="auto"/>
        <w:ind w:left="720"/>
        <w:contextualSpacing/>
        <w:sectPr w:rsidSect="00905DAA">
          <w:footerReference w:type="first" r:id="rId13"/>
          <w:endnotePr>
            <w:numFmt w:val="decimal"/>
          </w:endnotePr>
          <w:pgSz w:w="12240" w:h="15840"/>
          <w:pgMar w:top="1440" w:right="1440" w:bottom="720" w:left="1440" w:header="720" w:footer="720" w:gutter="0"/>
          <w:cols w:space="720"/>
          <w:noEndnote/>
          <w:titlePg/>
          <w:docGrid w:linePitch="299"/>
        </w:sectPr>
      </w:pPr>
    </w:p>
    <w:p w:rsidR="00905DAA" w:rsidRPr="00920D18" w:rsidP="00110307" w14:paraId="3A1F6A8A" w14:textId="77777777">
      <w:pPr>
        <w:jc w:val="center"/>
        <w:rPr>
          <w:b/>
          <w:szCs w:val="22"/>
        </w:rPr>
      </w:pPr>
      <w:r w:rsidRPr="00920D18">
        <w:rPr>
          <w:rFonts w:eastAsia="Calibri"/>
          <w:b/>
          <w:kern w:val="0"/>
          <w:szCs w:val="22"/>
        </w:rPr>
        <w:t>APPENDIX B</w:t>
      </w:r>
      <w:r w:rsidRPr="00920D18">
        <w:rPr>
          <w:b/>
          <w:szCs w:val="22"/>
        </w:rPr>
        <w:t xml:space="preserve"> </w:t>
      </w:r>
    </w:p>
    <w:p w:rsidR="00905DAA" w:rsidRPr="00920D18" w:rsidP="00905DAA" w14:paraId="624709F8" w14:textId="77777777">
      <w:pPr>
        <w:jc w:val="center"/>
        <w:rPr>
          <w:b/>
          <w:szCs w:val="22"/>
        </w:rPr>
      </w:pPr>
      <w:r w:rsidRPr="00920D18">
        <w:rPr>
          <w:b/>
          <w:szCs w:val="22"/>
        </w:rPr>
        <w:t>Initial Regulatory Flexibility Analysis</w:t>
      </w:r>
    </w:p>
    <w:p w:rsidR="00905DAA" w:rsidRPr="00920D18" w:rsidP="00905DAA" w14:paraId="5A566721" w14:textId="77777777">
      <w:pPr>
        <w:jc w:val="center"/>
      </w:pPr>
      <w:r w:rsidRPr="00920D18">
        <w:t xml:space="preserve"> </w:t>
      </w:r>
    </w:p>
    <w:p w:rsidR="00905DAA" w:rsidRPr="00920D18" w:rsidP="00DB6C05" w14:paraId="3FBF3661" w14:textId="77777777">
      <w:pPr>
        <w:pStyle w:val="ParaNum"/>
        <w:numPr>
          <w:ilvl w:val="0"/>
          <w:numId w:val="20"/>
        </w:numPr>
      </w:pPr>
      <w:r w:rsidRPr="00920D18">
        <w:t>As required by the Regulatory Flexibility Act of 1980, as amended (RFA),</w:t>
      </w:r>
      <w:r>
        <w:rPr>
          <w:sz w:val="20"/>
          <w:vertAlign w:val="superscript"/>
        </w:rPr>
        <w:footnoteReference w:id="63"/>
      </w:r>
      <w:r w:rsidRPr="00920D18">
        <w:t xml:space="preserve"> the Federal Communications Commission (Commission) has prepared this Initial Regulatory Flexibility Analysis (IRFA) of the policies and rules proposed in the </w:t>
      </w:r>
      <w:r w:rsidRPr="00DB6C05">
        <w:rPr>
          <w:i/>
          <w:iCs/>
        </w:rPr>
        <w:t>Further Notice</w:t>
      </w:r>
      <w:r w:rsidRPr="00920D18">
        <w:t xml:space="preserve"> </w:t>
      </w:r>
      <w:r w:rsidRPr="00DB6C05">
        <w:rPr>
          <w:i/>
        </w:rPr>
        <w:t>of Proposed Rulemaking</w:t>
      </w:r>
      <w:r w:rsidRPr="00920D18">
        <w:t xml:space="preserve"> (</w:t>
      </w:r>
      <w:r w:rsidRPr="00DB6C05">
        <w:rPr>
          <w:i/>
        </w:rPr>
        <w:t xml:space="preserve">Notice) </w:t>
      </w:r>
      <w:r w:rsidRPr="00920D18">
        <w:t xml:space="preserve">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DB6C05">
        <w:rPr>
          <w:i/>
        </w:rPr>
        <w:t xml:space="preserve">Notice.  </w:t>
      </w:r>
      <w:r w:rsidRPr="00920D18">
        <w:t xml:space="preserve">The Commission will send a copy of the </w:t>
      </w:r>
      <w:r w:rsidRPr="00DB6C05">
        <w:rPr>
          <w:i/>
        </w:rPr>
        <w:t>Notice</w:t>
      </w:r>
      <w:r w:rsidRPr="00920D18">
        <w:t xml:space="preserve"> including this IRFA, to the Chief Counsel</w:t>
      </w:r>
      <w:r>
        <w:t xml:space="preserve"> for the SBA Office of Advocacy</w:t>
      </w:r>
      <w:r w:rsidRPr="00920D18">
        <w:t>.</w:t>
      </w:r>
      <w:r>
        <w:rPr>
          <w:sz w:val="20"/>
          <w:vertAlign w:val="superscript"/>
        </w:rPr>
        <w:footnoteReference w:id="64"/>
      </w:r>
      <w:r w:rsidRPr="00920D18">
        <w:t xml:space="preserve">  In addition, the </w:t>
      </w:r>
      <w:r w:rsidRPr="00DB6C05">
        <w:rPr>
          <w:i/>
        </w:rPr>
        <w:t xml:space="preserve">Notice </w:t>
      </w:r>
      <w:r w:rsidRPr="00920D18">
        <w:t xml:space="preserve">and IRFA </w:t>
      </w:r>
      <w:bookmarkStart w:id="102" w:name="_Hlk94175636"/>
      <w:r w:rsidRPr="00920D18">
        <w:t>(or summaries thereof) will be published in the Federal Register.</w:t>
      </w:r>
      <w:r>
        <w:rPr>
          <w:sz w:val="20"/>
          <w:vertAlign w:val="superscript"/>
        </w:rPr>
        <w:footnoteReference w:id="65"/>
      </w:r>
      <w:r w:rsidRPr="00920D18">
        <w:t xml:space="preserve">  </w:t>
      </w:r>
    </w:p>
    <w:p w:rsidR="00905DAA" w:rsidRPr="00920D18" w:rsidP="00863B7A" w14:paraId="2595F577" w14:textId="77777777">
      <w:pPr>
        <w:pStyle w:val="Heading2"/>
      </w:pPr>
      <w:bookmarkStart w:id="103" w:name="_Toc474532761"/>
      <w:bookmarkStart w:id="104" w:name="_Toc474534427"/>
      <w:bookmarkStart w:id="105" w:name="_Toc474752054"/>
      <w:bookmarkStart w:id="106" w:name="_Toc474947294"/>
      <w:bookmarkStart w:id="107" w:name="_Toc475028094"/>
      <w:bookmarkStart w:id="108" w:name="_Toc475537257"/>
      <w:bookmarkStart w:id="109" w:name="_Toc475899457"/>
      <w:bookmarkStart w:id="110" w:name="_Toc477805789"/>
      <w:bookmarkStart w:id="111" w:name="_Toc477954223"/>
      <w:bookmarkStart w:id="112" w:name="_Toc209031291"/>
      <w:bookmarkStart w:id="113" w:name="_Toc209512724"/>
      <w:bookmarkStart w:id="114" w:name="_Toc210640460"/>
      <w:bookmarkStart w:id="115" w:name="_Toc212121492"/>
      <w:bookmarkStart w:id="116" w:name="_Toc212467167"/>
      <w:bookmarkEnd w:id="102"/>
      <w:r w:rsidRPr="00920D18">
        <w:t>Need for, and Objectives of, the Proposed Rules</w:t>
      </w:r>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rsidR="008B725C" w:rsidP="002F3FD1" w14:paraId="0F87432C" w14:textId="216AF545">
      <w:pPr>
        <w:pStyle w:val="ParaNum"/>
        <w:numPr>
          <w:ilvl w:val="0"/>
          <w:numId w:val="20"/>
        </w:numPr>
      </w:pPr>
      <w:r>
        <w:t xml:space="preserve">The Commission has prioritized combatting illegal </w:t>
      </w:r>
      <w:r w:rsidR="00467982">
        <w:t>c</w:t>
      </w:r>
      <w:r>
        <w:t>alls as a top consumer protection.  The Commission’s goal is to stop illegal calls before they enter the network</w:t>
      </w:r>
      <w:r w:rsidR="00D57C65">
        <w:t xml:space="preserve">, thus requiring </w:t>
      </w:r>
      <w:r w:rsidR="002802EA">
        <w:t xml:space="preserve">originating </w:t>
      </w:r>
      <w:r w:rsidR="00D57C65">
        <w:t>providers to block them, which would give consumers more information and ability to decide which calls they wish to receive</w:t>
      </w:r>
      <w:r w:rsidR="00CB47AC">
        <w:t xml:space="preserve">.  </w:t>
      </w:r>
      <w:r w:rsidRPr="00920D18" w:rsidR="001338A5">
        <w:t>The Commission initiates this proceeding</w:t>
      </w:r>
      <w:r w:rsidRPr="00E47723" w:rsidR="00E47723">
        <w:rPr>
          <w:i/>
          <w:iCs/>
        </w:rPr>
        <w:t xml:space="preserve"> </w:t>
      </w:r>
      <w:r w:rsidRPr="00E47723" w:rsidR="00E47723">
        <w:t xml:space="preserve">to </w:t>
      </w:r>
      <w:r>
        <w:t xml:space="preserve">further </w:t>
      </w:r>
      <w:r w:rsidRPr="00E47723" w:rsidR="00E47723">
        <w:t xml:space="preserve">enhance </w:t>
      </w:r>
      <w:r w:rsidR="00CB47AC">
        <w:t>its</w:t>
      </w:r>
      <w:r w:rsidRPr="00E47723" w:rsidR="00E47723">
        <w:t xml:space="preserve"> existing “Know-Your-Customer” (KYC)</w:t>
      </w:r>
      <w:r w:rsidR="002C3046">
        <w:t xml:space="preserve"> requirements</w:t>
      </w:r>
      <w:r w:rsidRPr="00E47723" w:rsidR="00E47723">
        <w:t xml:space="preserve"> to mandate better compliance and enforcement of the rule</w:t>
      </w:r>
      <w:r w:rsidR="00DD6634">
        <w:t>.  The Commission seeks comment on</w:t>
      </w:r>
      <w:r w:rsidRPr="00E47723" w:rsidR="00E47723">
        <w:t xml:space="preserve"> specific actions </w:t>
      </w:r>
      <w:r w:rsidR="002F6089">
        <w:t>originating</w:t>
      </w:r>
      <w:r w:rsidR="00FD3887">
        <w:t xml:space="preserve"> </w:t>
      </w:r>
      <w:r w:rsidRPr="00E47723" w:rsidR="00E47723">
        <w:t xml:space="preserve">providers must take to guard against </w:t>
      </w:r>
      <w:r w:rsidR="00DD6634">
        <w:t xml:space="preserve">the </w:t>
      </w:r>
      <w:r w:rsidRPr="00E47723" w:rsidR="00E47723">
        <w:t xml:space="preserve">origination of illegal calls.  </w:t>
      </w:r>
      <w:r w:rsidR="00787F53">
        <w:t xml:space="preserve">In this </w:t>
      </w:r>
      <w:r w:rsidR="00787F53">
        <w:rPr>
          <w:i/>
          <w:iCs/>
        </w:rPr>
        <w:t>Notice</w:t>
      </w:r>
      <w:r w:rsidR="00787F53">
        <w:t>, t</w:t>
      </w:r>
      <w:r w:rsidRPr="00B92A32" w:rsidR="00B92A32">
        <w:t xml:space="preserve">he Commission </w:t>
      </w:r>
      <w:r w:rsidR="00890082">
        <w:t xml:space="preserve">notes that it </w:t>
      </w:r>
      <w:r w:rsidRPr="00B92A32" w:rsidR="00B92A32">
        <w:t>receives more complaints about unwanted calls than any other issue.</w:t>
      </w:r>
      <w:r>
        <w:rPr>
          <w:vertAlign w:val="superscript"/>
        </w:rPr>
        <w:footnoteReference w:id="66"/>
      </w:r>
      <w:r w:rsidRPr="00B92A32" w:rsidR="00B92A32">
        <w:t xml:space="preserve">  Unwanted and often illegal calls can annoy</w:t>
      </w:r>
      <w:r w:rsidR="00890082">
        <w:t xml:space="preserve"> and</w:t>
      </w:r>
      <w:r w:rsidRPr="00B92A32" w:rsidR="00B92A32">
        <w:t xml:space="preserve"> defraud</w:t>
      </w:r>
      <w:r w:rsidR="003D0878">
        <w:t xml:space="preserve"> the consumer as well</w:t>
      </w:r>
      <w:r w:rsidR="00D112E5">
        <w:t xml:space="preserve"> as</w:t>
      </w:r>
      <w:r w:rsidRPr="00B92A32" w:rsidR="00B92A32">
        <w:t xml:space="preserve"> lead to eroding confidence in the telecommunications network while costing consumers billions of dollars in fraud, wasted time, and nuisance.</w:t>
      </w:r>
      <w:r>
        <w:rPr>
          <w:vertAlign w:val="superscript"/>
        </w:rPr>
        <w:footnoteReference w:id="67"/>
      </w:r>
      <w:r w:rsidRPr="00B92A32" w:rsidR="00B92A32">
        <w:t xml:space="preserve">  </w:t>
      </w:r>
    </w:p>
    <w:p w:rsidR="00905DAA" w:rsidRPr="00920D18" w:rsidP="002F3FD1" w14:paraId="04F6A1FD" w14:textId="79416360">
      <w:pPr>
        <w:pStyle w:val="ParaNum"/>
        <w:numPr>
          <w:ilvl w:val="0"/>
          <w:numId w:val="20"/>
        </w:numPr>
      </w:pPr>
      <w:r>
        <w:t>T</w:t>
      </w:r>
      <w:r w:rsidRPr="00B92A32" w:rsidR="00B92A32">
        <w:t xml:space="preserve">he most effective way to prevent illegal calls from reaching American consumers is by ensuring that those calls never originate on or enter the </w:t>
      </w:r>
      <w:r w:rsidR="00D112E5">
        <w:t xml:space="preserve">U.S. </w:t>
      </w:r>
      <w:r w:rsidRPr="00B92A32" w:rsidR="00B92A32">
        <w:t xml:space="preserve">network.  </w:t>
      </w:r>
      <w:r w:rsidR="00D112E5">
        <w:t xml:space="preserve">The Commission seeks comment on </w:t>
      </w:r>
      <w:r w:rsidR="007A1071">
        <w:t>ways</w:t>
      </w:r>
      <w:r w:rsidR="00F1574F">
        <w:t xml:space="preserve"> to keep </w:t>
      </w:r>
      <w:r w:rsidR="00C53AB3">
        <w:t>bad actor</w:t>
      </w:r>
      <w:r w:rsidR="00F1574F">
        <w:t>s from</w:t>
      </w:r>
      <w:r w:rsidR="00387045">
        <w:t xml:space="preserve"> </w:t>
      </w:r>
      <w:r w:rsidR="00486B1C">
        <w:t xml:space="preserve">gaining </w:t>
      </w:r>
      <w:r w:rsidR="00387045">
        <w:t>access to the network.  The Commission believes that o</w:t>
      </w:r>
      <w:r w:rsidRPr="00B92A32" w:rsidR="00B92A32">
        <w:t>riginating</w:t>
      </w:r>
      <w:r w:rsidR="00FD3887">
        <w:t xml:space="preserve"> </w:t>
      </w:r>
      <w:r w:rsidRPr="00B92A32" w:rsidR="00B92A32">
        <w:t>providers are best positioned to stop illegal</w:t>
      </w:r>
      <w:r w:rsidR="0072418A">
        <w:t xml:space="preserve"> </w:t>
      </w:r>
      <w:r w:rsidRPr="00B92A32" w:rsidR="00B92A32">
        <w:t>calls before they enter the network by screening new or renewing customers.  When a</w:t>
      </w:r>
      <w:r w:rsidR="009A6382">
        <w:t>n originating</w:t>
      </w:r>
      <w:r w:rsidR="00021602">
        <w:t xml:space="preserve"> </w:t>
      </w:r>
      <w:r w:rsidRPr="00B92A32" w:rsidR="00B92A32">
        <w:t>provider fails to meet its obligations to properly scrutinize its customers before they commence using the provider’s services to originate calls, it creates a risk that malicious actors will gain access to those services to make illegal calls and opens the door for foreign actors to exploit U.S. networks for fraud, espionage, or influence operations that undermine national security.  In addition, the Commission’s ability to identify and locate the parties that are responsible for making illegal calls is hindered when accurate and complete customer information is unavailable from the voice service provider</w:t>
      </w:r>
      <w:r w:rsidR="00B92A32">
        <w:t>.</w:t>
      </w:r>
    </w:p>
    <w:p w:rsidR="00905DAA" w:rsidRPr="009C77A3" w:rsidP="00673734" w14:paraId="173A5191" w14:textId="5FFCE17B">
      <w:pPr>
        <w:pStyle w:val="ParaNum"/>
        <w:widowControl/>
        <w:numPr>
          <w:ilvl w:val="0"/>
          <w:numId w:val="20"/>
        </w:numPr>
        <w:rPr>
          <w:kern w:val="0"/>
        </w:rPr>
      </w:pPr>
      <w:r>
        <w:rPr>
          <w:kern w:val="0"/>
        </w:rPr>
        <w:t xml:space="preserve">In this </w:t>
      </w:r>
      <w:r>
        <w:rPr>
          <w:i/>
          <w:iCs/>
          <w:kern w:val="0"/>
        </w:rPr>
        <w:t>Notice</w:t>
      </w:r>
      <w:r>
        <w:rPr>
          <w:kern w:val="0"/>
        </w:rPr>
        <w:t xml:space="preserve">, </w:t>
      </w:r>
      <w:r w:rsidRPr="00B92A32">
        <w:rPr>
          <w:kern w:val="0"/>
        </w:rPr>
        <w:t xml:space="preserve">we:  (1) </w:t>
      </w:r>
      <w:r w:rsidR="005F6E2B">
        <w:rPr>
          <w:kern w:val="0"/>
        </w:rPr>
        <w:t>seek comment on</w:t>
      </w:r>
      <w:r w:rsidRPr="00B92A32">
        <w:rPr>
          <w:kern w:val="0"/>
        </w:rPr>
        <w:t xml:space="preserve"> specific customer identification requirements for new and renewing customers; (2) </w:t>
      </w:r>
      <w:r w:rsidR="005F6E2B">
        <w:rPr>
          <w:kern w:val="0"/>
        </w:rPr>
        <w:t>seek comment on req</w:t>
      </w:r>
      <w:r w:rsidR="00D1574A">
        <w:rPr>
          <w:kern w:val="0"/>
        </w:rPr>
        <w:t>uirements</w:t>
      </w:r>
      <w:r w:rsidRPr="00B92A32">
        <w:rPr>
          <w:kern w:val="0"/>
        </w:rPr>
        <w:t xml:space="preserve"> for </w:t>
      </w:r>
      <w:r w:rsidR="00F7101E">
        <w:rPr>
          <w:kern w:val="0"/>
        </w:rPr>
        <w:t xml:space="preserve">originating </w:t>
      </w:r>
      <w:r w:rsidRPr="00B92A32">
        <w:rPr>
          <w:kern w:val="0"/>
        </w:rPr>
        <w:t>providers to verify, retain, and periodically re-verify customer information; (3) seek comment on whether any enhanced KYC requirements should include risk-based security controls to require higher levels of scrutiny for certain customers including foreign customers and high</w:t>
      </w:r>
      <w:r w:rsidR="00705E85">
        <w:rPr>
          <w:kern w:val="0"/>
        </w:rPr>
        <w:t>-</w:t>
      </w:r>
      <w:r w:rsidRPr="00B92A32">
        <w:rPr>
          <w:kern w:val="0"/>
        </w:rPr>
        <w:t xml:space="preserve">volume customers based on the risks posed to make </w:t>
      </w:r>
      <w:r w:rsidRPr="00B92A32">
        <w:rPr>
          <w:kern w:val="0"/>
        </w:rPr>
        <w:t>illegal calls; and (4) propose that the Commission will assess penalties for violations of the KYC rule on a per call basis.</w:t>
      </w:r>
    </w:p>
    <w:p w:rsidR="00905DAA" w:rsidRPr="00920D18" w:rsidP="00863B7A" w14:paraId="3357D5D5" w14:textId="77777777">
      <w:pPr>
        <w:pStyle w:val="Heading2"/>
      </w:pPr>
      <w:bookmarkStart w:id="117" w:name="_Toc474532762"/>
      <w:bookmarkStart w:id="118" w:name="_Toc474534428"/>
      <w:bookmarkStart w:id="119" w:name="_Toc474752055"/>
      <w:bookmarkStart w:id="120" w:name="_Toc474947295"/>
      <w:bookmarkStart w:id="121" w:name="_Toc475028095"/>
      <w:bookmarkStart w:id="122" w:name="_Toc475537258"/>
      <w:bookmarkStart w:id="123" w:name="_Toc475899458"/>
      <w:bookmarkStart w:id="124" w:name="_Toc477805790"/>
      <w:bookmarkStart w:id="125" w:name="_Toc477954224"/>
      <w:bookmarkStart w:id="126" w:name="_Toc209031292"/>
      <w:bookmarkStart w:id="127" w:name="_Toc209512725"/>
      <w:bookmarkStart w:id="128" w:name="_Toc210640461"/>
      <w:bookmarkStart w:id="129" w:name="_Toc212121493"/>
      <w:bookmarkStart w:id="130" w:name="_Toc212467168"/>
      <w:r w:rsidRPr="00920D18">
        <w:t>Legal Basis</w:t>
      </w:r>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905DAA" w:rsidRPr="00920D18" w:rsidP="00391011" w14:paraId="4BB32206" w14:textId="33D54F4B">
      <w:pPr>
        <w:pStyle w:val="ParaNum"/>
        <w:numPr>
          <w:ilvl w:val="0"/>
          <w:numId w:val="20"/>
        </w:numPr>
      </w:pPr>
      <w:r>
        <w:rPr>
          <w:noProof/>
        </w:rPr>
        <mc:AlternateContent>
          <mc:Choice Requires="wpi">
            <w:drawing>
              <wp:anchor distT="0" distB="0" distL="114300" distR="114300" simplePos="0" relativeHeight="251658240" behindDoc="0" locked="0" layoutInCell="1" allowOverlap="1">
                <wp:simplePos x="0" y="0"/>
                <wp:positionH relativeFrom="column">
                  <wp:posOffset>-2114715</wp:posOffset>
                </wp:positionH>
                <wp:positionV relativeFrom="paragraph">
                  <wp:posOffset>2706205</wp:posOffset>
                </wp:positionV>
                <wp:extent cx="360" cy="360"/>
                <wp:effectExtent l="95250" t="152400" r="76200" b="133350"/>
                <wp:wrapNone/>
                <wp:docPr id="494412353" name="Ink 1"/>
                <wp:cNvGraphicFramePr/>
                <a:graphic xmlns:a="http://schemas.openxmlformats.org/drawingml/2006/main">
                  <a:graphicData uri="http://schemas.microsoft.com/office/word/2010/wordprocessingInk">
                    <w14:contentPart xmlns:r="http://schemas.openxmlformats.org/officeDocument/2006/relationships" xmlns:w14="http://schemas.microsoft.com/office/word/2010/wordml" bwMode="auto" r:id="rId14">
                      <w14:nvContentPartPr>
                        <w14:cNvContentPartPr>
                          <a:cpLocks noRot="1"/>
                        </w14:cNvContentPartPr>
                      </w14:nvContentPartPr>
                      <w14:xfrm>
                        <a:off x="0" y="0"/>
                        <a:ext cx="360" cy="360"/>
                      </w14:xfrm>
                    </w14:contentPart>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5" type="#_x0000_t75" style="width:8.55pt;height:17.05pt;margin-top:204.6pt;margin-left:-170.75pt;mso-wrap-distance-bottom:0;mso-wrap-distance-left:9pt;mso-wrap-distance-right:9pt;mso-wrap-distance-top:0;mso-wrap-style:square;position:absolute;visibility:visible;z-index:251659264">
                <v:imagedata r:id="rId15" o:title=""/>
                <o:lock v:ext="edit" aspectratio="f"/>
              </v:shape>
            </w:pict>
          </mc:Fallback>
        </mc:AlternateContent>
      </w:r>
      <w:r w:rsidRPr="00920D18" w:rsidR="001338A5">
        <w:t>The proposed action is authorized pursuant to sections 1-4, 201(b), 227</w:t>
      </w:r>
      <w:r w:rsidR="005416A9">
        <w:t>(e)</w:t>
      </w:r>
      <w:r w:rsidRPr="00920D18" w:rsidR="001338A5">
        <w:t>, and 251(e)</w:t>
      </w:r>
      <w:r w:rsidR="000826DC">
        <w:t xml:space="preserve"> </w:t>
      </w:r>
      <w:r w:rsidRPr="00920D18" w:rsidR="001338A5">
        <w:t>of the Communications Act of 1934, as amended, and 47 U.S.C. §§ 151-154, 201</w:t>
      </w:r>
      <w:r w:rsidR="005416A9">
        <w:t>(b)</w:t>
      </w:r>
      <w:r w:rsidRPr="00920D18" w:rsidR="001338A5">
        <w:t>, 227</w:t>
      </w:r>
      <w:r w:rsidR="005416A9">
        <w:t>(e)</w:t>
      </w:r>
      <w:r w:rsidRPr="00920D18" w:rsidR="001338A5">
        <w:t xml:space="preserve">, and 251(e). </w:t>
      </w:r>
    </w:p>
    <w:p w:rsidR="00905DAA" w:rsidRPr="00920D18" w:rsidP="00863B7A" w14:paraId="322D0B42" w14:textId="77777777">
      <w:pPr>
        <w:pStyle w:val="Heading2"/>
      </w:pPr>
      <w:bookmarkStart w:id="131" w:name="_Toc474532763"/>
      <w:bookmarkStart w:id="132" w:name="_Toc474534429"/>
      <w:bookmarkStart w:id="133" w:name="_Toc474752056"/>
      <w:bookmarkStart w:id="134" w:name="_Toc474947296"/>
      <w:bookmarkStart w:id="135" w:name="_Toc475028096"/>
      <w:bookmarkStart w:id="136" w:name="_Toc475537259"/>
      <w:bookmarkStart w:id="137" w:name="_Toc475899459"/>
      <w:bookmarkStart w:id="138" w:name="_Toc477805791"/>
      <w:bookmarkStart w:id="139" w:name="_Toc477954225"/>
      <w:bookmarkStart w:id="140" w:name="_Toc209031293"/>
      <w:bookmarkStart w:id="141" w:name="_Toc209512726"/>
      <w:bookmarkStart w:id="142" w:name="_Toc210640462"/>
      <w:bookmarkStart w:id="143" w:name="_Toc212121494"/>
      <w:bookmarkStart w:id="144" w:name="_Toc212467169"/>
      <w:r w:rsidRPr="00920D18">
        <w:t>Description and Estimate of the Number of Small Entities to Which the Proposed Rules Will Apply</w:t>
      </w:r>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rsidR="00905DAA" w:rsidRPr="00920D18" w:rsidP="00391011" w14:paraId="0515BCF8" w14:textId="77777777">
      <w:pPr>
        <w:pStyle w:val="ParaNum"/>
        <w:numPr>
          <w:ilvl w:val="0"/>
          <w:numId w:val="20"/>
        </w:numPr>
      </w:pPr>
      <w:r w:rsidRPr="00920D18">
        <w:t>The RFA directs agencies to provide a description of and, where feasible, an estimate of the number of small entities that may be affected by the proposed rules, if adopted.</w:t>
      </w:r>
      <w:r>
        <w:rPr>
          <w:vertAlign w:val="superscript"/>
        </w:rPr>
        <w:footnoteReference w:id="68"/>
      </w:r>
      <w:r w:rsidRPr="00920D18">
        <w:t xml:space="preserve">  The RFA generally defines the term “small entity” as having the same meaning as the terms “small business,” “small organization,” and “small governmental jurisdiction.”</w:t>
      </w:r>
      <w:r>
        <w:rPr>
          <w:vertAlign w:val="superscript"/>
        </w:rPr>
        <w:footnoteReference w:id="69"/>
      </w:r>
      <w:r w:rsidRPr="00920D18">
        <w:t xml:space="preserve">  In addition, the term “small business” has the same meaning as the term “small business concern” under the Small Business Act (SBA).</w:t>
      </w:r>
      <w:r>
        <w:rPr>
          <w:vertAlign w:val="superscript"/>
        </w:rPr>
        <w:footnoteReference w:id="70"/>
      </w:r>
      <w:r w:rsidRPr="00920D18">
        <w:t xml:space="preserve">  A “small business concern” is one which: (1) is independently owned and operated; (2) is not dominant in its field of operation; and (3) satisfies any additional criteria established by the SBA.</w:t>
      </w:r>
      <w:r>
        <w:rPr>
          <w:vertAlign w:val="superscript"/>
        </w:rPr>
        <w:footnoteReference w:id="71"/>
      </w:r>
      <w:r w:rsidRPr="00920D18">
        <w:t xml:space="preserve">  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vertAlign w:val="superscript"/>
        </w:rPr>
        <w:footnoteReference w:id="72"/>
      </w:r>
      <w:r w:rsidRPr="00920D18">
        <w:t xml:space="preserve">  </w:t>
      </w:r>
    </w:p>
    <w:p w:rsidR="00905DAA" w:rsidRPr="00920D18" w:rsidP="00401A2C" w14:paraId="2DFF2F57" w14:textId="77777777">
      <w:pPr>
        <w:pStyle w:val="ParaNum"/>
        <w:widowControl/>
        <w:numPr>
          <w:ilvl w:val="0"/>
          <w:numId w:val="20"/>
        </w:numPr>
      </w:pPr>
      <w:r w:rsidRPr="00920D18">
        <w:t>Our actions, over time, may affect small entities that are not easily categorized at present.  We therefore describe three broad groups of small entities that could be directly affected by our actions.</w:t>
      </w:r>
      <w:r>
        <w:rPr>
          <w:vertAlign w:val="superscript"/>
        </w:rPr>
        <w:footnoteReference w:id="73"/>
      </w:r>
      <w:r w:rsidRPr="00920D18">
        <w:t xml:space="preserve">  In general, a small business is an independent business having fewer than 500 employees.</w:t>
      </w:r>
      <w:r>
        <w:rPr>
          <w:vertAlign w:val="superscript"/>
        </w:rPr>
        <w:footnoteReference w:id="74"/>
      </w:r>
      <w:r w:rsidRPr="00920D18">
        <w:t xml:space="preserve">  These types of small businesses represent 99.9% of all businesses in the United States, which translates to 34.75 million businesses.</w:t>
      </w:r>
      <w:r>
        <w:rPr>
          <w:vertAlign w:val="superscript"/>
        </w:rPr>
        <w:footnoteReference w:id="75"/>
      </w:r>
      <w:r w:rsidRPr="00920D18">
        <w:t xml:space="preserve">  Next, “small organizations” are not-for-profit enterprises that are independently owned and operated and not dominant their field.</w:t>
      </w:r>
      <w:r>
        <w:rPr>
          <w:vertAlign w:val="superscript"/>
        </w:rPr>
        <w:footnoteReference w:id="76"/>
      </w:r>
      <w:r w:rsidRPr="00920D18">
        <w:t xml:space="preserve">  While we do not have data regarding the number of non-profits that meet that criteria, over 99 percent of nonprofits have fewer than 500 employees.</w:t>
      </w:r>
      <w:r>
        <w:rPr>
          <w:vertAlign w:val="superscript"/>
        </w:rPr>
        <w:footnoteReference w:id="77"/>
      </w:r>
      <w:r w:rsidRPr="00920D18">
        <w:t xml:space="preserve">  Finally, “small governmental jurisdictions” are defined as cities, counties, towns, townships, villages, school districts, or special districts with populations of less than fifty thousand.</w:t>
      </w:r>
      <w:r>
        <w:rPr>
          <w:vertAlign w:val="superscript"/>
        </w:rPr>
        <w:footnoteReference w:id="78"/>
      </w:r>
      <w:r w:rsidRPr="00920D18">
        <w:t xml:space="preserve">  Based on the 2022 U.S. </w:t>
      </w:r>
      <w:r w:rsidRPr="00920D18">
        <w:t>Census of Governments data, we estimate that at least 48,724 out of 90,835 local government jurisdictions have a population of less than 50,000.</w:t>
      </w:r>
      <w:r>
        <w:rPr>
          <w:vertAlign w:val="superscript"/>
        </w:rPr>
        <w:footnoteReference w:id="79"/>
      </w:r>
      <w:r w:rsidRPr="00920D18">
        <w:t xml:space="preserve">  </w:t>
      </w:r>
    </w:p>
    <w:p w:rsidR="00905DAA" w:rsidRPr="00920D18" w:rsidP="00391011" w14:paraId="31C7EDC1" w14:textId="77777777">
      <w:pPr>
        <w:pStyle w:val="ParaNum"/>
        <w:numPr>
          <w:ilvl w:val="0"/>
          <w:numId w:val="20"/>
        </w:numPr>
      </w:pPr>
      <w:r w:rsidRPr="00920D18">
        <w:t>The rules proposed in the</w:t>
      </w:r>
      <w:r w:rsidRPr="00920D18">
        <w:rPr>
          <w:iCs/>
        </w:rPr>
        <w:t xml:space="preserve"> </w:t>
      </w:r>
      <w:r w:rsidRPr="00591513">
        <w:rPr>
          <w:i/>
        </w:rPr>
        <w:t>Notice</w:t>
      </w:r>
      <w:r w:rsidRPr="00920D18">
        <w:rPr>
          <w:iCs/>
        </w:rPr>
        <w:t xml:space="preserve"> </w:t>
      </w:r>
      <w:r w:rsidRPr="00920D18">
        <w:t>will apply to small entities in the industries identified in the chart below by their six-digit North American Industry Classification System (NAICS)</w:t>
      </w:r>
      <w:r>
        <w:rPr>
          <w:vertAlign w:val="superscript"/>
        </w:rPr>
        <w:footnoteReference w:id="80"/>
      </w:r>
      <w:r w:rsidRPr="00920D18">
        <w:t xml:space="preserve"> codes and corresponding SBA size standard.</w:t>
      </w:r>
      <w:r>
        <w:rPr>
          <w:vertAlign w:val="superscript"/>
        </w:rPr>
        <w:footnoteReference w:id="81"/>
      </w:r>
      <w:r w:rsidRPr="00920D18">
        <w:t xml:space="preserve">  </w:t>
      </w:r>
      <w:bookmarkStart w:id="145" w:name="_Hlk94177975"/>
      <w:r w:rsidRPr="00920D18">
        <w:t>Based on currently available U.S. Census data regarding the estimated number of small firms in each identified industry, we conclude that the proposed rules will impact a substantial number of small entities.  Where available, we also provide additional information regarding the number of potentially affected entities in the above identified industries.</w:t>
      </w:r>
    </w:p>
    <w:p w:rsidR="00905DAA" w:rsidRPr="008D02E2" w:rsidP="00110307" w14:paraId="5DF8D416" w14:textId="7400159F">
      <w:pPr>
        <w:keepNext/>
        <w:keepLines/>
        <w:spacing w:before="360" w:after="80"/>
        <w:outlineLvl w:val="0"/>
        <w:rPr>
          <w:b/>
          <w:bCs/>
          <w:szCs w:val="22"/>
        </w:rPr>
      </w:pPr>
      <w:r w:rsidRPr="008D02E2">
        <w:rPr>
          <w:b/>
          <w:bCs/>
          <w:szCs w:val="22"/>
        </w:rPr>
        <w:t xml:space="preserve">Table 1.  </w:t>
      </w:r>
      <w:r w:rsidR="00CA324B">
        <w:rPr>
          <w:b/>
          <w:bCs/>
          <w:szCs w:val="22"/>
        </w:rPr>
        <w:t xml:space="preserve">2022 </w:t>
      </w:r>
      <w:r w:rsidRPr="008D02E2">
        <w:rPr>
          <w:b/>
          <w:bCs/>
          <w:szCs w:val="22"/>
        </w:rPr>
        <w:t>Census Bureau Data by NAICS Code</w:t>
      </w:r>
    </w:p>
    <w:p w:rsidR="00A93A6E" w:rsidRPr="00A93A6E" w:rsidP="00A93A6E" w14:paraId="4386B38A" w14:textId="77777777">
      <w:pPr>
        <w:spacing w:after="120"/>
        <w:rPr>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12"/>
        <w:gridCol w:w="1328"/>
        <w:gridCol w:w="1328"/>
        <w:gridCol w:w="1328"/>
        <w:gridCol w:w="1328"/>
        <w:gridCol w:w="1326"/>
      </w:tblGrid>
      <w:tr w14:paraId="1287F786" w14:textId="77777777" w:rsidTr="007357C3">
        <w:tblPrEx>
          <w:tblW w:w="5000" w:type="pct"/>
          <w:jc w:val="center"/>
          <w:tblLook w:val="0100"/>
        </w:tblPrEx>
        <w:trPr>
          <w:tblHeader/>
          <w:jc w:val="center"/>
        </w:trPr>
        <w:tc>
          <w:tcPr>
            <w:tcW w:w="1450" w:type="pct"/>
            <w:shd w:val="pct5" w:color="auto" w:fill="auto"/>
          </w:tcPr>
          <w:p w:rsidR="00A93A6E" w:rsidRPr="00110307" w:rsidP="00110307" w14:paraId="21A2927F" w14:textId="424A5EC9">
            <w:pPr>
              <w:spacing w:after="120"/>
              <w:rPr>
                <w:b/>
              </w:rPr>
            </w:pPr>
            <w:r w:rsidRPr="00110307">
              <w:rPr>
                <w:b/>
              </w:rPr>
              <w:t>Regulated Industry (</w:t>
            </w:r>
            <w:r w:rsidRPr="00A93A6E">
              <w:rPr>
                <w:b/>
                <w:bCs/>
                <w:szCs w:val="22"/>
              </w:rPr>
              <w:t>Footnotes specify potentially affected entities within a regulated industry where applicable</w:t>
            </w:r>
            <w:r w:rsidRPr="00110307">
              <w:rPr>
                <w:b/>
              </w:rPr>
              <w:t>)</w:t>
            </w:r>
          </w:p>
        </w:tc>
        <w:tc>
          <w:tcPr>
            <w:tcW w:w="710" w:type="pct"/>
            <w:shd w:val="pct5" w:color="auto" w:fill="auto"/>
            <w:vAlign w:val="center"/>
          </w:tcPr>
          <w:p w:rsidR="00A93A6E" w:rsidRPr="00110307" w:rsidP="00110307" w14:paraId="74DAD20C" w14:textId="77777777">
            <w:pPr>
              <w:spacing w:after="120"/>
              <w:rPr>
                <w:b/>
              </w:rPr>
            </w:pPr>
            <w:r w:rsidRPr="00110307">
              <w:rPr>
                <w:b/>
              </w:rPr>
              <w:t>NAICS Code</w:t>
            </w:r>
          </w:p>
        </w:tc>
        <w:tc>
          <w:tcPr>
            <w:tcW w:w="710" w:type="pct"/>
            <w:shd w:val="pct5" w:color="auto" w:fill="auto"/>
            <w:vAlign w:val="center"/>
          </w:tcPr>
          <w:p w:rsidR="00A93A6E" w:rsidRPr="00A93A6E" w:rsidP="00A93A6E" w14:paraId="09B9143E" w14:textId="77777777">
            <w:pPr>
              <w:spacing w:after="120"/>
              <w:rPr>
                <w:b/>
                <w:bCs/>
                <w:szCs w:val="22"/>
              </w:rPr>
            </w:pPr>
          </w:p>
          <w:p w:rsidR="00A93A6E" w:rsidRPr="00A93A6E" w:rsidP="00A93A6E" w14:paraId="1C4A47FF" w14:textId="77777777">
            <w:pPr>
              <w:spacing w:after="120"/>
              <w:rPr>
                <w:b/>
                <w:bCs/>
                <w:szCs w:val="22"/>
              </w:rPr>
            </w:pPr>
            <w:r w:rsidRPr="00110307">
              <w:rPr>
                <w:b/>
              </w:rPr>
              <w:t>SBA Size Standard</w:t>
            </w:r>
          </w:p>
          <w:p w:rsidR="00A93A6E" w:rsidRPr="00110307" w:rsidP="00110307" w14:paraId="68B8C153" w14:textId="77777777">
            <w:pPr>
              <w:spacing w:after="120"/>
              <w:rPr>
                <w:b/>
              </w:rPr>
            </w:pPr>
          </w:p>
        </w:tc>
        <w:tc>
          <w:tcPr>
            <w:tcW w:w="710" w:type="pct"/>
            <w:shd w:val="pct5" w:color="auto" w:fill="auto"/>
            <w:vAlign w:val="center"/>
          </w:tcPr>
          <w:p w:rsidR="00A93A6E" w:rsidRPr="00110307" w:rsidP="00110307" w14:paraId="12DD7621" w14:textId="77777777">
            <w:pPr>
              <w:spacing w:after="120"/>
              <w:rPr>
                <w:b/>
              </w:rPr>
            </w:pPr>
            <w:r w:rsidRPr="00110307">
              <w:rPr>
                <w:b/>
              </w:rPr>
              <w:t>Total Firms</w:t>
            </w:r>
            <w:r>
              <w:rPr>
                <w:vertAlign w:val="superscript"/>
              </w:rPr>
              <w:footnoteReference w:id="82"/>
            </w:r>
          </w:p>
        </w:tc>
        <w:tc>
          <w:tcPr>
            <w:tcW w:w="710" w:type="pct"/>
            <w:shd w:val="pct5" w:color="auto" w:fill="auto"/>
            <w:vAlign w:val="center"/>
          </w:tcPr>
          <w:p w:rsidR="00A93A6E" w:rsidRPr="00110307" w:rsidP="00110307" w14:paraId="550995D2" w14:textId="77777777">
            <w:pPr>
              <w:spacing w:after="120"/>
              <w:rPr>
                <w:b/>
              </w:rPr>
            </w:pPr>
            <w:r w:rsidRPr="00A93A6E">
              <w:rPr>
                <w:b/>
                <w:bCs/>
                <w:szCs w:val="22"/>
              </w:rPr>
              <w:t xml:space="preserve">Total </w:t>
            </w:r>
            <w:r w:rsidRPr="00110307">
              <w:rPr>
                <w:b/>
              </w:rPr>
              <w:t>Small Firms</w:t>
            </w:r>
            <w:r>
              <w:rPr>
                <w:vertAlign w:val="superscript"/>
              </w:rPr>
              <w:footnoteReference w:id="83"/>
            </w:r>
          </w:p>
        </w:tc>
        <w:tc>
          <w:tcPr>
            <w:tcW w:w="709" w:type="pct"/>
            <w:shd w:val="pct5" w:color="auto" w:fill="auto"/>
            <w:vAlign w:val="center"/>
          </w:tcPr>
          <w:p w:rsidR="00A93A6E" w:rsidRPr="00110307" w:rsidP="00110307" w14:paraId="6BC57E37" w14:textId="3A231FC2">
            <w:pPr>
              <w:spacing w:after="120"/>
              <w:rPr>
                <w:b/>
              </w:rPr>
            </w:pPr>
            <w:r w:rsidRPr="00110307">
              <w:rPr>
                <w:b/>
              </w:rPr>
              <w:t>% Small Firms</w:t>
            </w:r>
          </w:p>
        </w:tc>
      </w:tr>
      <w:tr w14:paraId="5FB35EB7" w14:textId="77777777" w:rsidTr="00110307">
        <w:tblPrEx>
          <w:tblW w:w="5000" w:type="pct"/>
          <w:jc w:val="center"/>
          <w:tblLook w:val="0100"/>
        </w:tblPrEx>
        <w:trPr>
          <w:jc w:val="center"/>
        </w:trPr>
        <w:tc>
          <w:tcPr>
            <w:tcW w:w="1450" w:type="pct"/>
          </w:tcPr>
          <w:p w:rsidR="00A93A6E" w:rsidRPr="00110307" w:rsidP="00110307" w14:paraId="052F86C2" w14:textId="77777777">
            <w:pPr>
              <w:spacing w:after="120"/>
            </w:pPr>
            <w:r w:rsidRPr="00110307">
              <w:t>Wired Telecommunications Carriers</w:t>
            </w:r>
            <w:r>
              <w:rPr>
                <w:vertAlign w:val="superscript"/>
              </w:rPr>
              <w:footnoteReference w:id="84"/>
            </w:r>
          </w:p>
        </w:tc>
        <w:tc>
          <w:tcPr>
            <w:tcW w:w="710" w:type="pct"/>
            <w:vAlign w:val="bottom"/>
          </w:tcPr>
          <w:p w:rsidR="00A93A6E" w:rsidRPr="00110307" w:rsidP="00110307" w14:paraId="0B516100" w14:textId="77777777">
            <w:pPr>
              <w:spacing w:after="120"/>
            </w:pPr>
            <w:r w:rsidRPr="00110307">
              <w:t>517111</w:t>
            </w:r>
          </w:p>
        </w:tc>
        <w:tc>
          <w:tcPr>
            <w:tcW w:w="710" w:type="pct"/>
            <w:vAlign w:val="bottom"/>
          </w:tcPr>
          <w:p w:rsidR="00A93A6E" w:rsidRPr="00110307" w:rsidP="00110307" w14:paraId="4C02EA08" w14:textId="77777777">
            <w:pPr>
              <w:spacing w:after="120"/>
            </w:pPr>
            <w:r w:rsidRPr="00110307">
              <w:t>1,500 employees</w:t>
            </w:r>
          </w:p>
        </w:tc>
        <w:tc>
          <w:tcPr>
            <w:tcW w:w="710" w:type="pct"/>
            <w:vAlign w:val="bottom"/>
          </w:tcPr>
          <w:p w:rsidR="00A93A6E" w:rsidRPr="00110307" w:rsidP="00110307" w14:paraId="26D9151E" w14:textId="70862E0A">
            <w:pPr>
              <w:spacing w:after="120"/>
            </w:pPr>
            <w:r w:rsidRPr="00110307">
              <w:t>3,</w:t>
            </w:r>
            <w:r w:rsidRPr="00A93A6E">
              <w:rPr>
                <w:szCs w:val="22"/>
              </w:rPr>
              <w:t>403</w:t>
            </w:r>
          </w:p>
        </w:tc>
        <w:tc>
          <w:tcPr>
            <w:tcW w:w="710" w:type="pct"/>
            <w:vAlign w:val="bottom"/>
          </w:tcPr>
          <w:p w:rsidR="00A93A6E" w:rsidRPr="00110307" w:rsidP="00110307" w14:paraId="710BDC10" w14:textId="66A12A4B">
            <w:pPr>
              <w:spacing w:after="120"/>
            </w:pPr>
            <w:r w:rsidRPr="00A93A6E">
              <w:rPr>
                <w:szCs w:val="22"/>
              </w:rPr>
              <w:t>3,027</w:t>
            </w:r>
          </w:p>
        </w:tc>
        <w:tc>
          <w:tcPr>
            <w:tcW w:w="709" w:type="pct"/>
            <w:vAlign w:val="bottom"/>
          </w:tcPr>
          <w:p w:rsidR="00A93A6E" w:rsidRPr="00110307" w:rsidP="00110307" w14:paraId="6F064C8B" w14:textId="4FE07868">
            <w:pPr>
              <w:spacing w:after="120"/>
            </w:pPr>
            <w:r w:rsidRPr="00A93A6E">
              <w:rPr>
                <w:szCs w:val="22"/>
              </w:rPr>
              <w:t>88.95%</w:t>
            </w:r>
          </w:p>
        </w:tc>
      </w:tr>
      <w:tr w14:paraId="450672BC" w14:textId="77777777" w:rsidTr="00110307">
        <w:tblPrEx>
          <w:tblW w:w="5000" w:type="pct"/>
          <w:jc w:val="center"/>
          <w:tblLook w:val="0100"/>
        </w:tblPrEx>
        <w:trPr>
          <w:jc w:val="center"/>
        </w:trPr>
        <w:tc>
          <w:tcPr>
            <w:tcW w:w="1450" w:type="pct"/>
          </w:tcPr>
          <w:p w:rsidR="00A93A6E" w:rsidRPr="00110307" w:rsidP="00110307" w14:paraId="7F4573CF" w14:textId="77777777">
            <w:pPr>
              <w:spacing w:after="120"/>
            </w:pPr>
            <w:bookmarkStart w:id="146" w:name="_Hlk218764090"/>
            <w:r w:rsidRPr="00110307">
              <w:t>Wireless Telecommunications Carriers (except Satellite)</w:t>
            </w:r>
            <w:r>
              <w:rPr>
                <w:vertAlign w:val="superscript"/>
              </w:rPr>
              <w:footnoteReference w:id="85"/>
            </w:r>
            <w:r w:rsidRPr="00110307">
              <w:t xml:space="preserve"> </w:t>
            </w:r>
            <w:bookmarkEnd w:id="146"/>
          </w:p>
        </w:tc>
        <w:tc>
          <w:tcPr>
            <w:tcW w:w="710" w:type="pct"/>
            <w:vAlign w:val="bottom"/>
          </w:tcPr>
          <w:p w:rsidR="00A93A6E" w:rsidRPr="00110307" w:rsidP="00110307" w14:paraId="2678CA88" w14:textId="77777777">
            <w:pPr>
              <w:spacing w:after="120"/>
            </w:pPr>
            <w:r w:rsidRPr="00110307">
              <w:t>517112</w:t>
            </w:r>
          </w:p>
        </w:tc>
        <w:tc>
          <w:tcPr>
            <w:tcW w:w="710" w:type="pct"/>
            <w:vAlign w:val="bottom"/>
          </w:tcPr>
          <w:p w:rsidR="00A93A6E" w:rsidRPr="00110307" w:rsidP="00110307" w14:paraId="02FE807A" w14:textId="77777777">
            <w:pPr>
              <w:spacing w:after="120"/>
            </w:pPr>
            <w:r w:rsidRPr="00110307">
              <w:t>1,500 employees</w:t>
            </w:r>
          </w:p>
        </w:tc>
        <w:tc>
          <w:tcPr>
            <w:tcW w:w="710" w:type="pct"/>
            <w:vAlign w:val="bottom"/>
          </w:tcPr>
          <w:p w:rsidR="00A93A6E" w:rsidRPr="00110307" w:rsidP="00110307" w14:paraId="78937D37" w14:textId="7177FC9A">
            <w:pPr>
              <w:spacing w:after="120"/>
            </w:pPr>
            <w:r w:rsidRPr="00A93A6E">
              <w:rPr>
                <w:szCs w:val="22"/>
              </w:rPr>
              <w:t>1,184</w:t>
            </w:r>
          </w:p>
        </w:tc>
        <w:tc>
          <w:tcPr>
            <w:tcW w:w="710" w:type="pct"/>
            <w:vAlign w:val="bottom"/>
          </w:tcPr>
          <w:p w:rsidR="00A93A6E" w:rsidRPr="00110307" w:rsidP="00110307" w14:paraId="4D37B053" w14:textId="2322A372">
            <w:pPr>
              <w:spacing w:after="120"/>
            </w:pPr>
            <w:r w:rsidRPr="00A93A6E">
              <w:rPr>
                <w:szCs w:val="22"/>
              </w:rPr>
              <w:t>1,081</w:t>
            </w:r>
          </w:p>
        </w:tc>
        <w:tc>
          <w:tcPr>
            <w:tcW w:w="709" w:type="pct"/>
            <w:vAlign w:val="bottom"/>
          </w:tcPr>
          <w:p w:rsidR="00A93A6E" w:rsidRPr="00110307" w:rsidP="00110307" w14:paraId="6C744EF8" w14:textId="02E51DDD">
            <w:pPr>
              <w:spacing w:after="120"/>
            </w:pPr>
            <w:r w:rsidRPr="00A93A6E">
              <w:rPr>
                <w:szCs w:val="22"/>
              </w:rPr>
              <w:t>91.30%</w:t>
            </w:r>
          </w:p>
        </w:tc>
      </w:tr>
    </w:tbl>
    <w:p w:rsidR="00905DAA" w:rsidRPr="008D02E2" w:rsidP="00110307" w14:paraId="7380C8A2" w14:textId="77777777">
      <w:pPr>
        <w:spacing w:after="120"/>
        <w:rPr>
          <w:szCs w:val="22"/>
        </w:rPr>
      </w:pPr>
    </w:p>
    <w:p w:rsidR="00905DAA" w:rsidP="00905DAA" w14:paraId="2E9DE7A3" w14:textId="59AE3F28">
      <w:pPr>
        <w:keepNext/>
        <w:keepLines/>
        <w:spacing w:before="360" w:after="80"/>
        <w:ind w:left="720"/>
        <w:contextualSpacing/>
        <w:outlineLvl w:val="0"/>
        <w:rPr>
          <w:b/>
          <w:bCs/>
          <w:szCs w:val="22"/>
        </w:rPr>
      </w:pPr>
      <w:r w:rsidRPr="008D02E2">
        <w:rPr>
          <w:b/>
          <w:bCs/>
          <w:szCs w:val="22"/>
        </w:rPr>
        <w:t xml:space="preserve">  Table 2.  Telecommunications Service Provider Data</w:t>
      </w:r>
    </w:p>
    <w:p w:rsidR="00D36E2A" w:rsidRPr="00110307" w:rsidP="00110307" w14:paraId="417AF789" w14:textId="77777777">
      <w:pPr>
        <w:keepNext/>
        <w:keepLines/>
        <w:spacing w:before="360" w:after="80"/>
        <w:contextualSpacing/>
        <w:outlineLvl w:val="0"/>
      </w:pP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6DA01689" w14:textId="77777777" w:rsidTr="00110307">
        <w:tblPrEx>
          <w:tblW w:w="7645" w:type="dxa"/>
          <w:jc w:val="center"/>
          <w:tblLayout w:type="fixed"/>
          <w:tblLook w:val="04A0"/>
        </w:tblPrEx>
        <w:trPr>
          <w:trHeight w:val="300"/>
          <w:tblHeader/>
          <w:jc w:val="center"/>
        </w:trPr>
        <w:tc>
          <w:tcPr>
            <w:tcW w:w="3325" w:type="dxa"/>
            <w:shd w:val="pct5" w:color="auto" w:fill="auto"/>
            <w:noWrap/>
          </w:tcPr>
          <w:p w:rsidR="00F707E0" w:rsidRPr="00110307" w:rsidP="00110307" w14:paraId="2930EE75" w14:textId="77777777">
            <w:pPr>
              <w:keepNext/>
              <w:keepLines/>
              <w:spacing w:before="360" w:after="80"/>
              <w:contextualSpacing/>
              <w:outlineLvl w:val="0"/>
              <w:rPr>
                <w:b/>
              </w:rPr>
            </w:pPr>
            <w:bookmarkStart w:id="147" w:name="_Hlk201909059"/>
            <w:r w:rsidRPr="00110307">
              <w:rPr>
                <w:b/>
              </w:rPr>
              <w:t>2024 Universal Service Monitoring Report Telecommunications Service Provider Data</w:t>
            </w:r>
            <w:r w:rsidRPr="00110307">
              <w:t xml:space="preserve"> </w:t>
            </w:r>
            <w:r>
              <w:rPr>
                <w:vertAlign w:val="superscript"/>
              </w:rPr>
              <w:footnoteReference w:id="86"/>
            </w:r>
          </w:p>
          <w:p w:rsidR="00F707E0" w:rsidRPr="00110307" w:rsidP="00110307" w14:paraId="5538D8CB" w14:textId="77777777">
            <w:pPr>
              <w:keepNext/>
              <w:keepLines/>
              <w:spacing w:before="360" w:after="80"/>
              <w:contextualSpacing/>
              <w:outlineLvl w:val="0"/>
              <w:rPr>
                <w:b/>
              </w:rPr>
            </w:pPr>
            <w:r w:rsidRPr="00110307">
              <w:rPr>
                <w:b/>
              </w:rPr>
              <w:t>(Data as of December 2023)</w:t>
            </w:r>
          </w:p>
        </w:tc>
        <w:tc>
          <w:tcPr>
            <w:tcW w:w="4320" w:type="dxa"/>
            <w:gridSpan w:val="3"/>
            <w:shd w:val="pct5" w:color="auto" w:fill="auto"/>
            <w:noWrap/>
            <w:vAlign w:val="center"/>
          </w:tcPr>
          <w:p w:rsidR="00F707E0" w:rsidRPr="00110307" w:rsidP="00110307" w14:paraId="00E1B8DE" w14:textId="77777777">
            <w:pPr>
              <w:keepNext/>
              <w:keepLines/>
              <w:spacing w:before="360" w:after="80"/>
              <w:contextualSpacing/>
              <w:outlineLvl w:val="0"/>
              <w:rPr>
                <w:b/>
              </w:rPr>
            </w:pPr>
            <w:r w:rsidRPr="00110307">
              <w:rPr>
                <w:b/>
              </w:rPr>
              <w:t>SBA Size Standard</w:t>
            </w:r>
          </w:p>
          <w:p w:rsidR="00F707E0" w:rsidRPr="00110307" w:rsidP="00110307" w14:paraId="6E7DDD4F" w14:textId="77777777">
            <w:pPr>
              <w:keepNext/>
              <w:keepLines/>
              <w:spacing w:before="360" w:after="80"/>
              <w:contextualSpacing/>
              <w:outlineLvl w:val="0"/>
            </w:pPr>
            <w:r w:rsidRPr="00110307">
              <w:rPr>
                <w:b/>
              </w:rPr>
              <w:t>(1500 Employees)</w:t>
            </w:r>
          </w:p>
        </w:tc>
      </w:tr>
      <w:tr w14:paraId="1C6AF955" w14:textId="77777777" w:rsidTr="007357C3">
        <w:tblPrEx>
          <w:tblW w:w="7645" w:type="dxa"/>
          <w:jc w:val="center"/>
          <w:tblLayout w:type="fixed"/>
          <w:tblLook w:val="04A0"/>
        </w:tblPrEx>
        <w:trPr>
          <w:trHeight w:val="300"/>
          <w:tblHeader/>
          <w:jc w:val="center"/>
        </w:trPr>
        <w:tc>
          <w:tcPr>
            <w:tcW w:w="3325" w:type="dxa"/>
            <w:noWrap/>
          </w:tcPr>
          <w:p w:rsidR="00F707E0" w:rsidRPr="00110307" w:rsidP="00110307" w14:paraId="318D6E4C" w14:textId="77777777">
            <w:pPr>
              <w:keepNext/>
              <w:keepLines/>
              <w:spacing w:before="360" w:after="80"/>
              <w:contextualSpacing/>
              <w:outlineLvl w:val="0"/>
              <w:rPr>
                <w:b/>
              </w:rPr>
            </w:pPr>
          </w:p>
          <w:p w:rsidR="00F707E0" w:rsidRPr="00110307" w:rsidP="00110307" w14:paraId="19CD1C13" w14:textId="77777777">
            <w:pPr>
              <w:keepNext/>
              <w:keepLines/>
              <w:spacing w:before="360" w:after="80"/>
              <w:contextualSpacing/>
              <w:outlineLvl w:val="0"/>
            </w:pPr>
            <w:r w:rsidRPr="00110307">
              <w:rPr>
                <w:b/>
              </w:rPr>
              <w:t>Affected Entity</w:t>
            </w:r>
          </w:p>
        </w:tc>
        <w:tc>
          <w:tcPr>
            <w:tcW w:w="1800" w:type="dxa"/>
            <w:noWrap/>
          </w:tcPr>
          <w:p w:rsidR="00F707E0" w:rsidRPr="00110307" w:rsidP="00110307" w14:paraId="6CBABCCC" w14:textId="77777777">
            <w:pPr>
              <w:keepNext/>
              <w:keepLines/>
              <w:spacing w:before="360" w:after="80"/>
              <w:contextualSpacing/>
              <w:outlineLvl w:val="0"/>
            </w:pPr>
            <w:r w:rsidRPr="00110307">
              <w:rPr>
                <w:b/>
              </w:rPr>
              <w:t>Total # FCC Form 499A Filers</w:t>
            </w:r>
          </w:p>
        </w:tc>
        <w:tc>
          <w:tcPr>
            <w:tcW w:w="990" w:type="dxa"/>
          </w:tcPr>
          <w:p w:rsidR="00F707E0" w:rsidRPr="00110307" w:rsidP="00110307" w14:paraId="52E9CB47" w14:textId="77777777">
            <w:pPr>
              <w:keepNext/>
              <w:keepLines/>
              <w:spacing w:before="360" w:after="80"/>
              <w:contextualSpacing/>
              <w:outlineLvl w:val="0"/>
            </w:pPr>
            <w:r w:rsidRPr="00110307">
              <w:rPr>
                <w:b/>
              </w:rPr>
              <w:t>Small Firms</w:t>
            </w:r>
          </w:p>
        </w:tc>
        <w:tc>
          <w:tcPr>
            <w:tcW w:w="1530" w:type="dxa"/>
            <w:noWrap/>
          </w:tcPr>
          <w:p w:rsidR="00F707E0" w:rsidRPr="00110307" w:rsidP="00110307" w14:paraId="6E2855A8" w14:textId="77777777">
            <w:pPr>
              <w:keepNext/>
              <w:keepLines/>
              <w:spacing w:before="360" w:after="80"/>
              <w:contextualSpacing/>
              <w:outlineLvl w:val="0"/>
            </w:pPr>
            <w:r w:rsidRPr="00110307">
              <w:rPr>
                <w:b/>
              </w:rPr>
              <w:t>% Small Entities</w:t>
            </w:r>
          </w:p>
        </w:tc>
      </w:tr>
      <w:tr w14:paraId="4C4147A7" w14:textId="77777777" w:rsidTr="007357C3">
        <w:tblPrEx>
          <w:tblW w:w="7645" w:type="dxa"/>
          <w:jc w:val="center"/>
          <w:tblLayout w:type="fixed"/>
          <w:tblLook w:val="04A0"/>
        </w:tblPrEx>
        <w:trPr>
          <w:trHeight w:val="300"/>
          <w:jc w:val="center"/>
        </w:trPr>
        <w:tc>
          <w:tcPr>
            <w:tcW w:w="3325" w:type="dxa"/>
            <w:noWrap/>
          </w:tcPr>
          <w:p w:rsidR="00F707E0" w:rsidRPr="00110307" w:rsidP="00110307" w14:paraId="4EEBE98D" w14:textId="77777777">
            <w:pPr>
              <w:keepNext/>
              <w:keepLines/>
              <w:spacing w:before="360" w:after="80"/>
              <w:contextualSpacing/>
              <w:outlineLvl w:val="0"/>
            </w:pPr>
            <w:r w:rsidRPr="00110307">
              <w:t>Competitive Local Exchange Carriers (CLECs)</w:t>
            </w:r>
            <w:r>
              <w:rPr>
                <w:vertAlign w:val="superscript"/>
              </w:rPr>
              <w:footnoteReference w:id="87"/>
            </w:r>
          </w:p>
        </w:tc>
        <w:tc>
          <w:tcPr>
            <w:tcW w:w="1800" w:type="dxa"/>
            <w:noWrap/>
          </w:tcPr>
          <w:p w:rsidR="00F707E0" w:rsidRPr="00110307" w:rsidP="00110307" w14:paraId="4B6B9E7D" w14:textId="77777777">
            <w:pPr>
              <w:keepNext/>
              <w:keepLines/>
              <w:spacing w:before="360" w:after="80"/>
              <w:contextualSpacing/>
              <w:outlineLvl w:val="0"/>
            </w:pPr>
            <w:r w:rsidRPr="00110307">
              <w:t>3,729</w:t>
            </w:r>
          </w:p>
        </w:tc>
        <w:tc>
          <w:tcPr>
            <w:tcW w:w="990" w:type="dxa"/>
          </w:tcPr>
          <w:p w:rsidR="00F707E0" w:rsidRPr="00110307" w:rsidP="00110307" w14:paraId="7AABFA32" w14:textId="77777777">
            <w:pPr>
              <w:keepNext/>
              <w:keepLines/>
              <w:spacing w:before="360" w:after="80"/>
              <w:contextualSpacing/>
              <w:outlineLvl w:val="0"/>
            </w:pPr>
            <w:r w:rsidRPr="00110307">
              <w:t>3,576</w:t>
            </w:r>
          </w:p>
        </w:tc>
        <w:tc>
          <w:tcPr>
            <w:tcW w:w="1530" w:type="dxa"/>
            <w:noWrap/>
          </w:tcPr>
          <w:p w:rsidR="00F707E0" w:rsidRPr="00110307" w:rsidP="00110307" w14:paraId="32AA59BC" w14:textId="77777777">
            <w:pPr>
              <w:keepNext/>
              <w:keepLines/>
              <w:spacing w:before="360" w:after="80"/>
              <w:contextualSpacing/>
              <w:outlineLvl w:val="0"/>
            </w:pPr>
            <w:r w:rsidRPr="00110307">
              <w:t>95.90</w:t>
            </w:r>
          </w:p>
        </w:tc>
      </w:tr>
      <w:tr w14:paraId="2FFF7EA0" w14:textId="77777777" w:rsidTr="007357C3">
        <w:tblPrEx>
          <w:tblW w:w="7645" w:type="dxa"/>
          <w:jc w:val="center"/>
          <w:tblLayout w:type="fixed"/>
          <w:tblLook w:val="04A0"/>
        </w:tblPrEx>
        <w:trPr>
          <w:trHeight w:val="255"/>
          <w:jc w:val="center"/>
        </w:trPr>
        <w:tc>
          <w:tcPr>
            <w:tcW w:w="3325" w:type="dxa"/>
            <w:noWrap/>
          </w:tcPr>
          <w:p w:rsidR="00F707E0" w:rsidRPr="00110307" w:rsidP="00110307" w14:paraId="7F66C102" w14:textId="77777777">
            <w:pPr>
              <w:keepNext/>
              <w:keepLines/>
              <w:spacing w:before="360" w:after="80"/>
              <w:contextualSpacing/>
              <w:outlineLvl w:val="0"/>
            </w:pPr>
            <w:r w:rsidRPr="00110307">
              <w:t>Incumbent Local Exchange Carriers (Incumbent LECs)</w:t>
            </w:r>
          </w:p>
        </w:tc>
        <w:tc>
          <w:tcPr>
            <w:tcW w:w="1800" w:type="dxa"/>
            <w:noWrap/>
          </w:tcPr>
          <w:p w:rsidR="00F707E0" w:rsidRPr="00110307" w:rsidP="00110307" w14:paraId="240766C9" w14:textId="77777777">
            <w:pPr>
              <w:keepNext/>
              <w:keepLines/>
              <w:spacing w:before="360" w:after="80"/>
              <w:contextualSpacing/>
              <w:outlineLvl w:val="0"/>
            </w:pPr>
            <w:r w:rsidRPr="00110307">
              <w:t>1,175</w:t>
            </w:r>
          </w:p>
        </w:tc>
        <w:tc>
          <w:tcPr>
            <w:tcW w:w="990" w:type="dxa"/>
          </w:tcPr>
          <w:p w:rsidR="00F707E0" w:rsidRPr="00110307" w:rsidP="00110307" w14:paraId="4AFEE6A4" w14:textId="77777777">
            <w:pPr>
              <w:keepNext/>
              <w:keepLines/>
              <w:spacing w:before="360" w:after="80"/>
              <w:contextualSpacing/>
              <w:outlineLvl w:val="0"/>
            </w:pPr>
            <w:r w:rsidRPr="00110307">
              <w:t>917</w:t>
            </w:r>
          </w:p>
        </w:tc>
        <w:tc>
          <w:tcPr>
            <w:tcW w:w="1530" w:type="dxa"/>
            <w:noWrap/>
          </w:tcPr>
          <w:p w:rsidR="00F707E0" w:rsidRPr="00110307" w:rsidP="00110307" w14:paraId="2FE2EF35" w14:textId="77777777">
            <w:pPr>
              <w:keepNext/>
              <w:keepLines/>
              <w:spacing w:before="360" w:after="80"/>
              <w:contextualSpacing/>
              <w:outlineLvl w:val="0"/>
            </w:pPr>
            <w:r w:rsidRPr="00110307">
              <w:t>78.04</w:t>
            </w:r>
          </w:p>
        </w:tc>
      </w:tr>
      <w:tr w14:paraId="37EB9669" w14:textId="77777777" w:rsidTr="007357C3">
        <w:tblPrEx>
          <w:tblW w:w="7645" w:type="dxa"/>
          <w:jc w:val="center"/>
          <w:tblLayout w:type="fixed"/>
          <w:tblLook w:val="04A0"/>
        </w:tblPrEx>
        <w:trPr>
          <w:trHeight w:val="80"/>
          <w:jc w:val="center"/>
        </w:trPr>
        <w:tc>
          <w:tcPr>
            <w:tcW w:w="3325" w:type="dxa"/>
            <w:noWrap/>
          </w:tcPr>
          <w:p w:rsidR="00F707E0" w:rsidRPr="00110307" w:rsidP="00110307" w14:paraId="77A986B4" w14:textId="77777777">
            <w:pPr>
              <w:keepNext/>
              <w:keepLines/>
              <w:spacing w:before="360" w:after="80"/>
              <w:contextualSpacing/>
              <w:outlineLvl w:val="0"/>
            </w:pPr>
            <w:r w:rsidRPr="00110307">
              <w:t>Local Exchange Carriers (LECs)</w:t>
            </w:r>
            <w:r>
              <w:rPr>
                <w:vertAlign w:val="superscript"/>
              </w:rPr>
              <w:footnoteReference w:id="88"/>
            </w:r>
            <w:r w:rsidRPr="00110307">
              <w:t xml:space="preserve">  </w:t>
            </w:r>
          </w:p>
        </w:tc>
        <w:tc>
          <w:tcPr>
            <w:tcW w:w="1800" w:type="dxa"/>
            <w:noWrap/>
          </w:tcPr>
          <w:p w:rsidR="00F707E0" w:rsidRPr="00110307" w:rsidP="00110307" w14:paraId="3DA1ABA4" w14:textId="77777777">
            <w:pPr>
              <w:keepNext/>
              <w:keepLines/>
              <w:spacing w:before="360" w:after="80"/>
              <w:contextualSpacing/>
              <w:outlineLvl w:val="0"/>
            </w:pPr>
            <w:r w:rsidRPr="00110307">
              <w:t>4,904</w:t>
            </w:r>
          </w:p>
        </w:tc>
        <w:tc>
          <w:tcPr>
            <w:tcW w:w="990" w:type="dxa"/>
          </w:tcPr>
          <w:p w:rsidR="00F707E0" w:rsidRPr="00110307" w:rsidP="00110307" w14:paraId="7E427CFA" w14:textId="77777777">
            <w:pPr>
              <w:keepNext/>
              <w:keepLines/>
              <w:spacing w:before="360" w:after="80"/>
              <w:contextualSpacing/>
              <w:outlineLvl w:val="0"/>
            </w:pPr>
            <w:r w:rsidRPr="00110307">
              <w:t>4,493</w:t>
            </w:r>
          </w:p>
        </w:tc>
        <w:tc>
          <w:tcPr>
            <w:tcW w:w="1530" w:type="dxa"/>
            <w:noWrap/>
          </w:tcPr>
          <w:p w:rsidR="00F707E0" w:rsidRPr="00110307" w:rsidP="00110307" w14:paraId="57C1912F" w14:textId="77777777">
            <w:pPr>
              <w:keepNext/>
              <w:keepLines/>
              <w:spacing w:before="360" w:after="80"/>
              <w:contextualSpacing/>
              <w:outlineLvl w:val="0"/>
            </w:pPr>
            <w:r w:rsidRPr="00110307">
              <w:t>91.62</w:t>
            </w:r>
          </w:p>
        </w:tc>
      </w:tr>
      <w:tr w14:paraId="309D911A" w14:textId="77777777" w:rsidTr="007357C3">
        <w:tblPrEx>
          <w:tblW w:w="7645" w:type="dxa"/>
          <w:jc w:val="center"/>
          <w:tblLayout w:type="fixed"/>
          <w:tblLook w:val="04A0"/>
        </w:tblPrEx>
        <w:trPr>
          <w:trHeight w:val="255"/>
          <w:jc w:val="center"/>
        </w:trPr>
        <w:tc>
          <w:tcPr>
            <w:tcW w:w="3325" w:type="dxa"/>
            <w:noWrap/>
          </w:tcPr>
          <w:p w:rsidR="00F707E0" w:rsidRPr="00110307" w:rsidP="00110307" w14:paraId="63F607EB" w14:textId="77777777">
            <w:pPr>
              <w:keepNext/>
              <w:keepLines/>
              <w:spacing w:before="360" w:after="80"/>
              <w:contextualSpacing/>
              <w:outlineLvl w:val="0"/>
            </w:pPr>
            <w:r w:rsidRPr="00110307">
              <w:t>Wired Telecommunications Carriers</w:t>
            </w:r>
            <w:r>
              <w:rPr>
                <w:vertAlign w:val="superscript"/>
              </w:rPr>
              <w:footnoteReference w:id="89"/>
            </w:r>
            <w:r w:rsidRPr="00110307">
              <w:t xml:space="preserve"> </w:t>
            </w:r>
          </w:p>
        </w:tc>
        <w:tc>
          <w:tcPr>
            <w:tcW w:w="1800" w:type="dxa"/>
            <w:noWrap/>
          </w:tcPr>
          <w:p w:rsidR="00F707E0" w:rsidRPr="00110307" w:rsidP="00110307" w14:paraId="709AB10A" w14:textId="77777777">
            <w:pPr>
              <w:keepNext/>
              <w:keepLines/>
              <w:spacing w:before="360" w:after="80"/>
              <w:contextualSpacing/>
              <w:outlineLvl w:val="0"/>
            </w:pPr>
            <w:r w:rsidRPr="00110307">
              <w:t>4,682</w:t>
            </w:r>
          </w:p>
        </w:tc>
        <w:tc>
          <w:tcPr>
            <w:tcW w:w="990" w:type="dxa"/>
          </w:tcPr>
          <w:p w:rsidR="00F707E0" w:rsidRPr="00110307" w:rsidP="00110307" w14:paraId="7986B155" w14:textId="77777777">
            <w:pPr>
              <w:keepNext/>
              <w:keepLines/>
              <w:spacing w:before="360" w:after="80"/>
              <w:contextualSpacing/>
              <w:outlineLvl w:val="0"/>
            </w:pPr>
            <w:r w:rsidRPr="00110307">
              <w:t>4,276</w:t>
            </w:r>
          </w:p>
        </w:tc>
        <w:tc>
          <w:tcPr>
            <w:tcW w:w="1530" w:type="dxa"/>
            <w:noWrap/>
          </w:tcPr>
          <w:p w:rsidR="00F707E0" w:rsidRPr="00110307" w:rsidP="00110307" w14:paraId="3F4E0EE1" w14:textId="77777777">
            <w:pPr>
              <w:keepNext/>
              <w:keepLines/>
              <w:spacing w:before="360" w:after="80"/>
              <w:contextualSpacing/>
              <w:outlineLvl w:val="0"/>
            </w:pPr>
            <w:r w:rsidRPr="00110307">
              <w:t>91.33</w:t>
            </w:r>
          </w:p>
        </w:tc>
      </w:tr>
      <w:tr w14:paraId="49226116" w14:textId="77777777" w:rsidTr="007357C3">
        <w:tblPrEx>
          <w:tblW w:w="7645" w:type="dxa"/>
          <w:jc w:val="center"/>
          <w:tblLayout w:type="fixed"/>
          <w:tblLook w:val="04A0"/>
        </w:tblPrEx>
        <w:trPr>
          <w:trHeight w:val="255"/>
          <w:jc w:val="center"/>
        </w:trPr>
        <w:tc>
          <w:tcPr>
            <w:tcW w:w="3325" w:type="dxa"/>
            <w:noWrap/>
          </w:tcPr>
          <w:p w:rsidR="00F707E0" w:rsidRPr="00110307" w:rsidP="00110307" w14:paraId="27D4513D" w14:textId="77777777">
            <w:pPr>
              <w:keepNext/>
              <w:keepLines/>
              <w:spacing w:before="360" w:after="80"/>
              <w:contextualSpacing/>
              <w:outlineLvl w:val="0"/>
            </w:pPr>
            <w:r w:rsidRPr="00110307">
              <w:t>Wireless Telecommunications Carriers (except Satellite)</w:t>
            </w:r>
            <w:r>
              <w:rPr>
                <w:vertAlign w:val="superscript"/>
              </w:rPr>
              <w:footnoteReference w:id="90"/>
            </w:r>
            <w:r w:rsidRPr="00110307">
              <w:t xml:space="preserve"> </w:t>
            </w:r>
          </w:p>
        </w:tc>
        <w:tc>
          <w:tcPr>
            <w:tcW w:w="1800" w:type="dxa"/>
            <w:noWrap/>
          </w:tcPr>
          <w:p w:rsidR="00F707E0" w:rsidRPr="00110307" w:rsidP="00110307" w14:paraId="173D4CE1" w14:textId="77777777">
            <w:pPr>
              <w:keepNext/>
              <w:keepLines/>
              <w:spacing w:before="360" w:after="80"/>
              <w:contextualSpacing/>
              <w:outlineLvl w:val="0"/>
            </w:pPr>
            <w:r w:rsidRPr="00110307">
              <w:t>585</w:t>
            </w:r>
          </w:p>
        </w:tc>
        <w:tc>
          <w:tcPr>
            <w:tcW w:w="990" w:type="dxa"/>
          </w:tcPr>
          <w:p w:rsidR="00F707E0" w:rsidRPr="00110307" w:rsidP="00110307" w14:paraId="25BB24AA" w14:textId="77777777">
            <w:pPr>
              <w:keepNext/>
              <w:keepLines/>
              <w:spacing w:before="360" w:after="80"/>
              <w:contextualSpacing/>
              <w:outlineLvl w:val="0"/>
            </w:pPr>
            <w:r w:rsidRPr="00110307">
              <w:t>498</w:t>
            </w:r>
          </w:p>
        </w:tc>
        <w:tc>
          <w:tcPr>
            <w:tcW w:w="1530" w:type="dxa"/>
            <w:noWrap/>
          </w:tcPr>
          <w:p w:rsidR="00F707E0" w:rsidRPr="00110307" w:rsidP="00110307" w14:paraId="177A47D4" w14:textId="77777777">
            <w:pPr>
              <w:keepNext/>
              <w:keepLines/>
              <w:spacing w:before="360" w:after="80"/>
              <w:contextualSpacing/>
              <w:outlineLvl w:val="0"/>
            </w:pPr>
            <w:r w:rsidRPr="00110307">
              <w:t>85.13</w:t>
            </w:r>
          </w:p>
        </w:tc>
      </w:tr>
      <w:tr w14:paraId="4F1234B2" w14:textId="77777777" w:rsidTr="007357C3">
        <w:tblPrEx>
          <w:tblW w:w="7645" w:type="dxa"/>
          <w:jc w:val="center"/>
          <w:tblLayout w:type="fixed"/>
          <w:tblLook w:val="04A0"/>
        </w:tblPrEx>
        <w:trPr>
          <w:trHeight w:val="255"/>
          <w:jc w:val="center"/>
        </w:trPr>
        <w:tc>
          <w:tcPr>
            <w:tcW w:w="3325" w:type="dxa"/>
            <w:noWrap/>
          </w:tcPr>
          <w:p w:rsidR="00F707E0" w:rsidRPr="00110307" w:rsidP="00110307" w14:paraId="46F3775D" w14:textId="77777777">
            <w:pPr>
              <w:keepNext/>
              <w:keepLines/>
              <w:spacing w:before="360" w:after="80"/>
              <w:contextualSpacing/>
              <w:outlineLvl w:val="0"/>
            </w:pPr>
            <w:r w:rsidRPr="00110307">
              <w:t>Wireless Telephony</w:t>
            </w:r>
            <w:r>
              <w:rPr>
                <w:vertAlign w:val="superscript"/>
              </w:rPr>
              <w:footnoteReference w:id="91"/>
            </w:r>
          </w:p>
        </w:tc>
        <w:tc>
          <w:tcPr>
            <w:tcW w:w="1800" w:type="dxa"/>
            <w:noWrap/>
          </w:tcPr>
          <w:p w:rsidR="00F707E0" w:rsidRPr="00110307" w:rsidP="00110307" w14:paraId="0536F39F" w14:textId="77777777">
            <w:pPr>
              <w:keepNext/>
              <w:keepLines/>
              <w:spacing w:before="360" w:after="80"/>
              <w:contextualSpacing/>
              <w:outlineLvl w:val="0"/>
            </w:pPr>
            <w:r w:rsidRPr="00110307">
              <w:t>326</w:t>
            </w:r>
          </w:p>
        </w:tc>
        <w:tc>
          <w:tcPr>
            <w:tcW w:w="990" w:type="dxa"/>
          </w:tcPr>
          <w:p w:rsidR="00F707E0" w:rsidRPr="00110307" w:rsidP="00110307" w14:paraId="282CBD28" w14:textId="77777777">
            <w:pPr>
              <w:keepNext/>
              <w:keepLines/>
              <w:spacing w:before="360" w:after="80"/>
              <w:contextualSpacing/>
              <w:outlineLvl w:val="0"/>
            </w:pPr>
            <w:r w:rsidRPr="00110307">
              <w:t>247</w:t>
            </w:r>
          </w:p>
        </w:tc>
        <w:tc>
          <w:tcPr>
            <w:tcW w:w="1530" w:type="dxa"/>
            <w:noWrap/>
          </w:tcPr>
          <w:p w:rsidR="00F707E0" w:rsidRPr="00110307" w:rsidP="00110307" w14:paraId="57616951" w14:textId="77777777">
            <w:pPr>
              <w:keepNext/>
              <w:keepLines/>
              <w:spacing w:before="360" w:after="80"/>
              <w:contextualSpacing/>
              <w:outlineLvl w:val="0"/>
            </w:pPr>
            <w:r w:rsidRPr="00110307">
              <w:t>75.77</w:t>
            </w:r>
          </w:p>
        </w:tc>
      </w:tr>
      <w:bookmarkEnd w:id="147"/>
    </w:tbl>
    <w:p w:rsidR="00F707E0" w:rsidRPr="00110307" w:rsidP="00110307" w14:paraId="5CF1BA22" w14:textId="77777777">
      <w:pPr>
        <w:keepNext/>
        <w:keepLines/>
        <w:spacing w:before="360" w:after="80"/>
        <w:contextualSpacing/>
        <w:outlineLvl w:val="0"/>
      </w:pPr>
    </w:p>
    <w:p w:rsidR="00F707E0" w:rsidRPr="00D36E2A" w:rsidP="00D36E2A" w14:paraId="0917EA39" w14:textId="77777777">
      <w:pPr>
        <w:keepNext/>
        <w:keepLines/>
        <w:spacing w:before="360" w:after="80"/>
        <w:contextualSpacing/>
        <w:outlineLvl w:val="0"/>
        <w:rPr>
          <w:szCs w:val="22"/>
        </w:rPr>
      </w:pPr>
    </w:p>
    <w:p w:rsidR="00905DAA" w:rsidRPr="00920D18" w:rsidP="00863B7A" w14:paraId="58A559A6" w14:textId="77777777">
      <w:pPr>
        <w:pStyle w:val="Heading2"/>
      </w:pPr>
      <w:bookmarkStart w:id="148" w:name="_Toc474532764"/>
      <w:bookmarkStart w:id="149" w:name="_Toc474534430"/>
      <w:bookmarkStart w:id="150" w:name="_Toc474752057"/>
      <w:bookmarkStart w:id="151" w:name="_Toc474947297"/>
      <w:bookmarkStart w:id="152" w:name="_Toc475028097"/>
      <w:bookmarkStart w:id="153" w:name="_Toc475537260"/>
      <w:bookmarkStart w:id="154" w:name="_Toc475899460"/>
      <w:bookmarkStart w:id="155" w:name="_Toc477805792"/>
      <w:bookmarkStart w:id="156" w:name="_Toc477954226"/>
      <w:bookmarkStart w:id="157" w:name="_Toc209031294"/>
      <w:bookmarkStart w:id="158" w:name="_Toc209512727"/>
      <w:bookmarkStart w:id="159" w:name="_Toc210640463"/>
      <w:bookmarkStart w:id="160" w:name="_Toc212121495"/>
      <w:bookmarkStart w:id="161" w:name="_Toc212467170"/>
      <w:bookmarkEnd w:id="145"/>
      <w:r w:rsidRPr="00920D18">
        <w:t xml:space="preserve">Description of Economic Impact and Projected Reporting, Recordkeeping, and Other Compliance Requirements </w:t>
      </w:r>
      <w:bookmarkStart w:id="162" w:name="_Hlk60678243"/>
      <w:r w:rsidRPr="00920D18">
        <w:t>for Small Entities</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r w:rsidRPr="00920D18">
        <w:t xml:space="preserve"> </w:t>
      </w:r>
      <w:bookmarkEnd w:id="162"/>
    </w:p>
    <w:p w:rsidR="00905DAA" w:rsidRPr="00920D18" w:rsidP="00391011" w14:paraId="5A6D1A15" w14:textId="77777777">
      <w:pPr>
        <w:pStyle w:val="ParaNum"/>
        <w:numPr>
          <w:ilvl w:val="0"/>
          <w:numId w:val="20"/>
        </w:numPr>
        <w:rPr>
          <w:szCs w:val="22"/>
        </w:rPr>
      </w:pPr>
      <w:r w:rsidRPr="00920D18">
        <w:rPr>
          <w:szCs w:val="22"/>
        </w:rPr>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sz w:val="20"/>
          <w:szCs w:val="22"/>
          <w:vertAlign w:val="superscript"/>
        </w:rPr>
        <w:footnoteReference w:id="92"/>
      </w:r>
      <w:r w:rsidRPr="00920D18">
        <w:rPr>
          <w:szCs w:val="22"/>
        </w:rPr>
        <w:t xml:space="preserve">   </w:t>
      </w:r>
    </w:p>
    <w:p w:rsidR="00905DAA" w:rsidRPr="00920D18" w:rsidP="00391011" w14:paraId="268E7D3C" w14:textId="47076461">
      <w:pPr>
        <w:pStyle w:val="ParaNum"/>
        <w:numPr>
          <w:ilvl w:val="0"/>
          <w:numId w:val="20"/>
        </w:numPr>
      </w:pPr>
      <w:r w:rsidRPr="00920D18">
        <w:t xml:space="preserve">The </w:t>
      </w:r>
      <w:r w:rsidR="00A62974">
        <w:t>Commission</w:t>
      </w:r>
      <w:r w:rsidR="00CE30D1">
        <w:t xml:space="preserve"> seeks comment on</w:t>
      </w:r>
      <w:r w:rsidR="00A62974">
        <w:t xml:space="preserve"> specific actions originating providers</w:t>
      </w:r>
      <w:r w:rsidR="00376573">
        <w:t xml:space="preserve"> should take to guard against unwanted and illegal calls.  The</w:t>
      </w:r>
      <w:r w:rsidR="0043769F">
        <w:t xml:space="preserve"> </w:t>
      </w:r>
      <w:r w:rsidRPr="00591513">
        <w:rPr>
          <w:i/>
          <w:iCs/>
        </w:rPr>
        <w:t>Notice</w:t>
      </w:r>
      <w:r w:rsidRPr="00920D18">
        <w:t xml:space="preserve"> seeks comment on establish</w:t>
      </w:r>
      <w:r w:rsidR="00CE30D1">
        <w:t>ing</w:t>
      </w:r>
      <w:r w:rsidRPr="00920D18">
        <w:t xml:space="preserve"> new information collection, reporting, recordkeeping, or compliance requirements for small entities. </w:t>
      </w:r>
      <w:r w:rsidR="00534710">
        <w:t xml:space="preserve"> </w:t>
      </w:r>
      <w:r w:rsidRPr="00920D18">
        <w:t xml:space="preserve">Specifically, it </w:t>
      </w:r>
      <w:r w:rsidR="00B85C63">
        <w:t>seeks comment on</w:t>
      </w:r>
      <w:r w:rsidRPr="00920D18">
        <w:t xml:space="preserve"> requir</w:t>
      </w:r>
      <w:r w:rsidR="00B85C63">
        <w:t>ing</w:t>
      </w:r>
      <w:r w:rsidR="00824993">
        <w:t xml:space="preserve"> </w:t>
      </w:r>
      <w:r w:rsidR="00732F6A">
        <w:t xml:space="preserve">originating </w:t>
      </w:r>
      <w:r w:rsidR="00824993">
        <w:t>providers</w:t>
      </w:r>
      <w:r w:rsidR="00933573">
        <w:t xml:space="preserve"> to obtain specific customer identification</w:t>
      </w:r>
      <w:r w:rsidR="00284B2B">
        <w:t xml:space="preserve"> information</w:t>
      </w:r>
      <w:r w:rsidR="0026774C">
        <w:t xml:space="preserve"> </w:t>
      </w:r>
      <w:r w:rsidR="00284B2B">
        <w:t>from new and renewing customers</w:t>
      </w:r>
      <w:r w:rsidRPr="00920D18">
        <w:t>.</w:t>
      </w:r>
      <w:r w:rsidR="00284B2B">
        <w:t xml:space="preserve">  This may require </w:t>
      </w:r>
      <w:r w:rsidR="00387A1D">
        <w:t xml:space="preserve">originating </w:t>
      </w:r>
      <w:r w:rsidR="00284B2B">
        <w:t>providers to enhance their curren</w:t>
      </w:r>
      <w:r w:rsidR="0026774C">
        <w:t>t practices</w:t>
      </w:r>
      <w:r w:rsidR="00777BEC">
        <w:t xml:space="preserve"> for obtaining such </w:t>
      </w:r>
      <w:r w:rsidR="0026774C">
        <w:t xml:space="preserve">customer </w:t>
      </w:r>
      <w:r w:rsidR="00777BEC">
        <w:t xml:space="preserve">information </w:t>
      </w:r>
      <w:r w:rsidR="002F42F9">
        <w:t>before</w:t>
      </w:r>
      <w:r w:rsidR="00777BEC">
        <w:t xml:space="preserve"> granting access to </w:t>
      </w:r>
      <w:r w:rsidR="00872966">
        <w:t>their</w:t>
      </w:r>
      <w:r w:rsidR="00777BEC">
        <w:t xml:space="preserve"> services.</w:t>
      </w:r>
    </w:p>
    <w:p w:rsidR="00905DAA" w:rsidRPr="00920D18" w:rsidP="0F690549" w14:paraId="436725F6" w14:textId="58CC7DA7">
      <w:pPr>
        <w:pStyle w:val="ParaNum"/>
      </w:pPr>
      <w:r>
        <w:t xml:space="preserve">The </w:t>
      </w:r>
      <w:r w:rsidRPr="19FE2745">
        <w:rPr>
          <w:i/>
          <w:iCs/>
        </w:rPr>
        <w:t>Notice</w:t>
      </w:r>
      <w:r>
        <w:t xml:space="preserve"> also </w:t>
      </w:r>
      <w:r w:rsidR="233264FB">
        <w:t>seeks comment</w:t>
      </w:r>
      <w:r>
        <w:t xml:space="preserve"> </w:t>
      </w:r>
      <w:r w:rsidR="720A7C94">
        <w:t xml:space="preserve">on </w:t>
      </w:r>
      <w:r w:rsidR="00B36D85">
        <w:t xml:space="preserve">specific </w:t>
      </w:r>
      <w:r w:rsidR="15F4DC08">
        <w:t>requirements</w:t>
      </w:r>
      <w:r w:rsidR="00B36D85">
        <w:t xml:space="preserve"> </w:t>
      </w:r>
      <w:r w:rsidR="5E970764">
        <w:t>f</w:t>
      </w:r>
      <w:r w:rsidR="00B36D85">
        <w:t>or</w:t>
      </w:r>
      <w:r>
        <w:t xml:space="preserve"> originating providers</w:t>
      </w:r>
      <w:r w:rsidR="00B36D85">
        <w:t xml:space="preserve"> to verify, retain, and </w:t>
      </w:r>
      <w:r w:rsidR="6A2B7F0F">
        <w:t>re</w:t>
      </w:r>
      <w:r w:rsidR="2B54F4ED">
        <w:t>-</w:t>
      </w:r>
      <w:r w:rsidR="6A2B7F0F">
        <w:t>verify customer information</w:t>
      </w:r>
      <w:r>
        <w:t>.</w:t>
      </w:r>
      <w:r w:rsidR="63777446">
        <w:t xml:space="preserve"> </w:t>
      </w:r>
      <w:r>
        <w:t xml:space="preserve"> This may require affected small entities to establish </w:t>
      </w:r>
      <w:r w:rsidR="7E15F633">
        <w:t xml:space="preserve">or </w:t>
      </w:r>
      <w:r w:rsidR="7E15F633">
        <w:t xml:space="preserve">enhance existing </w:t>
      </w:r>
      <w:r>
        <w:t>verification procedures, maintain records of verification activities, and implement systems to ensure c</w:t>
      </w:r>
      <w:r w:rsidR="6A2B7F0F">
        <w:t>ustomer</w:t>
      </w:r>
      <w:r>
        <w:t xml:space="preserve"> </w:t>
      </w:r>
      <w:r w:rsidR="6A2B7F0F">
        <w:t xml:space="preserve">identification </w:t>
      </w:r>
      <w:r>
        <w:t xml:space="preserve">information </w:t>
      </w:r>
      <w:r w:rsidR="6A2B7F0F">
        <w:t xml:space="preserve">is </w:t>
      </w:r>
      <w:r w:rsidR="74928290">
        <w:t xml:space="preserve">secure, </w:t>
      </w:r>
      <w:r w:rsidR="6A2B7F0F">
        <w:t>accurate</w:t>
      </w:r>
      <w:r w:rsidR="74928290">
        <w:t>,</w:t>
      </w:r>
      <w:r w:rsidR="6A2B7F0F">
        <w:t xml:space="preserve"> and complete.</w:t>
      </w:r>
    </w:p>
    <w:p w:rsidR="00905DAA" w:rsidRPr="00920D18" w:rsidP="00391011" w14:paraId="67282CED" w14:textId="727F0041">
      <w:pPr>
        <w:pStyle w:val="ParaNum"/>
        <w:numPr>
          <w:ilvl w:val="0"/>
          <w:numId w:val="20"/>
        </w:numPr>
      </w:pPr>
      <w:r w:rsidRPr="00110307">
        <w:rPr>
          <w:rFonts w:eastAsia="Aptos"/>
        </w:rPr>
        <w:t xml:space="preserve">The </w:t>
      </w:r>
      <w:r w:rsidRPr="00110307">
        <w:rPr>
          <w:rFonts w:eastAsia="Aptos"/>
          <w:i/>
        </w:rPr>
        <w:t>Notice</w:t>
      </w:r>
      <w:r w:rsidRPr="00110307">
        <w:rPr>
          <w:rFonts w:eastAsia="Aptos"/>
        </w:rPr>
        <w:t xml:space="preserve"> also</w:t>
      </w:r>
      <w:r w:rsidRPr="00110307" w:rsidR="00DA25B6">
        <w:rPr>
          <w:rFonts w:eastAsia="Aptos"/>
        </w:rPr>
        <w:t xml:space="preserve"> seeks comment on whether</w:t>
      </w:r>
      <w:r w:rsidRPr="00110307" w:rsidR="0070724A">
        <w:rPr>
          <w:rFonts w:eastAsia="Aptos"/>
        </w:rPr>
        <w:t xml:space="preserve"> KYC</w:t>
      </w:r>
      <w:r w:rsidRPr="00110307" w:rsidR="00166E7D">
        <w:rPr>
          <w:rFonts w:eastAsia="Aptos"/>
        </w:rPr>
        <w:t xml:space="preserve"> requirements should include risk-based security controls depending on an assessment of the risk that the customer poses</w:t>
      </w:r>
      <w:r w:rsidRPr="00110307" w:rsidR="00367688">
        <w:rPr>
          <w:rFonts w:eastAsia="Aptos"/>
        </w:rPr>
        <w:t xml:space="preserve"> to make large numbers of illegal calls</w:t>
      </w:r>
      <w:r w:rsidRPr="00920D18">
        <w:rPr>
          <w:szCs w:val="22"/>
        </w:rPr>
        <w:t>.</w:t>
      </w:r>
      <w:r w:rsidR="00367688">
        <w:rPr>
          <w:szCs w:val="22"/>
        </w:rPr>
        <w:t xml:space="preserve">  For example, greater levels of </w:t>
      </w:r>
      <w:r w:rsidR="00992729">
        <w:rPr>
          <w:szCs w:val="22"/>
        </w:rPr>
        <w:t>review</w:t>
      </w:r>
      <w:r w:rsidR="00367688">
        <w:rPr>
          <w:szCs w:val="22"/>
        </w:rPr>
        <w:t xml:space="preserve"> for foreign and high-volume customers than for</w:t>
      </w:r>
      <w:r w:rsidR="00903852">
        <w:rPr>
          <w:szCs w:val="22"/>
        </w:rPr>
        <w:t xml:space="preserve"> low-volume customers.</w:t>
      </w:r>
      <w:r w:rsidRPr="00920D18">
        <w:rPr>
          <w:szCs w:val="22"/>
        </w:rPr>
        <w:t xml:space="preserve">  </w:t>
      </w:r>
      <w:r w:rsidRPr="00920D18">
        <w:t xml:space="preserve">To comply with this requirement, affected small entities may need to establish </w:t>
      </w:r>
      <w:r w:rsidR="00903852">
        <w:t xml:space="preserve">verification </w:t>
      </w:r>
      <w:r w:rsidRPr="00920D18">
        <w:t xml:space="preserve">procedures </w:t>
      </w:r>
      <w:r w:rsidRPr="00920D18">
        <w:rPr>
          <w:szCs w:val="22"/>
        </w:rPr>
        <w:t xml:space="preserve">when </w:t>
      </w:r>
      <w:r w:rsidR="00903852">
        <w:rPr>
          <w:szCs w:val="22"/>
        </w:rPr>
        <w:t>a customer indicates an intent to make a high volume o</w:t>
      </w:r>
      <w:r w:rsidR="002E0F7E">
        <w:rPr>
          <w:szCs w:val="22"/>
        </w:rPr>
        <w:t>f</w:t>
      </w:r>
      <w:r w:rsidR="00903852">
        <w:rPr>
          <w:szCs w:val="22"/>
        </w:rPr>
        <w:t xml:space="preserve"> calls or is </w:t>
      </w:r>
      <w:r w:rsidR="004F27AF">
        <w:rPr>
          <w:szCs w:val="22"/>
        </w:rPr>
        <w:t>located in</w:t>
      </w:r>
      <w:r w:rsidRPr="00920D18">
        <w:rPr>
          <w:szCs w:val="22"/>
        </w:rPr>
        <w:t xml:space="preserve"> a country other than the United States.</w:t>
      </w:r>
    </w:p>
    <w:p w:rsidR="00905DAA" w:rsidRPr="00920D18" w:rsidP="19FE2745" w14:paraId="25EA4E9A" w14:textId="37FD648F">
      <w:pPr>
        <w:pStyle w:val="ParaNum"/>
      </w:pPr>
      <w:r>
        <w:rPr>
          <w:kern w:val="0"/>
        </w:rPr>
        <w:t>Finally, t</w:t>
      </w:r>
      <w:r w:rsidRPr="00391011" w:rsidR="7C12108E">
        <w:rPr>
          <w:kern w:val="0"/>
        </w:rPr>
        <w:t xml:space="preserve">he Commission invites comment on the costs and burdens of </w:t>
      </w:r>
      <w:r w:rsidRPr="00391011" w:rsidR="268B0B1C">
        <w:rPr>
          <w:kern w:val="0"/>
        </w:rPr>
        <w:t>enhanced KYC requirements</w:t>
      </w:r>
      <w:r w:rsidRPr="00391011" w:rsidR="7C12108E">
        <w:rPr>
          <w:kern w:val="0"/>
        </w:rPr>
        <w:t xml:space="preserve"> on small entity voice</w:t>
      </w:r>
      <w:r w:rsidRPr="00920D18" w:rsidR="7C12108E">
        <w:t xml:space="preserve"> service providers. The Commission expects that information received in comments, including cost and benefit analyses where requested, will help the Commission identify and evaluate relevant compliance matters for small entities that may result if the proposals and associated requirements discussed in the </w:t>
      </w:r>
      <w:r w:rsidRPr="19FE2745" w:rsidR="7C12108E">
        <w:rPr>
          <w:i/>
          <w:iCs/>
          <w:color w:val="000000"/>
        </w:rPr>
        <w:t>Notice</w:t>
      </w:r>
      <w:r w:rsidRPr="00920D18" w:rsidR="7C12108E">
        <w:t xml:space="preserve"> are ultimately adopted.</w:t>
      </w:r>
    </w:p>
    <w:p w:rsidR="00905DAA" w:rsidRPr="00920D18" w:rsidP="00863B7A" w14:paraId="28D62969" w14:textId="77777777">
      <w:pPr>
        <w:pStyle w:val="Heading2"/>
      </w:pPr>
      <w:bookmarkStart w:id="163" w:name="_Toc209031295"/>
      <w:bookmarkStart w:id="164" w:name="_Toc209512728"/>
      <w:bookmarkStart w:id="165" w:name="_Toc210640464"/>
      <w:bookmarkStart w:id="166" w:name="_Toc212121496"/>
      <w:bookmarkStart w:id="167" w:name="_Toc212467171"/>
      <w:bookmarkStart w:id="168" w:name="_Toc474532765"/>
      <w:bookmarkStart w:id="169" w:name="_Toc474534431"/>
      <w:bookmarkStart w:id="170" w:name="_Toc474752058"/>
      <w:bookmarkStart w:id="171" w:name="_Toc474947298"/>
      <w:bookmarkStart w:id="172" w:name="_Toc475028098"/>
      <w:bookmarkStart w:id="173" w:name="_Toc475537261"/>
      <w:bookmarkStart w:id="174" w:name="_Toc475899461"/>
      <w:bookmarkStart w:id="175" w:name="_Toc477805793"/>
      <w:bookmarkStart w:id="176" w:name="_Toc477954227"/>
      <w:r w:rsidRPr="00920D18">
        <w:t>Discussion of Significant Alternatives Considered That Minimize the Significant Economic Impact on Small Entities</w:t>
      </w:r>
      <w:bookmarkEnd w:id="163"/>
      <w:bookmarkEnd w:id="164"/>
      <w:bookmarkEnd w:id="165"/>
      <w:bookmarkEnd w:id="166"/>
      <w:bookmarkEnd w:id="167"/>
      <w:r w:rsidRPr="00920D18">
        <w:t xml:space="preserve"> </w:t>
      </w:r>
      <w:bookmarkEnd w:id="168"/>
      <w:bookmarkEnd w:id="169"/>
      <w:bookmarkEnd w:id="170"/>
      <w:bookmarkEnd w:id="171"/>
      <w:bookmarkEnd w:id="172"/>
      <w:bookmarkEnd w:id="173"/>
      <w:bookmarkEnd w:id="174"/>
      <w:bookmarkEnd w:id="175"/>
      <w:bookmarkEnd w:id="176"/>
    </w:p>
    <w:p w:rsidR="00905DAA" w:rsidRPr="00920D18" w:rsidP="00391011" w14:paraId="3AFF7537" w14:textId="77777777">
      <w:pPr>
        <w:pStyle w:val="ParaNum"/>
        <w:numPr>
          <w:ilvl w:val="0"/>
          <w:numId w:val="20"/>
        </w:numPr>
      </w:pPr>
      <w:r w:rsidRPr="00920D18">
        <w:t xml:space="preserve">The RFA directs agencies </w:t>
      </w:r>
      <w:r w:rsidRPr="00920D18">
        <w:rPr>
          <w:szCs w:val="22"/>
        </w:rPr>
        <w:t xml:space="preserve">to provide a description of </w:t>
      </w:r>
      <w:r w:rsidRPr="00920D18">
        <w:t>any significant alternatives to the proposed rules that would accomplish the stated objectives of applicable statutes, and minimize any significant economic impact on small entities.</w:t>
      </w:r>
      <w:r>
        <w:rPr>
          <w:sz w:val="20"/>
          <w:vertAlign w:val="superscript"/>
        </w:rPr>
        <w:footnoteReference w:id="93"/>
      </w:r>
      <w:r w:rsidRPr="00920D18">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sz w:val="20"/>
          <w:szCs w:val="22"/>
          <w:vertAlign w:val="superscript"/>
        </w:rPr>
        <w:footnoteReference w:id="94"/>
      </w:r>
      <w:r w:rsidRPr="00920D18">
        <w:t xml:space="preserve"> </w:t>
      </w:r>
    </w:p>
    <w:p w:rsidR="009B02B8" w:rsidRPr="00920D18" w:rsidP="19FE2745" w14:paraId="1395179D" w14:textId="7F243E87">
      <w:pPr>
        <w:pStyle w:val="ParaNum"/>
      </w:pPr>
      <w:bookmarkStart w:id="178" w:name="_Toc474532766"/>
      <w:bookmarkStart w:id="179" w:name="_Toc474534432"/>
      <w:bookmarkStart w:id="180" w:name="_Toc474752059"/>
      <w:bookmarkStart w:id="181" w:name="_Toc474947299"/>
      <w:bookmarkStart w:id="182" w:name="_Toc475028099"/>
      <w:bookmarkStart w:id="183" w:name="_Toc475537262"/>
      <w:bookmarkStart w:id="184" w:name="_Toc475899462"/>
      <w:bookmarkStart w:id="185" w:name="_Toc477805794"/>
      <w:bookmarkStart w:id="186" w:name="_Toc477954228"/>
      <w:r w:rsidRPr="19FE2745">
        <w:rPr>
          <w:color w:val="000000"/>
        </w:rPr>
        <w:t xml:space="preserve">In the </w:t>
      </w:r>
      <w:r w:rsidRPr="19FE2745">
        <w:rPr>
          <w:i/>
          <w:iCs/>
          <w:color w:val="000000"/>
        </w:rPr>
        <w:t>Notice</w:t>
      </w:r>
      <w:r w:rsidRPr="19FE2745">
        <w:rPr>
          <w:color w:val="000000"/>
        </w:rPr>
        <w:t>,</w:t>
      </w:r>
      <w:r w:rsidRPr="19FE2745">
        <w:rPr>
          <w:i/>
          <w:iCs/>
          <w:color w:val="000000"/>
        </w:rPr>
        <w:t xml:space="preserve"> </w:t>
      </w:r>
      <w:r w:rsidRPr="00920D18">
        <w:t xml:space="preserve">the Commission seeks comment on several approaches that may minimize impacts on small entities.  </w:t>
      </w:r>
      <w:r w:rsidRPr="00252FCA" w:rsidR="2F70DAF3">
        <w:t xml:space="preserve">For example, </w:t>
      </w:r>
      <w:r w:rsidR="2F70DAF3">
        <w:t xml:space="preserve">we seek comment on whether </w:t>
      </w:r>
      <w:r w:rsidR="2C233F0B">
        <w:t xml:space="preserve">originating </w:t>
      </w:r>
      <w:r w:rsidR="2F70DAF3">
        <w:t xml:space="preserve">providers should be exempted from acquiring </w:t>
      </w:r>
      <w:r w:rsidR="0289CA41">
        <w:t xml:space="preserve">direct </w:t>
      </w:r>
      <w:r w:rsidR="2F70DAF3">
        <w:t>KYC information</w:t>
      </w:r>
      <w:r w:rsidR="603467AC">
        <w:t xml:space="preserve"> when such information can be obtained from </w:t>
      </w:r>
      <w:r w:rsidR="37548A26">
        <w:t>credible</w:t>
      </w:r>
      <w:r w:rsidR="603467AC">
        <w:t xml:space="preserve"> alternative source</w:t>
      </w:r>
      <w:r w:rsidR="0289CA41">
        <w:t>s</w:t>
      </w:r>
      <w:r w:rsidR="603467AC">
        <w:t xml:space="preserve"> such as a credit report.</w:t>
      </w:r>
      <w:r w:rsidR="1FD8C09F">
        <w:t xml:space="preserve">  We also seek comment on current industry practices for obtaining, verifying, and retaining</w:t>
      </w:r>
      <w:r w:rsidR="23CE3A5A">
        <w:t xml:space="preserve"> customer information including ways that we might tailor </w:t>
      </w:r>
      <w:r w:rsidR="07FDDE9A">
        <w:t xml:space="preserve">any </w:t>
      </w:r>
      <w:r w:rsidR="5402B362">
        <w:t>enhanced</w:t>
      </w:r>
      <w:r w:rsidR="52F419BA">
        <w:t xml:space="preserve"> </w:t>
      </w:r>
      <w:r w:rsidR="7ACB3A16">
        <w:t xml:space="preserve">KYC </w:t>
      </w:r>
      <w:r w:rsidR="23CE3A5A">
        <w:t xml:space="preserve"> </w:t>
      </w:r>
      <w:r w:rsidR="73917F3E">
        <w:t xml:space="preserve">requirements </w:t>
      </w:r>
      <w:r w:rsidR="23CE3A5A">
        <w:t>to conform to th</w:t>
      </w:r>
      <w:r w:rsidR="7939BEF4">
        <w:t>ese</w:t>
      </w:r>
      <w:r w:rsidR="23CE3A5A">
        <w:t xml:space="preserve"> practices in a way that minimizes any new burdens.  </w:t>
      </w:r>
      <w:r w:rsidR="6F1C3795">
        <w:t>W</w:t>
      </w:r>
      <w:r w:rsidR="4A923654">
        <w:t>e seek comment</w:t>
      </w:r>
      <w:r w:rsidR="401C7E66">
        <w:t xml:space="preserve"> on</w:t>
      </w:r>
      <w:r w:rsidR="4A923654">
        <w:t xml:space="preserve"> </w:t>
      </w:r>
      <w:r w:rsidRPr="00063002" w:rsidR="4A923654">
        <w:t xml:space="preserve">whether </w:t>
      </w:r>
      <w:r w:rsidRPr="00063002" w:rsidR="2B230943">
        <w:t xml:space="preserve"> enhanced KYC </w:t>
      </w:r>
      <w:r w:rsidRPr="00063002" w:rsidR="4A923654">
        <w:t xml:space="preserve">requirements can be designed to complement </w:t>
      </w:r>
      <w:r w:rsidR="7DCC2896">
        <w:t>any</w:t>
      </w:r>
      <w:r w:rsidRPr="00063002" w:rsidR="4A923654">
        <w:t xml:space="preserve"> </w:t>
      </w:r>
      <w:r w:rsidRPr="19FE2745" w:rsidR="4A923654">
        <w:rPr>
          <w:i/>
          <w:iCs/>
        </w:rPr>
        <w:t xml:space="preserve">Call Branding FNPRM </w:t>
      </w:r>
      <w:r w:rsidRPr="00063002" w:rsidR="4A923654">
        <w:t>proposal to require originating providers that transmit caller identity information to employ reasonable measures to verify the accuracy of the information transmitted including mandating the collection and verification of specific customer information.</w:t>
      </w:r>
      <w:r>
        <w:rPr>
          <w:vertAlign w:val="superscript"/>
        </w:rPr>
        <w:footnoteReference w:id="95"/>
      </w:r>
      <w:r w:rsidRPr="00063002" w:rsidR="4A923654">
        <w:t xml:space="preserve">  </w:t>
      </w:r>
      <w:r w:rsidR="7DCC2896">
        <w:t xml:space="preserve">In particular, we seek comment on whether there are ways </w:t>
      </w:r>
      <w:r w:rsidRPr="00063002" w:rsidR="4A923654">
        <w:t>in which</w:t>
      </w:r>
      <w:r w:rsidRPr="00063002" w:rsidR="1BE87CD6">
        <w:t xml:space="preserve"> enhanced</w:t>
      </w:r>
      <w:r w:rsidRPr="00063002" w:rsidR="4A923654">
        <w:t xml:space="preserve"> </w:t>
      </w:r>
      <w:r w:rsidR="09127D70">
        <w:t>KYC requirements</w:t>
      </w:r>
      <w:r w:rsidR="1CD68ADB">
        <w:t xml:space="preserve"> </w:t>
      </w:r>
      <w:r w:rsidRPr="00063002" w:rsidR="4A923654">
        <w:t>can be coordinated to minimize burdens and promote industry compliance</w:t>
      </w:r>
      <w:r w:rsidR="7B5E8F24">
        <w:t xml:space="preserve">.  Finally, we </w:t>
      </w:r>
      <w:r w:rsidR="0998CABC">
        <w:t>seek comment on whether</w:t>
      </w:r>
      <w:r w:rsidR="3604804E">
        <w:t xml:space="preserve"> any rules adopted pursuant to this </w:t>
      </w:r>
      <w:r w:rsidRPr="19FE2745" w:rsidR="3604804E">
        <w:rPr>
          <w:i/>
          <w:iCs/>
        </w:rPr>
        <w:t>Notice</w:t>
      </w:r>
      <w:r w:rsidR="3604804E">
        <w:t xml:space="preserve"> apply only to customers originating </w:t>
      </w:r>
      <w:r w:rsidR="5645316B">
        <w:t>providers acquire after the effective date of any new rules and to any customers that renew service with the provider after the effective date</w:t>
      </w:r>
      <w:r w:rsidR="10966CB5">
        <w:t xml:space="preserve">.  We also </w:t>
      </w:r>
      <w:r w:rsidR="006AC976">
        <w:t xml:space="preserve">seek comment on whether </w:t>
      </w:r>
      <w:r w:rsidR="10966CB5">
        <w:t xml:space="preserve">any such rules </w:t>
      </w:r>
      <w:r w:rsidR="7ED484E5">
        <w:t xml:space="preserve">should </w:t>
      </w:r>
      <w:r w:rsidR="786196F6">
        <w:t xml:space="preserve">not </w:t>
      </w:r>
      <w:r w:rsidR="10966CB5">
        <w:t xml:space="preserve">take effect </w:t>
      </w:r>
      <w:r w:rsidR="786196F6">
        <w:t xml:space="preserve">until </w:t>
      </w:r>
      <w:r w:rsidR="10966CB5">
        <w:t>six months after OMB approval of any</w:t>
      </w:r>
      <w:r w:rsidR="783DFDF2">
        <w:t xml:space="preserve"> applicable Paperwork Reduction Act requirement to provide affected entities with</w:t>
      </w:r>
      <w:r w:rsidR="52B4BE82">
        <w:t xml:space="preserve"> a</w:t>
      </w:r>
      <w:r w:rsidR="5EED2457">
        <w:t>n</w:t>
      </w:r>
      <w:r w:rsidR="52B4BE82">
        <w:t xml:space="preserve"> opportunity to take any measures </w:t>
      </w:r>
      <w:r w:rsidR="130BA8EE">
        <w:t xml:space="preserve">necessary </w:t>
      </w:r>
      <w:r w:rsidR="52B4BE82">
        <w:t>to ensure compliance with these requirements.</w:t>
      </w:r>
    </w:p>
    <w:p w:rsidR="00905DAA" w:rsidRPr="00920D18" w:rsidP="004C61AE" w14:paraId="66B7C081" w14:textId="77777777">
      <w:pPr>
        <w:pStyle w:val="ParaNum"/>
        <w:numPr>
          <w:ilvl w:val="0"/>
          <w:numId w:val="20"/>
        </w:numPr>
      </w:pPr>
      <w:r w:rsidRPr="00920D18">
        <w:t xml:space="preserve">The Commission expects to more fully consider the economic impact and alternatives for small entities following review of comments filed in response to the </w:t>
      </w:r>
      <w:r w:rsidRPr="00920D18">
        <w:rPr>
          <w:i/>
          <w:iCs/>
          <w:color w:val="000000"/>
          <w:szCs w:val="22"/>
        </w:rPr>
        <w:t>Notice</w:t>
      </w:r>
      <w:r w:rsidRPr="00920D18">
        <w:t xml:space="preserve"> and this IRFA. The Commission's evaluation of this information will shape the final alternatives it considers, the final </w:t>
      </w:r>
      <w:r w:rsidRPr="00920D18">
        <w:t>conclusions it reaches, and any final actions it ultimately takes in this proceeding to minimize any significant economic impact that may occur on small entities.</w:t>
      </w:r>
    </w:p>
    <w:p w:rsidR="00905DAA" w:rsidRPr="00920D18" w:rsidP="00863B7A" w14:paraId="3260FEF7" w14:textId="77777777">
      <w:pPr>
        <w:pStyle w:val="Heading2"/>
      </w:pPr>
      <w:bookmarkStart w:id="187" w:name="_Toc209031296"/>
      <w:bookmarkStart w:id="188" w:name="_Toc209512729"/>
      <w:bookmarkStart w:id="189" w:name="_Toc210640465"/>
      <w:bookmarkStart w:id="190" w:name="_Toc212121497"/>
      <w:bookmarkStart w:id="191" w:name="_Toc212467172"/>
      <w:r w:rsidRPr="00920D18">
        <w:t>Federal Rules that May Duplicate, Overlap, or Conflict with the Proposed Rules</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rsidR="00412FC5" w:rsidP="00673734" w14:paraId="1AB83032" w14:textId="7EDE7D18">
      <w:pPr>
        <w:pStyle w:val="ParaNum"/>
      </w:pPr>
      <w:r w:rsidRPr="00920D18">
        <w:t>Non</w:t>
      </w:r>
      <w:r w:rsidR="00160D82">
        <w:t>e</w:t>
      </w:r>
      <w:r w:rsidR="00B7398E">
        <w:t>.</w:t>
      </w:r>
    </w:p>
    <w:p w:rsidR="00673734" w:rsidP="00673734" w14:paraId="7A0F7EDB" w14:textId="77777777">
      <w:pPr>
        <w:pStyle w:val="ParaNum"/>
        <w:numPr>
          <w:ilvl w:val="0"/>
          <w:numId w:val="0"/>
        </w:numPr>
        <w:ind w:firstLine="720"/>
      </w:pPr>
    </w:p>
    <w:p w:rsidR="00BD5E83" w:rsidP="00673734" w14:paraId="10C515AC" w14:textId="77777777">
      <w:pPr>
        <w:pStyle w:val="ParaNum"/>
        <w:numPr>
          <w:ilvl w:val="0"/>
          <w:numId w:val="0"/>
        </w:numPr>
        <w:ind w:firstLine="720"/>
        <w:sectPr w:rsidSect="00863B7A">
          <w:headerReference w:type="default" r:id="rId16"/>
          <w:footerReference w:type="even" r:id="rId17"/>
          <w:footerReference w:type="default" r:id="rId18"/>
          <w:headerReference w:type="first" r:id="rId19"/>
          <w:footerReference w:type="first" r:id="rId20"/>
          <w:footnotePr>
            <w:numRestart w:val="eachSect"/>
          </w:footnotePr>
          <w:endnotePr>
            <w:numFmt w:val="decimal"/>
          </w:endnotePr>
          <w:pgSz w:w="12240" w:h="15840"/>
          <w:pgMar w:top="1440" w:right="1440" w:bottom="720" w:left="1440" w:header="720" w:footer="720" w:gutter="0"/>
          <w:cols w:space="720"/>
          <w:noEndnote/>
          <w:titlePg/>
        </w:sectPr>
      </w:pPr>
    </w:p>
    <w:p w:rsidR="007133CB" w:rsidRPr="00894FA2" w:rsidP="007133CB" w14:paraId="2C5E3440" w14:textId="77777777">
      <w:pPr>
        <w:jc w:val="center"/>
        <w:rPr>
          <w:b/>
          <w:bCs/>
          <w:szCs w:val="22"/>
        </w:rPr>
      </w:pPr>
      <w:r w:rsidRPr="00894FA2">
        <w:rPr>
          <w:b/>
          <w:bCs/>
          <w:szCs w:val="22"/>
        </w:rPr>
        <w:t>STATEMENT OF</w:t>
      </w:r>
    </w:p>
    <w:p w:rsidR="007133CB" w:rsidP="007133CB" w14:paraId="35075517" w14:textId="77777777">
      <w:pPr>
        <w:spacing w:after="240"/>
        <w:jc w:val="center"/>
        <w:rPr>
          <w:b/>
          <w:bCs/>
          <w:szCs w:val="22"/>
        </w:rPr>
      </w:pPr>
      <w:r w:rsidRPr="00894FA2">
        <w:rPr>
          <w:b/>
          <w:bCs/>
          <w:szCs w:val="22"/>
        </w:rPr>
        <w:t>CHAIRMAN BRENDAN CARR</w:t>
      </w:r>
    </w:p>
    <w:p w:rsidR="007133CB" w:rsidRPr="00894FA2" w:rsidP="007133CB" w14:paraId="75582506" w14:textId="77777777">
      <w:pPr>
        <w:spacing w:after="120"/>
        <w:rPr>
          <w:szCs w:val="22"/>
        </w:rPr>
      </w:pPr>
      <w:r>
        <w:rPr>
          <w:szCs w:val="22"/>
        </w:rPr>
        <w:t>Re:</w:t>
      </w:r>
      <w:r>
        <w:rPr>
          <w:szCs w:val="22"/>
        </w:rPr>
        <w:tab/>
      </w:r>
      <w:r w:rsidRPr="007D07D0">
        <w:rPr>
          <w:i/>
          <w:iCs/>
          <w:szCs w:val="22"/>
        </w:rPr>
        <w:t>Advanced Methods to Target and Eliminate Unlawful Robocalls; Rules and Regulations</w:t>
      </w:r>
      <w:r>
        <w:rPr>
          <w:i/>
          <w:iCs/>
          <w:szCs w:val="22"/>
        </w:rPr>
        <w:t xml:space="preserve"> </w:t>
      </w:r>
      <w:r w:rsidRPr="007D07D0">
        <w:rPr>
          <w:i/>
          <w:iCs/>
          <w:szCs w:val="22"/>
        </w:rPr>
        <w:t>Implementing the Telephone Consumer Protection Act of 1991</w:t>
      </w:r>
      <w:r>
        <w:rPr>
          <w:szCs w:val="22"/>
        </w:rPr>
        <w:t xml:space="preserve">, </w:t>
      </w:r>
      <w:r w:rsidRPr="007D07D0">
        <w:rPr>
          <w:szCs w:val="22"/>
        </w:rPr>
        <w:t>Further Notice of Proposed Rulemaking</w:t>
      </w:r>
      <w:r>
        <w:rPr>
          <w:szCs w:val="22"/>
        </w:rPr>
        <w:t xml:space="preserve">, </w:t>
      </w:r>
      <w:r w:rsidRPr="007D07D0">
        <w:rPr>
          <w:szCs w:val="22"/>
        </w:rPr>
        <w:t>CG Docket Nos. 17-59 and 02-278</w:t>
      </w:r>
      <w:r>
        <w:rPr>
          <w:szCs w:val="22"/>
        </w:rPr>
        <w:t xml:space="preserve"> (April 30, 2026)</w:t>
      </w:r>
    </w:p>
    <w:p w:rsidR="007133CB" w:rsidRPr="00894FA2" w:rsidP="007133CB" w14:paraId="519156EF" w14:textId="77777777">
      <w:pPr>
        <w:spacing w:after="120"/>
        <w:ind w:firstLine="720"/>
        <w:rPr>
          <w:szCs w:val="22"/>
        </w:rPr>
      </w:pPr>
      <w:r w:rsidRPr="00894FA2">
        <w:rPr>
          <w:szCs w:val="22"/>
        </w:rPr>
        <w:t xml:space="preserve">Combatting the scourge of illegal robocalls remains the FCC’s top consumer protection priority.  And since I became Chairman, we have been tackling the problem at every point of the call path.  Today’s item focuses on improving measures originating providers take </w:t>
      </w:r>
      <w:r w:rsidRPr="00894FA2">
        <w:rPr>
          <w:i/>
          <w:iCs/>
          <w:szCs w:val="22"/>
        </w:rPr>
        <w:t>before the call</w:t>
      </w:r>
      <w:r w:rsidRPr="00894FA2">
        <w:rPr>
          <w:szCs w:val="22"/>
        </w:rPr>
        <w:t xml:space="preserve">. </w:t>
      </w:r>
    </w:p>
    <w:p w:rsidR="007133CB" w:rsidRPr="00894FA2" w:rsidP="007133CB" w14:paraId="4FC0DD20" w14:textId="77777777">
      <w:pPr>
        <w:spacing w:after="120"/>
        <w:ind w:firstLine="720"/>
        <w:rPr>
          <w:szCs w:val="22"/>
        </w:rPr>
      </w:pPr>
      <w:r w:rsidRPr="00894FA2">
        <w:rPr>
          <w:szCs w:val="22"/>
        </w:rPr>
        <w:t>As we have continued to investigate the problem of illegal robocalls over the last year, it has become clear that some originating providers are not doing enough to vet their customers, allowing bad actors to infiltrate our U.S. phone networks.  Even though originating providers are subject to “know your customer” obligations where they must take “affirmative, effective” measures to know their customers, some do the bare minimum (or worse) and have become complicit in illegal robocalling schemes.</w:t>
      </w:r>
    </w:p>
    <w:p w:rsidR="007133CB" w:rsidRPr="00894FA2" w:rsidP="007133CB" w14:paraId="34EFE759" w14:textId="77777777">
      <w:pPr>
        <w:spacing w:after="120"/>
        <w:ind w:firstLine="720"/>
        <w:rPr>
          <w:szCs w:val="22"/>
        </w:rPr>
      </w:pPr>
      <w:r w:rsidRPr="00894FA2">
        <w:rPr>
          <w:szCs w:val="22"/>
        </w:rPr>
        <w:t>This item would close the gaps that exist in originating providers’ KYC obligations and ensures that providers cannot turn a blind eye while U.S. phone networks are exploited and Americans are defrauded.  Today’s item also bolsters our KYC enforcement by proposing per-call penalties.  By tying fines directly to the harm caused, we are also helping to incentivize better vetting by originating providers.</w:t>
      </w:r>
    </w:p>
    <w:p w:rsidR="00BD5E83" w:rsidRPr="007133CB" w:rsidP="007133CB" w14:paraId="14C7A22A" w14:textId="3B668999">
      <w:pPr>
        <w:spacing w:after="120"/>
        <w:ind w:firstLine="720"/>
        <w:rPr>
          <w:szCs w:val="22"/>
        </w:rPr>
      </w:pPr>
      <w:r w:rsidRPr="00894FA2">
        <w:rPr>
          <w:szCs w:val="22"/>
        </w:rPr>
        <w:t xml:space="preserve">For their great work on this item, I want to thank Zac Champ, Wes Platt, Richard Smith, Mark Stone, </w:t>
      </w:r>
      <w:r w:rsidR="00070A01">
        <w:rPr>
          <w:szCs w:val="22"/>
        </w:rPr>
        <w:t>Ed</w:t>
      </w:r>
      <w:r w:rsidR="004E6176">
        <w:rPr>
          <w:szCs w:val="22"/>
        </w:rPr>
        <w:t>uard</w:t>
      </w:r>
      <w:r w:rsidR="00070A01">
        <w:rPr>
          <w:szCs w:val="22"/>
        </w:rPr>
        <w:t xml:space="preserve"> </w:t>
      </w:r>
      <w:r w:rsidRPr="00894FA2">
        <w:rPr>
          <w:szCs w:val="22"/>
        </w:rPr>
        <w:t xml:space="preserve">Bartholme, Richard Mallen, Derek Yeo, Jessica Kinsey, Dan Stepanicich, and Chris Laughlin. </w:t>
      </w:r>
    </w:p>
    <w:p w:rsidR="00BD5E83" w:rsidP="00673734" w14:paraId="6F52EE51" w14:textId="77777777">
      <w:pPr>
        <w:pStyle w:val="ParaNum"/>
        <w:numPr>
          <w:ilvl w:val="0"/>
          <w:numId w:val="0"/>
        </w:numPr>
        <w:ind w:firstLine="720"/>
        <w:rPr>
          <w:b/>
          <w:bCs/>
        </w:rPr>
        <w:sectPr w:rsidSect="00863B7A">
          <w:footnotePr>
            <w:numRestart w:val="eachSect"/>
          </w:footnotePr>
          <w:endnotePr>
            <w:numFmt w:val="decimal"/>
          </w:endnotePr>
          <w:pgSz w:w="12240" w:h="15840"/>
          <w:pgMar w:top="1440" w:right="1440" w:bottom="720" w:left="1440" w:header="720" w:footer="720" w:gutter="0"/>
          <w:cols w:space="720"/>
          <w:noEndnote/>
          <w:titlePg/>
        </w:sectPr>
      </w:pPr>
    </w:p>
    <w:p w:rsidR="00A86177" w:rsidRPr="005577AD" w:rsidP="00A86177" w14:paraId="7BF42032" w14:textId="77777777">
      <w:pPr>
        <w:jc w:val="center"/>
        <w:rPr>
          <w:b/>
          <w:bCs/>
          <w:caps/>
          <w:szCs w:val="22"/>
        </w:rPr>
      </w:pPr>
      <w:r w:rsidRPr="005577AD">
        <w:rPr>
          <w:b/>
          <w:bCs/>
          <w:caps/>
          <w:szCs w:val="22"/>
        </w:rPr>
        <w:t>Statement of</w:t>
      </w:r>
    </w:p>
    <w:p w:rsidR="00A86177" w:rsidRPr="005577AD" w:rsidP="00A86177" w14:paraId="5F842A5B" w14:textId="77777777">
      <w:pPr>
        <w:spacing w:after="240"/>
        <w:jc w:val="center"/>
        <w:rPr>
          <w:b/>
          <w:bCs/>
          <w:caps/>
          <w:szCs w:val="22"/>
        </w:rPr>
      </w:pPr>
      <w:r>
        <w:rPr>
          <w:b/>
          <w:bCs/>
          <w:caps/>
          <w:szCs w:val="22"/>
        </w:rPr>
        <w:t>Commissioner Olivia Trusty</w:t>
      </w:r>
    </w:p>
    <w:p w:rsidR="00DA47BA" w:rsidRPr="00EF0285" w:rsidP="00DA47BA" w14:paraId="281E1885" w14:textId="77777777">
      <w:pPr>
        <w:spacing w:after="120"/>
        <w:rPr>
          <w:szCs w:val="22"/>
        </w:rPr>
      </w:pPr>
      <w:r>
        <w:rPr>
          <w:szCs w:val="22"/>
        </w:rPr>
        <w:t>Re:</w:t>
      </w:r>
      <w:r>
        <w:rPr>
          <w:szCs w:val="22"/>
        </w:rPr>
        <w:tab/>
      </w:r>
      <w:r w:rsidRPr="007D07D0">
        <w:rPr>
          <w:i/>
          <w:iCs/>
          <w:szCs w:val="22"/>
        </w:rPr>
        <w:t>Advanced Methods to Target and Eliminate Unlawful Robocalls; Rules and Regulations</w:t>
      </w:r>
      <w:r>
        <w:rPr>
          <w:i/>
          <w:iCs/>
          <w:szCs w:val="22"/>
        </w:rPr>
        <w:t xml:space="preserve"> </w:t>
      </w:r>
      <w:r w:rsidRPr="007D07D0">
        <w:rPr>
          <w:i/>
          <w:iCs/>
          <w:szCs w:val="22"/>
        </w:rPr>
        <w:t>Implementing the Telephone Consumer Protection Act of 1991</w:t>
      </w:r>
      <w:r>
        <w:rPr>
          <w:szCs w:val="22"/>
        </w:rPr>
        <w:t xml:space="preserve">, </w:t>
      </w:r>
      <w:r w:rsidRPr="007D07D0">
        <w:rPr>
          <w:szCs w:val="22"/>
        </w:rPr>
        <w:t>Further Notice of Proposed Rulemaking</w:t>
      </w:r>
      <w:r>
        <w:rPr>
          <w:szCs w:val="22"/>
        </w:rPr>
        <w:t xml:space="preserve">, </w:t>
      </w:r>
      <w:r w:rsidRPr="007D07D0">
        <w:rPr>
          <w:szCs w:val="22"/>
        </w:rPr>
        <w:t>CG Docket Nos. 17-59 and 02-278</w:t>
      </w:r>
      <w:r>
        <w:rPr>
          <w:szCs w:val="22"/>
        </w:rPr>
        <w:t xml:space="preserve"> (April 30, 2026)</w:t>
      </w:r>
    </w:p>
    <w:p w:rsidR="00A86177" w:rsidRPr="0052738F" w:rsidP="00A86177" w14:paraId="4C92717B" w14:textId="77777777">
      <w:pPr>
        <w:spacing w:after="120"/>
        <w:ind w:firstLine="720"/>
        <w:rPr>
          <w:szCs w:val="22"/>
        </w:rPr>
      </w:pPr>
      <w:r w:rsidRPr="0052738F">
        <w:rPr>
          <w:szCs w:val="22"/>
        </w:rPr>
        <w:t xml:space="preserve">Protecting consumers from scams is essential to safeguarding the communications networks that underpin our economic vitality and national security.  Robust “know your customer” practices are a critical component of that effort. </w:t>
      </w:r>
    </w:p>
    <w:p w:rsidR="00A86177" w:rsidRPr="0052738F" w:rsidP="00A86177" w14:paraId="29186050" w14:textId="77777777">
      <w:pPr>
        <w:spacing w:after="120"/>
        <w:ind w:firstLine="720"/>
        <w:rPr>
          <w:szCs w:val="22"/>
        </w:rPr>
      </w:pPr>
      <w:r w:rsidRPr="0052738F">
        <w:rPr>
          <w:szCs w:val="22"/>
        </w:rPr>
        <w:t>At their most effective, these measures can prevent bad actors from accessing communications networks in the first place. They also can equip law enforcement with the information needed to identify and pursue those scammers and other criminals who do manage to gain access.</w:t>
      </w:r>
    </w:p>
    <w:p w:rsidR="00A86177" w:rsidRPr="0052738F" w:rsidP="00A86177" w14:paraId="2733B4BB" w14:textId="77777777">
      <w:pPr>
        <w:spacing w:after="120"/>
        <w:ind w:firstLine="720"/>
        <w:rPr>
          <w:szCs w:val="22"/>
        </w:rPr>
      </w:pPr>
      <w:r w:rsidRPr="0052738F">
        <w:rPr>
          <w:szCs w:val="22"/>
        </w:rPr>
        <w:t>Although the FCC has maintained “know your customer” requirements for several years, experience suggests that further refinement may be warranted. Provider flexibility remains important as well, however greater clarity regarding the scope and application of these obligations could better serve both consumers and providers.</w:t>
      </w:r>
    </w:p>
    <w:p w:rsidR="00A86177" w:rsidRPr="0052738F" w:rsidP="00A86177" w14:paraId="05A93158" w14:textId="77777777">
      <w:pPr>
        <w:spacing w:after="120"/>
        <w:ind w:firstLine="720"/>
        <w:rPr>
          <w:szCs w:val="22"/>
        </w:rPr>
      </w:pPr>
      <w:r w:rsidRPr="0052738F">
        <w:rPr>
          <w:szCs w:val="22"/>
        </w:rPr>
        <w:t>As we evaluate the record in this proceeding, I look forward to considering how enhanced know your customer requirements fit together with tools such as improved caller ID authentication to more effectively combat illegal calls. Consumers deserve nothing less.</w:t>
      </w:r>
    </w:p>
    <w:p w:rsidR="00A86177" w:rsidRPr="005577AD" w:rsidP="00A86177" w14:paraId="46D6B46A" w14:textId="77777777">
      <w:pPr>
        <w:spacing w:after="120"/>
        <w:ind w:firstLine="720"/>
        <w:rPr>
          <w:szCs w:val="22"/>
        </w:rPr>
      </w:pPr>
      <w:r w:rsidRPr="0052738F">
        <w:rPr>
          <w:szCs w:val="22"/>
        </w:rPr>
        <w:t>I thank the Consumer and Governmental Affairs Bureau for their work on this important item.</w:t>
      </w:r>
    </w:p>
    <w:p w:rsidR="00BD5E83" w:rsidRPr="00BD5E83" w:rsidP="00673734" w14:paraId="5696B963" w14:textId="77777777">
      <w:pPr>
        <w:pStyle w:val="ParaNum"/>
        <w:numPr>
          <w:ilvl w:val="0"/>
          <w:numId w:val="0"/>
        </w:numPr>
        <w:ind w:firstLine="720"/>
        <w:rPr>
          <w:b/>
          <w:bCs/>
        </w:rPr>
      </w:pPr>
    </w:p>
    <w:sectPr w:rsidSect="00863B7A">
      <w:footnotePr>
        <w:numRestart w:val="eachSect"/>
      </w:footnotePr>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102B6" w14:paraId="15C7D114" w14:textId="77777777">
      <w:pPr>
        <w:spacing w:line="20" w:lineRule="exact"/>
      </w:pPr>
    </w:p>
  </w:endnote>
  <w:endnote w:type="continuationSeparator" w:id="1">
    <w:p w:rsidR="00B102B6" w14:paraId="51BE361A" w14:textId="77777777">
      <w:r>
        <w:t xml:space="preserve"> </w:t>
      </w:r>
    </w:p>
  </w:endnote>
  <w:endnote w:type="continuationNotice" w:id="2">
    <w:p w:rsidR="00B102B6" w14:paraId="52926D21"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55614C" w14:paraId="2B31734F" w14:textId="77777777">
    <w:pPr>
      <w:pStyle w:val="Footer"/>
      <w:framePr w:wrap="around" w:vAnchor="text" w:hAnchor="margin" w:xAlign="center" w:y="1"/>
    </w:pPr>
    <w:r>
      <w:fldChar w:fldCharType="begin"/>
    </w:r>
    <w:r>
      <w:instrText xml:space="preserve">PAGE  </w:instrText>
    </w:r>
    <w:r>
      <w:fldChar w:fldCharType="separate"/>
    </w:r>
    <w:r>
      <w:fldChar w:fldCharType="end"/>
    </w:r>
  </w:p>
  <w:p w:rsidR="00905DAA" w14:paraId="23216B67"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BB7366" w14:paraId="39C347F0" w14:textId="3DAC2BF6">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B6C05" w:rsidP="00DB6C05" w14:paraId="228F7CAB" w14:textId="097815DF">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23ABC9B5"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065F515"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3959221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25FB5" w14:paraId="2B7E2AD2" w14:textId="77777777">
    <w:pPr>
      <w:suppressAutoHyphens/>
      <w:spacing w:line="227" w:lineRule="auto"/>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63B7A" w14:paraId="13182EA5" w14:textId="3569802E">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102B6" w14:paraId="34436B14" w14:textId="77777777">
      <w:r>
        <w:separator/>
      </w:r>
    </w:p>
  </w:footnote>
  <w:footnote w:type="continuationSeparator" w:id="1">
    <w:p w:rsidR="00B102B6" w:rsidP="00C721AC" w14:paraId="6E138B30" w14:textId="77777777">
      <w:pPr>
        <w:spacing w:before="120"/>
        <w:rPr>
          <w:sz w:val="20"/>
        </w:rPr>
      </w:pPr>
      <w:r>
        <w:rPr>
          <w:sz w:val="20"/>
        </w:rPr>
        <w:t xml:space="preserve">(Continued from previous page)  </w:t>
      </w:r>
      <w:r>
        <w:rPr>
          <w:sz w:val="20"/>
        </w:rPr>
        <w:separator/>
      </w:r>
    </w:p>
  </w:footnote>
  <w:footnote w:type="continuationNotice" w:id="2">
    <w:p w:rsidR="00B102B6" w:rsidP="00C721AC" w14:paraId="7EDE0ABC" w14:textId="77777777">
      <w:pPr>
        <w:jc w:val="right"/>
        <w:rPr>
          <w:sz w:val="20"/>
        </w:rPr>
      </w:pPr>
      <w:r>
        <w:rPr>
          <w:sz w:val="20"/>
        </w:rPr>
        <w:t>(continued….)</w:t>
      </w:r>
    </w:p>
  </w:footnote>
  <w:footnote w:id="3">
    <w:p w:rsidR="00766F4B" w:rsidRPr="00482AED" w:rsidP="00766F4B" w14:paraId="6EC8B15D" w14:textId="51EB8686">
      <w:pPr>
        <w:pStyle w:val="FootnoteText"/>
      </w:pPr>
      <w:r>
        <w:rPr>
          <w:rStyle w:val="FootnoteReference"/>
        </w:rPr>
        <w:footnoteRef/>
      </w:r>
      <w:r>
        <w:t xml:space="preserve"> For purposes of this Further Notice, we use the definition of “voice service provider” </w:t>
      </w:r>
      <w:r w:rsidR="00BF6C6F">
        <w:t>that</w:t>
      </w:r>
      <w:r w:rsidR="008A29A7">
        <w:t xml:space="preserve"> w</w:t>
      </w:r>
      <w:r w:rsidR="00A0774C">
        <w:t>e</w:t>
      </w:r>
      <w:r w:rsidR="008A29A7">
        <w:t xml:space="preserve"> used </w:t>
      </w:r>
      <w:r>
        <w:t xml:space="preserve">in the </w:t>
      </w:r>
      <w:r w:rsidRPr="008A29A7" w:rsidR="008A29A7">
        <w:rPr>
          <w:i/>
          <w:iCs/>
        </w:rPr>
        <w:t>Fourth</w:t>
      </w:r>
      <w:r w:rsidR="008A29A7">
        <w:t xml:space="preserve"> </w:t>
      </w:r>
      <w:r>
        <w:rPr>
          <w:i/>
          <w:iCs/>
        </w:rPr>
        <w:t xml:space="preserve">Call Blocking </w:t>
      </w:r>
      <w:r w:rsidR="007A715A">
        <w:rPr>
          <w:i/>
          <w:iCs/>
        </w:rPr>
        <w:t>Order</w:t>
      </w:r>
      <w:r>
        <w:t>.  Specifically, “voice service provider” means any entity originating, carrying, or terminating voice calls through time-division multiplexing (i.e.</w:t>
      </w:r>
      <w:r w:rsidR="00651597">
        <w:t>,</w:t>
      </w:r>
      <w:r>
        <w:t xml:space="preserve"> “traditional” voice service), Voice over Internet Protocol (VoIP), or commercial mobile radio service (CMRS), unless otherwise noted.  </w:t>
      </w:r>
      <w:r>
        <w:rPr>
          <w:i/>
          <w:iCs/>
        </w:rPr>
        <w:t>See Advanced Methods to Target and Eliminate Unlawful Robocalls</w:t>
      </w:r>
      <w:r>
        <w:t>, CG Docket No. 17-59, Fourth Report and Order, 35 FCC Rcd 15221, 15222, para. 2, n.2 (2020) (</w:t>
      </w:r>
      <w:r>
        <w:rPr>
          <w:i/>
          <w:iCs/>
        </w:rPr>
        <w:t>Fourth Call Blocking Order</w:t>
      </w:r>
      <w:r>
        <w:t>).</w:t>
      </w:r>
      <w:r w:rsidR="00F52E83">
        <w:t xml:space="preserve">  </w:t>
      </w:r>
      <w:r w:rsidR="0018120C">
        <w:t xml:space="preserve">The KYC </w:t>
      </w:r>
      <w:r w:rsidR="00794D03">
        <w:t xml:space="preserve">measures </w:t>
      </w:r>
      <w:r w:rsidR="00ED1B4A">
        <w:t>we</w:t>
      </w:r>
      <w:r w:rsidR="00794D03">
        <w:t xml:space="preserve"> discuss</w:t>
      </w:r>
      <w:r w:rsidR="0065726D">
        <w:t xml:space="preserve"> </w:t>
      </w:r>
      <w:r w:rsidR="009868EA">
        <w:t xml:space="preserve">apply </w:t>
      </w:r>
      <w:r w:rsidR="00F46BC7">
        <w:t xml:space="preserve">only </w:t>
      </w:r>
      <w:r w:rsidR="009868EA">
        <w:t xml:space="preserve">to </w:t>
      </w:r>
      <w:r w:rsidR="003541B7">
        <w:t>originating voice service providers (</w:t>
      </w:r>
      <w:r w:rsidR="00F46BC7">
        <w:t>“</w:t>
      </w:r>
      <w:r w:rsidR="003541B7">
        <w:t>originating providers</w:t>
      </w:r>
      <w:r w:rsidR="00F46BC7">
        <w:t>”</w:t>
      </w:r>
      <w:r w:rsidR="003541B7">
        <w:t>).</w:t>
      </w:r>
    </w:p>
  </w:footnote>
  <w:footnote w:id="4">
    <w:p w:rsidR="00766F4B" w:rsidRPr="002F50C9" w:rsidP="00766F4B" w14:paraId="4D1F9581" w14:textId="36109FB3">
      <w:pPr>
        <w:pStyle w:val="FootnoteText"/>
      </w:pPr>
      <w:r>
        <w:rPr>
          <w:rStyle w:val="FootnoteReference"/>
        </w:rPr>
        <w:footnoteRef/>
      </w:r>
      <w:r>
        <w:t xml:space="preserve"> </w:t>
      </w:r>
      <w:r>
        <w:rPr>
          <w:i/>
          <w:iCs/>
        </w:rPr>
        <w:t xml:space="preserve">See </w:t>
      </w:r>
      <w:r>
        <w:t xml:space="preserve">47 CFR </w:t>
      </w:r>
      <w:r w:rsidRPr="002F50C9">
        <w:t>§</w:t>
      </w:r>
      <w:r>
        <w:t xml:space="preserve"> 64.1200(n)(4).</w:t>
      </w:r>
      <w:r w:rsidR="003F2EDB">
        <w:t xml:space="preserve">  In addition, this rule requires or</w:t>
      </w:r>
      <w:r w:rsidR="00FF3101">
        <w:t>i</w:t>
      </w:r>
      <w:r w:rsidR="003F2EDB">
        <w:t xml:space="preserve">ginating providers to </w:t>
      </w:r>
      <w:r w:rsidR="00FF3101">
        <w:t>“exercis[e]</w:t>
      </w:r>
      <w:r w:rsidRPr="003F2EDB" w:rsidR="003F2EDB">
        <w:t xml:space="preserve"> due diligence in ensuring that its services are not used to originate illegal traffic</w:t>
      </w:r>
      <w:r w:rsidR="00FF3101">
        <w:t>.”</w:t>
      </w:r>
    </w:p>
  </w:footnote>
  <w:footnote w:id="5">
    <w:p w:rsidR="0044019B" w:rsidP="0044019B" w14:paraId="70FA45D7" w14:textId="4FEFAF9D">
      <w:pPr>
        <w:pStyle w:val="FootnoteText"/>
      </w:pPr>
      <w:r>
        <w:rPr>
          <w:rStyle w:val="FootnoteReference"/>
        </w:rPr>
        <w:footnoteRef/>
      </w:r>
      <w:r>
        <w:t xml:space="preserve"> </w:t>
      </w:r>
      <w:r>
        <w:rPr>
          <w:i/>
          <w:iCs/>
        </w:rPr>
        <w:t xml:space="preserve">See </w:t>
      </w:r>
      <w:r w:rsidRPr="00EE7B3B">
        <w:rPr>
          <w:i/>
          <w:iCs/>
        </w:rPr>
        <w:t>Call Authentication Trust Anchor</w:t>
      </w:r>
      <w:r w:rsidRPr="00EE7B3B">
        <w:t xml:space="preserve">, WC Docket No. 17-97, Notice of Proposed Rulemaking, 40 FCC Rcd 3467, </w:t>
      </w:r>
      <w:r>
        <w:t xml:space="preserve">3467-68, </w:t>
      </w:r>
      <w:r w:rsidRPr="00EE7B3B">
        <w:t xml:space="preserve">para. </w:t>
      </w:r>
      <w:r>
        <w:t>1</w:t>
      </w:r>
      <w:r w:rsidRPr="00EE7B3B">
        <w:t xml:space="preserve"> (2025)</w:t>
      </w:r>
      <w:r>
        <w:t xml:space="preserve"> (noting that victims of calling scams are defrauded of an estimated $850 million annually with added costs for wasted time and nuisance increasing costs into the billions)</w:t>
      </w:r>
      <w:r w:rsidRPr="00EE7B3B">
        <w:t>. </w:t>
      </w:r>
    </w:p>
  </w:footnote>
  <w:footnote w:id="6">
    <w:p w:rsidR="00AA4724" w:rsidP="00AA4724" w14:paraId="62DF4E8C" w14:textId="595AFAFE">
      <w:pPr>
        <w:pStyle w:val="FootnoteText"/>
      </w:pPr>
      <w:r>
        <w:rPr>
          <w:rStyle w:val="FootnoteReference"/>
        </w:rPr>
        <w:footnoteRef/>
      </w:r>
      <w:r>
        <w:t xml:space="preserve"> </w:t>
      </w:r>
      <w:r w:rsidR="0044019B">
        <w:t>For example, d</w:t>
      </w:r>
      <w:r w:rsidR="000F5F86">
        <w:t xml:space="preserve">enial of service </w:t>
      </w:r>
      <w:r w:rsidR="00FD4781">
        <w:t xml:space="preserve">attacks </w:t>
      </w:r>
      <w:r w:rsidR="00574214">
        <w:t xml:space="preserve">can involve overwhelming emergency </w:t>
      </w:r>
      <w:r w:rsidR="00FD4781">
        <w:t xml:space="preserve">call centers with </w:t>
      </w:r>
      <w:r w:rsidR="00206D91">
        <w:t xml:space="preserve">illegal </w:t>
      </w:r>
      <w:r w:rsidR="00FD4781">
        <w:t xml:space="preserve">calls </w:t>
      </w:r>
      <w:r w:rsidR="0044019B">
        <w:t>to block the provision of emergency services.</w:t>
      </w:r>
    </w:p>
  </w:footnote>
  <w:footnote w:id="7">
    <w:p w:rsidR="005B0DDC" w:rsidRPr="00F618CB" w:rsidP="005B0DDC" w14:paraId="1C22D851" w14:textId="26D252C6">
      <w:pPr>
        <w:pStyle w:val="FootnoteText"/>
      </w:pPr>
      <w:r>
        <w:rPr>
          <w:rStyle w:val="FootnoteReference"/>
        </w:rPr>
        <w:footnoteRef/>
      </w:r>
      <w:r>
        <w:t xml:space="preserve"> </w:t>
      </w:r>
      <w:r>
        <w:rPr>
          <w:i/>
          <w:iCs/>
        </w:rPr>
        <w:t>See generally</w:t>
      </w:r>
      <w:r>
        <w:t xml:space="preserve"> </w:t>
      </w:r>
      <w:r w:rsidRPr="00F618CB">
        <w:t xml:space="preserve">12 U.S.C. </w:t>
      </w:r>
      <w:r>
        <w:t xml:space="preserve">§§ </w:t>
      </w:r>
      <w:r w:rsidRPr="00F618CB">
        <w:t>1829b</w:t>
      </w:r>
      <w:r>
        <w:t xml:space="preserve">, </w:t>
      </w:r>
      <w:r w:rsidRPr="00F618CB">
        <w:t>1951-1960</w:t>
      </w:r>
      <w:r>
        <w:t xml:space="preserve">; </w:t>
      </w:r>
      <w:r w:rsidRPr="00F618CB">
        <w:t xml:space="preserve">31 U.S.C. </w:t>
      </w:r>
      <w:r>
        <w:t xml:space="preserve">§§ </w:t>
      </w:r>
      <w:r w:rsidRPr="00F618CB">
        <w:t>5311-5336</w:t>
      </w:r>
      <w:r>
        <w:t>; 31 CFR Chapter X</w:t>
      </w:r>
      <w:r w:rsidR="00A93B68">
        <w:t xml:space="preserve">.  </w:t>
      </w:r>
      <w:r w:rsidR="00651597">
        <w:t>Congress enacted t</w:t>
      </w:r>
      <w:r w:rsidR="0000650E">
        <w:t>he</w:t>
      </w:r>
      <w:r w:rsidRPr="00A70BB0" w:rsidR="00A70BB0">
        <w:t xml:space="preserve"> BSA to </w:t>
      </w:r>
      <w:r w:rsidR="00694C40">
        <w:t>address</w:t>
      </w:r>
      <w:r w:rsidRPr="00A70BB0" w:rsidR="00A70BB0">
        <w:t xml:space="preserve"> money laundering in the United States. </w:t>
      </w:r>
      <w:r w:rsidR="006209C2">
        <w:t xml:space="preserve"> </w:t>
      </w:r>
      <w:r w:rsidRPr="00A70BB0" w:rsidR="00A70BB0">
        <w:t>The BSA</w:t>
      </w:r>
      <w:r w:rsidR="00B43E2E">
        <w:t>, as amended,</w:t>
      </w:r>
      <w:r w:rsidRPr="00A70BB0" w:rsidR="00A70BB0">
        <w:t xml:space="preserve"> requires businesses to keep records and file reports that are determined to have a high degree of usefulness in criminal, tax, or regulatory investigations, risk assessments or proceedings</w:t>
      </w:r>
      <w:r w:rsidR="0031265D">
        <w:t>,</w:t>
      </w:r>
      <w:r w:rsidRPr="00A70BB0" w:rsidR="00A70BB0">
        <w:t xml:space="preserve"> or in intelligence or counterintelligence activities, including analysis, to protect against terrorism</w:t>
      </w:r>
      <w:r w:rsidR="00EE28FE">
        <w:t>.</w:t>
      </w:r>
      <w:r w:rsidR="00651597">
        <w:t xml:space="preserve">  </w:t>
      </w:r>
      <w:r w:rsidRPr="00105C4F" w:rsidR="00651597">
        <w:t xml:space="preserve">Financial institutions must also have an Anti-Money Laundering Program (AML Program) to ensure compliance with BSA requirements, </w:t>
      </w:r>
      <w:r w:rsidR="00F16814">
        <w:t xml:space="preserve">which must include </w:t>
      </w:r>
      <w:r w:rsidRPr="00105C4F" w:rsidR="00651597">
        <w:t xml:space="preserve">designation of </w:t>
      </w:r>
      <w:r w:rsidR="00F16814">
        <w:t xml:space="preserve">a </w:t>
      </w:r>
      <w:r w:rsidRPr="00105C4F" w:rsidR="00651597">
        <w:t xml:space="preserve">compliance officer, </w:t>
      </w:r>
      <w:r w:rsidR="002B21CF">
        <w:t xml:space="preserve">an </w:t>
      </w:r>
      <w:r w:rsidRPr="00105C4F" w:rsidR="00651597">
        <w:t>employee training</w:t>
      </w:r>
      <w:r w:rsidR="002B21CF">
        <w:t xml:space="preserve"> program</w:t>
      </w:r>
      <w:r w:rsidRPr="00105C4F" w:rsidR="00651597">
        <w:t xml:space="preserve">, and independent </w:t>
      </w:r>
      <w:r w:rsidR="00490F08">
        <w:t>audits</w:t>
      </w:r>
      <w:r w:rsidRPr="00105C4F" w:rsidR="00651597">
        <w:t xml:space="preserve"> to monitor compliance.</w:t>
      </w:r>
      <w:r w:rsidR="00651597">
        <w:t xml:space="preserve">  </w:t>
      </w:r>
      <w:r w:rsidRPr="002127DE" w:rsidR="00651597">
        <w:t>31 U.S.C. § 5318(h)(1); 31 CFR § 1020.210</w:t>
      </w:r>
      <w:r w:rsidR="000C7CE6">
        <w:t>.</w:t>
      </w:r>
      <w:r w:rsidR="00651597">
        <w:t xml:space="preserve"> </w:t>
      </w:r>
      <w:r w:rsidR="000C7CE6">
        <w:t xml:space="preserve"> </w:t>
      </w:r>
      <w:r w:rsidR="00651597">
        <w:t xml:space="preserve">The AML </w:t>
      </w:r>
      <w:r w:rsidR="00543019">
        <w:t xml:space="preserve">program requirements </w:t>
      </w:r>
      <w:r w:rsidRPr="00765291" w:rsidR="00651597">
        <w:t>modernized the U.S. anti-money laundering framework, requiring financial institutions to create risk-based programs, enhancing whistleblower incentives,</w:t>
      </w:r>
      <w:r w:rsidR="00651597">
        <w:t xml:space="preserve"> and</w:t>
      </w:r>
      <w:r w:rsidRPr="00765291" w:rsidR="00651597">
        <w:t xml:space="preserve"> expanding subpoena powers for foreign bank records, all </w:t>
      </w:r>
      <w:r w:rsidR="003272B7">
        <w:t xml:space="preserve">of which were </w:t>
      </w:r>
      <w:r w:rsidRPr="00765291" w:rsidR="00651597">
        <w:t>aimed at fighting financial crime, fraud, and terrorism financing</w:t>
      </w:r>
      <w:r w:rsidR="00651597">
        <w:t>.</w:t>
      </w:r>
    </w:p>
  </w:footnote>
  <w:footnote w:id="8">
    <w:p w:rsidR="00720BE2" w:rsidP="00720BE2" w14:paraId="32E3C64E" w14:textId="265D9981">
      <w:pPr>
        <w:pStyle w:val="FootnoteText"/>
      </w:pPr>
      <w:r>
        <w:rPr>
          <w:rStyle w:val="FootnoteReference"/>
        </w:rPr>
        <w:footnoteRef/>
      </w:r>
      <w:r>
        <w:t xml:space="preserve"> </w:t>
      </w:r>
      <w:r w:rsidRPr="00BF60C2">
        <w:t>USA PATRIOT Act, Pub</w:t>
      </w:r>
      <w:r w:rsidR="00455F4C">
        <w:t>.</w:t>
      </w:r>
      <w:r w:rsidRPr="00BF60C2">
        <w:t xml:space="preserve"> L</w:t>
      </w:r>
      <w:r w:rsidR="00455F4C">
        <w:t>.</w:t>
      </w:r>
      <w:r w:rsidRPr="00BF60C2">
        <w:t xml:space="preserve"> </w:t>
      </w:r>
      <w:r w:rsidR="00455F4C">
        <w:t xml:space="preserve"> No. </w:t>
      </w:r>
      <w:r w:rsidRPr="00BF60C2">
        <w:t>107-56, 115 Stat. 272</w:t>
      </w:r>
      <w:r>
        <w:t xml:space="preserve">, </w:t>
      </w:r>
      <w:r w:rsidR="006E522F">
        <w:t xml:space="preserve">317, </w:t>
      </w:r>
      <w:r>
        <w:t>§</w:t>
      </w:r>
      <w:r w:rsidR="00B313B1">
        <w:t xml:space="preserve"> </w:t>
      </w:r>
      <w:r>
        <w:t>326</w:t>
      </w:r>
      <w:r w:rsidRPr="00BF60C2">
        <w:t xml:space="preserve"> (2001)</w:t>
      </w:r>
      <w:r>
        <w:t>; 31 U.S.C. § 5318(l)(1)</w:t>
      </w:r>
      <w:r w:rsidR="00B313B1">
        <w:t>.</w:t>
      </w:r>
      <w:r w:rsidR="00C168AD">
        <w:t xml:space="preserve"> </w:t>
      </w:r>
      <w:r w:rsidR="00B313B1">
        <w:t xml:space="preserve"> </w:t>
      </w:r>
      <w:r w:rsidR="005509BC">
        <w:t>S</w:t>
      </w:r>
      <w:r w:rsidR="009B7F66">
        <w:t xml:space="preserve">ection 326 </w:t>
      </w:r>
      <w:r w:rsidRPr="00C168AD" w:rsidR="00C168AD">
        <w:t>was enacted after the 9/11 attacks to combat terrorism</w:t>
      </w:r>
      <w:r w:rsidR="00E73EB7">
        <w:t>-related</w:t>
      </w:r>
      <w:r w:rsidRPr="00C168AD" w:rsidR="00C168AD">
        <w:t xml:space="preserve"> financing and money laundering by requiring financial institutions to verify customer identities, helping stop illicit funds from moving through the U.S. financial system, thus preventing future terrorist acts by tracking funding and identifying individuals involved</w:t>
      </w:r>
      <w:r w:rsidR="009B7F66">
        <w:t>.</w:t>
      </w:r>
    </w:p>
  </w:footnote>
  <w:footnote w:id="9">
    <w:p w:rsidR="001F3D37" w:rsidP="001F3D37" w14:paraId="03C91581" w14:textId="1C3B8C48">
      <w:pPr>
        <w:pStyle w:val="FootnoteText"/>
      </w:pPr>
      <w:r>
        <w:rPr>
          <w:rStyle w:val="FootnoteReference"/>
        </w:rPr>
        <w:footnoteRef/>
      </w:r>
      <w:r>
        <w:t xml:space="preserve"> 31 U.S.C. § 5318(l)(2)</w:t>
      </w:r>
      <w:r w:rsidR="002124A0">
        <w:t>(A)</w:t>
      </w:r>
      <w:r w:rsidR="003078E8">
        <w:t xml:space="preserve">, </w:t>
      </w:r>
      <w:r w:rsidR="002124A0">
        <w:t>(B)</w:t>
      </w:r>
      <w:r>
        <w:t>.</w:t>
      </w:r>
      <w:r w:rsidR="003078E8">
        <w:t xml:space="preserve">  A</w:t>
      </w:r>
      <w:r w:rsidR="0065726D">
        <w:t>nother</w:t>
      </w:r>
      <w:r w:rsidR="003078E8">
        <w:t xml:space="preserve"> requirement is for financial institutions to “consult[] lists of known or suspected terrorists or terrorist organizations provided to the financial institution by any government agency to determine whether a person seeking to open an account appears on any such list.”</w:t>
      </w:r>
      <w:r w:rsidRPr="005D6762" w:rsidR="005D6762">
        <w:rPr>
          <w:snapToGrid w:val="0"/>
          <w:kern w:val="28"/>
          <w:sz w:val="22"/>
        </w:rPr>
        <w:t xml:space="preserve"> </w:t>
      </w:r>
      <w:r w:rsidRPr="005D6762" w:rsidR="005D6762">
        <w:t>31 U.S.C. § 5318(l)</w:t>
      </w:r>
      <w:r w:rsidR="00A43128">
        <w:t>(2)(C).</w:t>
      </w:r>
    </w:p>
  </w:footnote>
  <w:footnote w:id="10">
    <w:p w:rsidR="005532C1" w:rsidP="005532C1" w14:paraId="6B63E779" w14:textId="3F6B7F3F">
      <w:pPr>
        <w:pStyle w:val="FootnoteText"/>
      </w:pPr>
      <w:r>
        <w:rPr>
          <w:rStyle w:val="FootnoteReference"/>
        </w:rPr>
        <w:footnoteRef/>
      </w:r>
      <w:r>
        <w:t xml:space="preserve"> 31 CFR § 1020.220</w:t>
      </w:r>
      <w:r w:rsidR="00693E4E">
        <w:t>(a)(1)</w:t>
      </w:r>
      <w:r>
        <w:t>.</w:t>
      </w:r>
    </w:p>
  </w:footnote>
  <w:footnote w:id="11">
    <w:p w:rsidR="00B26194" w:rsidRPr="00110307" w:rsidP="00B26194" w14:paraId="20007B09" w14:textId="0A0B7117">
      <w:pPr>
        <w:pStyle w:val="FootnoteText"/>
        <w:rPr>
          <w:lang w:val="pt-BR"/>
        </w:rPr>
      </w:pPr>
      <w:r>
        <w:rPr>
          <w:rStyle w:val="FootnoteReference"/>
        </w:rPr>
        <w:footnoteRef/>
      </w:r>
      <w:r>
        <w:t xml:space="preserve"> </w:t>
      </w:r>
      <w:r>
        <w:rPr>
          <w:i/>
          <w:iCs/>
        </w:rPr>
        <w:t>Id.</w:t>
      </w:r>
      <w:r>
        <w:t xml:space="preserve"> </w:t>
      </w:r>
      <w:r w:rsidRPr="00110307">
        <w:rPr>
          <w:lang w:val="pt-BR"/>
        </w:rPr>
        <w:t>§ 1020.220(a)(2)(i</w:t>
      </w:r>
      <w:r w:rsidRPr="00BE24B1">
        <w:rPr>
          <w:lang w:val="pt-BR"/>
        </w:rPr>
        <w:t>)</w:t>
      </w:r>
      <w:r w:rsidRPr="00BE24B1" w:rsidR="00773AA9">
        <w:rPr>
          <w:lang w:val="pt-BR"/>
        </w:rPr>
        <w:t>(A</w:t>
      </w:r>
      <w:r w:rsidRPr="00110307" w:rsidR="00773AA9">
        <w:rPr>
          <w:lang w:val="pt-BR"/>
        </w:rPr>
        <w:t>)</w:t>
      </w:r>
      <w:r w:rsidRPr="00110307">
        <w:rPr>
          <w:lang w:val="pt-BR"/>
        </w:rPr>
        <w:t>.</w:t>
      </w:r>
      <w:r w:rsidRPr="00394F81" w:rsidR="00394F81">
        <w:rPr>
          <w:snapToGrid w:val="0"/>
          <w:kern w:val="28"/>
          <w:sz w:val="22"/>
        </w:rPr>
        <w:t xml:space="preserve"> </w:t>
      </w:r>
      <w:r w:rsidR="00D43BA2">
        <w:rPr>
          <w:snapToGrid w:val="0"/>
          <w:kern w:val="28"/>
          <w:sz w:val="22"/>
        </w:rPr>
        <w:t xml:space="preserve"> </w:t>
      </w:r>
      <w:r w:rsidRPr="00394F81" w:rsidR="00394F81">
        <w:t>For U.S. persons, an identification number is a taxpayer identification number.</w:t>
      </w:r>
      <w:r w:rsidRPr="00394F81" w:rsidR="00394F81">
        <w:rPr>
          <w:snapToGrid w:val="0"/>
          <w:kern w:val="28"/>
          <w:sz w:val="22"/>
        </w:rPr>
        <w:t xml:space="preserve"> </w:t>
      </w:r>
      <w:r w:rsidR="0065441F">
        <w:rPr>
          <w:snapToGrid w:val="0"/>
          <w:kern w:val="28"/>
          <w:sz w:val="22"/>
        </w:rPr>
        <w:t xml:space="preserve"> </w:t>
      </w:r>
      <w:r w:rsidRPr="00394F81" w:rsidR="00394F81">
        <w:t>Non-U.S. persons must present one or more of the following:  a taxpayer identification number; passport number and country of issuance; alien identification card number; or, number and country of issuance of any other government-issued document evidencing nationality or residence and bearing a photograph or similar safeguard.</w:t>
      </w:r>
      <w:r w:rsidR="0065441F">
        <w:t xml:space="preserve">  </w:t>
      </w:r>
      <w:r w:rsidRPr="0065441F" w:rsidR="0065441F">
        <w:rPr>
          <w:i/>
          <w:lang w:val="pt-BR"/>
        </w:rPr>
        <w:t>Id.</w:t>
      </w:r>
      <w:r w:rsidRPr="0065441F" w:rsidR="0065441F">
        <w:rPr>
          <w:lang w:val="pt-BR"/>
        </w:rPr>
        <w:t xml:space="preserve"> § 1020.220(a)(2)(i)(A)(4)(i)</w:t>
      </w:r>
      <w:r w:rsidR="009D3461">
        <w:rPr>
          <w:lang w:val="pt-BR"/>
        </w:rPr>
        <w:t>, (ii)</w:t>
      </w:r>
      <w:r w:rsidRPr="0065441F" w:rsidR="0065441F">
        <w:rPr>
          <w:lang w:val="pt-BR"/>
        </w:rPr>
        <w:t>.</w:t>
      </w:r>
      <w:r w:rsidRPr="00A57325" w:rsidR="00A57325">
        <w:rPr>
          <w:snapToGrid w:val="0"/>
          <w:kern w:val="28"/>
          <w:sz w:val="22"/>
        </w:rPr>
        <w:t xml:space="preserve"> </w:t>
      </w:r>
      <w:r w:rsidRPr="00A57325" w:rsidR="00A57325">
        <w:t xml:space="preserve">Treasury has exempted the direct collection of taxpayer identification numbers for the opening of credit card accounts where the bank obtains identifying information about the customer from a third-party source prior to extending credit to the customer.  </w:t>
      </w:r>
      <w:r w:rsidRPr="00A57325" w:rsidR="00A57325">
        <w:rPr>
          <w:i/>
          <w:iCs/>
        </w:rPr>
        <w:t>See id.</w:t>
      </w:r>
      <w:r w:rsidRPr="00A57325" w:rsidR="00A57325">
        <w:t xml:space="preserve"> § 1020.220(a)(2)(i)(C).  </w:t>
      </w:r>
    </w:p>
  </w:footnote>
  <w:footnote w:id="12">
    <w:p w:rsidR="00C04698" w:rsidRPr="00110307" w:rsidP="00C04698" w14:paraId="3D966AE3" w14:textId="77777777">
      <w:pPr>
        <w:pStyle w:val="FootnoteText"/>
        <w:rPr>
          <w:lang w:val="pt-BR"/>
        </w:rPr>
      </w:pPr>
      <w:r>
        <w:rPr>
          <w:rStyle w:val="FootnoteReference"/>
        </w:rPr>
        <w:footnoteRef/>
      </w:r>
      <w:r w:rsidRPr="00110307">
        <w:rPr>
          <w:lang w:val="pt-BR"/>
        </w:rPr>
        <w:t xml:space="preserve"> 31 CFR § 1020.220(a)(2)(ii).</w:t>
      </w:r>
    </w:p>
  </w:footnote>
  <w:footnote w:id="13">
    <w:p w:rsidR="00C04698" w:rsidRPr="00110307" w:rsidP="00C04698" w14:paraId="4E8F5F08" w14:textId="7EC1BA1B">
      <w:pPr>
        <w:pStyle w:val="FootnoteText"/>
        <w:rPr>
          <w:lang w:val="pt-BR"/>
        </w:rPr>
      </w:pPr>
      <w:r>
        <w:rPr>
          <w:rStyle w:val="FootnoteReference"/>
        </w:rPr>
        <w:footnoteRef/>
      </w:r>
      <w:r w:rsidRPr="00110307">
        <w:rPr>
          <w:lang w:val="pt-BR"/>
        </w:rPr>
        <w:t xml:space="preserve"> </w:t>
      </w:r>
      <w:r w:rsidRPr="00110307">
        <w:rPr>
          <w:i/>
          <w:lang w:val="pt-BR"/>
        </w:rPr>
        <w:t>Id.</w:t>
      </w:r>
      <w:r w:rsidRPr="00110307">
        <w:rPr>
          <w:lang w:val="pt-BR"/>
        </w:rPr>
        <w:t xml:space="preserve"> </w:t>
      </w:r>
      <w:r w:rsidR="005608F3">
        <w:rPr>
          <w:lang w:val="pt-BR"/>
        </w:rPr>
        <w:t xml:space="preserve"> </w:t>
      </w:r>
      <w:r w:rsidRPr="005608F3" w:rsidR="005608F3">
        <w:t>Non-documentary methods “may include contacting a customer; independently verifying the customer’s identity through the comparison of information provided by the customer with information obtained from a consumer reporting agency, public database, or other source; checking references with other financial institutions; and obtaining a financial statement.”</w:t>
      </w:r>
      <w:r w:rsidRPr="005608F3" w:rsidR="005608F3">
        <w:rPr>
          <w:i/>
          <w:snapToGrid w:val="0"/>
          <w:kern w:val="28"/>
          <w:sz w:val="22"/>
          <w:lang w:val="pt-BR"/>
        </w:rPr>
        <w:t xml:space="preserve"> </w:t>
      </w:r>
      <w:r w:rsidRPr="005608F3" w:rsidR="005608F3">
        <w:rPr>
          <w:i/>
          <w:lang w:val="pt-BR"/>
        </w:rPr>
        <w:t>Id.</w:t>
      </w:r>
      <w:r w:rsidRPr="005608F3" w:rsidR="005608F3">
        <w:rPr>
          <w:lang w:val="pt-BR"/>
        </w:rPr>
        <w:t xml:space="preserve"> § 1020.220(a)(2)(ii)(B)(1).</w:t>
      </w:r>
    </w:p>
  </w:footnote>
  <w:footnote w:id="14">
    <w:p w:rsidR="008272A4" w:rsidRPr="00110307" w:rsidP="008272A4" w14:paraId="5EA4377A" w14:textId="77777777">
      <w:pPr>
        <w:pStyle w:val="FootnoteText"/>
        <w:rPr>
          <w:lang w:val="pt-BR"/>
        </w:rPr>
      </w:pPr>
      <w:r>
        <w:rPr>
          <w:rStyle w:val="FootnoteReference"/>
        </w:rPr>
        <w:footnoteRef/>
      </w:r>
      <w:r w:rsidRPr="00110307">
        <w:rPr>
          <w:lang w:val="pt-BR"/>
        </w:rPr>
        <w:t xml:space="preserve"> </w:t>
      </w:r>
      <w:r w:rsidRPr="00110307">
        <w:rPr>
          <w:i/>
          <w:lang w:val="pt-BR"/>
        </w:rPr>
        <w:t>Id.</w:t>
      </w:r>
      <w:r w:rsidRPr="00110307">
        <w:rPr>
          <w:lang w:val="pt-BR"/>
        </w:rPr>
        <w:t xml:space="preserve"> § 1020.220(a)(4).</w:t>
      </w:r>
    </w:p>
  </w:footnote>
  <w:footnote w:id="15">
    <w:p w:rsidR="008272A4" w:rsidRPr="00110307" w:rsidP="008272A4" w14:paraId="5CF1288C" w14:textId="77777777">
      <w:pPr>
        <w:pStyle w:val="FootnoteText"/>
        <w:rPr>
          <w:lang w:val="pt-BR"/>
        </w:rPr>
      </w:pPr>
      <w:r>
        <w:rPr>
          <w:rStyle w:val="FootnoteReference"/>
        </w:rPr>
        <w:footnoteRef/>
      </w:r>
      <w:r w:rsidRPr="00110307">
        <w:rPr>
          <w:lang w:val="pt-BR"/>
        </w:rPr>
        <w:t xml:space="preserve"> </w:t>
      </w:r>
      <w:r w:rsidRPr="00110307">
        <w:rPr>
          <w:i/>
          <w:lang w:val="pt-BR"/>
        </w:rPr>
        <w:t>Id.</w:t>
      </w:r>
      <w:r w:rsidRPr="00110307">
        <w:rPr>
          <w:lang w:val="pt-BR"/>
        </w:rPr>
        <w:t xml:space="preserve"> § 1020.220(a)(3</w:t>
      </w:r>
      <w:r w:rsidRPr="00BE24B1">
        <w:rPr>
          <w:lang w:val="pt-BR"/>
        </w:rPr>
        <w:t>)(ii</w:t>
      </w:r>
      <w:r w:rsidRPr="00110307">
        <w:rPr>
          <w:lang w:val="pt-BR"/>
        </w:rPr>
        <w:t>).</w:t>
      </w:r>
    </w:p>
  </w:footnote>
  <w:footnote w:id="16">
    <w:p w:rsidR="00D04118" w:rsidRPr="00110307" w14:paraId="5910C5D9" w14:textId="08715BB1">
      <w:pPr>
        <w:pStyle w:val="FootnoteText"/>
        <w:rPr>
          <w:lang w:val="pt-BR"/>
        </w:rPr>
      </w:pPr>
      <w:r>
        <w:rPr>
          <w:rStyle w:val="FootnoteReference"/>
        </w:rPr>
        <w:footnoteRef/>
      </w:r>
      <w:r w:rsidRPr="00110307">
        <w:rPr>
          <w:lang w:val="pt-BR"/>
        </w:rPr>
        <w:t xml:space="preserve"> </w:t>
      </w:r>
      <w:r w:rsidRPr="00110307" w:rsidR="001519E4">
        <w:rPr>
          <w:lang w:val="pt-BR"/>
        </w:rPr>
        <w:t xml:space="preserve">47 CFR </w:t>
      </w:r>
      <w:bookmarkStart w:id="13" w:name="_Hlk215039109"/>
      <w:r w:rsidRPr="00110307" w:rsidR="000654BE">
        <w:rPr>
          <w:lang w:val="pt-BR"/>
        </w:rPr>
        <w:t>§</w:t>
      </w:r>
      <w:bookmarkEnd w:id="13"/>
      <w:r w:rsidRPr="00110307" w:rsidR="000654BE">
        <w:rPr>
          <w:lang w:val="pt-BR"/>
        </w:rPr>
        <w:t xml:space="preserve"> </w:t>
      </w:r>
      <w:r w:rsidRPr="00110307" w:rsidR="001519E4">
        <w:rPr>
          <w:lang w:val="pt-BR"/>
        </w:rPr>
        <w:t>64.1200(n)(4).</w:t>
      </w:r>
    </w:p>
  </w:footnote>
  <w:footnote w:id="17">
    <w:p w:rsidR="00D04118" w:rsidRPr="001519E4" w14:paraId="1C9F74A7" w14:textId="5ACABA0A">
      <w:pPr>
        <w:pStyle w:val="FootnoteText"/>
      </w:pPr>
      <w:r>
        <w:rPr>
          <w:rStyle w:val="FootnoteReference"/>
        </w:rPr>
        <w:footnoteRef/>
      </w:r>
      <w:r>
        <w:t xml:space="preserve"> </w:t>
      </w:r>
      <w:r w:rsidR="001519E4">
        <w:rPr>
          <w:i/>
          <w:iCs/>
        </w:rPr>
        <w:t>Fourth Call Blocking Order</w:t>
      </w:r>
      <w:r w:rsidR="001519E4">
        <w:t>, 35 FCC Rcd</w:t>
      </w:r>
      <w:r w:rsidR="008C2163">
        <w:t xml:space="preserve"> at 1523</w:t>
      </w:r>
      <w:r w:rsidR="0059444F">
        <w:t>3</w:t>
      </w:r>
      <w:r w:rsidR="008C2163">
        <w:t>, para. 3</w:t>
      </w:r>
      <w:r w:rsidR="00AB7097">
        <w:t>4</w:t>
      </w:r>
      <w:r w:rsidR="008C2163">
        <w:t>.</w:t>
      </w:r>
    </w:p>
  </w:footnote>
  <w:footnote w:id="18">
    <w:p w:rsidR="00D04118" w:rsidRPr="00DE7AC0" w14:paraId="67EAED8F" w14:textId="2366D3C2">
      <w:pPr>
        <w:pStyle w:val="FootnoteText"/>
      </w:pPr>
      <w:r>
        <w:rPr>
          <w:rStyle w:val="FootnoteReference"/>
        </w:rPr>
        <w:footnoteRef/>
      </w:r>
      <w:r>
        <w:t xml:space="preserve"> </w:t>
      </w:r>
      <w:r w:rsidR="008F7875">
        <w:rPr>
          <w:i/>
          <w:iCs/>
        </w:rPr>
        <w:t>Id</w:t>
      </w:r>
      <w:r w:rsidR="008F7875">
        <w:t xml:space="preserve">. </w:t>
      </w:r>
      <w:r w:rsidR="00DE7AC0">
        <w:t>at 15232</w:t>
      </w:r>
      <w:r w:rsidR="00646116">
        <w:t>, para. 32.</w:t>
      </w:r>
    </w:p>
  </w:footnote>
  <w:footnote w:id="19">
    <w:p w:rsidR="00D04118" w:rsidRPr="00646116" w14:paraId="15BB9A5B" w14:textId="43E983A2">
      <w:pPr>
        <w:pStyle w:val="FootnoteText"/>
      </w:pPr>
      <w:r>
        <w:rPr>
          <w:rStyle w:val="FootnoteReference"/>
        </w:rPr>
        <w:footnoteRef/>
      </w:r>
      <w:r>
        <w:t xml:space="preserve"> </w:t>
      </w:r>
      <w:r w:rsidR="00646116">
        <w:rPr>
          <w:i/>
          <w:iCs/>
        </w:rPr>
        <w:t>Id.</w:t>
      </w:r>
      <w:r w:rsidR="00646116">
        <w:t xml:space="preserve"> at 15233, para. 34.</w:t>
      </w:r>
      <w:r w:rsidRPr="00B14BB2" w:rsidR="00B14BB2">
        <w:rPr>
          <w:snapToGrid w:val="0"/>
          <w:kern w:val="28"/>
          <w:sz w:val="22"/>
        </w:rPr>
        <w:t xml:space="preserve"> </w:t>
      </w:r>
      <w:r w:rsidR="00B14BB2">
        <w:t xml:space="preserve"> </w:t>
      </w:r>
    </w:p>
  </w:footnote>
  <w:footnote w:id="20">
    <w:p w:rsidR="00D15F2F" w:rsidRPr="003848FF" w:rsidP="00D15F2F" w14:paraId="6F520B59" w14:textId="30991D95">
      <w:pPr>
        <w:pStyle w:val="FootnoteText"/>
      </w:pPr>
      <w:r>
        <w:rPr>
          <w:rStyle w:val="FootnoteReference"/>
        </w:rPr>
        <w:footnoteRef/>
      </w:r>
      <w:r>
        <w:t xml:space="preserve"> </w:t>
      </w:r>
      <w:r w:rsidR="00477C8A">
        <w:rPr>
          <w:i/>
          <w:iCs/>
        </w:rPr>
        <w:t xml:space="preserve">Lingo Telecom, </w:t>
      </w:r>
      <w:r w:rsidR="00F70644">
        <w:rPr>
          <w:i/>
          <w:iCs/>
        </w:rPr>
        <w:t>LLC</w:t>
      </w:r>
      <w:r w:rsidR="00F70644">
        <w:t xml:space="preserve">, </w:t>
      </w:r>
      <w:r w:rsidR="00BF670A">
        <w:t>Order,</w:t>
      </w:r>
      <w:r w:rsidR="00293B46">
        <w:t xml:space="preserve"> 39 FCC Rcd 9304, 9316</w:t>
      </w:r>
      <w:r w:rsidR="000A799B">
        <w:t>-17,</w:t>
      </w:r>
      <w:r>
        <w:t xml:space="preserve"> Attach. 1 (Operating Procedures)</w:t>
      </w:r>
      <w:r w:rsidR="004C434C">
        <w:t xml:space="preserve"> (2024) (</w:t>
      </w:r>
      <w:r w:rsidR="004C434C">
        <w:rPr>
          <w:i/>
          <w:iCs/>
        </w:rPr>
        <w:t>Lingo Consent Decree</w:t>
      </w:r>
      <w:r w:rsidR="004C434C">
        <w:t>)</w:t>
      </w:r>
      <w:r>
        <w:t>.</w:t>
      </w:r>
    </w:p>
  </w:footnote>
  <w:footnote w:id="21">
    <w:p w:rsidR="007F1D4A" w:rsidRPr="00F61CFC" w:rsidP="007F1D4A" w14:paraId="23DBADAB" w14:textId="049E8166">
      <w:pPr>
        <w:pStyle w:val="FootnoteText"/>
      </w:pPr>
      <w:r>
        <w:rPr>
          <w:rStyle w:val="FootnoteReference"/>
        </w:rPr>
        <w:footnoteRef/>
      </w:r>
      <w:r>
        <w:t xml:space="preserve"> </w:t>
      </w:r>
      <w:r w:rsidR="004B3639">
        <w:rPr>
          <w:i/>
          <w:iCs/>
        </w:rPr>
        <w:t>See Lingo Telecom</w:t>
      </w:r>
      <w:r w:rsidR="00F91848">
        <w:rPr>
          <w:i/>
          <w:iCs/>
        </w:rPr>
        <w:t>,</w:t>
      </w:r>
      <w:r w:rsidR="004B3639">
        <w:rPr>
          <w:i/>
          <w:iCs/>
        </w:rPr>
        <w:t xml:space="preserve"> LL</w:t>
      </w:r>
      <w:r w:rsidR="00CC04F0">
        <w:rPr>
          <w:i/>
          <w:iCs/>
        </w:rPr>
        <w:t>C</w:t>
      </w:r>
      <w:r w:rsidR="00CC04F0">
        <w:t xml:space="preserve">, Notice of Apparent Liability, </w:t>
      </w:r>
      <w:r w:rsidR="0064002D">
        <w:t xml:space="preserve">39 FCC Rcd </w:t>
      </w:r>
      <w:r w:rsidR="00805FE6">
        <w:t>6027, para. 1 (2024)</w:t>
      </w:r>
      <w:r>
        <w:t>.</w:t>
      </w:r>
    </w:p>
  </w:footnote>
  <w:footnote w:id="22">
    <w:p w:rsidR="00F9749F" w:rsidRPr="00B87235" w14:paraId="0FEF1EA0" w14:textId="624CA95B">
      <w:pPr>
        <w:pStyle w:val="FootnoteText"/>
      </w:pPr>
      <w:r>
        <w:rPr>
          <w:rStyle w:val="FootnoteReference"/>
        </w:rPr>
        <w:footnoteRef/>
      </w:r>
      <w:r>
        <w:t xml:space="preserve"> </w:t>
      </w:r>
      <w:r w:rsidR="00805FE6">
        <w:rPr>
          <w:i/>
          <w:iCs/>
        </w:rPr>
        <w:t>Lingo Consent Decree</w:t>
      </w:r>
      <w:r w:rsidR="003836AC">
        <w:t xml:space="preserve"> 39 FCC Rcd</w:t>
      </w:r>
      <w:r w:rsidR="00B87235">
        <w:t xml:space="preserve"> at </w:t>
      </w:r>
      <w:r w:rsidR="00983AF3">
        <w:t>9316-17, Attach. 1.</w:t>
      </w:r>
    </w:p>
  </w:footnote>
  <w:footnote w:id="23">
    <w:p w:rsidR="000309A5" w:rsidRPr="00831BEE" w14:paraId="7465B25A" w14:textId="1264E687">
      <w:pPr>
        <w:pStyle w:val="FootnoteText"/>
      </w:pPr>
      <w:r>
        <w:rPr>
          <w:rStyle w:val="FootnoteReference"/>
        </w:rPr>
        <w:footnoteRef/>
      </w:r>
      <w:r>
        <w:t xml:space="preserve"> </w:t>
      </w:r>
      <w:r w:rsidR="000B32C3">
        <w:rPr>
          <w:i/>
          <w:iCs/>
        </w:rPr>
        <w:t>See, e.g.</w:t>
      </w:r>
      <w:r w:rsidR="000B32C3">
        <w:t xml:space="preserve">, </w:t>
      </w:r>
      <w:r w:rsidRPr="00DD5541" w:rsidR="00DD5541">
        <w:rPr>
          <w:i/>
          <w:iCs/>
        </w:rPr>
        <w:t>Advanced Methods to Target and Eliminate Unlawful Robocalls; Call Authentication Trust Anchor; Rules and Regulations Implementing the Telephone Consumer Protection Act of 1991, Dismissal of Outdated or Otherwise Moot Robocall</w:t>
      </w:r>
      <w:r w:rsidR="001C17F6">
        <w:rPr>
          <w:i/>
          <w:iCs/>
        </w:rPr>
        <w:t>s</w:t>
      </w:r>
      <w:r w:rsidRPr="00DD5541" w:rsidR="00DD5541">
        <w:rPr>
          <w:i/>
          <w:iCs/>
        </w:rPr>
        <w:t xml:space="preserve"> Petitions</w:t>
      </w:r>
      <w:r w:rsidRPr="00DD5541" w:rsidR="00DD5541">
        <w:t>, WC Docket No. 17-97, CG Docket Nos. 25-307, 17-59, and 02-278, Ninth Further Notice of Proposed Rulemaking in CG Docket 17-59, Seventh Further Notice of Proposed Rulemaking in WC Docket No. 17-97, Further Notice of Proposed Rulemaking in CG Docket No. 02-278, Public Notice in CG Docket No. 25-307, FCC 25-76 (2025) (</w:t>
      </w:r>
      <w:r w:rsidRPr="00DD5541" w:rsidR="00DD5541">
        <w:rPr>
          <w:i/>
          <w:iCs/>
        </w:rPr>
        <w:t>Call Branding FNPRM</w:t>
      </w:r>
      <w:r w:rsidRPr="00DD5541" w:rsidR="00DD5541">
        <w:t>)</w:t>
      </w:r>
      <w:r w:rsidR="00831BEE">
        <w:t xml:space="preserve">; </w:t>
      </w:r>
      <w:r w:rsidR="00831BEE">
        <w:rPr>
          <w:i/>
          <w:iCs/>
        </w:rPr>
        <w:t>Advanced Methods to Target and Eliminate Unlawful Robocalls</w:t>
      </w:r>
      <w:r w:rsidR="00831BEE">
        <w:t xml:space="preserve">, </w:t>
      </w:r>
      <w:r w:rsidR="005A5A0F">
        <w:t>CG</w:t>
      </w:r>
      <w:r w:rsidR="00831BEE">
        <w:t xml:space="preserve"> Docket No. </w:t>
      </w:r>
      <w:r w:rsidR="006F79A8">
        <w:t>17-</w:t>
      </w:r>
      <w:r w:rsidR="00D66C19">
        <w:t>59</w:t>
      </w:r>
      <w:r w:rsidR="006F79A8">
        <w:t>, Eig</w:t>
      </w:r>
      <w:r w:rsidR="00A73E52">
        <w:t>h</w:t>
      </w:r>
      <w:r w:rsidR="006F79A8">
        <w:t>th Report and Order</w:t>
      </w:r>
      <w:r w:rsidR="00AF076F">
        <w:t>, FCC 25-15</w:t>
      </w:r>
      <w:r w:rsidR="00E00049">
        <w:t xml:space="preserve"> (2025)</w:t>
      </w:r>
      <w:r w:rsidR="000E526B">
        <w:t xml:space="preserve"> (</w:t>
      </w:r>
      <w:r w:rsidRPr="00536BA6" w:rsidR="000E526B">
        <w:rPr>
          <w:i/>
          <w:iCs/>
        </w:rPr>
        <w:t>2025 Call Blocking Order</w:t>
      </w:r>
      <w:r w:rsidR="000E526B">
        <w:t>);</w:t>
      </w:r>
      <w:r w:rsidR="00F90A03">
        <w:t xml:space="preserve"> </w:t>
      </w:r>
      <w:r w:rsidR="00106B8B">
        <w:rPr>
          <w:i/>
          <w:iCs/>
        </w:rPr>
        <w:t xml:space="preserve">Combatting Illegal Robocalls Through FCC Numbering Policies; </w:t>
      </w:r>
      <w:r w:rsidR="00E339B5">
        <w:rPr>
          <w:i/>
          <w:iCs/>
        </w:rPr>
        <w:t>Implementation of TRACED Act Section 6(a) – Knowledge of Customers by Entities with Access to Numbering</w:t>
      </w:r>
      <w:r w:rsidR="00F456DE">
        <w:rPr>
          <w:i/>
          <w:iCs/>
        </w:rPr>
        <w:t xml:space="preserve"> Resources; Numbering Policies for Modern Communications; Telephone Number</w:t>
      </w:r>
      <w:r w:rsidR="004822B3">
        <w:rPr>
          <w:i/>
          <w:iCs/>
        </w:rPr>
        <w:t xml:space="preserve"> Requirements for IP-Enabled Service Providers</w:t>
      </w:r>
      <w:r w:rsidR="000E6525">
        <w:t>, WC Docket Nos. 26-49, 20-67, 13-97,</w:t>
      </w:r>
      <w:r w:rsidR="004B6C09">
        <w:t xml:space="preserve"> 07-243, Notice of Proposed Rulemaking, FCC 26-17 (2025)</w:t>
      </w:r>
      <w:r w:rsidR="00F90A03">
        <w:t>.</w:t>
      </w:r>
    </w:p>
  </w:footnote>
  <w:footnote w:id="24">
    <w:p w:rsidR="006900E3" w14:paraId="26541D57" w14:textId="4CF59E39">
      <w:pPr>
        <w:pStyle w:val="FootnoteText"/>
      </w:pPr>
      <w:r>
        <w:rPr>
          <w:rStyle w:val="FootnoteReference"/>
        </w:rPr>
        <w:footnoteRef/>
      </w:r>
      <w:r>
        <w:t xml:space="preserve"> </w:t>
      </w:r>
      <w:r w:rsidRPr="007C3477" w:rsidR="007C3477">
        <w:t>The Commission has not defined “high-volume originating service.”  Instead, we have taken a flexible approach that affords originating providers discretion to determine what constitutes “high-volume” in the context of their service offerings and individual customer characteristics.</w:t>
      </w:r>
    </w:p>
  </w:footnote>
  <w:footnote w:id="25">
    <w:p w:rsidR="008666EA" w:rsidRPr="008666EA" w14:paraId="5C33AE37" w14:textId="59C4C4DF">
      <w:pPr>
        <w:pStyle w:val="FootnoteText"/>
      </w:pPr>
      <w:r>
        <w:rPr>
          <w:rStyle w:val="FootnoteReference"/>
        </w:rPr>
        <w:footnoteRef/>
      </w:r>
      <w:r>
        <w:t xml:space="preserve"> </w:t>
      </w:r>
      <w:r>
        <w:rPr>
          <w:i/>
          <w:iCs/>
        </w:rPr>
        <w:t>See, e.g.</w:t>
      </w:r>
      <w:r>
        <w:t xml:space="preserve">, Letter from </w:t>
      </w:r>
      <w:r w:rsidR="00B76949">
        <w:t>Kent M. Fra</w:t>
      </w:r>
      <w:r w:rsidR="00F71790">
        <w:t>nzen, Vice President, Henderson State Bank</w:t>
      </w:r>
      <w:r w:rsidR="00C605F3">
        <w:t>, to Marlene H. Dortch, Secretary, FCC, CG Docket No. 02-278</w:t>
      </w:r>
      <w:r w:rsidR="00984FB7">
        <w:t xml:space="preserve"> (dated Apr. 16, 2026)</w:t>
      </w:r>
      <w:r w:rsidR="00890ECF">
        <w:t xml:space="preserve"> (</w:t>
      </w:r>
      <w:r w:rsidR="00585D93">
        <w:t xml:space="preserve">supporting extension of KYC to </w:t>
      </w:r>
      <w:r w:rsidR="00C061F8">
        <w:t>originating providers)</w:t>
      </w:r>
      <w:r w:rsidR="00747572">
        <w:t xml:space="preserve">; Letter from </w:t>
      </w:r>
      <w:r w:rsidR="00B21C26">
        <w:t>Jonathan Th</w:t>
      </w:r>
      <w:r w:rsidR="002C4475">
        <w:t xml:space="preserve">essin, </w:t>
      </w:r>
      <w:r w:rsidR="006B2FEB">
        <w:t>Vice President and Senior Counsel, American Bankers Associatio</w:t>
      </w:r>
      <w:r w:rsidR="00D936A0">
        <w:t>n, to Brendan Carr</w:t>
      </w:r>
      <w:r w:rsidR="008D1A6E">
        <w:t xml:space="preserve">, Chairman, FCC, CG Docket No. 02-278 (dated </w:t>
      </w:r>
      <w:r w:rsidR="00E17129">
        <w:t>Apr</w:t>
      </w:r>
      <w:r w:rsidR="001E4E7B">
        <w:t>.</w:t>
      </w:r>
      <w:r w:rsidR="00E17129">
        <w:t xml:space="preserve"> 23, 2026) (</w:t>
      </w:r>
      <w:r w:rsidR="00113CEA">
        <w:t xml:space="preserve">expressing </w:t>
      </w:r>
      <w:r w:rsidR="00E17129">
        <w:t>support</w:t>
      </w:r>
      <w:r w:rsidR="004258F7">
        <w:t xml:space="preserve"> </w:t>
      </w:r>
      <w:r w:rsidR="00113CEA">
        <w:t xml:space="preserve">for </w:t>
      </w:r>
      <w:r w:rsidR="00A27A79">
        <w:t>enhanced</w:t>
      </w:r>
      <w:r w:rsidR="00A73E73">
        <w:t xml:space="preserve"> </w:t>
      </w:r>
      <w:r w:rsidR="004258F7">
        <w:t>KYC</w:t>
      </w:r>
      <w:r w:rsidR="00A27A79">
        <w:t xml:space="preserve"> requirements to</w:t>
      </w:r>
      <w:r w:rsidR="008C55A3">
        <w:t xml:space="preserve"> combat fraud).</w:t>
      </w:r>
    </w:p>
  </w:footnote>
  <w:footnote w:id="26">
    <w:p w:rsidR="00034B2F" w14:paraId="262BC833" w14:textId="7FC5B6E6">
      <w:pPr>
        <w:pStyle w:val="FootnoteText"/>
      </w:pPr>
      <w:r>
        <w:rPr>
          <w:rStyle w:val="FootnoteReference"/>
        </w:rPr>
        <w:footnoteRef/>
      </w:r>
      <w:r>
        <w:t xml:space="preserve"> </w:t>
      </w:r>
      <w:r w:rsidR="00E52C8E">
        <w:rPr>
          <w:i/>
          <w:iCs/>
        </w:rPr>
        <w:t>See, e.g.</w:t>
      </w:r>
      <w:r w:rsidR="00E52C8E">
        <w:t>, Letter from Louis Peraertz, Vice President of Policy, WISPA, to Marlene H. Dortch, Secretary, FCC, CG Docket No. 02-278 (dated Apr. 23, 2026)</w:t>
      </w:r>
      <w:r w:rsidR="00006D3F">
        <w:t xml:space="preserve"> (WISPA </w:t>
      </w:r>
      <w:r w:rsidR="00006D3F">
        <w:rPr>
          <w:i/>
          <w:iCs/>
        </w:rPr>
        <w:t>ex parte</w:t>
      </w:r>
      <w:r w:rsidR="00006D3F">
        <w:t>)</w:t>
      </w:r>
      <w:r w:rsidR="00E52C8E">
        <w:t>.</w:t>
      </w:r>
    </w:p>
  </w:footnote>
  <w:footnote w:id="27">
    <w:p w:rsidR="00647A5A" w14:paraId="0DF82FD2" w14:textId="6275A72A">
      <w:pPr>
        <w:pStyle w:val="FootnoteText"/>
      </w:pPr>
      <w:r>
        <w:rPr>
          <w:rStyle w:val="FootnoteReference"/>
        </w:rPr>
        <w:footnoteRef/>
      </w:r>
      <w:r>
        <w:t xml:space="preserve"> In an </w:t>
      </w:r>
      <w:r w:rsidR="00547E42">
        <w:t xml:space="preserve">April 2026 </w:t>
      </w:r>
      <w:r w:rsidRPr="00C6110F" w:rsidR="003073C0">
        <w:rPr>
          <w:i/>
          <w:iCs/>
        </w:rPr>
        <w:t>ex parte</w:t>
      </w:r>
      <w:r w:rsidR="001862B9">
        <w:t xml:space="preserve"> filing</w:t>
      </w:r>
      <w:r>
        <w:t xml:space="preserve">, the Cloud Communications Alliance suggests </w:t>
      </w:r>
      <w:r w:rsidR="00472560">
        <w:t xml:space="preserve">allowing providers to rely on </w:t>
      </w:r>
      <w:r w:rsidR="00910AAD">
        <w:t xml:space="preserve">KYC previously performed by others.  </w:t>
      </w:r>
      <w:r w:rsidRPr="00C6110F" w:rsidR="003073C0">
        <w:rPr>
          <w:i/>
          <w:iCs/>
        </w:rPr>
        <w:t>See</w:t>
      </w:r>
      <w:r w:rsidR="003073C0">
        <w:t xml:space="preserve"> Letter from Joseph Marion, President, Cloud Communications Alliance, to Marlene H. Dortch, Secretary, FCC, CG Docket No. 02-278 (dated Apr. 23, 2026).  </w:t>
      </w:r>
      <w:r w:rsidR="00707FE0">
        <w:t>We decline to do so at this time</w:t>
      </w:r>
      <w:r w:rsidR="00B44CE0">
        <w:t xml:space="preserve"> because </w:t>
      </w:r>
      <w:r w:rsidR="004D027F">
        <w:t xml:space="preserve">“KYC portability” could create </w:t>
      </w:r>
      <w:r w:rsidR="0062656D">
        <w:t xml:space="preserve">both </w:t>
      </w:r>
      <w:r w:rsidR="004D027F">
        <w:t xml:space="preserve">a loophole </w:t>
      </w:r>
      <w:r w:rsidR="00B67291">
        <w:t>that undermines our KYC framework</w:t>
      </w:r>
      <w:r w:rsidR="00EA49E2">
        <w:t xml:space="preserve"> and a requirement as difficult for providers to comply with as the </w:t>
      </w:r>
      <w:r w:rsidR="00572F11">
        <w:t xml:space="preserve">underlying </w:t>
      </w:r>
      <w:r w:rsidR="00EA49E2">
        <w:t xml:space="preserve">KYC </w:t>
      </w:r>
      <w:r w:rsidR="00683EFB">
        <w:t>obligations themselves</w:t>
      </w:r>
      <w:r w:rsidR="00EA49E2">
        <w:t>.</w:t>
      </w:r>
    </w:p>
  </w:footnote>
  <w:footnote w:id="28">
    <w:p w:rsidR="000A7CBD" w:rsidRPr="000224BE" w14:paraId="2C1010AE" w14:textId="13E89C1A">
      <w:pPr>
        <w:pStyle w:val="FootnoteText"/>
      </w:pPr>
      <w:r>
        <w:rPr>
          <w:rStyle w:val="FootnoteReference"/>
        </w:rPr>
        <w:footnoteRef/>
      </w:r>
      <w:r>
        <w:t xml:space="preserve"> </w:t>
      </w:r>
      <w:r w:rsidR="007D2E65">
        <w:rPr>
          <w:i/>
          <w:iCs/>
        </w:rPr>
        <w:t xml:space="preserve">See </w:t>
      </w:r>
      <w:r w:rsidR="000224BE">
        <w:rPr>
          <w:i/>
          <w:iCs/>
        </w:rPr>
        <w:t xml:space="preserve">Lingo </w:t>
      </w:r>
      <w:r w:rsidRPr="00110307" w:rsidR="000224BE">
        <w:rPr>
          <w:i/>
        </w:rPr>
        <w:t>Consent Decree</w:t>
      </w:r>
      <w:r w:rsidR="000224BE">
        <w:t>, 39 FCC</w:t>
      </w:r>
      <w:r w:rsidR="00552C3E">
        <w:t xml:space="preserve"> Rcd</w:t>
      </w:r>
      <w:r w:rsidR="000224BE">
        <w:t xml:space="preserve"> </w:t>
      </w:r>
      <w:r w:rsidR="00285AD6">
        <w:t>at</w:t>
      </w:r>
      <w:r w:rsidR="000224BE">
        <w:t xml:space="preserve"> 9316</w:t>
      </w:r>
      <w:r w:rsidR="00A61424">
        <w:t>, Attach. 1.</w:t>
      </w:r>
    </w:p>
  </w:footnote>
  <w:footnote w:id="29">
    <w:p w:rsidR="00D51BDF" w14:paraId="33EF5DE9" w14:textId="4D3F4EF4">
      <w:pPr>
        <w:pStyle w:val="FootnoteText"/>
      </w:pPr>
      <w:r>
        <w:rPr>
          <w:rStyle w:val="FootnoteReference"/>
        </w:rPr>
        <w:footnoteRef/>
      </w:r>
      <w:r>
        <w:t xml:space="preserve"> </w:t>
      </w:r>
      <w:r>
        <w:rPr>
          <w:i/>
          <w:iCs/>
        </w:rPr>
        <w:t>See, e.g.</w:t>
      </w:r>
      <w:r>
        <w:t xml:space="preserve">, </w:t>
      </w:r>
      <w:r w:rsidR="00006D3F">
        <w:t xml:space="preserve">WISPA </w:t>
      </w:r>
      <w:r w:rsidR="00006D3F">
        <w:rPr>
          <w:i/>
          <w:iCs/>
        </w:rPr>
        <w:t>ex parte</w:t>
      </w:r>
      <w:r>
        <w:t>.</w:t>
      </w:r>
    </w:p>
  </w:footnote>
  <w:footnote w:id="30">
    <w:p w:rsidR="004A3552" w:rsidRPr="00334A7E" w14:paraId="14BF23A5" w14:textId="6CC18330">
      <w:pPr>
        <w:pStyle w:val="FootnoteText"/>
      </w:pPr>
      <w:r>
        <w:rPr>
          <w:rStyle w:val="FootnoteReference"/>
        </w:rPr>
        <w:footnoteRef/>
      </w:r>
      <w:r>
        <w:t xml:space="preserve"> </w:t>
      </w:r>
      <w:r>
        <w:rPr>
          <w:i/>
          <w:iCs/>
        </w:rPr>
        <w:t>See, e.g.</w:t>
      </w:r>
      <w:r>
        <w:t>,</w:t>
      </w:r>
      <w:r w:rsidR="00920770">
        <w:t xml:space="preserve"> U.S. Secret Service,</w:t>
      </w:r>
      <w:r>
        <w:t xml:space="preserve"> </w:t>
      </w:r>
      <w:r w:rsidR="004965E7">
        <w:rPr>
          <w:i/>
          <w:iCs/>
        </w:rPr>
        <w:t xml:space="preserve">U.S. </w:t>
      </w:r>
      <w:r w:rsidR="00181A77">
        <w:rPr>
          <w:i/>
          <w:iCs/>
        </w:rPr>
        <w:t>S</w:t>
      </w:r>
      <w:r w:rsidR="004965E7">
        <w:rPr>
          <w:i/>
          <w:iCs/>
        </w:rPr>
        <w:t xml:space="preserve">ecret </w:t>
      </w:r>
      <w:r w:rsidR="00181A77">
        <w:rPr>
          <w:i/>
          <w:iCs/>
        </w:rPr>
        <w:t>S</w:t>
      </w:r>
      <w:r w:rsidR="004965E7">
        <w:rPr>
          <w:i/>
          <w:iCs/>
        </w:rPr>
        <w:t>ervice dismantles</w:t>
      </w:r>
      <w:r w:rsidR="00181A77">
        <w:rPr>
          <w:i/>
          <w:iCs/>
        </w:rPr>
        <w:t xml:space="preserve"> imminent telecommunications threat in</w:t>
      </w:r>
      <w:r w:rsidR="00D61634">
        <w:rPr>
          <w:i/>
          <w:iCs/>
        </w:rPr>
        <w:t xml:space="preserve"> New York tristate area</w:t>
      </w:r>
      <w:r w:rsidR="00334A7E">
        <w:t xml:space="preserve"> (Sept. 2</w:t>
      </w:r>
      <w:r w:rsidR="00930AB6">
        <w:t>3</w:t>
      </w:r>
      <w:r w:rsidR="00334A7E">
        <w:t xml:space="preserve">, 2025)  </w:t>
      </w:r>
      <w:hyperlink r:id="rId1" w:history="1">
        <w:r w:rsidRPr="00334A7E" w:rsidR="00334A7E">
          <w:rPr>
            <w:rStyle w:val="Hyperlink"/>
          </w:rPr>
          <w:t>U.S. Secret Service dismantles imminent telecommunications threat in New York tristate area | United States Secret Service</w:t>
        </w:r>
      </w:hyperlink>
      <w:r w:rsidR="00D73CA7">
        <w:t xml:space="preserve"> (last visited Mar. 15, 2026)</w:t>
      </w:r>
      <w:r w:rsidR="0009748A">
        <w:t xml:space="preserve">; Aafiya Saba, </w:t>
      </w:r>
      <w:r w:rsidRPr="0095427D" w:rsidR="0009748A">
        <w:rPr>
          <w:i/>
          <w:iCs/>
        </w:rPr>
        <w:t>Best Prepaid SIM Cards for Non-Residents &amp; Visitors to the USA (2025 Guide)</w:t>
      </w:r>
      <w:r w:rsidR="0009748A">
        <w:rPr>
          <w:i/>
          <w:iCs/>
        </w:rPr>
        <w:t xml:space="preserve"> </w:t>
      </w:r>
      <w:r w:rsidR="0009748A">
        <w:t>(</w:t>
      </w:r>
      <w:r w:rsidR="006F475B">
        <w:t xml:space="preserve">Jun. </w:t>
      </w:r>
      <w:r w:rsidR="0009748A">
        <w:t xml:space="preserve">23, 2025) </w:t>
      </w:r>
      <w:hyperlink r:id="rId2" w:anchor=":~:text=Prepaid%20SIM%20cards%20are%20a%20good%20option,Reliable%204G/5G%20network%20coverage%20across%20the%20U.S." w:history="1">
        <w:r w:rsidRPr="000E51F3" w:rsidR="0009748A">
          <w:rPr>
            <w:rStyle w:val="Hyperlink"/>
          </w:rPr>
          <w:t>Best Prepaid SIM Card for USA Visitors &amp; Non-Residents | Lyca Mobile 2025</w:t>
        </w:r>
      </w:hyperlink>
      <w:r w:rsidR="0009748A">
        <w:t xml:space="preserve"> (noting with respect to “ID Verification” that “[s]ome carriers require minimal identification, but Lyca Mobile simplifies this process for travelers”) (last visited Mar. 15, 2026).</w:t>
      </w:r>
    </w:p>
  </w:footnote>
  <w:footnote w:id="31">
    <w:p w:rsidR="0023475C" w:rsidRPr="0023475C" w14:paraId="6AB5F4CC" w14:textId="039AF550">
      <w:pPr>
        <w:pStyle w:val="FootnoteText"/>
      </w:pPr>
      <w:r>
        <w:rPr>
          <w:rStyle w:val="FootnoteReference"/>
        </w:rPr>
        <w:footnoteRef/>
      </w:r>
      <w:r>
        <w:t xml:space="preserve"> </w:t>
      </w:r>
      <w:r>
        <w:rPr>
          <w:i/>
          <w:iCs/>
        </w:rPr>
        <w:t xml:space="preserve">See </w:t>
      </w:r>
      <w:r>
        <w:t>31 CFR</w:t>
      </w:r>
      <w:r w:rsidR="00580A72">
        <w:t xml:space="preserve"> </w:t>
      </w:r>
      <w:r w:rsidRPr="00580A72" w:rsidR="00580A72">
        <w:t>§</w:t>
      </w:r>
      <w:r w:rsidR="00211684">
        <w:t xml:space="preserve"> </w:t>
      </w:r>
      <w:r w:rsidR="00580A72">
        <w:t>1020.220(a)(2)(i)(C).</w:t>
      </w:r>
    </w:p>
  </w:footnote>
  <w:footnote w:id="32">
    <w:p w:rsidR="004E1BD7" w:rsidRPr="004E1BD7" w14:paraId="59D6E541" w14:textId="1AC784AB">
      <w:pPr>
        <w:pStyle w:val="FootnoteText"/>
      </w:pPr>
      <w:r>
        <w:rPr>
          <w:rStyle w:val="FootnoteReference"/>
        </w:rPr>
        <w:footnoteRef/>
      </w:r>
      <w:r>
        <w:t xml:space="preserve"> </w:t>
      </w:r>
      <w:r>
        <w:rPr>
          <w:i/>
          <w:iCs/>
        </w:rPr>
        <w:t>See, e.g.</w:t>
      </w:r>
      <w:r>
        <w:t>,</w:t>
      </w:r>
      <w:r w:rsidR="0056084D">
        <w:t xml:space="preserve"> WISPA </w:t>
      </w:r>
      <w:r w:rsidR="0056084D">
        <w:rPr>
          <w:i/>
          <w:iCs/>
        </w:rPr>
        <w:t>ex parte</w:t>
      </w:r>
      <w:r w:rsidR="00A807B9">
        <w:t xml:space="preserve"> (referencing </w:t>
      </w:r>
      <w:r w:rsidR="00127704">
        <w:t>the North American Numbering Council – Call Authentication Trust Anchor Working Group guidelines and best practices)</w:t>
      </w:r>
      <w:r w:rsidR="005301A8">
        <w:t>.</w:t>
      </w:r>
    </w:p>
  </w:footnote>
  <w:footnote w:id="33">
    <w:p w:rsidR="0061104C" w:rsidRPr="0061104C" w14:paraId="28392AB9" w14:textId="56D2C305">
      <w:pPr>
        <w:pStyle w:val="FootnoteText"/>
      </w:pPr>
      <w:r>
        <w:rPr>
          <w:rStyle w:val="FootnoteReference"/>
        </w:rPr>
        <w:footnoteRef/>
      </w:r>
      <w:r>
        <w:t xml:space="preserve"> </w:t>
      </w:r>
      <w:r>
        <w:rPr>
          <w:i/>
          <w:iCs/>
        </w:rPr>
        <w:t>See, e.g.</w:t>
      </w:r>
      <w:r>
        <w:t xml:space="preserve">, Letter from </w:t>
      </w:r>
      <w:r w:rsidR="00A54B4B">
        <w:t>Glen</w:t>
      </w:r>
      <w:r w:rsidR="00CE742B">
        <w:t xml:space="preserve"> S. Richards, Counsel to the Voice on the Net Coalition, to </w:t>
      </w:r>
      <w:r w:rsidR="00F05785">
        <w:t>Marlene H. Dortch, Secretary, FCC</w:t>
      </w:r>
      <w:r w:rsidR="004B5594">
        <w:t>,</w:t>
      </w:r>
      <w:r w:rsidR="007B61EF">
        <w:t xml:space="preserve"> CG Docket No. </w:t>
      </w:r>
      <w:r w:rsidR="00187496">
        <w:t>17</w:t>
      </w:r>
      <w:r w:rsidR="007B61EF">
        <w:t>-</w:t>
      </w:r>
      <w:r w:rsidR="00187496">
        <w:t>59</w:t>
      </w:r>
      <w:r w:rsidR="007B61EF">
        <w:t>,</w:t>
      </w:r>
      <w:r w:rsidR="00F05785">
        <w:t xml:space="preserve"> </w:t>
      </w:r>
      <w:r w:rsidR="00F2277E">
        <w:t>at 1 (</w:t>
      </w:r>
      <w:r w:rsidR="00F05785">
        <w:t>dated Mar. 31, 2026</w:t>
      </w:r>
      <w:r w:rsidR="00F2277E">
        <w:t>)</w:t>
      </w:r>
      <w:r w:rsidR="00F05785">
        <w:t xml:space="preserve"> (</w:t>
      </w:r>
      <w:r w:rsidRPr="007B61EF" w:rsidR="00F05785">
        <w:t>VON</w:t>
      </w:r>
      <w:r w:rsidRPr="00CE6ECE" w:rsidR="00F05785">
        <w:rPr>
          <w:i/>
          <w:iCs/>
        </w:rPr>
        <w:t xml:space="preserve"> ex parte</w:t>
      </w:r>
      <w:r w:rsidR="00F05785">
        <w:t>)</w:t>
      </w:r>
      <w:r w:rsidR="00E83655">
        <w:t xml:space="preserve">; Letter from </w:t>
      </w:r>
      <w:r w:rsidR="00532198">
        <w:t>Sarah Leggin, Vice President, CTIA, to Marlene H. Dortch, Secretary, FCC, CG Docket No. 17-59</w:t>
      </w:r>
      <w:r w:rsidR="002F0095">
        <w:t xml:space="preserve"> (dated Apr. 13, 2026)</w:t>
      </w:r>
      <w:r w:rsidR="00F05785">
        <w:t>.</w:t>
      </w:r>
    </w:p>
  </w:footnote>
  <w:footnote w:id="34">
    <w:p w:rsidR="00520A18" w:rsidRPr="008C6C9B" w:rsidP="00520A18" w14:paraId="10DA3F9F" w14:textId="77777777">
      <w:pPr>
        <w:pStyle w:val="FootnoteText"/>
      </w:pPr>
      <w:r>
        <w:rPr>
          <w:rStyle w:val="FootnoteReference"/>
        </w:rPr>
        <w:footnoteRef/>
      </w:r>
      <w:r>
        <w:t xml:space="preserve"> </w:t>
      </w:r>
      <w:r>
        <w:rPr>
          <w:i/>
          <w:iCs/>
        </w:rPr>
        <w:t>See Call Branding FNPRM</w:t>
      </w:r>
      <w:r w:rsidRPr="00110307">
        <w:rPr>
          <w:i/>
        </w:rPr>
        <w:t>.</w:t>
      </w:r>
      <w:r>
        <w:rPr>
          <w:i/>
          <w:iCs/>
        </w:rPr>
        <w:t xml:space="preserve"> </w:t>
      </w:r>
    </w:p>
  </w:footnote>
  <w:footnote w:id="35">
    <w:p w:rsidR="00C54B19" w:rsidRPr="00AA0E88" w:rsidP="00C54B19" w14:paraId="0EA24D8C" w14:textId="77777777">
      <w:pPr>
        <w:pStyle w:val="FootnoteText"/>
      </w:pPr>
      <w:r>
        <w:rPr>
          <w:rStyle w:val="FootnoteReference"/>
        </w:rPr>
        <w:footnoteRef/>
      </w:r>
      <w:r>
        <w:t xml:space="preserve"> </w:t>
      </w:r>
      <w:r>
        <w:rPr>
          <w:i/>
          <w:iCs/>
        </w:rPr>
        <w:t>See, e.g.</w:t>
      </w:r>
      <w:r>
        <w:t>, Letter from Keith Buell, General Counsel, Numeracle, to Marlene Dortch, Secretary, FCC, CG Docket No. 02-278 (dated Apr. 9, 2026) (suggesting that the Commission adopt a roadmap that establishes a comprehensive, phased framework for verified caller identity).</w:t>
      </w:r>
    </w:p>
  </w:footnote>
  <w:footnote w:id="36">
    <w:p w:rsidR="002E1CFC" w14:paraId="4288EADF" w14:textId="78CFBB2C">
      <w:pPr>
        <w:pStyle w:val="FootnoteText"/>
      </w:pPr>
      <w:r>
        <w:rPr>
          <w:rStyle w:val="FootnoteReference"/>
        </w:rPr>
        <w:footnoteRef/>
      </w:r>
      <w:r>
        <w:t xml:space="preserve"> </w:t>
      </w:r>
      <w:r w:rsidR="00083F49">
        <w:t xml:space="preserve">47 CFR </w:t>
      </w:r>
      <w:r w:rsidRPr="00083F49" w:rsidR="00083F49">
        <w:t>§</w:t>
      </w:r>
      <w:r w:rsidR="00083F49">
        <w:t xml:space="preserve"> 64.1200(n)(4).</w:t>
      </w:r>
    </w:p>
  </w:footnote>
  <w:footnote w:id="37">
    <w:p w:rsidR="00FC0A91" w:rsidRPr="00E9051C" w14:paraId="46EF07BB" w14:textId="57E1D297">
      <w:pPr>
        <w:pStyle w:val="FootnoteText"/>
      </w:pPr>
      <w:r>
        <w:rPr>
          <w:rStyle w:val="FootnoteReference"/>
        </w:rPr>
        <w:footnoteRef/>
      </w:r>
      <w:r>
        <w:t xml:space="preserve"> </w:t>
      </w:r>
      <w:r w:rsidR="00267B88">
        <w:t xml:space="preserve">We have provided similar guidance in recent enforcement actions.  </w:t>
      </w:r>
      <w:r>
        <w:rPr>
          <w:i/>
          <w:iCs/>
        </w:rPr>
        <w:t>See</w:t>
      </w:r>
      <w:r w:rsidR="00267B88">
        <w:rPr>
          <w:i/>
          <w:iCs/>
        </w:rPr>
        <w:t>, e.g.</w:t>
      </w:r>
      <w:r w:rsidR="00267B88">
        <w:t xml:space="preserve">, </w:t>
      </w:r>
      <w:r>
        <w:rPr>
          <w:i/>
          <w:iCs/>
        </w:rPr>
        <w:t xml:space="preserve">Lingo </w:t>
      </w:r>
      <w:r w:rsidR="00A75278">
        <w:rPr>
          <w:i/>
          <w:iCs/>
        </w:rPr>
        <w:t>Consent Decree</w:t>
      </w:r>
      <w:r w:rsidR="00506149">
        <w:rPr>
          <w:i/>
          <w:iCs/>
        </w:rPr>
        <w:t>,</w:t>
      </w:r>
      <w:r w:rsidR="00E9051C">
        <w:t xml:space="preserve"> </w:t>
      </w:r>
      <w:r w:rsidR="00506149">
        <w:t xml:space="preserve">39 FCC Rcd </w:t>
      </w:r>
      <w:r w:rsidR="00E9051C">
        <w:t xml:space="preserve">at </w:t>
      </w:r>
      <w:r w:rsidR="005A771B">
        <w:t>9316</w:t>
      </w:r>
      <w:r w:rsidR="00E9051C">
        <w:t xml:space="preserve">. </w:t>
      </w:r>
    </w:p>
  </w:footnote>
  <w:footnote w:id="38">
    <w:p w:rsidR="00CE5F51" w:rsidRPr="00110307" w14:paraId="7BA84EA3" w14:textId="3B297283">
      <w:pPr>
        <w:pStyle w:val="FootnoteText"/>
        <w:rPr>
          <w:lang w:val="pt-BR"/>
        </w:rPr>
      </w:pPr>
      <w:r>
        <w:rPr>
          <w:rStyle w:val="FootnoteReference"/>
        </w:rPr>
        <w:footnoteRef/>
      </w:r>
      <w:r w:rsidRPr="00110307">
        <w:rPr>
          <w:lang w:val="pt-BR"/>
        </w:rPr>
        <w:t xml:space="preserve"> </w:t>
      </w:r>
      <w:r w:rsidRPr="00110307" w:rsidR="000C145F">
        <w:rPr>
          <w:i/>
          <w:lang w:val="pt-BR"/>
        </w:rPr>
        <w:t xml:space="preserve">See </w:t>
      </w:r>
      <w:r w:rsidRPr="00110307" w:rsidR="000C145F">
        <w:rPr>
          <w:lang w:val="pt-BR"/>
        </w:rPr>
        <w:t>47 U.S.C. §§ 227</w:t>
      </w:r>
      <w:r w:rsidRPr="00110307" w:rsidR="0099199D">
        <w:rPr>
          <w:lang w:val="pt-BR"/>
        </w:rPr>
        <w:t>(b)(4)(E)(ii), (e)(5)(A)(iv).</w:t>
      </w:r>
    </w:p>
  </w:footnote>
  <w:footnote w:id="39">
    <w:p w:rsidR="001A3315" w14:paraId="4EE20955" w14:textId="0AF78225">
      <w:pPr>
        <w:pStyle w:val="FootnoteText"/>
      </w:pPr>
      <w:r>
        <w:rPr>
          <w:rStyle w:val="FootnoteReference"/>
        </w:rPr>
        <w:footnoteRef/>
      </w:r>
      <w:r>
        <w:t xml:space="preserve"> For example, the KYC retention period in the financial services industry is five years.  </w:t>
      </w:r>
      <w:r w:rsidRPr="00AE51D3">
        <w:t>31 CFR § 1020.220(a)(</w:t>
      </w:r>
      <w:r>
        <w:t>3).</w:t>
      </w:r>
    </w:p>
  </w:footnote>
  <w:footnote w:id="40">
    <w:p w:rsidR="00FC67A9" w:rsidP="00FC67A9" w14:paraId="7D707EB8" w14:textId="1D7B2AD3">
      <w:pPr>
        <w:pStyle w:val="FootnoteText"/>
      </w:pPr>
      <w:r>
        <w:rPr>
          <w:rStyle w:val="FootnoteReference"/>
        </w:rPr>
        <w:footnoteRef/>
      </w:r>
      <w:r>
        <w:t xml:space="preserve"> </w:t>
      </w:r>
      <w:r w:rsidRPr="00711FFB">
        <w:rPr>
          <w:i/>
          <w:iCs/>
        </w:rPr>
        <w:t>See Fourth Call Blocking Order</w:t>
      </w:r>
      <w:r w:rsidRPr="00711FFB">
        <w:t xml:space="preserve">, </w:t>
      </w:r>
      <w:r>
        <w:t>35 FCC Rcd</w:t>
      </w:r>
      <w:r w:rsidRPr="00711FFB">
        <w:t xml:space="preserve"> at 15232</w:t>
      </w:r>
      <w:r w:rsidR="00417C9D">
        <w:t>-33</w:t>
      </w:r>
      <w:r w:rsidRPr="00711FFB">
        <w:t>, para. 33.</w:t>
      </w:r>
    </w:p>
  </w:footnote>
  <w:footnote w:id="41">
    <w:p w:rsidR="00B813EA" w14:paraId="6D6E03C0" w14:textId="1F39C1E9">
      <w:pPr>
        <w:pStyle w:val="FootnoteText"/>
      </w:pPr>
      <w:r>
        <w:rPr>
          <w:rStyle w:val="FootnoteReference"/>
        </w:rPr>
        <w:footnoteRef/>
      </w:r>
      <w:r>
        <w:t xml:space="preserve"> 47 CFR </w:t>
      </w:r>
      <w:r w:rsidRPr="00B813EA">
        <w:rPr>
          <w:lang w:val="pt-BR"/>
        </w:rPr>
        <w:t>§</w:t>
      </w:r>
      <w:r>
        <w:rPr>
          <w:lang w:val="pt-BR"/>
        </w:rPr>
        <w:t xml:space="preserve"> </w:t>
      </w:r>
      <w:r>
        <w:t>64.1200(n)(4).</w:t>
      </w:r>
    </w:p>
  </w:footnote>
  <w:footnote w:id="42">
    <w:p w:rsidR="005A6B1C" w:rsidRPr="000B0E79" w:rsidP="005A6B1C" w14:paraId="762297D3" w14:textId="6E9076F2">
      <w:pPr>
        <w:pStyle w:val="FootnoteText"/>
      </w:pPr>
      <w:r>
        <w:rPr>
          <w:rStyle w:val="FootnoteReference"/>
        </w:rPr>
        <w:footnoteRef/>
      </w:r>
      <w:r>
        <w:t xml:space="preserve"> </w:t>
      </w:r>
      <w:r>
        <w:rPr>
          <w:i/>
          <w:iCs/>
        </w:rPr>
        <w:t>See, e.g.</w:t>
      </w:r>
      <w:r>
        <w:t xml:space="preserve">, VON </w:t>
      </w:r>
      <w:r>
        <w:rPr>
          <w:i/>
          <w:iCs/>
        </w:rPr>
        <w:t>ex parte</w:t>
      </w:r>
      <w:r>
        <w:t xml:space="preserve"> at 1-2</w:t>
      </w:r>
      <w:r w:rsidR="00A61F19">
        <w:t xml:space="preserve">; Letter from </w:t>
      </w:r>
      <w:r w:rsidR="001F0D99">
        <w:t>Christopher</w:t>
      </w:r>
      <w:r w:rsidR="004C6FCC">
        <w:t xml:space="preserve"> L. Shipley, </w:t>
      </w:r>
      <w:r w:rsidR="00D96B57">
        <w:t>Executive Director of Public Policy,</w:t>
      </w:r>
      <w:r w:rsidR="00CE6EFB">
        <w:t xml:space="preserve"> INCOMPAS, to Marlene </w:t>
      </w:r>
      <w:r w:rsidR="00CD59D2">
        <w:t xml:space="preserve">H. </w:t>
      </w:r>
      <w:r w:rsidR="00CE6EFB">
        <w:t>Dortch</w:t>
      </w:r>
      <w:r w:rsidR="00CD59D2">
        <w:t xml:space="preserve">, </w:t>
      </w:r>
      <w:r w:rsidR="00D0111D">
        <w:t xml:space="preserve">Secretary, </w:t>
      </w:r>
      <w:r w:rsidR="00CD59D2">
        <w:t xml:space="preserve">FCC, CG Docket No. 02-278 </w:t>
      </w:r>
      <w:r w:rsidR="00D82DE9">
        <w:t>(dated Apr. 2, 2026).</w:t>
      </w:r>
    </w:p>
  </w:footnote>
  <w:footnote w:id="43">
    <w:p w:rsidR="005A3845" w:rsidRPr="00C416FF" w14:paraId="57983BE5" w14:textId="287672D1">
      <w:pPr>
        <w:pStyle w:val="FootnoteText"/>
      </w:pPr>
      <w:r>
        <w:rPr>
          <w:rStyle w:val="FootnoteReference"/>
        </w:rPr>
        <w:footnoteRef/>
      </w:r>
      <w:r>
        <w:t xml:space="preserve"> </w:t>
      </w:r>
      <w:r>
        <w:rPr>
          <w:i/>
          <w:iCs/>
        </w:rPr>
        <w:t>See</w:t>
      </w:r>
      <w:r w:rsidR="00C416FF">
        <w:rPr>
          <w:i/>
          <w:iCs/>
        </w:rPr>
        <w:t xml:space="preserve"> </w:t>
      </w:r>
      <w:r w:rsidR="00C416FF">
        <w:t xml:space="preserve">47 CFR </w:t>
      </w:r>
      <w:r w:rsidRPr="00C416FF" w:rsidR="00C416FF">
        <w:t>§</w:t>
      </w:r>
      <w:r w:rsidR="000A4546">
        <w:t xml:space="preserve"> 6305(d)(2)(ii</w:t>
      </w:r>
      <w:r w:rsidR="00F91654">
        <w:t>) which requires providers to describe in their robocall mitigation plans how they comply with their obligation to know their customers</w:t>
      </w:r>
      <w:r w:rsidR="00217481">
        <w:t xml:space="preserve"> and the analytics systems they use to identify and block illegal traffic.</w:t>
      </w:r>
    </w:p>
  </w:footnote>
  <w:footnote w:id="44">
    <w:p w:rsidR="006F5702" w14:paraId="5CE5004F" w14:textId="59F888F1">
      <w:pPr>
        <w:pStyle w:val="FootnoteText"/>
      </w:pPr>
      <w:r>
        <w:rPr>
          <w:rStyle w:val="FootnoteReference"/>
        </w:rPr>
        <w:footnoteRef/>
      </w:r>
      <w:r>
        <w:t xml:space="preserve"> </w:t>
      </w:r>
      <w:r w:rsidR="00E65E99">
        <w:t xml:space="preserve">We have sought comment on whether </w:t>
      </w:r>
      <w:r w:rsidR="005067E6">
        <w:t>originating providers should re-verify</w:t>
      </w:r>
      <w:r w:rsidR="0055646C">
        <w:t xml:space="preserve"> customer information in response to changes in traffic patterns or other red flags</w:t>
      </w:r>
      <w:r w:rsidR="0049627A">
        <w:t xml:space="preserve"> that may suggest the use of it network to make illegal calls.  </w:t>
      </w:r>
      <w:r w:rsidR="005252D1">
        <w:t>If the record developed in response to this Notice supports such re</w:t>
      </w:r>
      <w:r w:rsidR="00537AD4">
        <w:t>-verification</w:t>
      </w:r>
      <w:r w:rsidR="00606B5E">
        <w:t xml:space="preserve">, </w:t>
      </w:r>
      <w:r w:rsidR="00537AD4">
        <w:t xml:space="preserve">it could </w:t>
      </w:r>
      <w:r w:rsidR="00446AA7">
        <w:t>extend</w:t>
      </w:r>
      <w:r w:rsidR="00537AD4">
        <w:t xml:space="preserve"> </w:t>
      </w:r>
      <w:r w:rsidR="00444CBF">
        <w:t xml:space="preserve">KYC </w:t>
      </w:r>
      <w:r w:rsidR="00537AD4">
        <w:t xml:space="preserve">re-verification </w:t>
      </w:r>
      <w:r w:rsidR="0076190D">
        <w:t>to</w:t>
      </w:r>
      <w:r w:rsidR="00537AD4">
        <w:t xml:space="preserve"> existing customers</w:t>
      </w:r>
      <w:r w:rsidR="00606B5E">
        <w:t xml:space="preserve"> in th</w:t>
      </w:r>
      <w:r w:rsidR="00444CBF">
        <w:t>at</w:t>
      </w:r>
      <w:r w:rsidR="00606B5E">
        <w:t xml:space="preserve"> limited context. </w:t>
      </w:r>
      <w:r w:rsidR="00537AD4">
        <w:t xml:space="preserve"> </w:t>
      </w:r>
    </w:p>
  </w:footnote>
  <w:footnote w:id="45">
    <w:p w:rsidR="00EB60A9" w:rsidRPr="00EB60A9" w14:paraId="0F11B1BD" w14:textId="295F1B33">
      <w:pPr>
        <w:pStyle w:val="FootnoteText"/>
      </w:pPr>
      <w:r>
        <w:rPr>
          <w:rStyle w:val="FootnoteReference"/>
        </w:rPr>
        <w:footnoteRef/>
      </w:r>
      <w:r w:rsidR="00F77336">
        <w:t xml:space="preserve"> </w:t>
      </w:r>
      <w:r w:rsidRPr="00F77336" w:rsidR="00F77336">
        <w:t xml:space="preserve">47 U.S.C. §§ </w:t>
      </w:r>
      <w:r w:rsidR="007A4D86">
        <w:t xml:space="preserve">154(i), </w:t>
      </w:r>
      <w:r w:rsidRPr="00F77336" w:rsidR="00F77336">
        <w:t>201(b),</w:t>
      </w:r>
      <w:r w:rsidR="009B14A5">
        <w:t xml:space="preserve"> </w:t>
      </w:r>
      <w:r w:rsidR="00F0173B">
        <w:t>227</w:t>
      </w:r>
      <w:r w:rsidR="001E429E">
        <w:t>(e)</w:t>
      </w:r>
      <w:r w:rsidR="00F0173B">
        <w:t xml:space="preserve">, </w:t>
      </w:r>
      <w:r w:rsidR="009B14A5">
        <w:t>251(e)</w:t>
      </w:r>
      <w:r w:rsidR="006D0959">
        <w:t xml:space="preserve">; </w:t>
      </w:r>
      <w:r w:rsidRPr="006D0959" w:rsidR="006D0959">
        <w:t>Truth in Caller ID Act of 2009, Pub. L. No. 111-331, 124 Stat. 3572 (2010) (Truth in Caller ID Act)</w:t>
      </w:r>
      <w:r w:rsidR="007D1F3F">
        <w:t>.</w:t>
      </w:r>
    </w:p>
  </w:footnote>
  <w:footnote w:id="46">
    <w:p w:rsidR="00C16F32" w:rsidRPr="00110307" w14:paraId="527C32A8" w14:textId="4F7BA3CA">
      <w:pPr>
        <w:pStyle w:val="FootnoteText"/>
        <w:rPr>
          <w:i/>
          <w:lang w:val="pt-BR"/>
        </w:rPr>
      </w:pPr>
      <w:r>
        <w:rPr>
          <w:rStyle w:val="FootnoteReference"/>
        </w:rPr>
        <w:footnoteRef/>
      </w:r>
      <w:r w:rsidRPr="00110307">
        <w:rPr>
          <w:lang w:val="pt-BR"/>
        </w:rPr>
        <w:t xml:space="preserve"> </w:t>
      </w:r>
      <w:r w:rsidRPr="00110307" w:rsidR="00DE0BEF">
        <w:rPr>
          <w:lang w:val="pt-BR"/>
        </w:rPr>
        <w:t xml:space="preserve">47 U.S.C. </w:t>
      </w:r>
      <w:r w:rsidRPr="00DE1BCA" w:rsidR="00DE0BEF">
        <w:rPr>
          <w:lang w:val="pt-BR"/>
        </w:rPr>
        <w:t>§</w:t>
      </w:r>
      <w:r w:rsidRPr="00110307" w:rsidR="00DE0BEF">
        <w:rPr>
          <w:lang w:val="pt-BR"/>
        </w:rPr>
        <w:t xml:space="preserve"> 201(b)</w:t>
      </w:r>
      <w:r w:rsidRPr="00110307" w:rsidR="002C1B09">
        <w:rPr>
          <w:lang w:val="pt-BR"/>
        </w:rPr>
        <w:t>.</w:t>
      </w:r>
    </w:p>
  </w:footnote>
  <w:footnote w:id="47">
    <w:p w:rsidR="00A13233" w:rsidRPr="00DE1BCA" w14:paraId="7E0EBD4E" w14:textId="0AFD5FE2">
      <w:pPr>
        <w:pStyle w:val="FootnoteText"/>
        <w:rPr>
          <w:lang w:val="pt-BR"/>
        </w:rPr>
      </w:pPr>
      <w:r>
        <w:rPr>
          <w:rStyle w:val="FootnoteReference"/>
        </w:rPr>
        <w:footnoteRef/>
      </w:r>
      <w:r w:rsidRPr="00DE1BCA">
        <w:rPr>
          <w:lang w:val="pt-BR"/>
        </w:rPr>
        <w:t xml:space="preserve"> </w:t>
      </w:r>
      <w:r w:rsidRPr="00DE1BCA" w:rsidR="001E429E">
        <w:rPr>
          <w:lang w:val="pt-BR"/>
        </w:rPr>
        <w:t>47 U.S.C. § 251(e)(1).</w:t>
      </w:r>
    </w:p>
  </w:footnote>
  <w:footnote w:id="48">
    <w:p w:rsidR="003573F4" w:rsidRPr="00DE1BCA" w14:paraId="78127DD5" w14:textId="49B76305">
      <w:pPr>
        <w:pStyle w:val="FootnoteText"/>
        <w:rPr>
          <w:lang w:val="pt-BR"/>
        </w:rPr>
      </w:pPr>
      <w:r>
        <w:rPr>
          <w:rStyle w:val="FootnoteReference"/>
        </w:rPr>
        <w:footnoteRef/>
      </w:r>
      <w:r w:rsidRPr="00DE1BCA">
        <w:rPr>
          <w:lang w:val="pt-BR"/>
        </w:rPr>
        <w:t xml:space="preserve"> 47 U.S.C. § 227(e)(</w:t>
      </w:r>
      <w:r w:rsidRPr="00DE1BCA" w:rsidR="00C11A34">
        <w:rPr>
          <w:lang w:val="pt-BR"/>
        </w:rPr>
        <w:t>1), (3)(A).</w:t>
      </w:r>
    </w:p>
  </w:footnote>
  <w:footnote w:id="49">
    <w:p w:rsidR="009E5CD9" w14:paraId="3405A0D0" w14:textId="6F4880AE">
      <w:pPr>
        <w:pStyle w:val="FootnoteText"/>
      </w:pPr>
      <w:r>
        <w:rPr>
          <w:rStyle w:val="FootnoteReference"/>
        </w:rPr>
        <w:footnoteRef/>
      </w:r>
      <w:r>
        <w:t xml:space="preserve"> </w:t>
      </w:r>
      <w:r w:rsidRPr="009E5CD9">
        <w:rPr>
          <w:i/>
          <w:iCs/>
        </w:rPr>
        <w:t>See Fourth Call Blocking Order</w:t>
      </w:r>
      <w:r w:rsidRPr="009E5CD9">
        <w:t>, 35 FCC Rcd at 1523</w:t>
      </w:r>
      <w:r w:rsidR="00CD11D7">
        <w:t>3-34</w:t>
      </w:r>
      <w:r w:rsidRPr="009E5CD9">
        <w:t>, para. 3</w:t>
      </w:r>
      <w:r w:rsidR="00CD11D7">
        <w:t>7 (citing</w:t>
      </w:r>
      <w:r w:rsidR="00EF7401">
        <w:t xml:space="preserve"> 47 U.S.C. </w:t>
      </w:r>
      <w:r w:rsidRPr="00EF7401" w:rsidR="00EF7401">
        <w:t>§</w:t>
      </w:r>
      <w:r w:rsidR="00EF7401">
        <w:t xml:space="preserve"> 154(i)).</w:t>
      </w:r>
    </w:p>
  </w:footnote>
  <w:footnote w:id="50">
    <w:p w:rsidR="00813968" w:rsidRPr="0008076C" w14:paraId="20670A8A" w14:textId="767F042B">
      <w:pPr>
        <w:pStyle w:val="FootnoteText"/>
      </w:pPr>
      <w:r>
        <w:rPr>
          <w:rStyle w:val="FootnoteReference"/>
        </w:rPr>
        <w:footnoteRef/>
      </w:r>
      <w:r>
        <w:t xml:space="preserve"> </w:t>
      </w:r>
      <w:r>
        <w:rPr>
          <w:i/>
          <w:iCs/>
        </w:rPr>
        <w:t>See, e.g.</w:t>
      </w:r>
      <w:r>
        <w:t xml:space="preserve">, </w:t>
      </w:r>
      <w:r>
        <w:rPr>
          <w:i/>
          <w:iCs/>
        </w:rPr>
        <w:t>Implementation of the Middle Class Tax Relief and Job Creation Act of 2012 Establishment of Public Safety Answering Point Do-Not-Call Registry Enhancing</w:t>
      </w:r>
      <w:r w:rsidR="00A262D9">
        <w:rPr>
          <w:i/>
          <w:iCs/>
        </w:rPr>
        <w:t xml:space="preserve"> Security of Public Safety Answering Point Communication</w:t>
      </w:r>
      <w:r w:rsidR="0008076C">
        <w:rPr>
          <w:i/>
          <w:iCs/>
        </w:rPr>
        <w:t>s</w:t>
      </w:r>
      <w:r w:rsidR="0008076C">
        <w:t>, CG Docket No. 12-129, PS Docket No. 21-343, Further Notice of Proposed Rulemaking, 36 FCC Rcd 15103, 15106, para. 9</w:t>
      </w:r>
      <w:r w:rsidR="00CD775F">
        <w:t xml:space="preserve"> (2021) (noting the risk of denial of service attacks to overwhelm</w:t>
      </w:r>
      <w:r w:rsidR="005074CA">
        <w:t xml:space="preserve"> the nation’s emergency call system).</w:t>
      </w:r>
    </w:p>
  </w:footnote>
  <w:footnote w:id="51">
    <w:p w:rsidR="00C0314A" w:rsidP="00C0314A" w14:paraId="57878688" w14:textId="77777777">
      <w:pPr>
        <w:pStyle w:val="FootnoteText"/>
      </w:pPr>
      <w:r>
        <w:rPr>
          <w:rStyle w:val="FootnoteReference"/>
        </w:rPr>
        <w:footnoteRef/>
      </w:r>
      <w:r>
        <w:t xml:space="preserve"> </w:t>
      </w:r>
      <w:r w:rsidRPr="001842CF">
        <w:t>47 U.S.C. § 151.</w:t>
      </w:r>
    </w:p>
  </w:footnote>
  <w:footnote w:id="52">
    <w:p w:rsidR="0058794C" w14:paraId="7AC657F8" w14:textId="20CDAD59">
      <w:pPr>
        <w:pStyle w:val="FootnoteText"/>
      </w:pPr>
      <w:r>
        <w:rPr>
          <w:rStyle w:val="FootnoteReference"/>
        </w:rPr>
        <w:footnoteRef/>
      </w:r>
      <w:r>
        <w:t xml:space="preserve"> </w:t>
      </w:r>
      <w:r w:rsidR="00663565">
        <w:t>47 U.S.C.</w:t>
      </w:r>
      <w:r w:rsidRPr="00663565" w:rsidR="00663565">
        <w:rPr>
          <w:snapToGrid w:val="0"/>
          <w:kern w:val="28"/>
          <w:sz w:val="22"/>
        </w:rPr>
        <w:t xml:space="preserve"> </w:t>
      </w:r>
      <w:r w:rsidRPr="00663565" w:rsidR="00663565">
        <w:t>§</w:t>
      </w:r>
      <w:r w:rsidR="00663565">
        <w:t xml:space="preserve"> 303</w:t>
      </w:r>
      <w:r w:rsidR="001C2CBE">
        <w:t>(r);</w:t>
      </w:r>
      <w:r w:rsidR="00663565">
        <w:t xml:space="preserve"> </w:t>
      </w:r>
      <w:r w:rsidRPr="008E219C" w:rsidR="008E219C">
        <w:t>GATS: General Agreement on Trade in Services</w:t>
      </w:r>
      <w:r w:rsidR="001C2CBE">
        <w:t xml:space="preserve"> art. XIV</w:t>
      </w:r>
      <w:r w:rsidRPr="008E219C" w:rsidR="008E219C">
        <w:t>, Apr. 15, 1994, Marrakesh Agreement Establishing the World Trade Organization, Annex 1B, 1869 U.N.T.S. 183, 33 I.L.M. 1167.</w:t>
      </w:r>
    </w:p>
  </w:footnote>
  <w:footnote w:id="53">
    <w:p w:rsidR="008C45A1" w14:paraId="448783DE" w14:textId="53E299BF">
      <w:pPr>
        <w:pStyle w:val="FootnoteText"/>
      </w:pPr>
      <w:r>
        <w:rPr>
          <w:rStyle w:val="FootnoteReference"/>
        </w:rPr>
        <w:footnoteRef/>
      </w:r>
      <w:r>
        <w:t xml:space="preserve"> </w:t>
      </w:r>
      <w:r w:rsidRPr="006C5024" w:rsidR="006C5024">
        <w:rPr>
          <w:i/>
          <w:iCs/>
        </w:rPr>
        <w:t>See</w:t>
      </w:r>
      <w:r w:rsidRPr="006C5024" w:rsidR="006C5024">
        <w:t xml:space="preserve">, </w:t>
      </w:r>
      <w:r w:rsidRPr="006C5024" w:rsidR="006C5024">
        <w:rPr>
          <w:i/>
          <w:iCs/>
        </w:rPr>
        <w:t>e.g.</w:t>
      </w:r>
      <w:r w:rsidRPr="006C5024" w:rsidR="006C5024">
        <w:t xml:space="preserve">, World Trade Organization, Services: Sector by Sector Telecommunication services, </w:t>
      </w:r>
      <w:hyperlink r:id="rId3" w:history="1">
        <w:r w:rsidRPr="009746AA" w:rsidR="006C5024">
          <w:rPr>
            <w:rStyle w:val="Hyperlink"/>
          </w:rPr>
          <w:t>https://www.wto.org/english/tratop_e/serv_e/telecom_e/telecom_e.htm</w:t>
        </w:r>
      </w:hyperlink>
      <w:r w:rsidR="006C5024">
        <w:t xml:space="preserve"> </w:t>
      </w:r>
      <w:r w:rsidRPr="006C5024" w:rsidR="006C5024">
        <w:t>(last visited Jan. 26, 2026); Office of the United States Trade Representative, Free Trade Agreements, https://ustr.gov/trade-agreements/free-trade- agreements (last visited Jan. 26, 2026).</w:t>
      </w:r>
    </w:p>
  </w:footnote>
  <w:footnote w:id="54">
    <w:p w:rsidR="00181507" w:rsidRPr="00AE56CB" w14:paraId="227A78AD" w14:textId="0D17EF10">
      <w:pPr>
        <w:pStyle w:val="FootnoteText"/>
      </w:pPr>
      <w:r>
        <w:rPr>
          <w:rStyle w:val="FootnoteReference"/>
        </w:rPr>
        <w:footnoteRef/>
      </w:r>
      <w:r>
        <w:t xml:space="preserve"> </w:t>
      </w:r>
      <w:r w:rsidR="00AE56CB">
        <w:rPr>
          <w:i/>
          <w:iCs/>
        </w:rPr>
        <w:t>See, e.g.</w:t>
      </w:r>
      <w:r w:rsidR="00AE56CB">
        <w:t>, FCC Consumer Complaint Data Center</w:t>
      </w:r>
      <w:r w:rsidR="00812CD8">
        <w:t xml:space="preserve">, </w:t>
      </w:r>
      <w:hyperlink r:id="rId4" w:history="1">
        <w:r w:rsidRPr="00D239AC" w:rsidR="00D239AC">
          <w:rPr>
            <w:rStyle w:val="Hyperlink"/>
          </w:rPr>
          <w:t>CGB - Unwanted Calls Current YTD | Data | Federal Communications Commission</w:t>
        </w:r>
      </w:hyperlink>
      <w:r w:rsidR="00D239AC">
        <w:t>.</w:t>
      </w:r>
    </w:p>
  </w:footnote>
  <w:footnote w:id="55">
    <w:p w:rsidR="00144DEF" w14:paraId="05CE76CB" w14:textId="4FD6E61E">
      <w:pPr>
        <w:pStyle w:val="FootnoteText"/>
      </w:pPr>
      <w:r>
        <w:rPr>
          <w:rStyle w:val="FootnoteReference"/>
        </w:rPr>
        <w:footnoteRef/>
      </w:r>
      <w:r>
        <w:t xml:space="preserve"> </w:t>
      </w:r>
      <w:r w:rsidRPr="00552C3E" w:rsidR="00552C3E">
        <w:rPr>
          <w:i/>
          <w:iCs/>
        </w:rPr>
        <w:t xml:space="preserve">See </w:t>
      </w:r>
      <w:r w:rsidRPr="00A33FB4" w:rsidR="00A33FB4">
        <w:rPr>
          <w:i/>
          <w:iCs/>
        </w:rPr>
        <w:t>Call Authentication Trust Anchor</w:t>
      </w:r>
      <w:r w:rsidR="00C64916">
        <w:t xml:space="preserve"> </w:t>
      </w:r>
      <w:r w:rsidR="00C64916">
        <w:rPr>
          <w:i/>
          <w:iCs/>
        </w:rPr>
        <w:t>NPRM</w:t>
      </w:r>
      <w:r w:rsidRPr="00A33FB4" w:rsidR="00A33FB4">
        <w:t>, 40</w:t>
      </w:r>
      <w:r w:rsidR="00C64916">
        <w:t xml:space="preserve"> FCC Rcd at </w:t>
      </w:r>
      <w:r w:rsidRPr="00A33FB4" w:rsidR="00A33FB4">
        <w:t>3467-68, para. 1 (noting that victims of calling scams are defrauded of an estimated $850 million annually with added costs for wasted time and nuisance increasing costs into the billions). </w:t>
      </w:r>
    </w:p>
  </w:footnote>
  <w:footnote w:id="56">
    <w:p w:rsidR="007333D4" w:rsidRPr="007333D4" w14:paraId="77102B13" w14:textId="0588C7FA">
      <w:pPr>
        <w:pStyle w:val="FootnoteText"/>
      </w:pPr>
      <w:r>
        <w:rPr>
          <w:rStyle w:val="FootnoteReference"/>
        </w:rPr>
        <w:footnoteRef/>
      </w:r>
      <w:r>
        <w:t xml:space="preserve"> </w:t>
      </w:r>
      <w:r w:rsidR="00E7614B">
        <w:rPr>
          <w:i/>
          <w:iCs/>
        </w:rPr>
        <w:t>Fourth Call Blocking Order</w:t>
      </w:r>
      <w:r w:rsidR="00B07D80">
        <w:t>, 35 FCC Rcd</w:t>
      </w:r>
      <w:r w:rsidR="003F600C">
        <w:t xml:space="preserve"> at 15232, para. 32.</w:t>
      </w:r>
    </w:p>
  </w:footnote>
  <w:footnote w:id="57">
    <w:p w:rsidR="00426F51" w14:paraId="0D2C48A2" w14:textId="1710F720">
      <w:pPr>
        <w:pStyle w:val="FootnoteText"/>
      </w:pPr>
      <w:r>
        <w:rPr>
          <w:rStyle w:val="FootnoteReference"/>
        </w:rPr>
        <w:footnoteRef/>
      </w:r>
      <w:r>
        <w:t xml:space="preserve"> </w:t>
      </w:r>
      <w:r w:rsidRPr="00C903AF" w:rsidR="00C903AF">
        <w:t xml:space="preserve">5 U.S.C. §§ 601 </w:t>
      </w:r>
      <w:r w:rsidRPr="00C903AF" w:rsidR="00C903AF">
        <w:rPr>
          <w:i/>
        </w:rPr>
        <w:t>et seq</w:t>
      </w:r>
      <w:r w:rsidRPr="00C903AF" w:rsidR="00C903AF">
        <w:t>., as amended by the Small Business Regulatory Enforcement and Fairness Act (SBREFA), Pub. L. No. 104-121, 110 Stat. 847 (1996).</w:t>
      </w:r>
    </w:p>
  </w:footnote>
  <w:footnote w:id="58">
    <w:p w:rsidR="00C903AF" w14:paraId="127E0C46" w14:textId="4CBBA824">
      <w:pPr>
        <w:pStyle w:val="FootnoteText"/>
      </w:pPr>
      <w:r>
        <w:rPr>
          <w:rStyle w:val="FootnoteReference"/>
        </w:rPr>
        <w:footnoteRef/>
      </w:r>
      <w:r>
        <w:t xml:space="preserve"> </w:t>
      </w:r>
      <w:r w:rsidRPr="00C903AF">
        <w:rPr>
          <w:i/>
          <w:iCs/>
        </w:rPr>
        <w:t>Id.</w:t>
      </w:r>
      <w:r w:rsidRPr="00C903AF">
        <w:rPr>
          <w:i/>
        </w:rPr>
        <w:t xml:space="preserve"> </w:t>
      </w:r>
      <w:r w:rsidRPr="00C903AF">
        <w:t>§ 605(b).</w:t>
      </w:r>
    </w:p>
  </w:footnote>
  <w:footnote w:id="59">
    <w:p w:rsidR="00905DAA" w:rsidRPr="001C59FF" w:rsidP="00905DAA" w14:paraId="0F91FBBA" w14:textId="77777777">
      <w:pPr>
        <w:pStyle w:val="FootnoteText"/>
        <w:widowControl w:val="0"/>
      </w:pPr>
      <w:r w:rsidRPr="001C59FF">
        <w:rPr>
          <w:rStyle w:val="FootnoteReference"/>
        </w:rPr>
        <w:footnoteRef/>
      </w:r>
      <w:r w:rsidRPr="001C59FF">
        <w:t xml:space="preserve"> </w:t>
      </w:r>
      <w:r w:rsidRPr="001C59FF">
        <w:rPr>
          <w:i/>
        </w:rPr>
        <w:t>See Electronic Filing of Documents in Rulemaking Proceedings</w:t>
      </w:r>
      <w:r w:rsidRPr="001C59FF">
        <w:t>, 63 FR 24121 (1998).</w:t>
      </w:r>
    </w:p>
  </w:footnote>
  <w:footnote w:id="60">
    <w:p w:rsidR="00905DAA" w:rsidP="00905DAA" w14:paraId="6E72D453" w14:textId="77777777">
      <w:pPr>
        <w:pStyle w:val="FootnoteText"/>
        <w:widowControl w:val="0"/>
        <w:rPr>
          <w:highlight w:val="lightGray"/>
        </w:rPr>
      </w:pPr>
      <w:r w:rsidRPr="001C59FF">
        <w:rPr>
          <w:rStyle w:val="FootnoteReference"/>
        </w:rPr>
        <w:footnoteRef/>
      </w:r>
      <w:r w:rsidRPr="001C59FF">
        <w:t xml:space="preserve"> 47 CFR § 1.120</w:t>
      </w:r>
      <w:r w:rsidRPr="000836C0">
        <w:rPr>
          <w:iCs/>
        </w:rPr>
        <w:t>6.</w:t>
      </w:r>
    </w:p>
  </w:footnote>
  <w:footnote w:id="61">
    <w:p w:rsidR="00905DAA" w:rsidRPr="001C59FF" w:rsidP="00905DAA" w14:paraId="4648787A" w14:textId="77777777">
      <w:pPr>
        <w:pStyle w:val="FootnoteText"/>
        <w:widowControl w:val="0"/>
      </w:pPr>
      <w:r w:rsidRPr="001C59FF">
        <w:rPr>
          <w:rStyle w:val="FootnoteReference"/>
        </w:rPr>
        <w:footnoteRef/>
      </w:r>
      <w:r w:rsidRPr="001C59FF">
        <w:t xml:space="preserve"> 5 U.S.C. § 553(b)(4).  The Providing Accountability Through Transparency Act</w:t>
      </w:r>
      <w:r>
        <w:t xml:space="preserve"> of 2023</w:t>
      </w:r>
      <w:r w:rsidRPr="001C59FF">
        <w:t>, Pub. L. No. 118-9 (2023), amended the Administrative Procedure Act</w:t>
      </w:r>
      <w:r>
        <w:t xml:space="preserve"> to add a requirement to publish a short summary, in plain language, of each notice of proposed rulemaking</w:t>
      </w:r>
      <w:r w:rsidRPr="001C59FF">
        <w:t>.</w:t>
      </w:r>
    </w:p>
  </w:footnote>
  <w:footnote w:id="62">
    <w:p w:rsidR="00905DAA" w:rsidP="00905DAA" w14:paraId="6542B1C4" w14:textId="4E1AC81C">
      <w:pPr>
        <w:pStyle w:val="FootnoteText"/>
      </w:pPr>
      <w:r>
        <w:rPr>
          <w:rStyle w:val="FootnoteReference"/>
        </w:rPr>
        <w:footnoteRef/>
      </w:r>
      <w:r>
        <w:t xml:space="preserve"> </w:t>
      </w:r>
      <w:r w:rsidRPr="008738CD">
        <w:t>Pursuant to Executive Order 14215, 90 Fed. Reg. 10447 (Feb. 2</w:t>
      </w:r>
      <w:r w:rsidR="00626663">
        <w:t>4</w:t>
      </w:r>
      <w:r w:rsidRPr="008738CD">
        <w:t xml:space="preserve">, 2025), this regulatory action has been determined to be </w:t>
      </w:r>
      <w:r w:rsidR="00EE27A4">
        <w:t xml:space="preserve">not </w:t>
      </w:r>
      <w:r w:rsidRPr="008738CD">
        <w:t xml:space="preserve">significant under Executive Order 12866, 58 Fed. Reg. </w:t>
      </w:r>
      <w:r w:rsidR="006C2E0F">
        <w:t>51735</w:t>
      </w:r>
      <w:r w:rsidRPr="008738CD">
        <w:t xml:space="preserve"> (</w:t>
      </w:r>
      <w:r w:rsidR="00FD3939">
        <w:t>Oct. 4</w:t>
      </w:r>
      <w:r w:rsidRPr="008738CD">
        <w:t>, 1993).</w:t>
      </w:r>
    </w:p>
  </w:footnote>
  <w:footnote w:id="63">
    <w:p w:rsidR="00905DAA" w:rsidRPr="00F17E24" w:rsidP="00905DAA" w14:paraId="4AAA970D" w14:textId="77777777">
      <w:pPr>
        <w:pStyle w:val="FootnoteText"/>
      </w:pPr>
      <w:r w:rsidRPr="00905DAA">
        <w:rPr>
          <w:rStyle w:val="FootnoteReference"/>
        </w:rPr>
        <w:footnoteRef/>
      </w:r>
      <w:r>
        <w:rPr>
          <w:i/>
          <w:szCs w:val="22"/>
        </w:rPr>
        <w:t xml:space="preserve"> </w:t>
      </w:r>
      <w:r w:rsidRPr="00761377">
        <w:rPr>
          <w:szCs w:val="22"/>
        </w:rPr>
        <w:t xml:space="preserve">5 U.S.C. §§ 601 </w:t>
      </w:r>
      <w:r w:rsidRPr="00761377">
        <w:rPr>
          <w:i/>
          <w:szCs w:val="22"/>
        </w:rPr>
        <w:t>et seq</w:t>
      </w:r>
      <w:r w:rsidRPr="00761377">
        <w:rPr>
          <w:szCs w:val="22"/>
        </w:rPr>
        <w:t>., as amended by the Small Business Regulatory Enforcement and Fairness Act (SBREFA), Pub. L. No. 104-121, 110 Stat. 847 (199</w:t>
      </w:r>
      <w:r>
        <w:rPr>
          <w:szCs w:val="22"/>
        </w:rPr>
        <w:t>6)</w:t>
      </w:r>
      <w:r w:rsidRPr="00F17E24">
        <w:t>.</w:t>
      </w:r>
    </w:p>
  </w:footnote>
  <w:footnote w:id="64">
    <w:p w:rsidR="00905DAA" w:rsidRPr="00F17E24" w:rsidP="00905DAA" w14:paraId="0D71A850" w14:textId="77777777">
      <w:pPr>
        <w:pStyle w:val="FootnoteText"/>
      </w:pPr>
      <w:r w:rsidRPr="00905DAA">
        <w:rPr>
          <w:rStyle w:val="FootnoteReference"/>
        </w:rPr>
        <w:footnoteRef/>
      </w:r>
      <w:r w:rsidRPr="00F17E24">
        <w:t xml:space="preserve"> </w:t>
      </w:r>
      <w:r>
        <w:rPr>
          <w:i/>
          <w:iCs/>
        </w:rPr>
        <w:t xml:space="preserve">Id. </w:t>
      </w:r>
      <w:r w:rsidRPr="00F17E24">
        <w:t>§ 603(a).</w:t>
      </w:r>
    </w:p>
  </w:footnote>
  <w:footnote w:id="65">
    <w:p w:rsidR="00905DAA" w:rsidRPr="00F17E24" w:rsidP="00905DAA" w14:paraId="5C52CFB1" w14:textId="77777777">
      <w:pPr>
        <w:pStyle w:val="FootnoteText"/>
      </w:pPr>
      <w:r w:rsidRPr="00905DAA">
        <w:rPr>
          <w:rStyle w:val="FootnoteReference"/>
        </w:rPr>
        <w:footnoteRef/>
      </w:r>
      <w:r w:rsidRPr="00F17E24">
        <w:t xml:space="preserve"> </w:t>
      </w:r>
      <w:r>
        <w:rPr>
          <w:i/>
        </w:rPr>
        <w:t>I</w:t>
      </w:r>
      <w:r w:rsidRPr="00F17E24">
        <w:rPr>
          <w:i/>
        </w:rPr>
        <w:t>d</w:t>
      </w:r>
      <w:r w:rsidRPr="00F17E24">
        <w:t>.</w:t>
      </w:r>
    </w:p>
  </w:footnote>
  <w:footnote w:id="66">
    <w:p w:rsidR="00B92A32" w:rsidRPr="00AE56CB" w:rsidP="00B92A32" w14:paraId="6CED8C1A" w14:textId="77777777">
      <w:pPr>
        <w:pStyle w:val="FootnoteText"/>
      </w:pPr>
      <w:r>
        <w:rPr>
          <w:rStyle w:val="FootnoteReference"/>
        </w:rPr>
        <w:footnoteRef/>
      </w:r>
      <w:r>
        <w:t xml:space="preserve"> </w:t>
      </w:r>
      <w:r>
        <w:rPr>
          <w:i/>
          <w:iCs/>
        </w:rPr>
        <w:t>See, e.g.</w:t>
      </w:r>
      <w:r>
        <w:t xml:space="preserve">, FCC Consumer Complaint Data Center, </w:t>
      </w:r>
      <w:hyperlink r:id="rId4" w:history="1">
        <w:r w:rsidRPr="00D239AC">
          <w:rPr>
            <w:rStyle w:val="Hyperlink"/>
          </w:rPr>
          <w:t>CGB - Unwanted Calls Current YTD | Data | Federal Communications Commission</w:t>
        </w:r>
      </w:hyperlink>
      <w:r>
        <w:t>.</w:t>
      </w:r>
    </w:p>
  </w:footnote>
  <w:footnote w:id="67">
    <w:p w:rsidR="00B92A32" w:rsidP="00B92A32" w14:paraId="7024BD00" w14:textId="7F04EA3E">
      <w:pPr>
        <w:pStyle w:val="FootnoteText"/>
      </w:pPr>
      <w:r>
        <w:rPr>
          <w:rStyle w:val="FootnoteReference"/>
        </w:rPr>
        <w:footnoteRef/>
      </w:r>
      <w:r>
        <w:t xml:space="preserve"> </w:t>
      </w:r>
      <w:r w:rsidRPr="00E668B9" w:rsidR="00E668B9">
        <w:rPr>
          <w:i/>
          <w:iCs/>
        </w:rPr>
        <w:t>See Fourth Call Blocking Order</w:t>
      </w:r>
      <w:r w:rsidRPr="00E668B9" w:rsidR="00E668B9">
        <w:t>, 35 FCC Rcd at 15222, para. 3.</w:t>
      </w:r>
    </w:p>
  </w:footnote>
  <w:footnote w:id="68">
    <w:p w:rsidR="00905DAA" w:rsidRPr="0010278D" w:rsidP="00905DAA" w14:paraId="6FF68FD7" w14:textId="77777777">
      <w:pPr>
        <w:pStyle w:val="FootnoteText"/>
      </w:pPr>
      <w:r w:rsidRPr="00905DAA">
        <w:rPr>
          <w:rStyle w:val="FootnoteReference"/>
        </w:rPr>
        <w:footnoteRef/>
      </w:r>
      <w:r w:rsidRPr="0010278D">
        <w:t xml:space="preserve"> 5 U.S.C. §</w:t>
      </w:r>
      <w:r>
        <w:t> </w:t>
      </w:r>
      <w:r w:rsidRPr="0010278D">
        <w:t xml:space="preserve">603(b)(3).  </w:t>
      </w:r>
    </w:p>
  </w:footnote>
  <w:footnote w:id="69">
    <w:p w:rsidR="00905DAA" w:rsidRPr="0010278D" w:rsidP="00905DAA" w14:paraId="60F92370" w14:textId="77777777">
      <w:pPr>
        <w:pStyle w:val="FootnoteText"/>
      </w:pPr>
      <w:r w:rsidRPr="00905DAA">
        <w:rPr>
          <w:rStyle w:val="FootnoteReference"/>
        </w:rPr>
        <w:footnoteRef/>
      </w:r>
      <w:r w:rsidRPr="0010278D">
        <w:t xml:space="preserve"> </w:t>
      </w:r>
      <w:r>
        <w:rPr>
          <w:i/>
        </w:rPr>
        <w:t>I</w:t>
      </w:r>
      <w:r w:rsidRPr="00F17E24">
        <w:rPr>
          <w:i/>
        </w:rPr>
        <w:t>d</w:t>
      </w:r>
      <w:r w:rsidRPr="00F17E24">
        <w:t>.</w:t>
      </w:r>
      <w:r>
        <w:t xml:space="preserve"> </w:t>
      </w:r>
      <w:r w:rsidRPr="0010278D">
        <w:t>§</w:t>
      </w:r>
      <w:r>
        <w:t> </w:t>
      </w:r>
      <w:r w:rsidRPr="0010278D">
        <w:t xml:space="preserve">601(6).  </w:t>
      </w:r>
    </w:p>
  </w:footnote>
  <w:footnote w:id="70">
    <w:p w:rsidR="00905DAA" w:rsidRPr="00D96898" w:rsidP="00905DAA" w14:paraId="50D17519" w14:textId="77777777">
      <w:pPr>
        <w:pStyle w:val="FootnoteText"/>
      </w:pPr>
      <w:r w:rsidRPr="00905DAA">
        <w:rPr>
          <w:rStyle w:val="FootnoteReference"/>
        </w:rPr>
        <w:footnoteRef/>
      </w:r>
      <w:r w:rsidRPr="00D96898">
        <w:t xml:space="preserve"> </w:t>
      </w:r>
      <w:r w:rsidRPr="00D96898">
        <w:rPr>
          <w:i/>
          <w:iCs/>
        </w:rPr>
        <w:t>Id</w:t>
      </w:r>
      <w:r w:rsidRPr="00D96898">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71">
    <w:p w:rsidR="00905DAA" w:rsidRPr="00D96898" w:rsidP="00905DAA" w14:paraId="0E863220" w14:textId="77777777">
      <w:pPr>
        <w:pStyle w:val="FootnoteText"/>
      </w:pPr>
      <w:r w:rsidRPr="00905DAA">
        <w:rPr>
          <w:rStyle w:val="FootnoteReference"/>
        </w:rPr>
        <w:footnoteRef/>
      </w:r>
      <w:r w:rsidRPr="00D96898">
        <w:t xml:space="preserve"> 15 U.S.C. § 632.</w:t>
      </w:r>
    </w:p>
  </w:footnote>
  <w:footnote w:id="72">
    <w:p w:rsidR="00905DAA" w:rsidP="00905DAA" w14:paraId="4D3DBAA2" w14:textId="77777777">
      <w:pPr>
        <w:pStyle w:val="FootnoteText"/>
      </w:pPr>
      <w:r w:rsidRPr="00905DAA">
        <w:rPr>
          <w:rStyle w:val="FootnoteReference"/>
        </w:rPr>
        <w:footnoteRef/>
      </w:r>
      <w:r>
        <w:t xml:space="preserve"> </w:t>
      </w:r>
      <w:r w:rsidRPr="009A145B">
        <w:t>13 CFR</w:t>
      </w:r>
      <w:r>
        <w:t xml:space="preserve"> </w:t>
      </w:r>
      <w:r w:rsidRPr="009A145B">
        <w:t>121.903</w:t>
      </w:r>
      <w:r>
        <w:t>.</w:t>
      </w:r>
    </w:p>
  </w:footnote>
  <w:footnote w:id="73">
    <w:p w:rsidR="00905DAA" w:rsidP="00905DAA" w14:paraId="542DBDDB" w14:textId="77777777">
      <w:pPr>
        <w:pStyle w:val="FootnoteText"/>
      </w:pPr>
      <w:r w:rsidRPr="00363480">
        <w:rPr>
          <w:rStyle w:val="FootnoteReference"/>
          <w:rFonts w:eastAsia="Calibri"/>
        </w:rPr>
        <w:footnoteRef/>
      </w:r>
      <w:r>
        <w:t xml:space="preserve"> 5 U.S.C. </w:t>
      </w:r>
      <w:r w:rsidRPr="006B076E">
        <w:t>§</w:t>
      </w:r>
      <w:r>
        <w:t xml:space="preserve"> 601(3)-(6).</w:t>
      </w:r>
    </w:p>
  </w:footnote>
  <w:footnote w:id="74">
    <w:p w:rsidR="00905DAA" w:rsidP="00905DAA" w14:paraId="79D94EB3" w14:textId="77777777">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(July</w:t>
      </w:r>
      <w:r>
        <w:t xml:space="preserve"> 23,</w:t>
      </w:r>
      <w:r w:rsidRPr="00231BAF">
        <w:t xml:space="preserve"> 2024), </w:t>
      </w:r>
      <w:hyperlink r:id="rId5" w:history="1">
        <w:r w:rsidRPr="00231BAF">
          <w:rPr>
            <w:rStyle w:val="Hyperlink"/>
          </w:rPr>
          <w:t>https://advocacy.sba.gov/wp-content/uploads/2024/12/Frequently-Asked-Questions-About-Small-Business_2024-508.pdf</w:t>
        </w:r>
      </w:hyperlink>
      <w:r w:rsidRPr="00231BAF">
        <w:t>.</w:t>
      </w:r>
    </w:p>
  </w:footnote>
  <w:footnote w:id="75">
    <w:p w:rsidR="00905DAA" w:rsidP="00905DAA" w14:paraId="20AD288F" w14:textId="77777777">
      <w:pPr>
        <w:pStyle w:val="FootnoteText"/>
      </w:pPr>
      <w:r w:rsidRPr="00905DAA">
        <w:rPr>
          <w:rStyle w:val="FootnoteReference"/>
        </w:rPr>
        <w:footnoteRef/>
      </w:r>
      <w:r>
        <w:t xml:space="preserve"> </w:t>
      </w:r>
      <w:r w:rsidRPr="0011527D">
        <w:rPr>
          <w:i/>
          <w:iCs/>
        </w:rPr>
        <w:t>Id</w:t>
      </w:r>
      <w:r>
        <w:t>.</w:t>
      </w:r>
    </w:p>
  </w:footnote>
  <w:footnote w:id="76">
    <w:p w:rsidR="00905DAA" w:rsidRPr="00A053B8" w:rsidP="00905DAA" w14:paraId="2DF9AF6C"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77">
    <w:p w:rsidR="00905DAA" w:rsidP="00905DAA" w14:paraId="5ECB81EC" w14:textId="747BAB9E">
      <w:pPr>
        <w:pStyle w:val="FootnoteText"/>
      </w:pPr>
      <w:r w:rsidRPr="00905DAA">
        <w:rPr>
          <w:rStyle w:val="FootnoteReference"/>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6" w:history="1">
        <w:r w:rsidRPr="00B31687">
          <w:rPr>
            <w:rStyle w:val="Hyperlink"/>
          </w:rPr>
          <w:t>https://advocacy.sba.gov/2019/07/25/small-business-facts-spotlight-on-nonprofits</w:t>
        </w:r>
      </w:hyperlink>
      <w:r w:rsidRPr="00B31687">
        <w:t>.</w:t>
      </w:r>
      <w:r>
        <w:t xml:space="preserve">  </w:t>
      </w:r>
    </w:p>
  </w:footnote>
  <w:footnote w:id="78">
    <w:p w:rsidR="00905DAA" w:rsidRPr="00A053B8" w:rsidP="00905DAA" w14:paraId="404423B6" w14:textId="77777777">
      <w:pPr>
        <w:pStyle w:val="FootnoteText"/>
      </w:pPr>
      <w:r w:rsidRPr="00A053B8">
        <w:rPr>
          <w:rStyle w:val="FootnoteReference"/>
          <w:rFonts w:eastAsia="Calibri"/>
          <w:spacing w:val="-2"/>
        </w:rPr>
        <w:footnoteRef/>
      </w:r>
      <w:r w:rsidRPr="00A053B8">
        <w:t xml:space="preserve"> 5 U.S.C. § 601(5).</w:t>
      </w:r>
    </w:p>
  </w:footnote>
  <w:footnote w:id="79">
    <w:p w:rsidR="00905DAA" w:rsidP="00905DAA" w14:paraId="111AC2F4" w14:textId="77777777">
      <w:pPr>
        <w:pStyle w:val="FootnoteText"/>
      </w:pPr>
      <w:r w:rsidRPr="00905DAA">
        <w:rPr>
          <w:rStyle w:val="FootnoteReference"/>
        </w:rPr>
        <w:footnoteRef/>
      </w:r>
      <w:r>
        <w:t xml:space="preserve"> </w:t>
      </w:r>
      <w:r w:rsidRPr="00A053B8">
        <w:rPr>
          <w:i/>
        </w:rPr>
        <w:t>See</w:t>
      </w:r>
      <w:r w:rsidRPr="00A053B8">
        <w:t xml:space="preserve"> U.S. Census Bureau, 2022 Census of Governments –</w:t>
      </w:r>
      <w:r>
        <w:t xml:space="preserve">Organization, </w:t>
      </w:r>
      <w:hyperlink r:id="rId7" w:history="1">
        <w:r w:rsidRPr="00A053B8">
          <w:rPr>
            <w:rStyle w:val="Hyperlink"/>
          </w:rPr>
          <w:t>https://www.census.gov/data/tables/2022/econ/gus/2022-governments.html</w:t>
        </w:r>
      </w:hyperlink>
      <w:r>
        <w:t>, tables 1-11</w:t>
      </w:r>
      <w:r w:rsidRPr="00A053B8">
        <w:t xml:space="preserve">.  </w:t>
      </w:r>
    </w:p>
  </w:footnote>
  <w:footnote w:id="80">
    <w:p w:rsidR="00905DAA" w:rsidRPr="001362BE" w:rsidP="00905DAA" w14:paraId="4AB5C935" w14:textId="77777777">
      <w:pPr>
        <w:pStyle w:val="FootnoteText"/>
      </w:pPr>
      <w:r w:rsidRPr="00905DAA">
        <w:rPr>
          <w:rStyle w:val="FootnoteReference"/>
        </w:rPr>
        <w:footnoteRef/>
      </w:r>
      <w:r>
        <w:t xml:space="preserve"> </w:t>
      </w:r>
      <w:r w:rsidRPr="001362BE">
        <w:t>The North American Industry Classification System (NAICS) is the standard used by Federal statistical agencies in classifying business establishments for the purpose of collecting, analyzing, and publishing statistical data related to the U.S. business economy.</w:t>
      </w:r>
      <w:r>
        <w:t xml:space="preserve">  </w:t>
      </w:r>
      <w:r>
        <w:rPr>
          <w:i/>
          <w:iCs/>
        </w:rPr>
        <w:t xml:space="preserve">See </w:t>
      </w:r>
      <w:hyperlink r:id="rId8" w:history="1">
        <w:r w:rsidRPr="00686F6D">
          <w:rPr>
            <w:rStyle w:val="Hyperlink"/>
          </w:rPr>
          <w:t>www.census.gov/NAICS</w:t>
        </w:r>
      </w:hyperlink>
      <w:r>
        <w:t xml:space="preserve"> for further details regarding the NAICS codes identified in this chart.</w:t>
      </w:r>
    </w:p>
  </w:footnote>
  <w:footnote w:id="81">
    <w:p w:rsidR="00905DAA" w:rsidP="00905DAA" w14:paraId="3AF4C36E" w14:textId="77777777">
      <w:pPr>
        <w:pStyle w:val="FootnoteText"/>
      </w:pPr>
      <w:r w:rsidRPr="00905DAA">
        <w:rPr>
          <w:rStyle w:val="FootnoteReference"/>
        </w:rPr>
        <w:footnoteRef/>
      </w:r>
      <w:r>
        <w:t xml:space="preserve"> The size standards in this chart are set forth in </w:t>
      </w:r>
      <w:r w:rsidRPr="001E35D8">
        <w:t>13 CFR 121</w:t>
      </w:r>
      <w:r>
        <w:t>.201, by six digit North American Industrial Classification System (NAICS) code.</w:t>
      </w:r>
    </w:p>
  </w:footnote>
  <w:footnote w:id="82">
    <w:p w:rsidR="00A93A6E" w:rsidRPr="00682388" w:rsidP="00110307" w14:paraId="236C6CD7" w14:textId="5530D93C">
      <w:pPr>
        <w:pStyle w:val="FootnoteText"/>
        <w:spacing w:before="120"/>
      </w:pPr>
      <w:r w:rsidRPr="00682388">
        <w:rPr>
          <w:rStyle w:val="FootnoteReference"/>
          <w:rFonts w:eastAsiaTheme="majorEastAsia"/>
        </w:rPr>
        <w:footnoteRef/>
      </w:r>
      <w:r w:rsidRPr="00682388">
        <w:t xml:space="preserve"> </w:t>
      </w:r>
      <w:r w:rsidRPr="00110307">
        <w:rPr>
          <w:i/>
        </w:rPr>
        <w:t>U.S. Census Bureau</w:t>
      </w:r>
      <w:r w:rsidRPr="00682388">
        <w:t>, "</w:t>
      </w:r>
      <w:r w:rsidRPr="00682388">
        <w:rPr>
          <w:i/>
          <w:iCs/>
        </w:rPr>
        <w:t>Selected Sectors: Employment Size of Firms for the U.S.: 2022</w:t>
      </w:r>
      <w:r w:rsidRPr="00682388">
        <w:t>." Economic Census, ECN Core Statistics</w:t>
      </w:r>
      <w:r w:rsidRPr="00110307">
        <w:t xml:space="preserve"> Economic Census</w:t>
      </w:r>
      <w:r w:rsidRPr="00682388">
        <w:t xml:space="preserve">: Establishment and Firm Size Statistics for the U.S., </w:t>
      </w:r>
      <w:r>
        <w:t xml:space="preserve">Table </w:t>
      </w:r>
      <w:r w:rsidRPr="00682388">
        <w:t>EC2200SIZEEMPFIRM, 2025,</w:t>
      </w:r>
      <w:r w:rsidR="00D36E2A">
        <w:t xml:space="preserve"> </w:t>
      </w:r>
      <w:r w:rsidRPr="00682388">
        <w:t>“</w:t>
      </w:r>
      <w:r w:rsidRPr="00682388">
        <w:rPr>
          <w:i/>
          <w:iCs/>
        </w:rPr>
        <w:t>Selected Sectors: Sales, Value of Shipments, or Revenue Size of Firms for the U.S.: 2022</w:t>
      </w:r>
      <w:r w:rsidRPr="00682388">
        <w:t>." Economic Census, ECN Core Statistics Economic Census: Establishment and Firm Size Statistics for the U.S.</w:t>
      </w:r>
      <w:r>
        <w:t>,</w:t>
      </w:r>
      <w:r w:rsidRPr="00110307">
        <w:t xml:space="preserve"> </w:t>
      </w:r>
      <w:r w:rsidRPr="001848A5">
        <w:t>Table EC2200SIZEREVFIRM, 2025</w:t>
      </w:r>
      <w:r>
        <w:t>.</w:t>
      </w:r>
      <w:r w:rsidRPr="00682388">
        <w:t xml:space="preserve"> </w:t>
      </w:r>
    </w:p>
  </w:footnote>
  <w:footnote w:id="83">
    <w:p w:rsidR="00A93A6E" w:rsidRPr="00682388" w:rsidP="00110307" w14:paraId="11984615" w14:textId="77777777">
      <w:pPr>
        <w:pStyle w:val="FootnoteText"/>
        <w:spacing w:before="120"/>
      </w:pPr>
      <w:r w:rsidRPr="00682388">
        <w:rPr>
          <w:rStyle w:val="FootnoteReference"/>
          <w:rFonts w:eastAsiaTheme="majorEastAsia"/>
        </w:rPr>
        <w:footnoteRef/>
      </w:r>
      <w:r w:rsidRPr="00682388">
        <w:t xml:space="preserve"> </w:t>
      </w:r>
      <w:r w:rsidRPr="00682388">
        <w:rPr>
          <w:i/>
          <w:iCs/>
        </w:rPr>
        <w:t xml:space="preserve">Id. </w:t>
      </w:r>
    </w:p>
  </w:footnote>
  <w:footnote w:id="84">
    <w:p w:rsidR="00A93A6E" w:rsidRPr="003C204A" w:rsidP="00110307" w14:paraId="19C53C2B" w14:textId="2CD29F7B">
      <w:pPr>
        <w:pStyle w:val="FootnoteText"/>
        <w:spacing w:before="120"/>
      </w:pPr>
      <w:r w:rsidRPr="00D535AA">
        <w:rPr>
          <w:rStyle w:val="FootnoteReference"/>
        </w:rPr>
        <w:footnoteRef/>
      </w:r>
      <w:r w:rsidRPr="00D535AA">
        <w:t xml:space="preserve"> </w:t>
      </w:r>
      <w:r w:rsidRPr="003C204A">
        <w:t xml:space="preserve">Affected Entities in this industry include Competitive Local Exchange Carriers (CLECs), </w:t>
      </w:r>
      <w:r w:rsidRPr="00D535AA">
        <w:t xml:space="preserve">, </w:t>
      </w:r>
      <w:r w:rsidRPr="003C204A">
        <w:t>Incumbent Local Exchange Carriers (Incumbent LECs), Local Exchange Carriers (LECs).</w:t>
      </w:r>
    </w:p>
  </w:footnote>
  <w:footnote w:id="85">
    <w:p w:rsidR="00A93A6E" w:rsidRPr="00D535AA" w:rsidP="00110307" w14:paraId="3EA1FB5D" w14:textId="72053811">
      <w:pPr>
        <w:pStyle w:val="FootnoteText"/>
        <w:spacing w:before="120"/>
      </w:pPr>
      <w:r w:rsidRPr="00D535AA">
        <w:rPr>
          <w:rStyle w:val="FootnoteReference"/>
        </w:rPr>
        <w:footnoteRef/>
      </w:r>
      <w:r w:rsidRPr="00D535AA">
        <w:t xml:space="preserve"> Affected Entities in this industry include Wireless Carriers and Service Providers, Wireless Communications Services, Wireless Telephony. </w:t>
      </w:r>
    </w:p>
  </w:footnote>
  <w:footnote w:id="86">
    <w:p w:rsidR="00F707E0" w:rsidRPr="000969E2" w:rsidP="00F707E0" w14:paraId="087C7C91" w14:textId="77777777">
      <w:pPr>
        <w:pStyle w:val="FootnoteText"/>
      </w:pPr>
      <w:r w:rsidRPr="000969E2">
        <w:rPr>
          <w:rStyle w:val="FootnoteReference"/>
          <w:rFonts w:eastAsiaTheme="majorEastAsia"/>
        </w:rPr>
        <w:footnoteRef/>
      </w:r>
      <w:r w:rsidRPr="000969E2">
        <w:t xml:space="preserve"> </w:t>
      </w:r>
      <w:r w:rsidRPr="000969E2">
        <w:rPr>
          <w:iCs/>
        </w:rPr>
        <w:t xml:space="preserve">Federal-State Joint Board on Universal Service, Universal Service Monitoring Report at 26, Table 1.12 (2024), </w:t>
      </w:r>
      <w:hyperlink r:id="rId9" w:history="1">
        <w:r w:rsidRPr="000969E2">
          <w:rPr>
            <w:rStyle w:val="Hyperlink"/>
          </w:rPr>
          <w:t>https://docs.fcc.gov/public/attachments/DOC-408848A1.pdf</w:t>
        </w:r>
      </w:hyperlink>
      <w:r w:rsidRPr="000969E2">
        <w:t>.</w:t>
      </w:r>
    </w:p>
  </w:footnote>
  <w:footnote w:id="87">
    <w:p w:rsidR="00F707E0" w:rsidRPr="000969E2" w:rsidP="00F707E0" w14:paraId="2AC3695F" w14:textId="77777777">
      <w:pPr>
        <w:pStyle w:val="FootnoteText"/>
      </w:pPr>
      <w:r w:rsidRPr="000969E2">
        <w:rPr>
          <w:rStyle w:val="FootnoteReference"/>
          <w:rFonts w:eastAsiaTheme="majorEastAsia"/>
        </w:rPr>
        <w:footnoteRef/>
      </w:r>
      <w:r w:rsidRPr="000969E2">
        <w:t xml:space="preserve"> Affected Entities in this industry include all reporting local competitive service providers.</w:t>
      </w:r>
    </w:p>
  </w:footnote>
  <w:footnote w:id="88">
    <w:p w:rsidR="00F707E0" w:rsidRPr="000969E2" w:rsidP="00F707E0" w14:paraId="25AE18D0" w14:textId="77777777">
      <w:pPr>
        <w:pStyle w:val="FootnoteText"/>
      </w:pPr>
      <w:r w:rsidRPr="000969E2">
        <w:rPr>
          <w:rStyle w:val="FootnoteReference"/>
          <w:rFonts w:eastAsiaTheme="majorEastAsia"/>
        </w:rPr>
        <w:footnoteRef/>
      </w:r>
      <w:r w:rsidRPr="000969E2">
        <w:t xml:space="preserve"> Affected Entities in this industry include all reporting fixed local service providers (CLECs &amp; ILECs).</w:t>
      </w:r>
    </w:p>
  </w:footnote>
  <w:footnote w:id="89">
    <w:p w:rsidR="00F707E0" w:rsidRPr="000969E2" w:rsidP="00F707E0" w14:paraId="22FA98FD" w14:textId="77777777">
      <w:pPr>
        <w:pStyle w:val="FootnoteText"/>
        <w:rPr>
          <w:b/>
          <w:bCs/>
        </w:rPr>
      </w:pPr>
      <w:r w:rsidRPr="000969E2">
        <w:rPr>
          <w:rStyle w:val="FootnoteReference"/>
          <w:rFonts w:eastAsiaTheme="majorEastAsia"/>
        </w:rPr>
        <w:footnoteRef/>
      </w:r>
      <w:r w:rsidRPr="000969E2">
        <w:t xml:space="preserve"> Local Resellers fall into another U.S. Census Bureau industry (Telecommunications Resellers) and therefore data for these providers is not included in this industry.  </w:t>
      </w:r>
    </w:p>
  </w:footnote>
  <w:footnote w:id="90">
    <w:p w:rsidR="00F707E0" w:rsidRPr="000969E2" w:rsidP="00F707E0" w14:paraId="02CBE8F2" w14:textId="77777777">
      <w:pPr>
        <w:pStyle w:val="FootnoteText"/>
      </w:pPr>
      <w:r w:rsidRPr="000969E2">
        <w:rPr>
          <w:rStyle w:val="FootnoteReference"/>
          <w:rFonts w:eastAsiaTheme="majorEastAsia"/>
        </w:rPr>
        <w:footnoteRef/>
      </w:r>
      <w:r w:rsidRPr="000969E2">
        <w:t xml:space="preserve"> Affected Entities in this industry include all reporting wireless carriers and service providers.</w:t>
      </w:r>
    </w:p>
  </w:footnote>
  <w:footnote w:id="91">
    <w:p w:rsidR="00F707E0" w:rsidRPr="000969E2" w:rsidP="00F707E0" w14:paraId="63B446E1" w14:textId="77777777">
      <w:pPr>
        <w:pStyle w:val="FootnoteText"/>
      </w:pPr>
      <w:r w:rsidRPr="000969E2">
        <w:rPr>
          <w:rStyle w:val="FootnoteReference"/>
          <w:rFonts w:eastAsiaTheme="majorEastAsia"/>
        </w:rPr>
        <w:footnoteRef/>
      </w:r>
      <w:r w:rsidRPr="000969E2">
        <w:t xml:space="preserve"> Affected Entities in this industry include Cellular/PCS/SMR - Specialized Mobile Radio Licensees and SMR (Dispatch).</w:t>
      </w:r>
    </w:p>
  </w:footnote>
  <w:footnote w:id="92">
    <w:p w:rsidR="00905DAA" w:rsidP="00905DAA" w14:paraId="22E7B2F6" w14:textId="77777777">
      <w:pPr>
        <w:pStyle w:val="FootnoteText"/>
      </w:pPr>
      <w:r w:rsidRPr="00905DAA">
        <w:rPr>
          <w:rStyle w:val="FootnoteReference"/>
        </w:rPr>
        <w:footnoteRef/>
      </w:r>
      <w:r>
        <w:t xml:space="preserve"> </w:t>
      </w:r>
      <w:r w:rsidRPr="00590DB1">
        <w:rPr>
          <w:iCs/>
        </w:rPr>
        <w:t>5 U.S.C.</w:t>
      </w:r>
      <w:r>
        <w:rPr>
          <w:i/>
        </w:rPr>
        <w:t xml:space="preserve"> </w:t>
      </w:r>
      <w:r w:rsidRPr="00F17E24">
        <w:t>§ 603(b)(</w:t>
      </w:r>
      <w:r>
        <w:t>4</w:t>
      </w:r>
      <w:r w:rsidRPr="00F17E24">
        <w:t>)</w:t>
      </w:r>
      <w:r>
        <w:t xml:space="preserve">. </w:t>
      </w:r>
    </w:p>
  </w:footnote>
  <w:footnote w:id="93">
    <w:p w:rsidR="00905DAA" w:rsidP="00905DAA" w14:paraId="2DC94064" w14:textId="77777777">
      <w:pPr>
        <w:pStyle w:val="FootnoteText"/>
      </w:pPr>
      <w:r w:rsidRPr="00905DAA">
        <w:rPr>
          <w:rStyle w:val="FootnoteReference"/>
        </w:rPr>
        <w:footnoteRef/>
      </w:r>
      <w:r>
        <w:t xml:space="preserve"> </w:t>
      </w:r>
      <w:bookmarkStart w:id="177" w:name="_Hlk206507688"/>
      <w:r>
        <w:rPr>
          <w:iCs/>
        </w:rPr>
        <w:t>5 U.S.C</w:t>
      </w:r>
      <w:r>
        <w:rPr>
          <w:i/>
        </w:rPr>
        <w:t xml:space="preserve">. </w:t>
      </w:r>
      <w:r w:rsidRPr="00F17E24">
        <w:t>§ 603(</w:t>
      </w:r>
      <w:r>
        <w:t>c</w:t>
      </w:r>
      <w:r w:rsidRPr="00F17E24">
        <w:t>)</w:t>
      </w:r>
      <w:r>
        <w:t>.</w:t>
      </w:r>
      <w:bookmarkEnd w:id="177"/>
    </w:p>
  </w:footnote>
  <w:footnote w:id="94">
    <w:p w:rsidR="00905DAA" w:rsidP="00905DAA" w14:paraId="1CB7F893" w14:textId="77777777">
      <w:pPr>
        <w:pStyle w:val="FootnoteText"/>
      </w:pPr>
      <w:r w:rsidRPr="00905DAA">
        <w:rPr>
          <w:rStyle w:val="FootnoteReference"/>
        </w:rPr>
        <w:footnoteRef/>
      </w:r>
      <w:r>
        <w:t xml:space="preserve"> </w:t>
      </w:r>
      <w:r>
        <w:rPr>
          <w:i/>
          <w:iCs/>
        </w:rPr>
        <w:t>Id.</w:t>
      </w:r>
      <w:r>
        <w:t xml:space="preserve"> § 603(c)(1)-</w:t>
      </w:r>
      <w:r w:rsidRPr="00884C40">
        <w:t>(4).</w:t>
      </w:r>
    </w:p>
  </w:footnote>
  <w:footnote w:id="95">
    <w:p w:rsidR="00063002" w:rsidRPr="00CD151A" w:rsidP="00063002" w14:paraId="4405D3BD" w14:textId="6314BBC9">
      <w:pPr>
        <w:pStyle w:val="FootnoteText"/>
      </w:pPr>
      <w:r>
        <w:rPr>
          <w:rStyle w:val="FootnoteReference"/>
        </w:rPr>
        <w:footnoteRef/>
      </w:r>
      <w:r>
        <w:t xml:space="preserve"> </w:t>
      </w:r>
      <w:r w:rsidRPr="00063002" w:rsidR="00675134">
        <w:rPr>
          <w:i/>
          <w:iCs/>
        </w:rPr>
        <w:t>Call Branding FNPRM</w:t>
      </w:r>
      <w:r w:rsidRPr="005A382C" w:rsidR="005A382C">
        <w:t>,</w:t>
      </w:r>
      <w:r w:rsidR="005A382C">
        <w:rPr>
          <w:i/>
          <w:iCs/>
        </w:rPr>
        <w:t xml:space="preserve"> </w:t>
      </w:r>
      <w:r w:rsidRPr="00DD5541" w:rsidR="005A382C">
        <w:t>FCC 25-76</w:t>
      </w:r>
      <w:r>
        <w:t xml:space="preserve"> at </w:t>
      </w:r>
      <w:r w:rsidR="003129AD">
        <w:t xml:space="preserve">14-15, </w:t>
      </w:r>
      <w:r>
        <w:t>paras. 43-46.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810B6F" w14:paraId="58C7D460" w14:textId="1B3A9D04">
    <w:pPr>
      <w:pStyle w:val="Header"/>
      <w:rPr>
        <w:b w:val="0"/>
      </w:rPr>
    </w:pPr>
    <w:r>
      <w:tab/>
      <w:t>Federal Communications Commission</w:t>
    </w:r>
    <w:r>
      <w:tab/>
    </w:r>
    <w:r>
      <w:rPr>
        <w:spacing w:val="-2"/>
      </w:rPr>
      <w:t>FCC 2</w:t>
    </w:r>
    <w:r w:rsidR="00FE0EDD">
      <w:rPr>
        <w:spacing w:val="-2"/>
      </w:rPr>
      <w:t>6</w:t>
    </w:r>
    <w:r>
      <w:rPr>
        <w:spacing w:val="-2"/>
      </w:rPr>
      <w:t>-</w:t>
    </w:r>
    <w:r w:rsidR="001103E4">
      <w:rPr>
        <w:spacing w:val="-2"/>
      </w:rPr>
      <w:t>27</w:t>
    </w:r>
  </w:p>
  <w:p w:rsidR="00905DAA" w14:paraId="052B50D4" w14:textId="44B6494C">
    <w:pPr>
      <w:tabs>
        <w:tab w:val="left" w:pos="-720"/>
      </w:tabs>
      <w:suppressAutoHyphens/>
      <w:spacing w:line="19" w:lineRule="exact"/>
      <w:rPr>
        <w:spacing w:val="-2"/>
      </w:rPr>
    </w:pPr>
    <w:r>
      <w:rPr>
        <w:noProof/>
      </w:rPr>
      <mc:AlternateContent>
        <mc:Choice Requires="wps">
          <w:drawing>
            <wp:anchor distT="0" distB="0" distL="114300" distR="114300" simplePos="0" relativeHeight="251662336" behindDoc="1" locked="0" layoutInCell="0" allowOverlap="1">
              <wp:simplePos x="0" y="0"/>
              <wp:positionH relativeFrom="margin">
                <wp:posOffset>0</wp:posOffset>
              </wp:positionH>
              <wp:positionV relativeFrom="paragraph">
                <wp:posOffset>0</wp:posOffset>
              </wp:positionV>
              <wp:extent cx="5943600" cy="12065"/>
              <wp:effectExtent l="0" t="0" r="0" b="0"/>
              <wp:wrapNone/>
              <wp:docPr id="2042729836" name="Rectangle 102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3120"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05DAA" w:rsidP="00810B6F" w14:paraId="3A372296" w14:textId="0A034B4A">
    <w:pPr>
      <w:pStyle w:val="Header"/>
      <w:rPr>
        <w:b w:val="0"/>
      </w:rPr>
    </w:pPr>
    <w:r>
      <w:rPr>
        <w:noProof/>
      </w:rPr>
      <mc:AlternateContent>
        <mc:Choice Requires="wps">
          <w:drawing>
            <wp:anchor distT="0" distB="0" distL="114300" distR="114300" simplePos="0" relativeHeight="251664384"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237999116" name="Rectangle 1026"/>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026"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1072" o:allowincell="f" fillcolor="black" stroked="f" strokeweight="0.05pt">
              <w10:wrap anchorx="margin"/>
            </v:rect>
          </w:pict>
        </mc:Fallback>
      </mc:AlternateContent>
    </w:r>
    <w:r w:rsidR="001338A5">
      <w:tab/>
      <w:t>Federal Communications Commission</w:t>
    </w:r>
    <w:r w:rsidR="001338A5">
      <w:tab/>
    </w:r>
    <w:r w:rsidR="001338A5">
      <w:rPr>
        <w:spacing w:val="-2"/>
      </w:rPr>
      <w:t>FCC 2</w:t>
    </w:r>
    <w:r w:rsidR="00FE0EDD">
      <w:rPr>
        <w:spacing w:val="-2"/>
      </w:rPr>
      <w:t>6</w:t>
    </w:r>
    <w:r w:rsidR="001338A5">
      <w:rPr>
        <w:spacing w:val="-2"/>
      </w:rPr>
      <w:t>-</w:t>
    </w:r>
    <w:r w:rsidR="001103E4">
      <w:rPr>
        <w:spacing w:val="-2"/>
      </w:rPr>
      <w:t>27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9CD8D94" w14:textId="73E30A5C">
    <w:pPr>
      <w:pStyle w:val="Header"/>
      <w:rPr>
        <w:b w:val="0"/>
      </w:rPr>
    </w:pPr>
    <w:r>
      <w:tab/>
      <w:t>Federal Communications Commission</w:t>
    </w:r>
    <w:r>
      <w:tab/>
    </w:r>
    <w:r w:rsidR="000C5B69">
      <w:rPr>
        <w:spacing w:val="-2"/>
      </w:rPr>
      <w:t>FCC 26-</w:t>
    </w:r>
    <w:r w:rsidR="001103E4">
      <w:rPr>
        <w:spacing w:val="-2"/>
      </w:rPr>
      <w:t>27</w:t>
    </w:r>
  </w:p>
  <w:p w:rsidR="00D25FB5" w14:paraId="3DBD4D91" w14:textId="2ECF873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53131958"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1"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2255959C"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B55169B" w14:textId="748685A2">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1586538838"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2"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rsidR="001338A5">
      <w:tab/>
      <w:t>Federal Communications Commission</w:t>
    </w:r>
    <w:r w:rsidR="001338A5">
      <w:tab/>
    </w:r>
    <w:r w:rsidR="00863B7A">
      <w:rPr>
        <w:spacing w:val="-2"/>
      </w:rPr>
      <w:t xml:space="preserve">FCC </w:t>
    </w:r>
    <w:r w:rsidR="000C5B69">
      <w:rPr>
        <w:spacing w:val="-2"/>
      </w:rPr>
      <w:t>26</w:t>
    </w:r>
    <w:r w:rsidR="00863B7A">
      <w:rPr>
        <w:spacing w:val="-2"/>
      </w:rPr>
      <w:t>-</w:t>
    </w:r>
    <w:r w:rsidR="001103E4">
      <w:rPr>
        <w:spacing w:val="-2"/>
      </w:rPr>
      <w:t>27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0BA1F73"/>
    <w:multiLevelType w:val="hybridMultilevel"/>
    <w:tmpl w:val="81B8131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039C3805"/>
    <w:multiLevelType w:val="hybridMultilevel"/>
    <w:tmpl w:val="D7021218"/>
    <w:lvl w:ilvl="0">
      <w:start w:val="1"/>
      <w:numFmt w:val="decimal"/>
      <w:lvlText w:val="%1."/>
      <w:lvlJc w:val="left"/>
      <w:pPr>
        <w:ind w:left="720" w:hanging="360"/>
      </w:pPr>
    </w:lvl>
    <w:lvl w:ilvl="1">
      <w:start w:val="1"/>
      <w:numFmt w:val="upperLetter"/>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84B453C"/>
    <w:multiLevelType w:val="singleLevel"/>
    <w:tmpl w:val="40A8E97A"/>
    <w:lvl w:ilvl="0">
      <w:start w:val="1"/>
      <w:numFmt w:val="decimal"/>
      <w:lvlText w:val="%1."/>
      <w:lvlJc w:val="left"/>
      <w:pPr>
        <w:tabs>
          <w:tab w:val="num" w:pos="1080"/>
        </w:tabs>
        <w:ind w:left="0" w:firstLine="720"/>
      </w:pPr>
    </w:lvl>
  </w:abstractNum>
  <w:abstractNum w:abstractNumId="3">
    <w:nsid w:val="0981544E"/>
    <w:multiLevelType w:val="hybridMultilevel"/>
    <w:tmpl w:val="D2BC13A0"/>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2BD94FC4"/>
    <w:multiLevelType w:val="singleLevel"/>
    <w:tmpl w:val="B99655D6"/>
    <w:lvl w:ilvl="0">
      <w:start w:val="1"/>
      <w:numFmt w:val="decimal"/>
      <w:lvlText w:val="%1."/>
      <w:lvlJc w:val="left"/>
      <w:pPr>
        <w:tabs>
          <w:tab w:val="num" w:pos="1080"/>
        </w:tabs>
        <w:ind w:left="0" w:firstLine="720"/>
      </w:pPr>
      <w:rPr>
        <w:rFonts w:hint="default"/>
        <w:b w:val="0"/>
        <w:bCs w:val="0"/>
      </w:rPr>
    </w:lvl>
  </w:abstractNum>
  <w:abstractNum w:abstractNumId="8">
    <w:nsid w:val="38BA7C60"/>
    <w:multiLevelType w:val="hybridMultilevel"/>
    <w:tmpl w:val="4BC67DE8"/>
    <w:lvl w:ilvl="0">
      <w:start w:val="1"/>
      <w:numFmt w:val="decimal"/>
      <w:lvlText w:val="%1."/>
      <w:lvlJc w:val="left"/>
      <w:pPr>
        <w:ind w:left="720" w:hanging="360"/>
      </w:pPr>
      <w:rPr>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38D57996"/>
    <w:multiLevelType w:val="hybridMultilevel"/>
    <w:tmpl w:val="806E5DE4"/>
    <w:lvl w:ilvl="0">
      <w:start w:val="2"/>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4D684B6D"/>
    <w:multiLevelType w:val="hybridMultilevel"/>
    <w:tmpl w:val="92F6550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4F97231D"/>
    <w:multiLevelType w:val="multilevel"/>
    <w:tmpl w:val="CC1E2D40"/>
    <w:lvl w:ilvl="0">
      <w:start w:val="4"/>
      <w:numFmt w:val="upperRoman"/>
      <w:lvlText w:val="%1."/>
      <w:lvlJc w:val="left"/>
      <w:pPr>
        <w:tabs>
          <w:tab w:val="num" w:pos="720"/>
        </w:tabs>
        <w:ind w:left="720" w:hanging="720"/>
      </w:pPr>
      <w:rPr>
        <w:rFonts w:ascii="Times New Roman Bold" w:hAnsi="Times New Roman Bold" w:hint="default"/>
        <w:b/>
      </w:rPr>
    </w:lvl>
    <w:lvl w:ilvl="1">
      <w:start w:val="1"/>
      <w:numFmt w:val="upperLetter"/>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b/>
        <w:bCs/>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3">
    <w:nsid w:val="502E48CF"/>
    <w:multiLevelType w:val="hybridMultilevel"/>
    <w:tmpl w:val="4BC67DE8"/>
    <w:lvl w:ilvl="0">
      <w:start w:val="1"/>
      <w:numFmt w:val="decimal"/>
      <w:lvlText w:val="%1."/>
      <w:lvlJc w:val="left"/>
      <w:pPr>
        <w:ind w:left="720" w:hanging="360"/>
      </w:pPr>
      <w:rPr>
        <w:b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5F812179"/>
    <w:multiLevelType w:val="hybridMultilevel"/>
    <w:tmpl w:val="1FA66826"/>
    <w:lvl w:ilvl="0">
      <w:start w:val="1"/>
      <w:numFmt w:val="upperLetter"/>
      <w:lvlText w:val="(%1)"/>
      <w:lvlJc w:val="left"/>
      <w:pPr>
        <w:ind w:left="2520" w:hanging="360"/>
      </w:pPr>
      <w:rPr>
        <w:rFonts w:hint="default"/>
      </w:rPr>
    </w:lvl>
    <w:lvl w:ilvl="1" w:tentative="1">
      <w:start w:val="1"/>
      <w:numFmt w:val="lowerLetter"/>
      <w:lvlText w:val="%2."/>
      <w:lvlJc w:val="left"/>
      <w:pPr>
        <w:ind w:left="3240" w:hanging="360"/>
      </w:pPr>
    </w:lvl>
    <w:lvl w:ilvl="2" w:tentative="1">
      <w:start w:val="1"/>
      <w:numFmt w:val="lowerRoman"/>
      <w:lvlText w:val="%3."/>
      <w:lvlJc w:val="right"/>
      <w:pPr>
        <w:ind w:left="3960" w:hanging="180"/>
      </w:pPr>
    </w:lvl>
    <w:lvl w:ilvl="3" w:tentative="1">
      <w:start w:val="1"/>
      <w:numFmt w:val="decimal"/>
      <w:lvlText w:val="%4."/>
      <w:lvlJc w:val="left"/>
      <w:pPr>
        <w:ind w:left="4680" w:hanging="360"/>
      </w:pPr>
    </w:lvl>
    <w:lvl w:ilvl="4" w:tentative="1">
      <w:start w:val="1"/>
      <w:numFmt w:val="lowerLetter"/>
      <w:lvlText w:val="%5."/>
      <w:lvlJc w:val="left"/>
      <w:pPr>
        <w:ind w:left="5400" w:hanging="360"/>
      </w:pPr>
    </w:lvl>
    <w:lvl w:ilvl="5" w:tentative="1">
      <w:start w:val="1"/>
      <w:numFmt w:val="lowerRoman"/>
      <w:lvlText w:val="%6."/>
      <w:lvlJc w:val="right"/>
      <w:pPr>
        <w:ind w:left="6120" w:hanging="180"/>
      </w:pPr>
    </w:lvl>
    <w:lvl w:ilvl="6" w:tentative="1">
      <w:start w:val="1"/>
      <w:numFmt w:val="decimal"/>
      <w:lvlText w:val="%7."/>
      <w:lvlJc w:val="left"/>
      <w:pPr>
        <w:ind w:left="6840" w:hanging="360"/>
      </w:pPr>
    </w:lvl>
    <w:lvl w:ilvl="7" w:tentative="1">
      <w:start w:val="1"/>
      <w:numFmt w:val="lowerLetter"/>
      <w:lvlText w:val="%8."/>
      <w:lvlJc w:val="left"/>
      <w:pPr>
        <w:ind w:left="7560" w:hanging="360"/>
      </w:pPr>
    </w:lvl>
    <w:lvl w:ilvl="8" w:tentative="1">
      <w:start w:val="1"/>
      <w:numFmt w:val="lowerRoman"/>
      <w:lvlText w:val="%9."/>
      <w:lvlJc w:val="right"/>
      <w:pPr>
        <w:ind w:left="8280" w:hanging="180"/>
      </w:pPr>
    </w:lvl>
  </w:abstractNum>
  <w:abstractNum w:abstractNumId="15">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16">
    <w:nsid w:val="63921813"/>
    <w:multiLevelType w:val="hybridMultilevel"/>
    <w:tmpl w:val="67A82D66"/>
    <w:lvl w:ilvl="0">
      <w:start w:val="1"/>
      <w:numFmt w:val="lowerLetter"/>
      <w:lvlText w:val="(%1)"/>
      <w:lvlJc w:val="left"/>
      <w:pPr>
        <w:ind w:left="720" w:hanging="360"/>
      </w:pPr>
      <w:rPr>
        <w:rFonts w:ascii="Times New Roman" w:eastAsia="Times New Roman" w:hAnsi="Times New Roman"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nsid w:val="73671446"/>
    <w:multiLevelType w:val="multilevel"/>
    <w:tmpl w:val="0844897A"/>
    <w:lvl w:ilvl="0">
      <w:start w:val="4"/>
      <w:numFmt w:val="upperRoman"/>
      <w:lvlText w:val="%1."/>
      <w:lvlJc w:val="left"/>
      <w:pPr>
        <w:tabs>
          <w:tab w:val="num" w:pos="720"/>
        </w:tabs>
        <w:ind w:left="720" w:hanging="720"/>
      </w:pPr>
      <w:rPr>
        <w:rFonts w:ascii="Times New Roman Bold" w:hAnsi="Times New Roman Bold" w:hint="default"/>
        <w:b/>
      </w:rPr>
    </w:lvl>
    <w:lvl w:ilvl="1">
      <w:start w:val="1"/>
      <w:numFmt w:val="upperLetter"/>
      <w:lvlText w:val="%2."/>
      <w:lvlJc w:val="left"/>
      <w:pPr>
        <w:tabs>
          <w:tab w:val="num" w:pos="1440"/>
        </w:tabs>
        <w:ind w:left="1440" w:hanging="720"/>
      </w:pPr>
      <w:rPr>
        <w:rFonts w:ascii="Times New Roman Bold" w:hAnsi="Times New Roman Bold" w:hint="default"/>
        <w:b/>
      </w:rPr>
    </w:lvl>
    <w:lvl w:ilvl="2">
      <w:start w:val="1"/>
      <w:numFmt w:val="decimal"/>
      <w:lvlText w:val="%3."/>
      <w:lvlJc w:val="left"/>
      <w:pPr>
        <w:tabs>
          <w:tab w:val="num" w:pos="2160"/>
        </w:tabs>
        <w:ind w:left="2160" w:hanging="720"/>
      </w:pPr>
      <w:rPr>
        <w:rFonts w:hint="default"/>
        <w:b/>
        <w:bCs/>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8">
    <w:nsid w:val="7E166912"/>
    <w:multiLevelType w:val="multilevel"/>
    <w:tmpl w:val="52364218"/>
    <w:lvl w:ilvl="0">
      <w:start w:val="4"/>
      <w:numFmt w:val="upperRoman"/>
      <w:lvlText w:val="%1."/>
      <w:lvlJc w:val="left"/>
      <w:pPr>
        <w:tabs>
          <w:tab w:val="num" w:pos="720"/>
        </w:tabs>
        <w:ind w:left="720" w:hanging="720"/>
      </w:pPr>
      <w:rPr>
        <w:rFonts w:ascii="Times New Roman Bold" w:hAnsi="Times New Roman Bold" w:hint="default"/>
        <w:b/>
      </w:rPr>
    </w:lvl>
    <w:lvl w:ilvl="1">
      <w:start w:val="1"/>
      <w:numFmt w:val="upperLetter"/>
      <w:lvlText w:val="%2."/>
      <w:lvlJc w:val="left"/>
      <w:pPr>
        <w:tabs>
          <w:tab w:val="num" w:pos="1440"/>
        </w:tabs>
        <w:ind w:left="1440" w:hanging="720"/>
      </w:pPr>
      <w:rPr>
        <w:rFonts w:ascii="Times New Roman Bold" w:hAnsi="Times New Roman Bold" w:hint="default"/>
        <w:b/>
      </w:rPr>
    </w:lvl>
    <w:lvl w:ilvl="2">
      <w:start w:val="1"/>
      <w:numFmt w:val="decimal"/>
      <w:lvlText w:val="%3."/>
      <w:lvlJc w:val="left"/>
      <w:pPr>
        <w:tabs>
          <w:tab w:val="num" w:pos="2160"/>
        </w:tabs>
        <w:ind w:left="2160" w:hanging="720"/>
      </w:pPr>
      <w:rPr>
        <w:rFonts w:hint="default"/>
        <w:b/>
        <w:bCs/>
      </w:rPr>
    </w:lvl>
    <w:lvl w:ilvl="3">
      <w:start w:val="1"/>
      <w:numFmt w:val="lowerLetter"/>
      <w:lvlText w:val="%4."/>
      <w:lvlJc w:val="left"/>
      <w:pPr>
        <w:tabs>
          <w:tab w:val="num" w:pos="2880"/>
        </w:tabs>
        <w:ind w:left="2880" w:hanging="720"/>
      </w:pPr>
      <w:rPr>
        <w:rFonts w:hint="default"/>
      </w:rPr>
    </w:lvl>
    <w:lvl w:ilvl="4">
      <w:start w:val="1"/>
      <w:numFmt w:val="lowerRoman"/>
      <w:lvlText w:val="(%5)"/>
      <w:lvlJc w:val="left"/>
      <w:pPr>
        <w:tabs>
          <w:tab w:val="num" w:pos="3600"/>
        </w:tabs>
        <w:ind w:left="3600" w:hanging="720"/>
      </w:pPr>
      <w:rPr>
        <w:rFonts w:hint="default"/>
      </w:rPr>
    </w:lvl>
    <w:lvl w:ilvl="5">
      <w:start w:val="1"/>
      <w:numFmt w:val="lowerLetter"/>
      <w:lvlText w:val="(%6)"/>
      <w:lvlJc w:val="left"/>
      <w:pPr>
        <w:tabs>
          <w:tab w:val="num" w:pos="4320"/>
        </w:tabs>
        <w:ind w:left="4320" w:hanging="720"/>
      </w:pPr>
      <w:rPr>
        <w:rFonts w:hint="default"/>
      </w:rPr>
    </w:lvl>
    <w:lvl w:ilvl="6">
      <w:start w:val="1"/>
      <w:numFmt w:val="lowerRoman"/>
      <w:lvlText w:val="(%7)"/>
      <w:lvlJc w:val="left"/>
      <w:pPr>
        <w:tabs>
          <w:tab w:val="num" w:pos="504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num w:numId="1" w16cid:durableId="2140369060">
    <w:abstractNumId w:val="4"/>
  </w:num>
  <w:num w:numId="2" w16cid:durableId="229849827">
    <w:abstractNumId w:val="15"/>
  </w:num>
  <w:num w:numId="3" w16cid:durableId="1460300665">
    <w:abstractNumId w:val="6"/>
  </w:num>
  <w:num w:numId="4" w16cid:durableId="1053427392">
    <w:abstractNumId w:val="11"/>
  </w:num>
  <w:num w:numId="5" w16cid:durableId="423110398">
    <w:abstractNumId w:val="5"/>
  </w:num>
  <w:num w:numId="6" w16cid:durableId="320231232">
    <w:abstractNumId w:val="2"/>
  </w:num>
  <w:num w:numId="7" w16cid:durableId="1237861281">
    <w:abstractNumId w:val="9"/>
  </w:num>
  <w:num w:numId="8" w16cid:durableId="346442928">
    <w:abstractNumId w:val="15"/>
    <w:lvlOverride w:ilvl="0">
      <w:startOverride w:val="1"/>
    </w:lvlOverride>
  </w:num>
  <w:num w:numId="9" w16cid:durableId="513112966">
    <w:abstractNumId w:val="3"/>
  </w:num>
  <w:num w:numId="10" w16cid:durableId="1694501055">
    <w:abstractNumId w:val="13"/>
  </w:num>
  <w:num w:numId="11" w16cid:durableId="2033726160">
    <w:abstractNumId w:val="14"/>
  </w:num>
  <w:num w:numId="12" w16cid:durableId="429932782">
    <w:abstractNumId w:val="16"/>
  </w:num>
  <w:num w:numId="13" w16cid:durableId="1213615427">
    <w:abstractNumId w:val="8"/>
  </w:num>
  <w:num w:numId="14" w16cid:durableId="2035885278">
    <w:abstractNumId w:val="7"/>
  </w:num>
  <w:num w:numId="15" w16cid:durableId="565799527">
    <w:abstractNumId w:val="12"/>
  </w:num>
  <w:num w:numId="16" w16cid:durableId="1076055931">
    <w:abstractNumId w:val="17"/>
  </w:num>
  <w:num w:numId="17" w16cid:durableId="22219335">
    <w:abstractNumId w:val="18"/>
  </w:num>
  <w:num w:numId="18" w16cid:durableId="1525053139">
    <w:abstractNumId w:val="15"/>
    <w:lvlOverride w:ilvl="0">
      <w:startOverride w:val="1"/>
    </w:lvlOverride>
  </w:num>
  <w:num w:numId="19" w16cid:durableId="2024241788">
    <w:abstractNumId w:val="15"/>
    <w:lvlOverride w:ilvl="0">
      <w:startOverride w:val="1"/>
    </w:lvlOverride>
  </w:num>
  <w:num w:numId="20" w16cid:durableId="2117476561">
    <w:abstractNumId w:val="15"/>
    <w:lvlOverride w:ilvl="0">
      <w:startOverride w:val="1"/>
    </w:lvlOverride>
  </w:num>
  <w:num w:numId="21" w16cid:durableId="2037005320">
    <w:abstractNumId w:val="15"/>
  </w:num>
  <w:num w:numId="22" w16cid:durableId="297879048">
    <w:abstractNumId w:val="15"/>
  </w:num>
  <w:num w:numId="23" w16cid:durableId="197710345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74399069">
    <w:abstractNumId w:val="6"/>
  </w:num>
  <w:num w:numId="25" w16cid:durableId="1986737600">
    <w:abstractNumId w:val="6"/>
  </w:num>
  <w:num w:numId="26" w16cid:durableId="928736517">
    <w:abstractNumId w:val="10"/>
  </w:num>
  <w:num w:numId="27" w16cid:durableId="1794788927">
    <w:abstractNumId w:val="1"/>
  </w:num>
  <w:num w:numId="28" w16cid:durableId="186143924">
    <w:abstractNumId w:val="6"/>
  </w:num>
  <w:num w:numId="29" w16cid:durableId="6943852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BC"/>
    <w:rsid w:val="000001F6"/>
    <w:rsid w:val="0000033E"/>
    <w:rsid w:val="00000A89"/>
    <w:rsid w:val="00001540"/>
    <w:rsid w:val="00001A46"/>
    <w:rsid w:val="00002088"/>
    <w:rsid w:val="00002391"/>
    <w:rsid w:val="00002E02"/>
    <w:rsid w:val="00003D99"/>
    <w:rsid w:val="00006128"/>
    <w:rsid w:val="000061E3"/>
    <w:rsid w:val="0000650E"/>
    <w:rsid w:val="00006D3F"/>
    <w:rsid w:val="0000723B"/>
    <w:rsid w:val="000077F9"/>
    <w:rsid w:val="00007D80"/>
    <w:rsid w:val="0001006C"/>
    <w:rsid w:val="000105BF"/>
    <w:rsid w:val="000109DE"/>
    <w:rsid w:val="00010FA0"/>
    <w:rsid w:val="00011331"/>
    <w:rsid w:val="00011743"/>
    <w:rsid w:val="00011AF9"/>
    <w:rsid w:val="00012201"/>
    <w:rsid w:val="00012ACD"/>
    <w:rsid w:val="00012F26"/>
    <w:rsid w:val="000134EC"/>
    <w:rsid w:val="0001370A"/>
    <w:rsid w:val="000149D2"/>
    <w:rsid w:val="00014E31"/>
    <w:rsid w:val="00014F97"/>
    <w:rsid w:val="00015319"/>
    <w:rsid w:val="00017B15"/>
    <w:rsid w:val="00020743"/>
    <w:rsid w:val="000208F0"/>
    <w:rsid w:val="000214B9"/>
    <w:rsid w:val="00021602"/>
    <w:rsid w:val="00021B92"/>
    <w:rsid w:val="00022146"/>
    <w:rsid w:val="000224BE"/>
    <w:rsid w:val="000227E4"/>
    <w:rsid w:val="00022A16"/>
    <w:rsid w:val="00023D72"/>
    <w:rsid w:val="00023FD7"/>
    <w:rsid w:val="00024068"/>
    <w:rsid w:val="00024435"/>
    <w:rsid w:val="00024809"/>
    <w:rsid w:val="00024CAB"/>
    <w:rsid w:val="000253D5"/>
    <w:rsid w:val="00025969"/>
    <w:rsid w:val="0002599E"/>
    <w:rsid w:val="00025B07"/>
    <w:rsid w:val="000262C4"/>
    <w:rsid w:val="000264FB"/>
    <w:rsid w:val="0002750E"/>
    <w:rsid w:val="00027E6C"/>
    <w:rsid w:val="000300E3"/>
    <w:rsid w:val="000302C9"/>
    <w:rsid w:val="000308AA"/>
    <w:rsid w:val="00030910"/>
    <w:rsid w:val="000309A5"/>
    <w:rsid w:val="000309F1"/>
    <w:rsid w:val="00030F76"/>
    <w:rsid w:val="00031022"/>
    <w:rsid w:val="000329C7"/>
    <w:rsid w:val="000331A0"/>
    <w:rsid w:val="000331F4"/>
    <w:rsid w:val="00033C7D"/>
    <w:rsid w:val="00033E63"/>
    <w:rsid w:val="00034437"/>
    <w:rsid w:val="000345D8"/>
    <w:rsid w:val="00034B2F"/>
    <w:rsid w:val="00034CDC"/>
    <w:rsid w:val="000351E7"/>
    <w:rsid w:val="00035404"/>
    <w:rsid w:val="00035894"/>
    <w:rsid w:val="00035EBF"/>
    <w:rsid w:val="00036039"/>
    <w:rsid w:val="000362CB"/>
    <w:rsid w:val="000362DF"/>
    <w:rsid w:val="000367CA"/>
    <w:rsid w:val="0003749B"/>
    <w:rsid w:val="00037932"/>
    <w:rsid w:val="0003793B"/>
    <w:rsid w:val="00037F8A"/>
    <w:rsid w:val="00037F90"/>
    <w:rsid w:val="00040443"/>
    <w:rsid w:val="0004058B"/>
    <w:rsid w:val="00041350"/>
    <w:rsid w:val="000416AD"/>
    <w:rsid w:val="00041A1F"/>
    <w:rsid w:val="00041A70"/>
    <w:rsid w:val="00042B51"/>
    <w:rsid w:val="00042E96"/>
    <w:rsid w:val="0004360D"/>
    <w:rsid w:val="00043857"/>
    <w:rsid w:val="00043D3F"/>
    <w:rsid w:val="00043DCF"/>
    <w:rsid w:val="00043EBF"/>
    <w:rsid w:val="00044074"/>
    <w:rsid w:val="000450E4"/>
    <w:rsid w:val="00045A35"/>
    <w:rsid w:val="00045CD7"/>
    <w:rsid w:val="0004687B"/>
    <w:rsid w:val="00046A62"/>
    <w:rsid w:val="00046B06"/>
    <w:rsid w:val="000478E8"/>
    <w:rsid w:val="00047D9D"/>
    <w:rsid w:val="00050A30"/>
    <w:rsid w:val="00051094"/>
    <w:rsid w:val="0005213E"/>
    <w:rsid w:val="00052A96"/>
    <w:rsid w:val="0005369F"/>
    <w:rsid w:val="00053911"/>
    <w:rsid w:val="00053BDF"/>
    <w:rsid w:val="000543E8"/>
    <w:rsid w:val="000543ED"/>
    <w:rsid w:val="0005507C"/>
    <w:rsid w:val="00055264"/>
    <w:rsid w:val="000553AA"/>
    <w:rsid w:val="00055783"/>
    <w:rsid w:val="000559BE"/>
    <w:rsid w:val="00055B6A"/>
    <w:rsid w:val="00055FD2"/>
    <w:rsid w:val="0005604E"/>
    <w:rsid w:val="00056775"/>
    <w:rsid w:val="00057143"/>
    <w:rsid w:val="00057290"/>
    <w:rsid w:val="000573AF"/>
    <w:rsid w:val="00060336"/>
    <w:rsid w:val="00061055"/>
    <w:rsid w:val="000612C2"/>
    <w:rsid w:val="000616D3"/>
    <w:rsid w:val="00061C41"/>
    <w:rsid w:val="00062347"/>
    <w:rsid w:val="00062981"/>
    <w:rsid w:val="00063002"/>
    <w:rsid w:val="0006436C"/>
    <w:rsid w:val="00064D25"/>
    <w:rsid w:val="00065269"/>
    <w:rsid w:val="000654BE"/>
    <w:rsid w:val="00065E39"/>
    <w:rsid w:val="0006645A"/>
    <w:rsid w:val="000675CC"/>
    <w:rsid w:val="00067602"/>
    <w:rsid w:val="00067CA7"/>
    <w:rsid w:val="0007011E"/>
    <w:rsid w:val="000706D7"/>
    <w:rsid w:val="00070A01"/>
    <w:rsid w:val="00070E6D"/>
    <w:rsid w:val="000719B0"/>
    <w:rsid w:val="00071FF0"/>
    <w:rsid w:val="00072246"/>
    <w:rsid w:val="00072913"/>
    <w:rsid w:val="00073B56"/>
    <w:rsid w:val="00073E12"/>
    <w:rsid w:val="00074D98"/>
    <w:rsid w:val="000750B6"/>
    <w:rsid w:val="000751DE"/>
    <w:rsid w:val="0007532D"/>
    <w:rsid w:val="000754DA"/>
    <w:rsid w:val="00075AAC"/>
    <w:rsid w:val="00075D87"/>
    <w:rsid w:val="00075EBA"/>
    <w:rsid w:val="00076708"/>
    <w:rsid w:val="000767C8"/>
    <w:rsid w:val="00076C68"/>
    <w:rsid w:val="00077659"/>
    <w:rsid w:val="00077746"/>
    <w:rsid w:val="00077A37"/>
    <w:rsid w:val="0008076C"/>
    <w:rsid w:val="0008084E"/>
    <w:rsid w:val="000809FA"/>
    <w:rsid w:val="00080EE1"/>
    <w:rsid w:val="00081EE3"/>
    <w:rsid w:val="000821D2"/>
    <w:rsid w:val="000826DC"/>
    <w:rsid w:val="00082FF2"/>
    <w:rsid w:val="000836C0"/>
    <w:rsid w:val="00083B99"/>
    <w:rsid w:val="00083E7C"/>
    <w:rsid w:val="00083F49"/>
    <w:rsid w:val="0008451F"/>
    <w:rsid w:val="00084E0E"/>
    <w:rsid w:val="00084F86"/>
    <w:rsid w:val="00084FD4"/>
    <w:rsid w:val="00085413"/>
    <w:rsid w:val="0008694A"/>
    <w:rsid w:val="00086BEA"/>
    <w:rsid w:val="000875BF"/>
    <w:rsid w:val="0009038C"/>
    <w:rsid w:val="00090794"/>
    <w:rsid w:val="00090A31"/>
    <w:rsid w:val="00090ADB"/>
    <w:rsid w:val="00090C7B"/>
    <w:rsid w:val="00091172"/>
    <w:rsid w:val="000912D0"/>
    <w:rsid w:val="00091572"/>
    <w:rsid w:val="000923A4"/>
    <w:rsid w:val="0009262D"/>
    <w:rsid w:val="00093544"/>
    <w:rsid w:val="00093E12"/>
    <w:rsid w:val="000940B1"/>
    <w:rsid w:val="000941C8"/>
    <w:rsid w:val="000947C8"/>
    <w:rsid w:val="000957EA"/>
    <w:rsid w:val="0009582F"/>
    <w:rsid w:val="00095B79"/>
    <w:rsid w:val="000961EA"/>
    <w:rsid w:val="0009657E"/>
    <w:rsid w:val="000969E2"/>
    <w:rsid w:val="00096D8C"/>
    <w:rsid w:val="0009748A"/>
    <w:rsid w:val="00097B33"/>
    <w:rsid w:val="000A0E1E"/>
    <w:rsid w:val="000A18AC"/>
    <w:rsid w:val="000A19C6"/>
    <w:rsid w:val="000A24BB"/>
    <w:rsid w:val="000A390D"/>
    <w:rsid w:val="000A39BE"/>
    <w:rsid w:val="000A3F82"/>
    <w:rsid w:val="000A4546"/>
    <w:rsid w:val="000A4641"/>
    <w:rsid w:val="000A4790"/>
    <w:rsid w:val="000A6A6D"/>
    <w:rsid w:val="000A6C01"/>
    <w:rsid w:val="000A6E06"/>
    <w:rsid w:val="000A6EDD"/>
    <w:rsid w:val="000A6FD7"/>
    <w:rsid w:val="000A7964"/>
    <w:rsid w:val="000A799B"/>
    <w:rsid w:val="000A7CBD"/>
    <w:rsid w:val="000A7FC7"/>
    <w:rsid w:val="000B0098"/>
    <w:rsid w:val="000B030C"/>
    <w:rsid w:val="000B0588"/>
    <w:rsid w:val="000B0AB3"/>
    <w:rsid w:val="000B0E79"/>
    <w:rsid w:val="000B10F2"/>
    <w:rsid w:val="000B15F6"/>
    <w:rsid w:val="000B1D9F"/>
    <w:rsid w:val="000B1DB7"/>
    <w:rsid w:val="000B2640"/>
    <w:rsid w:val="000B269C"/>
    <w:rsid w:val="000B2D43"/>
    <w:rsid w:val="000B32C3"/>
    <w:rsid w:val="000B3868"/>
    <w:rsid w:val="000B3A9F"/>
    <w:rsid w:val="000B3FFE"/>
    <w:rsid w:val="000B4D86"/>
    <w:rsid w:val="000B4DFD"/>
    <w:rsid w:val="000B6109"/>
    <w:rsid w:val="000B69B2"/>
    <w:rsid w:val="000B6A50"/>
    <w:rsid w:val="000B6F8B"/>
    <w:rsid w:val="000B7882"/>
    <w:rsid w:val="000B7E66"/>
    <w:rsid w:val="000C075E"/>
    <w:rsid w:val="000C0B65"/>
    <w:rsid w:val="000C0B6F"/>
    <w:rsid w:val="000C145F"/>
    <w:rsid w:val="000C1929"/>
    <w:rsid w:val="000C1A0E"/>
    <w:rsid w:val="000C1F91"/>
    <w:rsid w:val="000C2690"/>
    <w:rsid w:val="000C2A1D"/>
    <w:rsid w:val="000C2ABF"/>
    <w:rsid w:val="000C2AF7"/>
    <w:rsid w:val="000C3E62"/>
    <w:rsid w:val="000C44B7"/>
    <w:rsid w:val="000C493D"/>
    <w:rsid w:val="000C4B7D"/>
    <w:rsid w:val="000C4D97"/>
    <w:rsid w:val="000C50B9"/>
    <w:rsid w:val="000C5A52"/>
    <w:rsid w:val="000C5B69"/>
    <w:rsid w:val="000C654C"/>
    <w:rsid w:val="000C6647"/>
    <w:rsid w:val="000C685A"/>
    <w:rsid w:val="000C69A1"/>
    <w:rsid w:val="000C7146"/>
    <w:rsid w:val="000C7466"/>
    <w:rsid w:val="000C7C82"/>
    <w:rsid w:val="000C7CE6"/>
    <w:rsid w:val="000D0032"/>
    <w:rsid w:val="000D05D3"/>
    <w:rsid w:val="000D0682"/>
    <w:rsid w:val="000D0D96"/>
    <w:rsid w:val="000D179E"/>
    <w:rsid w:val="000D1A59"/>
    <w:rsid w:val="000D32F7"/>
    <w:rsid w:val="000D3B40"/>
    <w:rsid w:val="000D5AC4"/>
    <w:rsid w:val="000D5D34"/>
    <w:rsid w:val="000D6AD9"/>
    <w:rsid w:val="000D7102"/>
    <w:rsid w:val="000D7712"/>
    <w:rsid w:val="000D7A26"/>
    <w:rsid w:val="000D7D7E"/>
    <w:rsid w:val="000E041A"/>
    <w:rsid w:val="000E05FE"/>
    <w:rsid w:val="000E0917"/>
    <w:rsid w:val="000E0CF1"/>
    <w:rsid w:val="000E285F"/>
    <w:rsid w:val="000E28AA"/>
    <w:rsid w:val="000E2E0A"/>
    <w:rsid w:val="000E39A4"/>
    <w:rsid w:val="000E3D42"/>
    <w:rsid w:val="000E3E97"/>
    <w:rsid w:val="000E484B"/>
    <w:rsid w:val="000E4A23"/>
    <w:rsid w:val="000E4C26"/>
    <w:rsid w:val="000E4D67"/>
    <w:rsid w:val="000E5173"/>
    <w:rsid w:val="000E51F3"/>
    <w:rsid w:val="000E526B"/>
    <w:rsid w:val="000E57F8"/>
    <w:rsid w:val="000E6525"/>
    <w:rsid w:val="000E6667"/>
    <w:rsid w:val="000E6B5E"/>
    <w:rsid w:val="000E6CC2"/>
    <w:rsid w:val="000E7157"/>
    <w:rsid w:val="000E7865"/>
    <w:rsid w:val="000F07C1"/>
    <w:rsid w:val="000F0BD3"/>
    <w:rsid w:val="000F0BED"/>
    <w:rsid w:val="000F1143"/>
    <w:rsid w:val="000F11B2"/>
    <w:rsid w:val="000F1296"/>
    <w:rsid w:val="000F1E12"/>
    <w:rsid w:val="000F286B"/>
    <w:rsid w:val="000F2DCB"/>
    <w:rsid w:val="000F390B"/>
    <w:rsid w:val="000F3DD6"/>
    <w:rsid w:val="000F49A6"/>
    <w:rsid w:val="000F4BD4"/>
    <w:rsid w:val="000F4E39"/>
    <w:rsid w:val="000F5F86"/>
    <w:rsid w:val="000F7114"/>
    <w:rsid w:val="000F9149"/>
    <w:rsid w:val="00100374"/>
    <w:rsid w:val="00100C23"/>
    <w:rsid w:val="00100C50"/>
    <w:rsid w:val="00101AC6"/>
    <w:rsid w:val="00101FB6"/>
    <w:rsid w:val="001023D8"/>
    <w:rsid w:val="0010278D"/>
    <w:rsid w:val="00102916"/>
    <w:rsid w:val="0010345E"/>
    <w:rsid w:val="001037FF"/>
    <w:rsid w:val="00103951"/>
    <w:rsid w:val="001045FE"/>
    <w:rsid w:val="001047B4"/>
    <w:rsid w:val="00104ACC"/>
    <w:rsid w:val="00104D8A"/>
    <w:rsid w:val="00105C4F"/>
    <w:rsid w:val="00106036"/>
    <w:rsid w:val="00106318"/>
    <w:rsid w:val="00106B8B"/>
    <w:rsid w:val="00107043"/>
    <w:rsid w:val="0010751F"/>
    <w:rsid w:val="001075A5"/>
    <w:rsid w:val="00107A57"/>
    <w:rsid w:val="00110307"/>
    <w:rsid w:val="001103D0"/>
    <w:rsid w:val="001103E4"/>
    <w:rsid w:val="00110754"/>
    <w:rsid w:val="00110BC9"/>
    <w:rsid w:val="00110D1C"/>
    <w:rsid w:val="00110EE6"/>
    <w:rsid w:val="001112B1"/>
    <w:rsid w:val="00111722"/>
    <w:rsid w:val="00111A1E"/>
    <w:rsid w:val="001121C1"/>
    <w:rsid w:val="0011227D"/>
    <w:rsid w:val="00112DBD"/>
    <w:rsid w:val="001130BE"/>
    <w:rsid w:val="0011380C"/>
    <w:rsid w:val="00113A06"/>
    <w:rsid w:val="00113CEA"/>
    <w:rsid w:val="00114884"/>
    <w:rsid w:val="0011527D"/>
    <w:rsid w:val="001156DC"/>
    <w:rsid w:val="00115D4C"/>
    <w:rsid w:val="00115DEC"/>
    <w:rsid w:val="001171B4"/>
    <w:rsid w:val="00117324"/>
    <w:rsid w:val="001175F8"/>
    <w:rsid w:val="00117C22"/>
    <w:rsid w:val="001202A9"/>
    <w:rsid w:val="0012034C"/>
    <w:rsid w:val="0012045D"/>
    <w:rsid w:val="00120574"/>
    <w:rsid w:val="00121A65"/>
    <w:rsid w:val="00121E6D"/>
    <w:rsid w:val="001227C6"/>
    <w:rsid w:val="00122BD5"/>
    <w:rsid w:val="001237F8"/>
    <w:rsid w:val="00124105"/>
    <w:rsid w:val="0012465F"/>
    <w:rsid w:val="00124A51"/>
    <w:rsid w:val="001255A8"/>
    <w:rsid w:val="00125653"/>
    <w:rsid w:val="00125DD6"/>
    <w:rsid w:val="00126010"/>
    <w:rsid w:val="00126B02"/>
    <w:rsid w:val="00126BB0"/>
    <w:rsid w:val="00127704"/>
    <w:rsid w:val="00127B11"/>
    <w:rsid w:val="00127DE9"/>
    <w:rsid w:val="00130372"/>
    <w:rsid w:val="0013039A"/>
    <w:rsid w:val="00130534"/>
    <w:rsid w:val="00130537"/>
    <w:rsid w:val="0013191A"/>
    <w:rsid w:val="00132595"/>
    <w:rsid w:val="00132654"/>
    <w:rsid w:val="0013267F"/>
    <w:rsid w:val="00132CDF"/>
    <w:rsid w:val="001332E7"/>
    <w:rsid w:val="001332ED"/>
    <w:rsid w:val="001338A5"/>
    <w:rsid w:val="00133CC0"/>
    <w:rsid w:val="00133F79"/>
    <w:rsid w:val="00134157"/>
    <w:rsid w:val="00135F09"/>
    <w:rsid w:val="00135FBE"/>
    <w:rsid w:val="001362BE"/>
    <w:rsid w:val="001365E9"/>
    <w:rsid w:val="00136D4A"/>
    <w:rsid w:val="001372E4"/>
    <w:rsid w:val="001372F7"/>
    <w:rsid w:val="00137D26"/>
    <w:rsid w:val="00137E09"/>
    <w:rsid w:val="001404D3"/>
    <w:rsid w:val="001406B5"/>
    <w:rsid w:val="00140FB3"/>
    <w:rsid w:val="0014100E"/>
    <w:rsid w:val="001411C9"/>
    <w:rsid w:val="0014189E"/>
    <w:rsid w:val="001419EA"/>
    <w:rsid w:val="00141DB5"/>
    <w:rsid w:val="00141EAB"/>
    <w:rsid w:val="00142130"/>
    <w:rsid w:val="00142365"/>
    <w:rsid w:val="00142806"/>
    <w:rsid w:val="00142810"/>
    <w:rsid w:val="001428CF"/>
    <w:rsid w:val="001428F2"/>
    <w:rsid w:val="00142E39"/>
    <w:rsid w:val="00142ECC"/>
    <w:rsid w:val="0014328B"/>
    <w:rsid w:val="0014343D"/>
    <w:rsid w:val="001437C9"/>
    <w:rsid w:val="00144595"/>
    <w:rsid w:val="00144AF1"/>
    <w:rsid w:val="00144DEF"/>
    <w:rsid w:val="00145390"/>
    <w:rsid w:val="00145E54"/>
    <w:rsid w:val="001463D1"/>
    <w:rsid w:val="00150483"/>
    <w:rsid w:val="00150C63"/>
    <w:rsid w:val="001512D3"/>
    <w:rsid w:val="00151378"/>
    <w:rsid w:val="001519E4"/>
    <w:rsid w:val="00151E86"/>
    <w:rsid w:val="00151F8B"/>
    <w:rsid w:val="00152078"/>
    <w:rsid w:val="0015242C"/>
    <w:rsid w:val="00152A0E"/>
    <w:rsid w:val="00152BC6"/>
    <w:rsid w:val="0015308E"/>
    <w:rsid w:val="0015354F"/>
    <w:rsid w:val="001543FA"/>
    <w:rsid w:val="00154E5E"/>
    <w:rsid w:val="00154E63"/>
    <w:rsid w:val="00154F8E"/>
    <w:rsid w:val="00155371"/>
    <w:rsid w:val="001555BB"/>
    <w:rsid w:val="0015601B"/>
    <w:rsid w:val="00156109"/>
    <w:rsid w:val="00156508"/>
    <w:rsid w:val="00156695"/>
    <w:rsid w:val="0015749E"/>
    <w:rsid w:val="00157926"/>
    <w:rsid w:val="00157961"/>
    <w:rsid w:val="00157A5F"/>
    <w:rsid w:val="00160D82"/>
    <w:rsid w:val="00160D9C"/>
    <w:rsid w:val="00160ED6"/>
    <w:rsid w:val="001612EC"/>
    <w:rsid w:val="00161592"/>
    <w:rsid w:val="001617B1"/>
    <w:rsid w:val="00161FF5"/>
    <w:rsid w:val="001628A1"/>
    <w:rsid w:val="00163723"/>
    <w:rsid w:val="00163CE3"/>
    <w:rsid w:val="00164887"/>
    <w:rsid w:val="00164AE2"/>
    <w:rsid w:val="00164B4A"/>
    <w:rsid w:val="00164BEF"/>
    <w:rsid w:val="00164EE8"/>
    <w:rsid w:val="0016502F"/>
    <w:rsid w:val="0016527E"/>
    <w:rsid w:val="00166E1B"/>
    <w:rsid w:val="00166E7D"/>
    <w:rsid w:val="00167469"/>
    <w:rsid w:val="00167934"/>
    <w:rsid w:val="00167A2D"/>
    <w:rsid w:val="00167B00"/>
    <w:rsid w:val="001702D0"/>
    <w:rsid w:val="001702FE"/>
    <w:rsid w:val="00170B5F"/>
    <w:rsid w:val="00171983"/>
    <w:rsid w:val="00171DAE"/>
    <w:rsid w:val="00171EFB"/>
    <w:rsid w:val="00171FF7"/>
    <w:rsid w:val="00172742"/>
    <w:rsid w:val="0017282A"/>
    <w:rsid w:val="00172D10"/>
    <w:rsid w:val="00172F38"/>
    <w:rsid w:val="00173622"/>
    <w:rsid w:val="00173894"/>
    <w:rsid w:val="00173C70"/>
    <w:rsid w:val="0017403A"/>
    <w:rsid w:val="00174606"/>
    <w:rsid w:val="00174F67"/>
    <w:rsid w:val="00175C1B"/>
    <w:rsid w:val="0017677A"/>
    <w:rsid w:val="00176E6F"/>
    <w:rsid w:val="001773E1"/>
    <w:rsid w:val="00177778"/>
    <w:rsid w:val="001778A6"/>
    <w:rsid w:val="001778F3"/>
    <w:rsid w:val="00177B02"/>
    <w:rsid w:val="001806DA"/>
    <w:rsid w:val="00180831"/>
    <w:rsid w:val="0018120C"/>
    <w:rsid w:val="00181507"/>
    <w:rsid w:val="00181A77"/>
    <w:rsid w:val="00182264"/>
    <w:rsid w:val="001823DE"/>
    <w:rsid w:val="00182D3A"/>
    <w:rsid w:val="001833E7"/>
    <w:rsid w:val="00183D48"/>
    <w:rsid w:val="001842CF"/>
    <w:rsid w:val="001843CF"/>
    <w:rsid w:val="001848A5"/>
    <w:rsid w:val="001848ED"/>
    <w:rsid w:val="00184DB7"/>
    <w:rsid w:val="00185918"/>
    <w:rsid w:val="00185FA5"/>
    <w:rsid w:val="001862B9"/>
    <w:rsid w:val="0018651A"/>
    <w:rsid w:val="0018651C"/>
    <w:rsid w:val="00186866"/>
    <w:rsid w:val="0018732D"/>
    <w:rsid w:val="00187496"/>
    <w:rsid w:val="001875D6"/>
    <w:rsid w:val="00187C46"/>
    <w:rsid w:val="00187FAF"/>
    <w:rsid w:val="00190462"/>
    <w:rsid w:val="00190623"/>
    <w:rsid w:val="001907B2"/>
    <w:rsid w:val="001907F3"/>
    <w:rsid w:val="001915DD"/>
    <w:rsid w:val="00191F2C"/>
    <w:rsid w:val="0019231D"/>
    <w:rsid w:val="00192440"/>
    <w:rsid w:val="00192CD7"/>
    <w:rsid w:val="00193289"/>
    <w:rsid w:val="001936C6"/>
    <w:rsid w:val="00193714"/>
    <w:rsid w:val="00193A12"/>
    <w:rsid w:val="001945C7"/>
    <w:rsid w:val="001945DC"/>
    <w:rsid w:val="00194A66"/>
    <w:rsid w:val="00195111"/>
    <w:rsid w:val="00195B06"/>
    <w:rsid w:val="00195D9E"/>
    <w:rsid w:val="00195E7C"/>
    <w:rsid w:val="0019608E"/>
    <w:rsid w:val="00197ABC"/>
    <w:rsid w:val="00197ED9"/>
    <w:rsid w:val="001A0221"/>
    <w:rsid w:val="001A059B"/>
    <w:rsid w:val="001A0919"/>
    <w:rsid w:val="001A149A"/>
    <w:rsid w:val="001A1693"/>
    <w:rsid w:val="001A16FD"/>
    <w:rsid w:val="001A1905"/>
    <w:rsid w:val="001A19A5"/>
    <w:rsid w:val="001A22DA"/>
    <w:rsid w:val="001A2DD8"/>
    <w:rsid w:val="001A3315"/>
    <w:rsid w:val="001A458C"/>
    <w:rsid w:val="001A46EB"/>
    <w:rsid w:val="001A53D5"/>
    <w:rsid w:val="001A678B"/>
    <w:rsid w:val="001A697E"/>
    <w:rsid w:val="001A710E"/>
    <w:rsid w:val="001A7731"/>
    <w:rsid w:val="001B0393"/>
    <w:rsid w:val="001B07FF"/>
    <w:rsid w:val="001B09BE"/>
    <w:rsid w:val="001B09CA"/>
    <w:rsid w:val="001B1963"/>
    <w:rsid w:val="001B22B6"/>
    <w:rsid w:val="001B274E"/>
    <w:rsid w:val="001B2902"/>
    <w:rsid w:val="001B2EBA"/>
    <w:rsid w:val="001B307B"/>
    <w:rsid w:val="001B3690"/>
    <w:rsid w:val="001B40FA"/>
    <w:rsid w:val="001B4797"/>
    <w:rsid w:val="001B47A9"/>
    <w:rsid w:val="001B48F3"/>
    <w:rsid w:val="001B4FFE"/>
    <w:rsid w:val="001B533F"/>
    <w:rsid w:val="001B5A4A"/>
    <w:rsid w:val="001B5BF3"/>
    <w:rsid w:val="001B5C77"/>
    <w:rsid w:val="001B602D"/>
    <w:rsid w:val="001B6BE5"/>
    <w:rsid w:val="001B72C6"/>
    <w:rsid w:val="001B748B"/>
    <w:rsid w:val="001B7DB2"/>
    <w:rsid w:val="001B7EDA"/>
    <w:rsid w:val="001C0002"/>
    <w:rsid w:val="001C14C6"/>
    <w:rsid w:val="001C17F6"/>
    <w:rsid w:val="001C1934"/>
    <w:rsid w:val="001C290E"/>
    <w:rsid w:val="001C2CBE"/>
    <w:rsid w:val="001C3B8E"/>
    <w:rsid w:val="001C42F6"/>
    <w:rsid w:val="001C471E"/>
    <w:rsid w:val="001C4888"/>
    <w:rsid w:val="001C4CF5"/>
    <w:rsid w:val="001C59FF"/>
    <w:rsid w:val="001C5D09"/>
    <w:rsid w:val="001C5EDC"/>
    <w:rsid w:val="001C6158"/>
    <w:rsid w:val="001C62B0"/>
    <w:rsid w:val="001C66F9"/>
    <w:rsid w:val="001C6706"/>
    <w:rsid w:val="001C688F"/>
    <w:rsid w:val="001C7C0D"/>
    <w:rsid w:val="001C7EC7"/>
    <w:rsid w:val="001D03D5"/>
    <w:rsid w:val="001D041B"/>
    <w:rsid w:val="001D04F4"/>
    <w:rsid w:val="001D0765"/>
    <w:rsid w:val="001D0915"/>
    <w:rsid w:val="001D0C09"/>
    <w:rsid w:val="001D13C7"/>
    <w:rsid w:val="001D1434"/>
    <w:rsid w:val="001D15CD"/>
    <w:rsid w:val="001D19C9"/>
    <w:rsid w:val="001D1F41"/>
    <w:rsid w:val="001D27AA"/>
    <w:rsid w:val="001D2DB4"/>
    <w:rsid w:val="001D3423"/>
    <w:rsid w:val="001D37DC"/>
    <w:rsid w:val="001D4ADC"/>
    <w:rsid w:val="001D5294"/>
    <w:rsid w:val="001D55D1"/>
    <w:rsid w:val="001D5A28"/>
    <w:rsid w:val="001D5CBC"/>
    <w:rsid w:val="001D66CF"/>
    <w:rsid w:val="001D6BCF"/>
    <w:rsid w:val="001D6C62"/>
    <w:rsid w:val="001D6CFC"/>
    <w:rsid w:val="001D72D5"/>
    <w:rsid w:val="001D76A0"/>
    <w:rsid w:val="001D78D1"/>
    <w:rsid w:val="001D7D03"/>
    <w:rsid w:val="001D7E1A"/>
    <w:rsid w:val="001E01CA"/>
    <w:rsid w:val="001E100A"/>
    <w:rsid w:val="001E119E"/>
    <w:rsid w:val="001E1343"/>
    <w:rsid w:val="001E1D6F"/>
    <w:rsid w:val="001E1E67"/>
    <w:rsid w:val="001E21F2"/>
    <w:rsid w:val="001E2494"/>
    <w:rsid w:val="001E2590"/>
    <w:rsid w:val="001E26F3"/>
    <w:rsid w:val="001E35D8"/>
    <w:rsid w:val="001E3D33"/>
    <w:rsid w:val="001E429E"/>
    <w:rsid w:val="001E43E4"/>
    <w:rsid w:val="001E4E7B"/>
    <w:rsid w:val="001E65A3"/>
    <w:rsid w:val="001E65D3"/>
    <w:rsid w:val="001E69D5"/>
    <w:rsid w:val="001E6A22"/>
    <w:rsid w:val="001E6F36"/>
    <w:rsid w:val="001E7537"/>
    <w:rsid w:val="001E7611"/>
    <w:rsid w:val="001E78F0"/>
    <w:rsid w:val="001F09E9"/>
    <w:rsid w:val="001F0D72"/>
    <w:rsid w:val="001F0D99"/>
    <w:rsid w:val="001F0DBC"/>
    <w:rsid w:val="001F154D"/>
    <w:rsid w:val="001F16B7"/>
    <w:rsid w:val="001F1976"/>
    <w:rsid w:val="001F1F7D"/>
    <w:rsid w:val="001F2B22"/>
    <w:rsid w:val="001F2D96"/>
    <w:rsid w:val="001F37F4"/>
    <w:rsid w:val="001F3B74"/>
    <w:rsid w:val="001F3CB1"/>
    <w:rsid w:val="001F3D37"/>
    <w:rsid w:val="001F44A7"/>
    <w:rsid w:val="001F470E"/>
    <w:rsid w:val="001F483A"/>
    <w:rsid w:val="001F4B16"/>
    <w:rsid w:val="001F535F"/>
    <w:rsid w:val="001F6D24"/>
    <w:rsid w:val="001F6D6C"/>
    <w:rsid w:val="001F72C1"/>
    <w:rsid w:val="001F78AE"/>
    <w:rsid w:val="001F7A15"/>
    <w:rsid w:val="001F7B2D"/>
    <w:rsid w:val="001F7D19"/>
    <w:rsid w:val="002012A6"/>
    <w:rsid w:val="00201716"/>
    <w:rsid w:val="0020185A"/>
    <w:rsid w:val="00202D5B"/>
    <w:rsid w:val="00203B52"/>
    <w:rsid w:val="00203D94"/>
    <w:rsid w:val="002047E6"/>
    <w:rsid w:val="0020594E"/>
    <w:rsid w:val="00206358"/>
    <w:rsid w:val="00206739"/>
    <w:rsid w:val="00206D91"/>
    <w:rsid w:val="00210CCF"/>
    <w:rsid w:val="00211053"/>
    <w:rsid w:val="00211684"/>
    <w:rsid w:val="00211B25"/>
    <w:rsid w:val="00211FD3"/>
    <w:rsid w:val="00212400"/>
    <w:rsid w:val="002124A0"/>
    <w:rsid w:val="002127DE"/>
    <w:rsid w:val="00213231"/>
    <w:rsid w:val="0021372A"/>
    <w:rsid w:val="00213F0A"/>
    <w:rsid w:val="00214CAD"/>
    <w:rsid w:val="00214F66"/>
    <w:rsid w:val="0021598D"/>
    <w:rsid w:val="00215D31"/>
    <w:rsid w:val="00216215"/>
    <w:rsid w:val="002165BC"/>
    <w:rsid w:val="002165EB"/>
    <w:rsid w:val="00216757"/>
    <w:rsid w:val="002168BA"/>
    <w:rsid w:val="00216B68"/>
    <w:rsid w:val="00217481"/>
    <w:rsid w:val="00217DE1"/>
    <w:rsid w:val="00220BE8"/>
    <w:rsid w:val="00220E59"/>
    <w:rsid w:val="0022102C"/>
    <w:rsid w:val="0022110D"/>
    <w:rsid w:val="002212E3"/>
    <w:rsid w:val="002214C3"/>
    <w:rsid w:val="00221A6A"/>
    <w:rsid w:val="00221E32"/>
    <w:rsid w:val="00222200"/>
    <w:rsid w:val="0022254C"/>
    <w:rsid w:val="00222E36"/>
    <w:rsid w:val="0022391B"/>
    <w:rsid w:val="002246BD"/>
    <w:rsid w:val="002249B9"/>
    <w:rsid w:val="00224D11"/>
    <w:rsid w:val="00225243"/>
    <w:rsid w:val="0022635B"/>
    <w:rsid w:val="00226608"/>
    <w:rsid w:val="002266E5"/>
    <w:rsid w:val="0022673B"/>
    <w:rsid w:val="00226C95"/>
    <w:rsid w:val="00226CA7"/>
    <w:rsid w:val="00227008"/>
    <w:rsid w:val="002271D3"/>
    <w:rsid w:val="00227C9D"/>
    <w:rsid w:val="00230698"/>
    <w:rsid w:val="00230976"/>
    <w:rsid w:val="00230EC1"/>
    <w:rsid w:val="0023189D"/>
    <w:rsid w:val="00231BAF"/>
    <w:rsid w:val="00231D64"/>
    <w:rsid w:val="00231F16"/>
    <w:rsid w:val="00231F52"/>
    <w:rsid w:val="002322FB"/>
    <w:rsid w:val="002326B5"/>
    <w:rsid w:val="0023274B"/>
    <w:rsid w:val="00232ADF"/>
    <w:rsid w:val="00232BD4"/>
    <w:rsid w:val="00232FD9"/>
    <w:rsid w:val="0023310A"/>
    <w:rsid w:val="00233754"/>
    <w:rsid w:val="002339EE"/>
    <w:rsid w:val="00233E6A"/>
    <w:rsid w:val="00233F43"/>
    <w:rsid w:val="00234443"/>
    <w:rsid w:val="0023475C"/>
    <w:rsid w:val="002354B1"/>
    <w:rsid w:val="00235ADB"/>
    <w:rsid w:val="00235BE7"/>
    <w:rsid w:val="00235EDA"/>
    <w:rsid w:val="0023645B"/>
    <w:rsid w:val="0023780D"/>
    <w:rsid w:val="00240390"/>
    <w:rsid w:val="002406F3"/>
    <w:rsid w:val="002410C8"/>
    <w:rsid w:val="00241507"/>
    <w:rsid w:val="00241559"/>
    <w:rsid w:val="00241A33"/>
    <w:rsid w:val="002425C1"/>
    <w:rsid w:val="0024290E"/>
    <w:rsid w:val="00242EC5"/>
    <w:rsid w:val="0024382E"/>
    <w:rsid w:val="00243E9B"/>
    <w:rsid w:val="00243F24"/>
    <w:rsid w:val="0024418B"/>
    <w:rsid w:val="0024434C"/>
    <w:rsid w:val="002446FE"/>
    <w:rsid w:val="00244FFB"/>
    <w:rsid w:val="00245677"/>
    <w:rsid w:val="00245C79"/>
    <w:rsid w:val="00246509"/>
    <w:rsid w:val="00246E1F"/>
    <w:rsid w:val="00246ECE"/>
    <w:rsid w:val="00250336"/>
    <w:rsid w:val="00250E93"/>
    <w:rsid w:val="00251618"/>
    <w:rsid w:val="00252FCA"/>
    <w:rsid w:val="002537FF"/>
    <w:rsid w:val="002539DB"/>
    <w:rsid w:val="00253BFF"/>
    <w:rsid w:val="00253C0D"/>
    <w:rsid w:val="00253E7E"/>
    <w:rsid w:val="002541B6"/>
    <w:rsid w:val="00254496"/>
    <w:rsid w:val="0025499E"/>
    <w:rsid w:val="00254DB8"/>
    <w:rsid w:val="0025527F"/>
    <w:rsid w:val="00255B61"/>
    <w:rsid w:val="00255BF1"/>
    <w:rsid w:val="00256220"/>
    <w:rsid w:val="0025691C"/>
    <w:rsid w:val="00256E54"/>
    <w:rsid w:val="0025708E"/>
    <w:rsid w:val="0025743B"/>
    <w:rsid w:val="002578A4"/>
    <w:rsid w:val="002579E5"/>
    <w:rsid w:val="00257A4F"/>
    <w:rsid w:val="0026028C"/>
    <w:rsid w:val="002608B4"/>
    <w:rsid w:val="00261235"/>
    <w:rsid w:val="00261A78"/>
    <w:rsid w:val="00261F53"/>
    <w:rsid w:val="00261F97"/>
    <w:rsid w:val="002634FC"/>
    <w:rsid w:val="00263B96"/>
    <w:rsid w:val="00263D50"/>
    <w:rsid w:val="0026439E"/>
    <w:rsid w:val="00264A7F"/>
    <w:rsid w:val="00264D16"/>
    <w:rsid w:val="00265342"/>
    <w:rsid w:val="00265455"/>
    <w:rsid w:val="00265C9D"/>
    <w:rsid w:val="00265CE3"/>
    <w:rsid w:val="00265F87"/>
    <w:rsid w:val="00266484"/>
    <w:rsid w:val="0026691D"/>
    <w:rsid w:val="00266A52"/>
    <w:rsid w:val="00266B35"/>
    <w:rsid w:val="00266DB2"/>
    <w:rsid w:val="00267146"/>
    <w:rsid w:val="0026774C"/>
    <w:rsid w:val="00267B88"/>
    <w:rsid w:val="00267B9A"/>
    <w:rsid w:val="00267C6E"/>
    <w:rsid w:val="00270BA5"/>
    <w:rsid w:val="00270E38"/>
    <w:rsid w:val="00270E80"/>
    <w:rsid w:val="0027105C"/>
    <w:rsid w:val="00271261"/>
    <w:rsid w:val="00271525"/>
    <w:rsid w:val="00271D5C"/>
    <w:rsid w:val="0027218D"/>
    <w:rsid w:val="00272F4F"/>
    <w:rsid w:val="00273406"/>
    <w:rsid w:val="00273765"/>
    <w:rsid w:val="00274695"/>
    <w:rsid w:val="00274895"/>
    <w:rsid w:val="002749AA"/>
    <w:rsid w:val="00275774"/>
    <w:rsid w:val="00275CF5"/>
    <w:rsid w:val="00275D31"/>
    <w:rsid w:val="002768B2"/>
    <w:rsid w:val="00276D32"/>
    <w:rsid w:val="0027735A"/>
    <w:rsid w:val="00277813"/>
    <w:rsid w:val="00277A07"/>
    <w:rsid w:val="00277BEF"/>
    <w:rsid w:val="002802EA"/>
    <w:rsid w:val="00280F8F"/>
    <w:rsid w:val="002815BA"/>
    <w:rsid w:val="00282121"/>
    <w:rsid w:val="002826EF"/>
    <w:rsid w:val="00282F6B"/>
    <w:rsid w:val="0028301F"/>
    <w:rsid w:val="0028422F"/>
    <w:rsid w:val="00284414"/>
    <w:rsid w:val="00284B2B"/>
    <w:rsid w:val="00284CE7"/>
    <w:rsid w:val="00285017"/>
    <w:rsid w:val="00285AD6"/>
    <w:rsid w:val="00285FD0"/>
    <w:rsid w:val="0028603A"/>
    <w:rsid w:val="00286A57"/>
    <w:rsid w:val="00286B0A"/>
    <w:rsid w:val="002877BB"/>
    <w:rsid w:val="002877F0"/>
    <w:rsid w:val="00287CEA"/>
    <w:rsid w:val="0029108E"/>
    <w:rsid w:val="002913BD"/>
    <w:rsid w:val="00291596"/>
    <w:rsid w:val="00291DA6"/>
    <w:rsid w:val="00292FE0"/>
    <w:rsid w:val="00293B46"/>
    <w:rsid w:val="00293F12"/>
    <w:rsid w:val="002940BC"/>
    <w:rsid w:val="00294FFB"/>
    <w:rsid w:val="00295611"/>
    <w:rsid w:val="0029598D"/>
    <w:rsid w:val="00295B39"/>
    <w:rsid w:val="00295E5E"/>
    <w:rsid w:val="002963E4"/>
    <w:rsid w:val="00296BC8"/>
    <w:rsid w:val="002977AA"/>
    <w:rsid w:val="002A0360"/>
    <w:rsid w:val="002A042D"/>
    <w:rsid w:val="002A051C"/>
    <w:rsid w:val="002A0DBE"/>
    <w:rsid w:val="002A12D7"/>
    <w:rsid w:val="002A1359"/>
    <w:rsid w:val="002A1507"/>
    <w:rsid w:val="002A19D4"/>
    <w:rsid w:val="002A2853"/>
    <w:rsid w:val="002A2BFE"/>
    <w:rsid w:val="002A2D2E"/>
    <w:rsid w:val="002A3160"/>
    <w:rsid w:val="002A3245"/>
    <w:rsid w:val="002A3750"/>
    <w:rsid w:val="002A3872"/>
    <w:rsid w:val="002A4368"/>
    <w:rsid w:val="002A4F8F"/>
    <w:rsid w:val="002A5696"/>
    <w:rsid w:val="002A5ED3"/>
    <w:rsid w:val="002A60E2"/>
    <w:rsid w:val="002A626A"/>
    <w:rsid w:val="002A6389"/>
    <w:rsid w:val="002A6B7F"/>
    <w:rsid w:val="002A6DC7"/>
    <w:rsid w:val="002A78ED"/>
    <w:rsid w:val="002A7B0B"/>
    <w:rsid w:val="002B08E9"/>
    <w:rsid w:val="002B0D5A"/>
    <w:rsid w:val="002B1C1B"/>
    <w:rsid w:val="002B21CF"/>
    <w:rsid w:val="002B24CF"/>
    <w:rsid w:val="002B2BA1"/>
    <w:rsid w:val="002B35A4"/>
    <w:rsid w:val="002B38AE"/>
    <w:rsid w:val="002B65BA"/>
    <w:rsid w:val="002B69E8"/>
    <w:rsid w:val="002B707F"/>
    <w:rsid w:val="002B7D34"/>
    <w:rsid w:val="002B7EA6"/>
    <w:rsid w:val="002C00E4"/>
    <w:rsid w:val="002C00E8"/>
    <w:rsid w:val="002C0C62"/>
    <w:rsid w:val="002C13A1"/>
    <w:rsid w:val="002C1530"/>
    <w:rsid w:val="002C1A21"/>
    <w:rsid w:val="002C1B09"/>
    <w:rsid w:val="002C1B35"/>
    <w:rsid w:val="002C1FD2"/>
    <w:rsid w:val="002C287A"/>
    <w:rsid w:val="002C29E0"/>
    <w:rsid w:val="002C3046"/>
    <w:rsid w:val="002C3BFC"/>
    <w:rsid w:val="002C40B2"/>
    <w:rsid w:val="002C430B"/>
    <w:rsid w:val="002C4475"/>
    <w:rsid w:val="002C488B"/>
    <w:rsid w:val="002C4AB0"/>
    <w:rsid w:val="002C4F8A"/>
    <w:rsid w:val="002C51CC"/>
    <w:rsid w:val="002C51EC"/>
    <w:rsid w:val="002C5D1E"/>
    <w:rsid w:val="002C5D3E"/>
    <w:rsid w:val="002C6545"/>
    <w:rsid w:val="002C6872"/>
    <w:rsid w:val="002C6B7D"/>
    <w:rsid w:val="002C7C06"/>
    <w:rsid w:val="002D04D1"/>
    <w:rsid w:val="002D0636"/>
    <w:rsid w:val="002D0D36"/>
    <w:rsid w:val="002D168B"/>
    <w:rsid w:val="002D1F73"/>
    <w:rsid w:val="002D25AD"/>
    <w:rsid w:val="002D28E6"/>
    <w:rsid w:val="002D3003"/>
    <w:rsid w:val="002D3270"/>
    <w:rsid w:val="002D3438"/>
    <w:rsid w:val="002D3DAB"/>
    <w:rsid w:val="002D3DF8"/>
    <w:rsid w:val="002D41BC"/>
    <w:rsid w:val="002D45B9"/>
    <w:rsid w:val="002D69A2"/>
    <w:rsid w:val="002D6DB9"/>
    <w:rsid w:val="002D716D"/>
    <w:rsid w:val="002E0947"/>
    <w:rsid w:val="002E0F7E"/>
    <w:rsid w:val="002E12ED"/>
    <w:rsid w:val="002E187C"/>
    <w:rsid w:val="002E1CFC"/>
    <w:rsid w:val="002E2C95"/>
    <w:rsid w:val="002E2CCE"/>
    <w:rsid w:val="002E2D02"/>
    <w:rsid w:val="002E2DD4"/>
    <w:rsid w:val="002E2E3A"/>
    <w:rsid w:val="002E2E9C"/>
    <w:rsid w:val="002E30A4"/>
    <w:rsid w:val="002E3C74"/>
    <w:rsid w:val="002E4608"/>
    <w:rsid w:val="002E5739"/>
    <w:rsid w:val="002E5C62"/>
    <w:rsid w:val="002E6016"/>
    <w:rsid w:val="002E66AC"/>
    <w:rsid w:val="002E725A"/>
    <w:rsid w:val="002E73D5"/>
    <w:rsid w:val="002E7767"/>
    <w:rsid w:val="002F0095"/>
    <w:rsid w:val="002F0139"/>
    <w:rsid w:val="002F0276"/>
    <w:rsid w:val="002F0581"/>
    <w:rsid w:val="002F0645"/>
    <w:rsid w:val="002F06C8"/>
    <w:rsid w:val="002F07BC"/>
    <w:rsid w:val="002F12D1"/>
    <w:rsid w:val="002F3406"/>
    <w:rsid w:val="002F3FD1"/>
    <w:rsid w:val="002F418C"/>
    <w:rsid w:val="002F42F9"/>
    <w:rsid w:val="002F4D66"/>
    <w:rsid w:val="002F50C9"/>
    <w:rsid w:val="002F51DD"/>
    <w:rsid w:val="002F5317"/>
    <w:rsid w:val="002F55E7"/>
    <w:rsid w:val="002F5865"/>
    <w:rsid w:val="002F5A0B"/>
    <w:rsid w:val="002F5A68"/>
    <w:rsid w:val="002F6089"/>
    <w:rsid w:val="002F6118"/>
    <w:rsid w:val="002F6B0B"/>
    <w:rsid w:val="002F6D10"/>
    <w:rsid w:val="002F7793"/>
    <w:rsid w:val="003000BC"/>
    <w:rsid w:val="003008C2"/>
    <w:rsid w:val="00300F9F"/>
    <w:rsid w:val="00301066"/>
    <w:rsid w:val="003012FC"/>
    <w:rsid w:val="003018DE"/>
    <w:rsid w:val="00301D73"/>
    <w:rsid w:val="00302235"/>
    <w:rsid w:val="0030257E"/>
    <w:rsid w:val="003026D7"/>
    <w:rsid w:val="00302CFD"/>
    <w:rsid w:val="00303150"/>
    <w:rsid w:val="00303BE9"/>
    <w:rsid w:val="00303C60"/>
    <w:rsid w:val="00303F11"/>
    <w:rsid w:val="003043C4"/>
    <w:rsid w:val="00304B04"/>
    <w:rsid w:val="00304BC2"/>
    <w:rsid w:val="00304CB8"/>
    <w:rsid w:val="00304E31"/>
    <w:rsid w:val="00305002"/>
    <w:rsid w:val="00305045"/>
    <w:rsid w:val="00305529"/>
    <w:rsid w:val="00305F3D"/>
    <w:rsid w:val="0030609E"/>
    <w:rsid w:val="003062AC"/>
    <w:rsid w:val="00307153"/>
    <w:rsid w:val="0030722A"/>
    <w:rsid w:val="00307335"/>
    <w:rsid w:val="003073C0"/>
    <w:rsid w:val="00307796"/>
    <w:rsid w:val="00307855"/>
    <w:rsid w:val="003078E8"/>
    <w:rsid w:val="00307C0B"/>
    <w:rsid w:val="003103F9"/>
    <w:rsid w:val="00310D40"/>
    <w:rsid w:val="00310E3E"/>
    <w:rsid w:val="00311803"/>
    <w:rsid w:val="00311897"/>
    <w:rsid w:val="00311CFC"/>
    <w:rsid w:val="00312262"/>
    <w:rsid w:val="0031265D"/>
    <w:rsid w:val="0031271A"/>
    <w:rsid w:val="003129AD"/>
    <w:rsid w:val="00312A7C"/>
    <w:rsid w:val="00313497"/>
    <w:rsid w:val="00313640"/>
    <w:rsid w:val="003138A0"/>
    <w:rsid w:val="003143CB"/>
    <w:rsid w:val="003147ED"/>
    <w:rsid w:val="00314A36"/>
    <w:rsid w:val="00314BE4"/>
    <w:rsid w:val="003151F4"/>
    <w:rsid w:val="003152A7"/>
    <w:rsid w:val="00315352"/>
    <w:rsid w:val="003164F9"/>
    <w:rsid w:val="00316BC3"/>
    <w:rsid w:val="00316E13"/>
    <w:rsid w:val="00317ACF"/>
    <w:rsid w:val="00320FF5"/>
    <w:rsid w:val="00321932"/>
    <w:rsid w:val="00321C30"/>
    <w:rsid w:val="00321DE5"/>
    <w:rsid w:val="0032226B"/>
    <w:rsid w:val="00322481"/>
    <w:rsid w:val="00322A28"/>
    <w:rsid w:val="00323333"/>
    <w:rsid w:val="0032340D"/>
    <w:rsid w:val="00323585"/>
    <w:rsid w:val="00323E16"/>
    <w:rsid w:val="003245B6"/>
    <w:rsid w:val="00324793"/>
    <w:rsid w:val="0032521B"/>
    <w:rsid w:val="003253B3"/>
    <w:rsid w:val="00326DD9"/>
    <w:rsid w:val="003272B7"/>
    <w:rsid w:val="00327611"/>
    <w:rsid w:val="00327A7E"/>
    <w:rsid w:val="00330484"/>
    <w:rsid w:val="00330DD6"/>
    <w:rsid w:val="003310F2"/>
    <w:rsid w:val="00331478"/>
    <w:rsid w:val="00331B7C"/>
    <w:rsid w:val="0033200C"/>
    <w:rsid w:val="00332482"/>
    <w:rsid w:val="00332A41"/>
    <w:rsid w:val="00332EDE"/>
    <w:rsid w:val="00332F71"/>
    <w:rsid w:val="00333526"/>
    <w:rsid w:val="00333566"/>
    <w:rsid w:val="00334A7E"/>
    <w:rsid w:val="0033568B"/>
    <w:rsid w:val="00335FA4"/>
    <w:rsid w:val="00336150"/>
    <w:rsid w:val="003365E5"/>
    <w:rsid w:val="003366CC"/>
    <w:rsid w:val="00336B27"/>
    <w:rsid w:val="003372C0"/>
    <w:rsid w:val="00337B17"/>
    <w:rsid w:val="00337B64"/>
    <w:rsid w:val="00337D0A"/>
    <w:rsid w:val="00337E2E"/>
    <w:rsid w:val="003400A0"/>
    <w:rsid w:val="003404E8"/>
    <w:rsid w:val="003409E3"/>
    <w:rsid w:val="0034159F"/>
    <w:rsid w:val="00341DE2"/>
    <w:rsid w:val="00342DCD"/>
    <w:rsid w:val="003431A5"/>
    <w:rsid w:val="0034340E"/>
    <w:rsid w:val="003434E0"/>
    <w:rsid w:val="00343749"/>
    <w:rsid w:val="00343AA8"/>
    <w:rsid w:val="00343CCC"/>
    <w:rsid w:val="0034476D"/>
    <w:rsid w:val="00344A60"/>
    <w:rsid w:val="00345A54"/>
    <w:rsid w:val="00345E92"/>
    <w:rsid w:val="003468D4"/>
    <w:rsid w:val="00346E21"/>
    <w:rsid w:val="003475B9"/>
    <w:rsid w:val="003476F6"/>
    <w:rsid w:val="00347895"/>
    <w:rsid w:val="00350706"/>
    <w:rsid w:val="00350915"/>
    <w:rsid w:val="00350936"/>
    <w:rsid w:val="003511E6"/>
    <w:rsid w:val="00351361"/>
    <w:rsid w:val="00351BDC"/>
    <w:rsid w:val="00352BF4"/>
    <w:rsid w:val="00352E48"/>
    <w:rsid w:val="003531E2"/>
    <w:rsid w:val="00353295"/>
    <w:rsid w:val="003541B7"/>
    <w:rsid w:val="00354484"/>
    <w:rsid w:val="00355266"/>
    <w:rsid w:val="0035554C"/>
    <w:rsid w:val="003558D6"/>
    <w:rsid w:val="00355A5B"/>
    <w:rsid w:val="00355D64"/>
    <w:rsid w:val="003566C7"/>
    <w:rsid w:val="00356C52"/>
    <w:rsid w:val="00356E47"/>
    <w:rsid w:val="003571CB"/>
    <w:rsid w:val="003573F4"/>
    <w:rsid w:val="0036019B"/>
    <w:rsid w:val="00360AC2"/>
    <w:rsid w:val="003611C1"/>
    <w:rsid w:val="003613BC"/>
    <w:rsid w:val="003617C0"/>
    <w:rsid w:val="00361D14"/>
    <w:rsid w:val="0036244E"/>
    <w:rsid w:val="003627D4"/>
    <w:rsid w:val="00363457"/>
    <w:rsid w:val="00363C31"/>
    <w:rsid w:val="0036417C"/>
    <w:rsid w:val="00364777"/>
    <w:rsid w:val="003648CF"/>
    <w:rsid w:val="00364996"/>
    <w:rsid w:val="00364A8B"/>
    <w:rsid w:val="00364FF6"/>
    <w:rsid w:val="00365963"/>
    <w:rsid w:val="00365B52"/>
    <w:rsid w:val="003660ED"/>
    <w:rsid w:val="00366681"/>
    <w:rsid w:val="003669EA"/>
    <w:rsid w:val="00366FE8"/>
    <w:rsid w:val="00367439"/>
    <w:rsid w:val="0036743B"/>
    <w:rsid w:val="00367688"/>
    <w:rsid w:val="00367AC8"/>
    <w:rsid w:val="00370315"/>
    <w:rsid w:val="00370364"/>
    <w:rsid w:val="00370783"/>
    <w:rsid w:val="00370B77"/>
    <w:rsid w:val="00371B76"/>
    <w:rsid w:val="00371D06"/>
    <w:rsid w:val="00371E18"/>
    <w:rsid w:val="003723F2"/>
    <w:rsid w:val="003730A0"/>
    <w:rsid w:val="00373154"/>
    <w:rsid w:val="00373856"/>
    <w:rsid w:val="00373DFF"/>
    <w:rsid w:val="00374139"/>
    <w:rsid w:val="00374174"/>
    <w:rsid w:val="003745AB"/>
    <w:rsid w:val="00374783"/>
    <w:rsid w:val="0037540C"/>
    <w:rsid w:val="00375A8A"/>
    <w:rsid w:val="00375C19"/>
    <w:rsid w:val="00375D5D"/>
    <w:rsid w:val="00376573"/>
    <w:rsid w:val="003768B2"/>
    <w:rsid w:val="003772FB"/>
    <w:rsid w:val="00377B23"/>
    <w:rsid w:val="00380049"/>
    <w:rsid w:val="00380564"/>
    <w:rsid w:val="003805C6"/>
    <w:rsid w:val="00380C04"/>
    <w:rsid w:val="003814FC"/>
    <w:rsid w:val="0038151F"/>
    <w:rsid w:val="00383055"/>
    <w:rsid w:val="003832A7"/>
    <w:rsid w:val="0038340E"/>
    <w:rsid w:val="00383570"/>
    <w:rsid w:val="003836AC"/>
    <w:rsid w:val="0038377F"/>
    <w:rsid w:val="00383C45"/>
    <w:rsid w:val="003848FF"/>
    <w:rsid w:val="003851EE"/>
    <w:rsid w:val="00385768"/>
    <w:rsid w:val="00385931"/>
    <w:rsid w:val="00385B1D"/>
    <w:rsid w:val="003869B1"/>
    <w:rsid w:val="00386B0D"/>
    <w:rsid w:val="00387045"/>
    <w:rsid w:val="0038778C"/>
    <w:rsid w:val="00387A1D"/>
    <w:rsid w:val="003908A2"/>
    <w:rsid w:val="00390E35"/>
    <w:rsid w:val="00391011"/>
    <w:rsid w:val="0039113D"/>
    <w:rsid w:val="00391164"/>
    <w:rsid w:val="00392937"/>
    <w:rsid w:val="003929ED"/>
    <w:rsid w:val="00392AD5"/>
    <w:rsid w:val="00392F51"/>
    <w:rsid w:val="0039354A"/>
    <w:rsid w:val="003938D4"/>
    <w:rsid w:val="00393B1D"/>
    <w:rsid w:val="00394252"/>
    <w:rsid w:val="0039454E"/>
    <w:rsid w:val="00394876"/>
    <w:rsid w:val="003949F3"/>
    <w:rsid w:val="00394D7E"/>
    <w:rsid w:val="00394F81"/>
    <w:rsid w:val="00394F85"/>
    <w:rsid w:val="00395305"/>
    <w:rsid w:val="00396169"/>
    <w:rsid w:val="00396FFC"/>
    <w:rsid w:val="003972D7"/>
    <w:rsid w:val="00397324"/>
    <w:rsid w:val="003A0A9B"/>
    <w:rsid w:val="003A0E67"/>
    <w:rsid w:val="003A1279"/>
    <w:rsid w:val="003A16D3"/>
    <w:rsid w:val="003A1B9C"/>
    <w:rsid w:val="003A1E1D"/>
    <w:rsid w:val="003A257A"/>
    <w:rsid w:val="003A2625"/>
    <w:rsid w:val="003A28E6"/>
    <w:rsid w:val="003A29A1"/>
    <w:rsid w:val="003A2F43"/>
    <w:rsid w:val="003A2FA6"/>
    <w:rsid w:val="003A33DC"/>
    <w:rsid w:val="003A39E3"/>
    <w:rsid w:val="003A4582"/>
    <w:rsid w:val="003A4588"/>
    <w:rsid w:val="003A488F"/>
    <w:rsid w:val="003A550A"/>
    <w:rsid w:val="003A65F6"/>
    <w:rsid w:val="003A686A"/>
    <w:rsid w:val="003A69A2"/>
    <w:rsid w:val="003A6A7C"/>
    <w:rsid w:val="003A6AF8"/>
    <w:rsid w:val="003A6BCB"/>
    <w:rsid w:val="003A6E41"/>
    <w:rsid w:val="003A6F56"/>
    <w:rsid w:val="003A6FA1"/>
    <w:rsid w:val="003A733D"/>
    <w:rsid w:val="003A7AA2"/>
    <w:rsid w:val="003A7B87"/>
    <w:rsid w:val="003B0550"/>
    <w:rsid w:val="003B0C08"/>
    <w:rsid w:val="003B0EF9"/>
    <w:rsid w:val="003B0FAB"/>
    <w:rsid w:val="003B1745"/>
    <w:rsid w:val="003B1AE5"/>
    <w:rsid w:val="003B1B29"/>
    <w:rsid w:val="003B1E3A"/>
    <w:rsid w:val="003B238A"/>
    <w:rsid w:val="003B2E45"/>
    <w:rsid w:val="003B2FAC"/>
    <w:rsid w:val="003B31A6"/>
    <w:rsid w:val="003B3793"/>
    <w:rsid w:val="003B4349"/>
    <w:rsid w:val="003B5AE7"/>
    <w:rsid w:val="003B694F"/>
    <w:rsid w:val="003B7135"/>
    <w:rsid w:val="003B75B2"/>
    <w:rsid w:val="003C0AAB"/>
    <w:rsid w:val="003C1B42"/>
    <w:rsid w:val="003C204A"/>
    <w:rsid w:val="003C2B55"/>
    <w:rsid w:val="003C30C8"/>
    <w:rsid w:val="003C31DC"/>
    <w:rsid w:val="003C3828"/>
    <w:rsid w:val="003C39E9"/>
    <w:rsid w:val="003C4004"/>
    <w:rsid w:val="003C4D83"/>
    <w:rsid w:val="003C5BAF"/>
    <w:rsid w:val="003C648A"/>
    <w:rsid w:val="003C655F"/>
    <w:rsid w:val="003C6952"/>
    <w:rsid w:val="003C6E6B"/>
    <w:rsid w:val="003C72E7"/>
    <w:rsid w:val="003C73D2"/>
    <w:rsid w:val="003C77CE"/>
    <w:rsid w:val="003C7984"/>
    <w:rsid w:val="003D007F"/>
    <w:rsid w:val="003D0826"/>
    <w:rsid w:val="003D0878"/>
    <w:rsid w:val="003D0936"/>
    <w:rsid w:val="003D275E"/>
    <w:rsid w:val="003D2DC5"/>
    <w:rsid w:val="003D340C"/>
    <w:rsid w:val="003D3BC1"/>
    <w:rsid w:val="003D5005"/>
    <w:rsid w:val="003D59FB"/>
    <w:rsid w:val="003D672C"/>
    <w:rsid w:val="003D733A"/>
    <w:rsid w:val="003D7448"/>
    <w:rsid w:val="003D74E7"/>
    <w:rsid w:val="003D7598"/>
    <w:rsid w:val="003D7E4C"/>
    <w:rsid w:val="003E048E"/>
    <w:rsid w:val="003E06DA"/>
    <w:rsid w:val="003E0D7B"/>
    <w:rsid w:val="003E1154"/>
    <w:rsid w:val="003E144C"/>
    <w:rsid w:val="003E1840"/>
    <w:rsid w:val="003E1F69"/>
    <w:rsid w:val="003E207A"/>
    <w:rsid w:val="003E2F2C"/>
    <w:rsid w:val="003E369C"/>
    <w:rsid w:val="003E4563"/>
    <w:rsid w:val="003E4CA1"/>
    <w:rsid w:val="003E5223"/>
    <w:rsid w:val="003E5309"/>
    <w:rsid w:val="003E6212"/>
    <w:rsid w:val="003E6E51"/>
    <w:rsid w:val="003E746F"/>
    <w:rsid w:val="003E7A6E"/>
    <w:rsid w:val="003F00AE"/>
    <w:rsid w:val="003F043C"/>
    <w:rsid w:val="003F04B8"/>
    <w:rsid w:val="003F0874"/>
    <w:rsid w:val="003F08CA"/>
    <w:rsid w:val="003F0A04"/>
    <w:rsid w:val="003F11F6"/>
    <w:rsid w:val="003F171C"/>
    <w:rsid w:val="003F212B"/>
    <w:rsid w:val="003F2ECC"/>
    <w:rsid w:val="003F2EDB"/>
    <w:rsid w:val="003F39DD"/>
    <w:rsid w:val="003F3DBA"/>
    <w:rsid w:val="003F3DE1"/>
    <w:rsid w:val="003F4CFE"/>
    <w:rsid w:val="003F54E0"/>
    <w:rsid w:val="003F552A"/>
    <w:rsid w:val="003F5955"/>
    <w:rsid w:val="003F600C"/>
    <w:rsid w:val="003F66A0"/>
    <w:rsid w:val="003F6AD5"/>
    <w:rsid w:val="003F6BAD"/>
    <w:rsid w:val="003F77A4"/>
    <w:rsid w:val="003F7EEF"/>
    <w:rsid w:val="0040019C"/>
    <w:rsid w:val="004001CD"/>
    <w:rsid w:val="004009B7"/>
    <w:rsid w:val="004012B3"/>
    <w:rsid w:val="0040188B"/>
    <w:rsid w:val="00401A2C"/>
    <w:rsid w:val="00401AAE"/>
    <w:rsid w:val="00401D0B"/>
    <w:rsid w:val="00401E34"/>
    <w:rsid w:val="00402A4D"/>
    <w:rsid w:val="00402B35"/>
    <w:rsid w:val="00402F02"/>
    <w:rsid w:val="0040356B"/>
    <w:rsid w:val="0040418E"/>
    <w:rsid w:val="00404277"/>
    <w:rsid w:val="00404AC9"/>
    <w:rsid w:val="0040587E"/>
    <w:rsid w:val="0040633A"/>
    <w:rsid w:val="004063D5"/>
    <w:rsid w:val="00406C13"/>
    <w:rsid w:val="00406CF0"/>
    <w:rsid w:val="00406E1B"/>
    <w:rsid w:val="004071D8"/>
    <w:rsid w:val="00407A78"/>
    <w:rsid w:val="00407B9D"/>
    <w:rsid w:val="004104D0"/>
    <w:rsid w:val="00410775"/>
    <w:rsid w:val="00411743"/>
    <w:rsid w:val="0041193D"/>
    <w:rsid w:val="00411E15"/>
    <w:rsid w:val="00412279"/>
    <w:rsid w:val="0041247D"/>
    <w:rsid w:val="00412BD9"/>
    <w:rsid w:val="00412D2D"/>
    <w:rsid w:val="00412D39"/>
    <w:rsid w:val="00412E96"/>
    <w:rsid w:val="00412F90"/>
    <w:rsid w:val="00412FC5"/>
    <w:rsid w:val="0041323B"/>
    <w:rsid w:val="00413D5A"/>
    <w:rsid w:val="00414B30"/>
    <w:rsid w:val="004150DD"/>
    <w:rsid w:val="00415EFF"/>
    <w:rsid w:val="00416E02"/>
    <w:rsid w:val="0041730E"/>
    <w:rsid w:val="00417442"/>
    <w:rsid w:val="004174BE"/>
    <w:rsid w:val="00417C9D"/>
    <w:rsid w:val="00417DF9"/>
    <w:rsid w:val="004201CD"/>
    <w:rsid w:val="004209B3"/>
    <w:rsid w:val="00420FA8"/>
    <w:rsid w:val="00421097"/>
    <w:rsid w:val="0042158D"/>
    <w:rsid w:val="0042169C"/>
    <w:rsid w:val="00421C94"/>
    <w:rsid w:val="00422276"/>
    <w:rsid w:val="004226A0"/>
    <w:rsid w:val="00422867"/>
    <w:rsid w:val="004231E6"/>
    <w:rsid w:val="00423F78"/>
    <w:rsid w:val="0042426A"/>
    <w:rsid w:val="004242F1"/>
    <w:rsid w:val="00424428"/>
    <w:rsid w:val="004244BC"/>
    <w:rsid w:val="004244CA"/>
    <w:rsid w:val="004248E8"/>
    <w:rsid w:val="00424C91"/>
    <w:rsid w:val="004250AC"/>
    <w:rsid w:val="004254E8"/>
    <w:rsid w:val="004257A6"/>
    <w:rsid w:val="004258F7"/>
    <w:rsid w:val="00425B87"/>
    <w:rsid w:val="00425D09"/>
    <w:rsid w:val="00425EC4"/>
    <w:rsid w:val="00426A6A"/>
    <w:rsid w:val="00426F51"/>
    <w:rsid w:val="00427104"/>
    <w:rsid w:val="00427194"/>
    <w:rsid w:val="004272FC"/>
    <w:rsid w:val="0042788E"/>
    <w:rsid w:val="00427F80"/>
    <w:rsid w:val="004306E5"/>
    <w:rsid w:val="00430911"/>
    <w:rsid w:val="00431139"/>
    <w:rsid w:val="00431584"/>
    <w:rsid w:val="004315C4"/>
    <w:rsid w:val="0043220D"/>
    <w:rsid w:val="004326B9"/>
    <w:rsid w:val="00432999"/>
    <w:rsid w:val="00432A18"/>
    <w:rsid w:val="00432CE8"/>
    <w:rsid w:val="00432EFF"/>
    <w:rsid w:val="004331B7"/>
    <w:rsid w:val="0043324E"/>
    <w:rsid w:val="004338EA"/>
    <w:rsid w:val="00433B69"/>
    <w:rsid w:val="00433BE9"/>
    <w:rsid w:val="00433FEB"/>
    <w:rsid w:val="00434B14"/>
    <w:rsid w:val="00435B25"/>
    <w:rsid w:val="0043769F"/>
    <w:rsid w:val="00437880"/>
    <w:rsid w:val="00437DE6"/>
    <w:rsid w:val="0044019B"/>
    <w:rsid w:val="00440307"/>
    <w:rsid w:val="004407A5"/>
    <w:rsid w:val="00441140"/>
    <w:rsid w:val="0044115C"/>
    <w:rsid w:val="00441802"/>
    <w:rsid w:val="004423E8"/>
    <w:rsid w:val="00442764"/>
    <w:rsid w:val="004431CC"/>
    <w:rsid w:val="0044339D"/>
    <w:rsid w:val="00443435"/>
    <w:rsid w:val="00444362"/>
    <w:rsid w:val="0044449F"/>
    <w:rsid w:val="004448A5"/>
    <w:rsid w:val="0044493C"/>
    <w:rsid w:val="00444CBF"/>
    <w:rsid w:val="004450C1"/>
    <w:rsid w:val="00445120"/>
    <w:rsid w:val="0044529C"/>
    <w:rsid w:val="00445A00"/>
    <w:rsid w:val="0044694F"/>
    <w:rsid w:val="00446AA7"/>
    <w:rsid w:val="00446D55"/>
    <w:rsid w:val="00446DB8"/>
    <w:rsid w:val="00450349"/>
    <w:rsid w:val="004506E2"/>
    <w:rsid w:val="00450752"/>
    <w:rsid w:val="004508AF"/>
    <w:rsid w:val="004518FE"/>
    <w:rsid w:val="00451B0F"/>
    <w:rsid w:val="00452E81"/>
    <w:rsid w:val="004531AF"/>
    <w:rsid w:val="004537F5"/>
    <w:rsid w:val="00453B0E"/>
    <w:rsid w:val="00453E7A"/>
    <w:rsid w:val="0045415E"/>
    <w:rsid w:val="004542F0"/>
    <w:rsid w:val="0045452E"/>
    <w:rsid w:val="00454BD3"/>
    <w:rsid w:val="0045571E"/>
    <w:rsid w:val="004559C5"/>
    <w:rsid w:val="00455D56"/>
    <w:rsid w:val="00455F4C"/>
    <w:rsid w:val="00455FC4"/>
    <w:rsid w:val="00456965"/>
    <w:rsid w:val="00456D27"/>
    <w:rsid w:val="00457265"/>
    <w:rsid w:val="00457EB4"/>
    <w:rsid w:val="004601FB"/>
    <w:rsid w:val="00461007"/>
    <w:rsid w:val="0046159E"/>
    <w:rsid w:val="004617F3"/>
    <w:rsid w:val="00461817"/>
    <w:rsid w:val="004619BD"/>
    <w:rsid w:val="004620F5"/>
    <w:rsid w:val="0046248A"/>
    <w:rsid w:val="004625CD"/>
    <w:rsid w:val="00463242"/>
    <w:rsid w:val="00463B45"/>
    <w:rsid w:val="004645D6"/>
    <w:rsid w:val="0046530E"/>
    <w:rsid w:val="004658F4"/>
    <w:rsid w:val="00467982"/>
    <w:rsid w:val="00467C14"/>
    <w:rsid w:val="00467FAD"/>
    <w:rsid w:val="00467FBF"/>
    <w:rsid w:val="004702AE"/>
    <w:rsid w:val="0047062E"/>
    <w:rsid w:val="00470823"/>
    <w:rsid w:val="00470991"/>
    <w:rsid w:val="00470CDE"/>
    <w:rsid w:val="00471079"/>
    <w:rsid w:val="004711C8"/>
    <w:rsid w:val="0047195A"/>
    <w:rsid w:val="00471A16"/>
    <w:rsid w:val="00471B30"/>
    <w:rsid w:val="00471F8C"/>
    <w:rsid w:val="00472560"/>
    <w:rsid w:val="004726A8"/>
    <w:rsid w:val="004729A7"/>
    <w:rsid w:val="00472A93"/>
    <w:rsid w:val="00472ED6"/>
    <w:rsid w:val="00472F20"/>
    <w:rsid w:val="0047352D"/>
    <w:rsid w:val="00473568"/>
    <w:rsid w:val="00473DB3"/>
    <w:rsid w:val="00474098"/>
    <w:rsid w:val="00474388"/>
    <w:rsid w:val="0047497E"/>
    <w:rsid w:val="00475459"/>
    <w:rsid w:val="00475A1A"/>
    <w:rsid w:val="00475A4C"/>
    <w:rsid w:val="00476117"/>
    <w:rsid w:val="00476522"/>
    <w:rsid w:val="00477053"/>
    <w:rsid w:val="0047711C"/>
    <w:rsid w:val="00477203"/>
    <w:rsid w:val="00477C8A"/>
    <w:rsid w:val="00477FA7"/>
    <w:rsid w:val="0048043A"/>
    <w:rsid w:val="004805EC"/>
    <w:rsid w:val="00481484"/>
    <w:rsid w:val="0048185E"/>
    <w:rsid w:val="0048188B"/>
    <w:rsid w:val="00481919"/>
    <w:rsid w:val="00481EE3"/>
    <w:rsid w:val="00481F6A"/>
    <w:rsid w:val="004822B3"/>
    <w:rsid w:val="00482AED"/>
    <w:rsid w:val="00483B58"/>
    <w:rsid w:val="00483C12"/>
    <w:rsid w:val="00483F78"/>
    <w:rsid w:val="004842C0"/>
    <w:rsid w:val="00484785"/>
    <w:rsid w:val="00484AF2"/>
    <w:rsid w:val="00484BEC"/>
    <w:rsid w:val="00484CCE"/>
    <w:rsid w:val="00484F69"/>
    <w:rsid w:val="004857BF"/>
    <w:rsid w:val="004858D9"/>
    <w:rsid w:val="00486B1C"/>
    <w:rsid w:val="00486E12"/>
    <w:rsid w:val="0048724D"/>
    <w:rsid w:val="00487287"/>
    <w:rsid w:val="0048728F"/>
    <w:rsid w:val="00487520"/>
    <w:rsid w:val="00487A7A"/>
    <w:rsid w:val="00487E41"/>
    <w:rsid w:val="004908FF"/>
    <w:rsid w:val="00490BD4"/>
    <w:rsid w:val="00490F08"/>
    <w:rsid w:val="00491726"/>
    <w:rsid w:val="00491B9B"/>
    <w:rsid w:val="00491D84"/>
    <w:rsid w:val="004923CD"/>
    <w:rsid w:val="00492E9D"/>
    <w:rsid w:val="0049343B"/>
    <w:rsid w:val="004952C0"/>
    <w:rsid w:val="00495D7C"/>
    <w:rsid w:val="0049616A"/>
    <w:rsid w:val="0049627A"/>
    <w:rsid w:val="004965E7"/>
    <w:rsid w:val="004976A9"/>
    <w:rsid w:val="00497BE0"/>
    <w:rsid w:val="00497E82"/>
    <w:rsid w:val="004A0140"/>
    <w:rsid w:val="004A06D3"/>
    <w:rsid w:val="004A07C6"/>
    <w:rsid w:val="004A10D2"/>
    <w:rsid w:val="004A1349"/>
    <w:rsid w:val="004A19BC"/>
    <w:rsid w:val="004A2283"/>
    <w:rsid w:val="004A2705"/>
    <w:rsid w:val="004A2835"/>
    <w:rsid w:val="004A2BBD"/>
    <w:rsid w:val="004A31EB"/>
    <w:rsid w:val="004A3552"/>
    <w:rsid w:val="004A3669"/>
    <w:rsid w:val="004A4617"/>
    <w:rsid w:val="004A4BC1"/>
    <w:rsid w:val="004A656E"/>
    <w:rsid w:val="004A662A"/>
    <w:rsid w:val="004A6985"/>
    <w:rsid w:val="004A6C87"/>
    <w:rsid w:val="004A74CA"/>
    <w:rsid w:val="004A750B"/>
    <w:rsid w:val="004A7577"/>
    <w:rsid w:val="004A7892"/>
    <w:rsid w:val="004A78DC"/>
    <w:rsid w:val="004A7B8E"/>
    <w:rsid w:val="004A7C1F"/>
    <w:rsid w:val="004B03DA"/>
    <w:rsid w:val="004B1E37"/>
    <w:rsid w:val="004B23A3"/>
    <w:rsid w:val="004B2886"/>
    <w:rsid w:val="004B2D7C"/>
    <w:rsid w:val="004B34C8"/>
    <w:rsid w:val="004B3639"/>
    <w:rsid w:val="004B3A44"/>
    <w:rsid w:val="004B3F04"/>
    <w:rsid w:val="004B44BA"/>
    <w:rsid w:val="004B47FD"/>
    <w:rsid w:val="004B4BB8"/>
    <w:rsid w:val="004B4D97"/>
    <w:rsid w:val="004B5594"/>
    <w:rsid w:val="004B559E"/>
    <w:rsid w:val="004B6021"/>
    <w:rsid w:val="004B62D8"/>
    <w:rsid w:val="004B6C09"/>
    <w:rsid w:val="004B6EC0"/>
    <w:rsid w:val="004B7044"/>
    <w:rsid w:val="004B78C1"/>
    <w:rsid w:val="004C0303"/>
    <w:rsid w:val="004C05C4"/>
    <w:rsid w:val="004C090A"/>
    <w:rsid w:val="004C0929"/>
    <w:rsid w:val="004C0C65"/>
    <w:rsid w:val="004C0E26"/>
    <w:rsid w:val="004C1275"/>
    <w:rsid w:val="004C18DB"/>
    <w:rsid w:val="004C1D3F"/>
    <w:rsid w:val="004C235F"/>
    <w:rsid w:val="004C26C0"/>
    <w:rsid w:val="004C2A61"/>
    <w:rsid w:val="004C2D2F"/>
    <w:rsid w:val="004C2DF2"/>
    <w:rsid w:val="004C2EE3"/>
    <w:rsid w:val="004C32CC"/>
    <w:rsid w:val="004C359C"/>
    <w:rsid w:val="004C434C"/>
    <w:rsid w:val="004C5540"/>
    <w:rsid w:val="004C599D"/>
    <w:rsid w:val="004C5B23"/>
    <w:rsid w:val="004C6174"/>
    <w:rsid w:val="004C61AE"/>
    <w:rsid w:val="004C6405"/>
    <w:rsid w:val="004C66E0"/>
    <w:rsid w:val="004C6749"/>
    <w:rsid w:val="004C67C0"/>
    <w:rsid w:val="004C6FCC"/>
    <w:rsid w:val="004C72F2"/>
    <w:rsid w:val="004C7470"/>
    <w:rsid w:val="004C7A35"/>
    <w:rsid w:val="004C7D75"/>
    <w:rsid w:val="004D027F"/>
    <w:rsid w:val="004D035F"/>
    <w:rsid w:val="004D0C86"/>
    <w:rsid w:val="004D14D8"/>
    <w:rsid w:val="004D15C8"/>
    <w:rsid w:val="004D1717"/>
    <w:rsid w:val="004D1C6F"/>
    <w:rsid w:val="004D24F9"/>
    <w:rsid w:val="004D2539"/>
    <w:rsid w:val="004D2577"/>
    <w:rsid w:val="004D26B7"/>
    <w:rsid w:val="004D37AA"/>
    <w:rsid w:val="004D42A6"/>
    <w:rsid w:val="004D45FD"/>
    <w:rsid w:val="004D499E"/>
    <w:rsid w:val="004D4D92"/>
    <w:rsid w:val="004D566D"/>
    <w:rsid w:val="004D5702"/>
    <w:rsid w:val="004D5A1D"/>
    <w:rsid w:val="004D652C"/>
    <w:rsid w:val="004D6E54"/>
    <w:rsid w:val="004D78AB"/>
    <w:rsid w:val="004D7A43"/>
    <w:rsid w:val="004E042A"/>
    <w:rsid w:val="004E0916"/>
    <w:rsid w:val="004E0ACC"/>
    <w:rsid w:val="004E0C58"/>
    <w:rsid w:val="004E104A"/>
    <w:rsid w:val="004E1BD7"/>
    <w:rsid w:val="004E1CDE"/>
    <w:rsid w:val="004E3673"/>
    <w:rsid w:val="004E3C28"/>
    <w:rsid w:val="004E3E76"/>
    <w:rsid w:val="004E4622"/>
    <w:rsid w:val="004E4A22"/>
    <w:rsid w:val="004E4A3D"/>
    <w:rsid w:val="004E4FF2"/>
    <w:rsid w:val="004E54EE"/>
    <w:rsid w:val="004E6176"/>
    <w:rsid w:val="004E75E9"/>
    <w:rsid w:val="004E7851"/>
    <w:rsid w:val="004E7B92"/>
    <w:rsid w:val="004F03A0"/>
    <w:rsid w:val="004F0AD8"/>
    <w:rsid w:val="004F0DC7"/>
    <w:rsid w:val="004F16F4"/>
    <w:rsid w:val="004F1EBD"/>
    <w:rsid w:val="004F2796"/>
    <w:rsid w:val="004F27AF"/>
    <w:rsid w:val="004F2AAD"/>
    <w:rsid w:val="004F2CE0"/>
    <w:rsid w:val="004F419B"/>
    <w:rsid w:val="004F4BF4"/>
    <w:rsid w:val="004F524B"/>
    <w:rsid w:val="004F5276"/>
    <w:rsid w:val="004F57E4"/>
    <w:rsid w:val="004F59FF"/>
    <w:rsid w:val="004F5A09"/>
    <w:rsid w:val="004F6030"/>
    <w:rsid w:val="004F6339"/>
    <w:rsid w:val="004F6713"/>
    <w:rsid w:val="004F6F4A"/>
    <w:rsid w:val="004F7952"/>
    <w:rsid w:val="004F7E35"/>
    <w:rsid w:val="00500DBA"/>
    <w:rsid w:val="0050148A"/>
    <w:rsid w:val="005018AF"/>
    <w:rsid w:val="0050315F"/>
    <w:rsid w:val="00503671"/>
    <w:rsid w:val="005037F2"/>
    <w:rsid w:val="00504915"/>
    <w:rsid w:val="00504BFE"/>
    <w:rsid w:val="00505C08"/>
    <w:rsid w:val="00505ED0"/>
    <w:rsid w:val="00506149"/>
    <w:rsid w:val="0050659A"/>
    <w:rsid w:val="005067E6"/>
    <w:rsid w:val="005070B2"/>
    <w:rsid w:val="005074CA"/>
    <w:rsid w:val="005077B5"/>
    <w:rsid w:val="00507A0A"/>
    <w:rsid w:val="00510319"/>
    <w:rsid w:val="00510677"/>
    <w:rsid w:val="00510AB8"/>
    <w:rsid w:val="00511454"/>
    <w:rsid w:val="005115C1"/>
    <w:rsid w:val="00511968"/>
    <w:rsid w:val="00511BDA"/>
    <w:rsid w:val="00512E33"/>
    <w:rsid w:val="00512E39"/>
    <w:rsid w:val="005133B9"/>
    <w:rsid w:val="00513811"/>
    <w:rsid w:val="00513A1E"/>
    <w:rsid w:val="00513DB5"/>
    <w:rsid w:val="00514167"/>
    <w:rsid w:val="005144AB"/>
    <w:rsid w:val="00514FAD"/>
    <w:rsid w:val="005150B3"/>
    <w:rsid w:val="00515130"/>
    <w:rsid w:val="0051661A"/>
    <w:rsid w:val="00516CB6"/>
    <w:rsid w:val="005172E6"/>
    <w:rsid w:val="00517A56"/>
    <w:rsid w:val="005204B4"/>
    <w:rsid w:val="005204B5"/>
    <w:rsid w:val="00520A18"/>
    <w:rsid w:val="00520D1C"/>
    <w:rsid w:val="00521161"/>
    <w:rsid w:val="0052202A"/>
    <w:rsid w:val="005220D1"/>
    <w:rsid w:val="005227E0"/>
    <w:rsid w:val="00522960"/>
    <w:rsid w:val="00524486"/>
    <w:rsid w:val="005252D1"/>
    <w:rsid w:val="0052593E"/>
    <w:rsid w:val="00525D4B"/>
    <w:rsid w:val="00525D50"/>
    <w:rsid w:val="00525E35"/>
    <w:rsid w:val="00525FC3"/>
    <w:rsid w:val="0052738F"/>
    <w:rsid w:val="005301A8"/>
    <w:rsid w:val="00530623"/>
    <w:rsid w:val="00530756"/>
    <w:rsid w:val="00530833"/>
    <w:rsid w:val="00530E15"/>
    <w:rsid w:val="005316D1"/>
    <w:rsid w:val="00531D2C"/>
    <w:rsid w:val="00531EA6"/>
    <w:rsid w:val="00532198"/>
    <w:rsid w:val="00533718"/>
    <w:rsid w:val="00533E04"/>
    <w:rsid w:val="0053464C"/>
    <w:rsid w:val="00534710"/>
    <w:rsid w:val="00534F59"/>
    <w:rsid w:val="0053529E"/>
    <w:rsid w:val="00535A7F"/>
    <w:rsid w:val="00536895"/>
    <w:rsid w:val="00536976"/>
    <w:rsid w:val="00536BA6"/>
    <w:rsid w:val="00536BC2"/>
    <w:rsid w:val="00536C76"/>
    <w:rsid w:val="0053737B"/>
    <w:rsid w:val="0053790D"/>
    <w:rsid w:val="00537AD4"/>
    <w:rsid w:val="00537F38"/>
    <w:rsid w:val="00540514"/>
    <w:rsid w:val="00540648"/>
    <w:rsid w:val="00540A6A"/>
    <w:rsid w:val="00540EA6"/>
    <w:rsid w:val="005416A9"/>
    <w:rsid w:val="00541726"/>
    <w:rsid w:val="005427E5"/>
    <w:rsid w:val="0054283F"/>
    <w:rsid w:val="00543019"/>
    <w:rsid w:val="00543272"/>
    <w:rsid w:val="005437C5"/>
    <w:rsid w:val="005439C5"/>
    <w:rsid w:val="00543C98"/>
    <w:rsid w:val="00543FC1"/>
    <w:rsid w:val="005443BE"/>
    <w:rsid w:val="00544469"/>
    <w:rsid w:val="005446F4"/>
    <w:rsid w:val="00544D42"/>
    <w:rsid w:val="00544E04"/>
    <w:rsid w:val="00545265"/>
    <w:rsid w:val="005452D1"/>
    <w:rsid w:val="005455ED"/>
    <w:rsid w:val="00546E60"/>
    <w:rsid w:val="00546F2E"/>
    <w:rsid w:val="00547B66"/>
    <w:rsid w:val="00547E42"/>
    <w:rsid w:val="00550997"/>
    <w:rsid w:val="005509BC"/>
    <w:rsid w:val="005511B4"/>
    <w:rsid w:val="0055168D"/>
    <w:rsid w:val="005523FB"/>
    <w:rsid w:val="005528DE"/>
    <w:rsid w:val="0055299E"/>
    <w:rsid w:val="00552C3E"/>
    <w:rsid w:val="00552D2B"/>
    <w:rsid w:val="0055301E"/>
    <w:rsid w:val="005532C1"/>
    <w:rsid w:val="00553A3D"/>
    <w:rsid w:val="00553ADF"/>
    <w:rsid w:val="0055516A"/>
    <w:rsid w:val="00555E53"/>
    <w:rsid w:val="0055614C"/>
    <w:rsid w:val="00556324"/>
    <w:rsid w:val="0055646C"/>
    <w:rsid w:val="0055695E"/>
    <w:rsid w:val="00556BA1"/>
    <w:rsid w:val="00556E26"/>
    <w:rsid w:val="005577AD"/>
    <w:rsid w:val="00560042"/>
    <w:rsid w:val="0056084D"/>
    <w:rsid w:val="005608F3"/>
    <w:rsid w:val="00560FDC"/>
    <w:rsid w:val="00561084"/>
    <w:rsid w:val="0056169A"/>
    <w:rsid w:val="005617F9"/>
    <w:rsid w:val="005619A1"/>
    <w:rsid w:val="00561A8A"/>
    <w:rsid w:val="00561CDF"/>
    <w:rsid w:val="005620B5"/>
    <w:rsid w:val="00562261"/>
    <w:rsid w:val="00565CDF"/>
    <w:rsid w:val="00566B6B"/>
    <w:rsid w:val="00566D06"/>
    <w:rsid w:val="0056707F"/>
    <w:rsid w:val="00567B62"/>
    <w:rsid w:val="0057012C"/>
    <w:rsid w:val="005716B1"/>
    <w:rsid w:val="00571ACE"/>
    <w:rsid w:val="00571BC8"/>
    <w:rsid w:val="005723F5"/>
    <w:rsid w:val="00572CAD"/>
    <w:rsid w:val="00572ED3"/>
    <w:rsid w:val="00572F11"/>
    <w:rsid w:val="00574214"/>
    <w:rsid w:val="005747B5"/>
    <w:rsid w:val="00574990"/>
    <w:rsid w:val="00575242"/>
    <w:rsid w:val="005752B3"/>
    <w:rsid w:val="00576B9A"/>
    <w:rsid w:val="00577025"/>
    <w:rsid w:val="005778F0"/>
    <w:rsid w:val="0057791B"/>
    <w:rsid w:val="00577C03"/>
    <w:rsid w:val="00577F2B"/>
    <w:rsid w:val="00580A72"/>
    <w:rsid w:val="00580C2F"/>
    <w:rsid w:val="00580FFC"/>
    <w:rsid w:val="0058171E"/>
    <w:rsid w:val="0058206D"/>
    <w:rsid w:val="00582F97"/>
    <w:rsid w:val="00583206"/>
    <w:rsid w:val="005845A0"/>
    <w:rsid w:val="0058482F"/>
    <w:rsid w:val="00584FCF"/>
    <w:rsid w:val="0058557A"/>
    <w:rsid w:val="00585D93"/>
    <w:rsid w:val="005865D6"/>
    <w:rsid w:val="00586ADF"/>
    <w:rsid w:val="00586D8C"/>
    <w:rsid w:val="0058794C"/>
    <w:rsid w:val="00587EEF"/>
    <w:rsid w:val="00590A26"/>
    <w:rsid w:val="00590D48"/>
    <w:rsid w:val="00590DB1"/>
    <w:rsid w:val="00590E98"/>
    <w:rsid w:val="00591513"/>
    <w:rsid w:val="00591FE2"/>
    <w:rsid w:val="00592DE3"/>
    <w:rsid w:val="005930D2"/>
    <w:rsid w:val="00593885"/>
    <w:rsid w:val="00593C4D"/>
    <w:rsid w:val="00593DBC"/>
    <w:rsid w:val="00593E16"/>
    <w:rsid w:val="00593F39"/>
    <w:rsid w:val="0059444F"/>
    <w:rsid w:val="00594507"/>
    <w:rsid w:val="005948D6"/>
    <w:rsid w:val="005959CF"/>
    <w:rsid w:val="00596452"/>
    <w:rsid w:val="00596743"/>
    <w:rsid w:val="00596905"/>
    <w:rsid w:val="005972AA"/>
    <w:rsid w:val="005973EA"/>
    <w:rsid w:val="00597959"/>
    <w:rsid w:val="00597E0F"/>
    <w:rsid w:val="005A053B"/>
    <w:rsid w:val="005A2461"/>
    <w:rsid w:val="005A2701"/>
    <w:rsid w:val="005A28E3"/>
    <w:rsid w:val="005A382C"/>
    <w:rsid w:val="005A3845"/>
    <w:rsid w:val="005A4428"/>
    <w:rsid w:val="005A443E"/>
    <w:rsid w:val="005A4587"/>
    <w:rsid w:val="005A5A0F"/>
    <w:rsid w:val="005A5B8B"/>
    <w:rsid w:val="005A6B1C"/>
    <w:rsid w:val="005A6C80"/>
    <w:rsid w:val="005A70C1"/>
    <w:rsid w:val="005A7600"/>
    <w:rsid w:val="005A771B"/>
    <w:rsid w:val="005A7B10"/>
    <w:rsid w:val="005A7C67"/>
    <w:rsid w:val="005A7CC1"/>
    <w:rsid w:val="005B002D"/>
    <w:rsid w:val="005B0662"/>
    <w:rsid w:val="005B06CF"/>
    <w:rsid w:val="005B095B"/>
    <w:rsid w:val="005B0ADA"/>
    <w:rsid w:val="005B0DDC"/>
    <w:rsid w:val="005B0EEC"/>
    <w:rsid w:val="005B1F73"/>
    <w:rsid w:val="005B2B68"/>
    <w:rsid w:val="005B2CB0"/>
    <w:rsid w:val="005B33A0"/>
    <w:rsid w:val="005B4055"/>
    <w:rsid w:val="005B40A4"/>
    <w:rsid w:val="005B4C23"/>
    <w:rsid w:val="005B528F"/>
    <w:rsid w:val="005B5354"/>
    <w:rsid w:val="005B57C4"/>
    <w:rsid w:val="005B660A"/>
    <w:rsid w:val="005B6EB7"/>
    <w:rsid w:val="005B7DFE"/>
    <w:rsid w:val="005B7EFA"/>
    <w:rsid w:val="005C018E"/>
    <w:rsid w:val="005C08C1"/>
    <w:rsid w:val="005C147B"/>
    <w:rsid w:val="005C1971"/>
    <w:rsid w:val="005C1C13"/>
    <w:rsid w:val="005C1F9D"/>
    <w:rsid w:val="005C207B"/>
    <w:rsid w:val="005C21AA"/>
    <w:rsid w:val="005C23A7"/>
    <w:rsid w:val="005C3201"/>
    <w:rsid w:val="005C39E1"/>
    <w:rsid w:val="005C3E12"/>
    <w:rsid w:val="005C4112"/>
    <w:rsid w:val="005C444D"/>
    <w:rsid w:val="005C494B"/>
    <w:rsid w:val="005C4A7B"/>
    <w:rsid w:val="005C5207"/>
    <w:rsid w:val="005C5D19"/>
    <w:rsid w:val="005C60FC"/>
    <w:rsid w:val="005C6272"/>
    <w:rsid w:val="005C6C92"/>
    <w:rsid w:val="005C7040"/>
    <w:rsid w:val="005C74C2"/>
    <w:rsid w:val="005C7530"/>
    <w:rsid w:val="005C7AB8"/>
    <w:rsid w:val="005C7DE7"/>
    <w:rsid w:val="005D211A"/>
    <w:rsid w:val="005D2E75"/>
    <w:rsid w:val="005D2EA7"/>
    <w:rsid w:val="005D3473"/>
    <w:rsid w:val="005D3898"/>
    <w:rsid w:val="005D3BA5"/>
    <w:rsid w:val="005D3F92"/>
    <w:rsid w:val="005D427E"/>
    <w:rsid w:val="005D497B"/>
    <w:rsid w:val="005D4A5C"/>
    <w:rsid w:val="005D4EC0"/>
    <w:rsid w:val="005D5D26"/>
    <w:rsid w:val="005D6762"/>
    <w:rsid w:val="005D6A6B"/>
    <w:rsid w:val="005D6E25"/>
    <w:rsid w:val="005D7205"/>
    <w:rsid w:val="005D7685"/>
    <w:rsid w:val="005D7828"/>
    <w:rsid w:val="005E09E1"/>
    <w:rsid w:val="005E0AD0"/>
    <w:rsid w:val="005E0FFA"/>
    <w:rsid w:val="005E13DA"/>
    <w:rsid w:val="005E147A"/>
    <w:rsid w:val="005E14C2"/>
    <w:rsid w:val="005E19EE"/>
    <w:rsid w:val="005E1B4C"/>
    <w:rsid w:val="005E2366"/>
    <w:rsid w:val="005E2E75"/>
    <w:rsid w:val="005E4D3C"/>
    <w:rsid w:val="005E5144"/>
    <w:rsid w:val="005E5E78"/>
    <w:rsid w:val="005E6013"/>
    <w:rsid w:val="005E6A98"/>
    <w:rsid w:val="005E6D71"/>
    <w:rsid w:val="005E6F14"/>
    <w:rsid w:val="005E74B0"/>
    <w:rsid w:val="005E790B"/>
    <w:rsid w:val="005E7E43"/>
    <w:rsid w:val="005F1A73"/>
    <w:rsid w:val="005F3AA0"/>
    <w:rsid w:val="005F3CCB"/>
    <w:rsid w:val="005F3E49"/>
    <w:rsid w:val="005F423D"/>
    <w:rsid w:val="005F4520"/>
    <w:rsid w:val="005F4D5E"/>
    <w:rsid w:val="005F50B0"/>
    <w:rsid w:val="005F5428"/>
    <w:rsid w:val="005F558D"/>
    <w:rsid w:val="005F59DE"/>
    <w:rsid w:val="005F5EBC"/>
    <w:rsid w:val="005F6176"/>
    <w:rsid w:val="005F63A2"/>
    <w:rsid w:val="005F6541"/>
    <w:rsid w:val="005F6E2B"/>
    <w:rsid w:val="005F6E30"/>
    <w:rsid w:val="005F764C"/>
    <w:rsid w:val="005F79C6"/>
    <w:rsid w:val="006002BF"/>
    <w:rsid w:val="00600566"/>
    <w:rsid w:val="00601160"/>
    <w:rsid w:val="00601611"/>
    <w:rsid w:val="00602115"/>
    <w:rsid w:val="00602512"/>
    <w:rsid w:val="00602733"/>
    <w:rsid w:val="00602C98"/>
    <w:rsid w:val="0060377D"/>
    <w:rsid w:val="006041EE"/>
    <w:rsid w:val="0060424C"/>
    <w:rsid w:val="0060466F"/>
    <w:rsid w:val="0060470A"/>
    <w:rsid w:val="006048C6"/>
    <w:rsid w:val="006048CC"/>
    <w:rsid w:val="00605144"/>
    <w:rsid w:val="00605C81"/>
    <w:rsid w:val="00605DFC"/>
    <w:rsid w:val="00606477"/>
    <w:rsid w:val="006066DF"/>
    <w:rsid w:val="00606B5E"/>
    <w:rsid w:val="0060735B"/>
    <w:rsid w:val="00607A94"/>
    <w:rsid w:val="00607BA5"/>
    <w:rsid w:val="00607C69"/>
    <w:rsid w:val="0061065C"/>
    <w:rsid w:val="006108DC"/>
    <w:rsid w:val="0061104C"/>
    <w:rsid w:val="006110BA"/>
    <w:rsid w:val="00611510"/>
    <w:rsid w:val="0061156A"/>
    <w:rsid w:val="0061180A"/>
    <w:rsid w:val="006123E3"/>
    <w:rsid w:val="0061282E"/>
    <w:rsid w:val="00612A3F"/>
    <w:rsid w:val="00613052"/>
    <w:rsid w:val="0061306C"/>
    <w:rsid w:val="006132E8"/>
    <w:rsid w:val="006138FF"/>
    <w:rsid w:val="00613A00"/>
    <w:rsid w:val="0061457B"/>
    <w:rsid w:val="00614A8F"/>
    <w:rsid w:val="006151F9"/>
    <w:rsid w:val="00615E30"/>
    <w:rsid w:val="006160D8"/>
    <w:rsid w:val="006168D3"/>
    <w:rsid w:val="0061709F"/>
    <w:rsid w:val="006170D0"/>
    <w:rsid w:val="006177E1"/>
    <w:rsid w:val="00617AF1"/>
    <w:rsid w:val="006200EA"/>
    <w:rsid w:val="00620142"/>
    <w:rsid w:val="00620228"/>
    <w:rsid w:val="006207BF"/>
    <w:rsid w:val="006207D2"/>
    <w:rsid w:val="006208C7"/>
    <w:rsid w:val="006209C2"/>
    <w:rsid w:val="00620C40"/>
    <w:rsid w:val="00620C68"/>
    <w:rsid w:val="00621712"/>
    <w:rsid w:val="0062307A"/>
    <w:rsid w:val="0062339C"/>
    <w:rsid w:val="00623A1A"/>
    <w:rsid w:val="00623BDD"/>
    <w:rsid w:val="006244D0"/>
    <w:rsid w:val="00624ADC"/>
    <w:rsid w:val="00624F3E"/>
    <w:rsid w:val="006251C0"/>
    <w:rsid w:val="00625505"/>
    <w:rsid w:val="006258D4"/>
    <w:rsid w:val="006259F8"/>
    <w:rsid w:val="0062656D"/>
    <w:rsid w:val="00626663"/>
    <w:rsid w:val="00626BD2"/>
    <w:rsid w:val="00626EB6"/>
    <w:rsid w:val="0062713F"/>
    <w:rsid w:val="00627222"/>
    <w:rsid w:val="006272B1"/>
    <w:rsid w:val="006275EF"/>
    <w:rsid w:val="00630353"/>
    <w:rsid w:val="006305AB"/>
    <w:rsid w:val="00631274"/>
    <w:rsid w:val="006313DC"/>
    <w:rsid w:val="00631881"/>
    <w:rsid w:val="00631DAE"/>
    <w:rsid w:val="00632402"/>
    <w:rsid w:val="006328BB"/>
    <w:rsid w:val="00632DBF"/>
    <w:rsid w:val="00632F48"/>
    <w:rsid w:val="006332E5"/>
    <w:rsid w:val="00633A14"/>
    <w:rsid w:val="00633B15"/>
    <w:rsid w:val="006342AF"/>
    <w:rsid w:val="00634598"/>
    <w:rsid w:val="006347FF"/>
    <w:rsid w:val="00634CA2"/>
    <w:rsid w:val="0063546A"/>
    <w:rsid w:val="00635596"/>
    <w:rsid w:val="006358C1"/>
    <w:rsid w:val="006358F0"/>
    <w:rsid w:val="00635A23"/>
    <w:rsid w:val="00635BC5"/>
    <w:rsid w:val="00635EB3"/>
    <w:rsid w:val="00636143"/>
    <w:rsid w:val="00636767"/>
    <w:rsid w:val="00636AC6"/>
    <w:rsid w:val="00636DAF"/>
    <w:rsid w:val="00636E68"/>
    <w:rsid w:val="00636E7C"/>
    <w:rsid w:val="006372D8"/>
    <w:rsid w:val="00637823"/>
    <w:rsid w:val="0063795E"/>
    <w:rsid w:val="0064002D"/>
    <w:rsid w:val="006402D3"/>
    <w:rsid w:val="0064095B"/>
    <w:rsid w:val="00640B88"/>
    <w:rsid w:val="00640F5F"/>
    <w:rsid w:val="00641295"/>
    <w:rsid w:val="00641C75"/>
    <w:rsid w:val="0064214C"/>
    <w:rsid w:val="00642170"/>
    <w:rsid w:val="006423EF"/>
    <w:rsid w:val="00642564"/>
    <w:rsid w:val="00642692"/>
    <w:rsid w:val="006426A8"/>
    <w:rsid w:val="00642EB5"/>
    <w:rsid w:val="00644258"/>
    <w:rsid w:val="006451E3"/>
    <w:rsid w:val="006457ED"/>
    <w:rsid w:val="006460EB"/>
    <w:rsid w:val="00646116"/>
    <w:rsid w:val="00646283"/>
    <w:rsid w:val="00646CA7"/>
    <w:rsid w:val="00646EA6"/>
    <w:rsid w:val="00647A5A"/>
    <w:rsid w:val="00647C2C"/>
    <w:rsid w:val="00647E82"/>
    <w:rsid w:val="00647E9F"/>
    <w:rsid w:val="00647F14"/>
    <w:rsid w:val="00651571"/>
    <w:rsid w:val="00651597"/>
    <w:rsid w:val="006519A8"/>
    <w:rsid w:val="00651D4B"/>
    <w:rsid w:val="0065252E"/>
    <w:rsid w:val="00652F06"/>
    <w:rsid w:val="0065441F"/>
    <w:rsid w:val="00654800"/>
    <w:rsid w:val="00654841"/>
    <w:rsid w:val="006548B3"/>
    <w:rsid w:val="00654E4A"/>
    <w:rsid w:val="0065576E"/>
    <w:rsid w:val="00655D03"/>
    <w:rsid w:val="00656216"/>
    <w:rsid w:val="00656361"/>
    <w:rsid w:val="00657224"/>
    <w:rsid w:val="0065726D"/>
    <w:rsid w:val="00657C8C"/>
    <w:rsid w:val="00657DA9"/>
    <w:rsid w:val="0066007A"/>
    <w:rsid w:val="00660C27"/>
    <w:rsid w:val="006610DC"/>
    <w:rsid w:val="00662D58"/>
    <w:rsid w:val="006631E6"/>
    <w:rsid w:val="00663565"/>
    <w:rsid w:val="00663B6C"/>
    <w:rsid w:val="006647C1"/>
    <w:rsid w:val="00664931"/>
    <w:rsid w:val="006650F3"/>
    <w:rsid w:val="00666890"/>
    <w:rsid w:val="0066780C"/>
    <w:rsid w:val="006678E2"/>
    <w:rsid w:val="00667A40"/>
    <w:rsid w:val="00667DD8"/>
    <w:rsid w:val="00667E3A"/>
    <w:rsid w:val="00670405"/>
    <w:rsid w:val="006707FA"/>
    <w:rsid w:val="0067087F"/>
    <w:rsid w:val="00670A42"/>
    <w:rsid w:val="0067119D"/>
    <w:rsid w:val="006711C9"/>
    <w:rsid w:val="006712A7"/>
    <w:rsid w:val="00671DB1"/>
    <w:rsid w:val="00671E09"/>
    <w:rsid w:val="006722F1"/>
    <w:rsid w:val="006726CF"/>
    <w:rsid w:val="00672724"/>
    <w:rsid w:val="00672A32"/>
    <w:rsid w:val="00672AD7"/>
    <w:rsid w:val="00672C93"/>
    <w:rsid w:val="0067306B"/>
    <w:rsid w:val="006731D5"/>
    <w:rsid w:val="00673734"/>
    <w:rsid w:val="00673778"/>
    <w:rsid w:val="0067382F"/>
    <w:rsid w:val="006748EC"/>
    <w:rsid w:val="0067494D"/>
    <w:rsid w:val="00674AF1"/>
    <w:rsid w:val="00674EE7"/>
    <w:rsid w:val="00675134"/>
    <w:rsid w:val="006751D9"/>
    <w:rsid w:val="00675301"/>
    <w:rsid w:val="006753B0"/>
    <w:rsid w:val="00675477"/>
    <w:rsid w:val="00675918"/>
    <w:rsid w:val="00675C71"/>
    <w:rsid w:val="006770E2"/>
    <w:rsid w:val="0067754B"/>
    <w:rsid w:val="00677BE2"/>
    <w:rsid w:val="00680000"/>
    <w:rsid w:val="00680997"/>
    <w:rsid w:val="00681042"/>
    <w:rsid w:val="00681B79"/>
    <w:rsid w:val="00681FC6"/>
    <w:rsid w:val="00682207"/>
    <w:rsid w:val="00682388"/>
    <w:rsid w:val="00682722"/>
    <w:rsid w:val="006831C8"/>
    <w:rsid w:val="0068334E"/>
    <w:rsid w:val="00683388"/>
    <w:rsid w:val="00683788"/>
    <w:rsid w:val="00683864"/>
    <w:rsid w:val="00683EFB"/>
    <w:rsid w:val="00683F84"/>
    <w:rsid w:val="00684119"/>
    <w:rsid w:val="0068447D"/>
    <w:rsid w:val="0068447F"/>
    <w:rsid w:val="00684F66"/>
    <w:rsid w:val="006850FC"/>
    <w:rsid w:val="0068592C"/>
    <w:rsid w:val="006861B6"/>
    <w:rsid w:val="006863C7"/>
    <w:rsid w:val="006869BE"/>
    <w:rsid w:val="00686F6D"/>
    <w:rsid w:val="00687334"/>
    <w:rsid w:val="0068746D"/>
    <w:rsid w:val="006878BC"/>
    <w:rsid w:val="00687E81"/>
    <w:rsid w:val="006900E3"/>
    <w:rsid w:val="0069095D"/>
    <w:rsid w:val="00690C9A"/>
    <w:rsid w:val="00690CC1"/>
    <w:rsid w:val="006916E4"/>
    <w:rsid w:val="0069193F"/>
    <w:rsid w:val="00691AB7"/>
    <w:rsid w:val="00691B1B"/>
    <w:rsid w:val="006927FF"/>
    <w:rsid w:val="00692D2F"/>
    <w:rsid w:val="006934E1"/>
    <w:rsid w:val="00693829"/>
    <w:rsid w:val="0069391C"/>
    <w:rsid w:val="0069398B"/>
    <w:rsid w:val="00693E4E"/>
    <w:rsid w:val="006943ED"/>
    <w:rsid w:val="00694485"/>
    <w:rsid w:val="006945D7"/>
    <w:rsid w:val="00694795"/>
    <w:rsid w:val="00694C40"/>
    <w:rsid w:val="00694EFA"/>
    <w:rsid w:val="00694F1F"/>
    <w:rsid w:val="00694FC3"/>
    <w:rsid w:val="006958FF"/>
    <w:rsid w:val="00695CBD"/>
    <w:rsid w:val="006971F8"/>
    <w:rsid w:val="00697374"/>
    <w:rsid w:val="006A00FA"/>
    <w:rsid w:val="006A0187"/>
    <w:rsid w:val="006A0F56"/>
    <w:rsid w:val="006A1424"/>
    <w:rsid w:val="006A15C8"/>
    <w:rsid w:val="006A1697"/>
    <w:rsid w:val="006A23F3"/>
    <w:rsid w:val="006A2F2E"/>
    <w:rsid w:val="006A320D"/>
    <w:rsid w:val="006A44DC"/>
    <w:rsid w:val="006A4B34"/>
    <w:rsid w:val="006A4E99"/>
    <w:rsid w:val="006A5349"/>
    <w:rsid w:val="006A561B"/>
    <w:rsid w:val="006A5845"/>
    <w:rsid w:val="006A5898"/>
    <w:rsid w:val="006A5A93"/>
    <w:rsid w:val="006A5C27"/>
    <w:rsid w:val="006A5E28"/>
    <w:rsid w:val="006A60FD"/>
    <w:rsid w:val="006A619F"/>
    <w:rsid w:val="006A65ED"/>
    <w:rsid w:val="006A6A81"/>
    <w:rsid w:val="006A6DD8"/>
    <w:rsid w:val="006A6E73"/>
    <w:rsid w:val="006A77FA"/>
    <w:rsid w:val="006A7995"/>
    <w:rsid w:val="006A7AC9"/>
    <w:rsid w:val="006A7AD9"/>
    <w:rsid w:val="006AC976"/>
    <w:rsid w:val="006B0339"/>
    <w:rsid w:val="006B03B7"/>
    <w:rsid w:val="006B03C5"/>
    <w:rsid w:val="006B076E"/>
    <w:rsid w:val="006B0841"/>
    <w:rsid w:val="006B1ECF"/>
    <w:rsid w:val="006B250D"/>
    <w:rsid w:val="006B2FEB"/>
    <w:rsid w:val="006B34F4"/>
    <w:rsid w:val="006B3D8E"/>
    <w:rsid w:val="006B400C"/>
    <w:rsid w:val="006B438C"/>
    <w:rsid w:val="006B4613"/>
    <w:rsid w:val="006B5860"/>
    <w:rsid w:val="006B59DE"/>
    <w:rsid w:val="006B5C19"/>
    <w:rsid w:val="006B679A"/>
    <w:rsid w:val="006B696F"/>
    <w:rsid w:val="006B7B28"/>
    <w:rsid w:val="006C0E6A"/>
    <w:rsid w:val="006C1089"/>
    <w:rsid w:val="006C19D7"/>
    <w:rsid w:val="006C1D08"/>
    <w:rsid w:val="006C26D6"/>
    <w:rsid w:val="006C2D7A"/>
    <w:rsid w:val="006C2E0F"/>
    <w:rsid w:val="006C3111"/>
    <w:rsid w:val="006C3D24"/>
    <w:rsid w:val="006C3DCE"/>
    <w:rsid w:val="006C3EB2"/>
    <w:rsid w:val="006C5024"/>
    <w:rsid w:val="006C5740"/>
    <w:rsid w:val="006C58A3"/>
    <w:rsid w:val="006C6AD2"/>
    <w:rsid w:val="006C6D80"/>
    <w:rsid w:val="006C6E47"/>
    <w:rsid w:val="006C6F43"/>
    <w:rsid w:val="006C6FD8"/>
    <w:rsid w:val="006C73DD"/>
    <w:rsid w:val="006C75B7"/>
    <w:rsid w:val="006D0290"/>
    <w:rsid w:val="006D0959"/>
    <w:rsid w:val="006D0E48"/>
    <w:rsid w:val="006D0F59"/>
    <w:rsid w:val="006D120C"/>
    <w:rsid w:val="006D12C5"/>
    <w:rsid w:val="006D17D1"/>
    <w:rsid w:val="006D1E4F"/>
    <w:rsid w:val="006D35F3"/>
    <w:rsid w:val="006D3A69"/>
    <w:rsid w:val="006D3D33"/>
    <w:rsid w:val="006D4449"/>
    <w:rsid w:val="006D4838"/>
    <w:rsid w:val="006D4AFA"/>
    <w:rsid w:val="006D4EA0"/>
    <w:rsid w:val="006D56D7"/>
    <w:rsid w:val="006D572C"/>
    <w:rsid w:val="006D57A5"/>
    <w:rsid w:val="006D57B3"/>
    <w:rsid w:val="006D5DE0"/>
    <w:rsid w:val="006D5EA4"/>
    <w:rsid w:val="006D6051"/>
    <w:rsid w:val="006D64D5"/>
    <w:rsid w:val="006D669D"/>
    <w:rsid w:val="006D6811"/>
    <w:rsid w:val="006D6850"/>
    <w:rsid w:val="006D6EFC"/>
    <w:rsid w:val="006D7865"/>
    <w:rsid w:val="006D7ECB"/>
    <w:rsid w:val="006E0940"/>
    <w:rsid w:val="006E09E9"/>
    <w:rsid w:val="006E0CBE"/>
    <w:rsid w:val="006E0D70"/>
    <w:rsid w:val="006E0D86"/>
    <w:rsid w:val="006E0FFD"/>
    <w:rsid w:val="006E11BD"/>
    <w:rsid w:val="006E13BA"/>
    <w:rsid w:val="006E14B1"/>
    <w:rsid w:val="006E14B3"/>
    <w:rsid w:val="006E1B78"/>
    <w:rsid w:val="006E1C7B"/>
    <w:rsid w:val="006E1FDC"/>
    <w:rsid w:val="006E1FE0"/>
    <w:rsid w:val="006E30F3"/>
    <w:rsid w:val="006E317A"/>
    <w:rsid w:val="006E34DF"/>
    <w:rsid w:val="006E3911"/>
    <w:rsid w:val="006E398B"/>
    <w:rsid w:val="006E4B78"/>
    <w:rsid w:val="006E50EB"/>
    <w:rsid w:val="006E513B"/>
    <w:rsid w:val="006E522F"/>
    <w:rsid w:val="006E5D2E"/>
    <w:rsid w:val="006E73D7"/>
    <w:rsid w:val="006E768E"/>
    <w:rsid w:val="006F0BE7"/>
    <w:rsid w:val="006F0F66"/>
    <w:rsid w:val="006F25D9"/>
    <w:rsid w:val="006F2C79"/>
    <w:rsid w:val="006F351E"/>
    <w:rsid w:val="006F35AD"/>
    <w:rsid w:val="006F3750"/>
    <w:rsid w:val="006F3A94"/>
    <w:rsid w:val="006F4237"/>
    <w:rsid w:val="006F4387"/>
    <w:rsid w:val="006F475B"/>
    <w:rsid w:val="006F4840"/>
    <w:rsid w:val="006F4E4E"/>
    <w:rsid w:val="006F4FB4"/>
    <w:rsid w:val="006F52EA"/>
    <w:rsid w:val="006F5702"/>
    <w:rsid w:val="006F5BAA"/>
    <w:rsid w:val="006F5BC9"/>
    <w:rsid w:val="006F6058"/>
    <w:rsid w:val="006F6E3A"/>
    <w:rsid w:val="006F6F9E"/>
    <w:rsid w:val="006F7393"/>
    <w:rsid w:val="006F79A8"/>
    <w:rsid w:val="006F7B48"/>
    <w:rsid w:val="00700017"/>
    <w:rsid w:val="007000AE"/>
    <w:rsid w:val="0070072E"/>
    <w:rsid w:val="007008D3"/>
    <w:rsid w:val="00700BCF"/>
    <w:rsid w:val="00700CEB"/>
    <w:rsid w:val="0070224F"/>
    <w:rsid w:val="00703858"/>
    <w:rsid w:val="007038EA"/>
    <w:rsid w:val="00703F3F"/>
    <w:rsid w:val="007044D8"/>
    <w:rsid w:val="00704913"/>
    <w:rsid w:val="00704935"/>
    <w:rsid w:val="00704AC0"/>
    <w:rsid w:val="00705E85"/>
    <w:rsid w:val="0070724A"/>
    <w:rsid w:val="00707FE0"/>
    <w:rsid w:val="00710E47"/>
    <w:rsid w:val="007110E5"/>
    <w:rsid w:val="007115F7"/>
    <w:rsid w:val="00711739"/>
    <w:rsid w:val="00711763"/>
    <w:rsid w:val="00711FFB"/>
    <w:rsid w:val="00712631"/>
    <w:rsid w:val="007133CB"/>
    <w:rsid w:val="00713559"/>
    <w:rsid w:val="007135CD"/>
    <w:rsid w:val="00713A0F"/>
    <w:rsid w:val="00713D3F"/>
    <w:rsid w:val="00715427"/>
    <w:rsid w:val="00715D84"/>
    <w:rsid w:val="00715DE3"/>
    <w:rsid w:val="00716001"/>
    <w:rsid w:val="00716CB3"/>
    <w:rsid w:val="00717D9D"/>
    <w:rsid w:val="00717DD9"/>
    <w:rsid w:val="007208F8"/>
    <w:rsid w:val="00720B23"/>
    <w:rsid w:val="00720BE2"/>
    <w:rsid w:val="007215EE"/>
    <w:rsid w:val="00721BDB"/>
    <w:rsid w:val="007221DE"/>
    <w:rsid w:val="007225CF"/>
    <w:rsid w:val="00722AE5"/>
    <w:rsid w:val="00723096"/>
    <w:rsid w:val="007230A7"/>
    <w:rsid w:val="0072319A"/>
    <w:rsid w:val="00723625"/>
    <w:rsid w:val="007239EA"/>
    <w:rsid w:val="00723CC7"/>
    <w:rsid w:val="00724144"/>
    <w:rsid w:val="0072418A"/>
    <w:rsid w:val="007247C7"/>
    <w:rsid w:val="00724B0C"/>
    <w:rsid w:val="00725B07"/>
    <w:rsid w:val="00725BD2"/>
    <w:rsid w:val="00725E97"/>
    <w:rsid w:val="00725F17"/>
    <w:rsid w:val="0072675E"/>
    <w:rsid w:val="00726B90"/>
    <w:rsid w:val="00726D26"/>
    <w:rsid w:val="0073042A"/>
    <w:rsid w:val="007305FB"/>
    <w:rsid w:val="007306AB"/>
    <w:rsid w:val="007306F1"/>
    <w:rsid w:val="007307F4"/>
    <w:rsid w:val="00730B4E"/>
    <w:rsid w:val="007318B1"/>
    <w:rsid w:val="007328E4"/>
    <w:rsid w:val="00732AE2"/>
    <w:rsid w:val="00732F6A"/>
    <w:rsid w:val="00733056"/>
    <w:rsid w:val="007333D4"/>
    <w:rsid w:val="00733917"/>
    <w:rsid w:val="00734415"/>
    <w:rsid w:val="00734B35"/>
    <w:rsid w:val="00734E11"/>
    <w:rsid w:val="007357C3"/>
    <w:rsid w:val="0073666E"/>
    <w:rsid w:val="00736B2D"/>
    <w:rsid w:val="00737530"/>
    <w:rsid w:val="007401BA"/>
    <w:rsid w:val="007408D2"/>
    <w:rsid w:val="00740C77"/>
    <w:rsid w:val="007412FD"/>
    <w:rsid w:val="007415A6"/>
    <w:rsid w:val="00742008"/>
    <w:rsid w:val="0074287F"/>
    <w:rsid w:val="007429E5"/>
    <w:rsid w:val="00742C13"/>
    <w:rsid w:val="0074416A"/>
    <w:rsid w:val="007447EA"/>
    <w:rsid w:val="00744834"/>
    <w:rsid w:val="007449DE"/>
    <w:rsid w:val="007450B6"/>
    <w:rsid w:val="00745937"/>
    <w:rsid w:val="00745982"/>
    <w:rsid w:val="00745BC8"/>
    <w:rsid w:val="00745E78"/>
    <w:rsid w:val="00746A0F"/>
    <w:rsid w:val="00747004"/>
    <w:rsid w:val="007470B2"/>
    <w:rsid w:val="007474AA"/>
    <w:rsid w:val="00747572"/>
    <w:rsid w:val="00747590"/>
    <w:rsid w:val="00747772"/>
    <w:rsid w:val="007501C4"/>
    <w:rsid w:val="007504E0"/>
    <w:rsid w:val="00750C4B"/>
    <w:rsid w:val="00750D8A"/>
    <w:rsid w:val="00751E2D"/>
    <w:rsid w:val="0075276F"/>
    <w:rsid w:val="007527C9"/>
    <w:rsid w:val="0075320C"/>
    <w:rsid w:val="00753435"/>
    <w:rsid w:val="00753A6C"/>
    <w:rsid w:val="00753C85"/>
    <w:rsid w:val="0075459C"/>
    <w:rsid w:val="00754E63"/>
    <w:rsid w:val="007550AE"/>
    <w:rsid w:val="007553B9"/>
    <w:rsid w:val="00755AB6"/>
    <w:rsid w:val="00755CEA"/>
    <w:rsid w:val="007561B6"/>
    <w:rsid w:val="00756D2E"/>
    <w:rsid w:val="00757215"/>
    <w:rsid w:val="007578AE"/>
    <w:rsid w:val="00757913"/>
    <w:rsid w:val="007606E7"/>
    <w:rsid w:val="00761082"/>
    <w:rsid w:val="00761100"/>
    <w:rsid w:val="007611C3"/>
    <w:rsid w:val="007611E8"/>
    <w:rsid w:val="00761377"/>
    <w:rsid w:val="0076190D"/>
    <w:rsid w:val="007619BA"/>
    <w:rsid w:val="00761EF6"/>
    <w:rsid w:val="0076233B"/>
    <w:rsid w:val="00762CEE"/>
    <w:rsid w:val="0076325E"/>
    <w:rsid w:val="0076385B"/>
    <w:rsid w:val="00763FE6"/>
    <w:rsid w:val="00764151"/>
    <w:rsid w:val="007645DD"/>
    <w:rsid w:val="00765291"/>
    <w:rsid w:val="007657D1"/>
    <w:rsid w:val="00765A70"/>
    <w:rsid w:val="00765C1F"/>
    <w:rsid w:val="00766488"/>
    <w:rsid w:val="007665F4"/>
    <w:rsid w:val="00766BDE"/>
    <w:rsid w:val="00766F4B"/>
    <w:rsid w:val="00766FD3"/>
    <w:rsid w:val="00767086"/>
    <w:rsid w:val="0076779C"/>
    <w:rsid w:val="007679CE"/>
    <w:rsid w:val="00767AC6"/>
    <w:rsid w:val="00767E76"/>
    <w:rsid w:val="00767F5D"/>
    <w:rsid w:val="00770273"/>
    <w:rsid w:val="00770577"/>
    <w:rsid w:val="007708F2"/>
    <w:rsid w:val="00770BE8"/>
    <w:rsid w:val="00770FDF"/>
    <w:rsid w:val="007712E0"/>
    <w:rsid w:val="00771575"/>
    <w:rsid w:val="007718F7"/>
    <w:rsid w:val="00771965"/>
    <w:rsid w:val="00771BF4"/>
    <w:rsid w:val="00771E0B"/>
    <w:rsid w:val="00771E50"/>
    <w:rsid w:val="00771EF6"/>
    <w:rsid w:val="00773AA9"/>
    <w:rsid w:val="00773DCC"/>
    <w:rsid w:val="00773FDD"/>
    <w:rsid w:val="00774110"/>
    <w:rsid w:val="00774533"/>
    <w:rsid w:val="00774B19"/>
    <w:rsid w:val="00774C12"/>
    <w:rsid w:val="00774FE9"/>
    <w:rsid w:val="00774FFA"/>
    <w:rsid w:val="007751B5"/>
    <w:rsid w:val="0077529A"/>
    <w:rsid w:val="00775799"/>
    <w:rsid w:val="00775AF6"/>
    <w:rsid w:val="00775D2C"/>
    <w:rsid w:val="00775E90"/>
    <w:rsid w:val="0077627F"/>
    <w:rsid w:val="00776298"/>
    <w:rsid w:val="00777197"/>
    <w:rsid w:val="00777562"/>
    <w:rsid w:val="00777A59"/>
    <w:rsid w:val="00777BEC"/>
    <w:rsid w:val="00777D80"/>
    <w:rsid w:val="007807F4"/>
    <w:rsid w:val="00781D87"/>
    <w:rsid w:val="00781E45"/>
    <w:rsid w:val="00781EBF"/>
    <w:rsid w:val="00781F3E"/>
    <w:rsid w:val="00782AB3"/>
    <w:rsid w:val="0078382A"/>
    <w:rsid w:val="007842B8"/>
    <w:rsid w:val="007842C2"/>
    <w:rsid w:val="0078490E"/>
    <w:rsid w:val="00784E1C"/>
    <w:rsid w:val="00784FAF"/>
    <w:rsid w:val="007852D4"/>
    <w:rsid w:val="00785532"/>
    <w:rsid w:val="00785689"/>
    <w:rsid w:val="00785738"/>
    <w:rsid w:val="007859D1"/>
    <w:rsid w:val="00786547"/>
    <w:rsid w:val="00787816"/>
    <w:rsid w:val="00787F53"/>
    <w:rsid w:val="00790887"/>
    <w:rsid w:val="007909B0"/>
    <w:rsid w:val="00790AE2"/>
    <w:rsid w:val="0079184E"/>
    <w:rsid w:val="00791AF6"/>
    <w:rsid w:val="00791B7A"/>
    <w:rsid w:val="0079242B"/>
    <w:rsid w:val="00792595"/>
    <w:rsid w:val="007926CB"/>
    <w:rsid w:val="00792C26"/>
    <w:rsid w:val="00792F31"/>
    <w:rsid w:val="0079301A"/>
    <w:rsid w:val="00793857"/>
    <w:rsid w:val="00793C4A"/>
    <w:rsid w:val="00793F85"/>
    <w:rsid w:val="00794471"/>
    <w:rsid w:val="00794D03"/>
    <w:rsid w:val="00794E9A"/>
    <w:rsid w:val="0079537A"/>
    <w:rsid w:val="007953A2"/>
    <w:rsid w:val="007959BE"/>
    <w:rsid w:val="007959F5"/>
    <w:rsid w:val="007961F9"/>
    <w:rsid w:val="0079695E"/>
    <w:rsid w:val="0079754B"/>
    <w:rsid w:val="00797AE0"/>
    <w:rsid w:val="00797C3E"/>
    <w:rsid w:val="00797D99"/>
    <w:rsid w:val="007A03B3"/>
    <w:rsid w:val="007A0615"/>
    <w:rsid w:val="007A0D9B"/>
    <w:rsid w:val="007A1071"/>
    <w:rsid w:val="007A139A"/>
    <w:rsid w:val="007A15CE"/>
    <w:rsid w:val="007A1DBC"/>
    <w:rsid w:val="007A1E6D"/>
    <w:rsid w:val="007A3170"/>
    <w:rsid w:val="007A35B9"/>
    <w:rsid w:val="007A4D86"/>
    <w:rsid w:val="007A50C1"/>
    <w:rsid w:val="007A513D"/>
    <w:rsid w:val="007A585C"/>
    <w:rsid w:val="007A6443"/>
    <w:rsid w:val="007A6470"/>
    <w:rsid w:val="007A68B8"/>
    <w:rsid w:val="007A6E65"/>
    <w:rsid w:val="007A6F5F"/>
    <w:rsid w:val="007A715A"/>
    <w:rsid w:val="007A7D46"/>
    <w:rsid w:val="007A7D51"/>
    <w:rsid w:val="007B0B49"/>
    <w:rsid w:val="007B0EB2"/>
    <w:rsid w:val="007B1F96"/>
    <w:rsid w:val="007B21DD"/>
    <w:rsid w:val="007B243E"/>
    <w:rsid w:val="007B2692"/>
    <w:rsid w:val="007B2A55"/>
    <w:rsid w:val="007B2AA6"/>
    <w:rsid w:val="007B3E2E"/>
    <w:rsid w:val="007B3EFA"/>
    <w:rsid w:val="007B459B"/>
    <w:rsid w:val="007B47F2"/>
    <w:rsid w:val="007B48BF"/>
    <w:rsid w:val="007B5291"/>
    <w:rsid w:val="007B5750"/>
    <w:rsid w:val="007B5756"/>
    <w:rsid w:val="007B58C4"/>
    <w:rsid w:val="007B5B32"/>
    <w:rsid w:val="007B5F05"/>
    <w:rsid w:val="007B61EF"/>
    <w:rsid w:val="007B6263"/>
    <w:rsid w:val="007B633A"/>
    <w:rsid w:val="007B69B2"/>
    <w:rsid w:val="007B71FC"/>
    <w:rsid w:val="007B7600"/>
    <w:rsid w:val="007B7764"/>
    <w:rsid w:val="007B7AB0"/>
    <w:rsid w:val="007B7BD7"/>
    <w:rsid w:val="007C056E"/>
    <w:rsid w:val="007C0614"/>
    <w:rsid w:val="007C1640"/>
    <w:rsid w:val="007C1BCB"/>
    <w:rsid w:val="007C2550"/>
    <w:rsid w:val="007C3477"/>
    <w:rsid w:val="007C45EA"/>
    <w:rsid w:val="007C50EC"/>
    <w:rsid w:val="007C5507"/>
    <w:rsid w:val="007C624C"/>
    <w:rsid w:val="007C6D1C"/>
    <w:rsid w:val="007C6D47"/>
    <w:rsid w:val="007C6D8D"/>
    <w:rsid w:val="007C6DAB"/>
    <w:rsid w:val="007C700A"/>
    <w:rsid w:val="007C7091"/>
    <w:rsid w:val="007C7370"/>
    <w:rsid w:val="007C7404"/>
    <w:rsid w:val="007C7717"/>
    <w:rsid w:val="007C774F"/>
    <w:rsid w:val="007C7BE1"/>
    <w:rsid w:val="007D0715"/>
    <w:rsid w:val="007D07BB"/>
    <w:rsid w:val="007D07D0"/>
    <w:rsid w:val="007D085C"/>
    <w:rsid w:val="007D0C9D"/>
    <w:rsid w:val="007D129F"/>
    <w:rsid w:val="007D15F3"/>
    <w:rsid w:val="007D185A"/>
    <w:rsid w:val="007D1E8D"/>
    <w:rsid w:val="007D1F3F"/>
    <w:rsid w:val="007D1F93"/>
    <w:rsid w:val="007D288C"/>
    <w:rsid w:val="007D2A99"/>
    <w:rsid w:val="007D2E65"/>
    <w:rsid w:val="007D3224"/>
    <w:rsid w:val="007D33F4"/>
    <w:rsid w:val="007D35C6"/>
    <w:rsid w:val="007D3657"/>
    <w:rsid w:val="007D3785"/>
    <w:rsid w:val="007D3A40"/>
    <w:rsid w:val="007D45D6"/>
    <w:rsid w:val="007D4CFA"/>
    <w:rsid w:val="007D5026"/>
    <w:rsid w:val="007D5406"/>
    <w:rsid w:val="007D54F9"/>
    <w:rsid w:val="007D5622"/>
    <w:rsid w:val="007D583E"/>
    <w:rsid w:val="007D66A2"/>
    <w:rsid w:val="007D6759"/>
    <w:rsid w:val="007D694B"/>
    <w:rsid w:val="007E034F"/>
    <w:rsid w:val="007E0483"/>
    <w:rsid w:val="007E0614"/>
    <w:rsid w:val="007E0795"/>
    <w:rsid w:val="007E0E20"/>
    <w:rsid w:val="007E1036"/>
    <w:rsid w:val="007E1264"/>
    <w:rsid w:val="007E1A33"/>
    <w:rsid w:val="007E1AC9"/>
    <w:rsid w:val="007E1BB8"/>
    <w:rsid w:val="007E1EE6"/>
    <w:rsid w:val="007E2093"/>
    <w:rsid w:val="007E2321"/>
    <w:rsid w:val="007E2A4F"/>
    <w:rsid w:val="007E30DE"/>
    <w:rsid w:val="007E314C"/>
    <w:rsid w:val="007E39B2"/>
    <w:rsid w:val="007E3A19"/>
    <w:rsid w:val="007E44AF"/>
    <w:rsid w:val="007E4A78"/>
    <w:rsid w:val="007E4F17"/>
    <w:rsid w:val="007E529A"/>
    <w:rsid w:val="007E5936"/>
    <w:rsid w:val="007E5B0A"/>
    <w:rsid w:val="007E6960"/>
    <w:rsid w:val="007E6BAC"/>
    <w:rsid w:val="007E6EA6"/>
    <w:rsid w:val="007E7029"/>
    <w:rsid w:val="007E7ED2"/>
    <w:rsid w:val="007E7F69"/>
    <w:rsid w:val="007E7F8E"/>
    <w:rsid w:val="007F0186"/>
    <w:rsid w:val="007F0264"/>
    <w:rsid w:val="007F0705"/>
    <w:rsid w:val="007F0C5F"/>
    <w:rsid w:val="007F0D5F"/>
    <w:rsid w:val="007F0FAD"/>
    <w:rsid w:val="007F10C9"/>
    <w:rsid w:val="007F1162"/>
    <w:rsid w:val="007F11E6"/>
    <w:rsid w:val="007F1316"/>
    <w:rsid w:val="007F1498"/>
    <w:rsid w:val="007F1A83"/>
    <w:rsid w:val="007F1D4A"/>
    <w:rsid w:val="007F36A3"/>
    <w:rsid w:val="007F3B1A"/>
    <w:rsid w:val="007F43C2"/>
    <w:rsid w:val="007F49EA"/>
    <w:rsid w:val="007F61B4"/>
    <w:rsid w:val="007F6D9F"/>
    <w:rsid w:val="007F6DE0"/>
    <w:rsid w:val="007F6E84"/>
    <w:rsid w:val="007F7761"/>
    <w:rsid w:val="008001F1"/>
    <w:rsid w:val="00800ED4"/>
    <w:rsid w:val="00801112"/>
    <w:rsid w:val="008016B8"/>
    <w:rsid w:val="008019D1"/>
    <w:rsid w:val="00801DAA"/>
    <w:rsid w:val="00801F47"/>
    <w:rsid w:val="00801FAB"/>
    <w:rsid w:val="008027FB"/>
    <w:rsid w:val="008032ED"/>
    <w:rsid w:val="008039FF"/>
    <w:rsid w:val="00803EFC"/>
    <w:rsid w:val="008040C1"/>
    <w:rsid w:val="00804167"/>
    <w:rsid w:val="008044CB"/>
    <w:rsid w:val="008044DB"/>
    <w:rsid w:val="0080488B"/>
    <w:rsid w:val="0080494F"/>
    <w:rsid w:val="00804F45"/>
    <w:rsid w:val="00805FE6"/>
    <w:rsid w:val="008065D5"/>
    <w:rsid w:val="008074F7"/>
    <w:rsid w:val="00807543"/>
    <w:rsid w:val="00807C66"/>
    <w:rsid w:val="00807D9B"/>
    <w:rsid w:val="00810335"/>
    <w:rsid w:val="00810622"/>
    <w:rsid w:val="00810B6F"/>
    <w:rsid w:val="00810EAF"/>
    <w:rsid w:val="00811319"/>
    <w:rsid w:val="00811801"/>
    <w:rsid w:val="00811BAE"/>
    <w:rsid w:val="0081217C"/>
    <w:rsid w:val="00812CD8"/>
    <w:rsid w:val="00813968"/>
    <w:rsid w:val="00813EF9"/>
    <w:rsid w:val="00814014"/>
    <w:rsid w:val="00814418"/>
    <w:rsid w:val="008148D3"/>
    <w:rsid w:val="00814A56"/>
    <w:rsid w:val="00815016"/>
    <w:rsid w:val="008162C0"/>
    <w:rsid w:val="008165F8"/>
    <w:rsid w:val="00816B18"/>
    <w:rsid w:val="008170BE"/>
    <w:rsid w:val="008172CA"/>
    <w:rsid w:val="008176B2"/>
    <w:rsid w:val="00817AB6"/>
    <w:rsid w:val="00817C8D"/>
    <w:rsid w:val="008204B6"/>
    <w:rsid w:val="008207C9"/>
    <w:rsid w:val="008220EE"/>
    <w:rsid w:val="0082244C"/>
    <w:rsid w:val="00822B01"/>
    <w:rsid w:val="00822CE0"/>
    <w:rsid w:val="008231F5"/>
    <w:rsid w:val="00823259"/>
    <w:rsid w:val="00823348"/>
    <w:rsid w:val="0082347B"/>
    <w:rsid w:val="00823741"/>
    <w:rsid w:val="00823BFE"/>
    <w:rsid w:val="008243A3"/>
    <w:rsid w:val="00824993"/>
    <w:rsid w:val="00824D84"/>
    <w:rsid w:val="008250D5"/>
    <w:rsid w:val="008256DC"/>
    <w:rsid w:val="008264D3"/>
    <w:rsid w:val="008272A4"/>
    <w:rsid w:val="00827731"/>
    <w:rsid w:val="00830377"/>
    <w:rsid w:val="0083050D"/>
    <w:rsid w:val="00830867"/>
    <w:rsid w:val="00830A9C"/>
    <w:rsid w:val="00830A9F"/>
    <w:rsid w:val="00830AE8"/>
    <w:rsid w:val="00831509"/>
    <w:rsid w:val="00831BEE"/>
    <w:rsid w:val="00832CC4"/>
    <w:rsid w:val="00833696"/>
    <w:rsid w:val="0083383E"/>
    <w:rsid w:val="0083459E"/>
    <w:rsid w:val="00834766"/>
    <w:rsid w:val="00834FB0"/>
    <w:rsid w:val="008355A2"/>
    <w:rsid w:val="00835D40"/>
    <w:rsid w:val="008362ED"/>
    <w:rsid w:val="00836367"/>
    <w:rsid w:val="008370A7"/>
    <w:rsid w:val="00837110"/>
    <w:rsid w:val="008374EF"/>
    <w:rsid w:val="00837BC8"/>
    <w:rsid w:val="00837D09"/>
    <w:rsid w:val="00840385"/>
    <w:rsid w:val="008403C0"/>
    <w:rsid w:val="00840BFA"/>
    <w:rsid w:val="00840EEB"/>
    <w:rsid w:val="00841042"/>
    <w:rsid w:val="0084129B"/>
    <w:rsid w:val="008417AE"/>
    <w:rsid w:val="0084188D"/>
    <w:rsid w:val="00841AB1"/>
    <w:rsid w:val="008426A3"/>
    <w:rsid w:val="008426EA"/>
    <w:rsid w:val="00842B20"/>
    <w:rsid w:val="00843B80"/>
    <w:rsid w:val="00843C92"/>
    <w:rsid w:val="00843F9B"/>
    <w:rsid w:val="00844CD0"/>
    <w:rsid w:val="00844FF1"/>
    <w:rsid w:val="008452C9"/>
    <w:rsid w:val="00846837"/>
    <w:rsid w:val="00846A27"/>
    <w:rsid w:val="00847533"/>
    <w:rsid w:val="008476B5"/>
    <w:rsid w:val="00850B0B"/>
    <w:rsid w:val="0085198A"/>
    <w:rsid w:val="00851B61"/>
    <w:rsid w:val="00851E2B"/>
    <w:rsid w:val="00851E35"/>
    <w:rsid w:val="0085238A"/>
    <w:rsid w:val="00852596"/>
    <w:rsid w:val="00852C93"/>
    <w:rsid w:val="00854482"/>
    <w:rsid w:val="00854B07"/>
    <w:rsid w:val="00854BFB"/>
    <w:rsid w:val="00856206"/>
    <w:rsid w:val="008571BC"/>
    <w:rsid w:val="008574EC"/>
    <w:rsid w:val="008578C6"/>
    <w:rsid w:val="00860BCA"/>
    <w:rsid w:val="008610A1"/>
    <w:rsid w:val="008611D4"/>
    <w:rsid w:val="00861239"/>
    <w:rsid w:val="008613BC"/>
    <w:rsid w:val="00861475"/>
    <w:rsid w:val="0086163A"/>
    <w:rsid w:val="008617EB"/>
    <w:rsid w:val="00861D84"/>
    <w:rsid w:val="008620AC"/>
    <w:rsid w:val="00862489"/>
    <w:rsid w:val="008628C6"/>
    <w:rsid w:val="00862AD4"/>
    <w:rsid w:val="00862AF7"/>
    <w:rsid w:val="00862B91"/>
    <w:rsid w:val="008633FB"/>
    <w:rsid w:val="0086341F"/>
    <w:rsid w:val="00863B7A"/>
    <w:rsid w:val="00864327"/>
    <w:rsid w:val="0086440A"/>
    <w:rsid w:val="00864D8E"/>
    <w:rsid w:val="0086500E"/>
    <w:rsid w:val="008654D4"/>
    <w:rsid w:val="008666EA"/>
    <w:rsid w:val="008675B0"/>
    <w:rsid w:val="00867AB1"/>
    <w:rsid w:val="00870E9A"/>
    <w:rsid w:val="008711AC"/>
    <w:rsid w:val="00872385"/>
    <w:rsid w:val="00872401"/>
    <w:rsid w:val="00872966"/>
    <w:rsid w:val="008729D2"/>
    <w:rsid w:val="00872BA7"/>
    <w:rsid w:val="00873884"/>
    <w:rsid w:val="008738CD"/>
    <w:rsid w:val="00874677"/>
    <w:rsid w:val="00874BD8"/>
    <w:rsid w:val="00874C84"/>
    <w:rsid w:val="00874E6A"/>
    <w:rsid w:val="00875081"/>
    <w:rsid w:val="0087586D"/>
    <w:rsid w:val="00876A7B"/>
    <w:rsid w:val="0087795D"/>
    <w:rsid w:val="00877E7B"/>
    <w:rsid w:val="00877E8B"/>
    <w:rsid w:val="008802A3"/>
    <w:rsid w:val="0088089E"/>
    <w:rsid w:val="00880BC2"/>
    <w:rsid w:val="00880CB1"/>
    <w:rsid w:val="008812FA"/>
    <w:rsid w:val="00881345"/>
    <w:rsid w:val="00881434"/>
    <w:rsid w:val="00881FC9"/>
    <w:rsid w:val="0088274C"/>
    <w:rsid w:val="00882802"/>
    <w:rsid w:val="00882DD1"/>
    <w:rsid w:val="00883F2E"/>
    <w:rsid w:val="008842EC"/>
    <w:rsid w:val="00884459"/>
    <w:rsid w:val="00884BD5"/>
    <w:rsid w:val="00884C40"/>
    <w:rsid w:val="00885169"/>
    <w:rsid w:val="00885919"/>
    <w:rsid w:val="00885BC9"/>
    <w:rsid w:val="0088601C"/>
    <w:rsid w:val="008864C2"/>
    <w:rsid w:val="0088666A"/>
    <w:rsid w:val="00890082"/>
    <w:rsid w:val="008905A7"/>
    <w:rsid w:val="00890ECF"/>
    <w:rsid w:val="00890F7E"/>
    <w:rsid w:val="008912DF"/>
    <w:rsid w:val="00891A30"/>
    <w:rsid w:val="008920A9"/>
    <w:rsid w:val="0089230D"/>
    <w:rsid w:val="00892368"/>
    <w:rsid w:val="00892812"/>
    <w:rsid w:val="00892D87"/>
    <w:rsid w:val="00892FBD"/>
    <w:rsid w:val="00893081"/>
    <w:rsid w:val="0089352F"/>
    <w:rsid w:val="00893B0B"/>
    <w:rsid w:val="00894342"/>
    <w:rsid w:val="00894512"/>
    <w:rsid w:val="008947BF"/>
    <w:rsid w:val="00894936"/>
    <w:rsid w:val="00894FA2"/>
    <w:rsid w:val="00895274"/>
    <w:rsid w:val="008957AA"/>
    <w:rsid w:val="0089589E"/>
    <w:rsid w:val="0089676E"/>
    <w:rsid w:val="00896F96"/>
    <w:rsid w:val="00897192"/>
    <w:rsid w:val="00897370"/>
    <w:rsid w:val="00897524"/>
    <w:rsid w:val="00897A4A"/>
    <w:rsid w:val="008A0172"/>
    <w:rsid w:val="008A0AF4"/>
    <w:rsid w:val="008A16E0"/>
    <w:rsid w:val="008A1E9D"/>
    <w:rsid w:val="008A22FD"/>
    <w:rsid w:val="008A234A"/>
    <w:rsid w:val="008A23FF"/>
    <w:rsid w:val="008A29A7"/>
    <w:rsid w:val="008A2DBD"/>
    <w:rsid w:val="008A3DD0"/>
    <w:rsid w:val="008A53E8"/>
    <w:rsid w:val="008A5407"/>
    <w:rsid w:val="008A58B6"/>
    <w:rsid w:val="008A599F"/>
    <w:rsid w:val="008A5C72"/>
    <w:rsid w:val="008A6005"/>
    <w:rsid w:val="008A661B"/>
    <w:rsid w:val="008A6BBD"/>
    <w:rsid w:val="008A6FB7"/>
    <w:rsid w:val="008A7061"/>
    <w:rsid w:val="008A75AA"/>
    <w:rsid w:val="008A79A4"/>
    <w:rsid w:val="008B18C4"/>
    <w:rsid w:val="008B1B00"/>
    <w:rsid w:val="008B2483"/>
    <w:rsid w:val="008B2AEC"/>
    <w:rsid w:val="008B2F6D"/>
    <w:rsid w:val="008B38DC"/>
    <w:rsid w:val="008B3F6D"/>
    <w:rsid w:val="008B4D73"/>
    <w:rsid w:val="008B4EEF"/>
    <w:rsid w:val="008B50DB"/>
    <w:rsid w:val="008B50E1"/>
    <w:rsid w:val="008B66E8"/>
    <w:rsid w:val="008B6A82"/>
    <w:rsid w:val="008B6A8E"/>
    <w:rsid w:val="008B725C"/>
    <w:rsid w:val="008B79D5"/>
    <w:rsid w:val="008B7FF8"/>
    <w:rsid w:val="008C019E"/>
    <w:rsid w:val="008C0D0F"/>
    <w:rsid w:val="008C19D0"/>
    <w:rsid w:val="008C1E10"/>
    <w:rsid w:val="008C2021"/>
    <w:rsid w:val="008C2163"/>
    <w:rsid w:val="008C220C"/>
    <w:rsid w:val="008C23BA"/>
    <w:rsid w:val="008C3FDD"/>
    <w:rsid w:val="008C405A"/>
    <w:rsid w:val="008C40A8"/>
    <w:rsid w:val="008C450E"/>
    <w:rsid w:val="008C45A1"/>
    <w:rsid w:val="008C482C"/>
    <w:rsid w:val="008C4E06"/>
    <w:rsid w:val="008C4EEE"/>
    <w:rsid w:val="008C55A3"/>
    <w:rsid w:val="008C5910"/>
    <w:rsid w:val="008C5EAB"/>
    <w:rsid w:val="008C65CB"/>
    <w:rsid w:val="008C6803"/>
    <w:rsid w:val="008C68F1"/>
    <w:rsid w:val="008C6C9B"/>
    <w:rsid w:val="008C7227"/>
    <w:rsid w:val="008C72EE"/>
    <w:rsid w:val="008C7491"/>
    <w:rsid w:val="008C7D0F"/>
    <w:rsid w:val="008C7F38"/>
    <w:rsid w:val="008C7F47"/>
    <w:rsid w:val="008D02E2"/>
    <w:rsid w:val="008D06B2"/>
    <w:rsid w:val="008D0824"/>
    <w:rsid w:val="008D0EC9"/>
    <w:rsid w:val="008D10FF"/>
    <w:rsid w:val="008D1A6E"/>
    <w:rsid w:val="008D215E"/>
    <w:rsid w:val="008D21CE"/>
    <w:rsid w:val="008D2D84"/>
    <w:rsid w:val="008D2E23"/>
    <w:rsid w:val="008D49EC"/>
    <w:rsid w:val="008D4E3A"/>
    <w:rsid w:val="008D4ECE"/>
    <w:rsid w:val="008D59BF"/>
    <w:rsid w:val="008D59C9"/>
    <w:rsid w:val="008D5BF2"/>
    <w:rsid w:val="008D5E4F"/>
    <w:rsid w:val="008D61EA"/>
    <w:rsid w:val="008D65A5"/>
    <w:rsid w:val="008D65EB"/>
    <w:rsid w:val="008D76C4"/>
    <w:rsid w:val="008D7CCC"/>
    <w:rsid w:val="008D7DC8"/>
    <w:rsid w:val="008D7F78"/>
    <w:rsid w:val="008E0DD6"/>
    <w:rsid w:val="008E0EA9"/>
    <w:rsid w:val="008E1F53"/>
    <w:rsid w:val="008E20F8"/>
    <w:rsid w:val="008E219C"/>
    <w:rsid w:val="008E3950"/>
    <w:rsid w:val="008E44B9"/>
    <w:rsid w:val="008E52D0"/>
    <w:rsid w:val="008E55F0"/>
    <w:rsid w:val="008E66DE"/>
    <w:rsid w:val="008E6B72"/>
    <w:rsid w:val="008E70AD"/>
    <w:rsid w:val="008E71B6"/>
    <w:rsid w:val="008E78E5"/>
    <w:rsid w:val="008E78EF"/>
    <w:rsid w:val="008E7ECB"/>
    <w:rsid w:val="008F0D16"/>
    <w:rsid w:val="008F1512"/>
    <w:rsid w:val="008F2C7B"/>
    <w:rsid w:val="008F35DF"/>
    <w:rsid w:val="008F37A5"/>
    <w:rsid w:val="008F397A"/>
    <w:rsid w:val="008F3B44"/>
    <w:rsid w:val="008F3B72"/>
    <w:rsid w:val="008F3D45"/>
    <w:rsid w:val="008F3DCD"/>
    <w:rsid w:val="008F3EC6"/>
    <w:rsid w:val="008F3F2B"/>
    <w:rsid w:val="008F4ED5"/>
    <w:rsid w:val="008F565B"/>
    <w:rsid w:val="008F61F1"/>
    <w:rsid w:val="008F6598"/>
    <w:rsid w:val="008F7875"/>
    <w:rsid w:val="008F7E2D"/>
    <w:rsid w:val="00900220"/>
    <w:rsid w:val="00901198"/>
    <w:rsid w:val="00901341"/>
    <w:rsid w:val="009014CD"/>
    <w:rsid w:val="00903219"/>
    <w:rsid w:val="00903477"/>
    <w:rsid w:val="009034B1"/>
    <w:rsid w:val="00903852"/>
    <w:rsid w:val="00903983"/>
    <w:rsid w:val="00904139"/>
    <w:rsid w:val="00904892"/>
    <w:rsid w:val="00905148"/>
    <w:rsid w:val="00905293"/>
    <w:rsid w:val="00905DAA"/>
    <w:rsid w:val="00905EA6"/>
    <w:rsid w:val="00906188"/>
    <w:rsid w:val="009061C0"/>
    <w:rsid w:val="00906310"/>
    <w:rsid w:val="00906D91"/>
    <w:rsid w:val="0090720E"/>
    <w:rsid w:val="0090785C"/>
    <w:rsid w:val="00907B86"/>
    <w:rsid w:val="00910AAD"/>
    <w:rsid w:val="00910CEA"/>
    <w:rsid w:val="009118C7"/>
    <w:rsid w:val="00911CC6"/>
    <w:rsid w:val="00911F0B"/>
    <w:rsid w:val="00912160"/>
    <w:rsid w:val="00913007"/>
    <w:rsid w:val="009130C0"/>
    <w:rsid w:val="009137A8"/>
    <w:rsid w:val="00913ADF"/>
    <w:rsid w:val="009140FE"/>
    <w:rsid w:val="00914F26"/>
    <w:rsid w:val="00915901"/>
    <w:rsid w:val="00915B82"/>
    <w:rsid w:val="00915FF7"/>
    <w:rsid w:val="00916437"/>
    <w:rsid w:val="00916B56"/>
    <w:rsid w:val="00920770"/>
    <w:rsid w:val="009208C3"/>
    <w:rsid w:val="00920D18"/>
    <w:rsid w:val="00920F47"/>
    <w:rsid w:val="0092168A"/>
    <w:rsid w:val="00921803"/>
    <w:rsid w:val="0092249B"/>
    <w:rsid w:val="00922B3E"/>
    <w:rsid w:val="00922EA2"/>
    <w:rsid w:val="00923315"/>
    <w:rsid w:val="00924756"/>
    <w:rsid w:val="00924824"/>
    <w:rsid w:val="00924E31"/>
    <w:rsid w:val="00925257"/>
    <w:rsid w:val="0092539A"/>
    <w:rsid w:val="009259A2"/>
    <w:rsid w:val="00925A65"/>
    <w:rsid w:val="00925D8F"/>
    <w:rsid w:val="00925FBC"/>
    <w:rsid w:val="00926503"/>
    <w:rsid w:val="009265B2"/>
    <w:rsid w:val="00927408"/>
    <w:rsid w:val="0092764F"/>
    <w:rsid w:val="009300AF"/>
    <w:rsid w:val="00930310"/>
    <w:rsid w:val="00930863"/>
    <w:rsid w:val="00930AB6"/>
    <w:rsid w:val="009314CF"/>
    <w:rsid w:val="00931D7D"/>
    <w:rsid w:val="009323FE"/>
    <w:rsid w:val="00932ABF"/>
    <w:rsid w:val="00932B98"/>
    <w:rsid w:val="00932CB7"/>
    <w:rsid w:val="00932CFF"/>
    <w:rsid w:val="00932EB5"/>
    <w:rsid w:val="0093302C"/>
    <w:rsid w:val="00933573"/>
    <w:rsid w:val="00934662"/>
    <w:rsid w:val="00934BB0"/>
    <w:rsid w:val="00934BB4"/>
    <w:rsid w:val="00935E97"/>
    <w:rsid w:val="00936420"/>
    <w:rsid w:val="00936532"/>
    <w:rsid w:val="00940234"/>
    <w:rsid w:val="00940669"/>
    <w:rsid w:val="00940E89"/>
    <w:rsid w:val="00941150"/>
    <w:rsid w:val="0094165B"/>
    <w:rsid w:val="009429A1"/>
    <w:rsid w:val="00942F0F"/>
    <w:rsid w:val="00942F16"/>
    <w:rsid w:val="00943367"/>
    <w:rsid w:val="0094351E"/>
    <w:rsid w:val="00944573"/>
    <w:rsid w:val="009469DC"/>
    <w:rsid w:val="0094775B"/>
    <w:rsid w:val="0094784E"/>
    <w:rsid w:val="00947936"/>
    <w:rsid w:val="00947D34"/>
    <w:rsid w:val="009502F5"/>
    <w:rsid w:val="009503A8"/>
    <w:rsid w:val="0095061D"/>
    <w:rsid w:val="00950C62"/>
    <w:rsid w:val="00950DC4"/>
    <w:rsid w:val="00951514"/>
    <w:rsid w:val="00951526"/>
    <w:rsid w:val="00951A87"/>
    <w:rsid w:val="0095315A"/>
    <w:rsid w:val="00953C8C"/>
    <w:rsid w:val="00953F48"/>
    <w:rsid w:val="009541E3"/>
    <w:rsid w:val="0095427D"/>
    <w:rsid w:val="009548DF"/>
    <w:rsid w:val="0095493E"/>
    <w:rsid w:val="009549BF"/>
    <w:rsid w:val="00954AC0"/>
    <w:rsid w:val="00955791"/>
    <w:rsid w:val="00955A0D"/>
    <w:rsid w:val="009562A3"/>
    <w:rsid w:val="009568C1"/>
    <w:rsid w:val="00956934"/>
    <w:rsid w:val="00956AC9"/>
    <w:rsid w:val="00957363"/>
    <w:rsid w:val="0095796C"/>
    <w:rsid w:val="00957EFD"/>
    <w:rsid w:val="0096049F"/>
    <w:rsid w:val="00960D63"/>
    <w:rsid w:val="00960E8B"/>
    <w:rsid w:val="0096193C"/>
    <w:rsid w:val="00961C2F"/>
    <w:rsid w:val="009627A8"/>
    <w:rsid w:val="00962BF2"/>
    <w:rsid w:val="009630FD"/>
    <w:rsid w:val="0096351C"/>
    <w:rsid w:val="0096352C"/>
    <w:rsid w:val="00963751"/>
    <w:rsid w:val="00963998"/>
    <w:rsid w:val="009645B7"/>
    <w:rsid w:val="0096534C"/>
    <w:rsid w:val="0096539D"/>
    <w:rsid w:val="00966DE4"/>
    <w:rsid w:val="0096705A"/>
    <w:rsid w:val="00967AB0"/>
    <w:rsid w:val="00970172"/>
    <w:rsid w:val="00970735"/>
    <w:rsid w:val="0097090E"/>
    <w:rsid w:val="00970944"/>
    <w:rsid w:val="00971D52"/>
    <w:rsid w:val="00972549"/>
    <w:rsid w:val="009726D8"/>
    <w:rsid w:val="00973893"/>
    <w:rsid w:val="009739B8"/>
    <w:rsid w:val="009746AA"/>
    <w:rsid w:val="00974C24"/>
    <w:rsid w:val="00975C6C"/>
    <w:rsid w:val="009773F9"/>
    <w:rsid w:val="009775FC"/>
    <w:rsid w:val="009778D3"/>
    <w:rsid w:val="00977A64"/>
    <w:rsid w:val="00977EAA"/>
    <w:rsid w:val="00977EF4"/>
    <w:rsid w:val="009807E7"/>
    <w:rsid w:val="009812DD"/>
    <w:rsid w:val="0098192D"/>
    <w:rsid w:val="00982087"/>
    <w:rsid w:val="009834DC"/>
    <w:rsid w:val="00983AF3"/>
    <w:rsid w:val="00983D45"/>
    <w:rsid w:val="00983D46"/>
    <w:rsid w:val="00983F8A"/>
    <w:rsid w:val="0098435D"/>
    <w:rsid w:val="009845A3"/>
    <w:rsid w:val="00984644"/>
    <w:rsid w:val="00984899"/>
    <w:rsid w:val="00984FB7"/>
    <w:rsid w:val="00985BC4"/>
    <w:rsid w:val="00986632"/>
    <w:rsid w:val="009868EA"/>
    <w:rsid w:val="00987EE0"/>
    <w:rsid w:val="00987F8A"/>
    <w:rsid w:val="0099054C"/>
    <w:rsid w:val="00990550"/>
    <w:rsid w:val="00990C32"/>
    <w:rsid w:val="00990F7B"/>
    <w:rsid w:val="0099118A"/>
    <w:rsid w:val="00991384"/>
    <w:rsid w:val="009913D3"/>
    <w:rsid w:val="0099199D"/>
    <w:rsid w:val="0099239A"/>
    <w:rsid w:val="009924DD"/>
    <w:rsid w:val="0099265A"/>
    <w:rsid w:val="00992729"/>
    <w:rsid w:val="00992C7F"/>
    <w:rsid w:val="00993407"/>
    <w:rsid w:val="0099369F"/>
    <w:rsid w:val="009945C1"/>
    <w:rsid w:val="009957EE"/>
    <w:rsid w:val="0099593F"/>
    <w:rsid w:val="00995AC5"/>
    <w:rsid w:val="00996573"/>
    <w:rsid w:val="009966DE"/>
    <w:rsid w:val="00997799"/>
    <w:rsid w:val="00997816"/>
    <w:rsid w:val="009A0203"/>
    <w:rsid w:val="009A03D0"/>
    <w:rsid w:val="009A0ACE"/>
    <w:rsid w:val="009A0BFB"/>
    <w:rsid w:val="009A101F"/>
    <w:rsid w:val="009A145B"/>
    <w:rsid w:val="009A17D5"/>
    <w:rsid w:val="009A1A8D"/>
    <w:rsid w:val="009A2865"/>
    <w:rsid w:val="009A2AE9"/>
    <w:rsid w:val="009A3133"/>
    <w:rsid w:val="009A34F9"/>
    <w:rsid w:val="009A4FB5"/>
    <w:rsid w:val="009A5312"/>
    <w:rsid w:val="009A557D"/>
    <w:rsid w:val="009A5C1F"/>
    <w:rsid w:val="009A5D14"/>
    <w:rsid w:val="009A6382"/>
    <w:rsid w:val="009A6C65"/>
    <w:rsid w:val="009A6C90"/>
    <w:rsid w:val="009A7252"/>
    <w:rsid w:val="009A7322"/>
    <w:rsid w:val="009A7359"/>
    <w:rsid w:val="009A7652"/>
    <w:rsid w:val="009A7E3A"/>
    <w:rsid w:val="009A7EC5"/>
    <w:rsid w:val="009A7FFD"/>
    <w:rsid w:val="009B003E"/>
    <w:rsid w:val="009B02B0"/>
    <w:rsid w:val="009B02B8"/>
    <w:rsid w:val="009B14A5"/>
    <w:rsid w:val="009B1FC6"/>
    <w:rsid w:val="009B226C"/>
    <w:rsid w:val="009B2954"/>
    <w:rsid w:val="009B2B23"/>
    <w:rsid w:val="009B3138"/>
    <w:rsid w:val="009B3C4B"/>
    <w:rsid w:val="009B4DF4"/>
    <w:rsid w:val="009B525D"/>
    <w:rsid w:val="009B57AC"/>
    <w:rsid w:val="009B5B13"/>
    <w:rsid w:val="009B711A"/>
    <w:rsid w:val="009B7F66"/>
    <w:rsid w:val="009C03BF"/>
    <w:rsid w:val="009C0757"/>
    <w:rsid w:val="009C09C4"/>
    <w:rsid w:val="009C131D"/>
    <w:rsid w:val="009C17A1"/>
    <w:rsid w:val="009C242A"/>
    <w:rsid w:val="009C2724"/>
    <w:rsid w:val="009C28CB"/>
    <w:rsid w:val="009C2A54"/>
    <w:rsid w:val="009C2BF9"/>
    <w:rsid w:val="009C2E6E"/>
    <w:rsid w:val="009C31E9"/>
    <w:rsid w:val="009C345A"/>
    <w:rsid w:val="009C373E"/>
    <w:rsid w:val="009C3A71"/>
    <w:rsid w:val="009C46F2"/>
    <w:rsid w:val="009C4B45"/>
    <w:rsid w:val="009C4C04"/>
    <w:rsid w:val="009C4CAA"/>
    <w:rsid w:val="009C563B"/>
    <w:rsid w:val="009C571C"/>
    <w:rsid w:val="009C577A"/>
    <w:rsid w:val="009C6614"/>
    <w:rsid w:val="009C708C"/>
    <w:rsid w:val="009C7199"/>
    <w:rsid w:val="009C7325"/>
    <w:rsid w:val="009C748B"/>
    <w:rsid w:val="009C77A3"/>
    <w:rsid w:val="009D0184"/>
    <w:rsid w:val="009D0339"/>
    <w:rsid w:val="009D1F9E"/>
    <w:rsid w:val="009D25C5"/>
    <w:rsid w:val="009D2603"/>
    <w:rsid w:val="009D2618"/>
    <w:rsid w:val="009D2640"/>
    <w:rsid w:val="009D328B"/>
    <w:rsid w:val="009D3461"/>
    <w:rsid w:val="009D3C0E"/>
    <w:rsid w:val="009D3FB7"/>
    <w:rsid w:val="009D42E4"/>
    <w:rsid w:val="009D4EBC"/>
    <w:rsid w:val="009D58FE"/>
    <w:rsid w:val="009D6781"/>
    <w:rsid w:val="009D683C"/>
    <w:rsid w:val="009D7308"/>
    <w:rsid w:val="009D7400"/>
    <w:rsid w:val="009D748E"/>
    <w:rsid w:val="009D77D3"/>
    <w:rsid w:val="009D79EC"/>
    <w:rsid w:val="009D7D25"/>
    <w:rsid w:val="009D7F74"/>
    <w:rsid w:val="009D7FB5"/>
    <w:rsid w:val="009E0699"/>
    <w:rsid w:val="009E069E"/>
    <w:rsid w:val="009E0DCF"/>
    <w:rsid w:val="009E1574"/>
    <w:rsid w:val="009E1AB1"/>
    <w:rsid w:val="009E211C"/>
    <w:rsid w:val="009E266F"/>
    <w:rsid w:val="009E2CF8"/>
    <w:rsid w:val="009E3808"/>
    <w:rsid w:val="009E402A"/>
    <w:rsid w:val="009E4B79"/>
    <w:rsid w:val="009E5172"/>
    <w:rsid w:val="009E55C9"/>
    <w:rsid w:val="009E59D6"/>
    <w:rsid w:val="009E5CD9"/>
    <w:rsid w:val="009E683E"/>
    <w:rsid w:val="009E6EC2"/>
    <w:rsid w:val="009E72AE"/>
    <w:rsid w:val="009E74CA"/>
    <w:rsid w:val="009E750F"/>
    <w:rsid w:val="009E78FA"/>
    <w:rsid w:val="009F09DD"/>
    <w:rsid w:val="009F0F55"/>
    <w:rsid w:val="009F19EF"/>
    <w:rsid w:val="009F2603"/>
    <w:rsid w:val="009F270A"/>
    <w:rsid w:val="009F28EC"/>
    <w:rsid w:val="009F338E"/>
    <w:rsid w:val="009F3819"/>
    <w:rsid w:val="009F42F4"/>
    <w:rsid w:val="009F46D1"/>
    <w:rsid w:val="009F4722"/>
    <w:rsid w:val="009F553B"/>
    <w:rsid w:val="009F56C3"/>
    <w:rsid w:val="009F57C9"/>
    <w:rsid w:val="009F598A"/>
    <w:rsid w:val="009F76DB"/>
    <w:rsid w:val="00A000BB"/>
    <w:rsid w:val="00A00C04"/>
    <w:rsid w:val="00A0101D"/>
    <w:rsid w:val="00A01408"/>
    <w:rsid w:val="00A0149E"/>
    <w:rsid w:val="00A01500"/>
    <w:rsid w:val="00A0158D"/>
    <w:rsid w:val="00A018EC"/>
    <w:rsid w:val="00A019DF"/>
    <w:rsid w:val="00A01BC4"/>
    <w:rsid w:val="00A02500"/>
    <w:rsid w:val="00A029EC"/>
    <w:rsid w:val="00A0336E"/>
    <w:rsid w:val="00A0364B"/>
    <w:rsid w:val="00A03C09"/>
    <w:rsid w:val="00A03CA5"/>
    <w:rsid w:val="00A03EE1"/>
    <w:rsid w:val="00A04AC3"/>
    <w:rsid w:val="00A04B0B"/>
    <w:rsid w:val="00A04CC8"/>
    <w:rsid w:val="00A04D06"/>
    <w:rsid w:val="00A04FDD"/>
    <w:rsid w:val="00A053B8"/>
    <w:rsid w:val="00A05B24"/>
    <w:rsid w:val="00A05C6A"/>
    <w:rsid w:val="00A061EA"/>
    <w:rsid w:val="00A06601"/>
    <w:rsid w:val="00A07604"/>
    <w:rsid w:val="00A0774C"/>
    <w:rsid w:val="00A077B6"/>
    <w:rsid w:val="00A07ABC"/>
    <w:rsid w:val="00A07AF8"/>
    <w:rsid w:val="00A1093B"/>
    <w:rsid w:val="00A10A6C"/>
    <w:rsid w:val="00A10F44"/>
    <w:rsid w:val="00A112DC"/>
    <w:rsid w:val="00A11331"/>
    <w:rsid w:val="00A11550"/>
    <w:rsid w:val="00A11856"/>
    <w:rsid w:val="00A11AF4"/>
    <w:rsid w:val="00A11B4F"/>
    <w:rsid w:val="00A11D13"/>
    <w:rsid w:val="00A11E0A"/>
    <w:rsid w:val="00A1274E"/>
    <w:rsid w:val="00A12A97"/>
    <w:rsid w:val="00A13233"/>
    <w:rsid w:val="00A1365D"/>
    <w:rsid w:val="00A13A29"/>
    <w:rsid w:val="00A14A5E"/>
    <w:rsid w:val="00A15188"/>
    <w:rsid w:val="00A15222"/>
    <w:rsid w:val="00A157F4"/>
    <w:rsid w:val="00A15B26"/>
    <w:rsid w:val="00A15BEF"/>
    <w:rsid w:val="00A15E98"/>
    <w:rsid w:val="00A166A5"/>
    <w:rsid w:val="00A17191"/>
    <w:rsid w:val="00A17318"/>
    <w:rsid w:val="00A17553"/>
    <w:rsid w:val="00A175A9"/>
    <w:rsid w:val="00A20C0E"/>
    <w:rsid w:val="00A20E4E"/>
    <w:rsid w:val="00A2106E"/>
    <w:rsid w:val="00A21DEA"/>
    <w:rsid w:val="00A22C05"/>
    <w:rsid w:val="00A2344F"/>
    <w:rsid w:val="00A239BA"/>
    <w:rsid w:val="00A23A10"/>
    <w:rsid w:val="00A23C9A"/>
    <w:rsid w:val="00A24ADD"/>
    <w:rsid w:val="00A2507F"/>
    <w:rsid w:val="00A253D3"/>
    <w:rsid w:val="00A262D9"/>
    <w:rsid w:val="00A26633"/>
    <w:rsid w:val="00A26E86"/>
    <w:rsid w:val="00A275EA"/>
    <w:rsid w:val="00A2773C"/>
    <w:rsid w:val="00A2791C"/>
    <w:rsid w:val="00A27A5E"/>
    <w:rsid w:val="00A27A79"/>
    <w:rsid w:val="00A30800"/>
    <w:rsid w:val="00A313BF"/>
    <w:rsid w:val="00A314B5"/>
    <w:rsid w:val="00A3174E"/>
    <w:rsid w:val="00A31850"/>
    <w:rsid w:val="00A320D0"/>
    <w:rsid w:val="00A3262C"/>
    <w:rsid w:val="00A32C3B"/>
    <w:rsid w:val="00A32F9C"/>
    <w:rsid w:val="00A33301"/>
    <w:rsid w:val="00A33FB4"/>
    <w:rsid w:val="00A345DA"/>
    <w:rsid w:val="00A34CF2"/>
    <w:rsid w:val="00A351AC"/>
    <w:rsid w:val="00A35536"/>
    <w:rsid w:val="00A364D1"/>
    <w:rsid w:val="00A37002"/>
    <w:rsid w:val="00A371A7"/>
    <w:rsid w:val="00A372D4"/>
    <w:rsid w:val="00A37648"/>
    <w:rsid w:val="00A378D7"/>
    <w:rsid w:val="00A37A81"/>
    <w:rsid w:val="00A37D24"/>
    <w:rsid w:val="00A37F39"/>
    <w:rsid w:val="00A40EDA"/>
    <w:rsid w:val="00A4105C"/>
    <w:rsid w:val="00A41467"/>
    <w:rsid w:val="00A42178"/>
    <w:rsid w:val="00A42D9D"/>
    <w:rsid w:val="00A43128"/>
    <w:rsid w:val="00A43F0A"/>
    <w:rsid w:val="00A4417D"/>
    <w:rsid w:val="00A446D0"/>
    <w:rsid w:val="00A45634"/>
    <w:rsid w:val="00A458B6"/>
    <w:rsid w:val="00A45F4F"/>
    <w:rsid w:val="00A462B9"/>
    <w:rsid w:val="00A46625"/>
    <w:rsid w:val="00A477C0"/>
    <w:rsid w:val="00A47C62"/>
    <w:rsid w:val="00A5017E"/>
    <w:rsid w:val="00A50805"/>
    <w:rsid w:val="00A50BFE"/>
    <w:rsid w:val="00A50CEB"/>
    <w:rsid w:val="00A51366"/>
    <w:rsid w:val="00A51858"/>
    <w:rsid w:val="00A52235"/>
    <w:rsid w:val="00A52936"/>
    <w:rsid w:val="00A52E9C"/>
    <w:rsid w:val="00A53279"/>
    <w:rsid w:val="00A53783"/>
    <w:rsid w:val="00A53D38"/>
    <w:rsid w:val="00A5429C"/>
    <w:rsid w:val="00A5472E"/>
    <w:rsid w:val="00A54B4B"/>
    <w:rsid w:val="00A55812"/>
    <w:rsid w:val="00A55BDE"/>
    <w:rsid w:val="00A56605"/>
    <w:rsid w:val="00A566E5"/>
    <w:rsid w:val="00A568CD"/>
    <w:rsid w:val="00A5696A"/>
    <w:rsid w:val="00A57325"/>
    <w:rsid w:val="00A57997"/>
    <w:rsid w:val="00A57D0F"/>
    <w:rsid w:val="00A600A9"/>
    <w:rsid w:val="00A604EB"/>
    <w:rsid w:val="00A60B87"/>
    <w:rsid w:val="00A61381"/>
    <w:rsid w:val="00A61424"/>
    <w:rsid w:val="00A614DD"/>
    <w:rsid w:val="00A61662"/>
    <w:rsid w:val="00A617FD"/>
    <w:rsid w:val="00A61A49"/>
    <w:rsid w:val="00A61D17"/>
    <w:rsid w:val="00A61F19"/>
    <w:rsid w:val="00A62094"/>
    <w:rsid w:val="00A623AA"/>
    <w:rsid w:val="00A62974"/>
    <w:rsid w:val="00A62A73"/>
    <w:rsid w:val="00A62B38"/>
    <w:rsid w:val="00A62BC1"/>
    <w:rsid w:val="00A62BFF"/>
    <w:rsid w:val="00A631F3"/>
    <w:rsid w:val="00A63BAB"/>
    <w:rsid w:val="00A63E02"/>
    <w:rsid w:val="00A64518"/>
    <w:rsid w:val="00A64D56"/>
    <w:rsid w:val="00A65189"/>
    <w:rsid w:val="00A654F7"/>
    <w:rsid w:val="00A6575D"/>
    <w:rsid w:val="00A65E53"/>
    <w:rsid w:val="00A66A30"/>
    <w:rsid w:val="00A66A5D"/>
    <w:rsid w:val="00A6719B"/>
    <w:rsid w:val="00A67833"/>
    <w:rsid w:val="00A7003B"/>
    <w:rsid w:val="00A70148"/>
    <w:rsid w:val="00A701ED"/>
    <w:rsid w:val="00A704E5"/>
    <w:rsid w:val="00A70BB0"/>
    <w:rsid w:val="00A712FF"/>
    <w:rsid w:val="00A713CB"/>
    <w:rsid w:val="00A713E0"/>
    <w:rsid w:val="00A71B3D"/>
    <w:rsid w:val="00A720A6"/>
    <w:rsid w:val="00A72121"/>
    <w:rsid w:val="00A722FA"/>
    <w:rsid w:val="00A72579"/>
    <w:rsid w:val="00A72C75"/>
    <w:rsid w:val="00A72F43"/>
    <w:rsid w:val="00A73140"/>
    <w:rsid w:val="00A735FF"/>
    <w:rsid w:val="00A73B0F"/>
    <w:rsid w:val="00A73E0A"/>
    <w:rsid w:val="00A73E52"/>
    <w:rsid w:val="00A73E73"/>
    <w:rsid w:val="00A73E85"/>
    <w:rsid w:val="00A73F74"/>
    <w:rsid w:val="00A74052"/>
    <w:rsid w:val="00A74896"/>
    <w:rsid w:val="00A74AAE"/>
    <w:rsid w:val="00A74BB7"/>
    <w:rsid w:val="00A74CED"/>
    <w:rsid w:val="00A75278"/>
    <w:rsid w:val="00A753BE"/>
    <w:rsid w:val="00A754D8"/>
    <w:rsid w:val="00A75D3C"/>
    <w:rsid w:val="00A75D62"/>
    <w:rsid w:val="00A762E6"/>
    <w:rsid w:val="00A77ABF"/>
    <w:rsid w:val="00A80722"/>
    <w:rsid w:val="00A807B9"/>
    <w:rsid w:val="00A80A04"/>
    <w:rsid w:val="00A80C6C"/>
    <w:rsid w:val="00A816E9"/>
    <w:rsid w:val="00A81913"/>
    <w:rsid w:val="00A81A17"/>
    <w:rsid w:val="00A82A2E"/>
    <w:rsid w:val="00A83D4C"/>
    <w:rsid w:val="00A840B1"/>
    <w:rsid w:val="00A849A8"/>
    <w:rsid w:val="00A84D29"/>
    <w:rsid w:val="00A851DB"/>
    <w:rsid w:val="00A85E62"/>
    <w:rsid w:val="00A86094"/>
    <w:rsid w:val="00A86177"/>
    <w:rsid w:val="00A861A6"/>
    <w:rsid w:val="00A86833"/>
    <w:rsid w:val="00A86DB8"/>
    <w:rsid w:val="00A86E1D"/>
    <w:rsid w:val="00A878D8"/>
    <w:rsid w:val="00A87973"/>
    <w:rsid w:val="00A87EFE"/>
    <w:rsid w:val="00A907E8"/>
    <w:rsid w:val="00A91526"/>
    <w:rsid w:val="00A91658"/>
    <w:rsid w:val="00A91896"/>
    <w:rsid w:val="00A9252C"/>
    <w:rsid w:val="00A92CAA"/>
    <w:rsid w:val="00A93A6E"/>
    <w:rsid w:val="00A93B68"/>
    <w:rsid w:val="00A93BB2"/>
    <w:rsid w:val="00A946F2"/>
    <w:rsid w:val="00A94BA1"/>
    <w:rsid w:val="00A94F2D"/>
    <w:rsid w:val="00A94FCC"/>
    <w:rsid w:val="00A95733"/>
    <w:rsid w:val="00A959F2"/>
    <w:rsid w:val="00A95A1E"/>
    <w:rsid w:val="00A95B24"/>
    <w:rsid w:val="00A95B6C"/>
    <w:rsid w:val="00A95BB8"/>
    <w:rsid w:val="00A95C56"/>
    <w:rsid w:val="00A9631D"/>
    <w:rsid w:val="00A96D26"/>
    <w:rsid w:val="00A97300"/>
    <w:rsid w:val="00A9746C"/>
    <w:rsid w:val="00A97AC9"/>
    <w:rsid w:val="00A97B08"/>
    <w:rsid w:val="00AA04FB"/>
    <w:rsid w:val="00AA0CAE"/>
    <w:rsid w:val="00AA0E88"/>
    <w:rsid w:val="00AA100E"/>
    <w:rsid w:val="00AA19BB"/>
    <w:rsid w:val="00AA228F"/>
    <w:rsid w:val="00AA26E7"/>
    <w:rsid w:val="00AA28F9"/>
    <w:rsid w:val="00AA2960"/>
    <w:rsid w:val="00AA3075"/>
    <w:rsid w:val="00AA3A54"/>
    <w:rsid w:val="00AA3CAC"/>
    <w:rsid w:val="00AA4061"/>
    <w:rsid w:val="00AA4724"/>
    <w:rsid w:val="00AA4A77"/>
    <w:rsid w:val="00AA511C"/>
    <w:rsid w:val="00AA55B7"/>
    <w:rsid w:val="00AA5B9E"/>
    <w:rsid w:val="00AA5E14"/>
    <w:rsid w:val="00AA655E"/>
    <w:rsid w:val="00AA656C"/>
    <w:rsid w:val="00AA6820"/>
    <w:rsid w:val="00AA6B47"/>
    <w:rsid w:val="00AA6CE3"/>
    <w:rsid w:val="00AA7030"/>
    <w:rsid w:val="00AA79D5"/>
    <w:rsid w:val="00AB1C07"/>
    <w:rsid w:val="00AB2094"/>
    <w:rsid w:val="00AB2407"/>
    <w:rsid w:val="00AB2562"/>
    <w:rsid w:val="00AB2BBB"/>
    <w:rsid w:val="00AB36D5"/>
    <w:rsid w:val="00AB3F30"/>
    <w:rsid w:val="00AB42E5"/>
    <w:rsid w:val="00AB4B4F"/>
    <w:rsid w:val="00AB4C86"/>
    <w:rsid w:val="00AB53DF"/>
    <w:rsid w:val="00AB550C"/>
    <w:rsid w:val="00AB5C0A"/>
    <w:rsid w:val="00AB5DFC"/>
    <w:rsid w:val="00AB68A0"/>
    <w:rsid w:val="00AB7097"/>
    <w:rsid w:val="00AB7DF2"/>
    <w:rsid w:val="00AC087C"/>
    <w:rsid w:val="00AC0F70"/>
    <w:rsid w:val="00AC10E2"/>
    <w:rsid w:val="00AC16EE"/>
    <w:rsid w:val="00AC1A21"/>
    <w:rsid w:val="00AC2DF1"/>
    <w:rsid w:val="00AC2E14"/>
    <w:rsid w:val="00AC3A73"/>
    <w:rsid w:val="00AC4305"/>
    <w:rsid w:val="00AC5545"/>
    <w:rsid w:val="00AC5738"/>
    <w:rsid w:val="00AC58CF"/>
    <w:rsid w:val="00AC6256"/>
    <w:rsid w:val="00AC63D0"/>
    <w:rsid w:val="00AC671F"/>
    <w:rsid w:val="00AC684D"/>
    <w:rsid w:val="00AC6C63"/>
    <w:rsid w:val="00AC742C"/>
    <w:rsid w:val="00AC76C6"/>
    <w:rsid w:val="00AC77E0"/>
    <w:rsid w:val="00AC79BD"/>
    <w:rsid w:val="00AD0058"/>
    <w:rsid w:val="00AD0714"/>
    <w:rsid w:val="00AD149A"/>
    <w:rsid w:val="00AD1DF6"/>
    <w:rsid w:val="00AD280A"/>
    <w:rsid w:val="00AD2ACD"/>
    <w:rsid w:val="00AD2D12"/>
    <w:rsid w:val="00AD34EC"/>
    <w:rsid w:val="00AD3A04"/>
    <w:rsid w:val="00AD3A64"/>
    <w:rsid w:val="00AD443B"/>
    <w:rsid w:val="00AD457A"/>
    <w:rsid w:val="00AD5601"/>
    <w:rsid w:val="00AD6313"/>
    <w:rsid w:val="00AD635C"/>
    <w:rsid w:val="00AD6EB5"/>
    <w:rsid w:val="00AD7187"/>
    <w:rsid w:val="00AE13B8"/>
    <w:rsid w:val="00AE1A42"/>
    <w:rsid w:val="00AE1A8D"/>
    <w:rsid w:val="00AE1A95"/>
    <w:rsid w:val="00AE3DD5"/>
    <w:rsid w:val="00AE3F03"/>
    <w:rsid w:val="00AE4618"/>
    <w:rsid w:val="00AE4D28"/>
    <w:rsid w:val="00AE51D3"/>
    <w:rsid w:val="00AE5474"/>
    <w:rsid w:val="00AE56CB"/>
    <w:rsid w:val="00AE5780"/>
    <w:rsid w:val="00AE5869"/>
    <w:rsid w:val="00AE64D5"/>
    <w:rsid w:val="00AE66FC"/>
    <w:rsid w:val="00AE6E25"/>
    <w:rsid w:val="00AE74D3"/>
    <w:rsid w:val="00AE76E5"/>
    <w:rsid w:val="00AF06D1"/>
    <w:rsid w:val="00AF076F"/>
    <w:rsid w:val="00AF0F4E"/>
    <w:rsid w:val="00AF1099"/>
    <w:rsid w:val="00AF1FA7"/>
    <w:rsid w:val="00AF3A2D"/>
    <w:rsid w:val="00AF400A"/>
    <w:rsid w:val="00AF4025"/>
    <w:rsid w:val="00AF46CC"/>
    <w:rsid w:val="00AF4A68"/>
    <w:rsid w:val="00AF4B77"/>
    <w:rsid w:val="00AF52B0"/>
    <w:rsid w:val="00AF6B86"/>
    <w:rsid w:val="00AF6E54"/>
    <w:rsid w:val="00AF6E6D"/>
    <w:rsid w:val="00AF7EAB"/>
    <w:rsid w:val="00B009D6"/>
    <w:rsid w:val="00B00A63"/>
    <w:rsid w:val="00B00FF9"/>
    <w:rsid w:val="00B01289"/>
    <w:rsid w:val="00B01799"/>
    <w:rsid w:val="00B0270E"/>
    <w:rsid w:val="00B027D7"/>
    <w:rsid w:val="00B02993"/>
    <w:rsid w:val="00B03163"/>
    <w:rsid w:val="00B03EA7"/>
    <w:rsid w:val="00B04564"/>
    <w:rsid w:val="00B051F5"/>
    <w:rsid w:val="00B05E22"/>
    <w:rsid w:val="00B06178"/>
    <w:rsid w:val="00B07D80"/>
    <w:rsid w:val="00B07E5C"/>
    <w:rsid w:val="00B102B6"/>
    <w:rsid w:val="00B1038C"/>
    <w:rsid w:val="00B10978"/>
    <w:rsid w:val="00B10B3E"/>
    <w:rsid w:val="00B110B6"/>
    <w:rsid w:val="00B119C4"/>
    <w:rsid w:val="00B11D3A"/>
    <w:rsid w:val="00B126C3"/>
    <w:rsid w:val="00B12A2C"/>
    <w:rsid w:val="00B137F7"/>
    <w:rsid w:val="00B13AE2"/>
    <w:rsid w:val="00B14BB2"/>
    <w:rsid w:val="00B14E21"/>
    <w:rsid w:val="00B14F27"/>
    <w:rsid w:val="00B15214"/>
    <w:rsid w:val="00B1541E"/>
    <w:rsid w:val="00B15ADC"/>
    <w:rsid w:val="00B15B66"/>
    <w:rsid w:val="00B1605A"/>
    <w:rsid w:val="00B16135"/>
    <w:rsid w:val="00B17466"/>
    <w:rsid w:val="00B17D64"/>
    <w:rsid w:val="00B20B14"/>
    <w:rsid w:val="00B20C48"/>
    <w:rsid w:val="00B210B8"/>
    <w:rsid w:val="00B21155"/>
    <w:rsid w:val="00B21609"/>
    <w:rsid w:val="00B21C26"/>
    <w:rsid w:val="00B21D5B"/>
    <w:rsid w:val="00B22D0F"/>
    <w:rsid w:val="00B24022"/>
    <w:rsid w:val="00B24E17"/>
    <w:rsid w:val="00B250A0"/>
    <w:rsid w:val="00B256EA"/>
    <w:rsid w:val="00B26194"/>
    <w:rsid w:val="00B26289"/>
    <w:rsid w:val="00B263D8"/>
    <w:rsid w:val="00B2677A"/>
    <w:rsid w:val="00B271C3"/>
    <w:rsid w:val="00B27571"/>
    <w:rsid w:val="00B277BB"/>
    <w:rsid w:val="00B278F2"/>
    <w:rsid w:val="00B308ED"/>
    <w:rsid w:val="00B313B1"/>
    <w:rsid w:val="00B31687"/>
    <w:rsid w:val="00B31AB4"/>
    <w:rsid w:val="00B31E23"/>
    <w:rsid w:val="00B322DB"/>
    <w:rsid w:val="00B333E3"/>
    <w:rsid w:val="00B33504"/>
    <w:rsid w:val="00B33A16"/>
    <w:rsid w:val="00B34661"/>
    <w:rsid w:val="00B3484E"/>
    <w:rsid w:val="00B34EF7"/>
    <w:rsid w:val="00B351CB"/>
    <w:rsid w:val="00B35C0A"/>
    <w:rsid w:val="00B36A6B"/>
    <w:rsid w:val="00B36D1E"/>
    <w:rsid w:val="00B36D85"/>
    <w:rsid w:val="00B36FB0"/>
    <w:rsid w:val="00B4029F"/>
    <w:rsid w:val="00B40769"/>
    <w:rsid w:val="00B4150B"/>
    <w:rsid w:val="00B4165C"/>
    <w:rsid w:val="00B41B9F"/>
    <w:rsid w:val="00B42112"/>
    <w:rsid w:val="00B42260"/>
    <w:rsid w:val="00B42314"/>
    <w:rsid w:val="00B431E1"/>
    <w:rsid w:val="00B436BA"/>
    <w:rsid w:val="00B43B15"/>
    <w:rsid w:val="00B43BB8"/>
    <w:rsid w:val="00B43E2E"/>
    <w:rsid w:val="00B447A6"/>
    <w:rsid w:val="00B44CE0"/>
    <w:rsid w:val="00B4507B"/>
    <w:rsid w:val="00B45425"/>
    <w:rsid w:val="00B45A3B"/>
    <w:rsid w:val="00B45E8C"/>
    <w:rsid w:val="00B46127"/>
    <w:rsid w:val="00B46619"/>
    <w:rsid w:val="00B46CE9"/>
    <w:rsid w:val="00B46F06"/>
    <w:rsid w:val="00B47748"/>
    <w:rsid w:val="00B47DDD"/>
    <w:rsid w:val="00B50541"/>
    <w:rsid w:val="00B50614"/>
    <w:rsid w:val="00B507AE"/>
    <w:rsid w:val="00B50816"/>
    <w:rsid w:val="00B50A9B"/>
    <w:rsid w:val="00B50C0D"/>
    <w:rsid w:val="00B5105A"/>
    <w:rsid w:val="00B51BFD"/>
    <w:rsid w:val="00B523C9"/>
    <w:rsid w:val="00B53506"/>
    <w:rsid w:val="00B53EE7"/>
    <w:rsid w:val="00B54259"/>
    <w:rsid w:val="00B54C9C"/>
    <w:rsid w:val="00B557C7"/>
    <w:rsid w:val="00B55B2D"/>
    <w:rsid w:val="00B55F86"/>
    <w:rsid w:val="00B563AA"/>
    <w:rsid w:val="00B56744"/>
    <w:rsid w:val="00B57011"/>
    <w:rsid w:val="00B575F4"/>
    <w:rsid w:val="00B57811"/>
    <w:rsid w:val="00B57A64"/>
    <w:rsid w:val="00B601B0"/>
    <w:rsid w:val="00B617B6"/>
    <w:rsid w:val="00B61FB4"/>
    <w:rsid w:val="00B622B2"/>
    <w:rsid w:val="00B6257F"/>
    <w:rsid w:val="00B62662"/>
    <w:rsid w:val="00B63001"/>
    <w:rsid w:val="00B630B3"/>
    <w:rsid w:val="00B63176"/>
    <w:rsid w:val="00B63AB5"/>
    <w:rsid w:val="00B6431F"/>
    <w:rsid w:val="00B65087"/>
    <w:rsid w:val="00B6558E"/>
    <w:rsid w:val="00B65686"/>
    <w:rsid w:val="00B65CFD"/>
    <w:rsid w:val="00B66069"/>
    <w:rsid w:val="00B666B2"/>
    <w:rsid w:val="00B66E0F"/>
    <w:rsid w:val="00B6702B"/>
    <w:rsid w:val="00B67291"/>
    <w:rsid w:val="00B677DA"/>
    <w:rsid w:val="00B67862"/>
    <w:rsid w:val="00B70400"/>
    <w:rsid w:val="00B7055D"/>
    <w:rsid w:val="00B708F6"/>
    <w:rsid w:val="00B71751"/>
    <w:rsid w:val="00B717D7"/>
    <w:rsid w:val="00B7183C"/>
    <w:rsid w:val="00B71D1A"/>
    <w:rsid w:val="00B7210F"/>
    <w:rsid w:val="00B725C8"/>
    <w:rsid w:val="00B72BD7"/>
    <w:rsid w:val="00B72EF8"/>
    <w:rsid w:val="00B73286"/>
    <w:rsid w:val="00B73368"/>
    <w:rsid w:val="00B73652"/>
    <w:rsid w:val="00B7398E"/>
    <w:rsid w:val="00B73B9F"/>
    <w:rsid w:val="00B73BEE"/>
    <w:rsid w:val="00B73C8D"/>
    <w:rsid w:val="00B7429E"/>
    <w:rsid w:val="00B7429F"/>
    <w:rsid w:val="00B74513"/>
    <w:rsid w:val="00B74825"/>
    <w:rsid w:val="00B75305"/>
    <w:rsid w:val="00B75466"/>
    <w:rsid w:val="00B75C4A"/>
    <w:rsid w:val="00B75FA2"/>
    <w:rsid w:val="00B76119"/>
    <w:rsid w:val="00B7615C"/>
    <w:rsid w:val="00B764ED"/>
    <w:rsid w:val="00B7674F"/>
    <w:rsid w:val="00B76949"/>
    <w:rsid w:val="00B76A75"/>
    <w:rsid w:val="00B7703D"/>
    <w:rsid w:val="00B77B98"/>
    <w:rsid w:val="00B77D27"/>
    <w:rsid w:val="00B77DA8"/>
    <w:rsid w:val="00B77E55"/>
    <w:rsid w:val="00B77EE3"/>
    <w:rsid w:val="00B80223"/>
    <w:rsid w:val="00B80898"/>
    <w:rsid w:val="00B80CE8"/>
    <w:rsid w:val="00B811F7"/>
    <w:rsid w:val="00B813EA"/>
    <w:rsid w:val="00B82227"/>
    <w:rsid w:val="00B83700"/>
    <w:rsid w:val="00B83BA6"/>
    <w:rsid w:val="00B841AF"/>
    <w:rsid w:val="00B843F8"/>
    <w:rsid w:val="00B85C63"/>
    <w:rsid w:val="00B861D9"/>
    <w:rsid w:val="00B862A6"/>
    <w:rsid w:val="00B8630A"/>
    <w:rsid w:val="00B865B2"/>
    <w:rsid w:val="00B867EE"/>
    <w:rsid w:val="00B8705E"/>
    <w:rsid w:val="00B87235"/>
    <w:rsid w:val="00B875D4"/>
    <w:rsid w:val="00B8781D"/>
    <w:rsid w:val="00B87905"/>
    <w:rsid w:val="00B90261"/>
    <w:rsid w:val="00B904BD"/>
    <w:rsid w:val="00B913BB"/>
    <w:rsid w:val="00B914B3"/>
    <w:rsid w:val="00B91A1C"/>
    <w:rsid w:val="00B92237"/>
    <w:rsid w:val="00B9271B"/>
    <w:rsid w:val="00B92A32"/>
    <w:rsid w:val="00B92C30"/>
    <w:rsid w:val="00B930AF"/>
    <w:rsid w:val="00B932F5"/>
    <w:rsid w:val="00B933A7"/>
    <w:rsid w:val="00B93533"/>
    <w:rsid w:val="00B93580"/>
    <w:rsid w:val="00B94D93"/>
    <w:rsid w:val="00B9508B"/>
    <w:rsid w:val="00B9511E"/>
    <w:rsid w:val="00B952C3"/>
    <w:rsid w:val="00B955D1"/>
    <w:rsid w:val="00B95AB9"/>
    <w:rsid w:val="00B9622D"/>
    <w:rsid w:val="00B97113"/>
    <w:rsid w:val="00B97F94"/>
    <w:rsid w:val="00BA018E"/>
    <w:rsid w:val="00BA018F"/>
    <w:rsid w:val="00BA0D93"/>
    <w:rsid w:val="00BA104A"/>
    <w:rsid w:val="00BA108A"/>
    <w:rsid w:val="00BA1413"/>
    <w:rsid w:val="00BA1C5A"/>
    <w:rsid w:val="00BA24CA"/>
    <w:rsid w:val="00BA2FA4"/>
    <w:rsid w:val="00BA32A0"/>
    <w:rsid w:val="00BA3420"/>
    <w:rsid w:val="00BA3560"/>
    <w:rsid w:val="00BA4001"/>
    <w:rsid w:val="00BA474F"/>
    <w:rsid w:val="00BA48A5"/>
    <w:rsid w:val="00BA4BE7"/>
    <w:rsid w:val="00BA51EF"/>
    <w:rsid w:val="00BA537B"/>
    <w:rsid w:val="00BA5AAC"/>
    <w:rsid w:val="00BA5DC6"/>
    <w:rsid w:val="00BA6037"/>
    <w:rsid w:val="00BA6196"/>
    <w:rsid w:val="00BA6B82"/>
    <w:rsid w:val="00BA7514"/>
    <w:rsid w:val="00BA7D02"/>
    <w:rsid w:val="00BB0464"/>
    <w:rsid w:val="00BB050D"/>
    <w:rsid w:val="00BB0698"/>
    <w:rsid w:val="00BB083A"/>
    <w:rsid w:val="00BB086C"/>
    <w:rsid w:val="00BB0BA5"/>
    <w:rsid w:val="00BB1681"/>
    <w:rsid w:val="00BB16CD"/>
    <w:rsid w:val="00BB1859"/>
    <w:rsid w:val="00BB290F"/>
    <w:rsid w:val="00BB31FC"/>
    <w:rsid w:val="00BB368B"/>
    <w:rsid w:val="00BB3EF9"/>
    <w:rsid w:val="00BB4019"/>
    <w:rsid w:val="00BB4321"/>
    <w:rsid w:val="00BB4BF1"/>
    <w:rsid w:val="00BB4D20"/>
    <w:rsid w:val="00BB5996"/>
    <w:rsid w:val="00BB59C8"/>
    <w:rsid w:val="00BB5B3A"/>
    <w:rsid w:val="00BB7366"/>
    <w:rsid w:val="00BB73F1"/>
    <w:rsid w:val="00BB772D"/>
    <w:rsid w:val="00BB7A63"/>
    <w:rsid w:val="00BB7E20"/>
    <w:rsid w:val="00BC006C"/>
    <w:rsid w:val="00BC0939"/>
    <w:rsid w:val="00BC0E76"/>
    <w:rsid w:val="00BC108E"/>
    <w:rsid w:val="00BC138A"/>
    <w:rsid w:val="00BC1684"/>
    <w:rsid w:val="00BC1EDB"/>
    <w:rsid w:val="00BC2107"/>
    <w:rsid w:val="00BC21DA"/>
    <w:rsid w:val="00BC27BB"/>
    <w:rsid w:val="00BC3345"/>
    <w:rsid w:val="00BC3743"/>
    <w:rsid w:val="00BC3848"/>
    <w:rsid w:val="00BC3E82"/>
    <w:rsid w:val="00BC4AC8"/>
    <w:rsid w:val="00BC5B1D"/>
    <w:rsid w:val="00BC6AC6"/>
    <w:rsid w:val="00BC6D8C"/>
    <w:rsid w:val="00BC6D8F"/>
    <w:rsid w:val="00BC707F"/>
    <w:rsid w:val="00BC77E1"/>
    <w:rsid w:val="00BC7F01"/>
    <w:rsid w:val="00BD08D9"/>
    <w:rsid w:val="00BD1FB5"/>
    <w:rsid w:val="00BD266F"/>
    <w:rsid w:val="00BD33D9"/>
    <w:rsid w:val="00BD3882"/>
    <w:rsid w:val="00BD3D86"/>
    <w:rsid w:val="00BD3F57"/>
    <w:rsid w:val="00BD45C5"/>
    <w:rsid w:val="00BD492D"/>
    <w:rsid w:val="00BD5395"/>
    <w:rsid w:val="00BD56C4"/>
    <w:rsid w:val="00BD59E5"/>
    <w:rsid w:val="00BD5DC8"/>
    <w:rsid w:val="00BD5E83"/>
    <w:rsid w:val="00BD5F32"/>
    <w:rsid w:val="00BD64DD"/>
    <w:rsid w:val="00BD6C29"/>
    <w:rsid w:val="00BD7086"/>
    <w:rsid w:val="00BE015C"/>
    <w:rsid w:val="00BE13FF"/>
    <w:rsid w:val="00BE1FDD"/>
    <w:rsid w:val="00BE1FFC"/>
    <w:rsid w:val="00BE24B1"/>
    <w:rsid w:val="00BE28F5"/>
    <w:rsid w:val="00BE2E2A"/>
    <w:rsid w:val="00BE34C7"/>
    <w:rsid w:val="00BE3522"/>
    <w:rsid w:val="00BE59A1"/>
    <w:rsid w:val="00BE5C0C"/>
    <w:rsid w:val="00BE606D"/>
    <w:rsid w:val="00BE69E9"/>
    <w:rsid w:val="00BE6B70"/>
    <w:rsid w:val="00BE6F70"/>
    <w:rsid w:val="00BE7682"/>
    <w:rsid w:val="00BE77EC"/>
    <w:rsid w:val="00BE7B21"/>
    <w:rsid w:val="00BE7B92"/>
    <w:rsid w:val="00BE7DA3"/>
    <w:rsid w:val="00BF035E"/>
    <w:rsid w:val="00BF03B0"/>
    <w:rsid w:val="00BF0A06"/>
    <w:rsid w:val="00BF0C46"/>
    <w:rsid w:val="00BF0D80"/>
    <w:rsid w:val="00BF1235"/>
    <w:rsid w:val="00BF1921"/>
    <w:rsid w:val="00BF1B87"/>
    <w:rsid w:val="00BF1D08"/>
    <w:rsid w:val="00BF20F2"/>
    <w:rsid w:val="00BF2721"/>
    <w:rsid w:val="00BF284B"/>
    <w:rsid w:val="00BF2C40"/>
    <w:rsid w:val="00BF3965"/>
    <w:rsid w:val="00BF53C0"/>
    <w:rsid w:val="00BF5469"/>
    <w:rsid w:val="00BF5C7D"/>
    <w:rsid w:val="00BF60C2"/>
    <w:rsid w:val="00BF6216"/>
    <w:rsid w:val="00BF6334"/>
    <w:rsid w:val="00BF670A"/>
    <w:rsid w:val="00BF6B7D"/>
    <w:rsid w:val="00BF6C6F"/>
    <w:rsid w:val="00BF70F7"/>
    <w:rsid w:val="00BF7555"/>
    <w:rsid w:val="00BF7958"/>
    <w:rsid w:val="00C0020E"/>
    <w:rsid w:val="00C002DD"/>
    <w:rsid w:val="00C00BE3"/>
    <w:rsid w:val="00C00E05"/>
    <w:rsid w:val="00C01BA7"/>
    <w:rsid w:val="00C01DED"/>
    <w:rsid w:val="00C01E70"/>
    <w:rsid w:val="00C01EE1"/>
    <w:rsid w:val="00C02271"/>
    <w:rsid w:val="00C022A2"/>
    <w:rsid w:val="00C02991"/>
    <w:rsid w:val="00C0314A"/>
    <w:rsid w:val="00C03231"/>
    <w:rsid w:val="00C03479"/>
    <w:rsid w:val="00C03BB2"/>
    <w:rsid w:val="00C04698"/>
    <w:rsid w:val="00C0492F"/>
    <w:rsid w:val="00C061F8"/>
    <w:rsid w:val="00C065A3"/>
    <w:rsid w:val="00C07060"/>
    <w:rsid w:val="00C0782E"/>
    <w:rsid w:val="00C07BAC"/>
    <w:rsid w:val="00C07DC5"/>
    <w:rsid w:val="00C10369"/>
    <w:rsid w:val="00C11605"/>
    <w:rsid w:val="00C116D7"/>
    <w:rsid w:val="00C118D9"/>
    <w:rsid w:val="00C11A34"/>
    <w:rsid w:val="00C11BAE"/>
    <w:rsid w:val="00C1222F"/>
    <w:rsid w:val="00C12812"/>
    <w:rsid w:val="00C12DAF"/>
    <w:rsid w:val="00C1360B"/>
    <w:rsid w:val="00C13767"/>
    <w:rsid w:val="00C138B2"/>
    <w:rsid w:val="00C13E4F"/>
    <w:rsid w:val="00C145DC"/>
    <w:rsid w:val="00C14DFE"/>
    <w:rsid w:val="00C15025"/>
    <w:rsid w:val="00C1530D"/>
    <w:rsid w:val="00C15D34"/>
    <w:rsid w:val="00C16701"/>
    <w:rsid w:val="00C168AD"/>
    <w:rsid w:val="00C16B26"/>
    <w:rsid w:val="00C16F32"/>
    <w:rsid w:val="00C17EA1"/>
    <w:rsid w:val="00C20306"/>
    <w:rsid w:val="00C20F13"/>
    <w:rsid w:val="00C2134F"/>
    <w:rsid w:val="00C21BB2"/>
    <w:rsid w:val="00C21D86"/>
    <w:rsid w:val="00C22762"/>
    <w:rsid w:val="00C22903"/>
    <w:rsid w:val="00C2343E"/>
    <w:rsid w:val="00C23879"/>
    <w:rsid w:val="00C2393D"/>
    <w:rsid w:val="00C23D55"/>
    <w:rsid w:val="00C24215"/>
    <w:rsid w:val="00C24274"/>
    <w:rsid w:val="00C242B0"/>
    <w:rsid w:val="00C24336"/>
    <w:rsid w:val="00C246BD"/>
    <w:rsid w:val="00C247C0"/>
    <w:rsid w:val="00C2494B"/>
    <w:rsid w:val="00C24BFC"/>
    <w:rsid w:val="00C24CB0"/>
    <w:rsid w:val="00C25B22"/>
    <w:rsid w:val="00C263C6"/>
    <w:rsid w:val="00C26560"/>
    <w:rsid w:val="00C26622"/>
    <w:rsid w:val="00C26873"/>
    <w:rsid w:val="00C26DD6"/>
    <w:rsid w:val="00C27482"/>
    <w:rsid w:val="00C2757B"/>
    <w:rsid w:val="00C27911"/>
    <w:rsid w:val="00C30552"/>
    <w:rsid w:val="00C30A48"/>
    <w:rsid w:val="00C30F84"/>
    <w:rsid w:val="00C31058"/>
    <w:rsid w:val="00C316DD"/>
    <w:rsid w:val="00C31DBC"/>
    <w:rsid w:val="00C31F30"/>
    <w:rsid w:val="00C326EF"/>
    <w:rsid w:val="00C330E5"/>
    <w:rsid w:val="00C33472"/>
    <w:rsid w:val="00C33566"/>
    <w:rsid w:val="00C33DE8"/>
    <w:rsid w:val="00C34006"/>
    <w:rsid w:val="00C351DC"/>
    <w:rsid w:val="00C35231"/>
    <w:rsid w:val="00C352DA"/>
    <w:rsid w:val="00C35817"/>
    <w:rsid w:val="00C3608A"/>
    <w:rsid w:val="00C366DA"/>
    <w:rsid w:val="00C3688D"/>
    <w:rsid w:val="00C36B4C"/>
    <w:rsid w:val="00C36D50"/>
    <w:rsid w:val="00C370F0"/>
    <w:rsid w:val="00C37382"/>
    <w:rsid w:val="00C3745D"/>
    <w:rsid w:val="00C40B98"/>
    <w:rsid w:val="00C40BD1"/>
    <w:rsid w:val="00C416FF"/>
    <w:rsid w:val="00C41729"/>
    <w:rsid w:val="00C41B29"/>
    <w:rsid w:val="00C41E20"/>
    <w:rsid w:val="00C41E69"/>
    <w:rsid w:val="00C4241F"/>
    <w:rsid w:val="00C426B1"/>
    <w:rsid w:val="00C42FFF"/>
    <w:rsid w:val="00C43690"/>
    <w:rsid w:val="00C43A37"/>
    <w:rsid w:val="00C43BBD"/>
    <w:rsid w:val="00C43C2C"/>
    <w:rsid w:val="00C441EB"/>
    <w:rsid w:val="00C44459"/>
    <w:rsid w:val="00C447E0"/>
    <w:rsid w:val="00C457EC"/>
    <w:rsid w:val="00C4622D"/>
    <w:rsid w:val="00C468C6"/>
    <w:rsid w:val="00C46EC4"/>
    <w:rsid w:val="00C47622"/>
    <w:rsid w:val="00C47B35"/>
    <w:rsid w:val="00C508E5"/>
    <w:rsid w:val="00C50AF1"/>
    <w:rsid w:val="00C514F6"/>
    <w:rsid w:val="00C51BFC"/>
    <w:rsid w:val="00C51EDA"/>
    <w:rsid w:val="00C52401"/>
    <w:rsid w:val="00C52E6B"/>
    <w:rsid w:val="00C530AE"/>
    <w:rsid w:val="00C53131"/>
    <w:rsid w:val="00C533D4"/>
    <w:rsid w:val="00C536DD"/>
    <w:rsid w:val="00C53AB3"/>
    <w:rsid w:val="00C54198"/>
    <w:rsid w:val="00C542F6"/>
    <w:rsid w:val="00C54303"/>
    <w:rsid w:val="00C54860"/>
    <w:rsid w:val="00C549F2"/>
    <w:rsid w:val="00C54B19"/>
    <w:rsid w:val="00C55211"/>
    <w:rsid w:val="00C55244"/>
    <w:rsid w:val="00C57BAD"/>
    <w:rsid w:val="00C602A5"/>
    <w:rsid w:val="00C605F3"/>
    <w:rsid w:val="00C607FE"/>
    <w:rsid w:val="00C6097E"/>
    <w:rsid w:val="00C60A09"/>
    <w:rsid w:val="00C60AF9"/>
    <w:rsid w:val="00C6110F"/>
    <w:rsid w:val="00C611E2"/>
    <w:rsid w:val="00C612C9"/>
    <w:rsid w:val="00C612EE"/>
    <w:rsid w:val="00C613A3"/>
    <w:rsid w:val="00C613E4"/>
    <w:rsid w:val="00C616DA"/>
    <w:rsid w:val="00C61928"/>
    <w:rsid w:val="00C6198E"/>
    <w:rsid w:val="00C61EEB"/>
    <w:rsid w:val="00C63727"/>
    <w:rsid w:val="00C6404A"/>
    <w:rsid w:val="00C64373"/>
    <w:rsid w:val="00C64590"/>
    <w:rsid w:val="00C648F1"/>
    <w:rsid w:val="00C64916"/>
    <w:rsid w:val="00C64F88"/>
    <w:rsid w:val="00C65CA5"/>
    <w:rsid w:val="00C66160"/>
    <w:rsid w:val="00C6654A"/>
    <w:rsid w:val="00C675B3"/>
    <w:rsid w:val="00C675F3"/>
    <w:rsid w:val="00C70253"/>
    <w:rsid w:val="00C70B39"/>
    <w:rsid w:val="00C721AC"/>
    <w:rsid w:val="00C72734"/>
    <w:rsid w:val="00C73008"/>
    <w:rsid w:val="00C73523"/>
    <w:rsid w:val="00C741A7"/>
    <w:rsid w:val="00C747D9"/>
    <w:rsid w:val="00C7538E"/>
    <w:rsid w:val="00C75574"/>
    <w:rsid w:val="00C75603"/>
    <w:rsid w:val="00C757D2"/>
    <w:rsid w:val="00C75A7B"/>
    <w:rsid w:val="00C76F37"/>
    <w:rsid w:val="00C76FF9"/>
    <w:rsid w:val="00C771BE"/>
    <w:rsid w:val="00C77A28"/>
    <w:rsid w:val="00C77A46"/>
    <w:rsid w:val="00C77AE8"/>
    <w:rsid w:val="00C77CE6"/>
    <w:rsid w:val="00C77FA0"/>
    <w:rsid w:val="00C8041D"/>
    <w:rsid w:val="00C8087C"/>
    <w:rsid w:val="00C81263"/>
    <w:rsid w:val="00C815C1"/>
    <w:rsid w:val="00C82168"/>
    <w:rsid w:val="00C8228E"/>
    <w:rsid w:val="00C82B6A"/>
    <w:rsid w:val="00C83560"/>
    <w:rsid w:val="00C8382A"/>
    <w:rsid w:val="00C83948"/>
    <w:rsid w:val="00C84A70"/>
    <w:rsid w:val="00C84FF5"/>
    <w:rsid w:val="00C857F6"/>
    <w:rsid w:val="00C85A15"/>
    <w:rsid w:val="00C86DB8"/>
    <w:rsid w:val="00C8788F"/>
    <w:rsid w:val="00C879CC"/>
    <w:rsid w:val="00C903AF"/>
    <w:rsid w:val="00C906DA"/>
    <w:rsid w:val="00C909EE"/>
    <w:rsid w:val="00C90D6A"/>
    <w:rsid w:val="00C90DD8"/>
    <w:rsid w:val="00C912A4"/>
    <w:rsid w:val="00C9145A"/>
    <w:rsid w:val="00C919EC"/>
    <w:rsid w:val="00C91D67"/>
    <w:rsid w:val="00C92400"/>
    <w:rsid w:val="00C928C5"/>
    <w:rsid w:val="00C937DF"/>
    <w:rsid w:val="00C93CF7"/>
    <w:rsid w:val="00C9465D"/>
    <w:rsid w:val="00C948DC"/>
    <w:rsid w:val="00C955B7"/>
    <w:rsid w:val="00C96EC7"/>
    <w:rsid w:val="00C96FB8"/>
    <w:rsid w:val="00C97A6F"/>
    <w:rsid w:val="00CA042A"/>
    <w:rsid w:val="00CA0DE6"/>
    <w:rsid w:val="00CA1704"/>
    <w:rsid w:val="00CA17AC"/>
    <w:rsid w:val="00CA1F27"/>
    <w:rsid w:val="00CA247E"/>
    <w:rsid w:val="00CA324B"/>
    <w:rsid w:val="00CA4D6A"/>
    <w:rsid w:val="00CA50D5"/>
    <w:rsid w:val="00CA5469"/>
    <w:rsid w:val="00CA577B"/>
    <w:rsid w:val="00CA590E"/>
    <w:rsid w:val="00CA6049"/>
    <w:rsid w:val="00CA69AA"/>
    <w:rsid w:val="00CA6D21"/>
    <w:rsid w:val="00CA6E3D"/>
    <w:rsid w:val="00CA7229"/>
    <w:rsid w:val="00CB03E5"/>
    <w:rsid w:val="00CB042F"/>
    <w:rsid w:val="00CB0E09"/>
    <w:rsid w:val="00CB11D7"/>
    <w:rsid w:val="00CB1AE2"/>
    <w:rsid w:val="00CB1B18"/>
    <w:rsid w:val="00CB2F18"/>
    <w:rsid w:val="00CB2F52"/>
    <w:rsid w:val="00CB3D47"/>
    <w:rsid w:val="00CB41FF"/>
    <w:rsid w:val="00CB43F1"/>
    <w:rsid w:val="00CB4447"/>
    <w:rsid w:val="00CB47AC"/>
    <w:rsid w:val="00CB499A"/>
    <w:rsid w:val="00CB4E44"/>
    <w:rsid w:val="00CB4FFA"/>
    <w:rsid w:val="00CB55DE"/>
    <w:rsid w:val="00CB5775"/>
    <w:rsid w:val="00CB5B0E"/>
    <w:rsid w:val="00CB62D0"/>
    <w:rsid w:val="00CB6747"/>
    <w:rsid w:val="00CB6F07"/>
    <w:rsid w:val="00CB6F4B"/>
    <w:rsid w:val="00CB70AE"/>
    <w:rsid w:val="00CB74B4"/>
    <w:rsid w:val="00CB75EE"/>
    <w:rsid w:val="00CB764A"/>
    <w:rsid w:val="00CB7BDF"/>
    <w:rsid w:val="00CB7D6F"/>
    <w:rsid w:val="00CB7ED9"/>
    <w:rsid w:val="00CC04D4"/>
    <w:rsid w:val="00CC04F0"/>
    <w:rsid w:val="00CC0CB0"/>
    <w:rsid w:val="00CC0F72"/>
    <w:rsid w:val="00CC10F2"/>
    <w:rsid w:val="00CC16D6"/>
    <w:rsid w:val="00CC2186"/>
    <w:rsid w:val="00CC218B"/>
    <w:rsid w:val="00CC420A"/>
    <w:rsid w:val="00CC42C8"/>
    <w:rsid w:val="00CC46F9"/>
    <w:rsid w:val="00CC4829"/>
    <w:rsid w:val="00CC5863"/>
    <w:rsid w:val="00CC5B0A"/>
    <w:rsid w:val="00CC6116"/>
    <w:rsid w:val="00CC62A0"/>
    <w:rsid w:val="00CC62E4"/>
    <w:rsid w:val="00CC6360"/>
    <w:rsid w:val="00CC63B5"/>
    <w:rsid w:val="00CC694B"/>
    <w:rsid w:val="00CC6DC3"/>
    <w:rsid w:val="00CC70D8"/>
    <w:rsid w:val="00CC72B6"/>
    <w:rsid w:val="00CC7344"/>
    <w:rsid w:val="00CD11D7"/>
    <w:rsid w:val="00CD1214"/>
    <w:rsid w:val="00CD1365"/>
    <w:rsid w:val="00CD151A"/>
    <w:rsid w:val="00CD221B"/>
    <w:rsid w:val="00CD231B"/>
    <w:rsid w:val="00CD23FF"/>
    <w:rsid w:val="00CD2C17"/>
    <w:rsid w:val="00CD2CF4"/>
    <w:rsid w:val="00CD30AC"/>
    <w:rsid w:val="00CD34F2"/>
    <w:rsid w:val="00CD429E"/>
    <w:rsid w:val="00CD4382"/>
    <w:rsid w:val="00CD4938"/>
    <w:rsid w:val="00CD4DE9"/>
    <w:rsid w:val="00CD5118"/>
    <w:rsid w:val="00CD5415"/>
    <w:rsid w:val="00CD5884"/>
    <w:rsid w:val="00CD59D2"/>
    <w:rsid w:val="00CD5D20"/>
    <w:rsid w:val="00CD5D23"/>
    <w:rsid w:val="00CD61F4"/>
    <w:rsid w:val="00CD64BF"/>
    <w:rsid w:val="00CD6FC7"/>
    <w:rsid w:val="00CD765D"/>
    <w:rsid w:val="00CD775F"/>
    <w:rsid w:val="00CD7DB5"/>
    <w:rsid w:val="00CD7FF0"/>
    <w:rsid w:val="00CE0D46"/>
    <w:rsid w:val="00CE1416"/>
    <w:rsid w:val="00CE1760"/>
    <w:rsid w:val="00CE2337"/>
    <w:rsid w:val="00CE2687"/>
    <w:rsid w:val="00CE2706"/>
    <w:rsid w:val="00CE2933"/>
    <w:rsid w:val="00CE2F7B"/>
    <w:rsid w:val="00CE2FE4"/>
    <w:rsid w:val="00CE30D1"/>
    <w:rsid w:val="00CE35E8"/>
    <w:rsid w:val="00CE3CCC"/>
    <w:rsid w:val="00CE4226"/>
    <w:rsid w:val="00CE43C5"/>
    <w:rsid w:val="00CE50D0"/>
    <w:rsid w:val="00CE54AA"/>
    <w:rsid w:val="00CE5B2E"/>
    <w:rsid w:val="00CE5CB3"/>
    <w:rsid w:val="00CE5F51"/>
    <w:rsid w:val="00CE63D9"/>
    <w:rsid w:val="00CE6737"/>
    <w:rsid w:val="00CE6ECE"/>
    <w:rsid w:val="00CE6EFB"/>
    <w:rsid w:val="00CE71D4"/>
    <w:rsid w:val="00CE742B"/>
    <w:rsid w:val="00CE76EE"/>
    <w:rsid w:val="00CE7AA1"/>
    <w:rsid w:val="00CE7EC7"/>
    <w:rsid w:val="00CF18D3"/>
    <w:rsid w:val="00CF1C9C"/>
    <w:rsid w:val="00CF2357"/>
    <w:rsid w:val="00CF37F4"/>
    <w:rsid w:val="00CF37F9"/>
    <w:rsid w:val="00CF5064"/>
    <w:rsid w:val="00CF54A4"/>
    <w:rsid w:val="00CF54FC"/>
    <w:rsid w:val="00CF5B64"/>
    <w:rsid w:val="00CF6938"/>
    <w:rsid w:val="00CF6A94"/>
    <w:rsid w:val="00CF7159"/>
    <w:rsid w:val="00CF747E"/>
    <w:rsid w:val="00CF7658"/>
    <w:rsid w:val="00D00473"/>
    <w:rsid w:val="00D008D4"/>
    <w:rsid w:val="00D00B05"/>
    <w:rsid w:val="00D00C83"/>
    <w:rsid w:val="00D0111D"/>
    <w:rsid w:val="00D01CB7"/>
    <w:rsid w:val="00D0218D"/>
    <w:rsid w:val="00D029EC"/>
    <w:rsid w:val="00D02B40"/>
    <w:rsid w:val="00D0357D"/>
    <w:rsid w:val="00D03A91"/>
    <w:rsid w:val="00D04118"/>
    <w:rsid w:val="00D04CF0"/>
    <w:rsid w:val="00D04F53"/>
    <w:rsid w:val="00D05923"/>
    <w:rsid w:val="00D05CDC"/>
    <w:rsid w:val="00D06318"/>
    <w:rsid w:val="00D066CE"/>
    <w:rsid w:val="00D066E8"/>
    <w:rsid w:val="00D068F4"/>
    <w:rsid w:val="00D0698B"/>
    <w:rsid w:val="00D06B79"/>
    <w:rsid w:val="00D10818"/>
    <w:rsid w:val="00D1101A"/>
    <w:rsid w:val="00D112E5"/>
    <w:rsid w:val="00D1185C"/>
    <w:rsid w:val="00D122E5"/>
    <w:rsid w:val="00D13348"/>
    <w:rsid w:val="00D13E81"/>
    <w:rsid w:val="00D13E8D"/>
    <w:rsid w:val="00D141AB"/>
    <w:rsid w:val="00D148F6"/>
    <w:rsid w:val="00D14E92"/>
    <w:rsid w:val="00D14ED2"/>
    <w:rsid w:val="00D1535D"/>
    <w:rsid w:val="00D1574A"/>
    <w:rsid w:val="00D15EE7"/>
    <w:rsid w:val="00D15F2F"/>
    <w:rsid w:val="00D161D0"/>
    <w:rsid w:val="00D16D38"/>
    <w:rsid w:val="00D16E28"/>
    <w:rsid w:val="00D16E5B"/>
    <w:rsid w:val="00D177DC"/>
    <w:rsid w:val="00D20A43"/>
    <w:rsid w:val="00D2126C"/>
    <w:rsid w:val="00D21CFD"/>
    <w:rsid w:val="00D21EFE"/>
    <w:rsid w:val="00D221B4"/>
    <w:rsid w:val="00D225A6"/>
    <w:rsid w:val="00D23087"/>
    <w:rsid w:val="00D230AE"/>
    <w:rsid w:val="00D231F6"/>
    <w:rsid w:val="00D23575"/>
    <w:rsid w:val="00D239AC"/>
    <w:rsid w:val="00D23F90"/>
    <w:rsid w:val="00D24752"/>
    <w:rsid w:val="00D24C25"/>
    <w:rsid w:val="00D2585C"/>
    <w:rsid w:val="00D25E8D"/>
    <w:rsid w:val="00D25FB5"/>
    <w:rsid w:val="00D25FCD"/>
    <w:rsid w:val="00D25FD1"/>
    <w:rsid w:val="00D2610E"/>
    <w:rsid w:val="00D26F71"/>
    <w:rsid w:val="00D27283"/>
    <w:rsid w:val="00D27ADF"/>
    <w:rsid w:val="00D27B0B"/>
    <w:rsid w:val="00D30309"/>
    <w:rsid w:val="00D30924"/>
    <w:rsid w:val="00D30CC9"/>
    <w:rsid w:val="00D3141F"/>
    <w:rsid w:val="00D31B1B"/>
    <w:rsid w:val="00D31C28"/>
    <w:rsid w:val="00D324C4"/>
    <w:rsid w:val="00D32566"/>
    <w:rsid w:val="00D3279D"/>
    <w:rsid w:val="00D32C9F"/>
    <w:rsid w:val="00D331B5"/>
    <w:rsid w:val="00D33DB1"/>
    <w:rsid w:val="00D34CC5"/>
    <w:rsid w:val="00D34F50"/>
    <w:rsid w:val="00D358C6"/>
    <w:rsid w:val="00D35CEB"/>
    <w:rsid w:val="00D35D4D"/>
    <w:rsid w:val="00D3616C"/>
    <w:rsid w:val="00D3620B"/>
    <w:rsid w:val="00D36366"/>
    <w:rsid w:val="00D3671C"/>
    <w:rsid w:val="00D36795"/>
    <w:rsid w:val="00D367E7"/>
    <w:rsid w:val="00D36C36"/>
    <w:rsid w:val="00D36E2A"/>
    <w:rsid w:val="00D36E2B"/>
    <w:rsid w:val="00D37B61"/>
    <w:rsid w:val="00D37B76"/>
    <w:rsid w:val="00D37D2C"/>
    <w:rsid w:val="00D400FC"/>
    <w:rsid w:val="00D40294"/>
    <w:rsid w:val="00D4098F"/>
    <w:rsid w:val="00D41DC3"/>
    <w:rsid w:val="00D42556"/>
    <w:rsid w:val="00D43049"/>
    <w:rsid w:val="00D434A1"/>
    <w:rsid w:val="00D43567"/>
    <w:rsid w:val="00D43A1C"/>
    <w:rsid w:val="00D43BA2"/>
    <w:rsid w:val="00D43C6C"/>
    <w:rsid w:val="00D440F1"/>
    <w:rsid w:val="00D44223"/>
    <w:rsid w:val="00D44946"/>
    <w:rsid w:val="00D45127"/>
    <w:rsid w:val="00D459A4"/>
    <w:rsid w:val="00D459BA"/>
    <w:rsid w:val="00D45B4D"/>
    <w:rsid w:val="00D45BE5"/>
    <w:rsid w:val="00D4604C"/>
    <w:rsid w:val="00D46880"/>
    <w:rsid w:val="00D46D93"/>
    <w:rsid w:val="00D46DA3"/>
    <w:rsid w:val="00D46E79"/>
    <w:rsid w:val="00D503E7"/>
    <w:rsid w:val="00D50759"/>
    <w:rsid w:val="00D5140F"/>
    <w:rsid w:val="00D51566"/>
    <w:rsid w:val="00D51583"/>
    <w:rsid w:val="00D51809"/>
    <w:rsid w:val="00D51A78"/>
    <w:rsid w:val="00D51BDF"/>
    <w:rsid w:val="00D51DF2"/>
    <w:rsid w:val="00D52203"/>
    <w:rsid w:val="00D52298"/>
    <w:rsid w:val="00D53204"/>
    <w:rsid w:val="00D53419"/>
    <w:rsid w:val="00D535AA"/>
    <w:rsid w:val="00D53C8A"/>
    <w:rsid w:val="00D540A1"/>
    <w:rsid w:val="00D547B1"/>
    <w:rsid w:val="00D5561E"/>
    <w:rsid w:val="00D55D2C"/>
    <w:rsid w:val="00D55D91"/>
    <w:rsid w:val="00D55D94"/>
    <w:rsid w:val="00D56167"/>
    <w:rsid w:val="00D5701D"/>
    <w:rsid w:val="00D57074"/>
    <w:rsid w:val="00D57789"/>
    <w:rsid w:val="00D57A06"/>
    <w:rsid w:val="00D57C65"/>
    <w:rsid w:val="00D57D68"/>
    <w:rsid w:val="00D57F80"/>
    <w:rsid w:val="00D60A3C"/>
    <w:rsid w:val="00D6133A"/>
    <w:rsid w:val="00D6134E"/>
    <w:rsid w:val="00D6162A"/>
    <w:rsid w:val="00D61634"/>
    <w:rsid w:val="00D61B72"/>
    <w:rsid w:val="00D62018"/>
    <w:rsid w:val="00D623F2"/>
    <w:rsid w:val="00D628C5"/>
    <w:rsid w:val="00D63812"/>
    <w:rsid w:val="00D63A5E"/>
    <w:rsid w:val="00D63F3E"/>
    <w:rsid w:val="00D64999"/>
    <w:rsid w:val="00D656B7"/>
    <w:rsid w:val="00D65C32"/>
    <w:rsid w:val="00D65FC8"/>
    <w:rsid w:val="00D665AF"/>
    <w:rsid w:val="00D66A47"/>
    <w:rsid w:val="00D66C19"/>
    <w:rsid w:val="00D66DE0"/>
    <w:rsid w:val="00D67032"/>
    <w:rsid w:val="00D675E8"/>
    <w:rsid w:val="00D67908"/>
    <w:rsid w:val="00D70A79"/>
    <w:rsid w:val="00D70F95"/>
    <w:rsid w:val="00D71196"/>
    <w:rsid w:val="00D72CED"/>
    <w:rsid w:val="00D73CA7"/>
    <w:rsid w:val="00D740A2"/>
    <w:rsid w:val="00D741C0"/>
    <w:rsid w:val="00D74618"/>
    <w:rsid w:val="00D748A6"/>
    <w:rsid w:val="00D74CBB"/>
    <w:rsid w:val="00D75127"/>
    <w:rsid w:val="00D7533E"/>
    <w:rsid w:val="00D7557F"/>
    <w:rsid w:val="00D755EF"/>
    <w:rsid w:val="00D76456"/>
    <w:rsid w:val="00D76782"/>
    <w:rsid w:val="00D76AAD"/>
    <w:rsid w:val="00D777EC"/>
    <w:rsid w:val="00D779C2"/>
    <w:rsid w:val="00D811E9"/>
    <w:rsid w:val="00D82DE9"/>
    <w:rsid w:val="00D84578"/>
    <w:rsid w:val="00D8470E"/>
    <w:rsid w:val="00D84A53"/>
    <w:rsid w:val="00D84A71"/>
    <w:rsid w:val="00D84BEE"/>
    <w:rsid w:val="00D8529C"/>
    <w:rsid w:val="00D852CC"/>
    <w:rsid w:val="00D86C50"/>
    <w:rsid w:val="00D86CB2"/>
    <w:rsid w:val="00D8741F"/>
    <w:rsid w:val="00D87686"/>
    <w:rsid w:val="00D87B87"/>
    <w:rsid w:val="00D90380"/>
    <w:rsid w:val="00D903F6"/>
    <w:rsid w:val="00D90A18"/>
    <w:rsid w:val="00D90C25"/>
    <w:rsid w:val="00D9121A"/>
    <w:rsid w:val="00D928D2"/>
    <w:rsid w:val="00D929E7"/>
    <w:rsid w:val="00D92DA1"/>
    <w:rsid w:val="00D93054"/>
    <w:rsid w:val="00D9318F"/>
    <w:rsid w:val="00D93670"/>
    <w:rsid w:val="00D936A0"/>
    <w:rsid w:val="00D947D2"/>
    <w:rsid w:val="00D94976"/>
    <w:rsid w:val="00D94D0E"/>
    <w:rsid w:val="00D94E90"/>
    <w:rsid w:val="00D95208"/>
    <w:rsid w:val="00D95D15"/>
    <w:rsid w:val="00D96049"/>
    <w:rsid w:val="00D965E3"/>
    <w:rsid w:val="00D96898"/>
    <w:rsid w:val="00D96B57"/>
    <w:rsid w:val="00D96CA8"/>
    <w:rsid w:val="00D96D27"/>
    <w:rsid w:val="00D96FF1"/>
    <w:rsid w:val="00D974F7"/>
    <w:rsid w:val="00D97647"/>
    <w:rsid w:val="00D97AFB"/>
    <w:rsid w:val="00D97B17"/>
    <w:rsid w:val="00DA0592"/>
    <w:rsid w:val="00DA09D4"/>
    <w:rsid w:val="00DA0D83"/>
    <w:rsid w:val="00DA1B66"/>
    <w:rsid w:val="00DA228C"/>
    <w:rsid w:val="00DA2529"/>
    <w:rsid w:val="00DA25B6"/>
    <w:rsid w:val="00DA2A66"/>
    <w:rsid w:val="00DA33CA"/>
    <w:rsid w:val="00DA47BA"/>
    <w:rsid w:val="00DA48F1"/>
    <w:rsid w:val="00DA4999"/>
    <w:rsid w:val="00DA581C"/>
    <w:rsid w:val="00DA5DE2"/>
    <w:rsid w:val="00DA64A7"/>
    <w:rsid w:val="00DA65B7"/>
    <w:rsid w:val="00DA66DC"/>
    <w:rsid w:val="00DA6E50"/>
    <w:rsid w:val="00DA7290"/>
    <w:rsid w:val="00DA7820"/>
    <w:rsid w:val="00DA791F"/>
    <w:rsid w:val="00DB05D7"/>
    <w:rsid w:val="00DB0638"/>
    <w:rsid w:val="00DB0979"/>
    <w:rsid w:val="00DB0B0A"/>
    <w:rsid w:val="00DB130A"/>
    <w:rsid w:val="00DB1453"/>
    <w:rsid w:val="00DB157E"/>
    <w:rsid w:val="00DB2375"/>
    <w:rsid w:val="00DB2700"/>
    <w:rsid w:val="00DB2716"/>
    <w:rsid w:val="00DB2CA4"/>
    <w:rsid w:val="00DB2EBB"/>
    <w:rsid w:val="00DB3098"/>
    <w:rsid w:val="00DB397C"/>
    <w:rsid w:val="00DB40F2"/>
    <w:rsid w:val="00DB4212"/>
    <w:rsid w:val="00DB4325"/>
    <w:rsid w:val="00DB45C8"/>
    <w:rsid w:val="00DB4922"/>
    <w:rsid w:val="00DB49F2"/>
    <w:rsid w:val="00DB4C4D"/>
    <w:rsid w:val="00DB4FE0"/>
    <w:rsid w:val="00DB4FFC"/>
    <w:rsid w:val="00DB5292"/>
    <w:rsid w:val="00DB5BF9"/>
    <w:rsid w:val="00DB5FD4"/>
    <w:rsid w:val="00DB601C"/>
    <w:rsid w:val="00DB602A"/>
    <w:rsid w:val="00DB66D5"/>
    <w:rsid w:val="00DB6862"/>
    <w:rsid w:val="00DB6C05"/>
    <w:rsid w:val="00DB7627"/>
    <w:rsid w:val="00DB7B2A"/>
    <w:rsid w:val="00DB7B4A"/>
    <w:rsid w:val="00DC104E"/>
    <w:rsid w:val="00DC10A1"/>
    <w:rsid w:val="00DC1557"/>
    <w:rsid w:val="00DC2019"/>
    <w:rsid w:val="00DC220B"/>
    <w:rsid w:val="00DC2B4F"/>
    <w:rsid w:val="00DC2C9B"/>
    <w:rsid w:val="00DC30E5"/>
    <w:rsid w:val="00DC3422"/>
    <w:rsid w:val="00DC3CCC"/>
    <w:rsid w:val="00DC4103"/>
    <w:rsid w:val="00DC4181"/>
    <w:rsid w:val="00DC44BB"/>
    <w:rsid w:val="00DC4597"/>
    <w:rsid w:val="00DC5E3F"/>
    <w:rsid w:val="00DC655F"/>
    <w:rsid w:val="00DC67DC"/>
    <w:rsid w:val="00DD007A"/>
    <w:rsid w:val="00DD0B59"/>
    <w:rsid w:val="00DD0D57"/>
    <w:rsid w:val="00DD1185"/>
    <w:rsid w:val="00DD1193"/>
    <w:rsid w:val="00DD1254"/>
    <w:rsid w:val="00DD257D"/>
    <w:rsid w:val="00DD3556"/>
    <w:rsid w:val="00DD4532"/>
    <w:rsid w:val="00DD4658"/>
    <w:rsid w:val="00DD4920"/>
    <w:rsid w:val="00DD5541"/>
    <w:rsid w:val="00DD55D6"/>
    <w:rsid w:val="00DD5681"/>
    <w:rsid w:val="00DD603C"/>
    <w:rsid w:val="00DD6222"/>
    <w:rsid w:val="00DD6301"/>
    <w:rsid w:val="00DD65AD"/>
    <w:rsid w:val="00DD6634"/>
    <w:rsid w:val="00DD6755"/>
    <w:rsid w:val="00DD6C72"/>
    <w:rsid w:val="00DD6E22"/>
    <w:rsid w:val="00DD70D2"/>
    <w:rsid w:val="00DD7EBD"/>
    <w:rsid w:val="00DE0AB6"/>
    <w:rsid w:val="00DE0BEF"/>
    <w:rsid w:val="00DE0FB1"/>
    <w:rsid w:val="00DE11F5"/>
    <w:rsid w:val="00DE1532"/>
    <w:rsid w:val="00DE1B2F"/>
    <w:rsid w:val="00DE1BCA"/>
    <w:rsid w:val="00DE1ED2"/>
    <w:rsid w:val="00DE21C1"/>
    <w:rsid w:val="00DE23E4"/>
    <w:rsid w:val="00DE26D0"/>
    <w:rsid w:val="00DE2ADD"/>
    <w:rsid w:val="00DE348A"/>
    <w:rsid w:val="00DE4935"/>
    <w:rsid w:val="00DE4BD9"/>
    <w:rsid w:val="00DE4FBD"/>
    <w:rsid w:val="00DE5588"/>
    <w:rsid w:val="00DE5D31"/>
    <w:rsid w:val="00DE6090"/>
    <w:rsid w:val="00DE60FA"/>
    <w:rsid w:val="00DE7AC0"/>
    <w:rsid w:val="00DF03F4"/>
    <w:rsid w:val="00DF0A69"/>
    <w:rsid w:val="00DF10C5"/>
    <w:rsid w:val="00DF1557"/>
    <w:rsid w:val="00DF1A4B"/>
    <w:rsid w:val="00DF1B15"/>
    <w:rsid w:val="00DF2214"/>
    <w:rsid w:val="00DF24D8"/>
    <w:rsid w:val="00DF311A"/>
    <w:rsid w:val="00DF3CF3"/>
    <w:rsid w:val="00DF464E"/>
    <w:rsid w:val="00DF4AF9"/>
    <w:rsid w:val="00DF537C"/>
    <w:rsid w:val="00DF5758"/>
    <w:rsid w:val="00DF5B21"/>
    <w:rsid w:val="00DF5CE7"/>
    <w:rsid w:val="00DF62B6"/>
    <w:rsid w:val="00DF6C73"/>
    <w:rsid w:val="00DF7013"/>
    <w:rsid w:val="00DF77DD"/>
    <w:rsid w:val="00E00049"/>
    <w:rsid w:val="00E004BD"/>
    <w:rsid w:val="00E011CF"/>
    <w:rsid w:val="00E02A90"/>
    <w:rsid w:val="00E0318F"/>
    <w:rsid w:val="00E03988"/>
    <w:rsid w:val="00E04B23"/>
    <w:rsid w:val="00E04C16"/>
    <w:rsid w:val="00E05CB9"/>
    <w:rsid w:val="00E06576"/>
    <w:rsid w:val="00E06FA8"/>
    <w:rsid w:val="00E07039"/>
    <w:rsid w:val="00E07225"/>
    <w:rsid w:val="00E0739C"/>
    <w:rsid w:val="00E07670"/>
    <w:rsid w:val="00E07EC3"/>
    <w:rsid w:val="00E104E8"/>
    <w:rsid w:val="00E109D8"/>
    <w:rsid w:val="00E10C3A"/>
    <w:rsid w:val="00E11250"/>
    <w:rsid w:val="00E11B97"/>
    <w:rsid w:val="00E11E72"/>
    <w:rsid w:val="00E11F18"/>
    <w:rsid w:val="00E127A3"/>
    <w:rsid w:val="00E12A4B"/>
    <w:rsid w:val="00E13245"/>
    <w:rsid w:val="00E137A4"/>
    <w:rsid w:val="00E13F46"/>
    <w:rsid w:val="00E145B5"/>
    <w:rsid w:val="00E14D41"/>
    <w:rsid w:val="00E14DB0"/>
    <w:rsid w:val="00E15212"/>
    <w:rsid w:val="00E155CF"/>
    <w:rsid w:val="00E159C6"/>
    <w:rsid w:val="00E16065"/>
    <w:rsid w:val="00E162BD"/>
    <w:rsid w:val="00E162F8"/>
    <w:rsid w:val="00E17129"/>
    <w:rsid w:val="00E1760F"/>
    <w:rsid w:val="00E1774B"/>
    <w:rsid w:val="00E20EB9"/>
    <w:rsid w:val="00E218BA"/>
    <w:rsid w:val="00E221D9"/>
    <w:rsid w:val="00E22336"/>
    <w:rsid w:val="00E224CA"/>
    <w:rsid w:val="00E229CB"/>
    <w:rsid w:val="00E22CC6"/>
    <w:rsid w:val="00E23169"/>
    <w:rsid w:val="00E236A4"/>
    <w:rsid w:val="00E24250"/>
    <w:rsid w:val="00E2441E"/>
    <w:rsid w:val="00E24689"/>
    <w:rsid w:val="00E24C79"/>
    <w:rsid w:val="00E263F3"/>
    <w:rsid w:val="00E265EF"/>
    <w:rsid w:val="00E276E0"/>
    <w:rsid w:val="00E27A4B"/>
    <w:rsid w:val="00E27B70"/>
    <w:rsid w:val="00E27C1C"/>
    <w:rsid w:val="00E3090E"/>
    <w:rsid w:val="00E310E4"/>
    <w:rsid w:val="00E339B5"/>
    <w:rsid w:val="00E33D21"/>
    <w:rsid w:val="00E34597"/>
    <w:rsid w:val="00E34AD7"/>
    <w:rsid w:val="00E34E93"/>
    <w:rsid w:val="00E34F08"/>
    <w:rsid w:val="00E35BBA"/>
    <w:rsid w:val="00E36541"/>
    <w:rsid w:val="00E36D76"/>
    <w:rsid w:val="00E40A57"/>
    <w:rsid w:val="00E40C70"/>
    <w:rsid w:val="00E40CE7"/>
    <w:rsid w:val="00E40F67"/>
    <w:rsid w:val="00E413BB"/>
    <w:rsid w:val="00E4145E"/>
    <w:rsid w:val="00E415C9"/>
    <w:rsid w:val="00E4205D"/>
    <w:rsid w:val="00E42423"/>
    <w:rsid w:val="00E42F96"/>
    <w:rsid w:val="00E434AC"/>
    <w:rsid w:val="00E4383E"/>
    <w:rsid w:val="00E43A43"/>
    <w:rsid w:val="00E43EF7"/>
    <w:rsid w:val="00E43F40"/>
    <w:rsid w:val="00E440AE"/>
    <w:rsid w:val="00E442CA"/>
    <w:rsid w:val="00E44913"/>
    <w:rsid w:val="00E4498A"/>
    <w:rsid w:val="00E44A95"/>
    <w:rsid w:val="00E44C75"/>
    <w:rsid w:val="00E4530A"/>
    <w:rsid w:val="00E4570B"/>
    <w:rsid w:val="00E4587B"/>
    <w:rsid w:val="00E461DD"/>
    <w:rsid w:val="00E46A19"/>
    <w:rsid w:val="00E46C14"/>
    <w:rsid w:val="00E46DFC"/>
    <w:rsid w:val="00E4704E"/>
    <w:rsid w:val="00E47355"/>
    <w:rsid w:val="00E47723"/>
    <w:rsid w:val="00E47DE5"/>
    <w:rsid w:val="00E50040"/>
    <w:rsid w:val="00E504AA"/>
    <w:rsid w:val="00E5066B"/>
    <w:rsid w:val="00E5114F"/>
    <w:rsid w:val="00E516EC"/>
    <w:rsid w:val="00E52104"/>
    <w:rsid w:val="00E52541"/>
    <w:rsid w:val="00E52980"/>
    <w:rsid w:val="00E52C8E"/>
    <w:rsid w:val="00E53CFE"/>
    <w:rsid w:val="00E5409F"/>
    <w:rsid w:val="00E54794"/>
    <w:rsid w:val="00E54CE3"/>
    <w:rsid w:val="00E556C2"/>
    <w:rsid w:val="00E556DC"/>
    <w:rsid w:val="00E5634A"/>
    <w:rsid w:val="00E565FE"/>
    <w:rsid w:val="00E5687E"/>
    <w:rsid w:val="00E56F2D"/>
    <w:rsid w:val="00E576A7"/>
    <w:rsid w:val="00E57B99"/>
    <w:rsid w:val="00E60036"/>
    <w:rsid w:val="00E6080F"/>
    <w:rsid w:val="00E60A4B"/>
    <w:rsid w:val="00E60A74"/>
    <w:rsid w:val="00E60EF8"/>
    <w:rsid w:val="00E620AB"/>
    <w:rsid w:val="00E621DE"/>
    <w:rsid w:val="00E62588"/>
    <w:rsid w:val="00E62695"/>
    <w:rsid w:val="00E62B21"/>
    <w:rsid w:val="00E62C5B"/>
    <w:rsid w:val="00E630F8"/>
    <w:rsid w:val="00E646DA"/>
    <w:rsid w:val="00E64E77"/>
    <w:rsid w:val="00E64F57"/>
    <w:rsid w:val="00E64FB8"/>
    <w:rsid w:val="00E65122"/>
    <w:rsid w:val="00E657C1"/>
    <w:rsid w:val="00E65BEC"/>
    <w:rsid w:val="00E65E99"/>
    <w:rsid w:val="00E663AB"/>
    <w:rsid w:val="00E668B9"/>
    <w:rsid w:val="00E668D3"/>
    <w:rsid w:val="00E66D61"/>
    <w:rsid w:val="00E67582"/>
    <w:rsid w:val="00E70869"/>
    <w:rsid w:val="00E70998"/>
    <w:rsid w:val="00E70D69"/>
    <w:rsid w:val="00E70F85"/>
    <w:rsid w:val="00E71366"/>
    <w:rsid w:val="00E73635"/>
    <w:rsid w:val="00E73964"/>
    <w:rsid w:val="00E73AF2"/>
    <w:rsid w:val="00E73EB7"/>
    <w:rsid w:val="00E74183"/>
    <w:rsid w:val="00E744F7"/>
    <w:rsid w:val="00E74702"/>
    <w:rsid w:val="00E74C93"/>
    <w:rsid w:val="00E74E55"/>
    <w:rsid w:val="00E75FD7"/>
    <w:rsid w:val="00E7614B"/>
    <w:rsid w:val="00E76ECA"/>
    <w:rsid w:val="00E7708B"/>
    <w:rsid w:val="00E77E21"/>
    <w:rsid w:val="00E80673"/>
    <w:rsid w:val="00E80ED1"/>
    <w:rsid w:val="00E81196"/>
    <w:rsid w:val="00E815E8"/>
    <w:rsid w:val="00E824F4"/>
    <w:rsid w:val="00E829A6"/>
    <w:rsid w:val="00E830A4"/>
    <w:rsid w:val="00E833C6"/>
    <w:rsid w:val="00E834ED"/>
    <w:rsid w:val="00E835FE"/>
    <w:rsid w:val="00E8364C"/>
    <w:rsid w:val="00E83655"/>
    <w:rsid w:val="00E83A42"/>
    <w:rsid w:val="00E8462E"/>
    <w:rsid w:val="00E8465A"/>
    <w:rsid w:val="00E8495B"/>
    <w:rsid w:val="00E84AC4"/>
    <w:rsid w:val="00E85200"/>
    <w:rsid w:val="00E8547B"/>
    <w:rsid w:val="00E857A7"/>
    <w:rsid w:val="00E858E6"/>
    <w:rsid w:val="00E86059"/>
    <w:rsid w:val="00E8619A"/>
    <w:rsid w:val="00E87605"/>
    <w:rsid w:val="00E9051C"/>
    <w:rsid w:val="00E90B7A"/>
    <w:rsid w:val="00E9120E"/>
    <w:rsid w:val="00E91D3B"/>
    <w:rsid w:val="00E92695"/>
    <w:rsid w:val="00E92C7E"/>
    <w:rsid w:val="00E93E82"/>
    <w:rsid w:val="00E9450A"/>
    <w:rsid w:val="00E94B4E"/>
    <w:rsid w:val="00E94F3C"/>
    <w:rsid w:val="00E96034"/>
    <w:rsid w:val="00E961B0"/>
    <w:rsid w:val="00E9650A"/>
    <w:rsid w:val="00E96731"/>
    <w:rsid w:val="00E97322"/>
    <w:rsid w:val="00E97860"/>
    <w:rsid w:val="00EA00BA"/>
    <w:rsid w:val="00EA0113"/>
    <w:rsid w:val="00EA0787"/>
    <w:rsid w:val="00EA0E47"/>
    <w:rsid w:val="00EA1841"/>
    <w:rsid w:val="00EA273E"/>
    <w:rsid w:val="00EA28AD"/>
    <w:rsid w:val="00EA2FCD"/>
    <w:rsid w:val="00EA30D3"/>
    <w:rsid w:val="00EA30D4"/>
    <w:rsid w:val="00EA399F"/>
    <w:rsid w:val="00EA422D"/>
    <w:rsid w:val="00EA453A"/>
    <w:rsid w:val="00EA49E2"/>
    <w:rsid w:val="00EA50A9"/>
    <w:rsid w:val="00EA5445"/>
    <w:rsid w:val="00EA552B"/>
    <w:rsid w:val="00EA603C"/>
    <w:rsid w:val="00EA6126"/>
    <w:rsid w:val="00EA614D"/>
    <w:rsid w:val="00EA6852"/>
    <w:rsid w:val="00EA6A4B"/>
    <w:rsid w:val="00EA792C"/>
    <w:rsid w:val="00EA7D9E"/>
    <w:rsid w:val="00EA7FFD"/>
    <w:rsid w:val="00EB0142"/>
    <w:rsid w:val="00EB05BD"/>
    <w:rsid w:val="00EB0656"/>
    <w:rsid w:val="00EB0A67"/>
    <w:rsid w:val="00EB0B0C"/>
    <w:rsid w:val="00EB0BA6"/>
    <w:rsid w:val="00EB0C59"/>
    <w:rsid w:val="00EB12E9"/>
    <w:rsid w:val="00EB155E"/>
    <w:rsid w:val="00EB18B4"/>
    <w:rsid w:val="00EB1FFC"/>
    <w:rsid w:val="00EB21AD"/>
    <w:rsid w:val="00EB2703"/>
    <w:rsid w:val="00EB33B1"/>
    <w:rsid w:val="00EB41C9"/>
    <w:rsid w:val="00EB4DE2"/>
    <w:rsid w:val="00EB519F"/>
    <w:rsid w:val="00EB579E"/>
    <w:rsid w:val="00EB5C34"/>
    <w:rsid w:val="00EB5D64"/>
    <w:rsid w:val="00EB60A9"/>
    <w:rsid w:val="00EB64DF"/>
    <w:rsid w:val="00EB6514"/>
    <w:rsid w:val="00EB65D3"/>
    <w:rsid w:val="00EB66C7"/>
    <w:rsid w:val="00EB6D69"/>
    <w:rsid w:val="00EB763C"/>
    <w:rsid w:val="00EC0286"/>
    <w:rsid w:val="00EC0B0B"/>
    <w:rsid w:val="00EC1570"/>
    <w:rsid w:val="00EC16B0"/>
    <w:rsid w:val="00EC1844"/>
    <w:rsid w:val="00EC1D52"/>
    <w:rsid w:val="00EC2271"/>
    <w:rsid w:val="00EC38D5"/>
    <w:rsid w:val="00EC40A8"/>
    <w:rsid w:val="00EC4245"/>
    <w:rsid w:val="00EC4365"/>
    <w:rsid w:val="00EC4AC8"/>
    <w:rsid w:val="00EC587D"/>
    <w:rsid w:val="00EC5923"/>
    <w:rsid w:val="00EC5E7D"/>
    <w:rsid w:val="00EC6968"/>
    <w:rsid w:val="00EC6B9D"/>
    <w:rsid w:val="00EC748D"/>
    <w:rsid w:val="00EC764E"/>
    <w:rsid w:val="00EC7780"/>
    <w:rsid w:val="00EC78F9"/>
    <w:rsid w:val="00ED0134"/>
    <w:rsid w:val="00ED0D97"/>
    <w:rsid w:val="00ED1AAA"/>
    <w:rsid w:val="00ED1B4A"/>
    <w:rsid w:val="00ED2028"/>
    <w:rsid w:val="00ED2218"/>
    <w:rsid w:val="00ED3232"/>
    <w:rsid w:val="00ED33E9"/>
    <w:rsid w:val="00ED35EA"/>
    <w:rsid w:val="00ED385D"/>
    <w:rsid w:val="00ED392E"/>
    <w:rsid w:val="00ED3E8C"/>
    <w:rsid w:val="00ED3F43"/>
    <w:rsid w:val="00ED411F"/>
    <w:rsid w:val="00ED4659"/>
    <w:rsid w:val="00ED48AF"/>
    <w:rsid w:val="00ED4934"/>
    <w:rsid w:val="00ED4BB8"/>
    <w:rsid w:val="00ED4E31"/>
    <w:rsid w:val="00ED4EFF"/>
    <w:rsid w:val="00ED5802"/>
    <w:rsid w:val="00ED6094"/>
    <w:rsid w:val="00ED6177"/>
    <w:rsid w:val="00ED6595"/>
    <w:rsid w:val="00ED6CF8"/>
    <w:rsid w:val="00ED7390"/>
    <w:rsid w:val="00EE0BC9"/>
    <w:rsid w:val="00EE0C71"/>
    <w:rsid w:val="00EE0F9C"/>
    <w:rsid w:val="00EE13C4"/>
    <w:rsid w:val="00EE27A4"/>
    <w:rsid w:val="00EE28FE"/>
    <w:rsid w:val="00EE4CC3"/>
    <w:rsid w:val="00EE4EF3"/>
    <w:rsid w:val="00EE5153"/>
    <w:rsid w:val="00EE5265"/>
    <w:rsid w:val="00EE6439"/>
    <w:rsid w:val="00EE6488"/>
    <w:rsid w:val="00EE6B44"/>
    <w:rsid w:val="00EE6BBD"/>
    <w:rsid w:val="00EE728B"/>
    <w:rsid w:val="00EE7B3B"/>
    <w:rsid w:val="00EE7E30"/>
    <w:rsid w:val="00EF0285"/>
    <w:rsid w:val="00EF066F"/>
    <w:rsid w:val="00EF0B17"/>
    <w:rsid w:val="00EF0BE7"/>
    <w:rsid w:val="00EF0F5A"/>
    <w:rsid w:val="00EF3C95"/>
    <w:rsid w:val="00EF3CF5"/>
    <w:rsid w:val="00EF4247"/>
    <w:rsid w:val="00EF46F4"/>
    <w:rsid w:val="00EF4B06"/>
    <w:rsid w:val="00EF570C"/>
    <w:rsid w:val="00EF584C"/>
    <w:rsid w:val="00EF5B47"/>
    <w:rsid w:val="00EF5EF1"/>
    <w:rsid w:val="00EF6585"/>
    <w:rsid w:val="00EF73D0"/>
    <w:rsid w:val="00EF7401"/>
    <w:rsid w:val="00EF76DB"/>
    <w:rsid w:val="00EF7881"/>
    <w:rsid w:val="00F00085"/>
    <w:rsid w:val="00F00194"/>
    <w:rsid w:val="00F00532"/>
    <w:rsid w:val="00F0132B"/>
    <w:rsid w:val="00F0173B"/>
    <w:rsid w:val="00F01CD1"/>
    <w:rsid w:val="00F01D8C"/>
    <w:rsid w:val="00F01F6C"/>
    <w:rsid w:val="00F02036"/>
    <w:rsid w:val="00F021FA"/>
    <w:rsid w:val="00F0223F"/>
    <w:rsid w:val="00F027F0"/>
    <w:rsid w:val="00F037C7"/>
    <w:rsid w:val="00F03E62"/>
    <w:rsid w:val="00F040C4"/>
    <w:rsid w:val="00F04429"/>
    <w:rsid w:val="00F045A3"/>
    <w:rsid w:val="00F04E05"/>
    <w:rsid w:val="00F04F21"/>
    <w:rsid w:val="00F05298"/>
    <w:rsid w:val="00F05785"/>
    <w:rsid w:val="00F05836"/>
    <w:rsid w:val="00F06DFF"/>
    <w:rsid w:val="00F074CF"/>
    <w:rsid w:val="00F0750B"/>
    <w:rsid w:val="00F078CA"/>
    <w:rsid w:val="00F07C4D"/>
    <w:rsid w:val="00F07F62"/>
    <w:rsid w:val="00F10467"/>
    <w:rsid w:val="00F10697"/>
    <w:rsid w:val="00F10905"/>
    <w:rsid w:val="00F10A2F"/>
    <w:rsid w:val="00F11298"/>
    <w:rsid w:val="00F11520"/>
    <w:rsid w:val="00F11568"/>
    <w:rsid w:val="00F119E5"/>
    <w:rsid w:val="00F11C2E"/>
    <w:rsid w:val="00F11D1A"/>
    <w:rsid w:val="00F121B1"/>
    <w:rsid w:val="00F12328"/>
    <w:rsid w:val="00F12A91"/>
    <w:rsid w:val="00F12AA4"/>
    <w:rsid w:val="00F12F14"/>
    <w:rsid w:val="00F131DE"/>
    <w:rsid w:val="00F13274"/>
    <w:rsid w:val="00F13B39"/>
    <w:rsid w:val="00F13F20"/>
    <w:rsid w:val="00F1419A"/>
    <w:rsid w:val="00F142DB"/>
    <w:rsid w:val="00F1479D"/>
    <w:rsid w:val="00F14B58"/>
    <w:rsid w:val="00F14EB1"/>
    <w:rsid w:val="00F1574F"/>
    <w:rsid w:val="00F15AD9"/>
    <w:rsid w:val="00F15C61"/>
    <w:rsid w:val="00F15D0B"/>
    <w:rsid w:val="00F163E7"/>
    <w:rsid w:val="00F16814"/>
    <w:rsid w:val="00F17A7E"/>
    <w:rsid w:val="00F17E24"/>
    <w:rsid w:val="00F203F5"/>
    <w:rsid w:val="00F2045A"/>
    <w:rsid w:val="00F2093D"/>
    <w:rsid w:val="00F20949"/>
    <w:rsid w:val="00F2177F"/>
    <w:rsid w:val="00F21A16"/>
    <w:rsid w:val="00F226BF"/>
    <w:rsid w:val="00F2277E"/>
    <w:rsid w:val="00F24E16"/>
    <w:rsid w:val="00F25856"/>
    <w:rsid w:val="00F25B6E"/>
    <w:rsid w:val="00F25D08"/>
    <w:rsid w:val="00F260F0"/>
    <w:rsid w:val="00F26202"/>
    <w:rsid w:val="00F26374"/>
    <w:rsid w:val="00F26484"/>
    <w:rsid w:val="00F26566"/>
    <w:rsid w:val="00F269DD"/>
    <w:rsid w:val="00F26A5A"/>
    <w:rsid w:val="00F26B4D"/>
    <w:rsid w:val="00F26F79"/>
    <w:rsid w:val="00F27175"/>
    <w:rsid w:val="00F273C4"/>
    <w:rsid w:val="00F2772E"/>
    <w:rsid w:val="00F277B4"/>
    <w:rsid w:val="00F27CA8"/>
    <w:rsid w:val="00F302C9"/>
    <w:rsid w:val="00F31157"/>
    <w:rsid w:val="00F318A4"/>
    <w:rsid w:val="00F318B9"/>
    <w:rsid w:val="00F32567"/>
    <w:rsid w:val="00F338DA"/>
    <w:rsid w:val="00F340B6"/>
    <w:rsid w:val="00F34264"/>
    <w:rsid w:val="00F34450"/>
    <w:rsid w:val="00F34AD4"/>
    <w:rsid w:val="00F3598C"/>
    <w:rsid w:val="00F35C39"/>
    <w:rsid w:val="00F35D67"/>
    <w:rsid w:val="00F35F8F"/>
    <w:rsid w:val="00F35F99"/>
    <w:rsid w:val="00F3654D"/>
    <w:rsid w:val="00F3688B"/>
    <w:rsid w:val="00F377F9"/>
    <w:rsid w:val="00F404E8"/>
    <w:rsid w:val="00F40D63"/>
    <w:rsid w:val="00F41613"/>
    <w:rsid w:val="00F4166E"/>
    <w:rsid w:val="00F41F81"/>
    <w:rsid w:val="00F42444"/>
    <w:rsid w:val="00F42B13"/>
    <w:rsid w:val="00F42DF2"/>
    <w:rsid w:val="00F4305D"/>
    <w:rsid w:val="00F440F8"/>
    <w:rsid w:val="00F446E8"/>
    <w:rsid w:val="00F44898"/>
    <w:rsid w:val="00F44EBD"/>
    <w:rsid w:val="00F4542D"/>
    <w:rsid w:val="00F45531"/>
    <w:rsid w:val="00F456DE"/>
    <w:rsid w:val="00F45A85"/>
    <w:rsid w:val="00F45EA6"/>
    <w:rsid w:val="00F4637B"/>
    <w:rsid w:val="00F464C0"/>
    <w:rsid w:val="00F4656C"/>
    <w:rsid w:val="00F46923"/>
    <w:rsid w:val="00F46BC7"/>
    <w:rsid w:val="00F47471"/>
    <w:rsid w:val="00F4777D"/>
    <w:rsid w:val="00F50187"/>
    <w:rsid w:val="00F50222"/>
    <w:rsid w:val="00F50961"/>
    <w:rsid w:val="00F50DCE"/>
    <w:rsid w:val="00F514F2"/>
    <w:rsid w:val="00F51CCD"/>
    <w:rsid w:val="00F51F47"/>
    <w:rsid w:val="00F529DD"/>
    <w:rsid w:val="00F52E83"/>
    <w:rsid w:val="00F53140"/>
    <w:rsid w:val="00F53BD3"/>
    <w:rsid w:val="00F53E1E"/>
    <w:rsid w:val="00F53EBF"/>
    <w:rsid w:val="00F557F6"/>
    <w:rsid w:val="00F558AE"/>
    <w:rsid w:val="00F5595D"/>
    <w:rsid w:val="00F559A6"/>
    <w:rsid w:val="00F55C3A"/>
    <w:rsid w:val="00F56239"/>
    <w:rsid w:val="00F56600"/>
    <w:rsid w:val="00F56716"/>
    <w:rsid w:val="00F5673E"/>
    <w:rsid w:val="00F57277"/>
    <w:rsid w:val="00F57734"/>
    <w:rsid w:val="00F579F8"/>
    <w:rsid w:val="00F60050"/>
    <w:rsid w:val="00F6049E"/>
    <w:rsid w:val="00F6132A"/>
    <w:rsid w:val="00F618CB"/>
    <w:rsid w:val="00F61A57"/>
    <w:rsid w:val="00F61C65"/>
    <w:rsid w:val="00F61CFC"/>
    <w:rsid w:val="00F623DB"/>
    <w:rsid w:val="00F62DDC"/>
    <w:rsid w:val="00F62E97"/>
    <w:rsid w:val="00F62EF0"/>
    <w:rsid w:val="00F63FF8"/>
    <w:rsid w:val="00F64207"/>
    <w:rsid w:val="00F64209"/>
    <w:rsid w:val="00F6420B"/>
    <w:rsid w:val="00F6533C"/>
    <w:rsid w:val="00F65CF6"/>
    <w:rsid w:val="00F66523"/>
    <w:rsid w:val="00F67836"/>
    <w:rsid w:val="00F6799D"/>
    <w:rsid w:val="00F67C3B"/>
    <w:rsid w:val="00F67EAD"/>
    <w:rsid w:val="00F70075"/>
    <w:rsid w:val="00F70343"/>
    <w:rsid w:val="00F703B6"/>
    <w:rsid w:val="00F70644"/>
    <w:rsid w:val="00F707E0"/>
    <w:rsid w:val="00F70CED"/>
    <w:rsid w:val="00F7101E"/>
    <w:rsid w:val="00F71413"/>
    <w:rsid w:val="00F71534"/>
    <w:rsid w:val="00F71790"/>
    <w:rsid w:val="00F71E47"/>
    <w:rsid w:val="00F71F30"/>
    <w:rsid w:val="00F71F90"/>
    <w:rsid w:val="00F72763"/>
    <w:rsid w:val="00F72BB6"/>
    <w:rsid w:val="00F736CA"/>
    <w:rsid w:val="00F736EE"/>
    <w:rsid w:val="00F738FE"/>
    <w:rsid w:val="00F73939"/>
    <w:rsid w:val="00F739E9"/>
    <w:rsid w:val="00F740D4"/>
    <w:rsid w:val="00F74C69"/>
    <w:rsid w:val="00F752A5"/>
    <w:rsid w:val="00F756BA"/>
    <w:rsid w:val="00F760A3"/>
    <w:rsid w:val="00F762E5"/>
    <w:rsid w:val="00F7643C"/>
    <w:rsid w:val="00F7673A"/>
    <w:rsid w:val="00F76A09"/>
    <w:rsid w:val="00F76DAF"/>
    <w:rsid w:val="00F77336"/>
    <w:rsid w:val="00F773B6"/>
    <w:rsid w:val="00F778EA"/>
    <w:rsid w:val="00F80051"/>
    <w:rsid w:val="00F8062E"/>
    <w:rsid w:val="00F81A5A"/>
    <w:rsid w:val="00F81B55"/>
    <w:rsid w:val="00F81EA4"/>
    <w:rsid w:val="00F82150"/>
    <w:rsid w:val="00F82169"/>
    <w:rsid w:val="00F822B3"/>
    <w:rsid w:val="00F834C1"/>
    <w:rsid w:val="00F83E8F"/>
    <w:rsid w:val="00F841E6"/>
    <w:rsid w:val="00F8469F"/>
    <w:rsid w:val="00F84B8B"/>
    <w:rsid w:val="00F84D15"/>
    <w:rsid w:val="00F84D47"/>
    <w:rsid w:val="00F84EEA"/>
    <w:rsid w:val="00F86710"/>
    <w:rsid w:val="00F8697B"/>
    <w:rsid w:val="00F86B20"/>
    <w:rsid w:val="00F871C2"/>
    <w:rsid w:val="00F873B8"/>
    <w:rsid w:val="00F87DF6"/>
    <w:rsid w:val="00F908D6"/>
    <w:rsid w:val="00F90A03"/>
    <w:rsid w:val="00F90EFF"/>
    <w:rsid w:val="00F914A2"/>
    <w:rsid w:val="00F91654"/>
    <w:rsid w:val="00F91848"/>
    <w:rsid w:val="00F918E4"/>
    <w:rsid w:val="00F919F9"/>
    <w:rsid w:val="00F91C0B"/>
    <w:rsid w:val="00F92722"/>
    <w:rsid w:val="00F927B5"/>
    <w:rsid w:val="00F92815"/>
    <w:rsid w:val="00F92834"/>
    <w:rsid w:val="00F92CE4"/>
    <w:rsid w:val="00F92E03"/>
    <w:rsid w:val="00F930DE"/>
    <w:rsid w:val="00F93150"/>
    <w:rsid w:val="00F93339"/>
    <w:rsid w:val="00F93386"/>
    <w:rsid w:val="00F9343A"/>
    <w:rsid w:val="00F93A62"/>
    <w:rsid w:val="00F93BF5"/>
    <w:rsid w:val="00F94246"/>
    <w:rsid w:val="00F946BD"/>
    <w:rsid w:val="00F94DCA"/>
    <w:rsid w:val="00F94FEC"/>
    <w:rsid w:val="00F95019"/>
    <w:rsid w:val="00F95404"/>
    <w:rsid w:val="00F95A73"/>
    <w:rsid w:val="00F95E3C"/>
    <w:rsid w:val="00F96A38"/>
    <w:rsid w:val="00F9749F"/>
    <w:rsid w:val="00F97B6E"/>
    <w:rsid w:val="00F97D24"/>
    <w:rsid w:val="00FA1241"/>
    <w:rsid w:val="00FA2126"/>
    <w:rsid w:val="00FA2398"/>
    <w:rsid w:val="00FA26AC"/>
    <w:rsid w:val="00FA2FD4"/>
    <w:rsid w:val="00FA2FF8"/>
    <w:rsid w:val="00FA33E6"/>
    <w:rsid w:val="00FA3AAF"/>
    <w:rsid w:val="00FA3C97"/>
    <w:rsid w:val="00FA3F34"/>
    <w:rsid w:val="00FA45E0"/>
    <w:rsid w:val="00FA50DE"/>
    <w:rsid w:val="00FA55C1"/>
    <w:rsid w:val="00FA5E2D"/>
    <w:rsid w:val="00FA687C"/>
    <w:rsid w:val="00FA6A6B"/>
    <w:rsid w:val="00FA6AF8"/>
    <w:rsid w:val="00FA6E9D"/>
    <w:rsid w:val="00FA70A8"/>
    <w:rsid w:val="00FA712B"/>
    <w:rsid w:val="00FA7499"/>
    <w:rsid w:val="00FA74CF"/>
    <w:rsid w:val="00FA7DB6"/>
    <w:rsid w:val="00FA7E47"/>
    <w:rsid w:val="00FB0248"/>
    <w:rsid w:val="00FB0672"/>
    <w:rsid w:val="00FB1EC8"/>
    <w:rsid w:val="00FB1ECE"/>
    <w:rsid w:val="00FB1F04"/>
    <w:rsid w:val="00FB253E"/>
    <w:rsid w:val="00FB25CD"/>
    <w:rsid w:val="00FB2900"/>
    <w:rsid w:val="00FB29FD"/>
    <w:rsid w:val="00FB2EEC"/>
    <w:rsid w:val="00FB3676"/>
    <w:rsid w:val="00FB4912"/>
    <w:rsid w:val="00FB4A95"/>
    <w:rsid w:val="00FB4C87"/>
    <w:rsid w:val="00FB611A"/>
    <w:rsid w:val="00FB61D5"/>
    <w:rsid w:val="00FB63DB"/>
    <w:rsid w:val="00FB6C82"/>
    <w:rsid w:val="00FB6CDC"/>
    <w:rsid w:val="00FB750E"/>
    <w:rsid w:val="00FC014D"/>
    <w:rsid w:val="00FC0A91"/>
    <w:rsid w:val="00FC0EEB"/>
    <w:rsid w:val="00FC1E9F"/>
    <w:rsid w:val="00FC25ED"/>
    <w:rsid w:val="00FC3303"/>
    <w:rsid w:val="00FC3383"/>
    <w:rsid w:val="00FC3478"/>
    <w:rsid w:val="00FC37ED"/>
    <w:rsid w:val="00FC39E6"/>
    <w:rsid w:val="00FC3AF8"/>
    <w:rsid w:val="00FC3BE1"/>
    <w:rsid w:val="00FC418E"/>
    <w:rsid w:val="00FC41BD"/>
    <w:rsid w:val="00FC4928"/>
    <w:rsid w:val="00FC4B4E"/>
    <w:rsid w:val="00FC4E69"/>
    <w:rsid w:val="00FC5915"/>
    <w:rsid w:val="00FC599D"/>
    <w:rsid w:val="00FC5CD7"/>
    <w:rsid w:val="00FC67A9"/>
    <w:rsid w:val="00FC7898"/>
    <w:rsid w:val="00FC7A5C"/>
    <w:rsid w:val="00FD006B"/>
    <w:rsid w:val="00FD0C63"/>
    <w:rsid w:val="00FD1429"/>
    <w:rsid w:val="00FD2C4B"/>
    <w:rsid w:val="00FD2E1F"/>
    <w:rsid w:val="00FD3501"/>
    <w:rsid w:val="00FD37DB"/>
    <w:rsid w:val="00FD3887"/>
    <w:rsid w:val="00FD3939"/>
    <w:rsid w:val="00FD3AC5"/>
    <w:rsid w:val="00FD4781"/>
    <w:rsid w:val="00FD48B7"/>
    <w:rsid w:val="00FD4F5A"/>
    <w:rsid w:val="00FD567D"/>
    <w:rsid w:val="00FD6467"/>
    <w:rsid w:val="00FD6797"/>
    <w:rsid w:val="00FD6A96"/>
    <w:rsid w:val="00FD7432"/>
    <w:rsid w:val="00FD7462"/>
    <w:rsid w:val="00FD7B34"/>
    <w:rsid w:val="00FD7C7D"/>
    <w:rsid w:val="00FD7D49"/>
    <w:rsid w:val="00FD7F54"/>
    <w:rsid w:val="00FE037C"/>
    <w:rsid w:val="00FE0EDD"/>
    <w:rsid w:val="00FE1254"/>
    <w:rsid w:val="00FE1C3D"/>
    <w:rsid w:val="00FE1E8E"/>
    <w:rsid w:val="00FE2F67"/>
    <w:rsid w:val="00FE3460"/>
    <w:rsid w:val="00FE3A88"/>
    <w:rsid w:val="00FE3BDC"/>
    <w:rsid w:val="00FE3F88"/>
    <w:rsid w:val="00FE5234"/>
    <w:rsid w:val="00FE56BF"/>
    <w:rsid w:val="00FE5F77"/>
    <w:rsid w:val="00FE67B0"/>
    <w:rsid w:val="00FE6BCC"/>
    <w:rsid w:val="00FE6C4E"/>
    <w:rsid w:val="00FE6DA3"/>
    <w:rsid w:val="00FE759C"/>
    <w:rsid w:val="00FF02FB"/>
    <w:rsid w:val="00FF08B9"/>
    <w:rsid w:val="00FF0F59"/>
    <w:rsid w:val="00FF1086"/>
    <w:rsid w:val="00FF2594"/>
    <w:rsid w:val="00FF2B4E"/>
    <w:rsid w:val="00FF2F0F"/>
    <w:rsid w:val="00FF3101"/>
    <w:rsid w:val="00FF3545"/>
    <w:rsid w:val="00FF39F2"/>
    <w:rsid w:val="00FF423D"/>
    <w:rsid w:val="00FF4C4D"/>
    <w:rsid w:val="00FF5A67"/>
    <w:rsid w:val="00FF5E33"/>
    <w:rsid w:val="00FF6464"/>
    <w:rsid w:val="00FF649A"/>
    <w:rsid w:val="00FF65B7"/>
    <w:rsid w:val="00FF664C"/>
    <w:rsid w:val="00FF689F"/>
    <w:rsid w:val="00FF746A"/>
    <w:rsid w:val="00FF78C7"/>
    <w:rsid w:val="00FF7C8C"/>
    <w:rsid w:val="018929B7"/>
    <w:rsid w:val="027B49FA"/>
    <w:rsid w:val="0289CA41"/>
    <w:rsid w:val="02D6356A"/>
    <w:rsid w:val="03D0FD26"/>
    <w:rsid w:val="0516DBE5"/>
    <w:rsid w:val="0567181F"/>
    <w:rsid w:val="0585D92C"/>
    <w:rsid w:val="067F0696"/>
    <w:rsid w:val="06812078"/>
    <w:rsid w:val="07000171"/>
    <w:rsid w:val="07326BFC"/>
    <w:rsid w:val="07A8CAD7"/>
    <w:rsid w:val="07FDDE9A"/>
    <w:rsid w:val="08BC6072"/>
    <w:rsid w:val="090BBA4B"/>
    <w:rsid w:val="09127D70"/>
    <w:rsid w:val="094B42E2"/>
    <w:rsid w:val="09514875"/>
    <w:rsid w:val="096F244C"/>
    <w:rsid w:val="09730C7B"/>
    <w:rsid w:val="0998CABC"/>
    <w:rsid w:val="09C44110"/>
    <w:rsid w:val="0B31AC81"/>
    <w:rsid w:val="0BB1A233"/>
    <w:rsid w:val="0D6BA969"/>
    <w:rsid w:val="0F1DEBF2"/>
    <w:rsid w:val="0F690549"/>
    <w:rsid w:val="1045391C"/>
    <w:rsid w:val="1045609C"/>
    <w:rsid w:val="108731AC"/>
    <w:rsid w:val="10966CB5"/>
    <w:rsid w:val="10AFABAD"/>
    <w:rsid w:val="11181D01"/>
    <w:rsid w:val="1127E470"/>
    <w:rsid w:val="1136AD8F"/>
    <w:rsid w:val="116413ED"/>
    <w:rsid w:val="1190BD8C"/>
    <w:rsid w:val="11ADCBFB"/>
    <w:rsid w:val="126851F1"/>
    <w:rsid w:val="12BA9F2C"/>
    <w:rsid w:val="130BA8EE"/>
    <w:rsid w:val="139D52B9"/>
    <w:rsid w:val="13AEE919"/>
    <w:rsid w:val="1417CCE2"/>
    <w:rsid w:val="154ACA12"/>
    <w:rsid w:val="1581DC66"/>
    <w:rsid w:val="15F4DC08"/>
    <w:rsid w:val="16360FB6"/>
    <w:rsid w:val="1670C1BA"/>
    <w:rsid w:val="1689D6E9"/>
    <w:rsid w:val="16B3486A"/>
    <w:rsid w:val="172834C0"/>
    <w:rsid w:val="1796B48D"/>
    <w:rsid w:val="18A8958A"/>
    <w:rsid w:val="18AE26EA"/>
    <w:rsid w:val="1930ACB6"/>
    <w:rsid w:val="1958647F"/>
    <w:rsid w:val="19FE2745"/>
    <w:rsid w:val="1A304642"/>
    <w:rsid w:val="1B57D417"/>
    <w:rsid w:val="1BA3666D"/>
    <w:rsid w:val="1BD057C7"/>
    <w:rsid w:val="1BE87CD6"/>
    <w:rsid w:val="1CD68ADB"/>
    <w:rsid w:val="1CFA078F"/>
    <w:rsid w:val="1D8DD862"/>
    <w:rsid w:val="1E42C71D"/>
    <w:rsid w:val="1E62B693"/>
    <w:rsid w:val="1E841C1D"/>
    <w:rsid w:val="1ECC888F"/>
    <w:rsid w:val="1EDAF9BD"/>
    <w:rsid w:val="1EF8ADE8"/>
    <w:rsid w:val="1F7B6D4F"/>
    <w:rsid w:val="1F8DE8D7"/>
    <w:rsid w:val="1FCDD6F2"/>
    <w:rsid w:val="1FD8C09F"/>
    <w:rsid w:val="20F8F965"/>
    <w:rsid w:val="213AB6E2"/>
    <w:rsid w:val="21C01ADB"/>
    <w:rsid w:val="22481BAE"/>
    <w:rsid w:val="229271CF"/>
    <w:rsid w:val="22A286B7"/>
    <w:rsid w:val="233264FB"/>
    <w:rsid w:val="23CE3A5A"/>
    <w:rsid w:val="24670B94"/>
    <w:rsid w:val="24B2500D"/>
    <w:rsid w:val="258D44E6"/>
    <w:rsid w:val="25C34718"/>
    <w:rsid w:val="268B0B1C"/>
    <w:rsid w:val="269ACB37"/>
    <w:rsid w:val="26CC6EE0"/>
    <w:rsid w:val="27BACFFA"/>
    <w:rsid w:val="29217BC9"/>
    <w:rsid w:val="297473FE"/>
    <w:rsid w:val="2A917104"/>
    <w:rsid w:val="2AAF3F95"/>
    <w:rsid w:val="2B230943"/>
    <w:rsid w:val="2B54F4ED"/>
    <w:rsid w:val="2BDB0ACF"/>
    <w:rsid w:val="2C233F0B"/>
    <w:rsid w:val="2CB461E6"/>
    <w:rsid w:val="2D7D4896"/>
    <w:rsid w:val="2E388CBD"/>
    <w:rsid w:val="2E41EF48"/>
    <w:rsid w:val="2F5C783B"/>
    <w:rsid w:val="2F70DAF3"/>
    <w:rsid w:val="2F980E04"/>
    <w:rsid w:val="2FA588D7"/>
    <w:rsid w:val="3147B826"/>
    <w:rsid w:val="32650729"/>
    <w:rsid w:val="3415ECAC"/>
    <w:rsid w:val="34A451C2"/>
    <w:rsid w:val="34AB5007"/>
    <w:rsid w:val="350C3224"/>
    <w:rsid w:val="3604804E"/>
    <w:rsid w:val="36A010EB"/>
    <w:rsid w:val="37548A26"/>
    <w:rsid w:val="3A659B89"/>
    <w:rsid w:val="3AE534D2"/>
    <w:rsid w:val="3B6CAA2B"/>
    <w:rsid w:val="3BC22B54"/>
    <w:rsid w:val="3E1BB1E4"/>
    <w:rsid w:val="3EC9C7E3"/>
    <w:rsid w:val="3F14227A"/>
    <w:rsid w:val="3F56352E"/>
    <w:rsid w:val="3F7B14C9"/>
    <w:rsid w:val="3F7BD258"/>
    <w:rsid w:val="3FB73AEC"/>
    <w:rsid w:val="4004D6B3"/>
    <w:rsid w:val="401C7E66"/>
    <w:rsid w:val="40BD076B"/>
    <w:rsid w:val="41E7830A"/>
    <w:rsid w:val="4234FA31"/>
    <w:rsid w:val="4282FA31"/>
    <w:rsid w:val="429B234D"/>
    <w:rsid w:val="432780CF"/>
    <w:rsid w:val="432A1BD8"/>
    <w:rsid w:val="435EB998"/>
    <w:rsid w:val="43B1395F"/>
    <w:rsid w:val="43D20980"/>
    <w:rsid w:val="441AF0BF"/>
    <w:rsid w:val="44E27067"/>
    <w:rsid w:val="45659FEB"/>
    <w:rsid w:val="458E9287"/>
    <w:rsid w:val="45CD94E9"/>
    <w:rsid w:val="46E65FEE"/>
    <w:rsid w:val="470F041A"/>
    <w:rsid w:val="477A1D00"/>
    <w:rsid w:val="47F3E969"/>
    <w:rsid w:val="4883A646"/>
    <w:rsid w:val="48E3B12E"/>
    <w:rsid w:val="49600E04"/>
    <w:rsid w:val="49864751"/>
    <w:rsid w:val="4A5FB65F"/>
    <w:rsid w:val="4A923654"/>
    <w:rsid w:val="4AD9620E"/>
    <w:rsid w:val="4B0AEAA7"/>
    <w:rsid w:val="4BF302B7"/>
    <w:rsid w:val="4C70C842"/>
    <w:rsid w:val="4C7D7A3A"/>
    <w:rsid w:val="4CACED5C"/>
    <w:rsid w:val="4CF98A4E"/>
    <w:rsid w:val="4DD07FB5"/>
    <w:rsid w:val="4E5A1B3A"/>
    <w:rsid w:val="506DE7ED"/>
    <w:rsid w:val="51883524"/>
    <w:rsid w:val="51D17B43"/>
    <w:rsid w:val="51F42C35"/>
    <w:rsid w:val="52B4BE82"/>
    <w:rsid w:val="52F419BA"/>
    <w:rsid w:val="53022644"/>
    <w:rsid w:val="53065A57"/>
    <w:rsid w:val="53459B90"/>
    <w:rsid w:val="53F66D80"/>
    <w:rsid w:val="5402B362"/>
    <w:rsid w:val="544E69E3"/>
    <w:rsid w:val="5548E314"/>
    <w:rsid w:val="5587BC75"/>
    <w:rsid w:val="5628E77E"/>
    <w:rsid w:val="563A4942"/>
    <w:rsid w:val="563F2697"/>
    <w:rsid w:val="5645316B"/>
    <w:rsid w:val="56A321E6"/>
    <w:rsid w:val="56AE11DF"/>
    <w:rsid w:val="578BA173"/>
    <w:rsid w:val="57BBECB0"/>
    <w:rsid w:val="57C77F36"/>
    <w:rsid w:val="5852A6B9"/>
    <w:rsid w:val="58E5A730"/>
    <w:rsid w:val="5909D90A"/>
    <w:rsid w:val="59D16ECC"/>
    <w:rsid w:val="59F6B912"/>
    <w:rsid w:val="5B929AA7"/>
    <w:rsid w:val="5BC5E575"/>
    <w:rsid w:val="5CB648D9"/>
    <w:rsid w:val="5CBFB659"/>
    <w:rsid w:val="5D0F053A"/>
    <w:rsid w:val="5D346B62"/>
    <w:rsid w:val="5E970764"/>
    <w:rsid w:val="5EA848F0"/>
    <w:rsid w:val="5EED2457"/>
    <w:rsid w:val="5FDB343E"/>
    <w:rsid w:val="601FA87B"/>
    <w:rsid w:val="603467AC"/>
    <w:rsid w:val="611804DC"/>
    <w:rsid w:val="61E7AD68"/>
    <w:rsid w:val="6340B735"/>
    <w:rsid w:val="635CD250"/>
    <w:rsid w:val="63777446"/>
    <w:rsid w:val="63D61DDF"/>
    <w:rsid w:val="63E29E94"/>
    <w:rsid w:val="6582478B"/>
    <w:rsid w:val="66B3649B"/>
    <w:rsid w:val="66F4399E"/>
    <w:rsid w:val="6758ADB1"/>
    <w:rsid w:val="675C9165"/>
    <w:rsid w:val="67AF0E1D"/>
    <w:rsid w:val="68D1AE72"/>
    <w:rsid w:val="69BDD585"/>
    <w:rsid w:val="69E48FC7"/>
    <w:rsid w:val="6A2B7F0F"/>
    <w:rsid w:val="6B25DFF3"/>
    <w:rsid w:val="6BC9C4B5"/>
    <w:rsid w:val="6C2C3626"/>
    <w:rsid w:val="6C3CF7A5"/>
    <w:rsid w:val="6C8410FC"/>
    <w:rsid w:val="6C89B74F"/>
    <w:rsid w:val="6D099BC1"/>
    <w:rsid w:val="6DD50F33"/>
    <w:rsid w:val="6DDDCC07"/>
    <w:rsid w:val="6E0A9224"/>
    <w:rsid w:val="6E1F8499"/>
    <w:rsid w:val="6E680A3C"/>
    <w:rsid w:val="6F1C3795"/>
    <w:rsid w:val="6F6AB500"/>
    <w:rsid w:val="70A53355"/>
    <w:rsid w:val="70FC567F"/>
    <w:rsid w:val="7122A794"/>
    <w:rsid w:val="720A7C94"/>
    <w:rsid w:val="7277174E"/>
    <w:rsid w:val="72B873C2"/>
    <w:rsid w:val="72C81FAE"/>
    <w:rsid w:val="72D584B0"/>
    <w:rsid w:val="73917F3E"/>
    <w:rsid w:val="742920BB"/>
    <w:rsid w:val="74928290"/>
    <w:rsid w:val="74A88105"/>
    <w:rsid w:val="75816D7C"/>
    <w:rsid w:val="75E32FCC"/>
    <w:rsid w:val="76585F2F"/>
    <w:rsid w:val="7722C1AF"/>
    <w:rsid w:val="774C54A4"/>
    <w:rsid w:val="783DFDF2"/>
    <w:rsid w:val="786196F6"/>
    <w:rsid w:val="786561AA"/>
    <w:rsid w:val="7883172E"/>
    <w:rsid w:val="79216C2F"/>
    <w:rsid w:val="7939BEF4"/>
    <w:rsid w:val="7993801C"/>
    <w:rsid w:val="7ACB3A16"/>
    <w:rsid w:val="7ADA1337"/>
    <w:rsid w:val="7AFD341C"/>
    <w:rsid w:val="7B5E8F24"/>
    <w:rsid w:val="7C12108E"/>
    <w:rsid w:val="7C384F2B"/>
    <w:rsid w:val="7DA2B099"/>
    <w:rsid w:val="7DCC2896"/>
    <w:rsid w:val="7DCD5106"/>
    <w:rsid w:val="7E0B7929"/>
    <w:rsid w:val="7E15F633"/>
    <w:rsid w:val="7EC62414"/>
    <w:rsid w:val="7ED484E5"/>
    <w:rsid w:val="7ED53A42"/>
    <w:rsid w:val="7F459164"/>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3509931F"/>
  <w15:chartTrackingRefBased/>
  <w15:docId w15:val="{9ED4BA0A-1A08-4F78-97CA-D6CDA098C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lsdException w:name="caption" w:semiHidden="1" w:unhideWhenUsed="1" w:qFormat="1"/>
    <w:lsdException w:name="footnote reference"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01CB7"/>
    <w:pPr>
      <w:widowControl w:val="0"/>
    </w:pPr>
    <w:rPr>
      <w:snapToGrid w:val="0"/>
      <w:kern w:val="28"/>
      <w:sz w:val="22"/>
    </w:rPr>
  </w:style>
  <w:style w:type="paragraph" w:styleId="Heading1">
    <w:name w:val="heading 1"/>
    <w:basedOn w:val="Normal"/>
    <w:next w:val="ParaNum"/>
    <w:link w:val="Heading1Char"/>
    <w:qFormat/>
    <w:rsid w:val="00D01CB7"/>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D01CB7"/>
    <w:pPr>
      <w:keepNext/>
      <w:numPr>
        <w:ilvl w:val="1"/>
        <w:numId w:val="3"/>
      </w:numPr>
      <w:spacing w:after="120"/>
      <w:outlineLvl w:val="1"/>
    </w:pPr>
    <w:rPr>
      <w:b/>
    </w:rPr>
  </w:style>
  <w:style w:type="paragraph" w:styleId="Heading3">
    <w:name w:val="heading 3"/>
    <w:basedOn w:val="Normal"/>
    <w:next w:val="ParaNum"/>
    <w:link w:val="Heading3Char"/>
    <w:qFormat/>
    <w:rsid w:val="00D01CB7"/>
    <w:pPr>
      <w:keepNext/>
      <w:numPr>
        <w:ilvl w:val="2"/>
        <w:numId w:val="3"/>
      </w:numPr>
      <w:tabs>
        <w:tab w:val="left" w:pos="2160"/>
      </w:tabs>
      <w:spacing w:after="120"/>
      <w:outlineLvl w:val="2"/>
    </w:pPr>
    <w:rPr>
      <w:b/>
    </w:rPr>
  </w:style>
  <w:style w:type="paragraph" w:styleId="Heading4">
    <w:name w:val="heading 4"/>
    <w:aliases w:val="Heading 4 Char Char,Heading 4 Char Char2 Char1 Char Char,Heading 4 Char Char4,Heading 4 Char1,Heading 4 Char1 Char1 Char Char,Heading 4 Char1 Char1 Char Char1 Char Char Char,Heading 4 Char3 Char Char,Heading 4 Char3 Char Char Char Char Char"/>
    <w:basedOn w:val="Normal"/>
    <w:next w:val="ParaNum"/>
    <w:link w:val="Heading4Char"/>
    <w:qFormat/>
    <w:rsid w:val="00D01CB7"/>
    <w:pPr>
      <w:keepNext/>
      <w:numPr>
        <w:ilvl w:val="3"/>
        <w:numId w:val="3"/>
      </w:numPr>
      <w:tabs>
        <w:tab w:val="left" w:pos="2880"/>
      </w:tabs>
      <w:spacing w:after="120"/>
      <w:outlineLvl w:val="3"/>
    </w:pPr>
    <w:rPr>
      <w:b/>
    </w:rPr>
  </w:style>
  <w:style w:type="paragraph" w:styleId="Heading5">
    <w:name w:val="heading 5"/>
    <w:aliases w:val="Heading 5 Char Char Char Char Char,Heading 5 Char Char Char1,Heading 5 Char Char1 Char,Heading 5 Char Char2,Heading 5 Char1 Char Char Char,Heading 5 Char1 Char Char1,Heading 5 Char1 Char1,Heading 5 Char2"/>
    <w:basedOn w:val="Normal"/>
    <w:next w:val="ParaNum"/>
    <w:link w:val="Heading5Char"/>
    <w:qFormat/>
    <w:rsid w:val="00D01CB7"/>
    <w:pPr>
      <w:keepNext/>
      <w:numPr>
        <w:ilvl w:val="4"/>
        <w:numId w:val="3"/>
      </w:numPr>
      <w:tabs>
        <w:tab w:val="left" w:pos="3600"/>
      </w:tabs>
      <w:suppressAutoHyphens/>
      <w:spacing w:after="120"/>
      <w:outlineLvl w:val="4"/>
    </w:pPr>
    <w:rPr>
      <w:b/>
    </w:rPr>
  </w:style>
  <w:style w:type="paragraph" w:styleId="Heading6">
    <w:name w:val="heading 6"/>
    <w:aliases w:val="h6,Heading 6 Char Char,Heading 6 Char Char Char,Heading 6 Char Char1,Heading 6 Char1,Heading 6 Char1 Char,Heading 6 Char2"/>
    <w:basedOn w:val="Normal"/>
    <w:next w:val="ParaNum"/>
    <w:link w:val="Heading6Char"/>
    <w:qFormat/>
    <w:rsid w:val="00D01CB7"/>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D01CB7"/>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D01CB7"/>
    <w:pPr>
      <w:numPr>
        <w:ilvl w:val="7"/>
        <w:numId w:val="3"/>
      </w:numPr>
      <w:tabs>
        <w:tab w:val="clear" w:pos="5400"/>
        <w:tab w:val="left" w:pos="5760"/>
      </w:tabs>
      <w:spacing w:after="120"/>
      <w:ind w:left="5760" w:hanging="720"/>
      <w:outlineLvl w:val="7"/>
    </w:pPr>
    <w:rPr>
      <w:b/>
    </w:rPr>
  </w:style>
  <w:style w:type="paragraph" w:styleId="Heading9">
    <w:name w:val="heading 9"/>
    <w:aliases w:val="9,Heading 9.table,Titre 9,Topic,t,table"/>
    <w:basedOn w:val="Normal"/>
    <w:next w:val="ParaNum"/>
    <w:link w:val="Heading9Char"/>
    <w:qFormat/>
    <w:rsid w:val="00D01CB7"/>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D01CB7"/>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01CB7"/>
  </w:style>
  <w:style w:type="paragraph" w:customStyle="1" w:styleId="ParaNum">
    <w:name w:val="ParaNum"/>
    <w:basedOn w:val="Normal"/>
    <w:link w:val="ParaNumChar1"/>
    <w:rsid w:val="00D01CB7"/>
    <w:pPr>
      <w:numPr>
        <w:numId w:val="2"/>
      </w:numPr>
      <w:tabs>
        <w:tab w:val="clear" w:pos="1080"/>
        <w:tab w:val="num" w:pos="1440"/>
      </w:tabs>
      <w:spacing w:after="120"/>
    </w:pPr>
  </w:style>
  <w:style w:type="paragraph" w:styleId="EndnoteText">
    <w:name w:val="endnote text"/>
    <w:basedOn w:val="Normal"/>
    <w:link w:val="EndnoteTextChar"/>
    <w:semiHidden/>
    <w:rsid w:val="00D01CB7"/>
    <w:rPr>
      <w:sz w:val="20"/>
    </w:rPr>
  </w:style>
  <w:style w:type="character" w:styleId="EndnoteReference">
    <w:name w:val="endnote reference"/>
    <w:semiHidden/>
    <w:rsid w:val="00D01CB7"/>
    <w:rPr>
      <w:vertAlign w:val="superscript"/>
    </w:rPr>
  </w:style>
  <w:style w:type="paragraph" w:styleId="FootnoteText">
    <w:name w:val="footnote text"/>
    <w:aliases w:val="Footnote Text Char1,Footnote Text Char Char,Footnote Text Char1 Char Char,Footnote Text Char Char Char Char,Footnote Text Char1 Char Char Char1 Char,Footnote Text Char Char Char Char Char1 Char,Footnote Text Char1 Char2,fn,ALTS FOOTNOT,f"/>
    <w:link w:val="FootnoteTextChar"/>
    <w:rsid w:val="00D01CB7"/>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rsid w:val="00D01CB7"/>
    <w:rPr>
      <w:rFonts w:ascii="Times New Roman" w:hAnsi="Times New Roman"/>
      <w:dstrike w:val="0"/>
      <w:color w:val="auto"/>
      <w:sz w:val="20"/>
      <w:vertAlign w:val="superscript"/>
    </w:rPr>
  </w:style>
  <w:style w:type="paragraph" w:styleId="TOC1">
    <w:name w:val="toc 1"/>
    <w:basedOn w:val="Normal"/>
    <w:next w:val="Normal"/>
    <w:rsid w:val="00D01CB7"/>
    <w:pPr>
      <w:tabs>
        <w:tab w:val="left" w:pos="360"/>
        <w:tab w:val="right" w:leader="dot" w:pos="9360"/>
      </w:tabs>
      <w:suppressAutoHyphens/>
      <w:ind w:left="360" w:right="720" w:hanging="360"/>
    </w:pPr>
    <w:rPr>
      <w:caps/>
      <w:noProof/>
    </w:rPr>
  </w:style>
  <w:style w:type="paragraph" w:styleId="TOC2">
    <w:name w:val="toc 2"/>
    <w:basedOn w:val="Normal"/>
    <w:next w:val="Normal"/>
    <w:rsid w:val="00D01CB7"/>
    <w:pPr>
      <w:tabs>
        <w:tab w:val="left" w:pos="720"/>
        <w:tab w:val="right" w:leader="dot" w:pos="9360"/>
      </w:tabs>
      <w:suppressAutoHyphens/>
      <w:ind w:left="720" w:right="720" w:hanging="360"/>
    </w:pPr>
    <w:rPr>
      <w:noProof/>
    </w:rPr>
  </w:style>
  <w:style w:type="paragraph" w:styleId="TOC3">
    <w:name w:val="toc 3"/>
    <w:basedOn w:val="Normal"/>
    <w:next w:val="Normal"/>
    <w:rsid w:val="00D01CB7"/>
    <w:pPr>
      <w:tabs>
        <w:tab w:val="left" w:pos="1080"/>
        <w:tab w:val="right" w:leader="dot" w:pos="9360"/>
      </w:tabs>
      <w:suppressAutoHyphens/>
      <w:ind w:left="1080" w:right="720" w:hanging="360"/>
    </w:pPr>
    <w:rPr>
      <w:noProof/>
    </w:rPr>
  </w:style>
  <w:style w:type="paragraph" w:styleId="TOC4">
    <w:name w:val="toc 4"/>
    <w:basedOn w:val="Normal"/>
    <w:next w:val="Normal"/>
    <w:autoRedefine/>
    <w:rsid w:val="00D01CB7"/>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D01CB7"/>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D01CB7"/>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D01CB7"/>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D01CB7"/>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D01CB7"/>
    <w:pPr>
      <w:tabs>
        <w:tab w:val="left" w:pos="3240"/>
        <w:tab w:val="right" w:leader="dot" w:pos="9360"/>
      </w:tabs>
      <w:suppressAutoHyphens/>
      <w:ind w:left="3240" w:hanging="360"/>
    </w:pPr>
    <w:rPr>
      <w:noProof/>
    </w:rPr>
  </w:style>
  <w:style w:type="paragraph" w:styleId="TOAHeading">
    <w:name w:val="toa heading"/>
    <w:basedOn w:val="Normal"/>
    <w:next w:val="Normal"/>
    <w:semiHidden/>
    <w:rsid w:val="00D01CB7"/>
    <w:pPr>
      <w:tabs>
        <w:tab w:val="right" w:pos="9360"/>
      </w:tabs>
      <w:suppressAutoHyphens/>
    </w:pPr>
  </w:style>
  <w:style w:type="character" w:customStyle="1" w:styleId="EquationCaption">
    <w:name w:val="_Equation Caption"/>
    <w:rsid w:val="00D01CB7"/>
  </w:style>
  <w:style w:type="paragraph" w:styleId="Header">
    <w:name w:val="header"/>
    <w:basedOn w:val="Normal"/>
    <w:link w:val="HeaderChar"/>
    <w:autoRedefine/>
    <w:rsid w:val="00D01CB7"/>
    <w:pPr>
      <w:tabs>
        <w:tab w:val="center" w:pos="4680"/>
        <w:tab w:val="right" w:pos="9360"/>
      </w:tabs>
    </w:pPr>
    <w:rPr>
      <w:b/>
    </w:rPr>
  </w:style>
  <w:style w:type="paragraph" w:styleId="Footer">
    <w:name w:val="footer"/>
    <w:basedOn w:val="Normal"/>
    <w:link w:val="FooterChar"/>
    <w:uiPriority w:val="99"/>
    <w:rsid w:val="00D01CB7"/>
    <w:pPr>
      <w:tabs>
        <w:tab w:val="center" w:pos="4320"/>
        <w:tab w:val="right" w:pos="8640"/>
      </w:tabs>
    </w:pPr>
  </w:style>
  <w:style w:type="character" w:styleId="PageNumber">
    <w:name w:val="page number"/>
    <w:basedOn w:val="DefaultParagraphFont"/>
    <w:rsid w:val="00D01CB7"/>
  </w:style>
  <w:style w:type="paragraph" w:styleId="BlockText">
    <w:name w:val="Block Text"/>
    <w:basedOn w:val="Normal"/>
    <w:rsid w:val="00D01CB7"/>
    <w:pPr>
      <w:spacing w:after="240"/>
      <w:ind w:left="1440" w:right="1440"/>
    </w:pPr>
  </w:style>
  <w:style w:type="paragraph" w:customStyle="1" w:styleId="Paratitle">
    <w:name w:val="Para title"/>
    <w:basedOn w:val="Normal"/>
    <w:rsid w:val="00D01CB7"/>
    <w:pPr>
      <w:tabs>
        <w:tab w:val="center" w:pos="9270"/>
      </w:tabs>
      <w:spacing w:after="240"/>
    </w:pPr>
    <w:rPr>
      <w:spacing w:val="-2"/>
    </w:rPr>
  </w:style>
  <w:style w:type="paragraph" w:customStyle="1" w:styleId="Bullet">
    <w:name w:val="Bullet"/>
    <w:basedOn w:val="Normal"/>
    <w:rsid w:val="00D01CB7"/>
    <w:pPr>
      <w:tabs>
        <w:tab w:val="left" w:pos="2160"/>
      </w:tabs>
      <w:spacing w:after="220"/>
      <w:ind w:left="2160" w:hanging="720"/>
    </w:pPr>
  </w:style>
  <w:style w:type="paragraph" w:customStyle="1" w:styleId="TableFormat">
    <w:name w:val="TableFormat"/>
    <w:basedOn w:val="Bullet"/>
    <w:rsid w:val="00D01CB7"/>
    <w:pPr>
      <w:tabs>
        <w:tab w:val="clear" w:pos="2160"/>
        <w:tab w:val="left" w:pos="5040"/>
      </w:tabs>
      <w:ind w:left="5040" w:hanging="3600"/>
    </w:pPr>
  </w:style>
  <w:style w:type="paragraph" w:customStyle="1" w:styleId="TOCTitle">
    <w:name w:val="TOC Title"/>
    <w:basedOn w:val="Normal"/>
    <w:rsid w:val="00D01CB7"/>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D01CB7"/>
    <w:pPr>
      <w:jc w:val="center"/>
    </w:pPr>
    <w:rPr>
      <w:rFonts w:ascii="Times New Roman Bold" w:hAnsi="Times New Roman Bold"/>
      <w:b/>
      <w:bCs/>
      <w:caps/>
      <w:szCs w:val="22"/>
    </w:rPr>
  </w:style>
  <w:style w:type="character" w:styleId="Hyperlink">
    <w:name w:val="Hyperlink"/>
    <w:rsid w:val="00D01CB7"/>
    <w:rPr>
      <w:color w:val="0000FF"/>
      <w:u w:val="single"/>
    </w:rPr>
  </w:style>
  <w:style w:type="character" w:customStyle="1" w:styleId="FooterChar">
    <w:name w:val="Footer Char"/>
    <w:link w:val="Footer"/>
    <w:uiPriority w:val="99"/>
    <w:rsid w:val="00D01CB7"/>
    <w:rPr>
      <w:snapToGrid w:val="0"/>
      <w:kern w:val="28"/>
      <w:sz w:val="22"/>
    </w:rPr>
  </w:style>
  <w:style w:type="character" w:customStyle="1" w:styleId="Heading1Char">
    <w:name w:val="Heading 1 Char"/>
    <w:link w:val="Heading1"/>
    <w:rsid w:val="00905DAA"/>
    <w:rPr>
      <w:rFonts w:ascii="Times New Roman Bold" w:hAnsi="Times New Roman Bold"/>
      <w:b/>
      <w:caps/>
      <w:snapToGrid w:val="0"/>
      <w:kern w:val="28"/>
      <w:sz w:val="22"/>
    </w:rPr>
  </w:style>
  <w:style w:type="character" w:customStyle="1" w:styleId="Heading2Char">
    <w:name w:val="Heading 2 Char"/>
    <w:link w:val="Heading2"/>
    <w:rsid w:val="00905DAA"/>
    <w:rPr>
      <w:b/>
      <w:snapToGrid w:val="0"/>
      <w:kern w:val="28"/>
      <w:sz w:val="22"/>
    </w:rPr>
  </w:style>
  <w:style w:type="character" w:customStyle="1" w:styleId="Heading3Char">
    <w:name w:val="Heading 3 Char"/>
    <w:link w:val="Heading3"/>
    <w:rsid w:val="00905DAA"/>
    <w:rPr>
      <w:b/>
      <w:snapToGrid w:val="0"/>
      <w:kern w:val="28"/>
      <w:sz w:val="22"/>
    </w:rPr>
  </w:style>
  <w:style w:type="character" w:customStyle="1" w:styleId="Heading4Char">
    <w:name w:val="Heading 4 Char"/>
    <w:aliases w:val="Heading 4 Char Char Char,Heading 4 Char Char2 Char1 Char Char Char,Heading 4 Char Char4 Char,Heading 4 Char1 Char,Heading 4 Char1 Char1 Char Char Char,Heading 4 Char1 Char1 Char Char1 Char Char Char Char,Heading 4 Char3 Char Char Char"/>
    <w:link w:val="Heading4"/>
    <w:rsid w:val="00905DAA"/>
    <w:rPr>
      <w:b/>
      <w:snapToGrid w:val="0"/>
      <w:kern w:val="28"/>
      <w:sz w:val="22"/>
    </w:rPr>
  </w:style>
  <w:style w:type="character" w:customStyle="1" w:styleId="Heading5Char">
    <w:name w:val="Heading 5 Char"/>
    <w:aliases w:val="Heading 5 Char Char Char Char Char Char,Heading 5 Char Char Char1 Char,Heading 5 Char Char1 Char Char,Heading 5 Char Char2 Char,Heading 5 Char1 Char Char Char Char,Heading 5 Char1 Char Char1 Char,Heading 5 Char1 Char1 Char"/>
    <w:link w:val="Heading5"/>
    <w:rsid w:val="00905DAA"/>
    <w:rPr>
      <w:b/>
      <w:snapToGrid w:val="0"/>
      <w:kern w:val="28"/>
      <w:sz w:val="22"/>
    </w:rPr>
  </w:style>
  <w:style w:type="character" w:customStyle="1" w:styleId="Heading6Char">
    <w:name w:val="Heading 6 Char"/>
    <w:aliases w:val="h6 Char,Heading 6 Char Char Char1,Heading 6 Char Char Char Char,Heading 6 Char Char1 Char,Heading 6 Char1 Char1,Heading 6 Char1 Char Char,Heading 6 Char2 Char"/>
    <w:link w:val="Heading6"/>
    <w:rsid w:val="00905DAA"/>
    <w:rPr>
      <w:b/>
      <w:snapToGrid w:val="0"/>
      <w:kern w:val="28"/>
      <w:sz w:val="22"/>
    </w:rPr>
  </w:style>
  <w:style w:type="character" w:customStyle="1" w:styleId="Heading7Char">
    <w:name w:val="Heading 7 Char"/>
    <w:link w:val="Heading7"/>
    <w:rsid w:val="00905DAA"/>
    <w:rPr>
      <w:b/>
      <w:snapToGrid w:val="0"/>
      <w:kern w:val="28"/>
      <w:sz w:val="22"/>
    </w:rPr>
  </w:style>
  <w:style w:type="character" w:customStyle="1" w:styleId="Heading8Char">
    <w:name w:val="Heading 8 Char"/>
    <w:link w:val="Heading8"/>
    <w:rsid w:val="00905DAA"/>
    <w:rPr>
      <w:b/>
      <w:snapToGrid w:val="0"/>
      <w:kern w:val="28"/>
      <w:sz w:val="22"/>
    </w:rPr>
  </w:style>
  <w:style w:type="character" w:customStyle="1" w:styleId="Heading9Char">
    <w:name w:val="Heading 9 Char"/>
    <w:aliases w:val="9 Char,Heading 9.table Char,Titre 9 Char,Topic Char,t Char,table Char"/>
    <w:link w:val="Heading9"/>
    <w:rsid w:val="00905DAA"/>
    <w:rPr>
      <w:b/>
      <w:snapToGrid w:val="0"/>
      <w:kern w:val="28"/>
      <w:sz w:val="22"/>
    </w:rPr>
  </w:style>
  <w:style w:type="character" w:customStyle="1" w:styleId="EndnoteTextChar">
    <w:name w:val="Endnote Text Char"/>
    <w:link w:val="EndnoteText"/>
    <w:semiHidden/>
    <w:rsid w:val="00905DAA"/>
    <w:rPr>
      <w:snapToGrid w:val="0"/>
      <w:kern w:val="28"/>
    </w:rPr>
  </w:style>
  <w:style w:type="character" w:customStyle="1" w:styleId="FootnoteTextChar">
    <w:name w:val="Footnote Text Char"/>
    <w:aliases w:val="Footnote Text Char1 Char,Footnote Text Char Char Char,Footnote Text Char1 Char Char Char,Footnote Text Char Char Char Char Char,Footnote Text Char1 Char Char Char1 Char Char,Footnote Text Char Char Char Char Char1 Char Char,fn Char"/>
    <w:basedOn w:val="DefaultParagraphFont"/>
    <w:link w:val="FootnoteText"/>
    <w:rsid w:val="00905DAA"/>
  </w:style>
  <w:style w:type="character" w:customStyle="1" w:styleId="HeaderChar">
    <w:name w:val="Header Char"/>
    <w:link w:val="Header"/>
    <w:rsid w:val="00905DAA"/>
    <w:rPr>
      <w:b/>
      <w:snapToGrid w:val="0"/>
      <w:kern w:val="28"/>
      <w:sz w:val="22"/>
    </w:rPr>
  </w:style>
  <w:style w:type="character" w:styleId="CommentReference">
    <w:name w:val="annotation reference"/>
    <w:uiPriority w:val="99"/>
    <w:rsid w:val="00905DAA"/>
    <w:rPr>
      <w:sz w:val="16"/>
      <w:szCs w:val="16"/>
    </w:rPr>
  </w:style>
  <w:style w:type="paragraph" w:styleId="CommentText">
    <w:name w:val="annotation text"/>
    <w:basedOn w:val="Normal"/>
    <w:link w:val="CommentTextChar"/>
    <w:uiPriority w:val="99"/>
    <w:rsid w:val="00905DAA"/>
    <w:rPr>
      <w:sz w:val="20"/>
    </w:rPr>
  </w:style>
  <w:style w:type="character" w:customStyle="1" w:styleId="CommentTextChar">
    <w:name w:val="Comment Text Char"/>
    <w:link w:val="CommentText"/>
    <w:uiPriority w:val="99"/>
    <w:rsid w:val="00905DAA"/>
    <w:rPr>
      <w:snapToGrid w:val="0"/>
      <w:kern w:val="28"/>
    </w:rPr>
  </w:style>
  <w:style w:type="paragraph" w:styleId="CommentSubject">
    <w:name w:val="annotation subject"/>
    <w:basedOn w:val="CommentText"/>
    <w:next w:val="CommentText"/>
    <w:link w:val="CommentSubjectChar"/>
    <w:rsid w:val="00905DAA"/>
    <w:rPr>
      <w:b/>
      <w:bCs/>
    </w:rPr>
  </w:style>
  <w:style w:type="character" w:customStyle="1" w:styleId="CommentSubjectChar">
    <w:name w:val="Comment Subject Char"/>
    <w:link w:val="CommentSubject"/>
    <w:rsid w:val="00905DAA"/>
    <w:rPr>
      <w:b/>
      <w:bCs/>
      <w:snapToGrid w:val="0"/>
      <w:kern w:val="28"/>
    </w:rPr>
  </w:style>
  <w:style w:type="character" w:styleId="UnresolvedMention">
    <w:name w:val="Unresolved Mention"/>
    <w:uiPriority w:val="99"/>
    <w:unhideWhenUsed/>
    <w:rsid w:val="00905DAA"/>
    <w:rPr>
      <w:color w:val="605E5C"/>
      <w:shd w:val="clear" w:color="auto" w:fill="E1DFDD"/>
    </w:rPr>
  </w:style>
  <w:style w:type="paragraph" w:styleId="Revision">
    <w:name w:val="Revision"/>
    <w:hidden/>
    <w:uiPriority w:val="99"/>
    <w:semiHidden/>
    <w:rsid w:val="00905DAA"/>
    <w:rPr>
      <w:snapToGrid w:val="0"/>
      <w:kern w:val="28"/>
      <w:sz w:val="22"/>
    </w:rPr>
  </w:style>
  <w:style w:type="character" w:customStyle="1" w:styleId="ParaNumChar1">
    <w:name w:val="ParaNum Char1"/>
    <w:link w:val="ParaNum"/>
    <w:locked/>
    <w:rsid w:val="00905DAA"/>
    <w:rPr>
      <w:snapToGrid w:val="0"/>
      <w:kern w:val="28"/>
      <w:sz w:val="22"/>
    </w:rPr>
  </w:style>
  <w:style w:type="table" w:styleId="TableGrid">
    <w:name w:val="Table Grid"/>
    <w:basedOn w:val="TableNormal"/>
    <w:rsid w:val="00905D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rsid w:val="00905DAA"/>
    <w:rPr>
      <w:color w:val="96607D"/>
      <w:u w:val="single"/>
    </w:rPr>
  </w:style>
  <w:style w:type="character" w:customStyle="1" w:styleId="ParaNumChar">
    <w:name w:val="ParaNum Char"/>
    <w:locked/>
    <w:rsid w:val="00905DAA"/>
    <w:rPr>
      <w:snapToGrid w:val="0"/>
      <w:kern w:val="28"/>
      <w:sz w:val="22"/>
    </w:rPr>
  </w:style>
  <w:style w:type="character" w:styleId="Mention">
    <w:name w:val="Mention"/>
    <w:uiPriority w:val="99"/>
    <w:unhideWhenUsed/>
    <w:rsid w:val="00905DAA"/>
    <w:rPr>
      <w:color w:val="2B579A"/>
      <w:shd w:val="clear" w:color="auto" w:fill="E1DFDD"/>
    </w:rPr>
  </w:style>
  <w:style w:type="paragraph" w:styleId="ListParagraph">
    <w:name w:val="List Paragraph"/>
    <w:basedOn w:val="Normal"/>
    <w:uiPriority w:val="34"/>
    <w:qFormat/>
    <w:rsid w:val="00905DAA"/>
    <w:pPr>
      <w:ind w:left="720"/>
      <w:contextualSpacing/>
    </w:pPr>
  </w:style>
  <w:style w:type="character" w:customStyle="1" w:styleId="StyleFootnoteReferenceNECGFootnoteReference-EFunotenzeiche">
    <w:name w:val="Style Footnote Reference(NECG) Footnote Reference-E Funotenzeiche..."/>
    <w:rsid w:val="00905DAA"/>
    <w:rPr>
      <w:rFonts w:ascii="Times New Roman" w:hAnsi="Times New Roman"/>
      <w:dstrike w:val="0"/>
      <w:color w:val="auto"/>
      <w:sz w:val="20"/>
      <w:vertAlign w:val="superscript"/>
    </w:rPr>
  </w:style>
  <w:style w:type="paragraph" w:styleId="TOCHeading">
    <w:name w:val="TOC Heading"/>
    <w:basedOn w:val="Heading1"/>
    <w:next w:val="Normal"/>
    <w:uiPriority w:val="39"/>
    <w:unhideWhenUsed/>
    <w:qFormat/>
    <w:rsid w:val="00905DAA"/>
    <w:pPr>
      <w:keepLines/>
      <w:widowControl/>
      <w:suppressAutoHyphens w:val="0"/>
      <w:spacing w:before="240" w:after="0" w:line="259" w:lineRule="auto"/>
      <w:outlineLvl w:val="9"/>
    </w:pPr>
    <w:rPr>
      <w:rFonts w:ascii="Aptos Display" w:eastAsia="Yu Gothic Light" w:hAnsi="Aptos Display"/>
      <w:b w:val="0"/>
      <w:caps w:val="0"/>
      <w:snapToGrid/>
      <w:color w:val="0F4761"/>
      <w:kern w:val="0"/>
      <w:sz w:val="32"/>
      <w:szCs w:val="32"/>
    </w:rPr>
  </w:style>
  <w:style w:type="table" w:customStyle="1" w:styleId="TableGrid1">
    <w:name w:val="Table Grid1"/>
    <w:basedOn w:val="TableNormal"/>
    <w:next w:val="TableGrid"/>
    <w:uiPriority w:val="39"/>
    <w:rsid w:val="00905DAA"/>
    <w:rPr>
      <w:rFonts w:ascii="Aptos" w:eastAsia="Aptos" w:hAnsi="Aptos" w:cs="Arial"/>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customXml" Target="ink/ink1.xml" /><Relationship Id="rId15" Type="http://schemas.openxmlformats.org/officeDocument/2006/relationships/image" Target="media/image1.emf" /><Relationship Id="rId16" Type="http://schemas.openxmlformats.org/officeDocument/2006/relationships/header" Target="header3.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4.xml" /><Relationship Id="rId2" Type="http://schemas.openxmlformats.org/officeDocument/2006/relationships/endnotes" Target="endnotes.xml" /><Relationship Id="rId20" Type="http://schemas.openxmlformats.org/officeDocument/2006/relationships/footer" Target="footer6.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https://www.fcc.gov/proposed-rulemakings" TargetMode="External" /><Relationship Id="rId8" Type="http://schemas.openxmlformats.org/officeDocument/2006/relationships/hyperlink" Target="mailto:Richard.Smith@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www.secretservice.gov/newsroom/releases/2025/09/us-secret-service-dismantles-imminent-telecommunications-threat-new-york" TargetMode="External" /><Relationship Id="rId2" Type="http://schemas.openxmlformats.org/officeDocument/2006/relationships/hyperlink" Target="https://www.lycamobile.us/blog/en/best-prepaid-sim-cards-for-non-residents-and-visitors-to-the-usa-2025-guide/" TargetMode="External" /><Relationship Id="rId3" Type="http://schemas.openxmlformats.org/officeDocument/2006/relationships/hyperlink" Target="https://www.wto.org/english/tratop_e/serv_e/telecom_e/telecom_e.htm" TargetMode="External" /><Relationship Id="rId4" Type="http://schemas.openxmlformats.org/officeDocument/2006/relationships/hyperlink" Target="https://opendata.fcc.gov/Consumer/CGB-Unwanted-Calls-Current-YTD/vzkh-ddru" TargetMode="External" /><Relationship Id="rId5" Type="http://schemas.openxmlformats.org/officeDocument/2006/relationships/hyperlink" Target="https://advocacy.sba.gov/wp-content/uploads/2024/12/Frequently-Asked-Questions-About-Small-Business_2024-508.pdf" TargetMode="External" /><Relationship Id="rId6" Type="http://schemas.openxmlformats.org/officeDocument/2006/relationships/hyperlink" Target="https://advocacy.sba.gov/2019/07/25/small-business-facts-spotlight-on-nonprofits/" TargetMode="External" /><Relationship Id="rId7" Type="http://schemas.openxmlformats.org/officeDocument/2006/relationships/hyperlink" Target="https://www.census.gov/data/tables/2022/econ/gus/2022-governments.html" TargetMode="External" /><Relationship Id="rId8" Type="http://schemas.openxmlformats.org/officeDocument/2006/relationships/hyperlink" Target="http://www.census.gov/NAICS" TargetMode="External" /><Relationship Id="rId9" Type="http://schemas.openxmlformats.org/officeDocument/2006/relationships/hyperlink" Target="https://docs.fcc.gov/public/attachments/DOC-408848A1.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2-27T15:00:39.659"/>
    </inkml:context>
    <inkml:brush xml:id="br0">
      <inkml:brushProperty name="width" value="0.3" units="cm"/>
      <inkml:brushProperty name="height" value="0.6" units="cm"/>
      <inkml:brushProperty name="color" value="#FFFC00"/>
      <inkml:brushProperty name="tip" value="rectangle"/>
      <inkml:brushProperty name="rasterOp" value="maskPen"/>
      <inkml:brushProperty name="ignorePressure" value="1"/>
    </inkml:brush>
  </inkml:definitions>
  <inkml:trace contextRef="#ctx0" brushRef="#br0">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