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3B2D86" w:rsidRPr="00956E15" w:rsidP="00093873" w14:paraId="7CDAF77B" w14:textId="77777777">
      <w:pPr>
        <w:spacing w:after="0" w:line="240" w:lineRule="auto"/>
        <w:jc w:val="center"/>
        <w:rPr>
          <w:rFonts w:ascii="Times New Roman" w:hAnsi="Times New Roman" w:cs="Times New Roman"/>
          <w:b/>
          <w:bCs/>
          <w:sz w:val="22"/>
          <w:szCs w:val="22"/>
        </w:rPr>
      </w:pPr>
      <w:r w:rsidRPr="00956E15">
        <w:rPr>
          <w:rFonts w:ascii="Times New Roman" w:hAnsi="Times New Roman" w:cs="Times New Roman"/>
          <w:b/>
          <w:bCs/>
          <w:sz w:val="22"/>
          <w:szCs w:val="22"/>
        </w:rPr>
        <w:t>STATEMENT OF</w:t>
      </w:r>
    </w:p>
    <w:p w:rsidR="005823F0" w:rsidP="00093873" w14:paraId="29A27364" w14:textId="77551D4B">
      <w:pPr>
        <w:spacing w:after="0" w:line="240" w:lineRule="auto"/>
        <w:jc w:val="center"/>
        <w:rPr>
          <w:rFonts w:ascii="Times New Roman" w:hAnsi="Times New Roman" w:cs="Times New Roman"/>
          <w:b/>
          <w:bCs/>
          <w:sz w:val="22"/>
          <w:szCs w:val="22"/>
        </w:rPr>
      </w:pPr>
      <w:r w:rsidRPr="00956E15">
        <w:rPr>
          <w:rFonts w:ascii="Times New Roman" w:hAnsi="Times New Roman" w:cs="Times New Roman"/>
          <w:b/>
          <w:bCs/>
          <w:sz w:val="22"/>
          <w:szCs w:val="22"/>
        </w:rPr>
        <w:t>CHAIRMAN BRENDAN CARR</w:t>
      </w:r>
    </w:p>
    <w:p w:rsidR="008F36D4" w:rsidP="00093873" w14:paraId="216A6429" w14:textId="77777777">
      <w:pPr>
        <w:spacing w:after="0" w:line="240" w:lineRule="auto"/>
        <w:jc w:val="center"/>
        <w:rPr>
          <w:rFonts w:ascii="Times New Roman" w:hAnsi="Times New Roman" w:cs="Times New Roman"/>
          <w:b/>
          <w:bCs/>
          <w:sz w:val="22"/>
          <w:szCs w:val="22"/>
        </w:rPr>
      </w:pPr>
    </w:p>
    <w:p w:rsidR="003B2D86" w:rsidRPr="0061608A" w:rsidP="00F60806" w14:paraId="38C9696B" w14:textId="5225F7F8">
      <w:pPr>
        <w:spacing w:after="0" w:line="240" w:lineRule="auto"/>
        <w:rPr>
          <w:rFonts w:ascii="Times New Roman" w:hAnsi="Times New Roman" w:cs="Times New Roman"/>
          <w:sz w:val="22"/>
          <w:szCs w:val="22"/>
        </w:rPr>
      </w:pPr>
      <w:r w:rsidRPr="008F36D4">
        <w:rPr>
          <w:rFonts w:ascii="Times New Roman" w:hAnsi="Times New Roman" w:cs="Times New Roman"/>
          <w:sz w:val="22"/>
          <w:szCs w:val="22"/>
        </w:rPr>
        <w:t>Re:</w:t>
      </w:r>
      <w:r w:rsidRPr="008F36D4">
        <w:rPr>
          <w:rFonts w:ascii="Times New Roman" w:hAnsi="Times New Roman" w:cs="Times New Roman"/>
          <w:sz w:val="22"/>
          <w:szCs w:val="22"/>
        </w:rPr>
        <w:tab/>
      </w:r>
      <w:r w:rsidRPr="00D010B6" w:rsidR="00D010B6">
        <w:rPr>
          <w:rFonts w:ascii="Times New Roman" w:hAnsi="Times New Roman" w:cs="Times New Roman"/>
          <w:i/>
          <w:iCs/>
          <w:sz w:val="22"/>
          <w:szCs w:val="22"/>
        </w:rPr>
        <w:t>Accessible Emergency Information, and Apparatus Requirements for Emergency Information and Video Description: Implementation of the Twenty-First Century Communications and Video Accessibility Act of 2010</w:t>
      </w:r>
      <w:r w:rsidR="00AB5FE4">
        <w:rPr>
          <w:rFonts w:ascii="Times New Roman" w:hAnsi="Times New Roman" w:cs="Times New Roman"/>
          <w:sz w:val="22"/>
          <w:szCs w:val="22"/>
        </w:rPr>
        <w:t xml:space="preserve">, Third Further Notice of Proposed Rulemaking, </w:t>
      </w:r>
      <w:r w:rsidRPr="00F60806" w:rsidR="00F60806">
        <w:rPr>
          <w:rFonts w:ascii="Times New Roman" w:hAnsi="Times New Roman" w:cs="Times New Roman"/>
          <w:sz w:val="22"/>
          <w:szCs w:val="22"/>
        </w:rPr>
        <w:t>MB Docket No. 12-107</w:t>
      </w:r>
      <w:r w:rsidR="00F60806">
        <w:rPr>
          <w:rFonts w:ascii="Times New Roman" w:hAnsi="Times New Roman" w:cs="Times New Roman"/>
          <w:sz w:val="22"/>
          <w:szCs w:val="22"/>
        </w:rPr>
        <w:t xml:space="preserve"> (April 30, 2026)</w:t>
      </w:r>
    </w:p>
    <w:p w:rsidR="00DE65CD" w:rsidP="0061608A" w14:paraId="57926057" w14:textId="77777777">
      <w:pPr>
        <w:spacing w:after="0" w:line="240" w:lineRule="auto"/>
        <w:ind w:firstLine="720"/>
        <w:rPr>
          <w:rFonts w:ascii="Times New Roman" w:hAnsi="Times New Roman" w:cs="Times New Roman"/>
          <w:sz w:val="22"/>
          <w:szCs w:val="22"/>
          <w:highlight w:val="red"/>
        </w:rPr>
      </w:pPr>
    </w:p>
    <w:p w:rsidR="00D3395B" w:rsidP="00F06634" w14:paraId="0E7256E4" w14:textId="31015AEA">
      <w:pPr>
        <w:spacing w:after="120" w:line="240" w:lineRule="auto"/>
        <w:ind w:firstLine="720"/>
        <w:rPr>
          <w:rFonts w:ascii="Times New Roman" w:hAnsi="Times New Roman" w:cs="Times New Roman"/>
          <w:sz w:val="22"/>
          <w:szCs w:val="22"/>
        </w:rPr>
      </w:pPr>
      <w:r>
        <w:rPr>
          <w:rFonts w:ascii="Times New Roman" w:hAnsi="Times New Roman" w:cs="Times New Roman"/>
          <w:sz w:val="22"/>
          <w:szCs w:val="22"/>
        </w:rPr>
        <w:t>During my time as Chairman</w:t>
      </w:r>
      <w:r w:rsidRPr="00BA7EE7">
        <w:rPr>
          <w:rFonts w:ascii="Times New Roman" w:hAnsi="Times New Roman" w:cs="Times New Roman"/>
          <w:sz w:val="22"/>
          <w:szCs w:val="22"/>
        </w:rPr>
        <w:t xml:space="preserve">, I have emphasized the importance of good governance and ensuring that our rules work in practice—not just on paper. </w:t>
      </w:r>
      <w:r>
        <w:rPr>
          <w:rFonts w:ascii="Times New Roman" w:hAnsi="Times New Roman" w:cs="Times New Roman"/>
          <w:sz w:val="22"/>
          <w:szCs w:val="22"/>
        </w:rPr>
        <w:t xml:space="preserve"> </w:t>
      </w:r>
      <w:r w:rsidRPr="00BA7EE7">
        <w:rPr>
          <w:rFonts w:ascii="Times New Roman" w:hAnsi="Times New Roman" w:cs="Times New Roman"/>
          <w:sz w:val="22"/>
          <w:szCs w:val="22"/>
        </w:rPr>
        <w:t>The FCC has a responsibility to be a careful steward of its regulations, particularly when those rules affect access to critical information for millions of Americans.</w:t>
      </w:r>
    </w:p>
    <w:p w:rsidR="00004A6E" w:rsidP="00F06634" w14:paraId="1242CDF4" w14:textId="7BAFFF24">
      <w:pPr>
        <w:spacing w:after="120" w:line="240" w:lineRule="auto"/>
        <w:ind w:firstLine="720"/>
        <w:rPr>
          <w:rFonts w:ascii="Times New Roman" w:hAnsi="Times New Roman" w:cs="Times New Roman"/>
          <w:sz w:val="22"/>
          <w:szCs w:val="22"/>
        </w:rPr>
      </w:pPr>
      <w:r w:rsidRPr="00004A6E">
        <w:rPr>
          <w:rFonts w:ascii="Times New Roman" w:hAnsi="Times New Roman" w:cs="Times New Roman"/>
          <w:sz w:val="22"/>
          <w:szCs w:val="22"/>
        </w:rPr>
        <w:t>When the Commission adopted the Audible Crawl Rule more than a decade ago, the goal was straightforward: ensure that individuals who are blind or visually impaired receive the same timely emergency information that appears visually during non‑newscast programming.</w:t>
      </w:r>
      <w:r w:rsidR="00505B6F">
        <w:rPr>
          <w:rFonts w:ascii="Times New Roman" w:hAnsi="Times New Roman" w:cs="Times New Roman"/>
          <w:sz w:val="22"/>
          <w:szCs w:val="22"/>
        </w:rPr>
        <w:t xml:space="preserve"> </w:t>
      </w:r>
      <w:r w:rsidRPr="00004A6E">
        <w:rPr>
          <w:rFonts w:ascii="Times New Roman" w:hAnsi="Times New Roman" w:cs="Times New Roman"/>
          <w:sz w:val="22"/>
          <w:szCs w:val="22"/>
        </w:rPr>
        <w:t xml:space="preserve"> But despite industry efforts</w:t>
      </w:r>
      <w:r w:rsidR="00A92D97">
        <w:rPr>
          <w:rFonts w:ascii="Times New Roman" w:hAnsi="Times New Roman" w:cs="Times New Roman"/>
          <w:sz w:val="22"/>
          <w:szCs w:val="22"/>
        </w:rPr>
        <w:t xml:space="preserve"> over the years that the rule has been in place</w:t>
      </w:r>
      <w:r w:rsidRPr="00004A6E">
        <w:rPr>
          <w:rFonts w:ascii="Times New Roman" w:hAnsi="Times New Roman" w:cs="Times New Roman"/>
          <w:sz w:val="22"/>
          <w:szCs w:val="22"/>
        </w:rPr>
        <w:t>, no automated or technically viable solution has emerged to aurally describe visual, non‑textual emergency information such as maps or graphic images.</w:t>
      </w:r>
      <w:r w:rsidR="00505B6F">
        <w:rPr>
          <w:rFonts w:ascii="Times New Roman" w:hAnsi="Times New Roman" w:cs="Times New Roman"/>
          <w:sz w:val="22"/>
          <w:szCs w:val="22"/>
        </w:rPr>
        <w:t xml:space="preserve"> </w:t>
      </w:r>
      <w:r w:rsidRPr="00004A6E">
        <w:rPr>
          <w:rFonts w:ascii="Times New Roman" w:hAnsi="Times New Roman" w:cs="Times New Roman"/>
          <w:sz w:val="22"/>
          <w:szCs w:val="22"/>
        </w:rPr>
        <w:t xml:space="preserve"> As a result, </w:t>
      </w:r>
      <w:r w:rsidR="00A92D97">
        <w:rPr>
          <w:rFonts w:ascii="Times New Roman" w:hAnsi="Times New Roman" w:cs="Times New Roman"/>
          <w:sz w:val="22"/>
          <w:szCs w:val="22"/>
        </w:rPr>
        <w:t xml:space="preserve">that part of </w:t>
      </w:r>
      <w:r w:rsidRPr="00004A6E">
        <w:rPr>
          <w:rFonts w:ascii="Times New Roman" w:hAnsi="Times New Roman" w:cs="Times New Roman"/>
          <w:sz w:val="22"/>
          <w:szCs w:val="22"/>
        </w:rPr>
        <w:t>the rule has been waived since its inception.</w:t>
      </w:r>
    </w:p>
    <w:p w:rsidR="008353BE" w:rsidP="00F06634" w14:paraId="28DFEFC4" w14:textId="53BA2945">
      <w:pPr>
        <w:spacing w:after="120" w:line="240" w:lineRule="auto"/>
        <w:ind w:firstLine="720"/>
        <w:rPr>
          <w:rFonts w:ascii="Times New Roman" w:hAnsi="Times New Roman" w:cs="Times New Roman"/>
          <w:sz w:val="22"/>
          <w:szCs w:val="22"/>
        </w:rPr>
      </w:pPr>
      <w:r w:rsidRPr="00505B6F">
        <w:rPr>
          <w:rFonts w:ascii="Times New Roman" w:hAnsi="Times New Roman" w:cs="Times New Roman"/>
          <w:sz w:val="22"/>
          <w:szCs w:val="22"/>
        </w:rPr>
        <w:t xml:space="preserve">Today’s item takes a common‑sense step forward. </w:t>
      </w:r>
      <w:r w:rsidR="000304D7">
        <w:rPr>
          <w:rFonts w:ascii="Times New Roman" w:hAnsi="Times New Roman" w:cs="Times New Roman"/>
          <w:sz w:val="22"/>
          <w:szCs w:val="22"/>
        </w:rPr>
        <w:t xml:space="preserve"> </w:t>
      </w:r>
      <w:r w:rsidRPr="00505B6F">
        <w:rPr>
          <w:rFonts w:ascii="Times New Roman" w:hAnsi="Times New Roman" w:cs="Times New Roman"/>
          <w:sz w:val="22"/>
          <w:szCs w:val="22"/>
        </w:rPr>
        <w:t xml:space="preserve">It does two important things. </w:t>
      </w:r>
      <w:r>
        <w:rPr>
          <w:rFonts w:ascii="Times New Roman" w:hAnsi="Times New Roman" w:cs="Times New Roman"/>
          <w:sz w:val="22"/>
          <w:szCs w:val="22"/>
        </w:rPr>
        <w:t xml:space="preserve"> </w:t>
      </w:r>
      <w:r w:rsidRPr="00505B6F">
        <w:rPr>
          <w:rFonts w:ascii="Times New Roman" w:hAnsi="Times New Roman" w:cs="Times New Roman"/>
          <w:sz w:val="22"/>
          <w:szCs w:val="22"/>
        </w:rPr>
        <w:t xml:space="preserve">First, it ensures that people who are blind or visually impaired continue to receive the emergency information they rely on. </w:t>
      </w:r>
      <w:r>
        <w:rPr>
          <w:rFonts w:ascii="Times New Roman" w:hAnsi="Times New Roman" w:cs="Times New Roman"/>
          <w:sz w:val="22"/>
          <w:szCs w:val="22"/>
        </w:rPr>
        <w:t xml:space="preserve"> </w:t>
      </w:r>
      <w:r w:rsidRPr="00505B6F">
        <w:rPr>
          <w:rFonts w:ascii="Times New Roman" w:hAnsi="Times New Roman" w:cs="Times New Roman"/>
          <w:sz w:val="22"/>
          <w:szCs w:val="22"/>
        </w:rPr>
        <w:t xml:space="preserve">Second, it eliminates a compliance obligation that cannot be met because no technical solution exists. </w:t>
      </w:r>
      <w:r>
        <w:rPr>
          <w:rFonts w:ascii="Times New Roman" w:hAnsi="Times New Roman" w:cs="Times New Roman"/>
          <w:sz w:val="22"/>
          <w:szCs w:val="22"/>
        </w:rPr>
        <w:t xml:space="preserve"> </w:t>
      </w:r>
      <w:r w:rsidRPr="00505B6F">
        <w:rPr>
          <w:rFonts w:ascii="Times New Roman" w:hAnsi="Times New Roman" w:cs="Times New Roman"/>
          <w:sz w:val="22"/>
          <w:szCs w:val="22"/>
        </w:rPr>
        <w:t xml:space="preserve">The record shows that the information conveyed through visual images is typically duplicative of the text crawls that are already provided aurally. </w:t>
      </w:r>
      <w:r>
        <w:rPr>
          <w:rFonts w:ascii="Times New Roman" w:hAnsi="Times New Roman" w:cs="Times New Roman"/>
          <w:sz w:val="22"/>
          <w:szCs w:val="22"/>
        </w:rPr>
        <w:t xml:space="preserve"> </w:t>
      </w:r>
      <w:r w:rsidRPr="00505B6F">
        <w:rPr>
          <w:rFonts w:ascii="Times New Roman" w:hAnsi="Times New Roman" w:cs="Times New Roman"/>
          <w:sz w:val="22"/>
          <w:szCs w:val="22"/>
        </w:rPr>
        <w:t>Removing an unworkable requirement therefore reduces unnecessary burdens while preserving access to essential information.</w:t>
      </w:r>
    </w:p>
    <w:p w:rsidR="00BC018B" w:rsidP="00F06634" w14:paraId="24838F03" w14:textId="510C0125">
      <w:pPr>
        <w:spacing w:after="120" w:line="240" w:lineRule="auto"/>
        <w:ind w:firstLine="720"/>
        <w:rPr>
          <w:rFonts w:ascii="Times New Roman" w:hAnsi="Times New Roman" w:cs="Times New Roman"/>
          <w:sz w:val="22"/>
          <w:szCs w:val="22"/>
        </w:rPr>
      </w:pPr>
      <w:r w:rsidRPr="0061608A">
        <w:rPr>
          <w:rFonts w:ascii="Times New Roman" w:hAnsi="Times New Roman" w:cs="Times New Roman"/>
          <w:sz w:val="22"/>
          <w:szCs w:val="22"/>
        </w:rPr>
        <w:t xml:space="preserve">I am pleased that this </w:t>
      </w:r>
      <w:r w:rsidR="003D545D">
        <w:rPr>
          <w:rFonts w:ascii="Times New Roman" w:hAnsi="Times New Roman" w:cs="Times New Roman"/>
          <w:sz w:val="22"/>
          <w:szCs w:val="22"/>
        </w:rPr>
        <w:t>item</w:t>
      </w:r>
      <w:r w:rsidRPr="0061608A">
        <w:rPr>
          <w:rFonts w:ascii="Times New Roman" w:hAnsi="Times New Roman" w:cs="Times New Roman"/>
          <w:sz w:val="22"/>
          <w:szCs w:val="22"/>
        </w:rPr>
        <w:t xml:space="preserve"> proposes a practical and balanced approach.  It would ease compliance burdens, align our rules with technical reality, and ensure the continued availability of visual, non‑textual emergency information.  This is the type of regulatory modernization that strengthens the integrity and usefulness of our rules.</w:t>
      </w:r>
    </w:p>
    <w:p w:rsidR="003B2D86" w:rsidRPr="00956E15" w:rsidP="00F06634" w14:paraId="5E9B3A1F" w14:textId="4C970BC6">
      <w:pPr>
        <w:spacing w:after="120" w:line="240" w:lineRule="auto"/>
        <w:ind w:firstLine="720"/>
        <w:rPr>
          <w:rFonts w:ascii="Times New Roman" w:hAnsi="Times New Roman" w:cs="Times New Roman"/>
          <w:sz w:val="22"/>
          <w:szCs w:val="22"/>
        </w:rPr>
      </w:pPr>
      <w:r w:rsidRPr="00CF7F30">
        <w:rPr>
          <w:rFonts w:ascii="Times New Roman" w:hAnsi="Times New Roman" w:cs="Times New Roman"/>
          <w:sz w:val="22"/>
          <w:szCs w:val="22"/>
        </w:rPr>
        <w:t xml:space="preserve">Thank you to the video programming </w:t>
      </w:r>
      <w:r w:rsidRPr="00CF7F30" w:rsidR="007A4BE5">
        <w:rPr>
          <w:rFonts w:ascii="Times New Roman" w:hAnsi="Times New Roman" w:cs="Times New Roman"/>
          <w:sz w:val="22"/>
          <w:szCs w:val="22"/>
        </w:rPr>
        <w:t>providers</w:t>
      </w:r>
      <w:r w:rsidR="007A4BE5">
        <w:rPr>
          <w:rFonts w:ascii="Times New Roman" w:hAnsi="Times New Roman" w:cs="Times New Roman"/>
          <w:sz w:val="22"/>
          <w:szCs w:val="22"/>
        </w:rPr>
        <w:t>,</w:t>
      </w:r>
      <w:r w:rsidRPr="00CF7F30">
        <w:rPr>
          <w:rFonts w:ascii="Times New Roman" w:hAnsi="Times New Roman" w:cs="Times New Roman"/>
          <w:sz w:val="22"/>
          <w:szCs w:val="22"/>
        </w:rPr>
        <w:t xml:space="preserve"> distributors</w:t>
      </w:r>
      <w:r w:rsidR="009B7346">
        <w:rPr>
          <w:rFonts w:ascii="Times New Roman" w:hAnsi="Times New Roman" w:cs="Times New Roman"/>
          <w:sz w:val="22"/>
          <w:szCs w:val="22"/>
        </w:rPr>
        <w:t>,</w:t>
      </w:r>
      <w:r w:rsidRPr="00CF7F30">
        <w:rPr>
          <w:rFonts w:ascii="Times New Roman" w:hAnsi="Times New Roman" w:cs="Times New Roman"/>
          <w:sz w:val="22"/>
          <w:szCs w:val="22"/>
        </w:rPr>
        <w:t xml:space="preserve"> and the consumer </w:t>
      </w:r>
      <w:r w:rsidRPr="00CF7F30" w:rsidR="009B7346">
        <w:rPr>
          <w:rFonts w:ascii="Times New Roman" w:hAnsi="Times New Roman" w:cs="Times New Roman"/>
          <w:sz w:val="22"/>
          <w:szCs w:val="22"/>
        </w:rPr>
        <w:t>advocat</w:t>
      </w:r>
      <w:r w:rsidR="009B7346">
        <w:rPr>
          <w:rFonts w:ascii="Times New Roman" w:hAnsi="Times New Roman" w:cs="Times New Roman"/>
          <w:sz w:val="22"/>
          <w:szCs w:val="22"/>
        </w:rPr>
        <w:t>es who</w:t>
      </w:r>
      <w:r w:rsidRPr="00CF7F30">
        <w:rPr>
          <w:rFonts w:ascii="Times New Roman" w:hAnsi="Times New Roman" w:cs="Times New Roman"/>
          <w:sz w:val="22"/>
          <w:szCs w:val="22"/>
        </w:rPr>
        <w:t xml:space="preserve"> contributed to the development of this proposal.</w:t>
      </w:r>
      <w:r w:rsidR="009B7346">
        <w:rPr>
          <w:rFonts w:ascii="Times New Roman" w:hAnsi="Times New Roman" w:cs="Times New Roman"/>
          <w:sz w:val="22"/>
          <w:szCs w:val="22"/>
        </w:rPr>
        <w:t xml:space="preserve">  </w:t>
      </w:r>
      <w:r w:rsidRPr="00A147E2" w:rsidR="00A147E2">
        <w:rPr>
          <w:rFonts w:ascii="Times New Roman" w:hAnsi="Times New Roman" w:cs="Times New Roman"/>
          <w:sz w:val="22"/>
          <w:szCs w:val="22"/>
        </w:rPr>
        <w:t>And thank you to the FCC staff who worked on this item, including</w:t>
      </w:r>
      <w:r w:rsidR="00A147E2">
        <w:rPr>
          <w:rFonts w:ascii="Times New Roman" w:hAnsi="Times New Roman" w:cs="Times New Roman"/>
          <w:sz w:val="22"/>
          <w:szCs w:val="22"/>
        </w:rPr>
        <w:t xml:space="preserve"> </w:t>
      </w:r>
      <w:r w:rsidRPr="00CB436C" w:rsidR="00CB436C">
        <w:rPr>
          <w:rFonts w:ascii="Times New Roman" w:hAnsi="Times New Roman" w:cs="Times New Roman"/>
          <w:sz w:val="22"/>
          <w:szCs w:val="22"/>
        </w:rPr>
        <w:t>Virgie Ingram</w:t>
      </w:r>
      <w:r w:rsidR="00CB436C">
        <w:rPr>
          <w:rFonts w:ascii="Times New Roman" w:hAnsi="Times New Roman" w:cs="Times New Roman"/>
          <w:sz w:val="22"/>
          <w:szCs w:val="22"/>
        </w:rPr>
        <w:t xml:space="preserve">, </w:t>
      </w:r>
      <w:r w:rsidRPr="00CB436C" w:rsidR="00CB436C">
        <w:rPr>
          <w:rFonts w:ascii="Times New Roman" w:hAnsi="Times New Roman" w:cs="Times New Roman"/>
          <w:sz w:val="22"/>
          <w:szCs w:val="22"/>
        </w:rPr>
        <w:t>Maria Mullarkey</w:t>
      </w:r>
      <w:r w:rsidR="00CB436C">
        <w:rPr>
          <w:rFonts w:ascii="Times New Roman" w:hAnsi="Times New Roman" w:cs="Times New Roman"/>
          <w:sz w:val="22"/>
          <w:szCs w:val="22"/>
        </w:rPr>
        <w:t xml:space="preserve">, </w:t>
      </w:r>
      <w:r w:rsidRPr="00CB436C" w:rsidR="00CB436C">
        <w:rPr>
          <w:rFonts w:ascii="Times New Roman" w:hAnsi="Times New Roman" w:cs="Times New Roman"/>
          <w:sz w:val="22"/>
          <w:szCs w:val="22"/>
        </w:rPr>
        <w:t>Diana Sokolow</w:t>
      </w:r>
      <w:r w:rsidR="00CB436C">
        <w:rPr>
          <w:rFonts w:ascii="Times New Roman" w:hAnsi="Times New Roman" w:cs="Times New Roman"/>
          <w:sz w:val="22"/>
          <w:szCs w:val="22"/>
        </w:rPr>
        <w:t xml:space="preserve">, </w:t>
      </w:r>
      <w:r w:rsidRPr="00CB436C" w:rsidR="00CB436C">
        <w:rPr>
          <w:rFonts w:ascii="Times New Roman" w:hAnsi="Times New Roman" w:cs="Times New Roman"/>
          <w:sz w:val="22"/>
          <w:szCs w:val="22"/>
        </w:rPr>
        <w:t>Hillary DeNigro</w:t>
      </w:r>
      <w:r w:rsidR="00CB436C">
        <w:rPr>
          <w:rFonts w:ascii="Times New Roman" w:hAnsi="Times New Roman" w:cs="Times New Roman"/>
          <w:sz w:val="22"/>
          <w:szCs w:val="22"/>
        </w:rPr>
        <w:t xml:space="preserve">, </w:t>
      </w:r>
      <w:r w:rsidRPr="00CB436C" w:rsidR="00CB436C">
        <w:rPr>
          <w:rFonts w:ascii="Times New Roman" w:hAnsi="Times New Roman" w:cs="Times New Roman"/>
          <w:sz w:val="22"/>
          <w:szCs w:val="22"/>
        </w:rPr>
        <w:t>Alex Sanjeni</w:t>
      </w:r>
      <w:r w:rsidR="00880ACB">
        <w:rPr>
          <w:rFonts w:ascii="Times New Roman" w:hAnsi="Times New Roman" w:cs="Times New Roman"/>
          <w:sz w:val="22"/>
          <w:szCs w:val="22"/>
        </w:rPr>
        <w:t xml:space="preserve">s, </w:t>
      </w:r>
      <w:r w:rsidRPr="00880ACB" w:rsidR="00880ACB">
        <w:rPr>
          <w:rFonts w:ascii="Times New Roman" w:hAnsi="Times New Roman" w:cs="Times New Roman"/>
          <w:sz w:val="22"/>
          <w:szCs w:val="22"/>
        </w:rPr>
        <w:t>Suzy Rosen Singleton, Ike Ofobike, Stephen Wang</w:t>
      </w:r>
      <w:r w:rsidR="00880ACB">
        <w:rPr>
          <w:rFonts w:ascii="Times New Roman" w:hAnsi="Times New Roman" w:cs="Times New Roman"/>
          <w:sz w:val="22"/>
          <w:szCs w:val="22"/>
        </w:rPr>
        <w:t>,</w:t>
      </w:r>
      <w:r w:rsidR="00A075CF">
        <w:rPr>
          <w:rFonts w:ascii="Times New Roman" w:hAnsi="Times New Roman" w:cs="Times New Roman"/>
          <w:sz w:val="22"/>
          <w:szCs w:val="22"/>
        </w:rPr>
        <w:t xml:space="preserve"> </w:t>
      </w:r>
      <w:r w:rsidRPr="00A075CF" w:rsidR="00A075CF">
        <w:rPr>
          <w:rFonts w:ascii="Times New Roman" w:hAnsi="Times New Roman" w:cs="Times New Roman"/>
          <w:sz w:val="22"/>
          <w:szCs w:val="22"/>
        </w:rPr>
        <w:t>Susan Aaron, David Konczal</w:t>
      </w:r>
      <w:r w:rsidR="00A075CF">
        <w:rPr>
          <w:rFonts w:ascii="Times New Roman" w:hAnsi="Times New Roman" w:cs="Times New Roman"/>
          <w:sz w:val="22"/>
          <w:szCs w:val="22"/>
        </w:rPr>
        <w:t xml:space="preserve">, </w:t>
      </w:r>
      <w:r w:rsidRPr="000769DF" w:rsidR="000769DF">
        <w:rPr>
          <w:rFonts w:ascii="Times New Roman" w:hAnsi="Times New Roman" w:cs="Times New Roman"/>
          <w:sz w:val="22"/>
          <w:szCs w:val="22"/>
        </w:rPr>
        <w:t>Michelle Schaefer, Kim Makuch</w:t>
      </w:r>
      <w:r w:rsidR="000769DF">
        <w:rPr>
          <w:rFonts w:ascii="Times New Roman" w:hAnsi="Times New Roman" w:cs="Times New Roman"/>
          <w:sz w:val="22"/>
          <w:szCs w:val="22"/>
        </w:rPr>
        <w:t xml:space="preserve">, </w:t>
      </w:r>
      <w:r w:rsidR="00D22371">
        <w:rPr>
          <w:rFonts w:ascii="Times New Roman" w:hAnsi="Times New Roman" w:cs="Times New Roman"/>
          <w:sz w:val="22"/>
          <w:szCs w:val="22"/>
        </w:rPr>
        <w:t xml:space="preserve">and </w:t>
      </w:r>
      <w:r w:rsidRPr="008634F8" w:rsidR="008634F8">
        <w:rPr>
          <w:rFonts w:ascii="Times New Roman" w:hAnsi="Times New Roman" w:cs="Times New Roman"/>
          <w:sz w:val="22"/>
          <w:szCs w:val="22"/>
        </w:rPr>
        <w:t>Joycelyn James</w:t>
      </w:r>
      <w:r w:rsidR="008634F8">
        <w:rPr>
          <w:rFonts w:ascii="Times New Roman" w:hAnsi="Times New Roman" w:cs="Times New Roman"/>
          <w:sz w:val="22"/>
          <w:szCs w:val="22"/>
        </w:rPr>
        <w:t xml:space="preserve">. </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56E15" w:rsidRPr="00A26EF4" w:rsidP="00956E15" w14:paraId="7A9CDC24" w14:textId="59EB95F0">
    <w:pPr>
      <w:pStyle w:val="Header"/>
      <w:rPr>
        <w:rFonts w:ascii="Times New Roman" w:hAnsi="Times New Roman" w:cs="Times New Roman"/>
        <w:b/>
        <w:bCs/>
        <w:sz w:val="22"/>
        <w:szCs w:val="22"/>
      </w:rPr>
    </w:pPr>
    <w:r w:rsidRPr="00A26EF4">
      <w:rPr>
        <w:rFonts w:ascii="Times New Roman" w:hAnsi="Times New Roman" w:cs="Times New Roman"/>
        <w:b/>
        <w:bCs/>
        <w:noProof/>
        <w:snapToGrid w:val="0"/>
        <w:sz w:val="22"/>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962229183"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A26EF4">
      <w:rPr>
        <w:rFonts w:ascii="Times New Roman" w:hAnsi="Times New Roman" w:cs="Times New Roman"/>
        <w:b/>
        <w:bCs/>
        <w:sz w:val="22"/>
        <w:szCs w:val="22"/>
      </w:rPr>
      <w:tab/>
      <w:t>Federal Communications Commission</w:t>
    </w:r>
    <w:r w:rsidRPr="00A26EF4">
      <w:rPr>
        <w:rFonts w:ascii="Times New Roman" w:hAnsi="Times New Roman" w:cs="Times New Roman"/>
        <w:b/>
        <w:bCs/>
        <w:sz w:val="22"/>
        <w:szCs w:val="22"/>
      </w:rPr>
      <w:tab/>
    </w:r>
    <w:r w:rsidRPr="00A26EF4">
      <w:rPr>
        <w:rFonts w:ascii="Times New Roman" w:hAnsi="Times New Roman" w:cs="Times New Roman"/>
        <w:b/>
        <w:bCs/>
        <w:spacing w:val="-2"/>
        <w:sz w:val="22"/>
        <w:szCs w:val="22"/>
      </w:rPr>
      <w:t>FCC 2</w:t>
    </w:r>
    <w:r w:rsidR="00EE3538">
      <w:rPr>
        <w:rFonts w:ascii="Times New Roman" w:hAnsi="Times New Roman" w:cs="Times New Roman"/>
        <w:b/>
        <w:bCs/>
        <w:spacing w:val="-2"/>
        <w:sz w:val="22"/>
        <w:szCs w:val="22"/>
      </w:rPr>
      <w:t>6</w:t>
    </w:r>
    <w:r w:rsidRPr="00A26EF4">
      <w:rPr>
        <w:rFonts w:ascii="Times New Roman" w:hAnsi="Times New Roman" w:cs="Times New Roman"/>
        <w:b/>
        <w:bCs/>
        <w:spacing w:val="-2"/>
        <w:sz w:val="22"/>
        <w:szCs w:val="22"/>
      </w:rPr>
      <w:t>-</w:t>
    </w:r>
    <w:r w:rsidR="00E11215">
      <w:rPr>
        <w:rFonts w:ascii="Times New Roman" w:hAnsi="Times New Roman" w:cs="Times New Roman"/>
        <w:b/>
        <w:bCs/>
        <w:spacing w:val="-2"/>
        <w:sz w:val="22"/>
        <w:szCs w:val="22"/>
      </w:rPr>
      <w:t>31</w:t>
    </w:r>
  </w:p>
  <w:p w:rsidR="00956E15" w14:paraId="554F435B"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D86"/>
    <w:rsid w:val="00004A6E"/>
    <w:rsid w:val="00010955"/>
    <w:rsid w:val="000304D7"/>
    <w:rsid w:val="00075520"/>
    <w:rsid w:val="000769DF"/>
    <w:rsid w:val="00080419"/>
    <w:rsid w:val="00084C1B"/>
    <w:rsid w:val="00093873"/>
    <w:rsid w:val="000F5B95"/>
    <w:rsid w:val="00126192"/>
    <w:rsid w:val="00177929"/>
    <w:rsid w:val="001D270C"/>
    <w:rsid w:val="001D7324"/>
    <w:rsid w:val="001E7080"/>
    <w:rsid w:val="00242571"/>
    <w:rsid w:val="002474FC"/>
    <w:rsid w:val="00290951"/>
    <w:rsid w:val="002E11C0"/>
    <w:rsid w:val="002F242C"/>
    <w:rsid w:val="003032F2"/>
    <w:rsid w:val="00320399"/>
    <w:rsid w:val="00372486"/>
    <w:rsid w:val="00383DBC"/>
    <w:rsid w:val="003A69AE"/>
    <w:rsid w:val="003B2D86"/>
    <w:rsid w:val="003D545D"/>
    <w:rsid w:val="00471671"/>
    <w:rsid w:val="004902C0"/>
    <w:rsid w:val="00492124"/>
    <w:rsid w:val="00505B6F"/>
    <w:rsid w:val="00511C94"/>
    <w:rsid w:val="00542295"/>
    <w:rsid w:val="00560437"/>
    <w:rsid w:val="0056165B"/>
    <w:rsid w:val="005734E7"/>
    <w:rsid w:val="005823F0"/>
    <w:rsid w:val="005849D7"/>
    <w:rsid w:val="00595E00"/>
    <w:rsid w:val="005B12B7"/>
    <w:rsid w:val="005F31F9"/>
    <w:rsid w:val="0061608A"/>
    <w:rsid w:val="006378AA"/>
    <w:rsid w:val="00641BCC"/>
    <w:rsid w:val="006A760D"/>
    <w:rsid w:val="006D5AA6"/>
    <w:rsid w:val="007515E8"/>
    <w:rsid w:val="0077387A"/>
    <w:rsid w:val="007A4BE5"/>
    <w:rsid w:val="007B3BA3"/>
    <w:rsid w:val="008353BE"/>
    <w:rsid w:val="00857FC5"/>
    <w:rsid w:val="008634F8"/>
    <w:rsid w:val="008669E4"/>
    <w:rsid w:val="00880ACB"/>
    <w:rsid w:val="008F36D4"/>
    <w:rsid w:val="00930624"/>
    <w:rsid w:val="00945C1D"/>
    <w:rsid w:val="00956E15"/>
    <w:rsid w:val="009632EB"/>
    <w:rsid w:val="0097031B"/>
    <w:rsid w:val="009B7346"/>
    <w:rsid w:val="00A075CF"/>
    <w:rsid w:val="00A07D6F"/>
    <w:rsid w:val="00A147E2"/>
    <w:rsid w:val="00A26EF4"/>
    <w:rsid w:val="00A40978"/>
    <w:rsid w:val="00A61B8E"/>
    <w:rsid w:val="00A906C7"/>
    <w:rsid w:val="00A92D97"/>
    <w:rsid w:val="00AB5FE4"/>
    <w:rsid w:val="00AE3A65"/>
    <w:rsid w:val="00B315F8"/>
    <w:rsid w:val="00B350CA"/>
    <w:rsid w:val="00B45BDD"/>
    <w:rsid w:val="00B52C7A"/>
    <w:rsid w:val="00B628A8"/>
    <w:rsid w:val="00B9143A"/>
    <w:rsid w:val="00BA1895"/>
    <w:rsid w:val="00BA7EE7"/>
    <w:rsid w:val="00BB00EB"/>
    <w:rsid w:val="00BC018B"/>
    <w:rsid w:val="00BD2F74"/>
    <w:rsid w:val="00CB436C"/>
    <w:rsid w:val="00CF7F30"/>
    <w:rsid w:val="00D010B6"/>
    <w:rsid w:val="00D21474"/>
    <w:rsid w:val="00D22371"/>
    <w:rsid w:val="00D3395B"/>
    <w:rsid w:val="00D53BDD"/>
    <w:rsid w:val="00D53D4D"/>
    <w:rsid w:val="00DC7F73"/>
    <w:rsid w:val="00DD4129"/>
    <w:rsid w:val="00DE65CD"/>
    <w:rsid w:val="00E11215"/>
    <w:rsid w:val="00EA2C97"/>
    <w:rsid w:val="00EE3538"/>
    <w:rsid w:val="00F06634"/>
    <w:rsid w:val="00F52C4B"/>
    <w:rsid w:val="00F60806"/>
    <w:rsid w:val="00FB0EEA"/>
    <w:rsid w:val="00FB422B"/>
    <w:rsid w:val="00FD1D57"/>
    <w:rsid w:val="00FD2A32"/>
    <w:rsid w:val="00FE415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63E38F7"/>
  <w15:chartTrackingRefBased/>
  <w15:docId w15:val="{3E6E8DB2-851A-4FEC-AD28-9C1FB8973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2D86"/>
  </w:style>
  <w:style w:type="paragraph" w:styleId="Heading1">
    <w:name w:val="heading 1"/>
    <w:basedOn w:val="Normal"/>
    <w:next w:val="Normal"/>
    <w:link w:val="Heading1Char"/>
    <w:uiPriority w:val="9"/>
    <w:qFormat/>
    <w:rsid w:val="003B2D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2D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2D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2D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2D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2D8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2D8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2D8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2D8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2D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2D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2D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2D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2D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2D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2D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2D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2D86"/>
    <w:rPr>
      <w:rFonts w:eastAsiaTheme="majorEastAsia" w:cstheme="majorBidi"/>
      <w:color w:val="272727" w:themeColor="text1" w:themeTint="D8"/>
    </w:rPr>
  </w:style>
  <w:style w:type="paragraph" w:styleId="Title">
    <w:name w:val="Title"/>
    <w:basedOn w:val="Normal"/>
    <w:next w:val="Normal"/>
    <w:link w:val="TitleChar"/>
    <w:uiPriority w:val="10"/>
    <w:qFormat/>
    <w:rsid w:val="003B2D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2D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2D8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2D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2D86"/>
    <w:pPr>
      <w:spacing w:before="160"/>
      <w:jc w:val="center"/>
    </w:pPr>
    <w:rPr>
      <w:i/>
      <w:iCs/>
      <w:color w:val="404040" w:themeColor="text1" w:themeTint="BF"/>
    </w:rPr>
  </w:style>
  <w:style w:type="character" w:customStyle="1" w:styleId="QuoteChar">
    <w:name w:val="Quote Char"/>
    <w:basedOn w:val="DefaultParagraphFont"/>
    <w:link w:val="Quote"/>
    <w:uiPriority w:val="29"/>
    <w:rsid w:val="003B2D86"/>
    <w:rPr>
      <w:i/>
      <w:iCs/>
      <w:color w:val="404040" w:themeColor="text1" w:themeTint="BF"/>
    </w:rPr>
  </w:style>
  <w:style w:type="paragraph" w:styleId="ListParagraph">
    <w:name w:val="List Paragraph"/>
    <w:basedOn w:val="Normal"/>
    <w:uiPriority w:val="34"/>
    <w:qFormat/>
    <w:rsid w:val="003B2D86"/>
    <w:pPr>
      <w:ind w:left="720"/>
      <w:contextualSpacing/>
    </w:pPr>
  </w:style>
  <w:style w:type="character" w:styleId="IntenseEmphasis">
    <w:name w:val="Intense Emphasis"/>
    <w:basedOn w:val="DefaultParagraphFont"/>
    <w:uiPriority w:val="21"/>
    <w:qFormat/>
    <w:rsid w:val="003B2D86"/>
    <w:rPr>
      <w:i/>
      <w:iCs/>
      <w:color w:val="0F4761" w:themeColor="accent1" w:themeShade="BF"/>
    </w:rPr>
  </w:style>
  <w:style w:type="paragraph" w:styleId="IntenseQuote">
    <w:name w:val="Intense Quote"/>
    <w:basedOn w:val="Normal"/>
    <w:next w:val="Normal"/>
    <w:link w:val="IntenseQuoteChar"/>
    <w:uiPriority w:val="30"/>
    <w:qFormat/>
    <w:rsid w:val="003B2D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2D86"/>
    <w:rPr>
      <w:i/>
      <w:iCs/>
      <w:color w:val="0F4761" w:themeColor="accent1" w:themeShade="BF"/>
    </w:rPr>
  </w:style>
  <w:style w:type="character" w:styleId="IntenseReference">
    <w:name w:val="Intense Reference"/>
    <w:basedOn w:val="DefaultParagraphFont"/>
    <w:uiPriority w:val="32"/>
    <w:qFormat/>
    <w:rsid w:val="003B2D86"/>
    <w:rPr>
      <w:b/>
      <w:bCs/>
      <w:smallCaps/>
      <w:color w:val="0F4761" w:themeColor="accent1" w:themeShade="BF"/>
      <w:spacing w:val="5"/>
    </w:rPr>
  </w:style>
  <w:style w:type="paragraph" w:styleId="Header">
    <w:name w:val="header"/>
    <w:basedOn w:val="Normal"/>
    <w:link w:val="HeaderChar"/>
    <w:unhideWhenUsed/>
    <w:rsid w:val="00956E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E15"/>
  </w:style>
  <w:style w:type="paragraph" w:styleId="Footer">
    <w:name w:val="footer"/>
    <w:basedOn w:val="Normal"/>
    <w:link w:val="FooterChar"/>
    <w:uiPriority w:val="99"/>
    <w:unhideWhenUsed/>
    <w:rsid w:val="00956E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E15"/>
  </w:style>
  <w:style w:type="paragraph" w:styleId="Revision">
    <w:name w:val="Revision"/>
    <w:hidden/>
    <w:uiPriority w:val="99"/>
    <w:semiHidden/>
    <w:rsid w:val="00A92D9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