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203CCB" w:rsidP="00081A05" w14:paraId="26A0BD55" w14:textId="77777777">
      <w:pPr>
        <w:widowControl/>
        <w:jc w:val="center"/>
        <w:rPr>
          <w:b/>
        </w:rPr>
      </w:pPr>
      <w:bookmarkStart w:id="0" w:name="_Toc225166303"/>
      <w:r w:rsidRPr="0070224F">
        <w:rPr>
          <w:rFonts w:ascii="Times New Roman Bold" w:hAnsi="Times New Roman Bold"/>
          <w:b/>
          <w:kern w:val="0"/>
          <w:szCs w:val="22"/>
        </w:rPr>
        <w:t>Before</w:t>
      </w:r>
      <w:r>
        <w:rPr>
          <w:b/>
        </w:rPr>
        <w:t xml:space="preserve"> the</w:t>
      </w:r>
    </w:p>
    <w:p w:rsidR="00203CCB" w:rsidP="00081A05" w14:paraId="7F8C3539" w14:textId="77777777">
      <w:pPr>
        <w:pStyle w:val="StyleBoldCentered"/>
        <w:widowControl/>
      </w:pPr>
      <w:r>
        <w:t>F</w:t>
      </w:r>
      <w:r>
        <w:rPr>
          <w:caps w:val="0"/>
        </w:rPr>
        <w:t>ederal Communications Commission</w:t>
      </w:r>
    </w:p>
    <w:p w:rsidR="00203CCB" w:rsidP="00081A05" w14:paraId="40E2D99F" w14:textId="77777777">
      <w:pPr>
        <w:pStyle w:val="StyleBoldCentered"/>
        <w:widowControl/>
      </w:pPr>
      <w:r>
        <w:rPr>
          <w:caps w:val="0"/>
        </w:rPr>
        <w:t>Washington, D.C. 20554</w:t>
      </w:r>
    </w:p>
    <w:p w:rsidR="00203CCB" w:rsidP="00081A05" w14:paraId="59C383CC" w14:textId="77777777">
      <w:pPr>
        <w:widowControl/>
      </w:pPr>
    </w:p>
    <w:tbl>
      <w:tblPr>
        <w:tblW w:w="0" w:type="auto"/>
        <w:tblLayout w:type="fixed"/>
        <w:tblLook w:val="0000"/>
      </w:tblPr>
      <w:tblGrid>
        <w:gridCol w:w="4698"/>
        <w:gridCol w:w="630"/>
        <w:gridCol w:w="630"/>
        <w:gridCol w:w="4248"/>
      </w:tblGrid>
      <w:tr w14:paraId="7FBF1004" w14:textId="77777777" w:rsidTr="00081A05">
        <w:tblPrEx>
          <w:tblW w:w="0" w:type="auto"/>
          <w:tblLayout w:type="fixed"/>
          <w:tblLook w:val="0000"/>
        </w:tblPrEx>
        <w:tc>
          <w:tcPr>
            <w:tcW w:w="4698" w:type="dxa"/>
          </w:tcPr>
          <w:p w:rsidR="00203CCB" w:rsidP="00081A05" w14:paraId="3CA41D8C" w14:textId="77777777">
            <w:pPr>
              <w:widowControl/>
              <w:tabs>
                <w:tab w:val="center" w:pos="4680"/>
              </w:tabs>
              <w:suppressAutoHyphens/>
              <w:rPr>
                <w:spacing w:val="-2"/>
              </w:rPr>
            </w:pPr>
            <w:r>
              <w:rPr>
                <w:spacing w:val="-2"/>
              </w:rPr>
              <w:t>In the Matter of</w:t>
            </w:r>
          </w:p>
          <w:p w:rsidR="00203CCB" w:rsidP="00081A05" w14:paraId="7F0E6809" w14:textId="77777777">
            <w:pPr>
              <w:widowControl/>
              <w:tabs>
                <w:tab w:val="center" w:pos="4680"/>
              </w:tabs>
              <w:suppressAutoHyphens/>
              <w:rPr>
                <w:spacing w:val="-2"/>
              </w:rPr>
            </w:pPr>
          </w:p>
          <w:p w:rsidR="00203CCB" w:rsidP="00081A05" w14:paraId="66BA1BDA" w14:textId="77777777">
            <w:pPr>
              <w:widowControl/>
              <w:tabs>
                <w:tab w:val="center" w:pos="4680"/>
              </w:tabs>
              <w:suppressAutoHyphens/>
              <w:rPr>
                <w:spacing w:val="-2"/>
              </w:rPr>
            </w:pPr>
            <w:r>
              <w:rPr>
                <w:spacing w:val="-2"/>
              </w:rPr>
              <w:t>Resilient Networks</w:t>
            </w:r>
          </w:p>
          <w:p w:rsidR="00203CCB" w:rsidP="00081A05" w14:paraId="0CCB5A55" w14:textId="77777777">
            <w:pPr>
              <w:widowControl/>
              <w:tabs>
                <w:tab w:val="center" w:pos="4680"/>
              </w:tabs>
              <w:suppressAutoHyphens/>
              <w:rPr>
                <w:spacing w:val="-2"/>
              </w:rPr>
            </w:pPr>
          </w:p>
          <w:p w:rsidR="00203CCB" w:rsidP="00081A05" w14:paraId="70552413" w14:textId="77777777">
            <w:pPr>
              <w:widowControl/>
              <w:tabs>
                <w:tab w:val="center" w:pos="4680"/>
              </w:tabs>
              <w:suppressAutoHyphens/>
              <w:rPr>
                <w:spacing w:val="-2"/>
              </w:rPr>
            </w:pPr>
            <w:r>
              <w:rPr>
                <w:spacing w:val="-2"/>
              </w:rPr>
              <w:t>Amendments to Part 4 of the Commission’s Rules</w:t>
            </w:r>
          </w:p>
          <w:p w:rsidR="00203CCB" w:rsidP="00081A05" w14:paraId="0D55EBC2" w14:textId="77777777">
            <w:pPr>
              <w:widowControl/>
              <w:tabs>
                <w:tab w:val="center" w:pos="4680"/>
              </w:tabs>
              <w:suppressAutoHyphens/>
              <w:rPr>
                <w:spacing w:val="-2"/>
              </w:rPr>
            </w:pPr>
            <w:r>
              <w:rPr>
                <w:spacing w:val="-2"/>
              </w:rPr>
              <w:t>Concerning Disruptions to Communications</w:t>
            </w:r>
          </w:p>
          <w:p w:rsidR="00203CCB" w:rsidP="00081A05" w14:paraId="344238E2" w14:textId="77777777">
            <w:pPr>
              <w:widowControl/>
              <w:tabs>
                <w:tab w:val="center" w:pos="4680"/>
              </w:tabs>
              <w:suppressAutoHyphens/>
              <w:rPr>
                <w:spacing w:val="-2"/>
              </w:rPr>
            </w:pPr>
          </w:p>
          <w:p w:rsidR="00203CCB" w:rsidRPr="007115F7" w:rsidP="00081A05" w14:paraId="6B8D13E9" w14:textId="77777777">
            <w:pPr>
              <w:widowControl/>
              <w:tabs>
                <w:tab w:val="center" w:pos="4680"/>
              </w:tabs>
              <w:suppressAutoHyphens/>
              <w:rPr>
                <w:spacing w:val="-2"/>
              </w:rPr>
            </w:pPr>
            <w:r>
              <w:rPr>
                <w:spacing w:val="-2"/>
              </w:rPr>
              <w:t>New Part 4 of the Commission’s Rules Concerning Disruptions to Communications</w:t>
            </w:r>
          </w:p>
        </w:tc>
        <w:tc>
          <w:tcPr>
            <w:tcW w:w="630" w:type="dxa"/>
          </w:tcPr>
          <w:p w:rsidR="00203CCB" w:rsidP="00081A05" w14:paraId="1E41BB5F" w14:textId="77777777">
            <w:pPr>
              <w:widowControl/>
              <w:tabs>
                <w:tab w:val="center" w:pos="4680"/>
              </w:tabs>
              <w:suppressAutoHyphens/>
              <w:rPr>
                <w:b/>
                <w:spacing w:val="-2"/>
              </w:rPr>
            </w:pPr>
          </w:p>
        </w:tc>
        <w:tc>
          <w:tcPr>
            <w:tcW w:w="630" w:type="dxa"/>
          </w:tcPr>
          <w:p w:rsidR="00203CCB" w:rsidP="00081A05" w14:paraId="5ABDEA60" w14:textId="77777777">
            <w:pPr>
              <w:widowControl/>
              <w:tabs>
                <w:tab w:val="center" w:pos="4680"/>
              </w:tabs>
              <w:suppressAutoHyphens/>
              <w:rPr>
                <w:b/>
                <w:spacing w:val="-2"/>
              </w:rPr>
            </w:pPr>
            <w:r>
              <w:rPr>
                <w:b/>
                <w:spacing w:val="-2"/>
              </w:rPr>
              <w:t>)</w:t>
            </w:r>
          </w:p>
          <w:p w:rsidR="00203CCB" w:rsidP="00081A05" w14:paraId="42D54DED" w14:textId="77777777">
            <w:pPr>
              <w:widowControl/>
              <w:tabs>
                <w:tab w:val="center" w:pos="4680"/>
              </w:tabs>
              <w:suppressAutoHyphens/>
              <w:rPr>
                <w:b/>
                <w:spacing w:val="-2"/>
              </w:rPr>
            </w:pPr>
            <w:r>
              <w:rPr>
                <w:b/>
                <w:spacing w:val="-2"/>
              </w:rPr>
              <w:t>)</w:t>
            </w:r>
          </w:p>
          <w:p w:rsidR="00203CCB" w:rsidP="00081A05" w14:paraId="0C1B49E7" w14:textId="77777777">
            <w:pPr>
              <w:widowControl/>
              <w:tabs>
                <w:tab w:val="center" w:pos="4680"/>
              </w:tabs>
              <w:suppressAutoHyphens/>
              <w:rPr>
                <w:b/>
                <w:spacing w:val="-2"/>
              </w:rPr>
            </w:pPr>
            <w:r>
              <w:rPr>
                <w:b/>
                <w:spacing w:val="-2"/>
              </w:rPr>
              <w:t>)</w:t>
            </w:r>
          </w:p>
          <w:p w:rsidR="00203CCB" w:rsidP="00081A05" w14:paraId="0DEEDD5E" w14:textId="77777777">
            <w:pPr>
              <w:widowControl/>
              <w:tabs>
                <w:tab w:val="center" w:pos="4680"/>
              </w:tabs>
              <w:suppressAutoHyphens/>
              <w:rPr>
                <w:b/>
                <w:spacing w:val="-2"/>
              </w:rPr>
            </w:pPr>
            <w:r>
              <w:rPr>
                <w:b/>
                <w:spacing w:val="-2"/>
              </w:rPr>
              <w:t>)</w:t>
            </w:r>
          </w:p>
          <w:p w:rsidR="00203CCB" w:rsidP="00081A05" w14:paraId="1FAF0657" w14:textId="77777777">
            <w:pPr>
              <w:widowControl/>
              <w:tabs>
                <w:tab w:val="center" w:pos="4680"/>
              </w:tabs>
              <w:suppressAutoHyphens/>
              <w:rPr>
                <w:b/>
                <w:spacing w:val="-2"/>
              </w:rPr>
            </w:pPr>
            <w:r>
              <w:rPr>
                <w:b/>
                <w:spacing w:val="-2"/>
              </w:rPr>
              <w:t>)</w:t>
            </w:r>
          </w:p>
          <w:p w:rsidR="00203CCB" w:rsidP="00081A05" w14:paraId="1892EB02" w14:textId="77777777">
            <w:pPr>
              <w:widowControl/>
              <w:tabs>
                <w:tab w:val="center" w:pos="4680"/>
              </w:tabs>
              <w:suppressAutoHyphens/>
              <w:rPr>
                <w:b/>
                <w:spacing w:val="-2"/>
              </w:rPr>
            </w:pPr>
            <w:r>
              <w:rPr>
                <w:b/>
                <w:spacing w:val="-2"/>
              </w:rPr>
              <w:t>)</w:t>
            </w:r>
          </w:p>
          <w:p w:rsidR="00203CCB" w:rsidP="00081A05" w14:paraId="574E766E" w14:textId="77777777">
            <w:pPr>
              <w:widowControl/>
              <w:tabs>
                <w:tab w:val="center" w:pos="4680"/>
              </w:tabs>
              <w:suppressAutoHyphens/>
              <w:rPr>
                <w:b/>
                <w:spacing w:val="-2"/>
              </w:rPr>
            </w:pPr>
            <w:r>
              <w:rPr>
                <w:b/>
                <w:spacing w:val="-2"/>
              </w:rPr>
              <w:t>)</w:t>
            </w:r>
          </w:p>
          <w:p w:rsidR="00203CCB" w:rsidP="00081A05" w14:paraId="78223778" w14:textId="77777777">
            <w:pPr>
              <w:widowControl/>
              <w:tabs>
                <w:tab w:val="center" w:pos="4680"/>
              </w:tabs>
              <w:suppressAutoHyphens/>
              <w:rPr>
                <w:b/>
                <w:spacing w:val="-2"/>
              </w:rPr>
            </w:pPr>
            <w:r>
              <w:rPr>
                <w:b/>
                <w:spacing w:val="-2"/>
              </w:rPr>
              <w:t>)</w:t>
            </w:r>
          </w:p>
          <w:p w:rsidR="00203CCB" w:rsidP="00081A05" w14:paraId="53B6EACF" w14:textId="77777777">
            <w:pPr>
              <w:widowControl/>
              <w:tabs>
                <w:tab w:val="center" w:pos="4680"/>
              </w:tabs>
              <w:suppressAutoHyphens/>
              <w:rPr>
                <w:spacing w:val="-2"/>
              </w:rPr>
            </w:pPr>
            <w:r>
              <w:rPr>
                <w:b/>
                <w:spacing w:val="-2"/>
              </w:rPr>
              <w:t>)</w:t>
            </w:r>
          </w:p>
        </w:tc>
        <w:tc>
          <w:tcPr>
            <w:tcW w:w="4248" w:type="dxa"/>
          </w:tcPr>
          <w:p w:rsidR="00203CCB" w:rsidP="00081A05" w14:paraId="2B5AD68D" w14:textId="77777777">
            <w:pPr>
              <w:widowControl/>
              <w:tabs>
                <w:tab w:val="center" w:pos="4680"/>
              </w:tabs>
              <w:suppressAutoHyphens/>
              <w:rPr>
                <w:spacing w:val="-2"/>
              </w:rPr>
            </w:pPr>
          </w:p>
          <w:p w:rsidR="00203CCB" w:rsidP="00081A05" w14:paraId="56E5A069" w14:textId="77777777">
            <w:pPr>
              <w:pStyle w:val="TOAHeading"/>
              <w:widowControl/>
              <w:tabs>
                <w:tab w:val="center" w:pos="4680"/>
                <w:tab w:val="clear" w:pos="9360"/>
              </w:tabs>
              <w:rPr>
                <w:spacing w:val="-2"/>
              </w:rPr>
            </w:pPr>
          </w:p>
          <w:p w:rsidR="00203CCB" w:rsidP="00081A05" w14:paraId="4247B708" w14:textId="77777777">
            <w:pPr>
              <w:widowControl/>
              <w:tabs>
                <w:tab w:val="center" w:pos="4680"/>
              </w:tabs>
              <w:suppressAutoHyphens/>
              <w:rPr>
                <w:spacing w:val="-2"/>
              </w:rPr>
            </w:pPr>
            <w:r>
              <w:rPr>
                <w:spacing w:val="-2"/>
              </w:rPr>
              <w:t>PS Docket No. 21-346</w:t>
            </w:r>
          </w:p>
          <w:p w:rsidR="00203CCB" w:rsidP="00081A05" w14:paraId="54459468" w14:textId="77777777">
            <w:pPr>
              <w:widowControl/>
              <w:tabs>
                <w:tab w:val="center" w:pos="4680"/>
              </w:tabs>
              <w:suppressAutoHyphens/>
              <w:rPr>
                <w:spacing w:val="-2"/>
              </w:rPr>
            </w:pPr>
          </w:p>
          <w:p w:rsidR="00203CCB" w:rsidP="00081A05" w14:paraId="0C5B4635" w14:textId="77777777">
            <w:pPr>
              <w:widowControl/>
              <w:tabs>
                <w:tab w:val="center" w:pos="4680"/>
              </w:tabs>
              <w:suppressAutoHyphens/>
              <w:rPr>
                <w:spacing w:val="-2"/>
              </w:rPr>
            </w:pPr>
            <w:r>
              <w:rPr>
                <w:spacing w:val="-2"/>
              </w:rPr>
              <w:t>PS Docket No. 15-80</w:t>
            </w:r>
          </w:p>
          <w:p w:rsidR="00203CCB" w:rsidP="00081A05" w14:paraId="24A10C5D" w14:textId="77777777">
            <w:pPr>
              <w:widowControl/>
              <w:tabs>
                <w:tab w:val="center" w:pos="4680"/>
              </w:tabs>
              <w:suppressAutoHyphens/>
              <w:rPr>
                <w:spacing w:val="-2"/>
              </w:rPr>
            </w:pPr>
          </w:p>
          <w:p w:rsidR="00203CCB" w:rsidP="00081A05" w14:paraId="51640C99" w14:textId="77777777">
            <w:pPr>
              <w:widowControl/>
              <w:tabs>
                <w:tab w:val="center" w:pos="4680"/>
              </w:tabs>
              <w:suppressAutoHyphens/>
              <w:rPr>
                <w:spacing w:val="-2"/>
              </w:rPr>
            </w:pPr>
          </w:p>
          <w:p w:rsidR="00203CCB" w:rsidP="00081A05" w14:paraId="064427FF" w14:textId="77777777">
            <w:pPr>
              <w:widowControl/>
              <w:tabs>
                <w:tab w:val="center" w:pos="4680"/>
              </w:tabs>
              <w:suppressAutoHyphens/>
              <w:rPr>
                <w:spacing w:val="-2"/>
              </w:rPr>
            </w:pPr>
            <w:r>
              <w:rPr>
                <w:spacing w:val="-2"/>
              </w:rPr>
              <w:t>ET Docket No. 04-35</w:t>
            </w:r>
          </w:p>
        </w:tc>
      </w:tr>
    </w:tbl>
    <w:p w:rsidR="00203CCB" w:rsidP="00081A05" w14:paraId="5FD65400" w14:textId="77777777">
      <w:pPr>
        <w:widowControl/>
      </w:pPr>
    </w:p>
    <w:p w:rsidR="00203CCB" w:rsidP="00081A05" w14:paraId="3C61693B" w14:textId="77777777">
      <w:pPr>
        <w:pStyle w:val="StyleBoldCentered"/>
        <w:widowControl/>
      </w:pPr>
      <w:r>
        <w:t>THIRD</w:t>
      </w:r>
      <w:r w:rsidRPr="00C70ACE">
        <w:t xml:space="preserve"> REPORT AND ORDER </w:t>
      </w:r>
    </w:p>
    <w:p w:rsidR="00203CCB" w:rsidP="00081A05" w14:paraId="000EBF20" w14:textId="77777777">
      <w:pPr>
        <w:widowControl/>
        <w:tabs>
          <w:tab w:val="left" w:pos="-720"/>
        </w:tabs>
        <w:suppressAutoHyphens/>
        <w:spacing w:line="227" w:lineRule="auto"/>
        <w:rPr>
          <w:spacing w:val="-2"/>
        </w:rPr>
      </w:pPr>
    </w:p>
    <w:p w:rsidR="00203CCB" w:rsidP="00081A05" w14:paraId="50C6D510" w14:textId="68CC125A">
      <w:pPr>
        <w:widowControl/>
        <w:tabs>
          <w:tab w:val="left" w:pos="720"/>
          <w:tab w:val="right" w:pos="9360"/>
        </w:tabs>
        <w:suppressAutoHyphens/>
        <w:spacing w:line="227" w:lineRule="auto"/>
        <w:rPr>
          <w:spacing w:val="-2"/>
        </w:rPr>
      </w:pPr>
      <w:r>
        <w:rPr>
          <w:b/>
          <w:spacing w:val="-2"/>
        </w:rPr>
        <w:t>Adopted:  May 20, 2026</w:t>
      </w:r>
      <w:r>
        <w:rPr>
          <w:b/>
          <w:spacing w:val="-2"/>
        </w:rPr>
        <w:tab/>
        <w:t>Released:  May 21, 2026</w:t>
      </w:r>
    </w:p>
    <w:p w:rsidR="00203CCB" w:rsidP="00081A05" w14:paraId="76E8A79E" w14:textId="77777777">
      <w:pPr>
        <w:widowControl/>
      </w:pPr>
    </w:p>
    <w:p w:rsidR="00203CCB" w:rsidRPr="001D0383" w:rsidP="00203CCB" w14:paraId="567359F3" w14:textId="77E8E866">
      <w:pPr>
        <w:widowControl/>
      </w:pPr>
      <w:r w:rsidRPr="003360F6">
        <w:t xml:space="preserve">By the Commission:  </w:t>
      </w:r>
      <w:r w:rsidRPr="001D0383">
        <w:t>Chairman Carr and Commissioner Trusty issuing separate statements.</w:t>
      </w:r>
    </w:p>
    <w:p w:rsidR="00D36B73" w:rsidP="00D36B73" w14:paraId="7547EEF6" w14:textId="77777777">
      <w:pPr>
        <w:widowControl/>
        <w:rPr>
          <w:spacing w:val="-2"/>
        </w:rPr>
      </w:pPr>
    </w:p>
    <w:p w:rsidR="00D36B73" w:rsidP="00C329A5" w14:paraId="48CC3B7A" w14:textId="28D6C6AB">
      <w:pPr>
        <w:pStyle w:val="TOCTitle"/>
      </w:pPr>
      <w:bookmarkStart w:id="1" w:name="TOChere"/>
      <w:r>
        <w:t>Table of Contents</w:t>
      </w:r>
    </w:p>
    <w:p w:rsidR="00C329A5" w:rsidP="00C329A5" w14:paraId="039037FD" w14:textId="4EC0A965">
      <w:pPr>
        <w:pStyle w:val="Paratitle"/>
      </w:pPr>
      <w:r>
        <w:t>Heading</w:t>
      </w:r>
      <w:r>
        <w:tab/>
        <w:t>Paragraph #</w:t>
      </w:r>
      <w:bookmarkStart w:id="2" w:name="start_here"/>
      <w:bookmarkEnd w:id="2"/>
    </w:p>
    <w:p w:rsidR="00C329A5" w:rsidP="00C329A5" w14:paraId="07EE2645" w14:textId="007B3233">
      <w:pPr>
        <w:pStyle w:val="TOC1"/>
        <w:rPr>
          <w:rFonts w:asciiTheme="minorHAnsi" w:eastAsiaTheme="minorEastAsia" w:hAnsiTheme="minorHAnsi" w:cstheme="minorBidi"/>
          <w:caps w:val="0"/>
          <w:snapToGrid/>
          <w:kern w:val="2"/>
          <w:sz w:val="24"/>
          <w:szCs w:val="24"/>
          <w14:ligatures w14:val="standardContextual"/>
        </w:rPr>
      </w:pPr>
      <w:r>
        <w:t>I.</w:t>
      </w:r>
      <w:r>
        <w:rPr>
          <w:rFonts w:asciiTheme="minorHAnsi" w:eastAsiaTheme="minorEastAsia" w:hAnsiTheme="minorHAnsi" w:cstheme="minorBidi"/>
          <w:caps w:val="0"/>
          <w:snapToGrid/>
          <w:kern w:val="2"/>
          <w:sz w:val="24"/>
          <w:szCs w:val="24"/>
          <w14:ligatures w14:val="standardContextual"/>
        </w:rPr>
        <w:tab/>
      </w:r>
      <w:r>
        <w:t>INTRODUCTION</w:t>
      </w:r>
      <w:r>
        <w:tab/>
        <w:t>1</w:t>
      </w:r>
    </w:p>
    <w:p w:rsidR="00C329A5" w:rsidP="00C329A5" w14:paraId="563ED3D2" w14:textId="15DDD7CD">
      <w:pPr>
        <w:pStyle w:val="TOC1"/>
        <w:rPr>
          <w:rFonts w:asciiTheme="minorHAnsi" w:eastAsiaTheme="minorEastAsia" w:hAnsiTheme="minorHAnsi" w:cstheme="minorBidi"/>
          <w:caps w:val="0"/>
          <w:snapToGrid/>
          <w:kern w:val="2"/>
          <w:sz w:val="24"/>
          <w:szCs w:val="24"/>
          <w14:ligatures w14:val="standardContextual"/>
        </w:rPr>
      </w:pPr>
      <w:r w:rsidRPr="00B86C77">
        <w:rPr>
          <w:rFonts w:eastAsia="Calibri"/>
          <w:snapToGrid/>
        </w:rPr>
        <w:t>II.</w:t>
      </w:r>
      <w:r>
        <w:rPr>
          <w:rFonts w:asciiTheme="minorHAnsi" w:eastAsiaTheme="minorEastAsia" w:hAnsiTheme="minorHAnsi" w:cstheme="minorBidi"/>
          <w:caps w:val="0"/>
          <w:snapToGrid/>
          <w:kern w:val="2"/>
          <w:sz w:val="24"/>
          <w:szCs w:val="24"/>
          <w14:ligatures w14:val="standardContextual"/>
        </w:rPr>
        <w:tab/>
      </w:r>
      <w:r w:rsidRPr="00B86C77">
        <w:rPr>
          <w:rFonts w:eastAsia="Calibri"/>
          <w:snapToGrid/>
        </w:rPr>
        <w:t>BACKGROUND</w:t>
      </w:r>
      <w:r>
        <w:tab/>
        <w:t>3</w:t>
      </w:r>
    </w:p>
    <w:p w:rsidR="00C329A5" w:rsidP="00C329A5" w14:paraId="43510651" w14:textId="4B864E8F">
      <w:pPr>
        <w:pStyle w:val="TOC1"/>
        <w:rPr>
          <w:rFonts w:asciiTheme="minorHAnsi" w:eastAsiaTheme="minorEastAsia" w:hAnsiTheme="minorHAnsi" w:cstheme="minorBidi"/>
          <w:caps w:val="0"/>
          <w:snapToGrid/>
          <w:kern w:val="2"/>
          <w:sz w:val="24"/>
          <w:szCs w:val="24"/>
          <w14:ligatures w14:val="standardContextual"/>
        </w:rPr>
      </w:pPr>
      <w:r w:rsidRPr="00B86C77">
        <w:rPr>
          <w:kern w:val="2"/>
        </w:rPr>
        <w:t>III.</w:t>
      </w:r>
      <w:r>
        <w:rPr>
          <w:rFonts w:asciiTheme="minorHAnsi" w:eastAsiaTheme="minorEastAsia" w:hAnsiTheme="minorHAnsi" w:cstheme="minorBidi"/>
          <w:caps w:val="0"/>
          <w:snapToGrid/>
          <w:kern w:val="2"/>
          <w:sz w:val="24"/>
          <w:szCs w:val="24"/>
          <w14:ligatures w14:val="standardContextual"/>
        </w:rPr>
        <w:tab/>
      </w:r>
      <w:r w:rsidRPr="00B86C77">
        <w:rPr>
          <w:rFonts w:eastAsia="Calibri"/>
          <w:snapToGrid/>
        </w:rPr>
        <w:t>DISCUSSION</w:t>
      </w:r>
      <w:r>
        <w:tab/>
        <w:t>7</w:t>
      </w:r>
    </w:p>
    <w:p w:rsidR="00C329A5" w:rsidP="00C329A5" w14:paraId="166C21E7" w14:textId="35C74250">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Simplifying the DIRS User Interface</w:t>
      </w:r>
      <w:r>
        <w:tab/>
        <w:t>7</w:t>
      </w:r>
    </w:p>
    <w:p w:rsidR="00C329A5" w:rsidP="00C329A5" w14:paraId="4D5D518A" w14:textId="32042F2F">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Establishing a “One-Click” Filing Option</w:t>
      </w:r>
      <w:r>
        <w:tab/>
        <w:t>9</w:t>
      </w:r>
    </w:p>
    <w:p w:rsidR="00C329A5" w:rsidP="00C329A5" w14:paraId="100E04EF" w14:textId="4F7A7D7E">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Eliminating Unnecessary DIRS Fields and Worksheets</w:t>
      </w:r>
      <w:r>
        <w:tab/>
        <w:t>12</w:t>
      </w:r>
    </w:p>
    <w:p w:rsidR="00C329A5" w:rsidP="00C329A5" w14:paraId="04E00A96" w14:textId="4643D14A">
      <w:pPr>
        <w:pStyle w:val="TOC2"/>
        <w:tabs>
          <w:tab w:val="left" w:pos="360"/>
        </w:tabs>
        <w:rPr>
          <w:rFonts w:asciiTheme="minorHAnsi" w:eastAsiaTheme="minorEastAsia" w:hAnsiTheme="minorHAnsi" w:cstheme="minorBidi"/>
          <w:snapToGrid/>
          <w:kern w:val="2"/>
          <w:sz w:val="24"/>
          <w:szCs w:val="24"/>
          <w14:ligatures w14:val="standardContextual"/>
        </w:rPr>
      </w:pPr>
      <w:r>
        <w:t>D.</w:t>
      </w:r>
      <w:r>
        <w:rPr>
          <w:rFonts w:asciiTheme="minorHAnsi" w:eastAsiaTheme="minorEastAsia" w:hAnsiTheme="minorHAnsi" w:cstheme="minorBidi"/>
          <w:snapToGrid/>
          <w:kern w:val="2"/>
          <w:sz w:val="24"/>
          <w:szCs w:val="24"/>
          <w14:ligatures w14:val="standardContextual"/>
        </w:rPr>
        <w:tab/>
      </w:r>
      <w:r>
        <w:t>Eliminating the DIRS Final Report</w:t>
      </w:r>
      <w:r>
        <w:tab/>
        <w:t>26</w:t>
      </w:r>
    </w:p>
    <w:p w:rsidR="00C329A5" w:rsidP="00C329A5" w14:paraId="2202D417" w14:textId="2D4305A8">
      <w:pPr>
        <w:pStyle w:val="TOC2"/>
        <w:tabs>
          <w:tab w:val="left" w:pos="360"/>
        </w:tabs>
        <w:rPr>
          <w:rFonts w:asciiTheme="minorHAnsi" w:eastAsiaTheme="minorEastAsia" w:hAnsiTheme="minorHAnsi" w:cstheme="minorBidi"/>
          <w:snapToGrid/>
          <w:kern w:val="2"/>
          <w:sz w:val="24"/>
          <w:szCs w:val="24"/>
          <w14:ligatures w14:val="standardContextual"/>
        </w:rPr>
      </w:pPr>
      <w:r>
        <w:t>E.</w:t>
      </w:r>
      <w:r>
        <w:rPr>
          <w:rFonts w:asciiTheme="minorHAnsi" w:eastAsiaTheme="minorEastAsia" w:hAnsiTheme="minorHAnsi" w:cstheme="minorBidi"/>
          <w:snapToGrid/>
          <w:kern w:val="2"/>
          <w:sz w:val="24"/>
          <w:szCs w:val="24"/>
          <w14:ligatures w14:val="standardContextual"/>
        </w:rPr>
        <w:tab/>
      </w:r>
      <w:r>
        <w:t>Exempting Non-Facilities-Based Providers From DIRS Reporting</w:t>
      </w:r>
      <w:r>
        <w:tab/>
        <w:t>27</w:t>
      </w:r>
    </w:p>
    <w:p w:rsidR="00C329A5" w:rsidP="00C329A5" w14:paraId="618F47A7" w14:textId="576F8E84">
      <w:pPr>
        <w:pStyle w:val="TOC2"/>
        <w:tabs>
          <w:tab w:val="left" w:pos="360"/>
        </w:tabs>
        <w:rPr>
          <w:rFonts w:asciiTheme="minorHAnsi" w:eastAsiaTheme="minorEastAsia" w:hAnsiTheme="minorHAnsi" w:cstheme="minorBidi"/>
          <w:snapToGrid/>
          <w:kern w:val="2"/>
          <w:sz w:val="24"/>
          <w:szCs w:val="24"/>
          <w14:ligatures w14:val="standardContextual"/>
        </w:rPr>
      </w:pPr>
      <w:r w:rsidRPr="00B86C77">
        <w:rPr>
          <w:rFonts w:eastAsia="Aptos"/>
          <w:snapToGrid/>
        </w:rPr>
        <w:t>F.</w:t>
      </w:r>
      <w:r>
        <w:rPr>
          <w:rFonts w:asciiTheme="minorHAnsi" w:eastAsiaTheme="minorEastAsia" w:hAnsiTheme="minorHAnsi" w:cstheme="minorBidi"/>
          <w:snapToGrid/>
          <w:kern w:val="2"/>
          <w:sz w:val="24"/>
          <w:szCs w:val="24"/>
          <w14:ligatures w14:val="standardContextual"/>
        </w:rPr>
        <w:tab/>
      </w:r>
      <w:r w:rsidRPr="00B86C77">
        <w:rPr>
          <w:rFonts w:eastAsia="Aptos"/>
          <w:snapToGrid/>
        </w:rPr>
        <w:t>Voluntarily Collecting</w:t>
      </w:r>
      <w:r>
        <w:t xml:space="preserve"> More Information </w:t>
      </w:r>
      <w:r w:rsidRPr="00B86C77">
        <w:rPr>
          <w:rFonts w:eastAsia="Aptos"/>
          <w:snapToGrid/>
        </w:rPr>
        <w:t>on</w:t>
      </w:r>
      <w:r>
        <w:t xml:space="preserve"> Where Facilities Are Out of Service</w:t>
      </w:r>
      <w:r>
        <w:tab/>
        <w:t>30</w:t>
      </w:r>
    </w:p>
    <w:p w:rsidR="00C329A5" w:rsidP="00C329A5" w14:paraId="50BCAE94" w14:textId="457194B9">
      <w:pPr>
        <w:pStyle w:val="TOC2"/>
        <w:tabs>
          <w:tab w:val="left" w:pos="360"/>
        </w:tabs>
        <w:rPr>
          <w:rFonts w:asciiTheme="minorHAnsi" w:eastAsiaTheme="minorEastAsia" w:hAnsiTheme="minorHAnsi" w:cstheme="minorBidi"/>
          <w:snapToGrid/>
          <w:kern w:val="2"/>
          <w:sz w:val="24"/>
          <w:szCs w:val="24"/>
          <w14:ligatures w14:val="standardContextual"/>
        </w:rPr>
      </w:pPr>
      <w:r w:rsidRPr="00B86C77">
        <w:rPr>
          <w:rFonts w:eastAsia="Aptos"/>
        </w:rPr>
        <w:t>G.</w:t>
      </w:r>
      <w:r>
        <w:rPr>
          <w:rFonts w:asciiTheme="minorHAnsi" w:eastAsiaTheme="minorEastAsia" w:hAnsiTheme="minorHAnsi" w:cstheme="minorBidi"/>
          <w:snapToGrid/>
          <w:kern w:val="2"/>
          <w:sz w:val="24"/>
          <w:szCs w:val="24"/>
          <w14:ligatures w14:val="standardContextual"/>
        </w:rPr>
        <w:tab/>
      </w:r>
      <w:r w:rsidRPr="00B86C77">
        <w:rPr>
          <w:rFonts w:eastAsia="Aptos"/>
          <w:snapToGrid/>
        </w:rPr>
        <w:t>Requiring DIRS Reporting for Public Safety Voice and Broadband Network Operators</w:t>
      </w:r>
      <w:r>
        <w:tab/>
        <w:t>32</w:t>
      </w:r>
    </w:p>
    <w:p w:rsidR="00C329A5" w:rsidP="00C329A5" w14:paraId="71824698" w14:textId="4D092245">
      <w:pPr>
        <w:pStyle w:val="TOC2"/>
        <w:tabs>
          <w:tab w:val="left" w:pos="360"/>
        </w:tabs>
        <w:rPr>
          <w:rFonts w:asciiTheme="minorHAnsi" w:eastAsiaTheme="minorEastAsia" w:hAnsiTheme="minorHAnsi" w:cstheme="minorBidi"/>
          <w:snapToGrid/>
          <w:kern w:val="2"/>
          <w:sz w:val="24"/>
          <w:szCs w:val="24"/>
          <w14:ligatures w14:val="standardContextual"/>
        </w:rPr>
      </w:pPr>
      <w:r>
        <w:t>H.</w:t>
      </w:r>
      <w:r>
        <w:rPr>
          <w:rFonts w:asciiTheme="minorHAnsi" w:eastAsiaTheme="minorEastAsia" w:hAnsiTheme="minorHAnsi" w:cstheme="minorBidi"/>
          <w:snapToGrid/>
          <w:kern w:val="2"/>
          <w:sz w:val="24"/>
          <w:szCs w:val="24"/>
          <w14:ligatures w14:val="standardContextual"/>
        </w:rPr>
        <w:tab/>
      </w:r>
      <w:r>
        <w:t>Retaining NORS Reporting Requirements for DIRS-Lite Activations</w:t>
      </w:r>
      <w:r>
        <w:tab/>
        <w:t>39</w:t>
      </w:r>
    </w:p>
    <w:p w:rsidR="00C329A5" w:rsidP="00C329A5" w14:paraId="2DDB2576" w14:textId="7C7A7285">
      <w:pPr>
        <w:pStyle w:val="TOC2"/>
        <w:tabs>
          <w:tab w:val="left" w:pos="360"/>
        </w:tabs>
        <w:rPr>
          <w:rFonts w:asciiTheme="minorHAnsi" w:eastAsiaTheme="minorEastAsia" w:hAnsiTheme="minorHAnsi" w:cstheme="minorBidi"/>
          <w:snapToGrid/>
          <w:kern w:val="2"/>
          <w:sz w:val="24"/>
          <w:szCs w:val="24"/>
          <w14:ligatures w14:val="standardContextual"/>
        </w:rPr>
      </w:pPr>
      <w:r>
        <w:t>I.</w:t>
      </w:r>
      <w:r>
        <w:rPr>
          <w:rFonts w:asciiTheme="minorHAnsi" w:eastAsiaTheme="minorEastAsia" w:hAnsiTheme="minorHAnsi" w:cstheme="minorBidi"/>
          <w:snapToGrid/>
          <w:kern w:val="2"/>
          <w:sz w:val="24"/>
          <w:szCs w:val="24"/>
          <w14:ligatures w14:val="standardContextual"/>
        </w:rPr>
        <w:tab/>
      </w:r>
      <w:r>
        <w:t>Compliance Timeframe</w:t>
      </w:r>
      <w:r>
        <w:tab/>
        <w:t>41</w:t>
      </w:r>
    </w:p>
    <w:p w:rsidR="00C329A5" w:rsidP="00C329A5" w14:paraId="4B38FD9A" w14:textId="06B65ABA">
      <w:pPr>
        <w:pStyle w:val="TOC2"/>
        <w:tabs>
          <w:tab w:val="left" w:pos="360"/>
        </w:tabs>
        <w:rPr>
          <w:rFonts w:asciiTheme="minorHAnsi" w:eastAsiaTheme="minorEastAsia" w:hAnsiTheme="minorHAnsi" w:cstheme="minorBidi"/>
          <w:snapToGrid/>
          <w:kern w:val="2"/>
          <w:sz w:val="24"/>
          <w:szCs w:val="24"/>
          <w14:ligatures w14:val="standardContextual"/>
        </w:rPr>
      </w:pPr>
      <w:r>
        <w:t>J.</w:t>
      </w:r>
      <w:r>
        <w:rPr>
          <w:rFonts w:asciiTheme="minorHAnsi" w:eastAsiaTheme="minorEastAsia" w:hAnsiTheme="minorHAnsi" w:cstheme="minorBidi"/>
          <w:snapToGrid/>
          <w:kern w:val="2"/>
          <w:sz w:val="24"/>
          <w:szCs w:val="24"/>
          <w14:ligatures w14:val="standardContextual"/>
        </w:rPr>
        <w:tab/>
      </w:r>
      <w:r>
        <w:t>Assessing the Benefits and Costs</w:t>
      </w:r>
      <w:r>
        <w:tab/>
        <w:t>43</w:t>
      </w:r>
    </w:p>
    <w:p w:rsidR="00C329A5" w:rsidP="00C329A5" w14:paraId="6465DFB3" w14:textId="0A005D41">
      <w:pPr>
        <w:pStyle w:val="TOC1"/>
        <w:rPr>
          <w:rFonts w:asciiTheme="minorHAnsi" w:eastAsiaTheme="minorEastAsia" w:hAnsiTheme="minorHAnsi" w:cstheme="minorBidi"/>
          <w:caps w:val="0"/>
          <w:snapToGrid/>
          <w:kern w:val="2"/>
          <w:sz w:val="24"/>
          <w:szCs w:val="24"/>
          <w14:ligatures w14:val="standardContextual"/>
        </w:rPr>
      </w:pPr>
      <w:r>
        <w:t>IV.</w:t>
      </w:r>
      <w:r>
        <w:rPr>
          <w:rFonts w:asciiTheme="minorHAnsi" w:eastAsiaTheme="minorEastAsia" w:hAnsiTheme="minorHAnsi" w:cstheme="minorBidi"/>
          <w:caps w:val="0"/>
          <w:snapToGrid/>
          <w:kern w:val="2"/>
          <w:sz w:val="24"/>
          <w:szCs w:val="24"/>
          <w14:ligatures w14:val="standardContextual"/>
        </w:rPr>
        <w:tab/>
      </w:r>
      <w:r w:rsidRPr="00B86C77">
        <w:rPr>
          <w:rFonts w:eastAsia="Calibri"/>
          <w:snapToGrid/>
        </w:rPr>
        <w:t>PROCEDURAL MATTERS</w:t>
      </w:r>
      <w:r>
        <w:tab/>
        <w:t>47</w:t>
      </w:r>
    </w:p>
    <w:p w:rsidR="00C329A5" w:rsidP="00C329A5" w14:paraId="3343BF4D" w14:textId="46C8DECB">
      <w:pPr>
        <w:pStyle w:val="TOC1"/>
        <w:rPr>
          <w:rFonts w:asciiTheme="minorHAnsi" w:eastAsiaTheme="minorEastAsia" w:hAnsiTheme="minorHAnsi" w:cstheme="minorBidi"/>
          <w:caps w:val="0"/>
          <w:snapToGrid/>
          <w:kern w:val="2"/>
          <w:sz w:val="24"/>
          <w:szCs w:val="24"/>
          <w14:ligatures w14:val="standardContextual"/>
        </w:rPr>
      </w:pPr>
      <w:r>
        <w:t>V.</w:t>
      </w:r>
      <w:r>
        <w:rPr>
          <w:rFonts w:asciiTheme="minorHAnsi" w:eastAsiaTheme="minorEastAsia" w:hAnsiTheme="minorHAnsi" w:cstheme="minorBidi"/>
          <w:caps w:val="0"/>
          <w:snapToGrid/>
          <w:kern w:val="2"/>
          <w:sz w:val="24"/>
          <w:szCs w:val="24"/>
          <w14:ligatures w14:val="standardContextual"/>
        </w:rPr>
        <w:tab/>
      </w:r>
      <w:r>
        <w:t>ORDERING CLAUSES</w:t>
      </w:r>
      <w:r>
        <w:tab/>
        <w:t>51</w:t>
      </w:r>
    </w:p>
    <w:bookmarkEnd w:id="1"/>
    <w:p w:rsidR="00C329A5" w:rsidP="00D36B73" w14:paraId="1368717F" w14:textId="77777777">
      <w:pPr>
        <w:widowControl/>
        <w:rPr>
          <w:spacing w:val="-2"/>
        </w:rPr>
      </w:pPr>
    </w:p>
    <w:p w:rsidR="00203CCB" w:rsidP="00081A05" w14:paraId="16711F6E" w14:textId="581F5099">
      <w:pPr>
        <w:widowControl/>
        <w:rPr>
          <w:spacing w:val="-2"/>
        </w:rPr>
      </w:pPr>
      <w:r>
        <w:rPr>
          <w:spacing w:val="-2"/>
        </w:rPr>
        <w:t>APPENDIX A – Final Rules</w:t>
      </w:r>
    </w:p>
    <w:p w:rsidR="00203CCB" w:rsidP="00081A05" w14:paraId="0CCF85B2" w14:textId="77777777">
      <w:pPr>
        <w:widowControl/>
        <w:rPr>
          <w:spacing w:val="-2"/>
        </w:rPr>
      </w:pPr>
      <w:r>
        <w:rPr>
          <w:spacing w:val="-2"/>
        </w:rPr>
        <w:t>APPENDIX B – Final Regulatory Flexibility Analysis</w:t>
      </w:r>
    </w:p>
    <w:p w:rsidR="00203CCB" w:rsidP="00081A05" w14:paraId="1048C320" w14:textId="77777777">
      <w:pPr>
        <w:rPr>
          <w:b/>
          <w:bCs/>
        </w:rPr>
      </w:pPr>
      <w:r>
        <w:rPr>
          <w:spacing w:val="-2"/>
        </w:rPr>
        <w:t xml:space="preserve">APPENDIX C – List of Proposed </w:t>
      </w:r>
      <w:r w:rsidRPr="00E20659">
        <w:rPr>
          <w:spacing w:val="-2"/>
        </w:rPr>
        <w:t xml:space="preserve">Fields </w:t>
      </w:r>
      <w:r w:rsidRPr="00ED0141">
        <w:t xml:space="preserve">on DIRS </w:t>
      </w:r>
      <w:r>
        <w:rPr>
          <w:bCs/>
        </w:rPr>
        <w:t>Worksheets</w:t>
      </w:r>
      <w:r w:rsidRPr="00ED0141">
        <w:t xml:space="preserve"> for Each Type of Provider</w:t>
      </w:r>
    </w:p>
    <w:p w:rsidR="00203CCB" w:rsidP="00081A05" w14:paraId="527264B6" w14:textId="77777777">
      <w:pPr>
        <w:widowControl/>
        <w:rPr>
          <w:spacing w:val="-2"/>
        </w:rPr>
      </w:pPr>
    </w:p>
    <w:p w:rsidR="00203CCB" w:rsidP="00081A05" w14:paraId="098E7BE7" w14:textId="77777777">
      <w:pPr>
        <w:pStyle w:val="Heading1"/>
        <w:widowControl/>
      </w:pPr>
      <w:bookmarkStart w:id="3" w:name="_Toc227662241"/>
      <w:bookmarkStart w:id="4" w:name="_Toc230244540"/>
      <w:bookmarkStart w:id="5" w:name="_Toc230246358"/>
      <w:r>
        <w:t>INTRODUCTION</w:t>
      </w:r>
      <w:bookmarkEnd w:id="0"/>
      <w:bookmarkEnd w:id="3"/>
      <w:bookmarkEnd w:id="4"/>
      <w:bookmarkEnd w:id="5"/>
    </w:p>
    <w:p w:rsidR="00203CCB" w:rsidP="00C329A5" w14:paraId="3A3401F8" w14:textId="77777777">
      <w:pPr>
        <w:pStyle w:val="ParaNum"/>
        <w:widowControl/>
      </w:pPr>
      <w:r>
        <w:t xml:space="preserve">For nearly two decades, the Federal Communications Commission’s (Commission) Disaster Information Reporting System (DIRS) has served as a vital </w:t>
      </w:r>
      <w:r w:rsidRPr="006E5939">
        <w:t xml:space="preserve">tool </w:t>
      </w:r>
      <w:r>
        <w:t xml:space="preserve">that allows service providers to </w:t>
      </w:r>
      <w:r w:rsidRPr="00FE2F90">
        <w:t xml:space="preserve">submit critical information about </w:t>
      </w:r>
      <w:r>
        <w:t>the status of communications infrastructure</w:t>
      </w:r>
      <w:r w:rsidRPr="00C94531">
        <w:t xml:space="preserve"> </w:t>
      </w:r>
      <w:r>
        <w:t xml:space="preserve">during disasters.  This crucial insight gives emergency managers situational awareness they need to respond to these disasters, which can often cause communications disruptions that prevent the public from calling 911 and public safety officials from disseminating information to the public.  In this </w:t>
      </w:r>
      <w:r w:rsidRPr="00466C12">
        <w:rPr>
          <w:i/>
          <w:iCs/>
        </w:rPr>
        <w:t>Third Report and Order</w:t>
      </w:r>
      <w:r>
        <w:t xml:space="preserve">, we adopt </w:t>
      </w:r>
      <w:r>
        <w:t xml:space="preserve">measures to modernize DIRS by enhancing its capabilities while eliminating unnecessary burdens on communications service providers, allowing them to focus more of their resources on service restoration instead of redundant paperwork in those circumstances when every second counts. </w:t>
      </w:r>
    </w:p>
    <w:p w:rsidR="00203CCB" w:rsidP="00C329A5" w14:paraId="783C51A5" w14:textId="77777777">
      <w:pPr>
        <w:pStyle w:val="ParaNum"/>
        <w:widowControl/>
      </w:pPr>
      <w:r>
        <w:t>The measures we adopt today simplify DIRS reporting for all service providers especially those with limited resources.  Manual filers will be able to submit a single, dynamic form instead of multiple worksheets and use a “one-click” option to easily indicate there is no change from the previous day’s report.  This means that service providers will no longer be required to complete as many as ten</w:t>
      </w:r>
      <w:r w:rsidRPr="00783481">
        <w:t xml:space="preserve"> different worksheets </w:t>
      </w:r>
      <w:r>
        <w:t>on each</w:t>
      </w:r>
      <w:r w:rsidRPr="00783481">
        <w:t xml:space="preserve"> day</w:t>
      </w:r>
      <w:r>
        <w:t xml:space="preserve"> that DIRS is activated. </w:t>
      </w:r>
      <w:r w:rsidRPr="00783481">
        <w:t xml:space="preserve"> </w:t>
      </w:r>
      <w:r>
        <w:t>We also eliminate unnecessary fields and worksheets to ensure we are collecting the information that is most important for emergency response.  We further reduce reporting burdens by eliminating the requirement for service providers to file a DIRS final report within 24 hours of DIRS’ deactivation and by exempting non-facilities-based providers from DIRS reporting.  Recognizing the emergence of public safety voice and broadband networks and the critical connectivity they provide to public safety stakeholders, we require providers of these services to submit DIRS reports on the status of their public safety network infrastructure.  We also augment providers’ ability to voluntarily submit geospatial information on infrastructure affected by disasters.  Together, these changes</w:t>
      </w:r>
      <w:r w:rsidRPr="00295F36">
        <w:t xml:space="preserve"> </w:t>
      </w:r>
      <w:r>
        <w:t xml:space="preserve">provide </w:t>
      </w:r>
      <w:r w:rsidRPr="00295F36">
        <w:t xml:space="preserve">public safety officials </w:t>
      </w:r>
      <w:r>
        <w:t xml:space="preserve">with additional information </w:t>
      </w:r>
      <w:r w:rsidRPr="00295F36">
        <w:t>they need while</w:t>
      </w:r>
      <w:r>
        <w:t xml:space="preserve"> making it easier for service providers to satisfy their reporting obligations.</w:t>
      </w:r>
    </w:p>
    <w:p w:rsidR="00203CCB" w:rsidP="00081A05" w14:paraId="3D151CE1" w14:textId="77777777">
      <w:pPr>
        <w:pStyle w:val="Heading1"/>
        <w:widowControl/>
        <w:rPr>
          <w:rFonts w:eastAsia="Calibri"/>
          <w:snapToGrid/>
        </w:rPr>
      </w:pPr>
      <w:bookmarkStart w:id="6" w:name="_Toc146549309"/>
      <w:bookmarkStart w:id="7" w:name="_Toc146551513"/>
      <w:bookmarkStart w:id="8" w:name="_Toc152846900"/>
      <w:bookmarkStart w:id="9" w:name="_Toc225166304"/>
      <w:bookmarkStart w:id="10" w:name="_Toc227662242"/>
      <w:bookmarkStart w:id="11" w:name="_Toc230244541"/>
      <w:bookmarkStart w:id="12" w:name="_Toc230246359"/>
      <w:r w:rsidRPr="00C70ACE">
        <w:rPr>
          <w:rFonts w:eastAsia="Calibri"/>
          <w:snapToGrid/>
        </w:rPr>
        <w:t>BACKGROUND</w:t>
      </w:r>
      <w:bookmarkEnd w:id="6"/>
      <w:bookmarkEnd w:id="7"/>
      <w:bookmarkEnd w:id="8"/>
      <w:bookmarkEnd w:id="9"/>
      <w:bookmarkEnd w:id="10"/>
      <w:bookmarkEnd w:id="11"/>
      <w:bookmarkEnd w:id="12"/>
    </w:p>
    <w:p w:rsidR="00203CCB" w:rsidP="00EB7CCD" w14:paraId="6E01B9FA" w14:textId="77777777">
      <w:pPr>
        <w:pStyle w:val="ParaNum"/>
        <w:widowControl/>
        <w:tabs>
          <w:tab w:val="clear" w:pos="1440"/>
        </w:tabs>
        <w:rPr>
          <w:rFonts w:eastAsia="Calibri"/>
        </w:rPr>
      </w:pPr>
      <w:r w:rsidRPr="00F82A21">
        <w:rPr>
          <w:snapToGrid/>
        </w:rPr>
        <w:t>DIRS was established in 2007 as a voluntary, web-based system to collect infrastructure status and service restoration information from communications service providers during and following major disasters.</w:t>
      </w:r>
      <w:r>
        <w:rPr>
          <w:rStyle w:val="FootnoteReference"/>
          <w:snapToGrid/>
        </w:rPr>
        <w:footnoteReference w:id="3"/>
      </w:r>
      <w:r w:rsidRPr="00F82A21">
        <w:rPr>
          <w:snapToGrid/>
        </w:rPr>
        <w:t xml:space="preserve">  </w:t>
      </w:r>
      <w:r w:rsidRPr="00F82A21">
        <w:rPr>
          <w:snapToGrid/>
          <w:kern w:val="0"/>
          <w:szCs w:val="22"/>
        </w:rPr>
        <w:t xml:space="preserve">DIRS is activated by the Commission’s Public Safety and Homeland Security Bureau (Bureau) in response to upcoming or ongoing disasters either on its own initiative, or in coordination with state emergency management agencies, the Federal Emergency Management Agency (FEMA), and the Cybersecurity and Infrastructure Security Agency (CISA).  The reports filed in DIRS contain information about the status of critical communications infrastructure and </w:t>
      </w:r>
      <w:r>
        <w:rPr>
          <w:snapToGrid/>
          <w:kern w:val="0"/>
          <w:szCs w:val="22"/>
        </w:rPr>
        <w:t>affected</w:t>
      </w:r>
      <w:r w:rsidRPr="00F82A21">
        <w:rPr>
          <w:snapToGrid/>
          <w:kern w:val="0"/>
          <w:szCs w:val="22"/>
        </w:rPr>
        <w:t xml:space="preserve"> subscribers that may be without service and unable to reach 911</w:t>
      </w:r>
      <w:r>
        <w:rPr>
          <w:snapToGrid/>
          <w:kern w:val="0"/>
          <w:szCs w:val="22"/>
        </w:rPr>
        <w:t>.</w:t>
      </w:r>
      <w:r w:rsidRPr="00F82A21">
        <w:rPr>
          <w:snapToGrid/>
          <w:kern w:val="0"/>
          <w:szCs w:val="22"/>
        </w:rPr>
        <w:t xml:space="preserve">  </w:t>
      </w:r>
      <w:r w:rsidRPr="00466C12">
        <w:rPr>
          <w:rFonts w:ascii="TimesNewRomanPSMT" w:hAnsi="TimesNewRomanPSMT" w:cs="TimesNewRomanPSMT"/>
          <w:snapToGrid/>
          <w:kern w:val="0"/>
          <w:szCs w:val="22"/>
        </w:rPr>
        <w:t>Because DIRS reports are presumptively confidential,</w:t>
      </w:r>
      <w:r>
        <w:rPr>
          <w:rStyle w:val="FootnoteReference"/>
          <w:snapToGrid/>
          <w:kern w:val="0"/>
          <w:szCs w:val="22"/>
        </w:rPr>
        <w:footnoteReference w:id="4"/>
      </w:r>
      <w:r w:rsidRPr="00466C12">
        <w:rPr>
          <w:rFonts w:ascii="TimesNewRomanPSMT" w:hAnsi="TimesNewRomanPSMT" w:cs="TimesNewRomanPSMT"/>
          <w:snapToGrid/>
          <w:kern w:val="0"/>
          <w:szCs w:val="22"/>
        </w:rPr>
        <w:t xml:space="preserve"> the Bureau uses aggregated, anonymized data to provide communications status and restoration information for governmental agencies and the public.  In 2021, the Commission adopted rules enabling </w:t>
      </w:r>
      <w:r>
        <w:rPr>
          <w:rFonts w:ascii="TimesNewRomanPSMT" w:hAnsi="TimesNewRomanPSMT" w:cs="TimesNewRomanPSMT"/>
          <w:snapToGrid/>
          <w:kern w:val="0"/>
          <w:szCs w:val="22"/>
        </w:rPr>
        <w:t>f</w:t>
      </w:r>
      <w:r w:rsidRPr="00466C12">
        <w:rPr>
          <w:rFonts w:ascii="TimesNewRomanPSMT" w:hAnsi="TimesNewRomanPSMT" w:cs="TimesNewRomanPSMT"/>
          <w:snapToGrid/>
          <w:kern w:val="0"/>
          <w:szCs w:val="22"/>
        </w:rPr>
        <w:t>ederal, state, Tribal, and territorial agencies with a “need to know” to obtain read-only access to</w:t>
      </w:r>
      <w:r>
        <w:rPr>
          <w:rFonts w:ascii="TimesNewRomanPSMT" w:hAnsi="TimesNewRomanPSMT" w:cs="TimesNewRomanPSMT"/>
          <w:snapToGrid/>
          <w:kern w:val="0"/>
          <w:szCs w:val="22"/>
        </w:rPr>
        <w:t xml:space="preserve"> providers’</w:t>
      </w:r>
      <w:r w:rsidRPr="00466C12">
        <w:rPr>
          <w:rFonts w:ascii="TimesNewRomanPSMT" w:hAnsi="TimesNewRomanPSMT" w:cs="TimesNewRomanPSMT"/>
          <w:snapToGrid/>
          <w:kern w:val="0"/>
          <w:szCs w:val="22"/>
        </w:rPr>
        <w:t xml:space="preserve"> DIRS filings as well as filings in NORS.</w:t>
      </w:r>
      <w:r>
        <w:rPr>
          <w:rStyle w:val="FootnoteReference"/>
          <w:rFonts w:cs="TimesNewRomanPSMT"/>
          <w:snapToGrid/>
          <w:kern w:val="0"/>
          <w:szCs w:val="22"/>
        </w:rPr>
        <w:footnoteReference w:id="5"/>
      </w:r>
    </w:p>
    <w:p w:rsidR="00203CCB" w:rsidP="00EB7CCD" w14:paraId="5348AEA5" w14:textId="77777777">
      <w:pPr>
        <w:pStyle w:val="ParaNum"/>
        <w:widowControl/>
        <w:tabs>
          <w:tab w:val="clear" w:pos="1440"/>
        </w:tabs>
        <w:rPr>
          <w:rFonts w:eastAsia="Calibri"/>
        </w:rPr>
      </w:pPr>
      <w:r>
        <w:rPr>
          <w:snapToGrid/>
        </w:rPr>
        <w:t>I</w:t>
      </w:r>
      <w:r w:rsidRPr="00466C12">
        <w:rPr>
          <w:snapToGrid/>
        </w:rPr>
        <w:t xml:space="preserve">n 2024, the Commission </w:t>
      </w:r>
      <w:r>
        <w:rPr>
          <w:snapToGrid/>
        </w:rPr>
        <w:t>made</w:t>
      </w:r>
      <w:r w:rsidRPr="00466C12">
        <w:rPr>
          <w:snapToGrid/>
        </w:rPr>
        <w:t xml:space="preserve"> DIRS reporting mandatory for cable communications, wireless, wireline, and interconnected Voice over Internet Protocol (VoIP) providers.</w:t>
      </w:r>
      <w:r>
        <w:rPr>
          <w:rStyle w:val="FootnoteReference"/>
          <w:rFonts w:cs="TimesNewRomanPSMT"/>
          <w:snapToGrid/>
          <w:kern w:val="0"/>
          <w:szCs w:val="22"/>
        </w:rPr>
        <w:footnoteReference w:id="6"/>
      </w:r>
      <w:r w:rsidRPr="00466C12">
        <w:rPr>
          <w:snapToGrid/>
          <w:szCs w:val="22"/>
        </w:rPr>
        <w:t xml:space="preserve">  </w:t>
      </w:r>
      <w:r>
        <w:rPr>
          <w:snapToGrid/>
        </w:rPr>
        <w:t>These providers are</w:t>
      </w:r>
      <w:r w:rsidRPr="00466C12">
        <w:rPr>
          <w:snapToGrid/>
        </w:rPr>
        <w:t xml:space="preserve"> required to “[p]</w:t>
      </w:r>
      <w:r w:rsidRPr="00466C12">
        <w:rPr>
          <w:snapToGrid/>
        </w:rPr>
        <w:t>rovide</w:t>
      </w:r>
      <w:r w:rsidRPr="00466C12">
        <w:rPr>
          <w:snapToGrid/>
        </w:rPr>
        <w:t xml:space="preserve"> daily reports on their infrastructure status from the start of DIRS activation until </w:t>
      </w:r>
      <w:r w:rsidRPr="00466C12">
        <w:rPr>
          <w:snapToGrid/>
        </w:rPr>
        <w:t>DIRS has been deactivated” when DIRS is activated in an area where they provide service.</w:t>
      </w:r>
      <w:r>
        <w:rPr>
          <w:rStyle w:val="FootnoteReference"/>
          <w:rFonts w:cs="TimesNewRomanPSMT"/>
          <w:snapToGrid/>
          <w:kern w:val="0"/>
          <w:szCs w:val="22"/>
        </w:rPr>
        <w:footnoteReference w:id="7"/>
      </w:r>
      <w:r w:rsidRPr="00466C12">
        <w:rPr>
          <w:snapToGrid/>
        </w:rPr>
        <w:t xml:space="preserve">  </w:t>
      </w:r>
      <w:r w:rsidRPr="00466C12">
        <w:rPr>
          <w:rFonts w:ascii="TimesNewRomanPSMT" w:hAnsi="TimesNewRomanPSMT" w:cs="TimesNewRomanPSMT"/>
          <w:snapToGrid/>
          <w:kern w:val="0"/>
          <w:szCs w:val="22"/>
        </w:rPr>
        <w:t xml:space="preserve">During DIRS activations, </w:t>
      </w:r>
      <w:r>
        <w:rPr>
          <w:rFonts w:ascii="TimesNewRomanPSMT" w:hAnsi="TimesNewRomanPSMT" w:cs="TimesNewRomanPSMT"/>
          <w:snapToGrid/>
          <w:kern w:val="0"/>
          <w:szCs w:val="22"/>
        </w:rPr>
        <w:t xml:space="preserve">these providers </w:t>
      </w:r>
      <w:r w:rsidRPr="00466C12">
        <w:rPr>
          <w:rFonts w:ascii="TimesNewRomanPSMT" w:hAnsi="TimesNewRomanPSMT" w:cs="TimesNewRomanPSMT"/>
          <w:snapToGrid/>
          <w:kern w:val="0"/>
          <w:szCs w:val="22"/>
        </w:rPr>
        <w:t>must log into DIRS the day after activation is announced and on each subsequent day during which DIRS remains active to complete worksheets applicable to their infrastructure.  These providers must also file a Final DIRS Report within 24 hours of DIRS deactivation by filling in a freeform text field.</w:t>
      </w:r>
      <w:r>
        <w:rPr>
          <w:rStyle w:val="FootnoteReference"/>
          <w:rFonts w:cs="TimesNewRomanPSMT"/>
          <w:snapToGrid/>
          <w:kern w:val="0"/>
          <w:szCs w:val="22"/>
        </w:rPr>
        <w:footnoteReference w:id="8"/>
      </w:r>
      <w:r w:rsidRPr="00466C12">
        <w:rPr>
          <w:rFonts w:ascii="TimesNewRomanPSMT" w:hAnsi="TimesNewRomanPSMT" w:cs="TimesNewRomanPSMT"/>
          <w:snapToGrid/>
          <w:kern w:val="0"/>
          <w:szCs w:val="22"/>
        </w:rPr>
        <w:t xml:space="preserve">  Network Outage Reporting System (NORS) filing obligations are suspended during DIRS activations for facilities-based cable communications, wireline communications, wireless service, and interconnected VoIP providers that timely report in DIRS.</w:t>
      </w:r>
      <w:r>
        <w:rPr>
          <w:rStyle w:val="FootnoteReference"/>
          <w:rFonts w:cs="TimesNewRomanPSMT"/>
          <w:snapToGrid/>
          <w:kern w:val="0"/>
          <w:szCs w:val="22"/>
        </w:rPr>
        <w:footnoteReference w:id="9"/>
      </w:r>
      <w:r w:rsidRPr="00466C12">
        <w:rPr>
          <w:rFonts w:ascii="TimesNewRomanPSMT" w:hAnsi="TimesNewRomanPSMT" w:cs="TimesNewRomanPSMT"/>
          <w:snapToGrid/>
          <w:kern w:val="0"/>
          <w:szCs w:val="22"/>
        </w:rPr>
        <w:t xml:space="preserve">  </w:t>
      </w:r>
      <w:r>
        <w:rPr>
          <w:rFonts w:ascii="TimesNewRomanPSMT" w:hAnsi="TimesNewRomanPSMT" w:cs="TimesNewRomanPSMT"/>
          <w:snapToGrid/>
          <w:kern w:val="0"/>
          <w:szCs w:val="22"/>
        </w:rPr>
        <w:t xml:space="preserve">In an accompanying </w:t>
      </w:r>
      <w:r>
        <w:rPr>
          <w:rFonts w:ascii="TimesNewRomanPSMT" w:hAnsi="TimesNewRomanPSMT" w:cs="TimesNewRomanPSMT"/>
          <w:i/>
          <w:iCs/>
          <w:snapToGrid/>
          <w:kern w:val="0"/>
          <w:szCs w:val="22"/>
        </w:rPr>
        <w:t>Second Further Notice of Proposed Rulemaking</w:t>
      </w:r>
      <w:r>
        <w:rPr>
          <w:rFonts w:ascii="TimesNewRomanPSMT" w:hAnsi="TimesNewRomanPSMT" w:cs="TimesNewRomanPSMT"/>
          <w:snapToGrid/>
          <w:kern w:val="0"/>
          <w:szCs w:val="22"/>
        </w:rPr>
        <w:t>, the Commission proposed additional enhancements to DIRS, among which was whether FirstNet, a national public safety voice and broadband network overseen by the First Responder Network Authority and built, operated, and maintained by AT&amp;T, should be subject to reporting requirements in NORS, DIRS, or both systems.</w:t>
      </w:r>
      <w:r>
        <w:rPr>
          <w:rStyle w:val="FootnoteReference"/>
          <w:rFonts w:cs="TimesNewRomanPSMT"/>
          <w:snapToGrid/>
          <w:kern w:val="0"/>
          <w:szCs w:val="22"/>
        </w:rPr>
        <w:footnoteReference w:id="10"/>
      </w:r>
    </w:p>
    <w:p w:rsidR="00203CCB" w:rsidP="00EB7CCD" w14:paraId="2660CF7A" w14:textId="77777777">
      <w:pPr>
        <w:pStyle w:val="ParaNum"/>
        <w:widowControl/>
        <w:tabs>
          <w:tab w:val="clear" w:pos="1440"/>
        </w:tabs>
        <w:rPr>
          <w:rFonts w:eastAsia="Calibri"/>
        </w:rPr>
      </w:pPr>
      <w:r w:rsidRPr="00466C12">
        <w:rPr>
          <w:rFonts w:ascii="TimesNewRomanPSMT" w:hAnsi="TimesNewRomanPSMT" w:cs="TimesNewRomanPSMT"/>
          <w:snapToGrid/>
          <w:kern w:val="0"/>
          <w:szCs w:val="22"/>
        </w:rPr>
        <w:t>Currently, DIRS includes ten different template worksheets for providers to report their infrastructure status, each of which requests information about the provider and its facilities, the operational status of those facilities, and subscriber impacts.</w:t>
      </w:r>
      <w:r>
        <w:rPr>
          <w:rStyle w:val="FootnoteReference"/>
          <w:rFonts w:cs="TimesNewRomanPSMT"/>
          <w:snapToGrid/>
          <w:kern w:val="0"/>
          <w:szCs w:val="22"/>
        </w:rPr>
        <w:footnoteReference w:id="11"/>
      </w:r>
      <w:r w:rsidRPr="00466C12">
        <w:rPr>
          <w:rFonts w:ascii="TimesNewRomanPSMT" w:hAnsi="TimesNewRomanPSMT" w:cs="TimesNewRomanPSMT"/>
          <w:snapToGrid/>
          <w:kern w:val="0"/>
          <w:szCs w:val="22"/>
        </w:rPr>
        <w:t xml:space="preserve">  Each worksheet is approximately one page in length and includes multiple fields for providers to complete concerning the type of facilities or equipment that is impacted, general location information, and information about service impacts.  There are different worksheets for different services, so providers that offer multiple types of service or that have multiple types of affected infrastructure must complete multiple worksheets.  Reports can be submitted via batch filing or manual filing.  To utilize batch filing, providers must configure their systems to export data in a DIRS-supported format,</w:t>
      </w:r>
      <w:r>
        <w:rPr>
          <w:rStyle w:val="FootnoteReference"/>
          <w:rFonts w:cs="TimesNewRomanPSMT"/>
          <w:snapToGrid/>
          <w:kern w:val="0"/>
          <w:szCs w:val="22"/>
        </w:rPr>
        <w:footnoteReference w:id="12"/>
      </w:r>
      <w:r w:rsidRPr="00466C12">
        <w:rPr>
          <w:rFonts w:ascii="TimesNewRomanPSMT" w:hAnsi="TimesNewRomanPSMT" w:cs="TimesNewRomanPSMT"/>
          <w:snapToGrid/>
          <w:kern w:val="0"/>
          <w:szCs w:val="22"/>
        </w:rPr>
        <w:t xml:space="preserve"> whereas manual filing requires providers to manually enter line-item data for each required report.  While DIRS is generally activated only for disasters that have major effects on communications, the Bureau may activate “DIRS</w:t>
      </w:r>
      <w:r>
        <w:rPr>
          <w:rFonts w:ascii="TimesNewRomanPSMT" w:hAnsi="TimesNewRomanPSMT" w:cs="TimesNewRomanPSMT"/>
          <w:snapToGrid/>
          <w:kern w:val="0"/>
          <w:szCs w:val="22"/>
        </w:rPr>
        <w:t>-</w:t>
      </w:r>
      <w:r w:rsidRPr="00466C12">
        <w:rPr>
          <w:rFonts w:ascii="TimesNewRomanPSMT" w:hAnsi="TimesNewRomanPSMT" w:cs="TimesNewRomanPSMT"/>
          <w:snapToGrid/>
          <w:kern w:val="0"/>
          <w:szCs w:val="22"/>
        </w:rPr>
        <w:t>Lite,” an informal, voluntary process through which wireline and wireless providers may submit information about the status of major assets to the Commission by e‐mail or phone</w:t>
      </w:r>
      <w:r>
        <w:rPr>
          <w:rFonts w:ascii="TimesNewRomanPSMT" w:hAnsi="TimesNewRomanPSMT" w:cs="TimesNewRomanPSMT"/>
          <w:snapToGrid/>
          <w:kern w:val="0"/>
          <w:szCs w:val="22"/>
        </w:rPr>
        <w:t>, for less catastrophic events</w:t>
      </w:r>
      <w:r w:rsidRPr="00466C12">
        <w:rPr>
          <w:rFonts w:ascii="TimesNewRomanPSMT" w:hAnsi="TimesNewRomanPSMT" w:cs="TimesNewRomanPSMT"/>
          <w:snapToGrid/>
          <w:kern w:val="0"/>
          <w:szCs w:val="22"/>
        </w:rPr>
        <w:t xml:space="preserve">.  </w:t>
      </w:r>
    </w:p>
    <w:p w:rsidR="00203CCB" w:rsidRPr="00140267" w:rsidP="00EB7CCD" w14:paraId="6B04457F" w14:textId="77777777">
      <w:pPr>
        <w:pStyle w:val="ParaNum"/>
        <w:widowControl/>
        <w:tabs>
          <w:tab w:val="clear" w:pos="1440"/>
        </w:tabs>
        <w:rPr>
          <w:rFonts w:eastAsia="Calibri"/>
        </w:rPr>
      </w:pPr>
      <w:r w:rsidRPr="00140267">
        <w:rPr>
          <w:rFonts w:ascii="TimesNewRomanPSMT" w:hAnsi="TimesNewRomanPSMT" w:cs="TimesNewRomanPSMT"/>
          <w:snapToGrid/>
          <w:kern w:val="0"/>
          <w:szCs w:val="22"/>
        </w:rPr>
        <w:t xml:space="preserve">In the </w:t>
      </w:r>
      <w:r w:rsidRPr="00140267">
        <w:rPr>
          <w:i/>
          <w:iCs/>
        </w:rPr>
        <w:t xml:space="preserve">Third Further Notice and Order on Reconsideration </w:t>
      </w:r>
      <w:r>
        <w:t>(</w:t>
      </w:r>
      <w:r w:rsidRPr="00140267">
        <w:rPr>
          <w:i/>
          <w:iCs/>
        </w:rPr>
        <w:t>FNPRM</w:t>
      </w:r>
      <w:r>
        <w:t>)</w:t>
      </w:r>
      <w:r w:rsidRPr="00140267">
        <w:rPr>
          <w:rFonts w:ascii="TimesNewRomanPSMT" w:hAnsi="TimesNewRomanPSMT" w:cs="TimesNewRomanPSMT"/>
          <w:snapToGrid/>
          <w:kern w:val="0"/>
          <w:szCs w:val="22"/>
        </w:rPr>
        <w:t xml:space="preserve">, </w:t>
      </w:r>
      <w:r>
        <w:rPr>
          <w:rFonts w:ascii="TimesNewRomanPSMT" w:hAnsi="TimesNewRomanPSMT" w:cs="TimesNewRomanPSMT"/>
          <w:snapToGrid/>
          <w:kern w:val="0"/>
          <w:szCs w:val="22"/>
        </w:rPr>
        <w:t xml:space="preserve">which we adopted in 2025, </w:t>
      </w:r>
      <w:r w:rsidRPr="00140267">
        <w:rPr>
          <w:rFonts w:ascii="TimesNewRomanPSMT" w:hAnsi="TimesNewRomanPSMT" w:cs="TimesNewRomanPSMT"/>
          <w:snapToGrid/>
          <w:kern w:val="0"/>
          <w:szCs w:val="22"/>
        </w:rPr>
        <w:t>the Commission undertook its first comprehensive review of DIRS reporting forms and fields since DIRS was created, seeking ways to reduce the burdens of DIRS reporting to providers and increase its value for public safety stakeholders.</w:t>
      </w:r>
      <w:r>
        <w:rPr>
          <w:rStyle w:val="FootnoteReference"/>
        </w:rPr>
        <w:footnoteReference w:id="13"/>
      </w:r>
      <w:r w:rsidRPr="00140267">
        <w:rPr>
          <w:rFonts w:ascii="TimesNewRomanPSMT" w:hAnsi="TimesNewRomanPSMT" w:cs="TimesNewRomanPSMT"/>
          <w:snapToGrid/>
          <w:kern w:val="0"/>
          <w:szCs w:val="22"/>
        </w:rPr>
        <w:t xml:space="preserve">  The Commission received 17 comments and six replies.  </w:t>
      </w:r>
    </w:p>
    <w:p w:rsidR="00203CCB" w:rsidRPr="00A03AEE" w:rsidP="00081A05" w14:paraId="1DEB1299" w14:textId="77777777">
      <w:pPr>
        <w:pStyle w:val="Heading1"/>
        <w:widowControl/>
        <w:rPr>
          <w:kern w:val="2"/>
        </w:rPr>
      </w:pPr>
      <w:bookmarkStart w:id="13" w:name="_Toc225166305"/>
      <w:bookmarkStart w:id="14" w:name="_Toc227662243"/>
      <w:bookmarkStart w:id="15" w:name="_Toc230244542"/>
      <w:bookmarkStart w:id="16" w:name="_Toc230246360"/>
      <w:r>
        <w:rPr>
          <w:rFonts w:eastAsia="Calibri"/>
          <w:snapToGrid/>
        </w:rPr>
        <w:t>DISCUSSION</w:t>
      </w:r>
      <w:bookmarkEnd w:id="13"/>
      <w:bookmarkEnd w:id="14"/>
      <w:bookmarkEnd w:id="15"/>
      <w:bookmarkEnd w:id="16"/>
    </w:p>
    <w:p w:rsidR="00203CCB" w:rsidP="00EB7CCD" w14:paraId="5E353BFD" w14:textId="77777777">
      <w:pPr>
        <w:pStyle w:val="Heading2"/>
        <w:widowControl/>
      </w:pPr>
      <w:bookmarkStart w:id="17" w:name="_Toc225166306"/>
      <w:bookmarkStart w:id="18" w:name="_Toc227662244"/>
      <w:bookmarkStart w:id="19" w:name="_Toc230244543"/>
      <w:bookmarkStart w:id="20" w:name="_Toc230246361"/>
      <w:r>
        <w:t>Simplifying</w:t>
      </w:r>
      <w:r w:rsidRPr="00912DED">
        <w:t xml:space="preserve"> the DIRS User Interface</w:t>
      </w:r>
      <w:bookmarkEnd w:id="17"/>
      <w:bookmarkEnd w:id="18"/>
      <w:bookmarkEnd w:id="19"/>
      <w:bookmarkEnd w:id="20"/>
    </w:p>
    <w:p w:rsidR="00203CCB" w:rsidP="00C329A5" w14:paraId="3B4B52E5" w14:textId="77777777">
      <w:pPr>
        <w:pStyle w:val="ParaNum"/>
        <w:widowControl/>
      </w:pPr>
      <w:r>
        <w:t xml:space="preserve">To simplify DIRS for manual filers and make DIRS information more useful to emergency managers, we adopt our proposal to redesign the DIRS interface to replace the ten separate DIRS worksheets with a single, dynamic form as proposed in the </w:t>
      </w:r>
      <w:r w:rsidRPr="00A20788">
        <w:rPr>
          <w:i/>
          <w:iCs/>
        </w:rPr>
        <w:t>FNPRM</w:t>
      </w:r>
      <w:r>
        <w:t>.</w:t>
      </w:r>
      <w:r>
        <w:rPr>
          <w:rStyle w:val="FootnoteReference"/>
        </w:rPr>
        <w:footnoteReference w:id="14"/>
      </w:r>
      <w:r>
        <w:t xml:space="preserve">  Instead of completing a series of worksheets that collect overlapping information, manual DIRS filers will respond to initial questions about the services they provide in the DIRS activation area and the impacts to equipment and facilities caused by the disaster.  Based upon these responses, manual filers will be presented with questions seeking information applicable only to the services the filer provides.  Information that currently appears on multiple worksheets would only need to be entered once.</w:t>
      </w:r>
      <w:r>
        <w:rPr>
          <w:rStyle w:val="FootnoteReference"/>
        </w:rPr>
        <w:footnoteReference w:id="15"/>
      </w:r>
      <w:r>
        <w:t xml:space="preserve">  While, as the </w:t>
      </w:r>
      <w:r w:rsidRPr="004F6986">
        <w:rPr>
          <w:i/>
          <w:iCs/>
        </w:rPr>
        <w:t>FNPRM</w:t>
      </w:r>
      <w:r>
        <w:t xml:space="preserve"> noted, manual filers comprise a minority of providers that submit DIRS reports, many providers that manually file DIRS reports are small- or medium-sized businesses, and so this change will have an outsized effect in reducing burdens for providers whose resources may be most thinly stretched during a disaster.</w:t>
      </w:r>
      <w:r>
        <w:rPr>
          <w:rStyle w:val="FootnoteReference"/>
        </w:rPr>
        <w:footnoteReference w:id="16"/>
      </w:r>
      <w:r>
        <w:t xml:space="preserve">  </w:t>
      </w:r>
    </w:p>
    <w:p w:rsidR="00203CCB" w:rsidP="00081A05" w14:paraId="53B7E9F1" w14:textId="77777777">
      <w:pPr>
        <w:pStyle w:val="ParaNum"/>
        <w:widowControl/>
        <w:tabs>
          <w:tab w:val="num" w:pos="1080"/>
          <w:tab w:val="clear" w:pos="1440"/>
        </w:tabs>
      </w:pPr>
      <w:r>
        <w:t>The record supports our view that this step will simplify and reduce the time burden associated with manual data entry in DIRS.</w:t>
      </w:r>
      <w:r>
        <w:rPr>
          <w:rStyle w:val="FootnoteReference"/>
        </w:rPr>
        <w:footnoteReference w:id="17"/>
      </w:r>
      <w:r>
        <w:t xml:space="preserve">  The National Rural Electric Cooperative Association observes that the current DIRS reporting framework is cumbersome and inefficient with many overlapping data fields.</w:t>
      </w:r>
      <w:r>
        <w:rPr>
          <w:rStyle w:val="FootnoteReference"/>
        </w:rPr>
        <w:footnoteReference w:id="18"/>
      </w:r>
      <w:r>
        <w:t xml:space="preserve">  Accordingly, CTIA and others describe this, along with other measures we adopt today, as “common sense changes that would reduce burdens on providers, allowing them to direct resources towards recovery efforts without impacting the actionable information provided to public safety stakeholders through DIRS reports.”</w:t>
      </w:r>
      <w:r>
        <w:rPr>
          <w:rStyle w:val="FootnoteReference"/>
        </w:rPr>
        <w:footnoteReference w:id="19"/>
      </w:r>
      <w:r>
        <w:t xml:space="preserve">  The National Association of Broadcasters (NAB) agrees that this redesign “will facilitate filing in DIRS during a disaster[,]”</w:t>
      </w:r>
      <w:r>
        <w:rPr>
          <w:rStyle w:val="FootnoteReference"/>
        </w:rPr>
        <w:footnoteReference w:id="20"/>
      </w:r>
      <w:r>
        <w:t xml:space="preserve"> and NTCA adds that it will “benefit public safety agencies by allowing them to more quickly identify the status of communications in their area.”</w:t>
      </w:r>
      <w:r>
        <w:rPr>
          <w:rStyle w:val="FootnoteReference"/>
        </w:rPr>
        <w:footnoteReference w:id="21"/>
      </w:r>
      <w:r>
        <w:t xml:space="preserve">  The Competitive Carriers Association (CCA) observes that these changes address a concern that is “particularly acute for small and rural carriers.  Such providers often operate with limited engineering and operations teams, many of whom are simultaneously engaged in damage assessment, power restoration, and physical repairs.”</w:t>
      </w:r>
      <w:r>
        <w:rPr>
          <w:rStyle w:val="FootnoteReference"/>
        </w:rPr>
        <w:footnoteReference w:id="22"/>
      </w:r>
      <w:r>
        <w:t xml:space="preserve">  No commenters oppose this proposal or express concern that its adoption would diminish DIRS’s utility.  </w:t>
      </w:r>
    </w:p>
    <w:p w:rsidR="00203CCB" w:rsidP="00EB7CCD" w14:paraId="519698B8" w14:textId="77777777">
      <w:pPr>
        <w:pStyle w:val="Heading2"/>
        <w:widowControl/>
      </w:pPr>
      <w:bookmarkStart w:id="21" w:name="_Toc225166307"/>
      <w:bookmarkStart w:id="22" w:name="_Toc227662245"/>
      <w:bookmarkStart w:id="23" w:name="_Toc230244544"/>
      <w:bookmarkStart w:id="24" w:name="_Toc230246362"/>
      <w:r>
        <w:t>Establishing a “One-Click” Filing Option</w:t>
      </w:r>
      <w:bookmarkEnd w:id="21"/>
      <w:bookmarkEnd w:id="22"/>
      <w:bookmarkEnd w:id="23"/>
      <w:bookmarkEnd w:id="24"/>
    </w:p>
    <w:p w:rsidR="00203CCB" w:rsidP="00C329A5" w14:paraId="196DA057" w14:textId="77777777">
      <w:pPr>
        <w:pStyle w:val="ParaNum"/>
        <w:widowControl/>
      </w:pPr>
      <w:r>
        <w:t xml:space="preserve">In the interest of reducing the burdens of required DIRS reporting and encouraging participation for voluntary DIRS filers, we adopt our proposal to establish a “one-click” option on the </w:t>
      </w:r>
      <w:r>
        <w:t>consolidated worksheet for providers to indicate there is no change in infrastructure status from the previous day’s report.</w:t>
      </w:r>
      <w:r>
        <w:rPr>
          <w:rStyle w:val="FootnoteReference"/>
        </w:rPr>
        <w:footnoteReference w:id="23"/>
      </w:r>
      <w:r>
        <w:t xml:space="preserve">  Commenters agree that this would reduce time spent on manual DIRS entry while preserving the value of DIRS for emergency management officials.</w:t>
      </w:r>
      <w:r>
        <w:rPr>
          <w:rStyle w:val="FootnoteReference"/>
        </w:rPr>
        <w:footnoteReference w:id="24"/>
      </w:r>
      <w:r>
        <w:t xml:space="preserve">  </w:t>
      </w:r>
      <w:r>
        <w:t>USTelecom</w:t>
      </w:r>
      <w:r>
        <w:t xml:space="preserve"> states that a one-click option will “improve the efficiency” of disaster-related data collection,</w:t>
      </w:r>
      <w:r>
        <w:rPr>
          <w:rStyle w:val="FootnoteReference"/>
        </w:rPr>
        <w:footnoteReference w:id="25"/>
      </w:r>
      <w:r>
        <w:t xml:space="preserve"> and an individual commenter describes this change as “monumental.”</w:t>
      </w:r>
      <w:r>
        <w:rPr>
          <w:rStyle w:val="FootnoteReference"/>
        </w:rPr>
        <w:footnoteReference w:id="26"/>
      </w:r>
      <w:r>
        <w:t xml:space="preserve">  In addition to saving time and streamlining DIRS report preparation, NAB believes this change “would facilitate broadcasters’ voluntary participation in DIRS, especially smaller stations.”</w:t>
      </w:r>
      <w:r>
        <w:rPr>
          <w:rStyle w:val="FootnoteReference"/>
        </w:rPr>
        <w:footnoteReference w:id="27"/>
      </w:r>
      <w:r>
        <w:t xml:space="preserve">  As reflected in these comments, we believe this step will simplify manual DIRS report submission during DIRS activations, while also enabling providers to have more time to focus on the important task of restoring service to their customers.  </w:t>
      </w:r>
    </w:p>
    <w:p w:rsidR="00203CCB" w:rsidP="00C329A5" w14:paraId="1DACE6C0" w14:textId="77777777">
      <w:pPr>
        <w:pStyle w:val="ParaNum"/>
        <w:widowControl/>
      </w:pPr>
      <w:r>
        <w:t>We decline to extend the availability of a one-click-like option to batch filers, in addition to manual filers, as recommended by WISPA – The Association for Broadband Without Boundaries (WISPA).</w:t>
      </w:r>
      <w:r>
        <w:rPr>
          <w:rStyle w:val="FootnoteReference"/>
        </w:rPr>
        <w:footnoteReference w:id="28"/>
      </w:r>
      <w:r>
        <w:t xml:space="preserve">  To satisfy their DIRS reporting obligations, batch filers already enjoy a streamlined filing process whereby they upload a provider-created spreadsheet to the Commission, the production of which may be automated by network administration systems.</w:t>
      </w:r>
      <w:r>
        <w:rPr>
          <w:rStyle w:val="FootnoteReference"/>
        </w:rPr>
        <w:footnoteReference w:id="29"/>
      </w:r>
      <w:r>
        <w:t xml:space="preserve">  We disagree with WISPA that implementing the equivalent of one-click filing will enable batch filers to complete their DIRS filing obligation more easily than simply resubmitting the previous day’s spreadsheet.  We believe that a one-click (or near one-click) option would require substantially similar effort and time for DIRS batch filers as using the existing spreadsheet upload process, particularly for those users that leverage the DIRS Upload Application Programming Interface (API).  Further, in our experience, b</w:t>
      </w:r>
      <w:r w:rsidRPr="00BE7F57">
        <w:t xml:space="preserve">atch </w:t>
      </w:r>
      <w:r>
        <w:t>filer</w:t>
      </w:r>
      <w:r w:rsidRPr="00BE7F57">
        <w:t xml:space="preserve">s are more likely to be larger entities providing service </w:t>
      </w:r>
      <w:r>
        <w:t xml:space="preserve">through many facilities </w:t>
      </w:r>
      <w:r w:rsidRPr="00BE7F57">
        <w:t>in a broader geographic area than manual filer</w:t>
      </w:r>
      <w:r>
        <w:t xml:space="preserve">s.  As a result of the number of facilities on which batch filers report and the dynamic nature of service restoration during and after disasters, DIRS information for batch filers is very likely to change day-over-day, making a one-click option less useful for these types of filers.  </w:t>
      </w:r>
    </w:p>
    <w:p w:rsidR="00203CCB" w:rsidP="00C329A5" w14:paraId="0D1D0F9F" w14:textId="77777777">
      <w:pPr>
        <w:pStyle w:val="ParaNum"/>
        <w:widowControl/>
      </w:pPr>
      <w:r>
        <w:t>While no commenter opposes the Commission’s proposal, one commenter requests that the Commission have “a way to ensure that [] providers aren’t actually skipping the daily report and are in fact checking their data to see it hasn’t changed.”</w:t>
      </w:r>
      <w:r>
        <w:rPr>
          <w:rStyle w:val="FootnoteReference"/>
        </w:rPr>
        <w:footnoteReference w:id="30"/>
      </w:r>
      <w:r>
        <w:t xml:space="preserve">  We recognize this valid concern.  As an initial matter, we note that providers are under an obligation to report information truthfully to the Commission.</w:t>
      </w:r>
      <w:r>
        <w:rPr>
          <w:rStyle w:val="FootnoteReference"/>
        </w:rPr>
        <w:footnoteReference w:id="31"/>
      </w:r>
      <w:r>
        <w:t xml:space="preserve">  To remind providers of the requirement to submit accurate information, we will also add the following language to DIRS, which the user will be required to acknowledge when clicking “submit”:  “</w:t>
      </w:r>
      <w:r w:rsidRPr="00A74C6B">
        <w:t xml:space="preserve">By submitting this Form, you certify that the information you have provided on this Form and the attachments is true and accurate.  </w:t>
      </w:r>
      <w:r>
        <w:t>Filers</w:t>
      </w:r>
      <w:r w:rsidRPr="00A74C6B">
        <w:t xml:space="preserve"> are responsible for the accuracy of the information they file with </w:t>
      </w:r>
      <w:r w:rsidRPr="00A74C6B">
        <w:t xml:space="preserve">the Commission, including any data automatically populated into this Form or its attachments from other Commission databases. </w:t>
      </w:r>
      <w:r>
        <w:t xml:space="preserve"> </w:t>
      </w:r>
      <w:r w:rsidRPr="00A74C6B">
        <w:t>Failure to ensure the accuracy of information filed with the Commission may result in enforcement action.</w:t>
      </w:r>
      <w:r>
        <w:t>”</w:t>
      </w:r>
      <w:r>
        <w:rPr>
          <w:rStyle w:val="FootnoteReference"/>
        </w:rPr>
        <w:footnoteReference w:id="32"/>
      </w:r>
      <w:r w:rsidRPr="0036479E">
        <w:t xml:space="preserve"> </w:t>
      </w:r>
      <w:r>
        <w:t xml:space="preserve"> We believe this language puts providers further on notice that it is their responsibility to verify the accuracy of the information i</w:t>
      </w:r>
      <w:r w:rsidRPr="002C06B3">
        <w:t>n their reports</w:t>
      </w:r>
      <w:r>
        <w:t>.  We expect that t</w:t>
      </w:r>
      <w:r w:rsidRPr="00E94A59">
        <w:t xml:space="preserve">his language </w:t>
      </w:r>
      <w:r>
        <w:t xml:space="preserve">will </w:t>
      </w:r>
      <w:r w:rsidRPr="000F46BB">
        <w:t>prompt providers to</w:t>
      </w:r>
      <w:r w:rsidRPr="001A364C">
        <w:t xml:space="preserve"> review</w:t>
      </w:r>
      <w:r>
        <w:t xml:space="preserve"> </w:t>
      </w:r>
      <w:r w:rsidRPr="00256887">
        <w:t xml:space="preserve">any </w:t>
      </w:r>
      <w:r>
        <w:t>existing</w:t>
      </w:r>
      <w:r w:rsidRPr="00256887">
        <w:t xml:space="preserve"> data </w:t>
      </w:r>
      <w:r w:rsidRPr="00013F00">
        <w:t>before</w:t>
      </w:r>
      <w:r w:rsidRPr="00F478FD">
        <w:t xml:space="preserve"> </w:t>
      </w:r>
      <w:r>
        <w:t>submitting</w:t>
      </w:r>
      <w:r w:rsidRPr="00F478FD">
        <w:t xml:space="preserve"> their</w:t>
      </w:r>
      <w:r w:rsidRPr="00C24AA5">
        <w:t xml:space="preserve"> </w:t>
      </w:r>
      <w:r>
        <w:t xml:space="preserve">DIRS </w:t>
      </w:r>
      <w:r w:rsidRPr="00C24AA5">
        <w:t>report</w:t>
      </w:r>
      <w:r>
        <w:t>.</w:t>
      </w:r>
    </w:p>
    <w:p w:rsidR="00203CCB" w:rsidRPr="00682D3B" w:rsidP="00EB7CCD" w14:paraId="2EECFF42" w14:textId="77777777">
      <w:pPr>
        <w:pStyle w:val="Heading2"/>
        <w:widowControl/>
      </w:pPr>
      <w:bookmarkStart w:id="25" w:name="_Toc225166308"/>
      <w:bookmarkStart w:id="26" w:name="_Toc227662246"/>
      <w:bookmarkStart w:id="27" w:name="_Toc230244545"/>
      <w:bookmarkStart w:id="28" w:name="_Toc230246363"/>
      <w:r>
        <w:t>Eliminating Unnecessary DIRS Fields and Worksheets</w:t>
      </w:r>
      <w:bookmarkEnd w:id="25"/>
      <w:bookmarkEnd w:id="26"/>
      <w:bookmarkEnd w:id="27"/>
      <w:bookmarkEnd w:id="28"/>
      <w:r>
        <w:tab/>
      </w:r>
    </w:p>
    <w:p w:rsidR="00203CCB" w:rsidP="00C329A5" w14:paraId="55095F2B" w14:textId="77777777">
      <w:pPr>
        <w:pStyle w:val="ParaNum"/>
        <w:widowControl/>
      </w:pPr>
      <w:r>
        <w:t xml:space="preserve">To further streamline DIRS reporting for both manual and batch filers, we eliminate many DIRS reporting fields and worksheets, as proposed in the </w:t>
      </w:r>
      <w:r w:rsidRPr="00A20788">
        <w:rPr>
          <w:i/>
          <w:iCs/>
        </w:rPr>
        <w:t>FNPRM</w:t>
      </w:r>
      <w:r>
        <w:t>.</w:t>
      </w:r>
      <w:r>
        <w:rPr>
          <w:rStyle w:val="FootnoteReference"/>
        </w:rPr>
        <w:footnoteReference w:id="33"/>
      </w:r>
      <w:r>
        <w:t xml:space="preserve">  The record affirms our view that the worksheets and fields we eliminate today are unnecessary because they are duplicative and/or provide little of actionable value for disaster response.  We summarize the remaining DIRS fields that will be mandatory or voluntary to complete in Appendix C.</w:t>
      </w:r>
    </w:p>
    <w:p w:rsidR="00203CCB" w:rsidRPr="000536C0" w:rsidP="00C329A5" w14:paraId="6394C671" w14:textId="77777777">
      <w:pPr>
        <w:pStyle w:val="ParaNum"/>
        <w:widowControl/>
        <w:rPr>
          <w:rFonts w:eastAsia="Aptos"/>
        </w:rPr>
      </w:pPr>
      <w:r w:rsidRPr="00294782">
        <w:rPr>
          <w:i/>
          <w:iCs/>
        </w:rPr>
        <w:t>Eliminate the Inter-exchange Carrier (IXC) Blocking Worksheet</w:t>
      </w:r>
      <w:r>
        <w:t>.  We eliminate the inter-exchange</w:t>
      </w:r>
      <w:r>
        <w:t xml:space="preserve"> </w:t>
      </w:r>
      <w:r>
        <w:t>carrier worksheet, agreeing with ACA Connects which observes that</w:t>
      </w:r>
      <w:r w:rsidRPr="00294782">
        <w:rPr>
          <w:rFonts w:eastAsia="Aptos"/>
          <w:snapToGrid/>
        </w:rPr>
        <w:t xml:space="preserve"> the worksheet “has not proven useful for disaster response.”</w:t>
      </w:r>
      <w:r>
        <w:rPr>
          <w:rStyle w:val="FootnoteReference"/>
          <w:kern w:val="2"/>
        </w:rPr>
        <w:footnoteReference w:id="34"/>
      </w:r>
      <w:r w:rsidRPr="00294782">
        <w:rPr>
          <w:rFonts w:eastAsia="Aptos"/>
          <w:snapToGrid/>
        </w:rPr>
        <w:t xml:space="preserve">  No commenters oppose this action.  </w:t>
      </w:r>
    </w:p>
    <w:p w:rsidR="00203CCB" w:rsidRPr="003702CA" w:rsidP="00C329A5" w14:paraId="5D8DC460" w14:textId="77777777">
      <w:pPr>
        <w:pStyle w:val="ParaNum"/>
        <w:widowControl/>
        <w:rPr>
          <w:rFonts w:eastAsia="Aptos"/>
        </w:rPr>
      </w:pPr>
      <w:r>
        <w:rPr>
          <w:rFonts w:eastAsia="Aptos"/>
          <w:i/>
          <w:iCs/>
        </w:rPr>
        <w:t>Eliminate the “Percent of Historical Capacity Available” Field from the Wireless Cell Site by County Worksheet.</w:t>
      </w:r>
      <w:r w:rsidRPr="00F97630">
        <w:rPr>
          <w:rFonts w:eastAsia="Aptos"/>
        </w:rPr>
        <w:t xml:space="preserve">  </w:t>
      </w:r>
      <w:r>
        <w:t>We eliminate the “percent of historical capacity available” field from the Wireless Cell Site by County worksheet because this field is redundant as the information it contains can be derived from other reported data.  As explained by CTIA, “[t]he Commission has access to the relevant information provided in [this field] through other means, such as by measuring capacity based on the number of sites reported in operation or out of service.”</w:t>
      </w:r>
      <w:r>
        <w:rPr>
          <w:rStyle w:val="FootnoteReference"/>
          <w:kern w:val="2"/>
        </w:rPr>
        <w:footnoteReference w:id="35"/>
      </w:r>
      <w:r>
        <w:rPr>
          <w:rFonts w:eastAsia="Aptos"/>
          <w:snapToGrid/>
        </w:rPr>
        <w:t xml:space="preserve"> </w:t>
      </w:r>
      <w:r>
        <w:t xml:space="preserve"> We agree, and find that since the Commission has the ability to calculate this percentage from other data reporting in DIRS, it is appropriate to eliminate this field from the worksheet.  No commenters disagree with this conclusion.</w:t>
      </w:r>
    </w:p>
    <w:p w:rsidR="00203CCB" w:rsidRPr="00CE07B0" w:rsidP="00C329A5" w14:paraId="22B38339" w14:textId="77777777">
      <w:pPr>
        <w:pStyle w:val="ParaNum"/>
        <w:widowControl/>
      </w:pPr>
      <w:r>
        <w:rPr>
          <w:i/>
          <w:iCs/>
        </w:rPr>
        <w:t>Consolidate</w:t>
      </w:r>
      <w:r w:rsidRPr="00294782">
        <w:rPr>
          <w:i/>
          <w:iCs/>
        </w:rPr>
        <w:t xml:space="preserve"> Cable Telephone Subscriber Data Fields</w:t>
      </w:r>
      <w:r>
        <w:t xml:space="preserve">.  Rather than eliminate DIRS’ reporting fields for cable telephony, as proposed, we consolidate the fields for cable communications providers </w:t>
      </w:r>
      <w:r w:rsidRPr="00CE07B0">
        <w:t xml:space="preserve">that request </w:t>
      </w:r>
      <w:r>
        <w:t xml:space="preserve">(1) </w:t>
      </w:r>
      <w:r w:rsidRPr="00CE07B0">
        <w:t xml:space="preserve">the number of cable telephone subscribers served and </w:t>
      </w:r>
      <w:r>
        <w:t>(2) the number of VoIP subscribers served with (3) the number of cable telephony subscribers down and (4) the number of VoIP subscribers whose service is down.</w:t>
      </w:r>
      <w:r>
        <w:rPr>
          <w:rStyle w:val="FootnoteReference"/>
        </w:rPr>
        <w:footnoteReference w:id="36"/>
      </w:r>
      <w:r w:rsidRPr="00CE07B0">
        <w:t xml:space="preserve"> </w:t>
      </w:r>
      <w:r>
        <w:t xml:space="preserve"> As a result of this action, cable communications service providers will be required to respond to only two prompts:  how many cable telephony and/or VoIP subscribers do you serve, and how many of them are without service?  Based on data reported in NORS and DIRS over the past year, cable communications service providers themselves often appear to be unsure whether to report voice outages as VoIP or cable telephony, resulting in inconsistent and unreliable reporting for outages of each type.  Moreover, the difference between cable telephony provided via a circuit-switched network and cable telephony provided via VoIP is often not material from an emergency management standpoint.  We agree with ACA Connects that eliminating the need for providers to discern between these two types of service in their DIRS reports “would substantially reduce the time burdens associated with DIRS data entry without compromising DIRS’s mission.”</w:t>
      </w:r>
      <w:r>
        <w:rPr>
          <w:rStyle w:val="FootnoteReference"/>
        </w:rPr>
        <w:footnoteReference w:id="37"/>
      </w:r>
      <w:r>
        <w:t xml:space="preserve">  </w:t>
      </w:r>
      <w:r>
        <w:rPr>
          <w:rFonts w:eastAsia="Aptos"/>
        </w:rPr>
        <w:t>T</w:t>
      </w:r>
      <w:r>
        <w:t xml:space="preserve">his action is also consistent with </w:t>
      </w:r>
      <w:r>
        <w:t>CTIA’s advocacy that we eliminate duplicative fields in DIRS.</w:t>
      </w:r>
      <w:r>
        <w:rPr>
          <w:rStyle w:val="FootnoteReference"/>
        </w:rPr>
        <w:footnoteReference w:id="38"/>
      </w:r>
      <w:r>
        <w:t xml:space="preserve">  We take this action to improve DIRS reporting efficiency and to save service providers precious time in DIRS reporting when their primary focus is on disaster recovery and restoring service to customers.  No commenters oppose this action.    </w:t>
      </w:r>
    </w:p>
    <w:p w:rsidR="00203CCB" w:rsidRPr="00CE07B0" w:rsidP="00C329A5" w14:paraId="5BBDEE35" w14:textId="77777777">
      <w:pPr>
        <w:pStyle w:val="ParaNum"/>
        <w:widowControl/>
      </w:pPr>
      <w:r w:rsidRPr="00B315D2">
        <w:rPr>
          <w:i/>
          <w:iCs/>
        </w:rPr>
        <w:t>Eliminate Video Subscriber Data Fields from the Cable System and Major Equipment Worksheets</w:t>
      </w:r>
      <w:r>
        <w:t xml:space="preserve">.  We remove the fields currently in the cable system and major equipment worksheet </w:t>
      </w:r>
      <w:r w:rsidRPr="00CE07B0">
        <w:t xml:space="preserve">that request the number of video subscribers served and the number whose service is down </w:t>
      </w:r>
      <w:r>
        <w:t>to, consistent with NCTA’s comments, “facilitate more efficient reporting by providers and [to] help maximize the time and resources that are available for network restoration.”</w:t>
      </w:r>
      <w:r>
        <w:rPr>
          <w:rStyle w:val="FootnoteReference"/>
        </w:rPr>
        <w:footnoteReference w:id="39"/>
      </w:r>
      <w:r>
        <w:t xml:space="preserve">  NAB and ACA Connects support our taking this step because this information is less critical for disaster response,</w:t>
      </w:r>
      <w:r>
        <w:rPr>
          <w:rStyle w:val="FootnoteReference"/>
        </w:rPr>
        <w:footnoteReference w:id="40"/>
      </w:r>
      <w:r>
        <w:t xml:space="preserve"> and no commenters oppose this action.  </w:t>
      </w:r>
    </w:p>
    <w:p w:rsidR="00203CCB" w:rsidRPr="00CE07B0" w:rsidP="00C329A5" w14:paraId="2068528E" w14:textId="77777777">
      <w:pPr>
        <w:pStyle w:val="ParaNum"/>
        <w:widowControl/>
      </w:pPr>
      <w:r w:rsidRPr="00045038">
        <w:rPr>
          <w:i/>
          <w:iCs/>
        </w:rPr>
        <w:t>Eliminate the “Number of Access Lines” field from the Major Equipment Worksheet</w:t>
      </w:r>
      <w:r>
        <w:t xml:space="preserve">.  We eliminate the “number of access lines” field from the existing major equipment worksheet because, as noted in the </w:t>
      </w:r>
      <w:r w:rsidRPr="00045038">
        <w:rPr>
          <w:i/>
          <w:iCs/>
        </w:rPr>
        <w:t>FNPRM</w:t>
      </w:r>
      <w:r>
        <w:t>,</w:t>
      </w:r>
      <w:r>
        <w:rPr>
          <w:rStyle w:val="FootnoteReference"/>
        </w:rPr>
        <w:footnoteReference w:id="41"/>
      </w:r>
      <w:r>
        <w:t xml:space="preserve"> this information is addressed by other questions on the same worksheet that are better targeted to gathering useful information.  Specifically, the major equipment worksheet requests the “number of working numbers” and the “number of working numbers down.”</w:t>
      </w:r>
      <w:r>
        <w:rPr>
          <w:rStyle w:val="FootnoteReference"/>
        </w:rPr>
        <w:footnoteReference w:id="42"/>
      </w:r>
      <w:r>
        <w:t xml:space="preserve">  While there can be multiple working telephone numbers on a single access line, we do not believe it is necessary for disaster response to collect both types of data.  We believe it reasonable to use “working numbers down” as a proxy for affected customers.  Moreover, this field, in combination with the “number of working numbers” field, yields important information about how much of a provider’s customer base is without service.  ACA Connects supports our eliminating this field step because this information is covered elsewhere on the existing major equipment worksheet,</w:t>
      </w:r>
      <w:r>
        <w:rPr>
          <w:rStyle w:val="FootnoteReference"/>
        </w:rPr>
        <w:footnoteReference w:id="43"/>
      </w:r>
      <w:r>
        <w:t xml:space="preserve"> and no commenters oppose our taking this step.  </w:t>
      </w:r>
      <w:r w:rsidRPr="00CE07B0">
        <w:t xml:space="preserve"> </w:t>
      </w:r>
    </w:p>
    <w:p w:rsidR="00203CCB" w:rsidRPr="00CE07B0" w:rsidP="00C329A5" w14:paraId="5D33C942" w14:textId="77777777">
      <w:pPr>
        <w:pStyle w:val="ParaNum"/>
        <w:widowControl/>
      </w:pPr>
      <w:r w:rsidRPr="00045038">
        <w:rPr>
          <w:i/>
          <w:iCs/>
        </w:rPr>
        <w:t>Harmonize Fields on the Interoffice Facilities – TSP worksheet with NORS</w:t>
      </w:r>
      <w:r>
        <w:t xml:space="preserve">.  We update the fields on the existing interoffice facilities – TSP worksheet </w:t>
      </w:r>
      <w:r w:rsidRPr="00CE07B0">
        <w:t xml:space="preserve">by </w:t>
      </w:r>
      <w:r>
        <w:t xml:space="preserve">collecting information about the number of Optical Carrier </w:t>
      </w:r>
      <w:r w:rsidRPr="00CE07B0">
        <w:t>circuits (or their functional equivalent) affected</w:t>
      </w:r>
      <w:r>
        <w:t xml:space="preserve"> </w:t>
      </w:r>
      <w:r w:rsidRPr="00CE07B0">
        <w:t xml:space="preserve">and eliminating the requirement to report the “number of DS3s </w:t>
      </w:r>
      <w:r>
        <w:t>affected (</w:t>
      </w:r>
      <w:r w:rsidRPr="00CE07B0">
        <w:t>down</w:t>
      </w:r>
      <w:r>
        <w:t>)</w:t>
      </w:r>
      <w:r w:rsidRPr="00CE07B0">
        <w:t>.”</w:t>
      </w:r>
      <w:r>
        <w:rPr>
          <w:rStyle w:val="FootnoteReference"/>
        </w:rPr>
        <w:footnoteReference w:id="44"/>
      </w:r>
      <w:r>
        <w:t xml:space="preserve">  We find this important to keep pace with marketplace changes that have added capacity to today’s high-speed networks.  </w:t>
      </w:r>
      <w:r>
        <w:t>USTelecom</w:t>
      </w:r>
      <w:r>
        <w:t xml:space="preserve"> – The Broadband Association (</w:t>
      </w:r>
      <w:r>
        <w:t>USTelecom</w:t>
      </w:r>
      <w:r>
        <w:t xml:space="preserve">) supports harmonizing fields that currently exist on this worksheet as we proposed in the </w:t>
      </w:r>
      <w:r w:rsidRPr="00001296">
        <w:rPr>
          <w:i/>
          <w:iCs/>
        </w:rPr>
        <w:t>FNPRM</w:t>
      </w:r>
      <w:r>
        <w:t>,</w:t>
      </w:r>
      <w:r>
        <w:rPr>
          <w:rStyle w:val="FootnoteReference"/>
          <w:kern w:val="2"/>
        </w:rPr>
        <w:footnoteReference w:id="45"/>
      </w:r>
      <w:r>
        <w:t xml:space="preserve"> and no commenters disagreed with this modification.</w:t>
      </w:r>
    </w:p>
    <w:p w:rsidR="00203CCB" w:rsidRPr="00CE07B0" w:rsidP="00C329A5" w14:paraId="26BCC13E" w14:textId="77777777">
      <w:pPr>
        <w:pStyle w:val="ParaNum"/>
        <w:widowControl/>
      </w:pPr>
      <w:r w:rsidRPr="001B148E">
        <w:rPr>
          <w:i/>
          <w:iCs/>
        </w:rPr>
        <w:t>Make</w:t>
      </w:r>
      <w:r w:rsidRPr="001B148E">
        <w:rPr>
          <w:i/>
          <w:iCs/>
        </w:rPr>
        <w:t xml:space="preserve"> </w:t>
      </w:r>
      <w:r w:rsidRPr="001B148E">
        <w:rPr>
          <w:i/>
          <w:iCs/>
        </w:rPr>
        <w:t>Reporting the Number of Remote Aggregation Devices Voluntary</w:t>
      </w:r>
      <w:r>
        <w:t>.  We</w:t>
      </w:r>
      <w:r>
        <w:t xml:space="preserve"> </w:t>
      </w:r>
      <w:r>
        <w:t xml:space="preserve">make it voluntary, rather than mandatory, </w:t>
      </w:r>
      <w:r w:rsidRPr="00CE07B0">
        <w:t xml:space="preserve">for providers to report the number of </w:t>
      </w:r>
      <w:r>
        <w:t>remote aggregation devices</w:t>
      </w:r>
      <w:r w:rsidRPr="00CE07B0">
        <w:t xml:space="preserve"> that are down </w:t>
      </w:r>
      <w:r>
        <w:t xml:space="preserve">as provided </w:t>
      </w:r>
      <w:r w:rsidRPr="00CE07B0">
        <w:t xml:space="preserve">on the </w:t>
      </w:r>
      <w:r>
        <w:t>existing r</w:t>
      </w:r>
      <w:r w:rsidRPr="00CE07B0">
        <w:t xml:space="preserve">emote </w:t>
      </w:r>
      <w:r>
        <w:t>a</w:t>
      </w:r>
      <w:r w:rsidRPr="00CE07B0">
        <w:t xml:space="preserve">ggregation </w:t>
      </w:r>
      <w:r>
        <w:t>d</w:t>
      </w:r>
      <w:r w:rsidRPr="00CE07B0">
        <w:t>evices worksheet</w:t>
      </w:r>
      <w:r>
        <w:t>.</w:t>
      </w:r>
      <w:r>
        <w:rPr>
          <w:rStyle w:val="FootnoteReference"/>
        </w:rPr>
        <w:footnoteReference w:id="46"/>
      </w:r>
      <w:r>
        <w:t xml:space="preserve">  We find that other fields on the current worksheet, specifically the “number of working numbers served” and “number of working numbers down,” collect more useful information about customer impact and pace of service restoration </w:t>
      </w:r>
      <w:r>
        <w:t>than the “number of [remote aggregation devices] . . . down” field.</w:t>
      </w:r>
      <w:r>
        <w:rPr>
          <w:rStyle w:val="FootnoteReference"/>
        </w:rPr>
        <w:footnoteReference w:id="47"/>
      </w:r>
      <w:r>
        <w:t xml:space="preserve">  We believe we can further our goal of simplifying DIRS without sacrificing useful information for public safety stakeholders by making this field voluntary.  While this will provide an incremental time savings to those providers that elect not to complete this field in DIRS, it will enable providers to continue to share this information.  ACA Connects supports our rationale for this conclusion and no commenters object to proceeding in this manner.</w:t>
      </w:r>
      <w:r>
        <w:rPr>
          <w:rStyle w:val="FootnoteReference"/>
        </w:rPr>
        <w:footnoteReference w:id="48"/>
      </w:r>
      <w:r>
        <w:t xml:space="preserve">  </w:t>
      </w:r>
    </w:p>
    <w:p w:rsidR="00203CCB" w:rsidRPr="00AE7FEF" w:rsidP="00C329A5" w14:paraId="324E4051" w14:textId="77777777">
      <w:pPr>
        <w:pStyle w:val="ParaNum"/>
        <w:widowControl/>
        <w:rPr>
          <w:rFonts w:eastAsia="Aptos"/>
          <w:snapToGrid/>
        </w:rPr>
      </w:pPr>
      <w:r w:rsidRPr="00AE7FEF">
        <w:rPr>
          <w:i/>
          <w:iCs/>
        </w:rPr>
        <w:t>Make</w:t>
      </w:r>
      <w:r w:rsidRPr="00AE7FEF">
        <w:rPr>
          <w:i/>
          <w:iCs/>
        </w:rPr>
        <w:t xml:space="preserve"> </w:t>
      </w:r>
      <w:r w:rsidRPr="00AE7FEF">
        <w:rPr>
          <w:i/>
          <w:iCs/>
        </w:rPr>
        <w:t>Broadband Data User Fields Voluntary</w:t>
      </w:r>
      <w:r>
        <w:t>.  We make the collection of broadband access user information voluntary, rather than mandatory, for all DIRS filers except fixed and mobile broadband providers that are s</w:t>
      </w:r>
      <w:r w:rsidRPr="00B4035A">
        <w:t xml:space="preserve">tage 2 recipients of the </w:t>
      </w:r>
      <w:r w:rsidRPr="00B4035A">
        <w:t>Uniendo</w:t>
      </w:r>
      <w:r w:rsidRPr="00B4035A">
        <w:t xml:space="preserve"> a Puerto Rico Fund and Connect USVI Fund</w:t>
      </w:r>
      <w:r>
        <w:t>, as we proposed and as supported by NCTA, CCA, and ACA Connects.</w:t>
      </w:r>
      <w:r>
        <w:rPr>
          <w:rStyle w:val="FootnoteReference"/>
        </w:rPr>
        <w:footnoteReference w:id="49"/>
      </w:r>
      <w:r>
        <w:t xml:space="preserve">  This step preserves the collection, on a voluntary basis, of information that is important to public safety stakeholders, as broadband access is a critical lifeline enabling the public to stay informed during disasters and emergencies, while still reducing burdens on providers.  As CCA notes, adopting streamlining measures like this “ensure[s] providers can maximize their recovery efforts [while] critical information is shared with relevant emergency management entities.”</w:t>
      </w:r>
      <w:r>
        <w:rPr>
          <w:rStyle w:val="FootnoteReference"/>
        </w:rPr>
        <w:footnoteReference w:id="50"/>
      </w:r>
      <w:r>
        <w:t xml:space="preserve">  The record supports this modification and no commenters disagree with this step.</w:t>
      </w:r>
      <w:r>
        <w:rPr>
          <w:rStyle w:val="FootnoteReference"/>
        </w:rPr>
        <w:footnoteReference w:id="51"/>
      </w:r>
      <w:r>
        <w:t xml:space="preserve">  </w:t>
      </w:r>
    </w:p>
    <w:p w:rsidR="00203CCB" w:rsidRPr="00A86435" w:rsidP="00C329A5" w14:paraId="7F062044" w14:textId="77777777">
      <w:pPr>
        <w:pStyle w:val="ParaNum"/>
        <w:widowControl/>
        <w:rPr>
          <w:rFonts w:eastAsia="Aptos"/>
        </w:rPr>
      </w:pPr>
      <w:r>
        <w:rPr>
          <w:i/>
          <w:iCs/>
        </w:rPr>
        <w:t>Retain</w:t>
      </w:r>
      <w:r w:rsidRPr="00294782">
        <w:rPr>
          <w:i/>
          <w:iCs/>
        </w:rPr>
        <w:t xml:space="preserve"> </w:t>
      </w:r>
      <w:r>
        <w:rPr>
          <w:i/>
          <w:iCs/>
        </w:rPr>
        <w:t xml:space="preserve">Voluntary DIRS Reporting for </w:t>
      </w:r>
      <w:r w:rsidRPr="00294782">
        <w:rPr>
          <w:i/>
          <w:iCs/>
        </w:rPr>
        <w:t>Satellite</w:t>
      </w:r>
      <w:r>
        <w:rPr>
          <w:i/>
          <w:iCs/>
        </w:rPr>
        <w:t xml:space="preserve"> Providers</w:t>
      </w:r>
      <w:r>
        <w:t xml:space="preserve">.  As a means of maintaining visibility into critical infrastructure during disasters, we decline to adopt our proposal in the </w:t>
      </w:r>
      <w:r>
        <w:rPr>
          <w:i/>
          <w:iCs/>
        </w:rPr>
        <w:t xml:space="preserve">FNPRM </w:t>
      </w:r>
      <w:r>
        <w:t xml:space="preserve">to eliminate the fields on satellite services.  </w:t>
      </w:r>
      <w:r>
        <w:rPr>
          <w:rFonts w:eastAsia="Aptos"/>
          <w:snapToGrid/>
        </w:rPr>
        <w:t xml:space="preserve">CTIA stated it “[did] </w:t>
      </w:r>
      <w:r>
        <w:t>not have any specific concerns about eliminating the satellite worksheet.”</w:t>
      </w:r>
      <w:r>
        <w:rPr>
          <w:rStyle w:val="FootnoteReference"/>
          <w:rFonts w:eastAsia="Aptos"/>
          <w:snapToGrid/>
        </w:rPr>
        <w:footnoteReference w:id="52"/>
      </w:r>
      <w:r>
        <w:rPr>
          <w:rFonts w:eastAsia="Aptos"/>
          <w:snapToGrid/>
        </w:rPr>
        <w:t xml:space="preserve">  </w:t>
      </w:r>
      <w:r>
        <w:t>Notwithstanding the fact that Verizon “does not oppose” exempting satellite providers from DIRS reporting, Verizon observes that “wireless and wireline providers’ customers may rely in part on satellite capabilities during DIRS activations” and wireless and wireline providers have limited visibility into the status of satellite providers’ networks.</w:t>
      </w:r>
      <w:r>
        <w:rPr>
          <w:rStyle w:val="FootnoteReference"/>
        </w:rPr>
        <w:footnoteReference w:id="53"/>
      </w:r>
      <w:r>
        <w:t xml:space="preserve">  While acknowledging that no satellite provider has ever filed in DIRS, t</w:t>
      </w:r>
      <w:r w:rsidRPr="00294782">
        <w:rPr>
          <w:rFonts w:eastAsia="Aptos"/>
          <w:snapToGrid/>
        </w:rPr>
        <w:t xml:space="preserve">he National Rural Electric Cooperatives Association </w:t>
      </w:r>
      <w:r>
        <w:rPr>
          <w:rFonts w:eastAsia="Aptos"/>
          <w:snapToGrid/>
        </w:rPr>
        <w:t xml:space="preserve">notes that public safety officials, the Commission, and the public deserve </w:t>
      </w:r>
      <w:r w:rsidRPr="00294782">
        <w:rPr>
          <w:rFonts w:eastAsia="Aptos"/>
          <w:snapToGrid/>
        </w:rPr>
        <w:t>“to have the best information available” in the event of a “powerful solar storm, ‘Kessler Syndrome’ ablation cascade, or a disaster of a type yet unknown</w:t>
      </w:r>
      <w:r>
        <w:rPr>
          <w:rFonts w:eastAsia="Aptos"/>
          <w:snapToGrid/>
        </w:rPr>
        <w:t>[ ]</w:t>
      </w:r>
      <w:r w:rsidRPr="00294782">
        <w:rPr>
          <w:rFonts w:eastAsia="Aptos"/>
          <w:snapToGrid/>
        </w:rPr>
        <w:t>”</w:t>
      </w:r>
      <w:r>
        <w:rPr>
          <w:rFonts w:eastAsia="Aptos"/>
          <w:snapToGrid/>
        </w:rPr>
        <w:t xml:space="preserve"> affects satellite service.</w:t>
      </w:r>
      <w:r>
        <w:rPr>
          <w:rStyle w:val="FootnoteReference"/>
          <w:rFonts w:eastAsia="Aptos"/>
          <w:snapToGrid/>
        </w:rPr>
        <w:footnoteReference w:id="54"/>
      </w:r>
      <w:r w:rsidRPr="00294782">
        <w:rPr>
          <w:rFonts w:eastAsia="Aptos"/>
          <w:snapToGrid/>
        </w:rPr>
        <w:t xml:space="preserve"> </w:t>
      </w:r>
      <w:r>
        <w:rPr>
          <w:rFonts w:eastAsia="Aptos"/>
          <w:snapToGrid/>
        </w:rPr>
        <w:t xml:space="preserve"> We agree that it is possible that a disaster that specifically affects satellite services could create a need for the Commission to activate DIRS; however, were we to eliminate the satellite worksheet fields as proposed, we would be unprepared to receive daily infrastructure status updates from satellite operators, even on a voluntary basis.  In light of the key role satellite service plays to enable other modes of communications and to support national security interests, we are persuaded to retain the worksheet.  </w:t>
      </w:r>
    </w:p>
    <w:p w:rsidR="00203CCB" w:rsidP="00C329A5" w14:paraId="2910BD6D" w14:textId="77777777">
      <w:pPr>
        <w:pStyle w:val="ParaNum"/>
        <w:widowControl/>
      </w:pPr>
      <w:r w:rsidRPr="006F7FE7">
        <w:rPr>
          <w:rFonts w:eastAsia="Aptos"/>
          <w:snapToGrid/>
        </w:rPr>
        <w:t>We decline, however to make satellite reporting in DIRS mandatory at this time as recommended by the Foundation for Defense of Democracies in consideration of the increasing threats from China and the importance of these systems to the economy and military operations.</w:t>
      </w:r>
      <w:r>
        <w:rPr>
          <w:rStyle w:val="FootnoteReference"/>
          <w:kern w:val="2"/>
        </w:rPr>
        <w:footnoteReference w:id="55"/>
      </w:r>
      <w:r w:rsidRPr="006F7FE7">
        <w:rPr>
          <w:rFonts w:eastAsia="Aptos"/>
          <w:snapToGrid/>
        </w:rPr>
        <w:t xml:space="preserve">  We believe retaining the worksheet on a voluntary basis strikes the appropriate balance of enabling public safety officials to receive satellite status information through DIRS in the event there is a disaster that impacts </w:t>
      </w:r>
      <w:r w:rsidRPr="006F7FE7">
        <w:rPr>
          <w:rFonts w:eastAsia="Aptos"/>
          <w:snapToGrid/>
        </w:rPr>
        <w:t>satellite service, without burdening satellite providers with mandatory reporting obligations for circumstances that have not yet come to pass in the history of DIRS.</w:t>
      </w:r>
      <w:r>
        <w:rPr>
          <w:rStyle w:val="FootnoteReference"/>
          <w:rFonts w:eastAsia="Aptos"/>
          <w:snapToGrid/>
        </w:rPr>
        <w:footnoteReference w:id="56"/>
      </w:r>
      <w:r w:rsidRPr="006F7FE7">
        <w:rPr>
          <w:rFonts w:eastAsia="Aptos"/>
          <w:snapToGrid/>
        </w:rPr>
        <w:t xml:space="preserve">  </w:t>
      </w:r>
      <w:r>
        <w:rPr>
          <w:rFonts w:eastAsia="Aptos"/>
          <w:snapToGrid/>
        </w:rPr>
        <w:t>T</w:t>
      </w:r>
      <w:r w:rsidRPr="006F7FE7">
        <w:rPr>
          <w:rFonts w:eastAsia="Aptos"/>
          <w:snapToGrid/>
        </w:rPr>
        <w:t xml:space="preserve">he Commission </w:t>
      </w:r>
      <w:r>
        <w:rPr>
          <w:rFonts w:eastAsia="Aptos"/>
          <w:snapToGrid/>
        </w:rPr>
        <w:t xml:space="preserve">continues to </w:t>
      </w:r>
      <w:r w:rsidRPr="006F7FE7">
        <w:rPr>
          <w:rFonts w:eastAsia="Aptos"/>
          <w:snapToGrid/>
        </w:rPr>
        <w:t xml:space="preserve">retain visibility </w:t>
      </w:r>
      <w:r>
        <w:rPr>
          <w:rFonts w:eastAsia="Aptos"/>
          <w:snapToGrid/>
        </w:rPr>
        <w:t>in</w:t>
      </w:r>
      <w:r w:rsidRPr="006F7FE7">
        <w:rPr>
          <w:rFonts w:eastAsia="Aptos"/>
          <w:snapToGrid/>
        </w:rPr>
        <w:t>to satellite network status through satellite providers’ ongoing mandatory obligation to report outages in NORS.</w:t>
      </w:r>
      <w:r>
        <w:rPr>
          <w:rStyle w:val="FootnoteReference"/>
          <w:rFonts w:eastAsia="Aptos"/>
          <w:snapToGrid/>
        </w:rPr>
        <w:footnoteReference w:id="57"/>
      </w:r>
      <w:r w:rsidRPr="006F7FE7">
        <w:rPr>
          <w:rFonts w:eastAsia="Aptos"/>
          <w:snapToGrid/>
        </w:rPr>
        <w:t xml:space="preserve">  Our approach ensures that the Commission will remain informed of significant impairments to satellite connectivity, preserves the ability for satellite providers to voluntarily report in DIRS should an unforeseen event warrant such reporting, all while avoiding burdening satellite providers with new mandatory reporting obligations.</w:t>
      </w:r>
      <w:r>
        <w:rPr>
          <w:rFonts w:eastAsia="Aptos"/>
        </w:rPr>
        <w:t xml:space="preserve">   </w:t>
      </w:r>
      <w:r>
        <w:t xml:space="preserve"> </w:t>
      </w:r>
    </w:p>
    <w:p w:rsidR="00203CCB" w:rsidRPr="00001296" w:rsidP="00C329A5" w14:paraId="023FC7A8" w14:textId="77777777">
      <w:pPr>
        <w:pStyle w:val="ParaNum"/>
        <w:widowControl/>
        <w:rPr>
          <w:rFonts w:eastAsia="Aptos"/>
          <w:snapToGrid/>
        </w:rPr>
      </w:pPr>
      <w:r w:rsidRPr="000C62ED">
        <w:rPr>
          <w:rFonts w:eastAsia="Aptos"/>
          <w:i/>
          <w:snapToGrid/>
        </w:rPr>
        <w:t xml:space="preserve">Allow </w:t>
      </w:r>
      <w:r w:rsidRPr="000C62ED">
        <w:rPr>
          <w:rFonts w:eastAsia="Aptos"/>
          <w:i/>
          <w:iCs/>
          <w:snapToGrid/>
        </w:rPr>
        <w:t>Providers</w:t>
      </w:r>
      <w:r w:rsidRPr="000C62ED">
        <w:rPr>
          <w:rFonts w:eastAsia="Aptos"/>
          <w:i/>
          <w:snapToGrid/>
        </w:rPr>
        <w:t xml:space="preserve"> Flexibility</w:t>
      </w:r>
      <w:r w:rsidRPr="000C62ED">
        <w:rPr>
          <w:rFonts w:eastAsia="Aptos"/>
          <w:i/>
          <w:iCs/>
          <w:snapToGrid/>
        </w:rPr>
        <w:t xml:space="preserve"> in Providing Location Information</w:t>
      </w:r>
      <w:r w:rsidRPr="000C62ED">
        <w:rPr>
          <w:rFonts w:eastAsia="Aptos"/>
          <w:snapToGrid/>
        </w:rPr>
        <w:t xml:space="preserve">. </w:t>
      </w:r>
      <w:r>
        <w:rPr>
          <w:rFonts w:eastAsia="Aptos"/>
          <w:snapToGrid/>
        </w:rPr>
        <w:t xml:space="preserve"> We decline to adopt our proposal to </w:t>
      </w:r>
      <w:r>
        <w:t xml:space="preserve">improve the utility of DIRS data by requiring </w:t>
      </w:r>
      <w:r>
        <w:rPr>
          <w:rFonts w:eastAsia="Aptos"/>
          <w:snapToGrid/>
        </w:rPr>
        <w:t xml:space="preserve">providers to submit location information for their </w:t>
      </w:r>
      <w:r w:rsidRPr="00F341E0">
        <w:rPr>
          <w:rFonts w:eastAsia="Aptos"/>
          <w:snapToGrid/>
        </w:rPr>
        <w:t xml:space="preserve">affected equipment or facilities </w:t>
      </w:r>
      <w:r>
        <w:rPr>
          <w:rFonts w:eastAsia="Aptos"/>
          <w:snapToGrid/>
        </w:rPr>
        <w:t xml:space="preserve">in a single </w:t>
      </w:r>
      <w:r w:rsidRPr="00EA555D">
        <w:rPr>
          <w:rFonts w:eastAsia="Aptos"/>
          <w:snapToGrid/>
        </w:rPr>
        <w:t>format</w:t>
      </w:r>
      <w:r>
        <w:rPr>
          <w:rFonts w:eastAsia="Aptos"/>
          <w:snapToGrid/>
        </w:rPr>
        <w:t xml:space="preserve">, either street </w:t>
      </w:r>
      <w:r>
        <w:t>address or latitude and longitude.</w:t>
      </w:r>
      <w:r>
        <w:rPr>
          <w:rStyle w:val="FootnoteReference"/>
          <w:rFonts w:eastAsia="Aptos"/>
          <w:snapToGrid/>
        </w:rPr>
        <w:footnoteReference w:id="58"/>
      </w:r>
      <w:r>
        <w:rPr>
          <w:rFonts w:eastAsia="Aptos"/>
          <w:snapToGrid/>
        </w:rPr>
        <w:t xml:space="preserve">  While ACA Connects notes submitting “street addresses would be significantly less burdensome than the submission of latitude/longitude data[,]”</w:t>
      </w:r>
      <w:r>
        <w:rPr>
          <w:rStyle w:val="FootnoteReference"/>
          <w:rFonts w:eastAsia="Aptos"/>
          <w:snapToGrid/>
        </w:rPr>
        <w:footnoteReference w:id="59"/>
      </w:r>
      <w:r>
        <w:rPr>
          <w:rFonts w:eastAsia="Aptos"/>
          <w:snapToGrid/>
        </w:rPr>
        <w:t xml:space="preserve"> no other stakeholder or public safety entity </w:t>
      </w:r>
      <w:r w:rsidRPr="00AA2C6F">
        <w:rPr>
          <w:rFonts w:eastAsia="Aptos"/>
          <w:snapToGrid/>
        </w:rPr>
        <w:t>indicate</w:t>
      </w:r>
      <w:r>
        <w:rPr>
          <w:rFonts w:eastAsia="Aptos"/>
          <w:snapToGrid/>
        </w:rPr>
        <w:t>s that one format is preferable to the other for any given type of facility or equipment</w:t>
      </w:r>
      <w:r w:rsidRPr="00AA2C6F">
        <w:rPr>
          <w:rFonts w:eastAsia="Aptos"/>
          <w:snapToGrid/>
        </w:rPr>
        <w:t xml:space="preserve">.  </w:t>
      </w:r>
      <w:r>
        <w:rPr>
          <w:rFonts w:eastAsia="Aptos"/>
          <w:snapToGrid/>
        </w:rPr>
        <w:t xml:space="preserve">Instead, industry commenters </w:t>
      </w:r>
      <w:r>
        <w:t>ATIS</w:t>
      </w:r>
      <w:r>
        <w:rPr>
          <w:rFonts w:eastAsia="Aptos"/>
        </w:rPr>
        <w:t xml:space="preserve">, </w:t>
      </w:r>
      <w:r w:rsidRPr="000C62ED">
        <w:rPr>
          <w:rFonts w:eastAsia="Aptos"/>
          <w:snapToGrid/>
        </w:rPr>
        <w:t>CTIA</w:t>
      </w:r>
      <w:r>
        <w:rPr>
          <w:rFonts w:eastAsia="Aptos"/>
          <w:snapToGrid/>
        </w:rPr>
        <w:t xml:space="preserve">, </w:t>
      </w:r>
      <w:r w:rsidRPr="000C62ED">
        <w:rPr>
          <w:rFonts w:eastAsia="Aptos"/>
          <w:snapToGrid/>
        </w:rPr>
        <w:t>NTCA</w:t>
      </w:r>
      <w:r>
        <w:rPr>
          <w:rFonts w:eastAsia="Aptos"/>
          <w:snapToGrid/>
        </w:rPr>
        <w:t xml:space="preserve">, and </w:t>
      </w:r>
      <w:r>
        <w:t xml:space="preserve">Verizon </w:t>
      </w:r>
      <w:r>
        <w:rPr>
          <w:rFonts w:eastAsia="Aptos"/>
          <w:snapToGrid/>
        </w:rPr>
        <w:t>argue that providers should continue to be allowed to select their preferred format for any type of facilities or equipment.</w:t>
      </w:r>
      <w:r>
        <w:rPr>
          <w:rStyle w:val="FootnoteReference"/>
          <w:kern w:val="2"/>
        </w:rPr>
        <w:footnoteReference w:id="60"/>
      </w:r>
      <w:r>
        <w:rPr>
          <w:rFonts w:eastAsia="Aptos"/>
          <w:snapToGrid/>
        </w:rPr>
        <w:t xml:space="preserve">  </w:t>
      </w:r>
      <w:r w:rsidRPr="000C62ED">
        <w:rPr>
          <w:rFonts w:eastAsia="Aptos"/>
          <w:snapToGrid/>
        </w:rPr>
        <w:t xml:space="preserve">NTCA </w:t>
      </w:r>
      <w:r>
        <w:rPr>
          <w:rFonts w:eastAsia="Aptos"/>
          <w:snapToGrid/>
        </w:rPr>
        <w:t>argues</w:t>
      </w:r>
      <w:r w:rsidRPr="000C62ED">
        <w:rPr>
          <w:rFonts w:eastAsia="Aptos"/>
          <w:snapToGrid/>
        </w:rPr>
        <w:t xml:space="preserve"> </w:t>
      </w:r>
      <w:r>
        <w:rPr>
          <w:rFonts w:eastAsia="Aptos"/>
          <w:snapToGrid/>
        </w:rPr>
        <w:t xml:space="preserve">that maintaining our current approach </w:t>
      </w:r>
      <w:r w:rsidRPr="000C62ED">
        <w:rPr>
          <w:rFonts w:eastAsia="Aptos"/>
          <w:snapToGrid/>
        </w:rPr>
        <w:t xml:space="preserve">would </w:t>
      </w:r>
      <w:r>
        <w:rPr>
          <w:rFonts w:eastAsia="Aptos"/>
          <w:snapToGrid/>
        </w:rPr>
        <w:t xml:space="preserve">minimize </w:t>
      </w:r>
      <w:r w:rsidRPr="000C62ED">
        <w:rPr>
          <w:rFonts w:eastAsia="Aptos"/>
          <w:snapToGrid/>
        </w:rPr>
        <w:t>“the time providers must spend completing DIRS reports.”</w:t>
      </w:r>
      <w:r>
        <w:rPr>
          <w:rStyle w:val="FootnoteReference"/>
          <w:kern w:val="2"/>
        </w:rPr>
        <w:footnoteReference w:id="61"/>
      </w:r>
      <w:r w:rsidRPr="000C62ED">
        <w:rPr>
          <w:rFonts w:eastAsia="Aptos"/>
          <w:snapToGrid/>
        </w:rPr>
        <w:t xml:space="preserve">  We find that </w:t>
      </w:r>
      <w:r>
        <w:rPr>
          <w:rFonts w:eastAsia="Aptos"/>
          <w:snapToGrid/>
        </w:rPr>
        <w:t>continuing to allow providers</w:t>
      </w:r>
      <w:r w:rsidRPr="000C62ED">
        <w:rPr>
          <w:rFonts w:eastAsia="Aptos"/>
          <w:snapToGrid/>
        </w:rPr>
        <w:t xml:space="preserve"> to choose which address format</w:t>
      </w:r>
      <w:r>
        <w:rPr>
          <w:rFonts w:eastAsia="Aptos"/>
          <w:snapToGrid/>
        </w:rPr>
        <w:t xml:space="preserve"> </w:t>
      </w:r>
      <w:r w:rsidRPr="000C62ED">
        <w:rPr>
          <w:rFonts w:eastAsia="Aptos"/>
          <w:snapToGrid/>
        </w:rPr>
        <w:t xml:space="preserve">to use for equipment and facilities location reporting </w:t>
      </w:r>
      <w:r>
        <w:rPr>
          <w:rFonts w:eastAsia="Aptos"/>
          <w:snapToGrid/>
        </w:rPr>
        <w:t>is appropriate because,</w:t>
      </w:r>
      <w:r w:rsidRPr="003D4D03">
        <w:rPr>
          <w:rFonts w:eastAsia="Aptos"/>
          <w:snapToGrid/>
        </w:rPr>
        <w:t xml:space="preserve"> </w:t>
      </w:r>
      <w:r>
        <w:rPr>
          <w:rFonts w:eastAsia="Aptos"/>
          <w:snapToGrid/>
        </w:rPr>
        <w:t xml:space="preserve">as </w:t>
      </w:r>
      <w:r w:rsidRPr="000C62ED">
        <w:rPr>
          <w:rFonts w:eastAsia="Aptos"/>
          <w:snapToGrid/>
        </w:rPr>
        <w:t>CTIA</w:t>
      </w:r>
      <w:r>
        <w:rPr>
          <w:rFonts w:eastAsia="Aptos"/>
          <w:snapToGrid/>
        </w:rPr>
        <w:t xml:space="preserve"> points out, equipment located in</w:t>
      </w:r>
      <w:r w:rsidRPr="000C62ED">
        <w:rPr>
          <w:rFonts w:eastAsia="Aptos"/>
          <w:snapToGrid/>
        </w:rPr>
        <w:t xml:space="preserve"> rural or remote areas may not have a</w:t>
      </w:r>
      <w:r>
        <w:rPr>
          <w:rFonts w:eastAsia="Aptos"/>
          <w:snapToGrid/>
        </w:rPr>
        <w:t xml:space="preserve"> street</w:t>
      </w:r>
      <w:r w:rsidRPr="000C62ED">
        <w:rPr>
          <w:rFonts w:eastAsia="Aptos"/>
          <w:snapToGrid/>
        </w:rPr>
        <w:t xml:space="preserve"> address at all</w:t>
      </w:r>
      <w:r>
        <w:rPr>
          <w:rFonts w:eastAsia="Aptos"/>
          <w:snapToGrid/>
        </w:rPr>
        <w:t>,</w:t>
      </w:r>
      <w:r>
        <w:rPr>
          <w:rStyle w:val="FootnoteReference"/>
          <w:kern w:val="2"/>
        </w:rPr>
        <w:footnoteReference w:id="62"/>
      </w:r>
      <w:r w:rsidRPr="000C62ED">
        <w:rPr>
          <w:rFonts w:eastAsia="Aptos"/>
          <w:snapToGrid/>
        </w:rPr>
        <w:t xml:space="preserve"> </w:t>
      </w:r>
      <w:r>
        <w:rPr>
          <w:rFonts w:eastAsia="Aptos"/>
          <w:snapToGrid/>
        </w:rPr>
        <w:t xml:space="preserve">and requiring providers to convert information that they maintain as a street address into a latitude and longitude </w:t>
      </w:r>
      <w:r w:rsidRPr="000C62ED">
        <w:rPr>
          <w:rFonts w:eastAsia="Aptos"/>
          <w:snapToGrid/>
        </w:rPr>
        <w:t>would</w:t>
      </w:r>
      <w:r>
        <w:rPr>
          <w:rFonts w:eastAsia="Aptos"/>
          <w:snapToGrid/>
        </w:rPr>
        <w:t>, as ATIS observes, result in “</w:t>
      </w:r>
      <w:r w:rsidRPr="000C62ED">
        <w:rPr>
          <w:rFonts w:eastAsia="Aptos"/>
          <w:snapToGrid/>
        </w:rPr>
        <w:t>significant impacts on the industry</w:t>
      </w:r>
      <w:r>
        <w:rPr>
          <w:rFonts w:eastAsia="Aptos"/>
          <w:snapToGrid/>
        </w:rPr>
        <w:t>.</w:t>
      </w:r>
      <w:r w:rsidRPr="000C62ED">
        <w:rPr>
          <w:rFonts w:eastAsia="Aptos"/>
          <w:snapToGrid/>
        </w:rPr>
        <w:t>”</w:t>
      </w:r>
      <w:r>
        <w:rPr>
          <w:rStyle w:val="FootnoteReference"/>
          <w:kern w:val="2"/>
        </w:rPr>
        <w:footnoteReference w:id="63"/>
      </w:r>
    </w:p>
    <w:p w:rsidR="00203CCB" w:rsidRPr="00001296" w:rsidP="00C329A5" w14:paraId="63DB2F54" w14:textId="77777777">
      <w:pPr>
        <w:pStyle w:val="ParaNum"/>
        <w:widowControl/>
      </w:pPr>
      <w:r w:rsidRPr="000C62ED">
        <w:rPr>
          <w:rFonts w:eastAsia="Aptos"/>
          <w:snapToGrid/>
        </w:rPr>
        <w:t>We find that previous delegations of authority to the Bureau are sufficiently broad to enable it to implement these modifications</w:t>
      </w:r>
      <w:r>
        <w:rPr>
          <w:rFonts w:eastAsia="Aptos"/>
          <w:snapToGrid/>
        </w:rPr>
        <w:t>,</w:t>
      </w:r>
      <w:r w:rsidRPr="00466703">
        <w:t xml:space="preserve"> </w:t>
      </w:r>
      <w:r w:rsidRPr="00466703">
        <w:rPr>
          <w:rFonts w:eastAsia="Aptos"/>
          <w:snapToGrid/>
        </w:rPr>
        <w:t>as well as future modifications to DIRS and its fields that may be needed to ensure that the system continues to serve its crucial role in disaster response and recovery</w:t>
      </w:r>
      <w:r w:rsidRPr="000C62ED">
        <w:rPr>
          <w:rFonts w:eastAsia="Aptos"/>
          <w:snapToGrid/>
        </w:rPr>
        <w:t xml:space="preserve">.  As noted in the </w:t>
      </w:r>
      <w:r w:rsidRPr="000C62ED">
        <w:rPr>
          <w:rFonts w:eastAsia="Aptos"/>
          <w:i/>
          <w:iCs/>
          <w:snapToGrid/>
        </w:rPr>
        <w:t>FNPRM</w:t>
      </w:r>
      <w:r w:rsidRPr="000C62ED">
        <w:rPr>
          <w:rFonts w:eastAsia="Aptos"/>
          <w:snapToGrid/>
        </w:rPr>
        <w:t>, the Commission has delegated authority to the Bureau “to administer the communications disruption reporting requirements contained in part 4 of this chapter and to revise the filing system and template used for the submission of such communications disruption reports.”</w:t>
      </w:r>
      <w:r>
        <w:rPr>
          <w:rStyle w:val="FootnoteReference"/>
          <w:rFonts w:eastAsia="Aptos"/>
          <w:snapToGrid/>
        </w:rPr>
        <w:footnoteReference w:id="64"/>
      </w:r>
      <w:r w:rsidRPr="000C62ED">
        <w:rPr>
          <w:rFonts w:eastAsia="Aptos"/>
          <w:snapToGrid/>
        </w:rPr>
        <w:t xml:space="preserve">  While no commenter challenges this delegation,</w:t>
      </w:r>
      <w:r>
        <w:rPr>
          <w:rStyle w:val="FootnoteReference"/>
          <w:rFonts w:eastAsia="Aptos"/>
          <w:snapToGrid/>
        </w:rPr>
        <w:footnoteReference w:id="65"/>
      </w:r>
      <w:r w:rsidRPr="000C62ED">
        <w:rPr>
          <w:rFonts w:eastAsia="Aptos"/>
          <w:snapToGrid/>
        </w:rPr>
        <w:t xml:space="preserve"> some commenters seek to require the Bureau to exercise its delegated authority “subject to consultation with wireless service providers”</w:t>
      </w:r>
      <w:r>
        <w:rPr>
          <w:rStyle w:val="FootnoteReference"/>
          <w:rFonts w:eastAsia="Aptos"/>
          <w:snapToGrid/>
        </w:rPr>
        <w:footnoteReference w:id="66"/>
      </w:r>
      <w:r w:rsidRPr="000C62ED">
        <w:rPr>
          <w:rFonts w:eastAsia="Aptos"/>
          <w:snapToGrid/>
        </w:rPr>
        <w:t xml:space="preserve"> or limited to “what is </w:t>
      </w:r>
      <w:r w:rsidRPr="000C62ED">
        <w:rPr>
          <w:rFonts w:eastAsia="Aptos"/>
          <w:snapToGrid/>
        </w:rPr>
        <w:t>expressly authorized in the final rules.”</w:t>
      </w:r>
      <w:r>
        <w:rPr>
          <w:rStyle w:val="FootnoteReference"/>
          <w:rFonts w:eastAsia="Aptos"/>
          <w:snapToGrid/>
        </w:rPr>
        <w:footnoteReference w:id="67"/>
      </w:r>
      <w:r w:rsidRPr="000C62ED">
        <w:rPr>
          <w:rFonts w:eastAsia="Aptos"/>
          <w:snapToGrid/>
        </w:rPr>
        <w:t xml:space="preserve">  We find it unnecessary to </w:t>
      </w:r>
      <w:r>
        <w:rPr>
          <w:rFonts w:eastAsia="Aptos"/>
          <w:snapToGrid/>
        </w:rPr>
        <w:t xml:space="preserve">revise </w:t>
      </w:r>
      <w:r w:rsidRPr="000C62ED">
        <w:rPr>
          <w:rFonts w:eastAsia="Aptos"/>
          <w:snapToGrid/>
        </w:rPr>
        <w:t>the authority delegated to the Bureau in this manner</w:t>
      </w:r>
      <w:r>
        <w:rPr>
          <w:rFonts w:eastAsia="Aptos"/>
          <w:snapToGrid/>
        </w:rPr>
        <w:t xml:space="preserve">.  The revision to section 4.18(a) that we adopt today will contain more specificity for PSHSB to implement as it revises the DIRS filing system and templates.  We further find that it is necessary for the Bureau’s authority to be sufficiently broad to ensure that the Bureau has the flexibility to timely implement lawful changes to DIRS and otherwise maintain the system as necessary to ensure that it remains effective.  </w:t>
      </w:r>
    </w:p>
    <w:p w:rsidR="00203CCB" w:rsidRPr="00B4630A" w:rsidP="00C329A5" w14:paraId="6AB3854E" w14:textId="77777777">
      <w:pPr>
        <w:pStyle w:val="ParaNum"/>
        <w:widowControl/>
        <w:rPr>
          <w:rFonts w:eastAsia="Aptos"/>
          <w:snapToGrid/>
        </w:rPr>
      </w:pPr>
      <w:r>
        <w:rPr>
          <w:rFonts w:eastAsia="Aptos"/>
          <w:snapToGrid/>
        </w:rPr>
        <w:t>W</w:t>
      </w:r>
      <w:r w:rsidRPr="000C62ED">
        <w:rPr>
          <w:rFonts w:eastAsia="Aptos"/>
          <w:snapToGrid/>
        </w:rPr>
        <w:t xml:space="preserve">e </w:t>
      </w:r>
      <w:r>
        <w:rPr>
          <w:rFonts w:eastAsia="Aptos"/>
          <w:snapToGrid/>
        </w:rPr>
        <w:t>direct the Bureau</w:t>
      </w:r>
      <w:r w:rsidRPr="000C62ED">
        <w:rPr>
          <w:rFonts w:eastAsia="Aptos"/>
          <w:snapToGrid/>
        </w:rPr>
        <w:t xml:space="preserve"> to afford providers </w:t>
      </w:r>
      <w:r>
        <w:rPr>
          <w:rFonts w:eastAsia="Aptos"/>
          <w:snapToGrid/>
        </w:rPr>
        <w:t>an opportunity to</w:t>
      </w:r>
      <w:r w:rsidRPr="000C62ED">
        <w:rPr>
          <w:rFonts w:eastAsia="Aptos"/>
          <w:snapToGrid/>
        </w:rPr>
        <w:t xml:space="preserve"> </w:t>
      </w:r>
      <w:r>
        <w:rPr>
          <w:rFonts w:eastAsia="Aptos"/>
          <w:snapToGrid/>
        </w:rPr>
        <w:t>test</w:t>
      </w:r>
      <w:r w:rsidRPr="000C62ED">
        <w:rPr>
          <w:rFonts w:eastAsia="Aptos"/>
          <w:snapToGrid/>
        </w:rPr>
        <w:t xml:space="preserve"> </w:t>
      </w:r>
      <w:r>
        <w:rPr>
          <w:rFonts w:eastAsia="Aptos"/>
          <w:snapToGrid/>
        </w:rPr>
        <w:t>the above improvements to DIRS before they are officially released, as recommended by Verizon.</w:t>
      </w:r>
      <w:r>
        <w:rPr>
          <w:rStyle w:val="FootnoteReference"/>
          <w:rFonts w:eastAsia="Aptos"/>
          <w:snapToGrid/>
        </w:rPr>
        <w:footnoteReference w:id="68"/>
      </w:r>
      <w:r>
        <w:rPr>
          <w:rFonts w:eastAsia="Aptos"/>
          <w:snapToGrid/>
        </w:rPr>
        <w:t xml:space="preserve">  This process will also allow filers to provide additional feedback on the new DIRS interface to ensure usability</w:t>
      </w:r>
      <w:r w:rsidRPr="000C62ED">
        <w:rPr>
          <w:rFonts w:eastAsia="Aptos"/>
          <w:snapToGrid/>
        </w:rPr>
        <w:t xml:space="preserve">.  </w:t>
      </w:r>
      <w:r>
        <w:rPr>
          <w:rFonts w:eastAsia="Aptos"/>
          <w:snapToGrid/>
        </w:rPr>
        <w:t xml:space="preserve">We decline, however, to require the Bureau to engage in a second round of notice and comment on the look and feel of the new DIRS system, as suggested by </w:t>
      </w:r>
      <w:r>
        <w:rPr>
          <w:rFonts w:eastAsia="Aptos"/>
          <w:snapToGrid/>
        </w:rPr>
        <w:t>USTelecom</w:t>
      </w:r>
      <w:r>
        <w:rPr>
          <w:rFonts w:eastAsia="Aptos"/>
          <w:snapToGrid/>
        </w:rPr>
        <w:t>, ATIS, AT&amp;T, CTIA, and WISPA.</w:t>
      </w:r>
      <w:r>
        <w:rPr>
          <w:rStyle w:val="FootnoteReference"/>
          <w:kern w:val="2"/>
        </w:rPr>
        <w:footnoteReference w:id="69"/>
      </w:r>
      <w:r w:rsidRPr="000C62ED">
        <w:rPr>
          <w:rFonts w:eastAsia="Aptos"/>
          <w:snapToGrid/>
        </w:rPr>
        <w:t xml:space="preserve"> </w:t>
      </w:r>
      <w:r>
        <w:rPr>
          <w:rFonts w:eastAsia="Aptos"/>
          <w:snapToGrid/>
        </w:rPr>
        <w:t xml:space="preserve"> While formal notice and comment was appropriate to address the information that providers are required to file in DIRS because those changes affect their legal obligations, no such formality is needed to enable the Bureau to consider feedback from industry on its implementation of the changes contemplated </w:t>
      </w:r>
      <w:bookmarkStart w:id="29" w:name="_Toc225166310"/>
      <w:bookmarkStart w:id="30" w:name="_Toc225356773"/>
      <w:r>
        <w:rPr>
          <w:rFonts w:eastAsia="Aptos"/>
          <w:snapToGrid/>
        </w:rPr>
        <w:t xml:space="preserve">herein.  </w:t>
      </w:r>
    </w:p>
    <w:p w:rsidR="00203CCB" w:rsidP="00EB7CCD" w14:paraId="040DDF60" w14:textId="77777777">
      <w:pPr>
        <w:pStyle w:val="Heading2"/>
        <w:widowControl/>
      </w:pPr>
      <w:bookmarkStart w:id="31" w:name="_Toc227662247"/>
      <w:bookmarkStart w:id="32" w:name="_Toc230244546"/>
      <w:bookmarkStart w:id="33" w:name="_Toc230246364"/>
      <w:r w:rsidRPr="008B4232">
        <w:t>Eliminat</w:t>
      </w:r>
      <w:r>
        <w:t>ing</w:t>
      </w:r>
      <w:r w:rsidRPr="008B4232">
        <w:t xml:space="preserve"> the DIRS Final Report</w:t>
      </w:r>
      <w:bookmarkEnd w:id="29"/>
      <w:bookmarkEnd w:id="30"/>
      <w:bookmarkEnd w:id="31"/>
      <w:bookmarkEnd w:id="32"/>
      <w:bookmarkEnd w:id="33"/>
    </w:p>
    <w:p w:rsidR="00203CCB" w:rsidP="00C329A5" w14:paraId="233F17C8" w14:textId="77777777">
      <w:pPr>
        <w:pStyle w:val="ParaNum"/>
        <w:widowControl/>
      </w:pPr>
      <w:r>
        <w:t xml:space="preserve">As proposed in the </w:t>
      </w:r>
      <w:r w:rsidRPr="00235CC0">
        <w:rPr>
          <w:i/>
          <w:iCs/>
        </w:rPr>
        <w:t>FNPRM</w:t>
      </w:r>
      <w:r>
        <w:t xml:space="preserve">, we eliminate the requirement </w:t>
      </w:r>
      <w:r w:rsidRPr="008F4473">
        <w:t xml:space="preserve">for </w:t>
      </w:r>
      <w:r>
        <w:t xml:space="preserve">providers to file </w:t>
      </w:r>
      <w:r w:rsidRPr="008F4473">
        <w:t xml:space="preserve">a </w:t>
      </w:r>
      <w:r>
        <w:t>f</w:t>
      </w:r>
      <w:r w:rsidRPr="008F4473">
        <w:t xml:space="preserve">inal </w:t>
      </w:r>
      <w:r>
        <w:t>r</w:t>
      </w:r>
      <w:r w:rsidRPr="008F4473">
        <w:t>eport</w:t>
      </w:r>
      <w:r>
        <w:t xml:space="preserve"> in DIRS</w:t>
      </w:r>
      <w:r w:rsidRPr="008F4473">
        <w:t xml:space="preserve"> within 24 hours of DIRS</w:t>
      </w:r>
      <w:r>
        <w:t>’</w:t>
      </w:r>
      <w:r w:rsidRPr="008F4473">
        <w:t xml:space="preserve"> deactivation</w:t>
      </w:r>
      <w:r>
        <w:t>.</w:t>
      </w:r>
      <w:r>
        <w:rPr>
          <w:rStyle w:val="FootnoteReference"/>
        </w:rPr>
        <w:footnoteReference w:id="70"/>
      </w:r>
      <w:r>
        <w:t xml:space="preserve">  Many commenters argue that DIRS final reports are not useful to emergency managers.</w:t>
      </w:r>
      <w:r>
        <w:rPr>
          <w:rStyle w:val="FootnoteReference"/>
        </w:rPr>
        <w:footnoteReference w:id="71"/>
      </w:r>
      <w:r w:rsidRPr="008F4473">
        <w:t xml:space="preserve"> </w:t>
      </w:r>
      <w:r>
        <w:t xml:space="preserve"> ATIS, WISPA, and WTA submit that the primary reason DIRS final reports have not been as useful in practice as the Commission intended is the “</w:t>
      </w:r>
      <w:r w:rsidRPr="001F5A87">
        <w:t>uncertainty and unknowns that will still exist right</w:t>
      </w:r>
      <w:r w:rsidRPr="0079653D">
        <w:t xml:space="preserve"> after </w:t>
      </w:r>
      <w:r w:rsidRPr="001F5A87">
        <w:t>the end of the DIRS reporting period</w:t>
      </w:r>
      <w:r>
        <w:t xml:space="preserve">,” which prevent providers from offering reliable, actionable service </w:t>
      </w:r>
      <w:r w:rsidRPr="001356F7">
        <w:t>restoration estimates</w:t>
      </w:r>
      <w:r>
        <w:t>.</w:t>
      </w:r>
      <w:r>
        <w:rPr>
          <w:rStyle w:val="FootnoteReference"/>
        </w:rPr>
        <w:footnoteReference w:id="72"/>
      </w:r>
      <w:r>
        <w:t xml:space="preserve">  We agree.  In our experience, DIRS final reports have not provided emergency managers with reliable service restoration estimates, which must be made when DIRS is deactivated.  Moreover,</w:t>
      </w:r>
      <w:r w:rsidRPr="00914CA3">
        <w:t xml:space="preserve"> </w:t>
      </w:r>
      <w:r>
        <w:t>we understand from experience that the timeline for service restoration can depend on factors outside of the service provider’s control, such as the accessibility of the damaged area to service technicians or the availability of replacement parts, so it is not sensible to refer to estimates provided in the midst of an emergency as “final.”  As such, we disagree with the Foundation for Defense of Democracies</w:t>
      </w:r>
      <w:r>
        <w:t xml:space="preserve"> </w:t>
      </w:r>
      <w:r>
        <w:t>that the DIRS final report “</w:t>
      </w:r>
      <w:r>
        <w:t>ensur</w:t>
      </w:r>
      <w:r>
        <w:t xml:space="preserve">[es] accountability and </w:t>
      </w:r>
      <w:r>
        <w:t>provid</w:t>
      </w:r>
      <w:r>
        <w:t>[es] a definitive record for planning repairs and analyzing outages.”</w:t>
      </w:r>
      <w:r>
        <w:rPr>
          <w:rStyle w:val="FootnoteReference"/>
        </w:rPr>
        <w:footnoteReference w:id="73"/>
      </w:r>
      <w:r>
        <w:t xml:space="preserve">  As we reasoned in the </w:t>
      </w:r>
      <w:r w:rsidRPr="00235CC0">
        <w:rPr>
          <w:i/>
          <w:iCs/>
        </w:rPr>
        <w:t>FNPRM</w:t>
      </w:r>
      <w:r>
        <w:t>,</w:t>
      </w:r>
      <w:r w:rsidRPr="00235CC0">
        <w:rPr>
          <w:i/>
          <w:iCs/>
        </w:rPr>
        <w:t xml:space="preserve"> </w:t>
      </w:r>
      <w:r>
        <w:t xml:space="preserve">service restoration estimates that routinely prove incorrect cause more harm than good because </w:t>
      </w:r>
      <w:r>
        <w:t>reliance on those estimates leads to the misallocation of finite disaster response resources.</w:t>
      </w:r>
      <w:r>
        <w:rPr>
          <w:rStyle w:val="FootnoteReference"/>
        </w:rPr>
        <w:footnoteReference w:id="74"/>
      </w:r>
      <w:r>
        <w:t xml:space="preserve">  Taking more time to consider the potential utility of these requirements, as Public Knowledge suggests we should,</w:t>
      </w:r>
      <w:r>
        <w:rPr>
          <w:rStyle w:val="FootnoteReference"/>
        </w:rPr>
        <w:footnoteReference w:id="75"/>
      </w:r>
      <w:r>
        <w:t xml:space="preserve"> cannot change the fundamental difficulty of presenting DIRS information to emergency managers as “final” as if service providers can predict the future.  Further, we are not persuaded to retain the DIRS final report requirement by Public Knowledge’s vague assertion that, even if this information is not valuable for immediate situational awareness, it has value as “historic information for analysis and planning.”</w:t>
      </w:r>
      <w:r>
        <w:rPr>
          <w:rStyle w:val="FootnoteReference"/>
        </w:rPr>
        <w:footnoteReference w:id="76"/>
      </w:r>
      <w:r>
        <w:t xml:space="preserve">  We also do not believe it would be beneficial to retain a streamlined version of the DIRS final report requirement that providers could satisfy with “one-click.”</w:t>
      </w:r>
      <w:r>
        <w:rPr>
          <w:rStyle w:val="FootnoteReference"/>
        </w:rPr>
        <w:footnoteReference w:id="77"/>
      </w:r>
      <w:r>
        <w:t xml:space="preserve">  If the Bureau believes that an additional day of DIRS reporting on infrastructure status was warranted before DIRS’s deactivation, it can obtain that information simply by keeping DIRS active for an additional day.  </w:t>
      </w:r>
    </w:p>
    <w:p w:rsidR="00203CCB" w:rsidP="00EB7CCD" w14:paraId="46800615" w14:textId="77777777">
      <w:pPr>
        <w:pStyle w:val="Heading2"/>
        <w:widowControl/>
      </w:pPr>
      <w:bookmarkStart w:id="34" w:name="_Toc225356774"/>
      <w:bookmarkStart w:id="35" w:name="_Toc227662248"/>
      <w:bookmarkStart w:id="36" w:name="_Toc230244547"/>
      <w:bookmarkStart w:id="37" w:name="_Toc230246365"/>
      <w:r w:rsidRPr="006D518F">
        <w:t>E</w:t>
      </w:r>
      <w:r>
        <w:t>xempting</w:t>
      </w:r>
      <w:r w:rsidRPr="006D518F">
        <w:t xml:space="preserve"> </w:t>
      </w:r>
      <w:r>
        <w:t>Non-Facilities-Based Providers From DIRS Reporting</w:t>
      </w:r>
      <w:bookmarkEnd w:id="34"/>
      <w:bookmarkEnd w:id="35"/>
      <w:bookmarkEnd w:id="36"/>
      <w:bookmarkEnd w:id="37"/>
    </w:p>
    <w:p w:rsidR="00203CCB" w:rsidP="00C329A5" w14:paraId="387636D6" w14:textId="77777777">
      <w:pPr>
        <w:pStyle w:val="ParaNum"/>
        <w:widowControl/>
      </w:pPr>
      <w:r>
        <w:t xml:space="preserve">To eliminate duplicative and potentially speculative DIRS reporting about infrastructure neither owned nor operated by the reporting entity, we revise our mandatory DIRS rules to apply only to </w:t>
      </w:r>
      <w:r w:rsidRPr="00CE07B0">
        <w:t>facilities-based providers</w:t>
      </w:r>
      <w:r>
        <w:t xml:space="preserve">, exempting providers that do not own or operate their own facilities or infrastructure in the DIRS activation area.  We agree with CTIA that providers that do not own or operate their own facilities </w:t>
      </w:r>
      <w:r w:rsidRPr="000B4F63">
        <w:t>or infrastructure</w:t>
      </w:r>
      <w:r>
        <w:t xml:space="preserve"> should not report in DIRS because</w:t>
      </w:r>
      <w:r w:rsidRPr="004A6295">
        <w:t xml:space="preserve"> </w:t>
      </w:r>
      <w:r>
        <w:t>“</w:t>
      </w:r>
      <w:r w:rsidRPr="004A6295">
        <w:t>their service offerings rely on the facilities of underlying service providers that already report the status of those facilities</w:t>
      </w:r>
      <w:r>
        <w:t>” in DIRS.</w:t>
      </w:r>
      <w:r>
        <w:rPr>
          <w:rStyle w:val="FootnoteReference"/>
        </w:rPr>
        <w:footnoteReference w:id="78"/>
      </w:r>
      <w:r>
        <w:t xml:space="preserve">  In our experience, information that non-facilities-based providers submit in DIRS about the status of facilities or infrastructure that they do not own or operate tends to be either be speculative, as ACA Connects and NCTA observe,</w:t>
      </w:r>
      <w:r>
        <w:rPr>
          <w:rStyle w:val="FootnoteReference"/>
        </w:rPr>
        <w:footnoteReference w:id="79"/>
      </w:r>
      <w:r>
        <w:t xml:space="preserve"> or derivative of information that the non-facilities-based provider has imposed upon the facilities-based provider to obtain, as WISPA observes</w:t>
      </w:r>
      <w:r w:rsidRPr="006172E2">
        <w:t>.</w:t>
      </w:r>
      <w:r>
        <w:rPr>
          <w:rStyle w:val="FootnoteReference"/>
        </w:rPr>
        <w:footnoteReference w:id="80"/>
      </w:r>
      <w:r>
        <w:t xml:space="preserve">  We agree with CTIA and T-Mobile that receiving information about the status of the same communications equipment from both the facilities-based provider that owns and operates that equipment and from non-facilities-based providers that rely upon that equipment to offer service introduces a risk of double counting that threatens the quality of DIRS data.</w:t>
      </w:r>
      <w:r>
        <w:rPr>
          <w:rStyle w:val="FootnoteReference"/>
        </w:rPr>
        <w:footnoteReference w:id="81"/>
      </w:r>
      <w:r>
        <w:t xml:space="preserve">  It will promote our ability to quickly and reliably produce aggregated information about the status of communications equipment during disasters to receive one authoritative report about each relevant communications facility in a DIRS activation area, and we agree with ACA Connects that the report we receive should come from the party “</w:t>
      </w:r>
      <w:r w:rsidRPr="00146B15">
        <w:t>with direct visibility into the outage and system restoration</w:t>
      </w:r>
      <w:r>
        <w:t>.</w:t>
      </w:r>
      <w:r w:rsidRPr="00146B15">
        <w:t>”</w:t>
      </w:r>
      <w:r>
        <w:rPr>
          <w:rStyle w:val="FootnoteReference"/>
        </w:rPr>
        <w:footnoteReference w:id="82"/>
      </w:r>
      <w:r>
        <w:t xml:space="preserve">  That provider will be in the best position to answer DIRS’ prompts about the status of the facilities or infrastructure.  Eliminating reporting requirements for other providers will result in more accurate data and remove unnecessary burdens from industry. </w:t>
      </w:r>
    </w:p>
    <w:p w:rsidR="00203CCB" w:rsidP="00C329A5" w14:paraId="2A22761A" w14:textId="77777777">
      <w:pPr>
        <w:pStyle w:val="ParaNum"/>
        <w:widowControl/>
      </w:pPr>
      <w:r>
        <w:t>NCTA recommends that we extend the exemption for non-facilities-based providers to NORS for the same reasons as we offer it in the context of DIRS.</w:t>
      </w:r>
      <w:r>
        <w:rPr>
          <w:vertAlign w:val="superscript"/>
        </w:rPr>
        <w:footnoteReference w:id="83"/>
      </w:r>
      <w:r>
        <w:t xml:space="preserve">  We reject this recommendation and continue to require mobile virtual network operators and wireless, wireline, and interconnected VoIP </w:t>
      </w:r>
      <w:r>
        <w:t>resellers to report outages in NORS.</w:t>
      </w:r>
      <w:r>
        <w:rPr>
          <w:rStyle w:val="FootnoteReference"/>
        </w:rPr>
        <w:footnoteReference w:id="84"/>
      </w:r>
      <w:r>
        <w:t xml:space="preserve">  As the Commission has previously found, these providers are “</w:t>
      </w:r>
      <w:r w:rsidRPr="00777C6E">
        <w:t>uniquely positioned to provide information on outages affecting their customers</w:t>
      </w:r>
      <w:r>
        <w:t>.”</w:t>
      </w:r>
      <w:r>
        <w:rPr>
          <w:rStyle w:val="FootnoteReference"/>
        </w:rPr>
        <w:footnoteReference w:id="85"/>
      </w:r>
      <w:r>
        <w:t xml:space="preserve">  Unlike DIRS reporting’s focus on “infrastructure status” during and after disasters,</w:t>
      </w:r>
      <w:r>
        <w:rPr>
          <w:rStyle w:val="FootnoteReference"/>
        </w:rPr>
        <w:footnoteReference w:id="86"/>
      </w:r>
      <w:r>
        <w:t xml:space="preserve"> non-facilities-based providers are in the best position to report in NORS about the effects of outages on their subscribers because they have visibility into the status of their own subscribers, while the underlying facilities-based providers on which they rely often do not.  The Commission also relies on NORS reporting as a source of information about the root causes of all kinds of network outages and the impacts of those outages on end users, which leads “to the development of best practices and has fostered a ‘data-driven, self-improvement model.’”</w:t>
      </w:r>
      <w:r>
        <w:rPr>
          <w:rStyle w:val="FootnoteReference"/>
        </w:rPr>
        <w:footnoteReference w:id="87"/>
      </w:r>
      <w:r>
        <w:t xml:space="preserve">  By maintaining the requirement that non-facilities-based providers report in NORS, the Commission preserves its insight into the impact of outages on the millions of non-facilities-based provider subscribers nationwide.    </w:t>
      </w:r>
    </w:p>
    <w:p w:rsidR="00203CCB" w:rsidRPr="00A543DF" w:rsidP="00C329A5" w14:paraId="07198C6E" w14:textId="77777777">
      <w:pPr>
        <w:pStyle w:val="ParaNum"/>
        <w:widowControl/>
      </w:pPr>
      <w:r>
        <w:t xml:space="preserve">We do not adopt the </w:t>
      </w:r>
      <w:r w:rsidRPr="00464351">
        <w:rPr>
          <w:i/>
          <w:iCs/>
        </w:rPr>
        <w:t>FNPRM</w:t>
      </w:r>
      <w:r>
        <w:t>’s</w:t>
      </w:r>
      <w:r w:rsidRPr="00464351">
        <w:rPr>
          <w:i/>
          <w:iCs/>
        </w:rPr>
        <w:t xml:space="preserve"> </w:t>
      </w:r>
      <w:r>
        <w:t>proposal to require facilities-based wireless providers to report in DIRS which mobile virtual network operators utilize their respective networks within the DIRS activation area, nor do we adopt the alternative that mobile virtual network operators identify their underlying network providers as part of a limited DIRS filing</w:t>
      </w:r>
      <w:r w:rsidRPr="00BE014E">
        <w:t>.</w:t>
      </w:r>
      <w:r>
        <w:rPr>
          <w:rStyle w:val="FootnoteReference"/>
        </w:rPr>
        <w:footnoteReference w:id="88"/>
      </w:r>
      <w:r w:rsidRPr="00464351">
        <w:rPr>
          <w:bCs/>
        </w:rPr>
        <w:t xml:space="preserve"> </w:t>
      </w:r>
      <w:r>
        <w:t xml:space="preserve"> Public Knowledge observes that there is not necessarily a simple, direct relationship between the operational status of a facilities-based provider and a non-facilities-based provider that relies upon it.</w:t>
      </w:r>
      <w:r>
        <w:rPr>
          <w:rStyle w:val="FootnoteReference"/>
        </w:rPr>
        <w:footnoteReference w:id="89"/>
      </w:r>
      <w:r>
        <w:t xml:space="preserve">  As CTIA also recognizes, non-facilities-based providers </w:t>
      </w:r>
      <w:r w:rsidRPr="00F15195">
        <w:t>often utilize the networks of multiple facilities-based providers</w:t>
      </w:r>
      <w:r>
        <w:t xml:space="preserve"> in delivering their service.</w:t>
      </w:r>
      <w:r>
        <w:rPr>
          <w:rStyle w:val="FootnoteReference"/>
        </w:rPr>
        <w:footnoteReference w:id="90"/>
      </w:r>
      <w:r w:rsidRPr="00F15195">
        <w:t xml:space="preserve"> </w:t>
      </w:r>
      <w:r>
        <w:t xml:space="preserve"> As a result, we are concerned that a list of business relationships alone would be insufficient to enable emergency managers to derive actionable insights about a disaster’s impacts on their community, irrespective of whether a facilities-based or non-facilities-based provider submits it.  While there are undoubtedly examples of non-facilities-based providers that rely exclusively on a single facilities-based provider to offer service, significant risk would stem from inducing emergency managers to believe that this is always the case by requiring the disclosure of business relationships as a proxy for the availability of service to communities.  While Public Knowledge argues that this complexity is grounds for the Commission to continue require non-facilities-based providers to report in DIRS, we conclude that the burdens of filing this information outweigh its public safety value.       </w:t>
      </w:r>
    </w:p>
    <w:p w:rsidR="00203CCB" w:rsidRPr="00193D88" w:rsidP="00EB7CCD" w14:paraId="7A2D0849" w14:textId="77777777">
      <w:pPr>
        <w:pStyle w:val="Heading2"/>
        <w:widowControl/>
        <w:rPr>
          <w:rFonts w:eastAsia="Aptos"/>
          <w:snapToGrid/>
          <w:szCs w:val="22"/>
        </w:rPr>
      </w:pPr>
      <w:bookmarkStart w:id="38" w:name="_Toc225356777"/>
      <w:bookmarkStart w:id="39" w:name="_Toc227662249"/>
      <w:bookmarkStart w:id="40" w:name="_Toc230244548"/>
      <w:bookmarkStart w:id="41" w:name="_Toc230246366"/>
      <w:bookmarkStart w:id="42" w:name="_Toc225166309"/>
      <w:r>
        <w:rPr>
          <w:rFonts w:eastAsia="Aptos"/>
          <w:snapToGrid/>
          <w:szCs w:val="22"/>
        </w:rPr>
        <w:t xml:space="preserve">Voluntarily </w:t>
      </w:r>
      <w:r w:rsidRPr="003D5447">
        <w:rPr>
          <w:rFonts w:eastAsia="Aptos"/>
          <w:snapToGrid/>
          <w:szCs w:val="22"/>
        </w:rPr>
        <w:t>Collect</w:t>
      </w:r>
      <w:r>
        <w:rPr>
          <w:rFonts w:eastAsia="Aptos"/>
          <w:snapToGrid/>
          <w:szCs w:val="22"/>
        </w:rPr>
        <w:t>ing</w:t>
      </w:r>
      <w:r w:rsidRPr="0031334B">
        <w:t xml:space="preserve"> </w:t>
      </w:r>
      <w:r>
        <w:t>M</w:t>
      </w:r>
      <w:r w:rsidRPr="0031334B">
        <w:t xml:space="preserve">ore </w:t>
      </w:r>
      <w:r>
        <w:t>I</w:t>
      </w:r>
      <w:r w:rsidRPr="0031334B">
        <w:t xml:space="preserve">nformation </w:t>
      </w:r>
      <w:r w:rsidRPr="003D5447">
        <w:rPr>
          <w:rFonts w:eastAsia="Aptos"/>
          <w:snapToGrid/>
          <w:szCs w:val="22"/>
        </w:rPr>
        <w:t>on</w:t>
      </w:r>
      <w:r w:rsidRPr="0031334B">
        <w:t xml:space="preserve"> </w:t>
      </w:r>
      <w:bookmarkEnd w:id="38"/>
      <w:r>
        <w:t>Where Facilities Are Out of Service</w:t>
      </w:r>
      <w:bookmarkEnd w:id="39"/>
      <w:bookmarkEnd w:id="40"/>
      <w:bookmarkEnd w:id="41"/>
    </w:p>
    <w:p w:rsidR="00203CCB" w:rsidP="00C329A5" w14:paraId="2CA3DECB" w14:textId="77777777">
      <w:pPr>
        <w:pStyle w:val="ParaNum"/>
        <w:widowControl/>
      </w:pPr>
      <w:r>
        <w:t>We direct the Bureau to upgrade DIRS to improve the ability of filers to voluntarily submit geographic information about service areas and the locations of facilities that are out of service.  As Public Knowledge puts simply, c</w:t>
      </w:r>
      <w:r w:rsidRPr="008B09BA">
        <w:t xml:space="preserve">ollecting more granular information </w:t>
      </w:r>
      <w:r>
        <w:t>for stakeholders “</w:t>
      </w:r>
      <w:r w:rsidRPr="008B09BA">
        <w:t>can improve their disaster response</w:t>
      </w:r>
      <w:r>
        <w:t>.”</w:t>
      </w:r>
      <w:r>
        <w:rPr>
          <w:rStyle w:val="FootnoteReference"/>
        </w:rPr>
        <w:footnoteReference w:id="91"/>
      </w:r>
      <w:r>
        <w:t xml:space="preserve">  In the </w:t>
      </w:r>
      <w:r>
        <w:rPr>
          <w:i/>
          <w:iCs/>
        </w:rPr>
        <w:t>FNPRM</w:t>
      </w:r>
      <w:r>
        <w:t>, we specifically sought comment on whether to collect more granular information from wireless providers about the location of cell sites that are out of service.</w:t>
      </w:r>
      <w:r>
        <w:rPr>
          <w:rStyle w:val="FootnoteReference"/>
        </w:rPr>
        <w:footnoteReference w:id="92"/>
      </w:r>
      <w:r>
        <w:t xml:space="preserve">  Whereas DIRS requires providers to specify the location of major equipment other than wireless cell sites,</w:t>
      </w:r>
      <w:r>
        <w:rPr>
          <w:rStyle w:val="FootnoteReference"/>
        </w:rPr>
        <w:footnoteReference w:id="93"/>
      </w:r>
      <w:r>
        <w:t xml:space="preserve"> DIRS currently</w:t>
      </w:r>
      <w:r w:rsidRPr="00404996">
        <w:t xml:space="preserve"> </w:t>
      </w:r>
      <w:r>
        <w:t xml:space="preserve">only </w:t>
      </w:r>
      <w:r w:rsidRPr="00404996">
        <w:t>requires</w:t>
      </w:r>
      <w:r>
        <w:t xml:space="preserve"> wireless</w:t>
      </w:r>
      <w:r w:rsidRPr="00404996">
        <w:t xml:space="preserve"> providers to </w:t>
      </w:r>
      <w:r>
        <w:t xml:space="preserve">complete a worksheet to specify </w:t>
      </w:r>
      <w:r w:rsidRPr="00404996">
        <w:t>the number of cell sites out by county</w:t>
      </w:r>
      <w:r>
        <w:t>.</w:t>
      </w:r>
      <w:r>
        <w:rPr>
          <w:rStyle w:val="FootnoteReference"/>
        </w:rPr>
        <w:footnoteReference w:id="94"/>
      </w:r>
      <w:r>
        <w:t xml:space="preserve">  Wireless providers, however, have voluntarily submitted more granular information than DIRS requires about the location of their wireless cell sites.  T-Mobile voluntarily provides cell site location data in Keyhole Markup Language.</w:t>
      </w:r>
      <w:r>
        <w:rPr>
          <w:rStyle w:val="FootnoteReference"/>
        </w:rPr>
        <w:footnoteReference w:id="95"/>
      </w:r>
      <w:r>
        <w:t xml:space="preserve">  As ATIS observes, one major wireless provider has voluntarily submitted shape files in response to DIRS activation since 2017,</w:t>
      </w:r>
      <w:r>
        <w:rPr>
          <w:rStyle w:val="FootnoteReference"/>
        </w:rPr>
        <w:footnoteReference w:id="96"/>
      </w:r>
      <w:r>
        <w:t xml:space="preserve"> which provide “information about cell site impacts on a very conservative measure of -98db.”</w:t>
      </w:r>
      <w:r>
        <w:rPr>
          <w:rStyle w:val="FootnoteReference"/>
        </w:rPr>
        <w:footnoteReference w:id="97"/>
      </w:r>
      <w:r>
        <w:t xml:space="preserve">  Accordingly, we agree with CTIA that collecting mapping data from service providers during DIRS activation on a voluntary basis is an approach that is working well,</w:t>
      </w:r>
      <w:r>
        <w:rPr>
          <w:rStyle w:val="FootnoteReference"/>
        </w:rPr>
        <w:footnoteReference w:id="98"/>
      </w:r>
      <w:r>
        <w:t xml:space="preserve"> and we therefore do not require providers to submit any additional mapping data at this time.</w:t>
      </w:r>
      <w:r>
        <w:rPr>
          <w:rStyle w:val="FootnoteReference"/>
        </w:rPr>
        <w:footnoteReference w:id="99"/>
      </w:r>
    </w:p>
    <w:p w:rsidR="00203CCB" w:rsidRPr="004E4423" w:rsidP="00C329A5" w14:paraId="25A6D868" w14:textId="77777777">
      <w:pPr>
        <w:pStyle w:val="ParaNum"/>
        <w:widowControl/>
      </w:pPr>
      <w:r>
        <w:t>However, we recognize that DIRS does not offer an easy way for providers to voluntarily submit geographic information about service coverage and infrastructure location and believe that expanding that capability may induce more providers to submit that information and make DIRS easier to use for providers that do submit that information.</w:t>
      </w:r>
      <w:r>
        <w:rPr>
          <w:rStyle w:val="FootnoteReference"/>
        </w:rPr>
        <w:footnoteReference w:id="100"/>
      </w:r>
      <w:r>
        <w:t xml:space="preserve">  We do not limit the submission of geographic information solely to cell site locations, but allow it for any kind of geographic information that filers believe would be useful to provide to emergency managers.  We believe this flexibility was warranted in light of Verizon, CCA, and other commenters arguments</w:t>
      </w:r>
      <w:r>
        <w:t xml:space="preserve"> that </w:t>
      </w:r>
      <w:r>
        <w:t>“[c]overage, not site location, is most relevant to where Wireless Emergency Alerts, 911 calls and public safety-related communications are affected during disaster events.”</w:t>
      </w:r>
      <w:r>
        <w:rPr>
          <w:rStyle w:val="FootnoteReference"/>
        </w:rPr>
        <w:footnoteReference w:id="101"/>
      </w:r>
      <w:r>
        <w:t xml:space="preserve">  Upgrading DIRS to offer providers a clear way to submit a wider array </w:t>
      </w:r>
      <w:r>
        <w:t>of geographic information in additional formats may also reduce burdens on providers and other stakeholders.</w:t>
      </w:r>
      <w:r>
        <w:t xml:space="preserve"> </w:t>
      </w:r>
    </w:p>
    <w:p w:rsidR="00203CCB" w:rsidRPr="000C62ED" w:rsidP="00EB7CCD" w14:paraId="0CC8CC46" w14:textId="77777777">
      <w:pPr>
        <w:pStyle w:val="Heading2"/>
        <w:widowControl/>
        <w:rPr>
          <w:rFonts w:eastAsia="Aptos"/>
        </w:rPr>
      </w:pPr>
      <w:bookmarkStart w:id="43" w:name="_Toc227662250"/>
      <w:bookmarkStart w:id="44" w:name="_Toc230244549"/>
      <w:bookmarkStart w:id="45" w:name="_Toc230246367"/>
      <w:r w:rsidRPr="000C62ED">
        <w:rPr>
          <w:rFonts w:eastAsia="Aptos"/>
          <w:snapToGrid/>
        </w:rPr>
        <w:t xml:space="preserve">Requiring DIRS Reporting for Public Safety </w:t>
      </w:r>
      <w:r>
        <w:rPr>
          <w:rFonts w:eastAsia="Aptos"/>
          <w:snapToGrid/>
        </w:rPr>
        <w:t xml:space="preserve">Voice and </w:t>
      </w:r>
      <w:r w:rsidRPr="000C62ED">
        <w:rPr>
          <w:rFonts w:eastAsia="Aptos"/>
          <w:snapToGrid/>
        </w:rPr>
        <w:t>Broadband Network Operators</w:t>
      </w:r>
      <w:bookmarkEnd w:id="42"/>
      <w:bookmarkEnd w:id="43"/>
      <w:bookmarkEnd w:id="44"/>
      <w:bookmarkEnd w:id="45"/>
    </w:p>
    <w:p w:rsidR="00203CCB" w:rsidP="00C329A5" w14:paraId="0E515FA4" w14:textId="77777777">
      <w:pPr>
        <w:pStyle w:val="ParaNum"/>
        <w:widowControl/>
      </w:pPr>
      <w:r w:rsidRPr="000C62ED">
        <w:t>To ensure that emergency managers and first responders have the information they need to stay connected during disasters,</w:t>
      </w:r>
      <w:r w:rsidRPr="668561AA">
        <w:t xml:space="preserve"> we require </w:t>
      </w:r>
      <w:r>
        <w:t xml:space="preserve">public safety voice and broadband network operators </w:t>
      </w:r>
      <w:r w:rsidRPr="668561AA">
        <w:t xml:space="preserve">to submit </w:t>
      </w:r>
      <w:r>
        <w:t xml:space="preserve">DIRS </w:t>
      </w:r>
      <w:r w:rsidRPr="668561AA">
        <w:t xml:space="preserve">daily reports </w:t>
      </w:r>
      <w:r>
        <w:t>about</w:t>
      </w:r>
      <w:r w:rsidRPr="668561AA">
        <w:t xml:space="preserve"> their infrastructure status when the Commission activates DIRS in geographic areas </w:t>
      </w:r>
      <w:r>
        <w:t>where</w:t>
      </w:r>
      <w:r w:rsidRPr="668561AA">
        <w:t xml:space="preserve"> they provide service.</w:t>
      </w:r>
      <w:r>
        <w:rPr>
          <w:rStyle w:val="FootnoteReference"/>
        </w:rPr>
        <w:footnoteReference w:id="102"/>
      </w:r>
      <w:r>
        <w:t xml:space="preserve">  Public safety voice and broadband networks now play a vital role in keeping first responders connected during emergency response.  AT&amp;T</w:t>
      </w:r>
      <w:r>
        <w:t xml:space="preserve"> </w:t>
      </w:r>
      <w:r>
        <w:t>manages and operates a nationwide public safety voice and broadband network, FirstNet, which plays a key role in enabling first responders using the network to communicate with one another and with PSAPs during emergencies.</w:t>
      </w:r>
      <w:r>
        <w:rPr>
          <w:rStyle w:val="FootnoteReference"/>
        </w:rPr>
        <w:footnoteReference w:id="103"/>
      </w:r>
      <w:r>
        <w:t xml:space="preserve">  As the National Regional Planning Council</w:t>
      </w:r>
      <w:r w:rsidRPr="5129F40A">
        <w:t xml:space="preserve"> </w:t>
      </w:r>
      <w:r>
        <w:t>states</w:t>
      </w:r>
      <w:r w:rsidRPr="5129F40A">
        <w:t>, public safety officials increasingly use FirstNet to replace older Land Mobile Radio systems for communication among first responders during emergencies.</w:t>
      </w:r>
      <w:r>
        <w:rPr>
          <w:vertAlign w:val="superscript"/>
        </w:rPr>
        <w:footnoteReference w:id="104"/>
      </w:r>
      <w:r w:rsidRPr="00D351A7">
        <w:rPr>
          <w:szCs w:val="22"/>
        </w:rPr>
        <w:t xml:space="preserve">  </w:t>
      </w:r>
      <w:r>
        <w:t xml:space="preserve">First responders use FirstNet for </w:t>
      </w:r>
      <w:r w:rsidRPr="00B8620B">
        <w:t>voice</w:t>
      </w:r>
      <w:r>
        <w:t>-</w:t>
      </w:r>
      <w:r w:rsidRPr="00B8620B">
        <w:t>over LTE, rich communication services and IP-based messaging</w:t>
      </w:r>
      <w:r>
        <w:t xml:space="preserve"> to communicate with one another from a variety of operational locations, including outdoors, inside buildings, through drones and satellites, from airborne vehicles like helicopters, and from onboard maritime vessels.</w:t>
      </w:r>
      <w:r>
        <w:rPr>
          <w:rStyle w:val="FootnoteReference"/>
        </w:rPr>
        <w:footnoteReference w:id="105"/>
      </w:r>
      <w:r>
        <w:t xml:space="preserve">  First responders also rely on FirstNet’s network to access key technologies that affect situational awareness, such as cameras that convey real-time or historical data; Internet-connected devices and sensors that monitor weather, traffic, environmental issues, or access to secured locations; and maps and Geographic Information Systems that may provide the location of responders or assets, potential hazards, or relational information between personnel and assets.</w:t>
      </w:r>
      <w:r>
        <w:rPr>
          <w:rStyle w:val="FootnoteReference"/>
        </w:rPr>
        <w:footnoteReference w:id="106"/>
      </w:r>
      <w:r>
        <w:t xml:space="preserve">  According to Verizon, its Frontline service prioritizes first responder communications on Verizon’s 5G network and provides high speed, low latency, large capacity connectivity to over 45,000 agencies.</w:t>
      </w:r>
      <w:r>
        <w:rPr>
          <w:rStyle w:val="FootnoteReference"/>
        </w:rPr>
        <w:footnoteReference w:id="107"/>
      </w:r>
      <w:r>
        <w:t xml:space="preserve">  T-Mobile USA, Inc.’s (T-Mobile) T-Priority service prioritizes data-intensive communications for public safety agencies by using 5G network slicing to enable law enforcement, fire protection, emergency medical services, and other first responders to respond to emergencies.</w:t>
      </w:r>
      <w:r>
        <w:rPr>
          <w:rStyle w:val="FootnoteReference"/>
        </w:rPr>
        <w:footnoteReference w:id="108"/>
      </w:r>
      <w:r>
        <w:t xml:space="preserve">  Disruptions to services like FirstNet, Verizon Frontline, or T-Priority could be a matter of life and death for first responders or members of the public who rely on police, fire, and emergency medical services that subscribe to these services.</w:t>
      </w:r>
    </w:p>
    <w:p w:rsidR="00203CCB" w:rsidP="00C329A5" w14:paraId="62CED19F" w14:textId="77777777">
      <w:pPr>
        <w:pStyle w:val="ParaNum"/>
        <w:widowControl/>
      </w:pPr>
      <w:r>
        <w:t xml:space="preserve">The </w:t>
      </w:r>
      <w:r w:rsidRPr="001048A9">
        <w:rPr>
          <w:i/>
          <w:iCs/>
        </w:rPr>
        <w:t xml:space="preserve">FNPRM </w:t>
      </w:r>
      <w:r>
        <w:t>sought comment on whether the Commission should revamp DIRS to enable voluntary or mandatory reporting on the status of public safety voice and broadband networks.</w:t>
      </w:r>
      <w:r>
        <w:rPr>
          <w:rStyle w:val="FootnoteReference"/>
        </w:rPr>
        <w:footnoteReference w:id="109"/>
      </w:r>
      <w:r>
        <w:t xml:space="preserve">  </w:t>
      </w:r>
      <w:r>
        <w:t>The Commission also proposed to require FirstNet to report in DIRS in 2024,</w:t>
      </w:r>
      <w:r>
        <w:rPr>
          <w:rStyle w:val="FootnoteReference"/>
        </w:rPr>
        <w:footnoteReference w:id="110"/>
      </w:r>
      <w:r>
        <w:t xml:space="preserve"> and received significant </w:t>
      </w:r>
      <w:r w:rsidRPr="668561AA">
        <w:t>support.</w:t>
      </w:r>
      <w:r>
        <w:rPr>
          <w:rStyle w:val="FootnoteReference"/>
          <w:sz w:val="22"/>
          <w:szCs w:val="22"/>
        </w:rPr>
        <w:footnoteReference w:id="111"/>
      </w:r>
      <w:r w:rsidRPr="668561AA">
        <w:t xml:space="preserve">  </w:t>
      </w:r>
      <w:r w:rsidRPr="668561AA">
        <w:t>As Public Knowledge</w:t>
      </w:r>
      <w:r>
        <w:t>, Communications Workers of America, and New America’s Open Technology Institute</w:t>
      </w:r>
      <w:r w:rsidRPr="668561AA">
        <w:t xml:space="preserve"> observe</w:t>
      </w:r>
      <w:r>
        <w:t>d</w:t>
      </w:r>
      <w:r w:rsidRPr="668561AA">
        <w:t>, effective crisis response “can only happen if those responding to the crisis—and managing the response—have clear knowledge of the communications environment in as close to real time as possible.”</w:t>
      </w:r>
      <w:r>
        <w:rPr>
          <w:rStyle w:val="FootnoteReference"/>
          <w:sz w:val="22"/>
          <w:szCs w:val="22"/>
        </w:rPr>
        <w:footnoteReference w:id="112"/>
      </w:r>
      <w:r w:rsidRPr="668561AA">
        <w:t xml:space="preserve">  NASUCA and TURN recognize</w:t>
      </w:r>
      <w:r>
        <w:t>d</w:t>
      </w:r>
      <w:r w:rsidRPr="668561AA">
        <w:t xml:space="preserve"> that FirstNet’s “unique purpose [is] to provide robust public safety communications and, by extension, carry some of the most life-saving information across public safety stakeholders when disasters strike.”</w:t>
      </w:r>
      <w:r>
        <w:rPr>
          <w:vertAlign w:val="superscript"/>
        </w:rPr>
        <w:footnoteReference w:id="113"/>
      </w:r>
      <w:r w:rsidRPr="668561AA">
        <w:t xml:space="preserve">  </w:t>
      </w:r>
      <w:r>
        <w:t>And</w:t>
      </w:r>
      <w:r w:rsidRPr="668561AA">
        <w:t xml:space="preserve"> Next Century Cities observe</w:t>
      </w:r>
      <w:r>
        <w:t>d that</w:t>
      </w:r>
      <w:r w:rsidRPr="668561AA">
        <w:t>, “without mandatory DIRS or NORS reporting the Commission and state and local officials are left without critical information about how the nation[’]s emergency services are connected.”</w:t>
      </w:r>
      <w:r>
        <w:rPr>
          <w:rStyle w:val="FootnoteReference"/>
          <w:sz w:val="22"/>
          <w:szCs w:val="22"/>
        </w:rPr>
        <w:footnoteReference w:id="114"/>
      </w:r>
      <w:r w:rsidRPr="001048A9">
        <w:rPr>
          <w:szCs w:val="22"/>
        </w:rPr>
        <w:t xml:space="preserve"> </w:t>
      </w:r>
      <w:r>
        <w:t xml:space="preserve"> We agree with these views and find that DIRS reports are inadequate for providing actionable infrastructure status information if they do not specifically identify impacts to public safety voice and broadband network customers and efforts to restore service for public safety customers.</w:t>
      </w:r>
      <w:r>
        <w:rPr>
          <w:rStyle w:val="FootnoteReference"/>
        </w:rPr>
        <w:footnoteReference w:id="115"/>
      </w:r>
      <w:r>
        <w:t xml:space="preserve">  Moreover, government stakeholders commonly request that the FCC share DIRS reports about FirstNet, but no</w:t>
      </w:r>
      <w:r w:rsidRPr="000846A6">
        <w:t xml:space="preserve"> </w:t>
      </w:r>
      <w:r>
        <w:t>p</w:t>
      </w:r>
      <w:r w:rsidRPr="000846A6">
        <w:t xml:space="preserve">ublic </w:t>
      </w:r>
      <w:r>
        <w:t>s</w:t>
      </w:r>
      <w:r w:rsidRPr="000846A6">
        <w:t xml:space="preserve">afety </w:t>
      </w:r>
      <w:r>
        <w:t>voice and b</w:t>
      </w:r>
      <w:r w:rsidRPr="000846A6">
        <w:t xml:space="preserve">roadband </w:t>
      </w:r>
      <w:r>
        <w:t>n</w:t>
      </w:r>
      <w:r w:rsidRPr="000846A6">
        <w:t xml:space="preserve">etwork </w:t>
      </w:r>
      <w:r>
        <w:t>operator</w:t>
      </w:r>
      <w:r w:rsidRPr="000846A6">
        <w:t xml:space="preserve"> has </w:t>
      </w:r>
      <w:r>
        <w:t xml:space="preserve">voluntarily </w:t>
      </w:r>
      <w:r w:rsidRPr="000846A6">
        <w:t>provided information specific to the status of those network functions in their DIRS reports</w:t>
      </w:r>
      <w:r>
        <w:t xml:space="preserve"> to date.  </w:t>
      </w:r>
      <w:r w:rsidRPr="668561AA">
        <w:t>Mandat</w:t>
      </w:r>
      <w:r>
        <w:t>ory</w:t>
      </w:r>
      <w:r w:rsidRPr="668561AA">
        <w:t xml:space="preserve"> DIRS reporting will close this gap and provide critical visibility and situational awareness into </w:t>
      </w:r>
      <w:r>
        <w:t>these</w:t>
      </w:r>
      <w:r w:rsidRPr="668561AA">
        <w:t xml:space="preserve"> vital </w:t>
      </w:r>
      <w:r>
        <w:t xml:space="preserve">public-safety </w:t>
      </w:r>
      <w:r w:rsidRPr="668561AA">
        <w:t>network</w:t>
      </w:r>
      <w:r>
        <w:t>s</w:t>
      </w:r>
      <w:r w:rsidRPr="668561AA">
        <w:t xml:space="preserve"> during disasters</w:t>
      </w:r>
      <w:r>
        <w:t>, consistent with the Commission’s reasoning for previously requiring other types of providers to file in DIRS</w:t>
      </w:r>
      <w:r w:rsidRPr="668561AA">
        <w:t>.</w:t>
      </w:r>
      <w:r>
        <w:rPr>
          <w:rStyle w:val="FootnoteReference"/>
        </w:rPr>
        <w:footnoteReference w:id="116"/>
      </w:r>
    </w:p>
    <w:p w:rsidR="00203CCB" w:rsidP="00C329A5" w14:paraId="334C9FB2" w14:textId="77777777">
      <w:pPr>
        <w:pStyle w:val="ParaNum"/>
        <w:widowControl/>
      </w:pPr>
      <w:r>
        <w:t>AT&amp;T and Verizon oppose making public safety voice and broadband network reporting mandatory, asserting such additional reporting is unnecessary, duplicative, and may be misleading.</w:t>
      </w:r>
      <w:r>
        <w:rPr>
          <w:rStyle w:val="FootnoteReference"/>
        </w:rPr>
        <w:footnoteReference w:id="117"/>
      </w:r>
      <w:r>
        <w:t xml:space="preserve">  With respect to FirstNet, AT&amp;T’s states that information about FirstNet’s network status, infrastructure, and assets is already included as part of AT&amp;T’s DIRS reporting and is provided directly to FirstNet’s public safety customers via the FirstNet Central platform.</w:t>
      </w:r>
      <w:r>
        <w:rPr>
          <w:rStyle w:val="FootnoteReference"/>
        </w:rPr>
        <w:footnoteReference w:id="118"/>
      </w:r>
      <w:r>
        <w:t xml:space="preserve">  Verizon acknowledges the Commission’s “legitimate situational awareness interest in a wireless outage’s impact on public safety users[,]”</w:t>
      </w:r>
      <w:r>
        <w:rPr>
          <w:rStyle w:val="FootnoteReference"/>
        </w:rPr>
        <w:footnoteReference w:id="119"/>
      </w:r>
      <w:r>
        <w:t xml:space="preserve"> but is concerned such reporting may double-count infrastructure impacts since the same networks are used for commercial and public safety purposes, be inaccurate as providers may have different designations for </w:t>
      </w:r>
      <w:r>
        <w:t>what constitutes a public safety customer, and, as AT&amp;T notes, likely duplicates information being provided directly to customers.</w:t>
      </w:r>
      <w:r>
        <w:rPr>
          <w:rStyle w:val="FootnoteReference"/>
        </w:rPr>
        <w:footnoteReference w:id="120"/>
      </w:r>
      <w:r>
        <w:t xml:space="preserve">  We find </w:t>
      </w:r>
      <w:r w:rsidRPr="668561AA">
        <w:t xml:space="preserve">that </w:t>
      </w:r>
      <w:r>
        <w:t>mandatory</w:t>
      </w:r>
      <w:r w:rsidRPr="668561AA">
        <w:t xml:space="preserve"> reporting </w:t>
      </w:r>
      <w:r>
        <w:t xml:space="preserve">for public safety voice and broadband networks </w:t>
      </w:r>
      <w:r w:rsidRPr="668561AA">
        <w:t xml:space="preserve">in DIRS is </w:t>
      </w:r>
      <w:r>
        <w:t xml:space="preserve">both </w:t>
      </w:r>
      <w:r w:rsidRPr="668561AA">
        <w:t>necessary to ensure public safety officials can respond during disasters</w:t>
      </w:r>
      <w:r>
        <w:t>,</w:t>
      </w:r>
      <w:r w:rsidRPr="668561AA">
        <w:t xml:space="preserve"> and</w:t>
      </w:r>
      <w:r>
        <w:t>,</w:t>
      </w:r>
      <w:r w:rsidRPr="668561AA">
        <w:t xml:space="preserve"> </w:t>
      </w:r>
      <w:r>
        <w:t xml:space="preserve">as Verizon observes, will provide important situational awareness that does not exist today regarding the status of all of these critical networks.  </w:t>
      </w:r>
      <w:r w:rsidRPr="000846A6">
        <w:t xml:space="preserve">  </w:t>
      </w:r>
    </w:p>
    <w:p w:rsidR="00203CCB" w:rsidP="00C329A5" w14:paraId="1D974ED3" w14:textId="77777777">
      <w:pPr>
        <w:pStyle w:val="ParaNum"/>
        <w:widowControl/>
      </w:pPr>
      <w:r>
        <w:t>W</w:t>
      </w:r>
      <w:r w:rsidRPr="668561AA">
        <w:t xml:space="preserve">e find </w:t>
      </w:r>
      <w:r>
        <w:t xml:space="preserve">that direct reporting to enterprise customers via interfaces such as </w:t>
      </w:r>
      <w:r w:rsidRPr="668561AA">
        <w:t xml:space="preserve">FirstNet Central </w:t>
      </w:r>
      <w:r>
        <w:t>is</w:t>
      </w:r>
      <w:r w:rsidRPr="668561AA">
        <w:t xml:space="preserve"> an inadequate substitute for the visibility </w:t>
      </w:r>
      <w:r>
        <w:t>that</w:t>
      </w:r>
      <w:r w:rsidRPr="668561AA">
        <w:t xml:space="preserve"> DIRS reporting will yield.</w:t>
      </w:r>
      <w:r>
        <w:rPr>
          <w:rStyle w:val="FootnoteReference"/>
        </w:rPr>
        <w:footnoteReference w:id="121"/>
      </w:r>
      <w:r w:rsidRPr="5869CA35">
        <w:t xml:space="preserve">  </w:t>
      </w:r>
      <w:r>
        <w:t>AT&amp;T asserts that FirstNet Central provides its users with “near real-time network status[,]” enabling FirstNet users access to more information [than DIRS], even during emergency events that do not rise to the level of a DIRS activation.</w:t>
      </w:r>
      <w:r>
        <w:rPr>
          <w:rStyle w:val="FootnoteReference"/>
        </w:rPr>
        <w:footnoteReference w:id="122"/>
      </w:r>
      <w:r>
        <w:t xml:space="preserve">  </w:t>
      </w:r>
      <w:r w:rsidRPr="5869CA35">
        <w:t xml:space="preserve">We </w:t>
      </w:r>
      <w:r w:rsidRPr="5129F40A">
        <w:t xml:space="preserve">are unpersuaded by </w:t>
      </w:r>
      <w:r>
        <w:t>the argument that outage information public safety voice and broadband network operators share with public-safety subscribers obviates DIRS reporting.</w:t>
      </w:r>
      <w:r>
        <w:rPr>
          <w:rStyle w:val="FootnoteReference"/>
        </w:rPr>
        <w:footnoteReference w:id="123"/>
      </w:r>
      <w:r>
        <w:t xml:space="preserve">  While a public safety voice and broadband network operator may share information about its network status relevant to its own customers, not all public safety customers subscribe to the same public safety voice and broadband network.  During a disaster, those customers may need to communicate with public safety entities that are customers of a different public safety voice and broadband network.  Thus, broader visibility to the public safety voice and broadband network ecosystem is essential to identify outages that may impede seamless communications among customers of all public safety voice and broadband networks.  Through mandatory DIRS reporting, the Commission can aggregate public safety voice and broadband network status information for all such networks and provide more comprehensive visibility than any single, network-specific outage reporting platform like FirstNet Central can provide.</w:t>
      </w:r>
      <w:r>
        <w:rPr>
          <w:rStyle w:val="FootnoteReference"/>
        </w:rPr>
        <w:footnoteReference w:id="124"/>
      </w:r>
      <w:r>
        <w:t xml:space="preserve">    </w:t>
      </w:r>
    </w:p>
    <w:p w:rsidR="00203CCB" w:rsidP="00C329A5" w14:paraId="50B7C25A" w14:textId="77777777">
      <w:pPr>
        <w:pStyle w:val="ParaNum"/>
        <w:widowControl/>
      </w:pPr>
      <w:r>
        <w:t xml:space="preserve">Other aspects of the outage notifications provided by public safety voice and broadband network operators to their customers today further demonstrate how those notifications fail to sufficiently accomplish our goals.  Information that public safety voice and broadband network operators </w:t>
      </w:r>
      <w:r w:rsidRPr="5129F40A">
        <w:t xml:space="preserve">report directly to </w:t>
      </w:r>
      <w:r>
        <w:t xml:space="preserve">enterprise customers is not available </w:t>
      </w:r>
      <w:r w:rsidRPr="5129F40A">
        <w:t>to state, Tribal, territorial, or Federal agencies that are not</w:t>
      </w:r>
      <w:r>
        <w:t xml:space="preserve"> </w:t>
      </w:r>
      <w:r w:rsidRPr="5129F40A">
        <w:t>themselves FirstNet users</w:t>
      </w:r>
      <w:r w:rsidRPr="5869CA35">
        <w:t xml:space="preserve">.  Additionally, while FirstNet Central may provide some outage-specific information, </w:t>
      </w:r>
      <w:r>
        <w:t xml:space="preserve">T-Mobile observes that FirstNet </w:t>
      </w:r>
      <w:r w:rsidRPr="5869CA35">
        <w:t xml:space="preserve">does not </w:t>
      </w:r>
      <w:r>
        <w:t xml:space="preserve">provide information </w:t>
      </w:r>
      <w:r w:rsidRPr="5869CA35">
        <w:t>within any specific timeframe after an outage begins, or update information at any specific interval thereafter</w:t>
      </w:r>
      <w:r w:rsidRPr="00466C12">
        <w:rPr>
          <w:szCs w:val="22"/>
        </w:rPr>
        <w:t>.</w:t>
      </w:r>
      <w:r>
        <w:rPr>
          <w:rStyle w:val="FootnoteReference"/>
        </w:rPr>
        <w:footnoteReference w:id="125"/>
      </w:r>
      <w:r w:rsidRPr="5869CA35">
        <w:t xml:space="preserve"> </w:t>
      </w:r>
      <w:r>
        <w:t xml:space="preserve"> It is also unclear </w:t>
      </w:r>
      <w:r>
        <w:t>whether FirstNet Central provides its customers with outage information on a customer-specific basis, or on a larger scale such as a region, state, or for its network as a whole.  Moreover, it is uncertain the extent to which FirstNet Central provides infrastructure status in addition to the information it provides on “operational status[.]”</w:t>
      </w:r>
      <w:r>
        <w:rPr>
          <w:rStyle w:val="FootnoteReference"/>
        </w:rPr>
        <w:footnoteReference w:id="126"/>
      </w:r>
      <w:r>
        <w:t xml:space="preserve">  DIRS’ inclusion of infrastructure status makes it more robust and useful, providing visibility to the damaged equipment that would need to be restored to reestablish critical connectivity.</w:t>
      </w:r>
      <w:r>
        <w:rPr>
          <w:rStyle w:val="FootnoteReference"/>
        </w:rPr>
        <w:footnoteReference w:id="127"/>
      </w:r>
      <w:r>
        <w:t xml:space="preserve">  Aside from FirstNet, t</w:t>
      </w:r>
      <w:r w:rsidRPr="00466C12">
        <w:rPr>
          <w:szCs w:val="22"/>
        </w:rPr>
        <w:t xml:space="preserve">he record is silent on whether or how Verizon and T-Mobile notify Frontline and T-Priority users, respectively, of outages on their </w:t>
      </w:r>
      <w:r>
        <w:rPr>
          <w:szCs w:val="22"/>
        </w:rPr>
        <w:t xml:space="preserve">public safety </w:t>
      </w:r>
      <w:r>
        <w:t xml:space="preserve">voice and </w:t>
      </w:r>
      <w:r>
        <w:rPr>
          <w:szCs w:val="22"/>
        </w:rPr>
        <w:t>broadband n</w:t>
      </w:r>
      <w:r w:rsidRPr="00466C12">
        <w:rPr>
          <w:szCs w:val="22"/>
        </w:rPr>
        <w:t>etworks,</w:t>
      </w:r>
      <w:r>
        <w:rPr>
          <w:rStyle w:val="FootnoteReference"/>
          <w:szCs w:val="22"/>
        </w:rPr>
        <w:footnoteReference w:id="128"/>
      </w:r>
      <w:r w:rsidRPr="00466C12">
        <w:rPr>
          <w:szCs w:val="22"/>
        </w:rPr>
        <w:t xml:space="preserve"> </w:t>
      </w:r>
      <w:r>
        <w:rPr>
          <w:szCs w:val="22"/>
        </w:rPr>
        <w:t xml:space="preserve">but </w:t>
      </w:r>
      <w:r w:rsidRPr="00466C12">
        <w:rPr>
          <w:szCs w:val="22"/>
        </w:rPr>
        <w:t>no information about the operational status of these networks has been reported</w:t>
      </w:r>
      <w:r w:rsidRPr="5129F40A">
        <w:t xml:space="preserve"> directly to the Commission, nor </w:t>
      </w:r>
      <w:r>
        <w:t xml:space="preserve">are we aware of </w:t>
      </w:r>
      <w:r w:rsidRPr="5129F40A">
        <w:t>state, Tribal, territorial, or Federal agencies that are not</w:t>
      </w:r>
      <w:r>
        <w:t xml:space="preserve"> </w:t>
      </w:r>
      <w:r w:rsidRPr="5129F40A">
        <w:t xml:space="preserve">themselves </w:t>
      </w:r>
      <w:r>
        <w:t xml:space="preserve">Frontline or T-Priority </w:t>
      </w:r>
      <w:r w:rsidRPr="5129F40A">
        <w:t>users</w:t>
      </w:r>
      <w:r>
        <w:t xml:space="preserve"> receiving access to this information</w:t>
      </w:r>
      <w:r w:rsidRPr="5869CA35">
        <w:t xml:space="preserve">.  </w:t>
      </w:r>
      <w:r>
        <w:t>Accordingly, we find that customer-specific outage communications are</w:t>
      </w:r>
      <w:r w:rsidRPr="668561AA">
        <w:t xml:space="preserve"> inadequate substitute</w:t>
      </w:r>
      <w:r>
        <w:t>s</w:t>
      </w:r>
      <w:r w:rsidRPr="668561AA">
        <w:t xml:space="preserve"> for the visibility and situational awareness DIRS reporting will yield</w:t>
      </w:r>
      <w:r>
        <w:t xml:space="preserve"> for emergency management agencies and the Commission</w:t>
      </w:r>
      <w:r w:rsidRPr="668561AA">
        <w:t xml:space="preserve">.  </w:t>
      </w:r>
    </w:p>
    <w:p w:rsidR="00203CCB" w:rsidP="00C329A5" w14:paraId="34A7DE66" w14:textId="77777777">
      <w:pPr>
        <w:pStyle w:val="ParaNum"/>
        <w:widowControl/>
      </w:pPr>
      <w:r>
        <w:t xml:space="preserve">We require public safety voice and broadband network operators to file in DIRS irrespective of whether their service is integrated into their network or standalone.  T-Mobile asserts that only FirstNet and other providers of </w:t>
      </w:r>
      <w:r w:rsidRPr="0063508A">
        <w:t>standalone</w:t>
      </w:r>
      <w:r>
        <w:t xml:space="preserve"> public safety networks should be required to report in DIRS,</w:t>
      </w:r>
      <w:r>
        <w:rPr>
          <w:rStyle w:val="FootnoteReference"/>
        </w:rPr>
        <w:footnoteReference w:id="129"/>
      </w:r>
      <w:r>
        <w:t xml:space="preserve"> and that T-Mobile, which offers its T-Priority service through a dedicated 5G network slice,</w:t>
      </w:r>
      <w:r>
        <w:rPr>
          <w:rStyle w:val="FootnoteReference"/>
        </w:rPr>
        <w:footnoteReference w:id="130"/>
      </w:r>
      <w:r>
        <w:t xml:space="preserve"> should be exempt.  In our view, this distinction is immaterial.  Operators of public safety voice and broadband networks can prioritize service restoration to those networks irrespective of whether they are physically or logically diverse.</w:t>
      </w:r>
      <w:r>
        <w:rPr>
          <w:rStyle w:val="FootnoteReference"/>
        </w:rPr>
        <w:footnoteReference w:id="131"/>
      </w:r>
      <w:r>
        <w:t xml:space="preserve">  Network slicing allows network administrators to dynamically prioritize access (and, potentially, post-outage service restoration) to transport, backhaul, and core network functions for public safety customers during emergency response and disaster recovery efforts when network congestion is more likely to occur.</w:t>
      </w:r>
      <w:r>
        <w:rPr>
          <w:rStyle w:val="FootnoteReference"/>
        </w:rPr>
        <w:footnoteReference w:id="132"/>
      </w:r>
      <w:r>
        <w:t xml:space="preserve">  Excluding such offerings from the requirement we adopt today would limit our and public safety agencies’ visibility into the status of these important services based on a network architecture distinction that is irrelevant to their importance during disasters and emergencies.</w:t>
      </w:r>
    </w:p>
    <w:p w:rsidR="00203CCB" w:rsidP="00C329A5" w14:paraId="270BB185" w14:textId="77777777">
      <w:pPr>
        <w:pStyle w:val="ParaNum"/>
        <w:widowControl/>
      </w:pPr>
      <w:r>
        <w:t>To eliminate the potential for both duplicative reporting burdens and “overstating the physical and user impact of an outage</w:t>
      </w:r>
      <w:r>
        <w:t>,</w:t>
      </w:r>
      <w:r>
        <w:t>”</w:t>
      </w:r>
      <w:r>
        <w:rPr>
          <w:rStyle w:val="FootnoteReference"/>
        </w:rPr>
        <w:footnoteReference w:id="133"/>
      </w:r>
      <w:r>
        <w:t xml:space="preserve"> </w:t>
      </w:r>
      <w:r>
        <w:t>we will allow operators of public safety voice and broadband networks to satisfy their DIRS reporting obligation by indicating</w:t>
      </w:r>
      <w:r>
        <w:t xml:space="preserve"> </w:t>
      </w:r>
      <w:r>
        <w:t xml:space="preserve">whether the status of their public safety voice and broadband network is the same as the status of their other network infrastructure.  In the event that the status is not the same, then we require the fields in DIRS that are applicable to that network to be completed to identify specific impacts.  This approach is consistent with Verizon’s proposal for “a simple voluntary Yes/No checkbox field . . . that answers the question ‘Public Safety Voice and Broadband </w:t>
      </w:r>
      <w:r>
        <w:t>Network Customers Affected?’”</w:t>
      </w:r>
      <w:r>
        <w:rPr>
          <w:rStyle w:val="FootnoteReference"/>
        </w:rPr>
        <w:footnoteReference w:id="134"/>
      </w:r>
      <w:r>
        <w:t xml:space="preserve">  At the same time,</w:t>
      </w:r>
      <w:r>
        <w:t xml:space="preserve"> </w:t>
      </w:r>
      <w:r>
        <w:t xml:space="preserve">we find it critical to require these providers to submit additional information to help the Commission identify public safety communications-specific impacts and restoration information, so we require </w:t>
      </w:r>
      <w:r>
        <w:rPr>
          <w:rFonts w:eastAsia="Arial"/>
        </w:rPr>
        <w:t xml:space="preserve">them to submit the information that is appropriate for their type of network (e.g., the provider of a wireless public safety </w:t>
      </w:r>
      <w:r>
        <w:t xml:space="preserve">voice and </w:t>
      </w:r>
      <w:r>
        <w:rPr>
          <w:rFonts w:eastAsia="Arial"/>
        </w:rPr>
        <w:t xml:space="preserve">broadband network shall complete the wireless service provider fields in DIRS).  </w:t>
      </w:r>
      <w:r>
        <w:t>This approach strikes a balance that will ensure we collect important information about public safety impacts that will provide the Commission and our federal, state, Tribal, and territorial partners with visibility into the operational status of these networks while minimizing new burdens on providers.</w:t>
      </w:r>
      <w:r>
        <w:rPr>
          <w:rStyle w:val="FootnoteReference"/>
        </w:rPr>
        <w:footnoteReference w:id="135"/>
      </w:r>
      <w:r>
        <w:t xml:space="preserve">  While Verizon expresses concern about the potential for “apples-to-oranges comparisons between providers that have different designations for what constitutes a ‘public safety’ entity,”</w:t>
      </w:r>
      <w:r>
        <w:rPr>
          <w:rStyle w:val="FootnoteReference"/>
        </w:rPr>
        <w:footnoteReference w:id="136"/>
      </w:r>
      <w:r>
        <w:t xml:space="preserve"> this does not deter us</w:t>
      </w:r>
      <w:r>
        <w:t xml:space="preserve"> from </w:t>
      </w:r>
      <w:r>
        <w:t xml:space="preserve">our conclusion.  We think it reasonable that each </w:t>
      </w:r>
      <w:r>
        <w:t xml:space="preserve">public safety </w:t>
      </w:r>
      <w:r>
        <w:t>voice and broadband network operator will have eligibility criteria that requires customers on their respective networks to have a legitimate public safety purpose in order to subscribe.  We acknowledge this criteria may not be identical across all public safety voice and broadband networks, but find this potential variance will not adversely affect our goal of capturing impacts to public safety customers.</w:t>
      </w:r>
      <w:r>
        <w:t xml:space="preserve">  </w:t>
      </w:r>
      <w:r>
        <w:t xml:space="preserve">As with the other changes we implement today, we delegate authority to the Bureau to integrate public safety voice and broadband networks’ infrastructure status into DIRS reporting.  </w:t>
      </w:r>
    </w:p>
    <w:p w:rsidR="00203CCB" w:rsidP="00EB7CCD" w14:paraId="06A5F337" w14:textId="77777777">
      <w:pPr>
        <w:pStyle w:val="Heading2"/>
        <w:widowControl/>
      </w:pPr>
      <w:bookmarkStart w:id="46" w:name="_Toc225166315"/>
      <w:bookmarkStart w:id="47" w:name="_Toc225356778"/>
      <w:bookmarkStart w:id="48" w:name="_Toc227662251"/>
      <w:bookmarkStart w:id="49" w:name="_Toc230244550"/>
      <w:bookmarkStart w:id="50" w:name="_Toc230246368"/>
      <w:r>
        <w:t>Retaining</w:t>
      </w:r>
      <w:r w:rsidRPr="00366CC1">
        <w:t xml:space="preserve"> NORS </w:t>
      </w:r>
      <w:r>
        <w:t>R</w:t>
      </w:r>
      <w:r w:rsidRPr="00366CC1">
        <w:t xml:space="preserve">eporting </w:t>
      </w:r>
      <w:r>
        <w:t>Requirements for</w:t>
      </w:r>
      <w:r w:rsidRPr="00366CC1">
        <w:t xml:space="preserve"> DIRS-Lite </w:t>
      </w:r>
      <w:r>
        <w:t>A</w:t>
      </w:r>
      <w:r w:rsidRPr="00366CC1">
        <w:t>ctivations</w:t>
      </w:r>
      <w:bookmarkEnd w:id="46"/>
      <w:bookmarkEnd w:id="47"/>
      <w:bookmarkEnd w:id="48"/>
      <w:bookmarkEnd w:id="49"/>
      <w:bookmarkEnd w:id="50"/>
      <w:r w:rsidRPr="00366CC1">
        <w:t xml:space="preserve"> </w:t>
      </w:r>
    </w:p>
    <w:p w:rsidR="00203CCB" w:rsidP="00C329A5" w14:paraId="27704BCA" w14:textId="77777777">
      <w:pPr>
        <w:pStyle w:val="ParaNum"/>
        <w:widowControl/>
      </w:pPr>
      <w:r>
        <w:t xml:space="preserve">At this time, we decline to extend the suspension of </w:t>
      </w:r>
      <w:r w:rsidRPr="00CE07B0">
        <w:t xml:space="preserve">NORS reporting </w:t>
      </w:r>
      <w:r>
        <w:t xml:space="preserve">requirements during DIRS activations to </w:t>
      </w:r>
      <w:r w:rsidRPr="00CE07B0">
        <w:t>DIRS-Lite activations</w:t>
      </w:r>
      <w:r>
        <w:t>, which we believe is necessary to preserve our visibility into outages that result from disasters for which we activate DIRS-Lite.  By contrast to DIRS activations, the Commission activates DIRS-Lite for disasters that are less severe than those warranting a full DIRS activation.</w:t>
      </w:r>
      <w:r>
        <w:rPr>
          <w:rStyle w:val="FootnoteReference"/>
        </w:rPr>
        <w:footnoteReference w:id="137"/>
      </w:r>
      <w:r w:rsidRPr="00B11412">
        <w:t xml:space="preserve"> </w:t>
      </w:r>
      <w:r>
        <w:t xml:space="preserve"> In anticipation of disaster impacts on communications services that are less severe, but that are nonetheless important for local emergency managers to understand on a day-to-day basis, the Commission can choose to collect infrastructure status information from providers by activating DIRS-Lite.</w:t>
      </w:r>
      <w:r>
        <w:rPr>
          <w:rStyle w:val="FootnoteReference"/>
        </w:rPr>
        <w:footnoteReference w:id="138"/>
      </w:r>
      <w:r>
        <w:t xml:space="preserve">  When the Commission activates DIRS-Lite, it collects infrastructure status information informally, </w:t>
      </w:r>
      <w:r w:rsidRPr="00CE07B0">
        <w:t>by e‐mail or phone</w:t>
      </w:r>
      <w:r>
        <w:t>, rather than via DIRS’s online interface.  All information that providers offer to the Commission during a DIRS-Lite activation is submitted voluntarily; providers are not required to submit the detailed infrastructure status information that DIRS elicits.</w:t>
      </w:r>
      <w:r>
        <w:rPr>
          <w:rStyle w:val="FootnoteReference"/>
        </w:rPr>
        <w:footnoteReference w:id="139"/>
      </w:r>
      <w:r>
        <w:t xml:space="preserve">  The daily cadence of infrastructure status information during DIRS-Lite activations supplements more fulsome information that providers are required to report in NORS for outages that meet the Commission’s reporting thresholds.  The Commission has never waived NORS reporting requirements during an activation of DIRS-Lite.  Accordingly, we disagree with</w:t>
      </w:r>
      <w:r w:rsidRPr="00884F80">
        <w:t xml:space="preserve"> ATIS, CTIA, </w:t>
      </w:r>
      <w:r w:rsidRPr="00884F80">
        <w:t>USTelecom</w:t>
      </w:r>
      <w:r w:rsidRPr="00884F80">
        <w:t>, and Verizon</w:t>
      </w:r>
      <w:r>
        <w:t xml:space="preserve"> that we should</w:t>
      </w:r>
      <w:r w:rsidRPr="00884F80">
        <w:t xml:space="preserve"> </w:t>
      </w:r>
      <w:r>
        <w:t>waive</w:t>
      </w:r>
      <w:r w:rsidRPr="00884F80">
        <w:t xml:space="preserve"> NORS </w:t>
      </w:r>
      <w:r>
        <w:t xml:space="preserve">requirements during </w:t>
      </w:r>
      <w:r w:rsidRPr="00884F80">
        <w:t>DIRS-Lite activations</w:t>
      </w:r>
      <w:r>
        <w:t>.</w:t>
      </w:r>
      <w:r>
        <w:rPr>
          <w:rStyle w:val="FootnoteReference"/>
        </w:rPr>
        <w:footnoteReference w:id="140"/>
      </w:r>
      <w:r w:rsidRPr="00884F80">
        <w:t xml:space="preserve"> </w:t>
      </w:r>
      <w:r>
        <w:t xml:space="preserve"> </w:t>
      </w:r>
    </w:p>
    <w:p w:rsidR="00203CCB" w:rsidP="00C329A5" w14:paraId="1A1850D0" w14:textId="77777777">
      <w:pPr>
        <w:pStyle w:val="ParaNum"/>
        <w:widowControl/>
      </w:pPr>
      <w:r>
        <w:t xml:space="preserve">We agree with Public Knowledge that suspending NORS filing obligations during DIRS-Lite activations could create a gap in the Commission’s information about network reliability by shifting the type of information that the Commission collects from information about outage root causes and subscriber impacts to information about infrastructure status at the time that network outages are most </w:t>
      </w:r>
      <w:r>
        <w:t>likely to occur.</w:t>
      </w:r>
      <w:r>
        <w:rPr>
          <w:rStyle w:val="FootnoteReference"/>
        </w:rPr>
        <w:footnoteReference w:id="141"/>
      </w:r>
      <w:r>
        <w:t xml:space="preserve">  W</w:t>
      </w:r>
      <w:r w:rsidRPr="00884F80">
        <w:t xml:space="preserve">e </w:t>
      </w:r>
      <w:r>
        <w:t xml:space="preserve">also </w:t>
      </w:r>
      <w:r w:rsidRPr="00884F80">
        <w:t>agree with Public Knowledge that extending the NORS waiver to DIRS-Lite activations may make it necessary for the Bureau to annually reconcile NORS filings, DIRS filings, and DIRS-Lite in order to maintain a complete picture of network resilience.</w:t>
      </w:r>
      <w:r>
        <w:rPr>
          <w:vertAlign w:val="superscript"/>
        </w:rPr>
        <w:footnoteReference w:id="142"/>
      </w:r>
      <w:r w:rsidRPr="00884F80">
        <w:t xml:space="preserve"> </w:t>
      </w:r>
      <w:r>
        <w:t xml:space="preserve"> </w:t>
      </w:r>
      <w:r w:rsidRPr="00884F80">
        <w:t>We believe that this would pose significant administrative burdens for the Commission that outweigh the benefits of waiving NORS filings</w:t>
      </w:r>
      <w:r>
        <w:t xml:space="preserve">.  In addition, we are not persuaded that DIRS-Lite activations present burdens to providers that would meaningfully detract from their service restoration efforts.  For these reasons, we decline to extend the suspension of </w:t>
      </w:r>
      <w:r w:rsidRPr="00CE07B0">
        <w:t xml:space="preserve">NORS reporting </w:t>
      </w:r>
      <w:r>
        <w:t xml:space="preserve">requirements to </w:t>
      </w:r>
      <w:r w:rsidRPr="00CE07B0">
        <w:t>DIRS-Lite activations</w:t>
      </w:r>
      <w:r>
        <w:t xml:space="preserve">. </w:t>
      </w:r>
      <w:r w:rsidRPr="00884F80">
        <w:t xml:space="preserve"> </w:t>
      </w:r>
    </w:p>
    <w:p w:rsidR="00203CCB" w:rsidP="00EB7CCD" w14:paraId="31E0F988" w14:textId="77777777">
      <w:pPr>
        <w:pStyle w:val="Heading2"/>
        <w:widowControl/>
      </w:pPr>
      <w:bookmarkStart w:id="51" w:name="_Toc227662252"/>
      <w:bookmarkStart w:id="52" w:name="_Toc230244551"/>
      <w:bookmarkStart w:id="53" w:name="_Toc230246369"/>
      <w:r>
        <w:t>Compliance Timeframe</w:t>
      </w:r>
      <w:bookmarkEnd w:id="51"/>
      <w:bookmarkEnd w:id="52"/>
      <w:bookmarkEnd w:id="53"/>
    </w:p>
    <w:p w:rsidR="00203CCB" w:rsidP="00C329A5" w14:paraId="1ED19234" w14:textId="77777777">
      <w:pPr>
        <w:pStyle w:val="ParaNum"/>
        <w:widowControl/>
      </w:pPr>
      <w:r>
        <w:t>With respect to eliminating the DIRS f</w:t>
      </w:r>
      <w:r w:rsidRPr="008F4473">
        <w:t xml:space="preserve">inal </w:t>
      </w:r>
      <w:r>
        <w:t>r</w:t>
      </w:r>
      <w:r w:rsidRPr="008F4473">
        <w:t>eport</w:t>
      </w:r>
      <w:r>
        <w:t xml:space="preserve"> and providing a filing exemption for providers that do not own or operate their own facilities, neither of these changes will necessitate technical changes to DIRS before becoming effective as the providers to which these changes apply can simply decline to file the reports in question.  Accordingly, both changes to our rules shall be effective immediately upon publication of this </w:t>
      </w:r>
      <w:r>
        <w:rPr>
          <w:i/>
          <w:iCs/>
        </w:rPr>
        <w:t>Third Report and Order</w:t>
      </w:r>
      <w:r>
        <w:t xml:space="preserve"> in the Federal Register.</w:t>
      </w:r>
      <w:r>
        <w:rPr>
          <w:rStyle w:val="FootnoteReference"/>
        </w:rPr>
        <w:footnoteReference w:id="143"/>
      </w:r>
      <w:r>
        <w:t xml:space="preserve">  However, we expect that many of the steps that we take today to streamline DIRS, including the creation of a dynamic form, the elimination of unnecessary fields, and the creation of a field to collect more granular location information, will require additional time to modify DIRS.  W</w:t>
      </w:r>
      <w:r w:rsidRPr="003A08E9">
        <w:t xml:space="preserve">e </w:t>
      </w:r>
      <w:r>
        <w:t xml:space="preserve">direct the </w:t>
      </w:r>
      <w:r w:rsidRPr="003A08E9">
        <w:t>Bureau to implement the</w:t>
      </w:r>
      <w:r>
        <w:t xml:space="preserve"> necessary</w:t>
      </w:r>
      <w:r w:rsidRPr="003A08E9">
        <w:t xml:space="preserve"> </w:t>
      </w:r>
      <w:r>
        <w:t xml:space="preserve">technical modifications </w:t>
      </w:r>
      <w:r w:rsidRPr="003A08E9">
        <w:t>to DIRS</w:t>
      </w:r>
      <w:r>
        <w:t xml:space="preserve"> to effectuate the improvements described in this </w:t>
      </w:r>
      <w:r>
        <w:rPr>
          <w:i/>
          <w:iCs/>
        </w:rPr>
        <w:t>Report and Order</w:t>
      </w:r>
      <w:r>
        <w:t xml:space="preserve">, work with stakeholders to share information about and test the improvements to help facilitate any </w:t>
      </w:r>
      <w:r w:rsidRPr="00D754DE">
        <w:rPr>
          <w:rFonts w:eastAsia="Calibri"/>
        </w:rPr>
        <w:t>modif</w:t>
      </w:r>
      <w:r>
        <w:rPr>
          <w:rFonts w:eastAsia="Calibri"/>
        </w:rPr>
        <w:t>ications</w:t>
      </w:r>
      <w:r w:rsidRPr="00D754DE">
        <w:rPr>
          <w:rFonts w:eastAsia="Calibri"/>
        </w:rPr>
        <w:t xml:space="preserve"> </w:t>
      </w:r>
      <w:r>
        <w:rPr>
          <w:rFonts w:eastAsia="Calibri"/>
        </w:rPr>
        <w:t xml:space="preserve">to </w:t>
      </w:r>
      <w:r w:rsidRPr="00D754DE">
        <w:rPr>
          <w:rFonts w:eastAsia="Calibri"/>
        </w:rPr>
        <w:t xml:space="preserve">their </w:t>
      </w:r>
      <w:r>
        <w:rPr>
          <w:rFonts w:eastAsia="Calibri"/>
        </w:rPr>
        <w:t>reporting practices</w:t>
      </w:r>
      <w:r>
        <w:t>, and release a Public Notice to notify stakeholders when those improvements have been implemented</w:t>
      </w:r>
      <w:r w:rsidRPr="003A08E9">
        <w:t>.</w:t>
      </w:r>
    </w:p>
    <w:p w:rsidR="00203CCB" w:rsidP="00C329A5" w14:paraId="68E2866B" w14:textId="77777777">
      <w:pPr>
        <w:pStyle w:val="ParaNum"/>
        <w:widowControl/>
      </w:pPr>
      <w:r w:rsidRPr="001A1DEB">
        <w:t xml:space="preserve">We </w:t>
      </w:r>
      <w:r>
        <w:t>require public safety voice and broadband network operators to begin reporting in DIRS on</w:t>
      </w:r>
      <w:r w:rsidRPr="001A1DEB">
        <w:t xml:space="preserve"> the lat</w:t>
      </w:r>
      <w:r>
        <w:t>er</w:t>
      </w:r>
      <w:r w:rsidRPr="001A1DEB">
        <w:t xml:space="preserve"> of </w:t>
      </w:r>
      <w:r>
        <w:t xml:space="preserve">(i) </w:t>
      </w:r>
      <w:r w:rsidRPr="005D3960">
        <w:rPr>
          <w:snapToGrid/>
        </w:rPr>
        <w:t xml:space="preserve">30 days after the Bureau announces that the Office of Management and Budget has completed its review of this requirement pursuant to the Paperwork Reduction Act and that DIRS is ready to receive public safety </w:t>
      </w:r>
      <w:r>
        <w:t xml:space="preserve">voice and </w:t>
      </w:r>
      <w:r w:rsidRPr="005D3960">
        <w:rPr>
          <w:snapToGrid/>
        </w:rPr>
        <w:t xml:space="preserve">broadband network operators’ filings; or (ii) November 30, 2026.  We believe that this approach will provide sufficient time for </w:t>
      </w:r>
      <w:r>
        <w:t xml:space="preserve">public safety voice and broadband network operators to make any necessary adjustments to their existing reporting processes to comply with the new requirement and to adjust to DIRS modifications. </w:t>
      </w:r>
      <w:r w:rsidRPr="005D3960">
        <w:rPr>
          <w:rFonts w:eastAsia="Calibri"/>
        </w:rPr>
        <w:t xml:space="preserve">  </w:t>
      </w:r>
      <w:r>
        <w:t xml:space="preserve">  </w:t>
      </w:r>
    </w:p>
    <w:p w:rsidR="00203CCB" w:rsidP="00EB7CCD" w14:paraId="554B932F" w14:textId="77777777">
      <w:pPr>
        <w:pStyle w:val="Heading2"/>
        <w:widowControl/>
      </w:pPr>
      <w:bookmarkStart w:id="54" w:name="_Toc227662253"/>
      <w:bookmarkStart w:id="55" w:name="_Toc230244552"/>
      <w:bookmarkStart w:id="56" w:name="_Toc230246370"/>
      <w:r>
        <w:t>Assessing the Benefits and Costs</w:t>
      </w:r>
      <w:bookmarkEnd w:id="54"/>
      <w:bookmarkEnd w:id="55"/>
      <w:bookmarkEnd w:id="56"/>
    </w:p>
    <w:p w:rsidR="00203CCB" w:rsidP="00C329A5" w14:paraId="4F5A4385" w14:textId="77777777">
      <w:pPr>
        <w:pStyle w:val="ParaNum"/>
        <w:widowControl/>
        <w:tabs>
          <w:tab w:val="num" w:pos="1350"/>
        </w:tabs>
      </w:pPr>
      <w:r>
        <w:t>We</w:t>
      </w:r>
      <w:r w:rsidRPr="00CE07B0">
        <w:t xml:space="preserve"> </w:t>
      </w:r>
      <w:r>
        <w:t>conclude</w:t>
      </w:r>
      <w:r w:rsidRPr="00CE07B0">
        <w:t xml:space="preserve"> that </w:t>
      </w:r>
      <w:r>
        <w:t>the rules we adopt today</w:t>
      </w:r>
      <w:r w:rsidRPr="00CE07B0">
        <w:t xml:space="preserve"> to reduce the burdens of DIRS reporting on service providers</w:t>
      </w:r>
      <w:r>
        <w:t xml:space="preserve">, along with new mandatory DIRS reporting requirements for public safety voice and broadband network operators, </w:t>
      </w:r>
      <w:r w:rsidRPr="00CE07B0">
        <w:t xml:space="preserve">will result in </w:t>
      </w:r>
      <w:r>
        <w:t xml:space="preserve">annual </w:t>
      </w:r>
      <w:r w:rsidRPr="00CE07B0">
        <w:t xml:space="preserve">cost savings of </w:t>
      </w:r>
      <w:r>
        <w:t>approximately $4 million, which outweighs the approximately $176,000</w:t>
      </w:r>
      <w:r w:rsidRPr="00011AF4">
        <w:t xml:space="preserve"> one-time cost and the $</w:t>
      </w:r>
      <w:r>
        <w:t>72,000 annual recurring cost to implement these changes</w:t>
      </w:r>
      <w:r w:rsidRPr="00011AF4">
        <w:t>.</w:t>
      </w:r>
      <w:r>
        <w:rPr>
          <w:rStyle w:val="FootnoteReference"/>
        </w:rPr>
        <w:footnoteReference w:id="144"/>
      </w:r>
      <w:r w:rsidRPr="00CE07B0">
        <w:t xml:space="preserve">  </w:t>
      </w:r>
      <w:r>
        <w:t>We find that t</w:t>
      </w:r>
      <w:r w:rsidRPr="00CE07B0">
        <w:t xml:space="preserve">hese </w:t>
      </w:r>
      <w:r>
        <w:t>net</w:t>
      </w:r>
      <w:r w:rsidRPr="00CE07B0">
        <w:t xml:space="preserve"> cost savings, along with </w:t>
      </w:r>
      <w:r>
        <w:t>the public safety benefits that will flow from our actions</w:t>
      </w:r>
      <w:r w:rsidRPr="00CE07B0">
        <w:t xml:space="preserve"> will outweigh </w:t>
      </w:r>
      <w:r>
        <w:t>any new costs and any potential effects on public safety</w:t>
      </w:r>
      <w:r w:rsidRPr="00CE07B0">
        <w:t xml:space="preserve"> from the Commission </w:t>
      </w:r>
      <w:r>
        <w:t xml:space="preserve">no longer </w:t>
      </w:r>
      <w:r w:rsidRPr="00CE07B0">
        <w:t xml:space="preserve">receiving </w:t>
      </w:r>
      <w:r>
        <w:t>and sharing certain types of</w:t>
      </w:r>
      <w:r w:rsidRPr="00CE07B0">
        <w:t xml:space="preserve"> </w:t>
      </w:r>
      <w:r>
        <w:t xml:space="preserve">infrastructure status </w:t>
      </w:r>
      <w:r w:rsidRPr="00CE07B0">
        <w:t>informa</w:t>
      </w:r>
      <w:r>
        <w:t xml:space="preserve">tion.  </w:t>
      </w:r>
    </w:p>
    <w:p w:rsidR="00203CCB" w:rsidP="00C329A5" w14:paraId="54DD302A" w14:textId="77777777">
      <w:pPr>
        <w:pStyle w:val="ParaNum"/>
        <w:widowControl/>
        <w:tabs>
          <w:tab w:val="num" w:pos="1350"/>
        </w:tabs>
      </w:pPr>
      <w:r w:rsidRPr="00D15197">
        <w:t xml:space="preserve">By removing the need for </w:t>
      </w:r>
      <w:r w:rsidRPr="0028019F">
        <w:rPr>
          <w:bCs/>
        </w:rPr>
        <w:t xml:space="preserve">providers to select from the current array of ten separate forms concerning different types of service and infrastructure, we </w:t>
      </w:r>
      <w:r>
        <w:rPr>
          <w:bCs/>
        </w:rPr>
        <w:t>find</w:t>
      </w:r>
      <w:r w:rsidRPr="0028019F">
        <w:rPr>
          <w:bCs/>
        </w:rPr>
        <w:t xml:space="preserve"> that manual filers should be able to complete their filings more quickly.  </w:t>
      </w:r>
      <w:r w:rsidRPr="0028019F">
        <w:rPr>
          <w:rFonts w:eastAsia="Calibri"/>
          <w:snapToGrid/>
        </w:rPr>
        <w:t xml:space="preserve">In addition, we </w:t>
      </w:r>
      <w:r>
        <w:rPr>
          <w:rFonts w:eastAsia="Calibri"/>
          <w:snapToGrid/>
        </w:rPr>
        <w:t>find</w:t>
      </w:r>
      <w:r w:rsidRPr="0028019F">
        <w:rPr>
          <w:rFonts w:eastAsia="Calibri"/>
          <w:snapToGrid/>
        </w:rPr>
        <w:t xml:space="preserve"> that eliminating unnecessary and duplicative fields will allow DIRS filings to be submitted more quickly</w:t>
      </w:r>
      <w:r w:rsidRPr="00D15197">
        <w:t xml:space="preserve">.  </w:t>
      </w:r>
      <w:r>
        <w:t xml:space="preserve">To quantify these cost savings, we use the methodology that we proposed in the </w:t>
      </w:r>
      <w:r w:rsidRPr="00D24DCC">
        <w:rPr>
          <w:i/>
          <w:iCs/>
        </w:rPr>
        <w:t>FNPRM</w:t>
      </w:r>
      <w:r>
        <w:t>.</w:t>
      </w:r>
      <w:r>
        <w:rPr>
          <w:rStyle w:val="FootnoteReference"/>
        </w:rPr>
        <w:footnoteReference w:id="145"/>
      </w:r>
      <w:r>
        <w:t xml:space="preserve">  Consistent with the </w:t>
      </w:r>
      <w:r w:rsidRPr="00D24DCC">
        <w:rPr>
          <w:i/>
          <w:iCs/>
        </w:rPr>
        <w:t>FNPRM</w:t>
      </w:r>
      <w:r>
        <w:t>, we estimate the overall recurring cost savings to providers arising from modifying DIRS to simplify filing to be approximately $143,000 annually.  We arrive at this figure by reducing by 20%, on average, the time we estimate providers will spend filing DIRS reports and by eliminating the cost burden associated with the requirement to provide a DIRS final report.</w:t>
      </w:r>
      <w:r>
        <w:rPr>
          <w:rStyle w:val="FootnoteReference"/>
        </w:rPr>
        <w:footnoteReference w:id="146"/>
      </w:r>
      <w:r>
        <w:t xml:space="preserve">  We acknowledge that a batch filer in DIRS may incur one-time costs “to reconfigure its systems to reorganize how it exports data, and to ensure that the data is formatted in a manner accepted by DIRS” and find those costs to be approximately $176,000.</w:t>
      </w:r>
      <w:r>
        <w:rPr>
          <w:rStyle w:val="FootnoteReference"/>
        </w:rPr>
        <w:footnoteReference w:id="147"/>
      </w:r>
    </w:p>
    <w:p w:rsidR="00203CCB" w:rsidP="00C329A5" w14:paraId="448D95D9" w14:textId="77777777">
      <w:pPr>
        <w:pStyle w:val="ParaNum"/>
        <w:widowControl/>
      </w:pPr>
      <w:r>
        <w:t xml:space="preserve">Our action today to exclude non-facilities-based providers from mandatory DIRS reporting will result in considerable savings for these providers.  We find there will be an estimated $3.9 million annual cost savings for these categories of providers, as explained in the </w:t>
      </w:r>
      <w:r w:rsidRPr="006603C1">
        <w:rPr>
          <w:i/>
          <w:iCs/>
        </w:rPr>
        <w:t>FNPRM</w:t>
      </w:r>
      <w:r>
        <w:t>.</w:t>
      </w:r>
      <w:r>
        <w:rPr>
          <w:rStyle w:val="FootnoteReference"/>
        </w:rPr>
        <w:footnoteReference w:id="148"/>
      </w:r>
      <w:r>
        <w:t xml:space="preserve">  </w:t>
      </w:r>
      <w:r w:rsidRPr="00143CB1">
        <w:t>We estimate the cost saving as follows:</w:t>
      </w:r>
      <w:r>
        <w:t xml:space="preserve"> </w:t>
      </w:r>
      <w:r w:rsidRPr="00143CB1">
        <w:t xml:space="preserve"> 1 office and administrative support worker </w:t>
      </w:r>
      <w:r>
        <w:t xml:space="preserve">working at a wage rate of </w:t>
      </w:r>
      <w:r w:rsidRPr="00143CB1">
        <w:t xml:space="preserve">$35.22 </w:t>
      </w:r>
      <w:r>
        <w:t>per hour working for ten minutes on</w:t>
      </w:r>
      <w:r w:rsidRPr="00143CB1">
        <w:t xml:space="preserve"> the initial entry </w:t>
      </w:r>
      <w:r>
        <w:t>and ten minutes</w:t>
      </w:r>
      <w:r w:rsidRPr="00143CB1">
        <w:t xml:space="preserve"> for </w:t>
      </w:r>
      <w:r>
        <w:t xml:space="preserve">each </w:t>
      </w:r>
      <w:r w:rsidRPr="00143CB1">
        <w:t>daily update</w:t>
      </w:r>
      <w:r>
        <w:t xml:space="preserve"> multiplied by the</w:t>
      </w:r>
      <w:r w:rsidRPr="00143CB1">
        <w:t xml:space="preserve"> 1</w:t>
      </w:r>
      <w:r>
        <w:t>4-</w:t>
      </w:r>
      <w:r w:rsidRPr="00143CB1">
        <w:t xml:space="preserve">day </w:t>
      </w:r>
      <w:r>
        <w:t>average period of a DIRS activation plus the ten minutes saved as a result of no longer having to submit a</w:t>
      </w:r>
      <w:r w:rsidRPr="00143CB1">
        <w:t xml:space="preserve"> final report </w:t>
      </w:r>
      <w:r>
        <w:t xml:space="preserve">multiplied by </w:t>
      </w:r>
      <w:r w:rsidRPr="00143CB1">
        <w:t>3</w:t>
      </w:r>
      <w:r>
        <w:t>39</w:t>
      </w:r>
      <w:r w:rsidRPr="00143CB1">
        <w:t xml:space="preserve"> counties</w:t>
      </w:r>
      <w:r>
        <w:t xml:space="preserve"> in which DIRS is activated, on average, each year, multiplied by the sum of the nation’s estimated </w:t>
      </w:r>
      <w:r w:rsidRPr="00143CB1">
        <w:t xml:space="preserve">82 </w:t>
      </w:r>
      <w:r>
        <w:t>mobile virtual network operators</w:t>
      </w:r>
      <w:r w:rsidRPr="00143CB1">
        <w:t xml:space="preserve"> </w:t>
      </w:r>
      <w:r>
        <w:t>and</w:t>
      </w:r>
      <w:r w:rsidRPr="00143CB1">
        <w:t xml:space="preserve"> 41 reseller</w:t>
      </w:r>
      <w:r>
        <w:t>s.  The result of this calculation is</w:t>
      </w:r>
      <w:r w:rsidRPr="00143CB1">
        <w:t xml:space="preserve"> </w:t>
      </w:r>
      <w:r>
        <w:t>$3,916,182</w:t>
      </w:r>
      <w:r w:rsidRPr="00143CB1">
        <w:t>, which we round to $3.</w:t>
      </w:r>
      <w:r>
        <w:t>9</w:t>
      </w:r>
      <w:r w:rsidRPr="00143CB1">
        <w:t xml:space="preserve"> million.  </w:t>
      </w:r>
      <w:r>
        <w:t xml:space="preserve">No commenters opposed our estimated cost savings or methodology.    </w:t>
      </w:r>
    </w:p>
    <w:p w:rsidR="00203CCB" w:rsidRPr="00B85274" w:rsidP="00C329A5" w14:paraId="06BA7077" w14:textId="77777777">
      <w:pPr>
        <w:pStyle w:val="ParaNum"/>
        <w:widowControl/>
      </w:pPr>
      <w:r>
        <w:t xml:space="preserve">Expanded reporting for public safety voice and broadband network operators will bring new visibility to the status of these critical networks and the essential first responders and emergency management customers who rely on those networks to perform life-saving recovery work.  We estimate that the cost of public safety voice and broadband network operators reporting infrastructure status information in DIRS will not exceed approximately </w:t>
      </w:r>
      <w:r w:rsidRPr="6D10266B">
        <w:t>$</w:t>
      </w:r>
      <w:r>
        <w:t>72,000 annually.</w:t>
      </w:r>
      <w:r>
        <w:rPr>
          <w:rStyle w:val="FootnoteReference"/>
        </w:rPr>
        <w:footnoteReference w:id="149"/>
      </w:r>
      <w:r>
        <w:t xml:space="preserve">  As proposed, we calculate the annual costs for public safety voice and broadband network operators filing in DIRS by applying the hourly wage of an office and administrative support worker ($</w:t>
      </w:r>
      <w:r w:rsidRPr="005E33F5">
        <w:t>35.22</w:t>
      </w:r>
      <w:r>
        <w:t xml:space="preserve">) multiplied by the amount of time we estimate for these providers to enter initial contact information and file one daily status update in DIRS for each day of the </w:t>
      </w:r>
      <w:r w:rsidRPr="00D23512">
        <w:t>14</w:t>
      </w:r>
      <w:r>
        <w:t xml:space="preserve">-day average duration of a DIRS activation.  We note that this figure is likely conservatively high because of our actions to eliminate </w:t>
      </w:r>
      <w:r w:rsidRPr="001243BC">
        <w:t>duplicative reporting burdens</w:t>
      </w:r>
      <w:r>
        <w:t>, including allowing operators of public safety voice and broadband networks to satisfy their DIRS reporting obligation by indicating</w:t>
      </w:r>
      <w:r>
        <w:t xml:space="preserve"> </w:t>
      </w:r>
      <w:r>
        <w:t xml:space="preserve">whether the status of their public safety voice and broadband network is the same as the status of their other network infrastructure.  </w:t>
      </w:r>
    </w:p>
    <w:p w:rsidR="00203CCB" w:rsidRPr="003B6EF8" w:rsidP="00081A05" w14:paraId="39793569" w14:textId="77777777">
      <w:pPr>
        <w:pStyle w:val="Heading1"/>
        <w:widowControl/>
      </w:pPr>
      <w:bookmarkStart w:id="57" w:name="_Toc146549323"/>
      <w:bookmarkStart w:id="58" w:name="_Toc146551527"/>
      <w:bookmarkStart w:id="59" w:name="_Toc152846914"/>
      <w:bookmarkStart w:id="60" w:name="_Toc227662254"/>
      <w:bookmarkStart w:id="61" w:name="_Toc230244553"/>
      <w:bookmarkStart w:id="62" w:name="_Toc230246371"/>
      <w:r w:rsidRPr="000423AA">
        <w:rPr>
          <w:rFonts w:eastAsia="Calibri"/>
          <w:snapToGrid/>
        </w:rPr>
        <w:t>PROCEDURAL MATTERS</w:t>
      </w:r>
      <w:bookmarkEnd w:id="57"/>
      <w:bookmarkEnd w:id="58"/>
      <w:bookmarkEnd w:id="59"/>
      <w:bookmarkEnd w:id="60"/>
      <w:bookmarkEnd w:id="61"/>
      <w:bookmarkEnd w:id="62"/>
    </w:p>
    <w:p w:rsidR="00203CCB" w:rsidP="00C329A5" w14:paraId="7A02CF1D" w14:textId="77777777">
      <w:pPr>
        <w:pStyle w:val="ParaNum"/>
        <w:widowControl/>
        <w:tabs>
          <w:tab w:val="num" w:pos="1350"/>
        </w:tabs>
      </w:pPr>
      <w:r w:rsidRPr="2E22FE49">
        <w:rPr>
          <w:rFonts w:eastAsia="Calibri"/>
          <w:i/>
          <w:iCs/>
          <w:snapToGrid/>
        </w:rPr>
        <w:t>Regulatory Flexibility Act</w:t>
      </w:r>
      <w:r w:rsidRPr="2E22FE49">
        <w:rPr>
          <w:rFonts w:eastAsia="Calibri"/>
          <w:snapToGrid/>
        </w:rPr>
        <w:t xml:space="preserve">.  </w:t>
      </w:r>
      <w:r w:rsidRPr="001F0AD8">
        <w:rPr>
          <w:rFonts w:eastAsia="Calibri"/>
          <w:snapToGrid/>
        </w:rPr>
        <w:t>The Regulatory Flexibility Act of 1980, as amended (RFA),</w:t>
      </w:r>
      <w:r>
        <w:rPr>
          <w:rFonts w:eastAsia="Calibri"/>
          <w:snapToGrid/>
          <w:vertAlign w:val="superscript"/>
        </w:rPr>
        <w:footnoteReference w:id="150"/>
      </w:r>
      <w:r w:rsidRPr="001F0AD8">
        <w:rPr>
          <w:rFonts w:eastAsia="Calibri"/>
          <w:snapToGrid/>
          <w:vertAlign w:val="superscript"/>
        </w:rPr>
        <w:t xml:space="preserve"> </w:t>
      </w:r>
      <w:r w:rsidRPr="001F0AD8">
        <w:rPr>
          <w:rFonts w:eastAsia="Calibri"/>
          <w:snapToGrid/>
        </w:rPr>
        <w:t>requires that an agency prepare a regulatory flexibility analysis for notice and comment rulemakings, unless the agency certifies that “the rule will not, if promulgated, have a significant economic impact on a substantial number of small entities.”</w:t>
      </w:r>
      <w:r>
        <w:rPr>
          <w:rFonts w:eastAsia="Calibri"/>
          <w:snapToGrid/>
          <w:vertAlign w:val="superscript"/>
        </w:rPr>
        <w:footnoteReference w:id="151"/>
      </w:r>
      <w:r w:rsidRPr="001F0AD8">
        <w:rPr>
          <w:rFonts w:eastAsia="Calibri"/>
          <w:snapToGrid/>
        </w:rPr>
        <w:t xml:space="preserve">  Accordingly, the Commission has prepared a Final Regulatory Flexibility Analysis (FRFA) concerning the possible impact of the rule and policy changes contained in this </w:t>
      </w:r>
      <w:r w:rsidRPr="001F0AD8">
        <w:rPr>
          <w:rFonts w:eastAsia="Calibri"/>
          <w:i/>
          <w:iCs/>
          <w:snapToGrid/>
        </w:rPr>
        <w:t>Third</w:t>
      </w:r>
      <w:r>
        <w:rPr>
          <w:rFonts w:eastAsia="Calibri"/>
          <w:snapToGrid/>
        </w:rPr>
        <w:t xml:space="preserve"> </w:t>
      </w:r>
      <w:r w:rsidRPr="001F0AD8">
        <w:rPr>
          <w:rFonts w:eastAsia="Calibri"/>
          <w:i/>
          <w:iCs/>
          <w:snapToGrid/>
        </w:rPr>
        <w:t>Report and Order</w:t>
      </w:r>
      <w:r>
        <w:rPr>
          <w:rFonts w:eastAsia="Calibri"/>
          <w:snapToGrid/>
        </w:rPr>
        <w:t xml:space="preserve"> </w:t>
      </w:r>
      <w:r w:rsidRPr="001F0AD8">
        <w:rPr>
          <w:rFonts w:eastAsia="Calibri"/>
          <w:snapToGrid/>
        </w:rPr>
        <w:t xml:space="preserve">on small entities.  The FRFA is set forth in </w:t>
      </w:r>
      <w:r w:rsidRPr="001E0189">
        <w:rPr>
          <w:rFonts w:eastAsia="Calibri"/>
          <w:snapToGrid/>
        </w:rPr>
        <w:t xml:space="preserve">Appendix </w:t>
      </w:r>
      <w:r w:rsidRPr="00435EFB">
        <w:rPr>
          <w:rFonts w:eastAsia="Calibri"/>
          <w:snapToGrid/>
        </w:rPr>
        <w:t>B</w:t>
      </w:r>
      <w:r w:rsidRPr="00770D07">
        <w:rPr>
          <w:rFonts w:eastAsia="Calibri"/>
          <w:snapToGrid/>
        </w:rPr>
        <w:t>.</w:t>
      </w:r>
      <w:r w:rsidRPr="001F0AD8">
        <w:rPr>
          <w:rFonts w:eastAsia="Calibri"/>
          <w:snapToGrid/>
        </w:rPr>
        <w:t xml:space="preserve">  </w:t>
      </w:r>
    </w:p>
    <w:p w:rsidR="00203CCB" w:rsidP="00C329A5" w14:paraId="58D080CC" w14:textId="77777777">
      <w:pPr>
        <w:pStyle w:val="ParaNum"/>
        <w:widowControl/>
        <w:tabs>
          <w:tab w:val="num" w:pos="1350"/>
        </w:tabs>
      </w:pPr>
      <w:r w:rsidRPr="00466C12">
        <w:rPr>
          <w:rFonts w:eastAsia="Calibri"/>
          <w:i/>
          <w:iCs/>
          <w:snapToGrid/>
        </w:rPr>
        <w:t>Paperwork Reduction Analysis</w:t>
      </w:r>
      <w:r w:rsidRPr="00AD7539">
        <w:t>.</w:t>
      </w:r>
      <w:r>
        <w:t xml:space="preserve">  This </w:t>
      </w:r>
      <w:r>
        <w:rPr>
          <w:i/>
          <w:iCs/>
        </w:rPr>
        <w:t xml:space="preserve">Report and Order </w:t>
      </w:r>
      <w:r>
        <w:t>may contain</w:t>
      </w:r>
      <w:r w:rsidRPr="668561AA">
        <w:t xml:space="preserve"> new or </w:t>
      </w:r>
      <w:r>
        <w:t xml:space="preserve">substantively </w:t>
      </w:r>
      <w:r w:rsidRPr="668561AA">
        <w:t>modified information collection requirements</w:t>
      </w:r>
      <w:r>
        <w:t xml:space="preserve"> subject to the Paperwork Reduction Act of 1995 (PRA), Public Law 104-13</w:t>
      </w:r>
      <w:r w:rsidRPr="668561AA">
        <w:t xml:space="preserve">.  </w:t>
      </w:r>
      <w:r>
        <w:t>All such requirements</w:t>
      </w:r>
      <w:r w:rsidRPr="668561AA">
        <w:t xml:space="preserve"> will be submitted to the Office of Management and Budget (OMB) for review under Section 3507(d) of the PRA.  OMB, the general public, and other federal agencies will be invited to comment on any new or modified information collection requirements contained in this proceeding.  In addition, we note that, pursuant to the Small Business Paperwork Relief Act of 2002, Public Law 107-198, </w:t>
      </w:r>
      <w:r>
        <w:t xml:space="preserve">see 44 U.S.C. § 3506(c)(4), </w:t>
      </w:r>
      <w:r w:rsidRPr="668561AA">
        <w:t xml:space="preserve">we previously sought specific comment on how the Commission might “further reduce the information collection burden for small business concerns with fewer than 25 employees.”  </w:t>
      </w:r>
      <w:r w:rsidRPr="00512443">
        <w:t>In Appendix B, we have assessed the effects of the required collection of information on these small entities.</w:t>
      </w:r>
      <w:r>
        <w:t xml:space="preserve"> </w:t>
      </w:r>
    </w:p>
    <w:p w:rsidR="00203CCB" w:rsidP="00C329A5" w14:paraId="51E9F64A" w14:textId="77777777">
      <w:pPr>
        <w:pStyle w:val="ParaNum"/>
        <w:widowControl/>
        <w:tabs>
          <w:tab w:val="num" w:pos="1350"/>
        </w:tabs>
      </w:pPr>
      <w:r w:rsidRPr="00466C12">
        <w:rPr>
          <w:i/>
          <w:iCs/>
        </w:rPr>
        <w:t xml:space="preserve">Congressional Review </w:t>
      </w:r>
      <w:r w:rsidRPr="009F2C9D">
        <w:rPr>
          <w:i/>
          <w:iCs/>
        </w:rPr>
        <w:t>Act</w:t>
      </w:r>
      <w:r w:rsidRPr="009F2C9D">
        <w:t xml:space="preserve">.  </w:t>
      </w:r>
      <w:r w:rsidRPr="008551B1">
        <w:t>The Commission has determined, and the Administrator of the Office of Information and Regulatory Affairs, Office of Management and Budget (OMB), concurs, that this rule is “non-major” under the Congressional Review Act, 5 U.S.C. § 804(2).</w:t>
      </w:r>
      <w:r w:rsidRPr="009F2C9D">
        <w:t xml:space="preserve">  The Commission will send a copy of this </w:t>
      </w:r>
      <w:r w:rsidRPr="009F2C9D">
        <w:rPr>
          <w:i/>
          <w:iCs/>
        </w:rPr>
        <w:t>Third Report and Order</w:t>
      </w:r>
      <w:r w:rsidRPr="009F2C9D">
        <w:t xml:space="preserve"> to Congress and the Government Accountability</w:t>
      </w:r>
      <w:r>
        <w:t xml:space="preserve"> Office pursuant to 5 U.S.C. § 801(a)(1)(A).</w:t>
      </w:r>
    </w:p>
    <w:p w:rsidR="00203CCB" w:rsidRPr="00153BEC" w:rsidP="00C329A5" w14:paraId="179A491B" w14:textId="77777777">
      <w:pPr>
        <w:pStyle w:val="ParaNum"/>
        <w:widowControl/>
        <w:tabs>
          <w:tab w:val="num" w:pos="1350"/>
        </w:tabs>
      </w:pPr>
      <w:r w:rsidRPr="00043801">
        <w:rPr>
          <w:rFonts w:eastAsia="Calibri"/>
          <w:i/>
          <w:iCs/>
          <w:snapToGrid/>
        </w:rPr>
        <w:t xml:space="preserve">Additional Information.  </w:t>
      </w:r>
      <w:r w:rsidRPr="00043801">
        <w:rPr>
          <w:rFonts w:eastAsia="Calibri"/>
          <w:snapToGrid/>
        </w:rPr>
        <w:t xml:space="preserve">For further information regarding the </w:t>
      </w:r>
      <w:r w:rsidRPr="00043801">
        <w:rPr>
          <w:rFonts w:eastAsia="Calibri"/>
          <w:i/>
          <w:iCs/>
          <w:snapToGrid/>
        </w:rPr>
        <w:t>Third Report and Order</w:t>
      </w:r>
      <w:r w:rsidRPr="00043801">
        <w:rPr>
          <w:rFonts w:eastAsia="Calibri"/>
          <w:snapToGrid/>
        </w:rPr>
        <w:t xml:space="preserve">, contact </w:t>
      </w:r>
      <w:r w:rsidRPr="00043801">
        <w:rPr>
          <w:rFonts w:eastAsia="Calibri"/>
        </w:rPr>
        <w:t xml:space="preserve">Jeanne Stockman, Attorney Advisor, Public Safety and Homeland Security Bureau at (202) 418-7830 or </w:t>
      </w:r>
      <w:hyperlink r:id="rId6" w:history="1">
        <w:r w:rsidRPr="00043801">
          <w:rPr>
            <w:rStyle w:val="Hyperlink"/>
            <w:rFonts w:eastAsia="Calibri"/>
          </w:rPr>
          <w:t>Jeanne.Stockman@fcc.gov</w:t>
        </w:r>
      </w:hyperlink>
      <w:r w:rsidRPr="00043801">
        <w:rPr>
          <w:rFonts w:eastAsia="Calibri"/>
        </w:rPr>
        <w:t xml:space="preserve"> or James Zigouris, Attorney Advisor, Public Safety and Homeland Security Bureau at (202) 418-0697 or </w:t>
      </w:r>
      <w:hyperlink r:id="rId7" w:history="1">
        <w:r w:rsidRPr="00043801">
          <w:rPr>
            <w:rStyle w:val="Hyperlink"/>
            <w:rFonts w:eastAsia="Calibri"/>
          </w:rPr>
          <w:t>James.Zigouris@fcc.gov</w:t>
        </w:r>
      </w:hyperlink>
      <w:r w:rsidRPr="00043801">
        <w:rPr>
          <w:rFonts w:eastAsia="Calibri"/>
        </w:rPr>
        <w:t xml:space="preserve">.   </w:t>
      </w:r>
    </w:p>
    <w:p w:rsidR="00203CCB" w:rsidRPr="00081A05" w:rsidP="00081A05" w14:paraId="14F34A95" w14:textId="77777777">
      <w:pPr>
        <w:pStyle w:val="Heading1"/>
        <w:widowControl/>
      </w:pPr>
      <w:bookmarkStart w:id="63" w:name="_Toc146549324"/>
      <w:bookmarkStart w:id="64" w:name="_Toc146551528"/>
      <w:bookmarkStart w:id="65" w:name="_Toc152846915"/>
      <w:bookmarkStart w:id="66" w:name="_Toc227662255"/>
      <w:bookmarkStart w:id="67" w:name="_Toc230244554"/>
      <w:bookmarkStart w:id="68" w:name="_Toc230246372"/>
      <w:r w:rsidRPr="00081A05">
        <w:t>ORDERING CLAUSES</w:t>
      </w:r>
      <w:bookmarkEnd w:id="63"/>
      <w:bookmarkEnd w:id="64"/>
      <w:bookmarkEnd w:id="65"/>
      <w:bookmarkEnd w:id="66"/>
      <w:bookmarkEnd w:id="67"/>
      <w:bookmarkEnd w:id="68"/>
    </w:p>
    <w:p w:rsidR="00203CCB" w:rsidRPr="00B1417A" w:rsidP="00C329A5" w14:paraId="5480EB54" w14:textId="77777777">
      <w:pPr>
        <w:pStyle w:val="ParaNum"/>
        <w:widowControl/>
        <w:tabs>
          <w:tab w:val="num" w:pos="1350"/>
        </w:tabs>
        <w:rPr>
          <w:rFonts w:eastAsia="Calibri"/>
          <w:snapToGrid/>
        </w:rPr>
      </w:pPr>
      <w:r w:rsidRPr="00640ECF">
        <w:rPr>
          <w:rFonts w:eastAsia="Calibri"/>
          <w:snapToGrid/>
        </w:rPr>
        <w:t xml:space="preserve">Accordingly, IT IS ORDERED </w:t>
      </w:r>
      <w:r w:rsidRPr="00640ECF">
        <w:rPr>
          <w:snapToGrid/>
        </w:rPr>
        <w:t>that, pursuant to the authority contained in Sections</w:t>
      </w:r>
      <w:r w:rsidRPr="00640ECF">
        <w:rPr>
          <w:snapToGrid/>
          <w:szCs w:val="22"/>
        </w:rPr>
        <w:t xml:space="preserve"> </w:t>
      </w:r>
      <w:r w:rsidRPr="00640ECF">
        <w:rPr>
          <w:snapToGrid/>
        </w:rPr>
        <w:t>1, 4, 201, 214, 218, 251, 301, 303(b), 303(g), 303(j), 303(r), 307, 309</w:t>
      </w:r>
      <w:r>
        <w:t xml:space="preserve">, </w:t>
      </w:r>
      <w:r w:rsidRPr="00640ECF">
        <w:rPr>
          <w:snapToGrid/>
        </w:rPr>
        <w:t xml:space="preserve">316, 332, </w:t>
      </w:r>
      <w:r w:rsidRPr="2E22FE49">
        <w:t xml:space="preserve">and </w:t>
      </w:r>
      <w:r w:rsidRPr="00640ECF">
        <w:rPr>
          <w:snapToGrid/>
        </w:rPr>
        <w:t>403 of the Communications Act of 1934, as amended, 47 U.S.C. §§ 151,</w:t>
      </w:r>
      <w:r w:rsidRPr="00640ECF">
        <w:rPr>
          <w:snapToGrid/>
          <w:szCs w:val="22"/>
        </w:rPr>
        <w:t xml:space="preserve"> </w:t>
      </w:r>
      <w:r w:rsidRPr="00640ECF">
        <w:rPr>
          <w:snapToGrid/>
        </w:rPr>
        <w:t>154, 201, 214, 218, 251, 301, 303(b), 303(g), 303(j), 303(r), 307, 309, 316, 332, 403</w:t>
      </w:r>
      <w:r w:rsidRPr="2E22FE49">
        <w:t xml:space="preserve">; sections 2, 3(b), and 6-7 of the Wireless Communications and Public Safety Act of 1999, 47 U.S.C. </w:t>
      </w:r>
      <w:r w:rsidRPr="0EF3B4E3">
        <w:t>§§</w:t>
      </w:r>
      <w:r w:rsidRPr="00640ECF">
        <w:rPr>
          <w:szCs w:val="22"/>
        </w:rPr>
        <w:t xml:space="preserve"> </w:t>
      </w:r>
      <w:r w:rsidRPr="2E22FE49">
        <w:t>615 note, 615, 615a-1, 615b,</w:t>
      </w:r>
      <w:r w:rsidRPr="00640ECF">
        <w:rPr>
          <w:snapToGrid/>
        </w:rPr>
        <w:t xml:space="preserve"> as well as</w:t>
      </w:r>
      <w:r>
        <w:rPr>
          <w:snapToGrid/>
        </w:rPr>
        <w:t xml:space="preserve"> </w:t>
      </w:r>
      <w:r w:rsidRPr="00640ECF">
        <w:rPr>
          <w:snapToGrid/>
        </w:rPr>
        <w:t>Title VI, sections 6</w:t>
      </w:r>
      <w:r>
        <w:rPr>
          <w:snapToGrid/>
        </w:rPr>
        <w:t>201</w:t>
      </w:r>
      <w:r w:rsidRPr="00640ECF">
        <w:rPr>
          <w:snapToGrid/>
        </w:rPr>
        <w:t>, 620</w:t>
      </w:r>
      <w:r>
        <w:rPr>
          <w:snapToGrid/>
        </w:rPr>
        <w:t>6</w:t>
      </w:r>
      <w:r w:rsidRPr="00640ECF">
        <w:rPr>
          <w:snapToGrid/>
        </w:rPr>
        <w:t>, and</w:t>
      </w:r>
      <w:r>
        <w:rPr>
          <w:snapToGrid/>
        </w:rPr>
        <w:t xml:space="preserve"> 6213</w:t>
      </w:r>
      <w:r w:rsidRPr="00640ECF">
        <w:rPr>
          <w:snapToGrid/>
        </w:rPr>
        <w:t>, of the Middle Class Tax Relief and Job Creation Act of 2012,</w:t>
      </w:r>
      <w:r>
        <w:rPr>
          <w:snapToGrid/>
        </w:rPr>
        <w:t xml:space="preserve"> </w:t>
      </w:r>
      <w:r w:rsidRPr="00640ECF">
        <w:rPr>
          <w:snapToGrid/>
        </w:rPr>
        <w:t xml:space="preserve">47 U.S.C. §§ </w:t>
      </w:r>
      <w:r>
        <w:rPr>
          <w:snapToGrid/>
        </w:rPr>
        <w:t>1421</w:t>
      </w:r>
      <w:r w:rsidRPr="00640ECF">
        <w:rPr>
          <w:snapToGrid/>
        </w:rPr>
        <w:t xml:space="preserve">, </w:t>
      </w:r>
      <w:r>
        <w:rPr>
          <w:snapToGrid/>
        </w:rPr>
        <w:t>1426</w:t>
      </w:r>
      <w:r w:rsidRPr="00640ECF">
        <w:rPr>
          <w:snapToGrid/>
        </w:rPr>
        <w:t xml:space="preserve">, </w:t>
      </w:r>
      <w:r>
        <w:rPr>
          <w:snapToGrid/>
        </w:rPr>
        <w:t>1433</w:t>
      </w:r>
      <w:r w:rsidRPr="00640ECF">
        <w:rPr>
          <w:snapToGrid/>
        </w:rPr>
        <w:t xml:space="preserve">, this </w:t>
      </w:r>
      <w:r w:rsidRPr="00640ECF">
        <w:rPr>
          <w:i/>
          <w:iCs/>
        </w:rPr>
        <w:t xml:space="preserve">Third </w:t>
      </w:r>
      <w:r w:rsidRPr="00640ECF">
        <w:rPr>
          <w:i/>
          <w:iCs/>
          <w:snapToGrid/>
        </w:rPr>
        <w:t>Report and Order</w:t>
      </w:r>
      <w:r w:rsidRPr="00640ECF">
        <w:rPr>
          <w:snapToGrid/>
        </w:rPr>
        <w:t xml:space="preserve"> in PS</w:t>
      </w:r>
      <w:r w:rsidRPr="00640ECF">
        <w:rPr>
          <w:snapToGrid/>
          <w:szCs w:val="22"/>
        </w:rPr>
        <w:t xml:space="preserve"> </w:t>
      </w:r>
      <w:r w:rsidRPr="00640ECF">
        <w:rPr>
          <w:snapToGrid/>
        </w:rPr>
        <w:t xml:space="preserve">Docket Nos. 21-346 and 15-80 and ET Docket No. 04-35 </w:t>
      </w:r>
      <w:r>
        <w:t>IS</w:t>
      </w:r>
      <w:r w:rsidRPr="00640ECF">
        <w:rPr>
          <w:snapToGrid/>
        </w:rPr>
        <w:t xml:space="preserve"> ADOPTED</w:t>
      </w:r>
      <w:r>
        <w:rPr>
          <w:rFonts w:eastAsia="Calibri"/>
        </w:rPr>
        <w:t xml:space="preserve"> </w:t>
      </w:r>
      <w:r>
        <w:rPr>
          <w:snapToGrid/>
        </w:rPr>
        <w:t>and part 4 of the Commission’s rules, 47 CFR par</w:t>
      </w:r>
      <w:r>
        <w:t>t</w:t>
      </w:r>
      <w:r>
        <w:rPr>
          <w:snapToGrid/>
        </w:rPr>
        <w:t xml:space="preserve"> 4, IS AMENDED as set forth in Appendix A.</w:t>
      </w:r>
      <w:r>
        <w:rPr>
          <w:rStyle w:val="FootnoteReference"/>
          <w:snapToGrid/>
        </w:rPr>
        <w:footnoteReference w:id="152"/>
      </w:r>
      <w:r>
        <w:rPr>
          <w:snapToGrid/>
        </w:rPr>
        <w:t xml:space="preserve">  </w:t>
      </w:r>
    </w:p>
    <w:p w:rsidR="00203CCB" w:rsidP="00C329A5" w14:paraId="70D0CE01" w14:textId="77777777">
      <w:pPr>
        <w:pStyle w:val="ParaNum"/>
        <w:widowControl/>
        <w:tabs>
          <w:tab w:val="num" w:pos="1350"/>
        </w:tabs>
        <w:rPr>
          <w:rFonts w:eastAsia="Calibri"/>
          <w:snapToGrid/>
        </w:rPr>
      </w:pPr>
      <w:r>
        <w:rPr>
          <w:snapToGrid/>
        </w:rPr>
        <w:t xml:space="preserve">IT IS FURTHER ORDERED that, pursuant to 5 U.S.C. § 553(d)(1), this </w:t>
      </w:r>
      <w:r>
        <w:rPr>
          <w:i/>
          <w:iCs/>
          <w:snapToGrid/>
        </w:rPr>
        <w:t xml:space="preserve">Third Report and Order </w:t>
      </w:r>
      <w:r>
        <w:rPr>
          <w:snapToGrid/>
        </w:rPr>
        <w:t xml:space="preserve">SHALL BE EFFECIVE upon publication in the Federal Register.  Revisions to 47 CFR § 4.18(a) and (c) described in amendatory instruction 3 of Appendix A hereto will not become effective until </w:t>
      </w:r>
      <w:r w:rsidRPr="001C65A5">
        <w:rPr>
          <w:rFonts w:eastAsia="Calibri"/>
        </w:rPr>
        <w:t xml:space="preserve">the </w:t>
      </w:r>
      <w:r>
        <w:rPr>
          <w:rFonts w:eastAsia="Calibri"/>
        </w:rPr>
        <w:t>Public Safety and Homeland Security Bureau</w:t>
      </w:r>
      <w:r w:rsidRPr="001C65A5">
        <w:rPr>
          <w:rFonts w:eastAsia="Calibri"/>
        </w:rPr>
        <w:t xml:space="preserve"> </w:t>
      </w:r>
      <w:r>
        <w:rPr>
          <w:rFonts w:eastAsia="Calibri"/>
        </w:rPr>
        <w:t xml:space="preserve">obtains any Paperwork Reduction Act review that it determines is required and provides an effective date </w:t>
      </w:r>
      <w:r w:rsidRPr="001C65A5">
        <w:rPr>
          <w:rFonts w:eastAsia="Calibri"/>
        </w:rPr>
        <w:t>by subsequent Public Notice</w:t>
      </w:r>
      <w:r>
        <w:rPr>
          <w:rFonts w:eastAsia="Calibri"/>
        </w:rPr>
        <w:t xml:space="preserve">, which shall not be earlier than </w:t>
      </w:r>
      <w:r w:rsidRPr="006022DC">
        <w:rPr>
          <w:rFonts w:eastAsia="Calibri"/>
        </w:rPr>
        <w:t>(i) 30 days after the Bureau announces that the Office of Management and Budget has completed its review of this requirement pursuant to the Paperwork Reduction Act and that DIRS is ready to receive public safety voice and broadband network operators’ filings; or (ii) November 30, 2026</w:t>
      </w:r>
      <w:r>
        <w:rPr>
          <w:rFonts w:eastAsia="Calibri"/>
        </w:rPr>
        <w:t>.</w:t>
      </w:r>
    </w:p>
    <w:p w:rsidR="00203CCB" w:rsidP="00C329A5" w14:paraId="157BEA10" w14:textId="77777777">
      <w:pPr>
        <w:pStyle w:val="ParaNum"/>
        <w:widowControl/>
        <w:tabs>
          <w:tab w:val="num" w:pos="1350"/>
        </w:tabs>
        <w:rPr>
          <w:rFonts w:eastAsia="Calibri"/>
          <w:snapToGrid/>
        </w:rPr>
      </w:pPr>
      <w:r w:rsidRPr="00466C12">
        <w:rPr>
          <w:rFonts w:eastAsia="Calibri"/>
          <w:snapToGrid/>
        </w:rPr>
        <w:t xml:space="preserve">IT IS FURTHER ORDERED that the </w:t>
      </w:r>
      <w:r w:rsidRPr="00466C12">
        <w:rPr>
          <w:rFonts w:eastAsia="Calibri"/>
        </w:rPr>
        <w:t xml:space="preserve">Commission’s </w:t>
      </w:r>
      <w:r w:rsidRPr="00466C12">
        <w:rPr>
          <w:rFonts w:eastAsia="Calibri"/>
          <w:snapToGrid/>
        </w:rPr>
        <w:t xml:space="preserve">Office of the Secretary SHALL SEND a copy of this </w:t>
      </w:r>
      <w:r w:rsidRPr="00466C12">
        <w:rPr>
          <w:i/>
          <w:iCs/>
        </w:rPr>
        <w:t xml:space="preserve">Third </w:t>
      </w:r>
      <w:r w:rsidRPr="00466C12">
        <w:rPr>
          <w:i/>
          <w:iCs/>
          <w:snapToGrid/>
        </w:rPr>
        <w:t>Report and Order</w:t>
      </w:r>
      <w:r w:rsidRPr="00466C12">
        <w:rPr>
          <w:rFonts w:eastAsia="Calibri"/>
          <w:snapToGrid/>
        </w:rPr>
        <w:t xml:space="preserve">, including the Final Regulatory Flexibility Analysis, to the Chief Counsel </w:t>
      </w:r>
      <w:r w:rsidRPr="008B0065">
        <w:rPr>
          <w:rFonts w:eastAsia="Calibri"/>
          <w:snapToGrid/>
        </w:rPr>
        <w:t xml:space="preserve">for the Small Business Administration (SBA) Office of </w:t>
      </w:r>
      <w:r w:rsidRPr="00EC6148">
        <w:rPr>
          <w:rFonts w:eastAsia="Calibri"/>
          <w:snapToGrid/>
        </w:rPr>
        <w:t>Advocacy.</w:t>
      </w:r>
      <w:r w:rsidRPr="00466C12">
        <w:rPr>
          <w:rFonts w:eastAsia="Calibri"/>
          <w:snapToGrid/>
        </w:rPr>
        <w:t xml:space="preserve"> </w:t>
      </w:r>
      <w:r>
        <w:rPr>
          <w:rFonts w:eastAsia="Calibri"/>
          <w:snapToGrid/>
        </w:rPr>
        <w:t xml:space="preserve"> </w:t>
      </w:r>
    </w:p>
    <w:p w:rsidR="00203CCB" w:rsidRPr="00466C12" w:rsidP="00B51B00" w14:paraId="4DCF184A" w14:textId="77777777">
      <w:pPr>
        <w:pStyle w:val="ParaNum"/>
        <w:keepNext/>
        <w:widowControl/>
        <w:tabs>
          <w:tab w:val="num" w:pos="1350"/>
        </w:tabs>
        <w:rPr>
          <w:rFonts w:eastAsia="Calibri"/>
          <w:snapToGrid/>
        </w:rPr>
      </w:pPr>
      <w:r w:rsidRPr="00466C12">
        <w:rPr>
          <w:rFonts w:eastAsia="Calibri"/>
          <w:snapToGrid/>
        </w:rPr>
        <w:t xml:space="preserve">IT IS FURTHER ORDERED that the Office of Managing Director, Performance </w:t>
      </w:r>
      <w:r w:rsidRPr="00466C12">
        <w:rPr>
          <w:rFonts w:eastAsia="Calibri"/>
        </w:rPr>
        <w:t xml:space="preserve">Program </w:t>
      </w:r>
      <w:r w:rsidRPr="00466C12">
        <w:rPr>
          <w:rFonts w:eastAsia="Calibri"/>
          <w:snapToGrid/>
        </w:rPr>
        <w:t xml:space="preserve">Management, SHALL SEND a copy of this </w:t>
      </w:r>
      <w:r w:rsidRPr="00466C12">
        <w:rPr>
          <w:i/>
          <w:iCs/>
        </w:rPr>
        <w:t xml:space="preserve">Third </w:t>
      </w:r>
      <w:r w:rsidRPr="00466C12">
        <w:rPr>
          <w:i/>
          <w:iCs/>
          <w:snapToGrid/>
        </w:rPr>
        <w:t>Report and Order</w:t>
      </w:r>
      <w:r w:rsidRPr="00466C12">
        <w:rPr>
          <w:snapToGrid/>
          <w:szCs w:val="22"/>
        </w:rPr>
        <w:t xml:space="preserve"> </w:t>
      </w:r>
      <w:r w:rsidRPr="00466C12">
        <w:rPr>
          <w:rFonts w:eastAsia="Calibri"/>
          <w:snapToGrid/>
        </w:rPr>
        <w:t xml:space="preserve">in a report to be sent to Congress and </w:t>
      </w:r>
      <w:r w:rsidRPr="00466C12">
        <w:rPr>
          <w:rFonts w:eastAsia="Calibri"/>
          <w:snapToGrid/>
        </w:rPr>
        <w:t xml:space="preserve">the Government Accountability Office pursuant to the Congressional Review Act, 5 U.S.C. </w:t>
      </w:r>
      <w:r w:rsidRPr="00466C12">
        <w:rPr>
          <w:snapToGrid/>
        </w:rPr>
        <w:t>§</w:t>
      </w:r>
      <w:r>
        <w:rPr>
          <w:snapToGrid/>
        </w:rPr>
        <w:t> </w:t>
      </w:r>
      <w:r w:rsidRPr="00466C12">
        <w:rPr>
          <w:snapToGrid/>
        </w:rPr>
        <w:t xml:space="preserve">801(a)(1)(A). </w:t>
      </w:r>
    </w:p>
    <w:p w:rsidR="00203CCB" w:rsidRPr="00843664" w:rsidP="00203CCB" w14:paraId="1CE3BCBB" w14:textId="77777777">
      <w:pPr>
        <w:keepNext/>
        <w:widowControl/>
        <w:rPr>
          <w:snapToGrid/>
          <w:szCs w:val="22"/>
        </w:rPr>
      </w:pPr>
    </w:p>
    <w:p w:rsidR="00203CCB" w:rsidRPr="00843664" w:rsidP="00203CCB" w14:paraId="67CC1059" w14:textId="77777777">
      <w:pPr>
        <w:keepNext/>
        <w:widowControl/>
        <w:ind w:left="4320"/>
        <w:rPr>
          <w:snapToGrid/>
          <w:szCs w:val="22"/>
        </w:rPr>
      </w:pPr>
      <w:r w:rsidRPr="00843664">
        <w:rPr>
          <w:snapToGrid/>
          <w:szCs w:val="22"/>
        </w:rPr>
        <w:t>FEDERAL COMMUNICATIONS COMMISSION</w:t>
      </w:r>
    </w:p>
    <w:p w:rsidR="00203CCB" w:rsidRPr="00843664" w:rsidP="00203CCB" w14:paraId="1A9C0BF0" w14:textId="77777777">
      <w:pPr>
        <w:keepNext/>
        <w:widowControl/>
        <w:rPr>
          <w:snapToGrid/>
          <w:szCs w:val="22"/>
        </w:rPr>
      </w:pPr>
    </w:p>
    <w:p w:rsidR="00203CCB" w:rsidRPr="00843664" w:rsidP="00203CCB" w14:paraId="6F82B559" w14:textId="77777777">
      <w:pPr>
        <w:keepNext/>
        <w:widowControl/>
        <w:rPr>
          <w:snapToGrid/>
          <w:szCs w:val="22"/>
        </w:rPr>
      </w:pPr>
    </w:p>
    <w:p w:rsidR="00203CCB" w:rsidRPr="00843664" w:rsidP="00203CCB" w14:paraId="04741C42" w14:textId="77777777">
      <w:pPr>
        <w:keepNext/>
        <w:widowControl/>
        <w:rPr>
          <w:snapToGrid/>
          <w:szCs w:val="22"/>
        </w:rPr>
      </w:pPr>
    </w:p>
    <w:p w:rsidR="00203CCB" w:rsidRPr="00843664" w:rsidP="00203CCB" w14:paraId="756CCC71" w14:textId="77777777">
      <w:pPr>
        <w:keepNext/>
        <w:widowControl/>
        <w:rPr>
          <w:snapToGrid/>
          <w:szCs w:val="22"/>
        </w:rPr>
      </w:pPr>
    </w:p>
    <w:p w:rsidR="00203CCB" w:rsidRPr="00843664" w:rsidP="00203CCB" w14:paraId="69EBFB4B" w14:textId="77777777">
      <w:pPr>
        <w:keepNext/>
        <w:widowControl/>
        <w:ind w:left="3600" w:firstLine="720"/>
        <w:rPr>
          <w:snapToGrid/>
          <w:szCs w:val="22"/>
        </w:rPr>
      </w:pPr>
      <w:r w:rsidRPr="00843664">
        <w:rPr>
          <w:snapToGrid/>
          <w:szCs w:val="22"/>
        </w:rPr>
        <w:t>Marlene H. Dortch</w:t>
      </w:r>
    </w:p>
    <w:p w:rsidR="00203CCB" w:rsidP="00203CCB" w14:paraId="1D1449FC" w14:textId="77777777">
      <w:pPr>
        <w:keepNext/>
        <w:widowControl/>
        <w:ind w:left="3600" w:firstLine="720"/>
        <w:rPr>
          <w:snapToGrid/>
          <w:szCs w:val="22"/>
        </w:rPr>
        <w:sectPr w:rsidSect="00203CCB">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720" w:footer="720" w:gutter="0"/>
          <w:pgNumType w:start="1"/>
          <w:cols w:space="720"/>
          <w:noEndnote/>
          <w:titlePg/>
        </w:sectPr>
      </w:pPr>
      <w:r w:rsidRPr="00843664">
        <w:rPr>
          <w:snapToGrid/>
          <w:szCs w:val="22"/>
        </w:rPr>
        <w:t>Secretary</w:t>
      </w:r>
    </w:p>
    <w:p w:rsidR="00203CCB" w:rsidRPr="00545B17" w:rsidP="00EB7CCD" w14:paraId="2E6704F1" w14:textId="77777777">
      <w:pPr>
        <w:pStyle w:val="ParaNum"/>
        <w:widowControl/>
        <w:numPr>
          <w:ilvl w:val="0"/>
          <w:numId w:val="0"/>
        </w:numPr>
        <w:jc w:val="center"/>
        <w:rPr>
          <w:b/>
          <w:bCs/>
        </w:rPr>
      </w:pPr>
      <w:r w:rsidRPr="00545B17">
        <w:rPr>
          <w:b/>
          <w:bCs/>
        </w:rPr>
        <w:t xml:space="preserve">APPENDIX </w:t>
      </w:r>
      <w:r>
        <w:rPr>
          <w:b/>
          <w:bCs/>
        </w:rPr>
        <w:t>A</w:t>
      </w:r>
    </w:p>
    <w:p w:rsidR="00203CCB" w:rsidP="00EB7CCD" w14:paraId="41355476" w14:textId="77777777">
      <w:pPr>
        <w:pStyle w:val="ParaNum"/>
        <w:widowControl/>
        <w:numPr>
          <w:ilvl w:val="0"/>
          <w:numId w:val="0"/>
        </w:numPr>
        <w:jc w:val="center"/>
        <w:rPr>
          <w:rFonts w:eastAsia="Calibri"/>
          <w:b/>
        </w:rPr>
      </w:pPr>
      <w:r>
        <w:rPr>
          <w:rFonts w:eastAsia="Calibri"/>
          <w:b/>
        </w:rPr>
        <w:t>Final Rules</w:t>
      </w:r>
    </w:p>
    <w:p w:rsidR="00203CCB" w:rsidP="00EB7CCD" w14:paraId="35F61493" w14:textId="77777777">
      <w:pPr>
        <w:pStyle w:val="ParaNum"/>
        <w:widowControl/>
        <w:numPr>
          <w:ilvl w:val="0"/>
          <w:numId w:val="0"/>
        </w:numPr>
        <w:tabs>
          <w:tab w:val="num" w:pos="90"/>
        </w:tabs>
      </w:pPr>
      <w:r w:rsidRPr="00824AD5">
        <w:t>For the reasons discussed in the document above, the Federal Communications Commission amend</w:t>
      </w:r>
      <w:r>
        <w:t>s</w:t>
      </w:r>
      <w:r w:rsidRPr="00824AD5">
        <w:t xml:space="preserve"> 47 CFR part 4 as follows</w:t>
      </w:r>
      <w:r>
        <w:t>:</w:t>
      </w:r>
    </w:p>
    <w:p w:rsidR="00203CCB" w:rsidP="00081A05" w14:paraId="3C801FD9" w14:textId="77777777">
      <w:pPr>
        <w:widowControl/>
        <w:spacing w:after="120"/>
        <w:rPr>
          <w:rFonts w:eastAsia="Calibri"/>
          <w:b/>
          <w:snapToGrid/>
          <w:kern w:val="2"/>
          <w:szCs w:val="22"/>
        </w:rPr>
      </w:pPr>
      <w:r w:rsidRPr="00C70ACE">
        <w:rPr>
          <w:rFonts w:eastAsia="Calibri"/>
          <w:b/>
          <w:snapToGrid/>
          <w:kern w:val="2"/>
          <w:szCs w:val="22"/>
        </w:rPr>
        <w:t>PART 4 – DISRUPTION</w:t>
      </w:r>
      <w:r>
        <w:rPr>
          <w:rFonts w:eastAsia="Calibri"/>
          <w:b/>
          <w:snapToGrid/>
          <w:kern w:val="2"/>
          <w:szCs w:val="22"/>
        </w:rPr>
        <w:t>S</w:t>
      </w:r>
      <w:r w:rsidRPr="00C70ACE">
        <w:rPr>
          <w:rFonts w:eastAsia="Calibri"/>
          <w:b/>
          <w:snapToGrid/>
          <w:kern w:val="2"/>
          <w:szCs w:val="22"/>
        </w:rPr>
        <w:t xml:space="preserve"> TO COMMUNICATIONS</w:t>
      </w:r>
    </w:p>
    <w:p w:rsidR="00203CCB" w:rsidP="00081A05" w14:paraId="1A529682" w14:textId="77777777">
      <w:pPr>
        <w:pStyle w:val="NoSpacing"/>
        <w:spacing w:after="120"/>
        <w:rPr>
          <w:rFonts w:ascii="Times New Roman" w:hAnsi="Times New Roman" w:cs="Times New Roman"/>
        </w:rPr>
      </w:pPr>
      <w:r w:rsidRPr="00191AEB">
        <w:rPr>
          <w:rFonts w:ascii="Times New Roman" w:hAnsi="Times New Roman" w:cs="Times New Roman"/>
        </w:rPr>
        <w:t xml:space="preserve">1. </w:t>
      </w:r>
      <w:r w:rsidRPr="00191AEB">
        <w:rPr>
          <w:rFonts w:ascii="Times New Roman" w:hAnsi="Times New Roman" w:cs="Times New Roman"/>
        </w:rPr>
        <w:tab/>
      </w:r>
      <w:r>
        <w:rPr>
          <w:rFonts w:ascii="Times New Roman" w:hAnsi="Times New Roman" w:cs="Times New Roman"/>
        </w:rPr>
        <w:t>Revise the</w:t>
      </w:r>
      <w:r w:rsidRPr="00191AEB">
        <w:rPr>
          <w:rFonts w:ascii="Times New Roman" w:hAnsi="Times New Roman" w:cs="Times New Roman"/>
        </w:rPr>
        <w:t xml:space="preserve"> authority citation for part </w:t>
      </w:r>
      <w:r>
        <w:rPr>
          <w:rFonts w:ascii="Times New Roman" w:hAnsi="Times New Roman" w:cs="Times New Roman"/>
        </w:rPr>
        <w:t>4</w:t>
      </w:r>
      <w:r w:rsidRPr="00191AEB">
        <w:rPr>
          <w:rFonts w:ascii="Times New Roman" w:hAnsi="Times New Roman" w:cs="Times New Roman"/>
        </w:rPr>
        <w:t xml:space="preserve"> to read as follows:</w:t>
      </w:r>
    </w:p>
    <w:p w:rsidR="00203CCB" w:rsidRPr="0068064E" w:rsidP="00081A05" w14:paraId="6D64C86C" w14:textId="77777777">
      <w:pPr>
        <w:widowControl/>
        <w:spacing w:after="120"/>
        <w:ind w:left="720"/>
        <w:rPr>
          <w:rFonts w:eastAsia="Calibri"/>
          <w:szCs w:val="22"/>
        </w:rPr>
      </w:pPr>
      <w:r w:rsidRPr="0068064E">
        <w:rPr>
          <w:rFonts w:eastAsia="Calibri"/>
          <w:b/>
          <w:szCs w:val="22"/>
        </w:rPr>
        <w:t>Authority:</w:t>
      </w:r>
      <w:r w:rsidRPr="0068064E">
        <w:rPr>
          <w:rFonts w:eastAsia="Calibri"/>
          <w:szCs w:val="22"/>
        </w:rPr>
        <w:t xml:space="preserve"> </w:t>
      </w:r>
      <w:r>
        <w:rPr>
          <w:rFonts w:eastAsia="Calibri"/>
          <w:szCs w:val="22"/>
        </w:rPr>
        <w:t xml:space="preserve"> </w:t>
      </w:r>
      <w:r w:rsidRPr="0068064E">
        <w:rPr>
          <w:rFonts w:eastAsia="Calibri"/>
          <w:szCs w:val="22"/>
        </w:rPr>
        <w:t xml:space="preserve">47 U.S.C. 34-39, 151, 154, 155, 157, 201, </w:t>
      </w:r>
      <w:r>
        <w:rPr>
          <w:rFonts w:eastAsia="Calibri"/>
          <w:szCs w:val="22"/>
        </w:rPr>
        <w:t xml:space="preserve">214, 218, </w:t>
      </w:r>
      <w:r w:rsidRPr="0068064E">
        <w:rPr>
          <w:rFonts w:eastAsia="Calibri"/>
          <w:szCs w:val="22"/>
        </w:rPr>
        <w:t xml:space="preserve">251, </w:t>
      </w:r>
      <w:r>
        <w:rPr>
          <w:rFonts w:eastAsia="Calibri"/>
          <w:szCs w:val="22"/>
        </w:rPr>
        <w:t xml:space="preserve">301, 303, </w:t>
      </w:r>
      <w:r w:rsidRPr="0068064E">
        <w:rPr>
          <w:rFonts w:eastAsia="Calibri"/>
          <w:szCs w:val="22"/>
        </w:rPr>
        <w:t xml:space="preserve">307, </w:t>
      </w:r>
      <w:r>
        <w:rPr>
          <w:rFonts w:eastAsia="Calibri"/>
          <w:szCs w:val="22"/>
        </w:rPr>
        <w:t xml:space="preserve">309, </w:t>
      </w:r>
      <w:r w:rsidRPr="0068064E">
        <w:rPr>
          <w:rFonts w:eastAsia="Calibri"/>
          <w:szCs w:val="22"/>
        </w:rPr>
        <w:t xml:space="preserve">316, </w:t>
      </w:r>
      <w:r>
        <w:rPr>
          <w:rFonts w:eastAsia="Calibri"/>
          <w:szCs w:val="22"/>
        </w:rPr>
        <w:t xml:space="preserve">332, 403, 615, </w:t>
      </w:r>
      <w:r w:rsidRPr="0068064E">
        <w:rPr>
          <w:rFonts w:eastAsia="Calibri"/>
          <w:szCs w:val="22"/>
        </w:rPr>
        <w:t xml:space="preserve">615a-1, </w:t>
      </w:r>
      <w:r>
        <w:rPr>
          <w:rFonts w:eastAsia="Calibri"/>
          <w:szCs w:val="22"/>
        </w:rPr>
        <w:t xml:space="preserve">615b, </w:t>
      </w:r>
      <w:r w:rsidRPr="0068064E">
        <w:rPr>
          <w:rFonts w:eastAsia="Calibri"/>
          <w:szCs w:val="22"/>
        </w:rPr>
        <w:t>1302(a), 1302(b)</w:t>
      </w:r>
      <w:r>
        <w:rPr>
          <w:rFonts w:eastAsia="Calibri"/>
          <w:szCs w:val="22"/>
        </w:rPr>
        <w:t>, 1421, 1426, and 1433</w:t>
      </w:r>
      <w:r w:rsidRPr="0068064E">
        <w:rPr>
          <w:rFonts w:eastAsia="Calibri"/>
          <w:szCs w:val="22"/>
        </w:rPr>
        <w:t>; 5 U.S.C. 301, and Executive Order no. 10530.</w:t>
      </w:r>
      <w:r>
        <w:rPr>
          <w:rFonts w:eastAsia="Calibri"/>
          <w:szCs w:val="22"/>
        </w:rPr>
        <w:t xml:space="preserve">  </w:t>
      </w:r>
    </w:p>
    <w:p w:rsidR="00203CCB" w:rsidP="00081A05" w14:paraId="4E69D736" w14:textId="77777777">
      <w:pPr>
        <w:widowControl/>
        <w:spacing w:after="120"/>
        <w:textAlignment w:val="baseline"/>
      </w:pPr>
      <w:r>
        <w:t>2</w:t>
      </w:r>
      <w:r w:rsidRPr="00191AEB">
        <w:t xml:space="preserve">. </w:t>
      </w:r>
      <w:r w:rsidRPr="00191AEB">
        <w:tab/>
      </w:r>
      <w:r>
        <w:t>In § 4.18, revise the section heading and paragraph (a) introductory text, and remove and reserve paragraph (a)(2).  The revisions read as follows:</w:t>
      </w:r>
    </w:p>
    <w:p w:rsidR="00203CCB" w:rsidRPr="009E154A" w:rsidP="00B51B00" w14:paraId="4D7215BF" w14:textId="77777777">
      <w:pPr>
        <w:widowControl/>
        <w:spacing w:after="120"/>
        <w:rPr>
          <w:rFonts w:eastAsia="Arial"/>
          <w:b/>
          <w:snapToGrid/>
          <w:szCs w:val="22"/>
        </w:rPr>
      </w:pPr>
      <w:r w:rsidRPr="009E154A">
        <w:rPr>
          <w:rFonts w:eastAsia="Arial"/>
          <w:b/>
          <w:szCs w:val="24"/>
        </w:rPr>
        <w:t>§ 4.18 Mandatory Disaster Information Reporting System (DIRS) reporting.</w:t>
      </w:r>
    </w:p>
    <w:p w:rsidR="00203CCB" w:rsidP="00081A05" w14:paraId="55F9002E" w14:textId="77777777">
      <w:pPr>
        <w:widowControl/>
        <w:spacing w:after="120"/>
        <w:textAlignment w:val="baseline"/>
      </w:pPr>
      <w:r>
        <w:tab/>
        <w:t xml:space="preserve">(a) </w:t>
      </w:r>
      <w:r w:rsidRPr="004D67A3">
        <w:t>Cable Communications, Wireline, Wireless, and Interconnected VoIP providers</w:t>
      </w:r>
      <w:r>
        <w:t xml:space="preserve"> that own or operate their own facilities</w:t>
      </w:r>
      <w:r w:rsidRPr="004D67A3">
        <w:t xml:space="preserve"> shall be required to report their infrastructure status information each day in the Disaster Information Reporting System (DIRS) when the Commission activates DIRS in geographic areas in which they provide service, even when their reportable infrastructure has not changed compared to the prior day. </w:t>
      </w:r>
      <w:r>
        <w:t>These providers</w:t>
      </w:r>
      <w:r w:rsidRPr="004D67A3">
        <w:t xml:space="preserve"> are subject to mandated reporting in DIRS and shall:</w:t>
      </w:r>
    </w:p>
    <w:p w:rsidR="00203CCB" w:rsidP="00081A05" w14:paraId="4C88BB07" w14:textId="77777777">
      <w:pPr>
        <w:widowControl/>
        <w:spacing w:after="120"/>
        <w:textAlignment w:val="baseline"/>
      </w:pPr>
      <w:r>
        <w:t>* * * * *</w:t>
      </w:r>
    </w:p>
    <w:p w:rsidR="00203CCB" w:rsidRPr="0068064E" w:rsidP="00081A05" w14:paraId="0F25D1B9" w14:textId="77777777">
      <w:pPr>
        <w:widowControl/>
        <w:spacing w:after="120"/>
        <w:textAlignment w:val="baseline"/>
        <w:rPr>
          <w:rFonts w:eastAsia="Arial"/>
          <w:bCs/>
          <w:szCs w:val="24"/>
        </w:rPr>
      </w:pPr>
      <w:r>
        <w:t xml:space="preserve">3. </w:t>
      </w:r>
      <w:r>
        <w:tab/>
        <w:t xml:space="preserve">Delayed indefinitely, </w:t>
      </w:r>
      <w:r>
        <w:rPr>
          <w:rFonts w:eastAsia="Arial"/>
          <w:bCs/>
          <w:szCs w:val="24"/>
        </w:rPr>
        <w:t>in</w:t>
      </w:r>
      <w:r w:rsidRPr="0068064E">
        <w:rPr>
          <w:rFonts w:eastAsia="Arial"/>
          <w:bCs/>
          <w:szCs w:val="24"/>
        </w:rPr>
        <w:t xml:space="preserve"> § 4.18</w:t>
      </w:r>
      <w:r>
        <w:rPr>
          <w:rFonts w:eastAsia="Arial"/>
          <w:bCs/>
          <w:szCs w:val="24"/>
        </w:rPr>
        <w:t xml:space="preserve">, revise paragraph </w:t>
      </w:r>
      <w:r w:rsidRPr="0068064E">
        <w:rPr>
          <w:rFonts w:eastAsia="Arial"/>
          <w:bCs/>
          <w:szCs w:val="24"/>
        </w:rPr>
        <w:t>(a)</w:t>
      </w:r>
      <w:r>
        <w:rPr>
          <w:rFonts w:eastAsia="Arial"/>
          <w:bCs/>
          <w:szCs w:val="24"/>
        </w:rPr>
        <w:t xml:space="preserve"> and add paragraph (c) to read as follows:</w:t>
      </w:r>
      <w:r w:rsidRPr="0068064E">
        <w:rPr>
          <w:rFonts w:eastAsia="Arial"/>
          <w:bCs/>
          <w:szCs w:val="24"/>
        </w:rPr>
        <w:t xml:space="preserve">  </w:t>
      </w:r>
      <w:r w:rsidRPr="00824AD5">
        <w:rPr>
          <w:rFonts w:eastAsia="Arial"/>
          <w:bCs/>
          <w:szCs w:val="24"/>
        </w:rPr>
        <w:t xml:space="preserve"> </w:t>
      </w:r>
    </w:p>
    <w:p w:rsidR="00203CCB" w:rsidRPr="00A131C8" w:rsidP="00B51B00" w14:paraId="38EB62D3" w14:textId="77777777">
      <w:pPr>
        <w:widowControl/>
        <w:spacing w:after="120"/>
        <w:rPr>
          <w:rFonts w:eastAsia="Arial"/>
          <w:b/>
          <w:snapToGrid/>
          <w:szCs w:val="22"/>
        </w:rPr>
      </w:pPr>
      <w:r w:rsidRPr="00A131C8">
        <w:rPr>
          <w:rFonts w:eastAsia="Arial"/>
          <w:b/>
          <w:szCs w:val="24"/>
        </w:rPr>
        <w:t>§ 4.18 Mandatory Disaster Information Reporting System (DIRS) reporting.</w:t>
      </w:r>
    </w:p>
    <w:p w:rsidR="00203CCB" w:rsidP="00B51B00" w14:paraId="29F3A0F0" w14:textId="77777777">
      <w:pPr>
        <w:widowControl/>
        <w:spacing w:after="120"/>
        <w:ind w:left="720"/>
        <w:rPr>
          <w:rFonts w:eastAsia="Arial"/>
        </w:rPr>
      </w:pPr>
      <w:r w:rsidRPr="00824AD5">
        <w:rPr>
          <w:rFonts w:eastAsia="Arial"/>
        </w:rPr>
        <w:t xml:space="preserve">(a) </w:t>
      </w:r>
      <w:r>
        <w:rPr>
          <w:rFonts w:eastAsia="Arial"/>
        </w:rPr>
        <w:t>C</w:t>
      </w:r>
      <w:r w:rsidRPr="00824AD5">
        <w:rPr>
          <w:rFonts w:eastAsia="Arial"/>
        </w:rPr>
        <w:t xml:space="preserve">able </w:t>
      </w:r>
      <w:r w:rsidRPr="00EE3405">
        <w:rPr>
          <w:rFonts w:eastAsia="Arial"/>
        </w:rPr>
        <w:t>communications</w:t>
      </w:r>
      <w:r w:rsidRPr="00824AD5">
        <w:rPr>
          <w:rFonts w:eastAsia="Arial"/>
        </w:rPr>
        <w:t xml:space="preserve">, </w:t>
      </w:r>
      <w:r w:rsidRPr="00D353F7">
        <w:rPr>
          <w:rFonts w:eastAsia="Arial"/>
        </w:rPr>
        <w:t>w</w:t>
      </w:r>
      <w:r w:rsidRPr="00824AD5">
        <w:rPr>
          <w:rFonts w:eastAsia="Arial"/>
        </w:rPr>
        <w:t xml:space="preserve">ireline </w:t>
      </w:r>
      <w:r w:rsidRPr="00D353F7">
        <w:rPr>
          <w:rFonts w:eastAsia="Arial"/>
        </w:rPr>
        <w:t>communications</w:t>
      </w:r>
      <w:r w:rsidRPr="00824AD5">
        <w:rPr>
          <w:rFonts w:eastAsia="Arial"/>
        </w:rPr>
        <w:t xml:space="preserve">, </w:t>
      </w:r>
      <w:r w:rsidRPr="00D353F7">
        <w:rPr>
          <w:rFonts w:eastAsia="Arial"/>
        </w:rPr>
        <w:t>w</w:t>
      </w:r>
      <w:r w:rsidRPr="00824AD5">
        <w:rPr>
          <w:rFonts w:eastAsia="Arial"/>
        </w:rPr>
        <w:t xml:space="preserve">ireless </w:t>
      </w:r>
      <w:r w:rsidRPr="00EE3405">
        <w:rPr>
          <w:rFonts w:eastAsia="Arial"/>
        </w:rPr>
        <w:t>service</w:t>
      </w:r>
      <w:r w:rsidRPr="00824AD5">
        <w:rPr>
          <w:rFonts w:eastAsia="Arial"/>
        </w:rPr>
        <w:t xml:space="preserve">, and </w:t>
      </w:r>
      <w:r w:rsidRPr="00D353F7">
        <w:rPr>
          <w:rFonts w:eastAsia="Arial"/>
        </w:rPr>
        <w:t>i</w:t>
      </w:r>
      <w:r w:rsidRPr="00824AD5">
        <w:rPr>
          <w:rFonts w:eastAsia="Arial"/>
        </w:rPr>
        <w:t>nterconnected VoIP providers</w:t>
      </w:r>
      <w:r>
        <w:rPr>
          <w:rFonts w:eastAsia="Arial"/>
        </w:rPr>
        <w:t xml:space="preserve"> that own or operate their own facilities </w:t>
      </w:r>
      <w:r w:rsidRPr="00824AD5">
        <w:rPr>
          <w:rFonts w:eastAsia="Arial"/>
        </w:rPr>
        <w:t xml:space="preserve">shall </w:t>
      </w:r>
      <w:r w:rsidRPr="00EE3405">
        <w:rPr>
          <w:rFonts w:eastAsia="Arial"/>
        </w:rPr>
        <w:t>submit daily</w:t>
      </w:r>
      <w:r w:rsidRPr="00824AD5">
        <w:rPr>
          <w:rFonts w:eastAsia="Arial"/>
          <w:b/>
          <w:bCs/>
        </w:rPr>
        <w:t xml:space="preserve"> </w:t>
      </w:r>
      <w:r w:rsidRPr="00824AD5">
        <w:rPr>
          <w:rFonts w:eastAsia="Arial"/>
        </w:rPr>
        <w:t>report</w:t>
      </w:r>
      <w:r w:rsidRPr="009B789E">
        <w:rPr>
          <w:rFonts w:eastAsia="Arial"/>
        </w:rPr>
        <w:t xml:space="preserve">s </w:t>
      </w:r>
      <w:r w:rsidRPr="00EE3405">
        <w:rPr>
          <w:rFonts w:eastAsia="Arial"/>
        </w:rPr>
        <w:t>on</w:t>
      </w:r>
      <w:r w:rsidRPr="00824AD5">
        <w:rPr>
          <w:rFonts w:eastAsia="Arial"/>
        </w:rPr>
        <w:t xml:space="preserve"> their infrastructure status in the Disaster Information Reporting System (DIRS) when the Commission activates DIRS in geographic areas in which they provide service, even when their reportable infrastructure has not changed compared to the prior day. </w:t>
      </w:r>
      <w:r>
        <w:rPr>
          <w:rFonts w:eastAsia="Arial"/>
        </w:rPr>
        <w:t xml:space="preserve"> These</w:t>
      </w:r>
      <w:r w:rsidRPr="00EE3405">
        <w:rPr>
          <w:rFonts w:eastAsia="Arial"/>
        </w:rPr>
        <w:t xml:space="preserve"> providers shall include in their reports the following information about areas in which the Commission has activated DIRS:</w:t>
      </w:r>
    </w:p>
    <w:p w:rsidR="00203CCB" w:rsidRPr="00EE3405" w:rsidP="00081A05" w14:paraId="67949296" w14:textId="77777777">
      <w:pPr>
        <w:widowControl/>
        <w:spacing w:after="120"/>
        <w:ind w:left="1152"/>
        <w:textAlignment w:val="baseline"/>
        <w:rPr>
          <w:rFonts w:eastAsia="Arial"/>
        </w:rPr>
      </w:pPr>
      <w:r w:rsidRPr="00035815">
        <w:rPr>
          <w:rFonts w:eastAsia="Arial"/>
        </w:rPr>
        <w:t xml:space="preserve">(1) </w:t>
      </w:r>
      <w:r>
        <w:rPr>
          <w:rFonts w:eastAsia="Arial"/>
        </w:rPr>
        <w:t>C</w:t>
      </w:r>
      <w:r w:rsidRPr="00035815">
        <w:rPr>
          <w:rFonts w:eastAsia="Arial"/>
        </w:rPr>
        <w:t xml:space="preserve">able communications providers shall submit information concerning the type, power status, location, and identifying information of any major equipment that is </w:t>
      </w:r>
      <w:r>
        <w:rPr>
          <w:rFonts w:eastAsia="Arial"/>
        </w:rPr>
        <w:t>down.</w:t>
      </w:r>
    </w:p>
    <w:p w:rsidR="00203CCB" w:rsidRPr="00EE3405" w:rsidP="00081A05" w14:paraId="49C8629B" w14:textId="77777777">
      <w:pPr>
        <w:widowControl/>
        <w:spacing w:after="120"/>
        <w:ind w:left="1152"/>
        <w:textAlignment w:val="baseline"/>
        <w:rPr>
          <w:rFonts w:eastAsia="Arial"/>
        </w:rPr>
      </w:pPr>
      <w:r w:rsidRPr="00EE3405">
        <w:rPr>
          <w:rFonts w:eastAsia="Arial"/>
        </w:rPr>
        <w:t xml:space="preserve">(2) </w:t>
      </w:r>
      <w:r>
        <w:rPr>
          <w:rFonts w:eastAsia="Arial"/>
        </w:rPr>
        <w:t>W</w:t>
      </w:r>
      <w:r w:rsidRPr="00EE3405">
        <w:rPr>
          <w:rFonts w:eastAsia="Arial"/>
        </w:rPr>
        <w:t xml:space="preserve">ireline communications providers shall submit information concerning the type, power status, location, and identifying information of any major equipment that is down; the quantity of working telephone numbers for which the provider provides service, and the quantity of such numbers that are without service; the name, service area, and number of customers served by any </w:t>
      </w:r>
      <w:r w:rsidRPr="00EE3405">
        <w:t xml:space="preserve">Public Safety Answering Point (PSAPs) </w:t>
      </w:r>
      <w:r w:rsidRPr="00EE3405">
        <w:rPr>
          <w:rFonts w:eastAsia="Arial"/>
        </w:rPr>
        <w:t xml:space="preserve">for which the provider provides service; the number of Optical Carrier 3 (OC3) circuits or their equivalents that are down; and the location, identifying information, and quantity of working numbers </w:t>
      </w:r>
      <w:r w:rsidRPr="006A141B">
        <w:rPr>
          <w:rFonts w:eastAsia="Arial"/>
        </w:rPr>
        <w:t>served by any remote aggregation device, and the quantity of such numbers that are without service</w:t>
      </w:r>
      <w:r>
        <w:rPr>
          <w:rFonts w:eastAsia="Arial"/>
        </w:rPr>
        <w:t>.</w:t>
      </w:r>
    </w:p>
    <w:p w:rsidR="00203CCB" w:rsidRPr="00EE3405" w:rsidP="00081A05" w14:paraId="277BA42F" w14:textId="77777777">
      <w:pPr>
        <w:widowControl/>
        <w:spacing w:after="120"/>
        <w:ind w:left="1152"/>
        <w:textAlignment w:val="baseline"/>
        <w:rPr>
          <w:rFonts w:eastAsia="Arial"/>
        </w:rPr>
      </w:pPr>
      <w:r w:rsidRPr="00EE3405">
        <w:rPr>
          <w:rFonts w:eastAsia="Arial"/>
        </w:rPr>
        <w:t xml:space="preserve">(3) </w:t>
      </w:r>
      <w:r>
        <w:rPr>
          <w:rFonts w:eastAsia="Arial"/>
        </w:rPr>
        <w:t>W</w:t>
      </w:r>
      <w:r w:rsidRPr="00B27B67">
        <w:rPr>
          <w:rFonts w:eastAsia="Arial"/>
        </w:rPr>
        <w:t>ireless service providers shall submit information concerning the type, power status, location, and identifying information of any major equipment that is down; the number and location of cell sites that are down or on backup power</w:t>
      </w:r>
      <w:r w:rsidRPr="001F2CE5">
        <w:rPr>
          <w:rFonts w:eastAsia="Arial"/>
        </w:rPr>
        <w:t>; and</w:t>
      </w:r>
      <w:r w:rsidRPr="00B27B67">
        <w:rPr>
          <w:rFonts w:eastAsia="Arial"/>
        </w:rPr>
        <w:t xml:space="preserve"> the cause of any cell site outages</w:t>
      </w:r>
      <w:r>
        <w:rPr>
          <w:rFonts w:eastAsia="Arial"/>
        </w:rPr>
        <w:t>.</w:t>
      </w:r>
    </w:p>
    <w:p w:rsidR="00203CCB" w:rsidP="00081A05" w14:paraId="4D566AAD" w14:textId="77777777">
      <w:pPr>
        <w:widowControl/>
        <w:spacing w:after="120"/>
        <w:ind w:left="1152"/>
        <w:textAlignment w:val="baseline"/>
        <w:rPr>
          <w:snapToGrid/>
          <w:szCs w:val="22"/>
        </w:rPr>
      </w:pPr>
      <w:r w:rsidRPr="0068064E">
        <w:rPr>
          <w:rFonts w:eastAsia="Arial"/>
        </w:rPr>
        <w:t xml:space="preserve">(4) </w:t>
      </w:r>
      <w:r>
        <w:rPr>
          <w:rFonts w:eastAsia="Arial"/>
        </w:rPr>
        <w:t>I</w:t>
      </w:r>
      <w:r w:rsidRPr="0068064E">
        <w:rPr>
          <w:rFonts w:eastAsia="Arial"/>
        </w:rPr>
        <w:t>nterconnected VoIP providers shall submit information concerning the type, power status, location, and identifying information of any major equipment that is down; the number of interconnected VoIP service subscribers without service; and the number of OC3 circuits or their equivalents that are down</w:t>
      </w:r>
      <w:r w:rsidRPr="00EE3405">
        <w:rPr>
          <w:rFonts w:eastAsia="Arial"/>
        </w:rPr>
        <w:t>.</w:t>
      </w:r>
      <w:r>
        <w:rPr>
          <w:snapToGrid/>
          <w:szCs w:val="22"/>
        </w:rPr>
        <w:t xml:space="preserve"> </w:t>
      </w:r>
    </w:p>
    <w:p w:rsidR="00203CCB" w:rsidP="00081A05" w14:paraId="07475341" w14:textId="77777777">
      <w:pPr>
        <w:widowControl/>
        <w:spacing w:after="120"/>
        <w:ind w:left="1152"/>
        <w:textAlignment w:val="baseline"/>
        <w:rPr>
          <w:rFonts w:eastAsia="Arial"/>
        </w:rPr>
      </w:pPr>
      <w:r>
        <w:rPr>
          <w:rFonts w:eastAsia="Arial"/>
        </w:rPr>
        <w:t>(5</w:t>
      </w:r>
      <w:r w:rsidRPr="00EE3405">
        <w:rPr>
          <w:rFonts w:eastAsia="Arial"/>
        </w:rPr>
        <w:t xml:space="preserve">) </w:t>
      </w:r>
      <w:r>
        <w:rPr>
          <w:rFonts w:eastAsia="Arial"/>
        </w:rPr>
        <w:t>C</w:t>
      </w:r>
      <w:r w:rsidRPr="00EE3405">
        <w:rPr>
          <w:rFonts w:eastAsia="Arial"/>
        </w:rPr>
        <w:t xml:space="preserve">able communications, wireline communications, and interconnected VoIP providers that are </w:t>
      </w:r>
      <w:r w:rsidRPr="00EE3405">
        <w:t xml:space="preserve">stage 2 recipients of the </w:t>
      </w:r>
      <w:r w:rsidRPr="00EE3405">
        <w:t>Uniendo</w:t>
      </w:r>
      <w:r w:rsidRPr="00EE3405">
        <w:t xml:space="preserve"> a Puerto Rico Fund and Connect USVI Fund shall also submit information concerning the quantity of broadband Internet access service subscribers</w:t>
      </w:r>
      <w:r w:rsidRPr="00EE3405">
        <w:rPr>
          <w:rFonts w:eastAsia="Arial"/>
        </w:rPr>
        <w:t xml:space="preserve"> for whom the provider provides service, and the quantity of such subscribers who are without service.</w:t>
      </w:r>
    </w:p>
    <w:p w:rsidR="00203CCB" w:rsidP="00081A05" w14:paraId="5651A760" w14:textId="77777777">
      <w:pPr>
        <w:widowControl/>
        <w:spacing w:after="120"/>
        <w:textAlignment w:val="baseline"/>
        <w:rPr>
          <w:snapToGrid/>
          <w:szCs w:val="22"/>
        </w:rPr>
      </w:pPr>
      <w:r>
        <w:rPr>
          <w:snapToGrid/>
          <w:szCs w:val="22"/>
        </w:rPr>
        <w:t xml:space="preserve"> * * * * *</w:t>
      </w:r>
    </w:p>
    <w:p w:rsidR="00203CCB" w:rsidRPr="00697D1A" w:rsidP="00B51B00" w14:paraId="158EE1A6" w14:textId="77777777">
      <w:pPr>
        <w:widowControl/>
        <w:spacing w:after="120"/>
        <w:ind w:left="720"/>
        <w:rPr>
          <w:snapToGrid/>
          <w:szCs w:val="22"/>
        </w:rPr>
      </w:pPr>
      <w:r>
        <w:rPr>
          <w:snapToGrid/>
          <w:szCs w:val="22"/>
        </w:rPr>
        <w:t>(c) P</w:t>
      </w:r>
      <w:r>
        <w:rPr>
          <w:rFonts w:eastAsia="Arial"/>
        </w:rPr>
        <w:t xml:space="preserve">ublic safety </w:t>
      </w:r>
      <w:r>
        <w:t xml:space="preserve">voice and </w:t>
      </w:r>
      <w:r>
        <w:rPr>
          <w:rFonts w:eastAsia="Arial"/>
        </w:rPr>
        <w:t xml:space="preserve">broadband network operators shall submit information in DIRS concerning the status of infrastructure used by that network.  They shall submit information that is applicable to the characteristics of the network (e.g., the provider of a wireless public safety </w:t>
      </w:r>
      <w:r>
        <w:t xml:space="preserve">voice and </w:t>
      </w:r>
      <w:r>
        <w:rPr>
          <w:rFonts w:eastAsia="Arial"/>
        </w:rPr>
        <w:t xml:space="preserve">broadband network shall complete the wireless service provider fields in DIRS).  </w:t>
      </w:r>
      <w:r w:rsidRPr="00EE3405">
        <w:rPr>
          <w:rFonts w:eastAsia="Arial"/>
        </w:rPr>
        <w:t>Facilities-based</w:t>
      </w:r>
      <w:r w:rsidRPr="00824AD5">
        <w:rPr>
          <w:rFonts w:eastAsia="Arial"/>
          <w:b/>
          <w:bCs/>
        </w:rPr>
        <w:t xml:space="preserve"> </w:t>
      </w:r>
      <w:r w:rsidRPr="00D353F7">
        <w:rPr>
          <w:rFonts w:eastAsia="Arial"/>
        </w:rPr>
        <w:t>c</w:t>
      </w:r>
      <w:r w:rsidRPr="00824AD5">
        <w:rPr>
          <w:rFonts w:eastAsia="Arial"/>
        </w:rPr>
        <w:t xml:space="preserve">able </w:t>
      </w:r>
      <w:r w:rsidRPr="00EE3405">
        <w:rPr>
          <w:rFonts w:eastAsia="Arial"/>
        </w:rPr>
        <w:t>communications</w:t>
      </w:r>
      <w:r w:rsidRPr="00824AD5">
        <w:rPr>
          <w:rFonts w:eastAsia="Arial"/>
        </w:rPr>
        <w:t xml:space="preserve">, </w:t>
      </w:r>
      <w:r w:rsidRPr="00D353F7">
        <w:rPr>
          <w:rFonts w:eastAsia="Arial"/>
        </w:rPr>
        <w:t>w</w:t>
      </w:r>
      <w:r w:rsidRPr="00824AD5">
        <w:rPr>
          <w:rFonts w:eastAsia="Arial"/>
        </w:rPr>
        <w:t xml:space="preserve">ireline </w:t>
      </w:r>
      <w:r w:rsidRPr="00D353F7">
        <w:rPr>
          <w:rFonts w:eastAsia="Arial"/>
        </w:rPr>
        <w:t>communications</w:t>
      </w:r>
      <w:r w:rsidRPr="00824AD5">
        <w:rPr>
          <w:rFonts w:eastAsia="Arial"/>
        </w:rPr>
        <w:t xml:space="preserve">, </w:t>
      </w:r>
      <w:r w:rsidRPr="00D353F7">
        <w:rPr>
          <w:rFonts w:eastAsia="Arial"/>
        </w:rPr>
        <w:t>w</w:t>
      </w:r>
      <w:r w:rsidRPr="00824AD5">
        <w:rPr>
          <w:rFonts w:eastAsia="Arial"/>
        </w:rPr>
        <w:t xml:space="preserve">ireless </w:t>
      </w:r>
      <w:r w:rsidRPr="00EE3405">
        <w:rPr>
          <w:rFonts w:eastAsia="Arial"/>
        </w:rPr>
        <w:t>service</w:t>
      </w:r>
      <w:r w:rsidRPr="00824AD5">
        <w:rPr>
          <w:rFonts w:eastAsia="Arial"/>
        </w:rPr>
        <w:t xml:space="preserve">, </w:t>
      </w:r>
      <w:r>
        <w:rPr>
          <w:rFonts w:eastAsia="Arial"/>
        </w:rPr>
        <w:t xml:space="preserve">and </w:t>
      </w:r>
      <w:r w:rsidRPr="00D353F7">
        <w:rPr>
          <w:rFonts w:eastAsia="Arial"/>
        </w:rPr>
        <w:t>i</w:t>
      </w:r>
      <w:r w:rsidRPr="00824AD5">
        <w:rPr>
          <w:rFonts w:eastAsia="Arial"/>
        </w:rPr>
        <w:t>nterconnected VoIP providers</w:t>
      </w:r>
      <w:r>
        <w:rPr>
          <w:rFonts w:eastAsia="Arial"/>
        </w:rPr>
        <w:t xml:space="preserve"> that operate public safety </w:t>
      </w:r>
      <w:r>
        <w:t xml:space="preserve">voice and </w:t>
      </w:r>
      <w:r>
        <w:rPr>
          <w:rFonts w:eastAsia="Arial"/>
        </w:rPr>
        <w:t xml:space="preserve">broadband networks shall identify the status of the infrastructure relied upon by the public safety </w:t>
      </w:r>
      <w:r>
        <w:t xml:space="preserve">voice and </w:t>
      </w:r>
      <w:r>
        <w:rPr>
          <w:rFonts w:eastAsia="Arial"/>
        </w:rPr>
        <w:t xml:space="preserve">broadband network in addition to identifying the status of their infrastructure overall. </w:t>
      </w:r>
      <w:r>
        <w:rPr>
          <w:snapToGrid/>
          <w:szCs w:val="22"/>
        </w:rPr>
        <w:t xml:space="preserve"> </w:t>
      </w:r>
    </w:p>
    <w:p w:rsidR="00203CCB" w:rsidP="00081A05" w14:paraId="257353A1" w14:textId="77777777">
      <w:pPr>
        <w:widowControl/>
        <w:spacing w:after="120"/>
        <w:textAlignment w:val="baseline"/>
        <w:rPr>
          <w:snapToGrid/>
          <w:szCs w:val="22"/>
        </w:rPr>
      </w:pPr>
    </w:p>
    <w:p w:rsidR="00203CCB" w:rsidP="00081A05" w14:paraId="545C156A" w14:textId="3D288BDD">
      <w:pPr>
        <w:widowControl/>
        <w:ind w:left="720"/>
        <w:rPr>
          <w:b/>
          <w:bCs/>
        </w:rPr>
        <w:sectPr w:rsidSect="00691D1C">
          <w:headerReference w:type="default" r:id="rId13"/>
          <w:footerReference w:type="even" r:id="rId14"/>
          <w:headerReference w:type="first" r:id="rId15"/>
          <w:endnotePr>
            <w:numFmt w:val="decimal"/>
          </w:endnotePr>
          <w:pgSz w:w="12240" w:h="15840"/>
          <w:pgMar w:top="1440" w:right="1440" w:bottom="720" w:left="1440" w:header="720" w:footer="720" w:gutter="0"/>
          <w:cols w:space="720"/>
          <w:noEndnote/>
          <w:docGrid w:linePitch="299"/>
        </w:sectPr>
      </w:pPr>
    </w:p>
    <w:p w:rsidR="00203CCB" w:rsidRPr="00103C46" w:rsidP="00EB7CCD" w14:paraId="6BAE59BF" w14:textId="77777777">
      <w:pPr>
        <w:pStyle w:val="ParaNum"/>
        <w:widowControl/>
        <w:numPr>
          <w:ilvl w:val="0"/>
          <w:numId w:val="0"/>
        </w:numPr>
        <w:jc w:val="center"/>
        <w:textAlignment w:val="baseline"/>
        <w:rPr>
          <w:rFonts w:eastAsia="Calibri"/>
          <w:b/>
          <w:szCs w:val="22"/>
        </w:rPr>
      </w:pPr>
      <w:r w:rsidRPr="00103C46">
        <w:rPr>
          <w:b/>
          <w:szCs w:val="22"/>
        </w:rPr>
        <w:t xml:space="preserve">APPENDIX </w:t>
      </w:r>
      <w:r>
        <w:rPr>
          <w:b/>
          <w:szCs w:val="22"/>
        </w:rPr>
        <w:t>B</w:t>
      </w:r>
    </w:p>
    <w:p w:rsidR="00203CCB" w:rsidP="00081A05" w14:paraId="1AB5F737" w14:textId="77777777">
      <w:pPr>
        <w:widowControl/>
        <w:jc w:val="center"/>
        <w:rPr>
          <w:b/>
          <w:szCs w:val="22"/>
        </w:rPr>
      </w:pPr>
      <w:r w:rsidRPr="00103C46">
        <w:rPr>
          <w:rFonts w:eastAsia="Calibri"/>
          <w:b/>
          <w:szCs w:val="22"/>
        </w:rPr>
        <w:t>Final Regulatory Flexibility Analysis</w:t>
      </w:r>
    </w:p>
    <w:p w:rsidR="00203CCB" w:rsidRPr="00103C46" w:rsidP="00081A05" w14:paraId="51D9B226" w14:textId="77777777">
      <w:pPr>
        <w:widowControl/>
        <w:jc w:val="center"/>
        <w:rPr>
          <w:rFonts w:eastAsia="Calibri"/>
          <w:b/>
          <w:szCs w:val="22"/>
        </w:rPr>
      </w:pPr>
    </w:p>
    <w:p w:rsidR="00203CCB" w:rsidRPr="003C028D" w:rsidP="00081A05" w14:paraId="27944C59" w14:textId="77777777">
      <w:pPr>
        <w:pStyle w:val="ParaNum"/>
        <w:widowControl/>
        <w:numPr>
          <w:ilvl w:val="0"/>
          <w:numId w:val="4"/>
        </w:numPr>
        <w:tabs>
          <w:tab w:val="clear" w:pos="1080"/>
          <w:tab w:val="num" w:pos="1440"/>
          <w:tab w:val="num" w:pos="2160"/>
        </w:tabs>
      </w:pPr>
      <w:r w:rsidRPr="006E443D">
        <w:rPr>
          <w:rFonts w:eastAsia="Calibri"/>
        </w:rPr>
        <w:t>As required by the Regulatory Flexibility Act of 1980, as amended (RFA),</w:t>
      </w:r>
      <w:r>
        <w:rPr>
          <w:rFonts w:eastAsia="Calibri"/>
          <w:snapToGrid/>
          <w:vertAlign w:val="superscript"/>
        </w:rPr>
        <w:footnoteReference w:id="153"/>
      </w:r>
      <w:r w:rsidRPr="006E443D">
        <w:rPr>
          <w:rFonts w:eastAsia="Calibri"/>
        </w:rPr>
        <w:t xml:space="preserve"> </w:t>
      </w:r>
      <w:r>
        <w:rPr>
          <w:rFonts w:eastAsia="Calibri"/>
        </w:rPr>
        <w:t xml:space="preserve">the Federal Communications Commission (Commission) incorporated </w:t>
      </w:r>
      <w:r w:rsidRPr="006E443D">
        <w:rPr>
          <w:rFonts w:eastAsia="Calibri"/>
        </w:rPr>
        <w:t xml:space="preserve">an Initial Regulatory Flexibility Analysis (IRFA) </w:t>
      </w:r>
      <w:r>
        <w:rPr>
          <w:rFonts w:eastAsia="Calibri"/>
        </w:rPr>
        <w:t xml:space="preserve">in </w:t>
      </w:r>
      <w:r w:rsidRPr="006E443D">
        <w:rPr>
          <w:rFonts w:eastAsia="Calibri"/>
        </w:rPr>
        <w:t xml:space="preserve">the </w:t>
      </w:r>
      <w:r w:rsidRPr="006E443D">
        <w:rPr>
          <w:rFonts w:eastAsia="Calibri"/>
          <w:i/>
        </w:rPr>
        <w:t xml:space="preserve">Resilient Networks; Amendments to Part 4 of the </w:t>
      </w:r>
      <w:r w:rsidRPr="00C856B2">
        <w:rPr>
          <w:rFonts w:eastAsia="Calibri"/>
          <w:i/>
        </w:rPr>
        <w:t>Commission's</w:t>
      </w:r>
      <w:r w:rsidRPr="006E443D">
        <w:rPr>
          <w:rFonts w:eastAsia="Calibri"/>
          <w:i/>
        </w:rPr>
        <w:t xml:space="preserve"> Rules Concerning Disruptions to Communications </w:t>
      </w:r>
      <w:r w:rsidRPr="00206086">
        <w:rPr>
          <w:rFonts w:eastAsia="Calibri"/>
          <w:i/>
        </w:rPr>
        <w:t xml:space="preserve">Third Further </w:t>
      </w:r>
      <w:r w:rsidRPr="00CC7EFA">
        <w:rPr>
          <w:rFonts w:eastAsia="Calibri"/>
          <w:i/>
        </w:rPr>
        <w:t>Notice of Proposed Rulemaking</w:t>
      </w:r>
      <w:r w:rsidRPr="006E443D">
        <w:rPr>
          <w:rFonts w:eastAsia="Calibri"/>
        </w:rPr>
        <w:t xml:space="preserve"> (</w:t>
      </w:r>
      <w:r>
        <w:rPr>
          <w:rFonts w:eastAsia="Calibri"/>
          <w:i/>
        </w:rPr>
        <w:t>Third Further</w:t>
      </w:r>
      <w:r w:rsidRPr="006E443D">
        <w:rPr>
          <w:rFonts w:eastAsia="Calibri"/>
          <w:i/>
        </w:rPr>
        <w:t xml:space="preserve"> Notice</w:t>
      </w:r>
      <w:r w:rsidRPr="006E443D">
        <w:rPr>
          <w:rFonts w:eastAsia="Calibri"/>
        </w:rPr>
        <w:t xml:space="preserve">) released in </w:t>
      </w:r>
      <w:r>
        <w:rPr>
          <w:rFonts w:eastAsia="Calibri"/>
        </w:rPr>
        <w:t xml:space="preserve">August </w:t>
      </w:r>
      <w:r w:rsidRPr="006E443D">
        <w:rPr>
          <w:rFonts w:eastAsia="Calibri"/>
        </w:rPr>
        <w:t>202</w:t>
      </w:r>
      <w:r>
        <w:rPr>
          <w:rFonts w:eastAsia="Calibri"/>
        </w:rPr>
        <w:t>5</w:t>
      </w:r>
      <w:r w:rsidRPr="006E443D">
        <w:rPr>
          <w:rFonts w:eastAsia="Calibri"/>
        </w:rPr>
        <w:t>.</w:t>
      </w:r>
      <w:r>
        <w:rPr>
          <w:rFonts w:eastAsia="Calibri"/>
          <w:snapToGrid/>
          <w:vertAlign w:val="superscript"/>
        </w:rPr>
        <w:footnoteReference w:id="154"/>
      </w:r>
      <w:r w:rsidRPr="006E443D">
        <w:rPr>
          <w:rFonts w:eastAsia="Calibri"/>
        </w:rPr>
        <w:t xml:space="preserve">  The Commission sought written public comment on the proposals in the </w:t>
      </w:r>
      <w:r>
        <w:rPr>
          <w:rFonts w:eastAsia="Calibri"/>
          <w:i/>
        </w:rPr>
        <w:t>Third Further</w:t>
      </w:r>
      <w:r w:rsidRPr="006E443D">
        <w:rPr>
          <w:rFonts w:eastAsia="Calibri"/>
          <w:i/>
        </w:rPr>
        <w:t xml:space="preserve"> Notice</w:t>
      </w:r>
      <w:r w:rsidRPr="006E443D">
        <w:rPr>
          <w:rFonts w:eastAsia="Calibri"/>
        </w:rPr>
        <w:t xml:space="preserve">, including comment on the IRFA.  No comments were filed </w:t>
      </w:r>
      <w:r>
        <w:rPr>
          <w:rFonts w:eastAsia="Calibri"/>
        </w:rPr>
        <w:t>addressing</w:t>
      </w:r>
      <w:r w:rsidRPr="006E443D">
        <w:rPr>
          <w:rFonts w:eastAsia="Calibri"/>
        </w:rPr>
        <w:t xml:space="preserve"> the IRFA.  This</w:t>
      </w:r>
      <w:r w:rsidRPr="006E443D">
        <w:rPr>
          <w:rFonts w:eastAsia="Calibri"/>
        </w:rPr>
        <w:t xml:space="preserve"> </w:t>
      </w:r>
      <w:r w:rsidRPr="006E443D">
        <w:rPr>
          <w:rFonts w:eastAsia="Calibri"/>
        </w:rPr>
        <w:t>Final Regulatory Flexibility Analysis (FRFA) conforms to the RFA</w:t>
      </w:r>
      <w:r>
        <w:rPr>
          <w:rFonts w:eastAsia="Calibri"/>
        </w:rPr>
        <w:t xml:space="preserve"> and it (or summaries thereof) will be published in the Federal Register</w:t>
      </w:r>
      <w:r w:rsidRPr="006E443D">
        <w:rPr>
          <w:rFonts w:eastAsia="Calibri"/>
        </w:rPr>
        <w:t>.</w:t>
      </w:r>
      <w:r>
        <w:rPr>
          <w:rFonts w:eastAsia="Calibri"/>
          <w:snapToGrid/>
          <w:vertAlign w:val="superscript"/>
        </w:rPr>
        <w:footnoteReference w:id="155"/>
      </w:r>
    </w:p>
    <w:p w:rsidR="00203CCB" w:rsidP="00081A05" w14:paraId="7F41C56D" w14:textId="77777777">
      <w:pPr>
        <w:pStyle w:val="Heading2"/>
        <w:widowControl/>
        <w:numPr>
          <w:ilvl w:val="1"/>
          <w:numId w:val="3"/>
        </w:numPr>
        <w:tabs>
          <w:tab w:val="num" w:pos="1080"/>
          <w:tab w:val="clear" w:pos="1440"/>
        </w:tabs>
        <w:ind w:left="0" w:firstLine="720"/>
      </w:pPr>
      <w:bookmarkStart w:id="69" w:name="_Toc146549325"/>
      <w:bookmarkStart w:id="70" w:name="_Toc146551529"/>
      <w:bookmarkStart w:id="71" w:name="_Toc152846916"/>
      <w:bookmarkStart w:id="72" w:name="_Toc227662256"/>
      <w:bookmarkStart w:id="73" w:name="_Toc230244555"/>
      <w:bookmarkStart w:id="74" w:name="_Toc230246373"/>
      <w:r w:rsidRPr="007822FE">
        <w:rPr>
          <w:rFonts w:eastAsia="Calibri"/>
          <w:snapToGrid/>
        </w:rPr>
        <w:t xml:space="preserve">Need for, and Objectives of, the </w:t>
      </w:r>
      <w:r w:rsidRPr="007822FE">
        <w:rPr>
          <w:rFonts w:eastAsia="Calibri"/>
        </w:rPr>
        <w:t>Final</w:t>
      </w:r>
      <w:r w:rsidRPr="007822FE">
        <w:rPr>
          <w:rFonts w:eastAsia="Calibri"/>
          <w:snapToGrid/>
        </w:rPr>
        <w:t xml:space="preserve"> Rules</w:t>
      </w:r>
      <w:bookmarkStart w:id="75" w:name="_Hlk154666151"/>
      <w:bookmarkEnd w:id="69"/>
      <w:bookmarkEnd w:id="70"/>
      <w:bookmarkEnd w:id="71"/>
      <w:bookmarkEnd w:id="72"/>
      <w:bookmarkEnd w:id="73"/>
      <w:bookmarkEnd w:id="74"/>
    </w:p>
    <w:bookmarkEnd w:id="75"/>
    <w:p w:rsidR="00203CCB" w:rsidRPr="00272075" w:rsidP="00C329A5" w14:paraId="193FD14C" w14:textId="77777777">
      <w:pPr>
        <w:pStyle w:val="ParaNum"/>
        <w:widowControl/>
      </w:pPr>
      <w:r w:rsidRPr="009142BD">
        <w:rPr>
          <w:snapToGrid/>
        </w:rPr>
        <w:t xml:space="preserve">The Commission’s rules require cable communications, wireless, wireline and interconnected VoIP providers to report network outages in the Commission’s Disaster Information Reporting System (DIRS) when it is activated.  The </w:t>
      </w:r>
      <w:r w:rsidRPr="009142BD">
        <w:rPr>
          <w:i/>
          <w:iCs/>
          <w:snapToGrid/>
        </w:rPr>
        <w:t xml:space="preserve">Third </w:t>
      </w:r>
      <w:r>
        <w:rPr>
          <w:i/>
          <w:iCs/>
          <w:snapToGrid/>
        </w:rPr>
        <w:t>Report and Order</w:t>
      </w:r>
      <w:r w:rsidRPr="009142BD">
        <w:rPr>
          <w:i/>
          <w:iCs/>
          <w:snapToGrid/>
        </w:rPr>
        <w:t xml:space="preserve"> </w:t>
      </w:r>
      <w:r w:rsidRPr="009142BD">
        <w:rPr>
          <w:snapToGrid/>
        </w:rPr>
        <w:t>reduc</w:t>
      </w:r>
      <w:r>
        <w:rPr>
          <w:snapToGrid/>
        </w:rPr>
        <w:t>es</w:t>
      </w:r>
      <w:r w:rsidRPr="009142BD">
        <w:rPr>
          <w:snapToGrid/>
        </w:rPr>
        <w:t xml:space="preserve"> </w:t>
      </w:r>
      <w:r>
        <w:rPr>
          <w:snapToGrid/>
        </w:rPr>
        <w:t xml:space="preserve">DIRS-related </w:t>
      </w:r>
      <w:r w:rsidRPr="009142BD">
        <w:rPr>
          <w:snapToGrid/>
        </w:rPr>
        <w:t xml:space="preserve">burdens faced by small and other service providers and government agencies so that they can dedicate more resources to restoring and maintaining </w:t>
      </w:r>
      <w:r>
        <w:rPr>
          <w:snapToGrid/>
        </w:rPr>
        <w:t xml:space="preserve">communications </w:t>
      </w:r>
      <w:r w:rsidRPr="009142BD">
        <w:rPr>
          <w:snapToGrid/>
        </w:rPr>
        <w:t>service</w:t>
      </w:r>
      <w:r>
        <w:rPr>
          <w:snapToGrid/>
        </w:rPr>
        <w:t>s</w:t>
      </w:r>
      <w:r w:rsidRPr="009142BD">
        <w:rPr>
          <w:snapToGrid/>
        </w:rPr>
        <w:t xml:space="preserve"> during a disaster.  </w:t>
      </w:r>
      <w:r>
        <w:rPr>
          <w:snapToGrid/>
        </w:rPr>
        <w:t xml:space="preserve">The </w:t>
      </w:r>
      <w:r w:rsidRPr="009142BD">
        <w:rPr>
          <w:i/>
          <w:iCs/>
          <w:snapToGrid/>
        </w:rPr>
        <w:t xml:space="preserve">Third </w:t>
      </w:r>
      <w:r>
        <w:rPr>
          <w:i/>
          <w:iCs/>
          <w:snapToGrid/>
        </w:rPr>
        <w:t>Report and Order</w:t>
      </w:r>
      <w:r w:rsidRPr="009142BD">
        <w:rPr>
          <w:snapToGrid/>
        </w:rPr>
        <w:t xml:space="preserve"> </w:t>
      </w:r>
      <w:r>
        <w:rPr>
          <w:snapToGrid/>
        </w:rPr>
        <w:t xml:space="preserve">makes the following </w:t>
      </w:r>
      <w:r w:rsidRPr="009142BD">
        <w:rPr>
          <w:snapToGrid/>
        </w:rPr>
        <w:t>changes to DIRS:</w:t>
      </w:r>
    </w:p>
    <w:p w:rsidR="00203CCB" w:rsidRPr="00C70ACE" w:rsidP="00EB7CCD" w14:paraId="404D1D43" w14:textId="77777777">
      <w:pPr>
        <w:pStyle w:val="ParaNum"/>
        <w:widowControl/>
        <w:numPr>
          <w:ilvl w:val="0"/>
          <w:numId w:val="5"/>
        </w:numPr>
      </w:pPr>
      <w:r>
        <w:t>Redesigning the DIRS user interface to streamline reporting for service providers who enter information in DIRS manually so these filers can submit information more efficiently</w:t>
      </w:r>
      <w:r w:rsidRPr="00C70ACE">
        <w:t>;</w:t>
      </w:r>
    </w:p>
    <w:p w:rsidR="00203CCB" w:rsidRPr="00C70ACE" w:rsidP="00EB7CCD" w14:paraId="69686635" w14:textId="77777777">
      <w:pPr>
        <w:pStyle w:val="ParaNum"/>
        <w:widowControl/>
        <w:numPr>
          <w:ilvl w:val="0"/>
          <w:numId w:val="5"/>
        </w:numPr>
      </w:pPr>
      <w:r>
        <w:t>Eliminating fields and reports that are not core to public safety disaster response and recovery needs to reduce the information collection burden for manual and batch DIRS filers</w:t>
      </w:r>
      <w:r w:rsidRPr="00C70ACE">
        <w:t xml:space="preserve">; </w:t>
      </w:r>
    </w:p>
    <w:p w:rsidR="00203CCB" w:rsidP="00EB7CCD" w14:paraId="6525FB68" w14:textId="77777777">
      <w:pPr>
        <w:pStyle w:val="ParaNum"/>
        <w:widowControl/>
        <w:numPr>
          <w:ilvl w:val="0"/>
          <w:numId w:val="5"/>
        </w:numPr>
      </w:pPr>
      <w:r>
        <w:t>Eliminating DIRS final reports for mandated DIRS filers</w:t>
      </w:r>
      <w:r w:rsidRPr="00C70ACE">
        <w:t xml:space="preserve">; </w:t>
      </w:r>
      <w:r>
        <w:t>and</w:t>
      </w:r>
    </w:p>
    <w:p w:rsidR="00203CCB" w:rsidP="00EB7CCD" w14:paraId="7D2AC428" w14:textId="77777777">
      <w:pPr>
        <w:pStyle w:val="ParaNum"/>
        <w:widowControl/>
        <w:numPr>
          <w:ilvl w:val="0"/>
          <w:numId w:val="5"/>
        </w:numPr>
      </w:pPr>
      <w:r>
        <w:t>Exempting non-facilities-based providers from requirements to report in DIRS.</w:t>
      </w:r>
    </w:p>
    <w:p w:rsidR="00203CCB" w:rsidRPr="001D3DB8" w:rsidP="00EB7CCD" w14:paraId="6CB42AA4" w14:textId="77777777">
      <w:pPr>
        <w:pStyle w:val="ParaNum"/>
        <w:widowControl/>
        <w:tabs>
          <w:tab w:val="clear" w:pos="1440"/>
        </w:tabs>
      </w:pPr>
      <w:r w:rsidRPr="009142BD">
        <w:rPr>
          <w:snapToGrid/>
        </w:rPr>
        <w:t xml:space="preserve">The </w:t>
      </w:r>
      <w:r w:rsidRPr="009142BD">
        <w:rPr>
          <w:i/>
          <w:iCs/>
          <w:snapToGrid/>
        </w:rPr>
        <w:t xml:space="preserve">Third </w:t>
      </w:r>
      <w:r>
        <w:rPr>
          <w:i/>
          <w:iCs/>
          <w:snapToGrid/>
        </w:rPr>
        <w:t>Report and Order</w:t>
      </w:r>
      <w:r w:rsidRPr="009142BD">
        <w:rPr>
          <w:snapToGrid/>
        </w:rPr>
        <w:t xml:space="preserve"> also </w:t>
      </w:r>
      <w:r>
        <w:t>supports the</w:t>
      </w:r>
      <w:r w:rsidRPr="00CE07B0">
        <w:t xml:space="preserve"> </w:t>
      </w:r>
      <w:r>
        <w:t xml:space="preserve">collection of new information that would offer significant public safety value during disasters, namely requiring reporting on infrastructure status by </w:t>
      </w:r>
      <w:r w:rsidRPr="00CE07B0">
        <w:t xml:space="preserve">public safety </w:t>
      </w:r>
      <w:r>
        <w:t>voice and broadband network operators, and allowing all DIRS filers to voluntarily submit</w:t>
      </w:r>
      <w:r w:rsidRPr="00CE07B0">
        <w:t xml:space="preserve"> </w:t>
      </w:r>
      <w:r>
        <w:t xml:space="preserve">granular </w:t>
      </w:r>
      <w:r w:rsidRPr="00CE07B0">
        <w:t>location</w:t>
      </w:r>
      <w:r>
        <w:t xml:space="preserve"> maps, such as maps of downed cell sites</w:t>
      </w:r>
      <w:r w:rsidRPr="009142BD">
        <w:rPr>
          <w:snapToGrid/>
        </w:rPr>
        <w:t xml:space="preserve">.  </w:t>
      </w:r>
      <w:r>
        <w:t xml:space="preserve">The Commission believes that the improvements to DIRS in the </w:t>
      </w:r>
      <w:r>
        <w:rPr>
          <w:i/>
          <w:iCs/>
          <w:snapToGrid/>
        </w:rPr>
        <w:t>Third</w:t>
      </w:r>
      <w:r w:rsidRPr="00C70ACE">
        <w:rPr>
          <w:i/>
          <w:iCs/>
          <w:snapToGrid/>
        </w:rPr>
        <w:t xml:space="preserve"> </w:t>
      </w:r>
      <w:r>
        <w:rPr>
          <w:i/>
          <w:iCs/>
          <w:snapToGrid/>
        </w:rPr>
        <w:t xml:space="preserve">Report and Order </w:t>
      </w:r>
      <w:r w:rsidRPr="00D353F7">
        <w:rPr>
          <w:snapToGrid/>
        </w:rPr>
        <w:t xml:space="preserve">strike the appropriate balance of reducing regulatory burdens for providers while </w:t>
      </w:r>
      <w:r>
        <w:rPr>
          <w:snapToGrid/>
        </w:rPr>
        <w:t>e</w:t>
      </w:r>
      <w:r w:rsidRPr="00D353F7">
        <w:rPr>
          <w:snapToGrid/>
        </w:rPr>
        <w:t>nsuring collect</w:t>
      </w:r>
      <w:r>
        <w:rPr>
          <w:snapToGrid/>
        </w:rPr>
        <w:t>ion</w:t>
      </w:r>
      <w:r w:rsidRPr="00D353F7">
        <w:rPr>
          <w:snapToGrid/>
        </w:rPr>
        <w:t xml:space="preserve"> </w:t>
      </w:r>
      <w:r>
        <w:rPr>
          <w:snapToGrid/>
        </w:rPr>
        <w:t xml:space="preserve">of </w:t>
      </w:r>
      <w:r w:rsidRPr="00D353F7">
        <w:rPr>
          <w:snapToGrid/>
        </w:rPr>
        <w:t xml:space="preserve">necessary and relevant information when disasters occur. </w:t>
      </w:r>
    </w:p>
    <w:p w:rsidR="00203CCB" w:rsidRPr="007822FE" w:rsidP="00081A05" w14:paraId="56D4B603" w14:textId="77777777">
      <w:pPr>
        <w:pStyle w:val="Heading2"/>
        <w:widowControl/>
        <w:numPr>
          <w:ilvl w:val="1"/>
          <w:numId w:val="3"/>
        </w:numPr>
        <w:tabs>
          <w:tab w:val="num" w:pos="1080"/>
          <w:tab w:val="clear" w:pos="1440"/>
        </w:tabs>
        <w:ind w:left="0" w:firstLine="720"/>
        <w:rPr>
          <w:rFonts w:eastAsia="Calibri"/>
          <w:snapToGrid/>
        </w:rPr>
      </w:pPr>
      <w:bookmarkStart w:id="76" w:name="_Toc146549326"/>
      <w:bookmarkStart w:id="77" w:name="_Toc146551530"/>
      <w:bookmarkStart w:id="78" w:name="_Toc152846917"/>
      <w:bookmarkStart w:id="79" w:name="_Toc227662257"/>
      <w:bookmarkStart w:id="80" w:name="_Toc230244556"/>
      <w:bookmarkStart w:id="81" w:name="_Toc230246374"/>
      <w:r w:rsidRPr="007822FE">
        <w:rPr>
          <w:rFonts w:eastAsia="Calibri"/>
        </w:rPr>
        <w:t>Summary of Significant Issues Raised by Public Comments in Response to the IRFA</w:t>
      </w:r>
      <w:bookmarkEnd w:id="76"/>
      <w:bookmarkEnd w:id="77"/>
      <w:bookmarkEnd w:id="78"/>
      <w:bookmarkEnd w:id="79"/>
      <w:bookmarkEnd w:id="80"/>
      <w:bookmarkEnd w:id="81"/>
    </w:p>
    <w:p w:rsidR="00203CCB" w:rsidRPr="00DF6C14" w:rsidP="00EB7CCD" w14:paraId="3957623D" w14:textId="77777777">
      <w:pPr>
        <w:pStyle w:val="ParaNum"/>
        <w:widowControl/>
        <w:tabs>
          <w:tab w:val="left" w:pos="1440"/>
        </w:tabs>
        <w:rPr>
          <w:snapToGrid/>
          <w:szCs w:val="22"/>
        </w:rPr>
      </w:pPr>
      <w:r>
        <w:rPr>
          <w:rFonts w:eastAsia="Calibri"/>
        </w:rPr>
        <w:t>Comments were filed by t</w:t>
      </w:r>
      <w:r>
        <w:t xml:space="preserve">he Competitive Carriers Association (CCA), the National Association of Broadcasters (NAB), and WTA </w:t>
      </w:r>
      <w:r w:rsidRPr="00CC7EEA">
        <w:t>- Advocates for Rural Broadband</w:t>
      </w:r>
      <w:r>
        <w:t xml:space="preserve"> (WTA) </w:t>
      </w:r>
      <w:r>
        <w:rPr>
          <w:rFonts w:eastAsia="Calibri"/>
        </w:rPr>
        <w:t>addressing the impact of the proposed rules on small entities</w:t>
      </w:r>
      <w:r>
        <w:t xml:space="preserve">.  The Competitive Carriers Association (CCA) observes that redesigning the DIRS interface to replace the ten separate DIRS worksheets with a single, dynamic form addresses a concern that is “particularly acute for small and rural carriers.  Such providers often operate with limited engineering and operations teams, many of whom are simultaneously engaged in </w:t>
      </w:r>
      <w:r>
        <w:t>damage assessment, power restoration, and physical repairs.”</w:t>
      </w:r>
      <w:r>
        <w:rPr>
          <w:rStyle w:val="FootnoteReference"/>
        </w:rPr>
        <w:footnoteReference w:id="156"/>
      </w:r>
      <w:r>
        <w:t xml:space="preserve">  WTA, whose members are </w:t>
      </w:r>
      <w:r w:rsidRPr="00E5405A">
        <w:t>small, rural local telecommunications carriers</w:t>
      </w:r>
      <w:r>
        <w:t>, also explain that “[s]</w:t>
      </w:r>
      <w:r w:rsidRPr="009A14C7">
        <w:t>treamlining</w:t>
      </w:r>
      <w:r w:rsidRPr="009A14C7">
        <w:t xml:space="preserve"> the DIRS reporting requirements is important to WTA’s members, who do not have any “surplus staff” to deal with regulatory burdens, particularly when disasters strike.</w:t>
      </w:r>
      <w:r>
        <w:t>”</w:t>
      </w:r>
      <w:r>
        <w:rPr>
          <w:rStyle w:val="FootnoteReference"/>
        </w:rPr>
        <w:footnoteReference w:id="157"/>
      </w:r>
      <w:r>
        <w:t xml:space="preserve">  NAB discussed its support for a “one-click” option in DIRS that would allow providers to indicate there is no change in infrastructure status from the previous day’s report.  NAB notes that in addition to saving time and streamlining DIRS report preparation, this change “would facilitate broadcasters’ voluntary participation in DIRS, especially smaller stations.”</w:t>
      </w:r>
      <w:r>
        <w:rPr>
          <w:rStyle w:val="FootnoteReference"/>
        </w:rPr>
        <w:footnoteReference w:id="158"/>
      </w:r>
      <w:r>
        <w:t xml:space="preserve">  The Commission agrees with these views and adopts both of these changes to DIRS.</w:t>
      </w:r>
      <w:r w:rsidRPr="2E22FE49">
        <w:rPr>
          <w:snapToGrid/>
        </w:rPr>
        <w:t xml:space="preserve"> </w:t>
      </w:r>
      <w:r w:rsidRPr="2E22FE49">
        <w:rPr>
          <w:rFonts w:eastAsia="Calibri"/>
          <w:snapToGrid/>
        </w:rPr>
        <w:t xml:space="preserve">  </w:t>
      </w:r>
      <w:r>
        <w:rPr>
          <w:rFonts w:eastAsia="Calibri"/>
          <w:snapToGrid/>
        </w:rPr>
        <w:t xml:space="preserve"> </w:t>
      </w:r>
    </w:p>
    <w:p w:rsidR="00203CCB" w:rsidRPr="007E3C9C" w:rsidP="00EB7CCD" w14:paraId="68608D22" w14:textId="77777777">
      <w:pPr>
        <w:pStyle w:val="Heading2"/>
        <w:widowControl/>
        <w:rPr>
          <w:rFonts w:eastAsia="Calibri"/>
          <w:snapToGrid/>
        </w:rPr>
      </w:pPr>
      <w:bookmarkStart w:id="82" w:name="_Toc146549327"/>
      <w:bookmarkStart w:id="83" w:name="_Toc146551531"/>
      <w:bookmarkStart w:id="84" w:name="_Toc152846918"/>
      <w:bookmarkStart w:id="85" w:name="_Toc227662258"/>
      <w:bookmarkStart w:id="86" w:name="_Toc230244557"/>
      <w:bookmarkStart w:id="87" w:name="_Toc230246375"/>
      <w:r w:rsidRPr="00C70ACE">
        <w:rPr>
          <w:rFonts w:eastAsia="Calibri"/>
        </w:rPr>
        <w:t xml:space="preserve">Response to Comments by the </w:t>
      </w:r>
      <w:r w:rsidRPr="00A70F83">
        <w:rPr>
          <w:rFonts w:eastAsia="Calibri"/>
        </w:rPr>
        <w:t xml:space="preserve">Chief Counsel </w:t>
      </w:r>
      <w:bookmarkStart w:id="88" w:name="_Hlk217914514"/>
      <w:r w:rsidRPr="00A70F83">
        <w:rPr>
          <w:rFonts w:eastAsia="Calibri"/>
        </w:rPr>
        <w:t>for the Small Business Administration Office of Advocacy</w:t>
      </w:r>
      <w:bookmarkEnd w:id="82"/>
      <w:bookmarkEnd w:id="83"/>
      <w:bookmarkEnd w:id="84"/>
      <w:bookmarkEnd w:id="85"/>
      <w:bookmarkEnd w:id="86"/>
      <w:bookmarkEnd w:id="87"/>
      <w:bookmarkEnd w:id="88"/>
    </w:p>
    <w:p w:rsidR="00203CCB" w:rsidRPr="00D57208" w:rsidP="00EB7CCD" w14:paraId="5B133C6C" w14:textId="77777777">
      <w:pPr>
        <w:pStyle w:val="ParaNum"/>
        <w:widowControl/>
        <w:tabs>
          <w:tab w:val="left" w:pos="1440"/>
        </w:tabs>
      </w:pPr>
      <w:r w:rsidRPr="000F51DE">
        <w:rPr>
          <w:snapToGrid/>
        </w:rPr>
        <w:t xml:space="preserve">Pursuant to the Small Business Jobs Act of 2010, which amended the RFA, the Commission is required to respond to any comments filed by the Chief Counsel </w:t>
      </w:r>
      <w:r w:rsidRPr="000F51DE">
        <w:rPr>
          <w:snapToGrid/>
        </w:rPr>
        <w:t xml:space="preserve">for </w:t>
      </w:r>
      <w:r w:rsidRPr="000F51DE">
        <w:rPr>
          <w:snapToGrid/>
        </w:rPr>
        <w:t>the Small Business Administration (SBA) Office of Advocacy, and to also provide a detailed statement of any change made to the proposed rules as a result of those comments.</w:t>
      </w:r>
      <w:r>
        <w:rPr>
          <w:rStyle w:val="FootnoteReference"/>
          <w:snapToGrid/>
          <w:kern w:val="0"/>
          <w:sz w:val="22"/>
          <w:szCs w:val="22"/>
        </w:rPr>
        <w:footnoteReference w:id="159"/>
      </w:r>
      <w:r w:rsidRPr="000F51DE">
        <w:rPr>
          <w:snapToGrid/>
        </w:rPr>
        <w:t xml:space="preserve"> </w:t>
      </w:r>
      <w:r>
        <w:rPr>
          <w:snapToGrid/>
        </w:rPr>
        <w:t xml:space="preserve"> </w:t>
      </w:r>
      <w:r w:rsidRPr="000F51DE">
        <w:rPr>
          <w:snapToGrid/>
        </w:rPr>
        <w:t>The Chief Counsel did not file any comments in response to the proposed rules in this proceeding.</w:t>
      </w:r>
    </w:p>
    <w:p w:rsidR="00203CCB" w:rsidRPr="00DF6C14" w:rsidP="00EB7CCD" w14:paraId="0C01EABB" w14:textId="77777777">
      <w:pPr>
        <w:pStyle w:val="Heading2"/>
        <w:widowControl/>
        <w:rPr>
          <w:snapToGrid/>
          <w:szCs w:val="22"/>
        </w:rPr>
      </w:pPr>
      <w:bookmarkStart w:id="89" w:name="_Toc146549328"/>
      <w:bookmarkStart w:id="90" w:name="_Toc146551532"/>
      <w:bookmarkStart w:id="91" w:name="_Toc152846919"/>
      <w:bookmarkStart w:id="92" w:name="_Toc227662259"/>
      <w:bookmarkStart w:id="93" w:name="_Toc230244558"/>
      <w:bookmarkStart w:id="94" w:name="_Toc230246376"/>
      <w:r w:rsidRPr="00C70ACE">
        <w:t>Description and Estimate of the Number of Small Entities to Which the Rules Will Apply</w:t>
      </w:r>
      <w:bookmarkEnd w:id="89"/>
      <w:bookmarkEnd w:id="90"/>
      <w:bookmarkEnd w:id="91"/>
      <w:bookmarkEnd w:id="92"/>
      <w:bookmarkEnd w:id="93"/>
      <w:bookmarkEnd w:id="94"/>
    </w:p>
    <w:p w:rsidR="00203CCB" w:rsidP="00EB7CCD" w14:paraId="4096C633" w14:textId="77777777">
      <w:pPr>
        <w:pStyle w:val="ParaNum"/>
        <w:widowControl/>
        <w:tabs>
          <w:tab w:val="left" w:pos="1440"/>
        </w:tabs>
        <w:rPr>
          <w:snapToGrid/>
        </w:rPr>
      </w:pPr>
      <w:r w:rsidRPr="2E22FE49">
        <w:rPr>
          <w:snapToGrid/>
        </w:rPr>
        <w:t>The RFA directs agencies to provide a description of and, where feasible, an estimate of</w:t>
      </w:r>
      <w:r w:rsidRPr="00C70ACE">
        <w:rPr>
          <w:snapToGrid/>
          <w:szCs w:val="22"/>
        </w:rPr>
        <w:t xml:space="preserve"> </w:t>
      </w:r>
      <w:r w:rsidRPr="2E22FE49">
        <w:rPr>
          <w:snapToGrid/>
        </w:rPr>
        <w:t xml:space="preserve">the number of small entities that may be affected by the adopted </w:t>
      </w:r>
      <w:r>
        <w:rPr>
          <w:snapToGrid/>
        </w:rPr>
        <w:t>rules</w:t>
      </w:r>
      <w:r w:rsidRPr="2E22FE49">
        <w:rPr>
          <w:snapToGrid/>
        </w:rPr>
        <w:t>.</w:t>
      </w:r>
      <w:r>
        <w:rPr>
          <w:rStyle w:val="FootnoteReference"/>
          <w:snapToGrid/>
          <w:kern w:val="0"/>
          <w:sz w:val="22"/>
          <w:szCs w:val="22"/>
        </w:rPr>
        <w:footnoteReference w:id="160"/>
      </w:r>
      <w:r w:rsidRPr="00C70ACE">
        <w:rPr>
          <w:snapToGrid/>
          <w:szCs w:val="22"/>
        </w:rPr>
        <w:t xml:space="preserve">  </w:t>
      </w:r>
      <w:r w:rsidRPr="2E22FE49">
        <w:rPr>
          <w:snapToGrid/>
        </w:rPr>
        <w:t>The RFA generally</w:t>
      </w:r>
      <w:r w:rsidRPr="00C70ACE">
        <w:rPr>
          <w:snapToGrid/>
          <w:szCs w:val="22"/>
        </w:rPr>
        <w:t xml:space="preserve"> </w:t>
      </w:r>
      <w:r w:rsidRPr="2E22FE49">
        <w:rPr>
          <w:snapToGrid/>
        </w:rPr>
        <w:t>defines the term “small entity” as having the same meaning as the terms “small business,” “small</w:t>
      </w:r>
      <w:r w:rsidRPr="00C70ACE">
        <w:rPr>
          <w:snapToGrid/>
          <w:szCs w:val="22"/>
        </w:rPr>
        <w:t xml:space="preserve"> </w:t>
      </w:r>
      <w:r w:rsidRPr="2E22FE49">
        <w:rPr>
          <w:snapToGrid/>
        </w:rPr>
        <w:t>organization,” and “small governmental jurisdiction.”</w:t>
      </w:r>
      <w:r>
        <w:rPr>
          <w:rStyle w:val="FootnoteReference"/>
          <w:snapToGrid/>
          <w:kern w:val="0"/>
          <w:sz w:val="22"/>
          <w:szCs w:val="22"/>
        </w:rPr>
        <w:footnoteReference w:id="161"/>
      </w:r>
      <w:r w:rsidRPr="00C70ACE">
        <w:rPr>
          <w:snapToGrid/>
          <w:szCs w:val="22"/>
        </w:rPr>
        <w:t xml:space="preserve">  </w:t>
      </w:r>
      <w:r w:rsidRPr="2E22FE49">
        <w:rPr>
          <w:snapToGrid/>
        </w:rPr>
        <w:t>In addition, the term “small business” has the</w:t>
      </w:r>
      <w:r w:rsidRPr="00C70ACE">
        <w:rPr>
          <w:snapToGrid/>
          <w:szCs w:val="22"/>
        </w:rPr>
        <w:t xml:space="preserve"> </w:t>
      </w:r>
      <w:r w:rsidRPr="2E22FE49">
        <w:rPr>
          <w:snapToGrid/>
        </w:rPr>
        <w:t>same meaning as the term “small business concern” under the Small Business Act</w:t>
      </w:r>
      <w:r>
        <w:rPr>
          <w:snapToGrid/>
        </w:rPr>
        <w:t xml:space="preserve"> (SBA)</w:t>
      </w:r>
      <w:r w:rsidRPr="2E22FE49">
        <w:rPr>
          <w:snapToGrid/>
        </w:rPr>
        <w:t>.</w:t>
      </w:r>
      <w:r>
        <w:rPr>
          <w:rStyle w:val="FootnoteReference"/>
          <w:snapToGrid/>
          <w:kern w:val="0"/>
          <w:sz w:val="22"/>
          <w:szCs w:val="22"/>
        </w:rPr>
        <w:footnoteReference w:id="162"/>
      </w:r>
      <w:r w:rsidRPr="00C70ACE">
        <w:rPr>
          <w:snapToGrid/>
          <w:szCs w:val="22"/>
        </w:rPr>
        <w:t xml:space="preserve">  </w:t>
      </w:r>
      <w:r w:rsidRPr="2E22FE49">
        <w:rPr>
          <w:snapToGrid/>
        </w:rPr>
        <w:t>A “small business</w:t>
      </w:r>
      <w:r w:rsidRPr="00C70ACE">
        <w:rPr>
          <w:snapToGrid/>
          <w:szCs w:val="22"/>
        </w:rPr>
        <w:t xml:space="preserve"> </w:t>
      </w:r>
      <w:r w:rsidRPr="2E22FE49">
        <w:rPr>
          <w:snapToGrid/>
        </w:rPr>
        <w:t xml:space="preserve">concern” is one which: </w:t>
      </w:r>
      <w:r>
        <w:rPr>
          <w:snapToGrid/>
        </w:rPr>
        <w:t xml:space="preserve"> </w:t>
      </w:r>
      <w:r w:rsidRPr="2E22FE49">
        <w:rPr>
          <w:snapToGrid/>
        </w:rPr>
        <w:t>(1) is independently owned and operated; (2) is not dominant in its field of</w:t>
      </w:r>
      <w:r w:rsidRPr="00C70ACE">
        <w:rPr>
          <w:snapToGrid/>
          <w:szCs w:val="22"/>
        </w:rPr>
        <w:t xml:space="preserve"> </w:t>
      </w:r>
      <w:r w:rsidRPr="2E22FE49">
        <w:rPr>
          <w:snapToGrid/>
        </w:rPr>
        <w:t>operation; and (3) satisfies any additional criteria established by the SBA.</w:t>
      </w:r>
      <w:r>
        <w:rPr>
          <w:rStyle w:val="FootnoteReference"/>
          <w:snapToGrid/>
          <w:kern w:val="0"/>
          <w:sz w:val="22"/>
          <w:szCs w:val="22"/>
        </w:rPr>
        <w:footnoteReference w:id="163"/>
      </w:r>
      <w:r w:rsidRPr="00C70ACE">
        <w:rPr>
          <w:snapToGrid/>
          <w:szCs w:val="22"/>
        </w:rPr>
        <w:t xml:space="preserve">  </w:t>
      </w:r>
      <w:r w:rsidRPr="009636F6">
        <w:rPr>
          <w:snapToGrid/>
          <w:szCs w:val="22"/>
        </w:rPr>
        <w:t>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rStyle w:val="FootnoteReference"/>
          <w:snapToGrid/>
          <w:szCs w:val="22"/>
        </w:rPr>
        <w:footnoteReference w:id="164"/>
      </w:r>
    </w:p>
    <w:p w:rsidR="00203CCB" w14:paraId="733E6A31" w14:textId="77777777">
      <w:pPr>
        <w:pStyle w:val="ParaNum"/>
        <w:keepNext/>
        <w:widowControl/>
        <w:tabs>
          <w:tab w:val="num" w:pos="1350"/>
        </w:tabs>
      </w:pPr>
      <w:r w:rsidRPr="00931930">
        <w:t xml:space="preserve">Our actions, over time, may affect small entities that are not easily categorized at present.   </w:t>
      </w:r>
      <w:r>
        <w:t xml:space="preserve"> </w:t>
      </w:r>
      <w:r w:rsidRPr="00931930">
        <w:t>We therefore describe</w:t>
      </w:r>
      <w:r>
        <w:t xml:space="preserve"> </w:t>
      </w:r>
      <w:r w:rsidRPr="00931930">
        <w:t xml:space="preserve">three broad groups of small entities that could be directly affected </w:t>
      </w:r>
      <w:r>
        <w:t>by our actions</w:t>
      </w:r>
      <w:r w:rsidRPr="00931930">
        <w:t>.</w:t>
      </w:r>
      <w:r>
        <w:rPr>
          <w:rStyle w:val="FootnoteReference"/>
        </w:rPr>
        <w:footnoteReference w:id="165"/>
      </w:r>
      <w:r w:rsidRPr="00931930">
        <w:t xml:space="preserve">  </w:t>
      </w:r>
      <w:r w:rsidRPr="00071E18">
        <w:t>In general, a small business is an independent business having fewer than 500 employees.</w:t>
      </w:r>
      <w:r>
        <w:rPr>
          <w:vertAlign w:val="superscript"/>
        </w:rPr>
        <w:footnoteReference w:id="166"/>
      </w:r>
      <w:r w:rsidRPr="00071E18">
        <w:t xml:space="preserve">  </w:t>
      </w:r>
      <w:r w:rsidRPr="00931930">
        <w:t xml:space="preserve">These types of small businesses represent 99.9% of all businesses in the United States, </w:t>
      </w:r>
      <w:r w:rsidRPr="00707D24">
        <w:t>which translates to 3</w:t>
      </w:r>
      <w:r>
        <w:t>4</w:t>
      </w:r>
      <w:r w:rsidRPr="00707D24">
        <w:t>.</w:t>
      </w:r>
      <w:r>
        <w:t>75</w:t>
      </w:r>
      <w:r w:rsidRPr="00707D24">
        <w:t xml:space="preserve"> million</w:t>
      </w:r>
      <w:r w:rsidRPr="0011527D">
        <w:t xml:space="preserve"> businesses</w:t>
      </w:r>
      <w:r>
        <w:t>.</w:t>
      </w:r>
      <w:r>
        <w:rPr>
          <w:rStyle w:val="FootnoteReference"/>
        </w:rPr>
        <w:footnoteReference w:id="167"/>
      </w:r>
      <w:r>
        <w:t xml:space="preserve">  </w:t>
      </w:r>
      <w:r w:rsidRPr="00A053B8">
        <w:t>Next, “small organization</w:t>
      </w:r>
      <w:r>
        <w:t>s</w:t>
      </w:r>
      <w:r w:rsidRPr="00A053B8">
        <w:t xml:space="preserve">” </w:t>
      </w:r>
      <w:r>
        <w:t>are not-for-profit</w:t>
      </w:r>
      <w:r w:rsidRPr="00A053B8">
        <w:t xml:space="preserve"> enterprise</w:t>
      </w:r>
      <w:r>
        <w:t xml:space="preserve">s that are </w:t>
      </w:r>
      <w:r w:rsidRPr="00A053B8">
        <w:t xml:space="preserve">independently owned and operated and not dominant </w:t>
      </w:r>
      <w:r>
        <w:t>their</w:t>
      </w:r>
      <w:r w:rsidRPr="00A053B8">
        <w:t xml:space="preserve"> field.</w:t>
      </w:r>
      <w:r>
        <w:rPr>
          <w:rStyle w:val="FootnoteReference"/>
        </w:rPr>
        <w:footnoteReference w:id="168"/>
      </w:r>
      <w:r w:rsidRPr="00A053B8">
        <w:t xml:space="preserve">  </w:t>
      </w:r>
      <w:r>
        <w:t>While we do not have data regarding the number of non-profits that meet that criteria, o</w:t>
      </w:r>
      <w:r w:rsidRPr="0077434D">
        <w:t>ver 99 percent of nonprofits have fewer than 500 employees.</w:t>
      </w:r>
      <w:r>
        <w:rPr>
          <w:rStyle w:val="FootnoteReference"/>
        </w:rPr>
        <w:footnoteReference w:id="169"/>
      </w:r>
      <w:r w:rsidRPr="0077434D">
        <w:t xml:space="preserve"> </w:t>
      </w:r>
      <w:r>
        <w:t xml:space="preserve"> Finally</w:t>
      </w:r>
      <w:r w:rsidRPr="00A053B8">
        <w:t xml:space="preserve">, </w:t>
      </w:r>
      <w:r>
        <w:t>“</w:t>
      </w:r>
      <w:r w:rsidRPr="00A053B8">
        <w:t>small governmental jurisdiction</w:t>
      </w:r>
      <w:r>
        <w:t>s</w:t>
      </w:r>
      <w:r w:rsidRPr="00A053B8">
        <w:t xml:space="preserve">” </w:t>
      </w:r>
      <w:r>
        <w:t xml:space="preserve">are </w:t>
      </w:r>
      <w:r w:rsidRPr="00A053B8">
        <w:t>defined as cities, counties, towns, townships, villages, school districts, or special districts</w:t>
      </w:r>
      <w:r>
        <w:t xml:space="preserve"> </w:t>
      </w:r>
      <w:r w:rsidRPr="00A053B8">
        <w:t>with population</w:t>
      </w:r>
      <w:r>
        <w:t>s</w:t>
      </w:r>
      <w:r w:rsidRPr="00A053B8">
        <w:t xml:space="preserve"> of less than fifty thousand.</w:t>
      </w:r>
      <w:r>
        <w:rPr>
          <w:rStyle w:val="FootnoteReference"/>
        </w:rPr>
        <w:footnoteReference w:id="170"/>
      </w:r>
      <w:r w:rsidRPr="00A053B8">
        <w:t xml:space="preserve">  </w:t>
      </w:r>
      <w:r>
        <w:t xml:space="preserve">Based </w:t>
      </w:r>
      <w:r w:rsidRPr="00D23736">
        <w:t xml:space="preserve">on the 2022 U.S. </w:t>
      </w:r>
      <w:r>
        <w:t xml:space="preserve"> </w:t>
      </w:r>
      <w:r w:rsidRPr="00D23736">
        <w:t xml:space="preserve">Census of Governments data, we estimate that at least 48,724 </w:t>
      </w:r>
      <w:r>
        <w:t>out of 90,835 local government jurisdictions have a population of less than 50,000.</w:t>
      </w:r>
      <w:r>
        <w:rPr>
          <w:rStyle w:val="FootnoteReference"/>
        </w:rPr>
        <w:footnoteReference w:id="171"/>
      </w:r>
    </w:p>
    <w:p w:rsidR="00203CCB" w:rsidP="00C329A5" w14:paraId="3C7CC792" w14:textId="77777777">
      <w:pPr>
        <w:pStyle w:val="ParaNum"/>
        <w:widowControl/>
      </w:pPr>
      <w:r w:rsidRPr="00071E18">
        <w:t xml:space="preserve">The rules adopted in the </w:t>
      </w:r>
      <w:r>
        <w:rPr>
          <w:i/>
          <w:iCs/>
        </w:rPr>
        <w:t xml:space="preserve">Third </w:t>
      </w:r>
      <w:r w:rsidRPr="000E23FE">
        <w:rPr>
          <w:i/>
          <w:iCs/>
        </w:rPr>
        <w:t>Report and Order</w:t>
      </w:r>
      <w:r w:rsidRPr="00071E18">
        <w:t xml:space="preserve"> will apply to small entities in the industries identified in the chart below by their six-digit North American Industry Classification System (NAICS)</w:t>
      </w:r>
      <w:r>
        <w:rPr>
          <w:vertAlign w:val="superscript"/>
        </w:rPr>
        <w:footnoteReference w:id="172"/>
      </w:r>
      <w:r w:rsidRPr="00071E18">
        <w:t xml:space="preserve"> codes and corresponding SBA size standard.</w:t>
      </w:r>
      <w:r>
        <w:rPr>
          <w:vertAlign w:val="superscript"/>
        </w:rPr>
        <w:footnoteReference w:id="173"/>
      </w:r>
      <w:r>
        <w:t xml:space="preserve">  </w:t>
      </w:r>
      <w:r w:rsidRPr="00071E18">
        <w:t>Where available, we also provide additional information regarding the number of potentially affected entities in the identified industries below.</w:t>
      </w:r>
    </w:p>
    <w:p w:rsidR="00203CCB" w:rsidRPr="00031AB9" w:rsidP="00081A05" w14:paraId="1A0109ED" w14:textId="77777777">
      <w:pPr>
        <w:widowControl/>
        <w:rPr>
          <w:bCs/>
        </w:rPr>
      </w:pPr>
      <w:r w:rsidRPr="006022DC">
        <w:rPr>
          <w:b/>
          <w:bCs/>
        </w:rPr>
        <w:t>Table 1.  2022 U.S. Census Bureau Data by NAICS Code</w:t>
      </w:r>
    </w:p>
    <w:p w:rsidR="00203CCB" w:rsidP="00081A05" w14:paraId="34E6936D" w14:textId="77777777">
      <w:pPr>
        <w:widowControl/>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12"/>
        <w:gridCol w:w="1328"/>
        <w:gridCol w:w="1328"/>
        <w:gridCol w:w="1328"/>
        <w:gridCol w:w="1328"/>
        <w:gridCol w:w="1326"/>
      </w:tblGrid>
      <w:tr w14:paraId="19100D75" w14:textId="77777777" w:rsidTr="00081A05">
        <w:tblPrEx>
          <w:tblW w:w="5000" w:type="pct"/>
          <w:jc w:val="center"/>
          <w:tblLook w:val="0100"/>
        </w:tblPrEx>
        <w:trPr>
          <w:jc w:val="center"/>
        </w:trPr>
        <w:tc>
          <w:tcPr>
            <w:tcW w:w="1450" w:type="pct"/>
            <w:tcBorders>
              <w:top w:val="single" w:sz="4" w:space="0" w:color="auto"/>
              <w:left w:val="single" w:sz="4" w:space="0" w:color="auto"/>
              <w:bottom w:val="single" w:sz="4" w:space="0" w:color="auto"/>
              <w:right w:val="single" w:sz="4" w:space="0" w:color="auto"/>
            </w:tcBorders>
          </w:tcPr>
          <w:p w:rsidR="00203CCB" w:rsidRPr="008C7E6B" w:rsidP="00081A05" w14:paraId="0CB29DA2" w14:textId="77777777">
            <w:pPr>
              <w:widowControl/>
              <w:rPr>
                <w:sz w:val="20"/>
              </w:rPr>
            </w:pPr>
            <w:r w:rsidRPr="008C7E6B">
              <w:rPr>
                <w:sz w:val="20"/>
              </w:rPr>
              <w:t>Regulated Industry (Footnotes specify potentially affected entities within a regulated industry where applicable)</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8C7E6B" w:rsidP="00081A05" w14:paraId="3B560BF2" w14:textId="77777777">
            <w:pPr>
              <w:widowControl/>
              <w:rPr>
                <w:sz w:val="20"/>
              </w:rPr>
            </w:pPr>
            <w:r w:rsidRPr="008C7E6B">
              <w:rPr>
                <w:sz w:val="20"/>
              </w:rPr>
              <w:t>NAICS Code</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8C7E6B" w:rsidP="00081A05" w14:paraId="6F151050" w14:textId="77777777">
            <w:pPr>
              <w:widowControl/>
              <w:rPr>
                <w:sz w:val="20"/>
              </w:rPr>
            </w:pPr>
          </w:p>
          <w:p w:rsidR="00203CCB" w:rsidRPr="008C7E6B" w:rsidP="00081A05" w14:paraId="161FBF42" w14:textId="77777777">
            <w:pPr>
              <w:widowControl/>
              <w:rPr>
                <w:sz w:val="20"/>
              </w:rPr>
            </w:pPr>
            <w:r w:rsidRPr="008C7E6B">
              <w:rPr>
                <w:sz w:val="20"/>
              </w:rPr>
              <w:t>SBA Size Standard</w:t>
            </w:r>
          </w:p>
          <w:p w:rsidR="00203CCB" w:rsidRPr="008C7E6B" w:rsidP="00081A05" w14:paraId="5AF8F38F" w14:textId="77777777">
            <w:pPr>
              <w:widowControl/>
              <w:rPr>
                <w:sz w:val="20"/>
              </w:rPr>
            </w:pP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8C7E6B" w:rsidP="00081A05" w14:paraId="1BA491B7" w14:textId="77777777">
            <w:pPr>
              <w:widowControl/>
              <w:rPr>
                <w:sz w:val="20"/>
              </w:rPr>
            </w:pPr>
            <w:r w:rsidRPr="008C7E6B">
              <w:rPr>
                <w:sz w:val="20"/>
              </w:rPr>
              <w:t>Total Firms</w:t>
            </w:r>
            <w:r>
              <w:rPr>
                <w:sz w:val="20"/>
                <w:vertAlign w:val="superscript"/>
              </w:rPr>
              <w:footnoteReference w:id="174"/>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8C7E6B" w:rsidP="00081A05" w14:paraId="1376C804" w14:textId="77777777">
            <w:pPr>
              <w:widowControl/>
              <w:rPr>
                <w:sz w:val="20"/>
              </w:rPr>
            </w:pPr>
            <w:r w:rsidRPr="008C7E6B">
              <w:rPr>
                <w:sz w:val="20"/>
              </w:rPr>
              <w:t>Total Small Firms</w:t>
            </w:r>
            <w:r>
              <w:rPr>
                <w:sz w:val="20"/>
                <w:vertAlign w:val="superscript"/>
              </w:rPr>
              <w:footnoteReference w:id="175"/>
            </w:r>
          </w:p>
        </w:tc>
        <w:tc>
          <w:tcPr>
            <w:tcW w:w="709" w:type="pct"/>
            <w:tcBorders>
              <w:top w:val="single" w:sz="4" w:space="0" w:color="auto"/>
              <w:left w:val="single" w:sz="4" w:space="0" w:color="auto"/>
              <w:bottom w:val="single" w:sz="4" w:space="0" w:color="auto"/>
              <w:right w:val="single" w:sz="4" w:space="0" w:color="auto"/>
            </w:tcBorders>
            <w:vAlign w:val="bottom"/>
          </w:tcPr>
          <w:p w:rsidR="00203CCB" w:rsidRPr="008C7E6B" w:rsidP="00081A05" w14:paraId="4EE3ED36" w14:textId="77777777">
            <w:pPr>
              <w:widowControl/>
              <w:rPr>
                <w:color w:val="000000"/>
                <w:sz w:val="20"/>
              </w:rPr>
            </w:pPr>
            <w:r w:rsidRPr="008C7E6B">
              <w:rPr>
                <w:color w:val="000000"/>
                <w:sz w:val="20"/>
              </w:rPr>
              <w:t>% Small Firms</w:t>
            </w:r>
          </w:p>
        </w:tc>
      </w:tr>
      <w:tr w14:paraId="7BB492F7" w14:textId="77777777" w:rsidTr="00081A05">
        <w:tblPrEx>
          <w:tblW w:w="5000" w:type="pct"/>
          <w:jc w:val="center"/>
          <w:tblLook w:val="0100"/>
        </w:tblPrEx>
        <w:trPr>
          <w:jc w:val="center"/>
        </w:trPr>
        <w:tc>
          <w:tcPr>
            <w:tcW w:w="1450" w:type="pct"/>
            <w:tcBorders>
              <w:top w:val="single" w:sz="4" w:space="0" w:color="auto"/>
              <w:left w:val="single" w:sz="4" w:space="0" w:color="auto"/>
              <w:bottom w:val="single" w:sz="4" w:space="0" w:color="auto"/>
              <w:right w:val="single" w:sz="4" w:space="0" w:color="auto"/>
            </w:tcBorders>
          </w:tcPr>
          <w:p w:rsidR="00203CCB" w:rsidRPr="00F927E8" w:rsidP="00081A05" w14:paraId="17E0F701" w14:textId="77777777">
            <w:pPr>
              <w:widowControl/>
              <w:rPr>
                <w:sz w:val="20"/>
              </w:rPr>
            </w:pPr>
            <w:r w:rsidRPr="00F927E8">
              <w:rPr>
                <w:sz w:val="20"/>
              </w:rPr>
              <w:t>Radio Broadcasting Stations</w:t>
            </w:r>
            <w:r>
              <w:rPr>
                <w:rStyle w:val="FootnoteReference"/>
              </w:rPr>
              <w:footnoteReference w:id="176"/>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2C70AF5D" w14:textId="77777777">
            <w:pPr>
              <w:widowControl/>
              <w:rPr>
                <w:sz w:val="20"/>
              </w:rPr>
            </w:pPr>
            <w:r w:rsidRPr="00F927E8">
              <w:rPr>
                <w:sz w:val="20"/>
              </w:rPr>
              <w:t>516110</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7A045FFE" w14:textId="77777777">
            <w:pPr>
              <w:widowControl/>
              <w:rPr>
                <w:sz w:val="20"/>
              </w:rPr>
            </w:pPr>
            <w:r w:rsidRPr="00F927E8">
              <w:rPr>
                <w:sz w:val="20"/>
              </w:rPr>
              <w:t>$47 million</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14E391FB" w14:textId="77777777">
            <w:pPr>
              <w:widowControl/>
              <w:rPr>
                <w:sz w:val="20"/>
              </w:rPr>
            </w:pPr>
            <w:r w:rsidRPr="00F927E8">
              <w:rPr>
                <w:sz w:val="20"/>
              </w:rPr>
              <w:t>2,616</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796403A7" w14:textId="77777777">
            <w:pPr>
              <w:widowControl/>
              <w:rPr>
                <w:sz w:val="20"/>
              </w:rPr>
            </w:pPr>
            <w:r w:rsidRPr="00F927E8">
              <w:rPr>
                <w:sz w:val="20"/>
              </w:rPr>
              <w:t>2,136</w:t>
            </w:r>
          </w:p>
        </w:tc>
        <w:tc>
          <w:tcPr>
            <w:tcW w:w="709"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0CED03B9" w14:textId="77777777">
            <w:pPr>
              <w:widowControl/>
              <w:rPr>
                <w:color w:val="000000"/>
                <w:sz w:val="20"/>
              </w:rPr>
            </w:pPr>
            <w:r w:rsidRPr="00F927E8">
              <w:rPr>
                <w:color w:val="000000"/>
                <w:sz w:val="20"/>
              </w:rPr>
              <w:t>81.65%</w:t>
            </w:r>
          </w:p>
        </w:tc>
      </w:tr>
      <w:tr w14:paraId="742C4DE2" w14:textId="77777777" w:rsidTr="00081A05">
        <w:tblPrEx>
          <w:tblW w:w="5000" w:type="pct"/>
          <w:jc w:val="center"/>
          <w:tblLook w:val="0100"/>
        </w:tblPrEx>
        <w:trPr>
          <w:jc w:val="center"/>
        </w:trPr>
        <w:tc>
          <w:tcPr>
            <w:tcW w:w="1450" w:type="pct"/>
            <w:tcBorders>
              <w:top w:val="single" w:sz="4" w:space="0" w:color="auto"/>
              <w:left w:val="single" w:sz="4" w:space="0" w:color="auto"/>
              <w:bottom w:val="single" w:sz="4" w:space="0" w:color="auto"/>
              <w:right w:val="single" w:sz="4" w:space="0" w:color="auto"/>
            </w:tcBorders>
          </w:tcPr>
          <w:p w:rsidR="00203CCB" w:rsidRPr="00F927E8" w:rsidP="00081A05" w14:paraId="597707DD" w14:textId="77777777">
            <w:pPr>
              <w:widowControl/>
              <w:rPr>
                <w:sz w:val="20"/>
              </w:rPr>
            </w:pPr>
            <w:r w:rsidRPr="00F927E8">
              <w:rPr>
                <w:sz w:val="20"/>
              </w:rPr>
              <w:t>Television Broadcasting Stations</w:t>
            </w:r>
            <w:r>
              <w:rPr>
                <w:rStyle w:val="FootnoteReference"/>
              </w:rPr>
              <w:footnoteReference w:id="177"/>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4675861F" w14:textId="77777777">
            <w:pPr>
              <w:widowControl/>
              <w:rPr>
                <w:sz w:val="20"/>
              </w:rPr>
            </w:pPr>
            <w:r w:rsidRPr="00F927E8">
              <w:rPr>
                <w:sz w:val="20"/>
              </w:rPr>
              <w:t>516120</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25A72F20" w14:textId="77777777">
            <w:pPr>
              <w:widowControl/>
              <w:rPr>
                <w:sz w:val="20"/>
              </w:rPr>
            </w:pPr>
            <w:r w:rsidRPr="00F927E8">
              <w:rPr>
                <w:sz w:val="20"/>
              </w:rPr>
              <w:t>$47 million</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19C7ACA1" w14:textId="77777777">
            <w:pPr>
              <w:widowControl/>
              <w:rPr>
                <w:sz w:val="20"/>
              </w:rPr>
            </w:pPr>
            <w:r w:rsidRPr="00F927E8">
              <w:rPr>
                <w:sz w:val="20"/>
              </w:rPr>
              <w:t>413</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1C365357" w14:textId="77777777">
            <w:pPr>
              <w:widowControl/>
              <w:rPr>
                <w:sz w:val="20"/>
              </w:rPr>
            </w:pPr>
            <w:r w:rsidRPr="00F927E8">
              <w:rPr>
                <w:sz w:val="20"/>
              </w:rPr>
              <w:t>316</w:t>
            </w:r>
          </w:p>
        </w:tc>
        <w:tc>
          <w:tcPr>
            <w:tcW w:w="709"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6B27E295" w14:textId="77777777">
            <w:pPr>
              <w:widowControl/>
              <w:rPr>
                <w:color w:val="000000"/>
                <w:sz w:val="20"/>
              </w:rPr>
            </w:pPr>
            <w:r w:rsidRPr="00F927E8">
              <w:rPr>
                <w:color w:val="000000"/>
                <w:sz w:val="20"/>
              </w:rPr>
              <w:t>76.51%</w:t>
            </w:r>
          </w:p>
        </w:tc>
      </w:tr>
      <w:tr w14:paraId="282DBCE4" w14:textId="77777777" w:rsidTr="00081A05">
        <w:tblPrEx>
          <w:tblW w:w="5000" w:type="pct"/>
          <w:jc w:val="center"/>
          <w:tblLook w:val="0100"/>
        </w:tblPrEx>
        <w:trPr>
          <w:jc w:val="center"/>
        </w:trPr>
        <w:tc>
          <w:tcPr>
            <w:tcW w:w="1450" w:type="pct"/>
            <w:tcBorders>
              <w:top w:val="single" w:sz="4" w:space="0" w:color="auto"/>
              <w:left w:val="single" w:sz="4" w:space="0" w:color="auto"/>
              <w:bottom w:val="single" w:sz="4" w:space="0" w:color="auto"/>
              <w:right w:val="single" w:sz="4" w:space="0" w:color="auto"/>
            </w:tcBorders>
          </w:tcPr>
          <w:p w:rsidR="00203CCB" w:rsidRPr="007E0171" w:rsidP="00081A05" w14:paraId="62B4DCB2" w14:textId="77777777">
            <w:pPr>
              <w:widowControl/>
              <w:rPr>
                <w:sz w:val="20"/>
              </w:rPr>
            </w:pPr>
            <w:r w:rsidRPr="007E0171">
              <w:rPr>
                <w:sz w:val="20"/>
              </w:rPr>
              <w:t>Media Streaming Distribution Services, Social Networks, and Other Media Networks and Content Providers</w:t>
            </w:r>
            <w:r>
              <w:rPr>
                <w:sz w:val="20"/>
                <w:vertAlign w:val="superscript"/>
              </w:rPr>
              <w:footnoteReference w:id="178"/>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4F8393C5" w14:textId="77777777">
            <w:pPr>
              <w:widowControl/>
              <w:rPr>
                <w:sz w:val="20"/>
              </w:rPr>
            </w:pPr>
            <w:r w:rsidRPr="00F927E8">
              <w:rPr>
                <w:sz w:val="20"/>
              </w:rPr>
              <w:t>516210</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05C8D71E" w14:textId="77777777">
            <w:pPr>
              <w:widowControl/>
              <w:rPr>
                <w:sz w:val="20"/>
              </w:rPr>
            </w:pPr>
            <w:r w:rsidRPr="00F927E8">
              <w:rPr>
                <w:sz w:val="20"/>
              </w:rPr>
              <w:t>$47 million</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04F1589E" w14:textId="77777777">
            <w:pPr>
              <w:widowControl/>
              <w:rPr>
                <w:sz w:val="20"/>
              </w:rPr>
            </w:pPr>
            <w:r w:rsidRPr="00F927E8">
              <w:rPr>
                <w:sz w:val="20"/>
              </w:rPr>
              <w:t>5,217</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39E15A26" w14:textId="77777777">
            <w:pPr>
              <w:widowControl/>
              <w:rPr>
                <w:sz w:val="20"/>
              </w:rPr>
            </w:pPr>
            <w:r w:rsidRPr="00F927E8">
              <w:rPr>
                <w:sz w:val="20"/>
              </w:rPr>
              <w:t>3,673</w:t>
            </w:r>
          </w:p>
        </w:tc>
        <w:tc>
          <w:tcPr>
            <w:tcW w:w="709"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154C38DA" w14:textId="77777777">
            <w:pPr>
              <w:widowControl/>
              <w:rPr>
                <w:color w:val="000000"/>
                <w:sz w:val="20"/>
              </w:rPr>
            </w:pPr>
            <w:r w:rsidRPr="00F927E8">
              <w:rPr>
                <w:color w:val="000000"/>
                <w:sz w:val="20"/>
              </w:rPr>
              <w:t>70.40%</w:t>
            </w:r>
          </w:p>
        </w:tc>
      </w:tr>
      <w:tr w14:paraId="79244E21" w14:textId="77777777" w:rsidTr="00081A05">
        <w:tblPrEx>
          <w:tblW w:w="5000" w:type="pct"/>
          <w:jc w:val="center"/>
          <w:tblLook w:val="0100"/>
        </w:tblPrEx>
        <w:trPr>
          <w:jc w:val="center"/>
        </w:trPr>
        <w:tc>
          <w:tcPr>
            <w:tcW w:w="1450" w:type="pct"/>
            <w:tcBorders>
              <w:top w:val="single" w:sz="4" w:space="0" w:color="auto"/>
              <w:left w:val="single" w:sz="4" w:space="0" w:color="auto"/>
              <w:bottom w:val="single" w:sz="4" w:space="0" w:color="auto"/>
              <w:right w:val="single" w:sz="4" w:space="0" w:color="auto"/>
            </w:tcBorders>
          </w:tcPr>
          <w:p w:rsidR="00203CCB" w:rsidRPr="00F927E8" w:rsidP="00081A05" w14:paraId="7DB44B6B" w14:textId="77777777">
            <w:pPr>
              <w:widowControl/>
              <w:rPr>
                <w:sz w:val="20"/>
              </w:rPr>
            </w:pPr>
            <w:r w:rsidRPr="00F927E8">
              <w:rPr>
                <w:sz w:val="20"/>
              </w:rPr>
              <w:t>Wired Telecommunications Carriers</w:t>
            </w:r>
            <w:r>
              <w:rPr>
                <w:sz w:val="20"/>
                <w:vertAlign w:val="superscript"/>
              </w:rPr>
              <w:footnoteReference w:id="179"/>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08BE4AD9" w14:textId="77777777">
            <w:pPr>
              <w:widowControl/>
              <w:rPr>
                <w:sz w:val="20"/>
              </w:rPr>
            </w:pPr>
            <w:r w:rsidRPr="00F927E8">
              <w:rPr>
                <w:sz w:val="20"/>
              </w:rPr>
              <w:t>517111</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074A2DCB" w14:textId="77777777">
            <w:pPr>
              <w:widowControl/>
              <w:rPr>
                <w:sz w:val="20"/>
              </w:rPr>
            </w:pPr>
            <w:r w:rsidRPr="00F927E8">
              <w:rPr>
                <w:sz w:val="20"/>
              </w:rPr>
              <w:t>1,500 employees</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43CB78BF" w14:textId="77777777">
            <w:pPr>
              <w:widowControl/>
              <w:rPr>
                <w:sz w:val="20"/>
              </w:rPr>
            </w:pPr>
            <w:r w:rsidRPr="00F927E8">
              <w:rPr>
                <w:sz w:val="20"/>
              </w:rPr>
              <w:t>3,403</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6FE41379" w14:textId="77777777">
            <w:pPr>
              <w:widowControl/>
              <w:rPr>
                <w:sz w:val="20"/>
              </w:rPr>
            </w:pPr>
            <w:r w:rsidRPr="00F927E8">
              <w:rPr>
                <w:sz w:val="20"/>
              </w:rPr>
              <w:t>3,027</w:t>
            </w:r>
          </w:p>
        </w:tc>
        <w:tc>
          <w:tcPr>
            <w:tcW w:w="709" w:type="pct"/>
            <w:tcBorders>
              <w:top w:val="single" w:sz="4" w:space="0" w:color="auto"/>
              <w:left w:val="single" w:sz="4" w:space="0" w:color="auto"/>
              <w:bottom w:val="single" w:sz="4" w:space="0" w:color="auto"/>
              <w:right w:val="single" w:sz="4" w:space="0" w:color="auto"/>
            </w:tcBorders>
            <w:vAlign w:val="bottom"/>
          </w:tcPr>
          <w:p w:rsidR="00203CCB" w:rsidRPr="008C7E6B" w:rsidP="00081A05" w14:paraId="1BCBEBDD" w14:textId="77777777">
            <w:pPr>
              <w:widowControl/>
              <w:rPr>
                <w:color w:val="000000"/>
                <w:sz w:val="20"/>
              </w:rPr>
            </w:pPr>
            <w:r w:rsidRPr="00F927E8">
              <w:rPr>
                <w:color w:val="000000"/>
                <w:sz w:val="20"/>
              </w:rPr>
              <w:t>88.95%</w:t>
            </w:r>
          </w:p>
        </w:tc>
      </w:tr>
      <w:tr w14:paraId="0ADD9919" w14:textId="77777777" w:rsidTr="00081A05">
        <w:tblPrEx>
          <w:tblW w:w="5000" w:type="pct"/>
          <w:jc w:val="center"/>
          <w:tblLook w:val="0100"/>
        </w:tblPrEx>
        <w:trPr>
          <w:jc w:val="center"/>
        </w:trPr>
        <w:tc>
          <w:tcPr>
            <w:tcW w:w="1450" w:type="pct"/>
            <w:tcBorders>
              <w:top w:val="single" w:sz="4" w:space="0" w:color="auto"/>
              <w:left w:val="single" w:sz="4" w:space="0" w:color="auto"/>
              <w:bottom w:val="single" w:sz="4" w:space="0" w:color="auto"/>
              <w:right w:val="single" w:sz="4" w:space="0" w:color="auto"/>
            </w:tcBorders>
          </w:tcPr>
          <w:p w:rsidR="00203CCB" w:rsidRPr="00F927E8" w:rsidP="00081A05" w14:paraId="00D647D2" w14:textId="77777777">
            <w:pPr>
              <w:widowControl/>
              <w:rPr>
                <w:sz w:val="20"/>
              </w:rPr>
            </w:pPr>
            <w:r w:rsidRPr="00F927E8">
              <w:rPr>
                <w:sz w:val="20"/>
              </w:rPr>
              <w:t>Wireless Telecommunications Carriers (except Satellite)</w:t>
            </w:r>
            <w:r>
              <w:rPr>
                <w:sz w:val="20"/>
                <w:vertAlign w:val="superscript"/>
              </w:rPr>
              <w:footnoteReference w:id="180"/>
            </w:r>
            <w:r w:rsidRPr="006022DC">
              <w:rPr>
                <w:sz w:val="20"/>
                <w:vertAlign w:val="superscript"/>
              </w:rPr>
              <w:t xml:space="preserve"> </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378DF245" w14:textId="77777777">
            <w:pPr>
              <w:widowControl/>
              <w:rPr>
                <w:sz w:val="20"/>
              </w:rPr>
            </w:pPr>
            <w:r w:rsidRPr="00F927E8">
              <w:rPr>
                <w:sz w:val="20"/>
              </w:rPr>
              <w:t>517112</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5B9416A2" w14:textId="77777777">
            <w:pPr>
              <w:widowControl/>
              <w:rPr>
                <w:sz w:val="20"/>
              </w:rPr>
            </w:pPr>
            <w:r w:rsidRPr="00F927E8">
              <w:rPr>
                <w:sz w:val="20"/>
              </w:rPr>
              <w:t>1,500 employees</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5B353ACA" w14:textId="77777777">
            <w:pPr>
              <w:widowControl/>
              <w:rPr>
                <w:sz w:val="20"/>
              </w:rPr>
            </w:pPr>
            <w:r w:rsidRPr="00F927E8">
              <w:rPr>
                <w:sz w:val="20"/>
              </w:rPr>
              <w:t>1,184</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241D2D7A" w14:textId="77777777">
            <w:pPr>
              <w:widowControl/>
              <w:rPr>
                <w:sz w:val="20"/>
              </w:rPr>
            </w:pPr>
            <w:r w:rsidRPr="00F927E8">
              <w:rPr>
                <w:sz w:val="20"/>
              </w:rPr>
              <w:t>1,081</w:t>
            </w:r>
          </w:p>
        </w:tc>
        <w:tc>
          <w:tcPr>
            <w:tcW w:w="709" w:type="pct"/>
            <w:tcBorders>
              <w:top w:val="single" w:sz="4" w:space="0" w:color="auto"/>
              <w:left w:val="single" w:sz="4" w:space="0" w:color="auto"/>
              <w:bottom w:val="single" w:sz="4" w:space="0" w:color="auto"/>
              <w:right w:val="single" w:sz="4" w:space="0" w:color="auto"/>
            </w:tcBorders>
            <w:vAlign w:val="bottom"/>
          </w:tcPr>
          <w:p w:rsidR="00203CCB" w:rsidRPr="008C7E6B" w:rsidP="00081A05" w14:paraId="0E666FD9" w14:textId="77777777">
            <w:pPr>
              <w:widowControl/>
              <w:rPr>
                <w:color w:val="000000"/>
                <w:sz w:val="20"/>
              </w:rPr>
            </w:pPr>
            <w:r w:rsidRPr="00F927E8">
              <w:rPr>
                <w:color w:val="000000"/>
                <w:sz w:val="20"/>
              </w:rPr>
              <w:t>91.30%</w:t>
            </w:r>
          </w:p>
        </w:tc>
      </w:tr>
      <w:tr w14:paraId="647F1D1B" w14:textId="77777777" w:rsidTr="00081A05">
        <w:tblPrEx>
          <w:tblW w:w="5000" w:type="pct"/>
          <w:jc w:val="center"/>
          <w:tblLook w:val="0100"/>
        </w:tblPrEx>
        <w:trPr>
          <w:jc w:val="center"/>
        </w:trPr>
        <w:tc>
          <w:tcPr>
            <w:tcW w:w="1450" w:type="pct"/>
            <w:tcBorders>
              <w:top w:val="single" w:sz="4" w:space="0" w:color="auto"/>
              <w:left w:val="single" w:sz="4" w:space="0" w:color="auto"/>
              <w:bottom w:val="single" w:sz="4" w:space="0" w:color="auto"/>
              <w:right w:val="single" w:sz="4" w:space="0" w:color="auto"/>
            </w:tcBorders>
          </w:tcPr>
          <w:p w:rsidR="00203CCB" w:rsidRPr="00C40DF4" w:rsidP="00081A05" w14:paraId="72470F93" w14:textId="77777777">
            <w:pPr>
              <w:widowControl/>
              <w:rPr>
                <w:sz w:val="20"/>
              </w:rPr>
            </w:pPr>
            <w:r w:rsidRPr="00C40DF4">
              <w:rPr>
                <w:sz w:val="20"/>
              </w:rPr>
              <w:t>Telecommunications Resellers</w:t>
            </w:r>
            <w:r>
              <w:rPr>
                <w:sz w:val="20"/>
                <w:vertAlign w:val="superscript"/>
              </w:rPr>
              <w:footnoteReference w:id="181"/>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2B2D5CC9" w14:textId="77777777">
            <w:pPr>
              <w:widowControl/>
              <w:rPr>
                <w:sz w:val="20"/>
              </w:rPr>
            </w:pPr>
            <w:r w:rsidRPr="00F927E8">
              <w:rPr>
                <w:sz w:val="20"/>
              </w:rPr>
              <w:t>517121</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064D5188" w14:textId="77777777">
            <w:pPr>
              <w:widowControl/>
              <w:rPr>
                <w:sz w:val="20"/>
              </w:rPr>
            </w:pPr>
            <w:r w:rsidRPr="00F927E8">
              <w:rPr>
                <w:sz w:val="20"/>
              </w:rPr>
              <w:t>1,500 employees</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5F3D7EF5" w14:textId="77777777">
            <w:pPr>
              <w:widowControl/>
              <w:rPr>
                <w:sz w:val="20"/>
              </w:rPr>
            </w:pPr>
            <w:r w:rsidRPr="00F927E8">
              <w:rPr>
                <w:sz w:val="20"/>
              </w:rPr>
              <w:t>955</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553C71D1" w14:textId="77777777">
            <w:pPr>
              <w:widowControl/>
              <w:rPr>
                <w:sz w:val="20"/>
              </w:rPr>
            </w:pPr>
            <w:r w:rsidRPr="00F927E8">
              <w:rPr>
                <w:sz w:val="20"/>
              </w:rPr>
              <w:t>847</w:t>
            </w:r>
          </w:p>
        </w:tc>
        <w:tc>
          <w:tcPr>
            <w:tcW w:w="709" w:type="pct"/>
            <w:tcBorders>
              <w:top w:val="single" w:sz="4" w:space="0" w:color="auto"/>
              <w:left w:val="single" w:sz="4" w:space="0" w:color="auto"/>
              <w:bottom w:val="single" w:sz="4" w:space="0" w:color="auto"/>
              <w:right w:val="single" w:sz="4" w:space="0" w:color="auto"/>
            </w:tcBorders>
            <w:vAlign w:val="bottom"/>
          </w:tcPr>
          <w:p w:rsidR="00203CCB" w:rsidRPr="008C7E6B" w:rsidP="00081A05" w14:paraId="0AE73F96" w14:textId="77777777">
            <w:pPr>
              <w:widowControl/>
              <w:rPr>
                <w:color w:val="000000"/>
                <w:sz w:val="20"/>
              </w:rPr>
            </w:pPr>
            <w:r w:rsidRPr="00F927E8">
              <w:rPr>
                <w:color w:val="000000"/>
                <w:sz w:val="20"/>
              </w:rPr>
              <w:t>88.69%</w:t>
            </w:r>
          </w:p>
        </w:tc>
      </w:tr>
      <w:tr w14:paraId="09255EAA" w14:textId="77777777" w:rsidTr="00081A05">
        <w:tblPrEx>
          <w:tblW w:w="5000" w:type="pct"/>
          <w:jc w:val="center"/>
          <w:tblLook w:val="0100"/>
        </w:tblPrEx>
        <w:trPr>
          <w:jc w:val="center"/>
        </w:trPr>
        <w:tc>
          <w:tcPr>
            <w:tcW w:w="1450" w:type="pct"/>
            <w:tcBorders>
              <w:top w:val="single" w:sz="4" w:space="0" w:color="auto"/>
              <w:left w:val="single" w:sz="4" w:space="0" w:color="auto"/>
              <w:bottom w:val="single" w:sz="4" w:space="0" w:color="auto"/>
              <w:right w:val="single" w:sz="4" w:space="0" w:color="auto"/>
            </w:tcBorders>
          </w:tcPr>
          <w:p w:rsidR="00203CCB" w:rsidRPr="00C40DF4" w:rsidP="00081A05" w14:paraId="7B8C76D0" w14:textId="77777777">
            <w:pPr>
              <w:widowControl/>
              <w:rPr>
                <w:sz w:val="20"/>
              </w:rPr>
            </w:pPr>
            <w:r w:rsidRPr="00F927E8">
              <w:rPr>
                <w:sz w:val="20"/>
              </w:rPr>
              <w:t>Satellite Telecommunications</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56B6F9E1" w14:textId="77777777">
            <w:pPr>
              <w:widowControl/>
              <w:rPr>
                <w:sz w:val="20"/>
              </w:rPr>
            </w:pPr>
            <w:r w:rsidRPr="00F927E8">
              <w:rPr>
                <w:sz w:val="20"/>
              </w:rPr>
              <w:t>517410</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449D115E" w14:textId="77777777">
            <w:pPr>
              <w:widowControl/>
              <w:rPr>
                <w:sz w:val="20"/>
              </w:rPr>
            </w:pPr>
            <w:r w:rsidRPr="00F927E8">
              <w:rPr>
                <w:sz w:val="20"/>
              </w:rPr>
              <w:t>$44 million</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58B01AD0" w14:textId="77777777">
            <w:pPr>
              <w:widowControl/>
              <w:rPr>
                <w:sz w:val="20"/>
              </w:rPr>
            </w:pPr>
            <w:r w:rsidRPr="00F927E8">
              <w:rPr>
                <w:sz w:val="20"/>
              </w:rPr>
              <w:t>332</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77018B54" w14:textId="77777777">
            <w:pPr>
              <w:widowControl/>
              <w:rPr>
                <w:sz w:val="20"/>
              </w:rPr>
            </w:pPr>
            <w:r w:rsidRPr="00F927E8">
              <w:rPr>
                <w:sz w:val="20"/>
              </w:rPr>
              <w:t>195</w:t>
            </w:r>
          </w:p>
        </w:tc>
        <w:tc>
          <w:tcPr>
            <w:tcW w:w="709"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114B19B1" w14:textId="77777777">
            <w:pPr>
              <w:widowControl/>
              <w:rPr>
                <w:color w:val="000000"/>
                <w:sz w:val="20"/>
              </w:rPr>
            </w:pPr>
            <w:r w:rsidRPr="00F927E8">
              <w:rPr>
                <w:color w:val="000000"/>
                <w:sz w:val="20"/>
              </w:rPr>
              <w:t>58.73%</w:t>
            </w:r>
          </w:p>
        </w:tc>
      </w:tr>
      <w:tr w14:paraId="0F6DF7AC" w14:textId="77777777" w:rsidTr="00081A05">
        <w:tblPrEx>
          <w:tblW w:w="5000" w:type="pct"/>
          <w:jc w:val="center"/>
          <w:tblLook w:val="0100"/>
        </w:tblPrEx>
        <w:trPr>
          <w:jc w:val="center"/>
        </w:trPr>
        <w:tc>
          <w:tcPr>
            <w:tcW w:w="1450" w:type="pct"/>
            <w:tcBorders>
              <w:top w:val="single" w:sz="4" w:space="0" w:color="auto"/>
              <w:left w:val="single" w:sz="4" w:space="0" w:color="auto"/>
              <w:bottom w:val="single" w:sz="4" w:space="0" w:color="auto"/>
              <w:right w:val="single" w:sz="4" w:space="0" w:color="auto"/>
            </w:tcBorders>
          </w:tcPr>
          <w:p w:rsidR="00203CCB" w:rsidRPr="00F927E8" w:rsidP="00081A05" w14:paraId="79AD5E8B" w14:textId="77777777">
            <w:pPr>
              <w:widowControl/>
              <w:rPr>
                <w:sz w:val="20"/>
              </w:rPr>
            </w:pPr>
            <w:r w:rsidRPr="00F927E8">
              <w:rPr>
                <w:sz w:val="20"/>
              </w:rPr>
              <w:t>All Other Telecommunications</w:t>
            </w:r>
            <w:r>
              <w:rPr>
                <w:sz w:val="20"/>
                <w:vertAlign w:val="superscript"/>
              </w:rPr>
              <w:footnoteReference w:id="182"/>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0B1102F2" w14:textId="77777777">
            <w:pPr>
              <w:widowControl/>
              <w:rPr>
                <w:sz w:val="20"/>
              </w:rPr>
            </w:pPr>
            <w:r w:rsidRPr="00F927E8">
              <w:rPr>
                <w:sz w:val="20"/>
              </w:rPr>
              <w:t>517810</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26AAA88D" w14:textId="77777777">
            <w:pPr>
              <w:widowControl/>
              <w:rPr>
                <w:sz w:val="20"/>
              </w:rPr>
            </w:pPr>
            <w:r w:rsidRPr="00F927E8">
              <w:rPr>
                <w:sz w:val="20"/>
              </w:rPr>
              <w:t>$40 million</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7C10EA42" w14:textId="77777777">
            <w:pPr>
              <w:widowControl/>
              <w:rPr>
                <w:sz w:val="20"/>
              </w:rPr>
            </w:pPr>
            <w:r w:rsidRPr="00F927E8">
              <w:rPr>
                <w:sz w:val="20"/>
              </w:rPr>
              <w:t>1,673</w:t>
            </w:r>
          </w:p>
        </w:tc>
        <w:tc>
          <w:tcPr>
            <w:tcW w:w="710"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2FF7D94B" w14:textId="77777777">
            <w:pPr>
              <w:widowControl/>
              <w:rPr>
                <w:sz w:val="20"/>
              </w:rPr>
            </w:pPr>
            <w:r w:rsidRPr="00F927E8">
              <w:rPr>
                <w:sz w:val="20"/>
              </w:rPr>
              <w:t>1,007</w:t>
            </w:r>
          </w:p>
        </w:tc>
        <w:tc>
          <w:tcPr>
            <w:tcW w:w="709" w:type="pct"/>
            <w:tcBorders>
              <w:top w:val="single" w:sz="4" w:space="0" w:color="auto"/>
              <w:left w:val="single" w:sz="4" w:space="0" w:color="auto"/>
              <w:bottom w:val="single" w:sz="4" w:space="0" w:color="auto"/>
              <w:right w:val="single" w:sz="4" w:space="0" w:color="auto"/>
            </w:tcBorders>
            <w:vAlign w:val="bottom"/>
          </w:tcPr>
          <w:p w:rsidR="00203CCB" w:rsidRPr="00F927E8" w:rsidP="00081A05" w14:paraId="5257DAB3" w14:textId="77777777">
            <w:pPr>
              <w:widowControl/>
              <w:rPr>
                <w:color w:val="000000"/>
                <w:sz w:val="20"/>
              </w:rPr>
            </w:pPr>
            <w:r w:rsidRPr="00F927E8">
              <w:rPr>
                <w:color w:val="000000"/>
                <w:sz w:val="20"/>
              </w:rPr>
              <w:t>60.19%</w:t>
            </w:r>
          </w:p>
        </w:tc>
      </w:tr>
    </w:tbl>
    <w:p w:rsidR="00203CCB" w:rsidRPr="00507DD6" w:rsidP="00081A05" w14:paraId="08C33184" w14:textId="77777777">
      <w:pPr>
        <w:widowControl/>
      </w:pPr>
    </w:p>
    <w:p w:rsidR="00203CCB" w:rsidP="00081A05" w14:paraId="434F58FD" w14:textId="77777777">
      <w:pPr>
        <w:widowControl/>
        <w:rPr>
          <w:b/>
          <w:bCs/>
        </w:rPr>
      </w:pPr>
      <w:r w:rsidRPr="006022DC">
        <w:rPr>
          <w:b/>
          <w:bCs/>
        </w:rPr>
        <w:t>Table 2.  Telecommunications Service Provider Data</w:t>
      </w:r>
    </w:p>
    <w:p w:rsidR="00203CCB" w:rsidRPr="00897468" w:rsidP="00081A05" w14:paraId="5615B90D" w14:textId="77777777">
      <w:pPr>
        <w:widowControl/>
      </w:pPr>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337A5D20" w14:textId="77777777" w:rsidTr="00081A05">
        <w:tblPrEx>
          <w:tblW w:w="7645" w:type="dxa"/>
          <w:jc w:val="center"/>
          <w:tblLayout w:type="fixed"/>
          <w:tblLook w:val="04A0"/>
        </w:tblPrEx>
        <w:trPr>
          <w:trHeight w:val="300"/>
          <w:tblHeader/>
          <w:jc w:val="center"/>
        </w:trPr>
        <w:tc>
          <w:tcPr>
            <w:tcW w:w="3325" w:type="dxa"/>
            <w:shd w:val="pct5" w:color="auto" w:fill="auto"/>
            <w:noWrap/>
          </w:tcPr>
          <w:p w:rsidR="00203CCB" w:rsidRPr="00C04A48" w:rsidP="00081A05" w14:paraId="1A690B15" w14:textId="77777777">
            <w:pPr>
              <w:widowControl/>
              <w:spacing w:after="120"/>
              <w:rPr>
                <w:b/>
                <w:bCs/>
                <w:iCs/>
                <w:kern w:val="0"/>
                <w:sz w:val="20"/>
              </w:rPr>
            </w:pPr>
            <w:bookmarkStart w:id="95" w:name="_Toc146549329"/>
            <w:bookmarkStart w:id="96" w:name="_Toc146551533"/>
            <w:bookmarkStart w:id="97" w:name="_Toc152846920"/>
            <w:r w:rsidRPr="00C04A48">
              <w:rPr>
                <w:b/>
                <w:bCs/>
                <w:iCs/>
                <w:sz w:val="20"/>
              </w:rPr>
              <w:t>2024 Universal Service Monitoring Report</w:t>
            </w:r>
            <w:r w:rsidRPr="00C04A48">
              <w:rPr>
                <w:b/>
                <w:bCs/>
                <w:iCs/>
                <w:kern w:val="0"/>
                <w:sz w:val="20"/>
              </w:rPr>
              <w:t xml:space="preserve"> </w:t>
            </w:r>
            <w:r w:rsidRPr="00C04A48">
              <w:rPr>
                <w:b/>
                <w:bCs/>
                <w:iCs/>
                <w:sz w:val="20"/>
              </w:rPr>
              <w:t>Telecommunications Service Provider Data</w:t>
            </w:r>
            <w:r>
              <w:rPr>
                <w:rStyle w:val="FootnoteReference"/>
                <w:iCs/>
              </w:rPr>
              <w:footnoteReference w:id="183"/>
            </w:r>
          </w:p>
          <w:p w:rsidR="00203CCB" w:rsidRPr="00C04A48" w:rsidP="00081A05" w14:paraId="4ADAD28F" w14:textId="77777777">
            <w:pPr>
              <w:widowControl/>
              <w:spacing w:after="120"/>
              <w:rPr>
                <w:b/>
                <w:bCs/>
                <w:kern w:val="0"/>
                <w:sz w:val="20"/>
              </w:rPr>
            </w:pPr>
            <w:r w:rsidRPr="00C04A48">
              <w:rPr>
                <w:b/>
                <w:bCs/>
                <w:kern w:val="0"/>
                <w:sz w:val="20"/>
              </w:rPr>
              <w:t>(Data as of December 2023)</w:t>
            </w:r>
          </w:p>
        </w:tc>
        <w:tc>
          <w:tcPr>
            <w:tcW w:w="4320" w:type="dxa"/>
            <w:gridSpan w:val="3"/>
            <w:shd w:val="pct5" w:color="auto" w:fill="auto"/>
            <w:noWrap/>
            <w:vAlign w:val="center"/>
          </w:tcPr>
          <w:p w:rsidR="00203CCB" w:rsidRPr="00C04A48" w:rsidP="00081A05" w14:paraId="47CC9F0D" w14:textId="77777777">
            <w:pPr>
              <w:widowControl/>
              <w:jc w:val="center"/>
              <w:rPr>
                <w:b/>
                <w:bCs/>
                <w:kern w:val="0"/>
                <w:sz w:val="20"/>
              </w:rPr>
            </w:pPr>
            <w:r w:rsidRPr="00C04A48">
              <w:rPr>
                <w:b/>
                <w:bCs/>
                <w:kern w:val="0"/>
                <w:sz w:val="20"/>
              </w:rPr>
              <w:t>SBA Size Standard</w:t>
            </w:r>
          </w:p>
          <w:p w:rsidR="00203CCB" w:rsidRPr="00C04A48" w:rsidP="00081A05" w14:paraId="0FFE8D2B" w14:textId="77777777">
            <w:pPr>
              <w:widowControl/>
              <w:jc w:val="center"/>
              <w:rPr>
                <w:kern w:val="0"/>
                <w:sz w:val="20"/>
              </w:rPr>
            </w:pPr>
            <w:r w:rsidRPr="00C04A48">
              <w:rPr>
                <w:b/>
                <w:bCs/>
                <w:kern w:val="0"/>
                <w:sz w:val="20"/>
              </w:rPr>
              <w:t>(1500 Employees)</w:t>
            </w:r>
          </w:p>
        </w:tc>
      </w:tr>
      <w:tr w14:paraId="2E29D22F" w14:textId="77777777" w:rsidTr="00081A05">
        <w:tblPrEx>
          <w:tblW w:w="7645" w:type="dxa"/>
          <w:jc w:val="center"/>
          <w:tblLayout w:type="fixed"/>
          <w:tblLook w:val="04A0"/>
        </w:tblPrEx>
        <w:trPr>
          <w:trHeight w:val="300"/>
          <w:tblHeader/>
          <w:jc w:val="center"/>
        </w:trPr>
        <w:tc>
          <w:tcPr>
            <w:tcW w:w="3325" w:type="dxa"/>
            <w:noWrap/>
          </w:tcPr>
          <w:p w:rsidR="00203CCB" w:rsidP="00081A05" w14:paraId="7853586F" w14:textId="77777777">
            <w:pPr>
              <w:widowControl/>
              <w:spacing w:after="120"/>
              <w:rPr>
                <w:b/>
                <w:bCs/>
                <w:kern w:val="0"/>
                <w:sz w:val="20"/>
              </w:rPr>
            </w:pPr>
          </w:p>
          <w:p w:rsidR="00203CCB" w:rsidRPr="00C04A48" w:rsidP="00081A05" w14:paraId="307482ED" w14:textId="77777777">
            <w:pPr>
              <w:widowControl/>
              <w:spacing w:after="120"/>
              <w:rPr>
                <w:iCs/>
                <w:sz w:val="20"/>
              </w:rPr>
            </w:pPr>
            <w:r w:rsidRPr="00C04A48">
              <w:rPr>
                <w:b/>
                <w:bCs/>
                <w:kern w:val="0"/>
                <w:sz w:val="20"/>
              </w:rPr>
              <w:t>Affected Entity</w:t>
            </w:r>
          </w:p>
        </w:tc>
        <w:tc>
          <w:tcPr>
            <w:tcW w:w="1800" w:type="dxa"/>
            <w:noWrap/>
          </w:tcPr>
          <w:p w:rsidR="00203CCB" w:rsidRPr="00C04A48" w:rsidP="00081A05" w14:paraId="00CF8775" w14:textId="77777777">
            <w:pPr>
              <w:widowControl/>
              <w:spacing w:after="120"/>
              <w:rPr>
                <w:kern w:val="0"/>
                <w:sz w:val="20"/>
              </w:rPr>
            </w:pPr>
            <w:r w:rsidRPr="00C04A48">
              <w:rPr>
                <w:b/>
                <w:bCs/>
                <w:kern w:val="0"/>
                <w:sz w:val="20"/>
              </w:rPr>
              <w:t>Total # FCC Form 499A Filers</w:t>
            </w:r>
          </w:p>
        </w:tc>
        <w:tc>
          <w:tcPr>
            <w:tcW w:w="990" w:type="dxa"/>
          </w:tcPr>
          <w:p w:rsidR="00203CCB" w:rsidRPr="00C04A48" w:rsidP="00081A05" w14:paraId="348C4050" w14:textId="77777777">
            <w:pPr>
              <w:widowControl/>
              <w:spacing w:after="120"/>
              <w:rPr>
                <w:kern w:val="0"/>
                <w:sz w:val="20"/>
              </w:rPr>
            </w:pPr>
            <w:r w:rsidRPr="00C04A48">
              <w:rPr>
                <w:b/>
                <w:bCs/>
                <w:kern w:val="0"/>
                <w:sz w:val="20"/>
              </w:rPr>
              <w:t>Small Firms</w:t>
            </w:r>
          </w:p>
        </w:tc>
        <w:tc>
          <w:tcPr>
            <w:tcW w:w="1530" w:type="dxa"/>
            <w:noWrap/>
          </w:tcPr>
          <w:p w:rsidR="00203CCB" w:rsidRPr="00C04A48" w:rsidP="00081A05" w14:paraId="038C085F" w14:textId="77777777">
            <w:pPr>
              <w:widowControl/>
              <w:spacing w:after="120"/>
              <w:rPr>
                <w:kern w:val="0"/>
                <w:sz w:val="20"/>
              </w:rPr>
            </w:pPr>
            <w:r w:rsidRPr="00C04A48">
              <w:rPr>
                <w:b/>
                <w:bCs/>
                <w:kern w:val="0"/>
                <w:sz w:val="20"/>
              </w:rPr>
              <w:t>% Small Entities</w:t>
            </w:r>
          </w:p>
        </w:tc>
      </w:tr>
      <w:tr w14:paraId="74B774FA" w14:textId="77777777" w:rsidTr="00081A05">
        <w:tblPrEx>
          <w:tblW w:w="7645" w:type="dxa"/>
          <w:jc w:val="center"/>
          <w:tblLayout w:type="fixed"/>
          <w:tblLook w:val="04A0"/>
        </w:tblPrEx>
        <w:trPr>
          <w:trHeight w:val="300"/>
          <w:jc w:val="center"/>
        </w:trPr>
        <w:tc>
          <w:tcPr>
            <w:tcW w:w="3325" w:type="dxa"/>
            <w:noWrap/>
          </w:tcPr>
          <w:p w:rsidR="00203CCB" w:rsidRPr="008818BE" w:rsidP="00081A05" w14:paraId="1571109C" w14:textId="77777777">
            <w:pPr>
              <w:widowControl/>
              <w:spacing w:after="120"/>
              <w:rPr>
                <w:iCs/>
                <w:kern w:val="0"/>
                <w:sz w:val="20"/>
              </w:rPr>
            </w:pPr>
            <w:r w:rsidRPr="008818BE">
              <w:rPr>
                <w:iCs/>
                <w:sz w:val="20"/>
              </w:rPr>
              <w:t>Competitive Local Exchange Carriers (CLECs)</w:t>
            </w:r>
            <w:r>
              <w:rPr>
                <w:rStyle w:val="FootnoteReference"/>
                <w:iCs/>
              </w:rPr>
              <w:footnoteReference w:id="184"/>
            </w:r>
          </w:p>
        </w:tc>
        <w:tc>
          <w:tcPr>
            <w:tcW w:w="1800" w:type="dxa"/>
            <w:noWrap/>
          </w:tcPr>
          <w:p w:rsidR="00203CCB" w:rsidRPr="001B6A99" w:rsidP="00081A05" w14:paraId="2D96DCFE" w14:textId="77777777">
            <w:pPr>
              <w:widowControl/>
              <w:spacing w:after="120"/>
              <w:jc w:val="center"/>
              <w:rPr>
                <w:iCs/>
                <w:kern w:val="0"/>
                <w:sz w:val="20"/>
              </w:rPr>
            </w:pPr>
            <w:r w:rsidRPr="001B6A99">
              <w:rPr>
                <w:iCs/>
                <w:kern w:val="0"/>
                <w:sz w:val="20"/>
              </w:rPr>
              <w:t>3,729</w:t>
            </w:r>
          </w:p>
        </w:tc>
        <w:tc>
          <w:tcPr>
            <w:tcW w:w="990" w:type="dxa"/>
          </w:tcPr>
          <w:p w:rsidR="00203CCB" w:rsidRPr="001B6A99" w:rsidP="00081A05" w14:paraId="0FA8D3D5" w14:textId="77777777">
            <w:pPr>
              <w:widowControl/>
              <w:spacing w:after="120"/>
              <w:jc w:val="center"/>
              <w:rPr>
                <w:iCs/>
                <w:kern w:val="0"/>
                <w:sz w:val="20"/>
              </w:rPr>
            </w:pPr>
            <w:r w:rsidRPr="001B6A99">
              <w:rPr>
                <w:iCs/>
                <w:kern w:val="0"/>
                <w:sz w:val="20"/>
              </w:rPr>
              <w:t>3,576</w:t>
            </w:r>
          </w:p>
        </w:tc>
        <w:tc>
          <w:tcPr>
            <w:tcW w:w="1530" w:type="dxa"/>
            <w:noWrap/>
          </w:tcPr>
          <w:p w:rsidR="00203CCB" w:rsidRPr="001B6A99" w:rsidP="00081A05" w14:paraId="5AD33C26" w14:textId="77777777">
            <w:pPr>
              <w:widowControl/>
              <w:spacing w:after="120"/>
              <w:jc w:val="center"/>
              <w:rPr>
                <w:iCs/>
                <w:kern w:val="0"/>
                <w:sz w:val="20"/>
              </w:rPr>
            </w:pPr>
            <w:r w:rsidRPr="001B6A99">
              <w:rPr>
                <w:iCs/>
                <w:kern w:val="0"/>
                <w:sz w:val="20"/>
              </w:rPr>
              <w:t>95.90</w:t>
            </w:r>
          </w:p>
        </w:tc>
      </w:tr>
      <w:tr w14:paraId="424F0251" w14:textId="77777777" w:rsidTr="00081A05">
        <w:tblPrEx>
          <w:tblW w:w="7645" w:type="dxa"/>
          <w:jc w:val="center"/>
          <w:tblLayout w:type="fixed"/>
          <w:tblLook w:val="04A0"/>
        </w:tblPrEx>
        <w:trPr>
          <w:trHeight w:val="255"/>
          <w:jc w:val="center"/>
        </w:trPr>
        <w:tc>
          <w:tcPr>
            <w:tcW w:w="3325" w:type="dxa"/>
            <w:noWrap/>
          </w:tcPr>
          <w:p w:rsidR="00203CCB" w:rsidRPr="008818BE" w:rsidP="00081A05" w14:paraId="3D0F8405" w14:textId="77777777">
            <w:pPr>
              <w:widowControl/>
              <w:spacing w:after="120"/>
              <w:rPr>
                <w:iCs/>
                <w:kern w:val="0"/>
                <w:sz w:val="20"/>
              </w:rPr>
            </w:pPr>
            <w:r w:rsidRPr="008818BE">
              <w:rPr>
                <w:iCs/>
                <w:sz w:val="20"/>
              </w:rPr>
              <w:t>Incumbent Local Exchange Carriers (Incumbent LECs)</w:t>
            </w:r>
          </w:p>
        </w:tc>
        <w:tc>
          <w:tcPr>
            <w:tcW w:w="1800" w:type="dxa"/>
            <w:noWrap/>
          </w:tcPr>
          <w:p w:rsidR="00203CCB" w:rsidRPr="00E22F55" w:rsidP="00081A05" w14:paraId="17488E8F" w14:textId="77777777">
            <w:pPr>
              <w:widowControl/>
              <w:spacing w:after="120"/>
              <w:jc w:val="center"/>
              <w:rPr>
                <w:iCs/>
                <w:kern w:val="0"/>
                <w:sz w:val="20"/>
              </w:rPr>
            </w:pPr>
            <w:r w:rsidRPr="00E22F55">
              <w:rPr>
                <w:iCs/>
                <w:kern w:val="0"/>
                <w:sz w:val="20"/>
              </w:rPr>
              <w:t>1,175</w:t>
            </w:r>
          </w:p>
        </w:tc>
        <w:tc>
          <w:tcPr>
            <w:tcW w:w="990" w:type="dxa"/>
          </w:tcPr>
          <w:p w:rsidR="00203CCB" w:rsidRPr="00E22F55" w:rsidP="00081A05" w14:paraId="5591B626" w14:textId="77777777">
            <w:pPr>
              <w:widowControl/>
              <w:spacing w:after="120"/>
              <w:jc w:val="center"/>
              <w:rPr>
                <w:iCs/>
                <w:kern w:val="0"/>
                <w:sz w:val="20"/>
              </w:rPr>
            </w:pPr>
            <w:r w:rsidRPr="00E22F55">
              <w:rPr>
                <w:iCs/>
                <w:kern w:val="0"/>
                <w:sz w:val="20"/>
              </w:rPr>
              <w:t>917</w:t>
            </w:r>
          </w:p>
        </w:tc>
        <w:tc>
          <w:tcPr>
            <w:tcW w:w="1530" w:type="dxa"/>
            <w:noWrap/>
          </w:tcPr>
          <w:p w:rsidR="00203CCB" w:rsidRPr="00E22F55" w:rsidP="00081A05" w14:paraId="5205C478" w14:textId="77777777">
            <w:pPr>
              <w:widowControl/>
              <w:spacing w:after="120"/>
              <w:jc w:val="center"/>
              <w:rPr>
                <w:iCs/>
                <w:kern w:val="0"/>
                <w:sz w:val="20"/>
              </w:rPr>
            </w:pPr>
            <w:r w:rsidRPr="00E22F55">
              <w:rPr>
                <w:iCs/>
                <w:kern w:val="0"/>
                <w:sz w:val="20"/>
              </w:rPr>
              <w:t>78.04</w:t>
            </w:r>
          </w:p>
        </w:tc>
      </w:tr>
      <w:tr w14:paraId="6281346F" w14:textId="77777777" w:rsidTr="00081A05">
        <w:tblPrEx>
          <w:tblW w:w="7645" w:type="dxa"/>
          <w:jc w:val="center"/>
          <w:tblLayout w:type="fixed"/>
          <w:tblLook w:val="04A0"/>
        </w:tblPrEx>
        <w:trPr>
          <w:trHeight w:val="255"/>
          <w:jc w:val="center"/>
        </w:trPr>
        <w:tc>
          <w:tcPr>
            <w:tcW w:w="3325" w:type="dxa"/>
            <w:noWrap/>
          </w:tcPr>
          <w:p w:rsidR="00203CCB" w:rsidRPr="008818BE" w:rsidP="00081A05" w14:paraId="6C18A548" w14:textId="77777777">
            <w:pPr>
              <w:widowControl/>
              <w:spacing w:after="120"/>
              <w:rPr>
                <w:iCs/>
                <w:kern w:val="0"/>
                <w:sz w:val="20"/>
              </w:rPr>
            </w:pPr>
            <w:r w:rsidRPr="008818BE">
              <w:rPr>
                <w:iCs/>
                <w:sz w:val="20"/>
              </w:rPr>
              <w:t>Interexchange Carriers (IXCs)</w:t>
            </w:r>
          </w:p>
        </w:tc>
        <w:tc>
          <w:tcPr>
            <w:tcW w:w="1800" w:type="dxa"/>
            <w:noWrap/>
          </w:tcPr>
          <w:p w:rsidR="00203CCB" w:rsidRPr="00E22F55" w:rsidP="00081A05" w14:paraId="08899C6B" w14:textId="77777777">
            <w:pPr>
              <w:widowControl/>
              <w:spacing w:after="120"/>
              <w:jc w:val="center"/>
              <w:rPr>
                <w:iCs/>
                <w:kern w:val="0"/>
                <w:sz w:val="20"/>
              </w:rPr>
            </w:pPr>
            <w:r w:rsidRPr="00E22F55">
              <w:rPr>
                <w:iCs/>
                <w:kern w:val="0"/>
                <w:sz w:val="20"/>
              </w:rPr>
              <w:t>113</w:t>
            </w:r>
          </w:p>
        </w:tc>
        <w:tc>
          <w:tcPr>
            <w:tcW w:w="990" w:type="dxa"/>
          </w:tcPr>
          <w:p w:rsidR="00203CCB" w:rsidRPr="00E22F55" w:rsidP="00081A05" w14:paraId="22425FA8" w14:textId="77777777">
            <w:pPr>
              <w:widowControl/>
              <w:spacing w:after="120"/>
              <w:jc w:val="center"/>
              <w:rPr>
                <w:iCs/>
                <w:kern w:val="0"/>
                <w:sz w:val="20"/>
              </w:rPr>
            </w:pPr>
            <w:r w:rsidRPr="00E22F55">
              <w:rPr>
                <w:iCs/>
                <w:kern w:val="0"/>
                <w:sz w:val="20"/>
              </w:rPr>
              <w:t>95</w:t>
            </w:r>
          </w:p>
        </w:tc>
        <w:tc>
          <w:tcPr>
            <w:tcW w:w="1530" w:type="dxa"/>
            <w:noWrap/>
          </w:tcPr>
          <w:p w:rsidR="00203CCB" w:rsidRPr="00E22F55" w:rsidP="00081A05" w14:paraId="675C7F01" w14:textId="77777777">
            <w:pPr>
              <w:widowControl/>
              <w:spacing w:after="120"/>
              <w:jc w:val="center"/>
              <w:rPr>
                <w:iCs/>
                <w:kern w:val="0"/>
                <w:sz w:val="20"/>
              </w:rPr>
            </w:pPr>
            <w:r w:rsidRPr="00E22F55">
              <w:rPr>
                <w:iCs/>
                <w:kern w:val="0"/>
                <w:sz w:val="20"/>
              </w:rPr>
              <w:t>84.07</w:t>
            </w:r>
          </w:p>
        </w:tc>
      </w:tr>
      <w:tr w14:paraId="11FBD8A1" w14:textId="77777777" w:rsidTr="00081A05">
        <w:tblPrEx>
          <w:tblW w:w="7645" w:type="dxa"/>
          <w:jc w:val="center"/>
          <w:tblLayout w:type="fixed"/>
          <w:tblLook w:val="04A0"/>
        </w:tblPrEx>
        <w:trPr>
          <w:trHeight w:val="80"/>
          <w:jc w:val="center"/>
        </w:trPr>
        <w:tc>
          <w:tcPr>
            <w:tcW w:w="3325" w:type="dxa"/>
            <w:noWrap/>
          </w:tcPr>
          <w:p w:rsidR="00203CCB" w:rsidRPr="008818BE" w:rsidP="00081A05" w14:paraId="11C575D2" w14:textId="77777777">
            <w:pPr>
              <w:widowControl/>
              <w:spacing w:after="120"/>
              <w:rPr>
                <w:iCs/>
                <w:sz w:val="20"/>
              </w:rPr>
            </w:pPr>
            <w:r w:rsidRPr="008818BE">
              <w:rPr>
                <w:iCs/>
                <w:sz w:val="20"/>
              </w:rPr>
              <w:t>Local Exchange Carriers (LECs)</w:t>
            </w:r>
            <w:r>
              <w:rPr>
                <w:rStyle w:val="FootnoteReference"/>
                <w:iCs/>
              </w:rPr>
              <w:footnoteReference w:id="185"/>
            </w:r>
            <w:r w:rsidRPr="008818BE">
              <w:rPr>
                <w:iCs/>
                <w:sz w:val="20"/>
              </w:rPr>
              <w:t xml:space="preserve">  </w:t>
            </w:r>
          </w:p>
        </w:tc>
        <w:tc>
          <w:tcPr>
            <w:tcW w:w="1800" w:type="dxa"/>
            <w:noWrap/>
          </w:tcPr>
          <w:p w:rsidR="00203CCB" w:rsidRPr="00E22F55" w:rsidP="00081A05" w14:paraId="5F45B78E" w14:textId="77777777">
            <w:pPr>
              <w:widowControl/>
              <w:spacing w:after="120"/>
              <w:jc w:val="center"/>
              <w:rPr>
                <w:iCs/>
                <w:kern w:val="0"/>
                <w:sz w:val="20"/>
              </w:rPr>
            </w:pPr>
            <w:r w:rsidRPr="00E22F55">
              <w:rPr>
                <w:iCs/>
                <w:kern w:val="0"/>
                <w:sz w:val="20"/>
              </w:rPr>
              <w:t>4,904</w:t>
            </w:r>
          </w:p>
        </w:tc>
        <w:tc>
          <w:tcPr>
            <w:tcW w:w="990" w:type="dxa"/>
          </w:tcPr>
          <w:p w:rsidR="00203CCB" w:rsidRPr="00E22F55" w:rsidP="00081A05" w14:paraId="109F9A41" w14:textId="77777777">
            <w:pPr>
              <w:widowControl/>
              <w:spacing w:after="120"/>
              <w:jc w:val="center"/>
              <w:rPr>
                <w:iCs/>
                <w:kern w:val="0"/>
                <w:sz w:val="20"/>
              </w:rPr>
            </w:pPr>
            <w:r w:rsidRPr="00E22F55">
              <w:rPr>
                <w:iCs/>
                <w:kern w:val="0"/>
                <w:sz w:val="20"/>
              </w:rPr>
              <w:t>4,493</w:t>
            </w:r>
          </w:p>
        </w:tc>
        <w:tc>
          <w:tcPr>
            <w:tcW w:w="1530" w:type="dxa"/>
            <w:noWrap/>
          </w:tcPr>
          <w:p w:rsidR="00203CCB" w:rsidRPr="00E22F55" w:rsidP="00081A05" w14:paraId="55ED7705" w14:textId="77777777">
            <w:pPr>
              <w:widowControl/>
              <w:spacing w:after="120"/>
              <w:jc w:val="center"/>
              <w:rPr>
                <w:iCs/>
                <w:kern w:val="0"/>
                <w:sz w:val="20"/>
              </w:rPr>
            </w:pPr>
            <w:r w:rsidRPr="00E22F55">
              <w:rPr>
                <w:iCs/>
                <w:kern w:val="0"/>
                <w:sz w:val="20"/>
              </w:rPr>
              <w:t>91.62</w:t>
            </w:r>
          </w:p>
        </w:tc>
      </w:tr>
      <w:tr w14:paraId="23070E94" w14:textId="77777777" w:rsidTr="00081A05">
        <w:tblPrEx>
          <w:tblW w:w="7645" w:type="dxa"/>
          <w:jc w:val="center"/>
          <w:tblLayout w:type="fixed"/>
          <w:tblLook w:val="04A0"/>
        </w:tblPrEx>
        <w:trPr>
          <w:trHeight w:val="80"/>
          <w:jc w:val="center"/>
        </w:trPr>
        <w:tc>
          <w:tcPr>
            <w:tcW w:w="3325" w:type="dxa"/>
            <w:noWrap/>
          </w:tcPr>
          <w:p w:rsidR="00203CCB" w:rsidRPr="008818BE" w:rsidP="00081A05" w14:paraId="05B25BDA" w14:textId="77777777">
            <w:pPr>
              <w:widowControl/>
              <w:spacing w:after="120"/>
              <w:rPr>
                <w:iCs/>
                <w:kern w:val="0"/>
                <w:sz w:val="20"/>
              </w:rPr>
            </w:pPr>
            <w:r w:rsidRPr="008818BE">
              <w:rPr>
                <w:iCs/>
                <w:sz w:val="20"/>
              </w:rPr>
              <w:t>Local Resellers</w:t>
            </w:r>
          </w:p>
        </w:tc>
        <w:tc>
          <w:tcPr>
            <w:tcW w:w="1800" w:type="dxa"/>
            <w:noWrap/>
          </w:tcPr>
          <w:p w:rsidR="00203CCB" w:rsidRPr="00F12DE6" w:rsidP="00081A05" w14:paraId="267A78FD" w14:textId="77777777">
            <w:pPr>
              <w:widowControl/>
              <w:spacing w:after="120"/>
              <w:jc w:val="center"/>
              <w:rPr>
                <w:iCs/>
                <w:kern w:val="0"/>
                <w:sz w:val="20"/>
              </w:rPr>
            </w:pPr>
            <w:r w:rsidRPr="00F12DE6">
              <w:rPr>
                <w:iCs/>
                <w:kern w:val="0"/>
                <w:sz w:val="20"/>
              </w:rPr>
              <w:t>222</w:t>
            </w:r>
          </w:p>
        </w:tc>
        <w:tc>
          <w:tcPr>
            <w:tcW w:w="990" w:type="dxa"/>
          </w:tcPr>
          <w:p w:rsidR="00203CCB" w:rsidRPr="00F12DE6" w:rsidP="00081A05" w14:paraId="43803DA1" w14:textId="77777777">
            <w:pPr>
              <w:widowControl/>
              <w:spacing w:after="120"/>
              <w:jc w:val="center"/>
              <w:rPr>
                <w:iCs/>
                <w:kern w:val="0"/>
                <w:sz w:val="20"/>
              </w:rPr>
            </w:pPr>
            <w:r w:rsidRPr="00F12DE6">
              <w:rPr>
                <w:iCs/>
                <w:kern w:val="0"/>
                <w:sz w:val="20"/>
              </w:rPr>
              <w:t>217</w:t>
            </w:r>
          </w:p>
        </w:tc>
        <w:tc>
          <w:tcPr>
            <w:tcW w:w="1530" w:type="dxa"/>
            <w:noWrap/>
          </w:tcPr>
          <w:p w:rsidR="00203CCB" w:rsidRPr="00F12DE6" w:rsidP="00081A05" w14:paraId="29C91A6A" w14:textId="77777777">
            <w:pPr>
              <w:widowControl/>
              <w:spacing w:after="120"/>
              <w:jc w:val="center"/>
              <w:rPr>
                <w:iCs/>
                <w:kern w:val="0"/>
                <w:sz w:val="20"/>
              </w:rPr>
            </w:pPr>
            <w:r w:rsidRPr="00F12DE6">
              <w:rPr>
                <w:iCs/>
                <w:kern w:val="0"/>
                <w:sz w:val="20"/>
              </w:rPr>
              <w:t>97.75</w:t>
            </w:r>
          </w:p>
        </w:tc>
      </w:tr>
      <w:tr w14:paraId="412A6912" w14:textId="77777777" w:rsidTr="00081A05">
        <w:tblPrEx>
          <w:tblW w:w="7645" w:type="dxa"/>
          <w:jc w:val="center"/>
          <w:tblLayout w:type="fixed"/>
          <w:tblLook w:val="04A0"/>
        </w:tblPrEx>
        <w:trPr>
          <w:trHeight w:val="255"/>
          <w:jc w:val="center"/>
        </w:trPr>
        <w:tc>
          <w:tcPr>
            <w:tcW w:w="3325" w:type="dxa"/>
            <w:noWrap/>
          </w:tcPr>
          <w:p w:rsidR="00203CCB" w:rsidRPr="008818BE" w:rsidP="00081A05" w14:paraId="60C714D6" w14:textId="77777777">
            <w:pPr>
              <w:widowControl/>
              <w:spacing w:after="120"/>
              <w:rPr>
                <w:iCs/>
                <w:kern w:val="0"/>
                <w:sz w:val="20"/>
              </w:rPr>
            </w:pPr>
            <w:r w:rsidRPr="008818BE">
              <w:rPr>
                <w:rFonts w:eastAsia="Calibri"/>
                <w:iCs/>
                <w:sz w:val="20"/>
              </w:rPr>
              <w:t>Telecommunications Resellers</w:t>
            </w:r>
          </w:p>
        </w:tc>
        <w:tc>
          <w:tcPr>
            <w:tcW w:w="1800" w:type="dxa"/>
            <w:noWrap/>
          </w:tcPr>
          <w:p w:rsidR="00203CCB" w:rsidRPr="00E22F55" w:rsidP="00081A05" w14:paraId="5077441C" w14:textId="77777777">
            <w:pPr>
              <w:widowControl/>
              <w:spacing w:after="120"/>
              <w:jc w:val="center"/>
              <w:rPr>
                <w:iCs/>
                <w:kern w:val="0"/>
                <w:sz w:val="20"/>
              </w:rPr>
            </w:pPr>
            <w:r w:rsidRPr="00E22F55">
              <w:rPr>
                <w:iCs/>
                <w:kern w:val="0"/>
                <w:sz w:val="20"/>
              </w:rPr>
              <w:t>633</w:t>
            </w:r>
          </w:p>
        </w:tc>
        <w:tc>
          <w:tcPr>
            <w:tcW w:w="990" w:type="dxa"/>
          </w:tcPr>
          <w:p w:rsidR="00203CCB" w:rsidRPr="00E22F55" w:rsidP="00081A05" w14:paraId="0A7CD55E" w14:textId="77777777">
            <w:pPr>
              <w:widowControl/>
              <w:spacing w:after="120"/>
              <w:jc w:val="center"/>
              <w:rPr>
                <w:iCs/>
                <w:kern w:val="0"/>
                <w:sz w:val="20"/>
              </w:rPr>
            </w:pPr>
            <w:r w:rsidRPr="00E22F55">
              <w:rPr>
                <w:iCs/>
                <w:kern w:val="0"/>
                <w:sz w:val="20"/>
              </w:rPr>
              <w:t>615</w:t>
            </w:r>
          </w:p>
        </w:tc>
        <w:tc>
          <w:tcPr>
            <w:tcW w:w="1530" w:type="dxa"/>
            <w:noWrap/>
          </w:tcPr>
          <w:p w:rsidR="00203CCB" w:rsidRPr="00E22F55" w:rsidP="00081A05" w14:paraId="72123FE7" w14:textId="77777777">
            <w:pPr>
              <w:widowControl/>
              <w:spacing w:after="120"/>
              <w:jc w:val="center"/>
              <w:rPr>
                <w:iCs/>
                <w:kern w:val="0"/>
                <w:sz w:val="20"/>
              </w:rPr>
            </w:pPr>
            <w:r w:rsidRPr="00E22F55">
              <w:rPr>
                <w:iCs/>
                <w:kern w:val="0"/>
                <w:sz w:val="20"/>
              </w:rPr>
              <w:t>97.16</w:t>
            </w:r>
          </w:p>
        </w:tc>
      </w:tr>
      <w:tr w14:paraId="4FA20C79" w14:textId="77777777" w:rsidTr="00081A05">
        <w:tblPrEx>
          <w:tblW w:w="7645" w:type="dxa"/>
          <w:jc w:val="center"/>
          <w:tblLayout w:type="fixed"/>
          <w:tblLook w:val="04A0"/>
        </w:tblPrEx>
        <w:trPr>
          <w:trHeight w:val="255"/>
          <w:jc w:val="center"/>
        </w:trPr>
        <w:tc>
          <w:tcPr>
            <w:tcW w:w="3325" w:type="dxa"/>
            <w:noWrap/>
          </w:tcPr>
          <w:p w:rsidR="00203CCB" w:rsidRPr="008818BE" w:rsidP="00081A05" w14:paraId="130D9D9A" w14:textId="77777777">
            <w:pPr>
              <w:widowControl/>
              <w:spacing w:after="120"/>
              <w:rPr>
                <w:iCs/>
                <w:sz w:val="20"/>
              </w:rPr>
            </w:pPr>
            <w:r w:rsidRPr="00E22F55">
              <w:rPr>
                <w:iCs/>
                <w:sz w:val="20"/>
              </w:rPr>
              <w:t>Toll Resellers</w:t>
            </w:r>
          </w:p>
        </w:tc>
        <w:tc>
          <w:tcPr>
            <w:tcW w:w="1800" w:type="dxa"/>
            <w:noWrap/>
          </w:tcPr>
          <w:p w:rsidR="00203CCB" w:rsidRPr="006F5835" w:rsidP="00081A05" w14:paraId="0C63CA0E" w14:textId="77777777">
            <w:pPr>
              <w:widowControl/>
              <w:spacing w:after="120"/>
              <w:jc w:val="center"/>
              <w:rPr>
                <w:iCs/>
                <w:kern w:val="0"/>
                <w:sz w:val="20"/>
              </w:rPr>
            </w:pPr>
            <w:r w:rsidRPr="00E22F55">
              <w:rPr>
                <w:iCs/>
                <w:kern w:val="0"/>
                <w:sz w:val="20"/>
              </w:rPr>
              <w:t>411</w:t>
            </w:r>
          </w:p>
        </w:tc>
        <w:tc>
          <w:tcPr>
            <w:tcW w:w="990" w:type="dxa"/>
          </w:tcPr>
          <w:p w:rsidR="00203CCB" w:rsidRPr="006F5835" w:rsidP="00081A05" w14:paraId="6B4B3BE6" w14:textId="77777777">
            <w:pPr>
              <w:widowControl/>
              <w:spacing w:after="120"/>
              <w:jc w:val="center"/>
              <w:rPr>
                <w:iCs/>
                <w:kern w:val="0"/>
                <w:sz w:val="20"/>
              </w:rPr>
            </w:pPr>
            <w:r w:rsidRPr="00E22F55">
              <w:rPr>
                <w:iCs/>
                <w:kern w:val="0"/>
                <w:sz w:val="20"/>
              </w:rPr>
              <w:t>398</w:t>
            </w:r>
          </w:p>
        </w:tc>
        <w:tc>
          <w:tcPr>
            <w:tcW w:w="1530" w:type="dxa"/>
            <w:noWrap/>
          </w:tcPr>
          <w:p w:rsidR="00203CCB" w:rsidRPr="006F5835" w:rsidP="00081A05" w14:paraId="4045C4F7" w14:textId="77777777">
            <w:pPr>
              <w:widowControl/>
              <w:spacing w:after="120"/>
              <w:jc w:val="center"/>
              <w:rPr>
                <w:iCs/>
                <w:kern w:val="0"/>
                <w:sz w:val="20"/>
              </w:rPr>
            </w:pPr>
            <w:r w:rsidRPr="00E22F55">
              <w:rPr>
                <w:iCs/>
                <w:kern w:val="0"/>
                <w:sz w:val="20"/>
              </w:rPr>
              <w:t>96.84</w:t>
            </w:r>
          </w:p>
        </w:tc>
      </w:tr>
      <w:tr w14:paraId="635FAB9B" w14:textId="77777777" w:rsidTr="00081A05">
        <w:tblPrEx>
          <w:tblW w:w="7645" w:type="dxa"/>
          <w:jc w:val="center"/>
          <w:tblLayout w:type="fixed"/>
          <w:tblLook w:val="04A0"/>
        </w:tblPrEx>
        <w:trPr>
          <w:trHeight w:val="255"/>
          <w:jc w:val="center"/>
        </w:trPr>
        <w:tc>
          <w:tcPr>
            <w:tcW w:w="3325" w:type="dxa"/>
            <w:noWrap/>
          </w:tcPr>
          <w:p w:rsidR="00203CCB" w:rsidRPr="008818BE" w:rsidP="00081A05" w14:paraId="16C56882" w14:textId="77777777">
            <w:pPr>
              <w:widowControl/>
              <w:spacing w:after="120"/>
              <w:rPr>
                <w:iCs/>
                <w:sz w:val="20"/>
              </w:rPr>
            </w:pPr>
            <w:r w:rsidRPr="008818BE">
              <w:rPr>
                <w:iCs/>
                <w:sz w:val="20"/>
              </w:rPr>
              <w:t>Wired Telecommunications Carriers</w:t>
            </w:r>
            <w:r>
              <w:rPr>
                <w:rStyle w:val="FootnoteReference"/>
                <w:iCs/>
              </w:rPr>
              <w:footnoteReference w:id="186"/>
            </w:r>
            <w:r w:rsidRPr="008818BE">
              <w:rPr>
                <w:iCs/>
                <w:sz w:val="20"/>
              </w:rPr>
              <w:t xml:space="preserve"> </w:t>
            </w:r>
          </w:p>
        </w:tc>
        <w:tc>
          <w:tcPr>
            <w:tcW w:w="1800" w:type="dxa"/>
            <w:noWrap/>
          </w:tcPr>
          <w:p w:rsidR="00203CCB" w:rsidRPr="006F5835" w:rsidP="00081A05" w14:paraId="2E4701F1" w14:textId="77777777">
            <w:pPr>
              <w:widowControl/>
              <w:spacing w:after="120"/>
              <w:jc w:val="center"/>
              <w:rPr>
                <w:iCs/>
                <w:kern w:val="0"/>
                <w:sz w:val="20"/>
              </w:rPr>
            </w:pPr>
            <w:r w:rsidRPr="006F5835">
              <w:rPr>
                <w:iCs/>
                <w:kern w:val="0"/>
                <w:sz w:val="20"/>
              </w:rPr>
              <w:t>4,682</w:t>
            </w:r>
          </w:p>
        </w:tc>
        <w:tc>
          <w:tcPr>
            <w:tcW w:w="990" w:type="dxa"/>
          </w:tcPr>
          <w:p w:rsidR="00203CCB" w:rsidRPr="006F5835" w:rsidP="00081A05" w14:paraId="752255A9" w14:textId="77777777">
            <w:pPr>
              <w:widowControl/>
              <w:spacing w:after="120"/>
              <w:jc w:val="center"/>
              <w:rPr>
                <w:iCs/>
                <w:kern w:val="0"/>
                <w:sz w:val="20"/>
              </w:rPr>
            </w:pPr>
            <w:r w:rsidRPr="006F5835">
              <w:rPr>
                <w:iCs/>
                <w:kern w:val="0"/>
                <w:sz w:val="20"/>
              </w:rPr>
              <w:t>4,276</w:t>
            </w:r>
          </w:p>
        </w:tc>
        <w:tc>
          <w:tcPr>
            <w:tcW w:w="1530" w:type="dxa"/>
            <w:noWrap/>
          </w:tcPr>
          <w:p w:rsidR="00203CCB" w:rsidRPr="006F5835" w:rsidP="00081A05" w14:paraId="413D2FCD" w14:textId="77777777">
            <w:pPr>
              <w:widowControl/>
              <w:spacing w:after="120"/>
              <w:jc w:val="center"/>
              <w:rPr>
                <w:iCs/>
                <w:kern w:val="0"/>
                <w:sz w:val="20"/>
              </w:rPr>
            </w:pPr>
            <w:r w:rsidRPr="006F5835">
              <w:rPr>
                <w:iCs/>
                <w:kern w:val="0"/>
                <w:sz w:val="20"/>
              </w:rPr>
              <w:t>91.33</w:t>
            </w:r>
          </w:p>
        </w:tc>
      </w:tr>
      <w:tr w14:paraId="083CB436" w14:textId="77777777" w:rsidTr="00081A05">
        <w:tblPrEx>
          <w:tblW w:w="7645" w:type="dxa"/>
          <w:jc w:val="center"/>
          <w:tblLayout w:type="fixed"/>
          <w:tblLook w:val="04A0"/>
        </w:tblPrEx>
        <w:trPr>
          <w:trHeight w:val="255"/>
          <w:jc w:val="center"/>
        </w:trPr>
        <w:tc>
          <w:tcPr>
            <w:tcW w:w="3325" w:type="dxa"/>
            <w:noWrap/>
          </w:tcPr>
          <w:p w:rsidR="00203CCB" w:rsidRPr="008818BE" w:rsidP="00081A05" w14:paraId="684734DE" w14:textId="77777777">
            <w:pPr>
              <w:widowControl/>
              <w:spacing w:after="120"/>
              <w:rPr>
                <w:iCs/>
                <w:kern w:val="0"/>
                <w:sz w:val="20"/>
              </w:rPr>
            </w:pPr>
            <w:r w:rsidRPr="008818BE">
              <w:rPr>
                <w:iCs/>
                <w:sz w:val="20"/>
              </w:rPr>
              <w:t>Wireless Telecommunications Carriers (except Satellite)</w:t>
            </w:r>
            <w:r>
              <w:rPr>
                <w:rStyle w:val="FootnoteReference"/>
                <w:iCs/>
              </w:rPr>
              <w:footnoteReference w:id="187"/>
            </w:r>
            <w:r w:rsidRPr="008818BE">
              <w:rPr>
                <w:iCs/>
                <w:sz w:val="20"/>
              </w:rPr>
              <w:t xml:space="preserve"> </w:t>
            </w:r>
          </w:p>
        </w:tc>
        <w:tc>
          <w:tcPr>
            <w:tcW w:w="1800" w:type="dxa"/>
            <w:noWrap/>
          </w:tcPr>
          <w:p w:rsidR="00203CCB" w:rsidRPr="006F5835" w:rsidP="00081A05" w14:paraId="0EC42781" w14:textId="77777777">
            <w:pPr>
              <w:widowControl/>
              <w:spacing w:after="120"/>
              <w:jc w:val="center"/>
              <w:rPr>
                <w:iCs/>
                <w:kern w:val="0"/>
                <w:sz w:val="20"/>
              </w:rPr>
            </w:pPr>
            <w:r w:rsidRPr="006F5835">
              <w:rPr>
                <w:iCs/>
                <w:kern w:val="0"/>
                <w:sz w:val="20"/>
              </w:rPr>
              <w:t>585</w:t>
            </w:r>
          </w:p>
        </w:tc>
        <w:tc>
          <w:tcPr>
            <w:tcW w:w="990" w:type="dxa"/>
          </w:tcPr>
          <w:p w:rsidR="00203CCB" w:rsidRPr="006F5835" w:rsidP="00081A05" w14:paraId="162C4733" w14:textId="77777777">
            <w:pPr>
              <w:widowControl/>
              <w:spacing w:after="120"/>
              <w:jc w:val="center"/>
              <w:rPr>
                <w:iCs/>
                <w:kern w:val="0"/>
                <w:sz w:val="20"/>
              </w:rPr>
            </w:pPr>
            <w:r w:rsidRPr="006F5835">
              <w:rPr>
                <w:iCs/>
                <w:kern w:val="0"/>
                <w:sz w:val="20"/>
              </w:rPr>
              <w:t>498</w:t>
            </w:r>
          </w:p>
        </w:tc>
        <w:tc>
          <w:tcPr>
            <w:tcW w:w="1530" w:type="dxa"/>
            <w:noWrap/>
          </w:tcPr>
          <w:p w:rsidR="00203CCB" w:rsidRPr="006F5835" w:rsidP="00081A05" w14:paraId="3BB42002" w14:textId="77777777">
            <w:pPr>
              <w:widowControl/>
              <w:spacing w:after="120"/>
              <w:jc w:val="center"/>
              <w:rPr>
                <w:iCs/>
                <w:kern w:val="0"/>
                <w:sz w:val="20"/>
              </w:rPr>
            </w:pPr>
            <w:r w:rsidRPr="006F5835">
              <w:rPr>
                <w:iCs/>
                <w:kern w:val="0"/>
                <w:sz w:val="20"/>
              </w:rPr>
              <w:t>85.13</w:t>
            </w:r>
          </w:p>
        </w:tc>
      </w:tr>
      <w:tr w14:paraId="1D223D2B" w14:textId="77777777" w:rsidTr="00081A05">
        <w:tblPrEx>
          <w:tblW w:w="7645" w:type="dxa"/>
          <w:jc w:val="center"/>
          <w:tblLayout w:type="fixed"/>
          <w:tblLook w:val="04A0"/>
        </w:tblPrEx>
        <w:trPr>
          <w:trHeight w:val="255"/>
          <w:jc w:val="center"/>
        </w:trPr>
        <w:tc>
          <w:tcPr>
            <w:tcW w:w="3325" w:type="dxa"/>
            <w:noWrap/>
          </w:tcPr>
          <w:p w:rsidR="00203CCB" w:rsidRPr="008818BE" w:rsidP="00081A05" w14:paraId="1BDA3A09" w14:textId="77777777">
            <w:pPr>
              <w:widowControl/>
              <w:spacing w:after="120"/>
              <w:rPr>
                <w:iCs/>
                <w:kern w:val="0"/>
                <w:sz w:val="20"/>
              </w:rPr>
            </w:pPr>
            <w:r w:rsidRPr="008818BE">
              <w:rPr>
                <w:iCs/>
                <w:sz w:val="20"/>
              </w:rPr>
              <w:t>Wireless Telephony</w:t>
            </w:r>
            <w:r>
              <w:rPr>
                <w:rStyle w:val="FootnoteReference"/>
                <w:iCs/>
              </w:rPr>
              <w:footnoteReference w:id="188"/>
            </w:r>
          </w:p>
        </w:tc>
        <w:tc>
          <w:tcPr>
            <w:tcW w:w="1800" w:type="dxa"/>
            <w:noWrap/>
          </w:tcPr>
          <w:p w:rsidR="00203CCB" w:rsidRPr="006F5835" w:rsidP="00081A05" w14:paraId="1DF12A83" w14:textId="77777777">
            <w:pPr>
              <w:widowControl/>
              <w:spacing w:after="120"/>
              <w:jc w:val="center"/>
              <w:rPr>
                <w:iCs/>
                <w:kern w:val="0"/>
                <w:sz w:val="20"/>
              </w:rPr>
            </w:pPr>
            <w:r w:rsidRPr="006F5835">
              <w:rPr>
                <w:iCs/>
                <w:kern w:val="0"/>
                <w:sz w:val="20"/>
              </w:rPr>
              <w:t>326</w:t>
            </w:r>
          </w:p>
        </w:tc>
        <w:tc>
          <w:tcPr>
            <w:tcW w:w="990" w:type="dxa"/>
          </w:tcPr>
          <w:p w:rsidR="00203CCB" w:rsidRPr="006F5835" w:rsidP="00081A05" w14:paraId="47F8A2C1" w14:textId="77777777">
            <w:pPr>
              <w:widowControl/>
              <w:spacing w:after="120"/>
              <w:jc w:val="center"/>
              <w:rPr>
                <w:iCs/>
                <w:kern w:val="0"/>
                <w:sz w:val="20"/>
              </w:rPr>
            </w:pPr>
            <w:r w:rsidRPr="006F5835">
              <w:rPr>
                <w:iCs/>
                <w:kern w:val="0"/>
                <w:sz w:val="20"/>
              </w:rPr>
              <w:t>247</w:t>
            </w:r>
          </w:p>
        </w:tc>
        <w:tc>
          <w:tcPr>
            <w:tcW w:w="1530" w:type="dxa"/>
            <w:noWrap/>
          </w:tcPr>
          <w:p w:rsidR="00203CCB" w:rsidRPr="006F5835" w:rsidP="00081A05" w14:paraId="2888A4AD" w14:textId="77777777">
            <w:pPr>
              <w:widowControl/>
              <w:spacing w:after="120"/>
              <w:jc w:val="center"/>
              <w:rPr>
                <w:iCs/>
                <w:kern w:val="0"/>
                <w:sz w:val="20"/>
              </w:rPr>
            </w:pPr>
            <w:r w:rsidRPr="006F5835">
              <w:rPr>
                <w:iCs/>
                <w:kern w:val="0"/>
                <w:sz w:val="20"/>
              </w:rPr>
              <w:t>75.77</w:t>
            </w:r>
          </w:p>
        </w:tc>
      </w:tr>
    </w:tbl>
    <w:p w:rsidR="00203CCB" w:rsidP="00081A05" w14:paraId="45915690" w14:textId="77777777">
      <w:pPr>
        <w:widowControl/>
      </w:pPr>
    </w:p>
    <w:p w:rsidR="00203CCB" w:rsidP="00081A05" w14:paraId="73B2B823" w14:textId="77777777">
      <w:pPr>
        <w:widowControl/>
      </w:pPr>
      <w:r w:rsidRPr="00402EB7">
        <w:rPr>
          <w:b/>
          <w:bCs/>
          <w:szCs w:val="22"/>
        </w:rPr>
        <w:t>Table 3.  Broadcast Entity Data</w:t>
      </w:r>
    </w:p>
    <w:p w:rsidR="00203CCB" w:rsidP="00081A05" w14:paraId="2A4F1126" w14:textId="77777777">
      <w:pPr>
        <w:widowControl/>
      </w:pPr>
    </w:p>
    <w:tbl>
      <w:tblPr>
        <w:tblW w:w="7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60"/>
        <w:gridCol w:w="1890"/>
        <w:gridCol w:w="900"/>
        <w:gridCol w:w="1345"/>
      </w:tblGrid>
      <w:tr w14:paraId="39E9FA5C" w14:textId="77777777" w:rsidTr="00081A05">
        <w:tblPrEx>
          <w:tblW w:w="7195" w:type="dxa"/>
          <w:jc w:val="center"/>
          <w:tblLayout w:type="fixed"/>
          <w:tblLook w:val="04A0"/>
        </w:tblPrEx>
        <w:trPr>
          <w:cantSplit/>
          <w:trHeight w:val="300"/>
          <w:tblHeader/>
          <w:jc w:val="center"/>
        </w:trPr>
        <w:tc>
          <w:tcPr>
            <w:tcW w:w="3060" w:type="dxa"/>
            <w:shd w:val="pct5" w:color="auto" w:fill="auto"/>
            <w:noWrap/>
          </w:tcPr>
          <w:p w:rsidR="00203CCB" w:rsidRPr="00D42E07" w:rsidP="00081A05" w14:paraId="3651B127" w14:textId="77777777">
            <w:pPr>
              <w:widowControl/>
              <w:spacing w:after="120"/>
              <w:ind w:left="60"/>
              <w:rPr>
                <w:b/>
                <w:bCs/>
                <w:kern w:val="0"/>
                <w:sz w:val="20"/>
              </w:rPr>
            </w:pPr>
            <w:r w:rsidRPr="00D42E07">
              <w:rPr>
                <w:b/>
                <w:bCs/>
                <w:kern w:val="0"/>
                <w:sz w:val="20"/>
              </w:rPr>
              <w:t xml:space="preserve">Broadcast </w:t>
            </w:r>
            <w:r>
              <w:rPr>
                <w:b/>
                <w:bCs/>
                <w:kern w:val="0"/>
                <w:sz w:val="20"/>
              </w:rPr>
              <w:t>Station Owners (as of August 8, 2025)</w:t>
            </w:r>
            <w:r>
              <w:rPr>
                <w:rStyle w:val="FootnoteReference"/>
                <w:b/>
                <w:bCs/>
              </w:rPr>
              <w:footnoteReference w:id="189"/>
            </w:r>
          </w:p>
        </w:tc>
        <w:tc>
          <w:tcPr>
            <w:tcW w:w="4135" w:type="dxa"/>
            <w:gridSpan w:val="3"/>
            <w:shd w:val="pct5" w:color="auto" w:fill="auto"/>
            <w:noWrap/>
          </w:tcPr>
          <w:p w:rsidR="00203CCB" w:rsidRPr="00D42E07" w:rsidP="00081A05" w14:paraId="7705F08B" w14:textId="77777777">
            <w:pPr>
              <w:widowControl/>
              <w:jc w:val="center"/>
              <w:rPr>
                <w:kern w:val="0"/>
                <w:sz w:val="20"/>
              </w:rPr>
            </w:pPr>
            <w:r w:rsidRPr="00D42E07">
              <w:rPr>
                <w:b/>
                <w:bCs/>
                <w:kern w:val="0"/>
                <w:sz w:val="20"/>
              </w:rPr>
              <w:t>SBA Size Standard ($47 Million)</w:t>
            </w:r>
          </w:p>
        </w:tc>
      </w:tr>
      <w:tr w14:paraId="7AA088FF" w14:textId="77777777" w:rsidTr="00081A05">
        <w:tblPrEx>
          <w:tblW w:w="7195" w:type="dxa"/>
          <w:jc w:val="center"/>
          <w:tblLayout w:type="fixed"/>
          <w:tblLook w:val="04A0"/>
        </w:tblPrEx>
        <w:trPr>
          <w:cantSplit/>
          <w:trHeight w:val="300"/>
          <w:tblHeader/>
          <w:jc w:val="center"/>
        </w:trPr>
        <w:tc>
          <w:tcPr>
            <w:tcW w:w="3060" w:type="dxa"/>
            <w:shd w:val="pct5" w:color="auto" w:fill="auto"/>
            <w:noWrap/>
          </w:tcPr>
          <w:p w:rsidR="00203CCB" w:rsidRPr="00D42E07" w:rsidP="00081A05" w14:paraId="60366A9F" w14:textId="77777777">
            <w:pPr>
              <w:widowControl/>
              <w:spacing w:after="120"/>
              <w:rPr>
                <w:iCs/>
                <w:sz w:val="20"/>
              </w:rPr>
            </w:pPr>
            <w:r w:rsidRPr="00D42E07">
              <w:rPr>
                <w:b/>
                <w:bCs/>
                <w:kern w:val="0"/>
                <w:sz w:val="20"/>
              </w:rPr>
              <w:t>Affected Entity</w:t>
            </w:r>
          </w:p>
        </w:tc>
        <w:tc>
          <w:tcPr>
            <w:tcW w:w="1890" w:type="dxa"/>
            <w:shd w:val="pct5" w:color="auto" w:fill="auto"/>
            <w:noWrap/>
          </w:tcPr>
          <w:p w:rsidR="00203CCB" w:rsidRPr="00D42E07" w:rsidP="00081A05" w14:paraId="22A52F61" w14:textId="77777777">
            <w:pPr>
              <w:widowControl/>
              <w:spacing w:after="120"/>
              <w:rPr>
                <w:b/>
                <w:bCs/>
                <w:kern w:val="0"/>
                <w:sz w:val="20"/>
              </w:rPr>
            </w:pPr>
            <w:r w:rsidRPr="00D42E07">
              <w:rPr>
                <w:b/>
                <w:bCs/>
                <w:kern w:val="0"/>
                <w:sz w:val="20"/>
              </w:rPr>
              <w:t># Commercial Licensed</w:t>
            </w:r>
            <w:r>
              <w:rPr>
                <w:rStyle w:val="FootnoteReference"/>
                <w:b/>
                <w:bCs/>
              </w:rPr>
              <w:footnoteReference w:id="190"/>
            </w:r>
            <w:r w:rsidRPr="00D42E07">
              <w:rPr>
                <w:b/>
                <w:bCs/>
                <w:kern w:val="0"/>
                <w:sz w:val="20"/>
              </w:rPr>
              <w:t xml:space="preserve"> </w:t>
            </w:r>
            <w:r>
              <w:rPr>
                <w:rStyle w:val="FootnoteReference"/>
                <w:b/>
                <w:bCs/>
              </w:rPr>
              <w:footnoteReference w:id="191"/>
            </w:r>
          </w:p>
        </w:tc>
        <w:tc>
          <w:tcPr>
            <w:tcW w:w="900" w:type="dxa"/>
            <w:shd w:val="pct5" w:color="auto" w:fill="auto"/>
          </w:tcPr>
          <w:p w:rsidR="00203CCB" w:rsidRPr="00D42E07" w:rsidP="00081A05" w14:paraId="36175902" w14:textId="77777777">
            <w:pPr>
              <w:widowControl/>
              <w:spacing w:after="120"/>
              <w:rPr>
                <w:kern w:val="0"/>
                <w:sz w:val="20"/>
              </w:rPr>
            </w:pPr>
            <w:r w:rsidRPr="00D42E07">
              <w:rPr>
                <w:b/>
                <w:bCs/>
                <w:kern w:val="0"/>
                <w:sz w:val="20"/>
              </w:rPr>
              <w:t>Small Firms</w:t>
            </w:r>
          </w:p>
        </w:tc>
        <w:tc>
          <w:tcPr>
            <w:tcW w:w="1345" w:type="dxa"/>
            <w:shd w:val="pct5" w:color="auto" w:fill="auto"/>
            <w:noWrap/>
          </w:tcPr>
          <w:p w:rsidR="00203CCB" w:rsidRPr="00D42E07" w:rsidP="00081A05" w14:paraId="38BE611E" w14:textId="77777777">
            <w:pPr>
              <w:widowControl/>
              <w:spacing w:after="120"/>
              <w:rPr>
                <w:kern w:val="0"/>
                <w:sz w:val="20"/>
              </w:rPr>
            </w:pPr>
            <w:r w:rsidRPr="00D42E07">
              <w:rPr>
                <w:b/>
                <w:bCs/>
                <w:kern w:val="0"/>
                <w:sz w:val="20"/>
              </w:rPr>
              <w:t>% Small Entities</w:t>
            </w:r>
          </w:p>
        </w:tc>
      </w:tr>
      <w:tr w14:paraId="6FD15CC5" w14:textId="77777777" w:rsidTr="00081A05">
        <w:tblPrEx>
          <w:tblW w:w="7195" w:type="dxa"/>
          <w:jc w:val="center"/>
          <w:tblLayout w:type="fixed"/>
          <w:tblLook w:val="04A0"/>
        </w:tblPrEx>
        <w:trPr>
          <w:cantSplit/>
          <w:trHeight w:val="300"/>
          <w:jc w:val="center"/>
        </w:trPr>
        <w:tc>
          <w:tcPr>
            <w:tcW w:w="3060" w:type="dxa"/>
            <w:noWrap/>
          </w:tcPr>
          <w:p w:rsidR="00203CCB" w:rsidRPr="00D42E07" w:rsidP="00081A05" w14:paraId="7BB49B50" w14:textId="77777777">
            <w:pPr>
              <w:widowControl/>
              <w:spacing w:after="120"/>
              <w:rPr>
                <w:iCs/>
                <w:kern w:val="0"/>
                <w:sz w:val="20"/>
              </w:rPr>
            </w:pPr>
            <w:r w:rsidRPr="00D42E07">
              <w:rPr>
                <w:iCs/>
                <w:sz w:val="20"/>
              </w:rPr>
              <w:t>Radio Stations (AM &amp; FM)</w:t>
            </w:r>
            <w:r>
              <w:rPr>
                <w:iCs/>
                <w:sz w:val="20"/>
              </w:rPr>
              <w:t xml:space="preserve"> Groups</w:t>
            </w:r>
          </w:p>
        </w:tc>
        <w:tc>
          <w:tcPr>
            <w:tcW w:w="1890" w:type="dxa"/>
            <w:noWrap/>
          </w:tcPr>
          <w:p w:rsidR="00203CCB" w:rsidRPr="00D42E07" w:rsidP="00081A05" w14:paraId="5AB755DB" w14:textId="77777777">
            <w:pPr>
              <w:widowControl/>
              <w:spacing w:after="120"/>
              <w:jc w:val="center"/>
              <w:rPr>
                <w:iCs/>
                <w:kern w:val="0"/>
                <w:sz w:val="20"/>
              </w:rPr>
            </w:pPr>
            <w:r>
              <w:rPr>
                <w:iCs/>
                <w:kern w:val="0"/>
                <w:sz w:val="20"/>
              </w:rPr>
              <w:t>2,881</w:t>
            </w:r>
          </w:p>
        </w:tc>
        <w:tc>
          <w:tcPr>
            <w:tcW w:w="900" w:type="dxa"/>
          </w:tcPr>
          <w:p w:rsidR="00203CCB" w:rsidRPr="00D42E07" w:rsidP="00081A05" w14:paraId="46658DE5" w14:textId="77777777">
            <w:pPr>
              <w:widowControl/>
              <w:spacing w:after="120"/>
              <w:jc w:val="center"/>
              <w:rPr>
                <w:iCs/>
                <w:kern w:val="0"/>
                <w:sz w:val="20"/>
              </w:rPr>
            </w:pPr>
            <w:r>
              <w:rPr>
                <w:iCs/>
                <w:kern w:val="0"/>
                <w:sz w:val="20"/>
              </w:rPr>
              <w:t>2,863</w:t>
            </w:r>
          </w:p>
        </w:tc>
        <w:tc>
          <w:tcPr>
            <w:tcW w:w="1345" w:type="dxa"/>
            <w:noWrap/>
          </w:tcPr>
          <w:p w:rsidR="00203CCB" w:rsidRPr="00D42E07" w:rsidP="00081A05" w14:paraId="41017424" w14:textId="77777777">
            <w:pPr>
              <w:widowControl/>
              <w:spacing w:after="120"/>
              <w:jc w:val="center"/>
              <w:rPr>
                <w:iCs/>
                <w:kern w:val="0"/>
                <w:sz w:val="20"/>
              </w:rPr>
            </w:pPr>
            <w:r w:rsidRPr="00D42E07">
              <w:rPr>
                <w:iCs/>
                <w:kern w:val="0"/>
                <w:sz w:val="20"/>
              </w:rPr>
              <w:t>99.</w:t>
            </w:r>
            <w:r>
              <w:rPr>
                <w:iCs/>
                <w:kern w:val="0"/>
                <w:sz w:val="20"/>
              </w:rPr>
              <w:t>38</w:t>
            </w:r>
          </w:p>
        </w:tc>
      </w:tr>
      <w:tr w14:paraId="5CD1AE3C" w14:textId="77777777" w:rsidTr="00081A05">
        <w:tblPrEx>
          <w:tblW w:w="7195" w:type="dxa"/>
          <w:jc w:val="center"/>
          <w:tblLayout w:type="fixed"/>
          <w:tblLook w:val="04A0"/>
        </w:tblPrEx>
        <w:trPr>
          <w:cantSplit/>
          <w:trHeight w:val="255"/>
          <w:jc w:val="center"/>
        </w:trPr>
        <w:tc>
          <w:tcPr>
            <w:tcW w:w="3060" w:type="dxa"/>
            <w:noWrap/>
          </w:tcPr>
          <w:p w:rsidR="00203CCB" w:rsidRPr="00D42E07" w:rsidP="00081A05" w14:paraId="4DE0EDA6" w14:textId="77777777">
            <w:pPr>
              <w:widowControl/>
              <w:spacing w:after="120"/>
              <w:rPr>
                <w:iCs/>
                <w:kern w:val="0"/>
                <w:sz w:val="20"/>
              </w:rPr>
            </w:pPr>
            <w:r w:rsidRPr="00D42E07">
              <w:rPr>
                <w:iCs/>
                <w:sz w:val="20"/>
              </w:rPr>
              <w:t>Television Stations</w:t>
            </w:r>
          </w:p>
        </w:tc>
        <w:tc>
          <w:tcPr>
            <w:tcW w:w="1890" w:type="dxa"/>
            <w:noWrap/>
          </w:tcPr>
          <w:p w:rsidR="00203CCB" w:rsidRPr="00D42E07" w:rsidP="00081A05" w14:paraId="4909CB5A" w14:textId="77777777">
            <w:pPr>
              <w:widowControl/>
              <w:spacing w:after="120"/>
              <w:jc w:val="center"/>
              <w:rPr>
                <w:iCs/>
                <w:kern w:val="0"/>
                <w:sz w:val="20"/>
              </w:rPr>
            </w:pPr>
            <w:r>
              <w:rPr>
                <w:iCs/>
                <w:kern w:val="0"/>
                <w:sz w:val="20"/>
              </w:rPr>
              <w:t>171</w:t>
            </w:r>
          </w:p>
        </w:tc>
        <w:tc>
          <w:tcPr>
            <w:tcW w:w="900" w:type="dxa"/>
          </w:tcPr>
          <w:p w:rsidR="00203CCB" w:rsidRPr="00D42E07" w:rsidP="00081A05" w14:paraId="17CB1191" w14:textId="77777777">
            <w:pPr>
              <w:widowControl/>
              <w:spacing w:after="120"/>
              <w:jc w:val="center"/>
              <w:rPr>
                <w:iCs/>
                <w:kern w:val="0"/>
                <w:sz w:val="20"/>
              </w:rPr>
            </w:pPr>
            <w:r>
              <w:rPr>
                <w:iCs/>
                <w:kern w:val="0"/>
                <w:sz w:val="20"/>
              </w:rPr>
              <w:t>142</w:t>
            </w:r>
          </w:p>
        </w:tc>
        <w:tc>
          <w:tcPr>
            <w:tcW w:w="1345" w:type="dxa"/>
            <w:noWrap/>
          </w:tcPr>
          <w:p w:rsidR="00203CCB" w:rsidRPr="00D42E07" w:rsidP="00081A05" w14:paraId="646DA14B" w14:textId="77777777">
            <w:pPr>
              <w:widowControl/>
              <w:spacing w:after="120"/>
              <w:jc w:val="center"/>
              <w:rPr>
                <w:iCs/>
                <w:kern w:val="0"/>
                <w:sz w:val="20"/>
              </w:rPr>
            </w:pPr>
            <w:r>
              <w:rPr>
                <w:iCs/>
                <w:kern w:val="0"/>
                <w:sz w:val="20"/>
              </w:rPr>
              <w:t>83.04</w:t>
            </w:r>
          </w:p>
        </w:tc>
      </w:tr>
    </w:tbl>
    <w:p w:rsidR="00203CCB" w:rsidP="00081A05" w14:paraId="73161487" w14:textId="77777777">
      <w:pPr>
        <w:widowControl/>
      </w:pPr>
    </w:p>
    <w:bookmarkEnd w:id="95"/>
    <w:bookmarkEnd w:id="96"/>
    <w:bookmarkEnd w:id="97"/>
    <w:p w:rsidR="00203CCB" w:rsidP="00081A05" w14:paraId="311E6BFD" w14:textId="77777777">
      <w:pPr>
        <w:widowControl/>
      </w:pPr>
    </w:p>
    <w:p w:rsidR="00203CCB" w:rsidP="00081A05" w14:paraId="7721A6F1" w14:textId="77777777">
      <w:pPr>
        <w:widowControl/>
      </w:pPr>
    </w:p>
    <w:p w:rsidR="00203CCB" w:rsidP="00081A05" w14:paraId="610E6A2E" w14:textId="77777777">
      <w:pPr>
        <w:widowControl/>
      </w:pPr>
    </w:p>
    <w:p w:rsidR="00203CCB" w:rsidP="00081A05" w14:paraId="010C3FA8" w14:textId="77777777">
      <w:pPr>
        <w:widowControl/>
      </w:pPr>
    </w:p>
    <w:p w:rsidR="00203CCB" w:rsidP="00081A05" w14:paraId="4DF2B472" w14:textId="77777777">
      <w:pPr>
        <w:widowControl/>
      </w:pPr>
    </w:p>
    <w:p w:rsidR="00203CCB" w:rsidP="00081A05" w14:paraId="73015DE4" w14:textId="77777777">
      <w:pPr>
        <w:widowControl/>
      </w:pPr>
    </w:p>
    <w:p w:rsidR="00203CCB" w:rsidP="00081A05" w14:paraId="167BEF63" w14:textId="77777777">
      <w:pPr>
        <w:widowControl/>
      </w:pPr>
    </w:p>
    <w:p w:rsidR="00203CCB" w:rsidP="00081A05" w14:paraId="2B9B70AC" w14:textId="77777777">
      <w:pPr>
        <w:widowControl/>
      </w:pPr>
      <w:r w:rsidRPr="00402EB7">
        <w:rPr>
          <w:b/>
          <w:bCs/>
          <w:szCs w:val="22"/>
        </w:rPr>
        <w:t>Table 4.  Cable Entities Data</w:t>
      </w:r>
    </w:p>
    <w:p w:rsidR="00203CCB" w:rsidP="00081A05" w14:paraId="053E49CF" w14:textId="77777777">
      <w:pPr>
        <w:widowControl/>
      </w:pPr>
    </w:p>
    <w:tbl>
      <w:tblPr>
        <w:tblW w:w="7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75"/>
        <w:gridCol w:w="1980"/>
        <w:gridCol w:w="900"/>
        <w:gridCol w:w="990"/>
        <w:gridCol w:w="1080"/>
      </w:tblGrid>
      <w:tr w14:paraId="5B3E02E9" w14:textId="77777777" w:rsidTr="00081A05">
        <w:tblPrEx>
          <w:tblW w:w="7825" w:type="dxa"/>
          <w:jc w:val="center"/>
          <w:tblLayout w:type="fixed"/>
          <w:tblLook w:val="04A0"/>
        </w:tblPrEx>
        <w:trPr>
          <w:cantSplit/>
          <w:trHeight w:val="585"/>
          <w:tblHeader/>
          <w:jc w:val="center"/>
        </w:trPr>
        <w:tc>
          <w:tcPr>
            <w:tcW w:w="2875" w:type="dxa"/>
            <w:shd w:val="clear" w:color="auto" w:fill="F2F2F2"/>
            <w:noWrap/>
            <w:hideMark/>
          </w:tcPr>
          <w:p w:rsidR="00203CCB" w:rsidP="00A33D5F" w14:paraId="41A23D13" w14:textId="77777777">
            <w:pPr>
              <w:pStyle w:val="FootnoteText"/>
              <w:spacing w:after="0"/>
              <w:rPr>
                <w:b/>
                <w:bCs/>
              </w:rPr>
            </w:pPr>
            <w:r>
              <w:rPr>
                <w:b/>
                <w:bCs/>
              </w:rPr>
              <w:t>Cable Entities</w:t>
            </w:r>
          </w:p>
        </w:tc>
        <w:tc>
          <w:tcPr>
            <w:tcW w:w="1980" w:type="dxa"/>
            <w:shd w:val="clear" w:color="auto" w:fill="F2F2F2"/>
            <w:noWrap/>
            <w:hideMark/>
          </w:tcPr>
          <w:p w:rsidR="00203CCB" w:rsidP="00A33D5F" w14:paraId="080DE88F" w14:textId="77777777">
            <w:pPr>
              <w:pStyle w:val="FootnoteText"/>
              <w:spacing w:after="0"/>
              <w:rPr>
                <w:b/>
                <w:bCs/>
              </w:rPr>
            </w:pPr>
            <w:r>
              <w:rPr>
                <w:b/>
                <w:bCs/>
              </w:rPr>
              <w:t>Size Standard</w:t>
            </w:r>
          </w:p>
        </w:tc>
        <w:tc>
          <w:tcPr>
            <w:tcW w:w="900" w:type="dxa"/>
            <w:shd w:val="clear" w:color="auto" w:fill="F2F2F2"/>
            <w:hideMark/>
          </w:tcPr>
          <w:p w:rsidR="00203CCB" w:rsidP="00A33D5F" w14:paraId="189F6395" w14:textId="77777777">
            <w:pPr>
              <w:pStyle w:val="FootnoteText"/>
              <w:spacing w:after="0"/>
              <w:rPr>
                <w:b/>
                <w:bCs/>
              </w:rPr>
            </w:pPr>
            <w:r>
              <w:rPr>
                <w:b/>
                <w:bCs/>
              </w:rPr>
              <w:t>Total Firms</w:t>
            </w:r>
          </w:p>
        </w:tc>
        <w:tc>
          <w:tcPr>
            <w:tcW w:w="990" w:type="dxa"/>
            <w:shd w:val="clear" w:color="auto" w:fill="F2F2F2"/>
          </w:tcPr>
          <w:p w:rsidR="00203CCB" w:rsidP="00A33D5F" w14:paraId="35BC165C" w14:textId="77777777">
            <w:pPr>
              <w:pStyle w:val="FootnoteText"/>
              <w:spacing w:after="0"/>
              <w:rPr>
                <w:b/>
                <w:bCs/>
              </w:rPr>
            </w:pPr>
            <w:r>
              <w:rPr>
                <w:b/>
                <w:bCs/>
              </w:rPr>
              <w:t>Small Firms</w:t>
            </w:r>
          </w:p>
        </w:tc>
        <w:tc>
          <w:tcPr>
            <w:tcW w:w="1080" w:type="dxa"/>
            <w:shd w:val="clear" w:color="auto" w:fill="F2F2F2"/>
            <w:hideMark/>
          </w:tcPr>
          <w:p w:rsidR="00203CCB" w:rsidP="00A33D5F" w14:paraId="0BB288FD" w14:textId="77777777">
            <w:pPr>
              <w:pStyle w:val="FootnoteText"/>
              <w:spacing w:after="0"/>
              <w:rPr>
                <w:b/>
                <w:bCs/>
              </w:rPr>
            </w:pPr>
            <w:r>
              <w:rPr>
                <w:b/>
                <w:bCs/>
              </w:rPr>
              <w:t>% Small Firms in Industry</w:t>
            </w:r>
          </w:p>
        </w:tc>
      </w:tr>
      <w:tr w14:paraId="0DFA4C13" w14:textId="77777777" w:rsidTr="00081A05">
        <w:tblPrEx>
          <w:tblW w:w="7825" w:type="dxa"/>
          <w:jc w:val="center"/>
          <w:tblLayout w:type="fixed"/>
          <w:tblLook w:val="04A0"/>
        </w:tblPrEx>
        <w:trPr>
          <w:cantSplit/>
          <w:trHeight w:val="300"/>
          <w:jc w:val="center"/>
        </w:trPr>
        <w:tc>
          <w:tcPr>
            <w:tcW w:w="2875" w:type="dxa"/>
            <w:noWrap/>
          </w:tcPr>
          <w:p w:rsidR="00203CCB" w:rsidP="00A33D5F" w14:paraId="75029CE7" w14:textId="77777777">
            <w:pPr>
              <w:pStyle w:val="FootnoteText"/>
              <w:rPr>
                <w:iCs/>
              </w:rPr>
            </w:pPr>
            <w:r w:rsidRPr="00305DF9">
              <w:rPr>
                <w:iCs/>
              </w:rPr>
              <w:t>Cable System Operators (Telecom Act Standard)</w:t>
            </w:r>
            <w:r>
              <w:rPr>
                <w:iCs/>
              </w:rPr>
              <w:t xml:space="preserve"> </w:t>
            </w:r>
          </w:p>
          <w:p w:rsidR="00203CCB" w:rsidP="00A33D5F" w14:paraId="004A3837" w14:textId="77777777">
            <w:pPr>
              <w:pStyle w:val="FootnoteText"/>
              <w:rPr>
                <w:snapToGrid w:val="0"/>
              </w:rPr>
            </w:pPr>
            <w:r>
              <w:rPr>
                <w:iCs/>
              </w:rPr>
              <w:t>Small Cable Operator</w:t>
            </w:r>
          </w:p>
        </w:tc>
        <w:tc>
          <w:tcPr>
            <w:tcW w:w="1980" w:type="dxa"/>
            <w:noWrap/>
          </w:tcPr>
          <w:p w:rsidR="00203CCB" w:rsidRPr="00185783" w:rsidP="00A33D5F" w14:paraId="3A5B57D8" w14:textId="77777777">
            <w:pPr>
              <w:pStyle w:val="FootnoteText"/>
            </w:pPr>
            <w:r>
              <w:rPr>
                <w:szCs w:val="22"/>
              </w:rPr>
              <w:t>S</w:t>
            </w:r>
            <w:r w:rsidRPr="009672D6">
              <w:rPr>
                <w:szCs w:val="22"/>
              </w:rPr>
              <w:t xml:space="preserve">erves fewer than 498,000 subscribers, either directly or </w:t>
            </w:r>
            <w:r w:rsidRPr="00AD3ED9">
              <w:t>through affiliates</w:t>
            </w:r>
            <w:r>
              <w:rPr>
                <w:rStyle w:val="FootnoteReference"/>
              </w:rPr>
              <w:footnoteReference w:id="192"/>
            </w:r>
            <w:r w:rsidRPr="00AD3ED9">
              <w:t xml:space="preserve"> </w:t>
            </w:r>
            <w:r>
              <w:rPr>
                <w:rStyle w:val="FootnoteReference"/>
              </w:rPr>
              <w:footnoteReference w:id="193"/>
            </w:r>
          </w:p>
        </w:tc>
        <w:tc>
          <w:tcPr>
            <w:tcW w:w="900" w:type="dxa"/>
            <w:noWrap/>
            <w:vAlign w:val="center"/>
          </w:tcPr>
          <w:p w:rsidR="00203CCB" w:rsidRPr="00185783" w:rsidP="00A33D5F" w14:paraId="5D45C658" w14:textId="77777777">
            <w:pPr>
              <w:pStyle w:val="FootnoteText"/>
              <w:spacing w:after="0"/>
              <w:jc w:val="center"/>
            </w:pPr>
            <w:r>
              <w:t>530</w:t>
            </w:r>
            <w:r>
              <w:rPr>
                <w:rStyle w:val="FootnoteReference"/>
              </w:rPr>
              <w:footnoteReference w:id="194"/>
            </w:r>
          </w:p>
        </w:tc>
        <w:tc>
          <w:tcPr>
            <w:tcW w:w="990" w:type="dxa"/>
            <w:vAlign w:val="center"/>
          </w:tcPr>
          <w:p w:rsidR="00203CCB" w:rsidRPr="00185783" w:rsidP="00A33D5F" w14:paraId="58D71421" w14:textId="77777777">
            <w:pPr>
              <w:pStyle w:val="FootnoteText"/>
              <w:spacing w:after="0"/>
              <w:jc w:val="center"/>
            </w:pPr>
            <w:r>
              <w:t>524</w:t>
            </w:r>
            <w:r>
              <w:rPr>
                <w:rStyle w:val="FootnoteReference"/>
              </w:rPr>
              <w:footnoteReference w:id="195"/>
            </w:r>
          </w:p>
        </w:tc>
        <w:tc>
          <w:tcPr>
            <w:tcW w:w="1080" w:type="dxa"/>
            <w:noWrap/>
            <w:vAlign w:val="center"/>
          </w:tcPr>
          <w:p w:rsidR="00203CCB" w:rsidRPr="00185783" w:rsidP="00A33D5F" w14:paraId="4E2C20FC" w14:textId="77777777">
            <w:pPr>
              <w:pStyle w:val="FootnoteText"/>
              <w:spacing w:after="0"/>
              <w:jc w:val="center"/>
            </w:pPr>
            <w:r>
              <w:t>98.87%</w:t>
            </w:r>
          </w:p>
        </w:tc>
      </w:tr>
      <w:tr w14:paraId="3CEEE832" w14:textId="77777777" w:rsidTr="00081A05">
        <w:tblPrEx>
          <w:tblW w:w="7825" w:type="dxa"/>
          <w:jc w:val="center"/>
          <w:tblLayout w:type="fixed"/>
          <w:tblLook w:val="04A0"/>
        </w:tblPrEx>
        <w:trPr>
          <w:cantSplit/>
          <w:trHeight w:val="255"/>
          <w:jc w:val="center"/>
        </w:trPr>
        <w:tc>
          <w:tcPr>
            <w:tcW w:w="2875" w:type="dxa"/>
            <w:noWrap/>
          </w:tcPr>
          <w:p w:rsidR="00203CCB" w:rsidP="00A33D5F" w14:paraId="5645374A" w14:textId="77777777">
            <w:pPr>
              <w:pStyle w:val="FootnoteText"/>
              <w:rPr>
                <w:iCs/>
              </w:rPr>
            </w:pPr>
            <w:r w:rsidRPr="00305DF9">
              <w:rPr>
                <w:iCs/>
              </w:rPr>
              <w:t>Cable Companies and Systems (Rate Regulation)</w:t>
            </w:r>
          </w:p>
          <w:p w:rsidR="00203CCB" w:rsidP="00A33D5F" w14:paraId="3866E92D" w14:textId="77777777">
            <w:pPr>
              <w:pStyle w:val="FootnoteText"/>
            </w:pPr>
            <w:r>
              <w:t>S</w:t>
            </w:r>
            <w:r w:rsidRPr="00A048FA">
              <w:t xml:space="preserve">mall </w:t>
            </w:r>
            <w:r>
              <w:t>Ca</w:t>
            </w:r>
            <w:r w:rsidRPr="00A048FA">
              <w:t xml:space="preserve">ble </w:t>
            </w:r>
            <w:r>
              <w:t>C</w:t>
            </w:r>
            <w:r w:rsidRPr="00A048FA">
              <w:t>ompany</w:t>
            </w:r>
          </w:p>
        </w:tc>
        <w:tc>
          <w:tcPr>
            <w:tcW w:w="1980" w:type="dxa"/>
            <w:noWrap/>
          </w:tcPr>
          <w:p w:rsidR="00203CCB" w:rsidP="00A33D5F" w14:paraId="5F0C2E46" w14:textId="77777777">
            <w:pPr>
              <w:pStyle w:val="FootnoteText"/>
            </w:pPr>
            <w:r>
              <w:t xml:space="preserve">Serves </w:t>
            </w:r>
            <w:r w:rsidRPr="00305DF9">
              <w:t>400,000 or fewer subscribers nationwide</w:t>
            </w:r>
            <w:r>
              <w:rPr>
                <w:rStyle w:val="FootnoteReference"/>
              </w:rPr>
              <w:footnoteReference w:id="196"/>
            </w:r>
            <w:r w:rsidRPr="00AD3ED9">
              <w:t xml:space="preserve"> </w:t>
            </w:r>
            <w:r>
              <w:rPr>
                <w:rStyle w:val="FootnoteReference"/>
                <w:color w:val="000000"/>
              </w:rPr>
              <w:footnoteReference w:id="197"/>
            </w:r>
          </w:p>
        </w:tc>
        <w:tc>
          <w:tcPr>
            <w:tcW w:w="900" w:type="dxa"/>
            <w:noWrap/>
            <w:vAlign w:val="center"/>
          </w:tcPr>
          <w:p w:rsidR="00203CCB" w:rsidP="00A33D5F" w14:paraId="715825D8" w14:textId="77777777">
            <w:pPr>
              <w:pStyle w:val="FootnoteText"/>
              <w:jc w:val="center"/>
            </w:pPr>
            <w:r>
              <w:t>530</w:t>
            </w:r>
            <w:r>
              <w:rPr>
                <w:rStyle w:val="FootnoteReference"/>
              </w:rPr>
              <w:footnoteReference w:id="198"/>
            </w:r>
          </w:p>
        </w:tc>
        <w:tc>
          <w:tcPr>
            <w:tcW w:w="990" w:type="dxa"/>
            <w:vAlign w:val="center"/>
          </w:tcPr>
          <w:p w:rsidR="00203CCB" w:rsidP="00A33D5F" w14:paraId="5DB0B751" w14:textId="77777777">
            <w:pPr>
              <w:pStyle w:val="FootnoteText"/>
              <w:jc w:val="center"/>
            </w:pPr>
            <w:r>
              <w:t>523</w:t>
            </w:r>
            <w:r>
              <w:rPr>
                <w:rStyle w:val="FootnoteReference"/>
              </w:rPr>
              <w:footnoteReference w:id="199"/>
            </w:r>
          </w:p>
        </w:tc>
        <w:tc>
          <w:tcPr>
            <w:tcW w:w="1080" w:type="dxa"/>
            <w:noWrap/>
            <w:vAlign w:val="center"/>
          </w:tcPr>
          <w:p w:rsidR="00203CCB" w:rsidP="00A33D5F" w14:paraId="5F759556" w14:textId="77777777">
            <w:pPr>
              <w:pStyle w:val="FootnoteText"/>
              <w:jc w:val="center"/>
            </w:pPr>
            <w:r>
              <w:t>98.51%</w:t>
            </w:r>
          </w:p>
        </w:tc>
      </w:tr>
      <w:tr w14:paraId="0CD510C0" w14:textId="77777777" w:rsidTr="00081A05">
        <w:tblPrEx>
          <w:tblW w:w="7825" w:type="dxa"/>
          <w:jc w:val="center"/>
          <w:tblLayout w:type="fixed"/>
          <w:tblLook w:val="04A0"/>
        </w:tblPrEx>
        <w:trPr>
          <w:cantSplit/>
          <w:trHeight w:val="255"/>
          <w:jc w:val="center"/>
        </w:trPr>
        <w:tc>
          <w:tcPr>
            <w:tcW w:w="2875" w:type="dxa"/>
            <w:noWrap/>
          </w:tcPr>
          <w:p w:rsidR="00203CCB" w:rsidP="00A33D5F" w14:paraId="344EABD8" w14:textId="77777777">
            <w:pPr>
              <w:pStyle w:val="FootnoteText"/>
              <w:rPr>
                <w:iCs/>
              </w:rPr>
            </w:pPr>
            <w:r w:rsidRPr="00305DF9">
              <w:rPr>
                <w:iCs/>
              </w:rPr>
              <w:t>Cable Companies and Systems (Rate Regulation)</w:t>
            </w:r>
          </w:p>
          <w:p w:rsidR="00203CCB" w:rsidRPr="00305DF9" w:rsidP="00A33D5F" w14:paraId="4923439A" w14:textId="77777777">
            <w:pPr>
              <w:pStyle w:val="FootnoteText"/>
              <w:rPr>
                <w:iCs/>
              </w:rPr>
            </w:pPr>
            <w:r>
              <w:rPr>
                <w:iCs/>
              </w:rPr>
              <w:t>Small Cable System (</w:t>
            </w:r>
            <w:r>
              <w:rPr>
                <w:iCs/>
              </w:rPr>
              <w:t>headends</w:t>
            </w:r>
            <w:r>
              <w:rPr>
                <w:iCs/>
              </w:rPr>
              <w:t>)</w:t>
            </w:r>
          </w:p>
        </w:tc>
        <w:tc>
          <w:tcPr>
            <w:tcW w:w="1980" w:type="dxa"/>
            <w:noWrap/>
          </w:tcPr>
          <w:p w:rsidR="00203CCB" w:rsidP="00A33D5F" w14:paraId="68E54562" w14:textId="77777777">
            <w:pPr>
              <w:pStyle w:val="FootnoteText"/>
            </w:pPr>
            <w:r>
              <w:t>Serves 15,000 or fewer subscribers</w:t>
            </w:r>
            <w:r>
              <w:rPr>
                <w:rStyle w:val="FootnoteReference"/>
                <w:szCs w:val="22"/>
              </w:rPr>
              <w:footnoteReference w:id="200"/>
            </w:r>
            <w:r>
              <w:t xml:space="preserve">  </w:t>
            </w:r>
          </w:p>
        </w:tc>
        <w:tc>
          <w:tcPr>
            <w:tcW w:w="900" w:type="dxa"/>
            <w:noWrap/>
            <w:vAlign w:val="center"/>
          </w:tcPr>
          <w:p w:rsidR="00203CCB" w:rsidP="00A33D5F" w14:paraId="3EA3A3A8" w14:textId="77777777">
            <w:pPr>
              <w:pStyle w:val="FootnoteText"/>
              <w:spacing w:after="0"/>
              <w:jc w:val="center"/>
            </w:pPr>
            <w:r>
              <w:t>4,545</w:t>
            </w:r>
            <w:r>
              <w:rPr>
                <w:rStyle w:val="FootnoteReference"/>
              </w:rPr>
              <w:footnoteReference w:id="201"/>
            </w:r>
          </w:p>
        </w:tc>
        <w:tc>
          <w:tcPr>
            <w:tcW w:w="990" w:type="dxa"/>
            <w:vAlign w:val="center"/>
          </w:tcPr>
          <w:p w:rsidR="00203CCB" w:rsidP="00A33D5F" w14:paraId="26CA42D1" w14:textId="77777777">
            <w:pPr>
              <w:pStyle w:val="FootnoteText"/>
              <w:spacing w:after="0"/>
              <w:jc w:val="center"/>
            </w:pPr>
            <w:r>
              <w:t>3,965</w:t>
            </w:r>
            <w:r>
              <w:rPr>
                <w:rStyle w:val="FootnoteReference"/>
              </w:rPr>
              <w:footnoteReference w:id="202"/>
            </w:r>
          </w:p>
        </w:tc>
        <w:tc>
          <w:tcPr>
            <w:tcW w:w="1080" w:type="dxa"/>
            <w:noWrap/>
            <w:vAlign w:val="center"/>
          </w:tcPr>
          <w:p w:rsidR="00203CCB" w:rsidP="00A33D5F" w14:paraId="38721D26" w14:textId="77777777">
            <w:pPr>
              <w:pStyle w:val="FootnoteText"/>
              <w:spacing w:after="0"/>
              <w:jc w:val="center"/>
            </w:pPr>
            <w:r>
              <w:t>87.24%</w:t>
            </w:r>
          </w:p>
        </w:tc>
      </w:tr>
    </w:tbl>
    <w:p w:rsidR="00203CCB" w:rsidRPr="00FD351A" w:rsidP="00081A05" w14:paraId="64F05656" w14:textId="77777777">
      <w:pPr>
        <w:widowControl/>
      </w:pPr>
    </w:p>
    <w:p w:rsidR="00203CCB" w:rsidRPr="00C70ACE" w:rsidP="00EB7CCD" w14:paraId="732D111B" w14:textId="77777777">
      <w:pPr>
        <w:pStyle w:val="Heading2"/>
        <w:widowControl/>
      </w:pPr>
      <w:bookmarkStart w:id="98" w:name="_Toc227662260"/>
      <w:bookmarkStart w:id="99" w:name="_Toc230244559"/>
      <w:bookmarkStart w:id="100" w:name="_Toc230246377"/>
      <w:r w:rsidRPr="00C70ACE">
        <w:t xml:space="preserve">Description of </w:t>
      </w:r>
      <w:r>
        <w:t xml:space="preserve">Economic Impact and </w:t>
      </w:r>
      <w:r w:rsidRPr="00C70ACE">
        <w:t>Projected Reporting, Recordkeeping</w:t>
      </w:r>
      <w:r>
        <w:t>,</w:t>
      </w:r>
      <w:r w:rsidRPr="00C70ACE">
        <w:t xml:space="preserve"> and Other Compliance</w:t>
      </w:r>
      <w:r>
        <w:t xml:space="preserve"> </w:t>
      </w:r>
      <w:r w:rsidRPr="00C70ACE">
        <w:t>Requirements for Small Entities</w:t>
      </w:r>
      <w:bookmarkEnd w:id="98"/>
      <w:bookmarkEnd w:id="99"/>
      <w:bookmarkEnd w:id="100"/>
    </w:p>
    <w:p w:rsidR="00203CCB" w:rsidRPr="0056250D" w:rsidP="00081A05" w14:paraId="22F64048" w14:textId="77777777">
      <w:pPr>
        <w:pStyle w:val="ParaNum"/>
        <w:widowControl/>
        <w:tabs>
          <w:tab w:val="num" w:pos="1080"/>
          <w:tab w:val="clear" w:pos="1440"/>
        </w:tabs>
        <w:rPr>
          <w:snapToGrid/>
          <w:szCs w:val="22"/>
        </w:rPr>
      </w:pPr>
      <w:r w:rsidRPr="00071E18">
        <w:t>The RFA directs agencies to describe the economic impact of adopted rules on small entities, as well as projected reporting, recordkeeping and other compliance requirements, including an estimate of the classes of small entities which will be subject to the requirement and the type of professional skills necessary for preparation of the report or record.</w:t>
      </w:r>
      <w:r>
        <w:rPr>
          <w:rStyle w:val="FootnoteReference"/>
        </w:rPr>
        <w:footnoteReference w:id="203"/>
      </w:r>
    </w:p>
    <w:p w:rsidR="00203CCB" w:rsidP="00EB7CCD" w14:paraId="5C0CCD37" w14:textId="77777777">
      <w:pPr>
        <w:pStyle w:val="ParaNum"/>
        <w:widowControl/>
        <w:tabs>
          <w:tab w:val="left" w:pos="1440"/>
        </w:tabs>
      </w:pPr>
      <w:r>
        <w:rPr>
          <w:snapToGrid/>
        </w:rPr>
        <w:t>The Commission estimates that the</w:t>
      </w:r>
      <w:r w:rsidRPr="00CE07B0">
        <w:t xml:space="preserve"> reduc</w:t>
      </w:r>
      <w:r>
        <w:t>tion</w:t>
      </w:r>
      <w:r w:rsidRPr="00CE07B0">
        <w:t xml:space="preserve"> the burdens of DIRS reporting on </w:t>
      </w:r>
      <w:r>
        <w:t>small and other communications serv</w:t>
      </w:r>
      <w:r w:rsidRPr="00CE07B0">
        <w:t>ice providers</w:t>
      </w:r>
      <w:r>
        <w:t xml:space="preserve">, </w:t>
      </w:r>
      <w:r w:rsidRPr="00CE07B0">
        <w:t xml:space="preserve">will result in </w:t>
      </w:r>
      <w:r>
        <w:t xml:space="preserve">annual recurring </w:t>
      </w:r>
      <w:r w:rsidRPr="00CE07B0">
        <w:t xml:space="preserve">cost savings </w:t>
      </w:r>
      <w:r>
        <w:t>for small entities.  By</w:t>
      </w:r>
      <w:r w:rsidRPr="00D15197">
        <w:t xml:space="preserve"> </w:t>
      </w:r>
      <w:r w:rsidRPr="00D15197">
        <w:t xml:space="preserve">removing the need for </w:t>
      </w:r>
      <w:r w:rsidRPr="00914D24">
        <w:rPr>
          <w:bCs/>
        </w:rPr>
        <w:t xml:space="preserve">providers to select from the current array of ten separate forms concerning different types of service and infrastructure, the Commission expects that manual filers should be able to complete their filings more quickly.  </w:t>
      </w:r>
      <w:r w:rsidRPr="00914D24">
        <w:rPr>
          <w:rFonts w:eastAsia="Calibri"/>
          <w:snapToGrid/>
        </w:rPr>
        <w:t>In addition, the Commission expects that eliminating unnecessary and duplicative fields will also allow DIRS filings to be submitted more quickly</w:t>
      </w:r>
      <w:r w:rsidRPr="00D15197">
        <w:t xml:space="preserve">.  </w:t>
      </w:r>
      <w:r>
        <w:t>The Commission estimates the overall recurring cost savings to small providers arising from modifying DIRS to simplify the filing process to annually be approximately $23.48 for each county in which a small provider operates.  The Commission arrives at this figure by reducing by 20%, on average, the time we estimate that small and other providers will spend filing DIRS reports and by eliminating the cost burden associated with the requirement to provide a DIRS final report.</w:t>
      </w:r>
      <w:r>
        <w:rPr>
          <w:rStyle w:val="FootnoteReference"/>
        </w:rPr>
        <w:footnoteReference w:id="204"/>
      </w:r>
      <w:r>
        <w:t xml:space="preserve">  The Commission acknowledges that a batch filer in DIRS may incur one-time costs “to reconfigure its systems to reorganize how it exports data, and to ensure that the data is formatted in a manner accepted by DIRS” and find those costs to be $75.41 per small entity.</w:t>
      </w:r>
      <w:r>
        <w:rPr>
          <w:rStyle w:val="FootnoteReference"/>
        </w:rPr>
        <w:footnoteReference w:id="205"/>
      </w:r>
      <w:r>
        <w:t xml:space="preserve"> </w:t>
      </w:r>
    </w:p>
    <w:p w:rsidR="00203CCB" w:rsidP="00EB7CCD" w14:paraId="7229A69F" w14:textId="77777777">
      <w:pPr>
        <w:pStyle w:val="ParaNum"/>
        <w:widowControl/>
        <w:tabs>
          <w:tab w:val="left" w:pos="1440"/>
        </w:tabs>
      </w:pPr>
      <w:r>
        <w:t>In addition, the exclusion of small and other non-facilities-based providers from mandatory DIRS reporting will result in an estimated $3.9 million annual cost savings.</w:t>
      </w:r>
      <w:r>
        <w:rPr>
          <w:rStyle w:val="FootnoteReference"/>
        </w:rPr>
        <w:footnoteReference w:id="206"/>
      </w:r>
      <w:r>
        <w:t xml:space="preserve">  The Commission</w:t>
      </w:r>
      <w:r w:rsidRPr="00143CB1">
        <w:t xml:space="preserve"> estimate</w:t>
      </w:r>
      <w:r>
        <w:t>s</w:t>
      </w:r>
      <w:r w:rsidRPr="00143CB1">
        <w:t xml:space="preserve"> the cost saving as follows: </w:t>
      </w:r>
      <w:r>
        <w:t xml:space="preserve"> one</w:t>
      </w:r>
      <w:r w:rsidRPr="00143CB1">
        <w:t xml:space="preserve"> office and administrative support worker </w:t>
      </w:r>
      <w:r>
        <w:t xml:space="preserve">working at a wage rate of </w:t>
      </w:r>
      <w:r w:rsidRPr="00143CB1">
        <w:t xml:space="preserve">$35.22 </w:t>
      </w:r>
      <w:r>
        <w:t>per hour, working for ten minutes on</w:t>
      </w:r>
      <w:r w:rsidRPr="00143CB1">
        <w:t xml:space="preserve"> the initial entry </w:t>
      </w:r>
      <w:r>
        <w:t>and ten minutes</w:t>
      </w:r>
      <w:r w:rsidRPr="00143CB1">
        <w:t xml:space="preserve"> for </w:t>
      </w:r>
      <w:r>
        <w:t xml:space="preserve">each </w:t>
      </w:r>
      <w:r w:rsidRPr="00143CB1">
        <w:t>daily update</w:t>
      </w:r>
      <w:r>
        <w:t>, multiplied by the</w:t>
      </w:r>
      <w:r w:rsidRPr="00143CB1">
        <w:t xml:space="preserve"> 1</w:t>
      </w:r>
      <w:r>
        <w:t>4-</w:t>
      </w:r>
      <w:r w:rsidRPr="00143CB1">
        <w:t xml:space="preserve">day </w:t>
      </w:r>
      <w:r>
        <w:t>average period of a DIRS activation.  Added to this is the ten minutes saved due to no longer having to submit a</w:t>
      </w:r>
      <w:r w:rsidRPr="00143CB1">
        <w:t xml:space="preserve"> final report</w:t>
      </w:r>
      <w:r>
        <w:t xml:space="preserve">.  This total is then multiplied by the </w:t>
      </w:r>
      <w:r w:rsidRPr="00143CB1">
        <w:t>3</w:t>
      </w:r>
      <w:r>
        <w:t>39</w:t>
      </w:r>
      <w:r w:rsidRPr="00143CB1">
        <w:t xml:space="preserve"> counties</w:t>
      </w:r>
      <w:r>
        <w:t xml:space="preserve"> in which DIRS is activated, on average, each year, and further multiplied by the sum of the </w:t>
      </w:r>
      <w:r>
        <w:t xml:space="preserve">nation’s estimated </w:t>
      </w:r>
      <w:r w:rsidRPr="00143CB1">
        <w:t xml:space="preserve">82 </w:t>
      </w:r>
      <w:r>
        <w:t>mobile virtual network operators</w:t>
      </w:r>
      <w:r w:rsidRPr="00143CB1">
        <w:t xml:space="preserve"> </w:t>
      </w:r>
      <w:r>
        <w:t>and</w:t>
      </w:r>
      <w:r w:rsidRPr="00143CB1">
        <w:t xml:space="preserve"> 41 reseller</w:t>
      </w:r>
      <w:r>
        <w:t>s.  The result of this calculation is</w:t>
      </w:r>
      <w:r w:rsidRPr="00143CB1">
        <w:t xml:space="preserve"> </w:t>
      </w:r>
      <w:r>
        <w:t xml:space="preserve">an annual cost savings of </w:t>
      </w:r>
      <w:r w:rsidRPr="007A5FD8">
        <w:t>$93.92</w:t>
      </w:r>
      <w:r>
        <w:t xml:space="preserve"> for each county in which a small MVNO or small reseller operates</w:t>
      </w:r>
      <w:r w:rsidRPr="00143CB1">
        <w:t xml:space="preserve">.  </w:t>
      </w:r>
      <w:r>
        <w:t xml:space="preserve">    </w:t>
      </w:r>
    </w:p>
    <w:p w:rsidR="00203CCB" w:rsidRPr="00D353F7" w:rsidP="00C329A5" w14:paraId="42EA1454" w14:textId="77777777">
      <w:pPr>
        <w:pStyle w:val="ParaNum"/>
        <w:widowControl/>
      </w:pPr>
      <w:r>
        <w:t>Expanded reporting for public safety voice and broadband network operators will bring new visibility to the status of these critical networks and the essential first responders and emergency management customers who rely on those networks to perform life-saving recovery work.  The Commission estimates that small entities will not be impacted by the public safety voice and broadband network operators reporting infrastructure status information in DIRS requirement since the providers it would likely apply to are not considered small entities.</w:t>
      </w:r>
    </w:p>
    <w:p w:rsidR="00203CCB" w:rsidRPr="00C12C80" w:rsidP="00EB7CCD" w14:paraId="291AAA04" w14:textId="77777777">
      <w:pPr>
        <w:pStyle w:val="Heading2"/>
        <w:widowControl/>
        <w:tabs>
          <w:tab w:val="left" w:pos="1440"/>
        </w:tabs>
        <w:rPr>
          <w:szCs w:val="22"/>
        </w:rPr>
      </w:pPr>
      <w:bookmarkStart w:id="101" w:name="_Toc146549330"/>
      <w:bookmarkStart w:id="102" w:name="_Toc146551534"/>
      <w:bookmarkStart w:id="103" w:name="_Toc152846921"/>
      <w:bookmarkStart w:id="104" w:name="_Toc227662261"/>
      <w:bookmarkStart w:id="105" w:name="_Toc230244560"/>
      <w:bookmarkStart w:id="106" w:name="_Toc230246378"/>
      <w:r>
        <w:t xml:space="preserve">Discussion of </w:t>
      </w:r>
      <w:r w:rsidRPr="00C70ACE">
        <w:t>Steps Taken to Minimize the Significant Economic Impact on Small Entities, and Significant Alternatives Considered</w:t>
      </w:r>
      <w:bookmarkEnd w:id="101"/>
      <w:bookmarkEnd w:id="102"/>
      <w:bookmarkEnd w:id="103"/>
      <w:bookmarkEnd w:id="104"/>
      <w:bookmarkEnd w:id="105"/>
      <w:bookmarkEnd w:id="106"/>
    </w:p>
    <w:p w:rsidR="00203CCB" w:rsidRPr="00C70ACE" w:rsidP="00EB7CCD" w14:paraId="7EF92A93" w14:textId="77777777">
      <w:pPr>
        <w:pStyle w:val="ParaNum"/>
        <w:widowControl/>
        <w:tabs>
          <w:tab w:val="left" w:pos="1440"/>
        </w:tabs>
        <w:rPr>
          <w:snapToGrid/>
          <w:szCs w:val="22"/>
        </w:rPr>
      </w:pPr>
      <w:r w:rsidRPr="2E22FE49">
        <w:rPr>
          <w:snapToGrid/>
        </w:rPr>
        <w:t>The RFA requires an agency to provide “a description of the steps the agency has taken</w:t>
      </w:r>
      <w:r w:rsidRPr="00C70ACE">
        <w:rPr>
          <w:snapToGrid/>
          <w:szCs w:val="22"/>
        </w:rPr>
        <w:t xml:space="preserve"> </w:t>
      </w:r>
      <w:r w:rsidRPr="2E22FE49">
        <w:rPr>
          <w:snapToGrid/>
        </w:rPr>
        <w:t>to minimize the significant economic impact on small entities…including a statement of the factual,</w:t>
      </w:r>
      <w:r w:rsidRPr="00C70ACE">
        <w:rPr>
          <w:snapToGrid/>
          <w:szCs w:val="22"/>
        </w:rPr>
        <w:t xml:space="preserve"> </w:t>
      </w:r>
      <w:r w:rsidRPr="2E22FE49">
        <w:rPr>
          <w:snapToGrid/>
        </w:rPr>
        <w:t>policy, and legal reasons for selecting the alternative adopted in the final rule and why each one of the</w:t>
      </w:r>
      <w:r w:rsidRPr="00C70ACE">
        <w:rPr>
          <w:snapToGrid/>
          <w:szCs w:val="22"/>
        </w:rPr>
        <w:t xml:space="preserve"> </w:t>
      </w:r>
      <w:r w:rsidRPr="2E22FE49">
        <w:rPr>
          <w:snapToGrid/>
        </w:rPr>
        <w:t>other significant alternatives to the rule considered by the agency which affect the impact on small entities</w:t>
      </w:r>
      <w:r w:rsidRPr="00C70ACE">
        <w:rPr>
          <w:snapToGrid/>
          <w:szCs w:val="22"/>
        </w:rPr>
        <w:t xml:space="preserve"> </w:t>
      </w:r>
      <w:r w:rsidRPr="2E22FE49">
        <w:rPr>
          <w:snapToGrid/>
        </w:rPr>
        <w:t>was rejected.”</w:t>
      </w:r>
      <w:r>
        <w:rPr>
          <w:rStyle w:val="FootnoteReference"/>
          <w:snapToGrid/>
          <w:kern w:val="0"/>
          <w:sz w:val="22"/>
          <w:szCs w:val="22"/>
        </w:rPr>
        <w:footnoteReference w:id="207"/>
      </w:r>
    </w:p>
    <w:p w:rsidR="00203CCB" w:rsidP="00C329A5" w14:paraId="37E3426A" w14:textId="77777777">
      <w:pPr>
        <w:pStyle w:val="ParaNum"/>
        <w:widowControl/>
      </w:pPr>
      <w:r>
        <w:t>In the</w:t>
      </w:r>
      <w:r w:rsidRPr="00B1439A">
        <w:rPr>
          <w:i/>
          <w:iCs/>
          <w:snapToGrid/>
        </w:rPr>
        <w:t xml:space="preserve"> </w:t>
      </w:r>
      <w:r w:rsidRPr="00B1439A">
        <w:rPr>
          <w:i/>
          <w:iCs/>
        </w:rPr>
        <w:t>Third Report and Order</w:t>
      </w:r>
      <w:r>
        <w:t>, the Commission takes several steps that could reduce the economic impact for small entities.  As noted above, our actions</w:t>
      </w:r>
      <w:r w:rsidRPr="009142BD">
        <w:rPr>
          <w:snapToGrid/>
        </w:rPr>
        <w:t xml:space="preserve"> reduc</w:t>
      </w:r>
      <w:r>
        <w:rPr>
          <w:snapToGrid/>
        </w:rPr>
        <w:t>e</w:t>
      </w:r>
      <w:r w:rsidRPr="009142BD">
        <w:rPr>
          <w:snapToGrid/>
        </w:rPr>
        <w:t xml:space="preserve"> </w:t>
      </w:r>
      <w:r>
        <w:rPr>
          <w:snapToGrid/>
        </w:rPr>
        <w:t xml:space="preserve">DIRS-related </w:t>
      </w:r>
      <w:r w:rsidRPr="009142BD">
        <w:rPr>
          <w:snapToGrid/>
        </w:rPr>
        <w:t xml:space="preserve">burdens faced by small and other service providers and government agencies so that they can dedicate more resources to restoring and maintaining </w:t>
      </w:r>
      <w:r>
        <w:rPr>
          <w:snapToGrid/>
        </w:rPr>
        <w:t xml:space="preserve">communications </w:t>
      </w:r>
      <w:r w:rsidRPr="009142BD">
        <w:rPr>
          <w:snapToGrid/>
        </w:rPr>
        <w:t>service</w:t>
      </w:r>
      <w:r>
        <w:rPr>
          <w:snapToGrid/>
        </w:rPr>
        <w:t>s</w:t>
      </w:r>
      <w:r w:rsidRPr="009142BD">
        <w:rPr>
          <w:snapToGrid/>
        </w:rPr>
        <w:t xml:space="preserve"> during a disaster.  </w:t>
      </w:r>
      <w:r>
        <w:rPr>
          <w:snapToGrid/>
        </w:rPr>
        <w:t>These burden-reducing actions include</w:t>
      </w:r>
      <w:r>
        <w:t xml:space="preserve"> streamlining the DIRS user interface eliminating unnecessary fields; eliminating DIRS final reports for mandated DIRS filers</w:t>
      </w:r>
      <w:r w:rsidRPr="00C70ACE">
        <w:t xml:space="preserve">; </w:t>
      </w:r>
      <w:r>
        <w:t>and exempting non-facilities-based providers from requirements to report in DIRS.  The Commission also considered additional ways to reduce burdens on DIRS filers that were proposed by commenters and adopted some of those proposals.  In some instances, the Commission declines to make changes to DIRS on which it sought comment that had the potential to further reduce burdens, such as eliminating the voluntarily DIRS satellite form, because the potential public safety value of collecting the information outweighed the potential reduction in costs.</w:t>
      </w:r>
    </w:p>
    <w:p w:rsidR="00203CCB" w:rsidP="00C329A5" w14:paraId="24779D79" w14:textId="77777777">
      <w:pPr>
        <w:pStyle w:val="ParaNum"/>
        <w:widowControl/>
      </w:pPr>
      <w:r>
        <w:t>The Commission declines to adopt its</w:t>
      </w:r>
      <w:r w:rsidRPr="00CE07B0">
        <w:t xml:space="preserve"> propos</w:t>
      </w:r>
      <w:r>
        <w:t>al</w:t>
      </w:r>
      <w:r w:rsidRPr="00CE07B0">
        <w:t xml:space="preserve"> to require facilities-based wireless providers to </w:t>
      </w:r>
      <w:r>
        <w:t xml:space="preserve">identify </w:t>
      </w:r>
      <w:r w:rsidRPr="00CE07B0">
        <w:t xml:space="preserve">which </w:t>
      </w:r>
      <w:r>
        <w:t>non-facilities-based provides</w:t>
      </w:r>
      <w:r w:rsidRPr="00FC3D1D">
        <w:t xml:space="preserve"> </w:t>
      </w:r>
      <w:r w:rsidRPr="00CE07B0">
        <w:t>utilize their networks within the DIRS activation area</w:t>
      </w:r>
      <w:r>
        <w:t>, nor does the Commission adopt the alternative that mobile virtual network operators identify their underlying network providers</w:t>
      </w:r>
      <w:r w:rsidRPr="00CE07B0">
        <w:t xml:space="preserve">.  </w:t>
      </w:r>
      <w:r>
        <w:t xml:space="preserve">The Commission is persuaded by the record that a list of business relationships alone would be insufficient to enable emergency managers to derive actionable insights about a disaster’s impacts on their community, and therefore requiring the reporting of this information would be unnecessarily burdensome on small and other providers.  </w:t>
      </w:r>
    </w:p>
    <w:p w:rsidR="00203CCB" w:rsidP="00C329A5" w14:paraId="1BE0F0F1" w14:textId="77777777">
      <w:pPr>
        <w:pStyle w:val="ParaNum"/>
        <w:widowControl/>
      </w:pPr>
      <w:r>
        <w:t xml:space="preserve">The Commission adopts new requirements for public safety voice and broadband network operates to report in DIRS in light of the vital role these services play in keeping first responders connected during emergency response and the need to provide </w:t>
      </w:r>
      <w:r w:rsidRPr="668561AA">
        <w:t xml:space="preserve">visibility and situational awareness into </w:t>
      </w:r>
      <w:r>
        <w:t>these</w:t>
      </w:r>
      <w:r w:rsidRPr="668561AA">
        <w:t xml:space="preserve"> vital </w:t>
      </w:r>
      <w:r>
        <w:t xml:space="preserve">public-safety </w:t>
      </w:r>
      <w:r w:rsidRPr="668561AA">
        <w:t>network</w:t>
      </w:r>
      <w:r>
        <w:t>s</w:t>
      </w:r>
      <w:r w:rsidRPr="668561AA">
        <w:t xml:space="preserve"> during disaster</w:t>
      </w:r>
      <w:r>
        <w:t xml:space="preserve">s while only imposing costs on a small number of operators.  The Commission considers whether direct reporting to enterprise customers via interfaces such as </w:t>
      </w:r>
      <w:r w:rsidRPr="668561AA">
        <w:t xml:space="preserve">FirstNet Central </w:t>
      </w:r>
      <w:r>
        <w:t xml:space="preserve">would be an </w:t>
      </w:r>
      <w:r w:rsidRPr="668561AA">
        <w:t xml:space="preserve">adequate substitute for </w:t>
      </w:r>
      <w:r>
        <w:t>DIRS reporting, but finds that that approach would not yield information that was comprehensive to accomplish these public safety goals.</w:t>
      </w:r>
    </w:p>
    <w:p w:rsidR="00203CCB" w:rsidRPr="00320638" w:rsidP="00C329A5" w14:paraId="1F881A0E" w14:textId="77777777">
      <w:pPr>
        <w:pStyle w:val="ParaNum"/>
        <w:widowControl/>
      </w:pPr>
      <w:r>
        <w:t xml:space="preserve">The Commission also declines to extend the suspension of </w:t>
      </w:r>
      <w:r w:rsidRPr="00CE07B0">
        <w:t xml:space="preserve">NORS reporting </w:t>
      </w:r>
      <w:r>
        <w:t xml:space="preserve">requirements during DIRS activations to </w:t>
      </w:r>
      <w:r w:rsidRPr="00CE07B0">
        <w:t>DIRS-Lite activations</w:t>
      </w:r>
      <w:r>
        <w:t xml:space="preserve"> to preserve visibility into outages during those activations.  While this suspension would reduce filing burdens on small and other providers, the Commission finds that this would receive </w:t>
      </w:r>
      <w:r w:rsidRPr="00044C80">
        <w:t xml:space="preserve">far less specific information that </w:t>
      </w:r>
      <w:r>
        <w:t>it</w:t>
      </w:r>
      <w:r w:rsidRPr="00044C80">
        <w:t xml:space="preserve"> currently receive</w:t>
      </w:r>
      <w:r>
        <w:t>s</w:t>
      </w:r>
      <w:r w:rsidRPr="00044C80">
        <w:t xml:space="preserve"> about outages for a much smaller number of providers</w:t>
      </w:r>
      <w:r>
        <w:t>, which would</w:t>
      </w:r>
      <w:r w:rsidRPr="00044C80">
        <w:t xml:space="preserve"> </w:t>
      </w:r>
      <w:r>
        <w:t xml:space="preserve">create a gap in its situational awareness about network reliability and result in an incomplete picture of the weak points in critical communications infrastructure.  The Commission also finds </w:t>
      </w:r>
      <w:r w:rsidRPr="00884F80">
        <w:t xml:space="preserve">that this would pose significant administrative burdens that </w:t>
      </w:r>
      <w:r w:rsidRPr="00884F80">
        <w:t xml:space="preserve">outweigh the benefits of </w:t>
      </w:r>
      <w:r>
        <w:t>suspending the requirement.  The Commission is also not persuaded that DIRS-Lite activations present burdens to providers that would meaningfully detract from their service restoration efforts.</w:t>
      </w:r>
      <w:r w:rsidRPr="00FC3D1D">
        <w:rPr>
          <w:snapToGrid/>
        </w:rPr>
        <w:t xml:space="preserve"> </w:t>
      </w:r>
    </w:p>
    <w:p w:rsidR="00203CCB" w:rsidRPr="002908E0" w:rsidP="00EB7CCD" w14:paraId="435C5005" w14:textId="77777777">
      <w:pPr>
        <w:pStyle w:val="Heading2"/>
        <w:widowControl/>
        <w:rPr>
          <w:szCs w:val="22"/>
        </w:rPr>
      </w:pPr>
      <w:bookmarkStart w:id="107" w:name="_Toc146549331"/>
      <w:bookmarkStart w:id="108" w:name="_Toc146551535"/>
      <w:bookmarkStart w:id="109" w:name="_Toc152846922"/>
      <w:bookmarkStart w:id="110" w:name="_Toc227662262"/>
      <w:bookmarkStart w:id="111" w:name="_Toc230244561"/>
      <w:bookmarkStart w:id="112" w:name="_Toc230246379"/>
      <w:r w:rsidRPr="00C70ACE">
        <w:t>Report to Congress</w:t>
      </w:r>
      <w:bookmarkEnd w:id="107"/>
      <w:bookmarkEnd w:id="108"/>
      <w:bookmarkEnd w:id="109"/>
      <w:bookmarkEnd w:id="110"/>
      <w:bookmarkEnd w:id="111"/>
      <w:bookmarkEnd w:id="112"/>
    </w:p>
    <w:p w:rsidR="00203CCB" w:rsidRPr="00C32763" w:rsidP="00C329A5" w14:paraId="4776ADDA" w14:textId="77777777">
      <w:pPr>
        <w:pStyle w:val="ParaNum"/>
        <w:widowControl/>
        <w:rPr>
          <w:snapToGrid/>
          <w:szCs w:val="22"/>
        </w:rPr>
      </w:pPr>
      <w:r w:rsidRPr="00C32763">
        <w:rPr>
          <w:snapToGrid/>
        </w:rPr>
        <w:t xml:space="preserve">The Commission will send a copy of the </w:t>
      </w:r>
      <w:r w:rsidRPr="00C32763">
        <w:rPr>
          <w:i/>
          <w:iCs/>
          <w:snapToGrid/>
        </w:rPr>
        <w:t>Third Report and Order</w:t>
      </w:r>
      <w:r w:rsidRPr="00C32763">
        <w:rPr>
          <w:snapToGrid/>
        </w:rPr>
        <w:t>, including this FRFA, in a report to Congress pursuant to the Congressional</w:t>
      </w:r>
      <w:r w:rsidRPr="00C32763">
        <w:rPr>
          <w:snapToGrid/>
          <w:szCs w:val="22"/>
        </w:rPr>
        <w:t xml:space="preserve"> </w:t>
      </w:r>
      <w:r w:rsidRPr="00C32763">
        <w:rPr>
          <w:snapToGrid/>
        </w:rPr>
        <w:t>Review Act.</w:t>
      </w:r>
      <w:r>
        <w:rPr>
          <w:rStyle w:val="FootnoteReference"/>
          <w:snapToGrid/>
          <w:kern w:val="0"/>
          <w:sz w:val="22"/>
          <w:szCs w:val="22"/>
        </w:rPr>
        <w:footnoteReference w:id="208"/>
      </w:r>
      <w:r w:rsidRPr="00C32763">
        <w:rPr>
          <w:snapToGrid/>
        </w:rPr>
        <w:t xml:space="preserve">  In addition, the Commission will send a copy of the </w:t>
      </w:r>
      <w:r w:rsidRPr="00C32763">
        <w:rPr>
          <w:i/>
          <w:iCs/>
          <w:snapToGrid/>
        </w:rPr>
        <w:t>Third Report and Order</w:t>
      </w:r>
      <w:r>
        <w:rPr>
          <w:snapToGrid/>
        </w:rPr>
        <w:t xml:space="preserve">, </w:t>
      </w:r>
      <w:r w:rsidRPr="00C32763">
        <w:rPr>
          <w:snapToGrid/>
        </w:rPr>
        <w:t xml:space="preserve">including this FRFA, to the Chief Counsel for </w:t>
      </w:r>
      <w:r>
        <w:rPr>
          <w:snapToGrid/>
        </w:rPr>
        <w:t xml:space="preserve">the </w:t>
      </w:r>
      <w:r w:rsidRPr="00C32763">
        <w:rPr>
          <w:snapToGrid/>
        </w:rPr>
        <w:t>SBA</w:t>
      </w:r>
      <w:r>
        <w:rPr>
          <w:snapToGrid/>
        </w:rPr>
        <w:t xml:space="preserve"> Office of Advocacy</w:t>
      </w:r>
      <w:r w:rsidRPr="00C32763">
        <w:rPr>
          <w:snapToGrid/>
        </w:rPr>
        <w:t xml:space="preserve"> </w:t>
      </w:r>
      <w:r>
        <w:rPr>
          <w:snapToGrid/>
        </w:rPr>
        <w:t>and will publish</w:t>
      </w:r>
      <w:r w:rsidRPr="00C32763">
        <w:rPr>
          <w:snapToGrid/>
        </w:rPr>
        <w:t xml:space="preserve"> </w:t>
      </w:r>
      <w:r>
        <w:rPr>
          <w:snapToGrid/>
        </w:rPr>
        <w:t>a</w:t>
      </w:r>
      <w:r w:rsidRPr="00C32763">
        <w:rPr>
          <w:snapToGrid/>
        </w:rPr>
        <w:t xml:space="preserve"> copy of</w:t>
      </w:r>
      <w:r w:rsidRPr="00C32763">
        <w:rPr>
          <w:i/>
          <w:iCs/>
          <w:snapToGrid/>
        </w:rPr>
        <w:t xml:space="preserve"> </w:t>
      </w:r>
      <w:r w:rsidRPr="00C32763">
        <w:rPr>
          <w:snapToGrid/>
        </w:rPr>
        <w:t xml:space="preserve">the </w:t>
      </w:r>
      <w:r w:rsidRPr="00C32763">
        <w:rPr>
          <w:i/>
          <w:iCs/>
        </w:rPr>
        <w:t>Third</w:t>
      </w:r>
      <w:r w:rsidRPr="00C32763">
        <w:rPr>
          <w:szCs w:val="22"/>
        </w:rPr>
        <w:t xml:space="preserve"> </w:t>
      </w:r>
      <w:r w:rsidRPr="00C32763">
        <w:rPr>
          <w:i/>
          <w:iCs/>
          <w:snapToGrid/>
        </w:rPr>
        <w:t xml:space="preserve">Report and Order </w:t>
      </w:r>
      <w:r w:rsidRPr="00C32763">
        <w:rPr>
          <w:snapToGrid/>
        </w:rPr>
        <w:t xml:space="preserve">and </w:t>
      </w:r>
      <w:r>
        <w:rPr>
          <w:snapToGrid/>
        </w:rPr>
        <w:t xml:space="preserve">this </w:t>
      </w:r>
      <w:r w:rsidRPr="00C32763">
        <w:rPr>
          <w:snapToGrid/>
        </w:rPr>
        <w:t xml:space="preserve">FRFA (or summaries thereof) in the </w:t>
      </w:r>
      <w:r w:rsidRPr="00C32763">
        <w:rPr>
          <w:i/>
          <w:iCs/>
          <w:snapToGrid/>
        </w:rPr>
        <w:t>Federal Register</w:t>
      </w:r>
      <w:r w:rsidRPr="00C32763">
        <w:rPr>
          <w:snapToGrid/>
          <w:szCs w:val="22"/>
        </w:rPr>
        <w:t>.</w:t>
      </w:r>
      <w:r>
        <w:rPr>
          <w:rStyle w:val="FootnoteReference"/>
          <w:snapToGrid/>
          <w:kern w:val="0"/>
          <w:sz w:val="22"/>
          <w:szCs w:val="22"/>
        </w:rPr>
        <w:footnoteReference w:id="209"/>
      </w:r>
    </w:p>
    <w:p w:rsidR="00203CCB" w:rsidP="00203CCB" w14:paraId="2EF85C76" w14:textId="578A6C09">
      <w:pPr>
        <w:widowControl/>
        <w:rPr>
          <w:snapToGrid/>
          <w:szCs w:val="22"/>
        </w:rPr>
        <w:sectPr w:rsidSect="00081A05">
          <w:headerReference w:type="default" r:id="rId16"/>
          <w:footerReference w:type="even" r:id="rId17"/>
          <w:footerReference w:type="default" r:id="rId18"/>
          <w:headerReference w:type="first" r:id="rId19"/>
          <w:footerReference w:type="first" r:id="rId20"/>
          <w:footnotePr>
            <w:numRestart w:val="eachSect"/>
          </w:footnotePr>
          <w:endnotePr>
            <w:numFmt w:val="decimal"/>
          </w:endnotePr>
          <w:pgSz w:w="12240" w:h="15840"/>
          <w:pgMar w:top="1440" w:right="1440" w:bottom="720" w:left="1440" w:header="720" w:footer="720" w:gutter="0"/>
          <w:cols w:space="720"/>
          <w:noEndnote/>
          <w:docGrid w:linePitch="299"/>
        </w:sectPr>
      </w:pPr>
    </w:p>
    <w:p w:rsidR="00203CCB" w:rsidP="00EB7CCD" w14:paraId="08FFF3A9" w14:textId="77777777">
      <w:pPr>
        <w:pStyle w:val="ParaNum"/>
        <w:widowControl/>
        <w:numPr>
          <w:ilvl w:val="0"/>
          <w:numId w:val="0"/>
        </w:numPr>
        <w:jc w:val="center"/>
        <w:rPr>
          <w:rFonts w:eastAsia="Calibri"/>
          <w:b/>
        </w:rPr>
      </w:pPr>
      <w:r>
        <w:rPr>
          <w:rFonts w:eastAsia="Calibri"/>
          <w:b/>
        </w:rPr>
        <w:t>APPENDIX C</w:t>
      </w:r>
    </w:p>
    <w:p w:rsidR="00203CCB" w:rsidP="00EB7CCD" w14:paraId="5E33573C" w14:textId="77777777">
      <w:pPr>
        <w:pStyle w:val="ParaNum"/>
        <w:widowControl/>
        <w:numPr>
          <w:ilvl w:val="0"/>
          <w:numId w:val="0"/>
        </w:numPr>
        <w:jc w:val="center"/>
        <w:rPr>
          <w:b/>
          <w:bCs/>
        </w:rPr>
      </w:pPr>
      <w:r>
        <w:rPr>
          <w:b/>
          <w:bCs/>
        </w:rPr>
        <w:t>List of DIRS Fields by Provider</w:t>
      </w:r>
    </w:p>
    <w:p w:rsidR="00203CCB" w:rsidP="00081A05" w14:paraId="72A68584" w14:textId="77777777">
      <w:pPr>
        <w:widowControl/>
        <w:rPr>
          <w:szCs w:val="22"/>
        </w:rPr>
      </w:pPr>
    </w:p>
    <w:p w:rsidR="00203CCB" w:rsidP="00081A05" w14:paraId="795D084B" w14:textId="77777777">
      <w:pPr>
        <w:widowControl/>
        <w:rPr>
          <w:szCs w:val="22"/>
        </w:rPr>
      </w:pPr>
      <w:r w:rsidRPr="00A2406F">
        <w:rPr>
          <w:szCs w:val="22"/>
          <w:u w:val="single"/>
        </w:rPr>
        <w:t>Broadcast Providers</w:t>
      </w:r>
      <w:r>
        <w:rPr>
          <w:szCs w:val="22"/>
        </w:rPr>
        <w:t xml:space="preserve">:  </w:t>
      </w:r>
    </w:p>
    <w:p w:rsidR="00203CCB" w:rsidP="00081A05" w14:paraId="01142275" w14:textId="77777777">
      <w:pPr>
        <w:pStyle w:val="ListParagraph"/>
        <w:numPr>
          <w:ilvl w:val="0"/>
          <w:numId w:val="6"/>
        </w:numPr>
        <w:spacing w:after="160" w:line="278" w:lineRule="auto"/>
        <w:contextualSpacing/>
        <w:rPr>
          <w:rFonts w:ascii="Times New Roman" w:hAnsi="Times New Roman" w:cs="Times New Roman"/>
        </w:rPr>
      </w:pPr>
      <w:r>
        <w:rPr>
          <w:rFonts w:ascii="Times New Roman" w:hAnsi="Times New Roman" w:cs="Times New Roman"/>
        </w:rPr>
        <w:t xml:space="preserve">Voluntary Information: </w:t>
      </w:r>
    </w:p>
    <w:p w:rsidR="00203CCB" w:rsidP="00081A05" w14:paraId="7C7A83B2"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Call Sign</w:t>
      </w:r>
    </w:p>
    <w:p w:rsidR="00203CCB" w:rsidP="00081A05" w14:paraId="031B2F6B"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FAC ID</w:t>
      </w:r>
    </w:p>
    <w:p w:rsidR="00203CCB" w:rsidP="00081A05" w14:paraId="44F6BC2A"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Broadcast Status</w:t>
      </w:r>
    </w:p>
    <w:p w:rsidR="00203CCB" w:rsidRPr="00EC4F81" w:rsidP="00081A05" w14:paraId="489D7C1D"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 xml:space="preserve">Power Status </w:t>
      </w:r>
    </w:p>
    <w:p w:rsidR="00203CCB" w:rsidP="00081A05" w14:paraId="5CAF41BF"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Impacted Equipment Location Information (Latitude/Longitude or Street Address/City/State/Zip)</w:t>
      </w:r>
    </w:p>
    <w:p w:rsidR="00203CCB" w:rsidP="00081A05" w14:paraId="4A7A14BA"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Generator Availability</w:t>
      </w:r>
    </w:p>
    <w:p w:rsidR="00203CCB" w:rsidP="00081A05" w14:paraId="487A0354"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Fuel Status (Volume Capacity and Hours)</w:t>
      </w:r>
    </w:p>
    <w:p w:rsidR="00203CCB" w:rsidP="00081A05" w14:paraId="0BDE8C9A" w14:textId="77777777">
      <w:pPr>
        <w:widowControl/>
        <w:rPr>
          <w:szCs w:val="22"/>
        </w:rPr>
      </w:pPr>
      <w:r w:rsidRPr="00A2406F">
        <w:rPr>
          <w:szCs w:val="22"/>
          <w:u w:val="single"/>
        </w:rPr>
        <w:t>Cable Communications Providers</w:t>
      </w:r>
      <w:r>
        <w:rPr>
          <w:szCs w:val="22"/>
        </w:rPr>
        <w:t xml:space="preserve">:  </w:t>
      </w:r>
    </w:p>
    <w:p w:rsidR="00203CCB" w:rsidP="00081A05" w14:paraId="73C4B6AD" w14:textId="77777777">
      <w:pPr>
        <w:pStyle w:val="ListParagraph"/>
        <w:numPr>
          <w:ilvl w:val="0"/>
          <w:numId w:val="7"/>
        </w:numPr>
        <w:spacing w:after="160" w:line="278" w:lineRule="auto"/>
        <w:contextualSpacing/>
        <w:rPr>
          <w:rFonts w:ascii="Times New Roman" w:hAnsi="Times New Roman" w:cs="Times New Roman"/>
        </w:rPr>
      </w:pPr>
      <w:r>
        <w:rPr>
          <w:rFonts w:ascii="Times New Roman" w:hAnsi="Times New Roman" w:cs="Times New Roman"/>
        </w:rPr>
        <w:t xml:space="preserve">Required Information: </w:t>
      </w:r>
    </w:p>
    <w:p w:rsidR="00203CCB" w:rsidRPr="00BE270E" w:rsidP="00081A05" w14:paraId="5CA0F6AB" w14:textId="77777777">
      <w:pPr>
        <w:pStyle w:val="ListParagraph"/>
        <w:numPr>
          <w:ilvl w:val="1"/>
          <w:numId w:val="7"/>
        </w:numPr>
        <w:spacing w:after="160" w:line="278" w:lineRule="auto"/>
        <w:contextualSpacing/>
        <w:rPr>
          <w:rFonts w:ascii="Times New Roman" w:hAnsi="Times New Roman" w:cs="Times New Roman"/>
        </w:rPr>
      </w:pPr>
      <w:r>
        <w:rPr>
          <w:rFonts w:ascii="Times New Roman" w:hAnsi="Times New Roman" w:cs="Times New Roman"/>
        </w:rPr>
        <w:t>Physical System Identifier (PSID)</w:t>
      </w:r>
    </w:p>
    <w:p w:rsidR="00203CCB" w:rsidP="00081A05" w14:paraId="2623E6A6" w14:textId="77777777">
      <w:pPr>
        <w:pStyle w:val="ListParagraph"/>
        <w:numPr>
          <w:ilvl w:val="1"/>
          <w:numId w:val="7"/>
        </w:numPr>
        <w:spacing w:after="160" w:line="278" w:lineRule="auto"/>
        <w:contextualSpacing/>
        <w:rPr>
          <w:rFonts w:ascii="Times New Roman" w:hAnsi="Times New Roman" w:cs="Times New Roman"/>
        </w:rPr>
      </w:pPr>
      <w:r>
        <w:rPr>
          <w:rFonts w:ascii="Times New Roman" w:hAnsi="Times New Roman" w:cs="Times New Roman"/>
        </w:rPr>
        <w:t>Type of Major Equipment Down</w:t>
      </w:r>
    </w:p>
    <w:p w:rsidR="00203CCB" w:rsidP="00081A05" w14:paraId="4A5430B1" w14:textId="77777777">
      <w:pPr>
        <w:pStyle w:val="ListParagraph"/>
        <w:numPr>
          <w:ilvl w:val="1"/>
          <w:numId w:val="7"/>
        </w:numPr>
        <w:spacing w:after="160" w:line="278" w:lineRule="auto"/>
        <w:contextualSpacing/>
        <w:rPr>
          <w:rFonts w:ascii="Times New Roman" w:hAnsi="Times New Roman" w:cs="Times New Roman"/>
        </w:rPr>
      </w:pPr>
      <w:r>
        <w:rPr>
          <w:rFonts w:ascii="Times New Roman" w:hAnsi="Times New Roman" w:cs="Times New Roman"/>
        </w:rPr>
        <w:t xml:space="preserve">Power Status </w:t>
      </w:r>
    </w:p>
    <w:p w:rsidR="00203CCB" w:rsidP="00081A05" w14:paraId="1ADCCD98" w14:textId="77777777">
      <w:pPr>
        <w:pStyle w:val="ListParagraph"/>
        <w:numPr>
          <w:ilvl w:val="1"/>
          <w:numId w:val="7"/>
        </w:numPr>
        <w:spacing w:after="160" w:line="278" w:lineRule="auto"/>
        <w:contextualSpacing/>
        <w:rPr>
          <w:rFonts w:ascii="Times New Roman" w:hAnsi="Times New Roman" w:cs="Times New Roman"/>
        </w:rPr>
      </w:pPr>
      <w:r>
        <w:rPr>
          <w:rFonts w:ascii="Times New Roman" w:hAnsi="Times New Roman" w:cs="Times New Roman"/>
        </w:rPr>
        <w:t>Common Language Location Identifier (CLLI) Code for the Equipment</w:t>
      </w:r>
    </w:p>
    <w:p w:rsidR="00203CCB" w:rsidP="00081A05" w14:paraId="23C80B26" w14:textId="77777777">
      <w:pPr>
        <w:pStyle w:val="ListParagraph"/>
        <w:numPr>
          <w:ilvl w:val="1"/>
          <w:numId w:val="7"/>
        </w:numPr>
        <w:spacing w:after="160" w:line="278" w:lineRule="auto"/>
        <w:contextualSpacing/>
        <w:rPr>
          <w:rFonts w:ascii="Times New Roman" w:hAnsi="Times New Roman" w:cs="Times New Roman"/>
        </w:rPr>
      </w:pPr>
      <w:r>
        <w:rPr>
          <w:rFonts w:ascii="Times New Roman" w:hAnsi="Times New Roman" w:cs="Times New Roman"/>
        </w:rPr>
        <w:t>Impacted Equipment Location Information (Latitude/Longitude or Street Address/City/State/Zip)</w:t>
      </w:r>
    </w:p>
    <w:p w:rsidR="00203CCB" w:rsidP="00081A05" w14:paraId="4C607CDB" w14:textId="77777777">
      <w:pPr>
        <w:pStyle w:val="ListParagraph"/>
        <w:numPr>
          <w:ilvl w:val="1"/>
          <w:numId w:val="7"/>
        </w:numPr>
        <w:spacing w:after="160" w:line="278" w:lineRule="auto"/>
        <w:contextualSpacing/>
        <w:rPr>
          <w:rFonts w:ascii="Times New Roman" w:hAnsi="Times New Roman" w:cs="Times New Roman"/>
        </w:rPr>
      </w:pPr>
      <w:r>
        <w:rPr>
          <w:rFonts w:ascii="Times New Roman" w:hAnsi="Times New Roman" w:cs="Times New Roman"/>
        </w:rPr>
        <w:t xml:space="preserve">Number of Cable Communications/Interconnected VoIP Subscribers Served </w:t>
      </w:r>
    </w:p>
    <w:p w:rsidR="00203CCB" w:rsidRPr="008666CA" w:rsidP="00081A05" w14:paraId="2CA2C569" w14:textId="77777777">
      <w:pPr>
        <w:pStyle w:val="ListParagraph"/>
        <w:numPr>
          <w:ilvl w:val="1"/>
          <w:numId w:val="7"/>
        </w:numPr>
        <w:spacing w:after="160" w:line="278" w:lineRule="auto"/>
        <w:contextualSpacing/>
        <w:rPr>
          <w:rFonts w:ascii="Times New Roman" w:hAnsi="Times New Roman" w:cs="Times New Roman"/>
        </w:rPr>
      </w:pPr>
      <w:r>
        <w:rPr>
          <w:rFonts w:ascii="Times New Roman" w:hAnsi="Times New Roman" w:cs="Times New Roman"/>
        </w:rPr>
        <w:t>Estimated Number of Cable Communications/Interconnected VoIP Subscribers Down by County or Municipality</w:t>
      </w:r>
    </w:p>
    <w:p w:rsidR="00203CCB" w:rsidP="00081A05" w14:paraId="7B7C1D8A" w14:textId="77777777">
      <w:pPr>
        <w:pStyle w:val="ListParagraph"/>
        <w:numPr>
          <w:ilvl w:val="1"/>
          <w:numId w:val="7"/>
        </w:numPr>
        <w:spacing w:after="160" w:line="278" w:lineRule="auto"/>
        <w:contextualSpacing/>
        <w:rPr>
          <w:rFonts w:ascii="Times New Roman" w:hAnsi="Times New Roman" w:cs="Times New Roman"/>
        </w:rPr>
      </w:pPr>
      <w:r>
        <w:rPr>
          <w:rFonts w:ascii="Times New Roman" w:hAnsi="Times New Roman" w:cs="Times New Roman"/>
        </w:rPr>
        <w:t>Number of OC3s or Functional Equivalents Down</w:t>
      </w:r>
    </w:p>
    <w:p w:rsidR="00203CCB" w:rsidP="00081A05" w14:paraId="63863383" w14:textId="77777777">
      <w:pPr>
        <w:pStyle w:val="ListParagraph"/>
        <w:numPr>
          <w:ilvl w:val="1"/>
          <w:numId w:val="7"/>
        </w:numPr>
        <w:spacing w:after="160" w:line="278" w:lineRule="auto"/>
        <w:contextualSpacing/>
        <w:rPr>
          <w:rFonts w:ascii="Times New Roman" w:hAnsi="Times New Roman" w:cs="Times New Roman"/>
        </w:rPr>
      </w:pPr>
      <w:r>
        <w:rPr>
          <w:rFonts w:ascii="Times New Roman" w:hAnsi="Times New Roman" w:cs="Times New Roman"/>
        </w:rPr>
        <w:t xml:space="preserve">For Filers Required to Report Broadband Status:  </w:t>
      </w:r>
    </w:p>
    <w:p w:rsidR="00203CCB" w:rsidRPr="004624EC" w:rsidP="00081A05" w14:paraId="2E731683" w14:textId="77777777">
      <w:pPr>
        <w:pStyle w:val="ListParagraph"/>
        <w:numPr>
          <w:ilvl w:val="2"/>
          <w:numId w:val="7"/>
        </w:numPr>
        <w:spacing w:after="160" w:line="278" w:lineRule="auto"/>
        <w:contextualSpacing/>
      </w:pPr>
      <w:r>
        <w:rPr>
          <w:rFonts w:ascii="Times New Roman" w:hAnsi="Times New Roman" w:cs="Times New Roman"/>
        </w:rPr>
        <w:t xml:space="preserve">Number of Broadband Access Subscribers Served </w:t>
      </w:r>
    </w:p>
    <w:p w:rsidR="00203CCB" w:rsidP="00081A05" w14:paraId="103364FA" w14:textId="77777777">
      <w:pPr>
        <w:pStyle w:val="ListParagraph"/>
        <w:numPr>
          <w:ilvl w:val="2"/>
          <w:numId w:val="7"/>
        </w:numPr>
        <w:spacing w:after="160" w:line="278" w:lineRule="auto"/>
        <w:contextualSpacing/>
        <w:rPr>
          <w:rFonts w:ascii="Times New Roman" w:hAnsi="Times New Roman" w:cs="Times New Roman"/>
        </w:rPr>
      </w:pPr>
      <w:r>
        <w:rPr>
          <w:rFonts w:ascii="Times New Roman" w:hAnsi="Times New Roman" w:cs="Times New Roman"/>
        </w:rPr>
        <w:t>Estimated Number of Broadband Access Subscribers Down</w:t>
      </w:r>
    </w:p>
    <w:p w:rsidR="00203CCB" w:rsidP="00081A05" w14:paraId="1EB585F1" w14:textId="77777777">
      <w:pPr>
        <w:pStyle w:val="ListParagraph"/>
        <w:numPr>
          <w:ilvl w:val="0"/>
          <w:numId w:val="7"/>
        </w:numPr>
        <w:spacing w:after="160" w:line="278" w:lineRule="auto"/>
        <w:contextualSpacing/>
        <w:rPr>
          <w:rFonts w:ascii="Times New Roman" w:hAnsi="Times New Roman" w:cs="Times New Roman"/>
        </w:rPr>
      </w:pPr>
      <w:r>
        <w:rPr>
          <w:rFonts w:ascii="Times New Roman" w:hAnsi="Times New Roman" w:cs="Times New Roman"/>
        </w:rPr>
        <w:t>Voluntary Information:</w:t>
      </w:r>
    </w:p>
    <w:p w:rsidR="00203CCB" w:rsidP="00081A05" w14:paraId="34E02E17" w14:textId="77777777">
      <w:pPr>
        <w:pStyle w:val="ListParagraph"/>
        <w:numPr>
          <w:ilvl w:val="1"/>
          <w:numId w:val="7"/>
        </w:numPr>
        <w:spacing w:after="160" w:line="278" w:lineRule="auto"/>
        <w:contextualSpacing/>
        <w:rPr>
          <w:rFonts w:ascii="Times New Roman" w:hAnsi="Times New Roman" w:cs="Times New Roman"/>
        </w:rPr>
      </w:pPr>
      <w:r>
        <w:rPr>
          <w:rFonts w:ascii="Times New Roman" w:hAnsi="Times New Roman" w:cs="Times New Roman"/>
        </w:rPr>
        <w:t>Generator Availability</w:t>
      </w:r>
    </w:p>
    <w:p w:rsidR="00203CCB" w:rsidP="00081A05" w14:paraId="17550365" w14:textId="77777777">
      <w:pPr>
        <w:pStyle w:val="ListParagraph"/>
        <w:numPr>
          <w:ilvl w:val="1"/>
          <w:numId w:val="7"/>
        </w:numPr>
        <w:spacing w:after="160" w:line="278" w:lineRule="auto"/>
        <w:contextualSpacing/>
        <w:rPr>
          <w:rFonts w:ascii="Times New Roman" w:hAnsi="Times New Roman" w:cs="Times New Roman"/>
        </w:rPr>
      </w:pPr>
      <w:r>
        <w:rPr>
          <w:rFonts w:ascii="Times New Roman" w:hAnsi="Times New Roman" w:cs="Times New Roman"/>
        </w:rPr>
        <w:t>For Filers Not Required to Report Broadband Status:</w:t>
      </w:r>
    </w:p>
    <w:p w:rsidR="00203CCB" w:rsidP="00081A05" w14:paraId="337007C5" w14:textId="77777777">
      <w:pPr>
        <w:pStyle w:val="ListParagraph"/>
        <w:numPr>
          <w:ilvl w:val="2"/>
          <w:numId w:val="7"/>
        </w:numPr>
        <w:spacing w:after="160" w:line="278" w:lineRule="auto"/>
        <w:contextualSpacing/>
        <w:rPr>
          <w:rFonts w:ascii="Times New Roman" w:hAnsi="Times New Roman" w:cs="Times New Roman"/>
        </w:rPr>
      </w:pPr>
      <w:r>
        <w:rPr>
          <w:rFonts w:ascii="Times New Roman" w:hAnsi="Times New Roman" w:cs="Times New Roman"/>
        </w:rPr>
        <w:t xml:space="preserve">Number of Broadband Access Subscribers Served </w:t>
      </w:r>
    </w:p>
    <w:p w:rsidR="00203CCB" w:rsidP="00081A05" w14:paraId="6BE6CE61" w14:textId="77777777">
      <w:pPr>
        <w:pStyle w:val="ListParagraph"/>
        <w:numPr>
          <w:ilvl w:val="2"/>
          <w:numId w:val="7"/>
        </w:numPr>
        <w:spacing w:after="160" w:line="278" w:lineRule="auto"/>
        <w:contextualSpacing/>
        <w:rPr>
          <w:rFonts w:ascii="Times New Roman" w:hAnsi="Times New Roman" w:cs="Times New Roman"/>
        </w:rPr>
      </w:pPr>
      <w:r>
        <w:rPr>
          <w:rFonts w:ascii="Times New Roman" w:hAnsi="Times New Roman" w:cs="Times New Roman"/>
        </w:rPr>
        <w:t xml:space="preserve">Estimated Number of Broadband Access Subscribers Down </w:t>
      </w:r>
    </w:p>
    <w:p w:rsidR="00203CCB" w:rsidP="00081A05" w14:paraId="108859D3" w14:textId="77777777">
      <w:pPr>
        <w:widowControl/>
        <w:rPr>
          <w:szCs w:val="22"/>
        </w:rPr>
      </w:pPr>
      <w:r w:rsidRPr="00A2406F">
        <w:rPr>
          <w:szCs w:val="22"/>
          <w:u w:val="single"/>
        </w:rPr>
        <w:t>Interconnected VoIP</w:t>
      </w:r>
      <w:r>
        <w:rPr>
          <w:szCs w:val="22"/>
          <w:u w:val="single"/>
        </w:rPr>
        <w:t xml:space="preserve"> Providers</w:t>
      </w:r>
      <w:r>
        <w:rPr>
          <w:szCs w:val="22"/>
        </w:rPr>
        <w:t xml:space="preserve">:  </w:t>
      </w:r>
    </w:p>
    <w:p w:rsidR="00203CCB" w:rsidP="00081A05" w14:paraId="59EAAD6C" w14:textId="77777777">
      <w:pPr>
        <w:pStyle w:val="ListParagraph"/>
        <w:numPr>
          <w:ilvl w:val="0"/>
          <w:numId w:val="6"/>
        </w:numPr>
        <w:spacing w:after="160" w:line="278" w:lineRule="auto"/>
        <w:contextualSpacing/>
        <w:rPr>
          <w:rFonts w:ascii="Times New Roman" w:hAnsi="Times New Roman" w:cs="Times New Roman"/>
        </w:rPr>
      </w:pPr>
      <w:r>
        <w:rPr>
          <w:rFonts w:ascii="Times New Roman" w:hAnsi="Times New Roman" w:cs="Times New Roman"/>
        </w:rPr>
        <w:t>Required Information:</w:t>
      </w:r>
    </w:p>
    <w:p w:rsidR="00203CCB" w:rsidP="00081A05" w14:paraId="1B0BE3CD"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Type of Major Equipment Down</w:t>
      </w:r>
    </w:p>
    <w:p w:rsidR="00203CCB" w:rsidRPr="00EC4F81" w:rsidP="00081A05" w14:paraId="322EE19A"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 xml:space="preserve">Power Status </w:t>
      </w:r>
    </w:p>
    <w:p w:rsidR="00203CCB" w:rsidP="00081A05" w14:paraId="4B919847"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Common Language Location Identifier (CLLI) Code for the Equipment</w:t>
      </w:r>
    </w:p>
    <w:p w:rsidR="00203CCB" w:rsidP="00081A05" w14:paraId="2B8BB2A3"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Impacted Equipment Location Information (Latitude/Longitude or Street Address/City/State/Zip)</w:t>
      </w:r>
    </w:p>
    <w:p w:rsidR="00203CCB" w:rsidP="00081A05" w14:paraId="2950DEB3"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 xml:space="preserve">Number of Interconnected VoIP Subscribers Served </w:t>
      </w:r>
    </w:p>
    <w:p w:rsidR="00203CCB" w:rsidP="00081A05" w14:paraId="1E7C3772"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Estimated Number of Interconnected VoIP/Cable Communications Subscribers Down by County or Municipality</w:t>
      </w:r>
    </w:p>
    <w:p w:rsidR="00203CCB" w:rsidRPr="00415C61" w:rsidP="00081A05" w14:paraId="1E67CFA8" w14:textId="77777777">
      <w:pPr>
        <w:widowControl/>
      </w:pPr>
    </w:p>
    <w:p w:rsidR="00203CCB" w:rsidP="00081A05" w14:paraId="0F961F33"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Number of OC3s or Functional Equivalents Down</w:t>
      </w:r>
    </w:p>
    <w:p w:rsidR="00203CCB" w:rsidP="00081A05" w14:paraId="0D379FBA"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 xml:space="preserve">For Filers Required to Report Broadband Status:  </w:t>
      </w:r>
    </w:p>
    <w:p w:rsidR="00203CCB" w:rsidP="00081A05" w14:paraId="29F75EE4" w14:textId="77777777">
      <w:pPr>
        <w:pStyle w:val="ListParagraph"/>
        <w:numPr>
          <w:ilvl w:val="2"/>
          <w:numId w:val="6"/>
        </w:numPr>
        <w:spacing w:after="160" w:line="278" w:lineRule="auto"/>
        <w:contextualSpacing/>
        <w:rPr>
          <w:rFonts w:ascii="Times New Roman" w:hAnsi="Times New Roman" w:cs="Times New Roman"/>
        </w:rPr>
      </w:pPr>
      <w:r>
        <w:rPr>
          <w:rFonts w:ascii="Times New Roman" w:hAnsi="Times New Roman" w:cs="Times New Roman"/>
        </w:rPr>
        <w:t xml:space="preserve">Number of Broadband Access Subscribers Estimated Number of Broadband Access Subscribers Down </w:t>
      </w:r>
    </w:p>
    <w:p w:rsidR="00203CCB" w:rsidP="00081A05" w14:paraId="12000CC6" w14:textId="77777777">
      <w:pPr>
        <w:pStyle w:val="ListParagraph"/>
        <w:numPr>
          <w:ilvl w:val="0"/>
          <w:numId w:val="6"/>
        </w:numPr>
        <w:spacing w:after="160" w:line="278" w:lineRule="auto"/>
        <w:contextualSpacing/>
        <w:rPr>
          <w:rFonts w:ascii="Times New Roman" w:hAnsi="Times New Roman" w:cs="Times New Roman"/>
        </w:rPr>
      </w:pPr>
      <w:r>
        <w:rPr>
          <w:rFonts w:ascii="Times New Roman" w:hAnsi="Times New Roman" w:cs="Times New Roman"/>
        </w:rPr>
        <w:t>Voluntary Information:</w:t>
      </w:r>
    </w:p>
    <w:p w:rsidR="00203CCB" w:rsidP="00081A05" w14:paraId="26F6C765"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Generator Availability</w:t>
      </w:r>
    </w:p>
    <w:p w:rsidR="00203CCB" w:rsidP="00081A05" w14:paraId="644C41C2" w14:textId="77777777">
      <w:pPr>
        <w:pStyle w:val="ListParagraph"/>
        <w:numPr>
          <w:ilvl w:val="1"/>
          <w:numId w:val="6"/>
        </w:numPr>
        <w:spacing w:after="160" w:line="278" w:lineRule="auto"/>
        <w:contextualSpacing/>
        <w:rPr>
          <w:rFonts w:ascii="Times New Roman" w:hAnsi="Times New Roman" w:cs="Times New Roman"/>
        </w:rPr>
      </w:pPr>
      <w:r>
        <w:rPr>
          <w:rFonts w:ascii="Times New Roman" w:hAnsi="Times New Roman" w:cs="Times New Roman"/>
        </w:rPr>
        <w:t xml:space="preserve">For Filers Not Required to Report Broadband Status:  </w:t>
      </w:r>
    </w:p>
    <w:p w:rsidR="00203CCB" w:rsidP="00081A05" w14:paraId="5C83A809" w14:textId="77777777">
      <w:pPr>
        <w:pStyle w:val="ListParagraph"/>
        <w:numPr>
          <w:ilvl w:val="2"/>
          <w:numId w:val="6"/>
        </w:numPr>
        <w:spacing w:after="160" w:line="278" w:lineRule="auto"/>
        <w:contextualSpacing/>
        <w:rPr>
          <w:rFonts w:ascii="Times New Roman" w:hAnsi="Times New Roman" w:cs="Times New Roman"/>
        </w:rPr>
      </w:pPr>
      <w:r>
        <w:rPr>
          <w:rFonts w:ascii="Times New Roman" w:hAnsi="Times New Roman" w:cs="Times New Roman"/>
        </w:rPr>
        <w:t xml:space="preserve">Number of Broadband Access Subscribers Served </w:t>
      </w:r>
    </w:p>
    <w:p w:rsidR="00203CCB" w:rsidRPr="005E33F5" w:rsidP="00081A05" w14:paraId="41D24513" w14:textId="77777777">
      <w:pPr>
        <w:pStyle w:val="ListParagraph"/>
        <w:numPr>
          <w:ilvl w:val="2"/>
          <w:numId w:val="6"/>
        </w:numPr>
        <w:spacing w:after="160" w:line="278" w:lineRule="auto"/>
        <w:contextualSpacing/>
        <w:rPr>
          <w:rFonts w:ascii="Times New Roman" w:hAnsi="Times New Roman" w:cs="Times New Roman"/>
        </w:rPr>
      </w:pPr>
      <w:r>
        <w:rPr>
          <w:rFonts w:ascii="Times New Roman" w:hAnsi="Times New Roman" w:cs="Times New Roman"/>
        </w:rPr>
        <w:t xml:space="preserve">Estimated Number of Broadband Access Subscribers Down </w:t>
      </w:r>
    </w:p>
    <w:p w:rsidR="00203CCB" w:rsidP="00081A05" w14:paraId="3AB0C1A5" w14:textId="77777777">
      <w:pPr>
        <w:widowControl/>
        <w:rPr>
          <w:szCs w:val="22"/>
        </w:rPr>
      </w:pPr>
      <w:r>
        <w:rPr>
          <w:szCs w:val="22"/>
          <w:u w:val="single"/>
        </w:rPr>
        <w:t>Public Safety Voice and Broadband Network Operators</w:t>
      </w:r>
      <w:r>
        <w:rPr>
          <w:szCs w:val="22"/>
        </w:rPr>
        <w:t>:</w:t>
      </w:r>
    </w:p>
    <w:p w:rsidR="00203CCB" w:rsidRPr="006022DC" w:rsidP="00081A05" w14:paraId="2A01A551" w14:textId="77777777">
      <w:pPr>
        <w:pStyle w:val="ListParagraph"/>
        <w:numPr>
          <w:ilvl w:val="0"/>
          <w:numId w:val="10"/>
        </w:numPr>
        <w:spacing w:after="200" w:line="276" w:lineRule="auto"/>
        <w:contextualSpacing/>
      </w:pPr>
      <w:r w:rsidRPr="006022DC">
        <w:rPr>
          <w:rFonts w:ascii="Times New Roman" w:hAnsi="Times New Roman" w:cs="Times New Roman"/>
        </w:rPr>
        <w:t xml:space="preserve">Required and </w:t>
      </w:r>
      <w:r>
        <w:rPr>
          <w:rFonts w:ascii="Times New Roman" w:hAnsi="Times New Roman" w:cs="Times New Roman"/>
        </w:rPr>
        <w:t>v</w:t>
      </w:r>
      <w:r w:rsidRPr="006022DC">
        <w:rPr>
          <w:rFonts w:ascii="Times New Roman" w:hAnsi="Times New Roman" w:cs="Times New Roman"/>
        </w:rPr>
        <w:t xml:space="preserve">oluntary </w:t>
      </w:r>
      <w:r>
        <w:rPr>
          <w:rFonts w:ascii="Times New Roman" w:hAnsi="Times New Roman" w:cs="Times New Roman"/>
        </w:rPr>
        <w:t>i</w:t>
      </w:r>
      <w:r w:rsidRPr="006022DC">
        <w:rPr>
          <w:rFonts w:ascii="Times New Roman" w:hAnsi="Times New Roman" w:cs="Times New Roman"/>
        </w:rPr>
        <w:t xml:space="preserve">nformation </w:t>
      </w:r>
      <w:r>
        <w:rPr>
          <w:rFonts w:ascii="Times New Roman" w:hAnsi="Times New Roman" w:cs="Times New Roman"/>
        </w:rPr>
        <w:t xml:space="preserve">will align with the underlying technology used by the individual public safety voice and broadband network operator (e.g., a public safety voice and broadband network that relies on wireless technology will report the same information as a wireless provider).  </w:t>
      </w:r>
    </w:p>
    <w:p w:rsidR="00203CCB" w:rsidP="00081A05" w14:paraId="1C2FEE1E" w14:textId="77777777">
      <w:pPr>
        <w:widowControl/>
        <w:rPr>
          <w:szCs w:val="22"/>
        </w:rPr>
      </w:pPr>
      <w:r w:rsidRPr="00A2406F">
        <w:rPr>
          <w:szCs w:val="22"/>
          <w:u w:val="single"/>
        </w:rPr>
        <w:t>Wireless Providers</w:t>
      </w:r>
      <w:r>
        <w:rPr>
          <w:szCs w:val="22"/>
        </w:rPr>
        <w:t>:</w:t>
      </w:r>
    </w:p>
    <w:p w:rsidR="00203CCB" w:rsidP="00081A05" w14:paraId="75CEB8A1" w14:textId="77777777">
      <w:pPr>
        <w:pStyle w:val="ListParagraph"/>
        <w:numPr>
          <w:ilvl w:val="0"/>
          <w:numId w:val="8"/>
        </w:numPr>
        <w:spacing w:after="160" w:line="278" w:lineRule="auto"/>
        <w:contextualSpacing/>
        <w:rPr>
          <w:rFonts w:ascii="Times New Roman" w:hAnsi="Times New Roman" w:cs="Times New Roman"/>
        </w:rPr>
      </w:pPr>
      <w:r>
        <w:rPr>
          <w:rFonts w:ascii="Times New Roman" w:hAnsi="Times New Roman" w:cs="Times New Roman"/>
        </w:rPr>
        <w:t>Required Information for Wireless Providers and Public Safety V</w:t>
      </w:r>
      <w:r w:rsidRPr="006022DC">
        <w:rPr>
          <w:rFonts w:ascii="Times New Roman" w:hAnsi="Times New Roman" w:cs="Times New Roman"/>
        </w:rPr>
        <w:t>oice and</w:t>
      </w:r>
      <w:r>
        <w:t xml:space="preserve"> </w:t>
      </w:r>
      <w:r>
        <w:rPr>
          <w:rFonts w:ascii="Times New Roman" w:hAnsi="Times New Roman" w:cs="Times New Roman"/>
        </w:rPr>
        <w:t xml:space="preserve">Broadband Network Operators, if Applicable: </w:t>
      </w:r>
    </w:p>
    <w:p w:rsidR="00203CCB" w:rsidP="00081A05" w14:paraId="168E007C"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Type of Major Equipment Down</w:t>
      </w:r>
    </w:p>
    <w:p w:rsidR="00203CCB" w:rsidRPr="00EC4F81" w:rsidP="00081A05" w14:paraId="60B56299"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 xml:space="preserve">Power Status </w:t>
      </w:r>
    </w:p>
    <w:p w:rsidR="00203CCB" w:rsidP="00081A05" w14:paraId="29946159"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Common Language Location Identifier (CLLI) Code for the Equipment</w:t>
      </w:r>
    </w:p>
    <w:p w:rsidR="00203CCB" w:rsidP="00081A05" w14:paraId="3C675E09"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Cell Sites Down by County</w:t>
      </w:r>
    </w:p>
    <w:p w:rsidR="00203CCB" w:rsidP="00081A05" w14:paraId="648F5CC7"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Cell Sites Out Due to Cell Site Damage by County</w:t>
      </w:r>
    </w:p>
    <w:p w:rsidR="00203CCB" w:rsidP="00081A05" w14:paraId="6AE73281"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Cell Sites Out Due to Transport by County</w:t>
      </w:r>
    </w:p>
    <w:p w:rsidR="00203CCB" w:rsidP="00081A05" w14:paraId="42897480"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Cell Sites Out Due to No Power at Cell Site by County</w:t>
      </w:r>
    </w:p>
    <w:p w:rsidR="00203CCB" w:rsidP="00081A05" w14:paraId="2E47333C"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Cell Sites on Backup Power by County</w:t>
      </w:r>
    </w:p>
    <w:p w:rsidR="00203CCB" w:rsidP="00081A05" w14:paraId="7C854B60"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 xml:space="preserve">Equipment </w:t>
      </w:r>
      <w:r w:rsidRPr="00BA3526">
        <w:rPr>
          <w:rFonts w:ascii="Times New Roman" w:hAnsi="Times New Roman" w:cs="Times New Roman"/>
        </w:rPr>
        <w:t>Address Information (Latitude/Longitude or Street Address/City/State/Zip)</w:t>
      </w:r>
      <w:r>
        <w:rPr>
          <w:rFonts w:ascii="Times New Roman" w:hAnsi="Times New Roman" w:cs="Times New Roman"/>
        </w:rPr>
        <w:t xml:space="preserve"> </w:t>
      </w:r>
    </w:p>
    <w:p w:rsidR="00203CCB" w:rsidP="00081A05" w14:paraId="20A9A620"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Public Safety V</w:t>
      </w:r>
      <w:r w:rsidRPr="00840407">
        <w:rPr>
          <w:rFonts w:ascii="Times New Roman" w:hAnsi="Times New Roman" w:cs="Times New Roman"/>
        </w:rPr>
        <w:t>oice</w:t>
      </w:r>
      <w:r>
        <w:t xml:space="preserve"> and </w:t>
      </w:r>
      <w:r>
        <w:rPr>
          <w:rFonts w:ascii="Times New Roman" w:hAnsi="Times New Roman" w:cs="Times New Roman"/>
        </w:rPr>
        <w:t>Broadband Network Operators</w:t>
      </w:r>
    </w:p>
    <w:p w:rsidR="00203CCB" w:rsidRPr="005C547A" w:rsidP="00081A05" w14:paraId="2756E408" w14:textId="77777777">
      <w:pPr>
        <w:pStyle w:val="ListParagraph"/>
        <w:numPr>
          <w:ilvl w:val="2"/>
          <w:numId w:val="8"/>
        </w:numPr>
        <w:spacing w:after="160" w:line="278" w:lineRule="auto"/>
        <w:contextualSpacing/>
        <w:rPr>
          <w:rFonts w:ascii="Times New Roman" w:hAnsi="Times New Roman" w:cs="Times New Roman"/>
        </w:rPr>
      </w:pPr>
      <w:r>
        <w:rPr>
          <w:rFonts w:ascii="Times New Roman" w:hAnsi="Times New Roman" w:cs="Times New Roman"/>
        </w:rPr>
        <w:t>Status of Major Equipment and Cell Sites the Same as for the Commercial Network</w:t>
      </w:r>
    </w:p>
    <w:p w:rsidR="00203CCB" w:rsidP="00081A05" w14:paraId="4B76C88B" w14:textId="77777777">
      <w:pPr>
        <w:pStyle w:val="ListParagraph"/>
        <w:numPr>
          <w:ilvl w:val="2"/>
          <w:numId w:val="8"/>
        </w:numPr>
        <w:spacing w:after="160" w:line="278" w:lineRule="auto"/>
        <w:contextualSpacing/>
        <w:rPr>
          <w:rFonts w:ascii="Times New Roman" w:hAnsi="Times New Roman" w:cs="Times New Roman"/>
        </w:rPr>
      </w:pPr>
      <w:r>
        <w:rPr>
          <w:rFonts w:ascii="Times New Roman" w:hAnsi="Times New Roman" w:cs="Times New Roman"/>
        </w:rPr>
        <w:t>Number of Public Safety Customers Served in DIRS Activation Area</w:t>
      </w:r>
    </w:p>
    <w:p w:rsidR="00203CCB" w:rsidP="00081A05" w14:paraId="26F85AD5" w14:textId="77777777">
      <w:pPr>
        <w:pStyle w:val="ListParagraph"/>
        <w:numPr>
          <w:ilvl w:val="2"/>
          <w:numId w:val="8"/>
        </w:numPr>
        <w:spacing w:after="160" w:line="278" w:lineRule="auto"/>
        <w:contextualSpacing/>
        <w:rPr>
          <w:rFonts w:ascii="Times New Roman" w:hAnsi="Times New Roman" w:cs="Times New Roman"/>
        </w:rPr>
      </w:pPr>
      <w:r>
        <w:rPr>
          <w:rFonts w:ascii="Times New Roman" w:hAnsi="Times New Roman" w:cs="Times New Roman"/>
        </w:rPr>
        <w:t>Estimated Number of Public Safety Customers Down</w:t>
      </w:r>
    </w:p>
    <w:p w:rsidR="00203CCB" w:rsidRPr="00BA3526" w:rsidP="00081A05" w14:paraId="20C16B28" w14:textId="77777777">
      <w:pPr>
        <w:pStyle w:val="ListParagraph"/>
        <w:numPr>
          <w:ilvl w:val="2"/>
          <w:numId w:val="8"/>
        </w:numPr>
        <w:spacing w:after="160" w:line="278" w:lineRule="auto"/>
        <w:contextualSpacing/>
        <w:rPr>
          <w:rFonts w:ascii="Times New Roman" w:hAnsi="Times New Roman" w:cs="Times New Roman"/>
        </w:rPr>
      </w:pPr>
      <w:r>
        <w:rPr>
          <w:rFonts w:ascii="Times New Roman" w:hAnsi="Times New Roman" w:cs="Times New Roman"/>
        </w:rPr>
        <w:t>Regionally Appropriate Public Safety V</w:t>
      </w:r>
      <w:r w:rsidRPr="006022DC">
        <w:rPr>
          <w:rFonts w:ascii="Times New Roman" w:hAnsi="Times New Roman" w:cs="Times New Roman"/>
        </w:rPr>
        <w:t>oice and</w:t>
      </w:r>
      <w:r>
        <w:t xml:space="preserve"> </w:t>
      </w:r>
      <w:r>
        <w:rPr>
          <w:rFonts w:ascii="Times New Roman" w:hAnsi="Times New Roman" w:cs="Times New Roman"/>
        </w:rPr>
        <w:t xml:space="preserve">Broadband Network Contact Name, Telephone, and Email Information </w:t>
      </w:r>
    </w:p>
    <w:p w:rsidR="00203CCB" w:rsidP="00081A05" w14:paraId="3738A5D7" w14:textId="77777777">
      <w:pPr>
        <w:pStyle w:val="ListParagraph"/>
        <w:numPr>
          <w:ilvl w:val="0"/>
          <w:numId w:val="8"/>
        </w:numPr>
        <w:spacing w:after="160" w:line="278" w:lineRule="auto"/>
        <w:contextualSpacing/>
        <w:rPr>
          <w:rFonts w:ascii="Times New Roman" w:hAnsi="Times New Roman" w:cs="Times New Roman"/>
        </w:rPr>
      </w:pPr>
      <w:r>
        <w:rPr>
          <w:rFonts w:ascii="Times New Roman" w:hAnsi="Times New Roman" w:cs="Times New Roman"/>
        </w:rPr>
        <w:t xml:space="preserve">Voluntary Information for Wireless Providers </w:t>
      </w:r>
      <w:r w:rsidRPr="00D60BCE">
        <w:rPr>
          <w:rFonts w:ascii="Times New Roman" w:hAnsi="Times New Roman" w:cs="Times New Roman"/>
        </w:rPr>
        <w:t>and</w:t>
      </w:r>
      <w:r w:rsidRPr="00D60BCE">
        <w:rPr>
          <w:rFonts w:ascii="Times New Roman" w:eastAsia="Times New Roman" w:hAnsi="Times New Roman" w:cs="Times New Roman"/>
          <w:snapToGrid w:val="0"/>
          <w:kern w:val="28"/>
        </w:rPr>
        <w:t xml:space="preserve"> </w:t>
      </w:r>
      <w:r w:rsidRPr="00D60BCE">
        <w:rPr>
          <w:rFonts w:ascii="Times New Roman" w:hAnsi="Times New Roman" w:cs="Times New Roman"/>
        </w:rPr>
        <w:t xml:space="preserve">Public Safety </w:t>
      </w:r>
      <w:r>
        <w:rPr>
          <w:rFonts w:ascii="Times New Roman" w:hAnsi="Times New Roman" w:cs="Times New Roman"/>
        </w:rPr>
        <w:t>V</w:t>
      </w:r>
      <w:r w:rsidRPr="006022DC">
        <w:rPr>
          <w:rFonts w:ascii="Times New Roman" w:hAnsi="Times New Roman" w:cs="Times New Roman"/>
        </w:rPr>
        <w:t>oice and</w:t>
      </w:r>
      <w:r>
        <w:t xml:space="preserve"> </w:t>
      </w:r>
      <w:r w:rsidRPr="00D60BCE">
        <w:rPr>
          <w:rFonts w:ascii="Times New Roman" w:hAnsi="Times New Roman" w:cs="Times New Roman"/>
        </w:rPr>
        <w:t>Broadband Network Operators</w:t>
      </w:r>
      <w:r>
        <w:rPr>
          <w:rFonts w:ascii="Times New Roman" w:hAnsi="Times New Roman" w:cs="Times New Roman"/>
        </w:rPr>
        <w:t xml:space="preserve">:  </w:t>
      </w:r>
    </w:p>
    <w:p w:rsidR="00203CCB" w:rsidP="00081A05" w14:paraId="133EE773"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Generator Availability</w:t>
      </w:r>
    </w:p>
    <w:p w:rsidR="00203CCB" w:rsidRPr="00D76E05" w:rsidP="00081A05" w14:paraId="6F41DF0C" w14:textId="77777777">
      <w:pPr>
        <w:pStyle w:val="ListParagraph"/>
        <w:numPr>
          <w:ilvl w:val="1"/>
          <w:numId w:val="8"/>
        </w:numPr>
        <w:spacing w:after="160" w:line="278" w:lineRule="auto"/>
        <w:contextualSpacing/>
        <w:rPr>
          <w:rFonts w:ascii="Times New Roman" w:hAnsi="Times New Roman" w:cs="Times New Roman"/>
        </w:rPr>
      </w:pPr>
      <w:r>
        <w:rPr>
          <w:rFonts w:ascii="Times New Roman" w:hAnsi="Times New Roman" w:cs="Times New Roman"/>
        </w:rPr>
        <w:t>Location and Coverage of Down Cell Sites (shapefile/CLLI codes)</w:t>
      </w:r>
      <w:r w:rsidRPr="00D76E05">
        <w:rPr>
          <w:rFonts w:ascii="Times New Roman" w:hAnsi="Times New Roman" w:cs="Times New Roman"/>
        </w:rPr>
        <w:t xml:space="preserve"> </w:t>
      </w:r>
    </w:p>
    <w:p w:rsidR="00203CCB" w:rsidP="00081A05" w14:paraId="4D16B902" w14:textId="77777777">
      <w:pPr>
        <w:widowControl/>
        <w:rPr>
          <w:szCs w:val="22"/>
        </w:rPr>
      </w:pPr>
      <w:r w:rsidRPr="00A65FE7">
        <w:rPr>
          <w:szCs w:val="22"/>
          <w:u w:val="single"/>
        </w:rPr>
        <w:t>Wireline Providers</w:t>
      </w:r>
      <w:r>
        <w:rPr>
          <w:szCs w:val="22"/>
        </w:rPr>
        <w:t xml:space="preserve">:  </w:t>
      </w:r>
    </w:p>
    <w:p w:rsidR="00203CCB" w:rsidP="00081A05" w14:paraId="7BC4600F" w14:textId="77777777">
      <w:pPr>
        <w:pStyle w:val="ListParagraph"/>
        <w:numPr>
          <w:ilvl w:val="0"/>
          <w:numId w:val="9"/>
        </w:numPr>
        <w:spacing w:after="160" w:line="278" w:lineRule="auto"/>
        <w:contextualSpacing/>
        <w:rPr>
          <w:rFonts w:ascii="Times New Roman" w:hAnsi="Times New Roman" w:cs="Times New Roman"/>
        </w:rPr>
      </w:pPr>
      <w:r>
        <w:rPr>
          <w:rFonts w:ascii="Times New Roman" w:hAnsi="Times New Roman" w:cs="Times New Roman"/>
        </w:rPr>
        <w:t xml:space="preserve">Required Information: </w:t>
      </w:r>
    </w:p>
    <w:p w:rsidR="00203CCB" w:rsidP="00081A05" w14:paraId="37A61397"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Type of Major Equipment Down</w:t>
      </w:r>
    </w:p>
    <w:p w:rsidR="00203CCB" w:rsidP="00081A05" w14:paraId="794A504F"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 xml:space="preserve">Power Status </w:t>
      </w:r>
    </w:p>
    <w:p w:rsidR="00203CCB" w:rsidP="00081A05" w14:paraId="32F7D957"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Common Language Location Identifier (CLLI) Code for the Equipment</w:t>
      </w:r>
    </w:p>
    <w:p w:rsidR="00203CCB" w:rsidP="00081A05" w14:paraId="6959B525"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Number of Working Numbers Served</w:t>
      </w:r>
    </w:p>
    <w:p w:rsidR="00203CCB" w:rsidRPr="00415C61" w:rsidP="00081A05" w14:paraId="318744C7" w14:textId="77777777">
      <w:pPr>
        <w:widowControl/>
      </w:pPr>
    </w:p>
    <w:p w:rsidR="00203CCB" w:rsidP="00081A05" w14:paraId="2D665532"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Number of Working Numbers Down</w:t>
      </w:r>
    </w:p>
    <w:p w:rsidR="00203CCB" w:rsidRPr="00211D9C" w:rsidP="00081A05" w14:paraId="49DF1CE8"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Impacted Equipment Location Information (Latitude/Longitude or Street Address/City/State/Zip)</w:t>
      </w:r>
    </w:p>
    <w:p w:rsidR="00203CCB" w:rsidRPr="00EB1E70" w:rsidP="00081A05" w14:paraId="0F64BD89"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Number of OC3s or Functional Equivalents Down</w:t>
      </w:r>
    </w:p>
    <w:p w:rsidR="00203CCB" w:rsidP="00081A05" w14:paraId="26C7EEAA"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 xml:space="preserve">For Filers Required to Report Broadband Status:  </w:t>
      </w:r>
    </w:p>
    <w:p w:rsidR="00203CCB" w:rsidP="00081A05" w14:paraId="5F1BA495"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Number of Broadband Access Subscribers Served</w:t>
      </w:r>
    </w:p>
    <w:p w:rsidR="00203CCB" w:rsidP="00081A05" w14:paraId="4285C424"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Estimated Number of Broadband Access Subscribers Down</w:t>
      </w:r>
    </w:p>
    <w:p w:rsidR="00203CCB" w:rsidP="00081A05" w14:paraId="20C27504"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 xml:space="preserve">For </w:t>
      </w:r>
      <w:bookmarkStart w:id="113" w:name="_Hlk200982966"/>
      <w:r>
        <w:rPr>
          <w:rFonts w:ascii="Times New Roman" w:hAnsi="Times New Roman" w:cs="Times New Roman"/>
        </w:rPr>
        <w:t xml:space="preserve">Public Safety Answering Point (PSAPs) </w:t>
      </w:r>
      <w:bookmarkEnd w:id="113"/>
      <w:r>
        <w:rPr>
          <w:rFonts w:ascii="Times New Roman" w:hAnsi="Times New Roman" w:cs="Times New Roman"/>
        </w:rPr>
        <w:t>Served</w:t>
      </w:r>
    </w:p>
    <w:p w:rsidR="00203CCB" w:rsidP="00081A05" w14:paraId="5F0FEF6C"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PSAP Name</w:t>
      </w:r>
    </w:p>
    <w:p w:rsidR="00203CCB" w:rsidP="00081A05" w14:paraId="0160DB54"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Area Served by PSAP (e.g., County)</w:t>
      </w:r>
    </w:p>
    <w:p w:rsidR="00203CCB" w:rsidP="00081A05" w14:paraId="7BCAD7DD"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Number of Customers Served by PSAP</w:t>
      </w:r>
    </w:p>
    <w:p w:rsidR="00203CCB" w:rsidP="00081A05" w14:paraId="2FC83BE3"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 xml:space="preserve">Zip Code                       </w:t>
      </w:r>
    </w:p>
    <w:p w:rsidR="00203CCB" w:rsidP="00081A05" w14:paraId="2FAE498F"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For Remote Aggregation Devices Down</w:t>
      </w:r>
    </w:p>
    <w:p w:rsidR="00203CCB" w:rsidP="00081A05" w14:paraId="4C48C179"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CLLI of Switch/Geographic Area</w:t>
      </w:r>
    </w:p>
    <w:p w:rsidR="00203CCB" w:rsidP="00081A05" w14:paraId="1E332696"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Number of Working Numbers Served</w:t>
      </w:r>
    </w:p>
    <w:p w:rsidR="00203CCB" w:rsidP="00081A05" w14:paraId="2B5C03FD"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Number of Working Numbers Down</w:t>
      </w:r>
    </w:p>
    <w:p w:rsidR="00203CCB" w:rsidP="00081A05" w14:paraId="0411BCEF" w14:textId="77777777">
      <w:pPr>
        <w:pStyle w:val="ListParagraph"/>
        <w:numPr>
          <w:ilvl w:val="0"/>
          <w:numId w:val="9"/>
        </w:numPr>
        <w:spacing w:after="160" w:line="278" w:lineRule="auto"/>
        <w:contextualSpacing/>
        <w:rPr>
          <w:rFonts w:ascii="Times New Roman" w:hAnsi="Times New Roman" w:cs="Times New Roman"/>
        </w:rPr>
      </w:pPr>
      <w:r>
        <w:rPr>
          <w:rFonts w:ascii="Times New Roman" w:hAnsi="Times New Roman" w:cs="Times New Roman"/>
        </w:rPr>
        <w:t xml:space="preserve">Voluntary Information:  </w:t>
      </w:r>
    </w:p>
    <w:p w:rsidR="00203CCB" w:rsidP="00081A05" w14:paraId="3789BCE5"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 xml:space="preserve">Generator Availability </w:t>
      </w:r>
    </w:p>
    <w:p w:rsidR="00203CCB" w:rsidP="00081A05" w14:paraId="3A206D24"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For PSAPs Served</w:t>
      </w:r>
    </w:p>
    <w:p w:rsidR="00203CCB" w:rsidP="00081A05" w14:paraId="0907D0A7"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PSAP Status</w:t>
      </w:r>
    </w:p>
    <w:p w:rsidR="00203CCB" w:rsidP="00081A05" w14:paraId="0BDC5097"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Reason PSAP Is Out or Rerouted</w:t>
      </w:r>
    </w:p>
    <w:p w:rsidR="00203CCB" w:rsidP="00081A05" w14:paraId="1E0C73FE"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Restoral Time (Projected or Actual)</w:t>
      </w:r>
    </w:p>
    <w:p w:rsidR="00203CCB" w:rsidP="00081A05" w14:paraId="5ECAA785"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Location Information (Address/City)</w:t>
      </w:r>
    </w:p>
    <w:p w:rsidR="00203CCB" w:rsidP="00081A05" w14:paraId="1F8987C3"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Number of Remote Aggregation Devices Down by CLLI or State</w:t>
      </w:r>
    </w:p>
    <w:p w:rsidR="00203CCB" w:rsidRPr="004541C9" w:rsidP="00081A05" w14:paraId="7A2A13A3"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Number of Telecommunications Service Priority (TSP) Circuits Down by State</w:t>
      </w:r>
    </w:p>
    <w:p w:rsidR="00203CCB" w:rsidP="00081A05" w14:paraId="3B403F37" w14:textId="77777777">
      <w:pPr>
        <w:pStyle w:val="ListParagraph"/>
        <w:numPr>
          <w:ilvl w:val="1"/>
          <w:numId w:val="9"/>
        </w:numPr>
        <w:spacing w:after="160" w:line="278" w:lineRule="auto"/>
        <w:contextualSpacing/>
        <w:rPr>
          <w:rFonts w:ascii="Times New Roman" w:hAnsi="Times New Roman" w:cs="Times New Roman"/>
        </w:rPr>
      </w:pPr>
      <w:r>
        <w:rPr>
          <w:rFonts w:ascii="Times New Roman" w:hAnsi="Times New Roman" w:cs="Times New Roman"/>
        </w:rPr>
        <w:t xml:space="preserve">For Filers Not Required to Report Broadband Status:  </w:t>
      </w:r>
    </w:p>
    <w:p w:rsidR="00203CCB" w:rsidP="00081A05" w14:paraId="2AC5E325"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Number of Broadband Access Subscribers Served</w:t>
      </w:r>
      <w:r w:rsidRPr="00682905">
        <w:rPr>
          <w:rFonts w:ascii="Times New Roman" w:hAnsi="Times New Roman" w:cs="Times New Roman"/>
        </w:rPr>
        <w:t xml:space="preserve"> </w:t>
      </w:r>
    </w:p>
    <w:p w:rsidR="00203CCB" w:rsidP="00081A05" w14:paraId="04A7C4D5" w14:textId="77777777">
      <w:pPr>
        <w:pStyle w:val="ListParagraph"/>
        <w:numPr>
          <w:ilvl w:val="2"/>
          <w:numId w:val="9"/>
        </w:numPr>
        <w:spacing w:after="160" w:line="278" w:lineRule="auto"/>
        <w:contextualSpacing/>
        <w:rPr>
          <w:rFonts w:ascii="Times New Roman" w:hAnsi="Times New Roman" w:cs="Times New Roman"/>
        </w:rPr>
      </w:pPr>
      <w:r>
        <w:rPr>
          <w:rFonts w:ascii="Times New Roman" w:hAnsi="Times New Roman" w:cs="Times New Roman"/>
        </w:rPr>
        <w:t xml:space="preserve">Estimated Number of Broadband Access Subscribers Down </w:t>
      </w:r>
    </w:p>
    <w:p w:rsidR="00203CCB" w:rsidP="00203CCB" w14:paraId="3336D04F" w14:textId="77777777">
      <w:pPr>
        <w:widowControl/>
        <w:rPr>
          <w:kern w:val="0"/>
        </w:rPr>
        <w:sectPr w:rsidSect="00081A05">
          <w:headerReference w:type="default" r:id="rId21"/>
          <w:footerReference w:type="even" r:id="rId22"/>
          <w:footerReference w:type="default" r:id="rId23"/>
          <w:headerReference w:type="first" r:id="rId24"/>
          <w:footerReference w:type="first" r:id="rId25"/>
          <w:endnotePr>
            <w:numFmt w:val="decimal"/>
          </w:endnotePr>
          <w:pgSz w:w="12240" w:h="15840"/>
          <w:pgMar w:top="1440" w:right="1440" w:bottom="720" w:left="1440" w:header="720" w:footer="720" w:gutter="0"/>
          <w:cols w:space="720"/>
          <w:noEndnote/>
          <w:docGrid w:linePitch="299"/>
        </w:sectPr>
      </w:pPr>
    </w:p>
    <w:p w:rsidR="00203CCB" w:rsidRPr="009A7E02" w:rsidP="00203CCB" w14:paraId="58E231A0" w14:textId="77777777">
      <w:pPr>
        <w:jc w:val="center"/>
        <w:rPr>
          <w:b/>
          <w:bCs/>
        </w:rPr>
      </w:pPr>
      <w:r w:rsidRPr="009A7E02">
        <w:rPr>
          <w:b/>
          <w:bCs/>
        </w:rPr>
        <w:t>STATEMENT OF</w:t>
      </w:r>
    </w:p>
    <w:p w:rsidR="00203CCB" w:rsidP="00203CCB" w14:paraId="7896B98A" w14:textId="77777777">
      <w:pPr>
        <w:jc w:val="center"/>
        <w:rPr>
          <w:b/>
          <w:bCs/>
        </w:rPr>
      </w:pPr>
      <w:r w:rsidRPr="009A7E02">
        <w:rPr>
          <w:b/>
          <w:bCs/>
        </w:rPr>
        <w:t>CHAIRMAN BRENDAN CARR</w:t>
      </w:r>
    </w:p>
    <w:p w:rsidR="00203CCB" w:rsidP="00203CCB" w14:paraId="4958CAFC" w14:textId="77777777">
      <w:pPr>
        <w:jc w:val="center"/>
        <w:rPr>
          <w:b/>
          <w:bCs/>
        </w:rPr>
      </w:pPr>
    </w:p>
    <w:p w:rsidR="00203CCB" w:rsidRPr="00AF4A69" w:rsidP="00203CCB" w14:paraId="6E6FF618" w14:textId="0F4BB60C">
      <w:pPr>
        <w:ind w:left="720" w:hanging="720"/>
        <w:rPr>
          <w:szCs w:val="22"/>
        </w:rPr>
      </w:pPr>
      <w:r w:rsidRPr="00AF4A69">
        <w:rPr>
          <w:szCs w:val="22"/>
        </w:rPr>
        <w:t xml:space="preserve">Re:       </w:t>
      </w:r>
      <w:r w:rsidRPr="00B0239E">
        <w:rPr>
          <w:i/>
          <w:iCs/>
          <w:szCs w:val="22"/>
        </w:rPr>
        <w:t>Resilient Networks; Amendments to Part 4 of the Commission’s Rules Concerning Disruptions to Communications; New Part 4 of the Commission’s Rules Concerning Disruptions to Communications</w:t>
      </w:r>
      <w:r>
        <w:rPr>
          <w:i/>
          <w:iCs/>
          <w:szCs w:val="22"/>
        </w:rPr>
        <w:t xml:space="preserve">, </w:t>
      </w:r>
      <w:r w:rsidRPr="00B0239E">
        <w:rPr>
          <w:szCs w:val="22"/>
        </w:rPr>
        <w:t>Third Report and Order</w:t>
      </w:r>
      <w:r w:rsidRPr="00AF4A69">
        <w:rPr>
          <w:szCs w:val="22"/>
        </w:rPr>
        <w:t xml:space="preserve">, </w:t>
      </w:r>
      <w:r w:rsidRPr="00B0239E">
        <w:rPr>
          <w:szCs w:val="22"/>
        </w:rPr>
        <w:t xml:space="preserve">PS Docket Nos. 21-346 and 15-80; ET Docket No. 04-35 </w:t>
      </w:r>
      <w:r w:rsidRPr="00AF4A69">
        <w:rPr>
          <w:szCs w:val="22"/>
        </w:rPr>
        <w:t>(May 20, 2026)</w:t>
      </w:r>
      <w:r>
        <w:rPr>
          <w:szCs w:val="22"/>
        </w:rPr>
        <w:t>.</w:t>
      </w:r>
    </w:p>
    <w:p w:rsidR="00203CCB" w:rsidRPr="00612E63" w:rsidP="00203CCB" w14:paraId="5840DAAC" w14:textId="77777777"/>
    <w:p w:rsidR="00203CCB" w:rsidRPr="00B0239E" w:rsidP="00203CCB" w14:paraId="4B11DE50" w14:textId="77777777">
      <w:pPr>
        <w:ind w:firstLine="720"/>
        <w:rPr>
          <w:szCs w:val="22"/>
        </w:rPr>
      </w:pPr>
      <w:r w:rsidRPr="00B0239E">
        <w:rPr>
          <w:szCs w:val="22"/>
        </w:rPr>
        <w:t>Later this week, I’ll be heading back to Western North Carolina, where Hurricane Helene brought catastrophic flooding and mudslides in September 2024, devastating communities, damaging critical infrastructure, and taking lives.  In January of 2025, in my first trip out of D.C. after becoming Chairman, I saw that destruction firsthand and met with first responders, providers, and residents working around the clock to restore service and rebuild.</w:t>
      </w:r>
    </w:p>
    <w:p w:rsidR="00203CCB" w:rsidRPr="00B0239E" w:rsidP="00203CCB" w14:paraId="078A7723" w14:textId="77777777">
      <w:pPr>
        <w:ind w:firstLine="720"/>
        <w:rPr>
          <w:szCs w:val="22"/>
        </w:rPr>
      </w:pPr>
    </w:p>
    <w:p w:rsidR="00203CCB" w:rsidRPr="00B0239E" w:rsidP="00203CCB" w14:paraId="6609258C" w14:textId="77777777">
      <w:pPr>
        <w:ind w:firstLine="720"/>
        <w:rPr>
          <w:szCs w:val="22"/>
        </w:rPr>
      </w:pPr>
      <w:r w:rsidRPr="00B0239E">
        <w:rPr>
          <w:szCs w:val="22"/>
        </w:rPr>
        <w:t xml:space="preserve">One thing that stood out to me in the aftermath of Hurricane Helene was how many resources were still being tied up by outdated paperwork requirements.  In the middle of a disaster recovery effort, the FCC should be focused on helping crews reconnect communities and clearing barriers that slow recovery down.  Limited manpower shouldn’t be spent on unnecessary red tape.  </w:t>
      </w:r>
    </w:p>
    <w:p w:rsidR="00203CCB" w:rsidRPr="00B0239E" w:rsidP="00203CCB" w14:paraId="07F24FAB" w14:textId="77777777">
      <w:pPr>
        <w:ind w:firstLine="720"/>
        <w:rPr>
          <w:szCs w:val="22"/>
        </w:rPr>
      </w:pPr>
    </w:p>
    <w:p w:rsidR="00203CCB" w:rsidRPr="00B0239E" w:rsidP="00203CCB" w14:paraId="75E7047F" w14:textId="77777777">
      <w:pPr>
        <w:ind w:firstLine="720"/>
        <w:rPr>
          <w:szCs w:val="22"/>
        </w:rPr>
      </w:pPr>
      <w:r w:rsidRPr="00B0239E">
        <w:rPr>
          <w:szCs w:val="22"/>
        </w:rPr>
        <w:t>That’s why I am pleased we are taking action today to modernize the FCC’s disaster reporting system in a way that reduces burdens while still ensuring we have accurate, up-to-date information on service restoration efforts.  This will be especially important for small, rural providers that may already be stretched thin during emergencies.</w:t>
      </w:r>
    </w:p>
    <w:p w:rsidR="00203CCB" w:rsidRPr="00B0239E" w:rsidP="00203CCB" w14:paraId="3AA470E0" w14:textId="77777777">
      <w:pPr>
        <w:ind w:firstLine="720"/>
        <w:rPr>
          <w:szCs w:val="22"/>
        </w:rPr>
      </w:pPr>
    </w:p>
    <w:p w:rsidR="00203CCB" w:rsidP="00203CCB" w14:paraId="518B1B37" w14:textId="77777777">
      <w:pPr>
        <w:ind w:firstLine="720"/>
        <w:rPr>
          <w:szCs w:val="22"/>
        </w:rPr>
        <w:sectPr w:rsidSect="00203CCB">
          <w:headerReference w:type="default" r:id="rId26"/>
          <w:pgSz w:w="12240" w:h="15840"/>
          <w:pgMar w:top="1440" w:right="1440" w:bottom="1440" w:left="1440" w:header="720" w:footer="720" w:gutter="0"/>
          <w:cols w:space="720"/>
          <w:docGrid w:linePitch="360"/>
        </w:sectPr>
      </w:pPr>
      <w:r w:rsidRPr="00B0239E">
        <w:rPr>
          <w:szCs w:val="22"/>
        </w:rPr>
        <w:t>For their great work on this item and their continued efforts to promote public safety, I want to thank Ryan Hedgpeth, Leon Kenworthy, Zenji Nakazawa, Austin Randazzo, Jeanne Stockman, James Wiley, and James Zigouris.</w:t>
      </w:r>
    </w:p>
    <w:p w:rsidR="00203CCB" w:rsidRPr="00DE2A13" w:rsidP="00203CCB" w14:paraId="609FDEA7" w14:textId="77777777">
      <w:pPr>
        <w:jc w:val="center"/>
        <w:rPr>
          <w:b/>
          <w:bCs/>
          <w:caps/>
          <w:szCs w:val="22"/>
        </w:rPr>
      </w:pPr>
      <w:r w:rsidRPr="00DE2A13">
        <w:rPr>
          <w:b/>
          <w:bCs/>
          <w:caps/>
          <w:szCs w:val="22"/>
        </w:rPr>
        <w:t>Statement of</w:t>
      </w:r>
    </w:p>
    <w:p w:rsidR="00203CCB" w:rsidRPr="00DE2A13" w:rsidP="00203CCB" w14:paraId="702D860E" w14:textId="77777777">
      <w:pPr>
        <w:jc w:val="center"/>
        <w:rPr>
          <w:b/>
          <w:bCs/>
          <w:caps/>
          <w:szCs w:val="22"/>
        </w:rPr>
      </w:pPr>
      <w:r w:rsidRPr="00DE2A13">
        <w:rPr>
          <w:b/>
          <w:bCs/>
          <w:caps/>
          <w:szCs w:val="22"/>
        </w:rPr>
        <w:t>Commissioner Olivia Trusty</w:t>
      </w:r>
    </w:p>
    <w:p w:rsidR="00203CCB" w:rsidP="00203CCB" w14:paraId="1D7CBBAD" w14:textId="77777777">
      <w:pPr>
        <w:rPr>
          <w:szCs w:val="22"/>
        </w:rPr>
      </w:pPr>
    </w:p>
    <w:p w:rsidR="00203CCB" w:rsidRPr="00DE2A13" w:rsidP="00203CCB" w14:paraId="5538A799" w14:textId="77777777">
      <w:pPr>
        <w:spacing w:after="120"/>
        <w:ind w:left="720" w:hanging="720"/>
        <w:rPr>
          <w:szCs w:val="22"/>
        </w:rPr>
      </w:pPr>
      <w:r w:rsidRPr="00DE2A13">
        <w:rPr>
          <w:szCs w:val="22"/>
        </w:rPr>
        <w:t xml:space="preserve">Re: </w:t>
      </w:r>
      <w:r w:rsidRPr="00DE2A13">
        <w:rPr>
          <w:szCs w:val="22"/>
        </w:rPr>
        <w:tab/>
      </w:r>
      <w:r w:rsidRPr="00DE2A13">
        <w:rPr>
          <w:i/>
          <w:szCs w:val="22"/>
        </w:rPr>
        <w:t>Resilient Networks; Amendments to Part 4 of the Commission’s Rules Concerning Disruptions to Communications; New Part 4 of the Commission’s Rules Concerning Disruptions to Communications</w:t>
      </w:r>
      <w:r w:rsidRPr="00DE2A13">
        <w:rPr>
          <w:iCs/>
          <w:szCs w:val="22"/>
        </w:rPr>
        <w:t xml:space="preserve">, </w:t>
      </w:r>
      <w:r>
        <w:rPr>
          <w:iCs/>
          <w:szCs w:val="22"/>
        </w:rPr>
        <w:t xml:space="preserve">Report and Order, </w:t>
      </w:r>
      <w:r w:rsidRPr="00DE2A13">
        <w:rPr>
          <w:iCs/>
          <w:szCs w:val="22"/>
        </w:rPr>
        <w:t>PS Docket Nos. 21-346 and 15-80; ET Docket No. 04-35</w:t>
      </w:r>
      <w:r>
        <w:rPr>
          <w:iCs/>
          <w:szCs w:val="22"/>
        </w:rPr>
        <w:t xml:space="preserve"> (May 20, 2026)</w:t>
      </w:r>
      <w:r w:rsidRPr="00DE2A13">
        <w:rPr>
          <w:szCs w:val="22"/>
        </w:rPr>
        <w:t>.</w:t>
      </w:r>
    </w:p>
    <w:p w:rsidR="00203CCB" w:rsidRPr="00DE2A13" w:rsidP="00203CCB" w14:paraId="79828AEB" w14:textId="77777777">
      <w:pPr>
        <w:spacing w:after="120"/>
        <w:ind w:firstLine="720"/>
        <w:rPr>
          <w:kern w:val="0"/>
          <w:szCs w:val="22"/>
        </w:rPr>
      </w:pPr>
      <w:r w:rsidRPr="00DE2A13">
        <w:rPr>
          <w:kern w:val="0"/>
          <w:szCs w:val="22"/>
        </w:rPr>
        <w:t xml:space="preserve">I recently traveled to Louisiana to speak with a group of rural telecommunications providers about the persistent challenges of deploying broadband in hard-to-reach parts of the country.  Given the location of the event in downtown New Orleans, our discussion also touched on the importance of network resilience and lessons learned following the massive flooding caused by Hurricane Katrina and the devastating impact it had on communications networks and other critical infrastructure. </w:t>
      </w:r>
    </w:p>
    <w:p w:rsidR="00203CCB" w:rsidRPr="00DE2A13" w:rsidP="00203CCB" w14:paraId="2018609E" w14:textId="77777777">
      <w:pPr>
        <w:spacing w:after="120"/>
        <w:ind w:firstLine="720"/>
        <w:textAlignment w:val="baseline"/>
        <w:rPr>
          <w:kern w:val="0"/>
          <w:szCs w:val="22"/>
        </w:rPr>
      </w:pPr>
      <w:r w:rsidRPr="00DE2A13">
        <w:rPr>
          <w:kern w:val="0"/>
          <w:szCs w:val="22"/>
        </w:rPr>
        <w:t>That tragedy marked a turning point in emergency preparedness, response, and coordination, sparking policy reforms including the creation of the Disaster Information Reporting System.  At its core, DIRS helps to provide situational awareness about the operational status of communications networks during emergencies and natural disasters.</w:t>
      </w:r>
      <w:r>
        <w:rPr>
          <w:kern w:val="0"/>
          <w:szCs w:val="22"/>
        </w:rPr>
        <w:t xml:space="preserve"> </w:t>
      </w:r>
      <w:r w:rsidRPr="00DE2A13">
        <w:rPr>
          <w:kern w:val="0"/>
          <w:szCs w:val="22"/>
        </w:rPr>
        <w:t xml:space="preserve"> But as</w:t>
      </w:r>
      <w:r w:rsidRPr="00DE2A13">
        <w:rPr>
          <w:kern w:val="0"/>
          <w:szCs w:val="22"/>
        </w:rPr>
        <w:t xml:space="preserve"> </w:t>
      </w:r>
      <w:r w:rsidRPr="00DE2A13">
        <w:rPr>
          <w:kern w:val="0"/>
          <w:szCs w:val="22"/>
        </w:rPr>
        <w:t xml:space="preserve">this proceeding has demonstrated, there is a need to modernize this system so that providers can submit accurate and timely information without taking on additional reporting or administrative requirements that have proven to be unnecessary to disaster response and recovery efforts.  </w:t>
      </w:r>
    </w:p>
    <w:p w:rsidR="00203CCB" w:rsidRPr="00DE2A13" w:rsidP="00203CCB" w14:paraId="623F61FE" w14:textId="77777777">
      <w:pPr>
        <w:spacing w:after="120"/>
        <w:ind w:firstLine="720"/>
        <w:textAlignment w:val="baseline"/>
        <w:rPr>
          <w:kern w:val="0"/>
          <w:szCs w:val="22"/>
        </w:rPr>
      </w:pPr>
      <w:r w:rsidRPr="00DE2A13">
        <w:rPr>
          <w:kern w:val="0"/>
          <w:szCs w:val="22"/>
        </w:rPr>
        <w:t>Today’s item streamlines the DIRS reporting process by eliminating worksheets, information fields, and other requirements that are outdated and nonessential, while improving the online interface, and incorporating a more user-friendly filing option during emergencies.  In addition to making DIRS easier to use, this item will provide Federal, state, and local officials with a more precise and comprehensive understanding of network availability in the aftermath of disasters so they can help restore connectivity when communities need it most.   </w:t>
      </w:r>
    </w:p>
    <w:p w:rsidR="00203CCB" w:rsidRPr="00DE2A13" w:rsidP="00203CCB" w14:paraId="349F29E3" w14:textId="77777777">
      <w:pPr>
        <w:spacing w:after="120"/>
        <w:ind w:firstLine="720"/>
        <w:textAlignment w:val="baseline"/>
        <w:rPr>
          <w:kern w:val="0"/>
          <w:szCs w:val="22"/>
        </w:rPr>
      </w:pPr>
      <w:r w:rsidRPr="00DE2A13">
        <w:rPr>
          <w:kern w:val="0"/>
          <w:szCs w:val="22"/>
        </w:rPr>
        <w:t xml:space="preserve">When providers should be focused on the maintenance and restoration of communications services, they should be met with a simple and functional system that is easy to navigate, and this Report and Order helps to achieve that objective.  I thank the Public Safety and Homeland Security Bureau for their thoughtful work on this item.  </w:t>
      </w:r>
    </w:p>
    <w:p w:rsidR="00203CCB" w:rsidP="00203CCB" w14:paraId="5916B06C" w14:textId="77777777">
      <w:pPr>
        <w:spacing w:after="120"/>
      </w:pPr>
    </w:p>
    <w:p w:rsidR="00203CCB" w:rsidRPr="00081A05" w:rsidP="00203CCB" w14:paraId="567AF999" w14:textId="77777777">
      <w:pPr>
        <w:widowControl/>
      </w:pPr>
    </w:p>
    <w:p w:rsidR="00412FC5" w:rsidRPr="00203CCB" w:rsidP="00081A05" w14:paraId="6DF80963" w14:textId="77777777"/>
    <w:sectPr w:rsidSect="00081A05">
      <w:headerReference w:type="default" r:id="rId27"/>
      <w:footerReference w:type="even" r:id="rId28"/>
      <w:footerReference w:type="default" r:id="rId29"/>
      <w:headerReference w:type="first" r:id="rId30"/>
      <w:footerReference w:type="first" r:id="rId31"/>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91876" w14:paraId="002EB2CC" w14:textId="77777777">
      <w:pPr>
        <w:spacing w:line="20" w:lineRule="exact"/>
      </w:pPr>
    </w:p>
  </w:endnote>
  <w:endnote w:type="continuationSeparator" w:id="1">
    <w:p w:rsidR="00191876" w14:paraId="50167738" w14:textId="77777777">
      <w:r>
        <w:t xml:space="preserve"> </w:t>
      </w:r>
    </w:p>
  </w:endnote>
  <w:endnote w:type="continuationNotice" w:id="2">
    <w:p w:rsidR="00191876" w14:paraId="5B770309"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55614C" w14:paraId="103CCCF9" w14:textId="77777777">
    <w:pPr>
      <w:pStyle w:val="Footer"/>
      <w:framePr w:wrap="around" w:vAnchor="text" w:hAnchor="margin" w:xAlign="center" w:y="1"/>
    </w:pPr>
    <w:r>
      <w:fldChar w:fldCharType="begin"/>
    </w:r>
    <w:r>
      <w:instrText xml:space="preserve">PAGE  </w:instrText>
    </w:r>
    <w:r>
      <w:fldChar w:fldCharType="separate"/>
    </w:r>
    <w:r>
      <w:fldChar w:fldCharType="end"/>
    </w:r>
  </w:p>
  <w:p w:rsidR="00203CCB" w14:paraId="07902A80" w14:textId="77777777">
    <w:pPr>
      <w:pStyle w:val="Footer"/>
    </w:pPr>
  </w:p>
  <w:p w:rsidR="00203CCB" w14:paraId="40BB3343" w14:textId="77777777"/>
  <w:p w:rsidR="00203CCB" w14:paraId="68AA651C" w14:textId="77777777"/>
  <w:p w:rsidR="00203CCB" w14:paraId="6BF5BFDB" w14:textId="77777777"/>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14:paraId="781AAC46" w14:textId="77777777">
    <w:pPr>
      <w:pStyle w:val="Footer"/>
      <w:tabs>
        <w:tab w:val="clear" w:pos="8640"/>
      </w:tabs>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A3D2290"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0663B75F" w14:textId="77777777">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1F6DD6FD"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rsidP="00081A05" w14:paraId="53DD6EF1" w14:textId="77777777">
    <w:pPr>
      <w:suppressAutoHyphens/>
      <w:spacing w:line="227" w:lineRule="auto"/>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081A05" w14:paraId="4FB21292" w14:textId="77777777">
    <w:pPr>
      <w:pStyle w:val="Footer"/>
      <w:tabs>
        <w:tab w:val="clear" w:pos="864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5A20A2" w14:paraId="7901E31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14:paraId="6927F65D"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55614C" w14:paraId="05012485" w14:textId="77777777">
    <w:pPr>
      <w:pStyle w:val="Footer"/>
      <w:framePr w:wrap="around" w:vAnchor="text" w:hAnchor="margin" w:xAlign="center" w:y="1"/>
    </w:pPr>
    <w:r>
      <w:fldChar w:fldCharType="begin"/>
    </w:r>
    <w:r>
      <w:instrText xml:space="preserve">PAGE  </w:instrText>
    </w:r>
    <w:r>
      <w:fldChar w:fldCharType="separate"/>
    </w:r>
    <w:r>
      <w:fldChar w:fldCharType="end"/>
    </w:r>
  </w:p>
  <w:p w:rsidR="00203CCB" w14:paraId="17E2A4B6"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55614C" w14:paraId="2BDC4A65" w14:textId="77777777">
    <w:pPr>
      <w:pStyle w:val="Footer"/>
      <w:framePr w:wrap="around" w:vAnchor="text" w:hAnchor="margin" w:xAlign="center" w:y="1"/>
    </w:pPr>
    <w:r>
      <w:fldChar w:fldCharType="begin"/>
    </w:r>
    <w:r>
      <w:instrText xml:space="preserve">PAGE  </w:instrText>
    </w:r>
    <w:r>
      <w:fldChar w:fldCharType="separate"/>
    </w:r>
    <w:r>
      <w:fldChar w:fldCharType="end"/>
    </w:r>
  </w:p>
  <w:p w:rsidR="00203CCB" w14:paraId="3D1ED072" w14:textId="7777777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14:paraId="511DEA3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8F22BE" w14:paraId="5B46B5F6" w14:textId="77777777">
    <w:pPr>
      <w:pStyle w:val="Footer"/>
      <w:tabs>
        <w:tab w:val="clear" w:pos="8640"/>
      </w:tabs>
      <w:jc w:val="cen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55614C" w14:paraId="1CB64B89" w14:textId="77777777">
    <w:pPr>
      <w:pStyle w:val="Footer"/>
      <w:framePr w:wrap="around" w:vAnchor="text" w:hAnchor="margin" w:xAlign="center" w:y="1"/>
    </w:pPr>
    <w:r>
      <w:fldChar w:fldCharType="begin"/>
    </w:r>
    <w:r>
      <w:instrText xml:space="preserve">PAGE  </w:instrText>
    </w:r>
    <w:r>
      <w:fldChar w:fldCharType="separate"/>
    </w:r>
    <w:r>
      <w:fldChar w:fldCharType="end"/>
    </w:r>
  </w:p>
  <w:p w:rsidR="00203CCB" w14:paraId="187C8590" w14:textId="77777777">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14:paraId="715A80D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203CCB" w14:paraId="380D2573" w14:textId="77777777">
    <w:pPr>
      <w:suppressAutoHyphens/>
      <w:spacing w:line="227"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91876" w14:paraId="0F923D7B" w14:textId="77777777">
      <w:r>
        <w:separator/>
      </w:r>
    </w:p>
  </w:footnote>
  <w:footnote w:type="continuationSeparator" w:id="1">
    <w:p w:rsidR="00191876" w:rsidP="00C721AC" w14:paraId="4A403EEF" w14:textId="77777777">
      <w:pPr>
        <w:spacing w:before="120"/>
        <w:rPr>
          <w:sz w:val="20"/>
        </w:rPr>
      </w:pPr>
      <w:r>
        <w:rPr>
          <w:sz w:val="20"/>
        </w:rPr>
        <w:t xml:space="preserve">(Continued from previous page)  </w:t>
      </w:r>
      <w:r>
        <w:rPr>
          <w:sz w:val="20"/>
        </w:rPr>
        <w:separator/>
      </w:r>
    </w:p>
  </w:footnote>
  <w:footnote w:type="continuationNotice" w:id="2">
    <w:p w:rsidR="00191876" w:rsidP="00C721AC" w14:paraId="32606EC2" w14:textId="77777777">
      <w:pPr>
        <w:jc w:val="right"/>
        <w:rPr>
          <w:sz w:val="20"/>
        </w:rPr>
      </w:pPr>
      <w:r>
        <w:rPr>
          <w:sz w:val="20"/>
        </w:rPr>
        <w:t>(continued….)</w:t>
      </w:r>
    </w:p>
  </w:footnote>
  <w:footnote w:id="3">
    <w:p w:rsidR="00203CCB" w:rsidP="00203CCB" w14:paraId="46C63EAB" w14:textId="77777777">
      <w:pPr>
        <w:pStyle w:val="FootnoteText"/>
      </w:pPr>
      <w:r>
        <w:rPr>
          <w:rStyle w:val="FootnoteReference"/>
        </w:rPr>
        <w:footnoteRef/>
      </w:r>
      <w:r>
        <w:t xml:space="preserve"> </w:t>
      </w:r>
      <w:r w:rsidRPr="00F900F8">
        <w:rPr>
          <w:i/>
          <w:iCs/>
        </w:rPr>
        <w:t>See Public Safety and Homeland Security Bureau Launches Disaster Information Reporting System (DIRS)</w:t>
      </w:r>
      <w:r w:rsidRPr="00F900F8">
        <w:t>,</w:t>
      </w:r>
      <w:r>
        <w:t xml:space="preserve"> </w:t>
      </w:r>
      <w:r w:rsidRPr="00F900F8">
        <w:t xml:space="preserve">Public Notice, 22 FCC </w:t>
      </w:r>
      <w:r w:rsidRPr="00F900F8">
        <w:t>Rcd</w:t>
      </w:r>
      <w:r w:rsidRPr="00F900F8">
        <w:t xml:space="preserve"> 16757 (PSHSB 2007); </w:t>
      </w:r>
      <w:r w:rsidRPr="00F900F8">
        <w:rPr>
          <w:i/>
          <w:iCs/>
        </w:rPr>
        <w:t>Recommendations of the Independent Panel Reviewing the</w:t>
      </w:r>
      <w:r>
        <w:rPr>
          <w:i/>
          <w:iCs/>
        </w:rPr>
        <w:t xml:space="preserve"> </w:t>
      </w:r>
      <w:r w:rsidRPr="00F900F8">
        <w:rPr>
          <w:i/>
          <w:iCs/>
        </w:rPr>
        <w:t>Impact of Hurricane Katrina on Communications Networks</w:t>
      </w:r>
      <w:r w:rsidRPr="00F900F8">
        <w:t>, EB Docket No. 06-119,</w:t>
      </w:r>
      <w:r>
        <w:t xml:space="preserve"> WC</w:t>
      </w:r>
      <w:r w:rsidRPr="00F900F8">
        <w:t xml:space="preserve"> Docket No. 06-</w:t>
      </w:r>
      <w:r>
        <w:t xml:space="preserve">63, </w:t>
      </w:r>
      <w:r w:rsidRPr="00F900F8">
        <w:t xml:space="preserve">Order, 22 FCC </w:t>
      </w:r>
      <w:r w:rsidRPr="00F900F8">
        <w:t>Rcd</w:t>
      </w:r>
      <w:r>
        <w:t xml:space="preserve"> </w:t>
      </w:r>
      <w:r w:rsidRPr="00F900F8">
        <w:t>10541,</w:t>
      </w:r>
      <w:r>
        <w:t xml:space="preserve"> </w:t>
      </w:r>
      <w:r w:rsidRPr="00F900F8">
        <w:t>10547-49, paras. 19-21 (2007) (directing the Public Safety and Homeland Security Bureau to continue its</w:t>
      </w:r>
      <w:r>
        <w:t xml:space="preserve"> </w:t>
      </w:r>
      <w:r w:rsidRPr="00F900F8">
        <w:t>work to activate a system and process for communications companies serving areas affected by disasters to</w:t>
      </w:r>
      <w:r>
        <w:t xml:space="preserve"> </w:t>
      </w:r>
      <w:r w:rsidRPr="00F900F8">
        <w:t>voluntarily submit information regarding among other things, the status of their operations, restoration efforts,</w:t>
      </w:r>
      <w:r>
        <w:t xml:space="preserve"> </w:t>
      </w:r>
      <w:r w:rsidRPr="00F900F8">
        <w:t>power availability, and fuel).</w:t>
      </w:r>
    </w:p>
  </w:footnote>
  <w:footnote w:id="4">
    <w:p w:rsidR="00203CCB" w:rsidP="00203CCB" w14:paraId="3E5F0907" w14:textId="77777777">
      <w:pPr>
        <w:pStyle w:val="FootnoteText"/>
      </w:pPr>
      <w:r>
        <w:rPr>
          <w:rStyle w:val="FootnoteReference"/>
        </w:rPr>
        <w:footnoteRef/>
      </w:r>
      <w:r>
        <w:t xml:space="preserve"> 47 CFR §§ </w:t>
      </w:r>
      <w:r w:rsidRPr="00A53D34">
        <w:t>0.457(d)(1)</w:t>
      </w:r>
      <w:r w:rsidRPr="00783A48">
        <w:t>(vi)</w:t>
      </w:r>
      <w:r>
        <w:t>, 4.2.</w:t>
      </w:r>
    </w:p>
  </w:footnote>
  <w:footnote w:id="5">
    <w:p w:rsidR="00203CCB" w:rsidP="00203CCB" w14:paraId="5EEA2264" w14:textId="77777777">
      <w:pPr>
        <w:pStyle w:val="FootnoteText"/>
      </w:pPr>
      <w:r>
        <w:rPr>
          <w:rStyle w:val="FootnoteReference"/>
        </w:rPr>
        <w:footnoteRef/>
      </w:r>
      <w:r>
        <w:t xml:space="preserve"> </w:t>
      </w:r>
      <w:r w:rsidRPr="00B2743E">
        <w:rPr>
          <w:i/>
          <w:iCs/>
        </w:rPr>
        <w:t xml:space="preserve">See Amendments to Part 4 of the Commission’s Rules Concerning Disruptions to Communications, </w:t>
      </w:r>
      <w:r w:rsidRPr="00B2743E">
        <w:t>PS Docket No.</w:t>
      </w:r>
      <w:r>
        <w:t xml:space="preserve"> </w:t>
      </w:r>
      <w:r w:rsidRPr="00B2743E">
        <w:t xml:space="preserve">15-80, Second Report and Order, 36 FCC </w:t>
      </w:r>
      <w:r w:rsidRPr="00B2743E">
        <w:t>Rcd</w:t>
      </w:r>
      <w:r w:rsidRPr="00B2743E">
        <w:t xml:space="preserve"> 6136, 6153-55, paras. 58-62 (2021) (</w:t>
      </w:r>
      <w:r w:rsidRPr="00B2743E">
        <w:rPr>
          <w:i/>
          <w:iCs/>
        </w:rPr>
        <w:t>NORS/DIRS Information</w:t>
      </w:r>
      <w:r>
        <w:rPr>
          <w:i/>
          <w:iCs/>
        </w:rPr>
        <w:t xml:space="preserve"> </w:t>
      </w:r>
      <w:r w:rsidRPr="00B2743E">
        <w:rPr>
          <w:i/>
          <w:iCs/>
        </w:rPr>
        <w:t>Sharing Report and Order</w:t>
      </w:r>
      <w:r w:rsidRPr="00B2743E">
        <w:t xml:space="preserve">); </w:t>
      </w:r>
      <w:r w:rsidRPr="00B2743E">
        <w:rPr>
          <w:i/>
          <w:iCs/>
        </w:rPr>
        <w:t xml:space="preserve">see also </w:t>
      </w:r>
      <w:r w:rsidRPr="00B2743E">
        <w:t xml:space="preserve">FCC, </w:t>
      </w:r>
      <w:r w:rsidRPr="00B2743E">
        <w:rPr>
          <w:i/>
          <w:iCs/>
        </w:rPr>
        <w:t xml:space="preserve">Outage Information Sharing </w:t>
      </w:r>
      <w:r w:rsidRPr="00B2743E">
        <w:t>(May 20, 2025),</w:t>
      </w:r>
      <w:r>
        <w:t xml:space="preserve"> </w:t>
      </w:r>
      <w:hyperlink r:id="rId1" w:history="1">
        <w:r w:rsidRPr="002377A0">
          <w:rPr>
            <w:rStyle w:val="Hyperlink"/>
          </w:rPr>
          <w:t>https://www.fcc.gov/outage-information-sharing</w:t>
        </w:r>
      </w:hyperlink>
      <w:r>
        <w:t>.</w:t>
      </w:r>
    </w:p>
  </w:footnote>
  <w:footnote w:id="6">
    <w:p w:rsidR="00203CCB" w:rsidP="00203CCB" w14:paraId="57362FCB" w14:textId="77777777">
      <w:pPr>
        <w:pStyle w:val="FootnoteText"/>
      </w:pPr>
      <w:r>
        <w:rPr>
          <w:rStyle w:val="FootnoteReference"/>
        </w:rPr>
        <w:footnoteRef/>
      </w:r>
      <w:r>
        <w:t xml:space="preserve"> </w:t>
      </w:r>
      <w:r w:rsidRPr="006A2E4F">
        <w:rPr>
          <w:i/>
          <w:iCs/>
        </w:rPr>
        <w:t>See</w:t>
      </w:r>
      <w:r>
        <w:rPr>
          <w:i/>
          <w:iCs/>
        </w:rPr>
        <w:t xml:space="preserve"> </w:t>
      </w:r>
      <w:r w:rsidRPr="00E56D59">
        <w:rPr>
          <w:i/>
          <w:iCs/>
        </w:rPr>
        <w:t>Resilient Networks; Amendments to Part 4 of the Commission’s Rules Concerning Disruptions to</w:t>
      </w:r>
      <w:r>
        <w:rPr>
          <w:i/>
          <w:iCs/>
        </w:rPr>
        <w:t xml:space="preserve"> </w:t>
      </w:r>
      <w:r w:rsidRPr="00E56D59">
        <w:rPr>
          <w:i/>
          <w:iCs/>
        </w:rPr>
        <w:t>Communications; New Part 4 of the Commission’s Rules Concerning Disruptions to Communications</w:t>
      </w:r>
      <w:r w:rsidRPr="00E56D59">
        <w:t>, PS Docket</w:t>
      </w:r>
      <w:r>
        <w:t xml:space="preserve"> </w:t>
      </w:r>
      <w:r w:rsidRPr="00E56D59">
        <w:t>Nos. 21-346 and 15-80; ET Docket No. 04-35, Second Report and Order and Second Further Notice of Proposed</w:t>
      </w:r>
      <w:r>
        <w:t xml:space="preserve"> </w:t>
      </w:r>
      <w:r w:rsidRPr="00E56D59">
        <w:t xml:space="preserve">Rulemaking, 39 FCC </w:t>
      </w:r>
      <w:r w:rsidRPr="00E56D59">
        <w:t>Rcd</w:t>
      </w:r>
      <w:r w:rsidRPr="00E56D59">
        <w:t xml:space="preserve"> 623</w:t>
      </w:r>
      <w:r>
        <w:t>, 630, para. 11</w:t>
      </w:r>
      <w:r w:rsidRPr="00E56D59">
        <w:t xml:space="preserve"> (2024) (</w:t>
      </w:r>
      <w:r w:rsidRPr="00E56D59">
        <w:rPr>
          <w:i/>
          <w:iCs/>
        </w:rPr>
        <w:t>Second Report and Order &amp; FNPRM</w:t>
      </w:r>
      <w:r w:rsidRPr="00E56D59">
        <w:t>)</w:t>
      </w:r>
      <w:r>
        <w:t>.</w:t>
      </w:r>
    </w:p>
  </w:footnote>
  <w:footnote w:id="7">
    <w:p w:rsidR="00203CCB" w:rsidP="00203CCB" w14:paraId="54D453F0" w14:textId="77777777">
      <w:pPr>
        <w:pStyle w:val="FootnoteText"/>
      </w:pPr>
      <w:r>
        <w:rPr>
          <w:rStyle w:val="FootnoteReference"/>
        </w:rPr>
        <w:footnoteRef/>
      </w:r>
      <w:r>
        <w:t xml:space="preserve"> </w:t>
      </w:r>
      <w:r w:rsidRPr="007F2644">
        <w:t xml:space="preserve">47 CFR § 4.18(a); </w:t>
      </w:r>
      <w:r w:rsidRPr="007F2644">
        <w:rPr>
          <w:i/>
          <w:iCs/>
        </w:rPr>
        <w:t xml:space="preserve">see also </w:t>
      </w:r>
      <w:r w:rsidRPr="003B275C">
        <w:rPr>
          <w:i/>
          <w:iCs/>
        </w:rPr>
        <w:t xml:space="preserve">Public Safety </w:t>
      </w:r>
      <w:r>
        <w:rPr>
          <w:i/>
          <w:iCs/>
        </w:rPr>
        <w:t>a</w:t>
      </w:r>
      <w:r w:rsidRPr="003B275C">
        <w:rPr>
          <w:i/>
          <w:iCs/>
        </w:rPr>
        <w:t>nd Homeland Security Bureau (PSHSB) Announces Paperwork Reduction Act (P</w:t>
      </w:r>
      <w:r>
        <w:rPr>
          <w:i/>
          <w:iCs/>
        </w:rPr>
        <w:t>RA</w:t>
      </w:r>
      <w:r w:rsidRPr="003B275C">
        <w:rPr>
          <w:i/>
          <w:iCs/>
        </w:rPr>
        <w:t xml:space="preserve">) Approval </w:t>
      </w:r>
      <w:r>
        <w:rPr>
          <w:i/>
          <w:iCs/>
        </w:rPr>
        <w:t>a</w:t>
      </w:r>
      <w:r w:rsidRPr="003B275C">
        <w:rPr>
          <w:i/>
          <w:iCs/>
        </w:rPr>
        <w:t xml:space="preserve">nd Compliance Deadline </w:t>
      </w:r>
      <w:r>
        <w:rPr>
          <w:i/>
          <w:iCs/>
        </w:rPr>
        <w:t>f</w:t>
      </w:r>
      <w:r w:rsidRPr="003B275C">
        <w:rPr>
          <w:i/>
          <w:iCs/>
        </w:rPr>
        <w:t>or Mandatory Disaster Information Reporting System (D</w:t>
      </w:r>
      <w:r>
        <w:rPr>
          <w:i/>
          <w:iCs/>
        </w:rPr>
        <w:t>IRS</w:t>
      </w:r>
      <w:r w:rsidRPr="003B275C">
        <w:rPr>
          <w:i/>
          <w:iCs/>
        </w:rPr>
        <w:t>) Rules</w:t>
      </w:r>
      <w:r w:rsidRPr="007F2644">
        <w:t>,</w:t>
      </w:r>
      <w:r>
        <w:t xml:space="preserve"> </w:t>
      </w:r>
      <w:r w:rsidRPr="00156242">
        <w:t>PS Docket Nos. 21-346 and 15-80; ET Docket No. 04-35</w:t>
      </w:r>
      <w:r w:rsidRPr="00AC560E">
        <w:t xml:space="preserve">, </w:t>
      </w:r>
      <w:r w:rsidRPr="006E3F06">
        <w:t>Public Notice</w:t>
      </w:r>
      <w:r w:rsidRPr="00AC560E">
        <w:t xml:space="preserve">, </w:t>
      </w:r>
      <w:r w:rsidRPr="007C1989">
        <w:t xml:space="preserve">40 FCC </w:t>
      </w:r>
      <w:r w:rsidRPr="007C1989">
        <w:t>Rcd</w:t>
      </w:r>
      <w:r w:rsidRPr="007C1989">
        <w:t xml:space="preserve"> 534</w:t>
      </w:r>
      <w:r w:rsidRPr="00AC560E">
        <w:t xml:space="preserve"> (</w:t>
      </w:r>
      <w:r>
        <w:t>PSHSB</w:t>
      </w:r>
      <w:r w:rsidRPr="00AC560E">
        <w:t xml:space="preserve"> 20</w:t>
      </w:r>
      <w:r>
        <w:t>25</w:t>
      </w:r>
      <w:r w:rsidRPr="00AC560E">
        <w:t xml:space="preserve">) </w:t>
      </w:r>
      <w:r w:rsidRPr="007F2644">
        <w:t>(announcing the effective date as Feb. 20, 2025).</w:t>
      </w:r>
    </w:p>
  </w:footnote>
  <w:footnote w:id="8">
    <w:p w:rsidR="00203CCB" w:rsidP="00203CCB" w14:paraId="70A50C2E" w14:textId="77777777">
      <w:pPr>
        <w:pStyle w:val="FootnoteText"/>
      </w:pPr>
      <w:r>
        <w:rPr>
          <w:rStyle w:val="FootnoteReference"/>
        </w:rPr>
        <w:footnoteRef/>
      </w:r>
      <w:r>
        <w:t xml:space="preserve"> </w:t>
      </w:r>
      <w:r>
        <w:rPr>
          <w:i/>
          <w:iCs/>
        </w:rPr>
        <w:t xml:space="preserve">See </w:t>
      </w:r>
      <w:r w:rsidRPr="007F2644">
        <w:t>47 CFR § 4.18(a)</w:t>
      </w:r>
      <w:r>
        <w:t>(2); FCC</w:t>
      </w:r>
      <w:r w:rsidRPr="00D44560">
        <w:t xml:space="preserve">, </w:t>
      </w:r>
      <w:r w:rsidRPr="000A3842">
        <w:t>Frequently Asked Questions for DIRS</w:t>
      </w:r>
      <w:r w:rsidRPr="00D44560">
        <w:t xml:space="preserve"> at </w:t>
      </w:r>
      <w:r>
        <w:t>3-4</w:t>
      </w:r>
      <w:r w:rsidRPr="00D44560">
        <w:t xml:space="preserve">, </w:t>
      </w:r>
      <w:hyperlink r:id="rId2" w:history="1">
        <w:r w:rsidRPr="00E8333A">
          <w:rPr>
            <w:rStyle w:val="Hyperlink"/>
          </w:rPr>
          <w:t>https://www.fcc.gov/sites/default/files/DIRS-FAQs0425.pdf</w:t>
        </w:r>
      </w:hyperlink>
      <w:r>
        <w:t>.</w:t>
      </w:r>
    </w:p>
  </w:footnote>
  <w:footnote w:id="9">
    <w:p w:rsidR="00203CCB" w:rsidP="00203CCB" w14:paraId="06D1336E" w14:textId="77777777">
      <w:pPr>
        <w:pStyle w:val="FootnoteText"/>
      </w:pPr>
      <w:r>
        <w:rPr>
          <w:rStyle w:val="FootnoteReference"/>
        </w:rPr>
        <w:footnoteRef/>
      </w:r>
      <w:r>
        <w:t xml:space="preserve"> </w:t>
      </w:r>
      <w:r>
        <w:rPr>
          <w:i/>
          <w:iCs/>
        </w:rPr>
        <w:t xml:space="preserve">See </w:t>
      </w:r>
      <w:r w:rsidRPr="007F2644">
        <w:t xml:space="preserve">47 CFR §§ </w:t>
      </w:r>
      <w:r>
        <w:t xml:space="preserve">4.9, </w:t>
      </w:r>
      <w:r w:rsidRPr="007F2644">
        <w:t>4.18(</w:t>
      </w:r>
      <w:r>
        <w:t>b</w:t>
      </w:r>
      <w:r w:rsidRPr="007F2644">
        <w:t>)</w:t>
      </w:r>
      <w:r>
        <w:t>.</w:t>
      </w:r>
    </w:p>
  </w:footnote>
  <w:footnote w:id="10">
    <w:p w:rsidR="00203CCB" w:rsidRPr="00653471" w:rsidP="00203CCB" w14:paraId="22AEBA09" w14:textId="77777777">
      <w:pPr>
        <w:pStyle w:val="FootnoteText"/>
      </w:pPr>
      <w:r>
        <w:rPr>
          <w:rStyle w:val="FootnoteReference"/>
        </w:rPr>
        <w:footnoteRef/>
      </w:r>
      <w:r>
        <w:t xml:space="preserve"> </w:t>
      </w:r>
      <w:r>
        <w:rPr>
          <w:i/>
          <w:iCs/>
        </w:rPr>
        <w:t>Second Report and Order &amp; FNPRM</w:t>
      </w:r>
      <w:r>
        <w:t xml:space="preserve">, 39 FCC </w:t>
      </w:r>
      <w:r>
        <w:t>Rcd</w:t>
      </w:r>
      <w:r>
        <w:t xml:space="preserve"> at 651, para. 60; </w:t>
      </w:r>
      <w:r>
        <w:rPr>
          <w:i/>
          <w:iCs/>
        </w:rPr>
        <w:t xml:space="preserve">see also </w:t>
      </w:r>
      <w:r w:rsidRPr="009C4D4D">
        <w:rPr>
          <w:i/>
          <w:iCs/>
        </w:rPr>
        <w:t>Resilient Networks; Amendments to Part 4 of the Commission’s Rules Concerning Disruptions to</w:t>
      </w:r>
      <w:r>
        <w:rPr>
          <w:i/>
          <w:iCs/>
        </w:rPr>
        <w:t xml:space="preserve"> </w:t>
      </w:r>
      <w:r w:rsidRPr="009C4D4D">
        <w:rPr>
          <w:i/>
          <w:iCs/>
        </w:rPr>
        <w:t>Communications; New Part 4 of the Commission’s Rules Concerning Disruptions to Communications</w:t>
      </w:r>
      <w:r w:rsidRPr="009C4D4D">
        <w:t>, PS Docket</w:t>
      </w:r>
      <w:r>
        <w:t xml:space="preserve"> </w:t>
      </w:r>
      <w:r w:rsidRPr="009C4D4D">
        <w:t xml:space="preserve">Nos. 21-346 and 15-80; ET Docket No. 04-35, </w:t>
      </w:r>
      <w:r>
        <w:t>Third Further Notice of Proposed Rulemaking and Order on Reconsideration</w:t>
      </w:r>
      <w:r w:rsidRPr="009C4D4D">
        <w:t>,</w:t>
      </w:r>
      <w:r>
        <w:t xml:space="preserve"> 40 FCC </w:t>
      </w:r>
      <w:r>
        <w:t>Rcd</w:t>
      </w:r>
      <w:r>
        <w:t xml:space="preserve"> </w:t>
      </w:r>
      <w:r w:rsidRPr="009C4D4D">
        <w:t>6</w:t>
      </w:r>
      <w:r>
        <w:t xml:space="preserve">313, 6321, para. 15 &amp; n.39 </w:t>
      </w:r>
      <w:r w:rsidRPr="009C4D4D">
        <w:t>(202</w:t>
      </w:r>
      <w:r>
        <w:t>5</w:t>
      </w:r>
      <w:r w:rsidRPr="009C4D4D">
        <w:t>) (</w:t>
      </w:r>
      <w:r>
        <w:rPr>
          <w:i/>
          <w:iCs/>
        </w:rPr>
        <w:t>FN</w:t>
      </w:r>
      <w:r w:rsidRPr="00815377">
        <w:rPr>
          <w:i/>
          <w:iCs/>
        </w:rPr>
        <w:t>PRM and Order on Reconsideration</w:t>
      </w:r>
      <w:r w:rsidRPr="009C4D4D">
        <w:t>)</w:t>
      </w:r>
      <w:r>
        <w:t xml:space="preserve"> (seeking comment on mandatory or voluntary DIRS reporting for public safety networks); </w:t>
      </w:r>
      <w:r>
        <w:rPr>
          <w:i/>
          <w:iCs/>
        </w:rPr>
        <w:t>see also</w:t>
      </w:r>
      <w:r>
        <w:t xml:space="preserve"> FirstNet, History, </w:t>
      </w:r>
      <w:hyperlink r:id="rId3" w:history="1">
        <w:r w:rsidRPr="008B509C">
          <w:rPr>
            <w:rStyle w:val="Hyperlink"/>
          </w:rPr>
          <w:t>https://firstnet.gov/about/history</w:t>
        </w:r>
      </w:hyperlink>
      <w:r>
        <w:t xml:space="preserve"> (last visited May 18, 2026).</w:t>
      </w:r>
    </w:p>
  </w:footnote>
  <w:footnote w:id="11">
    <w:p w:rsidR="00203CCB" w:rsidP="00203CCB" w14:paraId="2423B227" w14:textId="77777777">
      <w:pPr>
        <w:pStyle w:val="FootnoteText"/>
      </w:pPr>
      <w:r>
        <w:rPr>
          <w:rStyle w:val="FootnoteReference"/>
        </w:rPr>
        <w:footnoteRef/>
      </w:r>
      <w:r>
        <w:t xml:space="preserve"> </w:t>
      </w:r>
      <w:r w:rsidRPr="002D4DAF">
        <w:rPr>
          <w:i/>
          <w:iCs/>
        </w:rPr>
        <w:t xml:space="preserve">See </w:t>
      </w:r>
      <w:r w:rsidRPr="002D4DAF">
        <w:t xml:space="preserve">FCC, </w:t>
      </w:r>
      <w:r w:rsidRPr="002D4DAF">
        <w:rPr>
          <w:i/>
          <w:iCs/>
        </w:rPr>
        <w:t>Disaster Information Reporting System (DIRS) User Guide</w:t>
      </w:r>
      <w:r w:rsidRPr="002D4DAF">
        <w:t>, 15-18, 33-42 (Dec. 2023),</w:t>
      </w:r>
      <w:r>
        <w:t xml:space="preserve"> </w:t>
      </w:r>
      <w:hyperlink r:id="rId4" w:history="1">
        <w:r w:rsidRPr="002377A0">
          <w:rPr>
            <w:rStyle w:val="Hyperlink"/>
          </w:rPr>
          <w:t>https://www.fcc.gov/sites/default/files/DIRS-UserGuide-122023.docx</w:t>
        </w:r>
      </w:hyperlink>
      <w:r>
        <w:t>;</w:t>
      </w:r>
      <w:r>
        <w:rPr>
          <w:i/>
          <w:iCs/>
        </w:rPr>
        <w:t xml:space="preserve"> s</w:t>
      </w:r>
      <w:r w:rsidRPr="009C4D4D">
        <w:rPr>
          <w:i/>
          <w:iCs/>
        </w:rPr>
        <w:t>ee also</w:t>
      </w:r>
      <w:r>
        <w:t xml:space="preserve"> </w:t>
      </w:r>
      <w:r>
        <w:rPr>
          <w:i/>
          <w:iCs/>
        </w:rPr>
        <w:t>FN</w:t>
      </w:r>
      <w:r w:rsidRPr="00815377">
        <w:rPr>
          <w:i/>
          <w:iCs/>
        </w:rPr>
        <w:t>PRM and Order on Reconsideration</w:t>
      </w:r>
      <w:r w:rsidRPr="009C4D4D">
        <w:t xml:space="preserve">, </w:t>
      </w:r>
      <w:r>
        <w:t>40</w:t>
      </w:r>
      <w:r w:rsidRPr="009C4D4D">
        <w:t xml:space="preserve"> FCC </w:t>
      </w:r>
      <w:r w:rsidRPr="009C4D4D">
        <w:t>Rcd</w:t>
      </w:r>
      <w:r w:rsidRPr="009C4D4D">
        <w:t xml:space="preserve"> </w:t>
      </w:r>
      <w:r>
        <w:t>at 6315, para. 4</w:t>
      </w:r>
      <w:r w:rsidRPr="009C4D4D">
        <w:t xml:space="preserve"> </w:t>
      </w:r>
      <w:r>
        <w:t>(explaining each of the worksheets).</w:t>
      </w:r>
    </w:p>
  </w:footnote>
  <w:footnote w:id="12">
    <w:p w:rsidR="00203CCB" w:rsidP="00203CCB" w14:paraId="08765591" w14:textId="77777777">
      <w:pPr>
        <w:pStyle w:val="FootnoteText"/>
      </w:pPr>
      <w:r>
        <w:rPr>
          <w:rStyle w:val="FootnoteReference"/>
        </w:rPr>
        <w:footnoteRef/>
      </w:r>
      <w:r>
        <w:t xml:space="preserve"> </w:t>
      </w:r>
      <w:r w:rsidRPr="00F03B47">
        <w:rPr>
          <w:i/>
          <w:iCs/>
        </w:rPr>
        <w:t xml:space="preserve">See </w:t>
      </w:r>
      <w:r w:rsidRPr="00F03B47">
        <w:t xml:space="preserve">FCC, </w:t>
      </w:r>
      <w:r w:rsidRPr="00F03B47">
        <w:rPr>
          <w:i/>
          <w:iCs/>
        </w:rPr>
        <w:t xml:space="preserve">DIRS Upload API Guide </w:t>
      </w:r>
      <w:r w:rsidRPr="00F03B47">
        <w:t xml:space="preserve">(Dec. 2023), </w:t>
      </w:r>
      <w:hyperlink r:id="rId5" w:history="1">
        <w:r w:rsidRPr="00C31D4B">
          <w:rPr>
            <w:rStyle w:val="Hyperlink"/>
          </w:rPr>
          <w:t>https://www.fcc.gov/sites/default/files/DIRS-UploadAPI-Guide-0124.docx</w:t>
        </w:r>
      </w:hyperlink>
      <w:r w:rsidRPr="00F03B47">
        <w:t>.</w:t>
      </w:r>
      <w:r>
        <w:t xml:space="preserve"> </w:t>
      </w:r>
    </w:p>
  </w:footnote>
  <w:footnote w:id="13">
    <w:p w:rsidR="00203CCB" w:rsidRPr="0090239C" w:rsidP="00203CCB" w14:paraId="3EBD5585" w14:textId="77777777">
      <w:pPr>
        <w:pStyle w:val="FootnoteText"/>
      </w:pPr>
      <w:r w:rsidRPr="0090239C">
        <w:rPr>
          <w:rStyle w:val="FootnoteReference"/>
        </w:rPr>
        <w:footnoteRef/>
      </w:r>
      <w:r w:rsidRPr="0090239C">
        <w:t xml:space="preserve"> </w:t>
      </w:r>
      <w:r w:rsidRPr="0090239C">
        <w:rPr>
          <w:i/>
          <w:iCs/>
        </w:rPr>
        <w:t>See FNPRM and Order on Reconsideration</w:t>
      </w:r>
      <w:r w:rsidRPr="0090239C">
        <w:t xml:space="preserve">, 40 FCC </w:t>
      </w:r>
      <w:r w:rsidRPr="0090239C">
        <w:t>Rcd</w:t>
      </w:r>
      <w:r w:rsidRPr="0090239C">
        <w:t xml:space="preserve"> at 6318, para. 9.  </w:t>
      </w:r>
      <w:r w:rsidRPr="00F97630">
        <w:rPr>
          <w:szCs w:val="22"/>
        </w:rPr>
        <w:t xml:space="preserve">In the earlier </w:t>
      </w:r>
      <w:r w:rsidRPr="00F97630">
        <w:rPr>
          <w:i/>
          <w:iCs/>
          <w:szCs w:val="22"/>
        </w:rPr>
        <w:t>Second Further Notice of Proposed Rulemaking</w:t>
      </w:r>
      <w:r w:rsidRPr="00F97630">
        <w:rPr>
          <w:szCs w:val="22"/>
        </w:rPr>
        <w:t>, the Commission</w:t>
      </w:r>
      <w:r w:rsidRPr="00F97630">
        <w:rPr>
          <w:i/>
          <w:iCs/>
          <w:szCs w:val="22"/>
        </w:rPr>
        <w:t xml:space="preserve"> </w:t>
      </w:r>
      <w:r w:rsidRPr="00F97630">
        <w:rPr>
          <w:szCs w:val="22"/>
        </w:rPr>
        <w:t xml:space="preserve">proposed to require FirstNet, the nationwide public safety </w:t>
      </w:r>
      <w:r w:rsidRPr="0090239C">
        <w:t xml:space="preserve">voice and </w:t>
      </w:r>
      <w:r w:rsidRPr="00F97630">
        <w:rPr>
          <w:szCs w:val="22"/>
        </w:rPr>
        <w:t xml:space="preserve">broadband network, to report outages to the Commission via NORS and DIRS, among other proposals.  </w:t>
      </w:r>
      <w:r w:rsidRPr="0090239C">
        <w:rPr>
          <w:i/>
          <w:iCs/>
        </w:rPr>
        <w:t>See Second Report and Order &amp; FNPRM</w:t>
      </w:r>
      <w:r w:rsidRPr="0090239C">
        <w:t xml:space="preserve">, 39 FCC </w:t>
      </w:r>
      <w:r w:rsidRPr="0090239C">
        <w:t>Rcd</w:t>
      </w:r>
      <w:r w:rsidRPr="0090239C">
        <w:t xml:space="preserve"> at 651-653, paras. 60-63.</w:t>
      </w:r>
    </w:p>
  </w:footnote>
  <w:footnote w:id="14">
    <w:p w:rsidR="00203CCB" w:rsidP="00203CCB" w14:paraId="0086B1DA" w14:textId="77777777">
      <w:pPr>
        <w:pStyle w:val="FootnoteText"/>
      </w:pPr>
      <w:r>
        <w:rPr>
          <w:rStyle w:val="FootnoteReference"/>
        </w:rPr>
        <w:footnoteRef/>
      </w:r>
      <w:r>
        <w:t xml:space="preserve"> </w:t>
      </w:r>
      <w:r w:rsidRPr="00CE6709">
        <w:rPr>
          <w:i/>
          <w:iCs/>
        </w:rPr>
        <w:t xml:space="preserve">See </w:t>
      </w:r>
      <w:r>
        <w:rPr>
          <w:i/>
          <w:iCs/>
        </w:rPr>
        <w:t xml:space="preserve">FNPRM and Order on Reconsideration, </w:t>
      </w:r>
      <w:r>
        <w:t xml:space="preserve">40 FCC </w:t>
      </w:r>
      <w:r>
        <w:t>Rcd</w:t>
      </w:r>
      <w:r>
        <w:t xml:space="preserve"> at 6318, para. 10. </w:t>
      </w:r>
    </w:p>
  </w:footnote>
  <w:footnote w:id="15">
    <w:p w:rsidR="00203CCB" w:rsidP="00203CCB" w14:paraId="4A61A633" w14:textId="77777777">
      <w:pPr>
        <w:pStyle w:val="FootnoteText"/>
      </w:pPr>
      <w:r>
        <w:rPr>
          <w:rStyle w:val="FootnoteReference"/>
        </w:rPr>
        <w:footnoteRef/>
      </w:r>
      <w:r>
        <w:t xml:space="preserve"> </w:t>
      </w:r>
      <w:r w:rsidRPr="00CE6709">
        <w:rPr>
          <w:i/>
          <w:iCs/>
        </w:rPr>
        <w:t xml:space="preserve">See </w:t>
      </w:r>
      <w:r>
        <w:rPr>
          <w:i/>
          <w:iCs/>
        </w:rPr>
        <w:t>id.</w:t>
      </w:r>
      <w:r>
        <w:t xml:space="preserve"> at 6318, para. 11.</w:t>
      </w:r>
    </w:p>
  </w:footnote>
  <w:footnote w:id="16">
    <w:p w:rsidR="00203CCB" w:rsidRPr="00D2578D" w:rsidP="00203CCB" w14:paraId="1F31E09A" w14:textId="77777777">
      <w:pPr>
        <w:pStyle w:val="FootnoteText"/>
      </w:pPr>
      <w:r>
        <w:rPr>
          <w:rStyle w:val="FootnoteReference"/>
        </w:rPr>
        <w:footnoteRef/>
      </w:r>
      <w:r>
        <w:t xml:space="preserve"> </w:t>
      </w:r>
      <w:r w:rsidRPr="00CE6709">
        <w:rPr>
          <w:i/>
          <w:iCs/>
        </w:rPr>
        <w:t xml:space="preserve">See </w:t>
      </w:r>
      <w:r>
        <w:rPr>
          <w:i/>
          <w:iCs/>
        </w:rPr>
        <w:t>id.</w:t>
      </w:r>
      <w:r>
        <w:t xml:space="preserve"> at 6318, para. 11; </w:t>
      </w:r>
      <w:r>
        <w:rPr>
          <w:i/>
          <w:iCs/>
        </w:rPr>
        <w:t xml:space="preserve">see also id. </w:t>
      </w:r>
      <w:r>
        <w:t xml:space="preserve">at Appendix D. </w:t>
      </w:r>
    </w:p>
  </w:footnote>
  <w:footnote w:id="17">
    <w:p w:rsidR="00203CCB" w:rsidP="00203CCB" w14:paraId="57822C5D" w14:textId="77777777">
      <w:pPr>
        <w:pStyle w:val="FootnoteText"/>
      </w:pPr>
      <w:r>
        <w:rPr>
          <w:rStyle w:val="FootnoteReference"/>
        </w:rPr>
        <w:footnoteRef/>
      </w:r>
      <w:r>
        <w:t xml:space="preserve"> </w:t>
      </w:r>
      <w:r w:rsidRPr="002D7733">
        <w:rPr>
          <w:i/>
          <w:iCs/>
        </w:rPr>
        <w:t>See</w:t>
      </w:r>
      <w:r w:rsidRPr="00A20788">
        <w:t>,</w:t>
      </w:r>
      <w:r w:rsidRPr="002D7733">
        <w:rPr>
          <w:i/>
          <w:iCs/>
        </w:rPr>
        <w:t xml:space="preserve"> e.g.</w:t>
      </w:r>
      <w:r>
        <w:t xml:space="preserve">, Competitive Carriers Association Reply at 2 (CCA Reply) (noting that this and other steps proposed in the </w:t>
      </w:r>
      <w:r w:rsidRPr="0010604D">
        <w:rPr>
          <w:i/>
          <w:iCs/>
        </w:rPr>
        <w:t>FNPRM</w:t>
      </w:r>
      <w:r>
        <w:t xml:space="preserve">, will “meaningfully reduce reporting burdens without diminishing the utility of DIRS for public safety officials”); WTA – Advocates for Rural Broadband Comments at 2 (WTA Comments); ACA Connects Comments at 5. </w:t>
      </w:r>
    </w:p>
  </w:footnote>
  <w:footnote w:id="18">
    <w:p w:rsidR="00203CCB" w:rsidP="00203CCB" w14:paraId="37ECE35F" w14:textId="77777777">
      <w:pPr>
        <w:pStyle w:val="FootnoteText"/>
      </w:pPr>
      <w:r>
        <w:rPr>
          <w:rStyle w:val="FootnoteReference"/>
        </w:rPr>
        <w:footnoteRef/>
      </w:r>
      <w:r>
        <w:t xml:space="preserve"> National Rural Electric Cooperative Association Comments at 3-4 (NRECA Comments).</w:t>
      </w:r>
    </w:p>
  </w:footnote>
  <w:footnote w:id="19">
    <w:p w:rsidR="00203CCB" w:rsidRPr="00AA3DB4" w:rsidP="00203CCB" w14:paraId="15DB8975" w14:textId="77777777">
      <w:pPr>
        <w:pStyle w:val="FootnoteText"/>
        <w:rPr>
          <w:i/>
          <w:iCs/>
        </w:rPr>
      </w:pPr>
      <w:r>
        <w:rPr>
          <w:rStyle w:val="FootnoteReference"/>
        </w:rPr>
        <w:footnoteRef/>
      </w:r>
      <w:r>
        <w:t xml:space="preserve"> CTIA Comments at 3-4; </w:t>
      </w:r>
      <w:r>
        <w:rPr>
          <w:i/>
          <w:iCs/>
        </w:rPr>
        <w:t xml:space="preserve">see also </w:t>
      </w:r>
      <w:r>
        <w:t>NRECA Comments at 4; Verizon Comments at 1; WISPA Comments at 3; WTA Comments at 2; AT&amp;T Reply at 2; CCA Comments at 2.</w:t>
      </w:r>
    </w:p>
  </w:footnote>
  <w:footnote w:id="20">
    <w:p w:rsidR="00203CCB" w:rsidP="00203CCB" w14:paraId="22350E18" w14:textId="77777777">
      <w:pPr>
        <w:pStyle w:val="FootnoteText"/>
      </w:pPr>
      <w:r>
        <w:rPr>
          <w:rStyle w:val="FootnoteReference"/>
        </w:rPr>
        <w:footnoteRef/>
      </w:r>
      <w:r>
        <w:t xml:space="preserve"> </w:t>
      </w:r>
      <w:r w:rsidRPr="00105EB2">
        <w:rPr>
          <w:i/>
          <w:iCs/>
        </w:rPr>
        <w:t>See</w:t>
      </w:r>
      <w:r>
        <w:t xml:space="preserve"> National Association of Broadcasters Comments at 2 (NAB).</w:t>
      </w:r>
    </w:p>
  </w:footnote>
  <w:footnote w:id="21">
    <w:p w:rsidR="00203CCB" w:rsidP="00203CCB" w14:paraId="686A7839" w14:textId="77777777">
      <w:pPr>
        <w:pStyle w:val="FootnoteText"/>
      </w:pPr>
      <w:r>
        <w:rPr>
          <w:rStyle w:val="FootnoteReference"/>
        </w:rPr>
        <w:footnoteRef/>
      </w:r>
      <w:r>
        <w:t xml:space="preserve"> NTCA—The Rural Broadband Association Comments at 3 (NTCA Comments).</w:t>
      </w:r>
    </w:p>
  </w:footnote>
  <w:footnote w:id="22">
    <w:p w:rsidR="00203CCB" w:rsidP="00203CCB" w14:paraId="579303D0" w14:textId="77777777">
      <w:pPr>
        <w:pStyle w:val="FootnoteText"/>
      </w:pPr>
      <w:r>
        <w:rPr>
          <w:rStyle w:val="FootnoteReference"/>
        </w:rPr>
        <w:footnoteRef/>
      </w:r>
      <w:r>
        <w:t xml:space="preserve"> CCA Reply at 3.</w:t>
      </w:r>
    </w:p>
  </w:footnote>
  <w:footnote w:id="23">
    <w:p w:rsidR="00203CCB" w:rsidP="00203CCB" w14:paraId="3E062BFD" w14:textId="77777777">
      <w:pPr>
        <w:pStyle w:val="FootnoteText"/>
      </w:pPr>
      <w:r>
        <w:rPr>
          <w:rStyle w:val="FootnoteReference"/>
        </w:rPr>
        <w:footnoteRef/>
      </w:r>
      <w:r>
        <w:t xml:space="preserve"> </w:t>
      </w:r>
      <w:r w:rsidRPr="00CE6709">
        <w:rPr>
          <w:i/>
          <w:iCs/>
        </w:rPr>
        <w:t xml:space="preserve">See </w:t>
      </w:r>
      <w:r>
        <w:rPr>
          <w:i/>
          <w:iCs/>
        </w:rPr>
        <w:t xml:space="preserve">FNPRM and Order on Reconsideration, </w:t>
      </w:r>
      <w:r>
        <w:t xml:space="preserve">40 FCC </w:t>
      </w:r>
      <w:r>
        <w:t>Rcd</w:t>
      </w:r>
      <w:r>
        <w:t xml:space="preserve"> at 6319, para. 11.</w:t>
      </w:r>
    </w:p>
  </w:footnote>
  <w:footnote w:id="24">
    <w:p w:rsidR="00203CCB" w:rsidP="00203CCB" w14:paraId="0DD25232" w14:textId="77777777">
      <w:pPr>
        <w:pStyle w:val="FootnoteText"/>
      </w:pPr>
      <w:r>
        <w:rPr>
          <w:rStyle w:val="FootnoteReference"/>
        </w:rPr>
        <w:footnoteRef/>
      </w:r>
      <w:r>
        <w:t xml:space="preserve"> </w:t>
      </w:r>
      <w:r>
        <w:rPr>
          <w:i/>
          <w:iCs/>
        </w:rPr>
        <w:t xml:space="preserve">See </w:t>
      </w:r>
      <w:r>
        <w:t xml:space="preserve">CTIA Reply at 3; </w:t>
      </w:r>
      <w:r w:rsidRPr="003B2104">
        <w:t xml:space="preserve">ACA Connects Comments at 3-6; </w:t>
      </w:r>
      <w:r>
        <w:t>Alliance for Telecommunications Industry Solutions</w:t>
      </w:r>
      <w:r w:rsidRPr="003B2104">
        <w:t xml:space="preserve"> Comments at 3-4</w:t>
      </w:r>
      <w:r>
        <w:t xml:space="preserve"> (ATIS Comments)</w:t>
      </w:r>
      <w:r w:rsidRPr="003B2104">
        <w:t>; CTIA Comments at 2-4; F</w:t>
      </w:r>
      <w:r>
        <w:t xml:space="preserve">oundation for </w:t>
      </w:r>
      <w:r w:rsidRPr="003B2104">
        <w:t>D</w:t>
      </w:r>
      <w:r>
        <w:t xml:space="preserve">efense of </w:t>
      </w:r>
      <w:r w:rsidRPr="003B2104">
        <w:t>D</w:t>
      </w:r>
      <w:r>
        <w:t>emocracies</w:t>
      </w:r>
      <w:r w:rsidRPr="003B2104">
        <w:t xml:space="preserve"> Comments at 5; N</w:t>
      </w:r>
      <w:r>
        <w:t xml:space="preserve">ational </w:t>
      </w:r>
      <w:r w:rsidRPr="003B2104">
        <w:t>A</w:t>
      </w:r>
      <w:r>
        <w:t xml:space="preserve">ssociation of </w:t>
      </w:r>
      <w:r w:rsidRPr="003B2104">
        <w:t>B</w:t>
      </w:r>
      <w:r>
        <w:t>roadcasters</w:t>
      </w:r>
      <w:r w:rsidRPr="003B2104">
        <w:t xml:space="preserve"> Comments at 2</w:t>
      </w:r>
      <w:r>
        <w:t xml:space="preserve"> (</w:t>
      </w:r>
      <w:r w:rsidRPr="003B2104">
        <w:t>NAB Comments</w:t>
      </w:r>
      <w:r>
        <w:t>)</w:t>
      </w:r>
      <w:r w:rsidRPr="003B2104">
        <w:t xml:space="preserve">; NCTA </w:t>
      </w:r>
      <w:r>
        <w:t>– The Internet &amp; Television Association</w:t>
      </w:r>
      <w:r w:rsidRPr="003B2104">
        <w:t xml:space="preserve"> Comments at 3-4</w:t>
      </w:r>
      <w:r>
        <w:t xml:space="preserve"> (NCTA Comments)</w:t>
      </w:r>
      <w:r w:rsidRPr="003B2104">
        <w:t xml:space="preserve">; NRECA Comments at 3-4; NTCA Comments at 3-4;Verizon Comments at 1-2; WISPA </w:t>
      </w:r>
      <w:r>
        <w:t xml:space="preserve">– The Association for Broadband Without Boundaries </w:t>
      </w:r>
      <w:r w:rsidRPr="003B2104">
        <w:t>Comments at 2-4</w:t>
      </w:r>
      <w:r>
        <w:t xml:space="preserve"> (WISPA Comments)</w:t>
      </w:r>
      <w:r w:rsidRPr="003B2104">
        <w:t>; WTA Comments at 2.</w:t>
      </w:r>
    </w:p>
  </w:footnote>
  <w:footnote w:id="25">
    <w:p w:rsidR="00203CCB" w:rsidP="00203CCB" w14:paraId="58A7EE00" w14:textId="77777777">
      <w:pPr>
        <w:pStyle w:val="FootnoteText"/>
      </w:pPr>
      <w:r>
        <w:rPr>
          <w:rStyle w:val="FootnoteReference"/>
        </w:rPr>
        <w:footnoteRef/>
      </w:r>
      <w:r>
        <w:t xml:space="preserve"> </w:t>
      </w:r>
      <w:r>
        <w:t>USTelecom</w:t>
      </w:r>
      <w:r>
        <w:t>—the Broadband Association Comments at 4 (</w:t>
      </w:r>
      <w:r>
        <w:t>USTelecom</w:t>
      </w:r>
      <w:r>
        <w:t xml:space="preserve"> Comments).</w:t>
      </w:r>
    </w:p>
  </w:footnote>
  <w:footnote w:id="26">
    <w:p w:rsidR="00203CCB" w:rsidP="00203CCB" w14:paraId="3D626BCA" w14:textId="77777777">
      <w:pPr>
        <w:pStyle w:val="FootnoteText"/>
      </w:pPr>
      <w:r>
        <w:rPr>
          <w:rStyle w:val="FootnoteReference"/>
        </w:rPr>
        <w:footnoteRef/>
      </w:r>
      <w:r>
        <w:t xml:space="preserve"> Jacob Kleiner Comments at 1 (Kleiner).</w:t>
      </w:r>
    </w:p>
  </w:footnote>
  <w:footnote w:id="27">
    <w:p w:rsidR="00203CCB" w:rsidP="00203CCB" w14:paraId="03CDEC8B" w14:textId="77777777">
      <w:pPr>
        <w:pStyle w:val="FootnoteText"/>
      </w:pPr>
      <w:r>
        <w:rPr>
          <w:rStyle w:val="FootnoteReference"/>
        </w:rPr>
        <w:footnoteRef/>
      </w:r>
      <w:r>
        <w:t xml:space="preserve"> </w:t>
      </w:r>
      <w:r w:rsidRPr="00105EB2">
        <w:rPr>
          <w:i/>
          <w:iCs/>
        </w:rPr>
        <w:t>See</w:t>
      </w:r>
      <w:r>
        <w:t xml:space="preserve"> NAB Comments at 2.</w:t>
      </w:r>
    </w:p>
  </w:footnote>
  <w:footnote w:id="28">
    <w:p w:rsidR="00203CCB" w:rsidP="00203CCB" w14:paraId="0DF840E7" w14:textId="77777777">
      <w:pPr>
        <w:pStyle w:val="FootnoteText"/>
      </w:pPr>
      <w:r>
        <w:rPr>
          <w:rStyle w:val="FootnoteReference"/>
        </w:rPr>
        <w:footnoteRef/>
      </w:r>
      <w:r>
        <w:t xml:space="preserve"> </w:t>
      </w:r>
      <w:r w:rsidRPr="00A20788">
        <w:rPr>
          <w:i/>
          <w:iCs/>
        </w:rPr>
        <w:t>See</w:t>
      </w:r>
      <w:r>
        <w:t xml:space="preserve"> WISPA Comments at 3 (WISPA Comments); WISPA – The Association for Broadband Without Boundaries Reply at 5 (WISPA Reply).  </w:t>
      </w:r>
    </w:p>
  </w:footnote>
  <w:footnote w:id="29">
    <w:p w:rsidR="00203CCB" w:rsidP="00203CCB" w14:paraId="07DE9E6F" w14:textId="77777777">
      <w:pPr>
        <w:pStyle w:val="FootnoteText"/>
      </w:pPr>
      <w:r>
        <w:rPr>
          <w:rStyle w:val="FootnoteReference"/>
        </w:rPr>
        <w:footnoteRef/>
      </w:r>
      <w:r>
        <w:t xml:space="preserve"> </w:t>
      </w:r>
      <w:r w:rsidRPr="00A20788">
        <w:rPr>
          <w:i/>
          <w:iCs/>
        </w:rPr>
        <w:t>See</w:t>
      </w:r>
      <w:r>
        <w:t xml:space="preserve"> </w:t>
      </w:r>
      <w:r w:rsidRPr="00E06099">
        <w:rPr>
          <w:i/>
          <w:iCs/>
        </w:rPr>
        <w:t>id</w:t>
      </w:r>
      <w:r>
        <w:t xml:space="preserve">.; </w:t>
      </w:r>
      <w:r w:rsidRPr="00F03B47">
        <w:t xml:space="preserve">FCC, </w:t>
      </w:r>
      <w:r w:rsidRPr="00F03B47">
        <w:rPr>
          <w:i/>
          <w:iCs/>
        </w:rPr>
        <w:t xml:space="preserve">DIRS Upload API Guide </w:t>
      </w:r>
      <w:r w:rsidRPr="00F03B47">
        <w:t xml:space="preserve">(Dec. 2023), </w:t>
      </w:r>
      <w:hyperlink r:id="rId5" w:anchor=":~:text=Navigate%20to%20the%20top%20right,contact%20DIRSHelp@fcc.gov%20" w:history="1">
        <w:r w:rsidRPr="00476EA5">
          <w:rPr>
            <w:rStyle w:val="Hyperlink"/>
          </w:rPr>
          <w:t>https://www.fcc.gov/sites/default/files/DIRS-UploadAPI-Guide-0124.docx#:~:text=Navigate%20to%20the%20top%20right,contact%20DIRSHelp@fcc.gov%20</w:t>
        </w:r>
      </w:hyperlink>
      <w:r>
        <w:t xml:space="preserve"> (“</w:t>
      </w:r>
      <w:r w:rsidRPr="002E63D0">
        <w:t>The Upload API allows for the bulk upload of data without having to use the DIRS system GUI</w:t>
      </w:r>
      <w:r>
        <w:t>”).</w:t>
      </w:r>
    </w:p>
  </w:footnote>
  <w:footnote w:id="30">
    <w:p w:rsidR="00203CCB" w:rsidP="00203CCB" w14:paraId="0270CADD" w14:textId="77777777">
      <w:pPr>
        <w:pStyle w:val="FootnoteText"/>
      </w:pPr>
      <w:r>
        <w:rPr>
          <w:rStyle w:val="FootnoteReference"/>
        </w:rPr>
        <w:footnoteRef/>
      </w:r>
      <w:r>
        <w:t xml:space="preserve"> Kleiner Comments at 1.</w:t>
      </w:r>
    </w:p>
  </w:footnote>
  <w:footnote w:id="31">
    <w:p w:rsidR="00203CCB" w:rsidP="00203CCB" w14:paraId="3C233F27" w14:textId="77777777">
      <w:pPr>
        <w:pStyle w:val="FootnoteText"/>
      </w:pPr>
      <w:r>
        <w:rPr>
          <w:rStyle w:val="FootnoteReference"/>
        </w:rPr>
        <w:footnoteRef/>
      </w:r>
      <w:r>
        <w:t xml:space="preserve"> 47 CFR § 1.17; </w:t>
      </w:r>
      <w:r>
        <w:rPr>
          <w:i/>
          <w:iCs/>
        </w:rPr>
        <w:t xml:space="preserve">see also </w:t>
      </w:r>
      <w:r w:rsidRPr="0010604D">
        <w:t>18 U.S.C. § 1001.</w:t>
      </w:r>
    </w:p>
  </w:footnote>
  <w:footnote w:id="32">
    <w:p w:rsidR="00203CCB" w:rsidP="00203CCB" w14:paraId="2F3A7DDC" w14:textId="77777777">
      <w:pPr>
        <w:pStyle w:val="FootnoteText"/>
      </w:pPr>
      <w:r>
        <w:rPr>
          <w:rStyle w:val="FootnoteReference"/>
        </w:rPr>
        <w:footnoteRef/>
      </w:r>
      <w:r>
        <w:t xml:space="preserve"> We base this attestation language from another Commission reporting system, the </w:t>
      </w:r>
      <w:r w:rsidRPr="00B00D85">
        <w:t>EAS Test Reporting System (ETRS)</w:t>
      </w:r>
      <w:r>
        <w:t xml:space="preserve">.  In ETRS, filers are required to certify to the truthfulness and accuracy of the information they are submitting to the Commission.  </w:t>
      </w:r>
      <w:r w:rsidRPr="00001296">
        <w:rPr>
          <w:i/>
        </w:rPr>
        <w:t>See</w:t>
      </w:r>
      <w:r>
        <w:t xml:space="preserve"> </w:t>
      </w:r>
      <w:r w:rsidRPr="002827C4">
        <w:rPr>
          <w:i/>
        </w:rPr>
        <w:t>Review of</w:t>
      </w:r>
      <w:r w:rsidRPr="00ED4FF5">
        <w:rPr>
          <w:i/>
        </w:rPr>
        <w:t xml:space="preserve"> the </w:t>
      </w:r>
      <w:r w:rsidRPr="002827C4">
        <w:rPr>
          <w:i/>
        </w:rPr>
        <w:t>Emergency Alert System</w:t>
      </w:r>
      <w:r w:rsidRPr="00ED4FF5">
        <w:t xml:space="preserve">, </w:t>
      </w:r>
      <w:r>
        <w:t>PS</w:t>
      </w:r>
      <w:r w:rsidRPr="00ED4FF5">
        <w:t xml:space="preserve"> Docket No. </w:t>
      </w:r>
      <w:r w:rsidRPr="004C13A4">
        <w:t>04-296</w:t>
      </w:r>
      <w:r w:rsidRPr="00ED4FF5">
        <w:t xml:space="preserve">, </w:t>
      </w:r>
      <w:r>
        <w:rPr>
          <w:iCs/>
        </w:rPr>
        <w:t>Report</w:t>
      </w:r>
      <w:r w:rsidRPr="00ED4FF5">
        <w:rPr>
          <w:iCs/>
        </w:rPr>
        <w:t xml:space="preserve"> and </w:t>
      </w:r>
      <w:r>
        <w:rPr>
          <w:iCs/>
        </w:rPr>
        <w:t>Order</w:t>
      </w:r>
      <w:r w:rsidRPr="00ED4FF5">
        <w:t xml:space="preserve">, </w:t>
      </w:r>
      <w:r w:rsidRPr="0080467B">
        <w:t xml:space="preserve">30 FCC </w:t>
      </w:r>
      <w:r w:rsidRPr="0080467B">
        <w:t>Rcd</w:t>
      </w:r>
      <w:r w:rsidRPr="0080467B">
        <w:t xml:space="preserve"> 6520</w:t>
      </w:r>
      <w:r w:rsidRPr="00ED4FF5">
        <w:t xml:space="preserve">, </w:t>
      </w:r>
      <w:r>
        <w:t>6533-34</w:t>
      </w:r>
      <w:r w:rsidRPr="00ED4FF5">
        <w:t>, para</w:t>
      </w:r>
      <w:r>
        <w:t>s</w:t>
      </w:r>
      <w:r w:rsidRPr="00ED4FF5">
        <w:t xml:space="preserve">. </w:t>
      </w:r>
      <w:r>
        <w:t>27-28</w:t>
      </w:r>
      <w:r w:rsidRPr="00ED4FF5">
        <w:t xml:space="preserve"> (20</w:t>
      </w:r>
      <w:r>
        <w:t>15</w:t>
      </w:r>
      <w:r w:rsidRPr="00ED4FF5">
        <w:t xml:space="preserve">) </w:t>
      </w:r>
      <w:r>
        <w:t>(e</w:t>
      </w:r>
      <w:r w:rsidRPr="00932ADE">
        <w:t>stablishing that EAS participants must ensure the accuracy of the information</w:t>
      </w:r>
      <w:r>
        <w:t xml:space="preserve">). </w:t>
      </w:r>
    </w:p>
  </w:footnote>
  <w:footnote w:id="33">
    <w:p w:rsidR="00203CCB" w:rsidP="00203CCB" w14:paraId="71FB1E5C" w14:textId="77777777">
      <w:pPr>
        <w:pStyle w:val="FootnoteText"/>
      </w:pPr>
      <w:r>
        <w:rPr>
          <w:rStyle w:val="FootnoteReference"/>
        </w:rPr>
        <w:footnoteRef/>
      </w:r>
      <w:r>
        <w:t xml:space="preserve"> </w:t>
      </w:r>
      <w:r w:rsidRPr="00CE6709">
        <w:rPr>
          <w:i/>
          <w:iCs/>
        </w:rPr>
        <w:t xml:space="preserve">See </w:t>
      </w:r>
      <w:r>
        <w:rPr>
          <w:i/>
          <w:iCs/>
        </w:rPr>
        <w:t xml:space="preserve">FNPRM and Order on Reconsideration, </w:t>
      </w:r>
      <w:r>
        <w:t xml:space="preserve">40 FCC </w:t>
      </w:r>
      <w:r>
        <w:t>Rcd</w:t>
      </w:r>
      <w:r>
        <w:t xml:space="preserve"> at 6319-20, para. 13.  </w:t>
      </w:r>
    </w:p>
  </w:footnote>
  <w:footnote w:id="34">
    <w:p w:rsidR="00203CCB" w:rsidP="00203CCB" w14:paraId="49C8AD87" w14:textId="77777777">
      <w:pPr>
        <w:pStyle w:val="FootnoteText"/>
      </w:pPr>
      <w:r>
        <w:rPr>
          <w:rStyle w:val="FootnoteReference"/>
        </w:rPr>
        <w:footnoteRef/>
      </w:r>
      <w:r>
        <w:t xml:space="preserve"> </w:t>
      </w:r>
      <w:r w:rsidRPr="003E3A6C">
        <w:rPr>
          <w:i/>
          <w:iCs/>
        </w:rPr>
        <w:t>See</w:t>
      </w:r>
      <w:r>
        <w:t xml:space="preserve"> America’s Communications Association Comments at 5 (ACA Connects Comments).</w:t>
      </w:r>
    </w:p>
  </w:footnote>
  <w:footnote w:id="35">
    <w:p w:rsidR="00203CCB" w:rsidP="00203CCB" w14:paraId="32B5E27E" w14:textId="77777777">
      <w:pPr>
        <w:pStyle w:val="FootnoteText"/>
      </w:pPr>
      <w:r>
        <w:rPr>
          <w:rStyle w:val="FootnoteReference"/>
        </w:rPr>
        <w:footnoteRef/>
      </w:r>
      <w:r>
        <w:t xml:space="preserve"> </w:t>
      </w:r>
      <w:r w:rsidRPr="0048281D">
        <w:rPr>
          <w:i/>
          <w:iCs/>
        </w:rPr>
        <w:t>See</w:t>
      </w:r>
      <w:r>
        <w:t xml:space="preserve"> CTIA Comments at 4.</w:t>
      </w:r>
    </w:p>
  </w:footnote>
  <w:footnote w:id="36">
    <w:p w:rsidR="00203CCB" w:rsidP="00203CCB" w14:paraId="06BEDC6F" w14:textId="77777777">
      <w:pPr>
        <w:pStyle w:val="FootnoteText"/>
      </w:pPr>
      <w:r>
        <w:rPr>
          <w:rStyle w:val="FootnoteReference"/>
        </w:rPr>
        <w:footnoteRef/>
      </w:r>
      <w:r>
        <w:t xml:space="preserve"> </w:t>
      </w:r>
      <w:r w:rsidRPr="00CE6709">
        <w:rPr>
          <w:i/>
          <w:iCs/>
        </w:rPr>
        <w:t xml:space="preserve">See </w:t>
      </w:r>
      <w:r>
        <w:rPr>
          <w:i/>
          <w:iCs/>
        </w:rPr>
        <w:t xml:space="preserve">FNPRM and Order on Reconsideration, </w:t>
      </w:r>
      <w:r>
        <w:t xml:space="preserve">40 FCC </w:t>
      </w:r>
      <w:r>
        <w:t>Rcd</w:t>
      </w:r>
      <w:r>
        <w:t xml:space="preserve"> at 6319, para. 13 (proposing to eliminate the cable telephony fields).</w:t>
      </w:r>
    </w:p>
  </w:footnote>
  <w:footnote w:id="37">
    <w:p w:rsidR="00203CCB" w:rsidP="00203CCB" w14:paraId="631B4DF0" w14:textId="77777777">
      <w:pPr>
        <w:pStyle w:val="FootnoteText"/>
      </w:pPr>
      <w:r>
        <w:rPr>
          <w:rStyle w:val="FootnoteReference"/>
        </w:rPr>
        <w:footnoteRef/>
      </w:r>
      <w:r>
        <w:t xml:space="preserve"> ACA Connects Comments at 5; </w:t>
      </w:r>
      <w:r w:rsidRPr="00A20788">
        <w:rPr>
          <w:i/>
          <w:iCs/>
        </w:rPr>
        <w:t>see also</w:t>
      </w:r>
      <w:r>
        <w:t xml:space="preserve"> NCTA Comments at 3 (NCTA Comments).</w:t>
      </w:r>
    </w:p>
  </w:footnote>
  <w:footnote w:id="38">
    <w:p w:rsidR="00203CCB" w:rsidP="00203CCB" w14:paraId="2989D232" w14:textId="77777777">
      <w:pPr>
        <w:pStyle w:val="FootnoteText"/>
      </w:pPr>
      <w:r>
        <w:rPr>
          <w:rStyle w:val="FootnoteReference"/>
        </w:rPr>
        <w:footnoteRef/>
      </w:r>
      <w:r>
        <w:t xml:space="preserve"> </w:t>
      </w:r>
      <w:r w:rsidRPr="00F1351B">
        <w:rPr>
          <w:i/>
          <w:iCs/>
        </w:rPr>
        <w:t>See</w:t>
      </w:r>
      <w:r>
        <w:t xml:space="preserve"> CTIA Reply at 4.  </w:t>
      </w:r>
    </w:p>
  </w:footnote>
  <w:footnote w:id="39">
    <w:p w:rsidR="00203CCB" w:rsidP="00203CCB" w14:paraId="2751921F" w14:textId="77777777">
      <w:pPr>
        <w:pStyle w:val="FootnoteText"/>
      </w:pPr>
      <w:r>
        <w:rPr>
          <w:rStyle w:val="FootnoteReference"/>
        </w:rPr>
        <w:footnoteRef/>
      </w:r>
      <w:r>
        <w:t xml:space="preserve"> NCTA Comments at 4.</w:t>
      </w:r>
    </w:p>
  </w:footnote>
  <w:footnote w:id="40">
    <w:p w:rsidR="00203CCB" w:rsidP="00203CCB" w14:paraId="7F5F6D73" w14:textId="77777777">
      <w:pPr>
        <w:pStyle w:val="FootnoteText"/>
      </w:pPr>
      <w:r>
        <w:rPr>
          <w:rStyle w:val="FootnoteReference"/>
        </w:rPr>
        <w:footnoteRef/>
      </w:r>
      <w:r>
        <w:t xml:space="preserve"> </w:t>
      </w:r>
      <w:r w:rsidRPr="00A20788">
        <w:rPr>
          <w:i/>
          <w:iCs/>
        </w:rPr>
        <w:t>See</w:t>
      </w:r>
      <w:r>
        <w:t xml:space="preserve"> NCTA Comments at 3-4; ACA Connects Comments at 5</w:t>
      </w:r>
      <w:r>
        <w:rPr>
          <w:rFonts w:eastAsia="Aptos"/>
        </w:rPr>
        <w:t>.</w:t>
      </w:r>
    </w:p>
  </w:footnote>
  <w:footnote w:id="41">
    <w:p w:rsidR="00203CCB" w:rsidP="00203CCB" w14:paraId="0AF6CBD8" w14:textId="77777777">
      <w:pPr>
        <w:pStyle w:val="FootnoteText"/>
      </w:pPr>
      <w:r>
        <w:rPr>
          <w:rStyle w:val="FootnoteReference"/>
        </w:rPr>
        <w:footnoteRef/>
      </w:r>
      <w:r>
        <w:t xml:space="preserve"> </w:t>
      </w:r>
      <w:r w:rsidRPr="00CE6709">
        <w:rPr>
          <w:i/>
          <w:iCs/>
        </w:rPr>
        <w:t xml:space="preserve">See </w:t>
      </w:r>
      <w:r>
        <w:rPr>
          <w:i/>
          <w:iCs/>
        </w:rPr>
        <w:t xml:space="preserve">FNPRM and Order on Reconsideration, </w:t>
      </w:r>
      <w:r>
        <w:t xml:space="preserve">40 FCC </w:t>
      </w:r>
      <w:r>
        <w:t>Rcd</w:t>
      </w:r>
      <w:r>
        <w:t xml:space="preserve"> at 6319, para. 13.</w:t>
      </w:r>
    </w:p>
  </w:footnote>
  <w:footnote w:id="42">
    <w:p w:rsidR="00203CCB" w:rsidP="00203CCB" w14:paraId="38F6C2B5" w14:textId="77777777">
      <w:pPr>
        <w:pStyle w:val="FootnoteText"/>
      </w:pPr>
      <w:r>
        <w:rPr>
          <w:rStyle w:val="FootnoteReference"/>
        </w:rPr>
        <w:footnoteRef/>
      </w:r>
      <w:r>
        <w:t xml:space="preserve"> FCC, </w:t>
      </w:r>
      <w:r w:rsidRPr="001602C5">
        <w:t>D</w:t>
      </w:r>
      <w:r>
        <w:t>isaster Information Reporting System (</w:t>
      </w:r>
      <w:r w:rsidRPr="001602C5">
        <w:t>DIRS</w:t>
      </w:r>
      <w:r>
        <w:t>)</w:t>
      </w:r>
      <w:r w:rsidRPr="001602C5">
        <w:t xml:space="preserve"> User Guide at 22</w:t>
      </w:r>
      <w:r>
        <w:t xml:space="preserve"> (2023), </w:t>
      </w:r>
      <w:hyperlink r:id="rId4" w:history="1">
        <w:r w:rsidRPr="00BB4BCE">
          <w:rPr>
            <w:rStyle w:val="Hyperlink"/>
          </w:rPr>
          <w:t>https://www.fcc.gov/sites/default/files/DIRS-UserGuide-122023.docx</w:t>
        </w:r>
      </w:hyperlink>
      <w:r>
        <w:t xml:space="preserve"> (DIRS User Guide)</w:t>
      </w:r>
      <w:r w:rsidRPr="001602C5">
        <w:t xml:space="preserve">.  </w:t>
      </w:r>
    </w:p>
  </w:footnote>
  <w:footnote w:id="43">
    <w:p w:rsidR="00203CCB" w:rsidP="00203CCB" w14:paraId="6D987E28" w14:textId="77777777">
      <w:pPr>
        <w:pStyle w:val="FootnoteText"/>
      </w:pPr>
      <w:r>
        <w:rPr>
          <w:rStyle w:val="FootnoteReference"/>
        </w:rPr>
        <w:footnoteRef/>
      </w:r>
      <w:r>
        <w:t xml:space="preserve"> </w:t>
      </w:r>
      <w:r w:rsidRPr="008D682F">
        <w:rPr>
          <w:i/>
          <w:iCs/>
        </w:rPr>
        <w:t>See</w:t>
      </w:r>
      <w:r>
        <w:t xml:space="preserve"> ACA Connects at 5.  </w:t>
      </w:r>
    </w:p>
  </w:footnote>
  <w:footnote w:id="44">
    <w:p w:rsidR="00203CCB" w:rsidRPr="00F2216B" w:rsidP="00203CCB" w14:paraId="0E2CADA9" w14:textId="77777777">
      <w:pPr>
        <w:pStyle w:val="FootnoteText"/>
      </w:pPr>
      <w:r>
        <w:rPr>
          <w:rStyle w:val="FootnoteReference"/>
        </w:rPr>
        <w:footnoteRef/>
      </w:r>
      <w:r>
        <w:t xml:space="preserve"> </w:t>
      </w:r>
      <w:r>
        <w:rPr>
          <w:i/>
          <w:iCs/>
        </w:rPr>
        <w:t>See</w:t>
      </w:r>
      <w:r>
        <w:t xml:space="preserve">, </w:t>
      </w:r>
      <w:r>
        <w:rPr>
          <w:i/>
          <w:iCs/>
        </w:rPr>
        <w:t>e.g.</w:t>
      </w:r>
      <w:r>
        <w:t xml:space="preserve">, 47 CFR § 4.9(e)(1)(iii) (requiring NORS reporting when outages reach certain OC3 thresholds).  For the avoidance of doubt, we emphasize that we are not </w:t>
      </w:r>
      <w:r w:rsidRPr="00586216">
        <w:t xml:space="preserve">eliminating </w:t>
      </w:r>
      <w:r>
        <w:t xml:space="preserve">required </w:t>
      </w:r>
      <w:r w:rsidRPr="00586216">
        <w:t>reporting for circuits that are smaller than an OC3</w:t>
      </w:r>
      <w:r>
        <w:t>.  Required</w:t>
      </w:r>
      <w:r w:rsidRPr="00586216">
        <w:t xml:space="preserve"> reporting on OC3s or functional equivalents</w:t>
      </w:r>
      <w:r>
        <w:t xml:space="preserve"> </w:t>
      </w:r>
      <w:r w:rsidRPr="00586216">
        <w:t>will include DS3s</w:t>
      </w:r>
      <w:r>
        <w:t>, for example,</w:t>
      </w:r>
      <w:r w:rsidRPr="00586216">
        <w:t xml:space="preserve"> that are transporting volumes of traffic that </w:t>
      </w:r>
      <w:r>
        <w:t>are</w:t>
      </w:r>
      <w:r w:rsidRPr="00586216">
        <w:t xml:space="preserve"> the functional equivalent of an OC3. </w:t>
      </w:r>
    </w:p>
  </w:footnote>
  <w:footnote w:id="45">
    <w:p w:rsidR="00203CCB" w:rsidP="00203CCB" w14:paraId="630ED9E0" w14:textId="77777777">
      <w:pPr>
        <w:pStyle w:val="FootnoteText"/>
      </w:pPr>
      <w:r>
        <w:rPr>
          <w:rStyle w:val="FootnoteReference"/>
        </w:rPr>
        <w:footnoteRef/>
      </w:r>
      <w:r>
        <w:t xml:space="preserve"> </w:t>
      </w:r>
      <w:r w:rsidRPr="00A20788">
        <w:rPr>
          <w:i/>
          <w:iCs/>
        </w:rPr>
        <w:t xml:space="preserve">See </w:t>
      </w:r>
      <w:r>
        <w:t>USTelecom</w:t>
      </w:r>
      <w:r>
        <w:t xml:space="preserve"> Comments at 7-8.</w:t>
      </w:r>
    </w:p>
  </w:footnote>
  <w:footnote w:id="46">
    <w:p w:rsidR="00203CCB" w:rsidP="00203CCB" w14:paraId="4BC94A07" w14:textId="77777777">
      <w:pPr>
        <w:pStyle w:val="FootnoteText"/>
      </w:pPr>
      <w:r>
        <w:rPr>
          <w:rStyle w:val="FootnoteReference"/>
        </w:rPr>
        <w:footnoteRef/>
      </w:r>
      <w:r>
        <w:t xml:space="preserve"> Remote aggregation devices combine network traffic from remote locations and are used to serve many rural communities.  </w:t>
      </w:r>
      <w:r w:rsidRPr="00431759">
        <w:rPr>
          <w:i/>
          <w:iCs/>
        </w:rPr>
        <w:t>See FNPRM and Order on Reconsideration</w:t>
      </w:r>
      <w:r>
        <w:t xml:space="preserve">, 40 FCC </w:t>
      </w:r>
      <w:r>
        <w:t>Rcd</w:t>
      </w:r>
      <w:r>
        <w:t xml:space="preserve"> at 6315, para. 4.  </w:t>
      </w:r>
    </w:p>
  </w:footnote>
  <w:footnote w:id="47">
    <w:p w:rsidR="00203CCB" w:rsidP="00203CCB" w14:paraId="0429DEB7" w14:textId="77777777">
      <w:pPr>
        <w:pStyle w:val="FootnoteText"/>
      </w:pPr>
      <w:r>
        <w:rPr>
          <w:rStyle w:val="FootnoteReference"/>
        </w:rPr>
        <w:footnoteRef/>
      </w:r>
      <w:r>
        <w:t xml:space="preserve"> DIRS User Guide at 34-35.</w:t>
      </w:r>
    </w:p>
  </w:footnote>
  <w:footnote w:id="48">
    <w:p w:rsidR="00203CCB" w:rsidP="00203CCB" w14:paraId="5551C2BC" w14:textId="77777777">
      <w:pPr>
        <w:pStyle w:val="FootnoteText"/>
      </w:pPr>
      <w:r>
        <w:rPr>
          <w:rStyle w:val="FootnoteReference"/>
        </w:rPr>
        <w:footnoteRef/>
      </w:r>
      <w:r>
        <w:t xml:space="preserve"> </w:t>
      </w:r>
      <w:r w:rsidRPr="00A20788">
        <w:rPr>
          <w:i/>
          <w:iCs/>
        </w:rPr>
        <w:t xml:space="preserve">See </w:t>
      </w:r>
      <w:r>
        <w:t xml:space="preserve">ACA Connect Comments at 5.  </w:t>
      </w:r>
    </w:p>
  </w:footnote>
  <w:footnote w:id="49">
    <w:p w:rsidR="00203CCB" w:rsidP="00203CCB" w14:paraId="3CA87F3D" w14:textId="77777777">
      <w:pPr>
        <w:pStyle w:val="FootnoteText"/>
      </w:pPr>
      <w:r>
        <w:rPr>
          <w:rStyle w:val="FootnoteReference"/>
        </w:rPr>
        <w:footnoteRef/>
      </w:r>
      <w:r>
        <w:t xml:space="preserve"> </w:t>
      </w:r>
      <w:r w:rsidRPr="000C2548">
        <w:rPr>
          <w:i/>
          <w:iCs/>
        </w:rPr>
        <w:t xml:space="preserve">See </w:t>
      </w:r>
      <w:r>
        <w:rPr>
          <w:i/>
          <w:iCs/>
        </w:rPr>
        <w:t xml:space="preserve">FNPRM and Order on Reconsideration, </w:t>
      </w:r>
      <w:r>
        <w:t xml:space="preserve">40 FCC </w:t>
      </w:r>
      <w:r>
        <w:t>Rcd</w:t>
      </w:r>
      <w:r>
        <w:t xml:space="preserve"> at 6319, para. 13; NCTA Comments at 4; CCA Reply at 3; ACA Connects Comments at 5.  Fixed and mobile broadband providers that are stage 2 recipients of the </w:t>
      </w:r>
      <w:r>
        <w:t>Uniendo</w:t>
      </w:r>
      <w:r>
        <w:t xml:space="preserve"> a Puerto Rico Fund and Connect USVI Fund are required to report in DIRS.  </w:t>
      </w:r>
      <w:r w:rsidRPr="009A6996">
        <w:rPr>
          <w:i/>
          <w:iCs/>
        </w:rPr>
        <w:t>See</w:t>
      </w:r>
      <w:r>
        <w:t xml:space="preserve"> 47 CFR § 54.1524.</w:t>
      </w:r>
    </w:p>
  </w:footnote>
  <w:footnote w:id="50">
    <w:p w:rsidR="00203CCB" w:rsidP="00203CCB" w14:paraId="272611F1" w14:textId="77777777">
      <w:pPr>
        <w:pStyle w:val="FootnoteText"/>
      </w:pPr>
      <w:r>
        <w:rPr>
          <w:rStyle w:val="FootnoteReference"/>
        </w:rPr>
        <w:footnoteRef/>
      </w:r>
      <w:r>
        <w:t xml:space="preserve"> CCA Comments at 3.</w:t>
      </w:r>
    </w:p>
  </w:footnote>
  <w:footnote w:id="51">
    <w:p w:rsidR="00203CCB" w:rsidP="00203CCB" w14:paraId="7A8B08AA" w14:textId="77777777">
      <w:pPr>
        <w:pStyle w:val="FootnoteText"/>
      </w:pPr>
      <w:r>
        <w:rPr>
          <w:rStyle w:val="FootnoteReference"/>
        </w:rPr>
        <w:footnoteRef/>
      </w:r>
      <w:r>
        <w:t xml:space="preserve"> </w:t>
      </w:r>
      <w:r w:rsidRPr="00A20788">
        <w:rPr>
          <w:i/>
          <w:iCs/>
        </w:rPr>
        <w:t>See</w:t>
      </w:r>
      <w:r>
        <w:t xml:space="preserve"> ACA Connects Comments at 5; NCTA Comments at 4; CCA Reply at 3.  </w:t>
      </w:r>
    </w:p>
  </w:footnote>
  <w:footnote w:id="52">
    <w:p w:rsidR="00203CCB" w:rsidP="00203CCB" w14:paraId="42D851DA" w14:textId="77777777">
      <w:pPr>
        <w:pStyle w:val="FootnoteText"/>
      </w:pPr>
      <w:r>
        <w:rPr>
          <w:rStyle w:val="FootnoteReference"/>
        </w:rPr>
        <w:footnoteRef/>
      </w:r>
      <w:r>
        <w:t xml:space="preserve"> CTIA Comments at 3, n.7.  </w:t>
      </w:r>
    </w:p>
  </w:footnote>
  <w:footnote w:id="53">
    <w:p w:rsidR="00203CCB" w:rsidP="00203CCB" w14:paraId="7FC8E7D7" w14:textId="77777777">
      <w:pPr>
        <w:pStyle w:val="FootnoteText"/>
      </w:pPr>
      <w:r>
        <w:rPr>
          <w:rStyle w:val="FootnoteReference"/>
        </w:rPr>
        <w:footnoteRef/>
      </w:r>
      <w:r>
        <w:t xml:space="preserve"> Verizon Comments at 2, n.3.</w:t>
      </w:r>
    </w:p>
  </w:footnote>
  <w:footnote w:id="54">
    <w:p w:rsidR="00203CCB" w:rsidP="00203CCB" w14:paraId="59732687" w14:textId="77777777">
      <w:pPr>
        <w:pStyle w:val="FootnoteText"/>
      </w:pPr>
      <w:r>
        <w:rPr>
          <w:rStyle w:val="FootnoteReference"/>
        </w:rPr>
        <w:footnoteRef/>
      </w:r>
      <w:r>
        <w:t xml:space="preserve"> NRECA Comments at 7. </w:t>
      </w:r>
    </w:p>
  </w:footnote>
  <w:footnote w:id="55">
    <w:p w:rsidR="00203CCB" w:rsidRPr="004E3D35" w:rsidP="00203CCB" w14:paraId="3199F9F6" w14:textId="77777777">
      <w:pPr>
        <w:pStyle w:val="FootnoteText"/>
      </w:pPr>
      <w:r>
        <w:rPr>
          <w:rStyle w:val="FootnoteReference"/>
        </w:rPr>
        <w:footnoteRef/>
      </w:r>
      <w:r>
        <w:t xml:space="preserve"> </w:t>
      </w:r>
      <w:r>
        <w:rPr>
          <w:i/>
          <w:iCs/>
        </w:rPr>
        <w:t xml:space="preserve">See </w:t>
      </w:r>
      <w:r>
        <w:t>Foundation for Defense of Democracies Comments at 4-5.</w:t>
      </w:r>
    </w:p>
  </w:footnote>
  <w:footnote w:id="56">
    <w:p w:rsidR="00203CCB" w:rsidP="00203CCB" w14:paraId="7B1721F0" w14:textId="77777777">
      <w:pPr>
        <w:pStyle w:val="FootnoteText"/>
      </w:pPr>
      <w:r>
        <w:rPr>
          <w:rStyle w:val="FootnoteReference"/>
        </w:rPr>
        <w:footnoteRef/>
      </w:r>
      <w:r>
        <w:rPr>
          <w:i/>
          <w:iCs/>
        </w:rPr>
        <w:t xml:space="preserve"> </w:t>
      </w:r>
      <w:r w:rsidRPr="00CE6709">
        <w:rPr>
          <w:i/>
          <w:iCs/>
        </w:rPr>
        <w:t xml:space="preserve">See </w:t>
      </w:r>
      <w:r>
        <w:rPr>
          <w:i/>
          <w:iCs/>
        </w:rPr>
        <w:t xml:space="preserve">FNPRM and Order on Reconsideration, </w:t>
      </w:r>
      <w:r>
        <w:t xml:space="preserve">40 FCC </w:t>
      </w:r>
      <w:r>
        <w:t>Rcd</w:t>
      </w:r>
      <w:r>
        <w:t xml:space="preserve"> at 6319, para. 13 (noting that no satellite providers have ever made a DIRS filing). </w:t>
      </w:r>
    </w:p>
  </w:footnote>
  <w:footnote w:id="57">
    <w:p w:rsidR="00203CCB" w:rsidP="00203CCB" w14:paraId="417DF0A5" w14:textId="77777777">
      <w:pPr>
        <w:pStyle w:val="FootnoteText"/>
      </w:pPr>
      <w:r>
        <w:rPr>
          <w:rStyle w:val="FootnoteReference"/>
        </w:rPr>
        <w:footnoteRef/>
      </w:r>
      <w:r>
        <w:t xml:space="preserve"> </w:t>
      </w:r>
      <w:r w:rsidRPr="009D1A4D">
        <w:rPr>
          <w:i/>
          <w:iCs/>
        </w:rPr>
        <w:t>See</w:t>
      </w:r>
      <w:r>
        <w:t xml:space="preserve"> 47 CFR § 4.9(c).</w:t>
      </w:r>
    </w:p>
  </w:footnote>
  <w:footnote w:id="58">
    <w:p w:rsidR="00203CCB" w:rsidP="00203CCB" w14:paraId="1785B88B" w14:textId="77777777">
      <w:pPr>
        <w:pStyle w:val="FootnoteText"/>
      </w:pPr>
      <w:r>
        <w:rPr>
          <w:rStyle w:val="FootnoteReference"/>
        </w:rPr>
        <w:footnoteRef/>
      </w:r>
      <w:r>
        <w:t xml:space="preserve"> </w:t>
      </w:r>
      <w:r w:rsidRPr="00CE6709">
        <w:rPr>
          <w:i/>
          <w:iCs/>
        </w:rPr>
        <w:t xml:space="preserve">See </w:t>
      </w:r>
      <w:r>
        <w:rPr>
          <w:i/>
          <w:iCs/>
        </w:rPr>
        <w:t xml:space="preserve">FNPRM and Order on Reconsideration, </w:t>
      </w:r>
      <w:r>
        <w:t xml:space="preserve">40 FCC </w:t>
      </w:r>
      <w:r>
        <w:t>Rcd</w:t>
      </w:r>
      <w:r>
        <w:t xml:space="preserve"> at 6320, para. 13.  </w:t>
      </w:r>
    </w:p>
  </w:footnote>
  <w:footnote w:id="59">
    <w:p w:rsidR="00203CCB" w:rsidP="00203CCB" w14:paraId="000574BB" w14:textId="77777777">
      <w:pPr>
        <w:pStyle w:val="FootnoteText"/>
      </w:pPr>
      <w:r>
        <w:rPr>
          <w:rStyle w:val="FootnoteReference"/>
        </w:rPr>
        <w:footnoteRef/>
      </w:r>
      <w:r>
        <w:t xml:space="preserve"> ACA Connects Comments at 5 n.8. </w:t>
      </w:r>
    </w:p>
  </w:footnote>
  <w:footnote w:id="60">
    <w:p w:rsidR="00203CCB" w:rsidP="00203CCB" w14:paraId="6C5BE14E" w14:textId="77777777">
      <w:pPr>
        <w:pStyle w:val="FootnoteText"/>
      </w:pPr>
      <w:r>
        <w:rPr>
          <w:rStyle w:val="FootnoteReference"/>
        </w:rPr>
        <w:footnoteRef/>
      </w:r>
      <w:r>
        <w:t xml:space="preserve"> </w:t>
      </w:r>
      <w:r w:rsidRPr="00EF103B">
        <w:rPr>
          <w:i/>
          <w:iCs/>
        </w:rPr>
        <w:t>See</w:t>
      </w:r>
      <w:r>
        <w:t xml:space="preserve"> ATIS Comments at 1-2; </w:t>
      </w:r>
      <w:r w:rsidRPr="0060605D">
        <w:t>CTIA Comments at 5-6</w:t>
      </w:r>
      <w:r>
        <w:t>; NTCA Comments at 4; and Verizon Comments at 2.</w:t>
      </w:r>
    </w:p>
  </w:footnote>
  <w:footnote w:id="61">
    <w:p w:rsidR="00203CCB" w:rsidP="00203CCB" w14:paraId="1BDF5018" w14:textId="77777777">
      <w:pPr>
        <w:pStyle w:val="FootnoteText"/>
      </w:pPr>
      <w:r>
        <w:rPr>
          <w:rStyle w:val="FootnoteReference"/>
        </w:rPr>
        <w:footnoteRef/>
      </w:r>
      <w:r>
        <w:t xml:space="preserve"> NTCA Comments at 4.</w:t>
      </w:r>
    </w:p>
  </w:footnote>
  <w:footnote w:id="62">
    <w:p w:rsidR="00203CCB" w:rsidP="00203CCB" w14:paraId="61107991" w14:textId="77777777">
      <w:pPr>
        <w:pStyle w:val="FootnoteText"/>
      </w:pPr>
      <w:r>
        <w:rPr>
          <w:rStyle w:val="FootnoteReference"/>
        </w:rPr>
        <w:footnoteRef/>
      </w:r>
      <w:r>
        <w:t xml:space="preserve"> </w:t>
      </w:r>
      <w:r w:rsidRPr="000A339E">
        <w:rPr>
          <w:i/>
          <w:iCs/>
        </w:rPr>
        <w:t>See</w:t>
      </w:r>
      <w:r>
        <w:t xml:space="preserve"> CTIA Comments at 5-6.  The regulatory flexibility that we offer in this regard is consistent with our conclusion below that a coverage area map, rather than the locations of individual equipment or facilities, is the best way for providers to convey geographic information about outage impacts during disasters to the Commission and emergency managers for the purpose of offering insight into the availability of Wireless Emergency Alerts and 911 service.  </w:t>
      </w:r>
    </w:p>
  </w:footnote>
  <w:footnote w:id="63">
    <w:p w:rsidR="00203CCB" w:rsidP="00203CCB" w14:paraId="50148924" w14:textId="77777777">
      <w:pPr>
        <w:pStyle w:val="FootnoteText"/>
      </w:pPr>
      <w:r>
        <w:rPr>
          <w:rStyle w:val="FootnoteReference"/>
        </w:rPr>
        <w:footnoteRef/>
      </w:r>
      <w:r>
        <w:t xml:space="preserve"> </w:t>
      </w:r>
      <w:r w:rsidRPr="00EF103B">
        <w:rPr>
          <w:i/>
          <w:iCs/>
        </w:rPr>
        <w:t>See</w:t>
      </w:r>
      <w:r>
        <w:t xml:space="preserve"> ATIS Comments at 4.</w:t>
      </w:r>
    </w:p>
  </w:footnote>
  <w:footnote w:id="64">
    <w:p w:rsidR="00203CCB" w:rsidP="00203CCB" w14:paraId="3EDDFF46" w14:textId="77777777">
      <w:pPr>
        <w:pStyle w:val="FootnoteText"/>
      </w:pPr>
      <w:r>
        <w:rPr>
          <w:rStyle w:val="FootnoteReference"/>
        </w:rPr>
        <w:footnoteRef/>
      </w:r>
      <w:r>
        <w:t xml:space="preserve"> </w:t>
      </w:r>
      <w:r w:rsidRPr="00CE6709">
        <w:rPr>
          <w:i/>
          <w:iCs/>
        </w:rPr>
        <w:t xml:space="preserve">See </w:t>
      </w:r>
      <w:r>
        <w:rPr>
          <w:i/>
          <w:iCs/>
        </w:rPr>
        <w:t xml:space="preserve">FNPRM and Order on Reconsideration, </w:t>
      </w:r>
      <w:r>
        <w:t xml:space="preserve">40 FCC </w:t>
      </w:r>
      <w:r>
        <w:t>Rcd</w:t>
      </w:r>
      <w:r>
        <w:t xml:space="preserve"> at 6321-22, para. 17 (citing 47 CFR § 0.392(i)).</w:t>
      </w:r>
    </w:p>
  </w:footnote>
  <w:footnote w:id="65">
    <w:p w:rsidR="00203CCB" w:rsidP="00203CCB" w14:paraId="6596E80F" w14:textId="77777777">
      <w:pPr>
        <w:pStyle w:val="FootnoteText"/>
      </w:pPr>
      <w:r>
        <w:rPr>
          <w:rStyle w:val="FootnoteReference"/>
        </w:rPr>
        <w:footnoteRef/>
      </w:r>
      <w:r>
        <w:t xml:space="preserve"> </w:t>
      </w:r>
      <w:r w:rsidRPr="00FC2A6C">
        <w:rPr>
          <w:i/>
          <w:iCs/>
        </w:rPr>
        <w:t>See, e.g.</w:t>
      </w:r>
      <w:r>
        <w:t xml:space="preserve">, CTIA Comments at 6.  </w:t>
      </w:r>
    </w:p>
  </w:footnote>
  <w:footnote w:id="66">
    <w:p w:rsidR="00203CCB" w:rsidP="00203CCB" w14:paraId="69517A2A" w14:textId="77777777">
      <w:pPr>
        <w:pStyle w:val="FootnoteText"/>
      </w:pPr>
      <w:r>
        <w:rPr>
          <w:rStyle w:val="FootnoteReference"/>
        </w:rPr>
        <w:footnoteRef/>
      </w:r>
      <w:r>
        <w:t xml:space="preserve"> CTIA Comments at 6; </w:t>
      </w:r>
      <w:r w:rsidRPr="00FC2A6C">
        <w:rPr>
          <w:i/>
          <w:iCs/>
        </w:rPr>
        <w:t>see also</w:t>
      </w:r>
      <w:r>
        <w:t xml:space="preserve"> Verizon Comments at 2 (advocating delegated authority be exercised in “conjunction with industry feedback and testing”).  </w:t>
      </w:r>
    </w:p>
  </w:footnote>
  <w:footnote w:id="67">
    <w:p w:rsidR="00203CCB" w:rsidP="00203CCB" w14:paraId="75C87A9E" w14:textId="77777777">
      <w:pPr>
        <w:pStyle w:val="FootnoteText"/>
      </w:pPr>
      <w:r>
        <w:rPr>
          <w:rStyle w:val="FootnoteReference"/>
        </w:rPr>
        <w:footnoteRef/>
      </w:r>
      <w:r>
        <w:t xml:space="preserve"> </w:t>
      </w:r>
      <w:r>
        <w:t>USTelecom</w:t>
      </w:r>
      <w:r>
        <w:t xml:space="preserve"> Comments at 8-9.  </w:t>
      </w:r>
    </w:p>
  </w:footnote>
  <w:footnote w:id="68">
    <w:p w:rsidR="00203CCB" w:rsidP="00203CCB" w14:paraId="2714E5AD" w14:textId="77777777">
      <w:pPr>
        <w:pStyle w:val="FootnoteText"/>
      </w:pPr>
      <w:r>
        <w:rPr>
          <w:rStyle w:val="FootnoteReference"/>
        </w:rPr>
        <w:footnoteRef/>
      </w:r>
      <w:r>
        <w:t xml:space="preserve"> </w:t>
      </w:r>
      <w:r w:rsidRPr="00CD2B8B">
        <w:rPr>
          <w:i/>
          <w:iCs/>
        </w:rPr>
        <w:t>See</w:t>
      </w:r>
      <w:r>
        <w:t xml:space="preserve"> Verizon Comments at 2 (“</w:t>
      </w:r>
      <w:r w:rsidRPr="00A30F9E">
        <w:t>Once the format is finalized, an implementation period for testing and voluntary participation would be appropriate, and only after the reliability of the updated system is confirmed should any new format be mandated.</w:t>
      </w:r>
      <w:r>
        <w:t>”).</w:t>
      </w:r>
    </w:p>
  </w:footnote>
  <w:footnote w:id="69">
    <w:p w:rsidR="00203CCB" w:rsidP="00203CCB" w14:paraId="67BBF570" w14:textId="77777777">
      <w:pPr>
        <w:pStyle w:val="FootnoteText"/>
      </w:pPr>
      <w:r>
        <w:rPr>
          <w:rStyle w:val="FootnoteReference"/>
        </w:rPr>
        <w:footnoteRef/>
      </w:r>
      <w:r>
        <w:t xml:space="preserve"> </w:t>
      </w:r>
      <w:r w:rsidRPr="00F1351B">
        <w:rPr>
          <w:i/>
          <w:iCs/>
        </w:rPr>
        <w:t>See</w:t>
      </w:r>
      <w:r>
        <w:t xml:space="preserve"> </w:t>
      </w:r>
      <w:r>
        <w:t>USTelecom</w:t>
      </w:r>
      <w:r>
        <w:t xml:space="preserve"> Comments at 9 (requesting “that the Commission require the Bureau to release any revised DIRS forms for public notice and comment prior to adoption,</w:t>
      </w:r>
      <w:r w:rsidRPr="00845DCB">
        <w:t xml:space="preserve"> </w:t>
      </w:r>
      <w:r>
        <w:t>and coordinate with industry on the format to ensure compatibility with providers’ systems”); ATIS Comments at 3-4 (recommending “that the Commission make available, perhaps on the DIRS test server, a mockup of the form, and allow DIRS filers to review, similar to the way the Commission provided examples of its proposed templates for multilingual WEA so the public can provide informed input”); AT&amp;T Reply at 2; CTIA Reply at 4.</w:t>
      </w:r>
    </w:p>
  </w:footnote>
  <w:footnote w:id="70">
    <w:p w:rsidR="00203CCB" w:rsidP="00203CCB" w14:paraId="30C3B07E" w14:textId="77777777">
      <w:pPr>
        <w:pStyle w:val="FootnoteText"/>
      </w:pPr>
      <w:r>
        <w:rPr>
          <w:rStyle w:val="FootnoteReference"/>
        </w:rPr>
        <w:footnoteRef/>
      </w:r>
      <w:r>
        <w:t xml:space="preserve"> </w:t>
      </w:r>
      <w:r w:rsidRPr="00CE6709">
        <w:rPr>
          <w:i/>
          <w:iCs/>
        </w:rPr>
        <w:t xml:space="preserve">See </w:t>
      </w:r>
      <w:r>
        <w:rPr>
          <w:i/>
          <w:iCs/>
        </w:rPr>
        <w:t xml:space="preserve">FNPRM and Order on Reconsideration, </w:t>
      </w:r>
      <w:r>
        <w:t xml:space="preserve">40 FCC </w:t>
      </w:r>
      <w:r>
        <w:t>Rcd</w:t>
      </w:r>
      <w:r>
        <w:t xml:space="preserve"> at 6322, paras. 18-19.</w:t>
      </w:r>
    </w:p>
  </w:footnote>
  <w:footnote w:id="71">
    <w:p w:rsidR="00203CCB" w:rsidP="00203CCB" w14:paraId="5E568D57" w14:textId="77777777">
      <w:pPr>
        <w:pStyle w:val="FootnoteText"/>
      </w:pPr>
      <w:r>
        <w:rPr>
          <w:rStyle w:val="FootnoteReference"/>
        </w:rPr>
        <w:footnoteRef/>
      </w:r>
      <w:r>
        <w:t xml:space="preserve"> </w:t>
      </w:r>
      <w:r w:rsidRPr="00E86DB0">
        <w:rPr>
          <w:i/>
          <w:iCs/>
        </w:rPr>
        <w:t>See</w:t>
      </w:r>
      <w:r>
        <w:rPr>
          <w:i/>
          <w:iCs/>
        </w:rPr>
        <w:t xml:space="preserve">, e.g., </w:t>
      </w:r>
      <w:r>
        <w:t>ACA Connects Comments at 6; NTCA Comments at 3-4; and WISPA Comments at 4.</w:t>
      </w:r>
    </w:p>
  </w:footnote>
  <w:footnote w:id="72">
    <w:p w:rsidR="00203CCB" w:rsidP="00203CCB" w14:paraId="39792BF5" w14:textId="77777777">
      <w:pPr>
        <w:pStyle w:val="FootnoteText"/>
      </w:pPr>
      <w:r>
        <w:rPr>
          <w:rStyle w:val="FootnoteReference"/>
        </w:rPr>
        <w:footnoteRef/>
      </w:r>
      <w:r>
        <w:t xml:space="preserve"> </w:t>
      </w:r>
      <w:r>
        <w:rPr>
          <w:i/>
          <w:iCs/>
        </w:rPr>
        <w:t xml:space="preserve">See </w:t>
      </w:r>
      <w:r>
        <w:t>ATIS Comments at 2, 5 (DIRS final report “</w:t>
      </w:r>
      <w:r w:rsidRPr="00EB0197">
        <w:t>asks for information when conditions may not have stabilized enough to safely assess damage or service availability, making timely and complete reporting impractical.</w:t>
      </w:r>
      <w:r>
        <w:t>”); WISPA Comments at 4 (“</w:t>
      </w:r>
      <w:r w:rsidRPr="00EA6E02">
        <w:t>during the 24-hour period between DIRS deactivation and the final report deadline service restoration may still be ongoing and restoration timelines may be uncertain.</w:t>
      </w:r>
      <w:r>
        <w:t xml:space="preserve">”); ACA Connects Comments at 6; </w:t>
      </w:r>
      <w:r>
        <w:t>WTA Comments at 2</w:t>
      </w:r>
      <w:r>
        <w:t xml:space="preserve">; CTIA Comments at 3-4; NRECA Comments at 4; NCTA Comments at 2; NTCA Comments at 3-4; </w:t>
      </w:r>
      <w:r>
        <w:t>USTelecom</w:t>
      </w:r>
      <w:r>
        <w:t xml:space="preserve"> Comments at 3-4; Verizon Comments at 2.</w:t>
      </w:r>
    </w:p>
  </w:footnote>
  <w:footnote w:id="73">
    <w:p w:rsidR="00203CCB" w:rsidP="00203CCB" w14:paraId="78981850" w14:textId="77777777">
      <w:pPr>
        <w:pStyle w:val="FootnoteText"/>
      </w:pPr>
      <w:r>
        <w:rPr>
          <w:rStyle w:val="FootnoteReference"/>
        </w:rPr>
        <w:footnoteRef/>
      </w:r>
      <w:r>
        <w:t xml:space="preserve"> </w:t>
      </w:r>
      <w:r>
        <w:rPr>
          <w:i/>
          <w:iCs/>
        </w:rPr>
        <w:t xml:space="preserve">See </w:t>
      </w:r>
      <w:r>
        <w:t>Foundation for Defense of Democracies Comments at 3.</w:t>
      </w:r>
    </w:p>
  </w:footnote>
  <w:footnote w:id="74">
    <w:p w:rsidR="00203CCB" w:rsidP="00203CCB" w14:paraId="7DE9ABBF" w14:textId="77777777">
      <w:pPr>
        <w:pStyle w:val="FootnoteText"/>
      </w:pPr>
      <w:r>
        <w:rPr>
          <w:rStyle w:val="FootnoteReference"/>
        </w:rPr>
        <w:footnoteRef/>
      </w:r>
      <w:r>
        <w:t xml:space="preserve"> </w:t>
      </w:r>
      <w:r w:rsidRPr="00CE6709">
        <w:rPr>
          <w:i/>
          <w:iCs/>
        </w:rPr>
        <w:t xml:space="preserve">See </w:t>
      </w:r>
      <w:r>
        <w:rPr>
          <w:i/>
          <w:iCs/>
        </w:rPr>
        <w:t xml:space="preserve">FNPRM and Order on Reconsideration, </w:t>
      </w:r>
      <w:r>
        <w:t xml:space="preserve">40 FCC </w:t>
      </w:r>
      <w:r>
        <w:t>Rcd</w:t>
      </w:r>
      <w:r>
        <w:t xml:space="preserve"> at 6322, para. 18.</w:t>
      </w:r>
    </w:p>
  </w:footnote>
  <w:footnote w:id="75">
    <w:p w:rsidR="00203CCB" w:rsidRPr="00E914DC" w:rsidP="00203CCB" w14:paraId="086EB3CE" w14:textId="77777777">
      <w:pPr>
        <w:pStyle w:val="FootnoteText"/>
      </w:pPr>
      <w:r>
        <w:rPr>
          <w:rStyle w:val="FootnoteReference"/>
        </w:rPr>
        <w:footnoteRef/>
      </w:r>
      <w:r>
        <w:t xml:space="preserve"> </w:t>
      </w:r>
      <w:r>
        <w:rPr>
          <w:i/>
          <w:iCs/>
        </w:rPr>
        <w:t xml:space="preserve">See </w:t>
      </w:r>
      <w:r>
        <w:t>Public Knowledge Comments at 2.</w:t>
      </w:r>
    </w:p>
  </w:footnote>
  <w:footnote w:id="76">
    <w:p w:rsidR="00203CCB" w:rsidRPr="002C30D0" w:rsidP="00203CCB" w14:paraId="19F48B3A" w14:textId="77777777">
      <w:pPr>
        <w:pStyle w:val="FootnoteText"/>
        <w:rPr>
          <w:i/>
          <w:iCs/>
        </w:rPr>
      </w:pPr>
      <w:r>
        <w:rPr>
          <w:rStyle w:val="FootnoteReference"/>
        </w:rPr>
        <w:footnoteRef/>
      </w:r>
      <w:r>
        <w:t xml:space="preserve"> </w:t>
      </w:r>
      <w:r>
        <w:rPr>
          <w:i/>
          <w:iCs/>
        </w:rPr>
        <w:t xml:space="preserve">See id. </w:t>
      </w:r>
    </w:p>
  </w:footnote>
  <w:footnote w:id="77">
    <w:p w:rsidR="00203CCB" w:rsidRPr="00B7253A" w:rsidP="00203CCB" w14:paraId="558DFC0C" w14:textId="77777777">
      <w:pPr>
        <w:pStyle w:val="FootnoteText"/>
      </w:pPr>
      <w:r>
        <w:rPr>
          <w:rStyle w:val="FootnoteReference"/>
        </w:rPr>
        <w:footnoteRef/>
      </w:r>
      <w:r>
        <w:t xml:space="preserve"> </w:t>
      </w:r>
      <w:r>
        <w:rPr>
          <w:i/>
          <w:iCs/>
        </w:rPr>
        <w:t xml:space="preserve">See </w:t>
      </w:r>
      <w:r>
        <w:t xml:space="preserve">Foundation for Defense of Democracies Comments at 5. </w:t>
      </w:r>
    </w:p>
  </w:footnote>
  <w:footnote w:id="78">
    <w:p w:rsidR="00203CCB" w:rsidP="00203CCB" w14:paraId="430B393E" w14:textId="77777777">
      <w:pPr>
        <w:pStyle w:val="FootnoteText"/>
      </w:pPr>
      <w:r>
        <w:rPr>
          <w:rStyle w:val="FootnoteReference"/>
        </w:rPr>
        <w:footnoteRef/>
      </w:r>
      <w:r>
        <w:t xml:space="preserve"> CTIA Comments at 4. </w:t>
      </w:r>
    </w:p>
  </w:footnote>
  <w:footnote w:id="79">
    <w:p w:rsidR="00203CCB" w:rsidP="00203CCB" w14:paraId="209FD40B" w14:textId="77777777">
      <w:pPr>
        <w:pStyle w:val="FootnoteText"/>
      </w:pPr>
      <w:r>
        <w:rPr>
          <w:rStyle w:val="FootnoteReference"/>
        </w:rPr>
        <w:footnoteRef/>
      </w:r>
      <w:r>
        <w:t xml:space="preserve"> </w:t>
      </w:r>
      <w:r w:rsidRPr="00376507">
        <w:rPr>
          <w:i/>
          <w:iCs/>
        </w:rPr>
        <w:t>See</w:t>
      </w:r>
      <w:r>
        <w:t xml:space="preserve"> ACA Connects Comments at 9; NCTA Comments at 2.</w:t>
      </w:r>
    </w:p>
  </w:footnote>
  <w:footnote w:id="80">
    <w:p w:rsidR="00203CCB" w:rsidP="00203CCB" w14:paraId="2E967FA4" w14:textId="77777777">
      <w:pPr>
        <w:pStyle w:val="FootnoteText"/>
      </w:pPr>
      <w:r>
        <w:rPr>
          <w:rStyle w:val="FootnoteReference"/>
        </w:rPr>
        <w:footnoteRef/>
      </w:r>
      <w:r>
        <w:t xml:space="preserve"> </w:t>
      </w:r>
      <w:r w:rsidRPr="00CE6709">
        <w:rPr>
          <w:i/>
          <w:iCs/>
        </w:rPr>
        <w:t xml:space="preserve">See </w:t>
      </w:r>
      <w:r w:rsidRPr="00885655">
        <w:t>WISPA Comments at 5</w:t>
      </w:r>
      <w:r>
        <w:t>.</w:t>
      </w:r>
    </w:p>
  </w:footnote>
  <w:footnote w:id="81">
    <w:p w:rsidR="00203CCB" w:rsidP="00203CCB" w14:paraId="5EAB81A8" w14:textId="77777777">
      <w:pPr>
        <w:pStyle w:val="FootnoteText"/>
      </w:pPr>
      <w:r>
        <w:rPr>
          <w:rStyle w:val="FootnoteReference"/>
        </w:rPr>
        <w:footnoteRef/>
      </w:r>
      <w:r>
        <w:t xml:space="preserve"> </w:t>
      </w:r>
      <w:r w:rsidRPr="00CE6709">
        <w:rPr>
          <w:i/>
          <w:iCs/>
        </w:rPr>
        <w:t xml:space="preserve">See </w:t>
      </w:r>
      <w:r>
        <w:t xml:space="preserve">CTIA Comments at 4 (explaining how the underlying service providers already reports the status of their facilities to the Commission); T-Mobile Comments at 5 (indicating that </w:t>
      </w:r>
      <w:r w:rsidRPr="00912DB1">
        <w:t xml:space="preserve">the facilities-based carriers </w:t>
      </w:r>
      <w:r>
        <w:t>the MVNOs</w:t>
      </w:r>
      <w:r w:rsidRPr="00912DB1">
        <w:t xml:space="preserve"> utilize must submit infrastructure status information in DIRS</w:t>
      </w:r>
      <w:r>
        <w:t>).</w:t>
      </w:r>
    </w:p>
  </w:footnote>
  <w:footnote w:id="82">
    <w:p w:rsidR="00203CCB" w:rsidP="00203CCB" w14:paraId="7499E404" w14:textId="77777777">
      <w:pPr>
        <w:pStyle w:val="FootnoteText"/>
      </w:pPr>
      <w:r>
        <w:rPr>
          <w:rStyle w:val="FootnoteReference"/>
        </w:rPr>
        <w:footnoteRef/>
      </w:r>
      <w:r>
        <w:t xml:space="preserve"> ACA Connects Comments at 3. </w:t>
      </w:r>
    </w:p>
  </w:footnote>
  <w:footnote w:id="83">
    <w:p w:rsidR="00203CCB" w:rsidP="00203CCB" w14:paraId="4ECD736D" w14:textId="77777777">
      <w:pPr>
        <w:pStyle w:val="FootnoteText"/>
      </w:pPr>
      <w:r>
        <w:rPr>
          <w:rStyle w:val="FootnoteReference"/>
        </w:rPr>
        <w:footnoteRef/>
      </w:r>
      <w:r>
        <w:t xml:space="preserve"> </w:t>
      </w:r>
      <w:r w:rsidRPr="00DF3517">
        <w:rPr>
          <w:i/>
          <w:iCs/>
        </w:rPr>
        <w:t>See</w:t>
      </w:r>
      <w:r>
        <w:t xml:space="preserve"> NCTA Comments at 3.</w:t>
      </w:r>
    </w:p>
  </w:footnote>
  <w:footnote w:id="84">
    <w:p w:rsidR="00203CCB" w:rsidRPr="00397A3A" w:rsidP="00203CCB" w14:paraId="3AD1EDBF" w14:textId="77777777">
      <w:pPr>
        <w:pStyle w:val="FootnoteText"/>
      </w:pPr>
      <w:r>
        <w:rPr>
          <w:rStyle w:val="FootnoteReference"/>
        </w:rPr>
        <w:footnoteRef/>
      </w:r>
      <w:r>
        <w:t xml:space="preserve"> </w:t>
      </w:r>
      <w:r>
        <w:rPr>
          <w:i/>
          <w:iCs/>
        </w:rPr>
        <w:t xml:space="preserve">See </w:t>
      </w:r>
      <w:r>
        <w:t xml:space="preserve">47 CFR </w:t>
      </w:r>
      <w:r w:rsidRPr="00FE6CEA">
        <w:t>§§</w:t>
      </w:r>
      <w:r>
        <w:t xml:space="preserve"> 4.3(f) (</w:t>
      </w:r>
      <w:r>
        <w:t xml:space="preserve">defining </w:t>
      </w:r>
      <w:r>
        <w:t xml:space="preserve">wireless communications providers </w:t>
      </w:r>
      <w:r>
        <w:t xml:space="preserve">to </w:t>
      </w:r>
      <w:r w:rsidRPr="00527998">
        <w:t xml:space="preserve">include </w:t>
      </w:r>
      <w:r>
        <w:t>“</w:t>
      </w:r>
      <w:r w:rsidRPr="00723834">
        <w:t>affiliated</w:t>
      </w:r>
      <w:r w:rsidRPr="00527998">
        <w:t xml:space="preserve"> and </w:t>
      </w:r>
      <w:r w:rsidRPr="00723834">
        <w:t>non-affiliated entities that maintain or provide communications networks or services used by the provider in offering such communications</w:t>
      </w:r>
      <w:r>
        <w:t>”);</w:t>
      </w:r>
      <w:r>
        <w:t xml:space="preserve"> 4.3(g) (defining wireline communications providers </w:t>
      </w:r>
      <w:r>
        <w:t>to include</w:t>
      </w:r>
      <w:r w:rsidRPr="00687129">
        <w:t xml:space="preserve"> affiliated and non-affiliated entities that maintain or provide communications services used by the provider in offering such communications</w:t>
      </w:r>
      <w:r>
        <w:t xml:space="preserve">); 4.3(h) (defining interconnected VoIP providers </w:t>
      </w:r>
      <w:r>
        <w:t xml:space="preserve">to include </w:t>
      </w:r>
      <w:r w:rsidRPr="00723834">
        <w:t>facilities-based or non-facilities-based</w:t>
      </w:r>
      <w:r w:rsidRPr="00723834">
        <w:t xml:space="preserve"> providers and “</w:t>
      </w:r>
      <w:r w:rsidRPr="00723834">
        <w:t>affiliated and non-affiliated entities that maintain or provide communications networks or services used by the provider in offering such communications</w:t>
      </w:r>
      <w:r w:rsidRPr="002D1E6C">
        <w:t>”</w:t>
      </w:r>
      <w:r>
        <w:t>);</w:t>
      </w:r>
      <w:r>
        <w:t xml:space="preserve"> 4.9(e)(1); 4.9(f)(1); 4.9(g)(1) (requiring wireless, wireline, and interconnected VoIP providers, respectively, to notify the Commission via NORS of outages on any facilities they “own, operate, </w:t>
      </w:r>
      <w:r w:rsidRPr="00723834">
        <w:t>lease, or otherwise utilize</w:t>
      </w:r>
      <w:r>
        <w:t xml:space="preserve"> . </w:t>
      </w:r>
      <w:r>
        <w:t xml:space="preserve">. . ”). </w:t>
      </w:r>
    </w:p>
  </w:footnote>
  <w:footnote w:id="85">
    <w:p w:rsidR="00203CCB" w:rsidP="00203CCB" w14:paraId="229A875D" w14:textId="77777777">
      <w:pPr>
        <w:pStyle w:val="FootnoteText"/>
      </w:pPr>
      <w:r>
        <w:rPr>
          <w:rStyle w:val="FootnoteReference"/>
        </w:rPr>
        <w:footnoteRef/>
      </w:r>
      <w:r>
        <w:t xml:space="preserve"> </w:t>
      </w:r>
      <w:r w:rsidRPr="00BA1904">
        <w:rPr>
          <w:i/>
        </w:rPr>
        <w:t>See</w:t>
      </w:r>
      <w:r>
        <w:t xml:space="preserve"> </w:t>
      </w:r>
      <w:r w:rsidRPr="00885D0D">
        <w:rPr>
          <w:i/>
          <w:iCs/>
        </w:rPr>
        <w:t>Amendments to Part 4 of the Commission's Rules Concerning Disruptions to Communications</w:t>
      </w:r>
      <w:r w:rsidRPr="00ED4FF5">
        <w:t xml:space="preserve">, </w:t>
      </w:r>
      <w:r>
        <w:t>PS</w:t>
      </w:r>
      <w:r w:rsidRPr="00ED4FF5">
        <w:t xml:space="preserve"> Docket No. </w:t>
      </w:r>
      <w:r>
        <w:t>15</w:t>
      </w:r>
      <w:r w:rsidRPr="004C13A4">
        <w:t>-</w:t>
      </w:r>
      <w:r>
        <w:t xml:space="preserve">80 and ET Docket No. </w:t>
      </w:r>
      <w:r w:rsidRPr="00A60D7B">
        <w:t>04-35</w:t>
      </w:r>
      <w:r w:rsidRPr="00ED4FF5">
        <w:t xml:space="preserve">, </w:t>
      </w:r>
      <w:r>
        <w:rPr>
          <w:iCs/>
        </w:rPr>
        <w:t>Report</w:t>
      </w:r>
      <w:r w:rsidRPr="00ED4FF5">
        <w:rPr>
          <w:iCs/>
        </w:rPr>
        <w:t xml:space="preserve"> and </w:t>
      </w:r>
      <w:r>
        <w:rPr>
          <w:iCs/>
        </w:rPr>
        <w:t>Order</w:t>
      </w:r>
      <w:r w:rsidRPr="00ED4FF5">
        <w:t xml:space="preserve">, </w:t>
      </w:r>
      <w:r w:rsidRPr="00EF4153">
        <w:t xml:space="preserve">30 FCC </w:t>
      </w:r>
      <w:r w:rsidRPr="00EF4153">
        <w:t>Rcd</w:t>
      </w:r>
      <w:r w:rsidRPr="00EF4153">
        <w:t xml:space="preserve"> 3206</w:t>
      </w:r>
      <w:r w:rsidRPr="00ED4FF5">
        <w:t xml:space="preserve">, </w:t>
      </w:r>
      <w:r>
        <w:t>3227</w:t>
      </w:r>
      <w:r w:rsidRPr="00ED4FF5">
        <w:t xml:space="preserve">, para. </w:t>
      </w:r>
      <w:r>
        <w:t>63</w:t>
      </w:r>
      <w:r w:rsidRPr="00ED4FF5">
        <w:t xml:space="preserve"> (20</w:t>
      </w:r>
      <w:r>
        <w:t>15</w:t>
      </w:r>
      <w:r w:rsidRPr="00ED4FF5">
        <w:t>)</w:t>
      </w:r>
      <w:r>
        <w:t xml:space="preserve">; </w:t>
      </w:r>
      <w:r>
        <w:rPr>
          <w:i/>
          <w:iCs/>
        </w:rPr>
        <w:t xml:space="preserve">cf. </w:t>
      </w:r>
      <w:r w:rsidRPr="008E0834">
        <w:rPr>
          <w:i/>
        </w:rPr>
        <w:t>FCC Enforcement Advisory - Mobile Virtual Network Operators (MVNOs) must file in the Robocall Mitigation Database (RMD) and respond to traceback requests</w:t>
      </w:r>
      <w:r w:rsidRPr="00A21A28">
        <w:t xml:space="preserve">, Public Notice, DA </w:t>
      </w:r>
      <w:r>
        <w:t>26</w:t>
      </w:r>
      <w:r w:rsidRPr="00A21A28">
        <w:t>-</w:t>
      </w:r>
      <w:r>
        <w:t xml:space="preserve">174 </w:t>
      </w:r>
      <w:r w:rsidRPr="00A21A28">
        <w:t xml:space="preserve">at </w:t>
      </w:r>
      <w:r>
        <w:t xml:space="preserve">2 </w:t>
      </w:r>
      <w:r w:rsidRPr="00A21A28">
        <w:t>(</w:t>
      </w:r>
      <w:r>
        <w:t>EB</w:t>
      </w:r>
      <w:r w:rsidRPr="00A21A28">
        <w:t xml:space="preserve"> Feb. 2</w:t>
      </w:r>
      <w:r>
        <w:t>0</w:t>
      </w:r>
      <w:r w:rsidRPr="00A21A28">
        <w:t>, 20</w:t>
      </w:r>
      <w:r>
        <w:t>26</w:t>
      </w:r>
      <w:r w:rsidRPr="00A21A28">
        <w:t>)</w:t>
      </w:r>
      <w:r>
        <w:t xml:space="preserve">. </w:t>
      </w:r>
    </w:p>
  </w:footnote>
  <w:footnote w:id="86">
    <w:p w:rsidR="00203CCB" w:rsidP="00203CCB" w14:paraId="1D47BF7F" w14:textId="77777777">
      <w:pPr>
        <w:pStyle w:val="FootnoteText"/>
      </w:pPr>
      <w:r>
        <w:rPr>
          <w:rStyle w:val="FootnoteReference"/>
        </w:rPr>
        <w:footnoteRef/>
      </w:r>
      <w:r>
        <w:t xml:space="preserve"> 47 CFR </w:t>
      </w:r>
      <w:r w:rsidRPr="00FE6CEA">
        <w:t>§</w:t>
      </w:r>
      <w:r>
        <w:t xml:space="preserve"> 4.18(a).</w:t>
      </w:r>
    </w:p>
  </w:footnote>
  <w:footnote w:id="87">
    <w:p w:rsidR="00203CCB" w:rsidP="00203CCB" w14:paraId="648A3444" w14:textId="77777777">
      <w:pPr>
        <w:pStyle w:val="FootnoteText"/>
      </w:pPr>
      <w:r>
        <w:rPr>
          <w:rStyle w:val="FootnoteReference"/>
        </w:rPr>
        <w:footnoteRef/>
      </w:r>
      <w:r>
        <w:t xml:space="preserve"> </w:t>
      </w:r>
      <w:r>
        <w:rPr>
          <w:i/>
          <w:iCs/>
        </w:rPr>
        <w:t xml:space="preserve">New Part 4 of the Commission’s Rules Concerning Disruptions to </w:t>
      </w:r>
      <w:r w:rsidRPr="00831F39">
        <w:rPr>
          <w:i/>
          <w:iCs/>
        </w:rPr>
        <w:t>Communications</w:t>
      </w:r>
      <w:r>
        <w:t xml:space="preserve">, ET Docket No. 04-35, Report and Order and Further Notice of Proposed Rulemaking, 19 FCC </w:t>
      </w:r>
      <w:r>
        <w:t>Rcd</w:t>
      </w:r>
      <w:r>
        <w:t xml:space="preserve"> 16830, </w:t>
      </w:r>
      <w:r w:rsidRPr="00831F39">
        <w:t>16846</w:t>
      </w:r>
      <w:r>
        <w:t xml:space="preserve">-47, para. 28 (2004); </w:t>
      </w:r>
      <w:r>
        <w:rPr>
          <w:i/>
          <w:iCs/>
        </w:rPr>
        <w:t xml:space="preserve">see also </w:t>
      </w:r>
      <w:r>
        <w:t xml:space="preserve">47 CFR </w:t>
      </w:r>
      <w:r w:rsidRPr="00FE6CEA">
        <w:t>§</w:t>
      </w:r>
      <w:r>
        <w:t xml:space="preserve"> 4.9.</w:t>
      </w:r>
    </w:p>
  </w:footnote>
  <w:footnote w:id="88">
    <w:p w:rsidR="00203CCB" w:rsidP="00203CCB" w14:paraId="2503F955" w14:textId="77777777">
      <w:pPr>
        <w:pStyle w:val="FootnoteText"/>
      </w:pPr>
      <w:r>
        <w:rPr>
          <w:rStyle w:val="FootnoteReference"/>
        </w:rPr>
        <w:footnoteRef/>
      </w:r>
      <w:r>
        <w:t xml:space="preserve"> </w:t>
      </w:r>
      <w:r w:rsidRPr="00DF3517">
        <w:rPr>
          <w:i/>
          <w:iCs/>
        </w:rPr>
        <w:t>See</w:t>
      </w:r>
      <w:r>
        <w:t xml:space="preserve"> </w:t>
      </w:r>
      <w:r w:rsidRPr="009924E2">
        <w:rPr>
          <w:i/>
          <w:iCs/>
        </w:rPr>
        <w:t xml:space="preserve">FNPRM and Order on Reconsideration, </w:t>
      </w:r>
      <w:r w:rsidRPr="009924E2">
        <w:t xml:space="preserve">40 FCC </w:t>
      </w:r>
      <w:r w:rsidRPr="009924E2">
        <w:t>Rcd</w:t>
      </w:r>
      <w:r w:rsidRPr="009924E2">
        <w:t xml:space="preserve"> at 632</w:t>
      </w:r>
      <w:r>
        <w:t>3</w:t>
      </w:r>
      <w:r w:rsidRPr="009924E2">
        <w:t xml:space="preserve">, para. </w:t>
      </w:r>
      <w:r>
        <w:t>21.</w:t>
      </w:r>
    </w:p>
  </w:footnote>
  <w:footnote w:id="89">
    <w:p w:rsidR="00203CCB" w:rsidP="00203CCB" w14:paraId="2481098C" w14:textId="77777777">
      <w:pPr>
        <w:pStyle w:val="FootnoteText"/>
      </w:pPr>
      <w:r>
        <w:rPr>
          <w:rStyle w:val="FootnoteReference"/>
        </w:rPr>
        <w:footnoteRef/>
      </w:r>
      <w:r>
        <w:t xml:space="preserve"> </w:t>
      </w:r>
      <w:r w:rsidRPr="001375D1">
        <w:rPr>
          <w:i/>
          <w:iCs/>
        </w:rPr>
        <w:t>See</w:t>
      </w:r>
      <w:r>
        <w:t xml:space="preserve"> Public Knowledge Comments</w:t>
      </w:r>
      <w:r>
        <w:rPr>
          <w:i/>
          <w:iCs/>
        </w:rPr>
        <w:t xml:space="preserve"> </w:t>
      </w:r>
      <w:r>
        <w:t>at 4.</w:t>
      </w:r>
    </w:p>
  </w:footnote>
  <w:footnote w:id="90">
    <w:p w:rsidR="00203CCB" w:rsidP="00203CCB" w14:paraId="05580745" w14:textId="77777777">
      <w:pPr>
        <w:pStyle w:val="FootnoteText"/>
      </w:pPr>
      <w:r>
        <w:rPr>
          <w:rStyle w:val="FootnoteReference"/>
        </w:rPr>
        <w:footnoteRef/>
      </w:r>
      <w:r>
        <w:t xml:space="preserve"> </w:t>
      </w:r>
      <w:r w:rsidRPr="00F500E5">
        <w:t>CTIA Comments at 4-5</w:t>
      </w:r>
      <w:r>
        <w:t>; Public Knowledge Comments</w:t>
      </w:r>
      <w:r>
        <w:rPr>
          <w:i/>
          <w:iCs/>
        </w:rPr>
        <w:t xml:space="preserve"> </w:t>
      </w:r>
      <w:r>
        <w:t>at 4.</w:t>
      </w:r>
    </w:p>
  </w:footnote>
  <w:footnote w:id="91">
    <w:p w:rsidR="00203CCB" w:rsidP="00203CCB" w14:paraId="1D1B9984" w14:textId="77777777">
      <w:pPr>
        <w:pStyle w:val="FootnoteText"/>
      </w:pPr>
      <w:r>
        <w:rPr>
          <w:rStyle w:val="FootnoteReference"/>
        </w:rPr>
        <w:footnoteRef/>
      </w:r>
      <w:r>
        <w:t xml:space="preserve"> Public Knowledge Comments at 1.</w:t>
      </w:r>
    </w:p>
  </w:footnote>
  <w:footnote w:id="92">
    <w:p w:rsidR="00203CCB" w:rsidP="00203CCB" w14:paraId="46DD2050" w14:textId="77777777">
      <w:pPr>
        <w:pStyle w:val="FootnoteText"/>
      </w:pPr>
      <w:r>
        <w:rPr>
          <w:rStyle w:val="FootnoteReference"/>
        </w:rPr>
        <w:footnoteRef/>
      </w:r>
      <w:r>
        <w:t xml:space="preserve"> </w:t>
      </w:r>
      <w:r w:rsidRPr="00DF3517">
        <w:rPr>
          <w:i/>
          <w:iCs/>
        </w:rPr>
        <w:t>See</w:t>
      </w:r>
      <w:r>
        <w:t xml:space="preserve"> </w:t>
      </w:r>
      <w:r w:rsidRPr="009924E2">
        <w:rPr>
          <w:i/>
          <w:iCs/>
        </w:rPr>
        <w:t xml:space="preserve">FNPRM and Order on Reconsideration, </w:t>
      </w:r>
      <w:r w:rsidRPr="009924E2">
        <w:t xml:space="preserve">40 FCC </w:t>
      </w:r>
      <w:r w:rsidRPr="009924E2">
        <w:t>Rcd</w:t>
      </w:r>
      <w:r w:rsidRPr="009924E2">
        <w:t xml:space="preserve"> at 632</w:t>
      </w:r>
      <w:r>
        <w:t>0</w:t>
      </w:r>
      <w:r w:rsidRPr="009924E2">
        <w:t xml:space="preserve">, para. </w:t>
      </w:r>
      <w:r>
        <w:t>15.</w:t>
      </w:r>
    </w:p>
  </w:footnote>
  <w:footnote w:id="93">
    <w:p w:rsidR="00203CCB" w:rsidRPr="001C679D" w:rsidP="00203CCB" w14:paraId="2C2D8238" w14:textId="77777777">
      <w:pPr>
        <w:pStyle w:val="FootnoteText"/>
      </w:pPr>
      <w:r>
        <w:rPr>
          <w:rStyle w:val="FootnoteReference"/>
        </w:rPr>
        <w:footnoteRef/>
      </w:r>
      <w:r>
        <w:t xml:space="preserve"> </w:t>
      </w:r>
      <w:r>
        <w:rPr>
          <w:i/>
          <w:iCs/>
        </w:rPr>
        <w:t xml:space="preserve">See </w:t>
      </w:r>
      <w:r>
        <w:t xml:space="preserve">DIRS User Guide at 33, 35, 38 (requiring the Common Language Location Identifier for major equipment, remote aggregation devices and switches, wireless mobile switching centers); </w:t>
      </w:r>
      <w:r>
        <w:rPr>
          <w:i/>
          <w:iCs/>
        </w:rPr>
        <w:t>see also</w:t>
      </w:r>
      <w:r>
        <w:t xml:space="preserve"> </w:t>
      </w:r>
      <w:r w:rsidRPr="00F12604">
        <w:t xml:space="preserve">iconectiv, </w:t>
      </w:r>
      <w:r w:rsidRPr="00C67FD5">
        <w:rPr>
          <w:i/>
          <w:iCs/>
        </w:rPr>
        <w:t>TruOps</w:t>
      </w:r>
      <w:r w:rsidRPr="00C67FD5">
        <w:rPr>
          <w:i/>
          <w:iCs/>
        </w:rPr>
        <w:t xml:space="preserve"> Common Language location information services CLLI</w:t>
      </w:r>
      <w:r w:rsidRPr="00D44560">
        <w:t xml:space="preserve"> at </w:t>
      </w:r>
      <w:r>
        <w:t>1</w:t>
      </w:r>
      <w:r w:rsidRPr="00D44560">
        <w:t xml:space="preserve">, </w:t>
      </w:r>
      <w:hyperlink r:id="rId6" w:history="1">
        <w:r w:rsidRPr="00CA61FD">
          <w:rPr>
            <w:rStyle w:val="Hyperlink"/>
          </w:rPr>
          <w:t>https://iconectiv.com/sites/default/files/2021-01/iconectivtruopscommonlanguageclli.pdf</w:t>
        </w:r>
      </w:hyperlink>
      <w:r>
        <w:t xml:space="preserve">; </w:t>
      </w:r>
      <w:r w:rsidRPr="002D4DAF">
        <w:t xml:space="preserve">FCC, </w:t>
      </w:r>
      <w:r w:rsidRPr="002D4DAF">
        <w:rPr>
          <w:i/>
          <w:iCs/>
        </w:rPr>
        <w:t>Disaster Information Reporting System (DIRS) User Guide</w:t>
      </w:r>
      <w:r w:rsidRPr="002D4DAF">
        <w:t xml:space="preserve">, </w:t>
      </w:r>
      <w:r>
        <w:t xml:space="preserve">at </w:t>
      </w:r>
      <w:r w:rsidRPr="002D4DAF">
        <w:t>33</w:t>
      </w:r>
      <w:r>
        <w:t>, 35, 38</w:t>
      </w:r>
      <w:r w:rsidRPr="002D4DAF">
        <w:t xml:space="preserve"> (Dec. 2023),</w:t>
      </w:r>
      <w:r>
        <w:t xml:space="preserve"> </w:t>
      </w:r>
      <w:hyperlink r:id="rId4" w:history="1">
        <w:r w:rsidRPr="002377A0">
          <w:rPr>
            <w:rStyle w:val="Hyperlink"/>
          </w:rPr>
          <w:t>https://www.fcc.gov/sites/default/files/DIRS-UserGuide-122023.docx</w:t>
        </w:r>
      </w:hyperlink>
      <w:r>
        <w:t xml:space="preserve"> (eliciting the CLLI as a required field for major equipment, remote aggregation devices, and wireless MSC STP voice, but not wireless cell sites).</w:t>
      </w:r>
    </w:p>
  </w:footnote>
  <w:footnote w:id="94">
    <w:p w:rsidR="00203CCB" w:rsidRPr="0089081D" w:rsidP="00203CCB" w14:paraId="68E95A0F" w14:textId="77777777">
      <w:pPr>
        <w:pStyle w:val="FootnoteText"/>
      </w:pPr>
      <w:r>
        <w:rPr>
          <w:rStyle w:val="FootnoteReference"/>
        </w:rPr>
        <w:footnoteRef/>
      </w:r>
      <w:r>
        <w:t xml:space="preserve"> </w:t>
      </w:r>
      <w:r>
        <w:rPr>
          <w:i/>
          <w:iCs/>
        </w:rPr>
        <w:t xml:space="preserve">See </w:t>
      </w:r>
      <w:r w:rsidRPr="00A86435">
        <w:t>DIRS User Guide</w:t>
      </w:r>
      <w:r>
        <w:rPr>
          <w:i/>
          <w:iCs/>
        </w:rPr>
        <w:t xml:space="preserve"> </w:t>
      </w:r>
      <w:r w:rsidRPr="00A86435">
        <w:t>at 38-39</w:t>
      </w:r>
      <w:r>
        <w:t>.</w:t>
      </w:r>
    </w:p>
  </w:footnote>
  <w:footnote w:id="95">
    <w:p w:rsidR="00203CCB" w:rsidRPr="001008DC" w:rsidP="00203CCB" w14:paraId="5B30E8BC" w14:textId="77777777">
      <w:pPr>
        <w:pStyle w:val="FootnoteText"/>
      </w:pPr>
      <w:r>
        <w:rPr>
          <w:rStyle w:val="FootnoteReference"/>
        </w:rPr>
        <w:footnoteRef/>
      </w:r>
      <w:r>
        <w:t xml:space="preserve"> </w:t>
      </w:r>
      <w:r>
        <w:rPr>
          <w:i/>
          <w:iCs/>
        </w:rPr>
        <w:t xml:space="preserve">See </w:t>
      </w:r>
      <w:r>
        <w:t>T-Mobile Comments at 6.</w:t>
      </w:r>
    </w:p>
  </w:footnote>
  <w:footnote w:id="96">
    <w:p w:rsidR="00203CCB" w:rsidP="00203CCB" w14:paraId="7E5D54BA" w14:textId="77777777">
      <w:pPr>
        <w:pStyle w:val="FootnoteText"/>
      </w:pPr>
      <w:r>
        <w:rPr>
          <w:rStyle w:val="FootnoteReference"/>
        </w:rPr>
        <w:footnoteRef/>
      </w:r>
      <w:r>
        <w:t xml:space="preserve"> </w:t>
      </w:r>
      <w:r>
        <w:t>ATIS Comments at 5 (stating that DIRS filers have been providing more accurate location information in for cell sites in DIRS since 2017).</w:t>
      </w:r>
    </w:p>
  </w:footnote>
  <w:footnote w:id="97">
    <w:p w:rsidR="00203CCB" w:rsidP="00203CCB" w14:paraId="5D885B01" w14:textId="77777777">
      <w:pPr>
        <w:pStyle w:val="FootnoteText"/>
      </w:pPr>
      <w:r>
        <w:rPr>
          <w:rStyle w:val="FootnoteReference"/>
        </w:rPr>
        <w:footnoteRef/>
      </w:r>
      <w:r>
        <w:t xml:space="preserve"> ATIS Comments at 5 (attributing this practice to “DIRS filers” but, in the Bureau’s experience, only one major provider takes this approach).  </w:t>
      </w:r>
    </w:p>
  </w:footnote>
  <w:footnote w:id="98">
    <w:p w:rsidR="00203CCB" w:rsidRPr="009411EC" w:rsidP="00203CCB" w14:paraId="531823E2" w14:textId="77777777">
      <w:pPr>
        <w:pStyle w:val="FootnoteText"/>
      </w:pPr>
      <w:r>
        <w:rPr>
          <w:rStyle w:val="FootnoteReference"/>
        </w:rPr>
        <w:footnoteRef/>
      </w:r>
      <w:r>
        <w:t xml:space="preserve"> </w:t>
      </w:r>
      <w:r>
        <w:rPr>
          <w:i/>
          <w:iCs/>
        </w:rPr>
        <w:t xml:space="preserve">See </w:t>
      </w:r>
      <w:r>
        <w:t>CTIA Reply at 6-7.</w:t>
      </w:r>
    </w:p>
  </w:footnote>
  <w:footnote w:id="99">
    <w:p w:rsidR="00203CCB" w:rsidP="00203CCB" w14:paraId="60256BDE" w14:textId="77777777">
      <w:pPr>
        <w:pStyle w:val="FootnoteText"/>
      </w:pPr>
      <w:r>
        <w:rPr>
          <w:rStyle w:val="FootnoteReference"/>
        </w:rPr>
        <w:footnoteRef/>
      </w:r>
      <w:r>
        <w:t xml:space="preserve"> While providing this information in DIRS is voluntary, the Bureau may still exercise its delegated authority to require providers to provide this information in appropriate circumstances.  </w:t>
      </w:r>
      <w:r w:rsidRPr="007E3EBC">
        <w:rPr>
          <w:i/>
          <w:iCs/>
        </w:rPr>
        <w:t>See</w:t>
      </w:r>
      <w:r>
        <w:t xml:space="preserve">, </w:t>
      </w:r>
      <w:r w:rsidRPr="007E3EBC">
        <w:rPr>
          <w:i/>
          <w:iCs/>
        </w:rPr>
        <w:t>e.g.</w:t>
      </w:r>
      <w:r>
        <w:t xml:space="preserve">, 47 CFR </w:t>
      </w:r>
      <w:r w:rsidRPr="001B519F">
        <w:t>§</w:t>
      </w:r>
      <w:r>
        <w:t xml:space="preserve"> 0.392(h).</w:t>
      </w:r>
    </w:p>
  </w:footnote>
  <w:footnote w:id="100">
    <w:p w:rsidR="00203CCB" w:rsidP="00203CCB" w14:paraId="16A80A87" w14:textId="77777777">
      <w:pPr>
        <w:pStyle w:val="FootnoteText"/>
      </w:pPr>
      <w:r>
        <w:rPr>
          <w:rStyle w:val="FootnoteReference"/>
        </w:rPr>
        <w:footnoteRef/>
      </w:r>
      <w:r>
        <w:t xml:space="preserve"> The wireless provider that submits shape files in DIRS, for example, needs to compress their shape file into a .zip file before submitting it using DIRS and the Commission needs to unzip that file before it can access the shape file. </w:t>
      </w:r>
    </w:p>
  </w:footnote>
  <w:footnote w:id="101">
    <w:p w:rsidR="00203CCB" w:rsidRPr="0071362A" w:rsidP="00203CCB" w14:paraId="47A89F94" w14:textId="77777777">
      <w:pPr>
        <w:pStyle w:val="FootnoteText"/>
      </w:pPr>
      <w:r>
        <w:rPr>
          <w:rStyle w:val="FootnoteReference"/>
        </w:rPr>
        <w:footnoteRef/>
      </w:r>
      <w:r>
        <w:t xml:space="preserve"> Verizon Comments at 3; CCA Reply at 4; ATIS Comments at 2, 5; T-Mobile Comments at 3); </w:t>
      </w:r>
      <w:r>
        <w:rPr>
          <w:i/>
          <w:iCs/>
        </w:rPr>
        <w:t>see also</w:t>
      </w:r>
      <w:r w:rsidRPr="00CE6709">
        <w:rPr>
          <w:i/>
          <w:iCs/>
        </w:rPr>
        <w:t xml:space="preserve"> </w:t>
      </w:r>
      <w:r>
        <w:rPr>
          <w:i/>
          <w:iCs/>
        </w:rPr>
        <w:t xml:space="preserve">FNPRM and Order on Reconsideration, </w:t>
      </w:r>
      <w:r>
        <w:t xml:space="preserve">40 FCC </w:t>
      </w:r>
      <w:r>
        <w:t>Rcd</w:t>
      </w:r>
      <w:r>
        <w:t xml:space="preserve"> at 6321, para. 16.</w:t>
      </w:r>
    </w:p>
  </w:footnote>
  <w:footnote w:id="102">
    <w:p w:rsidR="00203CCB" w:rsidP="00203CCB" w14:paraId="2AFED5FF" w14:textId="77777777">
      <w:pPr>
        <w:pStyle w:val="FootnoteText"/>
      </w:pPr>
      <w:r>
        <w:rPr>
          <w:rStyle w:val="FootnoteReference"/>
        </w:rPr>
        <w:footnoteRef/>
      </w:r>
      <w:r>
        <w:t xml:space="preserve"> </w:t>
      </w:r>
      <w:r w:rsidRPr="00CE6709">
        <w:rPr>
          <w:i/>
          <w:iCs/>
        </w:rPr>
        <w:t xml:space="preserve">See </w:t>
      </w:r>
      <w:r>
        <w:rPr>
          <w:i/>
          <w:iCs/>
        </w:rPr>
        <w:t xml:space="preserve">FNPRM and Order on Reconsideration, </w:t>
      </w:r>
      <w:r>
        <w:t xml:space="preserve">40 FCC </w:t>
      </w:r>
      <w:r>
        <w:t>Rcd</w:t>
      </w:r>
      <w:r>
        <w:t xml:space="preserve"> at 6320, para. 15.  The public safety voice and broadband network operator (as it applies to FirstNet, AT&amp;T) shall be required to satisfy this reporting requirement.</w:t>
      </w:r>
    </w:p>
  </w:footnote>
  <w:footnote w:id="103">
    <w:p w:rsidR="00203CCB" w:rsidRPr="00E94568" w:rsidP="00203CCB" w14:paraId="0D645A54" w14:textId="77777777">
      <w:pPr>
        <w:pStyle w:val="FootnoteText"/>
      </w:pPr>
      <w:r>
        <w:rPr>
          <w:rStyle w:val="FootnoteReference"/>
        </w:rPr>
        <w:footnoteRef/>
      </w:r>
      <w:r>
        <w:t xml:space="preserve"> </w:t>
      </w:r>
      <w:r>
        <w:rPr>
          <w:i/>
          <w:iCs/>
        </w:rPr>
        <w:t xml:space="preserve">See </w:t>
      </w:r>
      <w:r w:rsidRPr="001915B4">
        <w:rPr>
          <w:i/>
          <w:iCs/>
        </w:rPr>
        <w:t>First Responder Network Authority License Renewal Orde</w:t>
      </w:r>
      <w:r>
        <w:rPr>
          <w:i/>
          <w:iCs/>
        </w:rPr>
        <w:t>r</w:t>
      </w:r>
      <w:r>
        <w:t xml:space="preserve">, </w:t>
      </w:r>
      <w:r w:rsidRPr="001872F5">
        <w:t xml:space="preserve">Order, </w:t>
      </w:r>
      <w:r w:rsidRPr="002E51F1">
        <w:t xml:space="preserve">38 FCC </w:t>
      </w:r>
      <w:r w:rsidRPr="002E51F1">
        <w:t>Rcd</w:t>
      </w:r>
      <w:r w:rsidRPr="002E51F1">
        <w:t xml:space="preserve"> </w:t>
      </w:r>
      <w:r>
        <w:t xml:space="preserve">4989, 5000, para. 30 </w:t>
      </w:r>
      <w:r w:rsidRPr="001872F5">
        <w:t>(</w:t>
      </w:r>
      <w:r>
        <w:t>PSHSB</w:t>
      </w:r>
      <w:r w:rsidRPr="001872F5">
        <w:t xml:space="preserve"> 2004)</w:t>
      </w:r>
      <w:r>
        <w:t xml:space="preserve"> (noting FirstNet’s structure to allow PSAPs and Public Safety Enterprise Networks to integrate with the FirstNet core network).</w:t>
      </w:r>
    </w:p>
  </w:footnote>
  <w:footnote w:id="104">
    <w:p w:rsidR="00203CCB" w:rsidRPr="00C00E74" w:rsidP="00203CCB" w14:paraId="5DE9EEF4" w14:textId="77777777">
      <w:pPr>
        <w:pStyle w:val="FootnoteText"/>
      </w:pPr>
      <w:r w:rsidRPr="00C00E74">
        <w:rPr>
          <w:rStyle w:val="FootnoteReference"/>
        </w:rPr>
        <w:footnoteRef/>
      </w:r>
      <w:r w:rsidRPr="00C00E74">
        <w:t xml:space="preserve"> </w:t>
      </w:r>
      <w:r>
        <w:rPr>
          <w:i/>
          <w:iCs/>
        </w:rPr>
        <w:t xml:space="preserve">See </w:t>
      </w:r>
      <w:r>
        <w:t xml:space="preserve">Comments of the National Regional Planning Council, PS Docket No. 21-346, </w:t>
      </w:r>
      <w:r w:rsidRPr="00C00E74">
        <w:t>at 2</w:t>
      </w:r>
      <w:r>
        <w:t xml:space="preserve"> (May 10, 2024)</w:t>
      </w:r>
      <w:r w:rsidRPr="00C00E74">
        <w:t xml:space="preserve">.  </w:t>
      </w:r>
    </w:p>
  </w:footnote>
  <w:footnote w:id="105">
    <w:p w:rsidR="00203CCB" w:rsidP="00203CCB" w14:paraId="7280E772" w14:textId="77777777">
      <w:pPr>
        <w:pStyle w:val="FootnoteText"/>
      </w:pPr>
      <w:r>
        <w:rPr>
          <w:rStyle w:val="FootnoteReference"/>
        </w:rPr>
        <w:footnoteRef/>
      </w:r>
      <w:r>
        <w:t xml:space="preserve"> </w:t>
      </w:r>
      <w:r>
        <w:rPr>
          <w:i/>
          <w:iCs/>
        </w:rPr>
        <w:t xml:space="preserve">See </w:t>
      </w:r>
      <w:r>
        <w:t xml:space="preserve">FirstNet Authority, </w:t>
      </w:r>
      <w:r w:rsidRPr="00706BCC">
        <w:rPr>
          <w:i/>
        </w:rPr>
        <w:t>First Responder Network Authority Roadmap</w:t>
      </w:r>
      <w:r>
        <w:t xml:space="preserve"> at 9-11 (2020), </w:t>
      </w:r>
      <w:hyperlink r:id="rId7" w:history="1">
        <w:r w:rsidRPr="00520154">
          <w:rPr>
            <w:rStyle w:val="Hyperlink"/>
          </w:rPr>
          <w:t>https://firstnet.gov/sites/default/files/Roadmap_2020_nocompress.pdf</w:t>
        </w:r>
      </w:hyperlink>
      <w:r>
        <w:t xml:space="preserve"> (</w:t>
      </w:r>
      <w:r w:rsidRPr="00706BCC">
        <w:rPr>
          <w:i/>
        </w:rPr>
        <w:t>FirstNet Roadmap</w:t>
      </w:r>
      <w:r>
        <w:t xml:space="preserve">).  </w:t>
      </w:r>
    </w:p>
  </w:footnote>
  <w:footnote w:id="106">
    <w:p w:rsidR="00203CCB" w:rsidP="00203CCB" w14:paraId="563BF454" w14:textId="77777777">
      <w:pPr>
        <w:pStyle w:val="FootnoteText"/>
      </w:pPr>
      <w:r>
        <w:rPr>
          <w:rStyle w:val="FootnoteReference"/>
        </w:rPr>
        <w:footnoteRef/>
      </w:r>
      <w:r>
        <w:t xml:space="preserve"> </w:t>
      </w:r>
      <w:r>
        <w:rPr>
          <w:i/>
          <w:iCs/>
        </w:rPr>
        <w:t>See i</w:t>
      </w:r>
      <w:r w:rsidRPr="00193748">
        <w:rPr>
          <w:i/>
          <w:iCs/>
        </w:rPr>
        <w:t>d.</w:t>
      </w:r>
      <w:r>
        <w:t xml:space="preserve"> at 13.  </w:t>
      </w:r>
    </w:p>
  </w:footnote>
  <w:footnote w:id="107">
    <w:p w:rsidR="00203CCB" w:rsidP="00203CCB" w14:paraId="5519145B" w14:textId="77777777">
      <w:pPr>
        <w:pStyle w:val="FootnoteText"/>
      </w:pPr>
      <w:r>
        <w:rPr>
          <w:rStyle w:val="FootnoteReference"/>
        </w:rPr>
        <w:footnoteRef/>
      </w:r>
      <w:r>
        <w:t xml:space="preserve"> </w:t>
      </w:r>
      <w:r w:rsidRPr="00690D21">
        <w:rPr>
          <w:i/>
          <w:iCs/>
        </w:rPr>
        <w:t xml:space="preserve">See </w:t>
      </w:r>
      <w:r>
        <w:t xml:space="preserve">Verizon, </w:t>
      </w:r>
      <w:r w:rsidRPr="00690D21">
        <w:rPr>
          <w:i/>
          <w:iCs/>
        </w:rPr>
        <w:t>The advanced network and technology for first responders</w:t>
      </w:r>
      <w:r>
        <w:t xml:space="preserve">, </w:t>
      </w:r>
      <w:hyperlink r:id="rId8" w:history="1">
        <w:r w:rsidRPr="003F3FEB">
          <w:rPr>
            <w:rStyle w:val="Hyperlink"/>
          </w:rPr>
          <w:t>https://www.verizon.com/business/resources/factsheets/verizon-frontline-public-safety-platform.pdf</w:t>
        </w:r>
      </w:hyperlink>
      <w:r>
        <w:t xml:space="preserve"> (last visited Mar. 18, 2026).</w:t>
      </w:r>
    </w:p>
  </w:footnote>
  <w:footnote w:id="108">
    <w:p w:rsidR="00203CCB" w:rsidP="00203CCB" w14:paraId="3E2EB8BB" w14:textId="77777777">
      <w:pPr>
        <w:pStyle w:val="FootnoteText"/>
      </w:pPr>
      <w:r>
        <w:rPr>
          <w:rStyle w:val="FootnoteReference"/>
        </w:rPr>
        <w:footnoteRef/>
      </w:r>
      <w:r>
        <w:t xml:space="preserve"> </w:t>
      </w:r>
      <w:r w:rsidRPr="00690D21">
        <w:rPr>
          <w:i/>
          <w:iCs/>
        </w:rPr>
        <w:t>See</w:t>
      </w:r>
      <w:r>
        <w:t xml:space="preserve"> T-Priority</w:t>
      </w:r>
      <w:r w:rsidRPr="00690D21">
        <w:rPr>
          <w:i/>
          <w:iCs/>
        </w:rPr>
        <w:t>, FAQ – The facts about T-Priority</w:t>
      </w:r>
      <w:r>
        <w:t xml:space="preserve">, </w:t>
      </w:r>
      <w:hyperlink r:id="rId9" w:history="1">
        <w:r w:rsidRPr="003F3FEB">
          <w:rPr>
            <w:rStyle w:val="Hyperlink"/>
          </w:rPr>
          <w:t>https://www.t-mobile.com/t-priority/why-choose-t-priority?icid=TFB_TMO_P_24TFBFRSTR_EACBC7D5BB79CA7644179</w:t>
        </w:r>
      </w:hyperlink>
      <w:r>
        <w:t xml:space="preserve"> (last visited Mar. 18, 2026).  </w:t>
      </w:r>
    </w:p>
  </w:footnote>
  <w:footnote w:id="109">
    <w:p w:rsidR="00203CCB" w:rsidP="00203CCB" w14:paraId="2171B753" w14:textId="77777777">
      <w:pPr>
        <w:pStyle w:val="FootnoteText"/>
      </w:pPr>
      <w:r>
        <w:rPr>
          <w:rStyle w:val="FootnoteReference"/>
        </w:rPr>
        <w:footnoteRef/>
      </w:r>
      <w:r>
        <w:t xml:space="preserve"> </w:t>
      </w:r>
      <w:r w:rsidRPr="00CE6709">
        <w:rPr>
          <w:i/>
          <w:iCs/>
        </w:rPr>
        <w:t xml:space="preserve">See </w:t>
      </w:r>
      <w:r>
        <w:rPr>
          <w:i/>
          <w:iCs/>
        </w:rPr>
        <w:t xml:space="preserve">FNPRM and Order on Reconsideration, </w:t>
      </w:r>
      <w:r>
        <w:t xml:space="preserve">40 FCC </w:t>
      </w:r>
      <w:r>
        <w:t>Rcd</w:t>
      </w:r>
      <w:r>
        <w:t xml:space="preserve"> at 6320, para. 15 (“We also seek comment on the burdens that collecting and reporting this information in DIRS would pose to the providers of these public safety networks, and whether these providers should report this information on a mandatory or voluntary basis.”).</w:t>
      </w:r>
    </w:p>
  </w:footnote>
  <w:footnote w:id="110">
    <w:p w:rsidR="00203CCB" w:rsidRPr="00F435CE" w:rsidP="00203CCB" w14:paraId="2292B961" w14:textId="77777777">
      <w:pPr>
        <w:pStyle w:val="FootnoteText"/>
      </w:pPr>
      <w:r>
        <w:rPr>
          <w:rStyle w:val="FootnoteReference"/>
        </w:rPr>
        <w:footnoteRef/>
      </w:r>
      <w:r>
        <w:t xml:space="preserve"> </w:t>
      </w:r>
      <w:r>
        <w:rPr>
          <w:i/>
          <w:iCs/>
        </w:rPr>
        <w:t xml:space="preserve">See </w:t>
      </w:r>
      <w:r w:rsidRPr="004F330C">
        <w:rPr>
          <w:i/>
          <w:iCs/>
        </w:rPr>
        <w:t>Second Report and Order &amp; FNPRM</w:t>
      </w:r>
      <w:r>
        <w:t xml:space="preserve">, </w:t>
      </w:r>
      <w:r w:rsidRPr="00821287">
        <w:t xml:space="preserve">39 FCC </w:t>
      </w:r>
      <w:r w:rsidRPr="00821287">
        <w:t>Rcd</w:t>
      </w:r>
      <w:r w:rsidRPr="00821287">
        <w:t xml:space="preserve"> </w:t>
      </w:r>
      <w:r>
        <w:t>at 651-653, paras. 60-63.</w:t>
      </w:r>
    </w:p>
  </w:footnote>
  <w:footnote w:id="111">
    <w:p w:rsidR="00203CCB" w:rsidRPr="00C56D50" w:rsidP="00203CCB" w14:paraId="71DE89FD" w14:textId="77777777">
      <w:pPr>
        <w:pStyle w:val="FootnoteText"/>
      </w:pPr>
      <w:r w:rsidRPr="00843664">
        <w:rPr>
          <w:rStyle w:val="FootnoteReference"/>
        </w:rPr>
        <w:footnoteRef/>
      </w:r>
      <w:r w:rsidRPr="00843664">
        <w:t xml:space="preserve"> </w:t>
      </w:r>
      <w:r w:rsidRPr="00843664">
        <w:rPr>
          <w:i/>
          <w:iCs/>
        </w:rPr>
        <w:t>See</w:t>
      </w:r>
      <w:r>
        <w:t xml:space="preserve"> Comments of New York State Public Service Commission, PS Docket No. 21-346,</w:t>
      </w:r>
      <w:r w:rsidRPr="00843664">
        <w:t xml:space="preserve"> at 3 </w:t>
      </w:r>
      <w:r>
        <w:t xml:space="preserve">(Apr. 29, 2024) </w:t>
      </w:r>
      <w:r w:rsidRPr="00843664">
        <w:t xml:space="preserve">(supporting NORS and DIRS outage reporting for FirstNet considering the implications to public safety that an outage could present); </w:t>
      </w:r>
      <w:r>
        <w:t xml:space="preserve">Comments of </w:t>
      </w:r>
      <w:r w:rsidRPr="00843664">
        <w:t xml:space="preserve">Maryland </w:t>
      </w:r>
      <w:r>
        <w:t xml:space="preserve">Department of Information Technology, PS Docket No. 21-346, </w:t>
      </w:r>
      <w:r w:rsidRPr="00843664">
        <w:t xml:space="preserve">at 1-2 </w:t>
      </w:r>
      <w:r>
        <w:t xml:space="preserve">(Apr. 3, 2024) </w:t>
      </w:r>
      <w:r w:rsidRPr="00843664">
        <w:t xml:space="preserve">(supporting a real-time data reporting requirement in NORS and DIRS); </w:t>
      </w:r>
      <w:r>
        <w:t xml:space="preserve">Comments of </w:t>
      </w:r>
      <w:r w:rsidRPr="00843664">
        <w:t>Next Century Cities</w:t>
      </w:r>
      <w:r>
        <w:t xml:space="preserve">, PS Docket No. 21-246, </w:t>
      </w:r>
      <w:r w:rsidRPr="00843664">
        <w:t>at 9</w:t>
      </w:r>
      <w:r>
        <w:t xml:space="preserve"> (May 13, 2024)</w:t>
      </w:r>
      <w:r w:rsidRPr="00843664">
        <w:t xml:space="preserve">; </w:t>
      </w:r>
      <w:r>
        <w:t xml:space="preserve">Comments of </w:t>
      </w:r>
      <w:r w:rsidRPr="00843664">
        <w:t>T-Mobile</w:t>
      </w:r>
      <w:r>
        <w:t xml:space="preserve"> USA, PS Docket No. 21-346</w:t>
      </w:r>
      <w:r w:rsidRPr="00843664">
        <w:t xml:space="preserve"> at </w:t>
      </w:r>
      <w:r>
        <w:t>4-5 (May 13, 2024)</w:t>
      </w:r>
      <w:r w:rsidRPr="00843664">
        <w:t xml:space="preserve">; </w:t>
      </w:r>
      <w:r>
        <w:t xml:space="preserve">Comments of </w:t>
      </w:r>
      <w:r w:rsidRPr="00843664">
        <w:t>Verizon</w:t>
      </w:r>
      <w:r>
        <w:t>, PS Docket No. 21-246,</w:t>
      </w:r>
      <w:r w:rsidRPr="00843664">
        <w:t xml:space="preserve"> at </w:t>
      </w:r>
      <w:r>
        <w:t>8-9 (May 13, 2024)</w:t>
      </w:r>
      <w:r w:rsidRPr="00843664">
        <w:t xml:space="preserve">; </w:t>
      </w:r>
      <w:r>
        <w:t xml:space="preserve">Reply of the </w:t>
      </w:r>
      <w:r w:rsidRPr="00843664">
        <w:t>Competitive Carriers Association</w:t>
      </w:r>
      <w:r>
        <w:t>, PS Docket No. 21-34,</w:t>
      </w:r>
      <w:r w:rsidRPr="00843664">
        <w:t xml:space="preserve"> at 2</w:t>
      </w:r>
      <w:r>
        <w:t xml:space="preserve"> (June 12, 2024)</w:t>
      </w:r>
      <w:r w:rsidRPr="00843664">
        <w:t>.</w:t>
      </w:r>
      <w:r>
        <w:t xml:space="preserve">  Notwithstanding, no public safety commenters responded to the Commission’s </w:t>
      </w:r>
      <w:r>
        <w:rPr>
          <w:i/>
          <w:iCs/>
        </w:rPr>
        <w:t>FNPRM</w:t>
      </w:r>
      <w:r>
        <w:t xml:space="preserve">, including on this issue. </w:t>
      </w:r>
    </w:p>
  </w:footnote>
  <w:footnote w:id="112">
    <w:p w:rsidR="00203CCB" w:rsidRPr="00843664" w:rsidP="00203CCB" w14:paraId="0160A141" w14:textId="77777777">
      <w:pPr>
        <w:pStyle w:val="FootnoteText"/>
      </w:pPr>
      <w:r w:rsidRPr="00843664">
        <w:rPr>
          <w:rStyle w:val="FootnoteReference"/>
        </w:rPr>
        <w:footnoteRef/>
      </w:r>
      <w:r w:rsidRPr="00843664">
        <w:t xml:space="preserve"> </w:t>
      </w:r>
      <w:r>
        <w:t xml:space="preserve">Comments of </w:t>
      </w:r>
      <w:r w:rsidRPr="00843664">
        <w:t>Public Knowledge</w:t>
      </w:r>
      <w:r>
        <w:t>, Communications Workers of America, New America’s Open Technology Institute, PS Docket No 21-346, at</w:t>
      </w:r>
      <w:r w:rsidRPr="00843664">
        <w:t xml:space="preserve"> 2</w:t>
      </w:r>
      <w:r>
        <w:t xml:space="preserve"> (May 13, 2024)</w:t>
      </w:r>
      <w:r w:rsidRPr="00843664">
        <w:t>.</w:t>
      </w:r>
      <w:r>
        <w:t xml:space="preserve">  </w:t>
      </w:r>
    </w:p>
  </w:footnote>
  <w:footnote w:id="113">
    <w:p w:rsidR="00203CCB" w:rsidRPr="00843664" w:rsidP="00203CCB" w14:paraId="7316F548" w14:textId="77777777">
      <w:pPr>
        <w:pStyle w:val="FootnoteText"/>
      </w:pPr>
      <w:r w:rsidRPr="00843664">
        <w:rPr>
          <w:rStyle w:val="FootnoteReference"/>
        </w:rPr>
        <w:footnoteRef/>
      </w:r>
      <w:r w:rsidRPr="00843664">
        <w:t xml:space="preserve"> </w:t>
      </w:r>
      <w:r>
        <w:t>Comments of the National Association of State Utility Consumer Advocates (NASUCA) and the Utility Report Network (TURN), PS Docket No. 21-346,</w:t>
      </w:r>
      <w:r w:rsidRPr="00843664">
        <w:t xml:space="preserve"> at 6</w:t>
      </w:r>
      <w:r>
        <w:t xml:space="preserve"> (May 13, 2025)</w:t>
      </w:r>
      <w:r w:rsidRPr="00843664">
        <w:t>.</w:t>
      </w:r>
      <w:r>
        <w:t xml:space="preserve">  </w:t>
      </w:r>
    </w:p>
  </w:footnote>
  <w:footnote w:id="114">
    <w:p w:rsidR="00203CCB" w:rsidRPr="00843664" w:rsidP="00203CCB" w14:paraId="52CCAD9D" w14:textId="77777777">
      <w:pPr>
        <w:pStyle w:val="FootnoteText"/>
      </w:pPr>
      <w:r w:rsidRPr="00843664">
        <w:rPr>
          <w:rStyle w:val="FootnoteReference"/>
        </w:rPr>
        <w:footnoteRef/>
      </w:r>
      <w:r w:rsidRPr="00843664">
        <w:t xml:space="preserve"> </w:t>
      </w:r>
      <w:r>
        <w:t xml:space="preserve">Comments of </w:t>
      </w:r>
      <w:r w:rsidRPr="00843664">
        <w:t>Next Century Cities</w:t>
      </w:r>
      <w:r>
        <w:t xml:space="preserve">, PS Docket No. 21-246, </w:t>
      </w:r>
      <w:r w:rsidRPr="00843664">
        <w:t>at 9</w:t>
      </w:r>
      <w:r>
        <w:t xml:space="preserve"> (May 13, 2024)</w:t>
      </w:r>
      <w:r w:rsidRPr="00843664">
        <w:t>.</w:t>
      </w:r>
      <w:r>
        <w:t xml:space="preserve">  </w:t>
      </w:r>
    </w:p>
  </w:footnote>
  <w:footnote w:id="115">
    <w:p w:rsidR="00203CCB" w:rsidP="00203CCB" w14:paraId="112D38FA" w14:textId="77777777">
      <w:pPr>
        <w:pStyle w:val="FootnoteText"/>
      </w:pPr>
      <w:r>
        <w:rPr>
          <w:rStyle w:val="FootnoteReference"/>
        </w:rPr>
        <w:footnoteRef/>
      </w:r>
      <w:r>
        <w:t xml:space="preserve"> </w:t>
      </w:r>
      <w:r w:rsidRPr="006054DF">
        <w:rPr>
          <w:i/>
          <w:iCs/>
        </w:rPr>
        <w:t xml:space="preserve">See </w:t>
      </w:r>
      <w:r>
        <w:rPr>
          <w:i/>
          <w:iCs/>
        </w:rPr>
        <w:t>FNPRM and Order on Reconsideration</w:t>
      </w:r>
      <w:r>
        <w:t xml:space="preserve">, 40 FCC </w:t>
      </w:r>
      <w:r>
        <w:t>Rcd</w:t>
      </w:r>
      <w:r>
        <w:t xml:space="preserve"> at 6320-21, para. 15 (describing how failing to identify impacts to public safety voice and broadband network customers “prevents the Commission from disseminating information to emergency management agencies about outages that may affect first responders’ ability to communicate with one another and with PSAPs in disaster-affected areas”).   </w:t>
      </w:r>
    </w:p>
  </w:footnote>
  <w:footnote w:id="116">
    <w:p w:rsidR="00203CCB" w:rsidP="00203CCB" w14:paraId="0EEF999A" w14:textId="77777777">
      <w:pPr>
        <w:pStyle w:val="FootnoteText"/>
      </w:pPr>
      <w:r>
        <w:rPr>
          <w:rStyle w:val="FootnoteReference"/>
        </w:rPr>
        <w:footnoteRef/>
      </w:r>
      <w:r>
        <w:t xml:space="preserve"> </w:t>
      </w:r>
      <w:r w:rsidRPr="00A55A1C">
        <w:rPr>
          <w:i/>
          <w:iCs/>
        </w:rPr>
        <w:t>See</w:t>
      </w:r>
      <w:r>
        <w:rPr>
          <w:i/>
          <w:iCs/>
        </w:rPr>
        <w:t>, e.g.,</w:t>
      </w:r>
      <w:r w:rsidRPr="00A55A1C">
        <w:rPr>
          <w:i/>
          <w:iCs/>
        </w:rPr>
        <w:t xml:space="preserve"> </w:t>
      </w:r>
      <w:r w:rsidRPr="00E56D59">
        <w:rPr>
          <w:i/>
          <w:iCs/>
        </w:rPr>
        <w:t>Second Report and Order &amp; FNPRM</w:t>
      </w:r>
      <w:r w:rsidRPr="00A55A1C">
        <w:t xml:space="preserve">, 39 FCC </w:t>
      </w:r>
      <w:r w:rsidRPr="00A55A1C">
        <w:t>Rcd</w:t>
      </w:r>
      <w:r w:rsidRPr="00A55A1C">
        <w:t xml:space="preserve"> </w:t>
      </w:r>
      <w:r>
        <w:t>at 631-32, para. 15</w:t>
      </w:r>
      <w:r w:rsidRPr="00A55A1C">
        <w:t xml:space="preserve"> (2024)</w:t>
      </w:r>
      <w:r>
        <w:t>.</w:t>
      </w:r>
    </w:p>
  </w:footnote>
  <w:footnote w:id="117">
    <w:p w:rsidR="00203CCB" w:rsidP="00203CCB" w14:paraId="18E46710" w14:textId="77777777">
      <w:pPr>
        <w:pStyle w:val="FootnoteText"/>
      </w:pPr>
      <w:r>
        <w:rPr>
          <w:rStyle w:val="FootnoteReference"/>
        </w:rPr>
        <w:footnoteRef/>
      </w:r>
      <w:r>
        <w:t xml:space="preserve"> </w:t>
      </w:r>
      <w:r w:rsidRPr="005221CF">
        <w:rPr>
          <w:i/>
          <w:iCs/>
        </w:rPr>
        <w:t xml:space="preserve">See </w:t>
      </w:r>
      <w:r>
        <w:t xml:space="preserve">AT&amp;T Reply at 5; Verizon Comments at 4-5.  </w:t>
      </w:r>
    </w:p>
  </w:footnote>
  <w:footnote w:id="118">
    <w:p w:rsidR="00203CCB" w:rsidP="00203CCB" w14:paraId="0D529A8C" w14:textId="77777777">
      <w:pPr>
        <w:pStyle w:val="FootnoteText"/>
      </w:pPr>
      <w:r>
        <w:rPr>
          <w:rStyle w:val="FootnoteReference"/>
        </w:rPr>
        <w:footnoteRef/>
      </w:r>
      <w:r>
        <w:t xml:space="preserve"> </w:t>
      </w:r>
      <w:r w:rsidRPr="005221CF">
        <w:rPr>
          <w:i/>
          <w:iCs/>
        </w:rPr>
        <w:t>See</w:t>
      </w:r>
      <w:r>
        <w:t xml:space="preserve"> AT&amp;T Reply at 6.  </w:t>
      </w:r>
    </w:p>
  </w:footnote>
  <w:footnote w:id="119">
    <w:p w:rsidR="00203CCB" w:rsidP="00203CCB" w14:paraId="34FF9625" w14:textId="77777777">
      <w:pPr>
        <w:pStyle w:val="FootnoteText"/>
      </w:pPr>
      <w:r>
        <w:rPr>
          <w:rStyle w:val="FootnoteReference"/>
        </w:rPr>
        <w:footnoteRef/>
      </w:r>
      <w:r>
        <w:t xml:space="preserve"> Verizon Comments at 4. </w:t>
      </w:r>
    </w:p>
  </w:footnote>
  <w:footnote w:id="120">
    <w:p w:rsidR="00203CCB" w:rsidP="00203CCB" w14:paraId="4C2FE680" w14:textId="77777777">
      <w:pPr>
        <w:pStyle w:val="FootnoteText"/>
      </w:pPr>
      <w:r>
        <w:rPr>
          <w:rStyle w:val="FootnoteReference"/>
        </w:rPr>
        <w:footnoteRef/>
      </w:r>
      <w:r>
        <w:t xml:space="preserve"> </w:t>
      </w:r>
      <w:r w:rsidRPr="005221CF">
        <w:rPr>
          <w:i/>
          <w:iCs/>
        </w:rPr>
        <w:t>See</w:t>
      </w:r>
      <w:r>
        <w:t xml:space="preserve"> </w:t>
      </w:r>
      <w:r>
        <w:rPr>
          <w:i/>
          <w:iCs/>
        </w:rPr>
        <w:t>id.</w:t>
      </w:r>
      <w:r>
        <w:t xml:space="preserve"> at 4-5.  </w:t>
      </w:r>
    </w:p>
  </w:footnote>
  <w:footnote w:id="121">
    <w:p w:rsidR="00203CCB" w:rsidP="00203CCB" w14:paraId="64AAAD44" w14:textId="77777777">
      <w:pPr>
        <w:pStyle w:val="FootnoteText"/>
      </w:pPr>
      <w:r>
        <w:rPr>
          <w:rStyle w:val="FootnoteReference"/>
        </w:rPr>
        <w:footnoteRef/>
      </w:r>
      <w:r>
        <w:t xml:space="preserve"> </w:t>
      </w:r>
      <w:r w:rsidRPr="5869CA35">
        <w:t>According to FirstNet, FirstNet Central is a “secure online portal that, among other things, provides public safety agencies with visibility into the FirstNet network operational status and site conditions (e.g., areas that may be experiencing outages; the cause, if known, of the outage; [and] estimated restoration time</w:t>
      </w:r>
      <w:r>
        <w:t>).</w:t>
      </w:r>
      <w:r w:rsidRPr="5869CA35">
        <w:t>”</w:t>
      </w:r>
      <w:r>
        <w:t xml:space="preserve">  </w:t>
      </w:r>
      <w:r>
        <w:rPr>
          <w:i/>
          <w:iCs/>
        </w:rPr>
        <w:t xml:space="preserve">See </w:t>
      </w:r>
      <w:r>
        <w:t xml:space="preserve">Comments of the First Responder Network Authority, PS Docket No 21-346, </w:t>
      </w:r>
      <w:r w:rsidRPr="00C00E74">
        <w:t>at 3</w:t>
      </w:r>
      <w:r>
        <w:t xml:space="preserve"> (May 10, 2024) (filed by the National Telecommunications and Information Administration) (“FirstNet 2024 Comments”).</w:t>
      </w:r>
    </w:p>
  </w:footnote>
  <w:footnote w:id="122">
    <w:p w:rsidR="00203CCB" w:rsidRPr="001912E8" w:rsidP="00203CCB" w14:paraId="02C5F1B5" w14:textId="77777777">
      <w:pPr>
        <w:pStyle w:val="FootnoteText"/>
      </w:pPr>
      <w:r>
        <w:rPr>
          <w:rStyle w:val="FootnoteReference"/>
        </w:rPr>
        <w:footnoteRef/>
      </w:r>
      <w:r>
        <w:t xml:space="preserve"> </w:t>
      </w:r>
      <w:r>
        <w:rPr>
          <w:i/>
          <w:iCs/>
        </w:rPr>
        <w:t xml:space="preserve">See </w:t>
      </w:r>
      <w:r>
        <w:t xml:space="preserve">AT&amp;T Reply at 6; </w:t>
      </w:r>
      <w:r w:rsidRPr="005221CF">
        <w:rPr>
          <w:i/>
          <w:iCs/>
        </w:rPr>
        <w:t>see also</w:t>
      </w:r>
      <w:r>
        <w:t xml:space="preserve"> FirstNet 2024 Comments at 3 (stating that FirstNet Central “</w:t>
      </w:r>
      <w:r w:rsidRPr="001912E8">
        <w:t>includes maps of local coverage and site conditions, overlaid with external data such as weather and traffic conditions, flooding, wind, drought, active fire incidents, and critical assets (</w:t>
      </w:r>
      <w:r w:rsidRPr="001912E8">
        <w:rPr>
          <w:i/>
          <w:iCs/>
        </w:rPr>
        <w:t>e.g.</w:t>
      </w:r>
      <w:r w:rsidRPr="001912E8">
        <w:t>, hospital trauma centers)</w:t>
      </w:r>
      <w:r>
        <w:t>”).</w:t>
      </w:r>
    </w:p>
  </w:footnote>
  <w:footnote w:id="123">
    <w:p w:rsidR="00203CCB" w:rsidP="00203CCB" w14:paraId="7ED664B9" w14:textId="77777777">
      <w:pPr>
        <w:pStyle w:val="FootnoteText"/>
      </w:pPr>
      <w:r>
        <w:rPr>
          <w:rStyle w:val="FootnoteReference"/>
        </w:rPr>
        <w:footnoteRef/>
      </w:r>
      <w:r>
        <w:t xml:space="preserve"> Verizon Comments, PS Docket Nos. 21-346 and 15-80, ET Docket No. 04-35 at 5 (rec. May 13, 2024) (Verizon 2024 Outage Reporting Comments); AT&amp;T Reply, PS Docket Nos. 21-346 and 15-80, ET Docket No. 04-35 (rec. June 12, 2024) at 6 (AT&amp;T 2024 Outage Reporting Reply) (stating the same with respect to FirstNet Central); </w:t>
      </w:r>
      <w:r w:rsidRPr="00147F43">
        <w:rPr>
          <w:i/>
        </w:rPr>
        <w:t>see also</w:t>
      </w:r>
      <w:r>
        <w:t xml:space="preserve"> T-Mobile USA, Inc. Comments, PS Docket Nos. 21-346 and 15-80, ET Docket No. 04-35 at 7 (rec. May 13, 2024) (observing that “agencies participating in the outage reporting information sharing regime will know the status of T-Priority without the need for T-Mobile to file additional reports.”) (T-Mobile 2024 Outage Reporting Comments).</w:t>
      </w:r>
    </w:p>
  </w:footnote>
  <w:footnote w:id="124">
    <w:p w:rsidR="00203CCB" w:rsidP="00203CCB" w14:paraId="01E3015A" w14:textId="77777777">
      <w:pPr>
        <w:pStyle w:val="FootnoteText"/>
      </w:pPr>
      <w:r>
        <w:rPr>
          <w:rStyle w:val="FootnoteReference"/>
        </w:rPr>
        <w:footnoteRef/>
      </w:r>
      <w:r>
        <w:t xml:space="preserve"> While AT&amp;T describes how it and “the FirstNet Authority actively engage in state emergency operations centers during a disaster,” AT&amp;T Reply at 7, state emergency operations centers lack access to the aggregated network status available as a result of the DIRS reporting requirements we adopt today.   </w:t>
      </w:r>
    </w:p>
  </w:footnote>
  <w:footnote w:id="125">
    <w:p w:rsidR="00203CCB" w:rsidP="00203CCB" w14:paraId="7CB792B6" w14:textId="77777777">
      <w:pPr>
        <w:pStyle w:val="FootnoteText"/>
      </w:pPr>
      <w:r>
        <w:rPr>
          <w:rStyle w:val="FootnoteReference"/>
        </w:rPr>
        <w:footnoteRef/>
      </w:r>
      <w:r>
        <w:t xml:space="preserve"> </w:t>
      </w:r>
      <w:r w:rsidRPr="00324126">
        <w:rPr>
          <w:i/>
          <w:iCs/>
        </w:rPr>
        <w:t>See</w:t>
      </w:r>
      <w:r>
        <w:t xml:space="preserve"> T-Mobile Comments at 8 (stating “[a]</w:t>
      </w:r>
      <w:r>
        <w:t>lthough</w:t>
      </w:r>
      <w:r>
        <w:t xml:space="preserve"> FirstNet Central is an available tool that may provide outage information regarding FirstNet, the Commission correctly notes that this tool does not report outages within any specific required timeframe and is not accessible to non-FirstNet users.  Therefore, a gap exists in situational awareness of FirstNet’s operational status.”).</w:t>
      </w:r>
    </w:p>
  </w:footnote>
  <w:footnote w:id="126">
    <w:p w:rsidR="00203CCB" w:rsidP="00203CCB" w14:paraId="29845917" w14:textId="77777777">
      <w:pPr>
        <w:pStyle w:val="FootnoteText"/>
      </w:pPr>
      <w:r>
        <w:rPr>
          <w:rStyle w:val="FootnoteReference"/>
        </w:rPr>
        <w:footnoteRef/>
      </w:r>
      <w:r>
        <w:t xml:space="preserve"> </w:t>
      </w:r>
      <w:r w:rsidRPr="006022DC">
        <w:rPr>
          <w:i/>
          <w:iCs/>
        </w:rPr>
        <w:t>See</w:t>
      </w:r>
      <w:r>
        <w:t xml:space="preserve"> AT&amp;T Reply at 6 (describing how FirstNet Central provides “public safety customers with visibility into the FirstNet network operational status and specific site conditions through a secure online portal”).   </w:t>
      </w:r>
    </w:p>
  </w:footnote>
  <w:footnote w:id="127">
    <w:p w:rsidR="00203CCB" w:rsidP="00203CCB" w14:paraId="555A9368" w14:textId="77777777">
      <w:pPr>
        <w:pStyle w:val="FootnoteText"/>
      </w:pPr>
      <w:r>
        <w:rPr>
          <w:rStyle w:val="FootnoteReference"/>
        </w:rPr>
        <w:footnoteRef/>
      </w:r>
      <w:r>
        <w:t xml:space="preserve"> </w:t>
      </w:r>
      <w:r w:rsidRPr="006022DC">
        <w:rPr>
          <w:i/>
          <w:iCs/>
        </w:rPr>
        <w:t xml:space="preserve">See </w:t>
      </w:r>
      <w:r>
        <w:t xml:space="preserve">AT&amp;T Reply at 6 &amp; n.29 (noting that “FirstNet Central includes maps of local coverage and site conditions, overlaid with external data”).  It is unclear whether this information also includes the status of specific infrastructure. </w:t>
      </w:r>
    </w:p>
  </w:footnote>
  <w:footnote w:id="128">
    <w:p w:rsidR="00203CCB" w:rsidP="00203CCB" w14:paraId="0ED5E4A3" w14:textId="77777777">
      <w:pPr>
        <w:pStyle w:val="FootnoteText"/>
      </w:pPr>
      <w:r>
        <w:rPr>
          <w:rStyle w:val="FootnoteReference"/>
        </w:rPr>
        <w:footnoteRef/>
      </w:r>
      <w:r>
        <w:t xml:space="preserve"> Verizon states that detailed service availability and restoration information is </w:t>
      </w:r>
      <w:r w:rsidRPr="00200DAC">
        <w:rPr>
          <w:i/>
          <w:iCs/>
        </w:rPr>
        <w:t>likely</w:t>
      </w:r>
      <w:r>
        <w:t xml:space="preserve"> already being provided in accordance with contractual terms and conditions as part of the provider-enterprise customer relationship, but neither definitively states that such communications are, in fact, occurring, nor provides any specifics about those communications.  </w:t>
      </w:r>
      <w:r>
        <w:rPr>
          <w:i/>
          <w:iCs/>
        </w:rPr>
        <w:t xml:space="preserve">See </w:t>
      </w:r>
      <w:r>
        <w:t xml:space="preserve">Verizon Comments at 5. </w:t>
      </w:r>
    </w:p>
  </w:footnote>
  <w:footnote w:id="129">
    <w:p w:rsidR="00203CCB" w:rsidRPr="005552D5" w:rsidP="00203CCB" w14:paraId="3EB0EB40" w14:textId="77777777">
      <w:pPr>
        <w:pStyle w:val="FootnoteText"/>
      </w:pPr>
      <w:r>
        <w:rPr>
          <w:rStyle w:val="FootnoteReference"/>
        </w:rPr>
        <w:footnoteRef/>
      </w:r>
      <w:r>
        <w:t xml:space="preserve"> </w:t>
      </w:r>
      <w:r w:rsidRPr="004334C7">
        <w:rPr>
          <w:i/>
          <w:iCs/>
        </w:rPr>
        <w:t>See</w:t>
      </w:r>
      <w:r>
        <w:t xml:space="preserve"> T-Mobile Comments at 7 (emphasis added).  </w:t>
      </w:r>
    </w:p>
  </w:footnote>
  <w:footnote w:id="130">
    <w:p w:rsidR="00203CCB" w:rsidP="00203CCB" w14:paraId="243DCC45" w14:textId="77777777">
      <w:pPr>
        <w:pStyle w:val="FootnoteText"/>
      </w:pPr>
      <w:r>
        <w:rPr>
          <w:rStyle w:val="FootnoteReference"/>
        </w:rPr>
        <w:footnoteRef/>
      </w:r>
      <w:r>
        <w:t xml:space="preserve"> </w:t>
      </w:r>
      <w:r w:rsidRPr="00A20788">
        <w:rPr>
          <w:i/>
          <w:iCs/>
        </w:rPr>
        <w:t>See</w:t>
      </w:r>
      <w:r>
        <w:t xml:space="preserve"> </w:t>
      </w:r>
      <w:r>
        <w:rPr>
          <w:i/>
          <w:iCs/>
        </w:rPr>
        <w:t>id</w:t>
      </w:r>
      <w:r>
        <w:t xml:space="preserve">.  </w:t>
      </w:r>
    </w:p>
  </w:footnote>
  <w:footnote w:id="131">
    <w:p w:rsidR="00203CCB" w:rsidP="00203CCB" w14:paraId="71D23A9F" w14:textId="77777777">
      <w:pPr>
        <w:pStyle w:val="FootnoteText"/>
      </w:pPr>
      <w:r>
        <w:rPr>
          <w:rStyle w:val="FootnoteReference"/>
        </w:rPr>
        <w:footnoteRef/>
      </w:r>
      <w:r>
        <w:t xml:space="preserve"> </w:t>
      </w:r>
      <w:r w:rsidRPr="00363A6E">
        <w:rPr>
          <w:i/>
          <w:iCs/>
        </w:rPr>
        <w:t>See</w:t>
      </w:r>
      <w:r>
        <w:t xml:space="preserve"> </w:t>
      </w:r>
      <w:r>
        <w:rPr>
          <w:i/>
          <w:iCs/>
        </w:rPr>
        <w:t>id.</w:t>
      </w:r>
    </w:p>
  </w:footnote>
  <w:footnote w:id="132">
    <w:p w:rsidR="00203CCB" w:rsidP="00203CCB" w14:paraId="291FD183" w14:textId="77777777">
      <w:pPr>
        <w:pStyle w:val="FootnoteText"/>
      </w:pPr>
      <w:r>
        <w:rPr>
          <w:rStyle w:val="FootnoteReference"/>
        </w:rPr>
        <w:footnoteRef/>
      </w:r>
      <w:r>
        <w:t xml:space="preserve"> Donny Jackson, </w:t>
      </w:r>
      <w:r w:rsidRPr="00A20788">
        <w:rPr>
          <w:i/>
          <w:iCs/>
        </w:rPr>
        <w:t>T-Mobile formally launches T-Priority for first responders, powered by 5G network-slicing technology</w:t>
      </w:r>
      <w:r>
        <w:t xml:space="preserve"> (Feb. 25, 2025), </w:t>
      </w:r>
      <w:hyperlink r:id="rId10" w:history="1">
        <w:r w:rsidRPr="00EA489C">
          <w:rPr>
            <w:rStyle w:val="Hyperlink"/>
          </w:rPr>
          <w:t>https://urgentcomm.com/public-safety/t-mobile-formally-launches-t-priority-for-first-responders-powered-by-5g-network-slicing-technology</w:t>
        </w:r>
      </w:hyperlink>
      <w:r>
        <w:t xml:space="preserve">. </w:t>
      </w:r>
    </w:p>
  </w:footnote>
  <w:footnote w:id="133">
    <w:p w:rsidR="00203CCB" w:rsidP="00203CCB" w14:paraId="44B549DC" w14:textId="77777777">
      <w:pPr>
        <w:pStyle w:val="FootnoteText"/>
      </w:pPr>
      <w:r>
        <w:rPr>
          <w:rStyle w:val="FootnoteReference"/>
        </w:rPr>
        <w:footnoteRef/>
      </w:r>
      <w:r>
        <w:t xml:space="preserve"> Verizon Comments at 4-5.  </w:t>
      </w:r>
    </w:p>
  </w:footnote>
  <w:footnote w:id="134">
    <w:p w:rsidR="00203CCB" w:rsidP="00203CCB" w14:paraId="79DF4A65" w14:textId="77777777">
      <w:pPr>
        <w:pStyle w:val="FootnoteText"/>
      </w:pPr>
      <w:r>
        <w:rPr>
          <w:rStyle w:val="FootnoteReference"/>
        </w:rPr>
        <w:footnoteRef/>
      </w:r>
      <w:r>
        <w:t xml:space="preserve"> </w:t>
      </w:r>
      <w:r w:rsidRPr="00605784">
        <w:rPr>
          <w:i/>
          <w:iCs/>
        </w:rPr>
        <w:t>See</w:t>
      </w:r>
      <w:r>
        <w:t xml:space="preserve"> Comments of </w:t>
      </w:r>
      <w:r w:rsidRPr="00843664">
        <w:t>Verizon</w:t>
      </w:r>
      <w:r>
        <w:t>, PS Docket No. 21-346,</w:t>
      </w:r>
      <w:r w:rsidRPr="00843664">
        <w:t xml:space="preserve"> at </w:t>
      </w:r>
      <w:r>
        <w:t>4 (May 13, 2024).</w:t>
      </w:r>
    </w:p>
  </w:footnote>
  <w:footnote w:id="135">
    <w:p w:rsidR="00203CCB" w:rsidP="00203CCB" w14:paraId="0635FDDB" w14:textId="77777777">
      <w:pPr>
        <w:pStyle w:val="FootnoteText"/>
      </w:pPr>
      <w:r>
        <w:rPr>
          <w:rStyle w:val="FootnoteReference"/>
        </w:rPr>
        <w:footnoteRef/>
      </w:r>
      <w:r>
        <w:t xml:space="preserve"> </w:t>
      </w:r>
      <w:r w:rsidRPr="00F1351B">
        <w:rPr>
          <w:i/>
          <w:iCs/>
        </w:rPr>
        <w:t>See</w:t>
      </w:r>
      <w:r>
        <w:t xml:space="preserve"> </w:t>
      </w:r>
      <w:r>
        <w:rPr>
          <w:i/>
          <w:iCs/>
        </w:rPr>
        <w:t>id.</w:t>
      </w:r>
      <w:r w:rsidRPr="00843664">
        <w:t xml:space="preserve"> at </w:t>
      </w:r>
      <w:r>
        <w:t>4-5.</w:t>
      </w:r>
    </w:p>
  </w:footnote>
  <w:footnote w:id="136">
    <w:p w:rsidR="00203CCB" w:rsidP="00203CCB" w14:paraId="60586318" w14:textId="77777777">
      <w:pPr>
        <w:pStyle w:val="FootnoteText"/>
      </w:pPr>
      <w:r>
        <w:rPr>
          <w:rStyle w:val="FootnoteReference"/>
        </w:rPr>
        <w:footnoteRef/>
      </w:r>
      <w:r>
        <w:t xml:space="preserve"> Verizon Comments at 5.  </w:t>
      </w:r>
    </w:p>
  </w:footnote>
  <w:footnote w:id="137">
    <w:p w:rsidR="00203CCB" w:rsidP="00203CCB" w14:paraId="39DE73D3" w14:textId="77777777">
      <w:pPr>
        <w:pStyle w:val="FootnoteText"/>
      </w:pPr>
      <w:r>
        <w:rPr>
          <w:rStyle w:val="FootnoteReference"/>
        </w:rPr>
        <w:footnoteRef/>
      </w:r>
      <w:r>
        <w:t xml:space="preserve"> </w:t>
      </w:r>
      <w:r>
        <w:rPr>
          <w:i/>
          <w:iCs/>
        </w:rPr>
        <w:t xml:space="preserve">See </w:t>
      </w:r>
      <w:r>
        <w:t>FCC</w:t>
      </w:r>
      <w:r w:rsidRPr="00D44560">
        <w:t xml:space="preserve">, </w:t>
      </w:r>
      <w:r w:rsidRPr="000A5A75">
        <w:t>Standard Operating Procedures</w:t>
      </w:r>
      <w:r>
        <w:t>,</w:t>
      </w:r>
      <w:r w:rsidRPr="000A5A75">
        <w:t xml:space="preserve"> DIRS-Lite</w:t>
      </w:r>
      <w:r w:rsidRPr="00D44560">
        <w:t xml:space="preserve"> at </w:t>
      </w:r>
      <w:r>
        <w:t>1</w:t>
      </w:r>
      <w:r w:rsidRPr="00D44560">
        <w:t xml:space="preserve">, </w:t>
      </w:r>
      <w:hyperlink r:id="rId11" w:history="1">
        <w:r w:rsidRPr="0046073A">
          <w:rPr>
            <w:rStyle w:val="Hyperlink"/>
          </w:rPr>
          <w:t>https://transition.fcc.gov/pshs/docs/Standard_Operating%20_Procedures_DIRS-Lite.pdf</w:t>
        </w:r>
      </w:hyperlink>
      <w:r w:rsidRPr="00D44560">
        <w:t>.</w:t>
      </w:r>
    </w:p>
  </w:footnote>
  <w:footnote w:id="138">
    <w:p w:rsidR="00203CCB" w:rsidP="00203CCB" w14:paraId="260E32E8" w14:textId="77777777">
      <w:pPr>
        <w:pStyle w:val="FootnoteText"/>
      </w:pPr>
      <w:r>
        <w:rPr>
          <w:rStyle w:val="FootnoteReference"/>
        </w:rPr>
        <w:footnoteRef/>
      </w:r>
      <w:r>
        <w:t xml:space="preserve"> </w:t>
      </w:r>
      <w:r>
        <w:rPr>
          <w:i/>
          <w:iCs/>
        </w:rPr>
        <w:t xml:space="preserve">See </w:t>
      </w:r>
      <w:r>
        <w:t>FCC</w:t>
      </w:r>
      <w:r w:rsidRPr="00D44560">
        <w:t xml:space="preserve">, </w:t>
      </w:r>
      <w:r w:rsidRPr="000A5A75">
        <w:t>Standard Operating Procedures</w:t>
      </w:r>
      <w:r>
        <w:t>,</w:t>
      </w:r>
      <w:r w:rsidRPr="000A5A75">
        <w:t xml:space="preserve"> DIRS-Lite</w:t>
      </w:r>
      <w:r w:rsidRPr="00D44560">
        <w:t xml:space="preserve"> at </w:t>
      </w:r>
      <w:r>
        <w:t>1</w:t>
      </w:r>
      <w:r w:rsidRPr="00D44560">
        <w:t xml:space="preserve">, </w:t>
      </w:r>
      <w:hyperlink r:id="rId11" w:history="1">
        <w:r w:rsidRPr="0046073A">
          <w:rPr>
            <w:rStyle w:val="Hyperlink"/>
          </w:rPr>
          <w:t>https://transition.fcc.gov/pshs/docs/Standard_Operating%20_Procedures_DIRS-Lite.pdf</w:t>
        </w:r>
      </w:hyperlink>
      <w:r w:rsidRPr="00D44560">
        <w:t>.</w:t>
      </w:r>
    </w:p>
  </w:footnote>
  <w:footnote w:id="139">
    <w:p w:rsidR="00203CCB" w:rsidP="00203CCB" w14:paraId="09C3AC2D" w14:textId="77777777">
      <w:pPr>
        <w:pStyle w:val="FootnoteText"/>
      </w:pPr>
      <w:r>
        <w:rPr>
          <w:rStyle w:val="FootnoteReference"/>
        </w:rPr>
        <w:footnoteRef/>
      </w:r>
      <w:r>
        <w:t xml:space="preserve"> </w:t>
      </w:r>
      <w:r>
        <w:rPr>
          <w:i/>
          <w:iCs/>
        </w:rPr>
        <w:t xml:space="preserve">See </w:t>
      </w:r>
      <w:r>
        <w:t>FCC</w:t>
      </w:r>
      <w:r w:rsidRPr="00D44560">
        <w:t xml:space="preserve">, </w:t>
      </w:r>
      <w:r w:rsidRPr="000A5A75">
        <w:t>Standard Operating Procedures</w:t>
      </w:r>
      <w:r>
        <w:t>,</w:t>
      </w:r>
      <w:r w:rsidRPr="000A5A75">
        <w:t xml:space="preserve"> DIRS-Lite</w:t>
      </w:r>
      <w:r w:rsidRPr="00D44560">
        <w:t xml:space="preserve"> at </w:t>
      </w:r>
      <w:r>
        <w:t>1</w:t>
      </w:r>
      <w:r w:rsidRPr="00D44560">
        <w:t xml:space="preserve">, </w:t>
      </w:r>
      <w:hyperlink r:id="rId11" w:history="1">
        <w:r w:rsidRPr="0046073A">
          <w:rPr>
            <w:rStyle w:val="Hyperlink"/>
          </w:rPr>
          <w:t>https://transition.fcc.gov/pshs/docs/Standard_Operating%20_Procedures_DIRS-Lite.pdf</w:t>
        </w:r>
      </w:hyperlink>
      <w:r w:rsidRPr="00D44560">
        <w:t>.</w:t>
      </w:r>
    </w:p>
  </w:footnote>
  <w:footnote w:id="140">
    <w:p w:rsidR="00203CCB" w:rsidRPr="00884F80" w:rsidP="00203CCB" w14:paraId="32B0EF2C" w14:textId="77777777">
      <w:pPr>
        <w:pStyle w:val="FootnoteText"/>
      </w:pPr>
      <w:r>
        <w:rPr>
          <w:rStyle w:val="FootnoteReference"/>
        </w:rPr>
        <w:footnoteRef/>
      </w:r>
      <w:r>
        <w:t xml:space="preserve"> </w:t>
      </w:r>
      <w:r>
        <w:rPr>
          <w:i/>
          <w:iCs/>
        </w:rPr>
        <w:t xml:space="preserve">See </w:t>
      </w:r>
      <w:r>
        <w:t xml:space="preserve">ATIS Comments at 7, CTIA Comments at 3-4, </w:t>
      </w:r>
      <w:r>
        <w:t>USTelecom</w:t>
      </w:r>
      <w:r>
        <w:t xml:space="preserve"> Comments at 4-5; Verizon Comments at 2.</w:t>
      </w:r>
    </w:p>
  </w:footnote>
  <w:footnote w:id="141">
    <w:p w:rsidR="00203CCB" w:rsidRPr="0036203E" w:rsidP="00203CCB" w14:paraId="48D446FF" w14:textId="77777777">
      <w:pPr>
        <w:pStyle w:val="FootnoteText"/>
      </w:pPr>
      <w:r>
        <w:rPr>
          <w:rStyle w:val="FootnoteReference"/>
        </w:rPr>
        <w:footnoteRef/>
      </w:r>
      <w:r>
        <w:t xml:space="preserve"> </w:t>
      </w:r>
      <w:r>
        <w:rPr>
          <w:i/>
          <w:iCs/>
        </w:rPr>
        <w:t xml:space="preserve">See </w:t>
      </w:r>
      <w:r>
        <w:t xml:space="preserve">Public Knowledge Comments at 6. </w:t>
      </w:r>
    </w:p>
  </w:footnote>
  <w:footnote w:id="142">
    <w:p w:rsidR="00203CCB" w:rsidP="00203CCB" w14:paraId="12B48094" w14:textId="77777777">
      <w:pPr>
        <w:pStyle w:val="FootnoteText"/>
      </w:pPr>
      <w:r>
        <w:rPr>
          <w:rStyle w:val="FootnoteReference"/>
        </w:rPr>
        <w:footnoteRef/>
      </w:r>
      <w:r>
        <w:t xml:space="preserve"> Public Knowledge Comments at 2, 6.</w:t>
      </w:r>
    </w:p>
  </w:footnote>
  <w:footnote w:id="143">
    <w:p w:rsidR="00203CCB" w:rsidRPr="004C745A" w:rsidP="00203CCB" w14:paraId="31B55C5F" w14:textId="77777777">
      <w:pPr>
        <w:pStyle w:val="FootnoteText"/>
      </w:pPr>
      <w:r>
        <w:rPr>
          <w:rStyle w:val="FootnoteReference"/>
        </w:rPr>
        <w:footnoteRef/>
      </w:r>
      <w:r>
        <w:t xml:space="preserve"> In addition to these amendments, the </w:t>
      </w:r>
      <w:r w:rsidRPr="00EC15DF">
        <w:rPr>
          <w:i/>
        </w:rPr>
        <w:t>FNP</w:t>
      </w:r>
      <w:r>
        <w:rPr>
          <w:i/>
        </w:rPr>
        <w:t>R</w:t>
      </w:r>
      <w:r w:rsidRPr="00EC15DF">
        <w:rPr>
          <w:i/>
        </w:rPr>
        <w:t>M</w:t>
      </w:r>
      <w:r>
        <w:t xml:space="preserve"> proposed amendments to section 4.18(a) that specified the types of information that providers are required to report in DIRS.  </w:t>
      </w:r>
      <w:r>
        <w:rPr>
          <w:i/>
          <w:iCs/>
        </w:rPr>
        <w:t xml:space="preserve">See FNPRM and Order on Reconsideration, </w:t>
      </w:r>
      <w:r>
        <w:t xml:space="preserve">40 FCC </w:t>
      </w:r>
      <w:r>
        <w:t>Rcd</w:t>
      </w:r>
      <w:r>
        <w:t xml:space="preserve"> at 6337.  Because these amendments reflect information that is currently required to be reported in DIRS and do not impose any new obligations on providers, we also make those amendments effective immediately</w:t>
      </w:r>
      <w:r w:rsidRPr="00683551">
        <w:t xml:space="preserve"> </w:t>
      </w:r>
      <w:r>
        <w:t xml:space="preserve">upon publication of this </w:t>
      </w:r>
      <w:r>
        <w:rPr>
          <w:i/>
          <w:iCs/>
        </w:rPr>
        <w:t>Third Report and Order</w:t>
      </w:r>
      <w:r>
        <w:t xml:space="preserve"> in the Federal Register.</w:t>
      </w:r>
    </w:p>
  </w:footnote>
  <w:footnote w:id="144">
    <w:p w:rsidR="00203CCB" w:rsidP="00203CCB" w14:paraId="15A5819B" w14:textId="77777777">
      <w:pPr>
        <w:pStyle w:val="FootnoteText"/>
      </w:pPr>
      <w:r>
        <w:rPr>
          <w:rStyle w:val="FootnoteReference"/>
        </w:rPr>
        <w:footnoteRef/>
      </w:r>
      <w:r>
        <w:t xml:space="preserve"> The approximate $4 million benefit estimate includes cost savings of $143,000 for streamlining the filing process and eliminating the final report requirement for facilities-based voice providers and $3.9 million from eliminating DIRS reporting obligations for mobile virtual network operators and VoIP resellers.  </w:t>
      </w:r>
      <w:r w:rsidRPr="00D353F7">
        <w:rPr>
          <w:i/>
          <w:iCs/>
        </w:rPr>
        <w:t xml:space="preserve">See </w:t>
      </w:r>
      <w:r>
        <w:rPr>
          <w:i/>
          <w:iCs/>
        </w:rPr>
        <w:t>FNPRM and Order on Reconsideration</w:t>
      </w:r>
      <w:r>
        <w:t xml:space="preserve">, 40 FCC </w:t>
      </w:r>
      <w:r>
        <w:t>Rcd</w:t>
      </w:r>
      <w:r>
        <w:t xml:space="preserve"> at 6325, para. 26, n.51.  The cost estimates include a $176,000</w:t>
      </w:r>
      <w:r w:rsidRPr="00011AF4">
        <w:t xml:space="preserve"> </w:t>
      </w:r>
      <w:r>
        <w:t xml:space="preserve">one-time cost for DIRS batch filing reconfiguration, and an annual cost of $72,000 for public safety voice and broadband networks to report outages when DIRS is activated.  </w:t>
      </w:r>
    </w:p>
  </w:footnote>
  <w:footnote w:id="145">
    <w:p w:rsidR="00203CCB" w:rsidRPr="00143CB1" w:rsidP="00203CCB" w14:paraId="0969C9AA" w14:textId="77777777">
      <w:pPr>
        <w:pStyle w:val="FootnoteText"/>
      </w:pPr>
      <w:r>
        <w:rPr>
          <w:rStyle w:val="FootnoteReference"/>
        </w:rPr>
        <w:footnoteRef/>
      </w:r>
      <w:r>
        <w:t xml:space="preserve"> </w:t>
      </w:r>
      <w:r w:rsidRPr="00143CB1">
        <w:rPr>
          <w:i/>
          <w:iCs/>
        </w:rPr>
        <w:t xml:space="preserve">See FNPRM and Order on Reconsideration, </w:t>
      </w:r>
      <w:r w:rsidRPr="00143CB1">
        <w:t xml:space="preserve">40 FCC </w:t>
      </w:r>
      <w:r w:rsidRPr="00143CB1">
        <w:t>Rcd</w:t>
      </w:r>
      <w:r w:rsidRPr="00143CB1">
        <w:t xml:space="preserve"> at 6325, para</w:t>
      </w:r>
      <w:r>
        <w:t>s</w:t>
      </w:r>
      <w:r w:rsidRPr="00143CB1">
        <w:t xml:space="preserve">. </w:t>
      </w:r>
      <w:r>
        <w:t>27-</w:t>
      </w:r>
      <w:r w:rsidRPr="00143CB1">
        <w:t xml:space="preserve">28 &amp; n.55.  Consistent with the </w:t>
      </w:r>
      <w:r w:rsidRPr="00143CB1">
        <w:rPr>
          <w:i/>
          <w:iCs/>
        </w:rPr>
        <w:t>FNPRM</w:t>
      </w:r>
      <w:r w:rsidRPr="00143CB1">
        <w:t xml:space="preserve">, based staff estimation using the most recent available data, at the county-level, there are on average 53 fixed voice providers, including cable communications, wireline, and VoIP providers per county.  Among these, an average of 12 fixed voice providers are facilities-based, and 41 are non-facilities based resellers.  Staff calculation, FCC, Form 477 non-public data (June 2024).  We further estimate that there are an average of six facilities-based mobile wireless voice providers and 82 </w:t>
      </w:r>
      <w:r>
        <w:t>mobile virtual network operators</w:t>
      </w:r>
      <w:r w:rsidRPr="00143CB1">
        <w:t xml:space="preserve"> per county.  Staff calculation</w:t>
      </w:r>
      <w:r>
        <w:t xml:space="preserve"> based on</w:t>
      </w:r>
      <w:r w:rsidRPr="00143CB1">
        <w:t xml:space="preserve"> FCC Form 477 non-public data (June 2024) and Form 499 non-public data (Aug. 2024) </w:t>
      </w:r>
      <w:r>
        <w:t>(</w:t>
      </w:r>
      <w:r w:rsidRPr="00143CB1">
        <w:t xml:space="preserve">where providers with revenue reported at any time during the calendar year 2023 filed a Form 499).  </w:t>
      </w:r>
    </w:p>
  </w:footnote>
  <w:footnote w:id="146">
    <w:p w:rsidR="00203CCB" w:rsidRPr="00143CB1" w:rsidP="00203CCB" w14:paraId="3A6A34A2" w14:textId="77777777">
      <w:pPr>
        <w:pStyle w:val="FootnoteText"/>
      </w:pPr>
      <w:r w:rsidRPr="00143CB1">
        <w:rPr>
          <w:rStyle w:val="FootnoteReference"/>
        </w:rPr>
        <w:footnoteRef/>
      </w:r>
      <w:r w:rsidRPr="00143CB1">
        <w:t xml:space="preserve"> </w:t>
      </w:r>
      <w:r>
        <w:t>W</w:t>
      </w:r>
      <w:r w:rsidRPr="00143CB1">
        <w:t>e estimate the cost saving from streamlining DIRS reporting with a (20% cost reduction) × 1 office and administrative support worker × ($35.22 hourly compensation) × [(10/60) hours for the initial entry + (10/60) hours for daily updates × 1</w:t>
      </w:r>
      <w:r>
        <w:t>4</w:t>
      </w:r>
      <w:r w:rsidRPr="00143CB1">
        <w:t xml:space="preserve"> days] × 3</w:t>
      </w:r>
      <w:r>
        <w:t>39</w:t>
      </w:r>
      <w:r w:rsidRPr="00143CB1">
        <w:t xml:space="preserve"> counties × 18 facilities-based service providers = </w:t>
      </w:r>
      <w:r w:rsidRPr="006074C2">
        <w:t>$</w:t>
      </w:r>
      <w:r>
        <w:t>107,456</w:t>
      </w:r>
      <w:r w:rsidRPr="00143CB1">
        <w:t xml:space="preserve">.  </w:t>
      </w:r>
      <w:r>
        <w:t xml:space="preserve">DIRS filers will realize these cost savings on an annually recurring basis; therefore, these savings will exceed the one-time implementation costs associated with these changes.  </w:t>
      </w:r>
      <w:r w:rsidRPr="00143CB1">
        <w:t>We further estimate a $</w:t>
      </w:r>
      <w:r>
        <w:t>35,819</w:t>
      </w:r>
      <w:r w:rsidRPr="00143CB1">
        <w:t xml:space="preserve"> cost saving from eliminating the final reporting requirement as 1 office and administrative support worker × ($35.22 hourly compensation) × (10/60) hours for the final report entry × 3</w:t>
      </w:r>
      <w:r>
        <w:t>39</w:t>
      </w:r>
      <w:r w:rsidRPr="00143CB1">
        <w:t xml:space="preserve"> counties × 18 facilities-based service providers = </w:t>
      </w:r>
      <w:r w:rsidRPr="006074C2">
        <w:t>$</w:t>
      </w:r>
      <w:r>
        <w:t>35,819</w:t>
      </w:r>
      <w:r w:rsidRPr="00143CB1">
        <w:t xml:space="preserve">.  </w:t>
      </w:r>
      <w:r w:rsidRPr="006074C2">
        <w:t>The aggregate cost saving is $</w:t>
      </w:r>
      <w:r>
        <w:t>143,275</w:t>
      </w:r>
      <w:r w:rsidRPr="006074C2">
        <w:t xml:space="preserve"> (= $</w:t>
      </w:r>
      <w:r>
        <w:t>107,456</w:t>
      </w:r>
      <w:r w:rsidRPr="006074C2">
        <w:t xml:space="preserve"> + $</w:t>
      </w:r>
      <w:r>
        <w:t>35,819</w:t>
      </w:r>
      <w:r w:rsidRPr="006074C2">
        <w:t>), which we round to $</w:t>
      </w:r>
      <w:r>
        <w:t>143,000</w:t>
      </w:r>
      <w:r w:rsidRPr="00143CB1">
        <w:t xml:space="preserve">.  </w:t>
      </w:r>
      <w:r w:rsidRPr="00143CB1">
        <w:rPr>
          <w:i/>
          <w:iCs/>
        </w:rPr>
        <w:t xml:space="preserve">See FNPRM and Order on Reconsideration, </w:t>
      </w:r>
      <w:r w:rsidRPr="00143CB1">
        <w:t xml:space="preserve">40 FCC </w:t>
      </w:r>
      <w:r w:rsidRPr="00143CB1">
        <w:t>Rcd</w:t>
      </w:r>
      <w:r w:rsidRPr="00143CB1">
        <w:t xml:space="preserve"> at 6325, para</w:t>
      </w:r>
      <w:r>
        <w:t>s</w:t>
      </w:r>
      <w:r w:rsidRPr="00143CB1">
        <w:t xml:space="preserve">. </w:t>
      </w:r>
      <w:r>
        <w:t>27-</w:t>
      </w:r>
      <w:r w:rsidRPr="00143CB1">
        <w:t>28 &amp; n.55</w:t>
      </w:r>
      <w:r>
        <w:t xml:space="preserve"> </w:t>
      </w:r>
      <w:r w:rsidRPr="00143CB1">
        <w:t>(estimating a total of 18 facilities-based voice providers, including 12 fixed voice providers and six wireless voice providers, per county).</w:t>
      </w:r>
      <w:r>
        <w:t xml:space="preserve">  </w:t>
      </w:r>
    </w:p>
    <w:p w:rsidR="00203CCB" w:rsidRPr="00143CB1" w:rsidP="00203CCB" w14:paraId="1771F555" w14:textId="77777777">
      <w:pPr>
        <w:pStyle w:val="FootnoteText"/>
      </w:pPr>
      <w:r w:rsidRPr="00143CB1">
        <w:t xml:space="preserve">For labor costs, the </w:t>
      </w:r>
      <w:r w:rsidRPr="00143CB1">
        <w:rPr>
          <w:i/>
          <w:iCs/>
        </w:rPr>
        <w:t>FNPRM</w:t>
      </w:r>
      <w:r w:rsidRPr="00143CB1">
        <w:t xml:space="preserve"> used a</w:t>
      </w:r>
      <w:r>
        <w:t>n</w:t>
      </w:r>
      <w:r w:rsidRPr="00143CB1">
        <w:t xml:space="preserve"> hourly compensation figure of $35.22</w:t>
      </w:r>
      <w:r>
        <w:t>, which remains consistent with the most recent available wage data</w:t>
      </w:r>
      <w:r w:rsidRPr="00143CB1">
        <w:t xml:space="preserve">.  </w:t>
      </w:r>
      <w:r w:rsidRPr="00143CB1">
        <w:rPr>
          <w:i/>
          <w:iCs/>
        </w:rPr>
        <w:t xml:space="preserve">See FNPRM and Order on Reconsideration, </w:t>
      </w:r>
      <w:r w:rsidRPr="00143CB1">
        <w:t xml:space="preserve">40 FCC </w:t>
      </w:r>
      <w:r w:rsidRPr="00143CB1">
        <w:t>Rcd</w:t>
      </w:r>
      <w:r w:rsidRPr="00143CB1">
        <w:t xml:space="preserve"> at 6326, para. 28 &amp; n.56.  </w:t>
      </w:r>
      <w:r>
        <w:t>T</w:t>
      </w:r>
      <w:r w:rsidRPr="00143CB1">
        <w:t>he most recent available data suggest</w:t>
      </w:r>
      <w:r>
        <w:t>s</w:t>
      </w:r>
      <w:r w:rsidRPr="00143CB1">
        <w:t xml:space="preserve"> a base hourly wage for an office and administrative support worker of $24.12/hour.  </w:t>
      </w:r>
      <w:r w:rsidRPr="00143CB1">
        <w:rPr>
          <w:i/>
          <w:iCs/>
        </w:rPr>
        <w:t>See</w:t>
      </w:r>
      <w:r w:rsidRPr="00143CB1">
        <w:t xml:space="preserve"> Bureau of Labor Statistics (BLS), </w:t>
      </w:r>
      <w:r w:rsidRPr="00143CB1">
        <w:rPr>
          <w:i/>
          <w:iCs/>
        </w:rPr>
        <w:t>Occupational Employment and Wage Statistics, Occupational Employment and Wages</w:t>
      </w:r>
      <w:r w:rsidRPr="00143CB1">
        <w:t xml:space="preserve"> (May 2024), </w:t>
      </w:r>
      <w:hyperlink r:id="rId12" w:history="1">
        <w:r w:rsidRPr="002432DF">
          <w:rPr>
            <w:rStyle w:val="Hyperlink"/>
          </w:rPr>
          <w:t>https://www.bls.gov/oes/tables.htm</w:t>
        </w:r>
      </w:hyperlink>
      <w:r w:rsidRPr="00143CB1">
        <w:t xml:space="preserve"> (navigate to “May 2024,” “National,” then “Office and Administrative Support Occupations (43-0000),” </w:t>
      </w:r>
      <w:r>
        <w:t>stating</w:t>
      </w:r>
      <w:r w:rsidRPr="00143CB1">
        <w:t xml:space="preserve"> that the mean hourly wage for an office and administrative support occupation worker is $24.12/hour in May 2024, which is the most recent data available).  Consistent with the </w:t>
      </w:r>
      <w:r w:rsidRPr="00143CB1">
        <w:rPr>
          <w:i/>
          <w:iCs/>
        </w:rPr>
        <w:t>FNPRM</w:t>
      </w:r>
      <w:r w:rsidRPr="00143CB1">
        <w:t>, we calculate the applicable benefits markup by using Bureau of Labor Statistics data, as</w:t>
      </w:r>
      <w:r w:rsidRPr="00143CB1">
        <w:rPr>
          <w:color w:val="000000"/>
        </w:rPr>
        <w:t xml:space="preserve"> of December 2025, where civilian wages and salaries averaged $33.45/hour and benefits averaged $15.33/hour.  Using these figures, we calculate that benefits constituted a markup of $15.33/3</w:t>
      </w:r>
      <w:r>
        <w:rPr>
          <w:color w:val="000000"/>
        </w:rPr>
        <w:t>3</w:t>
      </w:r>
      <w:r w:rsidRPr="00143CB1">
        <w:rPr>
          <w:color w:val="000000"/>
        </w:rPr>
        <w:t>.45 ~ 46%.</w:t>
      </w:r>
      <w:r w:rsidRPr="00143CB1">
        <w:t xml:space="preserve"> </w:t>
      </w:r>
      <w:r>
        <w:t xml:space="preserve"> </w:t>
      </w:r>
      <w:r w:rsidRPr="00143CB1">
        <w:t xml:space="preserve">Taking 46% for cost of benefits ($11.10/hour), we determine an hourly compensation of $35.22/hour ($24.12/hour + $11.10/hour).  </w:t>
      </w:r>
      <w:r w:rsidRPr="00143CB1">
        <w:rPr>
          <w:i/>
          <w:iCs/>
          <w:color w:val="000000"/>
        </w:rPr>
        <w:t xml:space="preserve">See </w:t>
      </w:r>
      <w:r w:rsidRPr="00143CB1">
        <w:rPr>
          <w:color w:val="000000"/>
        </w:rPr>
        <w:t xml:space="preserve">Press Release, Bureau of Labor Statistics, Employer Costs for Employee Compensation—December 2025 (Mar. 20, 2026), </w:t>
      </w:r>
      <w:hyperlink r:id="rId13" w:history="1">
        <w:r w:rsidRPr="00143CB1">
          <w:rPr>
            <w:rStyle w:val="Hyperlink"/>
          </w:rPr>
          <w:t>https://www.bls.gov/news.release/pdf/ecec.pdf</w:t>
        </w:r>
      </w:hyperlink>
      <w:r w:rsidRPr="00143CB1">
        <w:t xml:space="preserve"> (</w:t>
      </w:r>
      <w:r w:rsidRPr="00143CB1">
        <w:rPr>
          <w:i/>
          <w:iCs/>
        </w:rPr>
        <w:t>Benefit Markup</w:t>
      </w:r>
      <w:r w:rsidRPr="00143CB1">
        <w:t>)</w:t>
      </w:r>
      <w:r w:rsidRPr="00143CB1">
        <w:rPr>
          <w:color w:val="000000"/>
        </w:rPr>
        <w:t xml:space="preserve">.  </w:t>
      </w:r>
    </w:p>
  </w:footnote>
  <w:footnote w:id="147">
    <w:p w:rsidR="00203CCB" w:rsidRPr="00143CB1" w:rsidP="00203CCB" w14:paraId="09DD867D" w14:textId="77777777">
      <w:pPr>
        <w:pStyle w:val="FootnoteText"/>
      </w:pPr>
      <w:r w:rsidRPr="00143CB1">
        <w:rPr>
          <w:rStyle w:val="FootnoteReference"/>
        </w:rPr>
        <w:footnoteRef/>
      </w:r>
      <w:r w:rsidRPr="00143CB1">
        <w:t xml:space="preserve"> </w:t>
      </w:r>
      <w:r>
        <w:t>T</w:t>
      </w:r>
      <w:r w:rsidRPr="00143CB1">
        <w:t>he most recent available data suggest</w:t>
      </w:r>
      <w:r>
        <w:t>s</w:t>
      </w:r>
      <w:r w:rsidRPr="00143CB1">
        <w:t xml:space="preserve"> a base hourly wage for </w:t>
      </w:r>
      <w:r>
        <w:t xml:space="preserve">a database administrator of </w:t>
      </w:r>
      <w:r w:rsidRPr="00143CB1">
        <w:t>$51.65</w:t>
      </w:r>
      <w:r>
        <w:t xml:space="preserve">/hour.  </w:t>
      </w:r>
      <w:r>
        <w:rPr>
          <w:i/>
          <w:iCs/>
        </w:rPr>
        <w:t xml:space="preserve">See </w:t>
      </w:r>
      <w:r w:rsidRPr="00143CB1">
        <w:t xml:space="preserve">BLS, </w:t>
      </w:r>
      <w:r w:rsidRPr="00143CB1">
        <w:rPr>
          <w:i/>
          <w:iCs/>
        </w:rPr>
        <w:t>Occupational Employment and Wage Statistics, Occupational Employment and Wages</w:t>
      </w:r>
      <w:r w:rsidRPr="00143CB1">
        <w:t xml:space="preserve"> (May 2024), </w:t>
      </w:r>
      <w:hyperlink r:id="rId12" w:history="1">
        <w:r w:rsidRPr="00143CB1">
          <w:rPr>
            <w:rStyle w:val="Hyperlink"/>
          </w:rPr>
          <w:t>https://www.bls.gov/oes/tables.htm</w:t>
        </w:r>
      </w:hyperlink>
      <w:r w:rsidRPr="00143CB1">
        <w:t xml:space="preserve"> (navigate to “May 2024”, “National”, then “Database Administrators (15-1242)”, </w:t>
      </w:r>
      <w:r>
        <w:t>stating</w:t>
      </w:r>
      <w:r w:rsidRPr="00143CB1">
        <w:t xml:space="preserve"> that the mean hourly wage for a Database Administrator is $51.65/hour in May 2024).  Taking 46% for cost of benefits ($23.76/hour), we arrive at an hourly compensation of $75.41/hour (</w:t>
      </w:r>
      <w:r>
        <w:t xml:space="preserve">which equals </w:t>
      </w:r>
      <w:r w:rsidRPr="00143CB1">
        <w:t xml:space="preserve">$51.65/hour </w:t>
      </w:r>
      <w:r>
        <w:t>plus</w:t>
      </w:r>
      <w:r w:rsidRPr="00143CB1">
        <w:t xml:space="preserve"> $23.76/hour</w:t>
      </w:r>
      <w:r>
        <w:t xml:space="preserve"> using our methodology for benefits markup)</w:t>
      </w:r>
      <w:r w:rsidRPr="00143CB1">
        <w:t xml:space="preserve">.  </w:t>
      </w:r>
      <w:r>
        <w:t xml:space="preserve">We revise our facilities-based estimate in the </w:t>
      </w:r>
      <w:r w:rsidRPr="00C54322">
        <w:rPr>
          <w:i/>
          <w:iCs/>
        </w:rPr>
        <w:t>FNPRM</w:t>
      </w:r>
      <w:r>
        <w:t xml:space="preserve">, to estimate a total cost of </w:t>
      </w:r>
      <w:r w:rsidRPr="002431CC">
        <w:t>$175,479</w:t>
      </w:r>
      <w:r w:rsidRPr="00867215">
        <w:t xml:space="preserve"> </w:t>
      </w:r>
      <w:r w:rsidRPr="006074C2">
        <w:t xml:space="preserve">= 1 database administrator × $75.41/hour × 1 hour × </w:t>
      </w:r>
      <w:r>
        <w:t xml:space="preserve">2,327 facilities-based </w:t>
      </w:r>
      <w:r w:rsidRPr="006074C2">
        <w:t>cable, wireline, wireless, and interconnected VoIP providers, which we round to $</w:t>
      </w:r>
      <w:r>
        <w:t>176,000</w:t>
      </w:r>
      <w:r w:rsidRPr="00143CB1">
        <w:t xml:space="preserve">.  </w:t>
      </w:r>
      <w:r w:rsidRPr="00143CB1">
        <w:rPr>
          <w:i/>
          <w:iCs/>
        </w:rPr>
        <w:t xml:space="preserve">See FNPRM and Order on Reconsideration, </w:t>
      </w:r>
      <w:r w:rsidRPr="00143CB1">
        <w:t xml:space="preserve">40 FCC </w:t>
      </w:r>
      <w:r w:rsidRPr="00143CB1">
        <w:t>Rcd</w:t>
      </w:r>
      <w:r w:rsidRPr="00143CB1">
        <w:t xml:space="preserve"> at 6326, para. 29.</w:t>
      </w:r>
      <w:r>
        <w:t xml:space="preserve">  Note that in the </w:t>
      </w:r>
      <w:r w:rsidRPr="009F2C9D">
        <w:rPr>
          <w:i/>
          <w:iCs/>
        </w:rPr>
        <w:t>FNPRM</w:t>
      </w:r>
      <w:r>
        <w:t xml:space="preserve">, we used the county average estimate for facilities-based providers in counties where DIRS is activated, whereas the one-time cost here applies to all providers that have set up their systems for batch-filing.  On our own initiative, we update the one-time cost calculation to reflect this.  Because we do not have data on the total number of batch-filing, we conservatively use the sum of all facilities-based </w:t>
      </w:r>
      <w:r w:rsidRPr="006074C2">
        <w:t>cable, wireline, wireless, and interconnected VoIP</w:t>
      </w:r>
      <w:r>
        <w:t xml:space="preserve"> as a cost ceiling (i.e., the maximum possible number of batch filers).  This consists of </w:t>
      </w:r>
      <w:r w:rsidRPr="003F2BCF">
        <w:t xml:space="preserve">53 </w:t>
      </w:r>
      <w:r>
        <w:t xml:space="preserve">wireless facilities based providers and </w:t>
      </w:r>
      <w:r w:rsidRPr="003F2BCF">
        <w:t>2,274 wireline end-user switched access and interconnected VoIP</w:t>
      </w:r>
      <w:r>
        <w:t xml:space="preserve"> providers based on the most recent </w:t>
      </w:r>
      <w:r w:rsidRPr="00F82A32">
        <w:t>Voice Telephone Services Report</w:t>
      </w:r>
      <w:r>
        <w:t xml:space="preserve">.  Industry Analysis Division, Office of Economics and Analytics Voice Telephone Services: Status as of December 31, 2024 (Feb. 2026), </w:t>
      </w:r>
      <w:hyperlink r:id="rId14" w:history="1">
        <w:r w:rsidRPr="00551556">
          <w:rPr>
            <w:rStyle w:val="Hyperlink"/>
          </w:rPr>
          <w:t>https://docs.fcc.gov/public/attachments/DOC-418460A1.pdf</w:t>
        </w:r>
      </w:hyperlink>
      <w:r>
        <w:t xml:space="preserve"> (Table 2, Rows 1 and 4).       </w:t>
      </w:r>
    </w:p>
  </w:footnote>
  <w:footnote w:id="148">
    <w:p w:rsidR="00203CCB" w:rsidRPr="00143CB1" w:rsidP="00203CCB" w14:paraId="127D1D43" w14:textId="77777777">
      <w:pPr>
        <w:pStyle w:val="FootnoteText"/>
      </w:pPr>
      <w:r w:rsidRPr="00143CB1">
        <w:rPr>
          <w:rStyle w:val="FootnoteReference"/>
        </w:rPr>
        <w:footnoteRef/>
      </w:r>
      <w:r w:rsidRPr="00143CB1">
        <w:t xml:space="preserve"> </w:t>
      </w:r>
      <w:r w:rsidRPr="00143CB1">
        <w:rPr>
          <w:i/>
          <w:iCs/>
        </w:rPr>
        <w:t xml:space="preserve">See FNPRM and Order on Reconsideration, </w:t>
      </w:r>
      <w:r w:rsidRPr="00143CB1">
        <w:t xml:space="preserve">40 FCC </w:t>
      </w:r>
      <w:r w:rsidRPr="00143CB1">
        <w:t>Rcd</w:t>
      </w:r>
      <w:r w:rsidRPr="00143CB1">
        <w:t xml:space="preserve"> at 6327, para. 30 &amp; n.65</w:t>
      </w:r>
      <w:r>
        <w:t xml:space="preserve"> (</w:t>
      </w:r>
      <w:r w:rsidRPr="0061455F">
        <w:t>1 office and administrative support worker × ($35.</w:t>
      </w:r>
      <w:r>
        <w:t>22</w:t>
      </w:r>
      <w:r w:rsidRPr="0061455F">
        <w:t xml:space="preserve"> hourly compensation) × [(10/60) hours for the initial entry + (10/60) hours for daily updates × 14 days</w:t>
      </w:r>
      <w:r>
        <w:t xml:space="preserve"> + (10/60) </w:t>
      </w:r>
      <w:r w:rsidRPr="006074C2">
        <w:t>hours for the final report entry</w:t>
      </w:r>
      <w:r w:rsidRPr="0061455F">
        <w:t xml:space="preserve">] × 339 counties × </w:t>
      </w:r>
      <w:r>
        <w:t>(82 MVNOs</w:t>
      </w:r>
      <w:r w:rsidRPr="0061455F">
        <w:t xml:space="preserve"> </w:t>
      </w:r>
      <w:r>
        <w:t>+ 41 resellers)</w:t>
      </w:r>
      <w:r w:rsidRPr="0061455F">
        <w:t xml:space="preserve"> = $</w:t>
      </w:r>
      <w:r>
        <w:t>3,916,182, which we round to $3.9 million)</w:t>
      </w:r>
      <w:r w:rsidRPr="00143CB1">
        <w:t xml:space="preserve">. </w:t>
      </w:r>
    </w:p>
  </w:footnote>
  <w:footnote w:id="149">
    <w:p w:rsidR="00203CCB" w:rsidRPr="00143CB1" w:rsidP="00203CCB" w14:paraId="64D8617D" w14:textId="77777777">
      <w:pPr>
        <w:pStyle w:val="FootnoteText"/>
      </w:pPr>
      <w:r w:rsidRPr="00143CB1">
        <w:rPr>
          <w:rStyle w:val="FootnoteReference"/>
        </w:rPr>
        <w:footnoteRef/>
      </w:r>
      <w:r w:rsidRPr="00143CB1">
        <w:t xml:space="preserve"> </w:t>
      </w:r>
      <w:r w:rsidRPr="00143CB1">
        <w:rPr>
          <w:i/>
          <w:iCs/>
        </w:rPr>
        <w:t xml:space="preserve">See FNPRM and Order on Reconsideration, </w:t>
      </w:r>
      <w:r w:rsidRPr="00143CB1">
        <w:t xml:space="preserve">40 FCC </w:t>
      </w:r>
      <w:r w:rsidRPr="00143CB1">
        <w:t>Rcd</w:t>
      </w:r>
      <w:r w:rsidRPr="00143CB1">
        <w:t xml:space="preserve"> at 6327, para. 30 &amp; n. 67 (estimating the cost for public safety </w:t>
      </w:r>
      <w:r>
        <w:t xml:space="preserve">voice and </w:t>
      </w:r>
      <w:r w:rsidRPr="00143CB1">
        <w:t>broadband network operators to file in DIRS).  We update that calculation as follows: (1</w:t>
      </w:r>
      <w:r>
        <w:t xml:space="preserve"> </w:t>
      </w:r>
      <w:r w:rsidRPr="00143CB1">
        <w:t xml:space="preserve"> ̶  20% cost saving) × </w:t>
      </w:r>
      <w:r>
        <w:t>{</w:t>
      </w:r>
      <w:r w:rsidRPr="00143CB1">
        <w:t>1 office and administrative support worker × ($35.22/hour) × [(10/60) hours for the initial entry + (10/60) hours for daily updates × 1</w:t>
      </w:r>
      <w:r>
        <w:t>4</w:t>
      </w:r>
      <w:r w:rsidRPr="00143CB1">
        <w:t xml:space="preserve"> days] × 3</w:t>
      </w:r>
      <w:r>
        <w:t>39</w:t>
      </w:r>
      <w:r w:rsidRPr="00143CB1">
        <w:t xml:space="preserve"> counties × 3 public safety </w:t>
      </w:r>
      <w:r>
        <w:t xml:space="preserve">voice and </w:t>
      </w:r>
      <w:r w:rsidRPr="00143CB1">
        <w:t>broadband network operators} = $</w:t>
      </w:r>
      <w:r>
        <w:t>71,637</w:t>
      </w:r>
      <w:r w:rsidRPr="00143CB1">
        <w:t>, which we round to $</w:t>
      </w:r>
      <w:r>
        <w:t>72,000</w:t>
      </w:r>
      <w:r w:rsidRPr="00143CB1">
        <w:t xml:space="preserve">. </w:t>
      </w:r>
    </w:p>
  </w:footnote>
  <w:footnote w:id="150">
    <w:p w:rsidR="00203CCB" w:rsidRPr="00143CB1" w:rsidP="00203CCB" w14:paraId="5C20E38E" w14:textId="77777777">
      <w:pPr>
        <w:pStyle w:val="FootnoteText"/>
        <w:widowControl w:val="0"/>
      </w:pPr>
      <w:r w:rsidRPr="00143CB1">
        <w:rPr>
          <w:vertAlign w:val="superscript"/>
        </w:rPr>
        <w:footnoteRef/>
      </w:r>
      <w:r w:rsidRPr="00143CB1">
        <w:rPr>
          <w:lang w:val="fr"/>
        </w:rPr>
        <w:t xml:space="preserve"> </w:t>
      </w:r>
      <w:r w:rsidRPr="00143CB1">
        <w:rPr>
          <w:szCs w:val="22"/>
        </w:rPr>
        <w:t xml:space="preserve">5 U.S.C. §§ 601 </w:t>
      </w:r>
      <w:r w:rsidRPr="00143CB1">
        <w:rPr>
          <w:i/>
          <w:szCs w:val="22"/>
        </w:rPr>
        <w:t>et seq</w:t>
      </w:r>
      <w:r w:rsidRPr="00143CB1">
        <w:rPr>
          <w:szCs w:val="22"/>
        </w:rPr>
        <w:t>., as amended by the Small Business Regulatory Enforcement and Fairness Act (SBREFA), Pub. L. No. 104-121, 110 Stat. 847 (1996)</w:t>
      </w:r>
      <w:r w:rsidRPr="00143CB1">
        <w:t>.</w:t>
      </w:r>
    </w:p>
  </w:footnote>
  <w:footnote w:id="151">
    <w:p w:rsidR="00203CCB" w:rsidRPr="00EB7CCD" w:rsidP="00081A05" w14:paraId="74C6B50B" w14:textId="77777777">
      <w:pPr>
        <w:pStyle w:val="FootnoteText"/>
      </w:pPr>
      <w:r w:rsidRPr="00EB7CCD">
        <w:rPr>
          <w:vertAlign w:val="superscript"/>
        </w:rPr>
        <w:footnoteRef/>
      </w:r>
      <w:r w:rsidRPr="00143CB1">
        <w:rPr>
          <w:vertAlign w:val="superscript"/>
        </w:rPr>
        <w:t xml:space="preserve"> </w:t>
      </w:r>
      <w:r w:rsidRPr="00081A05">
        <w:rPr>
          <w:i/>
        </w:rPr>
        <w:t xml:space="preserve"> </w:t>
      </w:r>
      <w:r w:rsidRPr="00EB7CCD">
        <w:rPr>
          <w:i/>
        </w:rPr>
        <w:t xml:space="preserve">Id. </w:t>
      </w:r>
      <w:r w:rsidRPr="00EB7CCD">
        <w:t>§ 605(b).</w:t>
      </w:r>
    </w:p>
  </w:footnote>
  <w:footnote w:id="152">
    <w:p w:rsidR="00203CCB" w:rsidP="00203CCB" w14:paraId="061C6DDF" w14:textId="77777777">
      <w:pPr>
        <w:pStyle w:val="FootnoteText"/>
      </w:pPr>
      <w:r>
        <w:rPr>
          <w:rStyle w:val="FootnoteReference"/>
        </w:rPr>
        <w:footnoteRef/>
      </w:r>
      <w:r>
        <w:t xml:space="preserve"> </w:t>
      </w:r>
      <w:r w:rsidRPr="008738CD">
        <w:t>Pursuant to Executive Order 14215, 90 Fed. Reg. 10447 (Feb. 2</w:t>
      </w:r>
      <w:r>
        <w:t>4</w:t>
      </w:r>
      <w:r w:rsidRPr="008738CD">
        <w:t xml:space="preserve">, 2025), this regulatory action has been determined to be </w:t>
      </w:r>
      <w:r>
        <w:t xml:space="preserve">not </w:t>
      </w:r>
      <w:r w:rsidRPr="008738CD">
        <w:t xml:space="preserve">significant under Executive Order 12866, 58 Fed. Reg. </w:t>
      </w:r>
      <w:r>
        <w:t>51735</w:t>
      </w:r>
      <w:r w:rsidRPr="008738CD">
        <w:t xml:space="preserve"> (</w:t>
      </w:r>
      <w:r>
        <w:t>Oct. 4</w:t>
      </w:r>
      <w:r w:rsidRPr="008738CD">
        <w:t>, 1993).</w:t>
      </w:r>
    </w:p>
  </w:footnote>
  <w:footnote w:id="153">
    <w:p w:rsidR="00203CCB" w:rsidRPr="00EB7CCD" w:rsidP="00081A05" w14:paraId="0BAFB5B1" w14:textId="77777777">
      <w:pPr>
        <w:pStyle w:val="FootnoteText"/>
      </w:pPr>
      <w:r w:rsidRPr="00EB7CCD">
        <w:rPr>
          <w:rStyle w:val="FootnoteReference"/>
        </w:rPr>
        <w:footnoteRef/>
      </w:r>
      <w:r w:rsidRPr="00EB7CCD">
        <w:t xml:space="preserve"> 5 U.S.C. §§ 601 </w:t>
      </w:r>
      <w:r w:rsidRPr="00EB7CCD">
        <w:rPr>
          <w:i/>
        </w:rPr>
        <w:t>et seq</w:t>
      </w:r>
      <w:r w:rsidRPr="00EB7CCD">
        <w:t>., as amended by the Small Business Regulatory Enforcement and Fairness Act (SBREFA), Pub. L. No. 104-121, 110 Stat. 847 (1996).</w:t>
      </w:r>
    </w:p>
  </w:footnote>
  <w:footnote w:id="154">
    <w:p w:rsidR="00203CCB" w:rsidRPr="00EB7CCD" w:rsidP="00081A05" w14:paraId="6EDA0B2F" w14:textId="77777777">
      <w:pPr>
        <w:pStyle w:val="FootnoteText"/>
      </w:pPr>
      <w:r w:rsidRPr="00EB7CCD">
        <w:rPr>
          <w:rStyle w:val="FootnoteReference"/>
        </w:rPr>
        <w:footnoteRef/>
      </w:r>
      <w:r w:rsidRPr="00EB7CCD">
        <w:t xml:space="preserve"> </w:t>
      </w:r>
      <w:r w:rsidRPr="00EB7CCD">
        <w:rPr>
          <w:i/>
        </w:rPr>
        <w:t>See Resilient Networks; Amendments to Part 4 of the Commission's Rules Concerning Disruptions to Communications</w:t>
      </w:r>
      <w:r w:rsidRPr="00EB7CCD">
        <w:t xml:space="preserve">; PS Docket Nos. 21-346, 15-80, 04-35, Third Further Notice of Proposed Rulemaking and Order on Reconsideration, 40 FCC </w:t>
      </w:r>
      <w:r w:rsidRPr="00EB7CCD">
        <w:t>Rcd</w:t>
      </w:r>
      <w:r w:rsidRPr="00EB7CCD">
        <w:t xml:space="preserve"> 6313 (2025) (</w:t>
      </w:r>
      <w:r w:rsidRPr="00EB7CCD">
        <w:rPr>
          <w:i/>
        </w:rPr>
        <w:t>Third Further Notice</w:t>
      </w:r>
      <w:r w:rsidRPr="00EB7CCD">
        <w:t>).</w:t>
      </w:r>
    </w:p>
  </w:footnote>
  <w:footnote w:id="155">
    <w:p w:rsidR="00203CCB" w:rsidRPr="00096295" w:rsidP="00203CCB" w14:paraId="3DEBF9A5" w14:textId="77777777">
      <w:pPr>
        <w:pStyle w:val="FootnoteText"/>
      </w:pPr>
      <w:r w:rsidRPr="00096295">
        <w:rPr>
          <w:rStyle w:val="FootnoteReference"/>
        </w:rPr>
        <w:footnoteRef/>
      </w:r>
      <w:r w:rsidRPr="00096295">
        <w:t xml:space="preserve"> </w:t>
      </w:r>
      <w:r w:rsidRPr="00F97630">
        <w:t xml:space="preserve">5 U.S.C. § 604.  </w:t>
      </w:r>
    </w:p>
  </w:footnote>
  <w:footnote w:id="156">
    <w:p w:rsidR="00203CCB" w:rsidP="00203CCB" w14:paraId="20D4F441" w14:textId="77777777">
      <w:pPr>
        <w:pStyle w:val="FootnoteText"/>
      </w:pPr>
      <w:r>
        <w:rPr>
          <w:rStyle w:val="FootnoteReference"/>
        </w:rPr>
        <w:footnoteRef/>
      </w:r>
      <w:r>
        <w:t xml:space="preserve"> CCA Reply at 3.</w:t>
      </w:r>
    </w:p>
  </w:footnote>
  <w:footnote w:id="157">
    <w:p w:rsidR="00203CCB" w:rsidP="00203CCB" w14:paraId="24AB15C4" w14:textId="77777777">
      <w:pPr>
        <w:pStyle w:val="FootnoteText"/>
      </w:pPr>
      <w:r>
        <w:rPr>
          <w:rStyle w:val="FootnoteReference"/>
        </w:rPr>
        <w:footnoteRef/>
      </w:r>
      <w:r>
        <w:t xml:space="preserve"> WTA Comments at 2.</w:t>
      </w:r>
    </w:p>
  </w:footnote>
  <w:footnote w:id="158">
    <w:p w:rsidR="00203CCB" w:rsidP="00203CCB" w14:paraId="526EC3DD" w14:textId="77777777">
      <w:pPr>
        <w:pStyle w:val="FootnoteText"/>
      </w:pPr>
      <w:r>
        <w:rPr>
          <w:rStyle w:val="FootnoteReference"/>
        </w:rPr>
        <w:footnoteRef/>
      </w:r>
      <w:r>
        <w:t xml:space="preserve"> </w:t>
      </w:r>
      <w:r w:rsidRPr="00105EB2">
        <w:rPr>
          <w:i/>
          <w:iCs/>
        </w:rPr>
        <w:t>See</w:t>
      </w:r>
      <w:r>
        <w:t xml:space="preserve"> NAB Comments at 2.</w:t>
      </w:r>
    </w:p>
  </w:footnote>
  <w:footnote w:id="159">
    <w:p w:rsidR="00203CCB" w:rsidRPr="002515E6" w:rsidP="00203CCB" w14:paraId="7E5CCFF2" w14:textId="77777777">
      <w:pPr>
        <w:pStyle w:val="FootnoteText"/>
      </w:pPr>
      <w:r w:rsidRPr="002515E6">
        <w:rPr>
          <w:rStyle w:val="FootnoteReference"/>
        </w:rPr>
        <w:footnoteRef/>
      </w:r>
      <w:r w:rsidRPr="002515E6">
        <w:t xml:space="preserve"> </w:t>
      </w:r>
      <w:r w:rsidRPr="00F97630">
        <w:t xml:space="preserve">5 U.S.C. § 604(a)(3).  </w:t>
      </w:r>
    </w:p>
  </w:footnote>
  <w:footnote w:id="160">
    <w:p w:rsidR="00203CCB" w:rsidRPr="002515E6" w:rsidP="00203CCB" w14:paraId="49A26EE0" w14:textId="77777777">
      <w:pPr>
        <w:pStyle w:val="FootnoteText"/>
      </w:pPr>
      <w:r w:rsidRPr="002515E6">
        <w:rPr>
          <w:rStyle w:val="FootnoteReference"/>
        </w:rPr>
        <w:footnoteRef/>
      </w:r>
      <w:r w:rsidRPr="002515E6">
        <w:t xml:space="preserve"> </w:t>
      </w:r>
      <w:r w:rsidRPr="00F97630">
        <w:t xml:space="preserve">5 U.S.C. § 604(a)(4).  </w:t>
      </w:r>
    </w:p>
  </w:footnote>
  <w:footnote w:id="161">
    <w:p w:rsidR="00203CCB" w:rsidRPr="002515E6" w:rsidP="00203CCB" w14:paraId="778459DE" w14:textId="77777777">
      <w:pPr>
        <w:pStyle w:val="FootnoteText"/>
      </w:pPr>
      <w:r w:rsidRPr="002515E6">
        <w:rPr>
          <w:rStyle w:val="FootnoteReference"/>
        </w:rPr>
        <w:footnoteRef/>
      </w:r>
      <w:r w:rsidRPr="002515E6">
        <w:t xml:space="preserve"> </w:t>
      </w:r>
      <w:r w:rsidRPr="00F97630">
        <w:t xml:space="preserve">5 U.S.C. § 601(6).  </w:t>
      </w:r>
    </w:p>
  </w:footnote>
  <w:footnote w:id="162">
    <w:p w:rsidR="00203CCB" w:rsidRPr="00124E05" w:rsidP="00081A05" w14:paraId="2B789954" w14:textId="77777777">
      <w:pPr>
        <w:pStyle w:val="FootnoteText"/>
      </w:pPr>
      <w:r w:rsidRPr="004A6299">
        <w:rPr>
          <w:rStyle w:val="FootnoteReference"/>
        </w:rPr>
        <w:footnoteRef/>
      </w:r>
      <w:r w:rsidRPr="00EB7CCD">
        <w:t xml:space="preserve"> 5 U.S.C.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r w:rsidRPr="00124E05">
        <w:t xml:space="preserve">  </w:t>
      </w:r>
    </w:p>
  </w:footnote>
  <w:footnote w:id="163">
    <w:p w:rsidR="00203CCB" w:rsidRPr="00124E05" w:rsidP="00203CCB" w14:paraId="4C9EF2C6" w14:textId="77777777">
      <w:pPr>
        <w:pStyle w:val="FootnoteText"/>
      </w:pPr>
      <w:r w:rsidRPr="00124E05">
        <w:rPr>
          <w:rStyle w:val="FootnoteReference"/>
        </w:rPr>
        <w:footnoteRef/>
      </w:r>
      <w:r w:rsidRPr="00124E05">
        <w:t xml:space="preserve"> </w:t>
      </w:r>
      <w:r w:rsidRPr="00124E05">
        <w:rPr>
          <w:rFonts w:ascii="TimesNewRomanPSMT" w:hAnsi="TimesNewRomanPSMT" w:cs="TimesNewRomanPSMT"/>
        </w:rPr>
        <w:t>15 U.S.C. § 632.</w:t>
      </w:r>
      <w:r>
        <w:rPr>
          <w:rFonts w:ascii="TimesNewRomanPSMT" w:hAnsi="TimesNewRomanPSMT" w:cs="TimesNewRomanPSMT"/>
        </w:rPr>
        <w:t xml:space="preserve">  </w:t>
      </w:r>
    </w:p>
  </w:footnote>
  <w:footnote w:id="164">
    <w:p w:rsidR="00203CCB" w:rsidP="00203CCB" w14:paraId="08D465CF" w14:textId="77777777">
      <w:pPr>
        <w:pStyle w:val="FootnoteText"/>
      </w:pPr>
      <w:r>
        <w:rPr>
          <w:rStyle w:val="FootnoteReference"/>
        </w:rPr>
        <w:footnoteRef/>
      </w:r>
      <w:r>
        <w:t xml:space="preserve"> </w:t>
      </w:r>
      <w:r w:rsidRPr="009636F6">
        <w:t>13 CFR § 121.903.</w:t>
      </w:r>
    </w:p>
  </w:footnote>
  <w:footnote w:id="165">
    <w:p w:rsidR="00203CCB" w:rsidP="00203CCB" w14:paraId="57525B70" w14:textId="77777777">
      <w:pPr>
        <w:pStyle w:val="FootnoteText"/>
      </w:pPr>
      <w:r w:rsidRPr="00363480">
        <w:rPr>
          <w:rStyle w:val="FootnoteReference"/>
          <w:rFonts w:eastAsia="Calibri"/>
        </w:rPr>
        <w:footnoteRef/>
      </w:r>
      <w:r>
        <w:t xml:space="preserve"> 5 U.S.C. </w:t>
      </w:r>
      <w:r w:rsidRPr="006B076E">
        <w:t>§</w:t>
      </w:r>
      <w:r>
        <w:t xml:space="preserve"> 601(3)-(6).</w:t>
      </w:r>
    </w:p>
  </w:footnote>
  <w:footnote w:id="166">
    <w:p w:rsidR="00203CCB" w:rsidRPr="00071E18" w:rsidP="00203CCB" w14:paraId="0D8ABC18" w14:textId="77777777">
      <w:pPr>
        <w:pStyle w:val="FootnoteText"/>
      </w:pPr>
      <w:r w:rsidRPr="00071E18">
        <w:rPr>
          <w:rStyle w:val="FootnoteReference"/>
          <w:rFonts w:eastAsia="Calibri"/>
        </w:rPr>
        <w:footnoteRef/>
      </w:r>
      <w:r w:rsidRPr="00071E18">
        <w:t xml:space="preserve"> </w:t>
      </w:r>
      <w:r w:rsidRPr="00071E18">
        <w:rPr>
          <w:i/>
          <w:iCs/>
        </w:rPr>
        <w:t>See</w:t>
      </w:r>
      <w:r w:rsidRPr="00071E18">
        <w:t xml:space="preserve"> SBA, Office of Advocacy, </w:t>
      </w:r>
      <w:r w:rsidRPr="00071E18">
        <w:rPr>
          <w:i/>
          <w:iCs/>
        </w:rPr>
        <w:t xml:space="preserve">Frequently Asked Questions About Small Business </w:t>
      </w:r>
      <w:r w:rsidRPr="00071E18">
        <w:t xml:space="preserve">(July 23, 2024), </w:t>
      </w:r>
      <w:hyperlink r:id="rId15" w:history="1">
        <w:r w:rsidRPr="00071E18">
          <w:rPr>
            <w:rStyle w:val="Hyperlink"/>
          </w:rPr>
          <w:t>https://advocacy.sba.gov/wp-content/uploads/2024/12/Frequently-Asked-Questions-About-Small-Business_2024-508.pdf</w:t>
        </w:r>
      </w:hyperlink>
      <w:r w:rsidRPr="00071E18">
        <w:t>.</w:t>
      </w:r>
    </w:p>
  </w:footnote>
  <w:footnote w:id="167">
    <w:p w:rsidR="00203CCB" w:rsidP="00203CCB" w14:paraId="1E5EA77B" w14:textId="77777777">
      <w:pPr>
        <w:pStyle w:val="FootnoteText"/>
      </w:pPr>
      <w:r>
        <w:rPr>
          <w:rStyle w:val="FootnoteReference"/>
        </w:rPr>
        <w:footnoteRef/>
      </w:r>
      <w:r>
        <w:t xml:space="preserve"> </w:t>
      </w:r>
      <w:r w:rsidRPr="0011527D">
        <w:rPr>
          <w:i/>
          <w:iCs/>
        </w:rPr>
        <w:t>Id</w:t>
      </w:r>
      <w:r>
        <w:t>.</w:t>
      </w:r>
    </w:p>
  </w:footnote>
  <w:footnote w:id="168">
    <w:p w:rsidR="00203CCB" w:rsidRPr="00A053B8" w:rsidP="00203CCB" w14:paraId="304BED74" w14:textId="77777777">
      <w:pPr>
        <w:pStyle w:val="FootnoteText"/>
      </w:pPr>
      <w:r w:rsidRPr="00A053B8">
        <w:rPr>
          <w:rStyle w:val="FootnoteReference"/>
          <w:rFonts w:eastAsia="Calibri"/>
        </w:rPr>
        <w:footnoteRef/>
      </w:r>
      <w:r w:rsidRPr="00A053B8">
        <w:t xml:space="preserve"> </w:t>
      </w:r>
      <w:r w:rsidRPr="00A053B8">
        <w:rPr>
          <w:spacing w:val="-2"/>
        </w:rPr>
        <w:t>5 U.S.C.</w:t>
      </w:r>
      <w:r w:rsidRPr="00A053B8">
        <w:t xml:space="preserve"> § 601(4).</w:t>
      </w:r>
    </w:p>
  </w:footnote>
  <w:footnote w:id="169">
    <w:p w:rsidR="00203CCB" w:rsidP="00203CCB" w14:paraId="6BE157D3" w14:textId="77777777">
      <w:pPr>
        <w:pStyle w:val="FootnoteText"/>
      </w:pPr>
      <w:r w:rsidRPr="00B31687">
        <w:rPr>
          <w:rStyle w:val="FootnoteReference"/>
        </w:rPr>
        <w:footnoteRef/>
      </w:r>
      <w:r w:rsidRPr="00B31687">
        <w:t xml:space="preserve"> </w:t>
      </w:r>
      <w:r w:rsidRPr="00B31687">
        <w:rPr>
          <w:i/>
          <w:iCs/>
        </w:rPr>
        <w:t xml:space="preserve">See </w:t>
      </w:r>
      <w:r w:rsidRPr="00B31687">
        <w:t xml:space="preserve">SBA, Office of Advocacy, </w:t>
      </w:r>
      <w:r w:rsidRPr="00B31687">
        <w:rPr>
          <w:i/>
          <w:iCs/>
        </w:rPr>
        <w:t>Small Business Facts, Spotlight on Nonprofits</w:t>
      </w:r>
      <w:r w:rsidRPr="00B31687">
        <w:t xml:space="preserve"> (July 2019), </w:t>
      </w:r>
      <w:hyperlink r:id="rId16" w:history="1">
        <w:r w:rsidRPr="00B31687">
          <w:rPr>
            <w:rStyle w:val="Hyperlink"/>
          </w:rPr>
          <w:t>https://advocacy.sba.gov/2019/07/25/small-business-facts-spotlight-on-nonprofits/</w:t>
        </w:r>
      </w:hyperlink>
      <w:r w:rsidRPr="00B31687">
        <w:t>.</w:t>
      </w:r>
      <w:r>
        <w:t xml:space="preserve">  </w:t>
      </w:r>
    </w:p>
  </w:footnote>
  <w:footnote w:id="170">
    <w:p w:rsidR="00203CCB" w:rsidRPr="00A053B8" w:rsidP="00203CCB" w14:paraId="3EF32DF1" w14:textId="77777777">
      <w:pPr>
        <w:pStyle w:val="FootnoteText"/>
      </w:pPr>
      <w:r w:rsidRPr="00A053B8">
        <w:rPr>
          <w:rStyle w:val="FootnoteReference"/>
          <w:rFonts w:eastAsia="Calibri"/>
          <w:spacing w:val="-2"/>
        </w:rPr>
        <w:footnoteRef/>
      </w:r>
      <w:r w:rsidRPr="00A053B8">
        <w:t xml:space="preserve"> 5 U.S.C. § 601(5).</w:t>
      </w:r>
    </w:p>
  </w:footnote>
  <w:footnote w:id="171">
    <w:p w:rsidR="00203CCB" w:rsidP="00203CCB" w14:paraId="12364CCC" w14:textId="77777777">
      <w:pPr>
        <w:pStyle w:val="FootnoteText"/>
      </w:pPr>
      <w:r>
        <w:rPr>
          <w:rStyle w:val="FootnoteReference"/>
        </w:rPr>
        <w:footnoteRef/>
      </w:r>
      <w:r>
        <w:t xml:space="preserve"> </w:t>
      </w:r>
      <w:r w:rsidRPr="00A053B8">
        <w:rPr>
          <w:i/>
        </w:rPr>
        <w:t>See</w:t>
      </w:r>
      <w:r w:rsidRPr="00A053B8">
        <w:t xml:space="preserve"> U.S. Census Bureau, 2022 Census of Governments –</w:t>
      </w:r>
      <w:r>
        <w:t xml:space="preserve">Organization, </w:t>
      </w:r>
      <w:hyperlink r:id="rId17" w:history="1">
        <w:r w:rsidRPr="00A053B8">
          <w:rPr>
            <w:rStyle w:val="Hyperlink"/>
          </w:rPr>
          <w:t>https://www.census.gov/data/tables/2022/econ/gus/2022-governments.html</w:t>
        </w:r>
      </w:hyperlink>
      <w:r>
        <w:t>, tables 1-11</w:t>
      </w:r>
      <w:r w:rsidRPr="00A053B8">
        <w:t xml:space="preserve">.  </w:t>
      </w:r>
    </w:p>
  </w:footnote>
  <w:footnote w:id="172">
    <w:p w:rsidR="00203CCB" w:rsidRPr="00071E18" w:rsidP="00203CCB" w14:paraId="482CE435" w14:textId="77777777">
      <w:pPr>
        <w:pStyle w:val="FootnoteText"/>
      </w:pPr>
      <w:r w:rsidRPr="00071E18">
        <w:rPr>
          <w:rStyle w:val="FootnoteReference"/>
        </w:rPr>
        <w:footnoteRef/>
      </w:r>
      <w:r w:rsidRPr="00071E18">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F97630">
        <w:rPr>
          <w:i/>
          <w:iCs/>
        </w:rPr>
        <w:t>See</w:t>
      </w:r>
      <w:r w:rsidRPr="00071E18">
        <w:rPr>
          <w:i/>
          <w:iCs/>
        </w:rPr>
        <w:t xml:space="preserve"> </w:t>
      </w:r>
      <w:hyperlink r:id="rId18" w:history="1">
        <w:r w:rsidRPr="00071E18">
          <w:rPr>
            <w:rStyle w:val="Hyperlink"/>
          </w:rPr>
          <w:t>www.census.gov/NAICS</w:t>
        </w:r>
      </w:hyperlink>
      <w:r w:rsidRPr="00071E18">
        <w:t xml:space="preserve"> for further details regarding the NAICS codes identified in this chart.</w:t>
      </w:r>
    </w:p>
  </w:footnote>
  <w:footnote w:id="173">
    <w:p w:rsidR="00203CCB" w:rsidRPr="00071E18" w:rsidP="00203CCB" w14:paraId="7D3BA4A2" w14:textId="77777777">
      <w:pPr>
        <w:pStyle w:val="FootnoteText"/>
      </w:pPr>
      <w:r w:rsidRPr="00071E18">
        <w:rPr>
          <w:rStyle w:val="FootnoteReference"/>
        </w:rPr>
        <w:footnoteRef/>
      </w:r>
      <w:r w:rsidRPr="00071E18">
        <w:t xml:space="preserve"> The size standards in this chart are set forth in 13 CFR </w:t>
      </w:r>
      <w:r>
        <w:t>§ </w:t>
      </w:r>
      <w:r w:rsidRPr="00071E18">
        <w:t>121.201 by six digit NAICS code.</w:t>
      </w:r>
    </w:p>
  </w:footnote>
  <w:footnote w:id="174">
    <w:p w:rsidR="00203CCB" w:rsidRPr="00682388" w:rsidP="00203CCB" w14:paraId="7427E3D1" w14:textId="77777777">
      <w:pPr>
        <w:pStyle w:val="FootnoteText"/>
      </w:pPr>
      <w:r w:rsidRPr="00647AC8">
        <w:rPr>
          <w:rStyle w:val="FootnoteReference"/>
        </w:rPr>
        <w:footnoteRef/>
      </w:r>
      <w:r w:rsidRPr="00682388">
        <w:t xml:space="preserve"> </w:t>
      </w:r>
      <w:r w:rsidRPr="00682388">
        <w:rPr>
          <w:i/>
          <w:iCs/>
        </w:rPr>
        <w:t>U.S. Census Bureau</w:t>
      </w:r>
      <w:r w:rsidRPr="00682388">
        <w:t>, "</w:t>
      </w:r>
      <w:r w:rsidRPr="00682388">
        <w:rPr>
          <w:i/>
          <w:iCs/>
        </w:rPr>
        <w:t>Selected Sectors: Employment Size of Firms for the U.S.: 2022</w:t>
      </w:r>
      <w:r w:rsidRPr="00682388">
        <w:t xml:space="preserve">." Economic Census, ECN Core Statistics Economic Census: Establishment and Firm Size Statistics for the U.S., </w:t>
      </w:r>
      <w:r>
        <w:t xml:space="preserve">Table </w:t>
      </w:r>
      <w:r w:rsidRPr="00682388">
        <w:t xml:space="preserve">EC2200SIZEEMPFIRM, 2025, </w:t>
      </w:r>
      <w:r w:rsidRPr="00004B4F">
        <w:rPr>
          <w:i/>
          <w:iCs/>
        </w:rPr>
        <w:t>and</w:t>
      </w:r>
      <w:r w:rsidRPr="00682388">
        <w:t xml:space="preserve"> “</w:t>
      </w:r>
      <w:r w:rsidRPr="00682388">
        <w:rPr>
          <w:i/>
          <w:iCs/>
        </w:rPr>
        <w:t>Selected Sectors: Sales, Value of Shipments, or Revenue Size of Firms for the U.S.: 2022</w:t>
      </w:r>
      <w:r w:rsidRPr="00682388">
        <w:t>." Economic Census, ECN Core Statistics Economic Census: Establishment and Firm Size Statistics for the U.S.</w:t>
      </w:r>
      <w:r>
        <w:t xml:space="preserve">, </w:t>
      </w:r>
      <w:r w:rsidRPr="001848A5">
        <w:t>Table EC2200SIZEREVFIRM, 2025</w:t>
      </w:r>
      <w:r>
        <w:t>.</w:t>
      </w:r>
      <w:r w:rsidRPr="00682388">
        <w:t xml:space="preserve"> </w:t>
      </w:r>
    </w:p>
  </w:footnote>
  <w:footnote w:id="175">
    <w:p w:rsidR="00203CCB" w:rsidRPr="00682388" w:rsidP="00203CCB" w14:paraId="395BCAA1" w14:textId="77777777">
      <w:pPr>
        <w:pStyle w:val="FootnoteText"/>
      </w:pPr>
      <w:r w:rsidRPr="00647AC8">
        <w:rPr>
          <w:rStyle w:val="FootnoteReference"/>
        </w:rPr>
        <w:footnoteRef/>
      </w:r>
      <w:r w:rsidRPr="00682388">
        <w:t xml:space="preserve"> </w:t>
      </w:r>
      <w:r w:rsidRPr="00682388">
        <w:rPr>
          <w:i/>
          <w:iCs/>
        </w:rPr>
        <w:t xml:space="preserve">Id. </w:t>
      </w:r>
    </w:p>
  </w:footnote>
  <w:footnote w:id="176">
    <w:p w:rsidR="00203CCB" w:rsidP="00203CCB" w14:paraId="11794627" w14:textId="77777777">
      <w:pPr>
        <w:pStyle w:val="FootnoteText"/>
      </w:pPr>
      <w:r w:rsidRPr="00647AC8">
        <w:rPr>
          <w:rStyle w:val="FootnoteReference"/>
        </w:rPr>
        <w:footnoteRef/>
      </w:r>
      <w:r>
        <w:t xml:space="preserve"> </w:t>
      </w:r>
      <w:r w:rsidRPr="00F33F16">
        <w:t>Affected Entities in this industry include</w:t>
      </w:r>
      <w:r>
        <w:t xml:space="preserve"> </w:t>
      </w:r>
      <w:r w:rsidRPr="00DE7179">
        <w:t>Broadcast Auxiliary Services (BAS) Remote Pickup (RPU) Licensees (Radio).</w:t>
      </w:r>
    </w:p>
  </w:footnote>
  <w:footnote w:id="177">
    <w:p w:rsidR="00203CCB" w:rsidRPr="00A60F4B" w:rsidP="00203CCB" w14:paraId="7484FA77" w14:textId="77777777">
      <w:pPr>
        <w:pStyle w:val="FootnoteText"/>
      </w:pPr>
      <w:r w:rsidRPr="00647AC8">
        <w:rPr>
          <w:rStyle w:val="FootnoteReference"/>
        </w:rPr>
        <w:footnoteRef/>
      </w:r>
      <w:r w:rsidRPr="00A60F4B">
        <w:t xml:space="preserve"> Affected Entities in this industry include Broadcast Auxiliary Services (BAS) Remote Pickup (RPU) Licensees (TV).</w:t>
      </w:r>
    </w:p>
  </w:footnote>
  <w:footnote w:id="178">
    <w:p w:rsidR="00203CCB" w:rsidRPr="00D2711E" w:rsidP="00203CCB" w14:paraId="2C899F31" w14:textId="77777777">
      <w:pPr>
        <w:pStyle w:val="FootnoteText"/>
      </w:pPr>
      <w:r w:rsidRPr="008D0510">
        <w:rPr>
          <w:rStyle w:val="FootnoteReference"/>
        </w:rPr>
        <w:footnoteRef/>
      </w:r>
      <w:r w:rsidRPr="008D0510">
        <w:t xml:space="preserve"> Affected Entities in this industry include Cable Broadcasting Networks, Cable Television Networks, Satellite Television Networks, and Subscription Television Networks. </w:t>
      </w:r>
    </w:p>
  </w:footnote>
  <w:footnote w:id="179">
    <w:p w:rsidR="00203CCB" w:rsidRPr="00D535AA" w:rsidP="00203CCB" w14:paraId="36ACED4C" w14:textId="77777777">
      <w:pPr>
        <w:pStyle w:val="FootnoteText"/>
      </w:pPr>
      <w:r w:rsidRPr="008818BE">
        <w:rPr>
          <w:rStyle w:val="FootnoteReference"/>
        </w:rPr>
        <w:footnoteRef/>
      </w:r>
      <w:r w:rsidRPr="008818BE">
        <w:t xml:space="preserve"> Affected entities in this industry include Cable Companies and Systems (Rate Regulation), Cable System Operators (Telecom Act Standard), Competitive Local Exchange Carriers (CLECs), Direct Broadcast Satellite (DBS), Incumbent Local Exchange Carriers (Incumbent LECs), Interexchange Carriers (IXCs), Local Exchange Carriers (LECs), Operator Service Providers (OSPs), and Wired Broadband Internet Access Service Providers.</w:t>
      </w:r>
      <w:r>
        <w:t xml:space="preserve"> </w:t>
      </w:r>
    </w:p>
  </w:footnote>
  <w:footnote w:id="180">
    <w:p w:rsidR="00203CCB" w:rsidRPr="00D535AA" w:rsidP="00203CCB" w14:paraId="231855ED" w14:textId="77777777">
      <w:pPr>
        <w:pStyle w:val="FootnoteText"/>
      </w:pPr>
      <w:r w:rsidRPr="008818BE">
        <w:rPr>
          <w:rStyle w:val="FootnoteReference"/>
        </w:rPr>
        <w:footnoteRef/>
      </w:r>
      <w:r w:rsidRPr="008818BE">
        <w:t xml:space="preserve"> Affected entities in this industry include 1670–1675 MHz Services, 3650-3700 MHz Band, 700 MHz Guard Band Licensees, Advanced Wireless Services - AWS Services, Air-Ground Radiotelephone Services, Broadband Personal Communications Service, Broadband Radio Service and Educational Broadband Service, Fixed Microwave Services, Local Multipoint Distribution Service (LMDS), Lower 700 MHz Band Licenses, Specialized Mobile Radio Licenses, Upper 700 MHz Band Licenses, Wireless Broadband Internet Access Service Providers, Wireless Carriers and Service Providers, Wireless Communications Services, and Wireless Telephony.</w:t>
      </w:r>
      <w:r w:rsidRPr="00D535AA">
        <w:t xml:space="preserve"> </w:t>
      </w:r>
    </w:p>
  </w:footnote>
  <w:footnote w:id="181">
    <w:p w:rsidR="00203CCB" w:rsidRPr="00A052C6" w:rsidP="00203CCB" w14:paraId="77A52C5A" w14:textId="77777777">
      <w:pPr>
        <w:pStyle w:val="FootnoteText"/>
      </w:pPr>
      <w:r w:rsidRPr="00A052C6">
        <w:rPr>
          <w:rStyle w:val="FootnoteReference"/>
        </w:rPr>
        <w:footnoteRef/>
      </w:r>
      <w:r w:rsidRPr="00A052C6">
        <w:t xml:space="preserve"> Affected </w:t>
      </w:r>
      <w:r>
        <w:t>entity</w:t>
      </w:r>
      <w:r w:rsidRPr="00A052C6">
        <w:t xml:space="preserve"> in this industry include</w:t>
      </w:r>
      <w:r>
        <w:t>s</w:t>
      </w:r>
      <w:r w:rsidRPr="00A052C6">
        <w:t xml:space="preserve"> </w:t>
      </w:r>
      <w:r>
        <w:t xml:space="preserve">Local Resellers, Toll Resellers, and </w:t>
      </w:r>
      <w:r w:rsidRPr="00A052C6">
        <w:t>Wireless Resellers.</w:t>
      </w:r>
    </w:p>
  </w:footnote>
  <w:footnote w:id="182">
    <w:p w:rsidR="00203CCB" w:rsidP="00203CCB" w14:paraId="16A36EEF" w14:textId="77777777">
      <w:pPr>
        <w:pStyle w:val="FootnoteText"/>
      </w:pPr>
      <w:r>
        <w:rPr>
          <w:rStyle w:val="FootnoteReference"/>
        </w:rPr>
        <w:footnoteRef/>
      </w:r>
      <w:r>
        <w:t xml:space="preserve"> </w:t>
      </w:r>
      <w:r w:rsidRPr="006D30BF">
        <w:t>Affected Entities in this industry include Internet Service Providers (Non-Broadband</w:t>
      </w:r>
      <w:r>
        <w:t>).</w:t>
      </w:r>
    </w:p>
  </w:footnote>
  <w:footnote w:id="183">
    <w:p w:rsidR="00203CCB" w:rsidRPr="000969E2" w:rsidP="00203CCB" w14:paraId="16E39294" w14:textId="77777777">
      <w:pPr>
        <w:pStyle w:val="FootnoteText"/>
      </w:pPr>
      <w:r w:rsidRPr="00647AC8">
        <w:rPr>
          <w:rStyle w:val="FootnoteReference"/>
        </w:rPr>
        <w:footnoteRef/>
      </w:r>
      <w:r w:rsidRPr="000969E2">
        <w:t xml:space="preserve"> </w:t>
      </w:r>
      <w:r w:rsidRPr="000969E2">
        <w:rPr>
          <w:iCs/>
        </w:rPr>
        <w:t xml:space="preserve">Federal-State Joint Board on Universal Service, Universal Service Monitoring Report at 26, Table 1.12 (2024), </w:t>
      </w:r>
      <w:hyperlink r:id="rId19" w:history="1">
        <w:r w:rsidRPr="000969E2">
          <w:rPr>
            <w:rStyle w:val="Hyperlink"/>
          </w:rPr>
          <w:t>https://docs.fcc.gov/public/attachments/DOC-408848A1.pdf</w:t>
        </w:r>
      </w:hyperlink>
      <w:r w:rsidRPr="000969E2">
        <w:t>.</w:t>
      </w:r>
    </w:p>
  </w:footnote>
  <w:footnote w:id="184">
    <w:p w:rsidR="00203CCB" w:rsidRPr="000969E2" w:rsidP="00203CCB" w14:paraId="337B03BE" w14:textId="77777777">
      <w:pPr>
        <w:pStyle w:val="FootnoteText"/>
      </w:pPr>
      <w:r w:rsidRPr="00647AC8">
        <w:rPr>
          <w:rStyle w:val="FootnoteReference"/>
        </w:rPr>
        <w:footnoteRef/>
      </w:r>
      <w:r w:rsidRPr="000969E2">
        <w:t xml:space="preserve"> Affected Entities in this industry include all reporting local competitive service providers.</w:t>
      </w:r>
    </w:p>
  </w:footnote>
  <w:footnote w:id="185">
    <w:p w:rsidR="00203CCB" w:rsidRPr="000969E2" w:rsidP="00203CCB" w14:paraId="114B70E9" w14:textId="77777777">
      <w:pPr>
        <w:pStyle w:val="FootnoteText"/>
      </w:pPr>
      <w:r w:rsidRPr="00647AC8">
        <w:rPr>
          <w:rStyle w:val="FootnoteReference"/>
        </w:rPr>
        <w:footnoteRef/>
      </w:r>
      <w:r w:rsidRPr="000969E2">
        <w:t xml:space="preserve"> Affected Entities in this industry include all reporting fixed local service providers (CLECs &amp; ILECs).</w:t>
      </w:r>
    </w:p>
  </w:footnote>
  <w:footnote w:id="186">
    <w:p w:rsidR="00203CCB" w:rsidRPr="000969E2" w:rsidP="00203CCB" w14:paraId="163748CE" w14:textId="77777777">
      <w:pPr>
        <w:pStyle w:val="FootnoteText"/>
        <w:rPr>
          <w:b/>
          <w:bCs/>
        </w:rPr>
      </w:pPr>
      <w:r w:rsidRPr="00647AC8">
        <w:rPr>
          <w:rStyle w:val="FootnoteReference"/>
        </w:rPr>
        <w:footnoteRef/>
      </w:r>
      <w:r w:rsidRPr="000969E2">
        <w:t xml:space="preserve"> Local Resellers fall into another U.S. Census Bureau industry (Telecommunications Resellers) and therefore data for these providers is not included in this industry.  </w:t>
      </w:r>
    </w:p>
  </w:footnote>
  <w:footnote w:id="187">
    <w:p w:rsidR="00203CCB" w:rsidRPr="000969E2" w:rsidP="00203CCB" w14:paraId="61F0B61D" w14:textId="77777777">
      <w:pPr>
        <w:pStyle w:val="FootnoteText"/>
      </w:pPr>
      <w:r w:rsidRPr="00647AC8">
        <w:rPr>
          <w:rStyle w:val="FootnoteReference"/>
        </w:rPr>
        <w:footnoteRef/>
      </w:r>
      <w:r w:rsidRPr="000969E2">
        <w:t xml:space="preserve"> Affected Entities in this industry include all reporting wireless carriers and service providers.</w:t>
      </w:r>
    </w:p>
  </w:footnote>
  <w:footnote w:id="188">
    <w:p w:rsidR="00203CCB" w:rsidRPr="000969E2" w:rsidP="00203CCB" w14:paraId="6A8767F9" w14:textId="77777777">
      <w:pPr>
        <w:pStyle w:val="FootnoteText"/>
      </w:pPr>
      <w:r w:rsidRPr="00647AC8">
        <w:rPr>
          <w:rStyle w:val="FootnoteReference"/>
        </w:rPr>
        <w:footnoteRef/>
      </w:r>
      <w:r w:rsidRPr="000969E2">
        <w:t xml:space="preserve"> Affected Entities in this industry include Cellular/PCS/SMR - Specialized Mobile Radio Licensees and SMR (Dispatch).</w:t>
      </w:r>
    </w:p>
  </w:footnote>
  <w:footnote w:id="189">
    <w:p w:rsidR="00203CCB" w:rsidRPr="001D0383" w:rsidP="00081A05" w14:paraId="67ACBBCF" w14:textId="77777777">
      <w:pPr>
        <w:pStyle w:val="FootnoteText"/>
      </w:pPr>
      <w:r w:rsidRPr="00DE026A">
        <w:rPr>
          <w:rStyle w:val="FootnoteReference"/>
        </w:rPr>
        <w:footnoteRef/>
      </w:r>
      <w:r w:rsidRPr="001D0383">
        <w:t xml:space="preserve"> </w:t>
      </w:r>
      <w:r w:rsidRPr="00EB7CCD">
        <w:t>Data as of 2024, according to Commission staff review of the BIA Kelsey Inc. Media Access Pro Television Database (BIA) on Aug. 8, 2025.</w:t>
      </w:r>
    </w:p>
  </w:footnote>
  <w:footnote w:id="190">
    <w:p w:rsidR="00203CCB" w:rsidRPr="00D42E07" w:rsidP="00081A05" w14:paraId="68ADD3CE" w14:textId="77777777">
      <w:pPr>
        <w:pStyle w:val="FootnoteText"/>
      </w:pPr>
      <w:r w:rsidRPr="00D42A0C">
        <w:rPr>
          <w:rStyle w:val="FootnoteReference"/>
        </w:rPr>
        <w:footnoteRef/>
      </w:r>
      <w:r w:rsidRPr="00EB7CCD">
        <w:t xml:space="preserve"> </w:t>
      </w:r>
      <w:r w:rsidRPr="00EB7CCD">
        <w:rPr>
          <w:i/>
        </w:rPr>
        <w:t>Id.</w:t>
      </w:r>
    </w:p>
  </w:footnote>
  <w:footnote w:id="191">
    <w:p w:rsidR="00203CCB" w:rsidRPr="005561F8" w:rsidP="00203CCB" w14:paraId="6FA37D58" w14:textId="77777777">
      <w:pPr>
        <w:pStyle w:val="FootnoteText"/>
      </w:pPr>
      <w:r w:rsidRPr="00647AC8">
        <w:rPr>
          <w:rStyle w:val="FootnoteReference"/>
        </w:rPr>
        <w:footnoteRef/>
      </w:r>
      <w:r w:rsidRPr="00D42E07">
        <w:rPr>
          <w:i/>
          <w:iCs/>
        </w:rPr>
        <w:t xml:space="preserve"> </w:t>
      </w:r>
      <w:r w:rsidRPr="007F5821">
        <w:t xml:space="preserve">As of December 31, 2025, </w:t>
      </w:r>
      <w:r w:rsidRPr="00F434EC">
        <w:t>there were 4,342 licensed commercial AM radio stations and 6,589 licensed commercial FM radio stations, for a combined total of 10,931 commercial radio stations.  There were 4,755 licensed noncommercial (NCE) FM radio stations, 1,994 low power FM (LPFM) stations, and 8,867 FM translators and boosters.  Additionally, there were 1,389 licensed commercial television stations, 388 licensed noncommercial educational (NCE) television stations, 397 Class A TV stations, 1,760 LPTV stations and 3,092 TV translator stations</w:t>
      </w:r>
      <w:r>
        <w:t xml:space="preserve">.  </w:t>
      </w:r>
      <w:r w:rsidRPr="007F5821">
        <w:rPr>
          <w:i/>
          <w:iCs/>
        </w:rPr>
        <w:t>Broadcast Station Totals as of December 31, 2025</w:t>
      </w:r>
      <w:r w:rsidRPr="007F5821">
        <w:t>, Public Notice, DA 26-49 (rel. Jan. 13, 2026) (</w:t>
      </w:r>
      <w:r w:rsidRPr="007F5821">
        <w:rPr>
          <w:i/>
          <w:iCs/>
        </w:rPr>
        <w:t>January 2026</w:t>
      </w:r>
      <w:r w:rsidRPr="007F5821">
        <w:t xml:space="preserve"> </w:t>
      </w:r>
      <w:r w:rsidRPr="007F5821">
        <w:rPr>
          <w:i/>
          <w:iCs/>
        </w:rPr>
        <w:t>Broadcast Station Totals PN</w:t>
      </w:r>
      <w:r w:rsidRPr="007F5821">
        <w:t xml:space="preserve">), </w:t>
      </w:r>
      <w:hyperlink r:id="rId20" w:history="1">
        <w:r w:rsidRPr="007F5821">
          <w:rPr>
            <w:rStyle w:val="Hyperlink"/>
          </w:rPr>
          <w:t>https://docs.fcc.gov/public/attachments/DA-26-49A1.pdf</w:t>
        </w:r>
      </w:hyperlink>
      <w:r w:rsidRPr="007F5821">
        <w:rPr>
          <w:rStyle w:val="Hyperlink"/>
        </w:rPr>
        <w:t>.</w:t>
      </w:r>
    </w:p>
  </w:footnote>
  <w:footnote w:id="192">
    <w:p w:rsidR="00203CCB" w:rsidP="00203CCB" w14:paraId="6E0C8E4E" w14:textId="77777777">
      <w:pPr>
        <w:pStyle w:val="FootnoteText"/>
      </w:pPr>
      <w:r>
        <w:rPr>
          <w:rStyle w:val="FootnoteReference"/>
        </w:rPr>
        <w:footnoteRef/>
      </w:r>
      <w:r>
        <w:t xml:space="preserve"> Pursuant to 47 U.S.C. § 543(m)(2) of the </w:t>
      </w:r>
      <w:r w:rsidRPr="009672D6">
        <w:rPr>
          <w:szCs w:val="22"/>
        </w:rPr>
        <w:t xml:space="preserve">Communications Act of 1934, as amended, </w:t>
      </w:r>
      <w:r>
        <w:rPr>
          <w:szCs w:val="22"/>
        </w:rPr>
        <w:t xml:space="preserve">the </w:t>
      </w:r>
      <w:r w:rsidRPr="009672D6">
        <w:rPr>
          <w:szCs w:val="22"/>
        </w:rPr>
        <w:t xml:space="preserve">size standard for a “small cable operator,” </w:t>
      </w:r>
      <w:r>
        <w:rPr>
          <w:szCs w:val="22"/>
        </w:rPr>
        <w:t xml:space="preserve">is </w:t>
      </w:r>
      <w:r w:rsidRPr="009672D6">
        <w:rPr>
          <w:szCs w:val="22"/>
        </w:rPr>
        <w:t xml:space="preserve">a cable operator that, directly or through an affiliate, </w:t>
      </w:r>
      <w:r>
        <w:rPr>
          <w:szCs w:val="22"/>
        </w:rPr>
        <w:t xml:space="preserve">serves </w:t>
      </w:r>
      <w:r w:rsidRPr="009672D6">
        <w:rPr>
          <w:szCs w:val="22"/>
        </w:rPr>
        <w:t xml:space="preserve">in the aggregate fewer than </w:t>
      </w:r>
      <w:r>
        <w:rPr>
          <w:szCs w:val="22"/>
        </w:rPr>
        <w:t xml:space="preserve">1% </w:t>
      </w:r>
      <w:r w:rsidRPr="009672D6">
        <w:rPr>
          <w:szCs w:val="22"/>
        </w:rPr>
        <w:t xml:space="preserve">of all </w:t>
      </w:r>
      <w:r>
        <w:rPr>
          <w:szCs w:val="22"/>
        </w:rPr>
        <w:t xml:space="preserve">U.S. </w:t>
      </w:r>
      <w:r w:rsidRPr="009672D6">
        <w:rPr>
          <w:szCs w:val="22"/>
        </w:rPr>
        <w:t xml:space="preserve">subscribers and </w:t>
      </w:r>
      <w:r>
        <w:rPr>
          <w:szCs w:val="22"/>
        </w:rPr>
        <w:t xml:space="preserve">has </w:t>
      </w:r>
      <w:r w:rsidRPr="009672D6">
        <w:rPr>
          <w:szCs w:val="22"/>
        </w:rPr>
        <w:t>n</w:t>
      </w:r>
      <w:r>
        <w:rPr>
          <w:szCs w:val="22"/>
        </w:rPr>
        <w:t xml:space="preserve">o </w:t>
      </w:r>
      <w:r w:rsidRPr="009672D6">
        <w:rPr>
          <w:szCs w:val="22"/>
        </w:rPr>
        <w:t>affili</w:t>
      </w:r>
      <w:r>
        <w:rPr>
          <w:szCs w:val="22"/>
        </w:rPr>
        <w:t>ation</w:t>
      </w:r>
      <w:r w:rsidRPr="009672D6">
        <w:rPr>
          <w:szCs w:val="22"/>
        </w:rPr>
        <w:t xml:space="preserve"> with entities </w:t>
      </w:r>
      <w:r>
        <w:rPr>
          <w:szCs w:val="22"/>
        </w:rPr>
        <w:t xml:space="preserve">with </w:t>
      </w:r>
      <w:r w:rsidRPr="009672D6">
        <w:rPr>
          <w:szCs w:val="22"/>
        </w:rPr>
        <w:t>gross annual aggregate revenues exceed $250,000,000</w:t>
      </w:r>
      <w:r>
        <w:rPr>
          <w:szCs w:val="22"/>
        </w:rPr>
        <w:t>.</w:t>
      </w:r>
    </w:p>
  </w:footnote>
  <w:footnote w:id="193">
    <w:p w:rsidR="00203CCB" w:rsidP="00203CCB" w14:paraId="72BC318E" w14:textId="77777777">
      <w:pPr>
        <w:pStyle w:val="FootnoteText"/>
      </w:pPr>
      <w:r>
        <w:rPr>
          <w:rStyle w:val="FootnoteReference"/>
        </w:rPr>
        <w:footnoteRef/>
      </w:r>
      <w:r>
        <w:t xml:space="preserve"> </w:t>
      </w:r>
      <w:r w:rsidRPr="001E6C20">
        <w:rPr>
          <w:i/>
          <w:iCs/>
        </w:rPr>
        <w:t xml:space="preserve">FCC Announces </w:t>
      </w:r>
      <w:r>
        <w:rPr>
          <w:i/>
          <w:iCs/>
        </w:rPr>
        <w:t xml:space="preserve">Updated </w:t>
      </w:r>
      <w:r w:rsidRPr="001E6C20">
        <w:rPr>
          <w:i/>
          <w:iCs/>
        </w:rPr>
        <w:t>Subscriber</w:t>
      </w:r>
      <w:r>
        <w:rPr>
          <w:i/>
          <w:iCs/>
        </w:rPr>
        <w:t xml:space="preserve"> Threshold</w:t>
      </w:r>
      <w:r w:rsidRPr="001E6C20">
        <w:rPr>
          <w:i/>
          <w:iCs/>
        </w:rPr>
        <w:t xml:space="preserve"> for the Definition of Small Cable Operator</w:t>
      </w:r>
      <w:r>
        <w:t>,</w:t>
      </w:r>
      <w:r w:rsidRPr="001E6C20">
        <w:t xml:space="preserve"> </w:t>
      </w:r>
      <w:r>
        <w:t>Public Notice, DA 23-906 (MB 2023) (</w:t>
      </w:r>
      <w:r>
        <w:rPr>
          <w:i/>
        </w:rPr>
        <w:t>2023 Subscriber Threshold PN</w:t>
      </w:r>
      <w:r>
        <w:t xml:space="preserve">).  In the Public Notice, the Commission determined </w:t>
      </w:r>
      <w:r w:rsidRPr="00840CE6">
        <w:t xml:space="preserve">that there </w:t>
      </w:r>
      <w:r>
        <w:t>were approximately</w:t>
      </w:r>
      <w:r w:rsidRPr="00840CE6">
        <w:t xml:space="preserve"> </w:t>
      </w:r>
      <w:r>
        <w:t>49.8</w:t>
      </w:r>
      <w:r w:rsidRPr="00840CE6">
        <w:t xml:space="preserve"> million cable subscribers in the United States </w:t>
      </w:r>
      <w:r>
        <w:t xml:space="preserve">at that time </w:t>
      </w:r>
      <w:r w:rsidRPr="00840CE6">
        <w:t>using the most reliable source publicly available</w:t>
      </w:r>
      <w:r>
        <w:t xml:space="preserve">. </w:t>
      </w:r>
      <w:r w:rsidRPr="00D144ED">
        <w:t>This threshold will remain in effect until the Commission issues a superseding Public Notice.</w:t>
      </w:r>
      <w:r>
        <w:t xml:space="preserve">  </w:t>
      </w:r>
      <w:r w:rsidRPr="00DC4301">
        <w:rPr>
          <w:i/>
          <w:iCs/>
        </w:rPr>
        <w:t>See</w:t>
      </w:r>
      <w:r>
        <w:t xml:space="preserve"> </w:t>
      </w:r>
      <w:r w:rsidRPr="00AE638C">
        <w:rPr>
          <w:color w:val="000000"/>
        </w:rPr>
        <w:t>47 CFR § 76.901(</w:t>
      </w:r>
      <w:r>
        <w:rPr>
          <w:color w:val="000000"/>
        </w:rPr>
        <w:t>e</w:t>
      </w:r>
      <w:r w:rsidRPr="00AE638C">
        <w:rPr>
          <w:color w:val="000000"/>
        </w:rPr>
        <w:t>)</w:t>
      </w:r>
      <w:r>
        <w:rPr>
          <w:color w:val="000000"/>
        </w:rPr>
        <w:t>(1)</w:t>
      </w:r>
      <w:r w:rsidRPr="00AE638C">
        <w:rPr>
          <w:color w:val="000000"/>
        </w:rPr>
        <w:t>.</w:t>
      </w:r>
    </w:p>
  </w:footnote>
  <w:footnote w:id="194">
    <w:p w:rsidR="00203CCB" w:rsidP="00203CCB" w14:paraId="38C61217" w14:textId="77777777">
      <w:pPr>
        <w:pStyle w:val="FootnoteText"/>
      </w:pPr>
      <w:r>
        <w:rPr>
          <w:rStyle w:val="FootnoteReference"/>
        </w:rPr>
        <w:footnoteRef/>
      </w:r>
      <w:r>
        <w:t xml:space="preserve"> Based on </w:t>
      </w:r>
      <w:r w:rsidRPr="00D42E07">
        <w:t xml:space="preserve">Commission staff review </w:t>
      </w:r>
      <w:r>
        <w:t>of S&amp;P Global Market Intelligence</w:t>
      </w:r>
      <w:r>
        <w:rPr>
          <w:color w:val="000000"/>
        </w:rPr>
        <w:t xml:space="preserve">, </w:t>
      </w:r>
      <w:r w:rsidRPr="006E45E1">
        <w:rPr>
          <w:color w:val="000000"/>
        </w:rPr>
        <w:t>S&amp;P Capital IQ Pro, U.S.</w:t>
      </w:r>
      <w:r>
        <w:rPr>
          <w:color w:val="000000"/>
        </w:rPr>
        <w:t>,</w:t>
      </w:r>
      <w:r w:rsidRPr="006E45E1">
        <w:rPr>
          <w:color w:val="000000"/>
        </w:rPr>
        <w:t xml:space="preserve"> </w:t>
      </w:r>
      <w:r w:rsidRPr="00E30464">
        <w:rPr>
          <w:i/>
          <w:iCs/>
          <w:color w:val="000000"/>
        </w:rPr>
        <w:t>Broadband &amp; Video Subscribers by Geography</w:t>
      </w:r>
      <w:r w:rsidRPr="00E30464">
        <w:rPr>
          <w:color w:val="000000"/>
        </w:rPr>
        <w:t xml:space="preserve"> </w:t>
      </w:r>
      <w:r w:rsidRPr="00AF7ACE">
        <w:rPr>
          <w:i/>
          <w:iCs/>
          <w:color w:val="000000"/>
        </w:rPr>
        <w:t>Q3</w:t>
      </w:r>
      <w:r>
        <w:rPr>
          <w:i/>
          <w:iCs/>
          <w:color w:val="000000"/>
        </w:rPr>
        <w:t xml:space="preserve">-2025(June </w:t>
      </w:r>
      <w:r w:rsidRPr="00AF7ACE">
        <w:rPr>
          <w:i/>
          <w:iCs/>
          <w:color w:val="000000"/>
        </w:rPr>
        <w:t>2025</w:t>
      </w:r>
      <w:r>
        <w:rPr>
          <w:i/>
          <w:iCs/>
          <w:color w:val="000000"/>
        </w:rPr>
        <w:t>)</w:t>
      </w:r>
      <w:r w:rsidRPr="006E45E1">
        <w:rPr>
          <w:color w:val="000000"/>
        </w:rPr>
        <w:t xml:space="preserve"> </w:t>
      </w:r>
      <w:r>
        <w:rPr>
          <w:color w:val="000000"/>
        </w:rPr>
        <w:t xml:space="preserve">data. </w:t>
      </w:r>
      <w:r w:rsidRPr="006E45E1">
        <w:rPr>
          <w:color w:val="000000"/>
        </w:rPr>
        <w:t xml:space="preserve">(last visited </w:t>
      </w:r>
      <w:r>
        <w:rPr>
          <w:color w:val="000000"/>
        </w:rPr>
        <w:t>Sept. 15, 2025</w:t>
      </w:r>
      <w:r w:rsidRPr="006E45E1">
        <w:rPr>
          <w:color w:val="000000"/>
        </w:rPr>
        <w:t>).</w:t>
      </w:r>
    </w:p>
  </w:footnote>
  <w:footnote w:id="195">
    <w:p w:rsidR="00203CCB" w:rsidRPr="00E30464" w:rsidP="00203CCB" w14:paraId="21B0DFCA" w14:textId="77777777">
      <w:pPr>
        <w:pStyle w:val="FootnoteText"/>
        <w:rPr>
          <w:i/>
          <w:iCs/>
        </w:rPr>
      </w:pPr>
      <w:r>
        <w:rPr>
          <w:rStyle w:val="FootnoteReference"/>
        </w:rPr>
        <w:footnoteRef/>
      </w:r>
      <w:r>
        <w:t xml:space="preserve"> </w:t>
      </w:r>
      <w:r>
        <w:rPr>
          <w:i/>
          <w:iCs/>
        </w:rPr>
        <w:t>Id.</w:t>
      </w:r>
    </w:p>
  </w:footnote>
  <w:footnote w:id="196">
    <w:p w:rsidR="00203CCB" w:rsidP="00203CCB" w14:paraId="1985FD49" w14:textId="77777777">
      <w:pPr>
        <w:pStyle w:val="FootnoteText"/>
      </w:pPr>
      <w:r>
        <w:rPr>
          <w:rStyle w:val="FootnoteReference"/>
        </w:rPr>
        <w:footnoteRef/>
      </w:r>
      <w:r>
        <w:t xml:space="preserve"> </w:t>
      </w:r>
      <w:r w:rsidRPr="00AE638C">
        <w:rPr>
          <w:color w:val="000000"/>
        </w:rPr>
        <w:t>47 CFR § 76.901(</w:t>
      </w:r>
      <w:r>
        <w:rPr>
          <w:color w:val="000000"/>
        </w:rPr>
        <w:t>d</w:t>
      </w:r>
      <w:r w:rsidRPr="00AE638C">
        <w:rPr>
          <w:color w:val="000000"/>
        </w:rPr>
        <w:t xml:space="preserve">).  </w:t>
      </w:r>
    </w:p>
  </w:footnote>
  <w:footnote w:id="197">
    <w:p w:rsidR="00203CCB" w:rsidRPr="00AE638C" w:rsidP="00203CCB" w14:paraId="44529623" w14:textId="77777777">
      <w:pPr>
        <w:pStyle w:val="FootnoteText"/>
        <w:rPr>
          <w:color w:val="000000"/>
        </w:rPr>
      </w:pPr>
      <w:r w:rsidRPr="00647AC8">
        <w:rPr>
          <w:rStyle w:val="FootnoteReference"/>
          <w:color w:val="000000"/>
        </w:rPr>
        <w:footnoteRef/>
      </w:r>
      <w:r>
        <w:rPr>
          <w:color w:val="000000"/>
        </w:rPr>
        <w:t xml:space="preserve"> </w:t>
      </w:r>
      <w:r>
        <w:rPr>
          <w:i/>
          <w:iCs/>
          <w:color w:val="000000"/>
        </w:rPr>
        <w:t>Id</w:t>
      </w:r>
      <w:r w:rsidRPr="00AE638C">
        <w:rPr>
          <w:color w:val="000000"/>
        </w:rPr>
        <w:t xml:space="preserve">.  </w:t>
      </w:r>
    </w:p>
  </w:footnote>
  <w:footnote w:id="198">
    <w:p w:rsidR="00203CCB" w:rsidP="00203CCB" w14:paraId="2F569488" w14:textId="77777777">
      <w:pPr>
        <w:pStyle w:val="FootnoteText"/>
      </w:pPr>
      <w:r>
        <w:rPr>
          <w:rStyle w:val="FootnoteReference"/>
        </w:rPr>
        <w:footnoteRef/>
      </w:r>
      <w:r>
        <w:t xml:space="preserve"> Based on </w:t>
      </w:r>
      <w:r w:rsidRPr="00D42E07">
        <w:t xml:space="preserve">Commission staff review </w:t>
      </w:r>
      <w:r>
        <w:t>of S&amp;P Global Market Intelligence</w:t>
      </w:r>
      <w:r>
        <w:rPr>
          <w:color w:val="000000"/>
        </w:rPr>
        <w:t xml:space="preserve">, </w:t>
      </w:r>
      <w:r w:rsidRPr="006E45E1">
        <w:rPr>
          <w:color w:val="000000"/>
        </w:rPr>
        <w:t>S&amp;P Capital IQ Pro, U.S.</w:t>
      </w:r>
      <w:r>
        <w:rPr>
          <w:color w:val="000000"/>
        </w:rPr>
        <w:t>,</w:t>
      </w:r>
      <w:r w:rsidRPr="006E45E1">
        <w:rPr>
          <w:color w:val="000000"/>
        </w:rPr>
        <w:t xml:space="preserve"> </w:t>
      </w:r>
      <w:r w:rsidRPr="00E30464">
        <w:rPr>
          <w:i/>
          <w:iCs/>
          <w:color w:val="000000"/>
        </w:rPr>
        <w:t>Broadband &amp; Video Subscribers by Geography</w:t>
      </w:r>
      <w:r w:rsidRPr="00E30464">
        <w:rPr>
          <w:color w:val="000000"/>
        </w:rPr>
        <w:t xml:space="preserve"> </w:t>
      </w:r>
      <w:r w:rsidRPr="00AF7ACE">
        <w:rPr>
          <w:i/>
          <w:iCs/>
          <w:color w:val="000000"/>
        </w:rPr>
        <w:t>Q3</w:t>
      </w:r>
      <w:r>
        <w:rPr>
          <w:i/>
          <w:iCs/>
          <w:color w:val="000000"/>
        </w:rPr>
        <w:t xml:space="preserve">-2025(June </w:t>
      </w:r>
      <w:r w:rsidRPr="00AF7ACE">
        <w:rPr>
          <w:i/>
          <w:iCs/>
          <w:color w:val="000000"/>
        </w:rPr>
        <w:t>2025</w:t>
      </w:r>
      <w:r>
        <w:rPr>
          <w:i/>
          <w:iCs/>
          <w:color w:val="000000"/>
        </w:rPr>
        <w:t>)</w:t>
      </w:r>
      <w:r w:rsidRPr="006E45E1">
        <w:rPr>
          <w:color w:val="000000"/>
        </w:rPr>
        <w:t xml:space="preserve"> </w:t>
      </w:r>
      <w:r>
        <w:rPr>
          <w:color w:val="000000"/>
        </w:rPr>
        <w:t xml:space="preserve">data. </w:t>
      </w:r>
      <w:r w:rsidRPr="006E45E1">
        <w:rPr>
          <w:color w:val="000000"/>
        </w:rPr>
        <w:t xml:space="preserve">(last visited </w:t>
      </w:r>
      <w:r>
        <w:rPr>
          <w:color w:val="000000"/>
        </w:rPr>
        <w:t>Sept. 15, 2025</w:t>
      </w:r>
      <w:r w:rsidRPr="006E45E1">
        <w:rPr>
          <w:color w:val="000000"/>
        </w:rPr>
        <w:t>).</w:t>
      </w:r>
    </w:p>
  </w:footnote>
  <w:footnote w:id="199">
    <w:p w:rsidR="00203CCB" w:rsidRPr="00E30464" w:rsidP="00203CCB" w14:paraId="278CFAC0" w14:textId="77777777">
      <w:pPr>
        <w:pStyle w:val="FootnoteText"/>
        <w:rPr>
          <w:i/>
          <w:iCs/>
        </w:rPr>
      </w:pPr>
      <w:r>
        <w:rPr>
          <w:rStyle w:val="FootnoteReference"/>
        </w:rPr>
        <w:footnoteRef/>
      </w:r>
      <w:r>
        <w:t xml:space="preserve"> </w:t>
      </w:r>
      <w:r>
        <w:rPr>
          <w:i/>
          <w:iCs/>
        </w:rPr>
        <w:t>Id.</w:t>
      </w:r>
    </w:p>
  </w:footnote>
  <w:footnote w:id="200">
    <w:p w:rsidR="00203CCB" w:rsidP="00203CCB" w14:paraId="667C6D51" w14:textId="77777777">
      <w:pPr>
        <w:pStyle w:val="FootnoteText"/>
      </w:pPr>
      <w:r w:rsidRPr="00647AC8">
        <w:rPr>
          <w:rStyle w:val="FootnoteReference"/>
        </w:rPr>
        <w:footnoteRef/>
      </w:r>
      <w:r>
        <w:t xml:space="preserve"> 47 CFR § 76.901(c).  </w:t>
      </w:r>
    </w:p>
  </w:footnote>
  <w:footnote w:id="201">
    <w:p w:rsidR="00203CCB" w:rsidP="00203CCB" w14:paraId="4E7AA6E6" w14:textId="77777777">
      <w:pPr>
        <w:pStyle w:val="FootnoteText"/>
      </w:pPr>
      <w:r w:rsidRPr="00647AC8">
        <w:rPr>
          <w:rStyle w:val="FootnoteReference"/>
        </w:rPr>
        <w:footnoteRef/>
      </w:r>
      <w:r>
        <w:t xml:space="preserve"> Based on </w:t>
      </w:r>
      <w:r w:rsidRPr="00D42E07">
        <w:t xml:space="preserve">Commission staff review </w:t>
      </w:r>
      <w:r>
        <w:t>of S&amp;P Global Market Intelligence</w:t>
      </w:r>
      <w:r>
        <w:rPr>
          <w:color w:val="000000"/>
        </w:rPr>
        <w:t xml:space="preserve">, </w:t>
      </w:r>
      <w:r w:rsidRPr="006E45E1">
        <w:rPr>
          <w:color w:val="000000"/>
        </w:rPr>
        <w:t xml:space="preserve">S&amp;P Capital IQ Pro, U.S. </w:t>
      </w:r>
      <w:r w:rsidRPr="006E45E1">
        <w:rPr>
          <w:color w:val="000000"/>
        </w:rPr>
        <w:t>MediaCensus</w:t>
      </w:r>
      <w:r>
        <w:rPr>
          <w:color w:val="000000"/>
        </w:rPr>
        <w:t>DW</w:t>
      </w:r>
      <w:r w:rsidRPr="006E45E1">
        <w:rPr>
          <w:color w:val="000000"/>
        </w:rPr>
        <w:t xml:space="preserve">, </w:t>
      </w:r>
      <w:r w:rsidRPr="006E45E1">
        <w:rPr>
          <w:i/>
          <w:iCs/>
          <w:color w:val="000000"/>
        </w:rPr>
        <w:t>Operator Subscribers by Geography</w:t>
      </w:r>
      <w:r w:rsidRPr="006E45E1">
        <w:rPr>
          <w:color w:val="000000"/>
        </w:rPr>
        <w:t xml:space="preserve"> </w:t>
      </w:r>
      <w:r w:rsidRPr="00AF7ACE">
        <w:rPr>
          <w:i/>
          <w:iCs/>
          <w:color w:val="000000"/>
        </w:rPr>
        <w:t>Q3</w:t>
      </w:r>
      <w:r>
        <w:rPr>
          <w:i/>
          <w:iCs/>
          <w:color w:val="000000"/>
        </w:rPr>
        <w:t xml:space="preserve">-2025(June </w:t>
      </w:r>
      <w:r w:rsidRPr="00AF7ACE">
        <w:rPr>
          <w:i/>
          <w:iCs/>
          <w:color w:val="000000"/>
        </w:rPr>
        <w:t>2025</w:t>
      </w:r>
      <w:r>
        <w:rPr>
          <w:i/>
          <w:iCs/>
          <w:color w:val="000000"/>
        </w:rPr>
        <w:t xml:space="preserve">) </w:t>
      </w:r>
      <w:r>
        <w:rPr>
          <w:color w:val="000000"/>
        </w:rPr>
        <w:t xml:space="preserve">data. </w:t>
      </w:r>
      <w:r w:rsidRPr="000B2A67">
        <w:rPr>
          <w:color w:val="000000"/>
        </w:rPr>
        <w:t>(l</w:t>
      </w:r>
      <w:r w:rsidRPr="006E45E1">
        <w:rPr>
          <w:color w:val="000000"/>
        </w:rPr>
        <w:t>ast visited</w:t>
      </w:r>
      <w:r w:rsidRPr="00AF7ACE">
        <w:rPr>
          <w:color w:val="000000"/>
        </w:rPr>
        <w:t xml:space="preserve"> </w:t>
      </w:r>
      <w:r>
        <w:rPr>
          <w:color w:val="000000"/>
        </w:rPr>
        <w:t>Sept. 15, 2025</w:t>
      </w:r>
      <w:r w:rsidRPr="006E45E1">
        <w:rPr>
          <w:color w:val="000000"/>
        </w:rPr>
        <w:t>).</w:t>
      </w:r>
    </w:p>
  </w:footnote>
  <w:footnote w:id="202">
    <w:p w:rsidR="00203CCB" w:rsidRPr="00AD6739" w:rsidP="00203CCB" w14:paraId="5261A3AA" w14:textId="77777777">
      <w:pPr>
        <w:pStyle w:val="FootnoteText"/>
        <w:rPr>
          <w:i/>
          <w:iCs/>
        </w:rPr>
      </w:pPr>
      <w:r w:rsidRPr="00647AC8">
        <w:rPr>
          <w:rStyle w:val="FootnoteReference"/>
        </w:rPr>
        <w:footnoteRef/>
      </w:r>
      <w:r>
        <w:t xml:space="preserve"> </w:t>
      </w:r>
      <w:r w:rsidRPr="00AD6739">
        <w:rPr>
          <w:i/>
          <w:iCs/>
        </w:rPr>
        <w:t>Id.</w:t>
      </w:r>
    </w:p>
  </w:footnote>
  <w:footnote w:id="203">
    <w:p w:rsidR="00203CCB" w:rsidRPr="00071E18" w:rsidP="00203CCB" w14:paraId="06D08FFF" w14:textId="77777777">
      <w:pPr>
        <w:pStyle w:val="FootnoteText"/>
      </w:pPr>
      <w:r w:rsidRPr="00071E18">
        <w:rPr>
          <w:rStyle w:val="FootnoteReference"/>
        </w:rPr>
        <w:footnoteRef/>
      </w:r>
      <w:r w:rsidRPr="00071E18">
        <w:t xml:space="preserve"> </w:t>
      </w:r>
      <w:r w:rsidRPr="00071E18">
        <w:rPr>
          <w:szCs w:val="22"/>
        </w:rPr>
        <w:t xml:space="preserve">5 U.S.C. </w:t>
      </w:r>
      <w:r w:rsidRPr="00071E18">
        <w:t xml:space="preserve">§ 604(a)(5). </w:t>
      </w:r>
    </w:p>
  </w:footnote>
  <w:footnote w:id="204">
    <w:p w:rsidR="00203CCB" w:rsidRPr="00143CB1" w:rsidP="00203CCB" w14:paraId="0A30D7F2" w14:textId="77777777">
      <w:pPr>
        <w:pStyle w:val="FootnoteText"/>
      </w:pPr>
      <w:r w:rsidRPr="00143CB1">
        <w:rPr>
          <w:rStyle w:val="FootnoteReference"/>
        </w:rPr>
        <w:footnoteRef/>
      </w:r>
      <w:r w:rsidRPr="00143CB1">
        <w:t xml:space="preserve"> </w:t>
      </w:r>
      <w:r>
        <w:t>The Commission</w:t>
      </w:r>
      <w:r w:rsidRPr="00143CB1">
        <w:t xml:space="preserve"> estimate</w:t>
      </w:r>
      <w:r>
        <w:t>s</w:t>
      </w:r>
      <w:r w:rsidRPr="00143CB1">
        <w:t xml:space="preserve"> cost saving</w:t>
      </w:r>
      <w:r>
        <w:t>s</w:t>
      </w:r>
      <w:r w:rsidRPr="00143CB1">
        <w:t xml:space="preserve"> from streamlining DIRS reporting with a (20% cost reduction) × 1 office and administrative support worker × ($35.22 hourly compensation) × [(10/60) hours for the initial entry + (10/60) hours for daily updates × 1</w:t>
      </w:r>
      <w:r>
        <w:t>4</w:t>
      </w:r>
      <w:r w:rsidRPr="00143CB1">
        <w:t xml:space="preserve"> days] × 3</w:t>
      </w:r>
      <w:r>
        <w:t>39</w:t>
      </w:r>
      <w:r w:rsidRPr="00143CB1">
        <w:t xml:space="preserve"> counties × 18 facilities-based service providers = </w:t>
      </w:r>
      <w:r w:rsidRPr="006074C2">
        <w:t>$</w:t>
      </w:r>
      <w:r>
        <w:t>107,456</w:t>
      </w:r>
      <w:r w:rsidRPr="00143CB1">
        <w:t xml:space="preserve">.  </w:t>
      </w:r>
      <w:r>
        <w:t>Further, (</w:t>
      </w:r>
      <w:r w:rsidRPr="004E0998">
        <w:t>$107,456 / (339 x 18)</w:t>
      </w:r>
      <w:r>
        <w:t>)</w:t>
      </w:r>
      <w:r w:rsidRPr="004E0998">
        <w:t xml:space="preserve"> </w:t>
      </w:r>
      <w:r>
        <w:t xml:space="preserve">= </w:t>
      </w:r>
      <w:r w:rsidRPr="004E0998">
        <w:t>$</w:t>
      </w:r>
      <w:r>
        <w:t>17</w:t>
      </w:r>
      <w:r w:rsidRPr="004E0998">
        <w:t>.</w:t>
      </w:r>
      <w:r>
        <w:t>61 per provider per county per year.  The Commission</w:t>
      </w:r>
      <w:r w:rsidRPr="00143CB1">
        <w:t xml:space="preserve"> estimate</w:t>
      </w:r>
      <w:r>
        <w:t>s</w:t>
      </w:r>
      <w:r w:rsidRPr="00143CB1">
        <w:t xml:space="preserve"> a $</w:t>
      </w:r>
      <w:r>
        <w:t>35,819</w:t>
      </w:r>
      <w:r w:rsidRPr="00143CB1">
        <w:t xml:space="preserve"> cost saving from eliminating the final reporting requirement as 1 office and administrative support worker × ($35.22 hourly compensation) × (10/60) hours for the final report entry × 3</w:t>
      </w:r>
      <w:r>
        <w:t>39</w:t>
      </w:r>
      <w:r w:rsidRPr="00143CB1">
        <w:t xml:space="preserve"> counties × 18 facilities-based service providers = </w:t>
      </w:r>
      <w:r w:rsidRPr="006074C2">
        <w:t>$</w:t>
      </w:r>
      <w:r>
        <w:t>35,819</w:t>
      </w:r>
      <w:r w:rsidRPr="00143CB1">
        <w:t xml:space="preserve">.  </w:t>
      </w:r>
      <w:r>
        <w:t>Further, (</w:t>
      </w:r>
      <w:r w:rsidRPr="004E0998">
        <w:t>$35,819 / (339 x 18)</w:t>
      </w:r>
      <w:r>
        <w:t>)</w:t>
      </w:r>
      <w:r w:rsidRPr="004E0998">
        <w:t xml:space="preserve"> </w:t>
      </w:r>
      <w:r>
        <w:t xml:space="preserve">= </w:t>
      </w:r>
      <w:r w:rsidRPr="004E0998">
        <w:t>$</w:t>
      </w:r>
      <w:r>
        <w:t>5</w:t>
      </w:r>
      <w:r w:rsidRPr="004E0998">
        <w:t>.</w:t>
      </w:r>
      <w:r>
        <w:t xml:space="preserve">87 per provider per county per year.  </w:t>
      </w:r>
      <w:r w:rsidRPr="006074C2">
        <w:t>The aggregate cost saving is</w:t>
      </w:r>
      <w:r>
        <w:t>($17.61+5.87) = $23.48 per provider per county year</w:t>
      </w:r>
      <w:r w:rsidRPr="00143CB1">
        <w:t xml:space="preserve">.  </w:t>
      </w:r>
      <w:r>
        <w:t>Small and other filers in DIRS will realize these cost savings on an annually recurring basis; therefore, these savings will exceed the one-time implementation costs associated with these changes.</w:t>
      </w:r>
    </w:p>
    <w:p w:rsidR="00203CCB" w:rsidRPr="00143CB1" w:rsidP="00203CCB" w14:paraId="0ED91C22" w14:textId="77777777">
      <w:pPr>
        <w:pStyle w:val="FootnoteText"/>
      </w:pPr>
      <w:r>
        <w:t>T</w:t>
      </w:r>
      <w:r w:rsidRPr="00143CB1">
        <w:t>he most recent available data suggest</w:t>
      </w:r>
      <w:r>
        <w:t>s</w:t>
      </w:r>
      <w:r w:rsidRPr="00143CB1">
        <w:t xml:space="preserve"> a base hourly wage for an office and administrative support worker of $24.12/hour.  </w:t>
      </w:r>
      <w:r w:rsidRPr="00143CB1">
        <w:rPr>
          <w:i/>
          <w:iCs/>
        </w:rPr>
        <w:t>See</w:t>
      </w:r>
      <w:r w:rsidRPr="00143CB1">
        <w:t xml:space="preserve"> Bureau of Labor Statistics (BLS), </w:t>
      </w:r>
      <w:r w:rsidRPr="00143CB1">
        <w:rPr>
          <w:i/>
          <w:iCs/>
        </w:rPr>
        <w:t>Occupational Employment and Wage Statistics, Occupational Employment and Wages</w:t>
      </w:r>
      <w:r w:rsidRPr="00143CB1">
        <w:t xml:space="preserve"> (May 2024), </w:t>
      </w:r>
      <w:hyperlink r:id="rId12" w:history="1">
        <w:r w:rsidRPr="002432DF">
          <w:rPr>
            <w:rStyle w:val="Hyperlink"/>
          </w:rPr>
          <w:t>https://www.bls.gov/oes/tables.htm</w:t>
        </w:r>
      </w:hyperlink>
      <w:r w:rsidRPr="00143CB1">
        <w:t xml:space="preserve"> (navigate to “May 2024,” “National,” then “Office and Administrative Support Occupations (43-0000),” </w:t>
      </w:r>
      <w:r>
        <w:t>stating</w:t>
      </w:r>
      <w:r w:rsidRPr="00143CB1">
        <w:t xml:space="preserve"> that the mean hourly wage for an office and administrative support occupation worker is $24.12/hour in May 2024, which is the most recent data available).  </w:t>
      </w:r>
      <w:r>
        <w:t>The Commission</w:t>
      </w:r>
      <w:r w:rsidRPr="00143CB1">
        <w:t xml:space="preserve"> calculate</w:t>
      </w:r>
      <w:r>
        <w:t>s</w:t>
      </w:r>
      <w:r w:rsidRPr="00143CB1">
        <w:t xml:space="preserve"> the applicable benefits markup by using Bureau of Labor Statistics data, as</w:t>
      </w:r>
      <w:r w:rsidRPr="00143CB1">
        <w:rPr>
          <w:color w:val="000000"/>
        </w:rPr>
        <w:t xml:space="preserve"> of December 2025, where civilian wages and salaries averaged $33.45/hour and benefits averaged $15.33/hour.  Using these figures, </w:t>
      </w:r>
      <w:r>
        <w:rPr>
          <w:color w:val="000000"/>
        </w:rPr>
        <w:t>the Commission</w:t>
      </w:r>
      <w:r w:rsidRPr="00143CB1">
        <w:rPr>
          <w:color w:val="000000"/>
        </w:rPr>
        <w:t xml:space="preserve"> calculate</w:t>
      </w:r>
      <w:r>
        <w:rPr>
          <w:color w:val="000000"/>
        </w:rPr>
        <w:t>s</w:t>
      </w:r>
      <w:r w:rsidRPr="00143CB1">
        <w:rPr>
          <w:color w:val="000000"/>
        </w:rPr>
        <w:t xml:space="preserve"> that benefits constituted a markup of $15.33/3</w:t>
      </w:r>
      <w:r>
        <w:rPr>
          <w:color w:val="000000"/>
        </w:rPr>
        <w:t>3</w:t>
      </w:r>
      <w:r w:rsidRPr="00143CB1">
        <w:rPr>
          <w:color w:val="000000"/>
        </w:rPr>
        <w:t>.45 ~ 46%.</w:t>
      </w:r>
      <w:r w:rsidRPr="00143CB1">
        <w:t xml:space="preserve"> </w:t>
      </w:r>
      <w:r>
        <w:t xml:space="preserve"> </w:t>
      </w:r>
      <w:r w:rsidRPr="00143CB1">
        <w:t>Taking 46% for cost of benefits ($11.10/hour)</w:t>
      </w:r>
      <w:r>
        <w:t xml:space="preserve"> results in</w:t>
      </w:r>
      <w:r w:rsidRPr="00143CB1">
        <w:t xml:space="preserve"> an hourly compensation of $35.22/hour ($24.12/hour + $11.10/hour).  </w:t>
      </w:r>
      <w:r w:rsidRPr="00143CB1">
        <w:rPr>
          <w:i/>
          <w:iCs/>
          <w:color w:val="000000"/>
        </w:rPr>
        <w:t xml:space="preserve">See </w:t>
      </w:r>
      <w:r w:rsidRPr="00143CB1">
        <w:rPr>
          <w:color w:val="000000"/>
        </w:rPr>
        <w:t xml:space="preserve">Press Release, Bureau of Labor Statistics, Employer Costs for Employee Compensation—December 2025 (Mar. 20, 2026), </w:t>
      </w:r>
      <w:hyperlink r:id="rId13" w:history="1">
        <w:r w:rsidRPr="00143CB1">
          <w:rPr>
            <w:rStyle w:val="Hyperlink"/>
          </w:rPr>
          <w:t>https://www.bls.gov/news.release/pdf/ecec.pdf</w:t>
        </w:r>
      </w:hyperlink>
      <w:r w:rsidRPr="00143CB1">
        <w:t xml:space="preserve"> (</w:t>
      </w:r>
      <w:r w:rsidRPr="00143CB1">
        <w:rPr>
          <w:i/>
          <w:iCs/>
        </w:rPr>
        <w:t>Benefit Markup</w:t>
      </w:r>
      <w:r w:rsidRPr="00143CB1">
        <w:t>)</w:t>
      </w:r>
      <w:r w:rsidRPr="00143CB1">
        <w:rPr>
          <w:color w:val="000000"/>
        </w:rPr>
        <w:t xml:space="preserve">.  </w:t>
      </w:r>
    </w:p>
  </w:footnote>
  <w:footnote w:id="205">
    <w:p w:rsidR="00203CCB" w:rsidRPr="00143CB1" w:rsidP="00203CCB" w14:paraId="3A190730" w14:textId="77777777">
      <w:pPr>
        <w:pStyle w:val="FootnoteText"/>
      </w:pPr>
      <w:r w:rsidRPr="00143CB1">
        <w:rPr>
          <w:rStyle w:val="FootnoteReference"/>
        </w:rPr>
        <w:footnoteRef/>
      </w:r>
      <w:r w:rsidRPr="00143CB1">
        <w:t xml:space="preserve"> </w:t>
      </w:r>
      <w:r>
        <w:t>T</w:t>
      </w:r>
      <w:r w:rsidRPr="00143CB1">
        <w:t>he most recent available data suggest</w:t>
      </w:r>
      <w:r>
        <w:t>s</w:t>
      </w:r>
      <w:r w:rsidRPr="00143CB1">
        <w:t xml:space="preserve"> a base hourly wage for </w:t>
      </w:r>
      <w:r>
        <w:t xml:space="preserve">a database administrator of </w:t>
      </w:r>
      <w:r w:rsidRPr="00143CB1">
        <w:t>$51.65</w:t>
      </w:r>
      <w:r>
        <w:t xml:space="preserve">/hour.  </w:t>
      </w:r>
      <w:r>
        <w:rPr>
          <w:i/>
          <w:iCs/>
        </w:rPr>
        <w:t xml:space="preserve">See </w:t>
      </w:r>
      <w:r w:rsidRPr="00143CB1">
        <w:t xml:space="preserve">BLS, </w:t>
      </w:r>
      <w:r w:rsidRPr="00143CB1">
        <w:rPr>
          <w:i/>
          <w:iCs/>
        </w:rPr>
        <w:t>Occupational Employment and Wage Statistics, Occupational Employment and Wages</w:t>
      </w:r>
      <w:r w:rsidRPr="00143CB1">
        <w:t xml:space="preserve"> (May 2024), </w:t>
      </w:r>
      <w:hyperlink r:id="rId12" w:history="1">
        <w:r w:rsidRPr="00143CB1">
          <w:rPr>
            <w:rStyle w:val="Hyperlink"/>
          </w:rPr>
          <w:t>https://www.bls.gov/oes/tables.htm</w:t>
        </w:r>
      </w:hyperlink>
      <w:r w:rsidRPr="00143CB1">
        <w:t xml:space="preserve"> (navigate to “May 2024”, “National”, then “Database Administrators (15-1242)”, </w:t>
      </w:r>
      <w:r>
        <w:t>stating</w:t>
      </w:r>
      <w:r w:rsidRPr="00143CB1">
        <w:t xml:space="preserve"> that the mean hourly wage for a Database Administrator is $51.65/hour in May 2024).  Taking 46% for cost of benefits ($23.76/hour)</w:t>
      </w:r>
      <w:r>
        <w:t xml:space="preserve"> results in</w:t>
      </w:r>
      <w:r w:rsidRPr="00143CB1">
        <w:t xml:space="preserve"> an hourly compensation of $75.41/hour (</w:t>
      </w:r>
      <w:r>
        <w:t xml:space="preserve">which equals </w:t>
      </w:r>
      <w:r w:rsidRPr="00143CB1">
        <w:t xml:space="preserve">$51.65/hour </w:t>
      </w:r>
      <w:r>
        <w:t>plus</w:t>
      </w:r>
      <w:r w:rsidRPr="00143CB1">
        <w:t xml:space="preserve"> $23.76/hour</w:t>
      </w:r>
      <w:r>
        <w:t xml:space="preserve"> using our methodology for benefits markup)</w:t>
      </w:r>
      <w:r w:rsidRPr="00143CB1">
        <w:t xml:space="preserve">.  </w:t>
      </w:r>
      <w:r>
        <w:t xml:space="preserve">The Commission estimates that reconfiguring these systems will require one hour per provider.  To the extent some small entities may find it more cost-effective to file manually rather than to update their batch filing capabilities, then these providers would not incur these one-time implementation costs.        </w:t>
      </w:r>
    </w:p>
  </w:footnote>
  <w:footnote w:id="206">
    <w:p w:rsidR="00203CCB" w:rsidRPr="00143CB1" w:rsidP="00203CCB" w14:paraId="6D35972C" w14:textId="77777777">
      <w:pPr>
        <w:pStyle w:val="FootnoteText"/>
      </w:pPr>
      <w:r w:rsidRPr="00143CB1">
        <w:rPr>
          <w:rStyle w:val="FootnoteReference"/>
        </w:rPr>
        <w:footnoteRef/>
      </w:r>
      <w:r w:rsidRPr="00143CB1">
        <w:t xml:space="preserve"> </w:t>
      </w:r>
      <w:r w:rsidRPr="0061455F">
        <w:t>1 office and administrative support worker × ($35.</w:t>
      </w:r>
      <w:r>
        <w:t>22</w:t>
      </w:r>
      <w:r w:rsidRPr="0061455F">
        <w:t xml:space="preserve"> hourly compensation) × [(10/60) hours for the initial entry + (10/60) hours for daily updates × 14 days</w:t>
      </w:r>
      <w:r>
        <w:t xml:space="preserve"> + (10/60) </w:t>
      </w:r>
      <w:r w:rsidRPr="006074C2">
        <w:t>hours for the final report entry</w:t>
      </w:r>
      <w:r w:rsidRPr="0061455F">
        <w:t xml:space="preserve">] × 339 counties × </w:t>
      </w:r>
      <w:r>
        <w:t>(82 MVNOs</w:t>
      </w:r>
      <w:r w:rsidRPr="0061455F">
        <w:t xml:space="preserve"> </w:t>
      </w:r>
      <w:r>
        <w:t>+ 41 resellers)</w:t>
      </w:r>
      <w:r w:rsidRPr="0061455F">
        <w:t xml:space="preserve"> = $</w:t>
      </w:r>
      <w:r>
        <w:t>3,916,182, which rounds to $3.9 million</w:t>
      </w:r>
      <w:r w:rsidRPr="00143CB1">
        <w:t xml:space="preserve">. </w:t>
      </w:r>
      <w:r>
        <w:t>Further, $</w:t>
      </w:r>
      <w:r w:rsidRPr="00346BD8">
        <w:t xml:space="preserve">3,916,182 / </w:t>
      </w:r>
      <w:r>
        <w:t>(</w:t>
      </w:r>
      <w:r w:rsidRPr="0061455F">
        <w:t xml:space="preserve">339 counties × </w:t>
      </w:r>
      <w:r>
        <w:t>(82 MVNOs</w:t>
      </w:r>
      <w:r w:rsidRPr="0061455F">
        <w:t xml:space="preserve"> </w:t>
      </w:r>
      <w:r>
        <w:t xml:space="preserve">+ 41 resellers)) = </w:t>
      </w:r>
      <w:r w:rsidRPr="007A5FD8">
        <w:t>$93.92</w:t>
      </w:r>
      <w:r>
        <w:t xml:space="preserve"> per MVNO/reseller per county per year.</w:t>
      </w:r>
    </w:p>
  </w:footnote>
  <w:footnote w:id="207">
    <w:p w:rsidR="00203CCB" w:rsidRPr="00096295" w:rsidP="00203CCB" w14:paraId="3BF571EA" w14:textId="77777777">
      <w:pPr>
        <w:pStyle w:val="FootnoteText"/>
      </w:pPr>
      <w:r w:rsidRPr="00096295">
        <w:rPr>
          <w:rStyle w:val="FootnoteReference"/>
        </w:rPr>
        <w:footnoteRef/>
      </w:r>
      <w:r w:rsidRPr="00096295">
        <w:t xml:space="preserve"> </w:t>
      </w:r>
      <w:r w:rsidRPr="00F97630">
        <w:t xml:space="preserve">5 U.S.C. § 604(a)(6).  </w:t>
      </w:r>
    </w:p>
  </w:footnote>
  <w:footnote w:id="208">
    <w:p w:rsidR="00203CCB" w:rsidRPr="00096295" w:rsidP="00203CCB" w14:paraId="521FEC75" w14:textId="77777777">
      <w:pPr>
        <w:pStyle w:val="FootnoteText"/>
      </w:pPr>
      <w:r w:rsidRPr="00096295">
        <w:rPr>
          <w:rStyle w:val="FootnoteReference"/>
        </w:rPr>
        <w:footnoteRef/>
      </w:r>
      <w:r w:rsidRPr="00096295">
        <w:t xml:space="preserve"> </w:t>
      </w:r>
      <w:r w:rsidRPr="00F97630">
        <w:t xml:space="preserve">5 U.S.C. § 801(a)(1)(A).  </w:t>
      </w:r>
    </w:p>
  </w:footnote>
  <w:footnote w:id="209">
    <w:p w:rsidR="00203CCB" w:rsidRPr="00096295" w:rsidP="00203CCB" w14:paraId="2DBF252A" w14:textId="77777777">
      <w:pPr>
        <w:pStyle w:val="FootnoteText"/>
      </w:pPr>
      <w:r w:rsidRPr="00096295">
        <w:rPr>
          <w:rStyle w:val="FootnoteReference"/>
        </w:rPr>
        <w:footnoteRef/>
      </w:r>
      <w:r w:rsidRPr="00096295">
        <w:t xml:space="preserve"> </w:t>
      </w:r>
      <w:r w:rsidRPr="00F97630">
        <w:rPr>
          <w:i/>
          <w:iCs/>
        </w:rPr>
        <w:t>Id</w:t>
      </w:r>
      <w:r w:rsidRPr="00F97630">
        <w:t xml:space="preserve">. § 604(b).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810B6F" w14:paraId="19017BE0" w14:textId="7BCC31A7">
    <w:pPr>
      <w:pStyle w:val="Header"/>
      <w:rPr>
        <w:b w:val="0"/>
      </w:rPr>
    </w:pPr>
    <w:r>
      <w:tab/>
      <w:t>Federal Communications Commission</w:t>
    </w:r>
    <w:r>
      <w:tab/>
      <w:t>FCC 26-34</w:t>
    </w:r>
  </w:p>
  <w:p w:rsidR="00203CCB" w:rsidRPr="00DA2F20" w:rsidP="005A20A2" w14:paraId="68F9FC04" w14:textId="6399D358">
    <w:pPr>
      <w:tabs>
        <w:tab w:val="left" w:pos="-720"/>
      </w:tabs>
      <w:suppressAutoHyphens/>
      <w:spacing w:line="19" w:lineRule="exact"/>
      <w:rPr>
        <w:spacing w:val="-2"/>
      </w:rPr>
    </w:pPr>
    <w:r>
      <w:rPr>
        <w:noProof/>
      </w:rPr>
      <mc:AlternateContent>
        <mc:Choice Requires="wps">
          <w:drawing>
            <wp:anchor distT="0" distB="0" distL="114300" distR="114300" simplePos="0" relativeHeight="251662336" behindDoc="1" locked="0" layoutInCell="0" allowOverlap="1">
              <wp:simplePos x="0" y="0"/>
              <wp:positionH relativeFrom="margin">
                <wp:posOffset>0</wp:posOffset>
              </wp:positionH>
              <wp:positionV relativeFrom="paragraph">
                <wp:posOffset>0</wp:posOffset>
              </wp:positionV>
              <wp:extent cx="5943600" cy="12065"/>
              <wp:effectExtent l="0" t="0" r="0" b="0"/>
              <wp:wrapNone/>
              <wp:docPr id="1887603633" name="Rectangle 3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w10:wrap anchorx="margin"/>
            </v:rect>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0E277AB" w14:textId="77B683A4">
    <w:pPr>
      <w:pStyle w:val="Header"/>
      <w:rPr>
        <w:b w:val="0"/>
      </w:rPr>
    </w:pPr>
    <w:r>
      <w:tab/>
      <w:t>Federal Communications Commission</w:t>
    </w:r>
    <w:r>
      <w:tab/>
    </w:r>
    <w:r w:rsidRPr="00A26EF4" w:rsidR="00081A05">
      <w:rPr>
        <w:bCs/>
        <w:spacing w:val="-2"/>
        <w:szCs w:val="22"/>
      </w:rPr>
      <w:t>FCC 2</w:t>
    </w:r>
    <w:r w:rsidR="00081A05">
      <w:rPr>
        <w:bCs/>
        <w:spacing w:val="-2"/>
        <w:szCs w:val="22"/>
      </w:rPr>
      <w:t>6</w:t>
    </w:r>
    <w:r w:rsidRPr="00A26EF4" w:rsidR="00081A05">
      <w:rPr>
        <w:bCs/>
        <w:spacing w:val="-2"/>
        <w:szCs w:val="22"/>
      </w:rPr>
      <w:t>-</w:t>
    </w:r>
    <w:r w:rsidR="00081A05">
      <w:rPr>
        <w:bCs/>
        <w:spacing w:val="-2"/>
        <w:szCs w:val="22"/>
      </w:rPr>
      <w:t>34</w:t>
    </w:r>
  </w:p>
  <w:p w:rsidR="00D25FB5" w14:paraId="0B157A98" w14:textId="4A825B28">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8"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520CD7C9" w14:textId="77777777">
    <w:pPr>
      <w:spacing w:after="389" w:line="100" w:lineRule="exact"/>
      <w:rPr>
        <w:sz w:val="1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6C05A12" w14:textId="49737C16">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Pr>
        <w:spacing w:val="-2"/>
      </w:rPr>
      <w:t>FCC 26-34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810B6F" w14:paraId="08BFCB53" w14:textId="30230A1C">
    <w:pPr>
      <w:pStyle w:val="Header"/>
      <w:rPr>
        <w:b w:val="0"/>
      </w:rPr>
    </w:pPr>
    <w:r>
      <w:rPr>
        <w:noProof/>
      </w:rPr>
      <mc:AlternateContent>
        <mc:Choice Requires="wps">
          <w:drawing>
            <wp:anchor distT="0" distB="0" distL="114300" distR="114300" simplePos="0" relativeHeight="251664384"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908424536" name="Rectangle 29"/>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9"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1072" o:allowincell="f" fillcolor="black" stroked="f">
              <w10:wrap anchorx="margin"/>
            </v:rect>
          </w:pict>
        </mc:Fallback>
      </mc:AlternateContent>
    </w:r>
    <w:r>
      <w:tab/>
      <w:t>Federal Communications Commission</w:t>
    </w:r>
    <w:r>
      <w:tab/>
    </w:r>
    <w:r w:rsidRPr="00081A05">
      <w:t xml:space="preserve">FCC </w:t>
    </w:r>
    <w:r>
      <w:t>26-34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810B6F" w14:paraId="0D68609D" w14:textId="1705851C">
    <w:pPr>
      <w:pStyle w:val="Header"/>
      <w:rPr>
        <w:b w:val="0"/>
      </w:rPr>
    </w:pPr>
    <w:r>
      <w:tab/>
      <w:t>Federal Communications Commission</w:t>
    </w:r>
    <w:r>
      <w:tab/>
      <w:t>FCC 26-34</w:t>
    </w:r>
  </w:p>
  <w:p w:rsidR="00203CCB" w14:paraId="784F19AF" w14:textId="67CA94D3">
    <w:pPr>
      <w:tabs>
        <w:tab w:val="left" w:pos="-720"/>
      </w:tabs>
      <w:suppressAutoHyphens/>
      <w:spacing w:line="19" w:lineRule="exact"/>
      <w:rPr>
        <w:spacing w:val="-2"/>
      </w:rPr>
    </w:pPr>
    <w:r>
      <w:rPr>
        <w:noProof/>
      </w:rPr>
      <mc:AlternateContent>
        <mc:Choice Requires="wps">
          <w:drawing>
            <wp:anchor distT="0" distB="0" distL="114300" distR="114300" simplePos="0" relativeHeight="251666432" behindDoc="1" locked="0" layoutInCell="0" allowOverlap="1">
              <wp:simplePos x="0" y="0"/>
              <wp:positionH relativeFrom="margin">
                <wp:posOffset>0</wp:posOffset>
              </wp:positionH>
              <wp:positionV relativeFrom="paragraph">
                <wp:posOffset>0</wp:posOffset>
              </wp:positionV>
              <wp:extent cx="5943600" cy="12065"/>
              <wp:effectExtent l="0" t="0" r="0" b="0"/>
              <wp:wrapNone/>
              <wp:docPr id="1069471226" name="Rectangle 2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5" o:spid="_x0000_s2051"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49024" o:allowincell="f" fillcolor="black" stroked="f">
              <w10:wrap anchorx="margin"/>
            </v:rect>
          </w:pict>
        </mc:Fallback>
      </mc:AlternateContent>
    </w:r>
  </w:p>
  <w:p w:rsidR="00203CCB" w14:paraId="0D9946B0"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810B6F" w14:paraId="59CAD930" w14:textId="1B975945">
    <w:pPr>
      <w:pStyle w:val="Header"/>
      <w:rPr>
        <w:b w:val="0"/>
      </w:rPr>
    </w:pPr>
    <w:r>
      <w:rPr>
        <w:noProof/>
      </w:rPr>
      <mc:AlternateContent>
        <mc:Choice Requires="wps">
          <w:drawing>
            <wp:anchor distT="0" distB="0" distL="114300" distR="114300" simplePos="0" relativeHeight="25166848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2027897215" name="Rectangle 2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1" o:spid="_x0000_s2052"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46976" o:allowincell="f" fillcolor="black" stroked="f">
              <w10:wrap anchorx="margin"/>
            </v:rect>
          </w:pict>
        </mc:Fallback>
      </mc:AlternateContent>
    </w:r>
    <w:r>
      <w:tab/>
      <w:t>Federal Communications Commission</w:t>
    </w:r>
    <w:r>
      <w:tab/>
      <w:t>FCC 26-34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810B6F" w14:paraId="4FF3E60E" w14:textId="72212E1B">
    <w:pPr>
      <w:pStyle w:val="Header"/>
      <w:rPr>
        <w:b w:val="0"/>
      </w:rPr>
    </w:pPr>
    <w:r>
      <w:tab/>
      <w:t>Federal Communications Commission</w:t>
    </w:r>
    <w:r>
      <w:tab/>
      <w:t>FCC 26-34</w:t>
    </w:r>
  </w:p>
  <w:p w:rsidR="00203CCB" w14:paraId="5ACD90F5" w14:textId="1534C4B4">
    <w:pPr>
      <w:tabs>
        <w:tab w:val="left" w:pos="-720"/>
      </w:tabs>
      <w:suppressAutoHyphens/>
      <w:spacing w:line="19" w:lineRule="exact"/>
      <w:rPr>
        <w:spacing w:val="-2"/>
      </w:rPr>
    </w:pPr>
    <w:r>
      <w:rPr>
        <w:noProof/>
      </w:rPr>
      <mc:AlternateContent>
        <mc:Choice Requires="wps">
          <w:drawing>
            <wp:anchor distT="0" distB="0" distL="114300" distR="114300" simplePos="0" relativeHeight="251670528" behindDoc="1" locked="0" layoutInCell="0" allowOverlap="1">
              <wp:simplePos x="0" y="0"/>
              <wp:positionH relativeFrom="margin">
                <wp:posOffset>0</wp:posOffset>
              </wp:positionH>
              <wp:positionV relativeFrom="paragraph">
                <wp:posOffset>0</wp:posOffset>
              </wp:positionV>
              <wp:extent cx="5943600" cy="12065"/>
              <wp:effectExtent l="0" t="0" r="0" b="0"/>
              <wp:wrapNone/>
              <wp:docPr id="580873218" name="Rectangle 17"/>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7" o:spid="_x0000_s2053"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44928" o:allowincell="f" fillcolor="black" stroked="f">
              <w10:wrap anchorx="margin"/>
            </v:rect>
          </w:pict>
        </mc:Fallback>
      </mc:AlternateContent>
    </w:r>
  </w:p>
  <w:p w:rsidR="00203CCB" w14:paraId="1B3EFA19" w14:textId="77777777">
    <w:pPr>
      <w:spacing w:after="389" w:line="100" w:lineRule="exact"/>
      <w:rPr>
        <w:sz w:val="1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810B6F" w14:paraId="68F28A5B" w14:textId="370D9C71">
    <w:pPr>
      <w:pStyle w:val="Header"/>
      <w:rPr>
        <w:b w:val="0"/>
      </w:rPr>
    </w:pPr>
    <w:r>
      <w:rPr>
        <w:noProof/>
      </w:rPr>
      <mc:AlternateContent>
        <mc:Choice Requires="wps">
          <w:drawing>
            <wp:anchor distT="0" distB="0" distL="114300" distR="114300" simplePos="0" relativeHeight="251672576"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314748616" name="Rectangle 1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3" o:spid="_x0000_s2054"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42880" o:allowincell="f" fillcolor="black" stroked="f">
              <w10:wrap anchorx="margin"/>
            </v:rect>
          </w:pict>
        </mc:Fallback>
      </mc:AlternateContent>
    </w:r>
    <w:r>
      <w:tab/>
      <w:t>Federal Communications Commission</w:t>
    </w:r>
    <w:r>
      <w:tab/>
    </w:r>
    <w:r w:rsidRPr="00081A05">
      <w:t xml:space="preserve">FCC </w:t>
    </w:r>
    <w:r>
      <w:t>26-34</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810B6F" w14:paraId="4A924B76" w14:textId="77777777">
    <w:pPr>
      <w:pStyle w:val="Header"/>
      <w:rPr>
        <w:b w:val="0"/>
      </w:rPr>
    </w:pPr>
    <w:r>
      <w:tab/>
      <w:t>Federal Communications Commission</w:t>
    </w:r>
    <w:r>
      <w:tab/>
      <w:t>FCC 26-34</w:t>
    </w:r>
  </w:p>
  <w:p w:rsidR="00203CCB" w14:paraId="6965DD5C" w14:textId="40823A40">
    <w:pPr>
      <w:tabs>
        <w:tab w:val="left" w:pos="-720"/>
      </w:tabs>
      <w:suppressAutoHyphens/>
      <w:spacing w:line="19" w:lineRule="exact"/>
      <w:rPr>
        <w:spacing w:val="-2"/>
      </w:rPr>
    </w:pPr>
    <w:r>
      <w:rPr>
        <w:noProof/>
      </w:rPr>
      <mc:AlternateContent>
        <mc:Choice Requires="wps">
          <w:drawing>
            <wp:anchor distT="0" distB="0" distL="114300" distR="114300" simplePos="0" relativeHeight="251674624" behindDoc="1" locked="0" layoutInCell="0" allowOverlap="1">
              <wp:simplePos x="0" y="0"/>
              <wp:positionH relativeFrom="margin">
                <wp:posOffset>0</wp:posOffset>
              </wp:positionH>
              <wp:positionV relativeFrom="paragraph">
                <wp:posOffset>0</wp:posOffset>
              </wp:positionV>
              <wp:extent cx="5943600" cy="12065"/>
              <wp:effectExtent l="0" t="0" r="0" b="0"/>
              <wp:wrapNone/>
              <wp:docPr id="1293898945" name="Rectangle 1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1" o:spid="_x0000_s2055"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40832" o:allowincell="f" fillcolor="black" stroked="f">
              <w10:wrap anchorx="margin"/>
            </v:rect>
          </w:pict>
        </mc:Fallback>
      </mc:AlternateContent>
    </w:r>
  </w:p>
  <w:p w:rsidR="00203CCB" w14:paraId="03E9F70E" w14:textId="77777777">
    <w:pPr>
      <w:spacing w:after="389" w:line="100" w:lineRule="exact"/>
      <w:rPr>
        <w:sz w:val="1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P="00810B6F" w14:paraId="3C85BC13" w14:textId="06FBFB4D">
    <w:pPr>
      <w:pStyle w:val="Header"/>
      <w:rPr>
        <w:b w:val="0"/>
      </w:rPr>
    </w:pPr>
    <w:r>
      <w:rPr>
        <w:noProof/>
      </w:rPr>
      <mc:AlternateContent>
        <mc:Choice Requires="wps">
          <w:drawing>
            <wp:anchor distT="0" distB="0" distL="114300" distR="114300" simplePos="0" relativeHeight="251676672"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126099636" name="Rectangle 9"/>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9" o:spid="_x0000_s2056"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38784" o:allowincell="f" fillcolor="black" stroked="f">
              <w10:wrap anchorx="margin"/>
            </v:rect>
          </w:pict>
        </mc:Fallback>
      </mc:AlternateContent>
    </w:r>
    <w:r>
      <w:tab/>
      <w:t>Federal Communications Commission</w:t>
    </w:r>
    <w:r>
      <w:tab/>
    </w:r>
    <w:r>
      <w:rPr>
        <w:spacing w:val="-2"/>
      </w:rPr>
      <w:t>FCC 26-34</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03CCB" w:rsidRPr="00A26EF4" w:rsidP="004B6EB1" w14:paraId="41DAC595" w14:textId="5B87DC22">
    <w:pPr>
      <w:pStyle w:val="Header"/>
      <w:rPr>
        <w:b w:val="0"/>
        <w:bCs/>
        <w:szCs w:val="22"/>
      </w:rPr>
    </w:pPr>
    <w:r>
      <w:rPr>
        <w:noProof/>
      </w:rPr>
      <mc:AlternateContent>
        <mc:Choice Requires="wps">
          <w:drawing>
            <wp:anchor distT="0" distB="0" distL="114300" distR="114300" simplePos="0" relativeHeight="25167872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2043946046" name="Rectangle 7"/>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7" o:spid="_x0000_s2057"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36736" o:allowincell="f" fillcolor="black" stroked="f">
              <w10:wrap anchorx="margin"/>
            </v:rect>
          </w:pict>
        </mc:Fallback>
      </mc:AlternateContent>
    </w:r>
    <w:r w:rsidRPr="00A26EF4">
      <w:rPr>
        <w:bCs/>
        <w:szCs w:val="22"/>
      </w:rPr>
      <w:tab/>
      <w:t>Federal Communications Commission</w:t>
    </w:r>
    <w:r w:rsidRPr="00A26EF4">
      <w:rPr>
        <w:bCs/>
        <w:szCs w:val="22"/>
      </w:rPr>
      <w:tab/>
    </w:r>
    <w:r w:rsidRPr="00A26EF4">
      <w:rPr>
        <w:bCs/>
        <w:spacing w:val="-2"/>
        <w:szCs w:val="22"/>
      </w:rPr>
      <w:t>FCC 2</w:t>
    </w:r>
    <w:r>
      <w:rPr>
        <w:bCs/>
        <w:spacing w:val="-2"/>
        <w:szCs w:val="22"/>
      </w:rPr>
      <w:t>6</w:t>
    </w:r>
    <w:r w:rsidRPr="00A26EF4">
      <w:rPr>
        <w:bCs/>
        <w:spacing w:val="-2"/>
        <w:szCs w:val="22"/>
      </w:rPr>
      <w:t>-</w:t>
    </w:r>
    <w:r>
      <w:rPr>
        <w:bCs/>
        <w:spacing w:val="-2"/>
        <w:szCs w:val="22"/>
      </w:rPr>
      <w:t>34</w:t>
    </w:r>
  </w:p>
  <w:p w:rsidR="00203CCB" w:rsidRPr="004B6EB1" w:rsidP="004B6EB1" w14:paraId="00DAAC2A"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24C3EB1"/>
    <w:multiLevelType w:val="hybridMultilevel"/>
    <w:tmpl w:val="954CE7D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
    <w:nsid w:val="02F800F1"/>
    <w:multiLevelType w:val="hybridMultilevel"/>
    <w:tmpl w:val="9A08B9D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2">
    <w:nsid w:val="037A0579"/>
    <w:multiLevelType w:val="hybridMultilevel"/>
    <w:tmpl w:val="4648C532"/>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3">
    <w:nsid w:val="05332FAF"/>
    <w:multiLevelType w:val="hybridMultilevel"/>
    <w:tmpl w:val="F3BC0E6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05B6481D"/>
    <w:multiLevelType w:val="hybridMultilevel"/>
    <w:tmpl w:val="746CF06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5">
    <w:nsid w:val="066749B7"/>
    <w:multiLevelType w:val="hybridMultilevel"/>
    <w:tmpl w:val="63C038E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6">
    <w:nsid w:val="084B453C"/>
    <w:multiLevelType w:val="singleLevel"/>
    <w:tmpl w:val="40A8E97A"/>
    <w:lvl w:ilvl="0">
      <w:start w:val="1"/>
      <w:numFmt w:val="decimal"/>
      <w:lvlText w:val="%1."/>
      <w:lvlJc w:val="left"/>
      <w:pPr>
        <w:tabs>
          <w:tab w:val="num" w:pos="1080"/>
        </w:tabs>
        <w:ind w:left="0" w:firstLine="720"/>
      </w:pPr>
    </w:lvl>
  </w:abstractNum>
  <w:abstractNum w:abstractNumId="7">
    <w:nsid w:val="0983272C"/>
    <w:multiLevelType w:val="hybridMultilevel"/>
    <w:tmpl w:val="EE4EE24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09EC455C"/>
    <w:multiLevelType w:val="hybridMultilevel"/>
    <w:tmpl w:val="55B6AA66"/>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9">
    <w:nsid w:val="0BFD1E9B"/>
    <w:multiLevelType w:val="hybridMultilevel"/>
    <w:tmpl w:val="AF802D0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nsid w:val="0C65425E"/>
    <w:multiLevelType w:val="hybridMultilevel"/>
    <w:tmpl w:val="A6220D1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1311167E"/>
    <w:multiLevelType w:val="hybridMultilevel"/>
    <w:tmpl w:val="1944BD6E"/>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2">
    <w:nsid w:val="194113A2"/>
    <w:multiLevelType w:val="hybridMultilevel"/>
    <w:tmpl w:val="A140BACE"/>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3">
    <w:nsid w:val="1AFE34C0"/>
    <w:multiLevelType w:val="hybridMultilevel"/>
    <w:tmpl w:val="E5441E94"/>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4">
    <w:nsid w:val="20DD638F"/>
    <w:multiLevelType w:val="hybridMultilevel"/>
    <w:tmpl w:val="5B0C4BC2"/>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15">
    <w:nsid w:val="22C17E47"/>
    <w:multiLevelType w:val="hybridMultilevel"/>
    <w:tmpl w:val="572A57F4"/>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6">
    <w:nsid w:val="2356548D"/>
    <w:multiLevelType w:val="hybridMultilevel"/>
    <w:tmpl w:val="DA44101A"/>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7">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18">
    <w:nsid w:val="245161C1"/>
    <w:multiLevelType w:val="hybridMultilevel"/>
    <w:tmpl w:val="F7ECB72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9">
    <w:nsid w:val="248246F3"/>
    <w:multiLevelType w:val="singleLevel"/>
    <w:tmpl w:val="B1F45678"/>
    <w:lvl w:ilvl="0">
      <w:start w:val="1"/>
      <w:numFmt w:val="decimal"/>
      <w:lvlText w:val="%1."/>
      <w:lvlJc w:val="left"/>
      <w:pPr>
        <w:tabs>
          <w:tab w:val="num" w:pos="1080"/>
        </w:tabs>
        <w:ind w:left="0" w:firstLine="720"/>
      </w:pPr>
    </w:lvl>
  </w:abstractNum>
  <w:abstractNum w:abstractNumId="20">
    <w:nsid w:val="25444EEC"/>
    <w:multiLevelType w:val="hybridMultilevel"/>
    <w:tmpl w:val="F1E68656"/>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21">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22">
    <w:nsid w:val="28CD01BB"/>
    <w:multiLevelType w:val="hybridMultilevel"/>
    <w:tmpl w:val="3CC4A034"/>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23">
    <w:nsid w:val="2A76156E"/>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2A831922"/>
    <w:multiLevelType w:val="hybridMultilevel"/>
    <w:tmpl w:val="B590CB84"/>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25">
    <w:nsid w:val="2A8456A9"/>
    <w:multiLevelType w:val="hybridMultilevel"/>
    <w:tmpl w:val="AA34F73E"/>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26">
    <w:nsid w:val="2B9371D0"/>
    <w:multiLevelType w:val="hybridMultilevel"/>
    <w:tmpl w:val="273C919E"/>
    <w:lvl w:ilvl="0">
      <w:start w:val="1"/>
      <w:numFmt w:val="bullet"/>
      <w:lvlText w:val=""/>
      <w:lvlJc w:val="left"/>
      <w:pPr>
        <w:ind w:left="780" w:hanging="360"/>
      </w:pPr>
      <w:rPr>
        <w:rFonts w:ascii="Symbol" w:hAnsi="Symbol" w:hint="default"/>
      </w:rPr>
    </w:lvl>
    <w:lvl w:ilvl="1">
      <w:start w:val="1"/>
      <w:numFmt w:val="bullet"/>
      <w:lvlText w:val="o"/>
      <w:lvlJc w:val="left"/>
      <w:pPr>
        <w:ind w:left="1500" w:hanging="360"/>
      </w:pPr>
      <w:rPr>
        <w:rFonts w:ascii="Courier New" w:hAnsi="Courier New" w:cs="Courier New" w:hint="default"/>
      </w:rPr>
    </w:lvl>
    <w:lvl w:ilvl="2">
      <w:start w:val="1"/>
      <w:numFmt w:val="bullet"/>
      <w:lvlText w:val=""/>
      <w:lvlJc w:val="left"/>
      <w:pPr>
        <w:ind w:left="2220" w:hanging="360"/>
      </w:pPr>
      <w:rPr>
        <w:rFonts w:ascii="Wingdings" w:hAnsi="Wingdings" w:hint="default"/>
      </w:rPr>
    </w:lvl>
    <w:lvl w:ilvl="3" w:tentative="1">
      <w:start w:val="1"/>
      <w:numFmt w:val="bullet"/>
      <w:lvlText w:val=""/>
      <w:lvlJc w:val="left"/>
      <w:pPr>
        <w:ind w:left="2940" w:hanging="360"/>
      </w:pPr>
      <w:rPr>
        <w:rFonts w:ascii="Symbol" w:hAnsi="Symbol" w:hint="default"/>
      </w:rPr>
    </w:lvl>
    <w:lvl w:ilvl="4" w:tentative="1">
      <w:start w:val="1"/>
      <w:numFmt w:val="bullet"/>
      <w:lvlText w:val="o"/>
      <w:lvlJc w:val="left"/>
      <w:pPr>
        <w:ind w:left="3660" w:hanging="360"/>
      </w:pPr>
      <w:rPr>
        <w:rFonts w:ascii="Courier New" w:hAnsi="Courier New" w:cs="Courier New" w:hint="default"/>
      </w:rPr>
    </w:lvl>
    <w:lvl w:ilvl="5" w:tentative="1">
      <w:start w:val="1"/>
      <w:numFmt w:val="bullet"/>
      <w:lvlText w:val=""/>
      <w:lvlJc w:val="left"/>
      <w:pPr>
        <w:ind w:left="4380" w:hanging="360"/>
      </w:pPr>
      <w:rPr>
        <w:rFonts w:ascii="Wingdings" w:hAnsi="Wingdings" w:hint="default"/>
      </w:rPr>
    </w:lvl>
    <w:lvl w:ilvl="6" w:tentative="1">
      <w:start w:val="1"/>
      <w:numFmt w:val="bullet"/>
      <w:lvlText w:val=""/>
      <w:lvlJc w:val="left"/>
      <w:pPr>
        <w:ind w:left="5100" w:hanging="360"/>
      </w:pPr>
      <w:rPr>
        <w:rFonts w:ascii="Symbol" w:hAnsi="Symbol" w:hint="default"/>
      </w:rPr>
    </w:lvl>
    <w:lvl w:ilvl="7" w:tentative="1">
      <w:start w:val="1"/>
      <w:numFmt w:val="bullet"/>
      <w:lvlText w:val="o"/>
      <w:lvlJc w:val="left"/>
      <w:pPr>
        <w:ind w:left="5820" w:hanging="360"/>
      </w:pPr>
      <w:rPr>
        <w:rFonts w:ascii="Courier New" w:hAnsi="Courier New" w:cs="Courier New" w:hint="default"/>
      </w:rPr>
    </w:lvl>
    <w:lvl w:ilvl="8" w:tentative="1">
      <w:start w:val="1"/>
      <w:numFmt w:val="bullet"/>
      <w:lvlText w:val=""/>
      <w:lvlJc w:val="left"/>
      <w:pPr>
        <w:ind w:left="6540" w:hanging="360"/>
      </w:pPr>
      <w:rPr>
        <w:rFonts w:ascii="Wingdings" w:hAnsi="Wingdings" w:hint="default"/>
      </w:rPr>
    </w:lvl>
  </w:abstractNum>
  <w:abstractNum w:abstractNumId="27">
    <w:nsid w:val="32470C47"/>
    <w:multiLevelType w:val="hybridMultilevel"/>
    <w:tmpl w:val="5072B262"/>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28">
    <w:nsid w:val="36366888"/>
    <w:multiLevelType w:val="hybridMultilevel"/>
    <w:tmpl w:val="E778ACF2"/>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29">
    <w:nsid w:val="3BD63426"/>
    <w:multiLevelType w:val="hybridMultilevel"/>
    <w:tmpl w:val="A04859C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30">
    <w:nsid w:val="3EF2140A"/>
    <w:multiLevelType w:val="hybridMultilevel"/>
    <w:tmpl w:val="135AA03E"/>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31">
    <w:nsid w:val="41687A6E"/>
    <w:multiLevelType w:val="hybridMultilevel"/>
    <w:tmpl w:val="5AA85664"/>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32">
    <w:nsid w:val="46AE3683"/>
    <w:multiLevelType w:val="hybridMultilevel"/>
    <w:tmpl w:val="E7DA2F0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3">
    <w:nsid w:val="4A027A6C"/>
    <w:multiLevelType w:val="hybridMultilevel"/>
    <w:tmpl w:val="8A962E82"/>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34">
    <w:nsid w:val="4D0B66AF"/>
    <w:multiLevelType w:val="hybridMultilevel"/>
    <w:tmpl w:val="AEF0DB8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36">
    <w:nsid w:val="4F5E092F"/>
    <w:multiLevelType w:val="hybridMultilevel"/>
    <w:tmpl w:val="FA52A49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37">
    <w:nsid w:val="4F6F2B7C"/>
    <w:multiLevelType w:val="hybridMultilevel"/>
    <w:tmpl w:val="E37EF20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38">
    <w:nsid w:val="4FA816BD"/>
    <w:multiLevelType w:val="hybridMultilevel"/>
    <w:tmpl w:val="2F009D2A"/>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39">
    <w:nsid w:val="52390F7C"/>
    <w:multiLevelType w:val="hybridMultilevel"/>
    <w:tmpl w:val="829651C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40">
    <w:nsid w:val="550F583B"/>
    <w:multiLevelType w:val="hybridMultilevel"/>
    <w:tmpl w:val="36B2D4A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41">
    <w:nsid w:val="559F7F6D"/>
    <w:multiLevelType w:val="hybridMultilevel"/>
    <w:tmpl w:val="7AC8F03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2">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43">
    <w:nsid w:val="62565507"/>
    <w:multiLevelType w:val="hybridMultilevel"/>
    <w:tmpl w:val="8294D0A4"/>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44">
    <w:nsid w:val="62774E13"/>
    <w:multiLevelType w:val="hybridMultilevel"/>
    <w:tmpl w:val="E87C6E2A"/>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45">
    <w:nsid w:val="66650177"/>
    <w:multiLevelType w:val="hybridMultilevel"/>
    <w:tmpl w:val="BCE414A6"/>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46">
    <w:nsid w:val="67CE23AE"/>
    <w:multiLevelType w:val="hybridMultilevel"/>
    <w:tmpl w:val="EFA8B4E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47">
    <w:nsid w:val="6B932516"/>
    <w:multiLevelType w:val="hybridMultilevel"/>
    <w:tmpl w:val="118EB584"/>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48">
    <w:nsid w:val="7D13039E"/>
    <w:multiLevelType w:val="hybridMultilevel"/>
    <w:tmpl w:val="DA3A8A0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49">
    <w:nsid w:val="7E8641DA"/>
    <w:multiLevelType w:val="hybridMultilevel"/>
    <w:tmpl w:val="297E397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num w:numId="1" w16cid:durableId="1922517105">
    <w:abstractNumId w:val="42"/>
  </w:num>
  <w:num w:numId="2" w16cid:durableId="1718162578">
    <w:abstractNumId w:val="21"/>
  </w:num>
  <w:num w:numId="3" w16cid:durableId="118019906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77559703">
    <w:abstractNumId w:val="42"/>
    <w:lvlOverride w:ilvl="0">
      <w:startOverride w:val="1"/>
    </w:lvlOverride>
  </w:num>
  <w:num w:numId="5" w16cid:durableId="68355079">
    <w:abstractNumId w:val="8"/>
  </w:num>
  <w:num w:numId="6" w16cid:durableId="1071271874">
    <w:abstractNumId w:val="9"/>
  </w:num>
  <w:num w:numId="7" w16cid:durableId="1391030520">
    <w:abstractNumId w:val="26"/>
  </w:num>
  <w:num w:numId="8" w16cid:durableId="908926335">
    <w:abstractNumId w:val="41"/>
  </w:num>
  <w:num w:numId="9" w16cid:durableId="2111001094">
    <w:abstractNumId w:val="7"/>
  </w:num>
  <w:num w:numId="10" w16cid:durableId="898828563">
    <w:abstractNumId w:val="32"/>
  </w:num>
  <w:num w:numId="11" w16cid:durableId="1703357485">
    <w:abstractNumId w:val="17"/>
  </w:num>
  <w:num w:numId="12" w16cid:durableId="149907862">
    <w:abstractNumId w:val="35"/>
  </w:num>
  <w:num w:numId="13" w16cid:durableId="2140804862">
    <w:abstractNumId w:val="19"/>
  </w:num>
  <w:num w:numId="14" w16cid:durableId="1425228709">
    <w:abstractNumId w:val="6"/>
  </w:num>
  <w:num w:numId="15" w16cid:durableId="332997935">
    <w:abstractNumId w:val="42"/>
    <w:lvlOverride w:ilvl="0">
      <w:startOverride w:val="1"/>
    </w:lvlOverride>
  </w:num>
  <w:num w:numId="16" w16cid:durableId="939678443">
    <w:abstractNumId w:val="42"/>
    <w:lvlOverride w:ilvl="0">
      <w:startOverride w:val="1"/>
    </w:lvlOverride>
  </w:num>
  <w:num w:numId="17" w16cid:durableId="938098601">
    <w:abstractNumId w:val="42"/>
    <w:lvlOverride w:ilvl="0">
      <w:startOverride w:val="1"/>
    </w:lvlOverride>
  </w:num>
  <w:num w:numId="18" w16cid:durableId="1307590297">
    <w:abstractNumId w:val="42"/>
    <w:lvlOverride w:ilvl="0">
      <w:startOverride w:val="1"/>
    </w:lvlOverride>
  </w:num>
  <w:num w:numId="19" w16cid:durableId="1684013730">
    <w:abstractNumId w:val="42"/>
    <w:lvlOverride w:ilvl="0">
      <w:startOverride w:val="1"/>
    </w:lvlOverride>
  </w:num>
  <w:num w:numId="20" w16cid:durableId="52585215">
    <w:abstractNumId w:val="25"/>
  </w:num>
  <w:num w:numId="21" w16cid:durableId="608396712">
    <w:abstractNumId w:val="15"/>
  </w:num>
  <w:num w:numId="22" w16cid:durableId="1660229359">
    <w:abstractNumId w:val="10"/>
  </w:num>
  <w:num w:numId="23" w16cid:durableId="1053043845">
    <w:abstractNumId w:val="23"/>
  </w:num>
  <w:num w:numId="24" w16cid:durableId="1262756807">
    <w:abstractNumId w:val="42"/>
    <w:lvlOverride w:ilvl="0">
      <w:startOverride w:val="1"/>
    </w:lvlOverride>
  </w:num>
  <w:num w:numId="25" w16cid:durableId="1017392234">
    <w:abstractNumId w:val="11"/>
  </w:num>
  <w:num w:numId="26" w16cid:durableId="1488089193">
    <w:abstractNumId w:val="48"/>
  </w:num>
  <w:num w:numId="27" w16cid:durableId="215437047">
    <w:abstractNumId w:val="22"/>
  </w:num>
  <w:num w:numId="28" w16cid:durableId="775977812">
    <w:abstractNumId w:val="0"/>
  </w:num>
  <w:num w:numId="29" w16cid:durableId="15468012">
    <w:abstractNumId w:val="39"/>
  </w:num>
  <w:num w:numId="30" w16cid:durableId="1485315591">
    <w:abstractNumId w:val="14"/>
  </w:num>
  <w:num w:numId="31" w16cid:durableId="273946739">
    <w:abstractNumId w:val="28"/>
  </w:num>
  <w:num w:numId="32" w16cid:durableId="500316510">
    <w:abstractNumId w:val="40"/>
  </w:num>
  <w:num w:numId="33" w16cid:durableId="819230347">
    <w:abstractNumId w:val="43"/>
  </w:num>
  <w:num w:numId="34" w16cid:durableId="1225261504">
    <w:abstractNumId w:val="12"/>
  </w:num>
  <w:num w:numId="35" w16cid:durableId="1024600898">
    <w:abstractNumId w:val="38"/>
  </w:num>
  <w:num w:numId="36" w16cid:durableId="58290051">
    <w:abstractNumId w:val="24"/>
  </w:num>
  <w:num w:numId="37" w16cid:durableId="586887788">
    <w:abstractNumId w:val="1"/>
  </w:num>
  <w:num w:numId="38" w16cid:durableId="375668320">
    <w:abstractNumId w:val="16"/>
  </w:num>
  <w:num w:numId="39" w16cid:durableId="964893482">
    <w:abstractNumId w:val="49"/>
  </w:num>
  <w:num w:numId="40" w16cid:durableId="175996601">
    <w:abstractNumId w:val="46"/>
  </w:num>
  <w:num w:numId="41" w16cid:durableId="1562517545">
    <w:abstractNumId w:val="20"/>
  </w:num>
  <w:num w:numId="42" w16cid:durableId="1544561050">
    <w:abstractNumId w:val="33"/>
  </w:num>
  <w:num w:numId="43" w16cid:durableId="232399097">
    <w:abstractNumId w:val="45"/>
  </w:num>
  <w:num w:numId="44" w16cid:durableId="2145386797">
    <w:abstractNumId w:val="30"/>
  </w:num>
  <w:num w:numId="45" w16cid:durableId="2036809069">
    <w:abstractNumId w:val="34"/>
  </w:num>
  <w:num w:numId="46" w16cid:durableId="988288533">
    <w:abstractNumId w:val="47"/>
  </w:num>
  <w:num w:numId="47" w16cid:durableId="267391393">
    <w:abstractNumId w:val="27"/>
  </w:num>
  <w:num w:numId="48" w16cid:durableId="758258788">
    <w:abstractNumId w:val="31"/>
  </w:num>
  <w:num w:numId="49" w16cid:durableId="108819384">
    <w:abstractNumId w:val="21"/>
    <w:lvlOverride w:ilvl="0">
      <w:startOverride w:val="6"/>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2078556033">
    <w:abstractNumId w:val="3"/>
  </w:num>
  <w:num w:numId="51" w16cid:durableId="1163546067">
    <w:abstractNumId w:val="5"/>
  </w:num>
  <w:num w:numId="52" w16cid:durableId="1557277496">
    <w:abstractNumId w:val="44"/>
  </w:num>
  <w:num w:numId="53" w16cid:durableId="584265196">
    <w:abstractNumId w:val="4"/>
  </w:num>
  <w:num w:numId="54" w16cid:durableId="646252323">
    <w:abstractNumId w:val="29"/>
  </w:num>
  <w:num w:numId="55" w16cid:durableId="964115705">
    <w:abstractNumId w:val="13"/>
  </w:num>
  <w:num w:numId="56" w16cid:durableId="580798688">
    <w:abstractNumId w:val="37"/>
  </w:num>
  <w:num w:numId="57" w16cid:durableId="1538732850">
    <w:abstractNumId w:val="36"/>
  </w:num>
  <w:num w:numId="58" w16cid:durableId="326128646">
    <w:abstractNumId w:val="18"/>
  </w:num>
  <w:num w:numId="59" w16cid:durableId="2015304933">
    <w:abstractNumId w:val="2"/>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9DE"/>
    <w:rsid w:val="000001F8"/>
    <w:rsid w:val="0000091A"/>
    <w:rsid w:val="00000EB4"/>
    <w:rsid w:val="00001296"/>
    <w:rsid w:val="000016A9"/>
    <w:rsid w:val="00001794"/>
    <w:rsid w:val="0000185D"/>
    <w:rsid w:val="00001AA9"/>
    <w:rsid w:val="00001CA0"/>
    <w:rsid w:val="00001EBA"/>
    <w:rsid w:val="00001EF1"/>
    <w:rsid w:val="000021D6"/>
    <w:rsid w:val="00002234"/>
    <w:rsid w:val="00002667"/>
    <w:rsid w:val="000029BC"/>
    <w:rsid w:val="00002B8E"/>
    <w:rsid w:val="00002BC3"/>
    <w:rsid w:val="00002E7C"/>
    <w:rsid w:val="00002FCA"/>
    <w:rsid w:val="000030C8"/>
    <w:rsid w:val="000036A6"/>
    <w:rsid w:val="00004208"/>
    <w:rsid w:val="00004547"/>
    <w:rsid w:val="000049AE"/>
    <w:rsid w:val="00004B4F"/>
    <w:rsid w:val="00004C10"/>
    <w:rsid w:val="00004C30"/>
    <w:rsid w:val="00004C6D"/>
    <w:rsid w:val="00004E8D"/>
    <w:rsid w:val="00005093"/>
    <w:rsid w:val="00005094"/>
    <w:rsid w:val="00005883"/>
    <w:rsid w:val="00005A0D"/>
    <w:rsid w:val="00005CD8"/>
    <w:rsid w:val="0000668A"/>
    <w:rsid w:val="000066DB"/>
    <w:rsid w:val="00006869"/>
    <w:rsid w:val="00007023"/>
    <w:rsid w:val="000072A8"/>
    <w:rsid w:val="00007335"/>
    <w:rsid w:val="00007878"/>
    <w:rsid w:val="00007A20"/>
    <w:rsid w:val="00007CDA"/>
    <w:rsid w:val="00007F7B"/>
    <w:rsid w:val="00010173"/>
    <w:rsid w:val="000102FE"/>
    <w:rsid w:val="000106E7"/>
    <w:rsid w:val="00010A55"/>
    <w:rsid w:val="00010B2D"/>
    <w:rsid w:val="00011247"/>
    <w:rsid w:val="00011AF4"/>
    <w:rsid w:val="00011BFC"/>
    <w:rsid w:val="00012110"/>
    <w:rsid w:val="000127F6"/>
    <w:rsid w:val="00012FC4"/>
    <w:rsid w:val="00013670"/>
    <w:rsid w:val="00013782"/>
    <w:rsid w:val="000138C4"/>
    <w:rsid w:val="00013B4B"/>
    <w:rsid w:val="00013E24"/>
    <w:rsid w:val="00013F00"/>
    <w:rsid w:val="00013FA6"/>
    <w:rsid w:val="000140F7"/>
    <w:rsid w:val="0001434F"/>
    <w:rsid w:val="0001446C"/>
    <w:rsid w:val="000144C0"/>
    <w:rsid w:val="000148B9"/>
    <w:rsid w:val="000148C4"/>
    <w:rsid w:val="00014903"/>
    <w:rsid w:val="00014943"/>
    <w:rsid w:val="00014AE7"/>
    <w:rsid w:val="000158B9"/>
    <w:rsid w:val="00015E50"/>
    <w:rsid w:val="000161AF"/>
    <w:rsid w:val="000162D3"/>
    <w:rsid w:val="0001666D"/>
    <w:rsid w:val="000166F3"/>
    <w:rsid w:val="00016F69"/>
    <w:rsid w:val="0001710C"/>
    <w:rsid w:val="00017135"/>
    <w:rsid w:val="000172FA"/>
    <w:rsid w:val="0001744D"/>
    <w:rsid w:val="0001749F"/>
    <w:rsid w:val="000179FA"/>
    <w:rsid w:val="00017AAB"/>
    <w:rsid w:val="00017ACB"/>
    <w:rsid w:val="00017CAE"/>
    <w:rsid w:val="0002038B"/>
    <w:rsid w:val="000204F6"/>
    <w:rsid w:val="00020926"/>
    <w:rsid w:val="00020C1A"/>
    <w:rsid w:val="00020C94"/>
    <w:rsid w:val="00020DD0"/>
    <w:rsid w:val="00020E63"/>
    <w:rsid w:val="00021230"/>
    <w:rsid w:val="00021574"/>
    <w:rsid w:val="00021B6C"/>
    <w:rsid w:val="00021D6D"/>
    <w:rsid w:val="00021FBA"/>
    <w:rsid w:val="000220AE"/>
    <w:rsid w:val="00022697"/>
    <w:rsid w:val="00022A0C"/>
    <w:rsid w:val="00022B23"/>
    <w:rsid w:val="00022BFD"/>
    <w:rsid w:val="00022C15"/>
    <w:rsid w:val="00022C7F"/>
    <w:rsid w:val="0002305B"/>
    <w:rsid w:val="0002319C"/>
    <w:rsid w:val="000234FE"/>
    <w:rsid w:val="0002390E"/>
    <w:rsid w:val="00023A7F"/>
    <w:rsid w:val="00023C6D"/>
    <w:rsid w:val="00023E62"/>
    <w:rsid w:val="00024000"/>
    <w:rsid w:val="00024037"/>
    <w:rsid w:val="00024091"/>
    <w:rsid w:val="000244E6"/>
    <w:rsid w:val="000245D9"/>
    <w:rsid w:val="0002462B"/>
    <w:rsid w:val="00025524"/>
    <w:rsid w:val="0002568C"/>
    <w:rsid w:val="00025BB5"/>
    <w:rsid w:val="0002604A"/>
    <w:rsid w:val="0002632A"/>
    <w:rsid w:val="00026611"/>
    <w:rsid w:val="00026757"/>
    <w:rsid w:val="0002680A"/>
    <w:rsid w:val="00026948"/>
    <w:rsid w:val="0002696F"/>
    <w:rsid w:val="00026BA2"/>
    <w:rsid w:val="00026BA3"/>
    <w:rsid w:val="00026CAE"/>
    <w:rsid w:val="00026D89"/>
    <w:rsid w:val="0002707D"/>
    <w:rsid w:val="000271AB"/>
    <w:rsid w:val="000271B6"/>
    <w:rsid w:val="00027979"/>
    <w:rsid w:val="00027ABA"/>
    <w:rsid w:val="00027ACD"/>
    <w:rsid w:val="00027C54"/>
    <w:rsid w:val="00027D1C"/>
    <w:rsid w:val="00030267"/>
    <w:rsid w:val="00030294"/>
    <w:rsid w:val="000307E5"/>
    <w:rsid w:val="00030F19"/>
    <w:rsid w:val="000313C0"/>
    <w:rsid w:val="0003196D"/>
    <w:rsid w:val="00031984"/>
    <w:rsid w:val="00031AB9"/>
    <w:rsid w:val="00031D2B"/>
    <w:rsid w:val="00031FCD"/>
    <w:rsid w:val="00032471"/>
    <w:rsid w:val="0003295B"/>
    <w:rsid w:val="00032B3C"/>
    <w:rsid w:val="00032CB8"/>
    <w:rsid w:val="00032EE1"/>
    <w:rsid w:val="00033098"/>
    <w:rsid w:val="00033106"/>
    <w:rsid w:val="000333A5"/>
    <w:rsid w:val="0003367E"/>
    <w:rsid w:val="00033789"/>
    <w:rsid w:val="00033996"/>
    <w:rsid w:val="000340F4"/>
    <w:rsid w:val="00034224"/>
    <w:rsid w:val="000344B6"/>
    <w:rsid w:val="00034765"/>
    <w:rsid w:val="00034F96"/>
    <w:rsid w:val="0003503E"/>
    <w:rsid w:val="000350B5"/>
    <w:rsid w:val="00035815"/>
    <w:rsid w:val="00035B95"/>
    <w:rsid w:val="00035F13"/>
    <w:rsid w:val="00036039"/>
    <w:rsid w:val="00036361"/>
    <w:rsid w:val="00036945"/>
    <w:rsid w:val="00036B3C"/>
    <w:rsid w:val="000371A3"/>
    <w:rsid w:val="00037527"/>
    <w:rsid w:val="00037916"/>
    <w:rsid w:val="00037AC4"/>
    <w:rsid w:val="00037B99"/>
    <w:rsid w:val="00037F90"/>
    <w:rsid w:val="00037FBE"/>
    <w:rsid w:val="00040064"/>
    <w:rsid w:val="00040108"/>
    <w:rsid w:val="000401BD"/>
    <w:rsid w:val="00040357"/>
    <w:rsid w:val="000405CC"/>
    <w:rsid w:val="0004081F"/>
    <w:rsid w:val="00040EC2"/>
    <w:rsid w:val="00041188"/>
    <w:rsid w:val="000413B8"/>
    <w:rsid w:val="00041B67"/>
    <w:rsid w:val="00041C28"/>
    <w:rsid w:val="00042339"/>
    <w:rsid w:val="000423AA"/>
    <w:rsid w:val="00042492"/>
    <w:rsid w:val="00042B19"/>
    <w:rsid w:val="00042D20"/>
    <w:rsid w:val="00042D67"/>
    <w:rsid w:val="000430DF"/>
    <w:rsid w:val="00043232"/>
    <w:rsid w:val="000432EE"/>
    <w:rsid w:val="0004371B"/>
    <w:rsid w:val="000437D9"/>
    <w:rsid w:val="00043801"/>
    <w:rsid w:val="00043AA0"/>
    <w:rsid w:val="00043BE5"/>
    <w:rsid w:val="00044037"/>
    <w:rsid w:val="000440A1"/>
    <w:rsid w:val="0004411F"/>
    <w:rsid w:val="000441BC"/>
    <w:rsid w:val="00044252"/>
    <w:rsid w:val="00044C1D"/>
    <w:rsid w:val="00044C80"/>
    <w:rsid w:val="00044E64"/>
    <w:rsid w:val="00044EEF"/>
    <w:rsid w:val="0004501F"/>
    <w:rsid w:val="00045038"/>
    <w:rsid w:val="000453C4"/>
    <w:rsid w:val="00045491"/>
    <w:rsid w:val="00045A3C"/>
    <w:rsid w:val="00045B12"/>
    <w:rsid w:val="00045F4A"/>
    <w:rsid w:val="00045F7E"/>
    <w:rsid w:val="0004605B"/>
    <w:rsid w:val="0004617E"/>
    <w:rsid w:val="000461F3"/>
    <w:rsid w:val="0004625F"/>
    <w:rsid w:val="000462C8"/>
    <w:rsid w:val="00046587"/>
    <w:rsid w:val="000465DD"/>
    <w:rsid w:val="000466DC"/>
    <w:rsid w:val="000469FA"/>
    <w:rsid w:val="00046A37"/>
    <w:rsid w:val="0004772B"/>
    <w:rsid w:val="00047849"/>
    <w:rsid w:val="0004784F"/>
    <w:rsid w:val="000478CA"/>
    <w:rsid w:val="00047DB2"/>
    <w:rsid w:val="0005017B"/>
    <w:rsid w:val="000501FD"/>
    <w:rsid w:val="00050879"/>
    <w:rsid w:val="00050AEF"/>
    <w:rsid w:val="00050F1A"/>
    <w:rsid w:val="0005112D"/>
    <w:rsid w:val="0005119A"/>
    <w:rsid w:val="000517B7"/>
    <w:rsid w:val="00052368"/>
    <w:rsid w:val="000523D9"/>
    <w:rsid w:val="00052431"/>
    <w:rsid w:val="00052D09"/>
    <w:rsid w:val="00052ED3"/>
    <w:rsid w:val="00053266"/>
    <w:rsid w:val="0005368B"/>
    <w:rsid w:val="000536C0"/>
    <w:rsid w:val="000536DD"/>
    <w:rsid w:val="00053762"/>
    <w:rsid w:val="00053CCC"/>
    <w:rsid w:val="00053FB5"/>
    <w:rsid w:val="0005474B"/>
    <w:rsid w:val="000548A8"/>
    <w:rsid w:val="0005490B"/>
    <w:rsid w:val="00054B04"/>
    <w:rsid w:val="00054F04"/>
    <w:rsid w:val="00054FD3"/>
    <w:rsid w:val="000553FE"/>
    <w:rsid w:val="000555BB"/>
    <w:rsid w:val="0005565D"/>
    <w:rsid w:val="000557E9"/>
    <w:rsid w:val="00055B97"/>
    <w:rsid w:val="00055CAF"/>
    <w:rsid w:val="00055DAF"/>
    <w:rsid w:val="00056029"/>
    <w:rsid w:val="000564DE"/>
    <w:rsid w:val="00056526"/>
    <w:rsid w:val="00056640"/>
    <w:rsid w:val="00057114"/>
    <w:rsid w:val="00057398"/>
    <w:rsid w:val="0005774F"/>
    <w:rsid w:val="000578A4"/>
    <w:rsid w:val="00057A54"/>
    <w:rsid w:val="00057DA0"/>
    <w:rsid w:val="00057E85"/>
    <w:rsid w:val="00057F23"/>
    <w:rsid w:val="0006013E"/>
    <w:rsid w:val="000601A0"/>
    <w:rsid w:val="000603E2"/>
    <w:rsid w:val="000604D7"/>
    <w:rsid w:val="00060691"/>
    <w:rsid w:val="00060817"/>
    <w:rsid w:val="000610A2"/>
    <w:rsid w:val="00061312"/>
    <w:rsid w:val="00061553"/>
    <w:rsid w:val="000615B6"/>
    <w:rsid w:val="000616F7"/>
    <w:rsid w:val="000618B8"/>
    <w:rsid w:val="00062865"/>
    <w:rsid w:val="00063089"/>
    <w:rsid w:val="000632E5"/>
    <w:rsid w:val="000633AB"/>
    <w:rsid w:val="00063935"/>
    <w:rsid w:val="00063F77"/>
    <w:rsid w:val="000640EC"/>
    <w:rsid w:val="0006443D"/>
    <w:rsid w:val="000646D0"/>
    <w:rsid w:val="00064715"/>
    <w:rsid w:val="000647C5"/>
    <w:rsid w:val="00064CA1"/>
    <w:rsid w:val="00064EC8"/>
    <w:rsid w:val="00064F2B"/>
    <w:rsid w:val="0006510A"/>
    <w:rsid w:val="0006519F"/>
    <w:rsid w:val="000651CE"/>
    <w:rsid w:val="00065387"/>
    <w:rsid w:val="000655CE"/>
    <w:rsid w:val="00065A72"/>
    <w:rsid w:val="00065AF1"/>
    <w:rsid w:val="00065DDC"/>
    <w:rsid w:val="000661D5"/>
    <w:rsid w:val="00066221"/>
    <w:rsid w:val="000664C3"/>
    <w:rsid w:val="00066582"/>
    <w:rsid w:val="00066B2D"/>
    <w:rsid w:val="00066C7D"/>
    <w:rsid w:val="00066D52"/>
    <w:rsid w:val="00066E4D"/>
    <w:rsid w:val="00066F76"/>
    <w:rsid w:val="000673EC"/>
    <w:rsid w:val="0006746D"/>
    <w:rsid w:val="00067BCC"/>
    <w:rsid w:val="00070116"/>
    <w:rsid w:val="0007018B"/>
    <w:rsid w:val="00070412"/>
    <w:rsid w:val="00070444"/>
    <w:rsid w:val="0007048E"/>
    <w:rsid w:val="00070661"/>
    <w:rsid w:val="00070875"/>
    <w:rsid w:val="000709B0"/>
    <w:rsid w:val="000709DF"/>
    <w:rsid w:val="00070E78"/>
    <w:rsid w:val="00070F70"/>
    <w:rsid w:val="00070F8F"/>
    <w:rsid w:val="00070F99"/>
    <w:rsid w:val="00070FB0"/>
    <w:rsid w:val="000710AE"/>
    <w:rsid w:val="00071355"/>
    <w:rsid w:val="000716E5"/>
    <w:rsid w:val="000717DB"/>
    <w:rsid w:val="00071ABA"/>
    <w:rsid w:val="00071B77"/>
    <w:rsid w:val="00071E18"/>
    <w:rsid w:val="00072342"/>
    <w:rsid w:val="000729C9"/>
    <w:rsid w:val="0007322D"/>
    <w:rsid w:val="000732C7"/>
    <w:rsid w:val="00073614"/>
    <w:rsid w:val="00073940"/>
    <w:rsid w:val="000739B0"/>
    <w:rsid w:val="00073A0D"/>
    <w:rsid w:val="00073BFC"/>
    <w:rsid w:val="00073F94"/>
    <w:rsid w:val="00074460"/>
    <w:rsid w:val="00074594"/>
    <w:rsid w:val="00074611"/>
    <w:rsid w:val="00074624"/>
    <w:rsid w:val="0007481C"/>
    <w:rsid w:val="00074B74"/>
    <w:rsid w:val="00074C17"/>
    <w:rsid w:val="000756D9"/>
    <w:rsid w:val="00075929"/>
    <w:rsid w:val="000759E4"/>
    <w:rsid w:val="00075C1E"/>
    <w:rsid w:val="00075DA3"/>
    <w:rsid w:val="00075E60"/>
    <w:rsid w:val="00076019"/>
    <w:rsid w:val="0007604A"/>
    <w:rsid w:val="000760C5"/>
    <w:rsid w:val="00076737"/>
    <w:rsid w:val="00076A13"/>
    <w:rsid w:val="00076A62"/>
    <w:rsid w:val="0007740E"/>
    <w:rsid w:val="0007774A"/>
    <w:rsid w:val="00077756"/>
    <w:rsid w:val="00077883"/>
    <w:rsid w:val="00077A53"/>
    <w:rsid w:val="00077FFB"/>
    <w:rsid w:val="00080389"/>
    <w:rsid w:val="000805AC"/>
    <w:rsid w:val="00080989"/>
    <w:rsid w:val="00080AA9"/>
    <w:rsid w:val="00080B6C"/>
    <w:rsid w:val="00080DDC"/>
    <w:rsid w:val="00081271"/>
    <w:rsid w:val="00081444"/>
    <w:rsid w:val="00081A05"/>
    <w:rsid w:val="00081C3C"/>
    <w:rsid w:val="00081D36"/>
    <w:rsid w:val="0008216C"/>
    <w:rsid w:val="00082360"/>
    <w:rsid w:val="0008243F"/>
    <w:rsid w:val="00082C2F"/>
    <w:rsid w:val="00082CCA"/>
    <w:rsid w:val="00082DCF"/>
    <w:rsid w:val="00082F94"/>
    <w:rsid w:val="00083092"/>
    <w:rsid w:val="00083201"/>
    <w:rsid w:val="00083210"/>
    <w:rsid w:val="0008325A"/>
    <w:rsid w:val="000835EE"/>
    <w:rsid w:val="00083958"/>
    <w:rsid w:val="00083EE0"/>
    <w:rsid w:val="000846A6"/>
    <w:rsid w:val="00084914"/>
    <w:rsid w:val="000850B5"/>
    <w:rsid w:val="00085127"/>
    <w:rsid w:val="000851A1"/>
    <w:rsid w:val="000852EC"/>
    <w:rsid w:val="00085509"/>
    <w:rsid w:val="0008604A"/>
    <w:rsid w:val="000860DC"/>
    <w:rsid w:val="0008633A"/>
    <w:rsid w:val="000866D4"/>
    <w:rsid w:val="00086B04"/>
    <w:rsid w:val="00086B37"/>
    <w:rsid w:val="00086BA6"/>
    <w:rsid w:val="0008720E"/>
    <w:rsid w:val="000875BF"/>
    <w:rsid w:val="00087801"/>
    <w:rsid w:val="0008780F"/>
    <w:rsid w:val="00087B2B"/>
    <w:rsid w:val="00087C4C"/>
    <w:rsid w:val="00087D86"/>
    <w:rsid w:val="00087F4F"/>
    <w:rsid w:val="000904CA"/>
    <w:rsid w:val="00090632"/>
    <w:rsid w:val="00090A92"/>
    <w:rsid w:val="00090CAA"/>
    <w:rsid w:val="0009124F"/>
    <w:rsid w:val="000913B3"/>
    <w:rsid w:val="0009180E"/>
    <w:rsid w:val="0009188C"/>
    <w:rsid w:val="00091A8D"/>
    <w:rsid w:val="00092128"/>
    <w:rsid w:val="0009283F"/>
    <w:rsid w:val="00092BC0"/>
    <w:rsid w:val="00092CEA"/>
    <w:rsid w:val="00092D12"/>
    <w:rsid w:val="000930B7"/>
    <w:rsid w:val="00093225"/>
    <w:rsid w:val="000933DC"/>
    <w:rsid w:val="0009392F"/>
    <w:rsid w:val="00093C8E"/>
    <w:rsid w:val="00093DB6"/>
    <w:rsid w:val="00093E85"/>
    <w:rsid w:val="00093EA2"/>
    <w:rsid w:val="0009405E"/>
    <w:rsid w:val="000940D8"/>
    <w:rsid w:val="000943BA"/>
    <w:rsid w:val="00094867"/>
    <w:rsid w:val="00094A84"/>
    <w:rsid w:val="00095719"/>
    <w:rsid w:val="00095861"/>
    <w:rsid w:val="00095A48"/>
    <w:rsid w:val="00095A4B"/>
    <w:rsid w:val="0009607E"/>
    <w:rsid w:val="00096126"/>
    <w:rsid w:val="00096295"/>
    <w:rsid w:val="00096527"/>
    <w:rsid w:val="000965E9"/>
    <w:rsid w:val="00096782"/>
    <w:rsid w:val="000967F6"/>
    <w:rsid w:val="00096977"/>
    <w:rsid w:val="000969E2"/>
    <w:rsid w:val="00096AA6"/>
    <w:rsid w:val="00096C5C"/>
    <w:rsid w:val="00096D8C"/>
    <w:rsid w:val="00096FBA"/>
    <w:rsid w:val="00097185"/>
    <w:rsid w:val="000972CB"/>
    <w:rsid w:val="00097344"/>
    <w:rsid w:val="00097437"/>
    <w:rsid w:val="000975B6"/>
    <w:rsid w:val="00097667"/>
    <w:rsid w:val="000978B0"/>
    <w:rsid w:val="00097AD6"/>
    <w:rsid w:val="00097D48"/>
    <w:rsid w:val="000A0118"/>
    <w:rsid w:val="000A031E"/>
    <w:rsid w:val="000A07D9"/>
    <w:rsid w:val="000A0C2E"/>
    <w:rsid w:val="000A0E78"/>
    <w:rsid w:val="000A1175"/>
    <w:rsid w:val="000A16CD"/>
    <w:rsid w:val="000A178D"/>
    <w:rsid w:val="000A1A4A"/>
    <w:rsid w:val="000A1F98"/>
    <w:rsid w:val="000A2444"/>
    <w:rsid w:val="000A2AF4"/>
    <w:rsid w:val="000A2DF0"/>
    <w:rsid w:val="000A316F"/>
    <w:rsid w:val="000A32A8"/>
    <w:rsid w:val="000A339E"/>
    <w:rsid w:val="000A37E0"/>
    <w:rsid w:val="000A3842"/>
    <w:rsid w:val="000A38E7"/>
    <w:rsid w:val="000A3DDE"/>
    <w:rsid w:val="000A3FFD"/>
    <w:rsid w:val="000A40CB"/>
    <w:rsid w:val="000A4308"/>
    <w:rsid w:val="000A4B18"/>
    <w:rsid w:val="000A4F88"/>
    <w:rsid w:val="000A52FB"/>
    <w:rsid w:val="000A55E3"/>
    <w:rsid w:val="000A58FF"/>
    <w:rsid w:val="000A5A0B"/>
    <w:rsid w:val="000A5A75"/>
    <w:rsid w:val="000A623B"/>
    <w:rsid w:val="000A6346"/>
    <w:rsid w:val="000A6523"/>
    <w:rsid w:val="000A666F"/>
    <w:rsid w:val="000A68C1"/>
    <w:rsid w:val="000A68CD"/>
    <w:rsid w:val="000A6AFB"/>
    <w:rsid w:val="000A6BA4"/>
    <w:rsid w:val="000A6E94"/>
    <w:rsid w:val="000A6ED9"/>
    <w:rsid w:val="000A6F44"/>
    <w:rsid w:val="000A7006"/>
    <w:rsid w:val="000A7380"/>
    <w:rsid w:val="000A74DC"/>
    <w:rsid w:val="000A7916"/>
    <w:rsid w:val="000A7C1B"/>
    <w:rsid w:val="000A7CF0"/>
    <w:rsid w:val="000A7FB8"/>
    <w:rsid w:val="000B010C"/>
    <w:rsid w:val="000B03BC"/>
    <w:rsid w:val="000B0910"/>
    <w:rsid w:val="000B0AC7"/>
    <w:rsid w:val="000B0FD9"/>
    <w:rsid w:val="000B199C"/>
    <w:rsid w:val="000B19CA"/>
    <w:rsid w:val="000B1B7A"/>
    <w:rsid w:val="000B1C1A"/>
    <w:rsid w:val="000B1D0D"/>
    <w:rsid w:val="000B1E05"/>
    <w:rsid w:val="000B1E07"/>
    <w:rsid w:val="000B2161"/>
    <w:rsid w:val="000B2883"/>
    <w:rsid w:val="000B2981"/>
    <w:rsid w:val="000B2A67"/>
    <w:rsid w:val="000B2DBA"/>
    <w:rsid w:val="000B33E5"/>
    <w:rsid w:val="000B35C5"/>
    <w:rsid w:val="000B37FC"/>
    <w:rsid w:val="000B3CBD"/>
    <w:rsid w:val="000B3EA2"/>
    <w:rsid w:val="000B43C1"/>
    <w:rsid w:val="000B48F0"/>
    <w:rsid w:val="000B49F7"/>
    <w:rsid w:val="000B4F63"/>
    <w:rsid w:val="000B50AC"/>
    <w:rsid w:val="000B540F"/>
    <w:rsid w:val="000B559B"/>
    <w:rsid w:val="000B55EF"/>
    <w:rsid w:val="000B567F"/>
    <w:rsid w:val="000B5779"/>
    <w:rsid w:val="000B5796"/>
    <w:rsid w:val="000B5932"/>
    <w:rsid w:val="000B59B0"/>
    <w:rsid w:val="000B6F84"/>
    <w:rsid w:val="000B74E9"/>
    <w:rsid w:val="000B75D6"/>
    <w:rsid w:val="000B78F7"/>
    <w:rsid w:val="000B7BD2"/>
    <w:rsid w:val="000B7C10"/>
    <w:rsid w:val="000B7FA8"/>
    <w:rsid w:val="000C04CE"/>
    <w:rsid w:val="000C08F1"/>
    <w:rsid w:val="000C0B65"/>
    <w:rsid w:val="000C0D86"/>
    <w:rsid w:val="000C1052"/>
    <w:rsid w:val="000C12F6"/>
    <w:rsid w:val="000C14AE"/>
    <w:rsid w:val="000C1509"/>
    <w:rsid w:val="000C15F1"/>
    <w:rsid w:val="000C1604"/>
    <w:rsid w:val="000C1760"/>
    <w:rsid w:val="000C19C2"/>
    <w:rsid w:val="000C1DB3"/>
    <w:rsid w:val="000C1DCA"/>
    <w:rsid w:val="000C1E2A"/>
    <w:rsid w:val="000C1F6A"/>
    <w:rsid w:val="000C2548"/>
    <w:rsid w:val="000C2591"/>
    <w:rsid w:val="000C269D"/>
    <w:rsid w:val="000C2882"/>
    <w:rsid w:val="000C2BC4"/>
    <w:rsid w:val="000C3388"/>
    <w:rsid w:val="000C340A"/>
    <w:rsid w:val="000C3834"/>
    <w:rsid w:val="000C45AF"/>
    <w:rsid w:val="000C45E2"/>
    <w:rsid w:val="000C462E"/>
    <w:rsid w:val="000C46FB"/>
    <w:rsid w:val="000C47EB"/>
    <w:rsid w:val="000C49FE"/>
    <w:rsid w:val="000C4A6E"/>
    <w:rsid w:val="000C4C23"/>
    <w:rsid w:val="000C4DF9"/>
    <w:rsid w:val="000C4F4A"/>
    <w:rsid w:val="000C4F54"/>
    <w:rsid w:val="000C5158"/>
    <w:rsid w:val="000C53FE"/>
    <w:rsid w:val="000C559F"/>
    <w:rsid w:val="000C568D"/>
    <w:rsid w:val="000C56B6"/>
    <w:rsid w:val="000C584B"/>
    <w:rsid w:val="000C5BC9"/>
    <w:rsid w:val="000C5D3E"/>
    <w:rsid w:val="000C61AA"/>
    <w:rsid w:val="000C6256"/>
    <w:rsid w:val="000C62ED"/>
    <w:rsid w:val="000C6659"/>
    <w:rsid w:val="000C670F"/>
    <w:rsid w:val="000C6D18"/>
    <w:rsid w:val="000C6E00"/>
    <w:rsid w:val="000C6E2A"/>
    <w:rsid w:val="000C715A"/>
    <w:rsid w:val="000C73FF"/>
    <w:rsid w:val="000C75FC"/>
    <w:rsid w:val="000C786F"/>
    <w:rsid w:val="000C79EA"/>
    <w:rsid w:val="000C7A6A"/>
    <w:rsid w:val="000C7B42"/>
    <w:rsid w:val="000C7CA4"/>
    <w:rsid w:val="000D0167"/>
    <w:rsid w:val="000D0382"/>
    <w:rsid w:val="000D03DF"/>
    <w:rsid w:val="000D0BA3"/>
    <w:rsid w:val="000D0C1D"/>
    <w:rsid w:val="000D0DCC"/>
    <w:rsid w:val="000D1259"/>
    <w:rsid w:val="000D1329"/>
    <w:rsid w:val="000D150B"/>
    <w:rsid w:val="000D1608"/>
    <w:rsid w:val="000D165E"/>
    <w:rsid w:val="000D16CB"/>
    <w:rsid w:val="000D1745"/>
    <w:rsid w:val="000D1771"/>
    <w:rsid w:val="000D1DCE"/>
    <w:rsid w:val="000D1E22"/>
    <w:rsid w:val="000D204A"/>
    <w:rsid w:val="000D2202"/>
    <w:rsid w:val="000D2811"/>
    <w:rsid w:val="000D2BCD"/>
    <w:rsid w:val="000D32E9"/>
    <w:rsid w:val="000D34C3"/>
    <w:rsid w:val="000D35FA"/>
    <w:rsid w:val="000D3760"/>
    <w:rsid w:val="000D3C42"/>
    <w:rsid w:val="000D3C6F"/>
    <w:rsid w:val="000D3E1B"/>
    <w:rsid w:val="000D406D"/>
    <w:rsid w:val="000D4225"/>
    <w:rsid w:val="000D4249"/>
    <w:rsid w:val="000D4629"/>
    <w:rsid w:val="000D4972"/>
    <w:rsid w:val="000D4A37"/>
    <w:rsid w:val="000D4A58"/>
    <w:rsid w:val="000D4B91"/>
    <w:rsid w:val="000D4CDB"/>
    <w:rsid w:val="000D4DC2"/>
    <w:rsid w:val="000D4E46"/>
    <w:rsid w:val="000D5916"/>
    <w:rsid w:val="000D5ED0"/>
    <w:rsid w:val="000D672C"/>
    <w:rsid w:val="000D672E"/>
    <w:rsid w:val="000D6A66"/>
    <w:rsid w:val="000D6AE5"/>
    <w:rsid w:val="000D718D"/>
    <w:rsid w:val="000D7291"/>
    <w:rsid w:val="000D7612"/>
    <w:rsid w:val="000D7B3C"/>
    <w:rsid w:val="000E001E"/>
    <w:rsid w:val="000E0045"/>
    <w:rsid w:val="000E041F"/>
    <w:rsid w:val="000E05FE"/>
    <w:rsid w:val="000E0B44"/>
    <w:rsid w:val="000E0B4F"/>
    <w:rsid w:val="000E0B9D"/>
    <w:rsid w:val="000E0C43"/>
    <w:rsid w:val="000E11AB"/>
    <w:rsid w:val="000E16BC"/>
    <w:rsid w:val="000E17BB"/>
    <w:rsid w:val="000E1930"/>
    <w:rsid w:val="000E222B"/>
    <w:rsid w:val="000E23FC"/>
    <w:rsid w:val="000E23FE"/>
    <w:rsid w:val="000E24C9"/>
    <w:rsid w:val="000E26D4"/>
    <w:rsid w:val="000E2764"/>
    <w:rsid w:val="000E2869"/>
    <w:rsid w:val="000E2A87"/>
    <w:rsid w:val="000E2EAF"/>
    <w:rsid w:val="000E3474"/>
    <w:rsid w:val="000E383F"/>
    <w:rsid w:val="000E390A"/>
    <w:rsid w:val="000E3D42"/>
    <w:rsid w:val="000E3D7A"/>
    <w:rsid w:val="000E3F98"/>
    <w:rsid w:val="000E43CC"/>
    <w:rsid w:val="000E43EA"/>
    <w:rsid w:val="000E44C5"/>
    <w:rsid w:val="000E44FE"/>
    <w:rsid w:val="000E4877"/>
    <w:rsid w:val="000E49EA"/>
    <w:rsid w:val="000E4ADF"/>
    <w:rsid w:val="000E4D10"/>
    <w:rsid w:val="000E522F"/>
    <w:rsid w:val="000E57E3"/>
    <w:rsid w:val="000E58D4"/>
    <w:rsid w:val="000E5C49"/>
    <w:rsid w:val="000E5D66"/>
    <w:rsid w:val="000E5E0D"/>
    <w:rsid w:val="000E680E"/>
    <w:rsid w:val="000E699B"/>
    <w:rsid w:val="000E6EFE"/>
    <w:rsid w:val="000E6FAA"/>
    <w:rsid w:val="000E707F"/>
    <w:rsid w:val="000E713C"/>
    <w:rsid w:val="000E7370"/>
    <w:rsid w:val="000E76A3"/>
    <w:rsid w:val="000E77BC"/>
    <w:rsid w:val="000E7B53"/>
    <w:rsid w:val="000E7BBD"/>
    <w:rsid w:val="000F00B5"/>
    <w:rsid w:val="000F01A7"/>
    <w:rsid w:val="000F040D"/>
    <w:rsid w:val="000F04EE"/>
    <w:rsid w:val="000F0540"/>
    <w:rsid w:val="000F05D2"/>
    <w:rsid w:val="000F06F5"/>
    <w:rsid w:val="000F0AE9"/>
    <w:rsid w:val="000F0AED"/>
    <w:rsid w:val="000F0F83"/>
    <w:rsid w:val="000F0FB2"/>
    <w:rsid w:val="000F1129"/>
    <w:rsid w:val="000F1478"/>
    <w:rsid w:val="000F179E"/>
    <w:rsid w:val="000F198D"/>
    <w:rsid w:val="000F209B"/>
    <w:rsid w:val="000F21C8"/>
    <w:rsid w:val="000F2463"/>
    <w:rsid w:val="000F2576"/>
    <w:rsid w:val="000F2EC2"/>
    <w:rsid w:val="000F2FF2"/>
    <w:rsid w:val="000F33CD"/>
    <w:rsid w:val="000F3632"/>
    <w:rsid w:val="000F389D"/>
    <w:rsid w:val="000F3967"/>
    <w:rsid w:val="000F3DA2"/>
    <w:rsid w:val="000F3E64"/>
    <w:rsid w:val="000F3FF3"/>
    <w:rsid w:val="000F400D"/>
    <w:rsid w:val="000F4473"/>
    <w:rsid w:val="000F46BB"/>
    <w:rsid w:val="000F4A34"/>
    <w:rsid w:val="000F4B35"/>
    <w:rsid w:val="000F4B41"/>
    <w:rsid w:val="000F4CEB"/>
    <w:rsid w:val="000F51DE"/>
    <w:rsid w:val="000F525F"/>
    <w:rsid w:val="000F5497"/>
    <w:rsid w:val="000F5777"/>
    <w:rsid w:val="000F5813"/>
    <w:rsid w:val="000F5B5E"/>
    <w:rsid w:val="000F5BDB"/>
    <w:rsid w:val="000F5D7D"/>
    <w:rsid w:val="000F626C"/>
    <w:rsid w:val="000F657E"/>
    <w:rsid w:val="000F6587"/>
    <w:rsid w:val="000F676C"/>
    <w:rsid w:val="000F6777"/>
    <w:rsid w:val="000F683E"/>
    <w:rsid w:val="000F6B34"/>
    <w:rsid w:val="000F6C5E"/>
    <w:rsid w:val="000F6E50"/>
    <w:rsid w:val="000F70B0"/>
    <w:rsid w:val="000F7242"/>
    <w:rsid w:val="000F72F6"/>
    <w:rsid w:val="000F7627"/>
    <w:rsid w:val="000F76D2"/>
    <w:rsid w:val="000F785E"/>
    <w:rsid w:val="000F7A70"/>
    <w:rsid w:val="000F7AF3"/>
    <w:rsid w:val="000F7B71"/>
    <w:rsid w:val="000F7B94"/>
    <w:rsid w:val="000F7CDF"/>
    <w:rsid w:val="001008DC"/>
    <w:rsid w:val="0010098B"/>
    <w:rsid w:val="00100F69"/>
    <w:rsid w:val="00101092"/>
    <w:rsid w:val="00101143"/>
    <w:rsid w:val="0010137C"/>
    <w:rsid w:val="001016B7"/>
    <w:rsid w:val="00101A37"/>
    <w:rsid w:val="00101D14"/>
    <w:rsid w:val="00101DE6"/>
    <w:rsid w:val="00102081"/>
    <w:rsid w:val="00102512"/>
    <w:rsid w:val="00102551"/>
    <w:rsid w:val="00102690"/>
    <w:rsid w:val="00102CAA"/>
    <w:rsid w:val="00102DE2"/>
    <w:rsid w:val="001030C3"/>
    <w:rsid w:val="00103427"/>
    <w:rsid w:val="00103C46"/>
    <w:rsid w:val="00103CDC"/>
    <w:rsid w:val="00103DF7"/>
    <w:rsid w:val="00104208"/>
    <w:rsid w:val="001047BF"/>
    <w:rsid w:val="001048A9"/>
    <w:rsid w:val="00104B75"/>
    <w:rsid w:val="00104C8E"/>
    <w:rsid w:val="00104CA8"/>
    <w:rsid w:val="00104F56"/>
    <w:rsid w:val="00104FC1"/>
    <w:rsid w:val="00105605"/>
    <w:rsid w:val="0010567E"/>
    <w:rsid w:val="00105727"/>
    <w:rsid w:val="00105971"/>
    <w:rsid w:val="00105C8F"/>
    <w:rsid w:val="00105D8E"/>
    <w:rsid w:val="00105EB2"/>
    <w:rsid w:val="0010604D"/>
    <w:rsid w:val="00106350"/>
    <w:rsid w:val="00106390"/>
    <w:rsid w:val="0010679B"/>
    <w:rsid w:val="00106801"/>
    <w:rsid w:val="0010685E"/>
    <w:rsid w:val="001068E0"/>
    <w:rsid w:val="00106CEA"/>
    <w:rsid w:val="00106D82"/>
    <w:rsid w:val="00106D86"/>
    <w:rsid w:val="0010704B"/>
    <w:rsid w:val="00107471"/>
    <w:rsid w:val="00107523"/>
    <w:rsid w:val="00107D14"/>
    <w:rsid w:val="00110051"/>
    <w:rsid w:val="00110061"/>
    <w:rsid w:val="0011022A"/>
    <w:rsid w:val="00110653"/>
    <w:rsid w:val="00110704"/>
    <w:rsid w:val="001107DB"/>
    <w:rsid w:val="0011096F"/>
    <w:rsid w:val="00110A7B"/>
    <w:rsid w:val="00110FFE"/>
    <w:rsid w:val="001110E7"/>
    <w:rsid w:val="00111188"/>
    <w:rsid w:val="00111B7E"/>
    <w:rsid w:val="00111C71"/>
    <w:rsid w:val="00111C74"/>
    <w:rsid w:val="00111DD0"/>
    <w:rsid w:val="00111F0C"/>
    <w:rsid w:val="00111F63"/>
    <w:rsid w:val="00112073"/>
    <w:rsid w:val="0011208B"/>
    <w:rsid w:val="00112271"/>
    <w:rsid w:val="0011262B"/>
    <w:rsid w:val="00112C27"/>
    <w:rsid w:val="0011305A"/>
    <w:rsid w:val="00113287"/>
    <w:rsid w:val="00113459"/>
    <w:rsid w:val="00113CCB"/>
    <w:rsid w:val="00113F34"/>
    <w:rsid w:val="00114087"/>
    <w:rsid w:val="00114DD7"/>
    <w:rsid w:val="00114FEB"/>
    <w:rsid w:val="0011527D"/>
    <w:rsid w:val="0011552A"/>
    <w:rsid w:val="0011557A"/>
    <w:rsid w:val="00115A31"/>
    <w:rsid w:val="00115CCF"/>
    <w:rsid w:val="00115EB6"/>
    <w:rsid w:val="001162C2"/>
    <w:rsid w:val="00116312"/>
    <w:rsid w:val="00116A19"/>
    <w:rsid w:val="00116BA9"/>
    <w:rsid w:val="00116D93"/>
    <w:rsid w:val="00117543"/>
    <w:rsid w:val="00117607"/>
    <w:rsid w:val="00117902"/>
    <w:rsid w:val="00117917"/>
    <w:rsid w:val="00117F1F"/>
    <w:rsid w:val="00120257"/>
    <w:rsid w:val="001202DB"/>
    <w:rsid w:val="0012035F"/>
    <w:rsid w:val="00120489"/>
    <w:rsid w:val="00120678"/>
    <w:rsid w:val="0012087F"/>
    <w:rsid w:val="00120A74"/>
    <w:rsid w:val="00120D19"/>
    <w:rsid w:val="00121150"/>
    <w:rsid w:val="00121428"/>
    <w:rsid w:val="00121753"/>
    <w:rsid w:val="00121F8A"/>
    <w:rsid w:val="001224BC"/>
    <w:rsid w:val="00122670"/>
    <w:rsid w:val="00122BD5"/>
    <w:rsid w:val="00123178"/>
    <w:rsid w:val="001232F4"/>
    <w:rsid w:val="0012371B"/>
    <w:rsid w:val="00123B3B"/>
    <w:rsid w:val="00123F27"/>
    <w:rsid w:val="00123F60"/>
    <w:rsid w:val="001240CB"/>
    <w:rsid w:val="001240F1"/>
    <w:rsid w:val="001243BC"/>
    <w:rsid w:val="00124566"/>
    <w:rsid w:val="00124688"/>
    <w:rsid w:val="001247DA"/>
    <w:rsid w:val="00124BA3"/>
    <w:rsid w:val="00124CCE"/>
    <w:rsid w:val="00124D39"/>
    <w:rsid w:val="00124E05"/>
    <w:rsid w:val="001250B8"/>
    <w:rsid w:val="0012518B"/>
    <w:rsid w:val="001254D2"/>
    <w:rsid w:val="001255CA"/>
    <w:rsid w:val="001257BB"/>
    <w:rsid w:val="00125CBA"/>
    <w:rsid w:val="00125E87"/>
    <w:rsid w:val="00126145"/>
    <w:rsid w:val="001262AC"/>
    <w:rsid w:val="00126480"/>
    <w:rsid w:val="0012657C"/>
    <w:rsid w:val="00126A6C"/>
    <w:rsid w:val="00126C18"/>
    <w:rsid w:val="00126FDA"/>
    <w:rsid w:val="00127102"/>
    <w:rsid w:val="00127178"/>
    <w:rsid w:val="0012752E"/>
    <w:rsid w:val="00127DED"/>
    <w:rsid w:val="001300B1"/>
    <w:rsid w:val="00130A42"/>
    <w:rsid w:val="00130A87"/>
    <w:rsid w:val="00130AE1"/>
    <w:rsid w:val="00130AF2"/>
    <w:rsid w:val="00130DAC"/>
    <w:rsid w:val="00131149"/>
    <w:rsid w:val="00131151"/>
    <w:rsid w:val="001312FF"/>
    <w:rsid w:val="0013167E"/>
    <w:rsid w:val="0013195B"/>
    <w:rsid w:val="00131A9D"/>
    <w:rsid w:val="00131C42"/>
    <w:rsid w:val="0013217A"/>
    <w:rsid w:val="00132566"/>
    <w:rsid w:val="001326E9"/>
    <w:rsid w:val="0013299B"/>
    <w:rsid w:val="00132A99"/>
    <w:rsid w:val="00132AFE"/>
    <w:rsid w:val="00133078"/>
    <w:rsid w:val="0013321B"/>
    <w:rsid w:val="00133294"/>
    <w:rsid w:val="00133363"/>
    <w:rsid w:val="001339EA"/>
    <w:rsid w:val="00133A95"/>
    <w:rsid w:val="00133BBA"/>
    <w:rsid w:val="00133F79"/>
    <w:rsid w:val="001344E4"/>
    <w:rsid w:val="00134699"/>
    <w:rsid w:val="0013494E"/>
    <w:rsid w:val="00134DC0"/>
    <w:rsid w:val="00135358"/>
    <w:rsid w:val="001356F7"/>
    <w:rsid w:val="00135EFD"/>
    <w:rsid w:val="001361D8"/>
    <w:rsid w:val="001362A6"/>
    <w:rsid w:val="00136516"/>
    <w:rsid w:val="00136C4E"/>
    <w:rsid w:val="00136EAC"/>
    <w:rsid w:val="00136F8F"/>
    <w:rsid w:val="001372AC"/>
    <w:rsid w:val="0013735E"/>
    <w:rsid w:val="0013740F"/>
    <w:rsid w:val="00137413"/>
    <w:rsid w:val="001375D1"/>
    <w:rsid w:val="00137C51"/>
    <w:rsid w:val="00137DA2"/>
    <w:rsid w:val="00137DF6"/>
    <w:rsid w:val="00137EEF"/>
    <w:rsid w:val="00140267"/>
    <w:rsid w:val="00140326"/>
    <w:rsid w:val="001404C8"/>
    <w:rsid w:val="00140ECF"/>
    <w:rsid w:val="00140FAF"/>
    <w:rsid w:val="00141113"/>
    <w:rsid w:val="0014145D"/>
    <w:rsid w:val="001415FD"/>
    <w:rsid w:val="001417AE"/>
    <w:rsid w:val="001417FB"/>
    <w:rsid w:val="00141827"/>
    <w:rsid w:val="0014195D"/>
    <w:rsid w:val="00141EBA"/>
    <w:rsid w:val="00141FCC"/>
    <w:rsid w:val="001422E8"/>
    <w:rsid w:val="001423D2"/>
    <w:rsid w:val="00142559"/>
    <w:rsid w:val="0014288D"/>
    <w:rsid w:val="001428B5"/>
    <w:rsid w:val="00142AC5"/>
    <w:rsid w:val="00142E1B"/>
    <w:rsid w:val="0014319B"/>
    <w:rsid w:val="001435D5"/>
    <w:rsid w:val="00143AC3"/>
    <w:rsid w:val="00143BB4"/>
    <w:rsid w:val="00143C68"/>
    <w:rsid w:val="00143CB1"/>
    <w:rsid w:val="00143DB0"/>
    <w:rsid w:val="00143EFD"/>
    <w:rsid w:val="001442B6"/>
    <w:rsid w:val="00144900"/>
    <w:rsid w:val="001449CC"/>
    <w:rsid w:val="00144D4E"/>
    <w:rsid w:val="00144FD1"/>
    <w:rsid w:val="0014566A"/>
    <w:rsid w:val="001457EE"/>
    <w:rsid w:val="00145C76"/>
    <w:rsid w:val="00145F7A"/>
    <w:rsid w:val="001461B8"/>
    <w:rsid w:val="001465C5"/>
    <w:rsid w:val="00146621"/>
    <w:rsid w:val="00146702"/>
    <w:rsid w:val="00146A47"/>
    <w:rsid w:val="00146B15"/>
    <w:rsid w:val="00147063"/>
    <w:rsid w:val="001472E6"/>
    <w:rsid w:val="001477E7"/>
    <w:rsid w:val="001478EF"/>
    <w:rsid w:val="00147951"/>
    <w:rsid w:val="00147C3B"/>
    <w:rsid w:val="00147C7D"/>
    <w:rsid w:val="00147D37"/>
    <w:rsid w:val="00147EE5"/>
    <w:rsid w:val="00147F26"/>
    <w:rsid w:val="00147F43"/>
    <w:rsid w:val="0015044A"/>
    <w:rsid w:val="00150661"/>
    <w:rsid w:val="00150991"/>
    <w:rsid w:val="00150A17"/>
    <w:rsid w:val="00150AD9"/>
    <w:rsid w:val="00150B7C"/>
    <w:rsid w:val="00150D9D"/>
    <w:rsid w:val="00151964"/>
    <w:rsid w:val="001519B0"/>
    <w:rsid w:val="00151A29"/>
    <w:rsid w:val="00151F68"/>
    <w:rsid w:val="00152380"/>
    <w:rsid w:val="00152446"/>
    <w:rsid w:val="001527E4"/>
    <w:rsid w:val="00153358"/>
    <w:rsid w:val="001536A9"/>
    <w:rsid w:val="00153BEC"/>
    <w:rsid w:val="001541F1"/>
    <w:rsid w:val="0015447A"/>
    <w:rsid w:val="001545B7"/>
    <w:rsid w:val="00154A39"/>
    <w:rsid w:val="00154AAE"/>
    <w:rsid w:val="00154AC6"/>
    <w:rsid w:val="00154CD7"/>
    <w:rsid w:val="00154FBC"/>
    <w:rsid w:val="001553D4"/>
    <w:rsid w:val="001556AE"/>
    <w:rsid w:val="001558F4"/>
    <w:rsid w:val="00155CB8"/>
    <w:rsid w:val="00155E7B"/>
    <w:rsid w:val="00155F9F"/>
    <w:rsid w:val="00156175"/>
    <w:rsid w:val="00156242"/>
    <w:rsid w:val="00156D87"/>
    <w:rsid w:val="00156F26"/>
    <w:rsid w:val="00156F29"/>
    <w:rsid w:val="00156FD6"/>
    <w:rsid w:val="00157184"/>
    <w:rsid w:val="00157481"/>
    <w:rsid w:val="001577DD"/>
    <w:rsid w:val="001577E6"/>
    <w:rsid w:val="00157BEA"/>
    <w:rsid w:val="001600B3"/>
    <w:rsid w:val="001602C5"/>
    <w:rsid w:val="001603A5"/>
    <w:rsid w:val="001603AA"/>
    <w:rsid w:val="001607FC"/>
    <w:rsid w:val="00160AD6"/>
    <w:rsid w:val="00161293"/>
    <w:rsid w:val="00161315"/>
    <w:rsid w:val="001618E2"/>
    <w:rsid w:val="00161910"/>
    <w:rsid w:val="00161B68"/>
    <w:rsid w:val="00161BE8"/>
    <w:rsid w:val="00161C41"/>
    <w:rsid w:val="00161EE1"/>
    <w:rsid w:val="0016290B"/>
    <w:rsid w:val="00162942"/>
    <w:rsid w:val="001630B3"/>
    <w:rsid w:val="00163895"/>
    <w:rsid w:val="00163971"/>
    <w:rsid w:val="00163A8A"/>
    <w:rsid w:val="001646C7"/>
    <w:rsid w:val="00164771"/>
    <w:rsid w:val="0016495E"/>
    <w:rsid w:val="001649BE"/>
    <w:rsid w:val="00165EB3"/>
    <w:rsid w:val="00166A72"/>
    <w:rsid w:val="00167815"/>
    <w:rsid w:val="00167B5D"/>
    <w:rsid w:val="00167D33"/>
    <w:rsid w:val="00167E4C"/>
    <w:rsid w:val="001705DD"/>
    <w:rsid w:val="00170739"/>
    <w:rsid w:val="00170900"/>
    <w:rsid w:val="001709A2"/>
    <w:rsid w:val="00170E6E"/>
    <w:rsid w:val="00171189"/>
    <w:rsid w:val="00171526"/>
    <w:rsid w:val="0017162E"/>
    <w:rsid w:val="0017223A"/>
    <w:rsid w:val="0017242D"/>
    <w:rsid w:val="0017252F"/>
    <w:rsid w:val="00172591"/>
    <w:rsid w:val="001727B0"/>
    <w:rsid w:val="0017297B"/>
    <w:rsid w:val="00172A04"/>
    <w:rsid w:val="00172F68"/>
    <w:rsid w:val="001730AB"/>
    <w:rsid w:val="0017325A"/>
    <w:rsid w:val="00173338"/>
    <w:rsid w:val="00173486"/>
    <w:rsid w:val="00173B48"/>
    <w:rsid w:val="00173B73"/>
    <w:rsid w:val="00173BCF"/>
    <w:rsid w:val="001740B2"/>
    <w:rsid w:val="001740BB"/>
    <w:rsid w:val="00174117"/>
    <w:rsid w:val="001743D4"/>
    <w:rsid w:val="001749C7"/>
    <w:rsid w:val="00174C5D"/>
    <w:rsid w:val="001753C4"/>
    <w:rsid w:val="0017559A"/>
    <w:rsid w:val="00175E29"/>
    <w:rsid w:val="0017663A"/>
    <w:rsid w:val="00176CD2"/>
    <w:rsid w:val="00176D21"/>
    <w:rsid w:val="00176F3A"/>
    <w:rsid w:val="0017723D"/>
    <w:rsid w:val="0017726E"/>
    <w:rsid w:val="00177338"/>
    <w:rsid w:val="001776ED"/>
    <w:rsid w:val="00177C11"/>
    <w:rsid w:val="00177EF0"/>
    <w:rsid w:val="001806F9"/>
    <w:rsid w:val="00180825"/>
    <w:rsid w:val="00180AF2"/>
    <w:rsid w:val="00180E84"/>
    <w:rsid w:val="00181064"/>
    <w:rsid w:val="001814E3"/>
    <w:rsid w:val="001819CD"/>
    <w:rsid w:val="00181ACE"/>
    <w:rsid w:val="00181B30"/>
    <w:rsid w:val="00181F1A"/>
    <w:rsid w:val="00181FDB"/>
    <w:rsid w:val="001820BC"/>
    <w:rsid w:val="00182322"/>
    <w:rsid w:val="00182724"/>
    <w:rsid w:val="00182B03"/>
    <w:rsid w:val="00183452"/>
    <w:rsid w:val="001834D5"/>
    <w:rsid w:val="00183631"/>
    <w:rsid w:val="00183B53"/>
    <w:rsid w:val="00183C8A"/>
    <w:rsid w:val="00183D2E"/>
    <w:rsid w:val="001840A7"/>
    <w:rsid w:val="00184188"/>
    <w:rsid w:val="001842F7"/>
    <w:rsid w:val="00184532"/>
    <w:rsid w:val="00184639"/>
    <w:rsid w:val="001848A5"/>
    <w:rsid w:val="00184989"/>
    <w:rsid w:val="00184C41"/>
    <w:rsid w:val="00184CEA"/>
    <w:rsid w:val="00184EDA"/>
    <w:rsid w:val="001852F2"/>
    <w:rsid w:val="00185482"/>
    <w:rsid w:val="00185783"/>
    <w:rsid w:val="001859E0"/>
    <w:rsid w:val="00185DFE"/>
    <w:rsid w:val="00186251"/>
    <w:rsid w:val="00186607"/>
    <w:rsid w:val="00186A1B"/>
    <w:rsid w:val="00186FC5"/>
    <w:rsid w:val="00187117"/>
    <w:rsid w:val="001872F5"/>
    <w:rsid w:val="00187416"/>
    <w:rsid w:val="00187940"/>
    <w:rsid w:val="0018795B"/>
    <w:rsid w:val="001879D6"/>
    <w:rsid w:val="00190035"/>
    <w:rsid w:val="00190795"/>
    <w:rsid w:val="00190AD1"/>
    <w:rsid w:val="00190F06"/>
    <w:rsid w:val="001910A0"/>
    <w:rsid w:val="0019112C"/>
    <w:rsid w:val="001912E8"/>
    <w:rsid w:val="001913F9"/>
    <w:rsid w:val="00191529"/>
    <w:rsid w:val="001915B4"/>
    <w:rsid w:val="00191690"/>
    <w:rsid w:val="00191876"/>
    <w:rsid w:val="001918DE"/>
    <w:rsid w:val="00191AEB"/>
    <w:rsid w:val="00191F85"/>
    <w:rsid w:val="001921D2"/>
    <w:rsid w:val="00192819"/>
    <w:rsid w:val="00192A9A"/>
    <w:rsid w:val="0019373D"/>
    <w:rsid w:val="00193748"/>
    <w:rsid w:val="00193952"/>
    <w:rsid w:val="00193B15"/>
    <w:rsid w:val="00193B89"/>
    <w:rsid w:val="00193D88"/>
    <w:rsid w:val="00193EB4"/>
    <w:rsid w:val="0019463C"/>
    <w:rsid w:val="001946A0"/>
    <w:rsid w:val="00194A66"/>
    <w:rsid w:val="00194DF6"/>
    <w:rsid w:val="00194EF8"/>
    <w:rsid w:val="00194F46"/>
    <w:rsid w:val="00194F7D"/>
    <w:rsid w:val="00194F9A"/>
    <w:rsid w:val="001952C6"/>
    <w:rsid w:val="00195A51"/>
    <w:rsid w:val="001960F2"/>
    <w:rsid w:val="00196567"/>
    <w:rsid w:val="0019663B"/>
    <w:rsid w:val="001968C4"/>
    <w:rsid w:val="001968CC"/>
    <w:rsid w:val="0019698A"/>
    <w:rsid w:val="00196C41"/>
    <w:rsid w:val="00196C82"/>
    <w:rsid w:val="00196DB3"/>
    <w:rsid w:val="00196DCC"/>
    <w:rsid w:val="00196E58"/>
    <w:rsid w:val="00196ECA"/>
    <w:rsid w:val="00197131"/>
    <w:rsid w:val="00197E79"/>
    <w:rsid w:val="00197EE3"/>
    <w:rsid w:val="001A06A8"/>
    <w:rsid w:val="001A079C"/>
    <w:rsid w:val="001A1058"/>
    <w:rsid w:val="001A1194"/>
    <w:rsid w:val="001A1290"/>
    <w:rsid w:val="001A13A5"/>
    <w:rsid w:val="001A1662"/>
    <w:rsid w:val="001A1685"/>
    <w:rsid w:val="001A1CBB"/>
    <w:rsid w:val="001A1DEB"/>
    <w:rsid w:val="001A1F2C"/>
    <w:rsid w:val="001A231C"/>
    <w:rsid w:val="001A2333"/>
    <w:rsid w:val="001A2BB7"/>
    <w:rsid w:val="001A2C8A"/>
    <w:rsid w:val="001A2CD6"/>
    <w:rsid w:val="001A2D95"/>
    <w:rsid w:val="001A310B"/>
    <w:rsid w:val="001A364C"/>
    <w:rsid w:val="001A38EE"/>
    <w:rsid w:val="001A3D32"/>
    <w:rsid w:val="001A422F"/>
    <w:rsid w:val="001A4391"/>
    <w:rsid w:val="001A459A"/>
    <w:rsid w:val="001A497D"/>
    <w:rsid w:val="001A4A58"/>
    <w:rsid w:val="001A4C2A"/>
    <w:rsid w:val="001A4F00"/>
    <w:rsid w:val="001A4F7E"/>
    <w:rsid w:val="001A5262"/>
    <w:rsid w:val="001A59A6"/>
    <w:rsid w:val="001A61AD"/>
    <w:rsid w:val="001A62F0"/>
    <w:rsid w:val="001A658E"/>
    <w:rsid w:val="001A6A52"/>
    <w:rsid w:val="001A6C8E"/>
    <w:rsid w:val="001A706C"/>
    <w:rsid w:val="001A713A"/>
    <w:rsid w:val="001A7339"/>
    <w:rsid w:val="001A73BA"/>
    <w:rsid w:val="001A7476"/>
    <w:rsid w:val="001A756B"/>
    <w:rsid w:val="001A79DC"/>
    <w:rsid w:val="001A7B9B"/>
    <w:rsid w:val="001B01AF"/>
    <w:rsid w:val="001B0346"/>
    <w:rsid w:val="001B03A7"/>
    <w:rsid w:val="001B059C"/>
    <w:rsid w:val="001B08B4"/>
    <w:rsid w:val="001B09DE"/>
    <w:rsid w:val="001B0AC6"/>
    <w:rsid w:val="001B0AD0"/>
    <w:rsid w:val="001B0CB7"/>
    <w:rsid w:val="001B1040"/>
    <w:rsid w:val="001B148E"/>
    <w:rsid w:val="001B15A8"/>
    <w:rsid w:val="001B17C9"/>
    <w:rsid w:val="001B19D0"/>
    <w:rsid w:val="001B1AF1"/>
    <w:rsid w:val="001B1B5E"/>
    <w:rsid w:val="001B1C82"/>
    <w:rsid w:val="001B22D4"/>
    <w:rsid w:val="001B231E"/>
    <w:rsid w:val="001B2950"/>
    <w:rsid w:val="001B2A0C"/>
    <w:rsid w:val="001B2E8C"/>
    <w:rsid w:val="001B315F"/>
    <w:rsid w:val="001B3365"/>
    <w:rsid w:val="001B36FA"/>
    <w:rsid w:val="001B36FE"/>
    <w:rsid w:val="001B3799"/>
    <w:rsid w:val="001B37DE"/>
    <w:rsid w:val="001B391C"/>
    <w:rsid w:val="001B3F74"/>
    <w:rsid w:val="001B408A"/>
    <w:rsid w:val="001B40D1"/>
    <w:rsid w:val="001B4296"/>
    <w:rsid w:val="001B43F6"/>
    <w:rsid w:val="001B46E5"/>
    <w:rsid w:val="001B4990"/>
    <w:rsid w:val="001B519F"/>
    <w:rsid w:val="001B595E"/>
    <w:rsid w:val="001B5A57"/>
    <w:rsid w:val="001B5B23"/>
    <w:rsid w:val="001B6126"/>
    <w:rsid w:val="001B641E"/>
    <w:rsid w:val="001B6904"/>
    <w:rsid w:val="001B6A99"/>
    <w:rsid w:val="001B71B5"/>
    <w:rsid w:val="001B721E"/>
    <w:rsid w:val="001B7429"/>
    <w:rsid w:val="001B7A28"/>
    <w:rsid w:val="001B7BF0"/>
    <w:rsid w:val="001B7DDA"/>
    <w:rsid w:val="001C020C"/>
    <w:rsid w:val="001C0A18"/>
    <w:rsid w:val="001C1058"/>
    <w:rsid w:val="001C1679"/>
    <w:rsid w:val="001C1E17"/>
    <w:rsid w:val="001C21EC"/>
    <w:rsid w:val="001C224F"/>
    <w:rsid w:val="001C2641"/>
    <w:rsid w:val="001C2DD0"/>
    <w:rsid w:val="001C2FBE"/>
    <w:rsid w:val="001C2FCA"/>
    <w:rsid w:val="001C3437"/>
    <w:rsid w:val="001C3DF9"/>
    <w:rsid w:val="001C441B"/>
    <w:rsid w:val="001C444A"/>
    <w:rsid w:val="001C4491"/>
    <w:rsid w:val="001C4805"/>
    <w:rsid w:val="001C48A7"/>
    <w:rsid w:val="001C4BBB"/>
    <w:rsid w:val="001C5078"/>
    <w:rsid w:val="001C50D9"/>
    <w:rsid w:val="001C56BE"/>
    <w:rsid w:val="001C5A1D"/>
    <w:rsid w:val="001C5B6E"/>
    <w:rsid w:val="001C6134"/>
    <w:rsid w:val="001C6483"/>
    <w:rsid w:val="001C65A5"/>
    <w:rsid w:val="001C679D"/>
    <w:rsid w:val="001C6D1D"/>
    <w:rsid w:val="001C706A"/>
    <w:rsid w:val="001C7C18"/>
    <w:rsid w:val="001C7C82"/>
    <w:rsid w:val="001C7FE9"/>
    <w:rsid w:val="001D0031"/>
    <w:rsid w:val="001D0383"/>
    <w:rsid w:val="001D038B"/>
    <w:rsid w:val="001D059B"/>
    <w:rsid w:val="001D0884"/>
    <w:rsid w:val="001D0AE2"/>
    <w:rsid w:val="001D0B09"/>
    <w:rsid w:val="001D0C5C"/>
    <w:rsid w:val="001D0E29"/>
    <w:rsid w:val="001D1363"/>
    <w:rsid w:val="001D13B5"/>
    <w:rsid w:val="001D1403"/>
    <w:rsid w:val="001D16BA"/>
    <w:rsid w:val="001D1878"/>
    <w:rsid w:val="001D1A71"/>
    <w:rsid w:val="001D1B25"/>
    <w:rsid w:val="001D1E75"/>
    <w:rsid w:val="001D20D5"/>
    <w:rsid w:val="001D24B7"/>
    <w:rsid w:val="001D2B08"/>
    <w:rsid w:val="001D2F24"/>
    <w:rsid w:val="001D35F6"/>
    <w:rsid w:val="001D35FD"/>
    <w:rsid w:val="001D3A38"/>
    <w:rsid w:val="001D3CD1"/>
    <w:rsid w:val="001D3D9C"/>
    <w:rsid w:val="001D3DB8"/>
    <w:rsid w:val="001D3E12"/>
    <w:rsid w:val="001D3F8C"/>
    <w:rsid w:val="001D3FE4"/>
    <w:rsid w:val="001D414E"/>
    <w:rsid w:val="001D44BF"/>
    <w:rsid w:val="001D44F4"/>
    <w:rsid w:val="001D473B"/>
    <w:rsid w:val="001D48B3"/>
    <w:rsid w:val="001D48BD"/>
    <w:rsid w:val="001D4A32"/>
    <w:rsid w:val="001D4F12"/>
    <w:rsid w:val="001D5431"/>
    <w:rsid w:val="001D56EA"/>
    <w:rsid w:val="001D5759"/>
    <w:rsid w:val="001D60DC"/>
    <w:rsid w:val="001D62FB"/>
    <w:rsid w:val="001D64C1"/>
    <w:rsid w:val="001D6BC2"/>
    <w:rsid w:val="001D6BCF"/>
    <w:rsid w:val="001D6D41"/>
    <w:rsid w:val="001D6E63"/>
    <w:rsid w:val="001D6F9D"/>
    <w:rsid w:val="001D6FB8"/>
    <w:rsid w:val="001D72F4"/>
    <w:rsid w:val="001D7794"/>
    <w:rsid w:val="001D77DC"/>
    <w:rsid w:val="001D7D0D"/>
    <w:rsid w:val="001D7F5B"/>
    <w:rsid w:val="001E0147"/>
    <w:rsid w:val="001E0189"/>
    <w:rsid w:val="001E01CA"/>
    <w:rsid w:val="001E02EC"/>
    <w:rsid w:val="001E03DC"/>
    <w:rsid w:val="001E040B"/>
    <w:rsid w:val="001E0687"/>
    <w:rsid w:val="001E07F6"/>
    <w:rsid w:val="001E09EC"/>
    <w:rsid w:val="001E0B50"/>
    <w:rsid w:val="001E0DE9"/>
    <w:rsid w:val="001E1707"/>
    <w:rsid w:val="001E1A57"/>
    <w:rsid w:val="001E1D18"/>
    <w:rsid w:val="001E1F21"/>
    <w:rsid w:val="001E202E"/>
    <w:rsid w:val="001E2340"/>
    <w:rsid w:val="001E23F0"/>
    <w:rsid w:val="001E2484"/>
    <w:rsid w:val="001E2548"/>
    <w:rsid w:val="001E2D60"/>
    <w:rsid w:val="001E3709"/>
    <w:rsid w:val="001E3835"/>
    <w:rsid w:val="001E3EB2"/>
    <w:rsid w:val="001E3F02"/>
    <w:rsid w:val="001E42DD"/>
    <w:rsid w:val="001E4364"/>
    <w:rsid w:val="001E4370"/>
    <w:rsid w:val="001E4D5B"/>
    <w:rsid w:val="001E5219"/>
    <w:rsid w:val="001E5667"/>
    <w:rsid w:val="001E5AA3"/>
    <w:rsid w:val="001E5CF8"/>
    <w:rsid w:val="001E63BA"/>
    <w:rsid w:val="001E64F8"/>
    <w:rsid w:val="001E6680"/>
    <w:rsid w:val="001E675C"/>
    <w:rsid w:val="001E6C20"/>
    <w:rsid w:val="001E6C28"/>
    <w:rsid w:val="001E6F92"/>
    <w:rsid w:val="001E7608"/>
    <w:rsid w:val="001E7805"/>
    <w:rsid w:val="001E79BB"/>
    <w:rsid w:val="001E7CC4"/>
    <w:rsid w:val="001E7FF7"/>
    <w:rsid w:val="001F0554"/>
    <w:rsid w:val="001F090C"/>
    <w:rsid w:val="001F0A9D"/>
    <w:rsid w:val="001F0AD8"/>
    <w:rsid w:val="001F0BFC"/>
    <w:rsid w:val="001F0DC6"/>
    <w:rsid w:val="001F191A"/>
    <w:rsid w:val="001F1AC7"/>
    <w:rsid w:val="001F20D6"/>
    <w:rsid w:val="001F27C2"/>
    <w:rsid w:val="001F2B4A"/>
    <w:rsid w:val="001F2CE5"/>
    <w:rsid w:val="001F2D0B"/>
    <w:rsid w:val="001F2ECD"/>
    <w:rsid w:val="001F30F1"/>
    <w:rsid w:val="001F345E"/>
    <w:rsid w:val="001F37C0"/>
    <w:rsid w:val="001F3C0C"/>
    <w:rsid w:val="001F3D7E"/>
    <w:rsid w:val="001F3EA8"/>
    <w:rsid w:val="001F3FB5"/>
    <w:rsid w:val="001F502A"/>
    <w:rsid w:val="001F50BD"/>
    <w:rsid w:val="001F5454"/>
    <w:rsid w:val="001F591E"/>
    <w:rsid w:val="001F5A87"/>
    <w:rsid w:val="001F5CAE"/>
    <w:rsid w:val="001F62DC"/>
    <w:rsid w:val="001F64AD"/>
    <w:rsid w:val="001F664D"/>
    <w:rsid w:val="001F67FA"/>
    <w:rsid w:val="001F694F"/>
    <w:rsid w:val="001F6A1B"/>
    <w:rsid w:val="001F6A43"/>
    <w:rsid w:val="001F6A56"/>
    <w:rsid w:val="001F6A91"/>
    <w:rsid w:val="001F7186"/>
    <w:rsid w:val="001F72D6"/>
    <w:rsid w:val="001F77E2"/>
    <w:rsid w:val="001F79C1"/>
    <w:rsid w:val="001F7A3B"/>
    <w:rsid w:val="001F7C87"/>
    <w:rsid w:val="002003C6"/>
    <w:rsid w:val="00200827"/>
    <w:rsid w:val="00200B43"/>
    <w:rsid w:val="00200C19"/>
    <w:rsid w:val="00200CF6"/>
    <w:rsid w:val="00200DAC"/>
    <w:rsid w:val="00200E93"/>
    <w:rsid w:val="002012AC"/>
    <w:rsid w:val="002015C7"/>
    <w:rsid w:val="00201A17"/>
    <w:rsid w:val="00201EED"/>
    <w:rsid w:val="0020225B"/>
    <w:rsid w:val="00202540"/>
    <w:rsid w:val="002027B2"/>
    <w:rsid w:val="0020284E"/>
    <w:rsid w:val="00202AAB"/>
    <w:rsid w:val="00202B50"/>
    <w:rsid w:val="0020310C"/>
    <w:rsid w:val="0020312D"/>
    <w:rsid w:val="00203443"/>
    <w:rsid w:val="0020349F"/>
    <w:rsid w:val="00203C3E"/>
    <w:rsid w:val="00203CCB"/>
    <w:rsid w:val="00203E70"/>
    <w:rsid w:val="00203E72"/>
    <w:rsid w:val="00203F97"/>
    <w:rsid w:val="002045C2"/>
    <w:rsid w:val="0020470A"/>
    <w:rsid w:val="002047B2"/>
    <w:rsid w:val="002047DE"/>
    <w:rsid w:val="00204E2E"/>
    <w:rsid w:val="0020515B"/>
    <w:rsid w:val="002059D0"/>
    <w:rsid w:val="00205BBA"/>
    <w:rsid w:val="00205DBB"/>
    <w:rsid w:val="00206086"/>
    <w:rsid w:val="00206535"/>
    <w:rsid w:val="00206B3F"/>
    <w:rsid w:val="00206B44"/>
    <w:rsid w:val="002072AA"/>
    <w:rsid w:val="002075AF"/>
    <w:rsid w:val="002102A1"/>
    <w:rsid w:val="00210334"/>
    <w:rsid w:val="002103D7"/>
    <w:rsid w:val="00210674"/>
    <w:rsid w:val="002108AE"/>
    <w:rsid w:val="00210E6E"/>
    <w:rsid w:val="00210EEB"/>
    <w:rsid w:val="00210F93"/>
    <w:rsid w:val="002110A6"/>
    <w:rsid w:val="002110DA"/>
    <w:rsid w:val="00211270"/>
    <w:rsid w:val="00211376"/>
    <w:rsid w:val="00211D9C"/>
    <w:rsid w:val="0021201B"/>
    <w:rsid w:val="00212104"/>
    <w:rsid w:val="002126B4"/>
    <w:rsid w:val="002128DF"/>
    <w:rsid w:val="00212977"/>
    <w:rsid w:val="00212B18"/>
    <w:rsid w:val="00213387"/>
    <w:rsid w:val="00213853"/>
    <w:rsid w:val="0021385E"/>
    <w:rsid w:val="0021393C"/>
    <w:rsid w:val="0021401E"/>
    <w:rsid w:val="002142D6"/>
    <w:rsid w:val="00214BEB"/>
    <w:rsid w:val="00214CC2"/>
    <w:rsid w:val="00215283"/>
    <w:rsid w:val="002153E5"/>
    <w:rsid w:val="00215452"/>
    <w:rsid w:val="002157E4"/>
    <w:rsid w:val="002158BB"/>
    <w:rsid w:val="002158D9"/>
    <w:rsid w:val="00215BB8"/>
    <w:rsid w:val="00216018"/>
    <w:rsid w:val="00216537"/>
    <w:rsid w:val="00216561"/>
    <w:rsid w:val="00216726"/>
    <w:rsid w:val="00216727"/>
    <w:rsid w:val="00216BBD"/>
    <w:rsid w:val="00216EEF"/>
    <w:rsid w:val="00216FA3"/>
    <w:rsid w:val="00217099"/>
    <w:rsid w:val="002170BB"/>
    <w:rsid w:val="002174CB"/>
    <w:rsid w:val="002179C0"/>
    <w:rsid w:val="00217D9E"/>
    <w:rsid w:val="002201C6"/>
    <w:rsid w:val="0022049A"/>
    <w:rsid w:val="002204C2"/>
    <w:rsid w:val="002208CF"/>
    <w:rsid w:val="00220DB0"/>
    <w:rsid w:val="00220F46"/>
    <w:rsid w:val="00221585"/>
    <w:rsid w:val="0022176E"/>
    <w:rsid w:val="00221896"/>
    <w:rsid w:val="00221C4A"/>
    <w:rsid w:val="00221F0E"/>
    <w:rsid w:val="002220F2"/>
    <w:rsid w:val="00222681"/>
    <w:rsid w:val="00222769"/>
    <w:rsid w:val="00222A9F"/>
    <w:rsid w:val="00222E8F"/>
    <w:rsid w:val="00222E99"/>
    <w:rsid w:val="00222FF4"/>
    <w:rsid w:val="00222FF7"/>
    <w:rsid w:val="002230A3"/>
    <w:rsid w:val="0022344C"/>
    <w:rsid w:val="0022375F"/>
    <w:rsid w:val="0022377F"/>
    <w:rsid w:val="002238CA"/>
    <w:rsid w:val="00223DA3"/>
    <w:rsid w:val="00223DA5"/>
    <w:rsid w:val="00223E11"/>
    <w:rsid w:val="00224255"/>
    <w:rsid w:val="002247E5"/>
    <w:rsid w:val="00224892"/>
    <w:rsid w:val="00224A3E"/>
    <w:rsid w:val="00224AFB"/>
    <w:rsid w:val="00224B14"/>
    <w:rsid w:val="00224BAC"/>
    <w:rsid w:val="00224EC2"/>
    <w:rsid w:val="00224FD5"/>
    <w:rsid w:val="00225027"/>
    <w:rsid w:val="0022509B"/>
    <w:rsid w:val="002255F9"/>
    <w:rsid w:val="002259B2"/>
    <w:rsid w:val="00225C52"/>
    <w:rsid w:val="00225CC2"/>
    <w:rsid w:val="00225F86"/>
    <w:rsid w:val="00226263"/>
    <w:rsid w:val="00226288"/>
    <w:rsid w:val="002262AF"/>
    <w:rsid w:val="0022636F"/>
    <w:rsid w:val="002266F4"/>
    <w:rsid w:val="00227616"/>
    <w:rsid w:val="0022768C"/>
    <w:rsid w:val="00227AA0"/>
    <w:rsid w:val="00227FE0"/>
    <w:rsid w:val="00230017"/>
    <w:rsid w:val="00230264"/>
    <w:rsid w:val="002303AF"/>
    <w:rsid w:val="002303C8"/>
    <w:rsid w:val="00230501"/>
    <w:rsid w:val="00230568"/>
    <w:rsid w:val="002305C4"/>
    <w:rsid w:val="002305EC"/>
    <w:rsid w:val="00230778"/>
    <w:rsid w:val="0023128F"/>
    <w:rsid w:val="00231784"/>
    <w:rsid w:val="00231885"/>
    <w:rsid w:val="002318CE"/>
    <w:rsid w:val="00231CEB"/>
    <w:rsid w:val="00231DC1"/>
    <w:rsid w:val="00231E31"/>
    <w:rsid w:val="00231FE6"/>
    <w:rsid w:val="0023204A"/>
    <w:rsid w:val="00232067"/>
    <w:rsid w:val="0023227B"/>
    <w:rsid w:val="002329CD"/>
    <w:rsid w:val="00232A06"/>
    <w:rsid w:val="00232B2F"/>
    <w:rsid w:val="00232E40"/>
    <w:rsid w:val="002330BE"/>
    <w:rsid w:val="00233501"/>
    <w:rsid w:val="00233ADD"/>
    <w:rsid w:val="00233DFF"/>
    <w:rsid w:val="00233E1A"/>
    <w:rsid w:val="00233F1A"/>
    <w:rsid w:val="002342B6"/>
    <w:rsid w:val="00234413"/>
    <w:rsid w:val="00234975"/>
    <w:rsid w:val="00234B8D"/>
    <w:rsid w:val="00234DC0"/>
    <w:rsid w:val="00234EFE"/>
    <w:rsid w:val="00235279"/>
    <w:rsid w:val="0023579D"/>
    <w:rsid w:val="0023590A"/>
    <w:rsid w:val="002359B9"/>
    <w:rsid w:val="00235ABB"/>
    <w:rsid w:val="00235CC0"/>
    <w:rsid w:val="00236166"/>
    <w:rsid w:val="00236311"/>
    <w:rsid w:val="00236623"/>
    <w:rsid w:val="00236C1C"/>
    <w:rsid w:val="00236F20"/>
    <w:rsid w:val="00236FA0"/>
    <w:rsid w:val="00236FDC"/>
    <w:rsid w:val="0023758D"/>
    <w:rsid w:val="002376D5"/>
    <w:rsid w:val="002377A0"/>
    <w:rsid w:val="00237FD2"/>
    <w:rsid w:val="00240073"/>
    <w:rsid w:val="00240559"/>
    <w:rsid w:val="00240704"/>
    <w:rsid w:val="00241142"/>
    <w:rsid w:val="00241157"/>
    <w:rsid w:val="00241201"/>
    <w:rsid w:val="00241643"/>
    <w:rsid w:val="00241A9C"/>
    <w:rsid w:val="00241E45"/>
    <w:rsid w:val="0024294D"/>
    <w:rsid w:val="002429D3"/>
    <w:rsid w:val="00242ACC"/>
    <w:rsid w:val="00243059"/>
    <w:rsid w:val="002431CC"/>
    <w:rsid w:val="002432DF"/>
    <w:rsid w:val="00243497"/>
    <w:rsid w:val="00243975"/>
    <w:rsid w:val="0024405A"/>
    <w:rsid w:val="00244111"/>
    <w:rsid w:val="00244462"/>
    <w:rsid w:val="0024455C"/>
    <w:rsid w:val="0024473F"/>
    <w:rsid w:val="002448B4"/>
    <w:rsid w:val="00244B17"/>
    <w:rsid w:val="00245022"/>
    <w:rsid w:val="002454C1"/>
    <w:rsid w:val="00245FD8"/>
    <w:rsid w:val="002460E1"/>
    <w:rsid w:val="0024617F"/>
    <w:rsid w:val="0024638B"/>
    <w:rsid w:val="0024712A"/>
    <w:rsid w:val="00247A0B"/>
    <w:rsid w:val="0025004C"/>
    <w:rsid w:val="00250094"/>
    <w:rsid w:val="00250185"/>
    <w:rsid w:val="0025019C"/>
    <w:rsid w:val="002505C0"/>
    <w:rsid w:val="0025065D"/>
    <w:rsid w:val="0025081F"/>
    <w:rsid w:val="002508D8"/>
    <w:rsid w:val="00250F21"/>
    <w:rsid w:val="00251125"/>
    <w:rsid w:val="002511A8"/>
    <w:rsid w:val="00251305"/>
    <w:rsid w:val="002515C7"/>
    <w:rsid w:val="002515E6"/>
    <w:rsid w:val="00251AB5"/>
    <w:rsid w:val="00252280"/>
    <w:rsid w:val="002523EB"/>
    <w:rsid w:val="00252441"/>
    <w:rsid w:val="002527CF"/>
    <w:rsid w:val="00252938"/>
    <w:rsid w:val="00253151"/>
    <w:rsid w:val="00253305"/>
    <w:rsid w:val="0025344E"/>
    <w:rsid w:val="00253952"/>
    <w:rsid w:val="00253A30"/>
    <w:rsid w:val="00253A49"/>
    <w:rsid w:val="00253C85"/>
    <w:rsid w:val="00253DF5"/>
    <w:rsid w:val="00253F02"/>
    <w:rsid w:val="00254196"/>
    <w:rsid w:val="00254282"/>
    <w:rsid w:val="002542E5"/>
    <w:rsid w:val="002546D4"/>
    <w:rsid w:val="002547BB"/>
    <w:rsid w:val="0025505E"/>
    <w:rsid w:val="00255314"/>
    <w:rsid w:val="002556CA"/>
    <w:rsid w:val="00255791"/>
    <w:rsid w:val="002559DB"/>
    <w:rsid w:val="00255B92"/>
    <w:rsid w:val="0025645A"/>
    <w:rsid w:val="002565D7"/>
    <w:rsid w:val="00256887"/>
    <w:rsid w:val="002568AB"/>
    <w:rsid w:val="002568F8"/>
    <w:rsid w:val="00256BD6"/>
    <w:rsid w:val="00257985"/>
    <w:rsid w:val="00257BAF"/>
    <w:rsid w:val="0026008C"/>
    <w:rsid w:val="00260129"/>
    <w:rsid w:val="002603E3"/>
    <w:rsid w:val="0026041A"/>
    <w:rsid w:val="00260D46"/>
    <w:rsid w:val="00260F02"/>
    <w:rsid w:val="0026110C"/>
    <w:rsid w:val="00261C86"/>
    <w:rsid w:val="00261E11"/>
    <w:rsid w:val="00261E69"/>
    <w:rsid w:val="0026210A"/>
    <w:rsid w:val="0026227E"/>
    <w:rsid w:val="002624A8"/>
    <w:rsid w:val="00262A16"/>
    <w:rsid w:val="00262A73"/>
    <w:rsid w:val="00262AB5"/>
    <w:rsid w:val="00262B24"/>
    <w:rsid w:val="00262C56"/>
    <w:rsid w:val="00262D58"/>
    <w:rsid w:val="0026310E"/>
    <w:rsid w:val="002632ED"/>
    <w:rsid w:val="00263321"/>
    <w:rsid w:val="00263544"/>
    <w:rsid w:val="00263766"/>
    <w:rsid w:val="00263802"/>
    <w:rsid w:val="00263925"/>
    <w:rsid w:val="00263A5C"/>
    <w:rsid w:val="00263B69"/>
    <w:rsid w:val="002640DB"/>
    <w:rsid w:val="002642C0"/>
    <w:rsid w:val="00264899"/>
    <w:rsid w:val="00264AFF"/>
    <w:rsid w:val="00264C0B"/>
    <w:rsid w:val="00265024"/>
    <w:rsid w:val="0026513C"/>
    <w:rsid w:val="0026528F"/>
    <w:rsid w:val="0026529E"/>
    <w:rsid w:val="002652DD"/>
    <w:rsid w:val="002656B7"/>
    <w:rsid w:val="00265811"/>
    <w:rsid w:val="00265929"/>
    <w:rsid w:val="00265F28"/>
    <w:rsid w:val="0026613D"/>
    <w:rsid w:val="002666C7"/>
    <w:rsid w:val="002669F1"/>
    <w:rsid w:val="00266BE0"/>
    <w:rsid w:val="00266FE6"/>
    <w:rsid w:val="00267C20"/>
    <w:rsid w:val="00267DBB"/>
    <w:rsid w:val="00267E86"/>
    <w:rsid w:val="00267F4E"/>
    <w:rsid w:val="00267F73"/>
    <w:rsid w:val="002700B5"/>
    <w:rsid w:val="00270970"/>
    <w:rsid w:val="002709BC"/>
    <w:rsid w:val="00270AF1"/>
    <w:rsid w:val="00270BD9"/>
    <w:rsid w:val="00270D0A"/>
    <w:rsid w:val="00270D69"/>
    <w:rsid w:val="00270D70"/>
    <w:rsid w:val="00271390"/>
    <w:rsid w:val="002719CF"/>
    <w:rsid w:val="00271D61"/>
    <w:rsid w:val="00271EBE"/>
    <w:rsid w:val="00272033"/>
    <w:rsid w:val="00272075"/>
    <w:rsid w:val="00272256"/>
    <w:rsid w:val="002723FB"/>
    <w:rsid w:val="00272844"/>
    <w:rsid w:val="00272FBD"/>
    <w:rsid w:val="0027343E"/>
    <w:rsid w:val="00273773"/>
    <w:rsid w:val="00274154"/>
    <w:rsid w:val="00274176"/>
    <w:rsid w:val="00274278"/>
    <w:rsid w:val="0027460D"/>
    <w:rsid w:val="00274B1E"/>
    <w:rsid w:val="00274B69"/>
    <w:rsid w:val="00274E9F"/>
    <w:rsid w:val="00275165"/>
    <w:rsid w:val="002751CA"/>
    <w:rsid w:val="00275336"/>
    <w:rsid w:val="002758F6"/>
    <w:rsid w:val="00275C76"/>
    <w:rsid w:val="00275CF5"/>
    <w:rsid w:val="0027602E"/>
    <w:rsid w:val="002760B7"/>
    <w:rsid w:val="002761C9"/>
    <w:rsid w:val="0027625F"/>
    <w:rsid w:val="0027644F"/>
    <w:rsid w:val="00276927"/>
    <w:rsid w:val="00276AB1"/>
    <w:rsid w:val="00276C8B"/>
    <w:rsid w:val="00276CB7"/>
    <w:rsid w:val="00276D1A"/>
    <w:rsid w:val="00276E7F"/>
    <w:rsid w:val="00277117"/>
    <w:rsid w:val="002774B8"/>
    <w:rsid w:val="002774DB"/>
    <w:rsid w:val="00277998"/>
    <w:rsid w:val="00277A6B"/>
    <w:rsid w:val="00277B98"/>
    <w:rsid w:val="0028019F"/>
    <w:rsid w:val="0028037F"/>
    <w:rsid w:val="0028093F"/>
    <w:rsid w:val="00280A53"/>
    <w:rsid w:val="00280A6D"/>
    <w:rsid w:val="00280EDC"/>
    <w:rsid w:val="00281113"/>
    <w:rsid w:val="0028130B"/>
    <w:rsid w:val="00281D28"/>
    <w:rsid w:val="00282307"/>
    <w:rsid w:val="002827C4"/>
    <w:rsid w:val="0028286F"/>
    <w:rsid w:val="00282C58"/>
    <w:rsid w:val="00282E69"/>
    <w:rsid w:val="00282EFC"/>
    <w:rsid w:val="0028301F"/>
    <w:rsid w:val="002834B7"/>
    <w:rsid w:val="00283691"/>
    <w:rsid w:val="00283A0B"/>
    <w:rsid w:val="00283B24"/>
    <w:rsid w:val="00283B2F"/>
    <w:rsid w:val="00283C1C"/>
    <w:rsid w:val="00284297"/>
    <w:rsid w:val="00284882"/>
    <w:rsid w:val="00284C4C"/>
    <w:rsid w:val="00284E65"/>
    <w:rsid w:val="00285017"/>
    <w:rsid w:val="002850EA"/>
    <w:rsid w:val="002853FA"/>
    <w:rsid w:val="00285938"/>
    <w:rsid w:val="00285BD8"/>
    <w:rsid w:val="00285C22"/>
    <w:rsid w:val="00286141"/>
    <w:rsid w:val="002862E2"/>
    <w:rsid w:val="0028680B"/>
    <w:rsid w:val="00286E8E"/>
    <w:rsid w:val="002878BE"/>
    <w:rsid w:val="002879FE"/>
    <w:rsid w:val="00287C2B"/>
    <w:rsid w:val="00287CC6"/>
    <w:rsid w:val="002901ED"/>
    <w:rsid w:val="00290338"/>
    <w:rsid w:val="002906B2"/>
    <w:rsid w:val="002908E0"/>
    <w:rsid w:val="00290A5A"/>
    <w:rsid w:val="00290B97"/>
    <w:rsid w:val="00290FE0"/>
    <w:rsid w:val="002913BB"/>
    <w:rsid w:val="002915C2"/>
    <w:rsid w:val="00291832"/>
    <w:rsid w:val="00291C39"/>
    <w:rsid w:val="00291CC5"/>
    <w:rsid w:val="002921DF"/>
    <w:rsid w:val="002929DB"/>
    <w:rsid w:val="00292DEE"/>
    <w:rsid w:val="002932C3"/>
    <w:rsid w:val="0029383C"/>
    <w:rsid w:val="00294215"/>
    <w:rsid w:val="00294284"/>
    <w:rsid w:val="002944E9"/>
    <w:rsid w:val="0029462C"/>
    <w:rsid w:val="00294782"/>
    <w:rsid w:val="0029494C"/>
    <w:rsid w:val="00294C52"/>
    <w:rsid w:val="00294CBE"/>
    <w:rsid w:val="00294DA7"/>
    <w:rsid w:val="00294E0A"/>
    <w:rsid w:val="00295064"/>
    <w:rsid w:val="002950C6"/>
    <w:rsid w:val="002951C6"/>
    <w:rsid w:val="00295407"/>
    <w:rsid w:val="00295D18"/>
    <w:rsid w:val="00295F36"/>
    <w:rsid w:val="00296F3D"/>
    <w:rsid w:val="00297A6A"/>
    <w:rsid w:val="00297AA0"/>
    <w:rsid w:val="002A009D"/>
    <w:rsid w:val="002A019D"/>
    <w:rsid w:val="002A07C9"/>
    <w:rsid w:val="002A0978"/>
    <w:rsid w:val="002A0AB0"/>
    <w:rsid w:val="002A0B4D"/>
    <w:rsid w:val="002A0DBE"/>
    <w:rsid w:val="002A0EE1"/>
    <w:rsid w:val="002A0EFA"/>
    <w:rsid w:val="002A10AB"/>
    <w:rsid w:val="002A115F"/>
    <w:rsid w:val="002A132F"/>
    <w:rsid w:val="002A174B"/>
    <w:rsid w:val="002A18F1"/>
    <w:rsid w:val="002A1AB3"/>
    <w:rsid w:val="002A1F74"/>
    <w:rsid w:val="002A20B4"/>
    <w:rsid w:val="002A2670"/>
    <w:rsid w:val="002A2AF7"/>
    <w:rsid w:val="002A2D2E"/>
    <w:rsid w:val="002A320A"/>
    <w:rsid w:val="002A32B2"/>
    <w:rsid w:val="002A3606"/>
    <w:rsid w:val="002A3CD4"/>
    <w:rsid w:val="002A3FBB"/>
    <w:rsid w:val="002A418C"/>
    <w:rsid w:val="002A41C4"/>
    <w:rsid w:val="002A4356"/>
    <w:rsid w:val="002A4469"/>
    <w:rsid w:val="002A4603"/>
    <w:rsid w:val="002A46F6"/>
    <w:rsid w:val="002A4B07"/>
    <w:rsid w:val="002A4D5A"/>
    <w:rsid w:val="002A4DA1"/>
    <w:rsid w:val="002A5681"/>
    <w:rsid w:val="002A59DE"/>
    <w:rsid w:val="002A5C1B"/>
    <w:rsid w:val="002A6086"/>
    <w:rsid w:val="002A6088"/>
    <w:rsid w:val="002A6147"/>
    <w:rsid w:val="002A6188"/>
    <w:rsid w:val="002A66C9"/>
    <w:rsid w:val="002A66FB"/>
    <w:rsid w:val="002A690D"/>
    <w:rsid w:val="002A6B47"/>
    <w:rsid w:val="002A73A6"/>
    <w:rsid w:val="002A7574"/>
    <w:rsid w:val="002A77D9"/>
    <w:rsid w:val="002B022E"/>
    <w:rsid w:val="002B069F"/>
    <w:rsid w:val="002B0CA3"/>
    <w:rsid w:val="002B10D1"/>
    <w:rsid w:val="002B1668"/>
    <w:rsid w:val="002B16A6"/>
    <w:rsid w:val="002B1765"/>
    <w:rsid w:val="002B1E9C"/>
    <w:rsid w:val="002B20C8"/>
    <w:rsid w:val="002B2108"/>
    <w:rsid w:val="002B21FE"/>
    <w:rsid w:val="002B23EB"/>
    <w:rsid w:val="002B2879"/>
    <w:rsid w:val="002B29B5"/>
    <w:rsid w:val="002B2AB0"/>
    <w:rsid w:val="002B304C"/>
    <w:rsid w:val="002B324F"/>
    <w:rsid w:val="002B3714"/>
    <w:rsid w:val="002B3876"/>
    <w:rsid w:val="002B390D"/>
    <w:rsid w:val="002B3A4D"/>
    <w:rsid w:val="002B3AE9"/>
    <w:rsid w:val="002B3DE1"/>
    <w:rsid w:val="002B4542"/>
    <w:rsid w:val="002B45A5"/>
    <w:rsid w:val="002B4815"/>
    <w:rsid w:val="002B489C"/>
    <w:rsid w:val="002B4F3D"/>
    <w:rsid w:val="002B564A"/>
    <w:rsid w:val="002B5683"/>
    <w:rsid w:val="002B5CD8"/>
    <w:rsid w:val="002B5F31"/>
    <w:rsid w:val="002B627B"/>
    <w:rsid w:val="002B6492"/>
    <w:rsid w:val="002B65C0"/>
    <w:rsid w:val="002B66C1"/>
    <w:rsid w:val="002B66D3"/>
    <w:rsid w:val="002B6B18"/>
    <w:rsid w:val="002B6BE3"/>
    <w:rsid w:val="002B6EFE"/>
    <w:rsid w:val="002B7048"/>
    <w:rsid w:val="002B7066"/>
    <w:rsid w:val="002B71A1"/>
    <w:rsid w:val="002B7355"/>
    <w:rsid w:val="002B74FE"/>
    <w:rsid w:val="002C00AC"/>
    <w:rsid w:val="002C00E8"/>
    <w:rsid w:val="002C038A"/>
    <w:rsid w:val="002C06B3"/>
    <w:rsid w:val="002C0877"/>
    <w:rsid w:val="002C0997"/>
    <w:rsid w:val="002C0A00"/>
    <w:rsid w:val="002C0C23"/>
    <w:rsid w:val="002C0E6F"/>
    <w:rsid w:val="002C106F"/>
    <w:rsid w:val="002C142C"/>
    <w:rsid w:val="002C1603"/>
    <w:rsid w:val="002C177D"/>
    <w:rsid w:val="002C2521"/>
    <w:rsid w:val="002C2689"/>
    <w:rsid w:val="002C285D"/>
    <w:rsid w:val="002C28CE"/>
    <w:rsid w:val="002C28D4"/>
    <w:rsid w:val="002C28F6"/>
    <w:rsid w:val="002C290D"/>
    <w:rsid w:val="002C2CDC"/>
    <w:rsid w:val="002C30D0"/>
    <w:rsid w:val="002C34AB"/>
    <w:rsid w:val="002C3A95"/>
    <w:rsid w:val="002C3F03"/>
    <w:rsid w:val="002C41B7"/>
    <w:rsid w:val="002C4425"/>
    <w:rsid w:val="002C4493"/>
    <w:rsid w:val="002C46A8"/>
    <w:rsid w:val="002C5072"/>
    <w:rsid w:val="002C51C4"/>
    <w:rsid w:val="002C539E"/>
    <w:rsid w:val="002C5548"/>
    <w:rsid w:val="002C57D7"/>
    <w:rsid w:val="002C57EB"/>
    <w:rsid w:val="002C5EBF"/>
    <w:rsid w:val="002C61E6"/>
    <w:rsid w:val="002C61E7"/>
    <w:rsid w:val="002C6395"/>
    <w:rsid w:val="002C63AF"/>
    <w:rsid w:val="002C6467"/>
    <w:rsid w:val="002C68B6"/>
    <w:rsid w:val="002C6B2D"/>
    <w:rsid w:val="002C6B73"/>
    <w:rsid w:val="002C6CDF"/>
    <w:rsid w:val="002C6D71"/>
    <w:rsid w:val="002C703E"/>
    <w:rsid w:val="002C7AEF"/>
    <w:rsid w:val="002C7E1F"/>
    <w:rsid w:val="002D0133"/>
    <w:rsid w:val="002D02D4"/>
    <w:rsid w:val="002D05D4"/>
    <w:rsid w:val="002D06D8"/>
    <w:rsid w:val="002D0A14"/>
    <w:rsid w:val="002D0FD9"/>
    <w:rsid w:val="002D11CA"/>
    <w:rsid w:val="002D12D1"/>
    <w:rsid w:val="002D135B"/>
    <w:rsid w:val="002D14CB"/>
    <w:rsid w:val="002D1728"/>
    <w:rsid w:val="002D1A23"/>
    <w:rsid w:val="002D1BEF"/>
    <w:rsid w:val="002D1E48"/>
    <w:rsid w:val="002D1E6C"/>
    <w:rsid w:val="002D1FAD"/>
    <w:rsid w:val="002D22B5"/>
    <w:rsid w:val="002D2492"/>
    <w:rsid w:val="002D24AC"/>
    <w:rsid w:val="002D2B6D"/>
    <w:rsid w:val="002D2D34"/>
    <w:rsid w:val="002D2EDB"/>
    <w:rsid w:val="002D2F01"/>
    <w:rsid w:val="002D2F81"/>
    <w:rsid w:val="002D3574"/>
    <w:rsid w:val="002D358E"/>
    <w:rsid w:val="002D37A6"/>
    <w:rsid w:val="002D3893"/>
    <w:rsid w:val="002D3B06"/>
    <w:rsid w:val="002D40C3"/>
    <w:rsid w:val="002D414A"/>
    <w:rsid w:val="002D41DA"/>
    <w:rsid w:val="002D4240"/>
    <w:rsid w:val="002D462D"/>
    <w:rsid w:val="002D4757"/>
    <w:rsid w:val="002D482D"/>
    <w:rsid w:val="002D4920"/>
    <w:rsid w:val="002D4CE1"/>
    <w:rsid w:val="002D4DAF"/>
    <w:rsid w:val="002D4E0D"/>
    <w:rsid w:val="002D5400"/>
    <w:rsid w:val="002D541D"/>
    <w:rsid w:val="002D5769"/>
    <w:rsid w:val="002D5892"/>
    <w:rsid w:val="002D5A77"/>
    <w:rsid w:val="002D5EFB"/>
    <w:rsid w:val="002D741E"/>
    <w:rsid w:val="002D7733"/>
    <w:rsid w:val="002D79A6"/>
    <w:rsid w:val="002D7BF5"/>
    <w:rsid w:val="002D7C22"/>
    <w:rsid w:val="002D7E8D"/>
    <w:rsid w:val="002D7FE2"/>
    <w:rsid w:val="002E00BB"/>
    <w:rsid w:val="002E0202"/>
    <w:rsid w:val="002E0585"/>
    <w:rsid w:val="002E05BC"/>
    <w:rsid w:val="002E060C"/>
    <w:rsid w:val="002E0CD2"/>
    <w:rsid w:val="002E1227"/>
    <w:rsid w:val="002E1316"/>
    <w:rsid w:val="002E147A"/>
    <w:rsid w:val="002E14A5"/>
    <w:rsid w:val="002E1738"/>
    <w:rsid w:val="002E190D"/>
    <w:rsid w:val="002E1C6D"/>
    <w:rsid w:val="002E1E28"/>
    <w:rsid w:val="002E2083"/>
    <w:rsid w:val="002E25A0"/>
    <w:rsid w:val="002E269F"/>
    <w:rsid w:val="002E2BB0"/>
    <w:rsid w:val="002E2D68"/>
    <w:rsid w:val="002E34D6"/>
    <w:rsid w:val="002E34F7"/>
    <w:rsid w:val="002E3702"/>
    <w:rsid w:val="002E3716"/>
    <w:rsid w:val="002E3D09"/>
    <w:rsid w:val="002E3D66"/>
    <w:rsid w:val="002E3DDA"/>
    <w:rsid w:val="002E3E0F"/>
    <w:rsid w:val="002E47F4"/>
    <w:rsid w:val="002E4E19"/>
    <w:rsid w:val="002E50E1"/>
    <w:rsid w:val="002E51F1"/>
    <w:rsid w:val="002E545D"/>
    <w:rsid w:val="002E563A"/>
    <w:rsid w:val="002E570A"/>
    <w:rsid w:val="002E5825"/>
    <w:rsid w:val="002E6058"/>
    <w:rsid w:val="002E63D0"/>
    <w:rsid w:val="002E64F6"/>
    <w:rsid w:val="002E687A"/>
    <w:rsid w:val="002E6BF0"/>
    <w:rsid w:val="002E6C2A"/>
    <w:rsid w:val="002E6E1A"/>
    <w:rsid w:val="002E6E4F"/>
    <w:rsid w:val="002E74D9"/>
    <w:rsid w:val="002E7588"/>
    <w:rsid w:val="002E7593"/>
    <w:rsid w:val="002E75A9"/>
    <w:rsid w:val="002E770F"/>
    <w:rsid w:val="002E7AC9"/>
    <w:rsid w:val="002E7B30"/>
    <w:rsid w:val="002F000E"/>
    <w:rsid w:val="002F0118"/>
    <w:rsid w:val="002F02C7"/>
    <w:rsid w:val="002F062E"/>
    <w:rsid w:val="002F0995"/>
    <w:rsid w:val="002F0B17"/>
    <w:rsid w:val="002F0F6D"/>
    <w:rsid w:val="002F1158"/>
    <w:rsid w:val="002F1636"/>
    <w:rsid w:val="002F1666"/>
    <w:rsid w:val="002F180A"/>
    <w:rsid w:val="002F20E4"/>
    <w:rsid w:val="002F210E"/>
    <w:rsid w:val="002F239C"/>
    <w:rsid w:val="002F275D"/>
    <w:rsid w:val="002F2996"/>
    <w:rsid w:val="002F2AC3"/>
    <w:rsid w:val="002F2B9B"/>
    <w:rsid w:val="002F34F7"/>
    <w:rsid w:val="002F352F"/>
    <w:rsid w:val="002F363B"/>
    <w:rsid w:val="002F38ED"/>
    <w:rsid w:val="002F4184"/>
    <w:rsid w:val="002F4547"/>
    <w:rsid w:val="002F47F5"/>
    <w:rsid w:val="002F47F6"/>
    <w:rsid w:val="002F4920"/>
    <w:rsid w:val="002F49F5"/>
    <w:rsid w:val="002F4A69"/>
    <w:rsid w:val="002F4D2C"/>
    <w:rsid w:val="002F4D5C"/>
    <w:rsid w:val="002F4ED8"/>
    <w:rsid w:val="002F4F03"/>
    <w:rsid w:val="002F50C6"/>
    <w:rsid w:val="002F51A1"/>
    <w:rsid w:val="002F534E"/>
    <w:rsid w:val="002F5392"/>
    <w:rsid w:val="002F54DE"/>
    <w:rsid w:val="002F57E8"/>
    <w:rsid w:val="002F5C9A"/>
    <w:rsid w:val="002F60FD"/>
    <w:rsid w:val="002F632D"/>
    <w:rsid w:val="002F6A2D"/>
    <w:rsid w:val="002F6EF7"/>
    <w:rsid w:val="002F7397"/>
    <w:rsid w:val="002F75FF"/>
    <w:rsid w:val="002F7667"/>
    <w:rsid w:val="002F7B07"/>
    <w:rsid w:val="002F7CEE"/>
    <w:rsid w:val="002F7DA7"/>
    <w:rsid w:val="002F7F4F"/>
    <w:rsid w:val="002F7FA0"/>
    <w:rsid w:val="002F7FA8"/>
    <w:rsid w:val="002F7FD0"/>
    <w:rsid w:val="00300143"/>
    <w:rsid w:val="003001FE"/>
    <w:rsid w:val="0030080A"/>
    <w:rsid w:val="0030108B"/>
    <w:rsid w:val="0030132D"/>
    <w:rsid w:val="00301C62"/>
    <w:rsid w:val="003027E5"/>
    <w:rsid w:val="00302CF2"/>
    <w:rsid w:val="00302F03"/>
    <w:rsid w:val="00303038"/>
    <w:rsid w:val="00303183"/>
    <w:rsid w:val="00303D3A"/>
    <w:rsid w:val="0030402B"/>
    <w:rsid w:val="00304D17"/>
    <w:rsid w:val="0030588A"/>
    <w:rsid w:val="003059DD"/>
    <w:rsid w:val="00305A6D"/>
    <w:rsid w:val="00305C8A"/>
    <w:rsid w:val="00305DF9"/>
    <w:rsid w:val="00305F09"/>
    <w:rsid w:val="00305F84"/>
    <w:rsid w:val="00306213"/>
    <w:rsid w:val="0030663C"/>
    <w:rsid w:val="00306651"/>
    <w:rsid w:val="003067B6"/>
    <w:rsid w:val="003069B2"/>
    <w:rsid w:val="00306A84"/>
    <w:rsid w:val="00306DE8"/>
    <w:rsid w:val="00306ED0"/>
    <w:rsid w:val="003071D3"/>
    <w:rsid w:val="0030738F"/>
    <w:rsid w:val="003076B4"/>
    <w:rsid w:val="0030786D"/>
    <w:rsid w:val="003079B0"/>
    <w:rsid w:val="00307C27"/>
    <w:rsid w:val="00307C66"/>
    <w:rsid w:val="00310118"/>
    <w:rsid w:val="0031021A"/>
    <w:rsid w:val="00310436"/>
    <w:rsid w:val="00310877"/>
    <w:rsid w:val="00310B09"/>
    <w:rsid w:val="00310B8E"/>
    <w:rsid w:val="003110DF"/>
    <w:rsid w:val="003113F8"/>
    <w:rsid w:val="00311441"/>
    <w:rsid w:val="003114D6"/>
    <w:rsid w:val="0031173A"/>
    <w:rsid w:val="003117EC"/>
    <w:rsid w:val="00311AE8"/>
    <w:rsid w:val="00311E67"/>
    <w:rsid w:val="00312317"/>
    <w:rsid w:val="00312579"/>
    <w:rsid w:val="00312AEA"/>
    <w:rsid w:val="00312F43"/>
    <w:rsid w:val="0031334B"/>
    <w:rsid w:val="00313DBB"/>
    <w:rsid w:val="00313EF1"/>
    <w:rsid w:val="00314093"/>
    <w:rsid w:val="003140D6"/>
    <w:rsid w:val="0031428E"/>
    <w:rsid w:val="00314A5D"/>
    <w:rsid w:val="00314B50"/>
    <w:rsid w:val="00314BB6"/>
    <w:rsid w:val="00314C22"/>
    <w:rsid w:val="00314C3C"/>
    <w:rsid w:val="00314D3C"/>
    <w:rsid w:val="00314E6B"/>
    <w:rsid w:val="003150C2"/>
    <w:rsid w:val="00315786"/>
    <w:rsid w:val="003157EC"/>
    <w:rsid w:val="0031581E"/>
    <w:rsid w:val="00315884"/>
    <w:rsid w:val="0031588C"/>
    <w:rsid w:val="0031597C"/>
    <w:rsid w:val="00315D6A"/>
    <w:rsid w:val="00315F36"/>
    <w:rsid w:val="00316021"/>
    <w:rsid w:val="00316289"/>
    <w:rsid w:val="0031656F"/>
    <w:rsid w:val="0031676A"/>
    <w:rsid w:val="00316885"/>
    <w:rsid w:val="00316E40"/>
    <w:rsid w:val="0031702A"/>
    <w:rsid w:val="0031703A"/>
    <w:rsid w:val="0031709A"/>
    <w:rsid w:val="003177BA"/>
    <w:rsid w:val="003177DE"/>
    <w:rsid w:val="003178BE"/>
    <w:rsid w:val="00317A92"/>
    <w:rsid w:val="00317B84"/>
    <w:rsid w:val="00317CB1"/>
    <w:rsid w:val="00320093"/>
    <w:rsid w:val="00320638"/>
    <w:rsid w:val="00320736"/>
    <w:rsid w:val="003208FB"/>
    <w:rsid w:val="003210AA"/>
    <w:rsid w:val="00321704"/>
    <w:rsid w:val="0032185A"/>
    <w:rsid w:val="00321A95"/>
    <w:rsid w:val="00322357"/>
    <w:rsid w:val="003224D5"/>
    <w:rsid w:val="00322616"/>
    <w:rsid w:val="00322D57"/>
    <w:rsid w:val="00322F07"/>
    <w:rsid w:val="0032331B"/>
    <w:rsid w:val="003238B5"/>
    <w:rsid w:val="00323921"/>
    <w:rsid w:val="0032398B"/>
    <w:rsid w:val="00323FD0"/>
    <w:rsid w:val="0032401A"/>
    <w:rsid w:val="00324126"/>
    <w:rsid w:val="00324671"/>
    <w:rsid w:val="00324818"/>
    <w:rsid w:val="00324893"/>
    <w:rsid w:val="00324A1D"/>
    <w:rsid w:val="00324B1B"/>
    <w:rsid w:val="00324C08"/>
    <w:rsid w:val="00324EAF"/>
    <w:rsid w:val="003253CB"/>
    <w:rsid w:val="003255CC"/>
    <w:rsid w:val="003257AC"/>
    <w:rsid w:val="00325827"/>
    <w:rsid w:val="00325AB7"/>
    <w:rsid w:val="00325D50"/>
    <w:rsid w:val="00325E2B"/>
    <w:rsid w:val="003263D5"/>
    <w:rsid w:val="00326433"/>
    <w:rsid w:val="00326839"/>
    <w:rsid w:val="00326B15"/>
    <w:rsid w:val="003270CE"/>
    <w:rsid w:val="003270D6"/>
    <w:rsid w:val="003272EB"/>
    <w:rsid w:val="00327324"/>
    <w:rsid w:val="00327988"/>
    <w:rsid w:val="00327D80"/>
    <w:rsid w:val="00327EF0"/>
    <w:rsid w:val="00327FEB"/>
    <w:rsid w:val="003300D4"/>
    <w:rsid w:val="0033038C"/>
    <w:rsid w:val="003307FA"/>
    <w:rsid w:val="00331CC5"/>
    <w:rsid w:val="00331F02"/>
    <w:rsid w:val="003323E8"/>
    <w:rsid w:val="00332687"/>
    <w:rsid w:val="00332A2D"/>
    <w:rsid w:val="00332CEB"/>
    <w:rsid w:val="00332E63"/>
    <w:rsid w:val="003333F9"/>
    <w:rsid w:val="003336A1"/>
    <w:rsid w:val="00333964"/>
    <w:rsid w:val="00333A24"/>
    <w:rsid w:val="00333EE2"/>
    <w:rsid w:val="003340EA"/>
    <w:rsid w:val="0033445D"/>
    <w:rsid w:val="0033456C"/>
    <w:rsid w:val="00334B01"/>
    <w:rsid w:val="00334CE6"/>
    <w:rsid w:val="0033508C"/>
    <w:rsid w:val="003352B0"/>
    <w:rsid w:val="00335326"/>
    <w:rsid w:val="0033538B"/>
    <w:rsid w:val="0033552A"/>
    <w:rsid w:val="003356C2"/>
    <w:rsid w:val="00335D5D"/>
    <w:rsid w:val="00335F58"/>
    <w:rsid w:val="003360F6"/>
    <w:rsid w:val="003363C9"/>
    <w:rsid w:val="0033641F"/>
    <w:rsid w:val="00336863"/>
    <w:rsid w:val="00336A89"/>
    <w:rsid w:val="00336FAB"/>
    <w:rsid w:val="003372CF"/>
    <w:rsid w:val="00337552"/>
    <w:rsid w:val="003376AE"/>
    <w:rsid w:val="003377BD"/>
    <w:rsid w:val="00337914"/>
    <w:rsid w:val="00337BBB"/>
    <w:rsid w:val="003400E6"/>
    <w:rsid w:val="003403D3"/>
    <w:rsid w:val="0034045D"/>
    <w:rsid w:val="00340CB2"/>
    <w:rsid w:val="00340DE3"/>
    <w:rsid w:val="003411C1"/>
    <w:rsid w:val="003412C6"/>
    <w:rsid w:val="0034156E"/>
    <w:rsid w:val="00341D9C"/>
    <w:rsid w:val="003420FA"/>
    <w:rsid w:val="00342225"/>
    <w:rsid w:val="0034288A"/>
    <w:rsid w:val="00342B4F"/>
    <w:rsid w:val="00342E5C"/>
    <w:rsid w:val="00342F45"/>
    <w:rsid w:val="00343270"/>
    <w:rsid w:val="00343316"/>
    <w:rsid w:val="003433F8"/>
    <w:rsid w:val="00343746"/>
    <w:rsid w:val="00343749"/>
    <w:rsid w:val="0034376A"/>
    <w:rsid w:val="0034418A"/>
    <w:rsid w:val="00344515"/>
    <w:rsid w:val="00344533"/>
    <w:rsid w:val="00344628"/>
    <w:rsid w:val="003446D2"/>
    <w:rsid w:val="0034486B"/>
    <w:rsid w:val="00344B5B"/>
    <w:rsid w:val="00344EF7"/>
    <w:rsid w:val="00345616"/>
    <w:rsid w:val="00345788"/>
    <w:rsid w:val="00345976"/>
    <w:rsid w:val="00345AC5"/>
    <w:rsid w:val="00345CA6"/>
    <w:rsid w:val="00346544"/>
    <w:rsid w:val="00346865"/>
    <w:rsid w:val="00346921"/>
    <w:rsid w:val="00346A66"/>
    <w:rsid w:val="00346BD8"/>
    <w:rsid w:val="00346F82"/>
    <w:rsid w:val="003471B1"/>
    <w:rsid w:val="0034746F"/>
    <w:rsid w:val="003475A7"/>
    <w:rsid w:val="003475D9"/>
    <w:rsid w:val="003477E8"/>
    <w:rsid w:val="003478BF"/>
    <w:rsid w:val="003478C7"/>
    <w:rsid w:val="00347C4A"/>
    <w:rsid w:val="00347D66"/>
    <w:rsid w:val="00347E7E"/>
    <w:rsid w:val="00350145"/>
    <w:rsid w:val="003501B7"/>
    <w:rsid w:val="00350820"/>
    <w:rsid w:val="00350B94"/>
    <w:rsid w:val="00350D95"/>
    <w:rsid w:val="00350FD3"/>
    <w:rsid w:val="0035116F"/>
    <w:rsid w:val="003512D1"/>
    <w:rsid w:val="0035137B"/>
    <w:rsid w:val="003515C3"/>
    <w:rsid w:val="003517DB"/>
    <w:rsid w:val="003518F3"/>
    <w:rsid w:val="0035190D"/>
    <w:rsid w:val="00351930"/>
    <w:rsid w:val="00351A6B"/>
    <w:rsid w:val="00351CAC"/>
    <w:rsid w:val="00351E61"/>
    <w:rsid w:val="003521C7"/>
    <w:rsid w:val="0035232D"/>
    <w:rsid w:val="0035236F"/>
    <w:rsid w:val="00352411"/>
    <w:rsid w:val="003524A8"/>
    <w:rsid w:val="00352944"/>
    <w:rsid w:val="00352BAD"/>
    <w:rsid w:val="00352C87"/>
    <w:rsid w:val="00352DCF"/>
    <w:rsid w:val="00352FF0"/>
    <w:rsid w:val="0035337B"/>
    <w:rsid w:val="00353EB5"/>
    <w:rsid w:val="0035401F"/>
    <w:rsid w:val="0035463E"/>
    <w:rsid w:val="0035479F"/>
    <w:rsid w:val="00354A5B"/>
    <w:rsid w:val="00354B1A"/>
    <w:rsid w:val="00354C85"/>
    <w:rsid w:val="00354CEA"/>
    <w:rsid w:val="00354CED"/>
    <w:rsid w:val="00354FCB"/>
    <w:rsid w:val="003555AE"/>
    <w:rsid w:val="0035596D"/>
    <w:rsid w:val="00355A04"/>
    <w:rsid w:val="00355A47"/>
    <w:rsid w:val="00355B3F"/>
    <w:rsid w:val="00355C09"/>
    <w:rsid w:val="00355E49"/>
    <w:rsid w:val="003563E4"/>
    <w:rsid w:val="00356EFB"/>
    <w:rsid w:val="0035738D"/>
    <w:rsid w:val="00357750"/>
    <w:rsid w:val="00357B33"/>
    <w:rsid w:val="00357D41"/>
    <w:rsid w:val="0036000A"/>
    <w:rsid w:val="00360155"/>
    <w:rsid w:val="003605F2"/>
    <w:rsid w:val="00360781"/>
    <w:rsid w:val="003607E0"/>
    <w:rsid w:val="00360ED3"/>
    <w:rsid w:val="00361030"/>
    <w:rsid w:val="003612B8"/>
    <w:rsid w:val="00361471"/>
    <w:rsid w:val="00361508"/>
    <w:rsid w:val="003617CC"/>
    <w:rsid w:val="00361E4C"/>
    <w:rsid w:val="00361EBD"/>
    <w:rsid w:val="00361FC9"/>
    <w:rsid w:val="0036203E"/>
    <w:rsid w:val="00362537"/>
    <w:rsid w:val="00362580"/>
    <w:rsid w:val="00362641"/>
    <w:rsid w:val="003629D1"/>
    <w:rsid w:val="00362A67"/>
    <w:rsid w:val="003631A0"/>
    <w:rsid w:val="003634EF"/>
    <w:rsid w:val="00363917"/>
    <w:rsid w:val="00363A6E"/>
    <w:rsid w:val="00363AC7"/>
    <w:rsid w:val="00364256"/>
    <w:rsid w:val="0036436B"/>
    <w:rsid w:val="0036440E"/>
    <w:rsid w:val="00364728"/>
    <w:rsid w:val="0036479E"/>
    <w:rsid w:val="0036480D"/>
    <w:rsid w:val="00364AA6"/>
    <w:rsid w:val="00364BFD"/>
    <w:rsid w:val="00364C6D"/>
    <w:rsid w:val="003653E1"/>
    <w:rsid w:val="00365A97"/>
    <w:rsid w:val="00365B03"/>
    <w:rsid w:val="00365F05"/>
    <w:rsid w:val="003660ED"/>
    <w:rsid w:val="00366A5D"/>
    <w:rsid w:val="00366ADE"/>
    <w:rsid w:val="00366BB2"/>
    <w:rsid w:val="00366BD0"/>
    <w:rsid w:val="00366CC1"/>
    <w:rsid w:val="0036710C"/>
    <w:rsid w:val="00367261"/>
    <w:rsid w:val="00367451"/>
    <w:rsid w:val="003674D4"/>
    <w:rsid w:val="003675AA"/>
    <w:rsid w:val="00367A64"/>
    <w:rsid w:val="00367A82"/>
    <w:rsid w:val="00367AFC"/>
    <w:rsid w:val="00367B31"/>
    <w:rsid w:val="00367D35"/>
    <w:rsid w:val="003702CA"/>
    <w:rsid w:val="00370759"/>
    <w:rsid w:val="00370B04"/>
    <w:rsid w:val="00370B97"/>
    <w:rsid w:val="00370BA0"/>
    <w:rsid w:val="00370C41"/>
    <w:rsid w:val="00371147"/>
    <w:rsid w:val="003712C2"/>
    <w:rsid w:val="00371B36"/>
    <w:rsid w:val="00371E28"/>
    <w:rsid w:val="00371EDE"/>
    <w:rsid w:val="00371EEA"/>
    <w:rsid w:val="00372233"/>
    <w:rsid w:val="00372867"/>
    <w:rsid w:val="003729A2"/>
    <w:rsid w:val="00372E15"/>
    <w:rsid w:val="00372E23"/>
    <w:rsid w:val="003731E0"/>
    <w:rsid w:val="0037338A"/>
    <w:rsid w:val="003734DD"/>
    <w:rsid w:val="00373683"/>
    <w:rsid w:val="0037388A"/>
    <w:rsid w:val="003738B7"/>
    <w:rsid w:val="00374109"/>
    <w:rsid w:val="00374546"/>
    <w:rsid w:val="00374889"/>
    <w:rsid w:val="003750A6"/>
    <w:rsid w:val="0037510A"/>
    <w:rsid w:val="00375835"/>
    <w:rsid w:val="00375CC0"/>
    <w:rsid w:val="00375E9E"/>
    <w:rsid w:val="003762B6"/>
    <w:rsid w:val="00376507"/>
    <w:rsid w:val="00376958"/>
    <w:rsid w:val="00376CDA"/>
    <w:rsid w:val="00376F1A"/>
    <w:rsid w:val="003774CD"/>
    <w:rsid w:val="003775DA"/>
    <w:rsid w:val="00377747"/>
    <w:rsid w:val="0038011B"/>
    <w:rsid w:val="0038015A"/>
    <w:rsid w:val="00380222"/>
    <w:rsid w:val="0038042C"/>
    <w:rsid w:val="00380631"/>
    <w:rsid w:val="00380ECD"/>
    <w:rsid w:val="003810ED"/>
    <w:rsid w:val="00381171"/>
    <w:rsid w:val="00381438"/>
    <w:rsid w:val="0038145F"/>
    <w:rsid w:val="00381598"/>
    <w:rsid w:val="0038196C"/>
    <w:rsid w:val="00381CFC"/>
    <w:rsid w:val="00381D7C"/>
    <w:rsid w:val="00382004"/>
    <w:rsid w:val="00382061"/>
    <w:rsid w:val="0038208D"/>
    <w:rsid w:val="003820C3"/>
    <w:rsid w:val="003823BD"/>
    <w:rsid w:val="00382A84"/>
    <w:rsid w:val="00382CA8"/>
    <w:rsid w:val="00382F0A"/>
    <w:rsid w:val="00383118"/>
    <w:rsid w:val="00383770"/>
    <w:rsid w:val="003837B9"/>
    <w:rsid w:val="003838E9"/>
    <w:rsid w:val="003838FF"/>
    <w:rsid w:val="00383947"/>
    <w:rsid w:val="00383A1A"/>
    <w:rsid w:val="00384205"/>
    <w:rsid w:val="0038454C"/>
    <w:rsid w:val="00384778"/>
    <w:rsid w:val="00384890"/>
    <w:rsid w:val="003851B1"/>
    <w:rsid w:val="003851DC"/>
    <w:rsid w:val="003853B6"/>
    <w:rsid w:val="00385655"/>
    <w:rsid w:val="0038588F"/>
    <w:rsid w:val="003858F9"/>
    <w:rsid w:val="0038596D"/>
    <w:rsid w:val="003859BC"/>
    <w:rsid w:val="00385B5B"/>
    <w:rsid w:val="00385C63"/>
    <w:rsid w:val="00385D2B"/>
    <w:rsid w:val="00385E53"/>
    <w:rsid w:val="00385EFD"/>
    <w:rsid w:val="00386135"/>
    <w:rsid w:val="003862D9"/>
    <w:rsid w:val="00386BBE"/>
    <w:rsid w:val="00386F0C"/>
    <w:rsid w:val="00387354"/>
    <w:rsid w:val="003874F8"/>
    <w:rsid w:val="00387893"/>
    <w:rsid w:val="00387E6B"/>
    <w:rsid w:val="003900FB"/>
    <w:rsid w:val="00390316"/>
    <w:rsid w:val="003904E0"/>
    <w:rsid w:val="0039056E"/>
    <w:rsid w:val="0039059A"/>
    <w:rsid w:val="003905ED"/>
    <w:rsid w:val="00391248"/>
    <w:rsid w:val="00391576"/>
    <w:rsid w:val="003919A5"/>
    <w:rsid w:val="00391BC1"/>
    <w:rsid w:val="00391C1A"/>
    <w:rsid w:val="00391DED"/>
    <w:rsid w:val="0039204B"/>
    <w:rsid w:val="00392180"/>
    <w:rsid w:val="003924E8"/>
    <w:rsid w:val="00392568"/>
    <w:rsid w:val="003925E1"/>
    <w:rsid w:val="00392A45"/>
    <w:rsid w:val="00392AE2"/>
    <w:rsid w:val="00392BAC"/>
    <w:rsid w:val="003933DA"/>
    <w:rsid w:val="00393463"/>
    <w:rsid w:val="0039362D"/>
    <w:rsid w:val="00393757"/>
    <w:rsid w:val="003937CF"/>
    <w:rsid w:val="0039409B"/>
    <w:rsid w:val="003943C7"/>
    <w:rsid w:val="003945CD"/>
    <w:rsid w:val="003949A5"/>
    <w:rsid w:val="00394C3A"/>
    <w:rsid w:val="00394D00"/>
    <w:rsid w:val="00395B6F"/>
    <w:rsid w:val="00395BD0"/>
    <w:rsid w:val="00395C32"/>
    <w:rsid w:val="00396540"/>
    <w:rsid w:val="00396C1C"/>
    <w:rsid w:val="00396D48"/>
    <w:rsid w:val="003973F6"/>
    <w:rsid w:val="00397574"/>
    <w:rsid w:val="00397A3A"/>
    <w:rsid w:val="00397AEE"/>
    <w:rsid w:val="00397D5D"/>
    <w:rsid w:val="00397D61"/>
    <w:rsid w:val="00397F75"/>
    <w:rsid w:val="003A0152"/>
    <w:rsid w:val="003A08E9"/>
    <w:rsid w:val="003A0A37"/>
    <w:rsid w:val="003A0AEB"/>
    <w:rsid w:val="003A0D46"/>
    <w:rsid w:val="003A0F78"/>
    <w:rsid w:val="003A1597"/>
    <w:rsid w:val="003A162B"/>
    <w:rsid w:val="003A1728"/>
    <w:rsid w:val="003A1990"/>
    <w:rsid w:val="003A1D7F"/>
    <w:rsid w:val="003A1F21"/>
    <w:rsid w:val="003A22F4"/>
    <w:rsid w:val="003A26D5"/>
    <w:rsid w:val="003A2755"/>
    <w:rsid w:val="003A27EC"/>
    <w:rsid w:val="003A280A"/>
    <w:rsid w:val="003A29C2"/>
    <w:rsid w:val="003A2DAB"/>
    <w:rsid w:val="003A2E19"/>
    <w:rsid w:val="003A3659"/>
    <w:rsid w:val="003A39B8"/>
    <w:rsid w:val="003A3D4E"/>
    <w:rsid w:val="003A3E18"/>
    <w:rsid w:val="003A3F4D"/>
    <w:rsid w:val="003A43D0"/>
    <w:rsid w:val="003A4770"/>
    <w:rsid w:val="003A49F0"/>
    <w:rsid w:val="003A4B26"/>
    <w:rsid w:val="003A4EAE"/>
    <w:rsid w:val="003A4EB7"/>
    <w:rsid w:val="003A55F8"/>
    <w:rsid w:val="003A5BD4"/>
    <w:rsid w:val="003A5C46"/>
    <w:rsid w:val="003A632A"/>
    <w:rsid w:val="003A64C2"/>
    <w:rsid w:val="003A67F4"/>
    <w:rsid w:val="003A6D35"/>
    <w:rsid w:val="003A6D48"/>
    <w:rsid w:val="003A7307"/>
    <w:rsid w:val="003A73D3"/>
    <w:rsid w:val="003A7B77"/>
    <w:rsid w:val="003A7E83"/>
    <w:rsid w:val="003A7F61"/>
    <w:rsid w:val="003B0301"/>
    <w:rsid w:val="003B03E4"/>
    <w:rsid w:val="003B0550"/>
    <w:rsid w:val="003B06AF"/>
    <w:rsid w:val="003B0926"/>
    <w:rsid w:val="003B0A0A"/>
    <w:rsid w:val="003B1475"/>
    <w:rsid w:val="003B173A"/>
    <w:rsid w:val="003B1791"/>
    <w:rsid w:val="003B19F6"/>
    <w:rsid w:val="003B1B87"/>
    <w:rsid w:val="003B209A"/>
    <w:rsid w:val="003B2104"/>
    <w:rsid w:val="003B23AB"/>
    <w:rsid w:val="003B25DA"/>
    <w:rsid w:val="003B25FC"/>
    <w:rsid w:val="003B2662"/>
    <w:rsid w:val="003B275C"/>
    <w:rsid w:val="003B287A"/>
    <w:rsid w:val="003B2A87"/>
    <w:rsid w:val="003B31C2"/>
    <w:rsid w:val="003B3962"/>
    <w:rsid w:val="003B3B3C"/>
    <w:rsid w:val="003B3C64"/>
    <w:rsid w:val="003B3E3A"/>
    <w:rsid w:val="003B4774"/>
    <w:rsid w:val="003B47A1"/>
    <w:rsid w:val="003B4DD9"/>
    <w:rsid w:val="003B4E7C"/>
    <w:rsid w:val="003B53C5"/>
    <w:rsid w:val="003B5486"/>
    <w:rsid w:val="003B5655"/>
    <w:rsid w:val="003B5946"/>
    <w:rsid w:val="003B5A07"/>
    <w:rsid w:val="003B5B06"/>
    <w:rsid w:val="003B5D9C"/>
    <w:rsid w:val="003B5EAB"/>
    <w:rsid w:val="003B5F42"/>
    <w:rsid w:val="003B60E3"/>
    <w:rsid w:val="003B61A5"/>
    <w:rsid w:val="003B6237"/>
    <w:rsid w:val="003B668B"/>
    <w:rsid w:val="003B68F3"/>
    <w:rsid w:val="003B694F"/>
    <w:rsid w:val="003B6EB9"/>
    <w:rsid w:val="003B6EF8"/>
    <w:rsid w:val="003B704A"/>
    <w:rsid w:val="003B7146"/>
    <w:rsid w:val="003B748E"/>
    <w:rsid w:val="003B7696"/>
    <w:rsid w:val="003B76AC"/>
    <w:rsid w:val="003B7748"/>
    <w:rsid w:val="003B796D"/>
    <w:rsid w:val="003B7971"/>
    <w:rsid w:val="003B79CA"/>
    <w:rsid w:val="003B7CCB"/>
    <w:rsid w:val="003B7DE3"/>
    <w:rsid w:val="003C028D"/>
    <w:rsid w:val="003C05FD"/>
    <w:rsid w:val="003C07E2"/>
    <w:rsid w:val="003C1053"/>
    <w:rsid w:val="003C17BC"/>
    <w:rsid w:val="003C1A0B"/>
    <w:rsid w:val="003C1B16"/>
    <w:rsid w:val="003C1CD2"/>
    <w:rsid w:val="003C23EB"/>
    <w:rsid w:val="003C2437"/>
    <w:rsid w:val="003C29F3"/>
    <w:rsid w:val="003C2CF1"/>
    <w:rsid w:val="003C2F3C"/>
    <w:rsid w:val="003C3701"/>
    <w:rsid w:val="003C3791"/>
    <w:rsid w:val="003C37D5"/>
    <w:rsid w:val="003C3D54"/>
    <w:rsid w:val="003C3DA7"/>
    <w:rsid w:val="003C3E4A"/>
    <w:rsid w:val="003C3EA7"/>
    <w:rsid w:val="003C40FD"/>
    <w:rsid w:val="003C46AA"/>
    <w:rsid w:val="003C4D60"/>
    <w:rsid w:val="003C4D7F"/>
    <w:rsid w:val="003C5815"/>
    <w:rsid w:val="003C652E"/>
    <w:rsid w:val="003C6597"/>
    <w:rsid w:val="003C69C9"/>
    <w:rsid w:val="003C6AC0"/>
    <w:rsid w:val="003C73E6"/>
    <w:rsid w:val="003C7C04"/>
    <w:rsid w:val="003D0541"/>
    <w:rsid w:val="003D0A63"/>
    <w:rsid w:val="003D0FEA"/>
    <w:rsid w:val="003D176E"/>
    <w:rsid w:val="003D18B6"/>
    <w:rsid w:val="003D1B30"/>
    <w:rsid w:val="003D1CAB"/>
    <w:rsid w:val="003D1F5D"/>
    <w:rsid w:val="003D20B1"/>
    <w:rsid w:val="003D20BD"/>
    <w:rsid w:val="003D2D5B"/>
    <w:rsid w:val="003D340E"/>
    <w:rsid w:val="003D352C"/>
    <w:rsid w:val="003D355C"/>
    <w:rsid w:val="003D357B"/>
    <w:rsid w:val="003D3611"/>
    <w:rsid w:val="003D3EE9"/>
    <w:rsid w:val="003D3F70"/>
    <w:rsid w:val="003D421A"/>
    <w:rsid w:val="003D43B6"/>
    <w:rsid w:val="003D4D03"/>
    <w:rsid w:val="003D4D5A"/>
    <w:rsid w:val="003D4F59"/>
    <w:rsid w:val="003D5447"/>
    <w:rsid w:val="003D5599"/>
    <w:rsid w:val="003D5611"/>
    <w:rsid w:val="003D5695"/>
    <w:rsid w:val="003D56B6"/>
    <w:rsid w:val="003D58C8"/>
    <w:rsid w:val="003D608A"/>
    <w:rsid w:val="003D651E"/>
    <w:rsid w:val="003D66F3"/>
    <w:rsid w:val="003D6B05"/>
    <w:rsid w:val="003D6EBF"/>
    <w:rsid w:val="003D72A4"/>
    <w:rsid w:val="003D7755"/>
    <w:rsid w:val="003D77AB"/>
    <w:rsid w:val="003D7FAB"/>
    <w:rsid w:val="003E0098"/>
    <w:rsid w:val="003E00D2"/>
    <w:rsid w:val="003E0149"/>
    <w:rsid w:val="003E01E3"/>
    <w:rsid w:val="003E0304"/>
    <w:rsid w:val="003E08D6"/>
    <w:rsid w:val="003E0AFC"/>
    <w:rsid w:val="003E0E25"/>
    <w:rsid w:val="003E0FC4"/>
    <w:rsid w:val="003E1188"/>
    <w:rsid w:val="003E1437"/>
    <w:rsid w:val="003E1BAA"/>
    <w:rsid w:val="003E22A0"/>
    <w:rsid w:val="003E280A"/>
    <w:rsid w:val="003E2E46"/>
    <w:rsid w:val="003E2F0F"/>
    <w:rsid w:val="003E3163"/>
    <w:rsid w:val="003E326F"/>
    <w:rsid w:val="003E32AE"/>
    <w:rsid w:val="003E3346"/>
    <w:rsid w:val="003E33E7"/>
    <w:rsid w:val="003E3A6C"/>
    <w:rsid w:val="003E3AA9"/>
    <w:rsid w:val="003E3DB5"/>
    <w:rsid w:val="003E3FFE"/>
    <w:rsid w:val="003E4021"/>
    <w:rsid w:val="003E4460"/>
    <w:rsid w:val="003E49C3"/>
    <w:rsid w:val="003E4D57"/>
    <w:rsid w:val="003E4F3F"/>
    <w:rsid w:val="003E52BE"/>
    <w:rsid w:val="003E57A8"/>
    <w:rsid w:val="003E59FB"/>
    <w:rsid w:val="003E5C94"/>
    <w:rsid w:val="003E6422"/>
    <w:rsid w:val="003E650B"/>
    <w:rsid w:val="003E6B0E"/>
    <w:rsid w:val="003E6C60"/>
    <w:rsid w:val="003E6F09"/>
    <w:rsid w:val="003E6F36"/>
    <w:rsid w:val="003E7518"/>
    <w:rsid w:val="003E7CDE"/>
    <w:rsid w:val="003E7F89"/>
    <w:rsid w:val="003F010A"/>
    <w:rsid w:val="003F027D"/>
    <w:rsid w:val="003F0864"/>
    <w:rsid w:val="003F0D67"/>
    <w:rsid w:val="003F0FB7"/>
    <w:rsid w:val="003F1044"/>
    <w:rsid w:val="003F171C"/>
    <w:rsid w:val="003F17AF"/>
    <w:rsid w:val="003F1828"/>
    <w:rsid w:val="003F188F"/>
    <w:rsid w:val="003F1D75"/>
    <w:rsid w:val="003F202C"/>
    <w:rsid w:val="003F285A"/>
    <w:rsid w:val="003F2BCF"/>
    <w:rsid w:val="003F3437"/>
    <w:rsid w:val="003F34B1"/>
    <w:rsid w:val="003F384A"/>
    <w:rsid w:val="003F3BD0"/>
    <w:rsid w:val="003F3FEB"/>
    <w:rsid w:val="003F41A7"/>
    <w:rsid w:val="003F42E4"/>
    <w:rsid w:val="003F4443"/>
    <w:rsid w:val="003F46FB"/>
    <w:rsid w:val="003F4944"/>
    <w:rsid w:val="003F49B6"/>
    <w:rsid w:val="003F4A41"/>
    <w:rsid w:val="003F4B2B"/>
    <w:rsid w:val="003F4DBE"/>
    <w:rsid w:val="003F4F83"/>
    <w:rsid w:val="003F5196"/>
    <w:rsid w:val="003F5666"/>
    <w:rsid w:val="003F5688"/>
    <w:rsid w:val="003F5B2B"/>
    <w:rsid w:val="003F5D41"/>
    <w:rsid w:val="003F6193"/>
    <w:rsid w:val="003F62BF"/>
    <w:rsid w:val="003F6392"/>
    <w:rsid w:val="003F65ED"/>
    <w:rsid w:val="003F6DFF"/>
    <w:rsid w:val="003F78FB"/>
    <w:rsid w:val="003F7A17"/>
    <w:rsid w:val="003F7A54"/>
    <w:rsid w:val="003F7E17"/>
    <w:rsid w:val="004002A7"/>
    <w:rsid w:val="004002F0"/>
    <w:rsid w:val="00400683"/>
    <w:rsid w:val="004006D6"/>
    <w:rsid w:val="00400720"/>
    <w:rsid w:val="004007D4"/>
    <w:rsid w:val="00400913"/>
    <w:rsid w:val="00400B29"/>
    <w:rsid w:val="00400D87"/>
    <w:rsid w:val="00400E16"/>
    <w:rsid w:val="00400FAA"/>
    <w:rsid w:val="00400FCB"/>
    <w:rsid w:val="00401130"/>
    <w:rsid w:val="004012E7"/>
    <w:rsid w:val="004016C2"/>
    <w:rsid w:val="004019C7"/>
    <w:rsid w:val="00401BEA"/>
    <w:rsid w:val="00402156"/>
    <w:rsid w:val="0040244F"/>
    <w:rsid w:val="004025D7"/>
    <w:rsid w:val="004026BC"/>
    <w:rsid w:val="00402900"/>
    <w:rsid w:val="00402A27"/>
    <w:rsid w:val="00402A74"/>
    <w:rsid w:val="00402CDA"/>
    <w:rsid w:val="00402EB7"/>
    <w:rsid w:val="00402EED"/>
    <w:rsid w:val="00403442"/>
    <w:rsid w:val="0040359D"/>
    <w:rsid w:val="00403607"/>
    <w:rsid w:val="0040394D"/>
    <w:rsid w:val="00403FC0"/>
    <w:rsid w:val="00404348"/>
    <w:rsid w:val="00404996"/>
    <w:rsid w:val="0040502A"/>
    <w:rsid w:val="00405255"/>
    <w:rsid w:val="004054C7"/>
    <w:rsid w:val="00405896"/>
    <w:rsid w:val="00405AF0"/>
    <w:rsid w:val="00405C3F"/>
    <w:rsid w:val="00405CA6"/>
    <w:rsid w:val="00405FEE"/>
    <w:rsid w:val="004060C2"/>
    <w:rsid w:val="00406310"/>
    <w:rsid w:val="00406620"/>
    <w:rsid w:val="004068A9"/>
    <w:rsid w:val="00406F08"/>
    <w:rsid w:val="0040706F"/>
    <w:rsid w:val="00407337"/>
    <w:rsid w:val="0040789A"/>
    <w:rsid w:val="00407D7D"/>
    <w:rsid w:val="00407DDD"/>
    <w:rsid w:val="004101B5"/>
    <w:rsid w:val="00410298"/>
    <w:rsid w:val="00410650"/>
    <w:rsid w:val="0041065E"/>
    <w:rsid w:val="0041087C"/>
    <w:rsid w:val="00410A8D"/>
    <w:rsid w:val="00410DC3"/>
    <w:rsid w:val="00411270"/>
    <w:rsid w:val="00411869"/>
    <w:rsid w:val="00411D2C"/>
    <w:rsid w:val="00411EC5"/>
    <w:rsid w:val="0041212B"/>
    <w:rsid w:val="00412135"/>
    <w:rsid w:val="0041251B"/>
    <w:rsid w:val="004126F2"/>
    <w:rsid w:val="00412A8F"/>
    <w:rsid w:val="00412FC5"/>
    <w:rsid w:val="00412FDA"/>
    <w:rsid w:val="00412FEC"/>
    <w:rsid w:val="00413037"/>
    <w:rsid w:val="00413208"/>
    <w:rsid w:val="004132AE"/>
    <w:rsid w:val="004133C8"/>
    <w:rsid w:val="00413565"/>
    <w:rsid w:val="00413F9D"/>
    <w:rsid w:val="004145AC"/>
    <w:rsid w:val="004145D7"/>
    <w:rsid w:val="0041486A"/>
    <w:rsid w:val="004148EB"/>
    <w:rsid w:val="00414B85"/>
    <w:rsid w:val="00414C78"/>
    <w:rsid w:val="00414EAD"/>
    <w:rsid w:val="00414ED1"/>
    <w:rsid w:val="00415402"/>
    <w:rsid w:val="004155CE"/>
    <w:rsid w:val="00415B52"/>
    <w:rsid w:val="00415C61"/>
    <w:rsid w:val="00416911"/>
    <w:rsid w:val="004169B8"/>
    <w:rsid w:val="00416A69"/>
    <w:rsid w:val="00416C61"/>
    <w:rsid w:val="00416E82"/>
    <w:rsid w:val="00417670"/>
    <w:rsid w:val="004179E1"/>
    <w:rsid w:val="00417B03"/>
    <w:rsid w:val="00417B10"/>
    <w:rsid w:val="00417C80"/>
    <w:rsid w:val="00417CC0"/>
    <w:rsid w:val="00417D64"/>
    <w:rsid w:val="00417F1B"/>
    <w:rsid w:val="004207F6"/>
    <w:rsid w:val="004208DF"/>
    <w:rsid w:val="00420C45"/>
    <w:rsid w:val="00420DE7"/>
    <w:rsid w:val="004210C4"/>
    <w:rsid w:val="00421278"/>
    <w:rsid w:val="0042135B"/>
    <w:rsid w:val="00421620"/>
    <w:rsid w:val="00421CA7"/>
    <w:rsid w:val="004220FE"/>
    <w:rsid w:val="00422276"/>
    <w:rsid w:val="004222A3"/>
    <w:rsid w:val="004223F6"/>
    <w:rsid w:val="00422A76"/>
    <w:rsid w:val="00422B68"/>
    <w:rsid w:val="00422D40"/>
    <w:rsid w:val="00423874"/>
    <w:rsid w:val="00423899"/>
    <w:rsid w:val="00423BFC"/>
    <w:rsid w:val="004240C4"/>
    <w:rsid w:val="004242F1"/>
    <w:rsid w:val="0042440D"/>
    <w:rsid w:val="004245D3"/>
    <w:rsid w:val="00424701"/>
    <w:rsid w:val="00424784"/>
    <w:rsid w:val="004249F3"/>
    <w:rsid w:val="00424BA0"/>
    <w:rsid w:val="0042561A"/>
    <w:rsid w:val="00425869"/>
    <w:rsid w:val="00425881"/>
    <w:rsid w:val="0042598B"/>
    <w:rsid w:val="00425BA3"/>
    <w:rsid w:val="00425CC6"/>
    <w:rsid w:val="004265EF"/>
    <w:rsid w:val="0042660E"/>
    <w:rsid w:val="00426BB0"/>
    <w:rsid w:val="00426D22"/>
    <w:rsid w:val="00426DC8"/>
    <w:rsid w:val="00426F09"/>
    <w:rsid w:val="00426F17"/>
    <w:rsid w:val="004273E8"/>
    <w:rsid w:val="00427996"/>
    <w:rsid w:val="00427C91"/>
    <w:rsid w:val="00427CD4"/>
    <w:rsid w:val="00427CE6"/>
    <w:rsid w:val="00427F54"/>
    <w:rsid w:val="00427F91"/>
    <w:rsid w:val="00430355"/>
    <w:rsid w:val="00430506"/>
    <w:rsid w:val="00430638"/>
    <w:rsid w:val="004306AB"/>
    <w:rsid w:val="00430AE1"/>
    <w:rsid w:val="00430C9E"/>
    <w:rsid w:val="00430D1F"/>
    <w:rsid w:val="00431108"/>
    <w:rsid w:val="00431740"/>
    <w:rsid w:val="00431759"/>
    <w:rsid w:val="004319FA"/>
    <w:rsid w:val="00431C25"/>
    <w:rsid w:val="00431D8B"/>
    <w:rsid w:val="00431E6C"/>
    <w:rsid w:val="00432086"/>
    <w:rsid w:val="00432C66"/>
    <w:rsid w:val="00432FEB"/>
    <w:rsid w:val="004330C4"/>
    <w:rsid w:val="004332FF"/>
    <w:rsid w:val="004334C7"/>
    <w:rsid w:val="004334FA"/>
    <w:rsid w:val="004337C8"/>
    <w:rsid w:val="00434AE4"/>
    <w:rsid w:val="00434C34"/>
    <w:rsid w:val="00434CDB"/>
    <w:rsid w:val="00435127"/>
    <w:rsid w:val="004351BD"/>
    <w:rsid w:val="004355C6"/>
    <w:rsid w:val="00435A87"/>
    <w:rsid w:val="00435C4D"/>
    <w:rsid w:val="00435EFB"/>
    <w:rsid w:val="004361FF"/>
    <w:rsid w:val="004364D1"/>
    <w:rsid w:val="004366FA"/>
    <w:rsid w:val="004367FE"/>
    <w:rsid w:val="00436CD1"/>
    <w:rsid w:val="00436D15"/>
    <w:rsid w:val="00436EEC"/>
    <w:rsid w:val="00437226"/>
    <w:rsid w:val="004372FB"/>
    <w:rsid w:val="0043792E"/>
    <w:rsid w:val="00440137"/>
    <w:rsid w:val="004401BD"/>
    <w:rsid w:val="004405A4"/>
    <w:rsid w:val="00440647"/>
    <w:rsid w:val="00440822"/>
    <w:rsid w:val="00440A96"/>
    <w:rsid w:val="00440DD3"/>
    <w:rsid w:val="00440FF3"/>
    <w:rsid w:val="004410A1"/>
    <w:rsid w:val="004410B8"/>
    <w:rsid w:val="00441A3B"/>
    <w:rsid w:val="00441A4F"/>
    <w:rsid w:val="00441BCA"/>
    <w:rsid w:val="00441D92"/>
    <w:rsid w:val="00441FEB"/>
    <w:rsid w:val="00442024"/>
    <w:rsid w:val="00442492"/>
    <w:rsid w:val="00442713"/>
    <w:rsid w:val="004427E7"/>
    <w:rsid w:val="00442A4D"/>
    <w:rsid w:val="004434A5"/>
    <w:rsid w:val="00443B37"/>
    <w:rsid w:val="00443C28"/>
    <w:rsid w:val="00443CF7"/>
    <w:rsid w:val="00443E08"/>
    <w:rsid w:val="00444B15"/>
    <w:rsid w:val="00444F02"/>
    <w:rsid w:val="00445223"/>
    <w:rsid w:val="004455D1"/>
    <w:rsid w:val="00445A00"/>
    <w:rsid w:val="00445A86"/>
    <w:rsid w:val="00445B10"/>
    <w:rsid w:val="00446210"/>
    <w:rsid w:val="00446457"/>
    <w:rsid w:val="0044693D"/>
    <w:rsid w:val="004469D5"/>
    <w:rsid w:val="00446E3E"/>
    <w:rsid w:val="00447142"/>
    <w:rsid w:val="004471D3"/>
    <w:rsid w:val="00447DEB"/>
    <w:rsid w:val="00447DF6"/>
    <w:rsid w:val="00450170"/>
    <w:rsid w:val="004501C2"/>
    <w:rsid w:val="00450326"/>
    <w:rsid w:val="0045035E"/>
    <w:rsid w:val="004503A6"/>
    <w:rsid w:val="0045064B"/>
    <w:rsid w:val="00450763"/>
    <w:rsid w:val="00450AAD"/>
    <w:rsid w:val="00450EF0"/>
    <w:rsid w:val="00450F71"/>
    <w:rsid w:val="00450FB9"/>
    <w:rsid w:val="00451234"/>
    <w:rsid w:val="00451439"/>
    <w:rsid w:val="00451B0F"/>
    <w:rsid w:val="00451B75"/>
    <w:rsid w:val="00451BF2"/>
    <w:rsid w:val="0045267C"/>
    <w:rsid w:val="00452945"/>
    <w:rsid w:val="0045334C"/>
    <w:rsid w:val="00453757"/>
    <w:rsid w:val="00453774"/>
    <w:rsid w:val="004538F8"/>
    <w:rsid w:val="00453A23"/>
    <w:rsid w:val="00453CC6"/>
    <w:rsid w:val="00453E54"/>
    <w:rsid w:val="00453E64"/>
    <w:rsid w:val="0045414F"/>
    <w:rsid w:val="00454185"/>
    <w:rsid w:val="004541C9"/>
    <w:rsid w:val="00454362"/>
    <w:rsid w:val="004543B8"/>
    <w:rsid w:val="00454450"/>
    <w:rsid w:val="004547AC"/>
    <w:rsid w:val="004548EA"/>
    <w:rsid w:val="00454A48"/>
    <w:rsid w:val="00454EEE"/>
    <w:rsid w:val="00455304"/>
    <w:rsid w:val="00455484"/>
    <w:rsid w:val="00455514"/>
    <w:rsid w:val="0045553B"/>
    <w:rsid w:val="004555CD"/>
    <w:rsid w:val="00455810"/>
    <w:rsid w:val="00455CAB"/>
    <w:rsid w:val="00455CF7"/>
    <w:rsid w:val="00455D55"/>
    <w:rsid w:val="0045637F"/>
    <w:rsid w:val="00456A6F"/>
    <w:rsid w:val="00456CEC"/>
    <w:rsid w:val="00456E5C"/>
    <w:rsid w:val="00457270"/>
    <w:rsid w:val="004573D4"/>
    <w:rsid w:val="004602D2"/>
    <w:rsid w:val="004603AD"/>
    <w:rsid w:val="0046073A"/>
    <w:rsid w:val="004607FF"/>
    <w:rsid w:val="00460865"/>
    <w:rsid w:val="004608FD"/>
    <w:rsid w:val="00460D50"/>
    <w:rsid w:val="00460DE8"/>
    <w:rsid w:val="00461192"/>
    <w:rsid w:val="00461552"/>
    <w:rsid w:val="004618A8"/>
    <w:rsid w:val="00461ADA"/>
    <w:rsid w:val="00461B21"/>
    <w:rsid w:val="00462301"/>
    <w:rsid w:val="004624EC"/>
    <w:rsid w:val="0046255F"/>
    <w:rsid w:val="004625D6"/>
    <w:rsid w:val="00462875"/>
    <w:rsid w:val="00462BDD"/>
    <w:rsid w:val="00462C9C"/>
    <w:rsid w:val="00462D03"/>
    <w:rsid w:val="00462D0F"/>
    <w:rsid w:val="00462FF8"/>
    <w:rsid w:val="00463368"/>
    <w:rsid w:val="004637BA"/>
    <w:rsid w:val="004637CB"/>
    <w:rsid w:val="004638B1"/>
    <w:rsid w:val="004638DE"/>
    <w:rsid w:val="00463A2B"/>
    <w:rsid w:val="00463BE0"/>
    <w:rsid w:val="00464351"/>
    <w:rsid w:val="004648EA"/>
    <w:rsid w:val="004649A8"/>
    <w:rsid w:val="00464BBD"/>
    <w:rsid w:val="00464F42"/>
    <w:rsid w:val="0046519C"/>
    <w:rsid w:val="00465A41"/>
    <w:rsid w:val="00465BA8"/>
    <w:rsid w:val="004664DE"/>
    <w:rsid w:val="00466703"/>
    <w:rsid w:val="004668B1"/>
    <w:rsid w:val="00466C12"/>
    <w:rsid w:val="00466D2D"/>
    <w:rsid w:val="00467097"/>
    <w:rsid w:val="004673C6"/>
    <w:rsid w:val="00467505"/>
    <w:rsid w:val="00470046"/>
    <w:rsid w:val="00470090"/>
    <w:rsid w:val="0047028B"/>
    <w:rsid w:val="004706DA"/>
    <w:rsid w:val="0047070F"/>
    <w:rsid w:val="004707CB"/>
    <w:rsid w:val="004708BD"/>
    <w:rsid w:val="004709DC"/>
    <w:rsid w:val="00470A10"/>
    <w:rsid w:val="00470AB4"/>
    <w:rsid w:val="00470C56"/>
    <w:rsid w:val="00471484"/>
    <w:rsid w:val="00471529"/>
    <w:rsid w:val="0047165B"/>
    <w:rsid w:val="004717D7"/>
    <w:rsid w:val="0047180B"/>
    <w:rsid w:val="00471929"/>
    <w:rsid w:val="00471B67"/>
    <w:rsid w:val="00471D10"/>
    <w:rsid w:val="004722FF"/>
    <w:rsid w:val="00472358"/>
    <w:rsid w:val="00472683"/>
    <w:rsid w:val="00472689"/>
    <w:rsid w:val="00472A8C"/>
    <w:rsid w:val="00472C31"/>
    <w:rsid w:val="00472F1F"/>
    <w:rsid w:val="00473076"/>
    <w:rsid w:val="00473499"/>
    <w:rsid w:val="0047381C"/>
    <w:rsid w:val="0047394D"/>
    <w:rsid w:val="00473C01"/>
    <w:rsid w:val="00474073"/>
    <w:rsid w:val="00474B9C"/>
    <w:rsid w:val="00474BD4"/>
    <w:rsid w:val="00474CB1"/>
    <w:rsid w:val="0047515E"/>
    <w:rsid w:val="0047524C"/>
    <w:rsid w:val="004752A7"/>
    <w:rsid w:val="00475311"/>
    <w:rsid w:val="00475BF8"/>
    <w:rsid w:val="00475D13"/>
    <w:rsid w:val="00475DCD"/>
    <w:rsid w:val="00475E85"/>
    <w:rsid w:val="00475EE7"/>
    <w:rsid w:val="0047639A"/>
    <w:rsid w:val="00476739"/>
    <w:rsid w:val="004768E2"/>
    <w:rsid w:val="00476AE2"/>
    <w:rsid w:val="00476D0F"/>
    <w:rsid w:val="00476EA5"/>
    <w:rsid w:val="00477304"/>
    <w:rsid w:val="00477AE2"/>
    <w:rsid w:val="00477B7A"/>
    <w:rsid w:val="0048042B"/>
    <w:rsid w:val="00480915"/>
    <w:rsid w:val="00480CF4"/>
    <w:rsid w:val="00480D1E"/>
    <w:rsid w:val="004810CC"/>
    <w:rsid w:val="00481346"/>
    <w:rsid w:val="004813EC"/>
    <w:rsid w:val="0048150D"/>
    <w:rsid w:val="00481A8E"/>
    <w:rsid w:val="00481B03"/>
    <w:rsid w:val="00481D07"/>
    <w:rsid w:val="00481D62"/>
    <w:rsid w:val="00481FDA"/>
    <w:rsid w:val="00482626"/>
    <w:rsid w:val="0048267A"/>
    <w:rsid w:val="00482797"/>
    <w:rsid w:val="0048281D"/>
    <w:rsid w:val="0048294C"/>
    <w:rsid w:val="00482B59"/>
    <w:rsid w:val="00483067"/>
    <w:rsid w:val="004831CD"/>
    <w:rsid w:val="0048320F"/>
    <w:rsid w:val="00483584"/>
    <w:rsid w:val="004837B3"/>
    <w:rsid w:val="004838D8"/>
    <w:rsid w:val="004839C4"/>
    <w:rsid w:val="00483F92"/>
    <w:rsid w:val="00484431"/>
    <w:rsid w:val="0048479F"/>
    <w:rsid w:val="0048480D"/>
    <w:rsid w:val="00484993"/>
    <w:rsid w:val="004849B8"/>
    <w:rsid w:val="004849EA"/>
    <w:rsid w:val="00484AAC"/>
    <w:rsid w:val="00484AFA"/>
    <w:rsid w:val="00484EA7"/>
    <w:rsid w:val="0048501B"/>
    <w:rsid w:val="004851DC"/>
    <w:rsid w:val="00485275"/>
    <w:rsid w:val="004852D6"/>
    <w:rsid w:val="00485456"/>
    <w:rsid w:val="0048546D"/>
    <w:rsid w:val="00486087"/>
    <w:rsid w:val="004865E5"/>
    <w:rsid w:val="00486718"/>
    <w:rsid w:val="0048696A"/>
    <w:rsid w:val="00486BB9"/>
    <w:rsid w:val="00486D01"/>
    <w:rsid w:val="00486E59"/>
    <w:rsid w:val="00487133"/>
    <w:rsid w:val="00487517"/>
    <w:rsid w:val="00487750"/>
    <w:rsid w:val="00487BF2"/>
    <w:rsid w:val="00487DCE"/>
    <w:rsid w:val="00487EB8"/>
    <w:rsid w:val="00487ED6"/>
    <w:rsid w:val="0049005B"/>
    <w:rsid w:val="004901AE"/>
    <w:rsid w:val="00490262"/>
    <w:rsid w:val="004903E2"/>
    <w:rsid w:val="00490742"/>
    <w:rsid w:val="0049081F"/>
    <w:rsid w:val="00490B52"/>
    <w:rsid w:val="00490C25"/>
    <w:rsid w:val="00490E4C"/>
    <w:rsid w:val="00490E97"/>
    <w:rsid w:val="004911E7"/>
    <w:rsid w:val="004918CE"/>
    <w:rsid w:val="00491A5D"/>
    <w:rsid w:val="00492024"/>
    <w:rsid w:val="00492592"/>
    <w:rsid w:val="00492CFA"/>
    <w:rsid w:val="00492F05"/>
    <w:rsid w:val="00492F2F"/>
    <w:rsid w:val="00493448"/>
    <w:rsid w:val="00493E3F"/>
    <w:rsid w:val="0049408E"/>
    <w:rsid w:val="004940AE"/>
    <w:rsid w:val="004944D5"/>
    <w:rsid w:val="00494605"/>
    <w:rsid w:val="00494B95"/>
    <w:rsid w:val="00494E7F"/>
    <w:rsid w:val="0049552F"/>
    <w:rsid w:val="0049562B"/>
    <w:rsid w:val="00495737"/>
    <w:rsid w:val="00495763"/>
    <w:rsid w:val="0049607A"/>
    <w:rsid w:val="004962C0"/>
    <w:rsid w:val="00496453"/>
    <w:rsid w:val="004969D8"/>
    <w:rsid w:val="00497037"/>
    <w:rsid w:val="004973F7"/>
    <w:rsid w:val="004974B1"/>
    <w:rsid w:val="00497530"/>
    <w:rsid w:val="004976C6"/>
    <w:rsid w:val="004978DC"/>
    <w:rsid w:val="00497C9E"/>
    <w:rsid w:val="00497D33"/>
    <w:rsid w:val="00497D48"/>
    <w:rsid w:val="00497F5B"/>
    <w:rsid w:val="004A001E"/>
    <w:rsid w:val="004A0200"/>
    <w:rsid w:val="004A025C"/>
    <w:rsid w:val="004A0275"/>
    <w:rsid w:val="004A06D7"/>
    <w:rsid w:val="004A075E"/>
    <w:rsid w:val="004A08F5"/>
    <w:rsid w:val="004A090A"/>
    <w:rsid w:val="004A0A30"/>
    <w:rsid w:val="004A0BB0"/>
    <w:rsid w:val="004A0C03"/>
    <w:rsid w:val="004A0CC8"/>
    <w:rsid w:val="004A0E02"/>
    <w:rsid w:val="004A0F20"/>
    <w:rsid w:val="004A125B"/>
    <w:rsid w:val="004A12C9"/>
    <w:rsid w:val="004A1556"/>
    <w:rsid w:val="004A1756"/>
    <w:rsid w:val="004A21A8"/>
    <w:rsid w:val="004A255F"/>
    <w:rsid w:val="004A25BF"/>
    <w:rsid w:val="004A302E"/>
    <w:rsid w:val="004A31BC"/>
    <w:rsid w:val="004A3683"/>
    <w:rsid w:val="004A377F"/>
    <w:rsid w:val="004A3AA6"/>
    <w:rsid w:val="004A3BB0"/>
    <w:rsid w:val="004A3C18"/>
    <w:rsid w:val="004A3E49"/>
    <w:rsid w:val="004A4694"/>
    <w:rsid w:val="004A4A45"/>
    <w:rsid w:val="004A531E"/>
    <w:rsid w:val="004A555F"/>
    <w:rsid w:val="004A5861"/>
    <w:rsid w:val="004A58E2"/>
    <w:rsid w:val="004A5D88"/>
    <w:rsid w:val="004A6295"/>
    <w:rsid w:val="004A6299"/>
    <w:rsid w:val="004A62C6"/>
    <w:rsid w:val="004A6632"/>
    <w:rsid w:val="004A6CA2"/>
    <w:rsid w:val="004A6E88"/>
    <w:rsid w:val="004A702E"/>
    <w:rsid w:val="004A7040"/>
    <w:rsid w:val="004A7762"/>
    <w:rsid w:val="004A7A49"/>
    <w:rsid w:val="004B0155"/>
    <w:rsid w:val="004B01AC"/>
    <w:rsid w:val="004B025A"/>
    <w:rsid w:val="004B035A"/>
    <w:rsid w:val="004B0A23"/>
    <w:rsid w:val="004B0D71"/>
    <w:rsid w:val="004B0EA4"/>
    <w:rsid w:val="004B1015"/>
    <w:rsid w:val="004B1547"/>
    <w:rsid w:val="004B1A3E"/>
    <w:rsid w:val="004B1B5F"/>
    <w:rsid w:val="004B1E19"/>
    <w:rsid w:val="004B2239"/>
    <w:rsid w:val="004B22B9"/>
    <w:rsid w:val="004B24B4"/>
    <w:rsid w:val="004B29E1"/>
    <w:rsid w:val="004B2BA0"/>
    <w:rsid w:val="004B2E60"/>
    <w:rsid w:val="004B2E6F"/>
    <w:rsid w:val="004B31B0"/>
    <w:rsid w:val="004B33A5"/>
    <w:rsid w:val="004B3B09"/>
    <w:rsid w:val="004B3C97"/>
    <w:rsid w:val="004B3FE6"/>
    <w:rsid w:val="004B42A1"/>
    <w:rsid w:val="004B4766"/>
    <w:rsid w:val="004B4927"/>
    <w:rsid w:val="004B49B6"/>
    <w:rsid w:val="004B4A13"/>
    <w:rsid w:val="004B4D36"/>
    <w:rsid w:val="004B4DDA"/>
    <w:rsid w:val="004B4E03"/>
    <w:rsid w:val="004B506A"/>
    <w:rsid w:val="004B5234"/>
    <w:rsid w:val="004B537F"/>
    <w:rsid w:val="004B553A"/>
    <w:rsid w:val="004B5597"/>
    <w:rsid w:val="004B5605"/>
    <w:rsid w:val="004B5A73"/>
    <w:rsid w:val="004B5F70"/>
    <w:rsid w:val="004B6041"/>
    <w:rsid w:val="004B622A"/>
    <w:rsid w:val="004B62DB"/>
    <w:rsid w:val="004B6667"/>
    <w:rsid w:val="004B6685"/>
    <w:rsid w:val="004B68CD"/>
    <w:rsid w:val="004B695E"/>
    <w:rsid w:val="004B6C0E"/>
    <w:rsid w:val="004B6EB1"/>
    <w:rsid w:val="004B75AB"/>
    <w:rsid w:val="004B7650"/>
    <w:rsid w:val="004B7AD1"/>
    <w:rsid w:val="004B7B5D"/>
    <w:rsid w:val="004B7CC2"/>
    <w:rsid w:val="004B7DFF"/>
    <w:rsid w:val="004B7F36"/>
    <w:rsid w:val="004C00EB"/>
    <w:rsid w:val="004C01AA"/>
    <w:rsid w:val="004C031D"/>
    <w:rsid w:val="004C05A6"/>
    <w:rsid w:val="004C073B"/>
    <w:rsid w:val="004C084C"/>
    <w:rsid w:val="004C08B5"/>
    <w:rsid w:val="004C0A38"/>
    <w:rsid w:val="004C129E"/>
    <w:rsid w:val="004C12DC"/>
    <w:rsid w:val="004C13A4"/>
    <w:rsid w:val="004C1BBC"/>
    <w:rsid w:val="004C238B"/>
    <w:rsid w:val="004C26DC"/>
    <w:rsid w:val="004C2EE3"/>
    <w:rsid w:val="004C2F18"/>
    <w:rsid w:val="004C2F5F"/>
    <w:rsid w:val="004C35F2"/>
    <w:rsid w:val="004C392F"/>
    <w:rsid w:val="004C3992"/>
    <w:rsid w:val="004C3B81"/>
    <w:rsid w:val="004C3C5A"/>
    <w:rsid w:val="004C3D11"/>
    <w:rsid w:val="004C4074"/>
    <w:rsid w:val="004C49BC"/>
    <w:rsid w:val="004C4D1C"/>
    <w:rsid w:val="004C4F3D"/>
    <w:rsid w:val="004C5239"/>
    <w:rsid w:val="004C5324"/>
    <w:rsid w:val="004C53A4"/>
    <w:rsid w:val="004C55C0"/>
    <w:rsid w:val="004C5938"/>
    <w:rsid w:val="004C5AA1"/>
    <w:rsid w:val="004C5D4F"/>
    <w:rsid w:val="004C5E01"/>
    <w:rsid w:val="004C6090"/>
    <w:rsid w:val="004C6121"/>
    <w:rsid w:val="004C6584"/>
    <w:rsid w:val="004C670E"/>
    <w:rsid w:val="004C6943"/>
    <w:rsid w:val="004C69A6"/>
    <w:rsid w:val="004C6B3C"/>
    <w:rsid w:val="004C6EA0"/>
    <w:rsid w:val="004C73BA"/>
    <w:rsid w:val="004C745A"/>
    <w:rsid w:val="004C7F43"/>
    <w:rsid w:val="004C7FD9"/>
    <w:rsid w:val="004D0120"/>
    <w:rsid w:val="004D07FF"/>
    <w:rsid w:val="004D0B82"/>
    <w:rsid w:val="004D0D72"/>
    <w:rsid w:val="004D0E23"/>
    <w:rsid w:val="004D0FC8"/>
    <w:rsid w:val="004D129D"/>
    <w:rsid w:val="004D15E0"/>
    <w:rsid w:val="004D16D9"/>
    <w:rsid w:val="004D1C74"/>
    <w:rsid w:val="004D1EC3"/>
    <w:rsid w:val="004D1F7E"/>
    <w:rsid w:val="004D202C"/>
    <w:rsid w:val="004D2177"/>
    <w:rsid w:val="004D2C45"/>
    <w:rsid w:val="004D2CC0"/>
    <w:rsid w:val="004D2D06"/>
    <w:rsid w:val="004D2F04"/>
    <w:rsid w:val="004D2FE7"/>
    <w:rsid w:val="004D3776"/>
    <w:rsid w:val="004D3A5B"/>
    <w:rsid w:val="004D3E0E"/>
    <w:rsid w:val="004D4072"/>
    <w:rsid w:val="004D4336"/>
    <w:rsid w:val="004D4694"/>
    <w:rsid w:val="004D4732"/>
    <w:rsid w:val="004D4BCD"/>
    <w:rsid w:val="004D4F48"/>
    <w:rsid w:val="004D5629"/>
    <w:rsid w:val="004D566E"/>
    <w:rsid w:val="004D588A"/>
    <w:rsid w:val="004D5AF9"/>
    <w:rsid w:val="004D5F49"/>
    <w:rsid w:val="004D67A3"/>
    <w:rsid w:val="004D67D7"/>
    <w:rsid w:val="004D6CE4"/>
    <w:rsid w:val="004D6FBF"/>
    <w:rsid w:val="004D7787"/>
    <w:rsid w:val="004D7916"/>
    <w:rsid w:val="004D7949"/>
    <w:rsid w:val="004D7B3F"/>
    <w:rsid w:val="004D7C6A"/>
    <w:rsid w:val="004D7E63"/>
    <w:rsid w:val="004E0325"/>
    <w:rsid w:val="004E0424"/>
    <w:rsid w:val="004E07A8"/>
    <w:rsid w:val="004E0998"/>
    <w:rsid w:val="004E0C23"/>
    <w:rsid w:val="004E0CEA"/>
    <w:rsid w:val="004E0EDA"/>
    <w:rsid w:val="004E151F"/>
    <w:rsid w:val="004E1ACA"/>
    <w:rsid w:val="004E1BEC"/>
    <w:rsid w:val="004E21CE"/>
    <w:rsid w:val="004E2339"/>
    <w:rsid w:val="004E25F2"/>
    <w:rsid w:val="004E2A05"/>
    <w:rsid w:val="004E2ABE"/>
    <w:rsid w:val="004E2BA6"/>
    <w:rsid w:val="004E2D44"/>
    <w:rsid w:val="004E2D9C"/>
    <w:rsid w:val="004E32EA"/>
    <w:rsid w:val="004E3304"/>
    <w:rsid w:val="004E3D35"/>
    <w:rsid w:val="004E3D5E"/>
    <w:rsid w:val="004E3DE7"/>
    <w:rsid w:val="004E3E3A"/>
    <w:rsid w:val="004E3F95"/>
    <w:rsid w:val="004E4423"/>
    <w:rsid w:val="004E4A22"/>
    <w:rsid w:val="004E4B2D"/>
    <w:rsid w:val="004E4CC1"/>
    <w:rsid w:val="004E4EA8"/>
    <w:rsid w:val="004E4F93"/>
    <w:rsid w:val="004E5062"/>
    <w:rsid w:val="004E5118"/>
    <w:rsid w:val="004E5261"/>
    <w:rsid w:val="004E53A5"/>
    <w:rsid w:val="004E57F8"/>
    <w:rsid w:val="004E590A"/>
    <w:rsid w:val="004E680C"/>
    <w:rsid w:val="004E684E"/>
    <w:rsid w:val="004E6DC1"/>
    <w:rsid w:val="004E70BB"/>
    <w:rsid w:val="004E7188"/>
    <w:rsid w:val="004E7813"/>
    <w:rsid w:val="004E7867"/>
    <w:rsid w:val="004E7B2C"/>
    <w:rsid w:val="004E7B96"/>
    <w:rsid w:val="004E7D0D"/>
    <w:rsid w:val="004E7DEB"/>
    <w:rsid w:val="004F02DE"/>
    <w:rsid w:val="004F045D"/>
    <w:rsid w:val="004F07F4"/>
    <w:rsid w:val="004F0943"/>
    <w:rsid w:val="004F0B31"/>
    <w:rsid w:val="004F0CF5"/>
    <w:rsid w:val="004F1186"/>
    <w:rsid w:val="004F12BA"/>
    <w:rsid w:val="004F1434"/>
    <w:rsid w:val="004F14DD"/>
    <w:rsid w:val="004F1586"/>
    <w:rsid w:val="004F199A"/>
    <w:rsid w:val="004F19B9"/>
    <w:rsid w:val="004F1E62"/>
    <w:rsid w:val="004F1F65"/>
    <w:rsid w:val="004F26A2"/>
    <w:rsid w:val="004F2900"/>
    <w:rsid w:val="004F2E64"/>
    <w:rsid w:val="004F2F4C"/>
    <w:rsid w:val="004F314B"/>
    <w:rsid w:val="004F330C"/>
    <w:rsid w:val="004F36D6"/>
    <w:rsid w:val="004F3953"/>
    <w:rsid w:val="004F3E38"/>
    <w:rsid w:val="004F4363"/>
    <w:rsid w:val="004F444D"/>
    <w:rsid w:val="004F4534"/>
    <w:rsid w:val="004F49D7"/>
    <w:rsid w:val="004F4D5B"/>
    <w:rsid w:val="004F4EDD"/>
    <w:rsid w:val="004F4EDF"/>
    <w:rsid w:val="004F4F54"/>
    <w:rsid w:val="004F5116"/>
    <w:rsid w:val="004F527C"/>
    <w:rsid w:val="004F52F9"/>
    <w:rsid w:val="004F53C3"/>
    <w:rsid w:val="004F5694"/>
    <w:rsid w:val="004F56FF"/>
    <w:rsid w:val="004F5E4B"/>
    <w:rsid w:val="004F6202"/>
    <w:rsid w:val="004F6243"/>
    <w:rsid w:val="004F6391"/>
    <w:rsid w:val="004F668C"/>
    <w:rsid w:val="004F6801"/>
    <w:rsid w:val="004F6986"/>
    <w:rsid w:val="004F6C25"/>
    <w:rsid w:val="004F74B7"/>
    <w:rsid w:val="00500031"/>
    <w:rsid w:val="00500226"/>
    <w:rsid w:val="005003F4"/>
    <w:rsid w:val="00500493"/>
    <w:rsid w:val="00500595"/>
    <w:rsid w:val="00500B6F"/>
    <w:rsid w:val="00500C7D"/>
    <w:rsid w:val="00500F88"/>
    <w:rsid w:val="005012A6"/>
    <w:rsid w:val="005013FD"/>
    <w:rsid w:val="00501AD3"/>
    <w:rsid w:val="00501B6B"/>
    <w:rsid w:val="00501E4F"/>
    <w:rsid w:val="00502170"/>
    <w:rsid w:val="005024E4"/>
    <w:rsid w:val="0050257C"/>
    <w:rsid w:val="0050263B"/>
    <w:rsid w:val="005027A6"/>
    <w:rsid w:val="005028ED"/>
    <w:rsid w:val="00502B28"/>
    <w:rsid w:val="00502BE7"/>
    <w:rsid w:val="00502D5E"/>
    <w:rsid w:val="00502E95"/>
    <w:rsid w:val="00502EC4"/>
    <w:rsid w:val="00503085"/>
    <w:rsid w:val="00503270"/>
    <w:rsid w:val="00503414"/>
    <w:rsid w:val="00503454"/>
    <w:rsid w:val="00503623"/>
    <w:rsid w:val="00503962"/>
    <w:rsid w:val="00503975"/>
    <w:rsid w:val="00503B45"/>
    <w:rsid w:val="00503BDF"/>
    <w:rsid w:val="00504068"/>
    <w:rsid w:val="00504417"/>
    <w:rsid w:val="00504756"/>
    <w:rsid w:val="00504B50"/>
    <w:rsid w:val="00504CA8"/>
    <w:rsid w:val="00505172"/>
    <w:rsid w:val="005053CA"/>
    <w:rsid w:val="0050544C"/>
    <w:rsid w:val="0050558B"/>
    <w:rsid w:val="005058B5"/>
    <w:rsid w:val="00505B00"/>
    <w:rsid w:val="00505B37"/>
    <w:rsid w:val="00505C93"/>
    <w:rsid w:val="00505F4D"/>
    <w:rsid w:val="005061F5"/>
    <w:rsid w:val="00506339"/>
    <w:rsid w:val="00506428"/>
    <w:rsid w:val="00506486"/>
    <w:rsid w:val="00506675"/>
    <w:rsid w:val="005066F8"/>
    <w:rsid w:val="0050671E"/>
    <w:rsid w:val="00506F5E"/>
    <w:rsid w:val="00506F6D"/>
    <w:rsid w:val="005070C8"/>
    <w:rsid w:val="00507473"/>
    <w:rsid w:val="0050779A"/>
    <w:rsid w:val="00507856"/>
    <w:rsid w:val="00507DD6"/>
    <w:rsid w:val="00510002"/>
    <w:rsid w:val="00510047"/>
    <w:rsid w:val="005101E6"/>
    <w:rsid w:val="005106D9"/>
    <w:rsid w:val="005106DB"/>
    <w:rsid w:val="00510A1C"/>
    <w:rsid w:val="0051108C"/>
    <w:rsid w:val="00511256"/>
    <w:rsid w:val="00511488"/>
    <w:rsid w:val="00511968"/>
    <w:rsid w:val="005119B7"/>
    <w:rsid w:val="0051203C"/>
    <w:rsid w:val="00512443"/>
    <w:rsid w:val="00512FEC"/>
    <w:rsid w:val="00513598"/>
    <w:rsid w:val="00513741"/>
    <w:rsid w:val="0051388D"/>
    <w:rsid w:val="005138CE"/>
    <w:rsid w:val="00513AA4"/>
    <w:rsid w:val="00514092"/>
    <w:rsid w:val="00514471"/>
    <w:rsid w:val="0051466C"/>
    <w:rsid w:val="00514B69"/>
    <w:rsid w:val="00514D41"/>
    <w:rsid w:val="00515067"/>
    <w:rsid w:val="005151BE"/>
    <w:rsid w:val="00515307"/>
    <w:rsid w:val="005154E3"/>
    <w:rsid w:val="00515CB9"/>
    <w:rsid w:val="00515F54"/>
    <w:rsid w:val="00516133"/>
    <w:rsid w:val="0051623F"/>
    <w:rsid w:val="0051644E"/>
    <w:rsid w:val="005164B6"/>
    <w:rsid w:val="005168E5"/>
    <w:rsid w:val="00516C80"/>
    <w:rsid w:val="00516E10"/>
    <w:rsid w:val="00516F3D"/>
    <w:rsid w:val="0051727D"/>
    <w:rsid w:val="00517559"/>
    <w:rsid w:val="0051756E"/>
    <w:rsid w:val="00517627"/>
    <w:rsid w:val="00517BDF"/>
    <w:rsid w:val="00517C7F"/>
    <w:rsid w:val="00520154"/>
    <w:rsid w:val="00520537"/>
    <w:rsid w:val="005208C7"/>
    <w:rsid w:val="00520C99"/>
    <w:rsid w:val="00520F93"/>
    <w:rsid w:val="005210EB"/>
    <w:rsid w:val="00521775"/>
    <w:rsid w:val="005217F5"/>
    <w:rsid w:val="0052189F"/>
    <w:rsid w:val="00521E3A"/>
    <w:rsid w:val="00521F1D"/>
    <w:rsid w:val="00521F34"/>
    <w:rsid w:val="0052216E"/>
    <w:rsid w:val="005221CF"/>
    <w:rsid w:val="00522261"/>
    <w:rsid w:val="005223C0"/>
    <w:rsid w:val="005224E2"/>
    <w:rsid w:val="00522A93"/>
    <w:rsid w:val="00522B06"/>
    <w:rsid w:val="00522E22"/>
    <w:rsid w:val="00523106"/>
    <w:rsid w:val="00524349"/>
    <w:rsid w:val="00524398"/>
    <w:rsid w:val="005244DC"/>
    <w:rsid w:val="0052453D"/>
    <w:rsid w:val="0052468B"/>
    <w:rsid w:val="005246C1"/>
    <w:rsid w:val="0052481B"/>
    <w:rsid w:val="00524E03"/>
    <w:rsid w:val="00524EB1"/>
    <w:rsid w:val="00525035"/>
    <w:rsid w:val="00525074"/>
    <w:rsid w:val="00525287"/>
    <w:rsid w:val="00525416"/>
    <w:rsid w:val="00525579"/>
    <w:rsid w:val="00525703"/>
    <w:rsid w:val="00525A7C"/>
    <w:rsid w:val="00525CF7"/>
    <w:rsid w:val="00525FDA"/>
    <w:rsid w:val="005262F2"/>
    <w:rsid w:val="005265A8"/>
    <w:rsid w:val="00526E38"/>
    <w:rsid w:val="00527320"/>
    <w:rsid w:val="00527998"/>
    <w:rsid w:val="0053000B"/>
    <w:rsid w:val="00530CFE"/>
    <w:rsid w:val="00530D7E"/>
    <w:rsid w:val="0053174A"/>
    <w:rsid w:val="0053190B"/>
    <w:rsid w:val="00532407"/>
    <w:rsid w:val="00532527"/>
    <w:rsid w:val="005325F4"/>
    <w:rsid w:val="00532A26"/>
    <w:rsid w:val="00532AE1"/>
    <w:rsid w:val="00532B07"/>
    <w:rsid w:val="00532BB9"/>
    <w:rsid w:val="00532D83"/>
    <w:rsid w:val="00532F97"/>
    <w:rsid w:val="00533681"/>
    <w:rsid w:val="005337CC"/>
    <w:rsid w:val="00533D8D"/>
    <w:rsid w:val="00533EB1"/>
    <w:rsid w:val="005345A2"/>
    <w:rsid w:val="00534B94"/>
    <w:rsid w:val="00534D30"/>
    <w:rsid w:val="00534FDE"/>
    <w:rsid w:val="005355DA"/>
    <w:rsid w:val="0053592A"/>
    <w:rsid w:val="00535BEA"/>
    <w:rsid w:val="00535CEC"/>
    <w:rsid w:val="005363ED"/>
    <w:rsid w:val="0053696A"/>
    <w:rsid w:val="00536B84"/>
    <w:rsid w:val="00536DC5"/>
    <w:rsid w:val="0053704B"/>
    <w:rsid w:val="005370C2"/>
    <w:rsid w:val="00537160"/>
    <w:rsid w:val="0053718F"/>
    <w:rsid w:val="00537265"/>
    <w:rsid w:val="005372E8"/>
    <w:rsid w:val="0053762E"/>
    <w:rsid w:val="005378CD"/>
    <w:rsid w:val="00537B71"/>
    <w:rsid w:val="00537BD8"/>
    <w:rsid w:val="00537EBE"/>
    <w:rsid w:val="00537F4C"/>
    <w:rsid w:val="0054003C"/>
    <w:rsid w:val="005400B1"/>
    <w:rsid w:val="005402CB"/>
    <w:rsid w:val="00540347"/>
    <w:rsid w:val="005403B6"/>
    <w:rsid w:val="00540AC8"/>
    <w:rsid w:val="00540BF1"/>
    <w:rsid w:val="00540C25"/>
    <w:rsid w:val="00540C2A"/>
    <w:rsid w:val="00540EF2"/>
    <w:rsid w:val="00540EF9"/>
    <w:rsid w:val="00541349"/>
    <w:rsid w:val="00541354"/>
    <w:rsid w:val="00541758"/>
    <w:rsid w:val="0054192F"/>
    <w:rsid w:val="00541BE8"/>
    <w:rsid w:val="00541C99"/>
    <w:rsid w:val="00541FEC"/>
    <w:rsid w:val="00542069"/>
    <w:rsid w:val="00542582"/>
    <w:rsid w:val="005428A1"/>
    <w:rsid w:val="005429EE"/>
    <w:rsid w:val="00542A3B"/>
    <w:rsid w:val="00542C34"/>
    <w:rsid w:val="005434F2"/>
    <w:rsid w:val="005436C6"/>
    <w:rsid w:val="0054382F"/>
    <w:rsid w:val="00543C46"/>
    <w:rsid w:val="00543E1C"/>
    <w:rsid w:val="0054420D"/>
    <w:rsid w:val="0054422F"/>
    <w:rsid w:val="00544244"/>
    <w:rsid w:val="00544297"/>
    <w:rsid w:val="0054432C"/>
    <w:rsid w:val="005443DF"/>
    <w:rsid w:val="005445A9"/>
    <w:rsid w:val="005445CF"/>
    <w:rsid w:val="00544DBD"/>
    <w:rsid w:val="005452A0"/>
    <w:rsid w:val="00545B17"/>
    <w:rsid w:val="005463BC"/>
    <w:rsid w:val="005463F5"/>
    <w:rsid w:val="00546618"/>
    <w:rsid w:val="00546626"/>
    <w:rsid w:val="00546C41"/>
    <w:rsid w:val="00546D4C"/>
    <w:rsid w:val="00546FE5"/>
    <w:rsid w:val="005474BB"/>
    <w:rsid w:val="005474CC"/>
    <w:rsid w:val="0054764C"/>
    <w:rsid w:val="00547D81"/>
    <w:rsid w:val="00547DDA"/>
    <w:rsid w:val="00547F13"/>
    <w:rsid w:val="0055005C"/>
    <w:rsid w:val="0055014B"/>
    <w:rsid w:val="005507DB"/>
    <w:rsid w:val="00550A12"/>
    <w:rsid w:val="00550C95"/>
    <w:rsid w:val="00550DFA"/>
    <w:rsid w:val="00551187"/>
    <w:rsid w:val="005513F8"/>
    <w:rsid w:val="00551556"/>
    <w:rsid w:val="005516EA"/>
    <w:rsid w:val="005517B2"/>
    <w:rsid w:val="00551A7F"/>
    <w:rsid w:val="00551ACA"/>
    <w:rsid w:val="00551BE3"/>
    <w:rsid w:val="00551C82"/>
    <w:rsid w:val="00551CD7"/>
    <w:rsid w:val="00551F8B"/>
    <w:rsid w:val="00553206"/>
    <w:rsid w:val="00553363"/>
    <w:rsid w:val="00553654"/>
    <w:rsid w:val="00553978"/>
    <w:rsid w:val="00553B6A"/>
    <w:rsid w:val="00554152"/>
    <w:rsid w:val="00554163"/>
    <w:rsid w:val="00554665"/>
    <w:rsid w:val="00554747"/>
    <w:rsid w:val="00554BF9"/>
    <w:rsid w:val="00554D06"/>
    <w:rsid w:val="005552D5"/>
    <w:rsid w:val="005553CA"/>
    <w:rsid w:val="00555449"/>
    <w:rsid w:val="005554C7"/>
    <w:rsid w:val="0055574C"/>
    <w:rsid w:val="005559B5"/>
    <w:rsid w:val="00555ADB"/>
    <w:rsid w:val="00555B0E"/>
    <w:rsid w:val="00555BA1"/>
    <w:rsid w:val="00555BDD"/>
    <w:rsid w:val="00555FE2"/>
    <w:rsid w:val="0055614C"/>
    <w:rsid w:val="005561F8"/>
    <w:rsid w:val="005566EE"/>
    <w:rsid w:val="00556B3F"/>
    <w:rsid w:val="00557150"/>
    <w:rsid w:val="0055753F"/>
    <w:rsid w:val="0055793B"/>
    <w:rsid w:val="00557BAC"/>
    <w:rsid w:val="00557C67"/>
    <w:rsid w:val="0056070B"/>
    <w:rsid w:val="00560911"/>
    <w:rsid w:val="00560D8A"/>
    <w:rsid w:val="00560F2E"/>
    <w:rsid w:val="0056108D"/>
    <w:rsid w:val="00561776"/>
    <w:rsid w:val="0056181B"/>
    <w:rsid w:val="005620D5"/>
    <w:rsid w:val="0056229C"/>
    <w:rsid w:val="0056250D"/>
    <w:rsid w:val="00562820"/>
    <w:rsid w:val="00563057"/>
    <w:rsid w:val="00563349"/>
    <w:rsid w:val="00563AB6"/>
    <w:rsid w:val="0056402C"/>
    <w:rsid w:val="0056457F"/>
    <w:rsid w:val="00564678"/>
    <w:rsid w:val="00564B3E"/>
    <w:rsid w:val="00564D66"/>
    <w:rsid w:val="00564E6D"/>
    <w:rsid w:val="0056506E"/>
    <w:rsid w:val="00565302"/>
    <w:rsid w:val="0056595C"/>
    <w:rsid w:val="00565A4D"/>
    <w:rsid w:val="005665A2"/>
    <w:rsid w:val="0056676F"/>
    <w:rsid w:val="00566D06"/>
    <w:rsid w:val="005674FB"/>
    <w:rsid w:val="005679C1"/>
    <w:rsid w:val="00567A33"/>
    <w:rsid w:val="00571152"/>
    <w:rsid w:val="0057115E"/>
    <w:rsid w:val="005712AE"/>
    <w:rsid w:val="005712FA"/>
    <w:rsid w:val="005715DA"/>
    <w:rsid w:val="00571980"/>
    <w:rsid w:val="00571A7E"/>
    <w:rsid w:val="00571E51"/>
    <w:rsid w:val="00571E68"/>
    <w:rsid w:val="00571F06"/>
    <w:rsid w:val="0057201A"/>
    <w:rsid w:val="00572398"/>
    <w:rsid w:val="005725D1"/>
    <w:rsid w:val="00572635"/>
    <w:rsid w:val="0057268F"/>
    <w:rsid w:val="00572807"/>
    <w:rsid w:val="005729F5"/>
    <w:rsid w:val="00572A8C"/>
    <w:rsid w:val="00572A94"/>
    <w:rsid w:val="005731AD"/>
    <w:rsid w:val="00573256"/>
    <w:rsid w:val="00573F48"/>
    <w:rsid w:val="0057403C"/>
    <w:rsid w:val="0057411D"/>
    <w:rsid w:val="00574D4B"/>
    <w:rsid w:val="005751F2"/>
    <w:rsid w:val="00575427"/>
    <w:rsid w:val="00575757"/>
    <w:rsid w:val="005759E9"/>
    <w:rsid w:val="00575AD3"/>
    <w:rsid w:val="00575BD6"/>
    <w:rsid w:val="00575D3F"/>
    <w:rsid w:val="00575F08"/>
    <w:rsid w:val="0057643C"/>
    <w:rsid w:val="005767B4"/>
    <w:rsid w:val="0057683E"/>
    <w:rsid w:val="00576C0D"/>
    <w:rsid w:val="00576C51"/>
    <w:rsid w:val="00576E05"/>
    <w:rsid w:val="00577061"/>
    <w:rsid w:val="005771FC"/>
    <w:rsid w:val="0057725E"/>
    <w:rsid w:val="0057735F"/>
    <w:rsid w:val="005773E7"/>
    <w:rsid w:val="005777E8"/>
    <w:rsid w:val="00577918"/>
    <w:rsid w:val="00577A6B"/>
    <w:rsid w:val="00577BE8"/>
    <w:rsid w:val="00577E32"/>
    <w:rsid w:val="00580057"/>
    <w:rsid w:val="0058015B"/>
    <w:rsid w:val="00580331"/>
    <w:rsid w:val="0058044C"/>
    <w:rsid w:val="00580872"/>
    <w:rsid w:val="005808A2"/>
    <w:rsid w:val="00580CA5"/>
    <w:rsid w:val="00580D07"/>
    <w:rsid w:val="00580DB0"/>
    <w:rsid w:val="00580FD0"/>
    <w:rsid w:val="00581078"/>
    <w:rsid w:val="00581226"/>
    <w:rsid w:val="00581238"/>
    <w:rsid w:val="0058131A"/>
    <w:rsid w:val="00581361"/>
    <w:rsid w:val="00581646"/>
    <w:rsid w:val="0058167A"/>
    <w:rsid w:val="00581730"/>
    <w:rsid w:val="0058174A"/>
    <w:rsid w:val="005817EF"/>
    <w:rsid w:val="00581948"/>
    <w:rsid w:val="00581BF2"/>
    <w:rsid w:val="00581E9B"/>
    <w:rsid w:val="005824B4"/>
    <w:rsid w:val="005827B2"/>
    <w:rsid w:val="00582A44"/>
    <w:rsid w:val="005838A4"/>
    <w:rsid w:val="00583915"/>
    <w:rsid w:val="0058398C"/>
    <w:rsid w:val="005841EF"/>
    <w:rsid w:val="005844A1"/>
    <w:rsid w:val="005844C5"/>
    <w:rsid w:val="00584B74"/>
    <w:rsid w:val="00584B8D"/>
    <w:rsid w:val="00584C96"/>
    <w:rsid w:val="00584EB1"/>
    <w:rsid w:val="00585465"/>
    <w:rsid w:val="005855A2"/>
    <w:rsid w:val="00585655"/>
    <w:rsid w:val="005859C6"/>
    <w:rsid w:val="00585C05"/>
    <w:rsid w:val="00585F70"/>
    <w:rsid w:val="0058600C"/>
    <w:rsid w:val="00586216"/>
    <w:rsid w:val="00586516"/>
    <w:rsid w:val="00586576"/>
    <w:rsid w:val="005867B0"/>
    <w:rsid w:val="00586916"/>
    <w:rsid w:val="00586BE1"/>
    <w:rsid w:val="00587029"/>
    <w:rsid w:val="0058703C"/>
    <w:rsid w:val="005871F5"/>
    <w:rsid w:val="005873C0"/>
    <w:rsid w:val="005874D4"/>
    <w:rsid w:val="00587728"/>
    <w:rsid w:val="005879FB"/>
    <w:rsid w:val="00587B65"/>
    <w:rsid w:val="00587C07"/>
    <w:rsid w:val="00590648"/>
    <w:rsid w:val="005909E6"/>
    <w:rsid w:val="00590A7C"/>
    <w:rsid w:val="00590B6C"/>
    <w:rsid w:val="00591005"/>
    <w:rsid w:val="0059104A"/>
    <w:rsid w:val="005912D8"/>
    <w:rsid w:val="0059166C"/>
    <w:rsid w:val="005918A7"/>
    <w:rsid w:val="00591B08"/>
    <w:rsid w:val="00591E26"/>
    <w:rsid w:val="00591ECE"/>
    <w:rsid w:val="00591FEB"/>
    <w:rsid w:val="00592131"/>
    <w:rsid w:val="00592329"/>
    <w:rsid w:val="0059260F"/>
    <w:rsid w:val="0059278D"/>
    <w:rsid w:val="005927AB"/>
    <w:rsid w:val="005928BD"/>
    <w:rsid w:val="00592A39"/>
    <w:rsid w:val="005931C3"/>
    <w:rsid w:val="0059342C"/>
    <w:rsid w:val="0059374E"/>
    <w:rsid w:val="005938CC"/>
    <w:rsid w:val="005939F7"/>
    <w:rsid w:val="00593A33"/>
    <w:rsid w:val="00593D25"/>
    <w:rsid w:val="00593E83"/>
    <w:rsid w:val="00594065"/>
    <w:rsid w:val="00594271"/>
    <w:rsid w:val="00594422"/>
    <w:rsid w:val="005948EC"/>
    <w:rsid w:val="005949BA"/>
    <w:rsid w:val="00594B6B"/>
    <w:rsid w:val="00594B9A"/>
    <w:rsid w:val="00594D82"/>
    <w:rsid w:val="00594DF1"/>
    <w:rsid w:val="00594EA8"/>
    <w:rsid w:val="00594EDF"/>
    <w:rsid w:val="0059521A"/>
    <w:rsid w:val="00595269"/>
    <w:rsid w:val="00595A75"/>
    <w:rsid w:val="00595B99"/>
    <w:rsid w:val="00595C89"/>
    <w:rsid w:val="00595F61"/>
    <w:rsid w:val="00596658"/>
    <w:rsid w:val="00596736"/>
    <w:rsid w:val="00596AD7"/>
    <w:rsid w:val="005970E9"/>
    <w:rsid w:val="005975C0"/>
    <w:rsid w:val="005975F9"/>
    <w:rsid w:val="005977FE"/>
    <w:rsid w:val="00597BD9"/>
    <w:rsid w:val="00597EAD"/>
    <w:rsid w:val="005A008E"/>
    <w:rsid w:val="005A0DD5"/>
    <w:rsid w:val="005A11B0"/>
    <w:rsid w:val="005A13CE"/>
    <w:rsid w:val="005A1B55"/>
    <w:rsid w:val="005A1F98"/>
    <w:rsid w:val="005A207F"/>
    <w:rsid w:val="005A20A2"/>
    <w:rsid w:val="005A2439"/>
    <w:rsid w:val="005A25A2"/>
    <w:rsid w:val="005A283F"/>
    <w:rsid w:val="005A2C02"/>
    <w:rsid w:val="005A2E29"/>
    <w:rsid w:val="005A2E2F"/>
    <w:rsid w:val="005A2F75"/>
    <w:rsid w:val="005A307B"/>
    <w:rsid w:val="005A30A8"/>
    <w:rsid w:val="005A3BCF"/>
    <w:rsid w:val="005A3D44"/>
    <w:rsid w:val="005A3E8B"/>
    <w:rsid w:val="005A3F72"/>
    <w:rsid w:val="005A4F0B"/>
    <w:rsid w:val="005A4FCC"/>
    <w:rsid w:val="005A52C6"/>
    <w:rsid w:val="005A54B9"/>
    <w:rsid w:val="005A55FB"/>
    <w:rsid w:val="005A61B5"/>
    <w:rsid w:val="005A6B57"/>
    <w:rsid w:val="005A6C2C"/>
    <w:rsid w:val="005A6C69"/>
    <w:rsid w:val="005A71BA"/>
    <w:rsid w:val="005A739F"/>
    <w:rsid w:val="005A7C3E"/>
    <w:rsid w:val="005A7D4D"/>
    <w:rsid w:val="005B007D"/>
    <w:rsid w:val="005B01E4"/>
    <w:rsid w:val="005B02B1"/>
    <w:rsid w:val="005B062A"/>
    <w:rsid w:val="005B09C2"/>
    <w:rsid w:val="005B0CA2"/>
    <w:rsid w:val="005B0D47"/>
    <w:rsid w:val="005B0E88"/>
    <w:rsid w:val="005B148F"/>
    <w:rsid w:val="005B149F"/>
    <w:rsid w:val="005B155A"/>
    <w:rsid w:val="005B1629"/>
    <w:rsid w:val="005B1A58"/>
    <w:rsid w:val="005B1BB8"/>
    <w:rsid w:val="005B1C05"/>
    <w:rsid w:val="005B1E22"/>
    <w:rsid w:val="005B2155"/>
    <w:rsid w:val="005B2165"/>
    <w:rsid w:val="005B2442"/>
    <w:rsid w:val="005B24A9"/>
    <w:rsid w:val="005B25F0"/>
    <w:rsid w:val="005B28CE"/>
    <w:rsid w:val="005B2AC5"/>
    <w:rsid w:val="005B2D8F"/>
    <w:rsid w:val="005B2E31"/>
    <w:rsid w:val="005B2F8F"/>
    <w:rsid w:val="005B37C0"/>
    <w:rsid w:val="005B435D"/>
    <w:rsid w:val="005B43AF"/>
    <w:rsid w:val="005B43F4"/>
    <w:rsid w:val="005B481B"/>
    <w:rsid w:val="005B4A10"/>
    <w:rsid w:val="005B4D99"/>
    <w:rsid w:val="005B4E0D"/>
    <w:rsid w:val="005B50C3"/>
    <w:rsid w:val="005B50CA"/>
    <w:rsid w:val="005B53BB"/>
    <w:rsid w:val="005B5845"/>
    <w:rsid w:val="005B5AD4"/>
    <w:rsid w:val="005B650C"/>
    <w:rsid w:val="005B673C"/>
    <w:rsid w:val="005B67ED"/>
    <w:rsid w:val="005B7136"/>
    <w:rsid w:val="005B7163"/>
    <w:rsid w:val="005B7526"/>
    <w:rsid w:val="005B7969"/>
    <w:rsid w:val="005B7B86"/>
    <w:rsid w:val="005B7BC6"/>
    <w:rsid w:val="005C0353"/>
    <w:rsid w:val="005C0378"/>
    <w:rsid w:val="005C07BC"/>
    <w:rsid w:val="005C0A20"/>
    <w:rsid w:val="005C1328"/>
    <w:rsid w:val="005C1332"/>
    <w:rsid w:val="005C151D"/>
    <w:rsid w:val="005C1B3B"/>
    <w:rsid w:val="005C1CCC"/>
    <w:rsid w:val="005C20B7"/>
    <w:rsid w:val="005C2708"/>
    <w:rsid w:val="005C282C"/>
    <w:rsid w:val="005C2BA1"/>
    <w:rsid w:val="005C2C44"/>
    <w:rsid w:val="005C2D3C"/>
    <w:rsid w:val="005C2D72"/>
    <w:rsid w:val="005C2F11"/>
    <w:rsid w:val="005C30A7"/>
    <w:rsid w:val="005C3662"/>
    <w:rsid w:val="005C38D4"/>
    <w:rsid w:val="005C3D9F"/>
    <w:rsid w:val="005C3F7B"/>
    <w:rsid w:val="005C3F8B"/>
    <w:rsid w:val="005C4FA8"/>
    <w:rsid w:val="005C5247"/>
    <w:rsid w:val="005C547A"/>
    <w:rsid w:val="005C5484"/>
    <w:rsid w:val="005C5549"/>
    <w:rsid w:val="005C559C"/>
    <w:rsid w:val="005C5696"/>
    <w:rsid w:val="005C570D"/>
    <w:rsid w:val="005C59BF"/>
    <w:rsid w:val="005C5B9D"/>
    <w:rsid w:val="005C5C91"/>
    <w:rsid w:val="005C5DF1"/>
    <w:rsid w:val="005C613C"/>
    <w:rsid w:val="005C669E"/>
    <w:rsid w:val="005C6830"/>
    <w:rsid w:val="005C684B"/>
    <w:rsid w:val="005C68BE"/>
    <w:rsid w:val="005C6A0B"/>
    <w:rsid w:val="005C6C2C"/>
    <w:rsid w:val="005C6D8A"/>
    <w:rsid w:val="005C7341"/>
    <w:rsid w:val="005C7F3C"/>
    <w:rsid w:val="005D012A"/>
    <w:rsid w:val="005D0266"/>
    <w:rsid w:val="005D031F"/>
    <w:rsid w:val="005D1094"/>
    <w:rsid w:val="005D1726"/>
    <w:rsid w:val="005D1E28"/>
    <w:rsid w:val="005D23D1"/>
    <w:rsid w:val="005D280B"/>
    <w:rsid w:val="005D2C68"/>
    <w:rsid w:val="005D2C8C"/>
    <w:rsid w:val="005D2F79"/>
    <w:rsid w:val="005D3960"/>
    <w:rsid w:val="005D4252"/>
    <w:rsid w:val="005D4756"/>
    <w:rsid w:val="005D48A1"/>
    <w:rsid w:val="005D49C2"/>
    <w:rsid w:val="005D4A71"/>
    <w:rsid w:val="005D4ABB"/>
    <w:rsid w:val="005D4B9F"/>
    <w:rsid w:val="005D4CAD"/>
    <w:rsid w:val="005D4D32"/>
    <w:rsid w:val="005D5051"/>
    <w:rsid w:val="005D52A1"/>
    <w:rsid w:val="005D570B"/>
    <w:rsid w:val="005D57A7"/>
    <w:rsid w:val="005D57D0"/>
    <w:rsid w:val="005D57E2"/>
    <w:rsid w:val="005D58C7"/>
    <w:rsid w:val="005D5C08"/>
    <w:rsid w:val="005D5D15"/>
    <w:rsid w:val="005D6360"/>
    <w:rsid w:val="005D640B"/>
    <w:rsid w:val="005D6860"/>
    <w:rsid w:val="005D6A3F"/>
    <w:rsid w:val="005D6BAB"/>
    <w:rsid w:val="005D6C4A"/>
    <w:rsid w:val="005D6DE1"/>
    <w:rsid w:val="005D74F5"/>
    <w:rsid w:val="005D782C"/>
    <w:rsid w:val="005D7A7D"/>
    <w:rsid w:val="005D7D2F"/>
    <w:rsid w:val="005D7DB0"/>
    <w:rsid w:val="005E0019"/>
    <w:rsid w:val="005E018B"/>
    <w:rsid w:val="005E01DE"/>
    <w:rsid w:val="005E06AF"/>
    <w:rsid w:val="005E0796"/>
    <w:rsid w:val="005E0987"/>
    <w:rsid w:val="005E0A54"/>
    <w:rsid w:val="005E0E6A"/>
    <w:rsid w:val="005E1397"/>
    <w:rsid w:val="005E14C2"/>
    <w:rsid w:val="005E17F8"/>
    <w:rsid w:val="005E1D19"/>
    <w:rsid w:val="005E200E"/>
    <w:rsid w:val="005E2125"/>
    <w:rsid w:val="005E237D"/>
    <w:rsid w:val="005E244F"/>
    <w:rsid w:val="005E2944"/>
    <w:rsid w:val="005E2ABC"/>
    <w:rsid w:val="005E2CF4"/>
    <w:rsid w:val="005E31B4"/>
    <w:rsid w:val="005E3291"/>
    <w:rsid w:val="005E33F5"/>
    <w:rsid w:val="005E3548"/>
    <w:rsid w:val="005E372F"/>
    <w:rsid w:val="005E3777"/>
    <w:rsid w:val="005E37A5"/>
    <w:rsid w:val="005E38F7"/>
    <w:rsid w:val="005E3B07"/>
    <w:rsid w:val="005E3D14"/>
    <w:rsid w:val="005E3DDB"/>
    <w:rsid w:val="005E402D"/>
    <w:rsid w:val="005E4B95"/>
    <w:rsid w:val="005E4E47"/>
    <w:rsid w:val="005E4F7B"/>
    <w:rsid w:val="005E5295"/>
    <w:rsid w:val="005E52F1"/>
    <w:rsid w:val="005E531E"/>
    <w:rsid w:val="005E5691"/>
    <w:rsid w:val="005E57DE"/>
    <w:rsid w:val="005E58B0"/>
    <w:rsid w:val="005E590F"/>
    <w:rsid w:val="005E5ACA"/>
    <w:rsid w:val="005E5CBF"/>
    <w:rsid w:val="005E5EA3"/>
    <w:rsid w:val="005E623A"/>
    <w:rsid w:val="005E6B28"/>
    <w:rsid w:val="005E73ED"/>
    <w:rsid w:val="005E767F"/>
    <w:rsid w:val="005E7A62"/>
    <w:rsid w:val="005E7AFA"/>
    <w:rsid w:val="005F0079"/>
    <w:rsid w:val="005F050A"/>
    <w:rsid w:val="005F0575"/>
    <w:rsid w:val="005F0588"/>
    <w:rsid w:val="005F06D1"/>
    <w:rsid w:val="005F08BC"/>
    <w:rsid w:val="005F0974"/>
    <w:rsid w:val="005F0C48"/>
    <w:rsid w:val="005F0C78"/>
    <w:rsid w:val="005F0CD9"/>
    <w:rsid w:val="005F0F64"/>
    <w:rsid w:val="005F106F"/>
    <w:rsid w:val="005F11A0"/>
    <w:rsid w:val="005F15FB"/>
    <w:rsid w:val="005F1821"/>
    <w:rsid w:val="005F2020"/>
    <w:rsid w:val="005F2050"/>
    <w:rsid w:val="005F20C1"/>
    <w:rsid w:val="005F20C5"/>
    <w:rsid w:val="005F281F"/>
    <w:rsid w:val="005F2B75"/>
    <w:rsid w:val="005F2E96"/>
    <w:rsid w:val="005F31D0"/>
    <w:rsid w:val="005F38A6"/>
    <w:rsid w:val="005F3911"/>
    <w:rsid w:val="005F391E"/>
    <w:rsid w:val="005F39C9"/>
    <w:rsid w:val="005F3BEC"/>
    <w:rsid w:val="005F3CEF"/>
    <w:rsid w:val="005F4344"/>
    <w:rsid w:val="005F445E"/>
    <w:rsid w:val="005F456C"/>
    <w:rsid w:val="005F46E8"/>
    <w:rsid w:val="005F47F4"/>
    <w:rsid w:val="005F4D96"/>
    <w:rsid w:val="005F506B"/>
    <w:rsid w:val="005F529E"/>
    <w:rsid w:val="005F5783"/>
    <w:rsid w:val="005F5C96"/>
    <w:rsid w:val="005F5E97"/>
    <w:rsid w:val="005F6082"/>
    <w:rsid w:val="005F62D4"/>
    <w:rsid w:val="005F6CF7"/>
    <w:rsid w:val="005F6FB4"/>
    <w:rsid w:val="005F7064"/>
    <w:rsid w:val="005F786F"/>
    <w:rsid w:val="005F7AB4"/>
    <w:rsid w:val="0060006D"/>
    <w:rsid w:val="006005B3"/>
    <w:rsid w:val="0060071A"/>
    <w:rsid w:val="00600F1E"/>
    <w:rsid w:val="006017B7"/>
    <w:rsid w:val="00601AF8"/>
    <w:rsid w:val="00602053"/>
    <w:rsid w:val="006022DC"/>
    <w:rsid w:val="00602783"/>
    <w:rsid w:val="00602A0D"/>
    <w:rsid w:val="00602C3F"/>
    <w:rsid w:val="00603169"/>
    <w:rsid w:val="006035F4"/>
    <w:rsid w:val="00603A46"/>
    <w:rsid w:val="00603A77"/>
    <w:rsid w:val="00603CC9"/>
    <w:rsid w:val="00603DF9"/>
    <w:rsid w:val="006042A5"/>
    <w:rsid w:val="00604EDF"/>
    <w:rsid w:val="006054DF"/>
    <w:rsid w:val="006055F2"/>
    <w:rsid w:val="00605784"/>
    <w:rsid w:val="006059EC"/>
    <w:rsid w:val="00605E60"/>
    <w:rsid w:val="00605F0C"/>
    <w:rsid w:val="0060605D"/>
    <w:rsid w:val="006060DB"/>
    <w:rsid w:val="006061D8"/>
    <w:rsid w:val="006064F8"/>
    <w:rsid w:val="00606BF3"/>
    <w:rsid w:val="00606D6A"/>
    <w:rsid w:val="006074C2"/>
    <w:rsid w:val="0060776C"/>
    <w:rsid w:val="006079CD"/>
    <w:rsid w:val="00607BA5"/>
    <w:rsid w:val="00607C71"/>
    <w:rsid w:val="00607E31"/>
    <w:rsid w:val="0061009E"/>
    <w:rsid w:val="00610507"/>
    <w:rsid w:val="00610551"/>
    <w:rsid w:val="00610642"/>
    <w:rsid w:val="00610775"/>
    <w:rsid w:val="00610889"/>
    <w:rsid w:val="00610953"/>
    <w:rsid w:val="006109C0"/>
    <w:rsid w:val="00610AFF"/>
    <w:rsid w:val="00610B9F"/>
    <w:rsid w:val="00610E0D"/>
    <w:rsid w:val="0061123E"/>
    <w:rsid w:val="0061127C"/>
    <w:rsid w:val="0061180A"/>
    <w:rsid w:val="00611924"/>
    <w:rsid w:val="006119D4"/>
    <w:rsid w:val="00611E29"/>
    <w:rsid w:val="00612540"/>
    <w:rsid w:val="00612592"/>
    <w:rsid w:val="0061299E"/>
    <w:rsid w:val="00612AF3"/>
    <w:rsid w:val="00612B38"/>
    <w:rsid w:val="00612D91"/>
    <w:rsid w:val="00612DE0"/>
    <w:rsid w:val="00612E48"/>
    <w:rsid w:val="00612E63"/>
    <w:rsid w:val="00613520"/>
    <w:rsid w:val="00613591"/>
    <w:rsid w:val="00613786"/>
    <w:rsid w:val="0061380A"/>
    <w:rsid w:val="0061381A"/>
    <w:rsid w:val="00613960"/>
    <w:rsid w:val="00613E81"/>
    <w:rsid w:val="00613F4A"/>
    <w:rsid w:val="0061411F"/>
    <w:rsid w:val="00614121"/>
    <w:rsid w:val="00614278"/>
    <w:rsid w:val="0061431D"/>
    <w:rsid w:val="0061448A"/>
    <w:rsid w:val="0061455F"/>
    <w:rsid w:val="006145A2"/>
    <w:rsid w:val="00614E2D"/>
    <w:rsid w:val="006150AE"/>
    <w:rsid w:val="0061522F"/>
    <w:rsid w:val="00615286"/>
    <w:rsid w:val="00615389"/>
    <w:rsid w:val="00615A78"/>
    <w:rsid w:val="00615ACB"/>
    <w:rsid w:val="006161B8"/>
    <w:rsid w:val="006163C5"/>
    <w:rsid w:val="00616674"/>
    <w:rsid w:val="00616690"/>
    <w:rsid w:val="0061675F"/>
    <w:rsid w:val="00616FBE"/>
    <w:rsid w:val="006172E2"/>
    <w:rsid w:val="00617820"/>
    <w:rsid w:val="00617A7B"/>
    <w:rsid w:val="00617A9C"/>
    <w:rsid w:val="00617CDB"/>
    <w:rsid w:val="00617E85"/>
    <w:rsid w:val="00620705"/>
    <w:rsid w:val="006209C2"/>
    <w:rsid w:val="00620A94"/>
    <w:rsid w:val="00620C06"/>
    <w:rsid w:val="00620C68"/>
    <w:rsid w:val="0062126C"/>
    <w:rsid w:val="0062164B"/>
    <w:rsid w:val="006218DC"/>
    <w:rsid w:val="006223C9"/>
    <w:rsid w:val="00622494"/>
    <w:rsid w:val="00622711"/>
    <w:rsid w:val="00622788"/>
    <w:rsid w:val="006228F8"/>
    <w:rsid w:val="00622B60"/>
    <w:rsid w:val="00622CAE"/>
    <w:rsid w:val="0062316D"/>
    <w:rsid w:val="00623264"/>
    <w:rsid w:val="006234AC"/>
    <w:rsid w:val="006234D7"/>
    <w:rsid w:val="00623560"/>
    <w:rsid w:val="0062383A"/>
    <w:rsid w:val="006238EE"/>
    <w:rsid w:val="00623AA7"/>
    <w:rsid w:val="00623CCE"/>
    <w:rsid w:val="00623EDF"/>
    <w:rsid w:val="00623F4A"/>
    <w:rsid w:val="00623FB8"/>
    <w:rsid w:val="00623FEF"/>
    <w:rsid w:val="00624B8A"/>
    <w:rsid w:val="00624C6C"/>
    <w:rsid w:val="00624D47"/>
    <w:rsid w:val="00624ED0"/>
    <w:rsid w:val="006251CF"/>
    <w:rsid w:val="006253EA"/>
    <w:rsid w:val="006256AB"/>
    <w:rsid w:val="00625794"/>
    <w:rsid w:val="00625A33"/>
    <w:rsid w:val="00625F59"/>
    <w:rsid w:val="00626190"/>
    <w:rsid w:val="0062637D"/>
    <w:rsid w:val="00626428"/>
    <w:rsid w:val="00626594"/>
    <w:rsid w:val="0062668A"/>
    <w:rsid w:val="0062673B"/>
    <w:rsid w:val="00626A98"/>
    <w:rsid w:val="00626E38"/>
    <w:rsid w:val="00626EB6"/>
    <w:rsid w:val="00626FB2"/>
    <w:rsid w:val="006274EC"/>
    <w:rsid w:val="006276E5"/>
    <w:rsid w:val="00627BE3"/>
    <w:rsid w:val="0063009E"/>
    <w:rsid w:val="00630299"/>
    <w:rsid w:val="00630391"/>
    <w:rsid w:val="006305A6"/>
    <w:rsid w:val="00630784"/>
    <w:rsid w:val="00630A46"/>
    <w:rsid w:val="00630B4C"/>
    <w:rsid w:val="00631099"/>
    <w:rsid w:val="006315B0"/>
    <w:rsid w:val="00631644"/>
    <w:rsid w:val="00631C54"/>
    <w:rsid w:val="00631D90"/>
    <w:rsid w:val="0063267A"/>
    <w:rsid w:val="006329D0"/>
    <w:rsid w:val="00632DEB"/>
    <w:rsid w:val="0063312C"/>
    <w:rsid w:val="006336AA"/>
    <w:rsid w:val="006337EF"/>
    <w:rsid w:val="00633AD6"/>
    <w:rsid w:val="00633D80"/>
    <w:rsid w:val="006340FC"/>
    <w:rsid w:val="00634182"/>
    <w:rsid w:val="006343A5"/>
    <w:rsid w:val="0063440F"/>
    <w:rsid w:val="00634E99"/>
    <w:rsid w:val="00634F0E"/>
    <w:rsid w:val="00634F93"/>
    <w:rsid w:val="00635005"/>
    <w:rsid w:val="0063508A"/>
    <w:rsid w:val="00635205"/>
    <w:rsid w:val="006355E4"/>
    <w:rsid w:val="006357B7"/>
    <w:rsid w:val="00635A56"/>
    <w:rsid w:val="00635D83"/>
    <w:rsid w:val="00635F15"/>
    <w:rsid w:val="0063614A"/>
    <w:rsid w:val="006363EC"/>
    <w:rsid w:val="006366D1"/>
    <w:rsid w:val="006367CF"/>
    <w:rsid w:val="00636823"/>
    <w:rsid w:val="00636C44"/>
    <w:rsid w:val="00636F5A"/>
    <w:rsid w:val="00636FA3"/>
    <w:rsid w:val="006370DC"/>
    <w:rsid w:val="00637390"/>
    <w:rsid w:val="006376A8"/>
    <w:rsid w:val="006378C1"/>
    <w:rsid w:val="00637901"/>
    <w:rsid w:val="00637A6F"/>
    <w:rsid w:val="00637D94"/>
    <w:rsid w:val="00640002"/>
    <w:rsid w:val="006404D2"/>
    <w:rsid w:val="006405A5"/>
    <w:rsid w:val="006407EC"/>
    <w:rsid w:val="00640B23"/>
    <w:rsid w:val="00640CC9"/>
    <w:rsid w:val="00640ECF"/>
    <w:rsid w:val="0064123C"/>
    <w:rsid w:val="006412AD"/>
    <w:rsid w:val="006412B9"/>
    <w:rsid w:val="00641471"/>
    <w:rsid w:val="00641558"/>
    <w:rsid w:val="0064165F"/>
    <w:rsid w:val="00641D55"/>
    <w:rsid w:val="00641F05"/>
    <w:rsid w:val="00642113"/>
    <w:rsid w:val="006423BE"/>
    <w:rsid w:val="00642B6B"/>
    <w:rsid w:val="00642D40"/>
    <w:rsid w:val="00642F15"/>
    <w:rsid w:val="00643552"/>
    <w:rsid w:val="006435B8"/>
    <w:rsid w:val="00643767"/>
    <w:rsid w:val="0064381C"/>
    <w:rsid w:val="00643834"/>
    <w:rsid w:val="006439D9"/>
    <w:rsid w:val="00643AF5"/>
    <w:rsid w:val="00643BBC"/>
    <w:rsid w:val="00643FC3"/>
    <w:rsid w:val="00644004"/>
    <w:rsid w:val="00644354"/>
    <w:rsid w:val="00644407"/>
    <w:rsid w:val="00644A89"/>
    <w:rsid w:val="00644CF5"/>
    <w:rsid w:val="0064534B"/>
    <w:rsid w:val="00645618"/>
    <w:rsid w:val="006456C4"/>
    <w:rsid w:val="00645F31"/>
    <w:rsid w:val="006460E8"/>
    <w:rsid w:val="00646192"/>
    <w:rsid w:val="006466FB"/>
    <w:rsid w:val="0064698E"/>
    <w:rsid w:val="006469AF"/>
    <w:rsid w:val="00646C6B"/>
    <w:rsid w:val="0064709A"/>
    <w:rsid w:val="00647555"/>
    <w:rsid w:val="00647608"/>
    <w:rsid w:val="006476D4"/>
    <w:rsid w:val="00647E97"/>
    <w:rsid w:val="00647F34"/>
    <w:rsid w:val="00650704"/>
    <w:rsid w:val="00650DE0"/>
    <w:rsid w:val="0065144B"/>
    <w:rsid w:val="006514B9"/>
    <w:rsid w:val="006515F3"/>
    <w:rsid w:val="00651A2D"/>
    <w:rsid w:val="00651B32"/>
    <w:rsid w:val="00651C77"/>
    <w:rsid w:val="00651C7D"/>
    <w:rsid w:val="00651CEE"/>
    <w:rsid w:val="00651E96"/>
    <w:rsid w:val="0065255C"/>
    <w:rsid w:val="00652B47"/>
    <w:rsid w:val="00652C36"/>
    <w:rsid w:val="0065301E"/>
    <w:rsid w:val="00653471"/>
    <w:rsid w:val="006538DD"/>
    <w:rsid w:val="00653E49"/>
    <w:rsid w:val="006541ED"/>
    <w:rsid w:val="006545A5"/>
    <w:rsid w:val="00654A5B"/>
    <w:rsid w:val="00655106"/>
    <w:rsid w:val="0065529B"/>
    <w:rsid w:val="006554C4"/>
    <w:rsid w:val="006559B0"/>
    <w:rsid w:val="00655A45"/>
    <w:rsid w:val="00655A9A"/>
    <w:rsid w:val="00655B80"/>
    <w:rsid w:val="00655D03"/>
    <w:rsid w:val="00655E9D"/>
    <w:rsid w:val="00655F57"/>
    <w:rsid w:val="006563BD"/>
    <w:rsid w:val="006563DA"/>
    <w:rsid w:val="00656B95"/>
    <w:rsid w:val="00656DC9"/>
    <w:rsid w:val="00656E8A"/>
    <w:rsid w:val="00657A12"/>
    <w:rsid w:val="00657A9A"/>
    <w:rsid w:val="00657B3A"/>
    <w:rsid w:val="00657B7A"/>
    <w:rsid w:val="00657F69"/>
    <w:rsid w:val="00657FD7"/>
    <w:rsid w:val="00660065"/>
    <w:rsid w:val="006600BF"/>
    <w:rsid w:val="00660150"/>
    <w:rsid w:val="0066027E"/>
    <w:rsid w:val="006603C1"/>
    <w:rsid w:val="006603D5"/>
    <w:rsid w:val="00660549"/>
    <w:rsid w:val="0066065A"/>
    <w:rsid w:val="00660AFA"/>
    <w:rsid w:val="00660B29"/>
    <w:rsid w:val="00660FE6"/>
    <w:rsid w:val="006617F6"/>
    <w:rsid w:val="00661B8F"/>
    <w:rsid w:val="00661DB2"/>
    <w:rsid w:val="006622C9"/>
    <w:rsid w:val="006624D5"/>
    <w:rsid w:val="00662A26"/>
    <w:rsid w:val="00662C20"/>
    <w:rsid w:val="00662CAA"/>
    <w:rsid w:val="00663154"/>
    <w:rsid w:val="00663368"/>
    <w:rsid w:val="00663671"/>
    <w:rsid w:val="006636E3"/>
    <w:rsid w:val="0066398C"/>
    <w:rsid w:val="00663BC0"/>
    <w:rsid w:val="00663DEC"/>
    <w:rsid w:val="006640EC"/>
    <w:rsid w:val="0066416F"/>
    <w:rsid w:val="0066431B"/>
    <w:rsid w:val="00664329"/>
    <w:rsid w:val="00664539"/>
    <w:rsid w:val="00664676"/>
    <w:rsid w:val="00664774"/>
    <w:rsid w:val="0066479B"/>
    <w:rsid w:val="0066483B"/>
    <w:rsid w:val="00664873"/>
    <w:rsid w:val="00664C50"/>
    <w:rsid w:val="00664D23"/>
    <w:rsid w:val="00665264"/>
    <w:rsid w:val="006653F5"/>
    <w:rsid w:val="006655D7"/>
    <w:rsid w:val="0066569E"/>
    <w:rsid w:val="00665B1D"/>
    <w:rsid w:val="00665EE4"/>
    <w:rsid w:val="00665FBB"/>
    <w:rsid w:val="006662D8"/>
    <w:rsid w:val="0066637C"/>
    <w:rsid w:val="00666C63"/>
    <w:rsid w:val="00666D8E"/>
    <w:rsid w:val="00667561"/>
    <w:rsid w:val="00667903"/>
    <w:rsid w:val="00667C16"/>
    <w:rsid w:val="00667CC1"/>
    <w:rsid w:val="00667D7E"/>
    <w:rsid w:val="00670000"/>
    <w:rsid w:val="006700F0"/>
    <w:rsid w:val="00670340"/>
    <w:rsid w:val="00670417"/>
    <w:rsid w:val="00670650"/>
    <w:rsid w:val="00670779"/>
    <w:rsid w:val="006708F4"/>
    <w:rsid w:val="00670B74"/>
    <w:rsid w:val="00670DBA"/>
    <w:rsid w:val="00670E28"/>
    <w:rsid w:val="00670ED8"/>
    <w:rsid w:val="00671133"/>
    <w:rsid w:val="00671246"/>
    <w:rsid w:val="00671647"/>
    <w:rsid w:val="006718C4"/>
    <w:rsid w:val="00671CED"/>
    <w:rsid w:val="00671EB8"/>
    <w:rsid w:val="00671F20"/>
    <w:rsid w:val="00672359"/>
    <w:rsid w:val="006729A0"/>
    <w:rsid w:val="00672E43"/>
    <w:rsid w:val="00673713"/>
    <w:rsid w:val="006737FC"/>
    <w:rsid w:val="006739BA"/>
    <w:rsid w:val="00674758"/>
    <w:rsid w:val="00674759"/>
    <w:rsid w:val="00674A03"/>
    <w:rsid w:val="00674ACA"/>
    <w:rsid w:val="00674F64"/>
    <w:rsid w:val="0067516D"/>
    <w:rsid w:val="006753A4"/>
    <w:rsid w:val="00675728"/>
    <w:rsid w:val="00675C60"/>
    <w:rsid w:val="0067620D"/>
    <w:rsid w:val="00676277"/>
    <w:rsid w:val="00676666"/>
    <w:rsid w:val="00676D9B"/>
    <w:rsid w:val="00676ED3"/>
    <w:rsid w:val="006771AD"/>
    <w:rsid w:val="00677CDF"/>
    <w:rsid w:val="0068064E"/>
    <w:rsid w:val="00680B6F"/>
    <w:rsid w:val="00680BD3"/>
    <w:rsid w:val="00680D10"/>
    <w:rsid w:val="00680FA6"/>
    <w:rsid w:val="006810D6"/>
    <w:rsid w:val="0068164F"/>
    <w:rsid w:val="00681E61"/>
    <w:rsid w:val="00682150"/>
    <w:rsid w:val="00682388"/>
    <w:rsid w:val="00682525"/>
    <w:rsid w:val="006826B8"/>
    <w:rsid w:val="00682905"/>
    <w:rsid w:val="00682914"/>
    <w:rsid w:val="00682929"/>
    <w:rsid w:val="00682966"/>
    <w:rsid w:val="00682D3B"/>
    <w:rsid w:val="00682DD5"/>
    <w:rsid w:val="006832DC"/>
    <w:rsid w:val="00683388"/>
    <w:rsid w:val="00683409"/>
    <w:rsid w:val="00683551"/>
    <w:rsid w:val="006839F4"/>
    <w:rsid w:val="00683B3E"/>
    <w:rsid w:val="00683DD2"/>
    <w:rsid w:val="00683F84"/>
    <w:rsid w:val="0068431C"/>
    <w:rsid w:val="00684C07"/>
    <w:rsid w:val="00684C39"/>
    <w:rsid w:val="00684FC8"/>
    <w:rsid w:val="0068502C"/>
    <w:rsid w:val="006854B5"/>
    <w:rsid w:val="00685523"/>
    <w:rsid w:val="00685857"/>
    <w:rsid w:val="00685B5A"/>
    <w:rsid w:val="00686092"/>
    <w:rsid w:val="0068629D"/>
    <w:rsid w:val="00686498"/>
    <w:rsid w:val="00686B24"/>
    <w:rsid w:val="00686EEE"/>
    <w:rsid w:val="00687129"/>
    <w:rsid w:val="00687497"/>
    <w:rsid w:val="006876E4"/>
    <w:rsid w:val="006877BA"/>
    <w:rsid w:val="00687821"/>
    <w:rsid w:val="00687A4A"/>
    <w:rsid w:val="00687C30"/>
    <w:rsid w:val="00687CA5"/>
    <w:rsid w:val="00690869"/>
    <w:rsid w:val="0069088C"/>
    <w:rsid w:val="00690B4E"/>
    <w:rsid w:val="00690D21"/>
    <w:rsid w:val="00690D73"/>
    <w:rsid w:val="00691851"/>
    <w:rsid w:val="0069197F"/>
    <w:rsid w:val="00691A1C"/>
    <w:rsid w:val="00691D1C"/>
    <w:rsid w:val="00691E77"/>
    <w:rsid w:val="00692906"/>
    <w:rsid w:val="00692AEC"/>
    <w:rsid w:val="00692C34"/>
    <w:rsid w:val="00692FCB"/>
    <w:rsid w:val="00693B46"/>
    <w:rsid w:val="00694096"/>
    <w:rsid w:val="006940F7"/>
    <w:rsid w:val="006943CB"/>
    <w:rsid w:val="00694E86"/>
    <w:rsid w:val="0069553B"/>
    <w:rsid w:val="00695632"/>
    <w:rsid w:val="00695AA9"/>
    <w:rsid w:val="00695AB8"/>
    <w:rsid w:val="00695F4D"/>
    <w:rsid w:val="006960CA"/>
    <w:rsid w:val="00696B26"/>
    <w:rsid w:val="00696F24"/>
    <w:rsid w:val="00696F9B"/>
    <w:rsid w:val="00697973"/>
    <w:rsid w:val="00697D1A"/>
    <w:rsid w:val="006A06FD"/>
    <w:rsid w:val="006A0E20"/>
    <w:rsid w:val="006A0FAF"/>
    <w:rsid w:val="006A104B"/>
    <w:rsid w:val="006A141B"/>
    <w:rsid w:val="006A1507"/>
    <w:rsid w:val="006A1CED"/>
    <w:rsid w:val="006A21BC"/>
    <w:rsid w:val="006A2269"/>
    <w:rsid w:val="006A22F2"/>
    <w:rsid w:val="006A25C0"/>
    <w:rsid w:val="006A2807"/>
    <w:rsid w:val="006A2E4F"/>
    <w:rsid w:val="006A2EFA"/>
    <w:rsid w:val="006A3058"/>
    <w:rsid w:val="006A35CB"/>
    <w:rsid w:val="006A35E1"/>
    <w:rsid w:val="006A3B26"/>
    <w:rsid w:val="006A40BB"/>
    <w:rsid w:val="006A46BB"/>
    <w:rsid w:val="006A482D"/>
    <w:rsid w:val="006A4857"/>
    <w:rsid w:val="006A4B45"/>
    <w:rsid w:val="006A4C1B"/>
    <w:rsid w:val="006A4E0B"/>
    <w:rsid w:val="006A4F23"/>
    <w:rsid w:val="006A4F3C"/>
    <w:rsid w:val="006A54CE"/>
    <w:rsid w:val="006A565B"/>
    <w:rsid w:val="006A5727"/>
    <w:rsid w:val="006A59A7"/>
    <w:rsid w:val="006A5A4F"/>
    <w:rsid w:val="006A5AA3"/>
    <w:rsid w:val="006A5CD2"/>
    <w:rsid w:val="006A6A81"/>
    <w:rsid w:val="006A6B2B"/>
    <w:rsid w:val="006A6D9A"/>
    <w:rsid w:val="006A72B3"/>
    <w:rsid w:val="006A730B"/>
    <w:rsid w:val="006A737D"/>
    <w:rsid w:val="006A75C7"/>
    <w:rsid w:val="006A78E5"/>
    <w:rsid w:val="006A79A1"/>
    <w:rsid w:val="006A7AE5"/>
    <w:rsid w:val="006B00F3"/>
    <w:rsid w:val="006B0329"/>
    <w:rsid w:val="006B03D3"/>
    <w:rsid w:val="006B0450"/>
    <w:rsid w:val="006B06A6"/>
    <w:rsid w:val="006B076E"/>
    <w:rsid w:val="006B0A04"/>
    <w:rsid w:val="006B0A16"/>
    <w:rsid w:val="006B1383"/>
    <w:rsid w:val="006B188F"/>
    <w:rsid w:val="006B1A7A"/>
    <w:rsid w:val="006B1B33"/>
    <w:rsid w:val="006B1CAC"/>
    <w:rsid w:val="006B1D5B"/>
    <w:rsid w:val="006B1DD8"/>
    <w:rsid w:val="006B1E26"/>
    <w:rsid w:val="006B1EB0"/>
    <w:rsid w:val="006B1FB8"/>
    <w:rsid w:val="006B2364"/>
    <w:rsid w:val="006B2BB7"/>
    <w:rsid w:val="006B2DAD"/>
    <w:rsid w:val="006B2F7B"/>
    <w:rsid w:val="006B3305"/>
    <w:rsid w:val="006B3450"/>
    <w:rsid w:val="006B3900"/>
    <w:rsid w:val="006B3AE9"/>
    <w:rsid w:val="006B3B4C"/>
    <w:rsid w:val="006B3BFE"/>
    <w:rsid w:val="006B3E19"/>
    <w:rsid w:val="006B4470"/>
    <w:rsid w:val="006B4723"/>
    <w:rsid w:val="006B478D"/>
    <w:rsid w:val="006B4A16"/>
    <w:rsid w:val="006B4D27"/>
    <w:rsid w:val="006B4DF4"/>
    <w:rsid w:val="006B4EC8"/>
    <w:rsid w:val="006B5151"/>
    <w:rsid w:val="006B51DB"/>
    <w:rsid w:val="006B5225"/>
    <w:rsid w:val="006B592A"/>
    <w:rsid w:val="006B5D16"/>
    <w:rsid w:val="006B5F6B"/>
    <w:rsid w:val="006B6215"/>
    <w:rsid w:val="006B6351"/>
    <w:rsid w:val="006B6BAD"/>
    <w:rsid w:val="006B7469"/>
    <w:rsid w:val="006B74A4"/>
    <w:rsid w:val="006C022F"/>
    <w:rsid w:val="006C0479"/>
    <w:rsid w:val="006C05A2"/>
    <w:rsid w:val="006C0917"/>
    <w:rsid w:val="006C0CC3"/>
    <w:rsid w:val="006C125C"/>
    <w:rsid w:val="006C143E"/>
    <w:rsid w:val="006C1708"/>
    <w:rsid w:val="006C193C"/>
    <w:rsid w:val="006C1D02"/>
    <w:rsid w:val="006C2322"/>
    <w:rsid w:val="006C26F8"/>
    <w:rsid w:val="006C2A59"/>
    <w:rsid w:val="006C2C8B"/>
    <w:rsid w:val="006C2CC5"/>
    <w:rsid w:val="006C30A4"/>
    <w:rsid w:val="006C36A3"/>
    <w:rsid w:val="006C3B04"/>
    <w:rsid w:val="006C3DD3"/>
    <w:rsid w:val="006C40F9"/>
    <w:rsid w:val="006C4D11"/>
    <w:rsid w:val="006C51BF"/>
    <w:rsid w:val="006C587D"/>
    <w:rsid w:val="006C5C29"/>
    <w:rsid w:val="006C5C4D"/>
    <w:rsid w:val="006C5C6E"/>
    <w:rsid w:val="006C5ED0"/>
    <w:rsid w:val="006C5F5E"/>
    <w:rsid w:val="006C65E9"/>
    <w:rsid w:val="006C661C"/>
    <w:rsid w:val="006C6667"/>
    <w:rsid w:val="006C66B9"/>
    <w:rsid w:val="006C6720"/>
    <w:rsid w:val="006C6ACF"/>
    <w:rsid w:val="006C6D9D"/>
    <w:rsid w:val="006C6EBB"/>
    <w:rsid w:val="006C6EBD"/>
    <w:rsid w:val="006C7235"/>
    <w:rsid w:val="006C7342"/>
    <w:rsid w:val="006C77AF"/>
    <w:rsid w:val="006C78E1"/>
    <w:rsid w:val="006C7BF4"/>
    <w:rsid w:val="006D0536"/>
    <w:rsid w:val="006D05C9"/>
    <w:rsid w:val="006D06B5"/>
    <w:rsid w:val="006D0773"/>
    <w:rsid w:val="006D081E"/>
    <w:rsid w:val="006D0C74"/>
    <w:rsid w:val="006D10FB"/>
    <w:rsid w:val="006D14D8"/>
    <w:rsid w:val="006D15A6"/>
    <w:rsid w:val="006D161E"/>
    <w:rsid w:val="006D1656"/>
    <w:rsid w:val="006D1683"/>
    <w:rsid w:val="006D17DB"/>
    <w:rsid w:val="006D1BCC"/>
    <w:rsid w:val="006D1CE2"/>
    <w:rsid w:val="006D1EA6"/>
    <w:rsid w:val="006D203A"/>
    <w:rsid w:val="006D25D5"/>
    <w:rsid w:val="006D2B33"/>
    <w:rsid w:val="006D2D18"/>
    <w:rsid w:val="006D2F2D"/>
    <w:rsid w:val="006D2FA8"/>
    <w:rsid w:val="006D2FBF"/>
    <w:rsid w:val="006D30BF"/>
    <w:rsid w:val="006D31F1"/>
    <w:rsid w:val="006D33EF"/>
    <w:rsid w:val="006D346C"/>
    <w:rsid w:val="006D34E2"/>
    <w:rsid w:val="006D35F3"/>
    <w:rsid w:val="006D36FF"/>
    <w:rsid w:val="006D38A9"/>
    <w:rsid w:val="006D396C"/>
    <w:rsid w:val="006D3BE5"/>
    <w:rsid w:val="006D3EC6"/>
    <w:rsid w:val="006D422C"/>
    <w:rsid w:val="006D4802"/>
    <w:rsid w:val="006D4F70"/>
    <w:rsid w:val="006D518F"/>
    <w:rsid w:val="006D53DB"/>
    <w:rsid w:val="006D5513"/>
    <w:rsid w:val="006D552A"/>
    <w:rsid w:val="006D56C7"/>
    <w:rsid w:val="006D5A27"/>
    <w:rsid w:val="006D5B45"/>
    <w:rsid w:val="006D5BA5"/>
    <w:rsid w:val="006D60A9"/>
    <w:rsid w:val="006D64C3"/>
    <w:rsid w:val="006D6585"/>
    <w:rsid w:val="006D68AC"/>
    <w:rsid w:val="006D6CF7"/>
    <w:rsid w:val="006D6FEF"/>
    <w:rsid w:val="006D7088"/>
    <w:rsid w:val="006D75CC"/>
    <w:rsid w:val="006D75FF"/>
    <w:rsid w:val="006D77AD"/>
    <w:rsid w:val="006D7B5D"/>
    <w:rsid w:val="006D7F1F"/>
    <w:rsid w:val="006E0487"/>
    <w:rsid w:val="006E07F7"/>
    <w:rsid w:val="006E099D"/>
    <w:rsid w:val="006E0AAA"/>
    <w:rsid w:val="006E0C58"/>
    <w:rsid w:val="006E1077"/>
    <w:rsid w:val="006E10C4"/>
    <w:rsid w:val="006E1474"/>
    <w:rsid w:val="006E1630"/>
    <w:rsid w:val="006E180C"/>
    <w:rsid w:val="006E1DFF"/>
    <w:rsid w:val="006E1F95"/>
    <w:rsid w:val="006E26F2"/>
    <w:rsid w:val="006E276F"/>
    <w:rsid w:val="006E29F3"/>
    <w:rsid w:val="006E2C24"/>
    <w:rsid w:val="006E2D40"/>
    <w:rsid w:val="006E2E0B"/>
    <w:rsid w:val="006E2E60"/>
    <w:rsid w:val="006E37E7"/>
    <w:rsid w:val="006E384A"/>
    <w:rsid w:val="006E3876"/>
    <w:rsid w:val="006E3A6A"/>
    <w:rsid w:val="006E3C5D"/>
    <w:rsid w:val="006E3DC6"/>
    <w:rsid w:val="006E3F06"/>
    <w:rsid w:val="006E3F8E"/>
    <w:rsid w:val="006E4213"/>
    <w:rsid w:val="006E43EB"/>
    <w:rsid w:val="006E443D"/>
    <w:rsid w:val="006E44E2"/>
    <w:rsid w:val="006E45E1"/>
    <w:rsid w:val="006E46EE"/>
    <w:rsid w:val="006E4792"/>
    <w:rsid w:val="006E498D"/>
    <w:rsid w:val="006E53F6"/>
    <w:rsid w:val="006E56EB"/>
    <w:rsid w:val="006E579F"/>
    <w:rsid w:val="006E5939"/>
    <w:rsid w:val="006E5A28"/>
    <w:rsid w:val="006E5ADC"/>
    <w:rsid w:val="006E5C15"/>
    <w:rsid w:val="006E5DE1"/>
    <w:rsid w:val="006E5E58"/>
    <w:rsid w:val="006E62D3"/>
    <w:rsid w:val="006E6E57"/>
    <w:rsid w:val="006E6EA3"/>
    <w:rsid w:val="006E70C9"/>
    <w:rsid w:val="006E718E"/>
    <w:rsid w:val="006E7A0E"/>
    <w:rsid w:val="006E7B5D"/>
    <w:rsid w:val="006E7C27"/>
    <w:rsid w:val="006F027C"/>
    <w:rsid w:val="006F07B2"/>
    <w:rsid w:val="006F07E0"/>
    <w:rsid w:val="006F10AB"/>
    <w:rsid w:val="006F11F3"/>
    <w:rsid w:val="006F231F"/>
    <w:rsid w:val="006F263D"/>
    <w:rsid w:val="006F2770"/>
    <w:rsid w:val="006F28F1"/>
    <w:rsid w:val="006F2912"/>
    <w:rsid w:val="006F29C7"/>
    <w:rsid w:val="006F2A43"/>
    <w:rsid w:val="006F2CC6"/>
    <w:rsid w:val="006F3008"/>
    <w:rsid w:val="006F31CF"/>
    <w:rsid w:val="006F3259"/>
    <w:rsid w:val="006F33D7"/>
    <w:rsid w:val="006F3575"/>
    <w:rsid w:val="006F3993"/>
    <w:rsid w:val="006F39C4"/>
    <w:rsid w:val="006F3C79"/>
    <w:rsid w:val="006F3D07"/>
    <w:rsid w:val="006F415F"/>
    <w:rsid w:val="006F42F7"/>
    <w:rsid w:val="006F4701"/>
    <w:rsid w:val="006F4DFB"/>
    <w:rsid w:val="006F5250"/>
    <w:rsid w:val="006F5835"/>
    <w:rsid w:val="006F5A07"/>
    <w:rsid w:val="006F5C34"/>
    <w:rsid w:val="006F5C37"/>
    <w:rsid w:val="006F5D34"/>
    <w:rsid w:val="006F6053"/>
    <w:rsid w:val="006F65BD"/>
    <w:rsid w:val="006F6681"/>
    <w:rsid w:val="006F675C"/>
    <w:rsid w:val="006F69CE"/>
    <w:rsid w:val="006F6A99"/>
    <w:rsid w:val="006F6B5C"/>
    <w:rsid w:val="006F6D1C"/>
    <w:rsid w:val="006F6D9F"/>
    <w:rsid w:val="006F6E70"/>
    <w:rsid w:val="006F7036"/>
    <w:rsid w:val="006F7393"/>
    <w:rsid w:val="006F7442"/>
    <w:rsid w:val="006F772E"/>
    <w:rsid w:val="006F7C70"/>
    <w:rsid w:val="006F7FE7"/>
    <w:rsid w:val="00700039"/>
    <w:rsid w:val="00700115"/>
    <w:rsid w:val="0070032A"/>
    <w:rsid w:val="007007CE"/>
    <w:rsid w:val="00700866"/>
    <w:rsid w:val="00700A7F"/>
    <w:rsid w:val="00700B94"/>
    <w:rsid w:val="00700D49"/>
    <w:rsid w:val="00700FD1"/>
    <w:rsid w:val="007017EC"/>
    <w:rsid w:val="00701AFB"/>
    <w:rsid w:val="00701ECD"/>
    <w:rsid w:val="00702067"/>
    <w:rsid w:val="0070224F"/>
    <w:rsid w:val="0070281C"/>
    <w:rsid w:val="0070341D"/>
    <w:rsid w:val="0070374D"/>
    <w:rsid w:val="007037BC"/>
    <w:rsid w:val="007042AF"/>
    <w:rsid w:val="007045B4"/>
    <w:rsid w:val="00704632"/>
    <w:rsid w:val="0070464E"/>
    <w:rsid w:val="00704775"/>
    <w:rsid w:val="00704878"/>
    <w:rsid w:val="00704E28"/>
    <w:rsid w:val="00705134"/>
    <w:rsid w:val="00705884"/>
    <w:rsid w:val="00705B84"/>
    <w:rsid w:val="00705DE0"/>
    <w:rsid w:val="00706033"/>
    <w:rsid w:val="0070627F"/>
    <w:rsid w:val="007063FB"/>
    <w:rsid w:val="00706576"/>
    <w:rsid w:val="00706910"/>
    <w:rsid w:val="00706A74"/>
    <w:rsid w:val="00706BCC"/>
    <w:rsid w:val="00706F6A"/>
    <w:rsid w:val="00706FC2"/>
    <w:rsid w:val="00707268"/>
    <w:rsid w:val="00707281"/>
    <w:rsid w:val="00707583"/>
    <w:rsid w:val="007076DB"/>
    <w:rsid w:val="00707845"/>
    <w:rsid w:val="00707880"/>
    <w:rsid w:val="007079A6"/>
    <w:rsid w:val="00707D24"/>
    <w:rsid w:val="00707D32"/>
    <w:rsid w:val="00710082"/>
    <w:rsid w:val="0071022A"/>
    <w:rsid w:val="007105C8"/>
    <w:rsid w:val="0071093B"/>
    <w:rsid w:val="007109A7"/>
    <w:rsid w:val="007109B5"/>
    <w:rsid w:val="00710B83"/>
    <w:rsid w:val="0071110E"/>
    <w:rsid w:val="007112A4"/>
    <w:rsid w:val="007115F7"/>
    <w:rsid w:val="0071162B"/>
    <w:rsid w:val="00711BD7"/>
    <w:rsid w:val="00711DE1"/>
    <w:rsid w:val="00711ED7"/>
    <w:rsid w:val="0071219B"/>
    <w:rsid w:val="007127F8"/>
    <w:rsid w:val="007130A4"/>
    <w:rsid w:val="00713140"/>
    <w:rsid w:val="007131D1"/>
    <w:rsid w:val="007132DE"/>
    <w:rsid w:val="00713557"/>
    <w:rsid w:val="007135C1"/>
    <w:rsid w:val="0071362A"/>
    <w:rsid w:val="0071383F"/>
    <w:rsid w:val="007139D3"/>
    <w:rsid w:val="00714238"/>
    <w:rsid w:val="0071427B"/>
    <w:rsid w:val="007142B3"/>
    <w:rsid w:val="00714322"/>
    <w:rsid w:val="007149CA"/>
    <w:rsid w:val="00714A28"/>
    <w:rsid w:val="00714FA5"/>
    <w:rsid w:val="00715010"/>
    <w:rsid w:val="007150F5"/>
    <w:rsid w:val="00715A5B"/>
    <w:rsid w:val="00715EF7"/>
    <w:rsid w:val="00716409"/>
    <w:rsid w:val="00716BAB"/>
    <w:rsid w:val="00716DDB"/>
    <w:rsid w:val="00716DE1"/>
    <w:rsid w:val="00716E58"/>
    <w:rsid w:val="00716F58"/>
    <w:rsid w:val="007170F4"/>
    <w:rsid w:val="007171AC"/>
    <w:rsid w:val="00717C9C"/>
    <w:rsid w:val="00717CB4"/>
    <w:rsid w:val="00717E53"/>
    <w:rsid w:val="00717EF6"/>
    <w:rsid w:val="00720369"/>
    <w:rsid w:val="00720770"/>
    <w:rsid w:val="007207D8"/>
    <w:rsid w:val="0072087E"/>
    <w:rsid w:val="00720CB6"/>
    <w:rsid w:val="00720D49"/>
    <w:rsid w:val="00720E8A"/>
    <w:rsid w:val="00721071"/>
    <w:rsid w:val="0072145D"/>
    <w:rsid w:val="00721472"/>
    <w:rsid w:val="007215BB"/>
    <w:rsid w:val="0072166E"/>
    <w:rsid w:val="007217FF"/>
    <w:rsid w:val="0072236A"/>
    <w:rsid w:val="00722467"/>
    <w:rsid w:val="00722496"/>
    <w:rsid w:val="0072261D"/>
    <w:rsid w:val="007226F5"/>
    <w:rsid w:val="007228E1"/>
    <w:rsid w:val="00722E42"/>
    <w:rsid w:val="00722F12"/>
    <w:rsid w:val="0072304C"/>
    <w:rsid w:val="00723160"/>
    <w:rsid w:val="00723834"/>
    <w:rsid w:val="00723836"/>
    <w:rsid w:val="00723BCD"/>
    <w:rsid w:val="00723EBC"/>
    <w:rsid w:val="007241D8"/>
    <w:rsid w:val="007243E5"/>
    <w:rsid w:val="00724694"/>
    <w:rsid w:val="0072476C"/>
    <w:rsid w:val="00724772"/>
    <w:rsid w:val="00724A63"/>
    <w:rsid w:val="00724B16"/>
    <w:rsid w:val="00724D1A"/>
    <w:rsid w:val="00724E7A"/>
    <w:rsid w:val="00725070"/>
    <w:rsid w:val="00725313"/>
    <w:rsid w:val="00725CE4"/>
    <w:rsid w:val="007261C0"/>
    <w:rsid w:val="00726355"/>
    <w:rsid w:val="007263D2"/>
    <w:rsid w:val="007263EA"/>
    <w:rsid w:val="007266A0"/>
    <w:rsid w:val="00726BB4"/>
    <w:rsid w:val="00726E2E"/>
    <w:rsid w:val="00726E8C"/>
    <w:rsid w:val="0072719B"/>
    <w:rsid w:val="00727214"/>
    <w:rsid w:val="007274FB"/>
    <w:rsid w:val="007275E6"/>
    <w:rsid w:val="007276F2"/>
    <w:rsid w:val="00727E19"/>
    <w:rsid w:val="0073031E"/>
    <w:rsid w:val="00730454"/>
    <w:rsid w:val="0073047B"/>
    <w:rsid w:val="00730A60"/>
    <w:rsid w:val="00730C97"/>
    <w:rsid w:val="00730CF4"/>
    <w:rsid w:val="00730E10"/>
    <w:rsid w:val="00731047"/>
    <w:rsid w:val="007310B5"/>
    <w:rsid w:val="00731209"/>
    <w:rsid w:val="00731283"/>
    <w:rsid w:val="0073141E"/>
    <w:rsid w:val="007319ED"/>
    <w:rsid w:val="00731DF2"/>
    <w:rsid w:val="0073210B"/>
    <w:rsid w:val="0073255C"/>
    <w:rsid w:val="00732665"/>
    <w:rsid w:val="007326AC"/>
    <w:rsid w:val="007328BA"/>
    <w:rsid w:val="00732A8B"/>
    <w:rsid w:val="00733619"/>
    <w:rsid w:val="007336B1"/>
    <w:rsid w:val="0073380F"/>
    <w:rsid w:val="00733BCB"/>
    <w:rsid w:val="00733CE1"/>
    <w:rsid w:val="00733D4E"/>
    <w:rsid w:val="00733F09"/>
    <w:rsid w:val="00733FA3"/>
    <w:rsid w:val="00733FFF"/>
    <w:rsid w:val="0073434C"/>
    <w:rsid w:val="007346F4"/>
    <w:rsid w:val="00734C77"/>
    <w:rsid w:val="00734E86"/>
    <w:rsid w:val="00734EA5"/>
    <w:rsid w:val="00734FAB"/>
    <w:rsid w:val="007351EB"/>
    <w:rsid w:val="00735509"/>
    <w:rsid w:val="00735AE0"/>
    <w:rsid w:val="00735C50"/>
    <w:rsid w:val="00735CA9"/>
    <w:rsid w:val="00735CAD"/>
    <w:rsid w:val="00735D56"/>
    <w:rsid w:val="00735FB1"/>
    <w:rsid w:val="00736312"/>
    <w:rsid w:val="00736B65"/>
    <w:rsid w:val="00736F8F"/>
    <w:rsid w:val="00737196"/>
    <w:rsid w:val="00737286"/>
    <w:rsid w:val="007378BF"/>
    <w:rsid w:val="00737F57"/>
    <w:rsid w:val="0074009E"/>
    <w:rsid w:val="007405F2"/>
    <w:rsid w:val="007406C3"/>
    <w:rsid w:val="00740B7B"/>
    <w:rsid w:val="00740D3B"/>
    <w:rsid w:val="00740DFE"/>
    <w:rsid w:val="00741141"/>
    <w:rsid w:val="007412EB"/>
    <w:rsid w:val="007412F1"/>
    <w:rsid w:val="00741420"/>
    <w:rsid w:val="007417AC"/>
    <w:rsid w:val="00741B82"/>
    <w:rsid w:val="00741E2D"/>
    <w:rsid w:val="00741EBF"/>
    <w:rsid w:val="0074222B"/>
    <w:rsid w:val="00742830"/>
    <w:rsid w:val="0074298A"/>
    <w:rsid w:val="007437D2"/>
    <w:rsid w:val="007437F0"/>
    <w:rsid w:val="0074381E"/>
    <w:rsid w:val="007438C3"/>
    <w:rsid w:val="007439C7"/>
    <w:rsid w:val="007439E9"/>
    <w:rsid w:val="00744157"/>
    <w:rsid w:val="00744218"/>
    <w:rsid w:val="007444F0"/>
    <w:rsid w:val="0074482F"/>
    <w:rsid w:val="007457FB"/>
    <w:rsid w:val="00745B90"/>
    <w:rsid w:val="00745C15"/>
    <w:rsid w:val="00745F02"/>
    <w:rsid w:val="0074610D"/>
    <w:rsid w:val="00746282"/>
    <w:rsid w:val="007464D9"/>
    <w:rsid w:val="0074670F"/>
    <w:rsid w:val="0074696F"/>
    <w:rsid w:val="0074705D"/>
    <w:rsid w:val="0074728E"/>
    <w:rsid w:val="00747BED"/>
    <w:rsid w:val="00747CD7"/>
    <w:rsid w:val="00747E50"/>
    <w:rsid w:val="00750043"/>
    <w:rsid w:val="00750208"/>
    <w:rsid w:val="00750A75"/>
    <w:rsid w:val="00750AD8"/>
    <w:rsid w:val="00750B5D"/>
    <w:rsid w:val="00750EDA"/>
    <w:rsid w:val="00750F66"/>
    <w:rsid w:val="00751245"/>
    <w:rsid w:val="007515DF"/>
    <w:rsid w:val="007518E2"/>
    <w:rsid w:val="00751906"/>
    <w:rsid w:val="00751A82"/>
    <w:rsid w:val="00751B1F"/>
    <w:rsid w:val="00751DC1"/>
    <w:rsid w:val="00751FCA"/>
    <w:rsid w:val="0075212D"/>
    <w:rsid w:val="0075262E"/>
    <w:rsid w:val="007526F0"/>
    <w:rsid w:val="007530F9"/>
    <w:rsid w:val="007533ED"/>
    <w:rsid w:val="007533FE"/>
    <w:rsid w:val="00753430"/>
    <w:rsid w:val="00753BEC"/>
    <w:rsid w:val="00753FF9"/>
    <w:rsid w:val="0075464E"/>
    <w:rsid w:val="00754B48"/>
    <w:rsid w:val="00754C0D"/>
    <w:rsid w:val="00754DFD"/>
    <w:rsid w:val="00755021"/>
    <w:rsid w:val="00755107"/>
    <w:rsid w:val="0075526C"/>
    <w:rsid w:val="007552C8"/>
    <w:rsid w:val="0075539E"/>
    <w:rsid w:val="007557D2"/>
    <w:rsid w:val="00755F35"/>
    <w:rsid w:val="00756699"/>
    <w:rsid w:val="0075673B"/>
    <w:rsid w:val="00756BB9"/>
    <w:rsid w:val="00756C68"/>
    <w:rsid w:val="00756D7D"/>
    <w:rsid w:val="00756D94"/>
    <w:rsid w:val="00756E66"/>
    <w:rsid w:val="00756F6D"/>
    <w:rsid w:val="007570B0"/>
    <w:rsid w:val="007571C1"/>
    <w:rsid w:val="007575F9"/>
    <w:rsid w:val="0075770C"/>
    <w:rsid w:val="00757897"/>
    <w:rsid w:val="00757963"/>
    <w:rsid w:val="00757D44"/>
    <w:rsid w:val="00757F00"/>
    <w:rsid w:val="007601AA"/>
    <w:rsid w:val="0076058D"/>
    <w:rsid w:val="0076087A"/>
    <w:rsid w:val="00760A44"/>
    <w:rsid w:val="00760C50"/>
    <w:rsid w:val="00760E8F"/>
    <w:rsid w:val="00760F83"/>
    <w:rsid w:val="007611B3"/>
    <w:rsid w:val="0076122E"/>
    <w:rsid w:val="00761293"/>
    <w:rsid w:val="007614FA"/>
    <w:rsid w:val="00761501"/>
    <w:rsid w:val="0076150E"/>
    <w:rsid w:val="00761C22"/>
    <w:rsid w:val="00761C4A"/>
    <w:rsid w:val="0076233E"/>
    <w:rsid w:val="007624BE"/>
    <w:rsid w:val="00762550"/>
    <w:rsid w:val="00762B73"/>
    <w:rsid w:val="00762C0A"/>
    <w:rsid w:val="00763170"/>
    <w:rsid w:val="00763530"/>
    <w:rsid w:val="007636B2"/>
    <w:rsid w:val="00763831"/>
    <w:rsid w:val="0076384E"/>
    <w:rsid w:val="00763A19"/>
    <w:rsid w:val="00764A07"/>
    <w:rsid w:val="00764B70"/>
    <w:rsid w:val="00765139"/>
    <w:rsid w:val="0076562A"/>
    <w:rsid w:val="00765D04"/>
    <w:rsid w:val="00765FE5"/>
    <w:rsid w:val="00766026"/>
    <w:rsid w:val="00766099"/>
    <w:rsid w:val="00766A32"/>
    <w:rsid w:val="00766A96"/>
    <w:rsid w:val="00766B14"/>
    <w:rsid w:val="00766ED7"/>
    <w:rsid w:val="00766F44"/>
    <w:rsid w:val="00766FED"/>
    <w:rsid w:val="007671CA"/>
    <w:rsid w:val="00767378"/>
    <w:rsid w:val="00767826"/>
    <w:rsid w:val="0076788F"/>
    <w:rsid w:val="00767C50"/>
    <w:rsid w:val="00767C8B"/>
    <w:rsid w:val="00767E99"/>
    <w:rsid w:val="007704FF"/>
    <w:rsid w:val="00770601"/>
    <w:rsid w:val="00770A50"/>
    <w:rsid w:val="00770B5A"/>
    <w:rsid w:val="00770C37"/>
    <w:rsid w:val="00770CE8"/>
    <w:rsid w:val="00770D07"/>
    <w:rsid w:val="00770D46"/>
    <w:rsid w:val="00771012"/>
    <w:rsid w:val="00771891"/>
    <w:rsid w:val="00771BFB"/>
    <w:rsid w:val="00771C0A"/>
    <w:rsid w:val="00771C8C"/>
    <w:rsid w:val="00772024"/>
    <w:rsid w:val="0077215B"/>
    <w:rsid w:val="007722C5"/>
    <w:rsid w:val="007723C0"/>
    <w:rsid w:val="00772402"/>
    <w:rsid w:val="00772408"/>
    <w:rsid w:val="007724DD"/>
    <w:rsid w:val="00772797"/>
    <w:rsid w:val="00772799"/>
    <w:rsid w:val="007728EC"/>
    <w:rsid w:val="00772974"/>
    <w:rsid w:val="00772A0C"/>
    <w:rsid w:val="00772E11"/>
    <w:rsid w:val="007731CA"/>
    <w:rsid w:val="00773782"/>
    <w:rsid w:val="007737BF"/>
    <w:rsid w:val="00773A9B"/>
    <w:rsid w:val="00773E7E"/>
    <w:rsid w:val="0077418C"/>
    <w:rsid w:val="0077434D"/>
    <w:rsid w:val="007744AD"/>
    <w:rsid w:val="00774A40"/>
    <w:rsid w:val="00774DD5"/>
    <w:rsid w:val="007751EB"/>
    <w:rsid w:val="0077528B"/>
    <w:rsid w:val="00775293"/>
    <w:rsid w:val="00775ACC"/>
    <w:rsid w:val="00775CFE"/>
    <w:rsid w:val="00775E01"/>
    <w:rsid w:val="00775F09"/>
    <w:rsid w:val="00775FFE"/>
    <w:rsid w:val="00776282"/>
    <w:rsid w:val="007763F1"/>
    <w:rsid w:val="0077648F"/>
    <w:rsid w:val="00776998"/>
    <w:rsid w:val="007769B6"/>
    <w:rsid w:val="00776E25"/>
    <w:rsid w:val="00777BBC"/>
    <w:rsid w:val="00777C53"/>
    <w:rsid w:val="00777C6E"/>
    <w:rsid w:val="00777C7A"/>
    <w:rsid w:val="007800AA"/>
    <w:rsid w:val="007806CF"/>
    <w:rsid w:val="00780724"/>
    <w:rsid w:val="00780772"/>
    <w:rsid w:val="0078080A"/>
    <w:rsid w:val="0078087C"/>
    <w:rsid w:val="00780D1F"/>
    <w:rsid w:val="00780E0E"/>
    <w:rsid w:val="00781151"/>
    <w:rsid w:val="00781407"/>
    <w:rsid w:val="007816E8"/>
    <w:rsid w:val="00781A9C"/>
    <w:rsid w:val="00781DF6"/>
    <w:rsid w:val="007822EA"/>
    <w:rsid w:val="007822FE"/>
    <w:rsid w:val="007829FE"/>
    <w:rsid w:val="00782B3F"/>
    <w:rsid w:val="00782BAB"/>
    <w:rsid w:val="00782CCE"/>
    <w:rsid w:val="00782F63"/>
    <w:rsid w:val="0078302E"/>
    <w:rsid w:val="007830A5"/>
    <w:rsid w:val="0078335F"/>
    <w:rsid w:val="00783481"/>
    <w:rsid w:val="0078396F"/>
    <w:rsid w:val="00783A48"/>
    <w:rsid w:val="00783F05"/>
    <w:rsid w:val="007844B7"/>
    <w:rsid w:val="00784B1C"/>
    <w:rsid w:val="00784C12"/>
    <w:rsid w:val="00784F83"/>
    <w:rsid w:val="00785011"/>
    <w:rsid w:val="00785044"/>
    <w:rsid w:val="00785406"/>
    <w:rsid w:val="00785689"/>
    <w:rsid w:val="00785C21"/>
    <w:rsid w:val="00786006"/>
    <w:rsid w:val="0078639E"/>
    <w:rsid w:val="007864DC"/>
    <w:rsid w:val="007865B1"/>
    <w:rsid w:val="00786743"/>
    <w:rsid w:val="007868B3"/>
    <w:rsid w:val="00786A7A"/>
    <w:rsid w:val="00786F77"/>
    <w:rsid w:val="00786FC6"/>
    <w:rsid w:val="00787425"/>
    <w:rsid w:val="007877CC"/>
    <w:rsid w:val="00787949"/>
    <w:rsid w:val="00787EB8"/>
    <w:rsid w:val="00790DE8"/>
    <w:rsid w:val="0079105C"/>
    <w:rsid w:val="0079114F"/>
    <w:rsid w:val="00791699"/>
    <w:rsid w:val="0079188D"/>
    <w:rsid w:val="00791896"/>
    <w:rsid w:val="00791920"/>
    <w:rsid w:val="007919D1"/>
    <w:rsid w:val="00791B46"/>
    <w:rsid w:val="00791F2E"/>
    <w:rsid w:val="00791FE4"/>
    <w:rsid w:val="00792242"/>
    <w:rsid w:val="0079238D"/>
    <w:rsid w:val="00792547"/>
    <w:rsid w:val="007925FE"/>
    <w:rsid w:val="00792717"/>
    <w:rsid w:val="0079279E"/>
    <w:rsid w:val="007929DE"/>
    <w:rsid w:val="007932AD"/>
    <w:rsid w:val="00793468"/>
    <w:rsid w:val="0079350D"/>
    <w:rsid w:val="007939E5"/>
    <w:rsid w:val="00793DE1"/>
    <w:rsid w:val="00793F36"/>
    <w:rsid w:val="00794220"/>
    <w:rsid w:val="0079430B"/>
    <w:rsid w:val="007943DE"/>
    <w:rsid w:val="00794538"/>
    <w:rsid w:val="0079465B"/>
    <w:rsid w:val="00794BF9"/>
    <w:rsid w:val="00794C18"/>
    <w:rsid w:val="00794D9E"/>
    <w:rsid w:val="00794E30"/>
    <w:rsid w:val="007951A8"/>
    <w:rsid w:val="007952EA"/>
    <w:rsid w:val="0079530D"/>
    <w:rsid w:val="00795609"/>
    <w:rsid w:val="007961B1"/>
    <w:rsid w:val="0079653D"/>
    <w:rsid w:val="00796A3C"/>
    <w:rsid w:val="00796B94"/>
    <w:rsid w:val="00796D57"/>
    <w:rsid w:val="00796FE3"/>
    <w:rsid w:val="0079754B"/>
    <w:rsid w:val="00797F37"/>
    <w:rsid w:val="007A03A8"/>
    <w:rsid w:val="007A074E"/>
    <w:rsid w:val="007A08F6"/>
    <w:rsid w:val="007A0AE3"/>
    <w:rsid w:val="007A100B"/>
    <w:rsid w:val="007A10C6"/>
    <w:rsid w:val="007A13DD"/>
    <w:rsid w:val="007A15E4"/>
    <w:rsid w:val="007A1845"/>
    <w:rsid w:val="007A18FD"/>
    <w:rsid w:val="007A1DB7"/>
    <w:rsid w:val="007A1E6D"/>
    <w:rsid w:val="007A2003"/>
    <w:rsid w:val="007A2358"/>
    <w:rsid w:val="007A2659"/>
    <w:rsid w:val="007A26CC"/>
    <w:rsid w:val="007A28AF"/>
    <w:rsid w:val="007A297F"/>
    <w:rsid w:val="007A2E2B"/>
    <w:rsid w:val="007A2E47"/>
    <w:rsid w:val="007A33C9"/>
    <w:rsid w:val="007A3450"/>
    <w:rsid w:val="007A35B2"/>
    <w:rsid w:val="007A3B47"/>
    <w:rsid w:val="007A44B1"/>
    <w:rsid w:val="007A4646"/>
    <w:rsid w:val="007A48A5"/>
    <w:rsid w:val="007A496F"/>
    <w:rsid w:val="007A4D07"/>
    <w:rsid w:val="007A4E52"/>
    <w:rsid w:val="007A4ED3"/>
    <w:rsid w:val="007A4ED4"/>
    <w:rsid w:val="007A5075"/>
    <w:rsid w:val="007A50C3"/>
    <w:rsid w:val="007A550B"/>
    <w:rsid w:val="007A551D"/>
    <w:rsid w:val="007A5668"/>
    <w:rsid w:val="007A5C33"/>
    <w:rsid w:val="007A5EED"/>
    <w:rsid w:val="007A5FD8"/>
    <w:rsid w:val="007A60F1"/>
    <w:rsid w:val="007A6281"/>
    <w:rsid w:val="007A63F4"/>
    <w:rsid w:val="007A65BF"/>
    <w:rsid w:val="007A65ED"/>
    <w:rsid w:val="007A675A"/>
    <w:rsid w:val="007A6A50"/>
    <w:rsid w:val="007A6B02"/>
    <w:rsid w:val="007A7A28"/>
    <w:rsid w:val="007A7BFD"/>
    <w:rsid w:val="007A7CD4"/>
    <w:rsid w:val="007A7DF1"/>
    <w:rsid w:val="007A7F37"/>
    <w:rsid w:val="007B0317"/>
    <w:rsid w:val="007B0664"/>
    <w:rsid w:val="007B0E77"/>
    <w:rsid w:val="007B0EB2"/>
    <w:rsid w:val="007B17BF"/>
    <w:rsid w:val="007B1DCD"/>
    <w:rsid w:val="007B205A"/>
    <w:rsid w:val="007B20B0"/>
    <w:rsid w:val="007B221D"/>
    <w:rsid w:val="007B2261"/>
    <w:rsid w:val="007B22F3"/>
    <w:rsid w:val="007B264D"/>
    <w:rsid w:val="007B26FC"/>
    <w:rsid w:val="007B27BD"/>
    <w:rsid w:val="007B2FC5"/>
    <w:rsid w:val="007B31ED"/>
    <w:rsid w:val="007B3209"/>
    <w:rsid w:val="007B32D8"/>
    <w:rsid w:val="007B3412"/>
    <w:rsid w:val="007B356B"/>
    <w:rsid w:val="007B3B6A"/>
    <w:rsid w:val="007B407B"/>
    <w:rsid w:val="007B44A7"/>
    <w:rsid w:val="007B4660"/>
    <w:rsid w:val="007B4C15"/>
    <w:rsid w:val="007B4E0C"/>
    <w:rsid w:val="007B512B"/>
    <w:rsid w:val="007B56F6"/>
    <w:rsid w:val="007B5813"/>
    <w:rsid w:val="007B5BF4"/>
    <w:rsid w:val="007B5C16"/>
    <w:rsid w:val="007B5D8A"/>
    <w:rsid w:val="007B5D8D"/>
    <w:rsid w:val="007B5E22"/>
    <w:rsid w:val="007B60DB"/>
    <w:rsid w:val="007B6405"/>
    <w:rsid w:val="007B6850"/>
    <w:rsid w:val="007B6F32"/>
    <w:rsid w:val="007B70CF"/>
    <w:rsid w:val="007B7450"/>
    <w:rsid w:val="007B78FA"/>
    <w:rsid w:val="007B78FE"/>
    <w:rsid w:val="007B7D46"/>
    <w:rsid w:val="007C013E"/>
    <w:rsid w:val="007C02E1"/>
    <w:rsid w:val="007C04A3"/>
    <w:rsid w:val="007C05EB"/>
    <w:rsid w:val="007C0791"/>
    <w:rsid w:val="007C16D5"/>
    <w:rsid w:val="007C18F3"/>
    <w:rsid w:val="007C1989"/>
    <w:rsid w:val="007C1A28"/>
    <w:rsid w:val="007C1B85"/>
    <w:rsid w:val="007C1DFE"/>
    <w:rsid w:val="007C1E08"/>
    <w:rsid w:val="007C2325"/>
    <w:rsid w:val="007C24C3"/>
    <w:rsid w:val="007C2518"/>
    <w:rsid w:val="007C29AE"/>
    <w:rsid w:val="007C2A39"/>
    <w:rsid w:val="007C2D37"/>
    <w:rsid w:val="007C2FAD"/>
    <w:rsid w:val="007C31F6"/>
    <w:rsid w:val="007C33C6"/>
    <w:rsid w:val="007C33DB"/>
    <w:rsid w:val="007C3AB0"/>
    <w:rsid w:val="007C4261"/>
    <w:rsid w:val="007C4270"/>
    <w:rsid w:val="007C4AD1"/>
    <w:rsid w:val="007C5764"/>
    <w:rsid w:val="007C57FF"/>
    <w:rsid w:val="007C5B21"/>
    <w:rsid w:val="007C5D67"/>
    <w:rsid w:val="007C6705"/>
    <w:rsid w:val="007C6AB7"/>
    <w:rsid w:val="007C6D91"/>
    <w:rsid w:val="007C6E14"/>
    <w:rsid w:val="007C70F6"/>
    <w:rsid w:val="007C71CF"/>
    <w:rsid w:val="007C76EA"/>
    <w:rsid w:val="007C78DA"/>
    <w:rsid w:val="007C7EF2"/>
    <w:rsid w:val="007D021C"/>
    <w:rsid w:val="007D02A3"/>
    <w:rsid w:val="007D02C7"/>
    <w:rsid w:val="007D04B7"/>
    <w:rsid w:val="007D0638"/>
    <w:rsid w:val="007D06A2"/>
    <w:rsid w:val="007D09BF"/>
    <w:rsid w:val="007D09FF"/>
    <w:rsid w:val="007D0D8A"/>
    <w:rsid w:val="007D0E15"/>
    <w:rsid w:val="007D1110"/>
    <w:rsid w:val="007D15B1"/>
    <w:rsid w:val="007D1689"/>
    <w:rsid w:val="007D16F3"/>
    <w:rsid w:val="007D1EBA"/>
    <w:rsid w:val="007D204A"/>
    <w:rsid w:val="007D2572"/>
    <w:rsid w:val="007D2853"/>
    <w:rsid w:val="007D2B84"/>
    <w:rsid w:val="007D2F32"/>
    <w:rsid w:val="007D329C"/>
    <w:rsid w:val="007D377B"/>
    <w:rsid w:val="007D37D6"/>
    <w:rsid w:val="007D3CFD"/>
    <w:rsid w:val="007D4C71"/>
    <w:rsid w:val="007D4D01"/>
    <w:rsid w:val="007D4D2B"/>
    <w:rsid w:val="007D54CE"/>
    <w:rsid w:val="007D5C0F"/>
    <w:rsid w:val="007D5F96"/>
    <w:rsid w:val="007D616E"/>
    <w:rsid w:val="007D629B"/>
    <w:rsid w:val="007D6376"/>
    <w:rsid w:val="007D6D06"/>
    <w:rsid w:val="007D6E0A"/>
    <w:rsid w:val="007D6E4D"/>
    <w:rsid w:val="007D6F47"/>
    <w:rsid w:val="007D6F7D"/>
    <w:rsid w:val="007D743E"/>
    <w:rsid w:val="007D7629"/>
    <w:rsid w:val="007D77FB"/>
    <w:rsid w:val="007D7819"/>
    <w:rsid w:val="007D7C37"/>
    <w:rsid w:val="007D7D77"/>
    <w:rsid w:val="007D7F19"/>
    <w:rsid w:val="007E011F"/>
    <w:rsid w:val="007E0171"/>
    <w:rsid w:val="007E02A4"/>
    <w:rsid w:val="007E05EF"/>
    <w:rsid w:val="007E0AF2"/>
    <w:rsid w:val="007E146B"/>
    <w:rsid w:val="007E1CD7"/>
    <w:rsid w:val="007E1ECF"/>
    <w:rsid w:val="007E259E"/>
    <w:rsid w:val="007E2A84"/>
    <w:rsid w:val="007E2B06"/>
    <w:rsid w:val="007E2D45"/>
    <w:rsid w:val="007E2EED"/>
    <w:rsid w:val="007E322F"/>
    <w:rsid w:val="007E35FE"/>
    <w:rsid w:val="007E3A6A"/>
    <w:rsid w:val="007E3C43"/>
    <w:rsid w:val="007E3C9C"/>
    <w:rsid w:val="007E3EBC"/>
    <w:rsid w:val="007E4530"/>
    <w:rsid w:val="007E4CD2"/>
    <w:rsid w:val="007E51F7"/>
    <w:rsid w:val="007E54DB"/>
    <w:rsid w:val="007E5723"/>
    <w:rsid w:val="007E577A"/>
    <w:rsid w:val="007E5BB4"/>
    <w:rsid w:val="007E5DAB"/>
    <w:rsid w:val="007E65D9"/>
    <w:rsid w:val="007E6917"/>
    <w:rsid w:val="007E6A03"/>
    <w:rsid w:val="007E6C31"/>
    <w:rsid w:val="007E6FA5"/>
    <w:rsid w:val="007E7176"/>
    <w:rsid w:val="007E73B8"/>
    <w:rsid w:val="007E7513"/>
    <w:rsid w:val="007E7AFF"/>
    <w:rsid w:val="007E7C1A"/>
    <w:rsid w:val="007E7C2C"/>
    <w:rsid w:val="007F0048"/>
    <w:rsid w:val="007F03E5"/>
    <w:rsid w:val="007F0640"/>
    <w:rsid w:val="007F09B0"/>
    <w:rsid w:val="007F0A7A"/>
    <w:rsid w:val="007F0CD3"/>
    <w:rsid w:val="007F122E"/>
    <w:rsid w:val="007F14D4"/>
    <w:rsid w:val="007F1670"/>
    <w:rsid w:val="007F198F"/>
    <w:rsid w:val="007F19D6"/>
    <w:rsid w:val="007F1D75"/>
    <w:rsid w:val="007F1EEA"/>
    <w:rsid w:val="007F2644"/>
    <w:rsid w:val="007F26FA"/>
    <w:rsid w:val="007F2987"/>
    <w:rsid w:val="007F2AE2"/>
    <w:rsid w:val="007F2D5E"/>
    <w:rsid w:val="007F3218"/>
    <w:rsid w:val="007F349D"/>
    <w:rsid w:val="007F3B71"/>
    <w:rsid w:val="007F3F74"/>
    <w:rsid w:val="007F3F8A"/>
    <w:rsid w:val="007F40B0"/>
    <w:rsid w:val="007F43F4"/>
    <w:rsid w:val="007F4A57"/>
    <w:rsid w:val="007F4AA7"/>
    <w:rsid w:val="007F4BA7"/>
    <w:rsid w:val="007F4EC5"/>
    <w:rsid w:val="007F4F33"/>
    <w:rsid w:val="007F5148"/>
    <w:rsid w:val="007F53A5"/>
    <w:rsid w:val="007F5527"/>
    <w:rsid w:val="007F5821"/>
    <w:rsid w:val="007F5EF8"/>
    <w:rsid w:val="007F5FE8"/>
    <w:rsid w:val="007F609C"/>
    <w:rsid w:val="007F61FC"/>
    <w:rsid w:val="007F6239"/>
    <w:rsid w:val="007F6549"/>
    <w:rsid w:val="007F6C0D"/>
    <w:rsid w:val="007F6D8D"/>
    <w:rsid w:val="007F6DA2"/>
    <w:rsid w:val="007F72C6"/>
    <w:rsid w:val="007F7598"/>
    <w:rsid w:val="007F7FAD"/>
    <w:rsid w:val="00800491"/>
    <w:rsid w:val="00800661"/>
    <w:rsid w:val="00800996"/>
    <w:rsid w:val="00800AEC"/>
    <w:rsid w:val="008010AE"/>
    <w:rsid w:val="008010AF"/>
    <w:rsid w:val="0080131E"/>
    <w:rsid w:val="00801481"/>
    <w:rsid w:val="00801C18"/>
    <w:rsid w:val="0080205F"/>
    <w:rsid w:val="00802129"/>
    <w:rsid w:val="008023C9"/>
    <w:rsid w:val="00802812"/>
    <w:rsid w:val="008028A3"/>
    <w:rsid w:val="008029F9"/>
    <w:rsid w:val="00802BFC"/>
    <w:rsid w:val="008032BC"/>
    <w:rsid w:val="008037B8"/>
    <w:rsid w:val="008038A8"/>
    <w:rsid w:val="00803BE4"/>
    <w:rsid w:val="0080414B"/>
    <w:rsid w:val="008041F1"/>
    <w:rsid w:val="0080467B"/>
    <w:rsid w:val="00804A56"/>
    <w:rsid w:val="00804DB4"/>
    <w:rsid w:val="00805582"/>
    <w:rsid w:val="00805856"/>
    <w:rsid w:val="008058AB"/>
    <w:rsid w:val="00805A0D"/>
    <w:rsid w:val="00805AE3"/>
    <w:rsid w:val="00805AE8"/>
    <w:rsid w:val="00806824"/>
    <w:rsid w:val="00806E37"/>
    <w:rsid w:val="00806E74"/>
    <w:rsid w:val="00806FB7"/>
    <w:rsid w:val="008074BB"/>
    <w:rsid w:val="0081001F"/>
    <w:rsid w:val="00810141"/>
    <w:rsid w:val="00810444"/>
    <w:rsid w:val="00810471"/>
    <w:rsid w:val="008104D9"/>
    <w:rsid w:val="00810954"/>
    <w:rsid w:val="00810B44"/>
    <w:rsid w:val="00810B6F"/>
    <w:rsid w:val="008111DE"/>
    <w:rsid w:val="008112D8"/>
    <w:rsid w:val="0081158E"/>
    <w:rsid w:val="008115FE"/>
    <w:rsid w:val="008117EE"/>
    <w:rsid w:val="00811C9F"/>
    <w:rsid w:val="00811DB7"/>
    <w:rsid w:val="00811FD5"/>
    <w:rsid w:val="008124E4"/>
    <w:rsid w:val="00812D51"/>
    <w:rsid w:val="00812FD3"/>
    <w:rsid w:val="00812FFE"/>
    <w:rsid w:val="008131D4"/>
    <w:rsid w:val="008131E6"/>
    <w:rsid w:val="00813C7E"/>
    <w:rsid w:val="00813CC5"/>
    <w:rsid w:val="00813E88"/>
    <w:rsid w:val="00813F74"/>
    <w:rsid w:val="008140BD"/>
    <w:rsid w:val="008141C0"/>
    <w:rsid w:val="008141D8"/>
    <w:rsid w:val="008146C1"/>
    <w:rsid w:val="00814742"/>
    <w:rsid w:val="00814743"/>
    <w:rsid w:val="00814DFB"/>
    <w:rsid w:val="00815377"/>
    <w:rsid w:val="0081543C"/>
    <w:rsid w:val="008154F0"/>
    <w:rsid w:val="00815825"/>
    <w:rsid w:val="0081591C"/>
    <w:rsid w:val="008159E7"/>
    <w:rsid w:val="00815A08"/>
    <w:rsid w:val="00815B7A"/>
    <w:rsid w:val="00815C23"/>
    <w:rsid w:val="00815F5C"/>
    <w:rsid w:val="008164D9"/>
    <w:rsid w:val="00816ADD"/>
    <w:rsid w:val="00816B08"/>
    <w:rsid w:val="00816E93"/>
    <w:rsid w:val="00816E9A"/>
    <w:rsid w:val="008172D1"/>
    <w:rsid w:val="0081742A"/>
    <w:rsid w:val="00817638"/>
    <w:rsid w:val="00817C2C"/>
    <w:rsid w:val="00817F55"/>
    <w:rsid w:val="008202A7"/>
    <w:rsid w:val="0082053F"/>
    <w:rsid w:val="00821104"/>
    <w:rsid w:val="0082116C"/>
    <w:rsid w:val="00821247"/>
    <w:rsid w:val="00821287"/>
    <w:rsid w:val="0082128F"/>
    <w:rsid w:val="0082148D"/>
    <w:rsid w:val="00821AF6"/>
    <w:rsid w:val="00821C30"/>
    <w:rsid w:val="00821E12"/>
    <w:rsid w:val="00821E44"/>
    <w:rsid w:val="008221B2"/>
    <w:rsid w:val="008222FB"/>
    <w:rsid w:val="0082232D"/>
    <w:rsid w:val="00822507"/>
    <w:rsid w:val="0082256F"/>
    <w:rsid w:val="0082267C"/>
    <w:rsid w:val="00822A4F"/>
    <w:rsid w:val="00822C0D"/>
    <w:rsid w:val="00822CE0"/>
    <w:rsid w:val="00822E8A"/>
    <w:rsid w:val="0082352A"/>
    <w:rsid w:val="00823C48"/>
    <w:rsid w:val="00823E91"/>
    <w:rsid w:val="00824111"/>
    <w:rsid w:val="0082430C"/>
    <w:rsid w:val="00824729"/>
    <w:rsid w:val="00824AD5"/>
    <w:rsid w:val="00824BC9"/>
    <w:rsid w:val="00825610"/>
    <w:rsid w:val="0082570C"/>
    <w:rsid w:val="00825D5F"/>
    <w:rsid w:val="00825F5E"/>
    <w:rsid w:val="00826344"/>
    <w:rsid w:val="0082659C"/>
    <w:rsid w:val="008265AF"/>
    <w:rsid w:val="0082721D"/>
    <w:rsid w:val="008273BF"/>
    <w:rsid w:val="008275C3"/>
    <w:rsid w:val="00827682"/>
    <w:rsid w:val="008278AB"/>
    <w:rsid w:val="00827F16"/>
    <w:rsid w:val="00827F41"/>
    <w:rsid w:val="00830589"/>
    <w:rsid w:val="0083075E"/>
    <w:rsid w:val="00830C9D"/>
    <w:rsid w:val="0083126B"/>
    <w:rsid w:val="008319CD"/>
    <w:rsid w:val="00831F39"/>
    <w:rsid w:val="008321DB"/>
    <w:rsid w:val="008322BD"/>
    <w:rsid w:val="008326F0"/>
    <w:rsid w:val="008329FE"/>
    <w:rsid w:val="00832C4D"/>
    <w:rsid w:val="00832EBF"/>
    <w:rsid w:val="00832FB7"/>
    <w:rsid w:val="00833737"/>
    <w:rsid w:val="00833A1F"/>
    <w:rsid w:val="00833AA1"/>
    <w:rsid w:val="00833BE9"/>
    <w:rsid w:val="00833C58"/>
    <w:rsid w:val="00834028"/>
    <w:rsid w:val="00834239"/>
    <w:rsid w:val="008342D4"/>
    <w:rsid w:val="00834326"/>
    <w:rsid w:val="00834536"/>
    <w:rsid w:val="00834824"/>
    <w:rsid w:val="0083498D"/>
    <w:rsid w:val="008349AD"/>
    <w:rsid w:val="00834CED"/>
    <w:rsid w:val="00834D15"/>
    <w:rsid w:val="008356A9"/>
    <w:rsid w:val="008358A4"/>
    <w:rsid w:val="00835AA5"/>
    <w:rsid w:val="008360B6"/>
    <w:rsid w:val="008368DF"/>
    <w:rsid w:val="008371DE"/>
    <w:rsid w:val="00837211"/>
    <w:rsid w:val="00837620"/>
    <w:rsid w:val="0083771F"/>
    <w:rsid w:val="00837814"/>
    <w:rsid w:val="00837B01"/>
    <w:rsid w:val="00837B52"/>
    <w:rsid w:val="00837DA2"/>
    <w:rsid w:val="00837DB5"/>
    <w:rsid w:val="0084024D"/>
    <w:rsid w:val="0084025A"/>
    <w:rsid w:val="00840407"/>
    <w:rsid w:val="0084044E"/>
    <w:rsid w:val="00840CE6"/>
    <w:rsid w:val="00841104"/>
    <w:rsid w:val="008413C3"/>
    <w:rsid w:val="00841515"/>
    <w:rsid w:val="00841697"/>
    <w:rsid w:val="00841AB1"/>
    <w:rsid w:val="00841E59"/>
    <w:rsid w:val="00842107"/>
    <w:rsid w:val="00842149"/>
    <w:rsid w:val="00842549"/>
    <w:rsid w:val="008429EA"/>
    <w:rsid w:val="00842AB4"/>
    <w:rsid w:val="00842CE7"/>
    <w:rsid w:val="008434A0"/>
    <w:rsid w:val="00843664"/>
    <w:rsid w:val="0084382B"/>
    <w:rsid w:val="0084430F"/>
    <w:rsid w:val="008444AA"/>
    <w:rsid w:val="00844669"/>
    <w:rsid w:val="00844682"/>
    <w:rsid w:val="00844D73"/>
    <w:rsid w:val="00844E17"/>
    <w:rsid w:val="00844EDA"/>
    <w:rsid w:val="00845324"/>
    <w:rsid w:val="008453C9"/>
    <w:rsid w:val="008455EC"/>
    <w:rsid w:val="008455FD"/>
    <w:rsid w:val="0084592F"/>
    <w:rsid w:val="00845C22"/>
    <w:rsid w:val="00845DCA"/>
    <w:rsid w:val="00845DCB"/>
    <w:rsid w:val="00845DF6"/>
    <w:rsid w:val="00845E1D"/>
    <w:rsid w:val="008462B8"/>
    <w:rsid w:val="008463B8"/>
    <w:rsid w:val="00846894"/>
    <w:rsid w:val="0084691C"/>
    <w:rsid w:val="00846D29"/>
    <w:rsid w:val="00846DA9"/>
    <w:rsid w:val="0084722A"/>
    <w:rsid w:val="0084752B"/>
    <w:rsid w:val="008476D8"/>
    <w:rsid w:val="0084785B"/>
    <w:rsid w:val="00847CAC"/>
    <w:rsid w:val="00847E15"/>
    <w:rsid w:val="00850497"/>
    <w:rsid w:val="0085076D"/>
    <w:rsid w:val="00850E4C"/>
    <w:rsid w:val="008511DD"/>
    <w:rsid w:val="00851496"/>
    <w:rsid w:val="00851B0F"/>
    <w:rsid w:val="00851B56"/>
    <w:rsid w:val="0085203F"/>
    <w:rsid w:val="00852516"/>
    <w:rsid w:val="008526A2"/>
    <w:rsid w:val="00852772"/>
    <w:rsid w:val="00852A83"/>
    <w:rsid w:val="00852AED"/>
    <w:rsid w:val="00852B1D"/>
    <w:rsid w:val="008532B6"/>
    <w:rsid w:val="00853577"/>
    <w:rsid w:val="008536A0"/>
    <w:rsid w:val="008536E3"/>
    <w:rsid w:val="0085376E"/>
    <w:rsid w:val="00853E3C"/>
    <w:rsid w:val="00853F28"/>
    <w:rsid w:val="00853FA1"/>
    <w:rsid w:val="00854BF5"/>
    <w:rsid w:val="00854EE6"/>
    <w:rsid w:val="008551B1"/>
    <w:rsid w:val="008556AF"/>
    <w:rsid w:val="00855790"/>
    <w:rsid w:val="00855921"/>
    <w:rsid w:val="00855949"/>
    <w:rsid w:val="0085606A"/>
    <w:rsid w:val="00856708"/>
    <w:rsid w:val="00856BA0"/>
    <w:rsid w:val="00857128"/>
    <w:rsid w:val="008572F9"/>
    <w:rsid w:val="00857817"/>
    <w:rsid w:val="00857D3A"/>
    <w:rsid w:val="0086015A"/>
    <w:rsid w:val="00860343"/>
    <w:rsid w:val="008604FB"/>
    <w:rsid w:val="008605D2"/>
    <w:rsid w:val="00860712"/>
    <w:rsid w:val="0086086C"/>
    <w:rsid w:val="00860F01"/>
    <w:rsid w:val="008610C6"/>
    <w:rsid w:val="00861484"/>
    <w:rsid w:val="00861842"/>
    <w:rsid w:val="00861CAE"/>
    <w:rsid w:val="0086211C"/>
    <w:rsid w:val="0086241B"/>
    <w:rsid w:val="00862682"/>
    <w:rsid w:val="008626D1"/>
    <w:rsid w:val="00862862"/>
    <w:rsid w:val="00863006"/>
    <w:rsid w:val="0086348C"/>
    <w:rsid w:val="00863B96"/>
    <w:rsid w:val="00863BAE"/>
    <w:rsid w:val="00863E79"/>
    <w:rsid w:val="00864294"/>
    <w:rsid w:val="00864B85"/>
    <w:rsid w:val="00864C20"/>
    <w:rsid w:val="00864E05"/>
    <w:rsid w:val="008650F3"/>
    <w:rsid w:val="0086511C"/>
    <w:rsid w:val="008651F3"/>
    <w:rsid w:val="0086560B"/>
    <w:rsid w:val="0086596E"/>
    <w:rsid w:val="00865BF6"/>
    <w:rsid w:val="0086656C"/>
    <w:rsid w:val="008666CA"/>
    <w:rsid w:val="0086718C"/>
    <w:rsid w:val="00867215"/>
    <w:rsid w:val="00867220"/>
    <w:rsid w:val="0086762E"/>
    <w:rsid w:val="00867819"/>
    <w:rsid w:val="00867975"/>
    <w:rsid w:val="00867976"/>
    <w:rsid w:val="008702AB"/>
    <w:rsid w:val="008702B5"/>
    <w:rsid w:val="008702D4"/>
    <w:rsid w:val="008702F7"/>
    <w:rsid w:val="00870387"/>
    <w:rsid w:val="00870790"/>
    <w:rsid w:val="008709C5"/>
    <w:rsid w:val="00870D52"/>
    <w:rsid w:val="00870E26"/>
    <w:rsid w:val="00870F79"/>
    <w:rsid w:val="00871092"/>
    <w:rsid w:val="0087124E"/>
    <w:rsid w:val="00871B03"/>
    <w:rsid w:val="00871CFD"/>
    <w:rsid w:val="00871F19"/>
    <w:rsid w:val="00871F92"/>
    <w:rsid w:val="00872627"/>
    <w:rsid w:val="00872658"/>
    <w:rsid w:val="008726B8"/>
    <w:rsid w:val="008726E8"/>
    <w:rsid w:val="0087286D"/>
    <w:rsid w:val="00872BF3"/>
    <w:rsid w:val="008730C4"/>
    <w:rsid w:val="00873555"/>
    <w:rsid w:val="008735E7"/>
    <w:rsid w:val="008738CD"/>
    <w:rsid w:val="00873AF4"/>
    <w:rsid w:val="00873D98"/>
    <w:rsid w:val="00873FB9"/>
    <w:rsid w:val="008743D8"/>
    <w:rsid w:val="0087477F"/>
    <w:rsid w:val="00874A78"/>
    <w:rsid w:val="00874BAE"/>
    <w:rsid w:val="00874CF6"/>
    <w:rsid w:val="00874D78"/>
    <w:rsid w:val="00874ECD"/>
    <w:rsid w:val="00874EFB"/>
    <w:rsid w:val="00875784"/>
    <w:rsid w:val="0087580C"/>
    <w:rsid w:val="00875916"/>
    <w:rsid w:val="00875A82"/>
    <w:rsid w:val="00875E6F"/>
    <w:rsid w:val="0087623F"/>
    <w:rsid w:val="00876492"/>
    <w:rsid w:val="0087652C"/>
    <w:rsid w:val="008768D9"/>
    <w:rsid w:val="0087691B"/>
    <w:rsid w:val="00876AD3"/>
    <w:rsid w:val="00876B25"/>
    <w:rsid w:val="008770C6"/>
    <w:rsid w:val="00877738"/>
    <w:rsid w:val="008777E5"/>
    <w:rsid w:val="00877E73"/>
    <w:rsid w:val="008800DD"/>
    <w:rsid w:val="008800E3"/>
    <w:rsid w:val="00880995"/>
    <w:rsid w:val="008809E4"/>
    <w:rsid w:val="00880B62"/>
    <w:rsid w:val="00880CEE"/>
    <w:rsid w:val="00880D29"/>
    <w:rsid w:val="00880E36"/>
    <w:rsid w:val="00880E3E"/>
    <w:rsid w:val="00881026"/>
    <w:rsid w:val="00881101"/>
    <w:rsid w:val="00881158"/>
    <w:rsid w:val="008811BD"/>
    <w:rsid w:val="00881363"/>
    <w:rsid w:val="008813AC"/>
    <w:rsid w:val="00881532"/>
    <w:rsid w:val="008815C5"/>
    <w:rsid w:val="008818BE"/>
    <w:rsid w:val="00881B1C"/>
    <w:rsid w:val="00881D93"/>
    <w:rsid w:val="00882519"/>
    <w:rsid w:val="00882735"/>
    <w:rsid w:val="0088280D"/>
    <w:rsid w:val="00882913"/>
    <w:rsid w:val="0088295D"/>
    <w:rsid w:val="00882BDA"/>
    <w:rsid w:val="00882C6F"/>
    <w:rsid w:val="00883047"/>
    <w:rsid w:val="00883150"/>
    <w:rsid w:val="00883242"/>
    <w:rsid w:val="008833B4"/>
    <w:rsid w:val="00883482"/>
    <w:rsid w:val="00883749"/>
    <w:rsid w:val="008837DC"/>
    <w:rsid w:val="008839AA"/>
    <w:rsid w:val="00884021"/>
    <w:rsid w:val="00884038"/>
    <w:rsid w:val="0088415D"/>
    <w:rsid w:val="00884741"/>
    <w:rsid w:val="008847E6"/>
    <w:rsid w:val="00884865"/>
    <w:rsid w:val="00884EDF"/>
    <w:rsid w:val="00884EEF"/>
    <w:rsid w:val="00884F80"/>
    <w:rsid w:val="00884FF8"/>
    <w:rsid w:val="008854DD"/>
    <w:rsid w:val="00885607"/>
    <w:rsid w:val="00885655"/>
    <w:rsid w:val="00885932"/>
    <w:rsid w:val="0088595B"/>
    <w:rsid w:val="00885A1C"/>
    <w:rsid w:val="00885A9E"/>
    <w:rsid w:val="00885D0D"/>
    <w:rsid w:val="008863B2"/>
    <w:rsid w:val="0088696C"/>
    <w:rsid w:val="008869BB"/>
    <w:rsid w:val="00886A9A"/>
    <w:rsid w:val="00886B36"/>
    <w:rsid w:val="008870CD"/>
    <w:rsid w:val="008873B6"/>
    <w:rsid w:val="0088740D"/>
    <w:rsid w:val="00887741"/>
    <w:rsid w:val="008878D4"/>
    <w:rsid w:val="00887D8E"/>
    <w:rsid w:val="008900F1"/>
    <w:rsid w:val="008905FD"/>
    <w:rsid w:val="0089081D"/>
    <w:rsid w:val="0089116E"/>
    <w:rsid w:val="008911C0"/>
    <w:rsid w:val="0089127A"/>
    <w:rsid w:val="00891609"/>
    <w:rsid w:val="008918E7"/>
    <w:rsid w:val="00891FDD"/>
    <w:rsid w:val="00892249"/>
    <w:rsid w:val="008924DA"/>
    <w:rsid w:val="008928E5"/>
    <w:rsid w:val="008929B5"/>
    <w:rsid w:val="008929F1"/>
    <w:rsid w:val="00892B47"/>
    <w:rsid w:val="0089301F"/>
    <w:rsid w:val="0089357D"/>
    <w:rsid w:val="008937E6"/>
    <w:rsid w:val="00893BE2"/>
    <w:rsid w:val="00893D23"/>
    <w:rsid w:val="00893D2D"/>
    <w:rsid w:val="00893D5A"/>
    <w:rsid w:val="00894234"/>
    <w:rsid w:val="00894415"/>
    <w:rsid w:val="008945EB"/>
    <w:rsid w:val="0089463B"/>
    <w:rsid w:val="00894749"/>
    <w:rsid w:val="00894FC4"/>
    <w:rsid w:val="008951E9"/>
    <w:rsid w:val="00895BF6"/>
    <w:rsid w:val="00895E0D"/>
    <w:rsid w:val="00896078"/>
    <w:rsid w:val="0089627C"/>
    <w:rsid w:val="00896477"/>
    <w:rsid w:val="008968B2"/>
    <w:rsid w:val="00896AB4"/>
    <w:rsid w:val="00896FF3"/>
    <w:rsid w:val="008970CF"/>
    <w:rsid w:val="0089728E"/>
    <w:rsid w:val="00897468"/>
    <w:rsid w:val="0089746D"/>
    <w:rsid w:val="00897649"/>
    <w:rsid w:val="008976FC"/>
    <w:rsid w:val="00897846"/>
    <w:rsid w:val="00897924"/>
    <w:rsid w:val="008979B8"/>
    <w:rsid w:val="00897E74"/>
    <w:rsid w:val="00897F40"/>
    <w:rsid w:val="00897FB4"/>
    <w:rsid w:val="008A008C"/>
    <w:rsid w:val="008A07CD"/>
    <w:rsid w:val="008A092A"/>
    <w:rsid w:val="008A0B01"/>
    <w:rsid w:val="008A0BCB"/>
    <w:rsid w:val="008A0DD8"/>
    <w:rsid w:val="008A1700"/>
    <w:rsid w:val="008A184B"/>
    <w:rsid w:val="008A1B4D"/>
    <w:rsid w:val="008A1D7A"/>
    <w:rsid w:val="008A2009"/>
    <w:rsid w:val="008A282C"/>
    <w:rsid w:val="008A29B0"/>
    <w:rsid w:val="008A2EA9"/>
    <w:rsid w:val="008A3514"/>
    <w:rsid w:val="008A3769"/>
    <w:rsid w:val="008A3CA1"/>
    <w:rsid w:val="008A41B0"/>
    <w:rsid w:val="008A42BD"/>
    <w:rsid w:val="008A4918"/>
    <w:rsid w:val="008A493B"/>
    <w:rsid w:val="008A4A52"/>
    <w:rsid w:val="008A4ABD"/>
    <w:rsid w:val="008A4DB6"/>
    <w:rsid w:val="008A5378"/>
    <w:rsid w:val="008A55A9"/>
    <w:rsid w:val="008A56EB"/>
    <w:rsid w:val="008A58CF"/>
    <w:rsid w:val="008A5AE2"/>
    <w:rsid w:val="008A5C49"/>
    <w:rsid w:val="008A5D36"/>
    <w:rsid w:val="008A61B3"/>
    <w:rsid w:val="008A69E6"/>
    <w:rsid w:val="008A6A7D"/>
    <w:rsid w:val="008A6ADD"/>
    <w:rsid w:val="008A7137"/>
    <w:rsid w:val="008A73C3"/>
    <w:rsid w:val="008A75E5"/>
    <w:rsid w:val="008A783C"/>
    <w:rsid w:val="008A7CDE"/>
    <w:rsid w:val="008A7E2F"/>
    <w:rsid w:val="008B0065"/>
    <w:rsid w:val="008B09BA"/>
    <w:rsid w:val="008B0D30"/>
    <w:rsid w:val="008B1346"/>
    <w:rsid w:val="008B140C"/>
    <w:rsid w:val="008B1855"/>
    <w:rsid w:val="008B18E4"/>
    <w:rsid w:val="008B1A9C"/>
    <w:rsid w:val="008B1DFC"/>
    <w:rsid w:val="008B226F"/>
    <w:rsid w:val="008B2395"/>
    <w:rsid w:val="008B23A4"/>
    <w:rsid w:val="008B2689"/>
    <w:rsid w:val="008B2A22"/>
    <w:rsid w:val="008B2D3F"/>
    <w:rsid w:val="008B2D79"/>
    <w:rsid w:val="008B3292"/>
    <w:rsid w:val="008B36EB"/>
    <w:rsid w:val="008B37A2"/>
    <w:rsid w:val="008B3C71"/>
    <w:rsid w:val="008B4033"/>
    <w:rsid w:val="008B4099"/>
    <w:rsid w:val="008B4232"/>
    <w:rsid w:val="008B4A36"/>
    <w:rsid w:val="008B4AB7"/>
    <w:rsid w:val="008B4D47"/>
    <w:rsid w:val="008B509C"/>
    <w:rsid w:val="008B50A4"/>
    <w:rsid w:val="008B5609"/>
    <w:rsid w:val="008B591E"/>
    <w:rsid w:val="008B5A95"/>
    <w:rsid w:val="008B5BB8"/>
    <w:rsid w:val="008B6006"/>
    <w:rsid w:val="008B6217"/>
    <w:rsid w:val="008B6603"/>
    <w:rsid w:val="008B685A"/>
    <w:rsid w:val="008B6992"/>
    <w:rsid w:val="008B6B2B"/>
    <w:rsid w:val="008B71A2"/>
    <w:rsid w:val="008B74EB"/>
    <w:rsid w:val="008B75AD"/>
    <w:rsid w:val="008B7895"/>
    <w:rsid w:val="008B7B97"/>
    <w:rsid w:val="008B7C17"/>
    <w:rsid w:val="008B7C8B"/>
    <w:rsid w:val="008B7EF2"/>
    <w:rsid w:val="008B7F33"/>
    <w:rsid w:val="008C003C"/>
    <w:rsid w:val="008C0443"/>
    <w:rsid w:val="008C0497"/>
    <w:rsid w:val="008C067B"/>
    <w:rsid w:val="008C07DE"/>
    <w:rsid w:val="008C0811"/>
    <w:rsid w:val="008C0868"/>
    <w:rsid w:val="008C09E9"/>
    <w:rsid w:val="008C0B74"/>
    <w:rsid w:val="008C0B94"/>
    <w:rsid w:val="008C1271"/>
    <w:rsid w:val="008C13E9"/>
    <w:rsid w:val="008C18AD"/>
    <w:rsid w:val="008C196C"/>
    <w:rsid w:val="008C1CFC"/>
    <w:rsid w:val="008C25C5"/>
    <w:rsid w:val="008C2B34"/>
    <w:rsid w:val="008C333B"/>
    <w:rsid w:val="008C34B3"/>
    <w:rsid w:val="008C36F5"/>
    <w:rsid w:val="008C3E0D"/>
    <w:rsid w:val="008C434E"/>
    <w:rsid w:val="008C4634"/>
    <w:rsid w:val="008C4793"/>
    <w:rsid w:val="008C4880"/>
    <w:rsid w:val="008C4B5C"/>
    <w:rsid w:val="008C51CF"/>
    <w:rsid w:val="008C5569"/>
    <w:rsid w:val="008C5C2D"/>
    <w:rsid w:val="008C5DFB"/>
    <w:rsid w:val="008C6373"/>
    <w:rsid w:val="008C6751"/>
    <w:rsid w:val="008C67D2"/>
    <w:rsid w:val="008C68F1"/>
    <w:rsid w:val="008C6D15"/>
    <w:rsid w:val="008C75B8"/>
    <w:rsid w:val="008C77CE"/>
    <w:rsid w:val="008C7869"/>
    <w:rsid w:val="008C7DDB"/>
    <w:rsid w:val="008C7DF7"/>
    <w:rsid w:val="008C7E6B"/>
    <w:rsid w:val="008C7FF7"/>
    <w:rsid w:val="008D0446"/>
    <w:rsid w:val="008D0510"/>
    <w:rsid w:val="008D07D9"/>
    <w:rsid w:val="008D07F3"/>
    <w:rsid w:val="008D0DBD"/>
    <w:rsid w:val="008D0E14"/>
    <w:rsid w:val="008D10D4"/>
    <w:rsid w:val="008D171E"/>
    <w:rsid w:val="008D1D10"/>
    <w:rsid w:val="008D2070"/>
    <w:rsid w:val="008D23AD"/>
    <w:rsid w:val="008D2459"/>
    <w:rsid w:val="008D2576"/>
    <w:rsid w:val="008D26DA"/>
    <w:rsid w:val="008D2744"/>
    <w:rsid w:val="008D2841"/>
    <w:rsid w:val="008D2946"/>
    <w:rsid w:val="008D2B2E"/>
    <w:rsid w:val="008D2FA9"/>
    <w:rsid w:val="008D2FAE"/>
    <w:rsid w:val="008D3161"/>
    <w:rsid w:val="008D3291"/>
    <w:rsid w:val="008D35A0"/>
    <w:rsid w:val="008D3606"/>
    <w:rsid w:val="008D3710"/>
    <w:rsid w:val="008D392A"/>
    <w:rsid w:val="008D3A62"/>
    <w:rsid w:val="008D4801"/>
    <w:rsid w:val="008D4E07"/>
    <w:rsid w:val="008D4F1F"/>
    <w:rsid w:val="008D4FAB"/>
    <w:rsid w:val="008D52CE"/>
    <w:rsid w:val="008D559C"/>
    <w:rsid w:val="008D5ACD"/>
    <w:rsid w:val="008D5AD2"/>
    <w:rsid w:val="008D60E8"/>
    <w:rsid w:val="008D682F"/>
    <w:rsid w:val="008D69A0"/>
    <w:rsid w:val="008D7244"/>
    <w:rsid w:val="008D7AE0"/>
    <w:rsid w:val="008D7C57"/>
    <w:rsid w:val="008D7D11"/>
    <w:rsid w:val="008D7F96"/>
    <w:rsid w:val="008E0258"/>
    <w:rsid w:val="008E028F"/>
    <w:rsid w:val="008E0834"/>
    <w:rsid w:val="008E0AE3"/>
    <w:rsid w:val="008E0B6E"/>
    <w:rsid w:val="008E0FF0"/>
    <w:rsid w:val="008E10BE"/>
    <w:rsid w:val="008E1589"/>
    <w:rsid w:val="008E15B9"/>
    <w:rsid w:val="008E1D2A"/>
    <w:rsid w:val="008E247D"/>
    <w:rsid w:val="008E2B38"/>
    <w:rsid w:val="008E2E18"/>
    <w:rsid w:val="008E3438"/>
    <w:rsid w:val="008E36AB"/>
    <w:rsid w:val="008E390B"/>
    <w:rsid w:val="008E3A64"/>
    <w:rsid w:val="008E3BFC"/>
    <w:rsid w:val="008E3C5C"/>
    <w:rsid w:val="008E3DEC"/>
    <w:rsid w:val="008E443A"/>
    <w:rsid w:val="008E4510"/>
    <w:rsid w:val="008E4758"/>
    <w:rsid w:val="008E4834"/>
    <w:rsid w:val="008E4CDF"/>
    <w:rsid w:val="008E4E81"/>
    <w:rsid w:val="008E51DA"/>
    <w:rsid w:val="008E5252"/>
    <w:rsid w:val="008E5547"/>
    <w:rsid w:val="008E59CB"/>
    <w:rsid w:val="008E5A37"/>
    <w:rsid w:val="008E5AA8"/>
    <w:rsid w:val="008E6001"/>
    <w:rsid w:val="008E600C"/>
    <w:rsid w:val="008E6503"/>
    <w:rsid w:val="008E6A51"/>
    <w:rsid w:val="008E725C"/>
    <w:rsid w:val="008E74F6"/>
    <w:rsid w:val="008E77F2"/>
    <w:rsid w:val="008E79DF"/>
    <w:rsid w:val="008E7A85"/>
    <w:rsid w:val="008E7BA5"/>
    <w:rsid w:val="008E7F23"/>
    <w:rsid w:val="008F006C"/>
    <w:rsid w:val="008F0944"/>
    <w:rsid w:val="008F0ACE"/>
    <w:rsid w:val="008F0BF5"/>
    <w:rsid w:val="008F10D5"/>
    <w:rsid w:val="008F1180"/>
    <w:rsid w:val="008F13B6"/>
    <w:rsid w:val="008F16F4"/>
    <w:rsid w:val="008F1A7F"/>
    <w:rsid w:val="008F1BAF"/>
    <w:rsid w:val="008F209C"/>
    <w:rsid w:val="008F20A2"/>
    <w:rsid w:val="008F22BE"/>
    <w:rsid w:val="008F295A"/>
    <w:rsid w:val="008F311A"/>
    <w:rsid w:val="008F31B6"/>
    <w:rsid w:val="008F3201"/>
    <w:rsid w:val="008F3B98"/>
    <w:rsid w:val="008F3C49"/>
    <w:rsid w:val="008F3DC9"/>
    <w:rsid w:val="008F3E5A"/>
    <w:rsid w:val="008F4119"/>
    <w:rsid w:val="008F422D"/>
    <w:rsid w:val="008F4473"/>
    <w:rsid w:val="008F480E"/>
    <w:rsid w:val="008F5306"/>
    <w:rsid w:val="008F56A2"/>
    <w:rsid w:val="008F56F9"/>
    <w:rsid w:val="008F5898"/>
    <w:rsid w:val="008F58DE"/>
    <w:rsid w:val="008F5BC2"/>
    <w:rsid w:val="008F6672"/>
    <w:rsid w:val="008F68FF"/>
    <w:rsid w:val="008F69A5"/>
    <w:rsid w:val="008F71AA"/>
    <w:rsid w:val="008F73B9"/>
    <w:rsid w:val="008F7E97"/>
    <w:rsid w:val="008F7F74"/>
    <w:rsid w:val="009001A8"/>
    <w:rsid w:val="009002E6"/>
    <w:rsid w:val="00900571"/>
    <w:rsid w:val="00900844"/>
    <w:rsid w:val="00900982"/>
    <w:rsid w:val="00901025"/>
    <w:rsid w:val="0090148C"/>
    <w:rsid w:val="0090151E"/>
    <w:rsid w:val="009016EE"/>
    <w:rsid w:val="009017FD"/>
    <w:rsid w:val="0090180B"/>
    <w:rsid w:val="00901814"/>
    <w:rsid w:val="009018AD"/>
    <w:rsid w:val="00901C33"/>
    <w:rsid w:val="00901C95"/>
    <w:rsid w:val="00901D7D"/>
    <w:rsid w:val="00902070"/>
    <w:rsid w:val="00902081"/>
    <w:rsid w:val="0090219D"/>
    <w:rsid w:val="00902220"/>
    <w:rsid w:val="00902294"/>
    <w:rsid w:val="009022B4"/>
    <w:rsid w:val="00902366"/>
    <w:rsid w:val="0090239C"/>
    <w:rsid w:val="00902636"/>
    <w:rsid w:val="00902772"/>
    <w:rsid w:val="0090282D"/>
    <w:rsid w:val="009028BC"/>
    <w:rsid w:val="00902FD6"/>
    <w:rsid w:val="009036AB"/>
    <w:rsid w:val="00903A34"/>
    <w:rsid w:val="0090403A"/>
    <w:rsid w:val="00904381"/>
    <w:rsid w:val="009044E9"/>
    <w:rsid w:val="00904A0E"/>
    <w:rsid w:val="00904E46"/>
    <w:rsid w:val="009051B4"/>
    <w:rsid w:val="0090535F"/>
    <w:rsid w:val="009060DA"/>
    <w:rsid w:val="009062A2"/>
    <w:rsid w:val="009063EA"/>
    <w:rsid w:val="009064D3"/>
    <w:rsid w:val="009065D6"/>
    <w:rsid w:val="00906C4F"/>
    <w:rsid w:val="00906E4D"/>
    <w:rsid w:val="00906E5B"/>
    <w:rsid w:val="009072EA"/>
    <w:rsid w:val="0090769B"/>
    <w:rsid w:val="00907A81"/>
    <w:rsid w:val="00907ECF"/>
    <w:rsid w:val="009101CE"/>
    <w:rsid w:val="009106E4"/>
    <w:rsid w:val="00910914"/>
    <w:rsid w:val="009110C6"/>
    <w:rsid w:val="009112F5"/>
    <w:rsid w:val="00911B3E"/>
    <w:rsid w:val="00911BAC"/>
    <w:rsid w:val="00911BCB"/>
    <w:rsid w:val="00911E57"/>
    <w:rsid w:val="00911E69"/>
    <w:rsid w:val="00911EBD"/>
    <w:rsid w:val="00912711"/>
    <w:rsid w:val="00912841"/>
    <w:rsid w:val="009128D7"/>
    <w:rsid w:val="00912947"/>
    <w:rsid w:val="00912A14"/>
    <w:rsid w:val="00912B4E"/>
    <w:rsid w:val="00912D5F"/>
    <w:rsid w:val="00912D61"/>
    <w:rsid w:val="00912DB1"/>
    <w:rsid w:val="00912DED"/>
    <w:rsid w:val="00912F84"/>
    <w:rsid w:val="00912FA6"/>
    <w:rsid w:val="00913117"/>
    <w:rsid w:val="009133A8"/>
    <w:rsid w:val="009139FF"/>
    <w:rsid w:val="00913A6F"/>
    <w:rsid w:val="00913ACB"/>
    <w:rsid w:val="00913C2C"/>
    <w:rsid w:val="00913F48"/>
    <w:rsid w:val="009142BD"/>
    <w:rsid w:val="00914406"/>
    <w:rsid w:val="009144AB"/>
    <w:rsid w:val="00914528"/>
    <w:rsid w:val="00914CA3"/>
    <w:rsid w:val="00914D24"/>
    <w:rsid w:val="0091576E"/>
    <w:rsid w:val="00915C31"/>
    <w:rsid w:val="00915EF9"/>
    <w:rsid w:val="00916052"/>
    <w:rsid w:val="009160A7"/>
    <w:rsid w:val="00916183"/>
    <w:rsid w:val="00916235"/>
    <w:rsid w:val="0091644D"/>
    <w:rsid w:val="009164EC"/>
    <w:rsid w:val="009164F4"/>
    <w:rsid w:val="009165EF"/>
    <w:rsid w:val="00916741"/>
    <w:rsid w:val="00916A0F"/>
    <w:rsid w:val="00916DDF"/>
    <w:rsid w:val="00916F7A"/>
    <w:rsid w:val="00916FF1"/>
    <w:rsid w:val="00917381"/>
    <w:rsid w:val="00917CD0"/>
    <w:rsid w:val="00917ED8"/>
    <w:rsid w:val="00920835"/>
    <w:rsid w:val="0092092D"/>
    <w:rsid w:val="009209D2"/>
    <w:rsid w:val="00920D98"/>
    <w:rsid w:val="00920E2E"/>
    <w:rsid w:val="00920EBF"/>
    <w:rsid w:val="0092128C"/>
    <w:rsid w:val="00921456"/>
    <w:rsid w:val="0092160D"/>
    <w:rsid w:val="009217EA"/>
    <w:rsid w:val="00921803"/>
    <w:rsid w:val="009218B1"/>
    <w:rsid w:val="0092199E"/>
    <w:rsid w:val="009219D1"/>
    <w:rsid w:val="009219F8"/>
    <w:rsid w:val="00921CCC"/>
    <w:rsid w:val="00922101"/>
    <w:rsid w:val="009224C8"/>
    <w:rsid w:val="009230D5"/>
    <w:rsid w:val="0092346D"/>
    <w:rsid w:val="00923613"/>
    <w:rsid w:val="009239AB"/>
    <w:rsid w:val="00923BEE"/>
    <w:rsid w:val="009244A1"/>
    <w:rsid w:val="009246E3"/>
    <w:rsid w:val="0092490F"/>
    <w:rsid w:val="00924A9F"/>
    <w:rsid w:val="00924C88"/>
    <w:rsid w:val="00924D80"/>
    <w:rsid w:val="00924FF8"/>
    <w:rsid w:val="00925342"/>
    <w:rsid w:val="009253D1"/>
    <w:rsid w:val="00925790"/>
    <w:rsid w:val="00925C8E"/>
    <w:rsid w:val="00925EC1"/>
    <w:rsid w:val="00925F1B"/>
    <w:rsid w:val="00926022"/>
    <w:rsid w:val="009260BF"/>
    <w:rsid w:val="00926503"/>
    <w:rsid w:val="0092684A"/>
    <w:rsid w:val="009269A7"/>
    <w:rsid w:val="009274AC"/>
    <w:rsid w:val="00927691"/>
    <w:rsid w:val="0092799C"/>
    <w:rsid w:val="00930124"/>
    <w:rsid w:val="0093039F"/>
    <w:rsid w:val="00930423"/>
    <w:rsid w:val="0093066D"/>
    <w:rsid w:val="00930884"/>
    <w:rsid w:val="00930A96"/>
    <w:rsid w:val="00930E99"/>
    <w:rsid w:val="009310F7"/>
    <w:rsid w:val="0093117F"/>
    <w:rsid w:val="0093131D"/>
    <w:rsid w:val="00931331"/>
    <w:rsid w:val="00931342"/>
    <w:rsid w:val="009314AD"/>
    <w:rsid w:val="009315C9"/>
    <w:rsid w:val="00931930"/>
    <w:rsid w:val="00931A52"/>
    <w:rsid w:val="00931ADE"/>
    <w:rsid w:val="00931FFF"/>
    <w:rsid w:val="009327E0"/>
    <w:rsid w:val="00932ADE"/>
    <w:rsid w:val="00932CDC"/>
    <w:rsid w:val="00932D1B"/>
    <w:rsid w:val="009330BA"/>
    <w:rsid w:val="0093345C"/>
    <w:rsid w:val="009339CF"/>
    <w:rsid w:val="0093408E"/>
    <w:rsid w:val="0093419A"/>
    <w:rsid w:val="00934BCD"/>
    <w:rsid w:val="00934D17"/>
    <w:rsid w:val="00934DF8"/>
    <w:rsid w:val="00934F57"/>
    <w:rsid w:val="00934FC8"/>
    <w:rsid w:val="00935236"/>
    <w:rsid w:val="00935265"/>
    <w:rsid w:val="009355E6"/>
    <w:rsid w:val="009358EC"/>
    <w:rsid w:val="0093592C"/>
    <w:rsid w:val="00935B9E"/>
    <w:rsid w:val="00935F5F"/>
    <w:rsid w:val="00935FDF"/>
    <w:rsid w:val="00936439"/>
    <w:rsid w:val="00936483"/>
    <w:rsid w:val="009364A7"/>
    <w:rsid w:val="009367E3"/>
    <w:rsid w:val="00936A73"/>
    <w:rsid w:val="00936C3C"/>
    <w:rsid w:val="00936F25"/>
    <w:rsid w:val="0093717F"/>
    <w:rsid w:val="00937272"/>
    <w:rsid w:val="009374EA"/>
    <w:rsid w:val="00937523"/>
    <w:rsid w:val="0093767C"/>
    <w:rsid w:val="009377F0"/>
    <w:rsid w:val="00937E7B"/>
    <w:rsid w:val="00937FA9"/>
    <w:rsid w:val="009400AC"/>
    <w:rsid w:val="009400E6"/>
    <w:rsid w:val="009401E2"/>
    <w:rsid w:val="00940D71"/>
    <w:rsid w:val="00941008"/>
    <w:rsid w:val="009411EC"/>
    <w:rsid w:val="00941366"/>
    <w:rsid w:val="00941CDA"/>
    <w:rsid w:val="00941D1F"/>
    <w:rsid w:val="00941E46"/>
    <w:rsid w:val="00942192"/>
    <w:rsid w:val="009427DE"/>
    <w:rsid w:val="00942942"/>
    <w:rsid w:val="00942A76"/>
    <w:rsid w:val="00942D65"/>
    <w:rsid w:val="00942D8B"/>
    <w:rsid w:val="00942DA4"/>
    <w:rsid w:val="0094325B"/>
    <w:rsid w:val="0094346B"/>
    <w:rsid w:val="00943603"/>
    <w:rsid w:val="0094368A"/>
    <w:rsid w:val="00943B5F"/>
    <w:rsid w:val="00944B1D"/>
    <w:rsid w:val="00944B46"/>
    <w:rsid w:val="00944E83"/>
    <w:rsid w:val="00944FD6"/>
    <w:rsid w:val="009451E2"/>
    <w:rsid w:val="00945840"/>
    <w:rsid w:val="009459A9"/>
    <w:rsid w:val="00945C47"/>
    <w:rsid w:val="00945D86"/>
    <w:rsid w:val="00945E08"/>
    <w:rsid w:val="00945E6C"/>
    <w:rsid w:val="009460C7"/>
    <w:rsid w:val="009463D5"/>
    <w:rsid w:val="00946434"/>
    <w:rsid w:val="00946A29"/>
    <w:rsid w:val="00946AD2"/>
    <w:rsid w:val="00946C2D"/>
    <w:rsid w:val="00946D00"/>
    <w:rsid w:val="00946ED5"/>
    <w:rsid w:val="00946FE0"/>
    <w:rsid w:val="00947040"/>
    <w:rsid w:val="00947692"/>
    <w:rsid w:val="009478AC"/>
    <w:rsid w:val="00950121"/>
    <w:rsid w:val="00950496"/>
    <w:rsid w:val="00950711"/>
    <w:rsid w:val="00950963"/>
    <w:rsid w:val="009509F0"/>
    <w:rsid w:val="00950ED0"/>
    <w:rsid w:val="00950ED9"/>
    <w:rsid w:val="00950F3D"/>
    <w:rsid w:val="009511C3"/>
    <w:rsid w:val="009519DD"/>
    <w:rsid w:val="00951B8C"/>
    <w:rsid w:val="00951D1A"/>
    <w:rsid w:val="00951F03"/>
    <w:rsid w:val="00952346"/>
    <w:rsid w:val="009523A4"/>
    <w:rsid w:val="009526BF"/>
    <w:rsid w:val="009528D4"/>
    <w:rsid w:val="00952C35"/>
    <w:rsid w:val="00952E3B"/>
    <w:rsid w:val="009532E5"/>
    <w:rsid w:val="00953415"/>
    <w:rsid w:val="009534CB"/>
    <w:rsid w:val="009535EE"/>
    <w:rsid w:val="00953A1E"/>
    <w:rsid w:val="00954167"/>
    <w:rsid w:val="00954F71"/>
    <w:rsid w:val="0095506F"/>
    <w:rsid w:val="009550D6"/>
    <w:rsid w:val="009557AA"/>
    <w:rsid w:val="00955839"/>
    <w:rsid w:val="00955CAF"/>
    <w:rsid w:val="0095607E"/>
    <w:rsid w:val="009563B6"/>
    <w:rsid w:val="00956420"/>
    <w:rsid w:val="0095676E"/>
    <w:rsid w:val="00956892"/>
    <w:rsid w:val="009569FB"/>
    <w:rsid w:val="00956EB1"/>
    <w:rsid w:val="0095714E"/>
    <w:rsid w:val="00957285"/>
    <w:rsid w:val="0095751D"/>
    <w:rsid w:val="0095753F"/>
    <w:rsid w:val="0095755C"/>
    <w:rsid w:val="00957B0B"/>
    <w:rsid w:val="00957D12"/>
    <w:rsid w:val="00957D7A"/>
    <w:rsid w:val="00957D90"/>
    <w:rsid w:val="0096015A"/>
    <w:rsid w:val="00960346"/>
    <w:rsid w:val="009603E3"/>
    <w:rsid w:val="009607E9"/>
    <w:rsid w:val="0096086E"/>
    <w:rsid w:val="00960985"/>
    <w:rsid w:val="00960FDF"/>
    <w:rsid w:val="009613CF"/>
    <w:rsid w:val="0096158F"/>
    <w:rsid w:val="009615F9"/>
    <w:rsid w:val="0096169C"/>
    <w:rsid w:val="009616E1"/>
    <w:rsid w:val="009616ED"/>
    <w:rsid w:val="009618EB"/>
    <w:rsid w:val="00961C4C"/>
    <w:rsid w:val="00961F38"/>
    <w:rsid w:val="00962476"/>
    <w:rsid w:val="009625FB"/>
    <w:rsid w:val="00962BF6"/>
    <w:rsid w:val="00963347"/>
    <w:rsid w:val="0096345F"/>
    <w:rsid w:val="009636F6"/>
    <w:rsid w:val="009637BB"/>
    <w:rsid w:val="00963971"/>
    <w:rsid w:val="00963D00"/>
    <w:rsid w:val="00963FF9"/>
    <w:rsid w:val="00964028"/>
    <w:rsid w:val="0096425E"/>
    <w:rsid w:val="00964270"/>
    <w:rsid w:val="0096428B"/>
    <w:rsid w:val="009642A2"/>
    <w:rsid w:val="00964471"/>
    <w:rsid w:val="00964CCC"/>
    <w:rsid w:val="00964CDD"/>
    <w:rsid w:val="009652B7"/>
    <w:rsid w:val="009656EC"/>
    <w:rsid w:val="00965B9A"/>
    <w:rsid w:val="00965BDA"/>
    <w:rsid w:val="00966043"/>
    <w:rsid w:val="009664A6"/>
    <w:rsid w:val="00966C5C"/>
    <w:rsid w:val="00966CB8"/>
    <w:rsid w:val="00966DFA"/>
    <w:rsid w:val="009672D6"/>
    <w:rsid w:val="0096742A"/>
    <w:rsid w:val="0096747B"/>
    <w:rsid w:val="0096759D"/>
    <w:rsid w:val="00967C3C"/>
    <w:rsid w:val="00967E44"/>
    <w:rsid w:val="009702F6"/>
    <w:rsid w:val="009704E8"/>
    <w:rsid w:val="0097057D"/>
    <w:rsid w:val="00970651"/>
    <w:rsid w:val="00970840"/>
    <w:rsid w:val="00970B3E"/>
    <w:rsid w:val="00970DE5"/>
    <w:rsid w:val="009718BE"/>
    <w:rsid w:val="00971A59"/>
    <w:rsid w:val="00971BCD"/>
    <w:rsid w:val="00971BDA"/>
    <w:rsid w:val="00971FAE"/>
    <w:rsid w:val="00971FBE"/>
    <w:rsid w:val="009724A8"/>
    <w:rsid w:val="009726D8"/>
    <w:rsid w:val="00972896"/>
    <w:rsid w:val="00972C10"/>
    <w:rsid w:val="00973772"/>
    <w:rsid w:val="00974199"/>
    <w:rsid w:val="009749C8"/>
    <w:rsid w:val="00974BF8"/>
    <w:rsid w:val="00974F88"/>
    <w:rsid w:val="009750E0"/>
    <w:rsid w:val="00975126"/>
    <w:rsid w:val="009752C0"/>
    <w:rsid w:val="0097536F"/>
    <w:rsid w:val="0097542D"/>
    <w:rsid w:val="0097564D"/>
    <w:rsid w:val="00975925"/>
    <w:rsid w:val="00975EFA"/>
    <w:rsid w:val="009760FA"/>
    <w:rsid w:val="00976240"/>
    <w:rsid w:val="00976B86"/>
    <w:rsid w:val="00976BB8"/>
    <w:rsid w:val="00976E54"/>
    <w:rsid w:val="009770AE"/>
    <w:rsid w:val="00977193"/>
    <w:rsid w:val="00977360"/>
    <w:rsid w:val="0097750F"/>
    <w:rsid w:val="00977637"/>
    <w:rsid w:val="00977640"/>
    <w:rsid w:val="0097782A"/>
    <w:rsid w:val="00977852"/>
    <w:rsid w:val="009779F1"/>
    <w:rsid w:val="00977AC8"/>
    <w:rsid w:val="00977BAD"/>
    <w:rsid w:val="0098001B"/>
    <w:rsid w:val="009800B8"/>
    <w:rsid w:val="00980176"/>
    <w:rsid w:val="0098048D"/>
    <w:rsid w:val="009804EB"/>
    <w:rsid w:val="00980613"/>
    <w:rsid w:val="0098067F"/>
    <w:rsid w:val="00980832"/>
    <w:rsid w:val="009809AF"/>
    <w:rsid w:val="00980CBD"/>
    <w:rsid w:val="0098153D"/>
    <w:rsid w:val="00981900"/>
    <w:rsid w:val="00981B3A"/>
    <w:rsid w:val="0098252C"/>
    <w:rsid w:val="009826D6"/>
    <w:rsid w:val="00982A1E"/>
    <w:rsid w:val="00982E92"/>
    <w:rsid w:val="00982F2F"/>
    <w:rsid w:val="00983884"/>
    <w:rsid w:val="00983F17"/>
    <w:rsid w:val="00983F8A"/>
    <w:rsid w:val="009840C3"/>
    <w:rsid w:val="009846AB"/>
    <w:rsid w:val="00984A28"/>
    <w:rsid w:val="00984C5A"/>
    <w:rsid w:val="00985086"/>
    <w:rsid w:val="00985314"/>
    <w:rsid w:val="0098532C"/>
    <w:rsid w:val="009855C9"/>
    <w:rsid w:val="0098579A"/>
    <w:rsid w:val="00985926"/>
    <w:rsid w:val="00985E4B"/>
    <w:rsid w:val="00985FAD"/>
    <w:rsid w:val="009864F9"/>
    <w:rsid w:val="0098660E"/>
    <w:rsid w:val="00986684"/>
    <w:rsid w:val="00986879"/>
    <w:rsid w:val="00986ABB"/>
    <w:rsid w:val="00986C4E"/>
    <w:rsid w:val="00986D43"/>
    <w:rsid w:val="00986EA2"/>
    <w:rsid w:val="00987018"/>
    <w:rsid w:val="009872B7"/>
    <w:rsid w:val="0098735D"/>
    <w:rsid w:val="0098763E"/>
    <w:rsid w:val="00987985"/>
    <w:rsid w:val="00987D5C"/>
    <w:rsid w:val="00987F48"/>
    <w:rsid w:val="00987FD4"/>
    <w:rsid w:val="0099013C"/>
    <w:rsid w:val="00990835"/>
    <w:rsid w:val="0099088D"/>
    <w:rsid w:val="009914F1"/>
    <w:rsid w:val="00991639"/>
    <w:rsid w:val="009917F4"/>
    <w:rsid w:val="00991AE0"/>
    <w:rsid w:val="00991B02"/>
    <w:rsid w:val="00991DBD"/>
    <w:rsid w:val="00991FE0"/>
    <w:rsid w:val="0099205C"/>
    <w:rsid w:val="0099217A"/>
    <w:rsid w:val="009924E2"/>
    <w:rsid w:val="00992723"/>
    <w:rsid w:val="0099279B"/>
    <w:rsid w:val="00992BCE"/>
    <w:rsid w:val="00993104"/>
    <w:rsid w:val="00993A9D"/>
    <w:rsid w:val="00993AB6"/>
    <w:rsid w:val="00993CDC"/>
    <w:rsid w:val="00993E33"/>
    <w:rsid w:val="00993FF6"/>
    <w:rsid w:val="009940F5"/>
    <w:rsid w:val="009951E9"/>
    <w:rsid w:val="00995578"/>
    <w:rsid w:val="00995C01"/>
    <w:rsid w:val="00995EF4"/>
    <w:rsid w:val="009961D9"/>
    <w:rsid w:val="009965FA"/>
    <w:rsid w:val="00996794"/>
    <w:rsid w:val="00996AB3"/>
    <w:rsid w:val="00996FBF"/>
    <w:rsid w:val="0099724F"/>
    <w:rsid w:val="009973AC"/>
    <w:rsid w:val="009974CC"/>
    <w:rsid w:val="00997598"/>
    <w:rsid w:val="009979BB"/>
    <w:rsid w:val="00997BB8"/>
    <w:rsid w:val="009A027C"/>
    <w:rsid w:val="009A0609"/>
    <w:rsid w:val="009A088E"/>
    <w:rsid w:val="009A0F5F"/>
    <w:rsid w:val="009A103B"/>
    <w:rsid w:val="009A1165"/>
    <w:rsid w:val="009A1381"/>
    <w:rsid w:val="009A13DB"/>
    <w:rsid w:val="009A1433"/>
    <w:rsid w:val="009A146A"/>
    <w:rsid w:val="009A14C7"/>
    <w:rsid w:val="009A16A5"/>
    <w:rsid w:val="009A16B0"/>
    <w:rsid w:val="009A1995"/>
    <w:rsid w:val="009A1BA0"/>
    <w:rsid w:val="009A1CD8"/>
    <w:rsid w:val="009A1FEA"/>
    <w:rsid w:val="009A237D"/>
    <w:rsid w:val="009A255E"/>
    <w:rsid w:val="009A267C"/>
    <w:rsid w:val="009A29FB"/>
    <w:rsid w:val="009A2D8E"/>
    <w:rsid w:val="009A2F4B"/>
    <w:rsid w:val="009A3104"/>
    <w:rsid w:val="009A3237"/>
    <w:rsid w:val="009A34DF"/>
    <w:rsid w:val="009A3BB0"/>
    <w:rsid w:val="009A3F18"/>
    <w:rsid w:val="009A41EB"/>
    <w:rsid w:val="009A45C3"/>
    <w:rsid w:val="009A4A96"/>
    <w:rsid w:val="009A4D25"/>
    <w:rsid w:val="009A5072"/>
    <w:rsid w:val="009A52C1"/>
    <w:rsid w:val="009A53E3"/>
    <w:rsid w:val="009A5FC7"/>
    <w:rsid w:val="009A60AC"/>
    <w:rsid w:val="009A60B3"/>
    <w:rsid w:val="009A60E2"/>
    <w:rsid w:val="009A6830"/>
    <w:rsid w:val="009A6996"/>
    <w:rsid w:val="009A6A9B"/>
    <w:rsid w:val="009A6B42"/>
    <w:rsid w:val="009A7186"/>
    <w:rsid w:val="009A7412"/>
    <w:rsid w:val="009A759C"/>
    <w:rsid w:val="009A7707"/>
    <w:rsid w:val="009A7BC9"/>
    <w:rsid w:val="009A7C9F"/>
    <w:rsid w:val="009A7E02"/>
    <w:rsid w:val="009B0059"/>
    <w:rsid w:val="009B0AD7"/>
    <w:rsid w:val="009B0D6E"/>
    <w:rsid w:val="009B2253"/>
    <w:rsid w:val="009B2372"/>
    <w:rsid w:val="009B27A2"/>
    <w:rsid w:val="009B2A0C"/>
    <w:rsid w:val="009B2B1D"/>
    <w:rsid w:val="009B2B4E"/>
    <w:rsid w:val="009B2BE6"/>
    <w:rsid w:val="009B2D50"/>
    <w:rsid w:val="009B3018"/>
    <w:rsid w:val="009B359E"/>
    <w:rsid w:val="009B401C"/>
    <w:rsid w:val="009B4270"/>
    <w:rsid w:val="009B44A3"/>
    <w:rsid w:val="009B4601"/>
    <w:rsid w:val="009B4610"/>
    <w:rsid w:val="009B4854"/>
    <w:rsid w:val="009B48DE"/>
    <w:rsid w:val="009B55B1"/>
    <w:rsid w:val="009B56FE"/>
    <w:rsid w:val="009B574F"/>
    <w:rsid w:val="009B5BD4"/>
    <w:rsid w:val="009B6938"/>
    <w:rsid w:val="009B6A5E"/>
    <w:rsid w:val="009B6C1F"/>
    <w:rsid w:val="009B7161"/>
    <w:rsid w:val="009B789E"/>
    <w:rsid w:val="009C0118"/>
    <w:rsid w:val="009C0515"/>
    <w:rsid w:val="009C08E4"/>
    <w:rsid w:val="009C09C3"/>
    <w:rsid w:val="009C0AA3"/>
    <w:rsid w:val="009C0C26"/>
    <w:rsid w:val="009C0EDC"/>
    <w:rsid w:val="009C0FF9"/>
    <w:rsid w:val="009C12D0"/>
    <w:rsid w:val="009C1504"/>
    <w:rsid w:val="009C16AB"/>
    <w:rsid w:val="009C1834"/>
    <w:rsid w:val="009C192B"/>
    <w:rsid w:val="009C22C6"/>
    <w:rsid w:val="009C235E"/>
    <w:rsid w:val="009C23EE"/>
    <w:rsid w:val="009C2681"/>
    <w:rsid w:val="009C2CAA"/>
    <w:rsid w:val="009C2D1C"/>
    <w:rsid w:val="009C3025"/>
    <w:rsid w:val="009C33B7"/>
    <w:rsid w:val="009C340E"/>
    <w:rsid w:val="009C345B"/>
    <w:rsid w:val="009C34D4"/>
    <w:rsid w:val="009C3692"/>
    <w:rsid w:val="009C3C36"/>
    <w:rsid w:val="009C3C67"/>
    <w:rsid w:val="009C4383"/>
    <w:rsid w:val="009C43CF"/>
    <w:rsid w:val="009C4AA4"/>
    <w:rsid w:val="009C4B2A"/>
    <w:rsid w:val="009C4D4D"/>
    <w:rsid w:val="009C5CD9"/>
    <w:rsid w:val="009C6577"/>
    <w:rsid w:val="009C6695"/>
    <w:rsid w:val="009C73BC"/>
    <w:rsid w:val="009C7454"/>
    <w:rsid w:val="009C7588"/>
    <w:rsid w:val="009C75E0"/>
    <w:rsid w:val="009C7819"/>
    <w:rsid w:val="009C787C"/>
    <w:rsid w:val="009C796E"/>
    <w:rsid w:val="009C7E45"/>
    <w:rsid w:val="009D01C9"/>
    <w:rsid w:val="009D1222"/>
    <w:rsid w:val="009D13C4"/>
    <w:rsid w:val="009D17A5"/>
    <w:rsid w:val="009D1A4D"/>
    <w:rsid w:val="009D1ABE"/>
    <w:rsid w:val="009D2140"/>
    <w:rsid w:val="009D2476"/>
    <w:rsid w:val="009D25B6"/>
    <w:rsid w:val="009D28A8"/>
    <w:rsid w:val="009D32A3"/>
    <w:rsid w:val="009D352A"/>
    <w:rsid w:val="009D35C3"/>
    <w:rsid w:val="009D373D"/>
    <w:rsid w:val="009D3833"/>
    <w:rsid w:val="009D38D4"/>
    <w:rsid w:val="009D38EF"/>
    <w:rsid w:val="009D3936"/>
    <w:rsid w:val="009D3B5B"/>
    <w:rsid w:val="009D3BDB"/>
    <w:rsid w:val="009D3C17"/>
    <w:rsid w:val="009D3D9B"/>
    <w:rsid w:val="009D3DE0"/>
    <w:rsid w:val="009D3F30"/>
    <w:rsid w:val="009D40ED"/>
    <w:rsid w:val="009D4873"/>
    <w:rsid w:val="009D4E41"/>
    <w:rsid w:val="009D4F8A"/>
    <w:rsid w:val="009D5030"/>
    <w:rsid w:val="009D5214"/>
    <w:rsid w:val="009D528C"/>
    <w:rsid w:val="009D5397"/>
    <w:rsid w:val="009D5687"/>
    <w:rsid w:val="009D5C95"/>
    <w:rsid w:val="009D5D75"/>
    <w:rsid w:val="009D5F56"/>
    <w:rsid w:val="009D606C"/>
    <w:rsid w:val="009D61B0"/>
    <w:rsid w:val="009D6384"/>
    <w:rsid w:val="009D64AA"/>
    <w:rsid w:val="009D69FA"/>
    <w:rsid w:val="009D6A09"/>
    <w:rsid w:val="009D6ABA"/>
    <w:rsid w:val="009D6B13"/>
    <w:rsid w:val="009D6D61"/>
    <w:rsid w:val="009D6DE4"/>
    <w:rsid w:val="009D6E5E"/>
    <w:rsid w:val="009D7057"/>
    <w:rsid w:val="009D71B4"/>
    <w:rsid w:val="009D729B"/>
    <w:rsid w:val="009D7308"/>
    <w:rsid w:val="009D741D"/>
    <w:rsid w:val="009D75EF"/>
    <w:rsid w:val="009D773F"/>
    <w:rsid w:val="009D78DF"/>
    <w:rsid w:val="009D7948"/>
    <w:rsid w:val="009D7B76"/>
    <w:rsid w:val="009D7C3F"/>
    <w:rsid w:val="009D7EA7"/>
    <w:rsid w:val="009E0073"/>
    <w:rsid w:val="009E0529"/>
    <w:rsid w:val="009E082B"/>
    <w:rsid w:val="009E0856"/>
    <w:rsid w:val="009E0A85"/>
    <w:rsid w:val="009E0E3A"/>
    <w:rsid w:val="009E102D"/>
    <w:rsid w:val="009E14EB"/>
    <w:rsid w:val="009E154A"/>
    <w:rsid w:val="009E1622"/>
    <w:rsid w:val="009E1BB3"/>
    <w:rsid w:val="009E2115"/>
    <w:rsid w:val="009E270F"/>
    <w:rsid w:val="009E297B"/>
    <w:rsid w:val="009E2AC5"/>
    <w:rsid w:val="009E2CF8"/>
    <w:rsid w:val="009E2DCD"/>
    <w:rsid w:val="009E2FCC"/>
    <w:rsid w:val="009E3097"/>
    <w:rsid w:val="009E32B3"/>
    <w:rsid w:val="009E3867"/>
    <w:rsid w:val="009E3A3E"/>
    <w:rsid w:val="009E41D5"/>
    <w:rsid w:val="009E429B"/>
    <w:rsid w:val="009E42E4"/>
    <w:rsid w:val="009E4307"/>
    <w:rsid w:val="009E43F1"/>
    <w:rsid w:val="009E445E"/>
    <w:rsid w:val="009E4644"/>
    <w:rsid w:val="009E4699"/>
    <w:rsid w:val="009E4A9D"/>
    <w:rsid w:val="009E4D9E"/>
    <w:rsid w:val="009E4E08"/>
    <w:rsid w:val="009E5306"/>
    <w:rsid w:val="009E545E"/>
    <w:rsid w:val="009E5821"/>
    <w:rsid w:val="009E5854"/>
    <w:rsid w:val="009E5956"/>
    <w:rsid w:val="009E5CA5"/>
    <w:rsid w:val="009E647B"/>
    <w:rsid w:val="009E6670"/>
    <w:rsid w:val="009E67B3"/>
    <w:rsid w:val="009E6842"/>
    <w:rsid w:val="009E6A49"/>
    <w:rsid w:val="009E6EF2"/>
    <w:rsid w:val="009E6FB8"/>
    <w:rsid w:val="009E73C9"/>
    <w:rsid w:val="009E7637"/>
    <w:rsid w:val="009E793E"/>
    <w:rsid w:val="009E7A12"/>
    <w:rsid w:val="009F03D3"/>
    <w:rsid w:val="009F056E"/>
    <w:rsid w:val="009F059B"/>
    <w:rsid w:val="009F0670"/>
    <w:rsid w:val="009F06C8"/>
    <w:rsid w:val="009F0B73"/>
    <w:rsid w:val="009F11B4"/>
    <w:rsid w:val="009F1426"/>
    <w:rsid w:val="009F1A38"/>
    <w:rsid w:val="009F1A84"/>
    <w:rsid w:val="009F1D70"/>
    <w:rsid w:val="009F25D5"/>
    <w:rsid w:val="009F2C9D"/>
    <w:rsid w:val="009F2E5F"/>
    <w:rsid w:val="009F3035"/>
    <w:rsid w:val="009F3149"/>
    <w:rsid w:val="009F33E6"/>
    <w:rsid w:val="009F344B"/>
    <w:rsid w:val="009F3AD9"/>
    <w:rsid w:val="009F3CF0"/>
    <w:rsid w:val="009F3FD3"/>
    <w:rsid w:val="009F40D7"/>
    <w:rsid w:val="009F42A1"/>
    <w:rsid w:val="009F42BB"/>
    <w:rsid w:val="009F47C9"/>
    <w:rsid w:val="009F483A"/>
    <w:rsid w:val="009F486C"/>
    <w:rsid w:val="009F4F6D"/>
    <w:rsid w:val="009F51A0"/>
    <w:rsid w:val="009F57D1"/>
    <w:rsid w:val="009F5AD8"/>
    <w:rsid w:val="009F5B85"/>
    <w:rsid w:val="009F5FA2"/>
    <w:rsid w:val="009F615C"/>
    <w:rsid w:val="009F705D"/>
    <w:rsid w:val="009F71AD"/>
    <w:rsid w:val="009F7422"/>
    <w:rsid w:val="009F751D"/>
    <w:rsid w:val="009F7543"/>
    <w:rsid w:val="009F762F"/>
    <w:rsid w:val="009F76DB"/>
    <w:rsid w:val="009F7733"/>
    <w:rsid w:val="009F7763"/>
    <w:rsid w:val="009F77A2"/>
    <w:rsid w:val="009F799D"/>
    <w:rsid w:val="009F79A5"/>
    <w:rsid w:val="009F7B21"/>
    <w:rsid w:val="009F7C9E"/>
    <w:rsid w:val="009F7CEB"/>
    <w:rsid w:val="009F7FB6"/>
    <w:rsid w:val="00A0005F"/>
    <w:rsid w:val="00A0007E"/>
    <w:rsid w:val="00A00227"/>
    <w:rsid w:val="00A0027B"/>
    <w:rsid w:val="00A002AC"/>
    <w:rsid w:val="00A00413"/>
    <w:rsid w:val="00A00469"/>
    <w:rsid w:val="00A008C6"/>
    <w:rsid w:val="00A015D3"/>
    <w:rsid w:val="00A019AB"/>
    <w:rsid w:val="00A020D6"/>
    <w:rsid w:val="00A027AE"/>
    <w:rsid w:val="00A02B53"/>
    <w:rsid w:val="00A0313F"/>
    <w:rsid w:val="00A036D9"/>
    <w:rsid w:val="00A0381D"/>
    <w:rsid w:val="00A03A9E"/>
    <w:rsid w:val="00A03AEE"/>
    <w:rsid w:val="00A03F54"/>
    <w:rsid w:val="00A04110"/>
    <w:rsid w:val="00A041C5"/>
    <w:rsid w:val="00A04584"/>
    <w:rsid w:val="00A048FA"/>
    <w:rsid w:val="00A049E3"/>
    <w:rsid w:val="00A049EF"/>
    <w:rsid w:val="00A04AA8"/>
    <w:rsid w:val="00A04B4C"/>
    <w:rsid w:val="00A050C6"/>
    <w:rsid w:val="00A052C6"/>
    <w:rsid w:val="00A053B8"/>
    <w:rsid w:val="00A05404"/>
    <w:rsid w:val="00A0598E"/>
    <w:rsid w:val="00A05E56"/>
    <w:rsid w:val="00A05F7E"/>
    <w:rsid w:val="00A065F0"/>
    <w:rsid w:val="00A069A8"/>
    <w:rsid w:val="00A06CB4"/>
    <w:rsid w:val="00A06EBD"/>
    <w:rsid w:val="00A101B0"/>
    <w:rsid w:val="00A102A4"/>
    <w:rsid w:val="00A110FC"/>
    <w:rsid w:val="00A114EF"/>
    <w:rsid w:val="00A115D9"/>
    <w:rsid w:val="00A116E0"/>
    <w:rsid w:val="00A118DD"/>
    <w:rsid w:val="00A1195D"/>
    <w:rsid w:val="00A12362"/>
    <w:rsid w:val="00A123AC"/>
    <w:rsid w:val="00A12649"/>
    <w:rsid w:val="00A1298F"/>
    <w:rsid w:val="00A12CB1"/>
    <w:rsid w:val="00A12DAA"/>
    <w:rsid w:val="00A130C0"/>
    <w:rsid w:val="00A131C8"/>
    <w:rsid w:val="00A132FC"/>
    <w:rsid w:val="00A1360A"/>
    <w:rsid w:val="00A13716"/>
    <w:rsid w:val="00A13718"/>
    <w:rsid w:val="00A13C88"/>
    <w:rsid w:val="00A13EA1"/>
    <w:rsid w:val="00A14271"/>
    <w:rsid w:val="00A1429F"/>
    <w:rsid w:val="00A1445D"/>
    <w:rsid w:val="00A14646"/>
    <w:rsid w:val="00A147C0"/>
    <w:rsid w:val="00A149D6"/>
    <w:rsid w:val="00A154D8"/>
    <w:rsid w:val="00A1569A"/>
    <w:rsid w:val="00A15722"/>
    <w:rsid w:val="00A15D40"/>
    <w:rsid w:val="00A1600E"/>
    <w:rsid w:val="00A16372"/>
    <w:rsid w:val="00A163E4"/>
    <w:rsid w:val="00A163F5"/>
    <w:rsid w:val="00A167EF"/>
    <w:rsid w:val="00A167F6"/>
    <w:rsid w:val="00A169C9"/>
    <w:rsid w:val="00A16F28"/>
    <w:rsid w:val="00A172F5"/>
    <w:rsid w:val="00A17568"/>
    <w:rsid w:val="00A17A26"/>
    <w:rsid w:val="00A17F4A"/>
    <w:rsid w:val="00A17FC7"/>
    <w:rsid w:val="00A204FC"/>
    <w:rsid w:val="00A20788"/>
    <w:rsid w:val="00A207E8"/>
    <w:rsid w:val="00A20D3E"/>
    <w:rsid w:val="00A20DAE"/>
    <w:rsid w:val="00A21004"/>
    <w:rsid w:val="00A2140E"/>
    <w:rsid w:val="00A21748"/>
    <w:rsid w:val="00A2176C"/>
    <w:rsid w:val="00A21A28"/>
    <w:rsid w:val="00A21D95"/>
    <w:rsid w:val="00A22358"/>
    <w:rsid w:val="00A223BA"/>
    <w:rsid w:val="00A225B0"/>
    <w:rsid w:val="00A227CD"/>
    <w:rsid w:val="00A2292B"/>
    <w:rsid w:val="00A22A79"/>
    <w:rsid w:val="00A22EEC"/>
    <w:rsid w:val="00A22F17"/>
    <w:rsid w:val="00A23034"/>
    <w:rsid w:val="00A23067"/>
    <w:rsid w:val="00A231BC"/>
    <w:rsid w:val="00A23A6B"/>
    <w:rsid w:val="00A23AF3"/>
    <w:rsid w:val="00A2406F"/>
    <w:rsid w:val="00A2407B"/>
    <w:rsid w:val="00A24457"/>
    <w:rsid w:val="00A24BD6"/>
    <w:rsid w:val="00A24CEF"/>
    <w:rsid w:val="00A24CF1"/>
    <w:rsid w:val="00A24F03"/>
    <w:rsid w:val="00A2504F"/>
    <w:rsid w:val="00A253DB"/>
    <w:rsid w:val="00A25961"/>
    <w:rsid w:val="00A25990"/>
    <w:rsid w:val="00A264AA"/>
    <w:rsid w:val="00A266B6"/>
    <w:rsid w:val="00A26825"/>
    <w:rsid w:val="00A2682D"/>
    <w:rsid w:val="00A26918"/>
    <w:rsid w:val="00A26A12"/>
    <w:rsid w:val="00A26AF6"/>
    <w:rsid w:val="00A26C52"/>
    <w:rsid w:val="00A26DC4"/>
    <w:rsid w:val="00A26EF4"/>
    <w:rsid w:val="00A271F5"/>
    <w:rsid w:val="00A27279"/>
    <w:rsid w:val="00A27427"/>
    <w:rsid w:val="00A2745B"/>
    <w:rsid w:val="00A279E4"/>
    <w:rsid w:val="00A27A88"/>
    <w:rsid w:val="00A27C23"/>
    <w:rsid w:val="00A27C3C"/>
    <w:rsid w:val="00A27DA0"/>
    <w:rsid w:val="00A30093"/>
    <w:rsid w:val="00A301C3"/>
    <w:rsid w:val="00A301D2"/>
    <w:rsid w:val="00A30256"/>
    <w:rsid w:val="00A30B89"/>
    <w:rsid w:val="00A30BEA"/>
    <w:rsid w:val="00A30E52"/>
    <w:rsid w:val="00A30F9E"/>
    <w:rsid w:val="00A314D7"/>
    <w:rsid w:val="00A31825"/>
    <w:rsid w:val="00A321AC"/>
    <w:rsid w:val="00A328BD"/>
    <w:rsid w:val="00A32C3B"/>
    <w:rsid w:val="00A32F14"/>
    <w:rsid w:val="00A32FE5"/>
    <w:rsid w:val="00A33162"/>
    <w:rsid w:val="00A332F4"/>
    <w:rsid w:val="00A334B1"/>
    <w:rsid w:val="00A338B7"/>
    <w:rsid w:val="00A33BD5"/>
    <w:rsid w:val="00A33D5F"/>
    <w:rsid w:val="00A343D0"/>
    <w:rsid w:val="00A343ED"/>
    <w:rsid w:val="00A346AF"/>
    <w:rsid w:val="00A34F5B"/>
    <w:rsid w:val="00A356F6"/>
    <w:rsid w:val="00A35872"/>
    <w:rsid w:val="00A35A04"/>
    <w:rsid w:val="00A35AD8"/>
    <w:rsid w:val="00A35EBE"/>
    <w:rsid w:val="00A3624F"/>
    <w:rsid w:val="00A365B9"/>
    <w:rsid w:val="00A36676"/>
    <w:rsid w:val="00A36E9F"/>
    <w:rsid w:val="00A3731C"/>
    <w:rsid w:val="00A373BD"/>
    <w:rsid w:val="00A3753B"/>
    <w:rsid w:val="00A37912"/>
    <w:rsid w:val="00A37F50"/>
    <w:rsid w:val="00A403DC"/>
    <w:rsid w:val="00A403E9"/>
    <w:rsid w:val="00A40936"/>
    <w:rsid w:val="00A40A2E"/>
    <w:rsid w:val="00A40B42"/>
    <w:rsid w:val="00A40E48"/>
    <w:rsid w:val="00A4145C"/>
    <w:rsid w:val="00A414A2"/>
    <w:rsid w:val="00A4183E"/>
    <w:rsid w:val="00A41A40"/>
    <w:rsid w:val="00A421A2"/>
    <w:rsid w:val="00A4251D"/>
    <w:rsid w:val="00A43703"/>
    <w:rsid w:val="00A438AC"/>
    <w:rsid w:val="00A43912"/>
    <w:rsid w:val="00A439C8"/>
    <w:rsid w:val="00A43B1D"/>
    <w:rsid w:val="00A43C47"/>
    <w:rsid w:val="00A445B0"/>
    <w:rsid w:val="00A44F81"/>
    <w:rsid w:val="00A45055"/>
    <w:rsid w:val="00A45885"/>
    <w:rsid w:val="00A45953"/>
    <w:rsid w:val="00A45C16"/>
    <w:rsid w:val="00A45D6E"/>
    <w:rsid w:val="00A45E70"/>
    <w:rsid w:val="00A45F4F"/>
    <w:rsid w:val="00A46FC3"/>
    <w:rsid w:val="00A47427"/>
    <w:rsid w:val="00A4744A"/>
    <w:rsid w:val="00A47A62"/>
    <w:rsid w:val="00A47A7F"/>
    <w:rsid w:val="00A47B9B"/>
    <w:rsid w:val="00A47E8D"/>
    <w:rsid w:val="00A47F23"/>
    <w:rsid w:val="00A500AB"/>
    <w:rsid w:val="00A5053D"/>
    <w:rsid w:val="00A505FC"/>
    <w:rsid w:val="00A50AAE"/>
    <w:rsid w:val="00A50E84"/>
    <w:rsid w:val="00A51040"/>
    <w:rsid w:val="00A51543"/>
    <w:rsid w:val="00A51734"/>
    <w:rsid w:val="00A5191C"/>
    <w:rsid w:val="00A51A32"/>
    <w:rsid w:val="00A51B4D"/>
    <w:rsid w:val="00A51C71"/>
    <w:rsid w:val="00A52074"/>
    <w:rsid w:val="00A5221D"/>
    <w:rsid w:val="00A522D2"/>
    <w:rsid w:val="00A52511"/>
    <w:rsid w:val="00A5257E"/>
    <w:rsid w:val="00A528D0"/>
    <w:rsid w:val="00A52B0F"/>
    <w:rsid w:val="00A52DA1"/>
    <w:rsid w:val="00A53042"/>
    <w:rsid w:val="00A530E9"/>
    <w:rsid w:val="00A531F9"/>
    <w:rsid w:val="00A53B21"/>
    <w:rsid w:val="00A53D34"/>
    <w:rsid w:val="00A53D7C"/>
    <w:rsid w:val="00A53EDA"/>
    <w:rsid w:val="00A5418C"/>
    <w:rsid w:val="00A543DF"/>
    <w:rsid w:val="00A548F5"/>
    <w:rsid w:val="00A54E3A"/>
    <w:rsid w:val="00A55008"/>
    <w:rsid w:val="00A5518A"/>
    <w:rsid w:val="00A55600"/>
    <w:rsid w:val="00A55871"/>
    <w:rsid w:val="00A55A1C"/>
    <w:rsid w:val="00A55E13"/>
    <w:rsid w:val="00A55F97"/>
    <w:rsid w:val="00A56696"/>
    <w:rsid w:val="00A566F1"/>
    <w:rsid w:val="00A56B32"/>
    <w:rsid w:val="00A56B39"/>
    <w:rsid w:val="00A56B3C"/>
    <w:rsid w:val="00A56B79"/>
    <w:rsid w:val="00A56F33"/>
    <w:rsid w:val="00A57199"/>
    <w:rsid w:val="00A571FD"/>
    <w:rsid w:val="00A57208"/>
    <w:rsid w:val="00A57249"/>
    <w:rsid w:val="00A57420"/>
    <w:rsid w:val="00A574B4"/>
    <w:rsid w:val="00A57572"/>
    <w:rsid w:val="00A5762F"/>
    <w:rsid w:val="00A57896"/>
    <w:rsid w:val="00A5798F"/>
    <w:rsid w:val="00A600A9"/>
    <w:rsid w:val="00A600B5"/>
    <w:rsid w:val="00A600FB"/>
    <w:rsid w:val="00A606E7"/>
    <w:rsid w:val="00A60D7B"/>
    <w:rsid w:val="00A60DBD"/>
    <w:rsid w:val="00A60F4B"/>
    <w:rsid w:val="00A6155A"/>
    <w:rsid w:val="00A61903"/>
    <w:rsid w:val="00A61C28"/>
    <w:rsid w:val="00A62333"/>
    <w:rsid w:val="00A623FD"/>
    <w:rsid w:val="00A62489"/>
    <w:rsid w:val="00A62763"/>
    <w:rsid w:val="00A62A18"/>
    <w:rsid w:val="00A62B03"/>
    <w:rsid w:val="00A634BD"/>
    <w:rsid w:val="00A6356A"/>
    <w:rsid w:val="00A63BB7"/>
    <w:rsid w:val="00A63D2E"/>
    <w:rsid w:val="00A63DBD"/>
    <w:rsid w:val="00A63FB4"/>
    <w:rsid w:val="00A642E0"/>
    <w:rsid w:val="00A646D8"/>
    <w:rsid w:val="00A6471E"/>
    <w:rsid w:val="00A650EF"/>
    <w:rsid w:val="00A655A8"/>
    <w:rsid w:val="00A657B2"/>
    <w:rsid w:val="00A65823"/>
    <w:rsid w:val="00A65E29"/>
    <w:rsid w:val="00A65FE7"/>
    <w:rsid w:val="00A661F1"/>
    <w:rsid w:val="00A66AE4"/>
    <w:rsid w:val="00A67225"/>
    <w:rsid w:val="00A67275"/>
    <w:rsid w:val="00A6735B"/>
    <w:rsid w:val="00A6742F"/>
    <w:rsid w:val="00A67534"/>
    <w:rsid w:val="00A679F4"/>
    <w:rsid w:val="00A67B83"/>
    <w:rsid w:val="00A67F19"/>
    <w:rsid w:val="00A700F6"/>
    <w:rsid w:val="00A702B9"/>
    <w:rsid w:val="00A703F7"/>
    <w:rsid w:val="00A703FB"/>
    <w:rsid w:val="00A7061E"/>
    <w:rsid w:val="00A707A5"/>
    <w:rsid w:val="00A709E1"/>
    <w:rsid w:val="00A70A06"/>
    <w:rsid w:val="00A70D60"/>
    <w:rsid w:val="00A70F83"/>
    <w:rsid w:val="00A71180"/>
    <w:rsid w:val="00A712DF"/>
    <w:rsid w:val="00A715F7"/>
    <w:rsid w:val="00A716C3"/>
    <w:rsid w:val="00A716C4"/>
    <w:rsid w:val="00A7175B"/>
    <w:rsid w:val="00A71DE2"/>
    <w:rsid w:val="00A72053"/>
    <w:rsid w:val="00A7285A"/>
    <w:rsid w:val="00A72D02"/>
    <w:rsid w:val="00A732C5"/>
    <w:rsid w:val="00A738ED"/>
    <w:rsid w:val="00A73C29"/>
    <w:rsid w:val="00A73DC8"/>
    <w:rsid w:val="00A74BB7"/>
    <w:rsid w:val="00A74C6B"/>
    <w:rsid w:val="00A74D01"/>
    <w:rsid w:val="00A74D32"/>
    <w:rsid w:val="00A74D52"/>
    <w:rsid w:val="00A752D2"/>
    <w:rsid w:val="00A757E2"/>
    <w:rsid w:val="00A75955"/>
    <w:rsid w:val="00A7612E"/>
    <w:rsid w:val="00A76419"/>
    <w:rsid w:val="00A76569"/>
    <w:rsid w:val="00A766F0"/>
    <w:rsid w:val="00A766F3"/>
    <w:rsid w:val="00A76867"/>
    <w:rsid w:val="00A76ED8"/>
    <w:rsid w:val="00A76FC7"/>
    <w:rsid w:val="00A770A1"/>
    <w:rsid w:val="00A77217"/>
    <w:rsid w:val="00A773B9"/>
    <w:rsid w:val="00A77481"/>
    <w:rsid w:val="00A80060"/>
    <w:rsid w:val="00A80771"/>
    <w:rsid w:val="00A80BF7"/>
    <w:rsid w:val="00A80EA4"/>
    <w:rsid w:val="00A81003"/>
    <w:rsid w:val="00A813F7"/>
    <w:rsid w:val="00A814BE"/>
    <w:rsid w:val="00A8161C"/>
    <w:rsid w:val="00A81636"/>
    <w:rsid w:val="00A81792"/>
    <w:rsid w:val="00A8187E"/>
    <w:rsid w:val="00A81C2F"/>
    <w:rsid w:val="00A82010"/>
    <w:rsid w:val="00A82026"/>
    <w:rsid w:val="00A82129"/>
    <w:rsid w:val="00A82C61"/>
    <w:rsid w:val="00A834DE"/>
    <w:rsid w:val="00A83CA1"/>
    <w:rsid w:val="00A83EAE"/>
    <w:rsid w:val="00A84411"/>
    <w:rsid w:val="00A8476D"/>
    <w:rsid w:val="00A8485A"/>
    <w:rsid w:val="00A84AF8"/>
    <w:rsid w:val="00A8560F"/>
    <w:rsid w:val="00A85A3B"/>
    <w:rsid w:val="00A85C50"/>
    <w:rsid w:val="00A85E3C"/>
    <w:rsid w:val="00A85ECF"/>
    <w:rsid w:val="00A86231"/>
    <w:rsid w:val="00A86435"/>
    <w:rsid w:val="00A864D7"/>
    <w:rsid w:val="00A8675D"/>
    <w:rsid w:val="00A8699B"/>
    <w:rsid w:val="00A86B9B"/>
    <w:rsid w:val="00A870A5"/>
    <w:rsid w:val="00A870D3"/>
    <w:rsid w:val="00A8711B"/>
    <w:rsid w:val="00A871CC"/>
    <w:rsid w:val="00A873C7"/>
    <w:rsid w:val="00A875FC"/>
    <w:rsid w:val="00A87ECF"/>
    <w:rsid w:val="00A9013C"/>
    <w:rsid w:val="00A902F5"/>
    <w:rsid w:val="00A907A6"/>
    <w:rsid w:val="00A90952"/>
    <w:rsid w:val="00A90BE9"/>
    <w:rsid w:val="00A90BF9"/>
    <w:rsid w:val="00A90DB1"/>
    <w:rsid w:val="00A90DDE"/>
    <w:rsid w:val="00A914ED"/>
    <w:rsid w:val="00A917D0"/>
    <w:rsid w:val="00A91DCD"/>
    <w:rsid w:val="00A92190"/>
    <w:rsid w:val="00A922C1"/>
    <w:rsid w:val="00A92725"/>
    <w:rsid w:val="00A92975"/>
    <w:rsid w:val="00A92989"/>
    <w:rsid w:val="00A92E4C"/>
    <w:rsid w:val="00A93181"/>
    <w:rsid w:val="00A931BD"/>
    <w:rsid w:val="00A935AE"/>
    <w:rsid w:val="00A93761"/>
    <w:rsid w:val="00A937F2"/>
    <w:rsid w:val="00A93A76"/>
    <w:rsid w:val="00A93B6D"/>
    <w:rsid w:val="00A93FE0"/>
    <w:rsid w:val="00A943E0"/>
    <w:rsid w:val="00A94853"/>
    <w:rsid w:val="00A94993"/>
    <w:rsid w:val="00A95178"/>
    <w:rsid w:val="00A953D7"/>
    <w:rsid w:val="00A95429"/>
    <w:rsid w:val="00A9554B"/>
    <w:rsid w:val="00A95550"/>
    <w:rsid w:val="00A95680"/>
    <w:rsid w:val="00A95820"/>
    <w:rsid w:val="00A964B8"/>
    <w:rsid w:val="00A964FE"/>
    <w:rsid w:val="00A96558"/>
    <w:rsid w:val="00A96E1F"/>
    <w:rsid w:val="00A97216"/>
    <w:rsid w:val="00A97A55"/>
    <w:rsid w:val="00A97A79"/>
    <w:rsid w:val="00A97B03"/>
    <w:rsid w:val="00AA0068"/>
    <w:rsid w:val="00AA02E1"/>
    <w:rsid w:val="00AA0674"/>
    <w:rsid w:val="00AA08FB"/>
    <w:rsid w:val="00AA0C3B"/>
    <w:rsid w:val="00AA0FDB"/>
    <w:rsid w:val="00AA1045"/>
    <w:rsid w:val="00AA124B"/>
    <w:rsid w:val="00AA12AD"/>
    <w:rsid w:val="00AA1940"/>
    <w:rsid w:val="00AA1951"/>
    <w:rsid w:val="00AA19DB"/>
    <w:rsid w:val="00AA1DF4"/>
    <w:rsid w:val="00AA2424"/>
    <w:rsid w:val="00AA2467"/>
    <w:rsid w:val="00AA263C"/>
    <w:rsid w:val="00AA27A1"/>
    <w:rsid w:val="00AA29BD"/>
    <w:rsid w:val="00AA2B2D"/>
    <w:rsid w:val="00AA2C40"/>
    <w:rsid w:val="00AA2C6F"/>
    <w:rsid w:val="00AA2D73"/>
    <w:rsid w:val="00AA325E"/>
    <w:rsid w:val="00AA3707"/>
    <w:rsid w:val="00AA3DB4"/>
    <w:rsid w:val="00AA3DBA"/>
    <w:rsid w:val="00AA4593"/>
    <w:rsid w:val="00AA4B6A"/>
    <w:rsid w:val="00AA4DF5"/>
    <w:rsid w:val="00AA4EBB"/>
    <w:rsid w:val="00AA5278"/>
    <w:rsid w:val="00AA55B7"/>
    <w:rsid w:val="00AA5B9E"/>
    <w:rsid w:val="00AA600C"/>
    <w:rsid w:val="00AA601B"/>
    <w:rsid w:val="00AA678F"/>
    <w:rsid w:val="00AA688B"/>
    <w:rsid w:val="00AA6BA8"/>
    <w:rsid w:val="00AA6C1F"/>
    <w:rsid w:val="00AA6DC2"/>
    <w:rsid w:val="00AA7435"/>
    <w:rsid w:val="00AA7821"/>
    <w:rsid w:val="00AA7876"/>
    <w:rsid w:val="00AA7C4C"/>
    <w:rsid w:val="00AA7CEA"/>
    <w:rsid w:val="00AB01FB"/>
    <w:rsid w:val="00AB03DB"/>
    <w:rsid w:val="00AB0622"/>
    <w:rsid w:val="00AB0790"/>
    <w:rsid w:val="00AB0AEB"/>
    <w:rsid w:val="00AB0C7E"/>
    <w:rsid w:val="00AB118E"/>
    <w:rsid w:val="00AB1639"/>
    <w:rsid w:val="00AB18AF"/>
    <w:rsid w:val="00AB2407"/>
    <w:rsid w:val="00AB26BF"/>
    <w:rsid w:val="00AB2C6F"/>
    <w:rsid w:val="00AB2D3B"/>
    <w:rsid w:val="00AB2E51"/>
    <w:rsid w:val="00AB2F20"/>
    <w:rsid w:val="00AB2FDA"/>
    <w:rsid w:val="00AB30B0"/>
    <w:rsid w:val="00AB341B"/>
    <w:rsid w:val="00AB36A5"/>
    <w:rsid w:val="00AB378E"/>
    <w:rsid w:val="00AB3833"/>
    <w:rsid w:val="00AB38DE"/>
    <w:rsid w:val="00AB3959"/>
    <w:rsid w:val="00AB3976"/>
    <w:rsid w:val="00AB3C63"/>
    <w:rsid w:val="00AB3D79"/>
    <w:rsid w:val="00AB3F23"/>
    <w:rsid w:val="00AB42DA"/>
    <w:rsid w:val="00AB4861"/>
    <w:rsid w:val="00AB4F5D"/>
    <w:rsid w:val="00AB5053"/>
    <w:rsid w:val="00AB53DF"/>
    <w:rsid w:val="00AB56AB"/>
    <w:rsid w:val="00AB581D"/>
    <w:rsid w:val="00AB5E72"/>
    <w:rsid w:val="00AB6112"/>
    <w:rsid w:val="00AB63E3"/>
    <w:rsid w:val="00AB667B"/>
    <w:rsid w:val="00AB6979"/>
    <w:rsid w:val="00AB714E"/>
    <w:rsid w:val="00AB7391"/>
    <w:rsid w:val="00AB7624"/>
    <w:rsid w:val="00AB786F"/>
    <w:rsid w:val="00AB790C"/>
    <w:rsid w:val="00AB793A"/>
    <w:rsid w:val="00AC00E3"/>
    <w:rsid w:val="00AC0105"/>
    <w:rsid w:val="00AC03D9"/>
    <w:rsid w:val="00AC0479"/>
    <w:rsid w:val="00AC051C"/>
    <w:rsid w:val="00AC0BF4"/>
    <w:rsid w:val="00AC1C14"/>
    <w:rsid w:val="00AC1FF1"/>
    <w:rsid w:val="00AC25E8"/>
    <w:rsid w:val="00AC2B22"/>
    <w:rsid w:val="00AC2F7E"/>
    <w:rsid w:val="00AC35FF"/>
    <w:rsid w:val="00AC38E4"/>
    <w:rsid w:val="00AC38FC"/>
    <w:rsid w:val="00AC3B99"/>
    <w:rsid w:val="00AC3BEB"/>
    <w:rsid w:val="00AC4C9D"/>
    <w:rsid w:val="00AC4F0F"/>
    <w:rsid w:val="00AC54F1"/>
    <w:rsid w:val="00AC560E"/>
    <w:rsid w:val="00AC58C2"/>
    <w:rsid w:val="00AC596F"/>
    <w:rsid w:val="00AC5C47"/>
    <w:rsid w:val="00AC6194"/>
    <w:rsid w:val="00AC63F0"/>
    <w:rsid w:val="00AC68FB"/>
    <w:rsid w:val="00AC6C66"/>
    <w:rsid w:val="00AC708D"/>
    <w:rsid w:val="00AC70BE"/>
    <w:rsid w:val="00AC73E3"/>
    <w:rsid w:val="00AC78FE"/>
    <w:rsid w:val="00AC799C"/>
    <w:rsid w:val="00AC7A40"/>
    <w:rsid w:val="00AC7D10"/>
    <w:rsid w:val="00AD016C"/>
    <w:rsid w:val="00AD065E"/>
    <w:rsid w:val="00AD0753"/>
    <w:rsid w:val="00AD0A34"/>
    <w:rsid w:val="00AD0A8E"/>
    <w:rsid w:val="00AD11CC"/>
    <w:rsid w:val="00AD159B"/>
    <w:rsid w:val="00AD169E"/>
    <w:rsid w:val="00AD1766"/>
    <w:rsid w:val="00AD1818"/>
    <w:rsid w:val="00AD199F"/>
    <w:rsid w:val="00AD1DB7"/>
    <w:rsid w:val="00AD2250"/>
    <w:rsid w:val="00AD229A"/>
    <w:rsid w:val="00AD24B7"/>
    <w:rsid w:val="00AD2575"/>
    <w:rsid w:val="00AD2ED8"/>
    <w:rsid w:val="00AD2FDE"/>
    <w:rsid w:val="00AD3331"/>
    <w:rsid w:val="00AD347E"/>
    <w:rsid w:val="00AD354C"/>
    <w:rsid w:val="00AD364F"/>
    <w:rsid w:val="00AD3A8F"/>
    <w:rsid w:val="00AD3AA7"/>
    <w:rsid w:val="00AD3AAD"/>
    <w:rsid w:val="00AD3ED9"/>
    <w:rsid w:val="00AD400D"/>
    <w:rsid w:val="00AD434F"/>
    <w:rsid w:val="00AD4450"/>
    <w:rsid w:val="00AD4965"/>
    <w:rsid w:val="00AD5231"/>
    <w:rsid w:val="00AD527A"/>
    <w:rsid w:val="00AD542C"/>
    <w:rsid w:val="00AD548D"/>
    <w:rsid w:val="00AD55D4"/>
    <w:rsid w:val="00AD5765"/>
    <w:rsid w:val="00AD57CA"/>
    <w:rsid w:val="00AD580E"/>
    <w:rsid w:val="00AD5894"/>
    <w:rsid w:val="00AD59D2"/>
    <w:rsid w:val="00AD5DE4"/>
    <w:rsid w:val="00AD5F6C"/>
    <w:rsid w:val="00AD6108"/>
    <w:rsid w:val="00AD6473"/>
    <w:rsid w:val="00AD65C1"/>
    <w:rsid w:val="00AD6677"/>
    <w:rsid w:val="00AD6739"/>
    <w:rsid w:val="00AD6876"/>
    <w:rsid w:val="00AD69BF"/>
    <w:rsid w:val="00AD6A05"/>
    <w:rsid w:val="00AD6E5C"/>
    <w:rsid w:val="00AD6E99"/>
    <w:rsid w:val="00AD6EAE"/>
    <w:rsid w:val="00AD6F01"/>
    <w:rsid w:val="00AD6F1F"/>
    <w:rsid w:val="00AD7018"/>
    <w:rsid w:val="00AD747B"/>
    <w:rsid w:val="00AD7539"/>
    <w:rsid w:val="00AD761A"/>
    <w:rsid w:val="00AD777F"/>
    <w:rsid w:val="00AD7F22"/>
    <w:rsid w:val="00AE0015"/>
    <w:rsid w:val="00AE09B1"/>
    <w:rsid w:val="00AE0A31"/>
    <w:rsid w:val="00AE0FF2"/>
    <w:rsid w:val="00AE105E"/>
    <w:rsid w:val="00AE131D"/>
    <w:rsid w:val="00AE149E"/>
    <w:rsid w:val="00AE165F"/>
    <w:rsid w:val="00AE1CE7"/>
    <w:rsid w:val="00AE29D9"/>
    <w:rsid w:val="00AE2B56"/>
    <w:rsid w:val="00AE320C"/>
    <w:rsid w:val="00AE345C"/>
    <w:rsid w:val="00AE349E"/>
    <w:rsid w:val="00AE390B"/>
    <w:rsid w:val="00AE3990"/>
    <w:rsid w:val="00AE3EEC"/>
    <w:rsid w:val="00AE45CF"/>
    <w:rsid w:val="00AE4998"/>
    <w:rsid w:val="00AE53AF"/>
    <w:rsid w:val="00AE555B"/>
    <w:rsid w:val="00AE5685"/>
    <w:rsid w:val="00AE572F"/>
    <w:rsid w:val="00AE5793"/>
    <w:rsid w:val="00AE58A8"/>
    <w:rsid w:val="00AE59CE"/>
    <w:rsid w:val="00AE5E6E"/>
    <w:rsid w:val="00AE5EF5"/>
    <w:rsid w:val="00AE638C"/>
    <w:rsid w:val="00AE6788"/>
    <w:rsid w:val="00AE6A5E"/>
    <w:rsid w:val="00AE6F32"/>
    <w:rsid w:val="00AE703D"/>
    <w:rsid w:val="00AE7611"/>
    <w:rsid w:val="00AE7702"/>
    <w:rsid w:val="00AE7738"/>
    <w:rsid w:val="00AE7875"/>
    <w:rsid w:val="00AE794E"/>
    <w:rsid w:val="00AE7992"/>
    <w:rsid w:val="00AE7D83"/>
    <w:rsid w:val="00AE7F1C"/>
    <w:rsid w:val="00AE7FEF"/>
    <w:rsid w:val="00AF057A"/>
    <w:rsid w:val="00AF076C"/>
    <w:rsid w:val="00AF07FA"/>
    <w:rsid w:val="00AF081A"/>
    <w:rsid w:val="00AF0A75"/>
    <w:rsid w:val="00AF2242"/>
    <w:rsid w:val="00AF246F"/>
    <w:rsid w:val="00AF26B5"/>
    <w:rsid w:val="00AF27BA"/>
    <w:rsid w:val="00AF295C"/>
    <w:rsid w:val="00AF2C56"/>
    <w:rsid w:val="00AF2DC7"/>
    <w:rsid w:val="00AF3217"/>
    <w:rsid w:val="00AF34ED"/>
    <w:rsid w:val="00AF3B85"/>
    <w:rsid w:val="00AF4074"/>
    <w:rsid w:val="00AF424C"/>
    <w:rsid w:val="00AF4330"/>
    <w:rsid w:val="00AF4461"/>
    <w:rsid w:val="00AF4493"/>
    <w:rsid w:val="00AF468F"/>
    <w:rsid w:val="00AF4792"/>
    <w:rsid w:val="00AF48BB"/>
    <w:rsid w:val="00AF4A09"/>
    <w:rsid w:val="00AF4A69"/>
    <w:rsid w:val="00AF4AD6"/>
    <w:rsid w:val="00AF4AEE"/>
    <w:rsid w:val="00AF4C4B"/>
    <w:rsid w:val="00AF4F1A"/>
    <w:rsid w:val="00AF5399"/>
    <w:rsid w:val="00AF58E0"/>
    <w:rsid w:val="00AF5B60"/>
    <w:rsid w:val="00AF5E35"/>
    <w:rsid w:val="00AF5F13"/>
    <w:rsid w:val="00AF65B0"/>
    <w:rsid w:val="00AF6848"/>
    <w:rsid w:val="00AF68F0"/>
    <w:rsid w:val="00AF6F7D"/>
    <w:rsid w:val="00AF71B3"/>
    <w:rsid w:val="00AF732D"/>
    <w:rsid w:val="00AF73E5"/>
    <w:rsid w:val="00AF7A1C"/>
    <w:rsid w:val="00AF7ACE"/>
    <w:rsid w:val="00B002FE"/>
    <w:rsid w:val="00B00339"/>
    <w:rsid w:val="00B00346"/>
    <w:rsid w:val="00B00408"/>
    <w:rsid w:val="00B004A4"/>
    <w:rsid w:val="00B00678"/>
    <w:rsid w:val="00B00A70"/>
    <w:rsid w:val="00B00D2D"/>
    <w:rsid w:val="00B00D85"/>
    <w:rsid w:val="00B0119D"/>
    <w:rsid w:val="00B0198E"/>
    <w:rsid w:val="00B01B16"/>
    <w:rsid w:val="00B01D5D"/>
    <w:rsid w:val="00B01DE3"/>
    <w:rsid w:val="00B01F09"/>
    <w:rsid w:val="00B01FA7"/>
    <w:rsid w:val="00B0211F"/>
    <w:rsid w:val="00B0239E"/>
    <w:rsid w:val="00B024CF"/>
    <w:rsid w:val="00B02715"/>
    <w:rsid w:val="00B0314B"/>
    <w:rsid w:val="00B03446"/>
    <w:rsid w:val="00B0379E"/>
    <w:rsid w:val="00B03A29"/>
    <w:rsid w:val="00B03DB4"/>
    <w:rsid w:val="00B04588"/>
    <w:rsid w:val="00B04851"/>
    <w:rsid w:val="00B04D18"/>
    <w:rsid w:val="00B05149"/>
    <w:rsid w:val="00B0521A"/>
    <w:rsid w:val="00B05407"/>
    <w:rsid w:val="00B05A4E"/>
    <w:rsid w:val="00B05F83"/>
    <w:rsid w:val="00B06418"/>
    <w:rsid w:val="00B06479"/>
    <w:rsid w:val="00B066DB"/>
    <w:rsid w:val="00B067BA"/>
    <w:rsid w:val="00B06A22"/>
    <w:rsid w:val="00B06FD1"/>
    <w:rsid w:val="00B071F0"/>
    <w:rsid w:val="00B07303"/>
    <w:rsid w:val="00B07483"/>
    <w:rsid w:val="00B074A0"/>
    <w:rsid w:val="00B07579"/>
    <w:rsid w:val="00B07A3B"/>
    <w:rsid w:val="00B07A44"/>
    <w:rsid w:val="00B07A92"/>
    <w:rsid w:val="00B07D07"/>
    <w:rsid w:val="00B07E5C"/>
    <w:rsid w:val="00B07E98"/>
    <w:rsid w:val="00B102C6"/>
    <w:rsid w:val="00B103BD"/>
    <w:rsid w:val="00B10445"/>
    <w:rsid w:val="00B1049E"/>
    <w:rsid w:val="00B104C7"/>
    <w:rsid w:val="00B109DD"/>
    <w:rsid w:val="00B10A27"/>
    <w:rsid w:val="00B10D88"/>
    <w:rsid w:val="00B10DFF"/>
    <w:rsid w:val="00B11412"/>
    <w:rsid w:val="00B1148D"/>
    <w:rsid w:val="00B114FC"/>
    <w:rsid w:val="00B1185C"/>
    <w:rsid w:val="00B119E9"/>
    <w:rsid w:val="00B11FDB"/>
    <w:rsid w:val="00B1259E"/>
    <w:rsid w:val="00B127AE"/>
    <w:rsid w:val="00B12CAD"/>
    <w:rsid w:val="00B1348A"/>
    <w:rsid w:val="00B13A07"/>
    <w:rsid w:val="00B13B03"/>
    <w:rsid w:val="00B13BC2"/>
    <w:rsid w:val="00B13FAC"/>
    <w:rsid w:val="00B140C4"/>
    <w:rsid w:val="00B14167"/>
    <w:rsid w:val="00B1417A"/>
    <w:rsid w:val="00B1437A"/>
    <w:rsid w:val="00B1439A"/>
    <w:rsid w:val="00B14449"/>
    <w:rsid w:val="00B14502"/>
    <w:rsid w:val="00B14577"/>
    <w:rsid w:val="00B1472F"/>
    <w:rsid w:val="00B148D2"/>
    <w:rsid w:val="00B14B5D"/>
    <w:rsid w:val="00B15431"/>
    <w:rsid w:val="00B15BBB"/>
    <w:rsid w:val="00B16448"/>
    <w:rsid w:val="00B16C24"/>
    <w:rsid w:val="00B16CBA"/>
    <w:rsid w:val="00B16F74"/>
    <w:rsid w:val="00B170F4"/>
    <w:rsid w:val="00B1710E"/>
    <w:rsid w:val="00B17199"/>
    <w:rsid w:val="00B17760"/>
    <w:rsid w:val="00B1779C"/>
    <w:rsid w:val="00B1789D"/>
    <w:rsid w:val="00B178D7"/>
    <w:rsid w:val="00B17A8C"/>
    <w:rsid w:val="00B205B2"/>
    <w:rsid w:val="00B2065B"/>
    <w:rsid w:val="00B209E0"/>
    <w:rsid w:val="00B20CD4"/>
    <w:rsid w:val="00B212B6"/>
    <w:rsid w:val="00B2196A"/>
    <w:rsid w:val="00B21D71"/>
    <w:rsid w:val="00B21DCA"/>
    <w:rsid w:val="00B21F38"/>
    <w:rsid w:val="00B221D3"/>
    <w:rsid w:val="00B22302"/>
    <w:rsid w:val="00B22707"/>
    <w:rsid w:val="00B2291A"/>
    <w:rsid w:val="00B2313E"/>
    <w:rsid w:val="00B234CE"/>
    <w:rsid w:val="00B23804"/>
    <w:rsid w:val="00B2389A"/>
    <w:rsid w:val="00B23E6D"/>
    <w:rsid w:val="00B24067"/>
    <w:rsid w:val="00B24159"/>
    <w:rsid w:val="00B242C9"/>
    <w:rsid w:val="00B2490F"/>
    <w:rsid w:val="00B24D71"/>
    <w:rsid w:val="00B252CE"/>
    <w:rsid w:val="00B25CC4"/>
    <w:rsid w:val="00B269A2"/>
    <w:rsid w:val="00B26AEE"/>
    <w:rsid w:val="00B26BE5"/>
    <w:rsid w:val="00B26C84"/>
    <w:rsid w:val="00B26D99"/>
    <w:rsid w:val="00B26E6C"/>
    <w:rsid w:val="00B26F35"/>
    <w:rsid w:val="00B26F5B"/>
    <w:rsid w:val="00B27214"/>
    <w:rsid w:val="00B2743E"/>
    <w:rsid w:val="00B275EE"/>
    <w:rsid w:val="00B27AF1"/>
    <w:rsid w:val="00B27B67"/>
    <w:rsid w:val="00B27C88"/>
    <w:rsid w:val="00B27CE2"/>
    <w:rsid w:val="00B303FC"/>
    <w:rsid w:val="00B306FA"/>
    <w:rsid w:val="00B3082E"/>
    <w:rsid w:val="00B30878"/>
    <w:rsid w:val="00B308A1"/>
    <w:rsid w:val="00B30E32"/>
    <w:rsid w:val="00B315D2"/>
    <w:rsid w:val="00B31687"/>
    <w:rsid w:val="00B31731"/>
    <w:rsid w:val="00B31FFB"/>
    <w:rsid w:val="00B3225F"/>
    <w:rsid w:val="00B32676"/>
    <w:rsid w:val="00B32907"/>
    <w:rsid w:val="00B329CC"/>
    <w:rsid w:val="00B32A04"/>
    <w:rsid w:val="00B32A3A"/>
    <w:rsid w:val="00B33129"/>
    <w:rsid w:val="00B33B9C"/>
    <w:rsid w:val="00B33FAF"/>
    <w:rsid w:val="00B342A4"/>
    <w:rsid w:val="00B34315"/>
    <w:rsid w:val="00B34890"/>
    <w:rsid w:val="00B3498D"/>
    <w:rsid w:val="00B34BFF"/>
    <w:rsid w:val="00B34DC3"/>
    <w:rsid w:val="00B34FCA"/>
    <w:rsid w:val="00B35216"/>
    <w:rsid w:val="00B355E2"/>
    <w:rsid w:val="00B35F5C"/>
    <w:rsid w:val="00B364C4"/>
    <w:rsid w:val="00B36507"/>
    <w:rsid w:val="00B3683E"/>
    <w:rsid w:val="00B36C8A"/>
    <w:rsid w:val="00B36EE0"/>
    <w:rsid w:val="00B3717D"/>
    <w:rsid w:val="00B37247"/>
    <w:rsid w:val="00B37379"/>
    <w:rsid w:val="00B37430"/>
    <w:rsid w:val="00B3761F"/>
    <w:rsid w:val="00B37ACB"/>
    <w:rsid w:val="00B37D15"/>
    <w:rsid w:val="00B37F52"/>
    <w:rsid w:val="00B4035A"/>
    <w:rsid w:val="00B40388"/>
    <w:rsid w:val="00B40450"/>
    <w:rsid w:val="00B409C8"/>
    <w:rsid w:val="00B40C02"/>
    <w:rsid w:val="00B40D95"/>
    <w:rsid w:val="00B40DE1"/>
    <w:rsid w:val="00B41932"/>
    <w:rsid w:val="00B41B25"/>
    <w:rsid w:val="00B41CE7"/>
    <w:rsid w:val="00B42111"/>
    <w:rsid w:val="00B42137"/>
    <w:rsid w:val="00B421A5"/>
    <w:rsid w:val="00B42273"/>
    <w:rsid w:val="00B42435"/>
    <w:rsid w:val="00B428D8"/>
    <w:rsid w:val="00B42DE3"/>
    <w:rsid w:val="00B4305A"/>
    <w:rsid w:val="00B4398A"/>
    <w:rsid w:val="00B43A32"/>
    <w:rsid w:val="00B43AB6"/>
    <w:rsid w:val="00B43BA5"/>
    <w:rsid w:val="00B43BCF"/>
    <w:rsid w:val="00B4429D"/>
    <w:rsid w:val="00B444B6"/>
    <w:rsid w:val="00B444E1"/>
    <w:rsid w:val="00B44952"/>
    <w:rsid w:val="00B44F77"/>
    <w:rsid w:val="00B45418"/>
    <w:rsid w:val="00B45A56"/>
    <w:rsid w:val="00B45A86"/>
    <w:rsid w:val="00B45ACC"/>
    <w:rsid w:val="00B45C9D"/>
    <w:rsid w:val="00B4630A"/>
    <w:rsid w:val="00B464D6"/>
    <w:rsid w:val="00B4685A"/>
    <w:rsid w:val="00B46A32"/>
    <w:rsid w:val="00B46E5D"/>
    <w:rsid w:val="00B47043"/>
    <w:rsid w:val="00B4750A"/>
    <w:rsid w:val="00B47594"/>
    <w:rsid w:val="00B4786B"/>
    <w:rsid w:val="00B47982"/>
    <w:rsid w:val="00B479A5"/>
    <w:rsid w:val="00B47EEF"/>
    <w:rsid w:val="00B50095"/>
    <w:rsid w:val="00B5051F"/>
    <w:rsid w:val="00B507D7"/>
    <w:rsid w:val="00B50A7A"/>
    <w:rsid w:val="00B50CAB"/>
    <w:rsid w:val="00B5121C"/>
    <w:rsid w:val="00B51381"/>
    <w:rsid w:val="00B515FB"/>
    <w:rsid w:val="00B51692"/>
    <w:rsid w:val="00B51A4F"/>
    <w:rsid w:val="00B51B00"/>
    <w:rsid w:val="00B51B62"/>
    <w:rsid w:val="00B51C92"/>
    <w:rsid w:val="00B51DC3"/>
    <w:rsid w:val="00B51DFB"/>
    <w:rsid w:val="00B51E04"/>
    <w:rsid w:val="00B5207A"/>
    <w:rsid w:val="00B520EF"/>
    <w:rsid w:val="00B52171"/>
    <w:rsid w:val="00B52688"/>
    <w:rsid w:val="00B52727"/>
    <w:rsid w:val="00B527B9"/>
    <w:rsid w:val="00B5280B"/>
    <w:rsid w:val="00B52BB1"/>
    <w:rsid w:val="00B52CC9"/>
    <w:rsid w:val="00B52FA3"/>
    <w:rsid w:val="00B531B4"/>
    <w:rsid w:val="00B531E0"/>
    <w:rsid w:val="00B531ED"/>
    <w:rsid w:val="00B53738"/>
    <w:rsid w:val="00B53978"/>
    <w:rsid w:val="00B53D98"/>
    <w:rsid w:val="00B54065"/>
    <w:rsid w:val="00B540ED"/>
    <w:rsid w:val="00B544CE"/>
    <w:rsid w:val="00B548F9"/>
    <w:rsid w:val="00B54A7D"/>
    <w:rsid w:val="00B54CFA"/>
    <w:rsid w:val="00B54E8A"/>
    <w:rsid w:val="00B54E8B"/>
    <w:rsid w:val="00B54FEC"/>
    <w:rsid w:val="00B552AC"/>
    <w:rsid w:val="00B5552D"/>
    <w:rsid w:val="00B559C3"/>
    <w:rsid w:val="00B55A9B"/>
    <w:rsid w:val="00B55D5C"/>
    <w:rsid w:val="00B55DA9"/>
    <w:rsid w:val="00B5640D"/>
    <w:rsid w:val="00B56A27"/>
    <w:rsid w:val="00B56B3E"/>
    <w:rsid w:val="00B56C89"/>
    <w:rsid w:val="00B56D6B"/>
    <w:rsid w:val="00B56FEB"/>
    <w:rsid w:val="00B57338"/>
    <w:rsid w:val="00B57472"/>
    <w:rsid w:val="00B5771C"/>
    <w:rsid w:val="00B57A30"/>
    <w:rsid w:val="00B57B1C"/>
    <w:rsid w:val="00B57E46"/>
    <w:rsid w:val="00B57EF8"/>
    <w:rsid w:val="00B60125"/>
    <w:rsid w:val="00B60168"/>
    <w:rsid w:val="00B601E4"/>
    <w:rsid w:val="00B60391"/>
    <w:rsid w:val="00B6041E"/>
    <w:rsid w:val="00B60446"/>
    <w:rsid w:val="00B606F9"/>
    <w:rsid w:val="00B60C87"/>
    <w:rsid w:val="00B60FCC"/>
    <w:rsid w:val="00B6170D"/>
    <w:rsid w:val="00B61C5E"/>
    <w:rsid w:val="00B61C60"/>
    <w:rsid w:val="00B61F4D"/>
    <w:rsid w:val="00B62128"/>
    <w:rsid w:val="00B6249F"/>
    <w:rsid w:val="00B62623"/>
    <w:rsid w:val="00B62C9C"/>
    <w:rsid w:val="00B62DD6"/>
    <w:rsid w:val="00B6376B"/>
    <w:rsid w:val="00B6377F"/>
    <w:rsid w:val="00B637B8"/>
    <w:rsid w:val="00B63BAC"/>
    <w:rsid w:val="00B63D21"/>
    <w:rsid w:val="00B63EDF"/>
    <w:rsid w:val="00B6402B"/>
    <w:rsid w:val="00B64328"/>
    <w:rsid w:val="00B643AC"/>
    <w:rsid w:val="00B64561"/>
    <w:rsid w:val="00B64694"/>
    <w:rsid w:val="00B64796"/>
    <w:rsid w:val="00B64B70"/>
    <w:rsid w:val="00B64D09"/>
    <w:rsid w:val="00B650E8"/>
    <w:rsid w:val="00B652E0"/>
    <w:rsid w:val="00B6546A"/>
    <w:rsid w:val="00B658CC"/>
    <w:rsid w:val="00B65F12"/>
    <w:rsid w:val="00B6633E"/>
    <w:rsid w:val="00B663CE"/>
    <w:rsid w:val="00B66467"/>
    <w:rsid w:val="00B66509"/>
    <w:rsid w:val="00B66919"/>
    <w:rsid w:val="00B669A2"/>
    <w:rsid w:val="00B66E41"/>
    <w:rsid w:val="00B66FEC"/>
    <w:rsid w:val="00B67CC1"/>
    <w:rsid w:val="00B702AB"/>
    <w:rsid w:val="00B71380"/>
    <w:rsid w:val="00B7139A"/>
    <w:rsid w:val="00B716EC"/>
    <w:rsid w:val="00B71897"/>
    <w:rsid w:val="00B71D26"/>
    <w:rsid w:val="00B71F48"/>
    <w:rsid w:val="00B71FE4"/>
    <w:rsid w:val="00B7253A"/>
    <w:rsid w:val="00B7277B"/>
    <w:rsid w:val="00B727D9"/>
    <w:rsid w:val="00B7297B"/>
    <w:rsid w:val="00B72B10"/>
    <w:rsid w:val="00B72E02"/>
    <w:rsid w:val="00B72E74"/>
    <w:rsid w:val="00B72F54"/>
    <w:rsid w:val="00B72FD5"/>
    <w:rsid w:val="00B7304E"/>
    <w:rsid w:val="00B73188"/>
    <w:rsid w:val="00B73212"/>
    <w:rsid w:val="00B734D6"/>
    <w:rsid w:val="00B73E63"/>
    <w:rsid w:val="00B73EF0"/>
    <w:rsid w:val="00B741A4"/>
    <w:rsid w:val="00B74344"/>
    <w:rsid w:val="00B744C9"/>
    <w:rsid w:val="00B74808"/>
    <w:rsid w:val="00B74928"/>
    <w:rsid w:val="00B75037"/>
    <w:rsid w:val="00B75321"/>
    <w:rsid w:val="00B75665"/>
    <w:rsid w:val="00B75698"/>
    <w:rsid w:val="00B758BF"/>
    <w:rsid w:val="00B75E0F"/>
    <w:rsid w:val="00B75E49"/>
    <w:rsid w:val="00B760CA"/>
    <w:rsid w:val="00B76108"/>
    <w:rsid w:val="00B76788"/>
    <w:rsid w:val="00B76B9F"/>
    <w:rsid w:val="00B76F8F"/>
    <w:rsid w:val="00B771D0"/>
    <w:rsid w:val="00B77204"/>
    <w:rsid w:val="00B77330"/>
    <w:rsid w:val="00B773EB"/>
    <w:rsid w:val="00B776DC"/>
    <w:rsid w:val="00B77728"/>
    <w:rsid w:val="00B7776B"/>
    <w:rsid w:val="00B77833"/>
    <w:rsid w:val="00B779A8"/>
    <w:rsid w:val="00B77C76"/>
    <w:rsid w:val="00B77D64"/>
    <w:rsid w:val="00B77D92"/>
    <w:rsid w:val="00B77DF4"/>
    <w:rsid w:val="00B77E55"/>
    <w:rsid w:val="00B8004A"/>
    <w:rsid w:val="00B8005D"/>
    <w:rsid w:val="00B80110"/>
    <w:rsid w:val="00B80161"/>
    <w:rsid w:val="00B80287"/>
    <w:rsid w:val="00B802A7"/>
    <w:rsid w:val="00B8071E"/>
    <w:rsid w:val="00B808F7"/>
    <w:rsid w:val="00B811F7"/>
    <w:rsid w:val="00B8147C"/>
    <w:rsid w:val="00B816B1"/>
    <w:rsid w:val="00B8172B"/>
    <w:rsid w:val="00B81A2F"/>
    <w:rsid w:val="00B81B95"/>
    <w:rsid w:val="00B8206B"/>
    <w:rsid w:val="00B820B8"/>
    <w:rsid w:val="00B820F2"/>
    <w:rsid w:val="00B8250E"/>
    <w:rsid w:val="00B82620"/>
    <w:rsid w:val="00B827F4"/>
    <w:rsid w:val="00B82D18"/>
    <w:rsid w:val="00B83330"/>
    <w:rsid w:val="00B8334D"/>
    <w:rsid w:val="00B83409"/>
    <w:rsid w:val="00B835E6"/>
    <w:rsid w:val="00B83DAB"/>
    <w:rsid w:val="00B83E9C"/>
    <w:rsid w:val="00B84791"/>
    <w:rsid w:val="00B84D9A"/>
    <w:rsid w:val="00B84DC6"/>
    <w:rsid w:val="00B84ED4"/>
    <w:rsid w:val="00B8503C"/>
    <w:rsid w:val="00B85274"/>
    <w:rsid w:val="00B856B8"/>
    <w:rsid w:val="00B857B6"/>
    <w:rsid w:val="00B85905"/>
    <w:rsid w:val="00B85C9C"/>
    <w:rsid w:val="00B85F4D"/>
    <w:rsid w:val="00B86110"/>
    <w:rsid w:val="00B8620B"/>
    <w:rsid w:val="00B86247"/>
    <w:rsid w:val="00B8648A"/>
    <w:rsid w:val="00B864D3"/>
    <w:rsid w:val="00B86C77"/>
    <w:rsid w:val="00B86C7F"/>
    <w:rsid w:val="00B86D17"/>
    <w:rsid w:val="00B86FCA"/>
    <w:rsid w:val="00B8735A"/>
    <w:rsid w:val="00B876C8"/>
    <w:rsid w:val="00B87886"/>
    <w:rsid w:val="00B87B81"/>
    <w:rsid w:val="00B87BD3"/>
    <w:rsid w:val="00B87CA1"/>
    <w:rsid w:val="00B87E5E"/>
    <w:rsid w:val="00B90080"/>
    <w:rsid w:val="00B90117"/>
    <w:rsid w:val="00B905E1"/>
    <w:rsid w:val="00B906A9"/>
    <w:rsid w:val="00B909EA"/>
    <w:rsid w:val="00B90A01"/>
    <w:rsid w:val="00B90CEF"/>
    <w:rsid w:val="00B91003"/>
    <w:rsid w:val="00B91078"/>
    <w:rsid w:val="00B9114F"/>
    <w:rsid w:val="00B91443"/>
    <w:rsid w:val="00B91561"/>
    <w:rsid w:val="00B917F5"/>
    <w:rsid w:val="00B919D7"/>
    <w:rsid w:val="00B91A1B"/>
    <w:rsid w:val="00B91A75"/>
    <w:rsid w:val="00B91BF7"/>
    <w:rsid w:val="00B91C9B"/>
    <w:rsid w:val="00B92013"/>
    <w:rsid w:val="00B9208B"/>
    <w:rsid w:val="00B9219B"/>
    <w:rsid w:val="00B92361"/>
    <w:rsid w:val="00B9242F"/>
    <w:rsid w:val="00B92523"/>
    <w:rsid w:val="00B92540"/>
    <w:rsid w:val="00B92804"/>
    <w:rsid w:val="00B928B2"/>
    <w:rsid w:val="00B92903"/>
    <w:rsid w:val="00B93A53"/>
    <w:rsid w:val="00B93EE4"/>
    <w:rsid w:val="00B94055"/>
    <w:rsid w:val="00B94141"/>
    <w:rsid w:val="00B9428F"/>
    <w:rsid w:val="00B942C7"/>
    <w:rsid w:val="00B94386"/>
    <w:rsid w:val="00B94B46"/>
    <w:rsid w:val="00B94CFF"/>
    <w:rsid w:val="00B95453"/>
    <w:rsid w:val="00B956E6"/>
    <w:rsid w:val="00B9579E"/>
    <w:rsid w:val="00B958FB"/>
    <w:rsid w:val="00B9596B"/>
    <w:rsid w:val="00B95A13"/>
    <w:rsid w:val="00B95D4D"/>
    <w:rsid w:val="00B96316"/>
    <w:rsid w:val="00B96408"/>
    <w:rsid w:val="00B9675C"/>
    <w:rsid w:val="00B96952"/>
    <w:rsid w:val="00B96D43"/>
    <w:rsid w:val="00B96D7C"/>
    <w:rsid w:val="00B972E3"/>
    <w:rsid w:val="00B974DF"/>
    <w:rsid w:val="00B978BB"/>
    <w:rsid w:val="00B97A69"/>
    <w:rsid w:val="00B97ACE"/>
    <w:rsid w:val="00B97D34"/>
    <w:rsid w:val="00BA02A2"/>
    <w:rsid w:val="00BA036A"/>
    <w:rsid w:val="00BA0B8C"/>
    <w:rsid w:val="00BA0E5E"/>
    <w:rsid w:val="00BA0EA5"/>
    <w:rsid w:val="00BA0EF1"/>
    <w:rsid w:val="00BA17EF"/>
    <w:rsid w:val="00BA1866"/>
    <w:rsid w:val="00BA1904"/>
    <w:rsid w:val="00BA1CA1"/>
    <w:rsid w:val="00BA1DC9"/>
    <w:rsid w:val="00BA1FA1"/>
    <w:rsid w:val="00BA2152"/>
    <w:rsid w:val="00BA26D7"/>
    <w:rsid w:val="00BA29BE"/>
    <w:rsid w:val="00BA29C2"/>
    <w:rsid w:val="00BA34B5"/>
    <w:rsid w:val="00BA3526"/>
    <w:rsid w:val="00BA3591"/>
    <w:rsid w:val="00BA403F"/>
    <w:rsid w:val="00BA41F1"/>
    <w:rsid w:val="00BA45E1"/>
    <w:rsid w:val="00BA4D51"/>
    <w:rsid w:val="00BA4E22"/>
    <w:rsid w:val="00BA4E73"/>
    <w:rsid w:val="00BA500E"/>
    <w:rsid w:val="00BA525D"/>
    <w:rsid w:val="00BA5281"/>
    <w:rsid w:val="00BA53CD"/>
    <w:rsid w:val="00BA5459"/>
    <w:rsid w:val="00BA55FE"/>
    <w:rsid w:val="00BA56EE"/>
    <w:rsid w:val="00BA580F"/>
    <w:rsid w:val="00BA5850"/>
    <w:rsid w:val="00BA5B02"/>
    <w:rsid w:val="00BA5C19"/>
    <w:rsid w:val="00BA5C4C"/>
    <w:rsid w:val="00BA5D58"/>
    <w:rsid w:val="00BA5D8F"/>
    <w:rsid w:val="00BA5DC6"/>
    <w:rsid w:val="00BA60FB"/>
    <w:rsid w:val="00BA6168"/>
    <w:rsid w:val="00BA6196"/>
    <w:rsid w:val="00BA61FF"/>
    <w:rsid w:val="00BA63CF"/>
    <w:rsid w:val="00BA63D2"/>
    <w:rsid w:val="00BA688D"/>
    <w:rsid w:val="00BA689B"/>
    <w:rsid w:val="00BA69C6"/>
    <w:rsid w:val="00BA69DC"/>
    <w:rsid w:val="00BA6A03"/>
    <w:rsid w:val="00BA6AF2"/>
    <w:rsid w:val="00BA6CBB"/>
    <w:rsid w:val="00BA6E0C"/>
    <w:rsid w:val="00BA6FBD"/>
    <w:rsid w:val="00BA71E9"/>
    <w:rsid w:val="00BA7275"/>
    <w:rsid w:val="00BA7373"/>
    <w:rsid w:val="00BA746F"/>
    <w:rsid w:val="00BA7545"/>
    <w:rsid w:val="00BA767C"/>
    <w:rsid w:val="00BA77AC"/>
    <w:rsid w:val="00BA77DD"/>
    <w:rsid w:val="00BA7870"/>
    <w:rsid w:val="00BA7C98"/>
    <w:rsid w:val="00BA7F4D"/>
    <w:rsid w:val="00BB0067"/>
    <w:rsid w:val="00BB072A"/>
    <w:rsid w:val="00BB07A1"/>
    <w:rsid w:val="00BB07D4"/>
    <w:rsid w:val="00BB0824"/>
    <w:rsid w:val="00BB0C6E"/>
    <w:rsid w:val="00BB0DA8"/>
    <w:rsid w:val="00BB0F94"/>
    <w:rsid w:val="00BB11FD"/>
    <w:rsid w:val="00BB188F"/>
    <w:rsid w:val="00BB199B"/>
    <w:rsid w:val="00BB1D4F"/>
    <w:rsid w:val="00BB1EBD"/>
    <w:rsid w:val="00BB23F5"/>
    <w:rsid w:val="00BB2461"/>
    <w:rsid w:val="00BB2FFF"/>
    <w:rsid w:val="00BB30AF"/>
    <w:rsid w:val="00BB329F"/>
    <w:rsid w:val="00BB3F0C"/>
    <w:rsid w:val="00BB4156"/>
    <w:rsid w:val="00BB421A"/>
    <w:rsid w:val="00BB492A"/>
    <w:rsid w:val="00BB4BCE"/>
    <w:rsid w:val="00BB4C9C"/>
    <w:rsid w:val="00BB4D52"/>
    <w:rsid w:val="00BB5436"/>
    <w:rsid w:val="00BB55C9"/>
    <w:rsid w:val="00BB5652"/>
    <w:rsid w:val="00BB589C"/>
    <w:rsid w:val="00BB58C9"/>
    <w:rsid w:val="00BB5AE7"/>
    <w:rsid w:val="00BB6137"/>
    <w:rsid w:val="00BB637D"/>
    <w:rsid w:val="00BB6621"/>
    <w:rsid w:val="00BB686B"/>
    <w:rsid w:val="00BB6963"/>
    <w:rsid w:val="00BB6BE1"/>
    <w:rsid w:val="00BB6DC3"/>
    <w:rsid w:val="00BB7263"/>
    <w:rsid w:val="00BB736B"/>
    <w:rsid w:val="00BB7A54"/>
    <w:rsid w:val="00BB7E4A"/>
    <w:rsid w:val="00BB7F40"/>
    <w:rsid w:val="00BB7F46"/>
    <w:rsid w:val="00BC06BB"/>
    <w:rsid w:val="00BC06E5"/>
    <w:rsid w:val="00BC075E"/>
    <w:rsid w:val="00BC0D84"/>
    <w:rsid w:val="00BC0EE2"/>
    <w:rsid w:val="00BC1493"/>
    <w:rsid w:val="00BC1948"/>
    <w:rsid w:val="00BC1BFC"/>
    <w:rsid w:val="00BC1DF2"/>
    <w:rsid w:val="00BC20A8"/>
    <w:rsid w:val="00BC20AE"/>
    <w:rsid w:val="00BC2245"/>
    <w:rsid w:val="00BC2336"/>
    <w:rsid w:val="00BC2499"/>
    <w:rsid w:val="00BC2760"/>
    <w:rsid w:val="00BC2B10"/>
    <w:rsid w:val="00BC2D5D"/>
    <w:rsid w:val="00BC3542"/>
    <w:rsid w:val="00BC3D92"/>
    <w:rsid w:val="00BC3DE5"/>
    <w:rsid w:val="00BC4578"/>
    <w:rsid w:val="00BC463E"/>
    <w:rsid w:val="00BC4A2A"/>
    <w:rsid w:val="00BC4AFA"/>
    <w:rsid w:val="00BC4C3B"/>
    <w:rsid w:val="00BC521C"/>
    <w:rsid w:val="00BC58DB"/>
    <w:rsid w:val="00BC59A4"/>
    <w:rsid w:val="00BC5F65"/>
    <w:rsid w:val="00BC694B"/>
    <w:rsid w:val="00BC6D1B"/>
    <w:rsid w:val="00BC6D8C"/>
    <w:rsid w:val="00BC6F8D"/>
    <w:rsid w:val="00BC73BC"/>
    <w:rsid w:val="00BC7475"/>
    <w:rsid w:val="00BC76FB"/>
    <w:rsid w:val="00BC7E80"/>
    <w:rsid w:val="00BD027E"/>
    <w:rsid w:val="00BD0347"/>
    <w:rsid w:val="00BD061F"/>
    <w:rsid w:val="00BD0680"/>
    <w:rsid w:val="00BD06B7"/>
    <w:rsid w:val="00BD0BDF"/>
    <w:rsid w:val="00BD0EA8"/>
    <w:rsid w:val="00BD0FF8"/>
    <w:rsid w:val="00BD120E"/>
    <w:rsid w:val="00BD18B9"/>
    <w:rsid w:val="00BD19CA"/>
    <w:rsid w:val="00BD1F9A"/>
    <w:rsid w:val="00BD24FB"/>
    <w:rsid w:val="00BD2525"/>
    <w:rsid w:val="00BD259B"/>
    <w:rsid w:val="00BD25E6"/>
    <w:rsid w:val="00BD260C"/>
    <w:rsid w:val="00BD26D0"/>
    <w:rsid w:val="00BD2A9B"/>
    <w:rsid w:val="00BD3072"/>
    <w:rsid w:val="00BD333F"/>
    <w:rsid w:val="00BD34DB"/>
    <w:rsid w:val="00BD35E7"/>
    <w:rsid w:val="00BD3670"/>
    <w:rsid w:val="00BD39A2"/>
    <w:rsid w:val="00BD3AD9"/>
    <w:rsid w:val="00BD3AE3"/>
    <w:rsid w:val="00BD3EA0"/>
    <w:rsid w:val="00BD3EC3"/>
    <w:rsid w:val="00BD420F"/>
    <w:rsid w:val="00BD42E3"/>
    <w:rsid w:val="00BD4494"/>
    <w:rsid w:val="00BD44D2"/>
    <w:rsid w:val="00BD45A5"/>
    <w:rsid w:val="00BD4B1C"/>
    <w:rsid w:val="00BD4BEE"/>
    <w:rsid w:val="00BD4BF5"/>
    <w:rsid w:val="00BD508E"/>
    <w:rsid w:val="00BD5306"/>
    <w:rsid w:val="00BD57EA"/>
    <w:rsid w:val="00BD5C4E"/>
    <w:rsid w:val="00BD5E86"/>
    <w:rsid w:val="00BD5EBF"/>
    <w:rsid w:val="00BD654E"/>
    <w:rsid w:val="00BD67D3"/>
    <w:rsid w:val="00BD6851"/>
    <w:rsid w:val="00BD6B62"/>
    <w:rsid w:val="00BD6E42"/>
    <w:rsid w:val="00BD77C7"/>
    <w:rsid w:val="00BD7917"/>
    <w:rsid w:val="00BD7C18"/>
    <w:rsid w:val="00BD7DC7"/>
    <w:rsid w:val="00BD7E51"/>
    <w:rsid w:val="00BD7FDE"/>
    <w:rsid w:val="00BE014E"/>
    <w:rsid w:val="00BE03B3"/>
    <w:rsid w:val="00BE04EF"/>
    <w:rsid w:val="00BE065E"/>
    <w:rsid w:val="00BE0795"/>
    <w:rsid w:val="00BE09DA"/>
    <w:rsid w:val="00BE09E5"/>
    <w:rsid w:val="00BE0BB9"/>
    <w:rsid w:val="00BE0CB4"/>
    <w:rsid w:val="00BE0D9E"/>
    <w:rsid w:val="00BE0FA3"/>
    <w:rsid w:val="00BE0FD4"/>
    <w:rsid w:val="00BE101D"/>
    <w:rsid w:val="00BE12CC"/>
    <w:rsid w:val="00BE1A85"/>
    <w:rsid w:val="00BE1C19"/>
    <w:rsid w:val="00BE1D4E"/>
    <w:rsid w:val="00BE1E01"/>
    <w:rsid w:val="00BE1ED2"/>
    <w:rsid w:val="00BE1EFE"/>
    <w:rsid w:val="00BE1F0D"/>
    <w:rsid w:val="00BE2309"/>
    <w:rsid w:val="00BE23F7"/>
    <w:rsid w:val="00BE24AE"/>
    <w:rsid w:val="00BE270E"/>
    <w:rsid w:val="00BE29E8"/>
    <w:rsid w:val="00BE2C38"/>
    <w:rsid w:val="00BE2E1A"/>
    <w:rsid w:val="00BE306A"/>
    <w:rsid w:val="00BE309C"/>
    <w:rsid w:val="00BE3126"/>
    <w:rsid w:val="00BE35BA"/>
    <w:rsid w:val="00BE38C6"/>
    <w:rsid w:val="00BE39FF"/>
    <w:rsid w:val="00BE423B"/>
    <w:rsid w:val="00BE4659"/>
    <w:rsid w:val="00BE46B8"/>
    <w:rsid w:val="00BE4761"/>
    <w:rsid w:val="00BE476D"/>
    <w:rsid w:val="00BE5852"/>
    <w:rsid w:val="00BE5A6D"/>
    <w:rsid w:val="00BE5F25"/>
    <w:rsid w:val="00BE5F29"/>
    <w:rsid w:val="00BE6695"/>
    <w:rsid w:val="00BE6741"/>
    <w:rsid w:val="00BE68DF"/>
    <w:rsid w:val="00BE703E"/>
    <w:rsid w:val="00BE7144"/>
    <w:rsid w:val="00BE7223"/>
    <w:rsid w:val="00BE72D7"/>
    <w:rsid w:val="00BE742F"/>
    <w:rsid w:val="00BE758D"/>
    <w:rsid w:val="00BE77F7"/>
    <w:rsid w:val="00BE7827"/>
    <w:rsid w:val="00BE7D96"/>
    <w:rsid w:val="00BE7F57"/>
    <w:rsid w:val="00BF0215"/>
    <w:rsid w:val="00BF03A7"/>
    <w:rsid w:val="00BF0A9B"/>
    <w:rsid w:val="00BF0B49"/>
    <w:rsid w:val="00BF0DA4"/>
    <w:rsid w:val="00BF0DA8"/>
    <w:rsid w:val="00BF0E3A"/>
    <w:rsid w:val="00BF13D0"/>
    <w:rsid w:val="00BF1618"/>
    <w:rsid w:val="00BF1D59"/>
    <w:rsid w:val="00BF2317"/>
    <w:rsid w:val="00BF231C"/>
    <w:rsid w:val="00BF26AF"/>
    <w:rsid w:val="00BF27BC"/>
    <w:rsid w:val="00BF2C1D"/>
    <w:rsid w:val="00BF3283"/>
    <w:rsid w:val="00BF3E33"/>
    <w:rsid w:val="00BF4431"/>
    <w:rsid w:val="00BF49BF"/>
    <w:rsid w:val="00BF4B0E"/>
    <w:rsid w:val="00BF4B62"/>
    <w:rsid w:val="00BF4E28"/>
    <w:rsid w:val="00BF4FE4"/>
    <w:rsid w:val="00BF519B"/>
    <w:rsid w:val="00BF52CF"/>
    <w:rsid w:val="00BF5379"/>
    <w:rsid w:val="00BF5558"/>
    <w:rsid w:val="00BF5744"/>
    <w:rsid w:val="00BF59DC"/>
    <w:rsid w:val="00BF62F1"/>
    <w:rsid w:val="00BF696D"/>
    <w:rsid w:val="00BF6B5F"/>
    <w:rsid w:val="00BF7124"/>
    <w:rsid w:val="00BF7188"/>
    <w:rsid w:val="00BF7523"/>
    <w:rsid w:val="00BF76B1"/>
    <w:rsid w:val="00BF7DB8"/>
    <w:rsid w:val="00C001A1"/>
    <w:rsid w:val="00C003F3"/>
    <w:rsid w:val="00C00E74"/>
    <w:rsid w:val="00C01964"/>
    <w:rsid w:val="00C02039"/>
    <w:rsid w:val="00C026D5"/>
    <w:rsid w:val="00C031E9"/>
    <w:rsid w:val="00C0350A"/>
    <w:rsid w:val="00C03BD4"/>
    <w:rsid w:val="00C03CC4"/>
    <w:rsid w:val="00C03D25"/>
    <w:rsid w:val="00C03E7B"/>
    <w:rsid w:val="00C03E99"/>
    <w:rsid w:val="00C04A48"/>
    <w:rsid w:val="00C04C4C"/>
    <w:rsid w:val="00C04CEF"/>
    <w:rsid w:val="00C04D78"/>
    <w:rsid w:val="00C0503E"/>
    <w:rsid w:val="00C0529A"/>
    <w:rsid w:val="00C0530C"/>
    <w:rsid w:val="00C05312"/>
    <w:rsid w:val="00C053DC"/>
    <w:rsid w:val="00C05410"/>
    <w:rsid w:val="00C05470"/>
    <w:rsid w:val="00C056FE"/>
    <w:rsid w:val="00C05ADB"/>
    <w:rsid w:val="00C05E25"/>
    <w:rsid w:val="00C0601B"/>
    <w:rsid w:val="00C06118"/>
    <w:rsid w:val="00C069D7"/>
    <w:rsid w:val="00C06ABD"/>
    <w:rsid w:val="00C06C0B"/>
    <w:rsid w:val="00C06CDD"/>
    <w:rsid w:val="00C06D5E"/>
    <w:rsid w:val="00C07986"/>
    <w:rsid w:val="00C079BC"/>
    <w:rsid w:val="00C1000C"/>
    <w:rsid w:val="00C1027F"/>
    <w:rsid w:val="00C103CD"/>
    <w:rsid w:val="00C10D29"/>
    <w:rsid w:val="00C111C2"/>
    <w:rsid w:val="00C11459"/>
    <w:rsid w:val="00C11488"/>
    <w:rsid w:val="00C1172A"/>
    <w:rsid w:val="00C12394"/>
    <w:rsid w:val="00C12740"/>
    <w:rsid w:val="00C12B60"/>
    <w:rsid w:val="00C12C47"/>
    <w:rsid w:val="00C12C80"/>
    <w:rsid w:val="00C1335F"/>
    <w:rsid w:val="00C133C8"/>
    <w:rsid w:val="00C13662"/>
    <w:rsid w:val="00C13680"/>
    <w:rsid w:val="00C137BE"/>
    <w:rsid w:val="00C13949"/>
    <w:rsid w:val="00C13980"/>
    <w:rsid w:val="00C13B96"/>
    <w:rsid w:val="00C13F51"/>
    <w:rsid w:val="00C142E8"/>
    <w:rsid w:val="00C14C73"/>
    <w:rsid w:val="00C14D5F"/>
    <w:rsid w:val="00C14F7B"/>
    <w:rsid w:val="00C152E5"/>
    <w:rsid w:val="00C1588C"/>
    <w:rsid w:val="00C15955"/>
    <w:rsid w:val="00C15972"/>
    <w:rsid w:val="00C159A7"/>
    <w:rsid w:val="00C15A47"/>
    <w:rsid w:val="00C15E4D"/>
    <w:rsid w:val="00C15FAD"/>
    <w:rsid w:val="00C16556"/>
    <w:rsid w:val="00C16585"/>
    <w:rsid w:val="00C16E5F"/>
    <w:rsid w:val="00C16FE8"/>
    <w:rsid w:val="00C17673"/>
    <w:rsid w:val="00C176E0"/>
    <w:rsid w:val="00C17976"/>
    <w:rsid w:val="00C17BFF"/>
    <w:rsid w:val="00C17D6E"/>
    <w:rsid w:val="00C20013"/>
    <w:rsid w:val="00C200FC"/>
    <w:rsid w:val="00C201C9"/>
    <w:rsid w:val="00C2053C"/>
    <w:rsid w:val="00C205AC"/>
    <w:rsid w:val="00C20A16"/>
    <w:rsid w:val="00C20CA7"/>
    <w:rsid w:val="00C212AB"/>
    <w:rsid w:val="00C21353"/>
    <w:rsid w:val="00C214A9"/>
    <w:rsid w:val="00C21673"/>
    <w:rsid w:val="00C218D7"/>
    <w:rsid w:val="00C22144"/>
    <w:rsid w:val="00C22816"/>
    <w:rsid w:val="00C22C98"/>
    <w:rsid w:val="00C22EBD"/>
    <w:rsid w:val="00C22F78"/>
    <w:rsid w:val="00C23102"/>
    <w:rsid w:val="00C23156"/>
    <w:rsid w:val="00C2326D"/>
    <w:rsid w:val="00C23419"/>
    <w:rsid w:val="00C237AB"/>
    <w:rsid w:val="00C23933"/>
    <w:rsid w:val="00C23958"/>
    <w:rsid w:val="00C23C2D"/>
    <w:rsid w:val="00C23EDC"/>
    <w:rsid w:val="00C245C4"/>
    <w:rsid w:val="00C249D7"/>
    <w:rsid w:val="00C24AA5"/>
    <w:rsid w:val="00C2518D"/>
    <w:rsid w:val="00C25204"/>
    <w:rsid w:val="00C2527D"/>
    <w:rsid w:val="00C252E4"/>
    <w:rsid w:val="00C25615"/>
    <w:rsid w:val="00C25695"/>
    <w:rsid w:val="00C25D23"/>
    <w:rsid w:val="00C26244"/>
    <w:rsid w:val="00C26ADB"/>
    <w:rsid w:val="00C26B6F"/>
    <w:rsid w:val="00C27088"/>
    <w:rsid w:val="00C272AE"/>
    <w:rsid w:val="00C27327"/>
    <w:rsid w:val="00C2755F"/>
    <w:rsid w:val="00C2794D"/>
    <w:rsid w:val="00C279C2"/>
    <w:rsid w:val="00C30019"/>
    <w:rsid w:val="00C3028B"/>
    <w:rsid w:val="00C30362"/>
    <w:rsid w:val="00C30709"/>
    <w:rsid w:val="00C30CD0"/>
    <w:rsid w:val="00C31201"/>
    <w:rsid w:val="00C314FE"/>
    <w:rsid w:val="00C31598"/>
    <w:rsid w:val="00C31694"/>
    <w:rsid w:val="00C31874"/>
    <w:rsid w:val="00C31924"/>
    <w:rsid w:val="00C31A27"/>
    <w:rsid w:val="00C31D4B"/>
    <w:rsid w:val="00C31DE9"/>
    <w:rsid w:val="00C31E0B"/>
    <w:rsid w:val="00C32763"/>
    <w:rsid w:val="00C329A5"/>
    <w:rsid w:val="00C329BC"/>
    <w:rsid w:val="00C32A1F"/>
    <w:rsid w:val="00C32BA7"/>
    <w:rsid w:val="00C32C37"/>
    <w:rsid w:val="00C33443"/>
    <w:rsid w:val="00C33839"/>
    <w:rsid w:val="00C339E4"/>
    <w:rsid w:val="00C33DCA"/>
    <w:rsid w:val="00C33F7C"/>
    <w:rsid w:val="00C34006"/>
    <w:rsid w:val="00C34063"/>
    <w:rsid w:val="00C340B3"/>
    <w:rsid w:val="00C343CB"/>
    <w:rsid w:val="00C3480F"/>
    <w:rsid w:val="00C34975"/>
    <w:rsid w:val="00C34D80"/>
    <w:rsid w:val="00C34E5A"/>
    <w:rsid w:val="00C34FB6"/>
    <w:rsid w:val="00C35402"/>
    <w:rsid w:val="00C354B7"/>
    <w:rsid w:val="00C356F3"/>
    <w:rsid w:val="00C35796"/>
    <w:rsid w:val="00C35D62"/>
    <w:rsid w:val="00C36025"/>
    <w:rsid w:val="00C360F0"/>
    <w:rsid w:val="00C36579"/>
    <w:rsid w:val="00C36719"/>
    <w:rsid w:val="00C368ED"/>
    <w:rsid w:val="00C368FF"/>
    <w:rsid w:val="00C36B4C"/>
    <w:rsid w:val="00C36F22"/>
    <w:rsid w:val="00C3737D"/>
    <w:rsid w:val="00C3745B"/>
    <w:rsid w:val="00C3752C"/>
    <w:rsid w:val="00C37AD1"/>
    <w:rsid w:val="00C400D4"/>
    <w:rsid w:val="00C405AC"/>
    <w:rsid w:val="00C40942"/>
    <w:rsid w:val="00C40DF4"/>
    <w:rsid w:val="00C40FC7"/>
    <w:rsid w:val="00C4161D"/>
    <w:rsid w:val="00C41AB6"/>
    <w:rsid w:val="00C41D8D"/>
    <w:rsid w:val="00C41FB6"/>
    <w:rsid w:val="00C42214"/>
    <w:rsid w:val="00C426B1"/>
    <w:rsid w:val="00C42785"/>
    <w:rsid w:val="00C4286E"/>
    <w:rsid w:val="00C42AD4"/>
    <w:rsid w:val="00C42DE5"/>
    <w:rsid w:val="00C42F01"/>
    <w:rsid w:val="00C4311F"/>
    <w:rsid w:val="00C43124"/>
    <w:rsid w:val="00C43551"/>
    <w:rsid w:val="00C4366A"/>
    <w:rsid w:val="00C43BEF"/>
    <w:rsid w:val="00C43C65"/>
    <w:rsid w:val="00C43DF8"/>
    <w:rsid w:val="00C43ED8"/>
    <w:rsid w:val="00C44269"/>
    <w:rsid w:val="00C44758"/>
    <w:rsid w:val="00C448F4"/>
    <w:rsid w:val="00C44B8F"/>
    <w:rsid w:val="00C44DAA"/>
    <w:rsid w:val="00C45025"/>
    <w:rsid w:val="00C4515B"/>
    <w:rsid w:val="00C45307"/>
    <w:rsid w:val="00C455E1"/>
    <w:rsid w:val="00C45660"/>
    <w:rsid w:val="00C456B9"/>
    <w:rsid w:val="00C45778"/>
    <w:rsid w:val="00C45929"/>
    <w:rsid w:val="00C4594F"/>
    <w:rsid w:val="00C45C66"/>
    <w:rsid w:val="00C4615F"/>
    <w:rsid w:val="00C46665"/>
    <w:rsid w:val="00C467A0"/>
    <w:rsid w:val="00C469EA"/>
    <w:rsid w:val="00C46E91"/>
    <w:rsid w:val="00C4743D"/>
    <w:rsid w:val="00C47759"/>
    <w:rsid w:val="00C477B8"/>
    <w:rsid w:val="00C47A71"/>
    <w:rsid w:val="00C47C22"/>
    <w:rsid w:val="00C47DDD"/>
    <w:rsid w:val="00C47E9E"/>
    <w:rsid w:val="00C50051"/>
    <w:rsid w:val="00C501F4"/>
    <w:rsid w:val="00C50720"/>
    <w:rsid w:val="00C50BFA"/>
    <w:rsid w:val="00C50CED"/>
    <w:rsid w:val="00C50D56"/>
    <w:rsid w:val="00C5114E"/>
    <w:rsid w:val="00C519BB"/>
    <w:rsid w:val="00C51A3B"/>
    <w:rsid w:val="00C51E7D"/>
    <w:rsid w:val="00C51F43"/>
    <w:rsid w:val="00C51F86"/>
    <w:rsid w:val="00C520A5"/>
    <w:rsid w:val="00C52564"/>
    <w:rsid w:val="00C52C4B"/>
    <w:rsid w:val="00C52D0E"/>
    <w:rsid w:val="00C52FE3"/>
    <w:rsid w:val="00C5356D"/>
    <w:rsid w:val="00C5360A"/>
    <w:rsid w:val="00C5380F"/>
    <w:rsid w:val="00C53BE5"/>
    <w:rsid w:val="00C542A8"/>
    <w:rsid w:val="00C542B7"/>
    <w:rsid w:val="00C542C2"/>
    <w:rsid w:val="00C54322"/>
    <w:rsid w:val="00C5463E"/>
    <w:rsid w:val="00C54789"/>
    <w:rsid w:val="00C547C4"/>
    <w:rsid w:val="00C5487A"/>
    <w:rsid w:val="00C54A07"/>
    <w:rsid w:val="00C54A7D"/>
    <w:rsid w:val="00C54AB9"/>
    <w:rsid w:val="00C54B4C"/>
    <w:rsid w:val="00C553BD"/>
    <w:rsid w:val="00C5565A"/>
    <w:rsid w:val="00C55743"/>
    <w:rsid w:val="00C55860"/>
    <w:rsid w:val="00C55BEF"/>
    <w:rsid w:val="00C55D3C"/>
    <w:rsid w:val="00C55E5E"/>
    <w:rsid w:val="00C5611F"/>
    <w:rsid w:val="00C5638E"/>
    <w:rsid w:val="00C564AC"/>
    <w:rsid w:val="00C56605"/>
    <w:rsid w:val="00C56740"/>
    <w:rsid w:val="00C56D50"/>
    <w:rsid w:val="00C56D9D"/>
    <w:rsid w:val="00C56FEF"/>
    <w:rsid w:val="00C5708F"/>
    <w:rsid w:val="00C57307"/>
    <w:rsid w:val="00C57560"/>
    <w:rsid w:val="00C5774E"/>
    <w:rsid w:val="00C577CC"/>
    <w:rsid w:val="00C57885"/>
    <w:rsid w:val="00C57A0B"/>
    <w:rsid w:val="00C57DE0"/>
    <w:rsid w:val="00C57E2B"/>
    <w:rsid w:val="00C60268"/>
    <w:rsid w:val="00C608DC"/>
    <w:rsid w:val="00C60BA3"/>
    <w:rsid w:val="00C60C35"/>
    <w:rsid w:val="00C60C76"/>
    <w:rsid w:val="00C60D70"/>
    <w:rsid w:val="00C60F4F"/>
    <w:rsid w:val="00C6145E"/>
    <w:rsid w:val="00C6156B"/>
    <w:rsid w:val="00C617B5"/>
    <w:rsid w:val="00C61C6F"/>
    <w:rsid w:val="00C62387"/>
    <w:rsid w:val="00C62701"/>
    <w:rsid w:val="00C62807"/>
    <w:rsid w:val="00C62954"/>
    <w:rsid w:val="00C629C8"/>
    <w:rsid w:val="00C62A39"/>
    <w:rsid w:val="00C62C34"/>
    <w:rsid w:val="00C62E08"/>
    <w:rsid w:val="00C63A60"/>
    <w:rsid w:val="00C63C43"/>
    <w:rsid w:val="00C63C44"/>
    <w:rsid w:val="00C63D85"/>
    <w:rsid w:val="00C63DC8"/>
    <w:rsid w:val="00C642C5"/>
    <w:rsid w:val="00C6476D"/>
    <w:rsid w:val="00C64B87"/>
    <w:rsid w:val="00C65088"/>
    <w:rsid w:val="00C65415"/>
    <w:rsid w:val="00C656DA"/>
    <w:rsid w:val="00C6573C"/>
    <w:rsid w:val="00C65A20"/>
    <w:rsid w:val="00C65E95"/>
    <w:rsid w:val="00C66160"/>
    <w:rsid w:val="00C6631D"/>
    <w:rsid w:val="00C6633F"/>
    <w:rsid w:val="00C66974"/>
    <w:rsid w:val="00C66E73"/>
    <w:rsid w:val="00C66EE3"/>
    <w:rsid w:val="00C67021"/>
    <w:rsid w:val="00C670E1"/>
    <w:rsid w:val="00C6761E"/>
    <w:rsid w:val="00C67932"/>
    <w:rsid w:val="00C679E9"/>
    <w:rsid w:val="00C67E27"/>
    <w:rsid w:val="00C67FD5"/>
    <w:rsid w:val="00C70277"/>
    <w:rsid w:val="00C705F0"/>
    <w:rsid w:val="00C7081D"/>
    <w:rsid w:val="00C70826"/>
    <w:rsid w:val="00C70ACE"/>
    <w:rsid w:val="00C70B77"/>
    <w:rsid w:val="00C70F2F"/>
    <w:rsid w:val="00C7107C"/>
    <w:rsid w:val="00C71270"/>
    <w:rsid w:val="00C71411"/>
    <w:rsid w:val="00C714AF"/>
    <w:rsid w:val="00C71B2D"/>
    <w:rsid w:val="00C71BF9"/>
    <w:rsid w:val="00C71D3B"/>
    <w:rsid w:val="00C71FB6"/>
    <w:rsid w:val="00C72096"/>
    <w:rsid w:val="00C721AC"/>
    <w:rsid w:val="00C722F9"/>
    <w:rsid w:val="00C72314"/>
    <w:rsid w:val="00C72367"/>
    <w:rsid w:val="00C7258F"/>
    <w:rsid w:val="00C72632"/>
    <w:rsid w:val="00C729F0"/>
    <w:rsid w:val="00C72B25"/>
    <w:rsid w:val="00C72BC9"/>
    <w:rsid w:val="00C72E78"/>
    <w:rsid w:val="00C73668"/>
    <w:rsid w:val="00C7369D"/>
    <w:rsid w:val="00C7383E"/>
    <w:rsid w:val="00C73B89"/>
    <w:rsid w:val="00C73C46"/>
    <w:rsid w:val="00C73C87"/>
    <w:rsid w:val="00C73D1E"/>
    <w:rsid w:val="00C73E79"/>
    <w:rsid w:val="00C73FC0"/>
    <w:rsid w:val="00C741B7"/>
    <w:rsid w:val="00C7430F"/>
    <w:rsid w:val="00C74363"/>
    <w:rsid w:val="00C746EB"/>
    <w:rsid w:val="00C7478B"/>
    <w:rsid w:val="00C74C30"/>
    <w:rsid w:val="00C74CC8"/>
    <w:rsid w:val="00C74DCB"/>
    <w:rsid w:val="00C74FC3"/>
    <w:rsid w:val="00C753E0"/>
    <w:rsid w:val="00C7549A"/>
    <w:rsid w:val="00C759ED"/>
    <w:rsid w:val="00C75AED"/>
    <w:rsid w:val="00C75AF0"/>
    <w:rsid w:val="00C75BC0"/>
    <w:rsid w:val="00C7675C"/>
    <w:rsid w:val="00C77819"/>
    <w:rsid w:val="00C77824"/>
    <w:rsid w:val="00C77AAE"/>
    <w:rsid w:val="00C77ACD"/>
    <w:rsid w:val="00C77DB8"/>
    <w:rsid w:val="00C805CD"/>
    <w:rsid w:val="00C8081E"/>
    <w:rsid w:val="00C80BAF"/>
    <w:rsid w:val="00C80D90"/>
    <w:rsid w:val="00C80FCA"/>
    <w:rsid w:val="00C81E5A"/>
    <w:rsid w:val="00C81E6A"/>
    <w:rsid w:val="00C82159"/>
    <w:rsid w:val="00C822D2"/>
    <w:rsid w:val="00C8239A"/>
    <w:rsid w:val="00C824B6"/>
    <w:rsid w:val="00C825BA"/>
    <w:rsid w:val="00C83155"/>
    <w:rsid w:val="00C8328C"/>
    <w:rsid w:val="00C833F2"/>
    <w:rsid w:val="00C8347F"/>
    <w:rsid w:val="00C840C4"/>
    <w:rsid w:val="00C8434D"/>
    <w:rsid w:val="00C84814"/>
    <w:rsid w:val="00C84833"/>
    <w:rsid w:val="00C84952"/>
    <w:rsid w:val="00C84B7C"/>
    <w:rsid w:val="00C84F8B"/>
    <w:rsid w:val="00C84FDE"/>
    <w:rsid w:val="00C8515A"/>
    <w:rsid w:val="00C853F7"/>
    <w:rsid w:val="00C85628"/>
    <w:rsid w:val="00C856B2"/>
    <w:rsid w:val="00C85A79"/>
    <w:rsid w:val="00C85D0B"/>
    <w:rsid w:val="00C85D80"/>
    <w:rsid w:val="00C85EC4"/>
    <w:rsid w:val="00C860E3"/>
    <w:rsid w:val="00C86276"/>
    <w:rsid w:val="00C86860"/>
    <w:rsid w:val="00C868A8"/>
    <w:rsid w:val="00C873EE"/>
    <w:rsid w:val="00C8765B"/>
    <w:rsid w:val="00C87893"/>
    <w:rsid w:val="00C878DF"/>
    <w:rsid w:val="00C87B56"/>
    <w:rsid w:val="00C87BB8"/>
    <w:rsid w:val="00C9039F"/>
    <w:rsid w:val="00C90444"/>
    <w:rsid w:val="00C904AA"/>
    <w:rsid w:val="00C906E8"/>
    <w:rsid w:val="00C908D7"/>
    <w:rsid w:val="00C909CB"/>
    <w:rsid w:val="00C909E7"/>
    <w:rsid w:val="00C90AF1"/>
    <w:rsid w:val="00C90D6A"/>
    <w:rsid w:val="00C90E9D"/>
    <w:rsid w:val="00C9121E"/>
    <w:rsid w:val="00C9138C"/>
    <w:rsid w:val="00C9141E"/>
    <w:rsid w:val="00C916FF"/>
    <w:rsid w:val="00C9184F"/>
    <w:rsid w:val="00C9195B"/>
    <w:rsid w:val="00C91CB0"/>
    <w:rsid w:val="00C91E22"/>
    <w:rsid w:val="00C91E80"/>
    <w:rsid w:val="00C91E93"/>
    <w:rsid w:val="00C92773"/>
    <w:rsid w:val="00C929C2"/>
    <w:rsid w:val="00C92A76"/>
    <w:rsid w:val="00C9317C"/>
    <w:rsid w:val="00C9333A"/>
    <w:rsid w:val="00C933BF"/>
    <w:rsid w:val="00C933D2"/>
    <w:rsid w:val="00C93F65"/>
    <w:rsid w:val="00C94531"/>
    <w:rsid w:val="00C9463F"/>
    <w:rsid w:val="00C94C74"/>
    <w:rsid w:val="00C94DE0"/>
    <w:rsid w:val="00C9508C"/>
    <w:rsid w:val="00C950CD"/>
    <w:rsid w:val="00C9515A"/>
    <w:rsid w:val="00C95F98"/>
    <w:rsid w:val="00C96406"/>
    <w:rsid w:val="00C9650D"/>
    <w:rsid w:val="00C9662D"/>
    <w:rsid w:val="00C968AA"/>
    <w:rsid w:val="00C96C0F"/>
    <w:rsid w:val="00C96EBA"/>
    <w:rsid w:val="00C97149"/>
    <w:rsid w:val="00C9715A"/>
    <w:rsid w:val="00C97324"/>
    <w:rsid w:val="00C9757A"/>
    <w:rsid w:val="00C976F2"/>
    <w:rsid w:val="00C97944"/>
    <w:rsid w:val="00C97A85"/>
    <w:rsid w:val="00C97F24"/>
    <w:rsid w:val="00CA02DB"/>
    <w:rsid w:val="00CA03BA"/>
    <w:rsid w:val="00CA082F"/>
    <w:rsid w:val="00CA0D64"/>
    <w:rsid w:val="00CA1174"/>
    <w:rsid w:val="00CA1569"/>
    <w:rsid w:val="00CA1779"/>
    <w:rsid w:val="00CA18A8"/>
    <w:rsid w:val="00CA1A4B"/>
    <w:rsid w:val="00CA1AC7"/>
    <w:rsid w:val="00CA1AD6"/>
    <w:rsid w:val="00CA1D7B"/>
    <w:rsid w:val="00CA1DA1"/>
    <w:rsid w:val="00CA2370"/>
    <w:rsid w:val="00CA247E"/>
    <w:rsid w:val="00CA2596"/>
    <w:rsid w:val="00CA26D1"/>
    <w:rsid w:val="00CA277F"/>
    <w:rsid w:val="00CA3208"/>
    <w:rsid w:val="00CA3736"/>
    <w:rsid w:val="00CA378B"/>
    <w:rsid w:val="00CA37A6"/>
    <w:rsid w:val="00CA3D50"/>
    <w:rsid w:val="00CA3E6B"/>
    <w:rsid w:val="00CA42D9"/>
    <w:rsid w:val="00CA4968"/>
    <w:rsid w:val="00CA4A84"/>
    <w:rsid w:val="00CA4B2B"/>
    <w:rsid w:val="00CA4CDF"/>
    <w:rsid w:val="00CA4DAE"/>
    <w:rsid w:val="00CA4E4A"/>
    <w:rsid w:val="00CA51B9"/>
    <w:rsid w:val="00CA54E3"/>
    <w:rsid w:val="00CA59CA"/>
    <w:rsid w:val="00CA5EF5"/>
    <w:rsid w:val="00CA61FD"/>
    <w:rsid w:val="00CA6220"/>
    <w:rsid w:val="00CA6450"/>
    <w:rsid w:val="00CA6465"/>
    <w:rsid w:val="00CA68B8"/>
    <w:rsid w:val="00CA6D21"/>
    <w:rsid w:val="00CA70F8"/>
    <w:rsid w:val="00CA7139"/>
    <w:rsid w:val="00CA74CA"/>
    <w:rsid w:val="00CA761F"/>
    <w:rsid w:val="00CA76B5"/>
    <w:rsid w:val="00CA7B45"/>
    <w:rsid w:val="00CA7B56"/>
    <w:rsid w:val="00CA7BB3"/>
    <w:rsid w:val="00CA7C7E"/>
    <w:rsid w:val="00CA7C93"/>
    <w:rsid w:val="00CA7D49"/>
    <w:rsid w:val="00CA7E5D"/>
    <w:rsid w:val="00CA7ED6"/>
    <w:rsid w:val="00CB019D"/>
    <w:rsid w:val="00CB0278"/>
    <w:rsid w:val="00CB035A"/>
    <w:rsid w:val="00CB04F6"/>
    <w:rsid w:val="00CB0562"/>
    <w:rsid w:val="00CB0922"/>
    <w:rsid w:val="00CB0961"/>
    <w:rsid w:val="00CB0A71"/>
    <w:rsid w:val="00CB0E00"/>
    <w:rsid w:val="00CB0E45"/>
    <w:rsid w:val="00CB0FAD"/>
    <w:rsid w:val="00CB10B8"/>
    <w:rsid w:val="00CB1A82"/>
    <w:rsid w:val="00CB21D0"/>
    <w:rsid w:val="00CB21FA"/>
    <w:rsid w:val="00CB29C9"/>
    <w:rsid w:val="00CB2D34"/>
    <w:rsid w:val="00CB3095"/>
    <w:rsid w:val="00CB30CD"/>
    <w:rsid w:val="00CB319F"/>
    <w:rsid w:val="00CB3364"/>
    <w:rsid w:val="00CB3648"/>
    <w:rsid w:val="00CB381D"/>
    <w:rsid w:val="00CB396C"/>
    <w:rsid w:val="00CB3E7C"/>
    <w:rsid w:val="00CB3F50"/>
    <w:rsid w:val="00CB4143"/>
    <w:rsid w:val="00CB4249"/>
    <w:rsid w:val="00CB456A"/>
    <w:rsid w:val="00CB4570"/>
    <w:rsid w:val="00CB47F1"/>
    <w:rsid w:val="00CB4AE5"/>
    <w:rsid w:val="00CB4E51"/>
    <w:rsid w:val="00CB4FE9"/>
    <w:rsid w:val="00CB4FF8"/>
    <w:rsid w:val="00CB5067"/>
    <w:rsid w:val="00CB50C8"/>
    <w:rsid w:val="00CB51CF"/>
    <w:rsid w:val="00CB5235"/>
    <w:rsid w:val="00CB5508"/>
    <w:rsid w:val="00CB570E"/>
    <w:rsid w:val="00CB58B1"/>
    <w:rsid w:val="00CB5CCF"/>
    <w:rsid w:val="00CB5E53"/>
    <w:rsid w:val="00CB5F34"/>
    <w:rsid w:val="00CB5FBC"/>
    <w:rsid w:val="00CB613E"/>
    <w:rsid w:val="00CB67BE"/>
    <w:rsid w:val="00CB6A6E"/>
    <w:rsid w:val="00CB6F05"/>
    <w:rsid w:val="00CB7546"/>
    <w:rsid w:val="00CB79DA"/>
    <w:rsid w:val="00CB7BC2"/>
    <w:rsid w:val="00CB7CD4"/>
    <w:rsid w:val="00CB7D96"/>
    <w:rsid w:val="00CB7F35"/>
    <w:rsid w:val="00CC004A"/>
    <w:rsid w:val="00CC0060"/>
    <w:rsid w:val="00CC0063"/>
    <w:rsid w:val="00CC04F3"/>
    <w:rsid w:val="00CC06D5"/>
    <w:rsid w:val="00CC0B03"/>
    <w:rsid w:val="00CC0F84"/>
    <w:rsid w:val="00CC0FDD"/>
    <w:rsid w:val="00CC1A2E"/>
    <w:rsid w:val="00CC1B03"/>
    <w:rsid w:val="00CC1B62"/>
    <w:rsid w:val="00CC1C6C"/>
    <w:rsid w:val="00CC1DD1"/>
    <w:rsid w:val="00CC1EB0"/>
    <w:rsid w:val="00CC2206"/>
    <w:rsid w:val="00CC23FB"/>
    <w:rsid w:val="00CC26DA"/>
    <w:rsid w:val="00CC2BE9"/>
    <w:rsid w:val="00CC30E7"/>
    <w:rsid w:val="00CC326B"/>
    <w:rsid w:val="00CC32DA"/>
    <w:rsid w:val="00CC3380"/>
    <w:rsid w:val="00CC3393"/>
    <w:rsid w:val="00CC3537"/>
    <w:rsid w:val="00CC367B"/>
    <w:rsid w:val="00CC3687"/>
    <w:rsid w:val="00CC3766"/>
    <w:rsid w:val="00CC3D34"/>
    <w:rsid w:val="00CC3D91"/>
    <w:rsid w:val="00CC3DDD"/>
    <w:rsid w:val="00CC40DD"/>
    <w:rsid w:val="00CC425E"/>
    <w:rsid w:val="00CC47BB"/>
    <w:rsid w:val="00CC48A2"/>
    <w:rsid w:val="00CC4D69"/>
    <w:rsid w:val="00CC5171"/>
    <w:rsid w:val="00CC55AF"/>
    <w:rsid w:val="00CC5816"/>
    <w:rsid w:val="00CC5D81"/>
    <w:rsid w:val="00CC72B6"/>
    <w:rsid w:val="00CC73E8"/>
    <w:rsid w:val="00CC7747"/>
    <w:rsid w:val="00CC7C17"/>
    <w:rsid w:val="00CC7E38"/>
    <w:rsid w:val="00CC7ECF"/>
    <w:rsid w:val="00CC7EEA"/>
    <w:rsid w:val="00CC7EFA"/>
    <w:rsid w:val="00CD0B17"/>
    <w:rsid w:val="00CD0CF9"/>
    <w:rsid w:val="00CD114F"/>
    <w:rsid w:val="00CD12FF"/>
    <w:rsid w:val="00CD1452"/>
    <w:rsid w:val="00CD16B7"/>
    <w:rsid w:val="00CD1AA7"/>
    <w:rsid w:val="00CD1C3F"/>
    <w:rsid w:val="00CD1E9E"/>
    <w:rsid w:val="00CD1EBB"/>
    <w:rsid w:val="00CD2021"/>
    <w:rsid w:val="00CD204D"/>
    <w:rsid w:val="00CD2117"/>
    <w:rsid w:val="00CD21C4"/>
    <w:rsid w:val="00CD260F"/>
    <w:rsid w:val="00CD27B7"/>
    <w:rsid w:val="00CD2B8B"/>
    <w:rsid w:val="00CD2F1C"/>
    <w:rsid w:val="00CD323E"/>
    <w:rsid w:val="00CD3402"/>
    <w:rsid w:val="00CD342B"/>
    <w:rsid w:val="00CD3BC0"/>
    <w:rsid w:val="00CD3E08"/>
    <w:rsid w:val="00CD408D"/>
    <w:rsid w:val="00CD41A8"/>
    <w:rsid w:val="00CD4B25"/>
    <w:rsid w:val="00CD4B66"/>
    <w:rsid w:val="00CD4C8C"/>
    <w:rsid w:val="00CD4DAD"/>
    <w:rsid w:val="00CD5121"/>
    <w:rsid w:val="00CD52F5"/>
    <w:rsid w:val="00CD560E"/>
    <w:rsid w:val="00CD5A4E"/>
    <w:rsid w:val="00CD60FC"/>
    <w:rsid w:val="00CD62DD"/>
    <w:rsid w:val="00CD65EE"/>
    <w:rsid w:val="00CD679C"/>
    <w:rsid w:val="00CD719C"/>
    <w:rsid w:val="00CD72F4"/>
    <w:rsid w:val="00CD753D"/>
    <w:rsid w:val="00CD7631"/>
    <w:rsid w:val="00CD7F88"/>
    <w:rsid w:val="00CE0397"/>
    <w:rsid w:val="00CE073C"/>
    <w:rsid w:val="00CE07B0"/>
    <w:rsid w:val="00CE080D"/>
    <w:rsid w:val="00CE09B5"/>
    <w:rsid w:val="00CE0AF6"/>
    <w:rsid w:val="00CE0E75"/>
    <w:rsid w:val="00CE125A"/>
    <w:rsid w:val="00CE17BF"/>
    <w:rsid w:val="00CE1C88"/>
    <w:rsid w:val="00CE1D19"/>
    <w:rsid w:val="00CE2155"/>
    <w:rsid w:val="00CE24EA"/>
    <w:rsid w:val="00CE25DE"/>
    <w:rsid w:val="00CE277E"/>
    <w:rsid w:val="00CE278A"/>
    <w:rsid w:val="00CE2BA5"/>
    <w:rsid w:val="00CE2C0A"/>
    <w:rsid w:val="00CE2EFB"/>
    <w:rsid w:val="00CE3074"/>
    <w:rsid w:val="00CE33FB"/>
    <w:rsid w:val="00CE343E"/>
    <w:rsid w:val="00CE36F4"/>
    <w:rsid w:val="00CE3820"/>
    <w:rsid w:val="00CE394F"/>
    <w:rsid w:val="00CE3D11"/>
    <w:rsid w:val="00CE3FDA"/>
    <w:rsid w:val="00CE46C7"/>
    <w:rsid w:val="00CE49EE"/>
    <w:rsid w:val="00CE51F2"/>
    <w:rsid w:val="00CE55AD"/>
    <w:rsid w:val="00CE564A"/>
    <w:rsid w:val="00CE5901"/>
    <w:rsid w:val="00CE5D7B"/>
    <w:rsid w:val="00CE6373"/>
    <w:rsid w:val="00CE6709"/>
    <w:rsid w:val="00CE675F"/>
    <w:rsid w:val="00CE699A"/>
    <w:rsid w:val="00CE6E79"/>
    <w:rsid w:val="00CE704B"/>
    <w:rsid w:val="00CE7166"/>
    <w:rsid w:val="00CE720F"/>
    <w:rsid w:val="00CE73CC"/>
    <w:rsid w:val="00CE776D"/>
    <w:rsid w:val="00CE7815"/>
    <w:rsid w:val="00CE793F"/>
    <w:rsid w:val="00CE7F3C"/>
    <w:rsid w:val="00CF0B55"/>
    <w:rsid w:val="00CF0D17"/>
    <w:rsid w:val="00CF137B"/>
    <w:rsid w:val="00CF13F7"/>
    <w:rsid w:val="00CF18FA"/>
    <w:rsid w:val="00CF1F73"/>
    <w:rsid w:val="00CF2114"/>
    <w:rsid w:val="00CF2389"/>
    <w:rsid w:val="00CF25B3"/>
    <w:rsid w:val="00CF27D0"/>
    <w:rsid w:val="00CF28C8"/>
    <w:rsid w:val="00CF2E52"/>
    <w:rsid w:val="00CF2FE5"/>
    <w:rsid w:val="00CF333C"/>
    <w:rsid w:val="00CF37F6"/>
    <w:rsid w:val="00CF39BF"/>
    <w:rsid w:val="00CF3DE2"/>
    <w:rsid w:val="00CF3F66"/>
    <w:rsid w:val="00CF437A"/>
    <w:rsid w:val="00CF4554"/>
    <w:rsid w:val="00CF4AA4"/>
    <w:rsid w:val="00CF4B96"/>
    <w:rsid w:val="00CF4F8B"/>
    <w:rsid w:val="00CF52AB"/>
    <w:rsid w:val="00CF53AE"/>
    <w:rsid w:val="00CF5416"/>
    <w:rsid w:val="00CF5590"/>
    <w:rsid w:val="00CF5F8D"/>
    <w:rsid w:val="00CF6630"/>
    <w:rsid w:val="00CF697F"/>
    <w:rsid w:val="00CF6DC3"/>
    <w:rsid w:val="00CF744D"/>
    <w:rsid w:val="00CF76F1"/>
    <w:rsid w:val="00CF7817"/>
    <w:rsid w:val="00CF783F"/>
    <w:rsid w:val="00CF7B72"/>
    <w:rsid w:val="00D00452"/>
    <w:rsid w:val="00D00A47"/>
    <w:rsid w:val="00D00A62"/>
    <w:rsid w:val="00D00ACC"/>
    <w:rsid w:val="00D00D01"/>
    <w:rsid w:val="00D01B8F"/>
    <w:rsid w:val="00D01C2B"/>
    <w:rsid w:val="00D01D2D"/>
    <w:rsid w:val="00D0218D"/>
    <w:rsid w:val="00D021CE"/>
    <w:rsid w:val="00D02241"/>
    <w:rsid w:val="00D0291A"/>
    <w:rsid w:val="00D02A73"/>
    <w:rsid w:val="00D02DC4"/>
    <w:rsid w:val="00D03162"/>
    <w:rsid w:val="00D032E7"/>
    <w:rsid w:val="00D034B4"/>
    <w:rsid w:val="00D04241"/>
    <w:rsid w:val="00D0429F"/>
    <w:rsid w:val="00D04325"/>
    <w:rsid w:val="00D043C4"/>
    <w:rsid w:val="00D0461A"/>
    <w:rsid w:val="00D04776"/>
    <w:rsid w:val="00D0479D"/>
    <w:rsid w:val="00D049E8"/>
    <w:rsid w:val="00D05446"/>
    <w:rsid w:val="00D057B8"/>
    <w:rsid w:val="00D0592D"/>
    <w:rsid w:val="00D05951"/>
    <w:rsid w:val="00D059B5"/>
    <w:rsid w:val="00D0601A"/>
    <w:rsid w:val="00D06BD9"/>
    <w:rsid w:val="00D0733F"/>
    <w:rsid w:val="00D0758F"/>
    <w:rsid w:val="00D0772A"/>
    <w:rsid w:val="00D07B7D"/>
    <w:rsid w:val="00D100D1"/>
    <w:rsid w:val="00D1014E"/>
    <w:rsid w:val="00D102B4"/>
    <w:rsid w:val="00D10473"/>
    <w:rsid w:val="00D106E4"/>
    <w:rsid w:val="00D107F1"/>
    <w:rsid w:val="00D1089D"/>
    <w:rsid w:val="00D10954"/>
    <w:rsid w:val="00D10A16"/>
    <w:rsid w:val="00D10A8B"/>
    <w:rsid w:val="00D111B3"/>
    <w:rsid w:val="00D112C4"/>
    <w:rsid w:val="00D1145A"/>
    <w:rsid w:val="00D11466"/>
    <w:rsid w:val="00D11B15"/>
    <w:rsid w:val="00D11C03"/>
    <w:rsid w:val="00D11CFD"/>
    <w:rsid w:val="00D1207E"/>
    <w:rsid w:val="00D12320"/>
    <w:rsid w:val="00D123C8"/>
    <w:rsid w:val="00D124BE"/>
    <w:rsid w:val="00D12523"/>
    <w:rsid w:val="00D12948"/>
    <w:rsid w:val="00D12A64"/>
    <w:rsid w:val="00D12BE0"/>
    <w:rsid w:val="00D12E53"/>
    <w:rsid w:val="00D130F3"/>
    <w:rsid w:val="00D13ABD"/>
    <w:rsid w:val="00D13C3D"/>
    <w:rsid w:val="00D13CC7"/>
    <w:rsid w:val="00D14046"/>
    <w:rsid w:val="00D14157"/>
    <w:rsid w:val="00D141A7"/>
    <w:rsid w:val="00D141D2"/>
    <w:rsid w:val="00D144ED"/>
    <w:rsid w:val="00D14547"/>
    <w:rsid w:val="00D1466D"/>
    <w:rsid w:val="00D14883"/>
    <w:rsid w:val="00D14C93"/>
    <w:rsid w:val="00D150A0"/>
    <w:rsid w:val="00D15197"/>
    <w:rsid w:val="00D151BF"/>
    <w:rsid w:val="00D15446"/>
    <w:rsid w:val="00D15680"/>
    <w:rsid w:val="00D156EB"/>
    <w:rsid w:val="00D15A49"/>
    <w:rsid w:val="00D15F55"/>
    <w:rsid w:val="00D15FB3"/>
    <w:rsid w:val="00D161E9"/>
    <w:rsid w:val="00D16848"/>
    <w:rsid w:val="00D16B34"/>
    <w:rsid w:val="00D16D28"/>
    <w:rsid w:val="00D16E69"/>
    <w:rsid w:val="00D16FA5"/>
    <w:rsid w:val="00D170DD"/>
    <w:rsid w:val="00D17414"/>
    <w:rsid w:val="00D17B29"/>
    <w:rsid w:val="00D17B9A"/>
    <w:rsid w:val="00D17E8D"/>
    <w:rsid w:val="00D2000E"/>
    <w:rsid w:val="00D200E5"/>
    <w:rsid w:val="00D20211"/>
    <w:rsid w:val="00D202BB"/>
    <w:rsid w:val="00D202BF"/>
    <w:rsid w:val="00D202E0"/>
    <w:rsid w:val="00D2046C"/>
    <w:rsid w:val="00D2097D"/>
    <w:rsid w:val="00D20C9E"/>
    <w:rsid w:val="00D214CC"/>
    <w:rsid w:val="00D216D5"/>
    <w:rsid w:val="00D2229D"/>
    <w:rsid w:val="00D223A5"/>
    <w:rsid w:val="00D2244D"/>
    <w:rsid w:val="00D22550"/>
    <w:rsid w:val="00D22684"/>
    <w:rsid w:val="00D22ED6"/>
    <w:rsid w:val="00D2335F"/>
    <w:rsid w:val="00D23419"/>
    <w:rsid w:val="00D23512"/>
    <w:rsid w:val="00D23691"/>
    <w:rsid w:val="00D23736"/>
    <w:rsid w:val="00D23766"/>
    <w:rsid w:val="00D2383B"/>
    <w:rsid w:val="00D23948"/>
    <w:rsid w:val="00D2410A"/>
    <w:rsid w:val="00D24165"/>
    <w:rsid w:val="00D24169"/>
    <w:rsid w:val="00D241E0"/>
    <w:rsid w:val="00D244D6"/>
    <w:rsid w:val="00D246B8"/>
    <w:rsid w:val="00D24847"/>
    <w:rsid w:val="00D2491E"/>
    <w:rsid w:val="00D24DCC"/>
    <w:rsid w:val="00D2578D"/>
    <w:rsid w:val="00D25C9E"/>
    <w:rsid w:val="00D25E80"/>
    <w:rsid w:val="00D25FB5"/>
    <w:rsid w:val="00D25FD6"/>
    <w:rsid w:val="00D25FFA"/>
    <w:rsid w:val="00D260B8"/>
    <w:rsid w:val="00D260FF"/>
    <w:rsid w:val="00D26276"/>
    <w:rsid w:val="00D2711E"/>
    <w:rsid w:val="00D2725E"/>
    <w:rsid w:val="00D272D9"/>
    <w:rsid w:val="00D272EA"/>
    <w:rsid w:val="00D27389"/>
    <w:rsid w:val="00D27442"/>
    <w:rsid w:val="00D2785C"/>
    <w:rsid w:val="00D27DB7"/>
    <w:rsid w:val="00D27EE3"/>
    <w:rsid w:val="00D30292"/>
    <w:rsid w:val="00D304C7"/>
    <w:rsid w:val="00D30897"/>
    <w:rsid w:val="00D30E71"/>
    <w:rsid w:val="00D3106E"/>
    <w:rsid w:val="00D310E2"/>
    <w:rsid w:val="00D31C7E"/>
    <w:rsid w:val="00D31CAF"/>
    <w:rsid w:val="00D32137"/>
    <w:rsid w:val="00D3240F"/>
    <w:rsid w:val="00D3266A"/>
    <w:rsid w:val="00D329EE"/>
    <w:rsid w:val="00D32BB0"/>
    <w:rsid w:val="00D32DAC"/>
    <w:rsid w:val="00D32DB9"/>
    <w:rsid w:val="00D332C5"/>
    <w:rsid w:val="00D3331E"/>
    <w:rsid w:val="00D33466"/>
    <w:rsid w:val="00D33718"/>
    <w:rsid w:val="00D338F7"/>
    <w:rsid w:val="00D33AF3"/>
    <w:rsid w:val="00D33E4A"/>
    <w:rsid w:val="00D33F07"/>
    <w:rsid w:val="00D342F2"/>
    <w:rsid w:val="00D34A2B"/>
    <w:rsid w:val="00D351A7"/>
    <w:rsid w:val="00D353F7"/>
    <w:rsid w:val="00D36001"/>
    <w:rsid w:val="00D36034"/>
    <w:rsid w:val="00D361FC"/>
    <w:rsid w:val="00D36224"/>
    <w:rsid w:val="00D36337"/>
    <w:rsid w:val="00D36B73"/>
    <w:rsid w:val="00D36D77"/>
    <w:rsid w:val="00D36E88"/>
    <w:rsid w:val="00D36F0F"/>
    <w:rsid w:val="00D3719C"/>
    <w:rsid w:val="00D37705"/>
    <w:rsid w:val="00D37A79"/>
    <w:rsid w:val="00D37FC9"/>
    <w:rsid w:val="00D4006B"/>
    <w:rsid w:val="00D40260"/>
    <w:rsid w:val="00D40367"/>
    <w:rsid w:val="00D4068F"/>
    <w:rsid w:val="00D4073C"/>
    <w:rsid w:val="00D40C45"/>
    <w:rsid w:val="00D40D59"/>
    <w:rsid w:val="00D40EFF"/>
    <w:rsid w:val="00D412AF"/>
    <w:rsid w:val="00D412F9"/>
    <w:rsid w:val="00D417DF"/>
    <w:rsid w:val="00D4185D"/>
    <w:rsid w:val="00D42501"/>
    <w:rsid w:val="00D427EC"/>
    <w:rsid w:val="00D42BF0"/>
    <w:rsid w:val="00D42C2A"/>
    <w:rsid w:val="00D42E07"/>
    <w:rsid w:val="00D42F77"/>
    <w:rsid w:val="00D43371"/>
    <w:rsid w:val="00D437E5"/>
    <w:rsid w:val="00D43A1C"/>
    <w:rsid w:val="00D43EA5"/>
    <w:rsid w:val="00D44223"/>
    <w:rsid w:val="00D44560"/>
    <w:rsid w:val="00D44741"/>
    <w:rsid w:val="00D4478A"/>
    <w:rsid w:val="00D448AA"/>
    <w:rsid w:val="00D45204"/>
    <w:rsid w:val="00D453D6"/>
    <w:rsid w:val="00D4559E"/>
    <w:rsid w:val="00D4577B"/>
    <w:rsid w:val="00D45BE3"/>
    <w:rsid w:val="00D45C0C"/>
    <w:rsid w:val="00D45C2F"/>
    <w:rsid w:val="00D460BB"/>
    <w:rsid w:val="00D461D9"/>
    <w:rsid w:val="00D46405"/>
    <w:rsid w:val="00D46587"/>
    <w:rsid w:val="00D46995"/>
    <w:rsid w:val="00D46C79"/>
    <w:rsid w:val="00D4713F"/>
    <w:rsid w:val="00D4744B"/>
    <w:rsid w:val="00D474FF"/>
    <w:rsid w:val="00D47777"/>
    <w:rsid w:val="00D477E1"/>
    <w:rsid w:val="00D47DCC"/>
    <w:rsid w:val="00D50948"/>
    <w:rsid w:val="00D50AE5"/>
    <w:rsid w:val="00D50CFC"/>
    <w:rsid w:val="00D51227"/>
    <w:rsid w:val="00D5123C"/>
    <w:rsid w:val="00D51E3E"/>
    <w:rsid w:val="00D52101"/>
    <w:rsid w:val="00D5212D"/>
    <w:rsid w:val="00D524AA"/>
    <w:rsid w:val="00D5271F"/>
    <w:rsid w:val="00D52D30"/>
    <w:rsid w:val="00D52D37"/>
    <w:rsid w:val="00D52D83"/>
    <w:rsid w:val="00D52E26"/>
    <w:rsid w:val="00D53016"/>
    <w:rsid w:val="00D53368"/>
    <w:rsid w:val="00D533D9"/>
    <w:rsid w:val="00D534CB"/>
    <w:rsid w:val="00D535AA"/>
    <w:rsid w:val="00D53709"/>
    <w:rsid w:val="00D53ADB"/>
    <w:rsid w:val="00D53B6E"/>
    <w:rsid w:val="00D53CA4"/>
    <w:rsid w:val="00D54156"/>
    <w:rsid w:val="00D547DB"/>
    <w:rsid w:val="00D54D38"/>
    <w:rsid w:val="00D54DCB"/>
    <w:rsid w:val="00D55165"/>
    <w:rsid w:val="00D5536B"/>
    <w:rsid w:val="00D55384"/>
    <w:rsid w:val="00D56043"/>
    <w:rsid w:val="00D5614F"/>
    <w:rsid w:val="00D56249"/>
    <w:rsid w:val="00D5634A"/>
    <w:rsid w:val="00D56448"/>
    <w:rsid w:val="00D56A47"/>
    <w:rsid w:val="00D56A61"/>
    <w:rsid w:val="00D56E04"/>
    <w:rsid w:val="00D56E56"/>
    <w:rsid w:val="00D56EC1"/>
    <w:rsid w:val="00D571F8"/>
    <w:rsid w:val="00D57208"/>
    <w:rsid w:val="00D57703"/>
    <w:rsid w:val="00D57929"/>
    <w:rsid w:val="00D57945"/>
    <w:rsid w:val="00D606CF"/>
    <w:rsid w:val="00D60AF7"/>
    <w:rsid w:val="00D60BCE"/>
    <w:rsid w:val="00D60DCB"/>
    <w:rsid w:val="00D6110C"/>
    <w:rsid w:val="00D6146A"/>
    <w:rsid w:val="00D6152C"/>
    <w:rsid w:val="00D61550"/>
    <w:rsid w:val="00D616EC"/>
    <w:rsid w:val="00D61BF5"/>
    <w:rsid w:val="00D62622"/>
    <w:rsid w:val="00D62808"/>
    <w:rsid w:val="00D62892"/>
    <w:rsid w:val="00D62BC8"/>
    <w:rsid w:val="00D6364F"/>
    <w:rsid w:val="00D6366A"/>
    <w:rsid w:val="00D638AD"/>
    <w:rsid w:val="00D63CAC"/>
    <w:rsid w:val="00D63D24"/>
    <w:rsid w:val="00D63E9B"/>
    <w:rsid w:val="00D64365"/>
    <w:rsid w:val="00D64469"/>
    <w:rsid w:val="00D644E5"/>
    <w:rsid w:val="00D645CC"/>
    <w:rsid w:val="00D6472B"/>
    <w:rsid w:val="00D64922"/>
    <w:rsid w:val="00D6495D"/>
    <w:rsid w:val="00D64B2E"/>
    <w:rsid w:val="00D64C84"/>
    <w:rsid w:val="00D64D00"/>
    <w:rsid w:val="00D6511D"/>
    <w:rsid w:val="00D65122"/>
    <w:rsid w:val="00D6515B"/>
    <w:rsid w:val="00D652D7"/>
    <w:rsid w:val="00D6547F"/>
    <w:rsid w:val="00D65667"/>
    <w:rsid w:val="00D65ED8"/>
    <w:rsid w:val="00D65F2A"/>
    <w:rsid w:val="00D6653E"/>
    <w:rsid w:val="00D66DDE"/>
    <w:rsid w:val="00D670A9"/>
    <w:rsid w:val="00D6716C"/>
    <w:rsid w:val="00D67326"/>
    <w:rsid w:val="00D67525"/>
    <w:rsid w:val="00D676E8"/>
    <w:rsid w:val="00D67745"/>
    <w:rsid w:val="00D700EB"/>
    <w:rsid w:val="00D70668"/>
    <w:rsid w:val="00D70A8F"/>
    <w:rsid w:val="00D7107E"/>
    <w:rsid w:val="00D71296"/>
    <w:rsid w:val="00D71379"/>
    <w:rsid w:val="00D713F6"/>
    <w:rsid w:val="00D71628"/>
    <w:rsid w:val="00D71ADA"/>
    <w:rsid w:val="00D71B0B"/>
    <w:rsid w:val="00D71D23"/>
    <w:rsid w:val="00D71EF9"/>
    <w:rsid w:val="00D7212B"/>
    <w:rsid w:val="00D72481"/>
    <w:rsid w:val="00D724AA"/>
    <w:rsid w:val="00D725F4"/>
    <w:rsid w:val="00D72810"/>
    <w:rsid w:val="00D7283F"/>
    <w:rsid w:val="00D72A16"/>
    <w:rsid w:val="00D72CCA"/>
    <w:rsid w:val="00D73729"/>
    <w:rsid w:val="00D73BB9"/>
    <w:rsid w:val="00D73C53"/>
    <w:rsid w:val="00D73C67"/>
    <w:rsid w:val="00D73D04"/>
    <w:rsid w:val="00D73F88"/>
    <w:rsid w:val="00D743A9"/>
    <w:rsid w:val="00D744D3"/>
    <w:rsid w:val="00D747DA"/>
    <w:rsid w:val="00D74C7C"/>
    <w:rsid w:val="00D74D09"/>
    <w:rsid w:val="00D74DF5"/>
    <w:rsid w:val="00D74E4A"/>
    <w:rsid w:val="00D74F14"/>
    <w:rsid w:val="00D754DE"/>
    <w:rsid w:val="00D755BF"/>
    <w:rsid w:val="00D75972"/>
    <w:rsid w:val="00D75A2B"/>
    <w:rsid w:val="00D75ABE"/>
    <w:rsid w:val="00D75AFA"/>
    <w:rsid w:val="00D76E05"/>
    <w:rsid w:val="00D76F9E"/>
    <w:rsid w:val="00D77424"/>
    <w:rsid w:val="00D7754A"/>
    <w:rsid w:val="00D77826"/>
    <w:rsid w:val="00D7784D"/>
    <w:rsid w:val="00D778CF"/>
    <w:rsid w:val="00D80514"/>
    <w:rsid w:val="00D8098F"/>
    <w:rsid w:val="00D80B27"/>
    <w:rsid w:val="00D80B50"/>
    <w:rsid w:val="00D80F6D"/>
    <w:rsid w:val="00D81241"/>
    <w:rsid w:val="00D8178E"/>
    <w:rsid w:val="00D81852"/>
    <w:rsid w:val="00D81961"/>
    <w:rsid w:val="00D81AE3"/>
    <w:rsid w:val="00D827A7"/>
    <w:rsid w:val="00D828E8"/>
    <w:rsid w:val="00D829C6"/>
    <w:rsid w:val="00D82ACB"/>
    <w:rsid w:val="00D82FC1"/>
    <w:rsid w:val="00D82FEC"/>
    <w:rsid w:val="00D83253"/>
    <w:rsid w:val="00D839A7"/>
    <w:rsid w:val="00D83A4E"/>
    <w:rsid w:val="00D83B73"/>
    <w:rsid w:val="00D83BD8"/>
    <w:rsid w:val="00D83F82"/>
    <w:rsid w:val="00D84097"/>
    <w:rsid w:val="00D84131"/>
    <w:rsid w:val="00D84170"/>
    <w:rsid w:val="00D84E4E"/>
    <w:rsid w:val="00D85AD2"/>
    <w:rsid w:val="00D86069"/>
    <w:rsid w:val="00D862A2"/>
    <w:rsid w:val="00D866D8"/>
    <w:rsid w:val="00D86797"/>
    <w:rsid w:val="00D86FAF"/>
    <w:rsid w:val="00D86FCF"/>
    <w:rsid w:val="00D873FB"/>
    <w:rsid w:val="00D877B5"/>
    <w:rsid w:val="00D878E4"/>
    <w:rsid w:val="00D87C16"/>
    <w:rsid w:val="00D87D25"/>
    <w:rsid w:val="00D87ECC"/>
    <w:rsid w:val="00D90139"/>
    <w:rsid w:val="00D9014B"/>
    <w:rsid w:val="00D90331"/>
    <w:rsid w:val="00D903BA"/>
    <w:rsid w:val="00D903E7"/>
    <w:rsid w:val="00D9045F"/>
    <w:rsid w:val="00D90545"/>
    <w:rsid w:val="00D909D3"/>
    <w:rsid w:val="00D90AE0"/>
    <w:rsid w:val="00D90E44"/>
    <w:rsid w:val="00D90F98"/>
    <w:rsid w:val="00D91794"/>
    <w:rsid w:val="00D91839"/>
    <w:rsid w:val="00D9184F"/>
    <w:rsid w:val="00D91C16"/>
    <w:rsid w:val="00D91C5D"/>
    <w:rsid w:val="00D91E89"/>
    <w:rsid w:val="00D91F51"/>
    <w:rsid w:val="00D923BE"/>
    <w:rsid w:val="00D92752"/>
    <w:rsid w:val="00D92BBB"/>
    <w:rsid w:val="00D92F50"/>
    <w:rsid w:val="00D9335E"/>
    <w:rsid w:val="00D934B2"/>
    <w:rsid w:val="00D934ED"/>
    <w:rsid w:val="00D93A65"/>
    <w:rsid w:val="00D93ADB"/>
    <w:rsid w:val="00D93BFD"/>
    <w:rsid w:val="00D94510"/>
    <w:rsid w:val="00D94632"/>
    <w:rsid w:val="00D94B05"/>
    <w:rsid w:val="00D94BCA"/>
    <w:rsid w:val="00D94CAA"/>
    <w:rsid w:val="00D94EAB"/>
    <w:rsid w:val="00D94FEB"/>
    <w:rsid w:val="00D9512E"/>
    <w:rsid w:val="00D9539A"/>
    <w:rsid w:val="00D9584A"/>
    <w:rsid w:val="00D95E59"/>
    <w:rsid w:val="00D95E8A"/>
    <w:rsid w:val="00D960E1"/>
    <w:rsid w:val="00D96729"/>
    <w:rsid w:val="00D96FEF"/>
    <w:rsid w:val="00D9714F"/>
    <w:rsid w:val="00D97234"/>
    <w:rsid w:val="00D97A09"/>
    <w:rsid w:val="00D97B02"/>
    <w:rsid w:val="00D97D7D"/>
    <w:rsid w:val="00DA0046"/>
    <w:rsid w:val="00DA031B"/>
    <w:rsid w:val="00DA066D"/>
    <w:rsid w:val="00DA0D49"/>
    <w:rsid w:val="00DA1058"/>
    <w:rsid w:val="00DA1D5A"/>
    <w:rsid w:val="00DA20F1"/>
    <w:rsid w:val="00DA21A4"/>
    <w:rsid w:val="00DA22B1"/>
    <w:rsid w:val="00DA2529"/>
    <w:rsid w:val="00DA2576"/>
    <w:rsid w:val="00DA2A50"/>
    <w:rsid w:val="00DA2E60"/>
    <w:rsid w:val="00DA2F20"/>
    <w:rsid w:val="00DA3088"/>
    <w:rsid w:val="00DA308B"/>
    <w:rsid w:val="00DA35D0"/>
    <w:rsid w:val="00DA393A"/>
    <w:rsid w:val="00DA3978"/>
    <w:rsid w:val="00DA3AF4"/>
    <w:rsid w:val="00DA4021"/>
    <w:rsid w:val="00DA430C"/>
    <w:rsid w:val="00DA4503"/>
    <w:rsid w:val="00DA4F09"/>
    <w:rsid w:val="00DA52A3"/>
    <w:rsid w:val="00DA52DC"/>
    <w:rsid w:val="00DA5969"/>
    <w:rsid w:val="00DA5A95"/>
    <w:rsid w:val="00DA5CF8"/>
    <w:rsid w:val="00DA6115"/>
    <w:rsid w:val="00DA63CE"/>
    <w:rsid w:val="00DA65E4"/>
    <w:rsid w:val="00DA68E2"/>
    <w:rsid w:val="00DA6A18"/>
    <w:rsid w:val="00DA6BBC"/>
    <w:rsid w:val="00DA6BFA"/>
    <w:rsid w:val="00DA6FC4"/>
    <w:rsid w:val="00DA7561"/>
    <w:rsid w:val="00DA78BB"/>
    <w:rsid w:val="00DA7BF9"/>
    <w:rsid w:val="00DA7C10"/>
    <w:rsid w:val="00DB0179"/>
    <w:rsid w:val="00DB0186"/>
    <w:rsid w:val="00DB03F2"/>
    <w:rsid w:val="00DB130A"/>
    <w:rsid w:val="00DB1402"/>
    <w:rsid w:val="00DB143E"/>
    <w:rsid w:val="00DB1548"/>
    <w:rsid w:val="00DB1579"/>
    <w:rsid w:val="00DB1A19"/>
    <w:rsid w:val="00DB1ABC"/>
    <w:rsid w:val="00DB24FB"/>
    <w:rsid w:val="00DB26E8"/>
    <w:rsid w:val="00DB27D5"/>
    <w:rsid w:val="00DB294D"/>
    <w:rsid w:val="00DB2ADA"/>
    <w:rsid w:val="00DB2D2D"/>
    <w:rsid w:val="00DB2EBB"/>
    <w:rsid w:val="00DB32D3"/>
    <w:rsid w:val="00DB3463"/>
    <w:rsid w:val="00DB355E"/>
    <w:rsid w:val="00DB3A27"/>
    <w:rsid w:val="00DB3ADE"/>
    <w:rsid w:val="00DB3D2D"/>
    <w:rsid w:val="00DB41C5"/>
    <w:rsid w:val="00DB4696"/>
    <w:rsid w:val="00DB489E"/>
    <w:rsid w:val="00DB4C94"/>
    <w:rsid w:val="00DB4EB3"/>
    <w:rsid w:val="00DB4ED6"/>
    <w:rsid w:val="00DB4F0A"/>
    <w:rsid w:val="00DB56B9"/>
    <w:rsid w:val="00DB5E7F"/>
    <w:rsid w:val="00DB64C9"/>
    <w:rsid w:val="00DB6607"/>
    <w:rsid w:val="00DB6D6C"/>
    <w:rsid w:val="00DB706C"/>
    <w:rsid w:val="00DB70C0"/>
    <w:rsid w:val="00DB748D"/>
    <w:rsid w:val="00DB7972"/>
    <w:rsid w:val="00DC00BB"/>
    <w:rsid w:val="00DC033C"/>
    <w:rsid w:val="00DC04A8"/>
    <w:rsid w:val="00DC07CB"/>
    <w:rsid w:val="00DC0A5B"/>
    <w:rsid w:val="00DC0D36"/>
    <w:rsid w:val="00DC0EBB"/>
    <w:rsid w:val="00DC1095"/>
    <w:rsid w:val="00DC10A1"/>
    <w:rsid w:val="00DC17A9"/>
    <w:rsid w:val="00DC184A"/>
    <w:rsid w:val="00DC1E99"/>
    <w:rsid w:val="00DC20AA"/>
    <w:rsid w:val="00DC25F6"/>
    <w:rsid w:val="00DC28C0"/>
    <w:rsid w:val="00DC2AC2"/>
    <w:rsid w:val="00DC3586"/>
    <w:rsid w:val="00DC35F0"/>
    <w:rsid w:val="00DC36C7"/>
    <w:rsid w:val="00DC36F1"/>
    <w:rsid w:val="00DC385A"/>
    <w:rsid w:val="00DC3F37"/>
    <w:rsid w:val="00DC4301"/>
    <w:rsid w:val="00DC447E"/>
    <w:rsid w:val="00DC4703"/>
    <w:rsid w:val="00DC49CA"/>
    <w:rsid w:val="00DC4AF8"/>
    <w:rsid w:val="00DC530F"/>
    <w:rsid w:val="00DC57C1"/>
    <w:rsid w:val="00DC5A3C"/>
    <w:rsid w:val="00DC5A9E"/>
    <w:rsid w:val="00DC5BD4"/>
    <w:rsid w:val="00DC5D3A"/>
    <w:rsid w:val="00DC5D69"/>
    <w:rsid w:val="00DC5F36"/>
    <w:rsid w:val="00DC6059"/>
    <w:rsid w:val="00DC652C"/>
    <w:rsid w:val="00DC655F"/>
    <w:rsid w:val="00DC6570"/>
    <w:rsid w:val="00DC6990"/>
    <w:rsid w:val="00DC6B44"/>
    <w:rsid w:val="00DC6ED8"/>
    <w:rsid w:val="00DC70A0"/>
    <w:rsid w:val="00DC7106"/>
    <w:rsid w:val="00DC728A"/>
    <w:rsid w:val="00DC74F5"/>
    <w:rsid w:val="00DC7514"/>
    <w:rsid w:val="00DC7816"/>
    <w:rsid w:val="00DC78F3"/>
    <w:rsid w:val="00DC7BC1"/>
    <w:rsid w:val="00DD0168"/>
    <w:rsid w:val="00DD01CE"/>
    <w:rsid w:val="00DD0202"/>
    <w:rsid w:val="00DD02AA"/>
    <w:rsid w:val="00DD05D3"/>
    <w:rsid w:val="00DD0B59"/>
    <w:rsid w:val="00DD0B5F"/>
    <w:rsid w:val="00DD0C81"/>
    <w:rsid w:val="00DD0D33"/>
    <w:rsid w:val="00DD0F49"/>
    <w:rsid w:val="00DD1017"/>
    <w:rsid w:val="00DD12C6"/>
    <w:rsid w:val="00DD13D6"/>
    <w:rsid w:val="00DD1554"/>
    <w:rsid w:val="00DD1770"/>
    <w:rsid w:val="00DD194A"/>
    <w:rsid w:val="00DD26F2"/>
    <w:rsid w:val="00DD2A21"/>
    <w:rsid w:val="00DD2AD1"/>
    <w:rsid w:val="00DD2C54"/>
    <w:rsid w:val="00DD2E4C"/>
    <w:rsid w:val="00DD3113"/>
    <w:rsid w:val="00DD3501"/>
    <w:rsid w:val="00DD3538"/>
    <w:rsid w:val="00DD3755"/>
    <w:rsid w:val="00DD40EC"/>
    <w:rsid w:val="00DD42B6"/>
    <w:rsid w:val="00DD43D4"/>
    <w:rsid w:val="00DD48B2"/>
    <w:rsid w:val="00DD4A2E"/>
    <w:rsid w:val="00DD51F5"/>
    <w:rsid w:val="00DD5B96"/>
    <w:rsid w:val="00DD5C1C"/>
    <w:rsid w:val="00DD5DE0"/>
    <w:rsid w:val="00DD6285"/>
    <w:rsid w:val="00DD64E3"/>
    <w:rsid w:val="00DD6977"/>
    <w:rsid w:val="00DD6CAE"/>
    <w:rsid w:val="00DD6EA5"/>
    <w:rsid w:val="00DD7115"/>
    <w:rsid w:val="00DD73F5"/>
    <w:rsid w:val="00DD7EBD"/>
    <w:rsid w:val="00DD7F77"/>
    <w:rsid w:val="00DE015E"/>
    <w:rsid w:val="00DE0176"/>
    <w:rsid w:val="00DE026A"/>
    <w:rsid w:val="00DE06BE"/>
    <w:rsid w:val="00DE0BF4"/>
    <w:rsid w:val="00DE1275"/>
    <w:rsid w:val="00DE1612"/>
    <w:rsid w:val="00DE16F8"/>
    <w:rsid w:val="00DE19D3"/>
    <w:rsid w:val="00DE1D79"/>
    <w:rsid w:val="00DE1D8F"/>
    <w:rsid w:val="00DE1EFE"/>
    <w:rsid w:val="00DE2102"/>
    <w:rsid w:val="00DE24BD"/>
    <w:rsid w:val="00DE26A9"/>
    <w:rsid w:val="00DE2A13"/>
    <w:rsid w:val="00DE2C59"/>
    <w:rsid w:val="00DE2FDB"/>
    <w:rsid w:val="00DE32FA"/>
    <w:rsid w:val="00DE33AE"/>
    <w:rsid w:val="00DE39C9"/>
    <w:rsid w:val="00DE3B06"/>
    <w:rsid w:val="00DE3B62"/>
    <w:rsid w:val="00DE3C4A"/>
    <w:rsid w:val="00DE3DE0"/>
    <w:rsid w:val="00DE3E77"/>
    <w:rsid w:val="00DE3ED9"/>
    <w:rsid w:val="00DE409E"/>
    <w:rsid w:val="00DE446E"/>
    <w:rsid w:val="00DE4489"/>
    <w:rsid w:val="00DE45B4"/>
    <w:rsid w:val="00DE4BEC"/>
    <w:rsid w:val="00DE53C5"/>
    <w:rsid w:val="00DE54A1"/>
    <w:rsid w:val="00DE5724"/>
    <w:rsid w:val="00DE5F12"/>
    <w:rsid w:val="00DE5FB8"/>
    <w:rsid w:val="00DE61A7"/>
    <w:rsid w:val="00DE653A"/>
    <w:rsid w:val="00DE67FC"/>
    <w:rsid w:val="00DE69FE"/>
    <w:rsid w:val="00DE6AE1"/>
    <w:rsid w:val="00DE6E89"/>
    <w:rsid w:val="00DE7179"/>
    <w:rsid w:val="00DE72AA"/>
    <w:rsid w:val="00DE76FF"/>
    <w:rsid w:val="00DE7EB0"/>
    <w:rsid w:val="00DE7F5E"/>
    <w:rsid w:val="00DF0087"/>
    <w:rsid w:val="00DF0159"/>
    <w:rsid w:val="00DF03E9"/>
    <w:rsid w:val="00DF0A5D"/>
    <w:rsid w:val="00DF114F"/>
    <w:rsid w:val="00DF13DD"/>
    <w:rsid w:val="00DF140E"/>
    <w:rsid w:val="00DF15AE"/>
    <w:rsid w:val="00DF15BE"/>
    <w:rsid w:val="00DF180E"/>
    <w:rsid w:val="00DF19A9"/>
    <w:rsid w:val="00DF1ACB"/>
    <w:rsid w:val="00DF1B75"/>
    <w:rsid w:val="00DF2AEF"/>
    <w:rsid w:val="00DF2C03"/>
    <w:rsid w:val="00DF2C1A"/>
    <w:rsid w:val="00DF2C81"/>
    <w:rsid w:val="00DF2DDF"/>
    <w:rsid w:val="00DF30AC"/>
    <w:rsid w:val="00DF30E3"/>
    <w:rsid w:val="00DF313B"/>
    <w:rsid w:val="00DF33B7"/>
    <w:rsid w:val="00DF3422"/>
    <w:rsid w:val="00DF3517"/>
    <w:rsid w:val="00DF36E9"/>
    <w:rsid w:val="00DF38C2"/>
    <w:rsid w:val="00DF3C4A"/>
    <w:rsid w:val="00DF3E9B"/>
    <w:rsid w:val="00DF4125"/>
    <w:rsid w:val="00DF4496"/>
    <w:rsid w:val="00DF458F"/>
    <w:rsid w:val="00DF4801"/>
    <w:rsid w:val="00DF4865"/>
    <w:rsid w:val="00DF4BCD"/>
    <w:rsid w:val="00DF5171"/>
    <w:rsid w:val="00DF5305"/>
    <w:rsid w:val="00DF5430"/>
    <w:rsid w:val="00DF55C6"/>
    <w:rsid w:val="00DF5642"/>
    <w:rsid w:val="00DF56AF"/>
    <w:rsid w:val="00DF5989"/>
    <w:rsid w:val="00DF5AFB"/>
    <w:rsid w:val="00DF5B8E"/>
    <w:rsid w:val="00DF5D63"/>
    <w:rsid w:val="00DF60B6"/>
    <w:rsid w:val="00DF62B6"/>
    <w:rsid w:val="00DF6921"/>
    <w:rsid w:val="00DF693B"/>
    <w:rsid w:val="00DF6C14"/>
    <w:rsid w:val="00DF6E10"/>
    <w:rsid w:val="00DF6E1D"/>
    <w:rsid w:val="00DF6FE3"/>
    <w:rsid w:val="00DF7047"/>
    <w:rsid w:val="00DF73BC"/>
    <w:rsid w:val="00DF7F82"/>
    <w:rsid w:val="00E00269"/>
    <w:rsid w:val="00E00285"/>
    <w:rsid w:val="00E00465"/>
    <w:rsid w:val="00E00479"/>
    <w:rsid w:val="00E00617"/>
    <w:rsid w:val="00E006C5"/>
    <w:rsid w:val="00E00776"/>
    <w:rsid w:val="00E0090F"/>
    <w:rsid w:val="00E009EE"/>
    <w:rsid w:val="00E00BE3"/>
    <w:rsid w:val="00E00D68"/>
    <w:rsid w:val="00E00F73"/>
    <w:rsid w:val="00E014E2"/>
    <w:rsid w:val="00E0192B"/>
    <w:rsid w:val="00E021A0"/>
    <w:rsid w:val="00E02218"/>
    <w:rsid w:val="00E02407"/>
    <w:rsid w:val="00E02438"/>
    <w:rsid w:val="00E028BB"/>
    <w:rsid w:val="00E02DA5"/>
    <w:rsid w:val="00E02E06"/>
    <w:rsid w:val="00E02E09"/>
    <w:rsid w:val="00E03167"/>
    <w:rsid w:val="00E03257"/>
    <w:rsid w:val="00E032C9"/>
    <w:rsid w:val="00E03815"/>
    <w:rsid w:val="00E03CB8"/>
    <w:rsid w:val="00E03F46"/>
    <w:rsid w:val="00E040F0"/>
    <w:rsid w:val="00E04193"/>
    <w:rsid w:val="00E042D9"/>
    <w:rsid w:val="00E04383"/>
    <w:rsid w:val="00E047E2"/>
    <w:rsid w:val="00E049BC"/>
    <w:rsid w:val="00E04ED0"/>
    <w:rsid w:val="00E04F86"/>
    <w:rsid w:val="00E05762"/>
    <w:rsid w:val="00E058C5"/>
    <w:rsid w:val="00E05982"/>
    <w:rsid w:val="00E05B92"/>
    <w:rsid w:val="00E05EEA"/>
    <w:rsid w:val="00E06099"/>
    <w:rsid w:val="00E062CB"/>
    <w:rsid w:val="00E066DA"/>
    <w:rsid w:val="00E0673D"/>
    <w:rsid w:val="00E06C2F"/>
    <w:rsid w:val="00E07225"/>
    <w:rsid w:val="00E07A13"/>
    <w:rsid w:val="00E07A33"/>
    <w:rsid w:val="00E07AAC"/>
    <w:rsid w:val="00E07E94"/>
    <w:rsid w:val="00E07F93"/>
    <w:rsid w:val="00E100F6"/>
    <w:rsid w:val="00E1011B"/>
    <w:rsid w:val="00E10467"/>
    <w:rsid w:val="00E10475"/>
    <w:rsid w:val="00E10585"/>
    <w:rsid w:val="00E105E1"/>
    <w:rsid w:val="00E108F1"/>
    <w:rsid w:val="00E10929"/>
    <w:rsid w:val="00E10AD7"/>
    <w:rsid w:val="00E10BF4"/>
    <w:rsid w:val="00E10D42"/>
    <w:rsid w:val="00E10DE1"/>
    <w:rsid w:val="00E11171"/>
    <w:rsid w:val="00E114F9"/>
    <w:rsid w:val="00E1159A"/>
    <w:rsid w:val="00E117ED"/>
    <w:rsid w:val="00E1187E"/>
    <w:rsid w:val="00E11C53"/>
    <w:rsid w:val="00E11F36"/>
    <w:rsid w:val="00E1220B"/>
    <w:rsid w:val="00E122C2"/>
    <w:rsid w:val="00E12AA4"/>
    <w:rsid w:val="00E12D08"/>
    <w:rsid w:val="00E13118"/>
    <w:rsid w:val="00E13409"/>
    <w:rsid w:val="00E13A5B"/>
    <w:rsid w:val="00E13DE0"/>
    <w:rsid w:val="00E13EBC"/>
    <w:rsid w:val="00E13F7A"/>
    <w:rsid w:val="00E14126"/>
    <w:rsid w:val="00E14688"/>
    <w:rsid w:val="00E14991"/>
    <w:rsid w:val="00E14B91"/>
    <w:rsid w:val="00E14FFC"/>
    <w:rsid w:val="00E1553D"/>
    <w:rsid w:val="00E1566B"/>
    <w:rsid w:val="00E15C15"/>
    <w:rsid w:val="00E15C7C"/>
    <w:rsid w:val="00E16736"/>
    <w:rsid w:val="00E16B78"/>
    <w:rsid w:val="00E170A5"/>
    <w:rsid w:val="00E171A3"/>
    <w:rsid w:val="00E17608"/>
    <w:rsid w:val="00E17B77"/>
    <w:rsid w:val="00E20279"/>
    <w:rsid w:val="00E20361"/>
    <w:rsid w:val="00E20499"/>
    <w:rsid w:val="00E20507"/>
    <w:rsid w:val="00E20659"/>
    <w:rsid w:val="00E206C1"/>
    <w:rsid w:val="00E20B27"/>
    <w:rsid w:val="00E21435"/>
    <w:rsid w:val="00E2160F"/>
    <w:rsid w:val="00E218E0"/>
    <w:rsid w:val="00E21CA6"/>
    <w:rsid w:val="00E21DDA"/>
    <w:rsid w:val="00E21E17"/>
    <w:rsid w:val="00E2231A"/>
    <w:rsid w:val="00E22723"/>
    <w:rsid w:val="00E22800"/>
    <w:rsid w:val="00E22E09"/>
    <w:rsid w:val="00E22F55"/>
    <w:rsid w:val="00E232ED"/>
    <w:rsid w:val="00E234F5"/>
    <w:rsid w:val="00E23BBB"/>
    <w:rsid w:val="00E23C27"/>
    <w:rsid w:val="00E23E8C"/>
    <w:rsid w:val="00E24062"/>
    <w:rsid w:val="00E2450E"/>
    <w:rsid w:val="00E24556"/>
    <w:rsid w:val="00E24CA5"/>
    <w:rsid w:val="00E24CB1"/>
    <w:rsid w:val="00E24CFB"/>
    <w:rsid w:val="00E24ED4"/>
    <w:rsid w:val="00E24EF1"/>
    <w:rsid w:val="00E253EC"/>
    <w:rsid w:val="00E25B35"/>
    <w:rsid w:val="00E26499"/>
    <w:rsid w:val="00E2685F"/>
    <w:rsid w:val="00E26C4E"/>
    <w:rsid w:val="00E26E3B"/>
    <w:rsid w:val="00E26FB0"/>
    <w:rsid w:val="00E2719D"/>
    <w:rsid w:val="00E274E9"/>
    <w:rsid w:val="00E2759A"/>
    <w:rsid w:val="00E2761E"/>
    <w:rsid w:val="00E27705"/>
    <w:rsid w:val="00E279C6"/>
    <w:rsid w:val="00E27D52"/>
    <w:rsid w:val="00E27DA1"/>
    <w:rsid w:val="00E3010D"/>
    <w:rsid w:val="00E30122"/>
    <w:rsid w:val="00E30464"/>
    <w:rsid w:val="00E30474"/>
    <w:rsid w:val="00E30573"/>
    <w:rsid w:val="00E3072D"/>
    <w:rsid w:val="00E30ABF"/>
    <w:rsid w:val="00E30BFF"/>
    <w:rsid w:val="00E31179"/>
    <w:rsid w:val="00E3118D"/>
    <w:rsid w:val="00E318C4"/>
    <w:rsid w:val="00E31C59"/>
    <w:rsid w:val="00E32A5E"/>
    <w:rsid w:val="00E32CF6"/>
    <w:rsid w:val="00E32DED"/>
    <w:rsid w:val="00E331F0"/>
    <w:rsid w:val="00E3357D"/>
    <w:rsid w:val="00E33C58"/>
    <w:rsid w:val="00E33F32"/>
    <w:rsid w:val="00E3411C"/>
    <w:rsid w:val="00E3423B"/>
    <w:rsid w:val="00E34456"/>
    <w:rsid w:val="00E344B5"/>
    <w:rsid w:val="00E345FC"/>
    <w:rsid w:val="00E348F3"/>
    <w:rsid w:val="00E3493B"/>
    <w:rsid w:val="00E34B2D"/>
    <w:rsid w:val="00E35101"/>
    <w:rsid w:val="00E351D2"/>
    <w:rsid w:val="00E355B8"/>
    <w:rsid w:val="00E3561F"/>
    <w:rsid w:val="00E357EA"/>
    <w:rsid w:val="00E35A99"/>
    <w:rsid w:val="00E362EE"/>
    <w:rsid w:val="00E363F9"/>
    <w:rsid w:val="00E36916"/>
    <w:rsid w:val="00E37037"/>
    <w:rsid w:val="00E3722A"/>
    <w:rsid w:val="00E37550"/>
    <w:rsid w:val="00E37874"/>
    <w:rsid w:val="00E37CBB"/>
    <w:rsid w:val="00E37D15"/>
    <w:rsid w:val="00E37EE9"/>
    <w:rsid w:val="00E37F73"/>
    <w:rsid w:val="00E40086"/>
    <w:rsid w:val="00E403D5"/>
    <w:rsid w:val="00E405C9"/>
    <w:rsid w:val="00E406F5"/>
    <w:rsid w:val="00E40779"/>
    <w:rsid w:val="00E4097E"/>
    <w:rsid w:val="00E409FC"/>
    <w:rsid w:val="00E40C92"/>
    <w:rsid w:val="00E40E00"/>
    <w:rsid w:val="00E412E7"/>
    <w:rsid w:val="00E41735"/>
    <w:rsid w:val="00E417A5"/>
    <w:rsid w:val="00E41827"/>
    <w:rsid w:val="00E41B8E"/>
    <w:rsid w:val="00E422F7"/>
    <w:rsid w:val="00E4250B"/>
    <w:rsid w:val="00E4257C"/>
    <w:rsid w:val="00E4272E"/>
    <w:rsid w:val="00E42943"/>
    <w:rsid w:val="00E42E5E"/>
    <w:rsid w:val="00E42F48"/>
    <w:rsid w:val="00E4318F"/>
    <w:rsid w:val="00E432B3"/>
    <w:rsid w:val="00E4341C"/>
    <w:rsid w:val="00E4366B"/>
    <w:rsid w:val="00E436D4"/>
    <w:rsid w:val="00E43B68"/>
    <w:rsid w:val="00E4425C"/>
    <w:rsid w:val="00E44276"/>
    <w:rsid w:val="00E44370"/>
    <w:rsid w:val="00E44C7E"/>
    <w:rsid w:val="00E44CF8"/>
    <w:rsid w:val="00E45A34"/>
    <w:rsid w:val="00E45DA8"/>
    <w:rsid w:val="00E45DFA"/>
    <w:rsid w:val="00E45EEC"/>
    <w:rsid w:val="00E460EB"/>
    <w:rsid w:val="00E46952"/>
    <w:rsid w:val="00E469C5"/>
    <w:rsid w:val="00E46A77"/>
    <w:rsid w:val="00E47015"/>
    <w:rsid w:val="00E470DE"/>
    <w:rsid w:val="00E472CC"/>
    <w:rsid w:val="00E47840"/>
    <w:rsid w:val="00E478AD"/>
    <w:rsid w:val="00E47A8D"/>
    <w:rsid w:val="00E47DC2"/>
    <w:rsid w:val="00E47E41"/>
    <w:rsid w:val="00E50706"/>
    <w:rsid w:val="00E50995"/>
    <w:rsid w:val="00E50F0A"/>
    <w:rsid w:val="00E514D6"/>
    <w:rsid w:val="00E5168B"/>
    <w:rsid w:val="00E516D6"/>
    <w:rsid w:val="00E51EB5"/>
    <w:rsid w:val="00E5222D"/>
    <w:rsid w:val="00E52236"/>
    <w:rsid w:val="00E528B6"/>
    <w:rsid w:val="00E5297B"/>
    <w:rsid w:val="00E52A5A"/>
    <w:rsid w:val="00E52C63"/>
    <w:rsid w:val="00E52C64"/>
    <w:rsid w:val="00E530DC"/>
    <w:rsid w:val="00E53121"/>
    <w:rsid w:val="00E5333D"/>
    <w:rsid w:val="00E533A9"/>
    <w:rsid w:val="00E538E6"/>
    <w:rsid w:val="00E53B58"/>
    <w:rsid w:val="00E5405A"/>
    <w:rsid w:val="00E5409F"/>
    <w:rsid w:val="00E5436F"/>
    <w:rsid w:val="00E546FB"/>
    <w:rsid w:val="00E5489B"/>
    <w:rsid w:val="00E548E5"/>
    <w:rsid w:val="00E54AB7"/>
    <w:rsid w:val="00E54B3D"/>
    <w:rsid w:val="00E54C23"/>
    <w:rsid w:val="00E550BA"/>
    <w:rsid w:val="00E55216"/>
    <w:rsid w:val="00E55393"/>
    <w:rsid w:val="00E554D6"/>
    <w:rsid w:val="00E557F6"/>
    <w:rsid w:val="00E5597E"/>
    <w:rsid w:val="00E55D33"/>
    <w:rsid w:val="00E55FD0"/>
    <w:rsid w:val="00E56016"/>
    <w:rsid w:val="00E5653F"/>
    <w:rsid w:val="00E565B5"/>
    <w:rsid w:val="00E56604"/>
    <w:rsid w:val="00E5680E"/>
    <w:rsid w:val="00E56A86"/>
    <w:rsid w:val="00E56BB2"/>
    <w:rsid w:val="00E56CD2"/>
    <w:rsid w:val="00E56D59"/>
    <w:rsid w:val="00E56E0E"/>
    <w:rsid w:val="00E5776C"/>
    <w:rsid w:val="00E5782C"/>
    <w:rsid w:val="00E5797B"/>
    <w:rsid w:val="00E57B0C"/>
    <w:rsid w:val="00E57DC4"/>
    <w:rsid w:val="00E57E6D"/>
    <w:rsid w:val="00E6003F"/>
    <w:rsid w:val="00E60469"/>
    <w:rsid w:val="00E6066A"/>
    <w:rsid w:val="00E6072A"/>
    <w:rsid w:val="00E60CFA"/>
    <w:rsid w:val="00E60E05"/>
    <w:rsid w:val="00E61288"/>
    <w:rsid w:val="00E6128D"/>
    <w:rsid w:val="00E61427"/>
    <w:rsid w:val="00E6165F"/>
    <w:rsid w:val="00E61D33"/>
    <w:rsid w:val="00E62134"/>
    <w:rsid w:val="00E62152"/>
    <w:rsid w:val="00E6267B"/>
    <w:rsid w:val="00E6280F"/>
    <w:rsid w:val="00E62FCC"/>
    <w:rsid w:val="00E633A1"/>
    <w:rsid w:val="00E63A9B"/>
    <w:rsid w:val="00E63BFB"/>
    <w:rsid w:val="00E64571"/>
    <w:rsid w:val="00E6495C"/>
    <w:rsid w:val="00E64A20"/>
    <w:rsid w:val="00E64C5D"/>
    <w:rsid w:val="00E64CBF"/>
    <w:rsid w:val="00E64E32"/>
    <w:rsid w:val="00E64FD0"/>
    <w:rsid w:val="00E64FF6"/>
    <w:rsid w:val="00E65083"/>
    <w:rsid w:val="00E65ADF"/>
    <w:rsid w:val="00E65E9C"/>
    <w:rsid w:val="00E65F33"/>
    <w:rsid w:val="00E6613E"/>
    <w:rsid w:val="00E66290"/>
    <w:rsid w:val="00E664CE"/>
    <w:rsid w:val="00E666DC"/>
    <w:rsid w:val="00E6695A"/>
    <w:rsid w:val="00E66981"/>
    <w:rsid w:val="00E669DE"/>
    <w:rsid w:val="00E66C39"/>
    <w:rsid w:val="00E66E67"/>
    <w:rsid w:val="00E672C4"/>
    <w:rsid w:val="00E67445"/>
    <w:rsid w:val="00E67577"/>
    <w:rsid w:val="00E67D5B"/>
    <w:rsid w:val="00E67D66"/>
    <w:rsid w:val="00E67EFC"/>
    <w:rsid w:val="00E7049F"/>
    <w:rsid w:val="00E706B8"/>
    <w:rsid w:val="00E708D6"/>
    <w:rsid w:val="00E70B02"/>
    <w:rsid w:val="00E70F38"/>
    <w:rsid w:val="00E711E2"/>
    <w:rsid w:val="00E712CE"/>
    <w:rsid w:val="00E713BB"/>
    <w:rsid w:val="00E71A6E"/>
    <w:rsid w:val="00E71ACD"/>
    <w:rsid w:val="00E71FCD"/>
    <w:rsid w:val="00E7249F"/>
    <w:rsid w:val="00E72A41"/>
    <w:rsid w:val="00E72ACF"/>
    <w:rsid w:val="00E72BA2"/>
    <w:rsid w:val="00E72C31"/>
    <w:rsid w:val="00E7345E"/>
    <w:rsid w:val="00E73E17"/>
    <w:rsid w:val="00E73E6D"/>
    <w:rsid w:val="00E73F54"/>
    <w:rsid w:val="00E73FAE"/>
    <w:rsid w:val="00E74688"/>
    <w:rsid w:val="00E74C02"/>
    <w:rsid w:val="00E7537E"/>
    <w:rsid w:val="00E753C3"/>
    <w:rsid w:val="00E75425"/>
    <w:rsid w:val="00E754A4"/>
    <w:rsid w:val="00E75549"/>
    <w:rsid w:val="00E755C4"/>
    <w:rsid w:val="00E756C6"/>
    <w:rsid w:val="00E75774"/>
    <w:rsid w:val="00E757EA"/>
    <w:rsid w:val="00E7593D"/>
    <w:rsid w:val="00E75A0C"/>
    <w:rsid w:val="00E75D51"/>
    <w:rsid w:val="00E75EB9"/>
    <w:rsid w:val="00E7645A"/>
    <w:rsid w:val="00E765D7"/>
    <w:rsid w:val="00E76783"/>
    <w:rsid w:val="00E76890"/>
    <w:rsid w:val="00E76CE3"/>
    <w:rsid w:val="00E77374"/>
    <w:rsid w:val="00E775E4"/>
    <w:rsid w:val="00E775EF"/>
    <w:rsid w:val="00E77A32"/>
    <w:rsid w:val="00E77ACD"/>
    <w:rsid w:val="00E77DD7"/>
    <w:rsid w:val="00E803BC"/>
    <w:rsid w:val="00E804B2"/>
    <w:rsid w:val="00E8050F"/>
    <w:rsid w:val="00E8078E"/>
    <w:rsid w:val="00E80819"/>
    <w:rsid w:val="00E810F7"/>
    <w:rsid w:val="00E812E1"/>
    <w:rsid w:val="00E81597"/>
    <w:rsid w:val="00E816E6"/>
    <w:rsid w:val="00E81966"/>
    <w:rsid w:val="00E819C8"/>
    <w:rsid w:val="00E81B9C"/>
    <w:rsid w:val="00E81E4C"/>
    <w:rsid w:val="00E81F39"/>
    <w:rsid w:val="00E82097"/>
    <w:rsid w:val="00E82314"/>
    <w:rsid w:val="00E829DA"/>
    <w:rsid w:val="00E82B4C"/>
    <w:rsid w:val="00E82CEE"/>
    <w:rsid w:val="00E8333A"/>
    <w:rsid w:val="00E833A5"/>
    <w:rsid w:val="00E836A1"/>
    <w:rsid w:val="00E8387F"/>
    <w:rsid w:val="00E83F9F"/>
    <w:rsid w:val="00E83FD3"/>
    <w:rsid w:val="00E840BC"/>
    <w:rsid w:val="00E842B7"/>
    <w:rsid w:val="00E8443A"/>
    <w:rsid w:val="00E84835"/>
    <w:rsid w:val="00E84856"/>
    <w:rsid w:val="00E84A68"/>
    <w:rsid w:val="00E84D6C"/>
    <w:rsid w:val="00E84E16"/>
    <w:rsid w:val="00E84F1A"/>
    <w:rsid w:val="00E850D4"/>
    <w:rsid w:val="00E853A3"/>
    <w:rsid w:val="00E853C6"/>
    <w:rsid w:val="00E85674"/>
    <w:rsid w:val="00E857E3"/>
    <w:rsid w:val="00E8599A"/>
    <w:rsid w:val="00E86522"/>
    <w:rsid w:val="00E865DB"/>
    <w:rsid w:val="00E86A0F"/>
    <w:rsid w:val="00E86A11"/>
    <w:rsid w:val="00E86BB6"/>
    <w:rsid w:val="00E86DB0"/>
    <w:rsid w:val="00E86EB2"/>
    <w:rsid w:val="00E87697"/>
    <w:rsid w:val="00E876B6"/>
    <w:rsid w:val="00E87B48"/>
    <w:rsid w:val="00E87BB0"/>
    <w:rsid w:val="00E90080"/>
    <w:rsid w:val="00E90153"/>
    <w:rsid w:val="00E904D5"/>
    <w:rsid w:val="00E90798"/>
    <w:rsid w:val="00E90B7F"/>
    <w:rsid w:val="00E9122A"/>
    <w:rsid w:val="00E913DD"/>
    <w:rsid w:val="00E914DC"/>
    <w:rsid w:val="00E9169A"/>
    <w:rsid w:val="00E9170C"/>
    <w:rsid w:val="00E91C93"/>
    <w:rsid w:val="00E91EAB"/>
    <w:rsid w:val="00E91EF9"/>
    <w:rsid w:val="00E9200F"/>
    <w:rsid w:val="00E92474"/>
    <w:rsid w:val="00E925BC"/>
    <w:rsid w:val="00E92839"/>
    <w:rsid w:val="00E92AB6"/>
    <w:rsid w:val="00E92AE6"/>
    <w:rsid w:val="00E92B61"/>
    <w:rsid w:val="00E92BF4"/>
    <w:rsid w:val="00E92D81"/>
    <w:rsid w:val="00E93215"/>
    <w:rsid w:val="00E9327D"/>
    <w:rsid w:val="00E933C5"/>
    <w:rsid w:val="00E93690"/>
    <w:rsid w:val="00E936BA"/>
    <w:rsid w:val="00E93763"/>
    <w:rsid w:val="00E93C92"/>
    <w:rsid w:val="00E93E2A"/>
    <w:rsid w:val="00E93ED5"/>
    <w:rsid w:val="00E94217"/>
    <w:rsid w:val="00E942BA"/>
    <w:rsid w:val="00E9430F"/>
    <w:rsid w:val="00E9431F"/>
    <w:rsid w:val="00E944A7"/>
    <w:rsid w:val="00E944D5"/>
    <w:rsid w:val="00E94568"/>
    <w:rsid w:val="00E94603"/>
    <w:rsid w:val="00E946F4"/>
    <w:rsid w:val="00E9480C"/>
    <w:rsid w:val="00E948E4"/>
    <w:rsid w:val="00E94A59"/>
    <w:rsid w:val="00E94C56"/>
    <w:rsid w:val="00E94CAC"/>
    <w:rsid w:val="00E95202"/>
    <w:rsid w:val="00E952C4"/>
    <w:rsid w:val="00E95D50"/>
    <w:rsid w:val="00E95F39"/>
    <w:rsid w:val="00E961D9"/>
    <w:rsid w:val="00E962CE"/>
    <w:rsid w:val="00E963F1"/>
    <w:rsid w:val="00E965D9"/>
    <w:rsid w:val="00E965E0"/>
    <w:rsid w:val="00E9690D"/>
    <w:rsid w:val="00E96A94"/>
    <w:rsid w:val="00E96C24"/>
    <w:rsid w:val="00E9718F"/>
    <w:rsid w:val="00E97230"/>
    <w:rsid w:val="00E973B3"/>
    <w:rsid w:val="00E9750E"/>
    <w:rsid w:val="00E97955"/>
    <w:rsid w:val="00EA0312"/>
    <w:rsid w:val="00EA0315"/>
    <w:rsid w:val="00EA0664"/>
    <w:rsid w:val="00EA0781"/>
    <w:rsid w:val="00EA0796"/>
    <w:rsid w:val="00EA0DB2"/>
    <w:rsid w:val="00EA1021"/>
    <w:rsid w:val="00EA153B"/>
    <w:rsid w:val="00EA1A8E"/>
    <w:rsid w:val="00EA1BF2"/>
    <w:rsid w:val="00EA1DBB"/>
    <w:rsid w:val="00EA1E74"/>
    <w:rsid w:val="00EA1FF4"/>
    <w:rsid w:val="00EA2133"/>
    <w:rsid w:val="00EA24A4"/>
    <w:rsid w:val="00EA2574"/>
    <w:rsid w:val="00EA26B3"/>
    <w:rsid w:val="00EA2919"/>
    <w:rsid w:val="00EA2B81"/>
    <w:rsid w:val="00EA2C67"/>
    <w:rsid w:val="00EA31E4"/>
    <w:rsid w:val="00EA32DB"/>
    <w:rsid w:val="00EA3508"/>
    <w:rsid w:val="00EA3574"/>
    <w:rsid w:val="00EA3BCE"/>
    <w:rsid w:val="00EA4244"/>
    <w:rsid w:val="00EA474F"/>
    <w:rsid w:val="00EA489C"/>
    <w:rsid w:val="00EA48AB"/>
    <w:rsid w:val="00EA4927"/>
    <w:rsid w:val="00EA499C"/>
    <w:rsid w:val="00EA49B4"/>
    <w:rsid w:val="00EA5112"/>
    <w:rsid w:val="00EA51DB"/>
    <w:rsid w:val="00EA526F"/>
    <w:rsid w:val="00EA53C6"/>
    <w:rsid w:val="00EA555D"/>
    <w:rsid w:val="00EA5B1E"/>
    <w:rsid w:val="00EA5B5C"/>
    <w:rsid w:val="00EA5C03"/>
    <w:rsid w:val="00EA5DC2"/>
    <w:rsid w:val="00EA5F01"/>
    <w:rsid w:val="00EA6142"/>
    <w:rsid w:val="00EA6349"/>
    <w:rsid w:val="00EA6614"/>
    <w:rsid w:val="00EA6649"/>
    <w:rsid w:val="00EA6A53"/>
    <w:rsid w:val="00EA6CE3"/>
    <w:rsid w:val="00EA6E02"/>
    <w:rsid w:val="00EA73F1"/>
    <w:rsid w:val="00EA7697"/>
    <w:rsid w:val="00EA76D0"/>
    <w:rsid w:val="00EA7900"/>
    <w:rsid w:val="00EA7AD5"/>
    <w:rsid w:val="00EA7BF9"/>
    <w:rsid w:val="00EA7C34"/>
    <w:rsid w:val="00EA7DED"/>
    <w:rsid w:val="00EB0197"/>
    <w:rsid w:val="00EB062D"/>
    <w:rsid w:val="00EB07CE"/>
    <w:rsid w:val="00EB11A0"/>
    <w:rsid w:val="00EB11DC"/>
    <w:rsid w:val="00EB148C"/>
    <w:rsid w:val="00EB1681"/>
    <w:rsid w:val="00EB1785"/>
    <w:rsid w:val="00EB17B7"/>
    <w:rsid w:val="00EB1B0C"/>
    <w:rsid w:val="00EB1B1E"/>
    <w:rsid w:val="00EB1E70"/>
    <w:rsid w:val="00EB1E83"/>
    <w:rsid w:val="00EB2272"/>
    <w:rsid w:val="00EB23ED"/>
    <w:rsid w:val="00EB2678"/>
    <w:rsid w:val="00EB3336"/>
    <w:rsid w:val="00EB334B"/>
    <w:rsid w:val="00EB33D9"/>
    <w:rsid w:val="00EB35AA"/>
    <w:rsid w:val="00EB3A5B"/>
    <w:rsid w:val="00EB4375"/>
    <w:rsid w:val="00EB4631"/>
    <w:rsid w:val="00EB4B51"/>
    <w:rsid w:val="00EB4B93"/>
    <w:rsid w:val="00EB4F69"/>
    <w:rsid w:val="00EB5051"/>
    <w:rsid w:val="00EB50E3"/>
    <w:rsid w:val="00EB5C54"/>
    <w:rsid w:val="00EB6275"/>
    <w:rsid w:val="00EB659C"/>
    <w:rsid w:val="00EB6778"/>
    <w:rsid w:val="00EB6CF8"/>
    <w:rsid w:val="00EB7008"/>
    <w:rsid w:val="00EB7347"/>
    <w:rsid w:val="00EB75EB"/>
    <w:rsid w:val="00EB7B32"/>
    <w:rsid w:val="00EB7CCD"/>
    <w:rsid w:val="00EB7CE2"/>
    <w:rsid w:val="00EC0032"/>
    <w:rsid w:val="00EC0667"/>
    <w:rsid w:val="00EC0673"/>
    <w:rsid w:val="00EC0DAF"/>
    <w:rsid w:val="00EC0FD9"/>
    <w:rsid w:val="00EC1575"/>
    <w:rsid w:val="00EC159C"/>
    <w:rsid w:val="00EC15DF"/>
    <w:rsid w:val="00EC1C6C"/>
    <w:rsid w:val="00EC20D2"/>
    <w:rsid w:val="00EC2398"/>
    <w:rsid w:val="00EC27DB"/>
    <w:rsid w:val="00EC2F31"/>
    <w:rsid w:val="00EC3124"/>
    <w:rsid w:val="00EC33D7"/>
    <w:rsid w:val="00EC3885"/>
    <w:rsid w:val="00EC38D3"/>
    <w:rsid w:val="00EC3971"/>
    <w:rsid w:val="00EC398E"/>
    <w:rsid w:val="00EC39F9"/>
    <w:rsid w:val="00EC3B48"/>
    <w:rsid w:val="00EC44C6"/>
    <w:rsid w:val="00EC45DC"/>
    <w:rsid w:val="00EC475B"/>
    <w:rsid w:val="00EC4959"/>
    <w:rsid w:val="00EC4E85"/>
    <w:rsid w:val="00EC4F81"/>
    <w:rsid w:val="00EC4FE3"/>
    <w:rsid w:val="00EC5175"/>
    <w:rsid w:val="00EC5386"/>
    <w:rsid w:val="00EC5418"/>
    <w:rsid w:val="00EC550C"/>
    <w:rsid w:val="00EC58B4"/>
    <w:rsid w:val="00EC5981"/>
    <w:rsid w:val="00EC5ACF"/>
    <w:rsid w:val="00EC611B"/>
    <w:rsid w:val="00EC6148"/>
    <w:rsid w:val="00EC665D"/>
    <w:rsid w:val="00EC6712"/>
    <w:rsid w:val="00EC6A34"/>
    <w:rsid w:val="00EC6A44"/>
    <w:rsid w:val="00EC6BF4"/>
    <w:rsid w:val="00EC6E2A"/>
    <w:rsid w:val="00EC6E63"/>
    <w:rsid w:val="00EC71E9"/>
    <w:rsid w:val="00EC721B"/>
    <w:rsid w:val="00ED0141"/>
    <w:rsid w:val="00ED0244"/>
    <w:rsid w:val="00ED0515"/>
    <w:rsid w:val="00ED0DA8"/>
    <w:rsid w:val="00ED0EE0"/>
    <w:rsid w:val="00ED104E"/>
    <w:rsid w:val="00ED1200"/>
    <w:rsid w:val="00ED1604"/>
    <w:rsid w:val="00ED18F6"/>
    <w:rsid w:val="00ED1AAF"/>
    <w:rsid w:val="00ED1CFA"/>
    <w:rsid w:val="00ED2202"/>
    <w:rsid w:val="00ED2ACD"/>
    <w:rsid w:val="00ED2C45"/>
    <w:rsid w:val="00ED2C69"/>
    <w:rsid w:val="00ED2DAD"/>
    <w:rsid w:val="00ED2EDD"/>
    <w:rsid w:val="00ED2F90"/>
    <w:rsid w:val="00ED3071"/>
    <w:rsid w:val="00ED3080"/>
    <w:rsid w:val="00ED30B9"/>
    <w:rsid w:val="00ED342E"/>
    <w:rsid w:val="00ED3681"/>
    <w:rsid w:val="00ED3E09"/>
    <w:rsid w:val="00ED4470"/>
    <w:rsid w:val="00ED47D6"/>
    <w:rsid w:val="00ED4D32"/>
    <w:rsid w:val="00ED4EBD"/>
    <w:rsid w:val="00ED4FF5"/>
    <w:rsid w:val="00ED58C2"/>
    <w:rsid w:val="00ED5CB2"/>
    <w:rsid w:val="00ED5D7C"/>
    <w:rsid w:val="00ED5DE7"/>
    <w:rsid w:val="00ED5EA3"/>
    <w:rsid w:val="00ED5F23"/>
    <w:rsid w:val="00ED6717"/>
    <w:rsid w:val="00ED68D3"/>
    <w:rsid w:val="00ED68D4"/>
    <w:rsid w:val="00ED6A24"/>
    <w:rsid w:val="00ED6DB7"/>
    <w:rsid w:val="00ED74D9"/>
    <w:rsid w:val="00ED76E1"/>
    <w:rsid w:val="00ED7F31"/>
    <w:rsid w:val="00EE02BA"/>
    <w:rsid w:val="00EE02C6"/>
    <w:rsid w:val="00EE03BB"/>
    <w:rsid w:val="00EE044E"/>
    <w:rsid w:val="00EE0763"/>
    <w:rsid w:val="00EE07DE"/>
    <w:rsid w:val="00EE0914"/>
    <w:rsid w:val="00EE0BF2"/>
    <w:rsid w:val="00EE0D48"/>
    <w:rsid w:val="00EE175D"/>
    <w:rsid w:val="00EE1BB5"/>
    <w:rsid w:val="00EE1EF5"/>
    <w:rsid w:val="00EE213A"/>
    <w:rsid w:val="00EE2AFE"/>
    <w:rsid w:val="00EE2D7D"/>
    <w:rsid w:val="00EE2DF9"/>
    <w:rsid w:val="00EE2EFF"/>
    <w:rsid w:val="00EE3184"/>
    <w:rsid w:val="00EE328D"/>
    <w:rsid w:val="00EE3405"/>
    <w:rsid w:val="00EE3B70"/>
    <w:rsid w:val="00EE3BF9"/>
    <w:rsid w:val="00EE3E3A"/>
    <w:rsid w:val="00EE3F55"/>
    <w:rsid w:val="00EE4037"/>
    <w:rsid w:val="00EE4538"/>
    <w:rsid w:val="00EE4615"/>
    <w:rsid w:val="00EE494A"/>
    <w:rsid w:val="00EE5059"/>
    <w:rsid w:val="00EE50AC"/>
    <w:rsid w:val="00EE5C19"/>
    <w:rsid w:val="00EE5EA2"/>
    <w:rsid w:val="00EE5F15"/>
    <w:rsid w:val="00EE6488"/>
    <w:rsid w:val="00EE664F"/>
    <w:rsid w:val="00EE66F7"/>
    <w:rsid w:val="00EE69F4"/>
    <w:rsid w:val="00EE69F6"/>
    <w:rsid w:val="00EE6CA7"/>
    <w:rsid w:val="00EE76FE"/>
    <w:rsid w:val="00EE7817"/>
    <w:rsid w:val="00EE7852"/>
    <w:rsid w:val="00EE7C04"/>
    <w:rsid w:val="00EE7CED"/>
    <w:rsid w:val="00EE7EAB"/>
    <w:rsid w:val="00EF00AE"/>
    <w:rsid w:val="00EF0A31"/>
    <w:rsid w:val="00EF0C3B"/>
    <w:rsid w:val="00EF0C7F"/>
    <w:rsid w:val="00EF0CA1"/>
    <w:rsid w:val="00EF0E58"/>
    <w:rsid w:val="00EF103B"/>
    <w:rsid w:val="00EF127B"/>
    <w:rsid w:val="00EF169A"/>
    <w:rsid w:val="00EF17B4"/>
    <w:rsid w:val="00EF18EE"/>
    <w:rsid w:val="00EF1BDE"/>
    <w:rsid w:val="00EF21E3"/>
    <w:rsid w:val="00EF281B"/>
    <w:rsid w:val="00EF34B1"/>
    <w:rsid w:val="00EF35CF"/>
    <w:rsid w:val="00EF38DF"/>
    <w:rsid w:val="00EF3B82"/>
    <w:rsid w:val="00EF3F69"/>
    <w:rsid w:val="00EF4153"/>
    <w:rsid w:val="00EF4613"/>
    <w:rsid w:val="00EF494B"/>
    <w:rsid w:val="00EF4A2C"/>
    <w:rsid w:val="00EF4A51"/>
    <w:rsid w:val="00EF4B95"/>
    <w:rsid w:val="00EF4BBF"/>
    <w:rsid w:val="00EF4D2E"/>
    <w:rsid w:val="00EF4E2C"/>
    <w:rsid w:val="00EF62E1"/>
    <w:rsid w:val="00EF65DF"/>
    <w:rsid w:val="00EF661D"/>
    <w:rsid w:val="00EF6769"/>
    <w:rsid w:val="00EF67F2"/>
    <w:rsid w:val="00EF680B"/>
    <w:rsid w:val="00EF6A02"/>
    <w:rsid w:val="00EF6B4B"/>
    <w:rsid w:val="00EF6C2B"/>
    <w:rsid w:val="00EF6DB7"/>
    <w:rsid w:val="00EF7131"/>
    <w:rsid w:val="00EF761D"/>
    <w:rsid w:val="00EF76D9"/>
    <w:rsid w:val="00EF777F"/>
    <w:rsid w:val="00EF7CBC"/>
    <w:rsid w:val="00EF7D20"/>
    <w:rsid w:val="00EF7D5A"/>
    <w:rsid w:val="00EF7FCD"/>
    <w:rsid w:val="00F000CE"/>
    <w:rsid w:val="00F00290"/>
    <w:rsid w:val="00F004D9"/>
    <w:rsid w:val="00F006BB"/>
    <w:rsid w:val="00F00B79"/>
    <w:rsid w:val="00F00BA3"/>
    <w:rsid w:val="00F00DAE"/>
    <w:rsid w:val="00F01A16"/>
    <w:rsid w:val="00F01BCC"/>
    <w:rsid w:val="00F01BE2"/>
    <w:rsid w:val="00F01DFF"/>
    <w:rsid w:val="00F01F65"/>
    <w:rsid w:val="00F021FA"/>
    <w:rsid w:val="00F027CC"/>
    <w:rsid w:val="00F02FE6"/>
    <w:rsid w:val="00F030ED"/>
    <w:rsid w:val="00F033B4"/>
    <w:rsid w:val="00F034B7"/>
    <w:rsid w:val="00F034C7"/>
    <w:rsid w:val="00F0350E"/>
    <w:rsid w:val="00F03B47"/>
    <w:rsid w:val="00F03C01"/>
    <w:rsid w:val="00F03C6D"/>
    <w:rsid w:val="00F043A0"/>
    <w:rsid w:val="00F04B9B"/>
    <w:rsid w:val="00F04C42"/>
    <w:rsid w:val="00F04E05"/>
    <w:rsid w:val="00F04ED1"/>
    <w:rsid w:val="00F04F23"/>
    <w:rsid w:val="00F05223"/>
    <w:rsid w:val="00F05280"/>
    <w:rsid w:val="00F0545D"/>
    <w:rsid w:val="00F05482"/>
    <w:rsid w:val="00F05625"/>
    <w:rsid w:val="00F05651"/>
    <w:rsid w:val="00F0583E"/>
    <w:rsid w:val="00F058D9"/>
    <w:rsid w:val="00F05BEF"/>
    <w:rsid w:val="00F061F4"/>
    <w:rsid w:val="00F0645A"/>
    <w:rsid w:val="00F066CA"/>
    <w:rsid w:val="00F066EC"/>
    <w:rsid w:val="00F06754"/>
    <w:rsid w:val="00F06988"/>
    <w:rsid w:val="00F06C9F"/>
    <w:rsid w:val="00F06E0A"/>
    <w:rsid w:val="00F07068"/>
    <w:rsid w:val="00F07597"/>
    <w:rsid w:val="00F077DC"/>
    <w:rsid w:val="00F079A7"/>
    <w:rsid w:val="00F10268"/>
    <w:rsid w:val="00F1071B"/>
    <w:rsid w:val="00F108CE"/>
    <w:rsid w:val="00F108DB"/>
    <w:rsid w:val="00F10B8C"/>
    <w:rsid w:val="00F10BC0"/>
    <w:rsid w:val="00F10ED0"/>
    <w:rsid w:val="00F110D1"/>
    <w:rsid w:val="00F11471"/>
    <w:rsid w:val="00F11547"/>
    <w:rsid w:val="00F11617"/>
    <w:rsid w:val="00F116A0"/>
    <w:rsid w:val="00F11712"/>
    <w:rsid w:val="00F11804"/>
    <w:rsid w:val="00F11AE5"/>
    <w:rsid w:val="00F11AF9"/>
    <w:rsid w:val="00F11C7A"/>
    <w:rsid w:val="00F120A4"/>
    <w:rsid w:val="00F12191"/>
    <w:rsid w:val="00F12604"/>
    <w:rsid w:val="00F126CD"/>
    <w:rsid w:val="00F12827"/>
    <w:rsid w:val="00F12954"/>
    <w:rsid w:val="00F129CE"/>
    <w:rsid w:val="00F12DC6"/>
    <w:rsid w:val="00F12DE6"/>
    <w:rsid w:val="00F131FC"/>
    <w:rsid w:val="00F1342B"/>
    <w:rsid w:val="00F134E9"/>
    <w:rsid w:val="00F1351B"/>
    <w:rsid w:val="00F135DB"/>
    <w:rsid w:val="00F1369D"/>
    <w:rsid w:val="00F137C5"/>
    <w:rsid w:val="00F1381B"/>
    <w:rsid w:val="00F14691"/>
    <w:rsid w:val="00F146A6"/>
    <w:rsid w:val="00F1474E"/>
    <w:rsid w:val="00F148CF"/>
    <w:rsid w:val="00F14BA8"/>
    <w:rsid w:val="00F14CB6"/>
    <w:rsid w:val="00F14D80"/>
    <w:rsid w:val="00F150C9"/>
    <w:rsid w:val="00F15195"/>
    <w:rsid w:val="00F152B2"/>
    <w:rsid w:val="00F154D6"/>
    <w:rsid w:val="00F154D9"/>
    <w:rsid w:val="00F15556"/>
    <w:rsid w:val="00F15C4B"/>
    <w:rsid w:val="00F15F2F"/>
    <w:rsid w:val="00F15FCB"/>
    <w:rsid w:val="00F16003"/>
    <w:rsid w:val="00F16369"/>
    <w:rsid w:val="00F164E8"/>
    <w:rsid w:val="00F16555"/>
    <w:rsid w:val="00F16583"/>
    <w:rsid w:val="00F1665F"/>
    <w:rsid w:val="00F16C25"/>
    <w:rsid w:val="00F16CC3"/>
    <w:rsid w:val="00F16D97"/>
    <w:rsid w:val="00F16DA1"/>
    <w:rsid w:val="00F175C8"/>
    <w:rsid w:val="00F1793B"/>
    <w:rsid w:val="00F17D6A"/>
    <w:rsid w:val="00F17DF8"/>
    <w:rsid w:val="00F20216"/>
    <w:rsid w:val="00F20883"/>
    <w:rsid w:val="00F20906"/>
    <w:rsid w:val="00F21015"/>
    <w:rsid w:val="00F2105B"/>
    <w:rsid w:val="00F21066"/>
    <w:rsid w:val="00F217FD"/>
    <w:rsid w:val="00F21BD2"/>
    <w:rsid w:val="00F21E2F"/>
    <w:rsid w:val="00F21E8B"/>
    <w:rsid w:val="00F21EEA"/>
    <w:rsid w:val="00F21F66"/>
    <w:rsid w:val="00F2216B"/>
    <w:rsid w:val="00F22291"/>
    <w:rsid w:val="00F226C4"/>
    <w:rsid w:val="00F22883"/>
    <w:rsid w:val="00F228A2"/>
    <w:rsid w:val="00F228F5"/>
    <w:rsid w:val="00F22BB4"/>
    <w:rsid w:val="00F22CE0"/>
    <w:rsid w:val="00F23514"/>
    <w:rsid w:val="00F23637"/>
    <w:rsid w:val="00F23838"/>
    <w:rsid w:val="00F23C52"/>
    <w:rsid w:val="00F24492"/>
    <w:rsid w:val="00F24525"/>
    <w:rsid w:val="00F246EE"/>
    <w:rsid w:val="00F24B83"/>
    <w:rsid w:val="00F24FC6"/>
    <w:rsid w:val="00F25146"/>
    <w:rsid w:val="00F251A8"/>
    <w:rsid w:val="00F251B8"/>
    <w:rsid w:val="00F25563"/>
    <w:rsid w:val="00F256FE"/>
    <w:rsid w:val="00F2578E"/>
    <w:rsid w:val="00F25898"/>
    <w:rsid w:val="00F25940"/>
    <w:rsid w:val="00F25C86"/>
    <w:rsid w:val="00F25FB2"/>
    <w:rsid w:val="00F2605B"/>
    <w:rsid w:val="00F260A2"/>
    <w:rsid w:val="00F2613D"/>
    <w:rsid w:val="00F26473"/>
    <w:rsid w:val="00F26498"/>
    <w:rsid w:val="00F266D7"/>
    <w:rsid w:val="00F268F5"/>
    <w:rsid w:val="00F26A47"/>
    <w:rsid w:val="00F26AB5"/>
    <w:rsid w:val="00F27025"/>
    <w:rsid w:val="00F27AAE"/>
    <w:rsid w:val="00F27E4C"/>
    <w:rsid w:val="00F30141"/>
    <w:rsid w:val="00F30DF6"/>
    <w:rsid w:val="00F30E8A"/>
    <w:rsid w:val="00F30EB8"/>
    <w:rsid w:val="00F30F13"/>
    <w:rsid w:val="00F310A7"/>
    <w:rsid w:val="00F313CC"/>
    <w:rsid w:val="00F314AA"/>
    <w:rsid w:val="00F31730"/>
    <w:rsid w:val="00F31E34"/>
    <w:rsid w:val="00F325A3"/>
    <w:rsid w:val="00F32708"/>
    <w:rsid w:val="00F3283A"/>
    <w:rsid w:val="00F3292B"/>
    <w:rsid w:val="00F32AA1"/>
    <w:rsid w:val="00F32AF0"/>
    <w:rsid w:val="00F32B36"/>
    <w:rsid w:val="00F32B54"/>
    <w:rsid w:val="00F32E9F"/>
    <w:rsid w:val="00F33053"/>
    <w:rsid w:val="00F331AA"/>
    <w:rsid w:val="00F332A2"/>
    <w:rsid w:val="00F334E5"/>
    <w:rsid w:val="00F3367F"/>
    <w:rsid w:val="00F337A4"/>
    <w:rsid w:val="00F339D9"/>
    <w:rsid w:val="00F33F16"/>
    <w:rsid w:val="00F34145"/>
    <w:rsid w:val="00F341E0"/>
    <w:rsid w:val="00F346D0"/>
    <w:rsid w:val="00F34BFA"/>
    <w:rsid w:val="00F34D44"/>
    <w:rsid w:val="00F34D75"/>
    <w:rsid w:val="00F34E98"/>
    <w:rsid w:val="00F34F91"/>
    <w:rsid w:val="00F352BF"/>
    <w:rsid w:val="00F3633C"/>
    <w:rsid w:val="00F363A7"/>
    <w:rsid w:val="00F36551"/>
    <w:rsid w:val="00F365AB"/>
    <w:rsid w:val="00F3670C"/>
    <w:rsid w:val="00F367C5"/>
    <w:rsid w:val="00F36CE8"/>
    <w:rsid w:val="00F36E7D"/>
    <w:rsid w:val="00F376D2"/>
    <w:rsid w:val="00F3781F"/>
    <w:rsid w:val="00F379D1"/>
    <w:rsid w:val="00F37C31"/>
    <w:rsid w:val="00F37C61"/>
    <w:rsid w:val="00F40320"/>
    <w:rsid w:val="00F404AE"/>
    <w:rsid w:val="00F40B2A"/>
    <w:rsid w:val="00F40CD7"/>
    <w:rsid w:val="00F40D51"/>
    <w:rsid w:val="00F41561"/>
    <w:rsid w:val="00F417FD"/>
    <w:rsid w:val="00F41B54"/>
    <w:rsid w:val="00F41C87"/>
    <w:rsid w:val="00F42008"/>
    <w:rsid w:val="00F42178"/>
    <w:rsid w:val="00F422AB"/>
    <w:rsid w:val="00F42545"/>
    <w:rsid w:val="00F425D3"/>
    <w:rsid w:val="00F425FF"/>
    <w:rsid w:val="00F42C9D"/>
    <w:rsid w:val="00F431D3"/>
    <w:rsid w:val="00F431EC"/>
    <w:rsid w:val="00F43235"/>
    <w:rsid w:val="00F434EC"/>
    <w:rsid w:val="00F435CE"/>
    <w:rsid w:val="00F43722"/>
    <w:rsid w:val="00F43870"/>
    <w:rsid w:val="00F43B0E"/>
    <w:rsid w:val="00F43C8A"/>
    <w:rsid w:val="00F43D87"/>
    <w:rsid w:val="00F43FD1"/>
    <w:rsid w:val="00F4422D"/>
    <w:rsid w:val="00F4449D"/>
    <w:rsid w:val="00F447E4"/>
    <w:rsid w:val="00F44B39"/>
    <w:rsid w:val="00F44C14"/>
    <w:rsid w:val="00F44F79"/>
    <w:rsid w:val="00F45E02"/>
    <w:rsid w:val="00F45E5F"/>
    <w:rsid w:val="00F45F3C"/>
    <w:rsid w:val="00F45F70"/>
    <w:rsid w:val="00F46011"/>
    <w:rsid w:val="00F464E9"/>
    <w:rsid w:val="00F46E03"/>
    <w:rsid w:val="00F4706A"/>
    <w:rsid w:val="00F474B3"/>
    <w:rsid w:val="00F47678"/>
    <w:rsid w:val="00F47700"/>
    <w:rsid w:val="00F47864"/>
    <w:rsid w:val="00F478C7"/>
    <w:rsid w:val="00F478C8"/>
    <w:rsid w:val="00F478FD"/>
    <w:rsid w:val="00F47D4E"/>
    <w:rsid w:val="00F47F4F"/>
    <w:rsid w:val="00F47F7E"/>
    <w:rsid w:val="00F500A0"/>
    <w:rsid w:val="00F500E5"/>
    <w:rsid w:val="00F5019A"/>
    <w:rsid w:val="00F502DC"/>
    <w:rsid w:val="00F503CB"/>
    <w:rsid w:val="00F505F6"/>
    <w:rsid w:val="00F50FC7"/>
    <w:rsid w:val="00F51424"/>
    <w:rsid w:val="00F51535"/>
    <w:rsid w:val="00F51AF9"/>
    <w:rsid w:val="00F51B3F"/>
    <w:rsid w:val="00F51C6E"/>
    <w:rsid w:val="00F522B1"/>
    <w:rsid w:val="00F52632"/>
    <w:rsid w:val="00F5291C"/>
    <w:rsid w:val="00F52B04"/>
    <w:rsid w:val="00F52C79"/>
    <w:rsid w:val="00F5304A"/>
    <w:rsid w:val="00F53472"/>
    <w:rsid w:val="00F5347E"/>
    <w:rsid w:val="00F534C2"/>
    <w:rsid w:val="00F53742"/>
    <w:rsid w:val="00F53B77"/>
    <w:rsid w:val="00F53B86"/>
    <w:rsid w:val="00F53F62"/>
    <w:rsid w:val="00F540AA"/>
    <w:rsid w:val="00F540D6"/>
    <w:rsid w:val="00F541AE"/>
    <w:rsid w:val="00F54407"/>
    <w:rsid w:val="00F5452F"/>
    <w:rsid w:val="00F54989"/>
    <w:rsid w:val="00F54A39"/>
    <w:rsid w:val="00F54FE7"/>
    <w:rsid w:val="00F550F8"/>
    <w:rsid w:val="00F552F4"/>
    <w:rsid w:val="00F55353"/>
    <w:rsid w:val="00F55827"/>
    <w:rsid w:val="00F55931"/>
    <w:rsid w:val="00F55E96"/>
    <w:rsid w:val="00F55F79"/>
    <w:rsid w:val="00F56028"/>
    <w:rsid w:val="00F56114"/>
    <w:rsid w:val="00F56BE9"/>
    <w:rsid w:val="00F56C0A"/>
    <w:rsid w:val="00F56D6B"/>
    <w:rsid w:val="00F5765D"/>
    <w:rsid w:val="00F576CB"/>
    <w:rsid w:val="00F57A94"/>
    <w:rsid w:val="00F57AD8"/>
    <w:rsid w:val="00F60273"/>
    <w:rsid w:val="00F60284"/>
    <w:rsid w:val="00F60347"/>
    <w:rsid w:val="00F60404"/>
    <w:rsid w:val="00F60588"/>
    <w:rsid w:val="00F6065A"/>
    <w:rsid w:val="00F60B00"/>
    <w:rsid w:val="00F60B27"/>
    <w:rsid w:val="00F6118B"/>
    <w:rsid w:val="00F61222"/>
    <w:rsid w:val="00F6130E"/>
    <w:rsid w:val="00F61361"/>
    <w:rsid w:val="00F613AB"/>
    <w:rsid w:val="00F613CF"/>
    <w:rsid w:val="00F61B5F"/>
    <w:rsid w:val="00F61C71"/>
    <w:rsid w:val="00F6269C"/>
    <w:rsid w:val="00F62742"/>
    <w:rsid w:val="00F627A8"/>
    <w:rsid w:val="00F62882"/>
    <w:rsid w:val="00F62961"/>
    <w:rsid w:val="00F629BC"/>
    <w:rsid w:val="00F62A29"/>
    <w:rsid w:val="00F62D99"/>
    <w:rsid w:val="00F62E97"/>
    <w:rsid w:val="00F63648"/>
    <w:rsid w:val="00F636E2"/>
    <w:rsid w:val="00F63C23"/>
    <w:rsid w:val="00F6418A"/>
    <w:rsid w:val="00F641B7"/>
    <w:rsid w:val="00F64209"/>
    <w:rsid w:val="00F642C9"/>
    <w:rsid w:val="00F6430D"/>
    <w:rsid w:val="00F6448A"/>
    <w:rsid w:val="00F64C3A"/>
    <w:rsid w:val="00F64D55"/>
    <w:rsid w:val="00F653A7"/>
    <w:rsid w:val="00F653BF"/>
    <w:rsid w:val="00F65770"/>
    <w:rsid w:val="00F657D0"/>
    <w:rsid w:val="00F65C53"/>
    <w:rsid w:val="00F65D09"/>
    <w:rsid w:val="00F65F8E"/>
    <w:rsid w:val="00F66265"/>
    <w:rsid w:val="00F6696D"/>
    <w:rsid w:val="00F6732C"/>
    <w:rsid w:val="00F673B8"/>
    <w:rsid w:val="00F676C7"/>
    <w:rsid w:val="00F676D3"/>
    <w:rsid w:val="00F6774B"/>
    <w:rsid w:val="00F678D0"/>
    <w:rsid w:val="00F67A45"/>
    <w:rsid w:val="00F67AB5"/>
    <w:rsid w:val="00F67B75"/>
    <w:rsid w:val="00F67F27"/>
    <w:rsid w:val="00F67FCF"/>
    <w:rsid w:val="00F67FD3"/>
    <w:rsid w:val="00F702A8"/>
    <w:rsid w:val="00F7112E"/>
    <w:rsid w:val="00F718AB"/>
    <w:rsid w:val="00F71B5F"/>
    <w:rsid w:val="00F720B7"/>
    <w:rsid w:val="00F7271D"/>
    <w:rsid w:val="00F72B9E"/>
    <w:rsid w:val="00F73019"/>
    <w:rsid w:val="00F7316B"/>
    <w:rsid w:val="00F73220"/>
    <w:rsid w:val="00F73648"/>
    <w:rsid w:val="00F7385D"/>
    <w:rsid w:val="00F73ED2"/>
    <w:rsid w:val="00F74199"/>
    <w:rsid w:val="00F74389"/>
    <w:rsid w:val="00F74948"/>
    <w:rsid w:val="00F74B40"/>
    <w:rsid w:val="00F74E53"/>
    <w:rsid w:val="00F74E8F"/>
    <w:rsid w:val="00F75169"/>
    <w:rsid w:val="00F7523B"/>
    <w:rsid w:val="00F753E4"/>
    <w:rsid w:val="00F75DDE"/>
    <w:rsid w:val="00F76092"/>
    <w:rsid w:val="00F762BE"/>
    <w:rsid w:val="00F76362"/>
    <w:rsid w:val="00F7675E"/>
    <w:rsid w:val="00F76F46"/>
    <w:rsid w:val="00F77149"/>
    <w:rsid w:val="00F77236"/>
    <w:rsid w:val="00F77283"/>
    <w:rsid w:val="00F776B6"/>
    <w:rsid w:val="00F77849"/>
    <w:rsid w:val="00F77871"/>
    <w:rsid w:val="00F779A4"/>
    <w:rsid w:val="00F77AE6"/>
    <w:rsid w:val="00F77B6A"/>
    <w:rsid w:val="00F8077E"/>
    <w:rsid w:val="00F808E7"/>
    <w:rsid w:val="00F80992"/>
    <w:rsid w:val="00F809B1"/>
    <w:rsid w:val="00F80A46"/>
    <w:rsid w:val="00F80A50"/>
    <w:rsid w:val="00F81037"/>
    <w:rsid w:val="00F81738"/>
    <w:rsid w:val="00F817A1"/>
    <w:rsid w:val="00F81D48"/>
    <w:rsid w:val="00F8202D"/>
    <w:rsid w:val="00F821D3"/>
    <w:rsid w:val="00F8240B"/>
    <w:rsid w:val="00F8280D"/>
    <w:rsid w:val="00F82A21"/>
    <w:rsid w:val="00F82A32"/>
    <w:rsid w:val="00F82B5C"/>
    <w:rsid w:val="00F82D10"/>
    <w:rsid w:val="00F82D3D"/>
    <w:rsid w:val="00F83212"/>
    <w:rsid w:val="00F833DD"/>
    <w:rsid w:val="00F83877"/>
    <w:rsid w:val="00F83BB9"/>
    <w:rsid w:val="00F8419F"/>
    <w:rsid w:val="00F84897"/>
    <w:rsid w:val="00F8495B"/>
    <w:rsid w:val="00F85569"/>
    <w:rsid w:val="00F858DC"/>
    <w:rsid w:val="00F859A7"/>
    <w:rsid w:val="00F85DEA"/>
    <w:rsid w:val="00F860F3"/>
    <w:rsid w:val="00F86185"/>
    <w:rsid w:val="00F8652E"/>
    <w:rsid w:val="00F868EE"/>
    <w:rsid w:val="00F86A6A"/>
    <w:rsid w:val="00F86B5B"/>
    <w:rsid w:val="00F86BD0"/>
    <w:rsid w:val="00F86F8D"/>
    <w:rsid w:val="00F86FD2"/>
    <w:rsid w:val="00F87004"/>
    <w:rsid w:val="00F8726C"/>
    <w:rsid w:val="00F87517"/>
    <w:rsid w:val="00F87752"/>
    <w:rsid w:val="00F87845"/>
    <w:rsid w:val="00F87A32"/>
    <w:rsid w:val="00F87B04"/>
    <w:rsid w:val="00F87CBC"/>
    <w:rsid w:val="00F87EDE"/>
    <w:rsid w:val="00F900EF"/>
    <w:rsid w:val="00F900F8"/>
    <w:rsid w:val="00F90237"/>
    <w:rsid w:val="00F90D89"/>
    <w:rsid w:val="00F91B87"/>
    <w:rsid w:val="00F91D15"/>
    <w:rsid w:val="00F9205A"/>
    <w:rsid w:val="00F927E8"/>
    <w:rsid w:val="00F927F9"/>
    <w:rsid w:val="00F92B8C"/>
    <w:rsid w:val="00F92D4A"/>
    <w:rsid w:val="00F92EA1"/>
    <w:rsid w:val="00F92EE7"/>
    <w:rsid w:val="00F93130"/>
    <w:rsid w:val="00F93BF5"/>
    <w:rsid w:val="00F93CC1"/>
    <w:rsid w:val="00F93D4E"/>
    <w:rsid w:val="00F93E5E"/>
    <w:rsid w:val="00F940BA"/>
    <w:rsid w:val="00F94264"/>
    <w:rsid w:val="00F947E2"/>
    <w:rsid w:val="00F94CDC"/>
    <w:rsid w:val="00F94D40"/>
    <w:rsid w:val="00F94E3B"/>
    <w:rsid w:val="00F951EF"/>
    <w:rsid w:val="00F9526C"/>
    <w:rsid w:val="00F956E0"/>
    <w:rsid w:val="00F959EB"/>
    <w:rsid w:val="00F95B1C"/>
    <w:rsid w:val="00F95B66"/>
    <w:rsid w:val="00F95D9D"/>
    <w:rsid w:val="00F95FE8"/>
    <w:rsid w:val="00F9653E"/>
    <w:rsid w:val="00F965DC"/>
    <w:rsid w:val="00F966C2"/>
    <w:rsid w:val="00F96AB9"/>
    <w:rsid w:val="00F96E25"/>
    <w:rsid w:val="00F97084"/>
    <w:rsid w:val="00F971E0"/>
    <w:rsid w:val="00F973F0"/>
    <w:rsid w:val="00F9743F"/>
    <w:rsid w:val="00F97630"/>
    <w:rsid w:val="00FA00F5"/>
    <w:rsid w:val="00FA02E9"/>
    <w:rsid w:val="00FA03B3"/>
    <w:rsid w:val="00FA051E"/>
    <w:rsid w:val="00FA061B"/>
    <w:rsid w:val="00FA063D"/>
    <w:rsid w:val="00FA06A2"/>
    <w:rsid w:val="00FA077F"/>
    <w:rsid w:val="00FA0819"/>
    <w:rsid w:val="00FA09AF"/>
    <w:rsid w:val="00FA0E9B"/>
    <w:rsid w:val="00FA11C4"/>
    <w:rsid w:val="00FA11ED"/>
    <w:rsid w:val="00FA1389"/>
    <w:rsid w:val="00FA181C"/>
    <w:rsid w:val="00FA19A1"/>
    <w:rsid w:val="00FA22BC"/>
    <w:rsid w:val="00FA268D"/>
    <w:rsid w:val="00FA26C1"/>
    <w:rsid w:val="00FA2EAA"/>
    <w:rsid w:val="00FA2EE4"/>
    <w:rsid w:val="00FA3117"/>
    <w:rsid w:val="00FA312A"/>
    <w:rsid w:val="00FA3266"/>
    <w:rsid w:val="00FA354D"/>
    <w:rsid w:val="00FA35D1"/>
    <w:rsid w:val="00FA3BF1"/>
    <w:rsid w:val="00FA3FC8"/>
    <w:rsid w:val="00FA41E2"/>
    <w:rsid w:val="00FA471B"/>
    <w:rsid w:val="00FA48F0"/>
    <w:rsid w:val="00FA4AEF"/>
    <w:rsid w:val="00FA4B2B"/>
    <w:rsid w:val="00FA4C01"/>
    <w:rsid w:val="00FA4D42"/>
    <w:rsid w:val="00FA4E6A"/>
    <w:rsid w:val="00FA512C"/>
    <w:rsid w:val="00FA52F2"/>
    <w:rsid w:val="00FA5385"/>
    <w:rsid w:val="00FA54CE"/>
    <w:rsid w:val="00FA6221"/>
    <w:rsid w:val="00FA6280"/>
    <w:rsid w:val="00FA66ED"/>
    <w:rsid w:val="00FA6961"/>
    <w:rsid w:val="00FA69C2"/>
    <w:rsid w:val="00FA6AB4"/>
    <w:rsid w:val="00FA6C3E"/>
    <w:rsid w:val="00FA6E7C"/>
    <w:rsid w:val="00FA70BC"/>
    <w:rsid w:val="00FA70F0"/>
    <w:rsid w:val="00FA714C"/>
    <w:rsid w:val="00FA71A6"/>
    <w:rsid w:val="00FA72D2"/>
    <w:rsid w:val="00FA777F"/>
    <w:rsid w:val="00FA7811"/>
    <w:rsid w:val="00FA785E"/>
    <w:rsid w:val="00FA7E68"/>
    <w:rsid w:val="00FA7EC1"/>
    <w:rsid w:val="00FB059D"/>
    <w:rsid w:val="00FB07DB"/>
    <w:rsid w:val="00FB08AA"/>
    <w:rsid w:val="00FB08FC"/>
    <w:rsid w:val="00FB0D04"/>
    <w:rsid w:val="00FB1478"/>
    <w:rsid w:val="00FB15E4"/>
    <w:rsid w:val="00FB1D55"/>
    <w:rsid w:val="00FB1DD1"/>
    <w:rsid w:val="00FB203F"/>
    <w:rsid w:val="00FB2126"/>
    <w:rsid w:val="00FB2FE6"/>
    <w:rsid w:val="00FB32EC"/>
    <w:rsid w:val="00FB344E"/>
    <w:rsid w:val="00FB3711"/>
    <w:rsid w:val="00FB39D4"/>
    <w:rsid w:val="00FB3A25"/>
    <w:rsid w:val="00FB3EC0"/>
    <w:rsid w:val="00FB3F1E"/>
    <w:rsid w:val="00FB3FFA"/>
    <w:rsid w:val="00FB408E"/>
    <w:rsid w:val="00FB4E7B"/>
    <w:rsid w:val="00FB536D"/>
    <w:rsid w:val="00FB55B8"/>
    <w:rsid w:val="00FB5C17"/>
    <w:rsid w:val="00FB65FD"/>
    <w:rsid w:val="00FB663B"/>
    <w:rsid w:val="00FB6A21"/>
    <w:rsid w:val="00FB6B37"/>
    <w:rsid w:val="00FB7109"/>
    <w:rsid w:val="00FB736C"/>
    <w:rsid w:val="00FB764B"/>
    <w:rsid w:val="00FB76A6"/>
    <w:rsid w:val="00FB7730"/>
    <w:rsid w:val="00FB77EB"/>
    <w:rsid w:val="00FC0221"/>
    <w:rsid w:val="00FC03FA"/>
    <w:rsid w:val="00FC07EF"/>
    <w:rsid w:val="00FC097A"/>
    <w:rsid w:val="00FC0ACE"/>
    <w:rsid w:val="00FC0C77"/>
    <w:rsid w:val="00FC0E1E"/>
    <w:rsid w:val="00FC0F97"/>
    <w:rsid w:val="00FC1495"/>
    <w:rsid w:val="00FC14B3"/>
    <w:rsid w:val="00FC1502"/>
    <w:rsid w:val="00FC15E3"/>
    <w:rsid w:val="00FC1603"/>
    <w:rsid w:val="00FC1734"/>
    <w:rsid w:val="00FC1C06"/>
    <w:rsid w:val="00FC1E41"/>
    <w:rsid w:val="00FC234E"/>
    <w:rsid w:val="00FC23DE"/>
    <w:rsid w:val="00FC2661"/>
    <w:rsid w:val="00FC2A6C"/>
    <w:rsid w:val="00FC2C23"/>
    <w:rsid w:val="00FC2D41"/>
    <w:rsid w:val="00FC339B"/>
    <w:rsid w:val="00FC34E3"/>
    <w:rsid w:val="00FC3A28"/>
    <w:rsid w:val="00FC3CA6"/>
    <w:rsid w:val="00FC3D1D"/>
    <w:rsid w:val="00FC40B8"/>
    <w:rsid w:val="00FC41F9"/>
    <w:rsid w:val="00FC43DE"/>
    <w:rsid w:val="00FC4A3B"/>
    <w:rsid w:val="00FC4AD2"/>
    <w:rsid w:val="00FC4FF4"/>
    <w:rsid w:val="00FC5340"/>
    <w:rsid w:val="00FC5426"/>
    <w:rsid w:val="00FC572C"/>
    <w:rsid w:val="00FC5A24"/>
    <w:rsid w:val="00FC5BF8"/>
    <w:rsid w:val="00FC5E5D"/>
    <w:rsid w:val="00FC6036"/>
    <w:rsid w:val="00FC6F27"/>
    <w:rsid w:val="00FC71A4"/>
    <w:rsid w:val="00FC73A5"/>
    <w:rsid w:val="00FC748C"/>
    <w:rsid w:val="00FC76F1"/>
    <w:rsid w:val="00FC77A7"/>
    <w:rsid w:val="00FC7C7B"/>
    <w:rsid w:val="00FD00D1"/>
    <w:rsid w:val="00FD02BF"/>
    <w:rsid w:val="00FD07BF"/>
    <w:rsid w:val="00FD07E0"/>
    <w:rsid w:val="00FD0BD0"/>
    <w:rsid w:val="00FD0CC2"/>
    <w:rsid w:val="00FD0D65"/>
    <w:rsid w:val="00FD0DA1"/>
    <w:rsid w:val="00FD0E4E"/>
    <w:rsid w:val="00FD0F79"/>
    <w:rsid w:val="00FD117E"/>
    <w:rsid w:val="00FD128E"/>
    <w:rsid w:val="00FD15B3"/>
    <w:rsid w:val="00FD16A0"/>
    <w:rsid w:val="00FD1D06"/>
    <w:rsid w:val="00FD27CB"/>
    <w:rsid w:val="00FD2B45"/>
    <w:rsid w:val="00FD2C70"/>
    <w:rsid w:val="00FD2E89"/>
    <w:rsid w:val="00FD2EFC"/>
    <w:rsid w:val="00FD3340"/>
    <w:rsid w:val="00FD33DD"/>
    <w:rsid w:val="00FD3493"/>
    <w:rsid w:val="00FD34A7"/>
    <w:rsid w:val="00FD351A"/>
    <w:rsid w:val="00FD3959"/>
    <w:rsid w:val="00FD3A14"/>
    <w:rsid w:val="00FD40AD"/>
    <w:rsid w:val="00FD4198"/>
    <w:rsid w:val="00FD435B"/>
    <w:rsid w:val="00FD452B"/>
    <w:rsid w:val="00FD48F3"/>
    <w:rsid w:val="00FD4F0A"/>
    <w:rsid w:val="00FD5A85"/>
    <w:rsid w:val="00FD5F52"/>
    <w:rsid w:val="00FD60EF"/>
    <w:rsid w:val="00FD60F5"/>
    <w:rsid w:val="00FD6404"/>
    <w:rsid w:val="00FD6415"/>
    <w:rsid w:val="00FD6557"/>
    <w:rsid w:val="00FD6ED7"/>
    <w:rsid w:val="00FD6EF3"/>
    <w:rsid w:val="00FD701C"/>
    <w:rsid w:val="00FD7280"/>
    <w:rsid w:val="00FD72CB"/>
    <w:rsid w:val="00FD7554"/>
    <w:rsid w:val="00FD7943"/>
    <w:rsid w:val="00FD7BF5"/>
    <w:rsid w:val="00FD7E42"/>
    <w:rsid w:val="00FD7E84"/>
    <w:rsid w:val="00FD7F44"/>
    <w:rsid w:val="00FD7F5E"/>
    <w:rsid w:val="00FE00C9"/>
    <w:rsid w:val="00FE05FF"/>
    <w:rsid w:val="00FE060B"/>
    <w:rsid w:val="00FE0661"/>
    <w:rsid w:val="00FE0899"/>
    <w:rsid w:val="00FE0AB2"/>
    <w:rsid w:val="00FE12E4"/>
    <w:rsid w:val="00FE16A1"/>
    <w:rsid w:val="00FE196B"/>
    <w:rsid w:val="00FE1BD4"/>
    <w:rsid w:val="00FE201F"/>
    <w:rsid w:val="00FE27A1"/>
    <w:rsid w:val="00FE282D"/>
    <w:rsid w:val="00FE29C9"/>
    <w:rsid w:val="00FE2E8D"/>
    <w:rsid w:val="00FE2F90"/>
    <w:rsid w:val="00FE3A49"/>
    <w:rsid w:val="00FE3C2D"/>
    <w:rsid w:val="00FE3E46"/>
    <w:rsid w:val="00FE42A7"/>
    <w:rsid w:val="00FE42E1"/>
    <w:rsid w:val="00FE45D3"/>
    <w:rsid w:val="00FE494D"/>
    <w:rsid w:val="00FE5104"/>
    <w:rsid w:val="00FE51F7"/>
    <w:rsid w:val="00FE523E"/>
    <w:rsid w:val="00FE5262"/>
    <w:rsid w:val="00FE545E"/>
    <w:rsid w:val="00FE5A70"/>
    <w:rsid w:val="00FE5BF4"/>
    <w:rsid w:val="00FE63FF"/>
    <w:rsid w:val="00FE68F6"/>
    <w:rsid w:val="00FE68FB"/>
    <w:rsid w:val="00FE6AA0"/>
    <w:rsid w:val="00FE6AE5"/>
    <w:rsid w:val="00FE6CEA"/>
    <w:rsid w:val="00FE6D3B"/>
    <w:rsid w:val="00FE6F9F"/>
    <w:rsid w:val="00FE7189"/>
    <w:rsid w:val="00FE73B6"/>
    <w:rsid w:val="00FE74D9"/>
    <w:rsid w:val="00FE77F1"/>
    <w:rsid w:val="00FE798A"/>
    <w:rsid w:val="00FE7A09"/>
    <w:rsid w:val="00FE7D53"/>
    <w:rsid w:val="00FF0011"/>
    <w:rsid w:val="00FF09AD"/>
    <w:rsid w:val="00FF0A92"/>
    <w:rsid w:val="00FF0C47"/>
    <w:rsid w:val="00FF0D1D"/>
    <w:rsid w:val="00FF0D3A"/>
    <w:rsid w:val="00FF0EF4"/>
    <w:rsid w:val="00FF1127"/>
    <w:rsid w:val="00FF119A"/>
    <w:rsid w:val="00FF1D67"/>
    <w:rsid w:val="00FF1E1A"/>
    <w:rsid w:val="00FF22D9"/>
    <w:rsid w:val="00FF27DD"/>
    <w:rsid w:val="00FF2CFD"/>
    <w:rsid w:val="00FF3146"/>
    <w:rsid w:val="00FF314F"/>
    <w:rsid w:val="00FF3ACF"/>
    <w:rsid w:val="00FF3B11"/>
    <w:rsid w:val="00FF40D0"/>
    <w:rsid w:val="00FF42B1"/>
    <w:rsid w:val="00FF4360"/>
    <w:rsid w:val="00FF4545"/>
    <w:rsid w:val="00FF45EC"/>
    <w:rsid w:val="00FF494E"/>
    <w:rsid w:val="00FF49B6"/>
    <w:rsid w:val="00FF4E7B"/>
    <w:rsid w:val="00FF534D"/>
    <w:rsid w:val="00FF5972"/>
    <w:rsid w:val="00FF5E0C"/>
    <w:rsid w:val="00FF5EE0"/>
    <w:rsid w:val="00FF6965"/>
    <w:rsid w:val="00FF6B8B"/>
    <w:rsid w:val="00FF6BB9"/>
    <w:rsid w:val="00FF6C46"/>
    <w:rsid w:val="00FF6E9A"/>
    <w:rsid w:val="00FF6F41"/>
    <w:rsid w:val="00FF746C"/>
    <w:rsid w:val="00FF7845"/>
    <w:rsid w:val="00FF7863"/>
    <w:rsid w:val="00FF7889"/>
    <w:rsid w:val="00FF7C25"/>
    <w:rsid w:val="00FF7DDC"/>
    <w:rsid w:val="0EF3B4E3"/>
    <w:rsid w:val="2E22FE49"/>
    <w:rsid w:val="5129F40A"/>
    <w:rsid w:val="5869CA35"/>
    <w:rsid w:val="668561AA"/>
    <w:rsid w:val="6D10266B"/>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56DD7E3"/>
  <w15:chartTrackingRefBased/>
  <w15:docId w15:val="{C57C2E26-AF5B-40E4-AB21-C71DC8BDA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note text" w:qFormat="1"/>
    <w:lsdException w:name="annotation text" w:uiPriority="99"/>
    <w:lsdException w:name="footer" w:uiPriority="99"/>
    <w:lsdException w:name="caption" w:semiHidden="1" w:unhideWhenUsed="1" w:qFormat="1"/>
    <w:lsdException w:name="footnote reference"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83F92"/>
    <w:pPr>
      <w:widowControl w:val="0"/>
    </w:pPr>
    <w:rPr>
      <w:snapToGrid w:val="0"/>
      <w:kern w:val="28"/>
      <w:sz w:val="22"/>
    </w:rPr>
  </w:style>
  <w:style w:type="paragraph" w:styleId="Heading1">
    <w:name w:val="heading 1"/>
    <w:basedOn w:val="Normal"/>
    <w:next w:val="ParaNum"/>
    <w:link w:val="Heading1Char"/>
    <w:qFormat/>
    <w:rsid w:val="00626EB6"/>
    <w:pPr>
      <w:keepNext/>
      <w:numPr>
        <w:numId w:val="2"/>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EB7CCD"/>
    <w:pPr>
      <w:keepNext/>
      <w:numPr>
        <w:ilvl w:val="1"/>
        <w:numId w:val="2"/>
      </w:numPr>
      <w:spacing w:after="120"/>
      <w:outlineLvl w:val="1"/>
    </w:pPr>
    <w:rPr>
      <w:b/>
    </w:rPr>
  </w:style>
  <w:style w:type="paragraph" w:styleId="Heading3">
    <w:name w:val="heading 3"/>
    <w:aliases w:val="Heading 3 Char Char,Heading 3 Char Char Char,Heading 3 Char Char Char Char,Heading 3 Char Char Char Char Char,Heading 3 Char Char1 Ch,Heading 3 Char1,Heading 3 Char1 Char,Heading 3 Char1 Char Char,Heading 3 Char2 Char1 Char Char"/>
    <w:basedOn w:val="Normal"/>
    <w:next w:val="ParaNum"/>
    <w:link w:val="Heading3Char"/>
    <w:qFormat/>
    <w:rsid w:val="00BA6196"/>
    <w:pPr>
      <w:keepNext/>
      <w:numPr>
        <w:ilvl w:val="2"/>
        <w:numId w:val="2"/>
      </w:numPr>
      <w:tabs>
        <w:tab w:val="left" w:pos="2160"/>
      </w:tabs>
      <w:spacing w:after="120"/>
      <w:outlineLvl w:val="2"/>
    </w:pPr>
    <w:rPr>
      <w:b/>
    </w:rPr>
  </w:style>
  <w:style w:type="paragraph" w:styleId="Heading4">
    <w:name w:val="heading 4"/>
    <w:aliases w:val="Heading 4 Char Char,Heading 4 Char Char Char,Heading 4 Char Char1,Heading 4 Char Char1 Char Ch,Heading 4 Char1,Heading 4 Char1 Char,Heading 4 Char1 Char1,Heading 4 Char1 Char1 Char Char,Heading 4 Char2,Heading 4 Char2 Char Char"/>
    <w:basedOn w:val="Normal"/>
    <w:next w:val="ParaNum"/>
    <w:link w:val="Heading4Char"/>
    <w:qFormat/>
    <w:rsid w:val="00C426B1"/>
    <w:pPr>
      <w:keepNext/>
      <w:numPr>
        <w:ilvl w:val="3"/>
        <w:numId w:val="2"/>
      </w:numPr>
      <w:tabs>
        <w:tab w:val="left" w:pos="2880"/>
      </w:tabs>
      <w:spacing w:after="120"/>
      <w:outlineLvl w:val="3"/>
    </w:pPr>
    <w:rPr>
      <w:b/>
    </w:rPr>
  </w:style>
  <w:style w:type="paragraph" w:styleId="Heading5">
    <w:name w:val="heading 5"/>
    <w:aliases w:val="Heading 5 Char Char Char Char Char,Heading 5 Char Char Char1,Heading 5 Char Char1 Char,Heading 5 Char Char2,Heading 5 Char1 Char Char Char,Heading 5 Char1 Char Char1,Heading 5 Char1 Char1,Heading 5 Char2"/>
    <w:basedOn w:val="Normal"/>
    <w:next w:val="ParaNum"/>
    <w:link w:val="Heading5Char"/>
    <w:qFormat/>
    <w:rsid w:val="00511968"/>
    <w:pPr>
      <w:keepNext/>
      <w:numPr>
        <w:ilvl w:val="4"/>
        <w:numId w:val="2"/>
      </w:numPr>
      <w:tabs>
        <w:tab w:val="left" w:pos="3600"/>
      </w:tabs>
      <w:suppressAutoHyphens/>
      <w:spacing w:after="120"/>
      <w:outlineLvl w:val="4"/>
    </w:pPr>
    <w:rPr>
      <w:b/>
    </w:rPr>
  </w:style>
  <w:style w:type="paragraph" w:styleId="Heading6">
    <w:name w:val="heading 6"/>
    <w:aliases w:val="Heading 6 Char Char,Heading 6 Char Char Char,Heading 6 Char Char1,Heading 6 Char1,Heading 6 Char1 Char,Heading 6 Char2,h6"/>
    <w:basedOn w:val="Normal"/>
    <w:next w:val="ParaNum"/>
    <w:link w:val="Heading6Char"/>
    <w:qFormat/>
    <w:rsid w:val="00036039"/>
    <w:pPr>
      <w:numPr>
        <w:ilvl w:val="5"/>
        <w:numId w:val="2"/>
      </w:numPr>
      <w:tabs>
        <w:tab w:val="left" w:pos="4320"/>
      </w:tabs>
      <w:spacing w:after="120"/>
      <w:outlineLvl w:val="5"/>
    </w:pPr>
    <w:rPr>
      <w:b/>
    </w:rPr>
  </w:style>
  <w:style w:type="paragraph" w:styleId="Heading7">
    <w:name w:val="heading 7"/>
    <w:basedOn w:val="Normal"/>
    <w:next w:val="ParaNum"/>
    <w:link w:val="Heading7Char"/>
    <w:qFormat/>
    <w:rsid w:val="00036039"/>
    <w:pPr>
      <w:numPr>
        <w:ilvl w:val="6"/>
        <w:numId w:val="2"/>
      </w:numPr>
      <w:tabs>
        <w:tab w:val="left" w:pos="5040"/>
      </w:tabs>
      <w:spacing w:after="120"/>
      <w:ind w:left="5040" w:hanging="720"/>
      <w:outlineLvl w:val="6"/>
    </w:pPr>
    <w:rPr>
      <w:b/>
    </w:rPr>
  </w:style>
  <w:style w:type="paragraph" w:styleId="Heading8">
    <w:name w:val="heading 8"/>
    <w:basedOn w:val="Normal"/>
    <w:next w:val="ParaNum"/>
    <w:link w:val="Heading8Char"/>
    <w:qFormat/>
    <w:rsid w:val="001E01CA"/>
    <w:pPr>
      <w:numPr>
        <w:ilvl w:val="7"/>
        <w:numId w:val="2"/>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link w:val="Heading9Char"/>
    <w:qFormat/>
    <w:rsid w:val="001E01CA"/>
    <w:pPr>
      <w:numPr>
        <w:ilvl w:val="8"/>
        <w:numId w:val="2"/>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B7CCD"/>
    <w:pPr>
      <w:numPr>
        <w:numId w:val="1"/>
      </w:numPr>
      <w:tabs>
        <w:tab w:val="clear" w:pos="1080"/>
        <w:tab w:val="num" w:pos="1440"/>
      </w:tabs>
      <w:spacing w:after="120"/>
    </w:pPr>
  </w:style>
  <w:style w:type="paragraph" w:styleId="EndnoteText">
    <w:name w:val="endnote text"/>
    <w:basedOn w:val="Normal"/>
    <w:link w:val="EndnoteTextChar"/>
    <w:semiHidden/>
    <w:rPr>
      <w:sz w:val="20"/>
    </w:rPr>
  </w:style>
  <w:style w:type="character" w:styleId="EndnoteReference">
    <w:name w:val="endnote reference"/>
    <w:semiHidden/>
    <w:rPr>
      <w:vertAlign w:val="superscript"/>
    </w:rPr>
  </w:style>
  <w:style w:type="paragraph" w:styleId="FootnoteText">
    <w:name w:val="footnote text"/>
    <w:aliases w:val="Footnote Text Char2 Char1 Char1 Char Char40,Footnote Text Char2 Char4,Footnote Text Char2 Char4 Char Char,Footnote Text Char3 Char1 Char2 Char,Footnote Text Char3 Char1 Char2 Char Char Char,Footnote Text Char5,Footnote Text Char5 Char Char"/>
    <w:link w:val="FootnoteTextChar"/>
    <w:qFormat/>
    <w:rsid w:val="000E3D42"/>
    <w:pPr>
      <w:spacing w:after="120"/>
    </w:p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A,Ref,Style 1,R"/>
    <w:qFormat/>
    <w:rsid w:val="00A32C3B"/>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normaltextrun">
    <w:name w:val="normaltextrun"/>
    <w:basedOn w:val="DefaultParagraphFont"/>
    <w:rsid w:val="00483F92"/>
  </w:style>
  <w:style w:type="character" w:customStyle="1" w:styleId="spellingerror">
    <w:name w:val="spellingerror"/>
    <w:basedOn w:val="DefaultParagraphFont"/>
    <w:rsid w:val="00483F92"/>
  </w:style>
  <w:style w:type="character" w:customStyle="1" w:styleId="contextualspellingandgrammarerror">
    <w:name w:val="contextualspellingandgrammarerror"/>
    <w:basedOn w:val="DefaultParagraphFont"/>
    <w:rsid w:val="00483F92"/>
  </w:style>
  <w:style w:type="character" w:customStyle="1" w:styleId="superscript">
    <w:name w:val="superscript"/>
    <w:basedOn w:val="DefaultParagraphFont"/>
    <w:rsid w:val="00483F92"/>
  </w:style>
  <w:style w:type="character" w:customStyle="1" w:styleId="hgkelc">
    <w:name w:val="hgkelc"/>
    <w:basedOn w:val="DefaultParagraphFont"/>
    <w:rsid w:val="00483F92"/>
  </w:style>
  <w:style w:type="character" w:customStyle="1" w:styleId="FootnoteTextChar">
    <w:name w:val="Footnote Text Char"/>
    <w:aliases w:val="Footnote Text Char2 Char1 Char1 Char Char40 Char,Footnote Text Char2 Char4 Char,Footnote Text Char2 Char4 Char Char Char,Footnote Text Char3 Char1 Char2 Char Char,Footnote Text Char3 Char1 Char2 Char Char Char Char"/>
    <w:link w:val="FootnoteText"/>
    <w:rsid w:val="00483F92"/>
  </w:style>
  <w:style w:type="character" w:styleId="UnresolvedMention">
    <w:name w:val="Unresolved Mention"/>
    <w:uiPriority w:val="99"/>
    <w:unhideWhenUsed/>
    <w:rsid w:val="00EB7CCD"/>
    <w:rPr>
      <w:color w:val="605E5C"/>
      <w:shd w:val="clear" w:color="auto" w:fill="E1DFDD"/>
    </w:rPr>
  </w:style>
  <w:style w:type="character" w:styleId="Emphasis">
    <w:name w:val="Emphasis"/>
    <w:qFormat/>
    <w:rsid w:val="00EB7CCD"/>
    <w:rPr>
      <w:i/>
      <w:iCs/>
    </w:rPr>
  </w:style>
  <w:style w:type="paragraph" w:styleId="ListParagraph">
    <w:name w:val="List Paragraph"/>
    <w:basedOn w:val="Normal"/>
    <w:uiPriority w:val="34"/>
    <w:qFormat/>
    <w:rsid w:val="00EB7CCD"/>
    <w:pPr>
      <w:widowControl/>
      <w:ind w:left="720"/>
    </w:pPr>
    <w:rPr>
      <w:rFonts w:ascii="Calibri" w:eastAsia="Calibri" w:hAnsi="Calibri" w:cs="Calibri"/>
      <w:snapToGrid/>
      <w:kern w:val="0"/>
      <w:szCs w:val="22"/>
    </w:rPr>
  </w:style>
  <w:style w:type="character" w:styleId="CommentReference">
    <w:name w:val="annotation reference"/>
    <w:uiPriority w:val="99"/>
    <w:rsid w:val="00EB7CCD"/>
    <w:rPr>
      <w:sz w:val="16"/>
      <w:szCs w:val="16"/>
    </w:rPr>
  </w:style>
  <w:style w:type="paragraph" w:styleId="CommentText">
    <w:name w:val="annotation text"/>
    <w:basedOn w:val="Normal"/>
    <w:link w:val="CommentTextChar"/>
    <w:uiPriority w:val="99"/>
    <w:rsid w:val="00EB7CCD"/>
    <w:pPr>
      <w:widowControl/>
    </w:pPr>
    <w:rPr>
      <w:rFonts w:eastAsia="Calibri"/>
      <w:kern w:val="0"/>
      <w:sz w:val="20"/>
      <w:szCs w:val="22"/>
    </w:rPr>
  </w:style>
  <w:style w:type="character" w:customStyle="1" w:styleId="CommentTextChar">
    <w:name w:val="Comment Text Char"/>
    <w:link w:val="CommentText"/>
    <w:uiPriority w:val="99"/>
    <w:rsid w:val="00483F92"/>
    <w:rPr>
      <w:rFonts w:eastAsia="Calibri"/>
      <w:snapToGrid w:val="0"/>
      <w:szCs w:val="22"/>
    </w:rPr>
  </w:style>
  <w:style w:type="paragraph" w:styleId="CommentSubject">
    <w:name w:val="annotation subject"/>
    <w:basedOn w:val="CommentText"/>
    <w:next w:val="CommentText"/>
    <w:link w:val="CommentSubjectChar"/>
    <w:rsid w:val="00483F92"/>
    <w:rPr>
      <w:b/>
      <w:bCs/>
    </w:rPr>
  </w:style>
  <w:style w:type="character" w:customStyle="1" w:styleId="CommentSubjectChar">
    <w:name w:val="Comment Subject Char"/>
    <w:link w:val="CommentSubject"/>
    <w:rsid w:val="00483F92"/>
    <w:rPr>
      <w:rFonts w:eastAsia="Calibri"/>
      <w:b/>
      <w:bCs/>
      <w:snapToGrid w:val="0"/>
      <w:szCs w:val="22"/>
    </w:rPr>
  </w:style>
  <w:style w:type="paragraph" w:styleId="Revision">
    <w:name w:val="Revision"/>
    <w:hidden/>
    <w:uiPriority w:val="99"/>
    <w:semiHidden/>
    <w:rsid w:val="00483F92"/>
    <w:rPr>
      <w:snapToGrid w:val="0"/>
      <w:kern w:val="28"/>
      <w:sz w:val="22"/>
    </w:rPr>
  </w:style>
  <w:style w:type="character" w:customStyle="1" w:styleId="ParaNumChar">
    <w:name w:val="ParaNum Char"/>
    <w:link w:val="ParaNum"/>
    <w:locked/>
    <w:rsid w:val="00483F92"/>
    <w:rPr>
      <w:snapToGrid w:val="0"/>
      <w:kern w:val="28"/>
      <w:sz w:val="22"/>
    </w:rPr>
  </w:style>
  <w:style w:type="character" w:customStyle="1" w:styleId="Heading3Char">
    <w:name w:val="Heading 3 Char"/>
    <w:aliases w:val="Heading 3 Char Char Char1,Heading 3 Char Char Char Char1,Heading 3 Char Char Char Char Char1,Heading 3 Char Char Char Char Char Char,Heading 3 Char Char1 Ch Char,Heading 3 Char1 Char1,Heading 3 Char1 Char Char1"/>
    <w:link w:val="Heading3"/>
    <w:rsid w:val="00483F92"/>
    <w:rPr>
      <w:b/>
      <w:snapToGrid w:val="0"/>
      <w:kern w:val="28"/>
      <w:sz w:val="22"/>
    </w:rPr>
  </w:style>
  <w:style w:type="character" w:styleId="FollowedHyperlink">
    <w:name w:val="FollowedHyperlink"/>
    <w:rsid w:val="00EB7CCD"/>
    <w:rPr>
      <w:color w:val="954F72"/>
      <w:u w:val="single"/>
    </w:rPr>
  </w:style>
  <w:style w:type="character" w:customStyle="1" w:styleId="HeaderChar">
    <w:name w:val="Header Char"/>
    <w:link w:val="Header"/>
    <w:rsid w:val="00483F92"/>
    <w:rPr>
      <w:b/>
      <w:snapToGrid w:val="0"/>
      <w:kern w:val="28"/>
      <w:sz w:val="22"/>
    </w:rPr>
  </w:style>
  <w:style w:type="character" w:styleId="Strong">
    <w:name w:val="Strong"/>
    <w:uiPriority w:val="22"/>
    <w:qFormat/>
    <w:rsid w:val="00483F92"/>
    <w:rPr>
      <w:b/>
      <w:bCs/>
    </w:rPr>
  </w:style>
  <w:style w:type="character" w:customStyle="1" w:styleId="Heading2Char">
    <w:name w:val="Heading 2 Char"/>
    <w:link w:val="Heading2"/>
    <w:rsid w:val="00483F92"/>
    <w:rPr>
      <w:b/>
      <w:snapToGrid w:val="0"/>
      <w:kern w:val="28"/>
      <w:sz w:val="22"/>
    </w:rPr>
  </w:style>
  <w:style w:type="character" w:customStyle="1" w:styleId="Heading1Char">
    <w:name w:val="Heading 1 Char"/>
    <w:link w:val="Heading1"/>
    <w:rsid w:val="00483F92"/>
    <w:rPr>
      <w:rFonts w:ascii="Times New Roman Bold" w:hAnsi="Times New Roman Bold"/>
      <w:b/>
      <w:caps/>
      <w:snapToGrid w:val="0"/>
      <w:kern w:val="28"/>
      <w:sz w:val="22"/>
    </w:rPr>
  </w:style>
  <w:style w:type="character" w:styleId="Mention">
    <w:name w:val="Mention"/>
    <w:uiPriority w:val="99"/>
    <w:unhideWhenUsed/>
    <w:rsid w:val="00EB7CCD"/>
    <w:rPr>
      <w:color w:val="2B579A"/>
      <w:shd w:val="clear" w:color="auto" w:fill="E1DFDD"/>
    </w:rPr>
  </w:style>
  <w:style w:type="paragraph" w:styleId="NormalWeb">
    <w:name w:val="Normal (Web)"/>
    <w:basedOn w:val="Normal"/>
    <w:uiPriority w:val="99"/>
    <w:rsid w:val="00EB7CCD"/>
    <w:pPr>
      <w:widowControl/>
    </w:pPr>
    <w:rPr>
      <w:rFonts w:eastAsia="Calibri"/>
      <w:kern w:val="0"/>
      <w:sz w:val="24"/>
      <w:szCs w:val="24"/>
    </w:rPr>
  </w:style>
  <w:style w:type="paragraph" w:styleId="NoSpacing">
    <w:name w:val="No Spacing"/>
    <w:uiPriority w:val="1"/>
    <w:qFormat/>
    <w:rsid w:val="00483F92"/>
    <w:rPr>
      <w:rFonts w:ascii="Calibri" w:eastAsia="Calibri" w:hAnsi="Calibri" w:cs="Arial"/>
      <w:sz w:val="22"/>
      <w:szCs w:val="22"/>
    </w:rPr>
  </w:style>
  <w:style w:type="character" w:customStyle="1" w:styleId="cf01">
    <w:name w:val="cf01"/>
    <w:rsid w:val="00483F92"/>
    <w:rPr>
      <w:rFonts w:ascii="Segoe UI" w:hAnsi="Segoe UI" w:cs="Segoe UI" w:hint="default"/>
      <w:sz w:val="18"/>
      <w:szCs w:val="18"/>
    </w:rPr>
  </w:style>
  <w:style w:type="character" w:customStyle="1" w:styleId="ui-provider">
    <w:name w:val="ui-provider"/>
    <w:basedOn w:val="DefaultParagraphFont"/>
    <w:rsid w:val="00483F92"/>
  </w:style>
  <w:style w:type="character" w:customStyle="1" w:styleId="eop">
    <w:name w:val="eop"/>
    <w:basedOn w:val="DefaultParagraphFont"/>
    <w:rsid w:val="00483F92"/>
  </w:style>
  <w:style w:type="paragraph" w:customStyle="1" w:styleId="pf0">
    <w:name w:val="pf0"/>
    <w:basedOn w:val="Normal"/>
    <w:rsid w:val="00EB7CCD"/>
    <w:pPr>
      <w:widowControl/>
      <w:spacing w:before="100" w:beforeAutospacing="1" w:after="100" w:afterAutospacing="1"/>
    </w:pPr>
    <w:rPr>
      <w:rFonts w:eastAsia="Calibri"/>
      <w:snapToGrid/>
      <w:kern w:val="0"/>
      <w:sz w:val="24"/>
      <w:szCs w:val="24"/>
    </w:rPr>
  </w:style>
  <w:style w:type="character" w:customStyle="1" w:styleId="cf11">
    <w:name w:val="cf11"/>
    <w:rsid w:val="00EB7CCD"/>
    <w:rPr>
      <w:rFonts w:ascii="Segoe UI" w:hAnsi="Segoe UI" w:cs="Segoe UI" w:hint="default"/>
      <w:i/>
      <w:iCs/>
      <w:sz w:val="18"/>
      <w:szCs w:val="18"/>
    </w:rPr>
  </w:style>
  <w:style w:type="character" w:customStyle="1" w:styleId="cosearchterm">
    <w:name w:val="co_searchterm"/>
    <w:basedOn w:val="DefaultParagraphFont"/>
    <w:rsid w:val="00483F92"/>
  </w:style>
  <w:style w:type="character" w:customStyle="1" w:styleId="Footnote">
    <w:name w:val="Footnote"/>
    <w:rsid w:val="00483F92"/>
    <w:rPr>
      <w:rFonts w:cs="Times New Roman"/>
    </w:rPr>
  </w:style>
  <w:style w:type="character" w:customStyle="1" w:styleId="Heading4Char">
    <w:name w:val="Heading 4 Char"/>
    <w:aliases w:val="Heading 4 Char Char Char1,Heading 4 Char Char Char Char,Heading 4 Char Char1 Char,Heading 4 Char Char1 Char Ch Char,Heading 4 Char1 Char2,Heading 4 Char1 Char Char,Heading 4 Char1 Char1 Char,Heading 4 Char1 Char1 Char Char Char"/>
    <w:link w:val="Heading4"/>
    <w:rsid w:val="00483F92"/>
    <w:rPr>
      <w:b/>
      <w:snapToGrid w:val="0"/>
      <w:kern w:val="28"/>
      <w:sz w:val="22"/>
    </w:rPr>
  </w:style>
  <w:style w:type="character" w:customStyle="1" w:styleId="Heading5Char">
    <w:name w:val="Heading 5 Char"/>
    <w:aliases w:val="Heading 5 Char Char Char Char Char Char,Heading 5 Char Char Char1 Char,Heading 5 Char Char1 Char Char,Heading 5 Char Char2 Char,Heading 5 Char1 Char Char Char Char,Heading 5 Char1 Char Char1 Char,Heading 5 Char1 Char1 Char"/>
    <w:link w:val="Heading5"/>
    <w:rsid w:val="00483F92"/>
    <w:rPr>
      <w:b/>
      <w:snapToGrid w:val="0"/>
      <w:kern w:val="28"/>
      <w:sz w:val="22"/>
    </w:rPr>
  </w:style>
  <w:style w:type="character" w:customStyle="1" w:styleId="documentbody1">
    <w:name w:val="documentbody1"/>
    <w:rsid w:val="00483F92"/>
    <w:rPr>
      <w:rFonts w:ascii="Verdana" w:hAnsi="Verdana" w:hint="default"/>
      <w:sz w:val="19"/>
      <w:szCs w:val="19"/>
      <w:shd w:val="clear" w:color="auto" w:fill="FFFFFF"/>
    </w:rPr>
  </w:style>
  <w:style w:type="character" w:customStyle="1" w:styleId="Heading6Char">
    <w:name w:val="Heading 6 Char"/>
    <w:aliases w:val="Heading 6 Char Char Char1,Heading 6 Char Char Char Char,Heading 6 Char Char1 Char,Heading 6 Char1 Char1,Heading 6 Char1 Char Char,Heading 6 Char2 Char,h6 Char"/>
    <w:link w:val="Heading6"/>
    <w:rsid w:val="00483F92"/>
    <w:rPr>
      <w:b/>
      <w:snapToGrid w:val="0"/>
      <w:kern w:val="28"/>
      <w:sz w:val="22"/>
    </w:rPr>
  </w:style>
  <w:style w:type="character" w:customStyle="1" w:styleId="Heading7Char">
    <w:name w:val="Heading 7 Char"/>
    <w:link w:val="Heading7"/>
    <w:rsid w:val="00483F92"/>
    <w:rPr>
      <w:b/>
      <w:snapToGrid w:val="0"/>
      <w:kern w:val="28"/>
      <w:sz w:val="22"/>
    </w:rPr>
  </w:style>
  <w:style w:type="character" w:customStyle="1" w:styleId="Heading8Char">
    <w:name w:val="Heading 8 Char"/>
    <w:link w:val="Heading8"/>
    <w:rsid w:val="00483F92"/>
    <w:rPr>
      <w:b/>
      <w:snapToGrid w:val="0"/>
      <w:kern w:val="28"/>
      <w:sz w:val="22"/>
    </w:rPr>
  </w:style>
  <w:style w:type="character" w:customStyle="1" w:styleId="Heading9Char">
    <w:name w:val="Heading 9 Char"/>
    <w:aliases w:val="9 Char,Heading 9.table Char,Titre 9 Char,Topic Char,t Char,table Char"/>
    <w:link w:val="Heading9"/>
    <w:rsid w:val="00483F92"/>
    <w:rPr>
      <w:b/>
      <w:snapToGrid w:val="0"/>
      <w:kern w:val="28"/>
      <w:sz w:val="22"/>
    </w:rPr>
  </w:style>
  <w:style w:type="paragraph" w:customStyle="1" w:styleId="OrderHead">
    <w:name w:val="Order Head"/>
    <w:basedOn w:val="Normal"/>
    <w:semiHidden/>
    <w:qFormat/>
    <w:rsid w:val="00483F92"/>
    <w:pPr>
      <w:widowControl/>
      <w:tabs>
        <w:tab w:val="center" w:pos="4680"/>
        <w:tab w:val="right" w:pos="9360"/>
      </w:tabs>
      <w:spacing w:before="240" w:after="320"/>
    </w:pPr>
    <w:rPr>
      <w:rFonts w:ascii="Times New Roman Bold" w:eastAsia="Calibri" w:hAnsi="Times New Roman Bold"/>
      <w:b/>
      <w:bCs/>
      <w:snapToGrid/>
      <w:kern w:val="2"/>
      <w:u w:val="single"/>
    </w:rPr>
  </w:style>
  <w:style w:type="paragraph" w:customStyle="1" w:styleId="Signature-AgencyName">
    <w:name w:val="Signature - Agency Name"/>
    <w:basedOn w:val="Normal"/>
    <w:uiPriority w:val="95"/>
    <w:qFormat/>
    <w:rsid w:val="00483F92"/>
    <w:pPr>
      <w:keepNext/>
      <w:widowControl/>
      <w:ind w:left="4320"/>
    </w:pPr>
    <w:rPr>
      <w:rFonts w:eastAsia="Calibri"/>
      <w:snapToGrid/>
      <w:kern w:val="2"/>
      <w:szCs w:val="22"/>
    </w:rPr>
  </w:style>
  <w:style w:type="paragraph" w:customStyle="1" w:styleId="Agency">
    <w:name w:val="Agency"/>
    <w:basedOn w:val="Normal"/>
    <w:link w:val="AgencyChar"/>
    <w:unhideWhenUsed/>
    <w:rsid w:val="00483F92"/>
    <w:pPr>
      <w:widowControl/>
      <w:suppressAutoHyphens/>
      <w:spacing w:after="240"/>
      <w:jc w:val="center"/>
    </w:pPr>
    <w:rPr>
      <w:rFonts w:eastAsia="Calibri"/>
      <w:b/>
      <w:snapToGrid/>
      <w:kern w:val="0"/>
      <w:szCs w:val="22"/>
    </w:rPr>
  </w:style>
  <w:style w:type="character" w:customStyle="1" w:styleId="AgencyChar">
    <w:name w:val="Agency Char"/>
    <w:link w:val="Agency"/>
    <w:rsid w:val="00483F92"/>
    <w:rPr>
      <w:rFonts w:eastAsia="Calibri"/>
      <w:b/>
      <w:sz w:val="22"/>
      <w:szCs w:val="22"/>
    </w:rPr>
  </w:style>
  <w:style w:type="character" w:customStyle="1" w:styleId="EndnoteTextChar">
    <w:name w:val="Endnote Text Char"/>
    <w:link w:val="EndnoteText"/>
    <w:semiHidden/>
    <w:rsid w:val="00203CCB"/>
    <w:rPr>
      <w:snapToGrid w:val="0"/>
      <w:kern w:val="28"/>
    </w:rPr>
  </w:style>
  <w:style w:type="character" w:customStyle="1" w:styleId="ParaNumCharChar1">
    <w:name w:val="ParaNum Char Char1"/>
    <w:locked/>
    <w:rsid w:val="00203CCB"/>
    <w:rPr>
      <w:rFonts w:eastAsia="Times New Roman" w:cs="Times New Roman"/>
      <w:snapToGrid w:val="0"/>
      <w:kern w:val="28"/>
      <w:sz w:val="22"/>
      <w:szCs w:val="20"/>
    </w:rPr>
  </w:style>
  <w:style w:type="character" w:customStyle="1" w:styleId="FootnoteTextChar2">
    <w:name w:val="Footnote Text Char2"/>
    <w:aliases w:val="Footnote Text Char Char Char,Footnote Text Char Char Char Char Char,Footnote Text Char1 Char,Footnote Text Char2 Char Char2 Char2 Char Char Char,Footnote Text Char4 Char Char1 Char Char Char,Footnote Text Char5 Char Char Char"/>
    <w:uiPriority w:val="99"/>
    <w:locked/>
    <w:rsid w:val="00203CCB"/>
  </w:style>
  <w:style w:type="character" w:customStyle="1" w:styleId="ParaNumChar1">
    <w:name w:val="ParaNum Char1"/>
    <w:locked/>
    <w:rsid w:val="00203CCB"/>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header" Target="header3.xml" /><Relationship Id="rId14" Type="http://schemas.openxmlformats.org/officeDocument/2006/relationships/footer" Target="footer4.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5.xml" /><Relationship Id="rId18" Type="http://schemas.openxmlformats.org/officeDocument/2006/relationships/footer" Target="footer6.xml" /><Relationship Id="rId19" Type="http://schemas.openxmlformats.org/officeDocument/2006/relationships/header" Target="header6.xml" /><Relationship Id="rId2" Type="http://schemas.openxmlformats.org/officeDocument/2006/relationships/endnotes" Target="endnotes.xml" /><Relationship Id="rId20" Type="http://schemas.openxmlformats.org/officeDocument/2006/relationships/footer" Target="footer7.xml" /><Relationship Id="rId21" Type="http://schemas.openxmlformats.org/officeDocument/2006/relationships/header" Target="header7.xml" /><Relationship Id="rId22" Type="http://schemas.openxmlformats.org/officeDocument/2006/relationships/footer" Target="footer8.xml" /><Relationship Id="rId23" Type="http://schemas.openxmlformats.org/officeDocument/2006/relationships/footer" Target="footer9.xml" /><Relationship Id="rId24" Type="http://schemas.openxmlformats.org/officeDocument/2006/relationships/header" Target="header8.xml" /><Relationship Id="rId25" Type="http://schemas.openxmlformats.org/officeDocument/2006/relationships/footer" Target="footer10.xml" /><Relationship Id="rId26" Type="http://schemas.openxmlformats.org/officeDocument/2006/relationships/header" Target="header9.xml" /><Relationship Id="rId27" Type="http://schemas.openxmlformats.org/officeDocument/2006/relationships/header" Target="header10.xml" /><Relationship Id="rId28" Type="http://schemas.openxmlformats.org/officeDocument/2006/relationships/footer" Target="footer11.xml" /><Relationship Id="rId29" Type="http://schemas.openxmlformats.org/officeDocument/2006/relationships/footer" Target="footer12.xml" /><Relationship Id="rId3" Type="http://schemas.openxmlformats.org/officeDocument/2006/relationships/settings" Target="settings.xml" /><Relationship Id="rId30" Type="http://schemas.openxmlformats.org/officeDocument/2006/relationships/header" Target="header11.xml" /><Relationship Id="rId31" Type="http://schemas.openxmlformats.org/officeDocument/2006/relationships/footer" Target="footer13.xml" /><Relationship Id="rId32" Type="http://schemas.openxmlformats.org/officeDocument/2006/relationships/theme" Target="theme/theme1.xml" /><Relationship Id="rId33" Type="http://schemas.openxmlformats.org/officeDocument/2006/relationships/numbering" Target="numbering.xml" /><Relationship Id="rId34"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Jeanne.Stockman@fcc.gov" TargetMode="External" /><Relationship Id="rId7" Type="http://schemas.openxmlformats.org/officeDocument/2006/relationships/hyperlink" Target="mailto:James.Zigouris@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outage-information-sharing" TargetMode="External" /><Relationship Id="rId10" Type="http://schemas.openxmlformats.org/officeDocument/2006/relationships/hyperlink" Target="https://urgentcomm.com/public-safety/t-mobile-formally-launches-t-priority-for-first-responders-powered-by-5g-network-slicing-technology" TargetMode="External" /><Relationship Id="rId11" Type="http://schemas.openxmlformats.org/officeDocument/2006/relationships/hyperlink" Target="https://transition.fcc.gov/pshs/docs/Standard_Operating%20_Procedures_DIRS-Lite.pdf" TargetMode="External" /><Relationship Id="rId12" Type="http://schemas.openxmlformats.org/officeDocument/2006/relationships/hyperlink" Target="https://www.bls.gov/oes/tables.htm" TargetMode="External" /><Relationship Id="rId13" Type="http://schemas.openxmlformats.org/officeDocument/2006/relationships/hyperlink" Target="https://www.bls.gov/news.release/pdf/ecec.pdf" TargetMode="External" /><Relationship Id="rId14" Type="http://schemas.openxmlformats.org/officeDocument/2006/relationships/hyperlink" Target="https://docs.fcc.gov/public/attachments/DOC-418460A1.pdf" TargetMode="External" /><Relationship Id="rId15" Type="http://schemas.openxmlformats.org/officeDocument/2006/relationships/hyperlink" Target="https://advocacy.sba.gov/wp-content/uploads/2024/12/Frequently-Asked-Questions-About-Small-Business_2024-508.pdf" TargetMode="External" /><Relationship Id="rId16" Type="http://schemas.openxmlformats.org/officeDocument/2006/relationships/hyperlink" Target="https://advocacy.sba.gov/2019/07/25/small-business-facts-spotlight-on-nonprofits/" TargetMode="External" /><Relationship Id="rId17" Type="http://schemas.openxmlformats.org/officeDocument/2006/relationships/hyperlink" Target="https://www.census.gov/data/tables/2022/econ/gus/2022-governments.html" TargetMode="External" /><Relationship Id="rId18" Type="http://schemas.openxmlformats.org/officeDocument/2006/relationships/hyperlink" Target="http://www.census.gov/NAICS" TargetMode="External" /><Relationship Id="rId19" Type="http://schemas.openxmlformats.org/officeDocument/2006/relationships/hyperlink" Target="https://docs.fcc.gov/public/attachments/DOC-408848A1.pdf" TargetMode="External" /><Relationship Id="rId2" Type="http://schemas.openxmlformats.org/officeDocument/2006/relationships/hyperlink" Target="https://www.fcc.gov/sites/default/files/DIRS-FAQs0425.pdf" TargetMode="External" /><Relationship Id="rId20" Type="http://schemas.openxmlformats.org/officeDocument/2006/relationships/hyperlink" Target="https://docs.fcc.gov/public/attachments/DA-26-49A1.pdf" TargetMode="External" /><Relationship Id="rId3" Type="http://schemas.openxmlformats.org/officeDocument/2006/relationships/hyperlink" Target="https://firstnet.gov/about/history" TargetMode="External" /><Relationship Id="rId4" Type="http://schemas.openxmlformats.org/officeDocument/2006/relationships/hyperlink" Target="https://www.fcc.gov/sites/default/files/DIRS-UserGuide-122023.docx" TargetMode="External" /><Relationship Id="rId5" Type="http://schemas.openxmlformats.org/officeDocument/2006/relationships/hyperlink" Target="https://www.fcc.gov/sites/default/files/DIRS-UploadAPI-Guide-0124.docx" TargetMode="External" /><Relationship Id="rId6" Type="http://schemas.openxmlformats.org/officeDocument/2006/relationships/hyperlink" Target="https://iconectiv.com/sites/default/files/2021-01/iconectivtruopscommonlanguageclli.pdf" TargetMode="External" /><Relationship Id="rId7" Type="http://schemas.openxmlformats.org/officeDocument/2006/relationships/hyperlink" Target="https://firstnet.gov/sites/default/files/Roadmap_2020_nocompress.pdf" TargetMode="External" /><Relationship Id="rId8" Type="http://schemas.openxmlformats.org/officeDocument/2006/relationships/hyperlink" Target="https://www.verizon.com/business/resources/factsheets/verizon-frontline-public-safety-platform.pdf" TargetMode="External" /><Relationship Id="rId9" Type="http://schemas.openxmlformats.org/officeDocument/2006/relationships/hyperlink" Target="https://www.t-mobile.com/t-priority/why-choose-t-priority?icid=TFB_TMO_P_24TFBFRSTR_EACBC7D5BB79CA7644179"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