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25C86" w:rsidRPr="00301716" w:rsidP="00725C86" w14:paraId="699D5633" w14:textId="77777777">
      <w:pPr>
        <w:snapToGrid w:val="0"/>
        <w:jc w:val="center"/>
        <w:rPr>
          <w:b/>
          <w:snapToGrid/>
        </w:rPr>
      </w:pPr>
      <w:r w:rsidRPr="00816744">
        <w:rPr>
          <w:b/>
        </w:rPr>
        <w:t>Before</w:t>
      </w:r>
      <w:r w:rsidRPr="00301716">
        <w:rPr>
          <w:b/>
          <w:snapToGrid/>
        </w:rPr>
        <w:t xml:space="preserve"> the</w:t>
      </w:r>
    </w:p>
    <w:p w:rsidR="00725C86" w:rsidRPr="00B134BE" w:rsidP="00725C86" w14:paraId="5400D398" w14:textId="77777777">
      <w:pPr>
        <w:snapToGrid w:val="0"/>
        <w:jc w:val="center"/>
      </w:pPr>
      <w:r w:rsidRPr="00816744">
        <w:rPr>
          <w:rFonts w:ascii="Times New Roman Bold" w:hAnsi="Times New Roman Bold"/>
          <w:b/>
          <w:caps/>
        </w:rPr>
        <w:t>F</w:t>
      </w:r>
      <w:r w:rsidRPr="00816744">
        <w:rPr>
          <w:b/>
        </w:rPr>
        <w:t>ederal Communications Commission</w:t>
      </w:r>
    </w:p>
    <w:p w:rsidR="00725C86" w:rsidRPr="00B134BE" w:rsidP="00725C86" w14:paraId="3EC24BBB" w14:textId="77777777">
      <w:pPr>
        <w:tabs>
          <w:tab w:val="center" w:pos="4680"/>
          <w:tab w:val="right" w:pos="9360"/>
        </w:tabs>
        <w:snapToGrid w:val="0"/>
      </w:pPr>
      <w:r w:rsidRPr="00816744">
        <w:rPr>
          <w:b/>
        </w:rPr>
        <w:tab/>
        <w:t>Washington, D.C. 20554</w:t>
      </w:r>
      <w:r w:rsidRPr="00816744">
        <w:rPr>
          <w:b/>
        </w:rPr>
        <w:tab/>
      </w:r>
    </w:p>
    <w:p w:rsidR="00725C86" w:rsidRPr="00301716" w:rsidP="00725C86" w14:paraId="3EE012C9" w14:textId="77777777">
      <w:pPr>
        <w:snapToGrid w:val="0"/>
        <w:rPr>
          <w:snapToGrid/>
        </w:rPr>
      </w:pPr>
    </w:p>
    <w:tbl>
      <w:tblPr>
        <w:tblW w:w="0" w:type="auto"/>
        <w:tblLayout w:type="fixed"/>
        <w:tblLook w:val="04A0"/>
      </w:tblPr>
      <w:tblGrid>
        <w:gridCol w:w="4698"/>
        <w:gridCol w:w="630"/>
        <w:gridCol w:w="4248"/>
      </w:tblGrid>
      <w:tr w14:paraId="28AD3F46" w14:textId="77777777" w:rsidTr="00635987">
        <w:tblPrEx>
          <w:tblW w:w="0" w:type="auto"/>
          <w:tblLayout w:type="fixed"/>
          <w:tblLook w:val="04A0"/>
        </w:tblPrEx>
        <w:tc>
          <w:tcPr>
            <w:tcW w:w="4698" w:type="dxa"/>
          </w:tcPr>
          <w:p w:rsidR="00725C86" w:rsidRPr="00301716" w:rsidP="00635987" w14:paraId="353D784B" w14:textId="77777777">
            <w:pPr>
              <w:tabs>
                <w:tab w:val="center" w:pos="4680"/>
              </w:tabs>
              <w:suppressAutoHyphens/>
              <w:snapToGrid w:val="0"/>
              <w:rPr>
                <w:snapToGrid/>
                <w:spacing w:val="-2"/>
              </w:rPr>
            </w:pPr>
            <w:r w:rsidRPr="00301716">
              <w:rPr>
                <w:snapToGrid/>
                <w:spacing w:val="-2"/>
              </w:rPr>
              <w:t>In the Matter of</w:t>
            </w:r>
          </w:p>
          <w:p w:rsidR="00725C86" w:rsidRPr="00301716" w:rsidP="00635987" w14:paraId="123CB5D5" w14:textId="77777777">
            <w:pPr>
              <w:tabs>
                <w:tab w:val="center" w:pos="4680"/>
              </w:tabs>
              <w:suppressAutoHyphens/>
              <w:snapToGrid w:val="0"/>
              <w:rPr>
                <w:snapToGrid/>
                <w:spacing w:val="-2"/>
              </w:rPr>
            </w:pPr>
          </w:p>
          <w:p w:rsidR="00725C86" w:rsidRPr="00301716" w:rsidP="00635987" w14:paraId="3E186506" w14:textId="77777777">
            <w:pPr>
              <w:tabs>
                <w:tab w:val="center" w:pos="4680"/>
              </w:tabs>
              <w:suppressAutoHyphens/>
              <w:snapToGrid w:val="0"/>
              <w:rPr>
                <w:snapToGrid/>
                <w:spacing w:val="-2"/>
              </w:rPr>
            </w:pPr>
            <w:r w:rsidRPr="00301716">
              <w:rPr>
                <w:snapToGrid/>
                <w:spacing w:val="-2"/>
              </w:rPr>
              <w:t>Empowering Broadband Consumers Through Transparency</w:t>
            </w:r>
          </w:p>
          <w:p w:rsidR="00725C86" w:rsidRPr="00301716" w:rsidP="00635987" w14:paraId="48E87D4F" w14:textId="77777777">
            <w:pPr>
              <w:tabs>
                <w:tab w:val="center" w:pos="4680"/>
              </w:tabs>
              <w:suppressAutoHyphens/>
              <w:snapToGrid w:val="0"/>
              <w:rPr>
                <w:snapToGrid/>
                <w:spacing w:val="-2"/>
              </w:rPr>
            </w:pPr>
          </w:p>
          <w:p w:rsidR="00725C86" w:rsidRPr="00301716" w:rsidP="00635987" w14:paraId="1A1C0948" w14:textId="77777777">
            <w:pPr>
              <w:tabs>
                <w:tab w:val="center" w:pos="4680"/>
              </w:tabs>
              <w:suppressAutoHyphens/>
              <w:snapToGrid w:val="0"/>
              <w:rPr>
                <w:snapToGrid/>
                <w:spacing w:val="-2"/>
              </w:rPr>
            </w:pPr>
            <w:r w:rsidRPr="00301716">
              <w:rPr>
                <w:snapToGrid/>
                <w:spacing w:val="-2"/>
              </w:rPr>
              <w:t>Delete, Delete, Delete</w:t>
            </w:r>
          </w:p>
        </w:tc>
        <w:tc>
          <w:tcPr>
            <w:tcW w:w="630" w:type="dxa"/>
            <w:hideMark/>
          </w:tcPr>
          <w:p w:rsidR="00725C86" w:rsidRPr="00301716" w:rsidP="00635987" w14:paraId="409CD0DE" w14:textId="77777777">
            <w:pPr>
              <w:tabs>
                <w:tab w:val="center" w:pos="4680"/>
              </w:tabs>
              <w:suppressAutoHyphens/>
              <w:snapToGrid w:val="0"/>
              <w:rPr>
                <w:b/>
                <w:snapToGrid/>
                <w:spacing w:val="-2"/>
              </w:rPr>
            </w:pPr>
            <w:r w:rsidRPr="00301716">
              <w:rPr>
                <w:b/>
                <w:snapToGrid/>
                <w:spacing w:val="-2"/>
              </w:rPr>
              <w:t>)</w:t>
            </w:r>
          </w:p>
          <w:p w:rsidR="00725C86" w:rsidRPr="00301716" w:rsidP="00635987" w14:paraId="5B05B9F3" w14:textId="77777777">
            <w:pPr>
              <w:tabs>
                <w:tab w:val="center" w:pos="4680"/>
              </w:tabs>
              <w:suppressAutoHyphens/>
              <w:snapToGrid w:val="0"/>
              <w:rPr>
                <w:b/>
                <w:snapToGrid/>
                <w:spacing w:val="-2"/>
              </w:rPr>
            </w:pPr>
            <w:r w:rsidRPr="00301716">
              <w:rPr>
                <w:b/>
                <w:snapToGrid/>
                <w:spacing w:val="-2"/>
              </w:rPr>
              <w:t>)</w:t>
            </w:r>
          </w:p>
          <w:p w:rsidR="00725C86" w:rsidRPr="00301716" w:rsidP="00635987" w14:paraId="05BB8F4D" w14:textId="77777777">
            <w:pPr>
              <w:tabs>
                <w:tab w:val="center" w:pos="4680"/>
              </w:tabs>
              <w:suppressAutoHyphens/>
              <w:snapToGrid w:val="0"/>
              <w:rPr>
                <w:b/>
                <w:snapToGrid/>
                <w:spacing w:val="-2"/>
              </w:rPr>
            </w:pPr>
            <w:r w:rsidRPr="00301716">
              <w:rPr>
                <w:b/>
                <w:snapToGrid/>
                <w:spacing w:val="-2"/>
              </w:rPr>
              <w:t>)</w:t>
            </w:r>
          </w:p>
          <w:p w:rsidR="00725C86" w:rsidRPr="00301716" w:rsidP="00635987" w14:paraId="07751F4B" w14:textId="77777777">
            <w:pPr>
              <w:tabs>
                <w:tab w:val="center" w:pos="4680"/>
              </w:tabs>
              <w:suppressAutoHyphens/>
              <w:snapToGrid w:val="0"/>
              <w:rPr>
                <w:b/>
                <w:snapToGrid/>
                <w:spacing w:val="-2"/>
              </w:rPr>
            </w:pPr>
            <w:r w:rsidRPr="00301716">
              <w:rPr>
                <w:b/>
                <w:snapToGrid/>
                <w:spacing w:val="-2"/>
              </w:rPr>
              <w:t>)</w:t>
            </w:r>
          </w:p>
          <w:p w:rsidR="00725C86" w:rsidRPr="00301716" w:rsidP="00635987" w14:paraId="333E3B11" w14:textId="77777777">
            <w:pPr>
              <w:tabs>
                <w:tab w:val="center" w:pos="4680"/>
              </w:tabs>
              <w:suppressAutoHyphens/>
              <w:snapToGrid w:val="0"/>
              <w:rPr>
                <w:b/>
                <w:snapToGrid/>
                <w:spacing w:val="-2"/>
              </w:rPr>
            </w:pPr>
            <w:r w:rsidRPr="00301716">
              <w:rPr>
                <w:b/>
                <w:snapToGrid/>
                <w:spacing w:val="-2"/>
              </w:rPr>
              <w:t>)</w:t>
            </w:r>
          </w:p>
          <w:p w:rsidR="00725C86" w:rsidRPr="00301716" w:rsidP="00635987" w14:paraId="756CC534" w14:textId="77777777">
            <w:pPr>
              <w:tabs>
                <w:tab w:val="center" w:pos="4680"/>
              </w:tabs>
              <w:suppressAutoHyphens/>
              <w:snapToGrid w:val="0"/>
              <w:rPr>
                <w:b/>
                <w:snapToGrid/>
                <w:spacing w:val="-2"/>
              </w:rPr>
            </w:pPr>
            <w:r w:rsidRPr="00301716">
              <w:rPr>
                <w:b/>
                <w:snapToGrid/>
                <w:spacing w:val="-2"/>
              </w:rPr>
              <w:t>)</w:t>
            </w:r>
          </w:p>
        </w:tc>
        <w:tc>
          <w:tcPr>
            <w:tcW w:w="4248" w:type="dxa"/>
          </w:tcPr>
          <w:p w:rsidR="00725C86" w:rsidRPr="00301716" w:rsidP="00635987" w14:paraId="68D64769" w14:textId="77777777">
            <w:pPr>
              <w:tabs>
                <w:tab w:val="center" w:pos="4680"/>
              </w:tabs>
              <w:suppressAutoHyphens/>
              <w:snapToGrid w:val="0"/>
              <w:rPr>
                <w:snapToGrid/>
                <w:spacing w:val="-2"/>
              </w:rPr>
            </w:pPr>
          </w:p>
          <w:p w:rsidR="00725C86" w:rsidRPr="00301716" w:rsidP="00635987" w14:paraId="7F7E7A28" w14:textId="77777777">
            <w:pPr>
              <w:tabs>
                <w:tab w:val="center" w:pos="4680"/>
                <w:tab w:val="right" w:pos="9360"/>
              </w:tabs>
              <w:suppressAutoHyphens/>
              <w:snapToGrid w:val="0"/>
              <w:rPr>
                <w:snapToGrid/>
                <w:spacing w:val="-2"/>
              </w:rPr>
            </w:pPr>
          </w:p>
          <w:p w:rsidR="00725C86" w:rsidRPr="00301716" w:rsidP="00635987" w14:paraId="322149C4" w14:textId="77777777">
            <w:pPr>
              <w:tabs>
                <w:tab w:val="center" w:pos="4680"/>
              </w:tabs>
              <w:suppressAutoHyphens/>
              <w:snapToGrid w:val="0"/>
              <w:rPr>
                <w:snapToGrid/>
                <w:spacing w:val="-2"/>
              </w:rPr>
            </w:pPr>
            <w:r w:rsidRPr="00301716">
              <w:rPr>
                <w:snapToGrid/>
                <w:spacing w:val="-2"/>
              </w:rPr>
              <w:t>CG Docket No. 22-2</w:t>
            </w:r>
          </w:p>
          <w:p w:rsidR="00725C86" w:rsidRPr="00301716" w:rsidP="00635987" w14:paraId="4217BA25" w14:textId="77777777">
            <w:pPr>
              <w:tabs>
                <w:tab w:val="center" w:pos="4680"/>
              </w:tabs>
              <w:suppressAutoHyphens/>
              <w:snapToGrid w:val="0"/>
              <w:rPr>
                <w:snapToGrid/>
                <w:spacing w:val="-2"/>
              </w:rPr>
            </w:pPr>
          </w:p>
          <w:p w:rsidR="00725C86" w:rsidRPr="00301716" w:rsidP="00635987" w14:paraId="234D0465" w14:textId="77777777">
            <w:pPr>
              <w:tabs>
                <w:tab w:val="center" w:pos="4680"/>
              </w:tabs>
              <w:suppressAutoHyphens/>
              <w:snapToGrid w:val="0"/>
              <w:rPr>
                <w:snapToGrid/>
                <w:spacing w:val="-2"/>
              </w:rPr>
            </w:pPr>
          </w:p>
          <w:p w:rsidR="00725C86" w:rsidRPr="00301716" w:rsidP="00635987" w14:paraId="5CAE6032" w14:textId="77777777">
            <w:pPr>
              <w:tabs>
                <w:tab w:val="center" w:pos="4680"/>
              </w:tabs>
              <w:suppressAutoHyphens/>
              <w:snapToGrid w:val="0"/>
              <w:rPr>
                <w:snapToGrid/>
                <w:spacing w:val="-2"/>
              </w:rPr>
            </w:pPr>
            <w:r w:rsidRPr="00301716">
              <w:rPr>
                <w:snapToGrid/>
                <w:spacing w:val="-2"/>
              </w:rPr>
              <w:t>GN Docket No. 25-133</w:t>
            </w:r>
          </w:p>
        </w:tc>
      </w:tr>
    </w:tbl>
    <w:p w:rsidR="00725C86" w:rsidRPr="00301716" w:rsidP="00725C86" w14:paraId="1961237E" w14:textId="77777777">
      <w:pPr>
        <w:snapToGrid w:val="0"/>
        <w:rPr>
          <w:snapToGrid/>
        </w:rPr>
      </w:pPr>
    </w:p>
    <w:p w:rsidR="00725C86" w:rsidRPr="006C757F" w:rsidP="00725C86" w14:paraId="3E9B620E" w14:textId="77777777">
      <w:pPr>
        <w:snapToGrid w:val="0"/>
        <w:jc w:val="center"/>
      </w:pPr>
      <w:r w:rsidRPr="00816744">
        <w:rPr>
          <w:b/>
          <w:caps/>
        </w:rPr>
        <w:t>REPORT and ORDER</w:t>
      </w:r>
    </w:p>
    <w:p w:rsidR="00725C86" w:rsidRPr="00301716" w:rsidP="00725C86" w14:paraId="6A0D7F49" w14:textId="77777777">
      <w:pPr>
        <w:tabs>
          <w:tab w:val="left" w:pos="-720"/>
        </w:tabs>
        <w:suppressAutoHyphens/>
        <w:snapToGrid w:val="0"/>
        <w:spacing w:line="225" w:lineRule="auto"/>
        <w:rPr>
          <w:snapToGrid/>
          <w:spacing w:val="-2"/>
        </w:rPr>
      </w:pPr>
    </w:p>
    <w:p w:rsidR="00725C86" w:rsidRPr="00301716" w:rsidP="00725C86" w14:paraId="22D9094F" w14:textId="77777777">
      <w:pPr>
        <w:tabs>
          <w:tab w:val="left" w:pos="720"/>
          <w:tab w:val="right" w:pos="9360"/>
        </w:tabs>
        <w:suppressAutoHyphens/>
        <w:snapToGrid w:val="0"/>
        <w:spacing w:line="225" w:lineRule="auto"/>
        <w:rPr>
          <w:b/>
          <w:snapToGrid/>
          <w:spacing w:val="-2"/>
        </w:rPr>
      </w:pPr>
      <w:r w:rsidRPr="00301716">
        <w:rPr>
          <w:b/>
          <w:snapToGrid/>
          <w:spacing w:val="-2"/>
        </w:rPr>
        <w:t xml:space="preserve">Adopted:  </w:t>
      </w:r>
      <w:r>
        <w:rPr>
          <w:b/>
          <w:snapToGrid/>
          <w:spacing w:val="-2"/>
        </w:rPr>
        <w:t>July 22, 2026</w:t>
      </w:r>
      <w:r w:rsidRPr="00301716">
        <w:rPr>
          <w:b/>
          <w:snapToGrid/>
          <w:spacing w:val="-2"/>
        </w:rPr>
        <w:t xml:space="preserve">          </w:t>
      </w:r>
      <w:r w:rsidRPr="00301716">
        <w:rPr>
          <w:b/>
          <w:snapToGrid/>
          <w:spacing w:val="-2"/>
        </w:rPr>
        <w:tab/>
        <w:t xml:space="preserve">Released:  </w:t>
      </w:r>
      <w:r>
        <w:rPr>
          <w:b/>
          <w:snapToGrid/>
          <w:spacing w:val="-2"/>
        </w:rPr>
        <w:t>July 23, 2026</w:t>
      </w:r>
    </w:p>
    <w:p w:rsidR="00725C86" w:rsidRPr="00301716" w:rsidP="00725C86" w14:paraId="7B46E3DA" w14:textId="77777777">
      <w:pPr>
        <w:tabs>
          <w:tab w:val="left" w:pos="720"/>
          <w:tab w:val="right" w:pos="9360"/>
        </w:tabs>
        <w:suppressAutoHyphens/>
        <w:snapToGrid w:val="0"/>
        <w:spacing w:line="225" w:lineRule="auto"/>
        <w:rPr>
          <w:b/>
          <w:snapToGrid/>
          <w:spacing w:val="-2"/>
        </w:rPr>
      </w:pPr>
    </w:p>
    <w:p w:rsidR="00725C86" w:rsidRPr="00301716" w:rsidP="00725C86" w14:paraId="69A01F53" w14:textId="77777777">
      <w:pPr>
        <w:snapToGrid w:val="0"/>
        <w:rPr>
          <w:snapToGrid/>
          <w:spacing w:val="-2"/>
        </w:rPr>
      </w:pPr>
      <w:r w:rsidRPr="00301716">
        <w:rPr>
          <w:snapToGrid/>
          <w:spacing w:val="-2"/>
        </w:rPr>
        <w:t>By the Commission:</w:t>
      </w:r>
      <w:r>
        <w:rPr>
          <w:snapToGrid/>
          <w:spacing w:val="-2"/>
        </w:rPr>
        <w:t xml:space="preserve">  </w:t>
      </w:r>
      <w:r w:rsidRPr="005D7C75">
        <w:rPr>
          <w:snapToGrid/>
          <w:spacing w:val="-2"/>
        </w:rPr>
        <w:t>Chairman Carr and Commissioners Gomez and Trusty issuing separate statements.</w:t>
      </w:r>
    </w:p>
    <w:p w:rsidR="00725C86" w:rsidP="00725C86" w14:paraId="3EDE9A2E" w14:textId="77777777">
      <w:pPr>
        <w:pStyle w:val="TOCTitle"/>
      </w:pPr>
      <w:bookmarkStart w:id="0" w:name="TOChere"/>
      <w:r>
        <w:t>Table of Contents</w:t>
      </w:r>
    </w:p>
    <w:p w:rsidR="00725C86" w:rsidP="00725C86" w14:paraId="7CCDA72E" w14:textId="77777777">
      <w:pPr>
        <w:pStyle w:val="Paratitle"/>
      </w:pPr>
      <w:r>
        <w:t>Heading</w:t>
      </w:r>
      <w:r>
        <w:tab/>
        <w:t>Paragraph #</w:t>
      </w:r>
      <w:bookmarkStart w:id="1" w:name="start_here"/>
      <w:bookmarkEnd w:id="1"/>
    </w:p>
    <w:p w:rsidR="00725C86" w:rsidRPr="00725C86" w:rsidP="00725C86" w14:paraId="7893930F" w14:textId="77777777">
      <w:pPr>
        <w:pStyle w:val="TOC1"/>
        <w:rPr>
          <w:rFonts w:ascii="Aptos" w:hAnsi="Aptos"/>
          <w:caps w:val="0"/>
          <w:snapToGrid/>
          <w:kern w:val="2"/>
          <w:sz w:val="24"/>
          <w:szCs w:val="24"/>
        </w:rPr>
      </w:pPr>
      <w:r>
        <w:t>II.</w:t>
      </w:r>
      <w:r w:rsidRPr="00725C86">
        <w:rPr>
          <w:rFonts w:ascii="Aptos" w:hAnsi="Aptos"/>
          <w:caps w:val="0"/>
          <w:snapToGrid/>
          <w:kern w:val="2"/>
          <w:sz w:val="24"/>
          <w:szCs w:val="24"/>
        </w:rPr>
        <w:tab/>
      </w:r>
      <w:r>
        <w:t>background</w:t>
      </w:r>
      <w:r>
        <w:tab/>
        <w:t>5</w:t>
      </w:r>
    </w:p>
    <w:p w:rsidR="00725C86" w:rsidRPr="00725C86" w:rsidP="00725C86" w14:paraId="507D9052" w14:textId="77777777">
      <w:pPr>
        <w:pStyle w:val="TOC1"/>
        <w:rPr>
          <w:rFonts w:ascii="Aptos" w:hAnsi="Aptos"/>
          <w:caps w:val="0"/>
          <w:snapToGrid/>
          <w:kern w:val="2"/>
          <w:sz w:val="24"/>
          <w:szCs w:val="24"/>
        </w:rPr>
      </w:pPr>
      <w:r>
        <w:t>III.</w:t>
      </w:r>
      <w:r w:rsidRPr="00725C86">
        <w:rPr>
          <w:rFonts w:ascii="Aptos" w:hAnsi="Aptos"/>
          <w:caps w:val="0"/>
          <w:snapToGrid/>
          <w:kern w:val="2"/>
          <w:sz w:val="24"/>
          <w:szCs w:val="24"/>
        </w:rPr>
        <w:tab/>
      </w:r>
      <w:r>
        <w:t>discussion</w:t>
      </w:r>
      <w:r>
        <w:tab/>
        <w:t>9</w:t>
      </w:r>
    </w:p>
    <w:p w:rsidR="00725C86" w:rsidRPr="00725C86" w:rsidP="00725C86" w14:paraId="7C168CF3" w14:textId="77777777">
      <w:pPr>
        <w:pStyle w:val="TOC2"/>
        <w:tabs>
          <w:tab w:val="left" w:pos="360"/>
        </w:tabs>
        <w:rPr>
          <w:rFonts w:ascii="Aptos" w:hAnsi="Aptos"/>
          <w:snapToGrid/>
          <w:kern w:val="2"/>
          <w:sz w:val="24"/>
          <w:szCs w:val="24"/>
        </w:rPr>
      </w:pPr>
      <w:r w:rsidRPr="00EB1178">
        <w:rPr>
          <w:snapToGrid/>
        </w:rPr>
        <w:t>A.</w:t>
      </w:r>
      <w:r w:rsidRPr="00725C86">
        <w:rPr>
          <w:rFonts w:ascii="Aptos" w:hAnsi="Aptos"/>
          <w:snapToGrid/>
          <w:kern w:val="2"/>
          <w:sz w:val="24"/>
          <w:szCs w:val="24"/>
        </w:rPr>
        <w:tab/>
      </w:r>
      <w:r w:rsidRPr="00EB1178">
        <w:rPr>
          <w:snapToGrid/>
        </w:rPr>
        <w:t>Improving Label Display and Content</w:t>
      </w:r>
      <w:r>
        <w:tab/>
        <w:t>10</w:t>
      </w:r>
    </w:p>
    <w:p w:rsidR="00725C86" w:rsidRPr="00725C86" w:rsidP="00725C86" w14:paraId="082A4D74" w14:textId="77777777">
      <w:pPr>
        <w:pStyle w:val="TOC3"/>
        <w:tabs>
          <w:tab w:val="left" w:pos="360"/>
        </w:tabs>
        <w:rPr>
          <w:rFonts w:ascii="Aptos" w:hAnsi="Aptos"/>
          <w:snapToGrid/>
          <w:kern w:val="2"/>
          <w:sz w:val="24"/>
          <w:szCs w:val="24"/>
        </w:rPr>
      </w:pPr>
      <w:r w:rsidRPr="00EB1178">
        <w:rPr>
          <w:snapToGrid/>
        </w:rPr>
        <w:t>1.</w:t>
      </w:r>
      <w:r w:rsidRPr="00725C86">
        <w:rPr>
          <w:rFonts w:ascii="Aptos" w:hAnsi="Aptos"/>
          <w:snapToGrid/>
          <w:kern w:val="2"/>
          <w:sz w:val="24"/>
          <w:szCs w:val="24"/>
        </w:rPr>
        <w:tab/>
      </w:r>
      <w:r w:rsidRPr="00EB1178">
        <w:rPr>
          <w:snapToGrid/>
        </w:rPr>
        <w:t>Phone Sales</w:t>
      </w:r>
      <w:r>
        <w:tab/>
        <w:t>10</w:t>
      </w:r>
    </w:p>
    <w:p w:rsidR="00725C86" w:rsidRPr="00725C86" w:rsidP="00725C86" w14:paraId="59EA0254" w14:textId="77777777">
      <w:pPr>
        <w:pStyle w:val="TOC3"/>
        <w:tabs>
          <w:tab w:val="left" w:pos="360"/>
        </w:tabs>
        <w:rPr>
          <w:rFonts w:ascii="Aptos" w:hAnsi="Aptos"/>
          <w:snapToGrid/>
          <w:kern w:val="2"/>
          <w:sz w:val="24"/>
          <w:szCs w:val="24"/>
        </w:rPr>
      </w:pPr>
      <w:r w:rsidRPr="00EB1178">
        <w:rPr>
          <w:snapToGrid/>
        </w:rPr>
        <w:t>2.</w:t>
      </w:r>
      <w:r w:rsidRPr="00725C86">
        <w:rPr>
          <w:rFonts w:ascii="Aptos" w:hAnsi="Aptos"/>
          <w:snapToGrid/>
          <w:kern w:val="2"/>
          <w:sz w:val="24"/>
          <w:szCs w:val="24"/>
        </w:rPr>
        <w:tab/>
      </w:r>
      <w:r w:rsidRPr="00EB1178">
        <w:rPr>
          <w:snapToGrid/>
        </w:rPr>
        <w:t>Passthrough Fees</w:t>
      </w:r>
      <w:r>
        <w:tab/>
        <w:t>14</w:t>
      </w:r>
    </w:p>
    <w:p w:rsidR="00725C86" w:rsidRPr="00725C86" w:rsidP="00725C86" w14:paraId="01682A49" w14:textId="77777777">
      <w:pPr>
        <w:pStyle w:val="TOC3"/>
        <w:tabs>
          <w:tab w:val="left" w:pos="360"/>
        </w:tabs>
        <w:rPr>
          <w:rFonts w:ascii="Aptos" w:hAnsi="Aptos"/>
          <w:snapToGrid/>
          <w:kern w:val="2"/>
          <w:sz w:val="24"/>
          <w:szCs w:val="24"/>
        </w:rPr>
      </w:pPr>
      <w:r w:rsidRPr="00EB1178">
        <w:rPr>
          <w:snapToGrid/>
        </w:rPr>
        <w:t>3.</w:t>
      </w:r>
      <w:r w:rsidRPr="00725C86">
        <w:rPr>
          <w:rFonts w:ascii="Aptos" w:hAnsi="Aptos"/>
          <w:snapToGrid/>
          <w:kern w:val="2"/>
          <w:sz w:val="24"/>
          <w:szCs w:val="24"/>
        </w:rPr>
        <w:tab/>
      </w:r>
      <w:r w:rsidRPr="00EB1178">
        <w:rPr>
          <w:snapToGrid/>
        </w:rPr>
        <w:t>Affordable Connectivity Program</w:t>
      </w:r>
      <w:r>
        <w:tab/>
        <w:t>21</w:t>
      </w:r>
    </w:p>
    <w:p w:rsidR="00725C86" w:rsidRPr="00725C86" w:rsidP="00725C86" w14:paraId="142AD6DD" w14:textId="77777777">
      <w:pPr>
        <w:pStyle w:val="TOC3"/>
        <w:tabs>
          <w:tab w:val="left" w:pos="360"/>
        </w:tabs>
        <w:rPr>
          <w:rFonts w:ascii="Aptos" w:hAnsi="Aptos"/>
          <w:snapToGrid/>
          <w:kern w:val="2"/>
          <w:sz w:val="24"/>
          <w:szCs w:val="24"/>
        </w:rPr>
      </w:pPr>
      <w:r w:rsidRPr="00EB1178">
        <w:rPr>
          <w:snapToGrid/>
        </w:rPr>
        <w:t>4.</w:t>
      </w:r>
      <w:r w:rsidRPr="00725C86">
        <w:rPr>
          <w:rFonts w:ascii="Aptos" w:hAnsi="Aptos"/>
          <w:snapToGrid/>
          <w:kern w:val="2"/>
          <w:sz w:val="24"/>
          <w:szCs w:val="24"/>
        </w:rPr>
        <w:tab/>
      </w:r>
      <w:r w:rsidRPr="00EB1178">
        <w:rPr>
          <w:snapToGrid/>
        </w:rPr>
        <w:t>Customer Account Portal</w:t>
      </w:r>
      <w:r>
        <w:tab/>
        <w:t>22</w:t>
      </w:r>
    </w:p>
    <w:p w:rsidR="00725C86" w:rsidRPr="00725C86" w:rsidP="00725C86" w14:paraId="4A81936F" w14:textId="77777777">
      <w:pPr>
        <w:pStyle w:val="TOC3"/>
        <w:tabs>
          <w:tab w:val="left" w:pos="360"/>
        </w:tabs>
        <w:rPr>
          <w:rFonts w:ascii="Aptos" w:hAnsi="Aptos"/>
          <w:snapToGrid/>
          <w:kern w:val="2"/>
          <w:sz w:val="24"/>
          <w:szCs w:val="24"/>
        </w:rPr>
      </w:pPr>
      <w:r w:rsidRPr="00EB1178">
        <w:rPr>
          <w:snapToGrid/>
        </w:rPr>
        <w:t>5.</w:t>
      </w:r>
      <w:r w:rsidRPr="00725C86">
        <w:rPr>
          <w:rFonts w:ascii="Aptos" w:hAnsi="Aptos"/>
          <w:snapToGrid/>
          <w:kern w:val="2"/>
          <w:sz w:val="24"/>
          <w:szCs w:val="24"/>
        </w:rPr>
        <w:tab/>
      </w:r>
      <w:r w:rsidRPr="00EB1178">
        <w:rPr>
          <w:snapToGrid/>
        </w:rPr>
        <w:t>Point-of-Sale Display</w:t>
      </w:r>
      <w:r>
        <w:tab/>
        <w:t>26</w:t>
      </w:r>
    </w:p>
    <w:p w:rsidR="00725C86" w:rsidRPr="00725C86" w:rsidP="00725C86" w14:paraId="6801E2AD" w14:textId="77777777">
      <w:pPr>
        <w:pStyle w:val="TOC3"/>
        <w:tabs>
          <w:tab w:val="left" w:pos="360"/>
        </w:tabs>
        <w:rPr>
          <w:rFonts w:ascii="Aptos" w:hAnsi="Aptos"/>
          <w:snapToGrid/>
          <w:kern w:val="2"/>
          <w:sz w:val="24"/>
          <w:szCs w:val="24"/>
        </w:rPr>
      </w:pPr>
      <w:r w:rsidRPr="00EB1178">
        <w:rPr>
          <w:snapToGrid/>
        </w:rPr>
        <w:t>6.</w:t>
      </w:r>
      <w:r w:rsidRPr="00725C86">
        <w:rPr>
          <w:rFonts w:ascii="Aptos" w:hAnsi="Aptos"/>
          <w:snapToGrid/>
          <w:kern w:val="2"/>
          <w:sz w:val="24"/>
          <w:szCs w:val="24"/>
        </w:rPr>
        <w:tab/>
      </w:r>
      <w:r w:rsidRPr="00EB1178">
        <w:rPr>
          <w:snapToGrid/>
        </w:rPr>
        <w:t>Multilingual Requirement</w:t>
      </w:r>
      <w:r>
        <w:tab/>
        <w:t>30</w:t>
      </w:r>
    </w:p>
    <w:p w:rsidR="00725C86" w:rsidRPr="00725C86" w:rsidP="00725C86" w14:paraId="2B61E4CF" w14:textId="77777777">
      <w:pPr>
        <w:pStyle w:val="TOC2"/>
        <w:tabs>
          <w:tab w:val="left" w:pos="360"/>
        </w:tabs>
        <w:rPr>
          <w:rFonts w:ascii="Aptos" w:hAnsi="Aptos"/>
          <w:snapToGrid/>
          <w:kern w:val="2"/>
          <w:sz w:val="24"/>
          <w:szCs w:val="24"/>
        </w:rPr>
      </w:pPr>
      <w:r w:rsidRPr="00EB1178">
        <w:rPr>
          <w:snapToGrid/>
        </w:rPr>
        <w:t>B.</w:t>
      </w:r>
      <w:r w:rsidRPr="00725C86">
        <w:rPr>
          <w:rFonts w:ascii="Aptos" w:hAnsi="Aptos"/>
          <w:snapToGrid/>
          <w:kern w:val="2"/>
          <w:sz w:val="24"/>
          <w:szCs w:val="24"/>
        </w:rPr>
        <w:tab/>
      </w:r>
      <w:r w:rsidRPr="00EB1178">
        <w:rPr>
          <w:snapToGrid/>
        </w:rPr>
        <w:t>Eliminating Burdensome Reporting and Recordkeeping Requirements</w:t>
      </w:r>
      <w:r>
        <w:tab/>
        <w:t>32</w:t>
      </w:r>
    </w:p>
    <w:p w:rsidR="00725C86" w:rsidRPr="00725C86" w:rsidP="00725C86" w14:paraId="6593AA7F" w14:textId="77777777">
      <w:pPr>
        <w:pStyle w:val="TOC3"/>
        <w:tabs>
          <w:tab w:val="left" w:pos="360"/>
        </w:tabs>
        <w:rPr>
          <w:rFonts w:ascii="Aptos" w:hAnsi="Aptos"/>
          <w:snapToGrid/>
          <w:kern w:val="2"/>
          <w:sz w:val="24"/>
          <w:szCs w:val="24"/>
        </w:rPr>
      </w:pPr>
      <w:r w:rsidRPr="00EB1178">
        <w:rPr>
          <w:snapToGrid/>
        </w:rPr>
        <w:t>1.</w:t>
      </w:r>
      <w:r w:rsidRPr="00725C86">
        <w:rPr>
          <w:rFonts w:ascii="Aptos" w:hAnsi="Aptos"/>
          <w:snapToGrid/>
          <w:kern w:val="2"/>
          <w:sz w:val="24"/>
          <w:szCs w:val="24"/>
        </w:rPr>
        <w:tab/>
      </w:r>
      <w:r w:rsidRPr="00EB1178">
        <w:rPr>
          <w:snapToGrid/>
        </w:rPr>
        <w:t>Machine-Readability and Data File Requirements</w:t>
      </w:r>
      <w:r>
        <w:tab/>
        <w:t>32</w:t>
      </w:r>
    </w:p>
    <w:p w:rsidR="00725C86" w:rsidRPr="00725C86" w:rsidP="00725C86" w14:paraId="6D00A70C" w14:textId="77777777">
      <w:pPr>
        <w:pStyle w:val="TOC3"/>
        <w:tabs>
          <w:tab w:val="left" w:pos="360"/>
        </w:tabs>
        <w:rPr>
          <w:rFonts w:ascii="Aptos" w:hAnsi="Aptos"/>
          <w:snapToGrid/>
          <w:kern w:val="2"/>
          <w:sz w:val="24"/>
          <w:szCs w:val="24"/>
        </w:rPr>
      </w:pPr>
      <w:r w:rsidRPr="00EB1178">
        <w:rPr>
          <w:snapToGrid/>
        </w:rPr>
        <w:t>2.</w:t>
      </w:r>
      <w:r w:rsidRPr="00725C86">
        <w:rPr>
          <w:rFonts w:ascii="Aptos" w:hAnsi="Aptos"/>
          <w:snapToGrid/>
          <w:kern w:val="2"/>
          <w:sz w:val="24"/>
          <w:szCs w:val="24"/>
        </w:rPr>
        <w:tab/>
      </w:r>
      <w:r w:rsidRPr="00EB1178">
        <w:rPr>
          <w:snapToGrid/>
        </w:rPr>
        <w:t>Archiving</w:t>
      </w:r>
      <w:r>
        <w:tab/>
        <w:t>36</w:t>
      </w:r>
    </w:p>
    <w:p w:rsidR="00725C86" w:rsidRPr="00725C86" w:rsidP="00725C86" w14:paraId="4D155A30" w14:textId="77777777">
      <w:pPr>
        <w:pStyle w:val="TOC2"/>
        <w:tabs>
          <w:tab w:val="left" w:pos="360"/>
        </w:tabs>
        <w:rPr>
          <w:rFonts w:ascii="Aptos" w:hAnsi="Aptos"/>
          <w:snapToGrid/>
          <w:kern w:val="2"/>
          <w:sz w:val="24"/>
          <w:szCs w:val="24"/>
        </w:rPr>
      </w:pPr>
      <w:r w:rsidRPr="00EB1178">
        <w:rPr>
          <w:snapToGrid/>
        </w:rPr>
        <w:t>C.</w:t>
      </w:r>
      <w:r w:rsidRPr="00725C86">
        <w:rPr>
          <w:rFonts w:ascii="Aptos" w:hAnsi="Aptos"/>
          <w:snapToGrid/>
          <w:kern w:val="2"/>
          <w:sz w:val="24"/>
          <w:szCs w:val="24"/>
        </w:rPr>
        <w:tab/>
      </w:r>
      <w:r w:rsidRPr="00EB1178">
        <w:rPr>
          <w:snapToGrid/>
        </w:rPr>
        <w:t>The Label Template</w:t>
      </w:r>
      <w:r>
        <w:tab/>
        <w:t>40</w:t>
      </w:r>
    </w:p>
    <w:p w:rsidR="00725C86" w:rsidRPr="00725C86" w:rsidP="00725C86" w14:paraId="4731D3C1" w14:textId="77777777">
      <w:pPr>
        <w:pStyle w:val="TOC3"/>
        <w:tabs>
          <w:tab w:val="left" w:pos="360"/>
        </w:tabs>
        <w:rPr>
          <w:rFonts w:ascii="Aptos" w:hAnsi="Aptos"/>
          <w:snapToGrid/>
          <w:kern w:val="2"/>
          <w:sz w:val="24"/>
          <w:szCs w:val="24"/>
        </w:rPr>
      </w:pPr>
      <w:r w:rsidRPr="00EB1178">
        <w:rPr>
          <w:snapToGrid/>
        </w:rPr>
        <w:t>1.</w:t>
      </w:r>
      <w:r w:rsidRPr="00725C86">
        <w:rPr>
          <w:rFonts w:ascii="Aptos" w:hAnsi="Aptos"/>
          <w:snapToGrid/>
          <w:kern w:val="2"/>
          <w:sz w:val="24"/>
          <w:szCs w:val="24"/>
        </w:rPr>
        <w:tab/>
      </w:r>
      <w:r w:rsidRPr="00EB1178">
        <w:rPr>
          <w:snapToGrid/>
        </w:rPr>
        <w:t>Removing the Template from the CFR</w:t>
      </w:r>
      <w:r>
        <w:tab/>
        <w:t>40</w:t>
      </w:r>
    </w:p>
    <w:p w:rsidR="00725C86" w:rsidRPr="00725C86" w:rsidP="00725C86" w14:paraId="5D9577AA" w14:textId="77777777">
      <w:pPr>
        <w:pStyle w:val="TOC3"/>
        <w:tabs>
          <w:tab w:val="left" w:pos="360"/>
        </w:tabs>
        <w:rPr>
          <w:rFonts w:ascii="Aptos" w:hAnsi="Aptos"/>
          <w:snapToGrid/>
          <w:kern w:val="2"/>
          <w:sz w:val="24"/>
          <w:szCs w:val="24"/>
        </w:rPr>
      </w:pPr>
      <w:r w:rsidRPr="00EB1178">
        <w:rPr>
          <w:snapToGrid/>
        </w:rPr>
        <w:t>2.</w:t>
      </w:r>
      <w:r w:rsidRPr="00725C86">
        <w:rPr>
          <w:rFonts w:ascii="Aptos" w:hAnsi="Aptos"/>
          <w:snapToGrid/>
          <w:kern w:val="2"/>
          <w:sz w:val="24"/>
          <w:szCs w:val="24"/>
        </w:rPr>
        <w:tab/>
      </w:r>
      <w:r w:rsidRPr="00EB1178">
        <w:rPr>
          <w:snapToGrid/>
        </w:rPr>
        <w:t>Updating the Template</w:t>
      </w:r>
      <w:r>
        <w:tab/>
        <w:t>41</w:t>
      </w:r>
    </w:p>
    <w:p w:rsidR="00725C86" w:rsidRPr="00725C86" w:rsidP="00725C86" w14:paraId="4A1CABD2" w14:textId="77777777">
      <w:pPr>
        <w:pStyle w:val="TOC2"/>
        <w:tabs>
          <w:tab w:val="left" w:pos="360"/>
        </w:tabs>
        <w:rPr>
          <w:rFonts w:ascii="Aptos" w:hAnsi="Aptos"/>
          <w:snapToGrid/>
          <w:kern w:val="2"/>
          <w:sz w:val="24"/>
          <w:szCs w:val="24"/>
        </w:rPr>
      </w:pPr>
      <w:r w:rsidRPr="00EB1178">
        <w:rPr>
          <w:snapToGrid/>
        </w:rPr>
        <w:t>D.</w:t>
      </w:r>
      <w:r w:rsidRPr="00725C86">
        <w:rPr>
          <w:rFonts w:ascii="Aptos" w:hAnsi="Aptos"/>
          <w:snapToGrid/>
          <w:kern w:val="2"/>
          <w:sz w:val="24"/>
          <w:szCs w:val="24"/>
        </w:rPr>
        <w:tab/>
      </w:r>
      <w:r w:rsidRPr="00EB1178">
        <w:rPr>
          <w:snapToGrid/>
        </w:rPr>
        <w:t>Eliminating Outdated Rules</w:t>
      </w:r>
      <w:r>
        <w:tab/>
        <w:t>42</w:t>
      </w:r>
    </w:p>
    <w:p w:rsidR="00725C86" w:rsidRPr="00725C86" w:rsidP="00725C86" w14:paraId="48F862D1" w14:textId="77777777">
      <w:pPr>
        <w:pStyle w:val="TOC3"/>
        <w:tabs>
          <w:tab w:val="left" w:pos="360"/>
        </w:tabs>
        <w:rPr>
          <w:rFonts w:ascii="Aptos" w:hAnsi="Aptos"/>
          <w:snapToGrid/>
          <w:kern w:val="2"/>
          <w:sz w:val="24"/>
          <w:szCs w:val="24"/>
        </w:rPr>
      </w:pPr>
      <w:r w:rsidRPr="00EB1178">
        <w:rPr>
          <w:snapToGrid/>
        </w:rPr>
        <w:t>1.</w:t>
      </w:r>
      <w:r w:rsidRPr="00725C86">
        <w:rPr>
          <w:rFonts w:ascii="Aptos" w:hAnsi="Aptos"/>
          <w:snapToGrid/>
          <w:kern w:val="2"/>
          <w:sz w:val="24"/>
          <w:szCs w:val="24"/>
        </w:rPr>
        <w:tab/>
      </w:r>
      <w:r w:rsidRPr="00EB1178">
        <w:rPr>
          <w:rFonts w:eastAsia="Aptos"/>
          <w:snapToGrid/>
        </w:rPr>
        <w:t>Issues from the First Further Notice of Proposed Rulemaking</w:t>
      </w:r>
      <w:r>
        <w:tab/>
        <w:t>43</w:t>
      </w:r>
    </w:p>
    <w:p w:rsidR="00725C86" w:rsidRPr="00725C86" w:rsidP="00725C86" w14:paraId="7BF3C95C" w14:textId="77777777">
      <w:pPr>
        <w:pStyle w:val="TOC3"/>
        <w:tabs>
          <w:tab w:val="left" w:pos="360"/>
        </w:tabs>
        <w:rPr>
          <w:rFonts w:ascii="Aptos" w:hAnsi="Aptos"/>
          <w:snapToGrid/>
          <w:kern w:val="2"/>
          <w:sz w:val="24"/>
          <w:szCs w:val="24"/>
        </w:rPr>
      </w:pPr>
      <w:r w:rsidRPr="00EB1178">
        <w:rPr>
          <w:rFonts w:eastAsia="Aptos"/>
          <w:snapToGrid/>
        </w:rPr>
        <w:t>2.</w:t>
      </w:r>
      <w:r w:rsidRPr="00725C86">
        <w:rPr>
          <w:rFonts w:ascii="Aptos" w:hAnsi="Aptos"/>
          <w:snapToGrid/>
          <w:kern w:val="2"/>
          <w:sz w:val="24"/>
          <w:szCs w:val="24"/>
        </w:rPr>
        <w:tab/>
      </w:r>
      <w:r w:rsidRPr="00EB1178">
        <w:rPr>
          <w:rFonts w:eastAsia="Aptos"/>
          <w:snapToGrid/>
        </w:rPr>
        <w:t>Other Matters</w:t>
      </w:r>
      <w:r>
        <w:tab/>
        <w:t>46</w:t>
      </w:r>
    </w:p>
    <w:p w:rsidR="00725C86" w:rsidRPr="00725C86" w:rsidP="00725C86" w14:paraId="5280BBAB" w14:textId="77777777">
      <w:pPr>
        <w:pStyle w:val="TOC2"/>
        <w:tabs>
          <w:tab w:val="left" w:pos="360"/>
        </w:tabs>
        <w:rPr>
          <w:rFonts w:ascii="Aptos" w:hAnsi="Aptos"/>
          <w:snapToGrid/>
          <w:kern w:val="2"/>
          <w:sz w:val="24"/>
          <w:szCs w:val="24"/>
        </w:rPr>
      </w:pPr>
      <w:r>
        <w:t>E.</w:t>
      </w:r>
      <w:r w:rsidRPr="00725C86">
        <w:rPr>
          <w:rFonts w:ascii="Aptos" w:hAnsi="Aptos"/>
          <w:snapToGrid/>
          <w:kern w:val="2"/>
          <w:sz w:val="24"/>
          <w:szCs w:val="24"/>
        </w:rPr>
        <w:tab/>
      </w:r>
      <w:r>
        <w:t>Assessment of Consumer Benefits</w:t>
      </w:r>
      <w:r>
        <w:tab/>
        <w:t>49</w:t>
      </w:r>
    </w:p>
    <w:p w:rsidR="00725C86" w:rsidRPr="00725C86" w:rsidP="00725C86" w14:paraId="2FAC62AB" w14:textId="77777777">
      <w:pPr>
        <w:pStyle w:val="TOC2"/>
        <w:tabs>
          <w:tab w:val="left" w:pos="360"/>
        </w:tabs>
        <w:rPr>
          <w:rFonts w:ascii="Aptos" w:hAnsi="Aptos"/>
          <w:snapToGrid/>
          <w:kern w:val="2"/>
          <w:sz w:val="24"/>
          <w:szCs w:val="24"/>
        </w:rPr>
      </w:pPr>
      <w:r w:rsidRPr="00EB1178">
        <w:rPr>
          <w:snapToGrid/>
        </w:rPr>
        <w:t>F.</w:t>
      </w:r>
      <w:r w:rsidRPr="00725C86">
        <w:rPr>
          <w:rFonts w:ascii="Aptos" w:hAnsi="Aptos"/>
          <w:snapToGrid/>
          <w:kern w:val="2"/>
          <w:sz w:val="24"/>
          <w:szCs w:val="24"/>
        </w:rPr>
        <w:tab/>
      </w:r>
      <w:r w:rsidRPr="00EB1178">
        <w:rPr>
          <w:snapToGrid/>
        </w:rPr>
        <w:t>Legal Authority</w:t>
      </w:r>
      <w:r>
        <w:tab/>
        <w:t>50</w:t>
      </w:r>
    </w:p>
    <w:p w:rsidR="00725C86" w:rsidRPr="00725C86" w:rsidP="00725C86" w14:paraId="035201E8" w14:textId="77777777">
      <w:pPr>
        <w:pStyle w:val="TOC2"/>
        <w:tabs>
          <w:tab w:val="left" w:pos="360"/>
        </w:tabs>
        <w:rPr>
          <w:rFonts w:ascii="Aptos" w:hAnsi="Aptos"/>
          <w:snapToGrid/>
          <w:kern w:val="2"/>
          <w:sz w:val="24"/>
          <w:szCs w:val="24"/>
        </w:rPr>
      </w:pPr>
      <w:r w:rsidRPr="00EB1178">
        <w:rPr>
          <w:snapToGrid/>
        </w:rPr>
        <w:t>G.</w:t>
      </w:r>
      <w:r w:rsidRPr="00725C86">
        <w:rPr>
          <w:rFonts w:ascii="Aptos" w:hAnsi="Aptos"/>
          <w:snapToGrid/>
          <w:kern w:val="2"/>
          <w:sz w:val="24"/>
          <w:szCs w:val="24"/>
        </w:rPr>
        <w:tab/>
      </w:r>
      <w:r w:rsidRPr="00EB1178">
        <w:rPr>
          <w:snapToGrid/>
        </w:rPr>
        <w:t>Costs and Benefits</w:t>
      </w:r>
      <w:r>
        <w:tab/>
        <w:t>52</w:t>
      </w:r>
    </w:p>
    <w:p w:rsidR="00725C86" w:rsidRPr="00725C86" w:rsidP="00725C86" w14:paraId="7C1FD534" w14:textId="77777777">
      <w:pPr>
        <w:pStyle w:val="TOC1"/>
        <w:rPr>
          <w:rFonts w:ascii="Aptos" w:hAnsi="Aptos"/>
          <w:caps w:val="0"/>
          <w:snapToGrid/>
          <w:kern w:val="2"/>
          <w:sz w:val="24"/>
          <w:szCs w:val="24"/>
        </w:rPr>
      </w:pPr>
      <w:r>
        <w:t>IV.</w:t>
      </w:r>
      <w:r w:rsidRPr="00725C86">
        <w:rPr>
          <w:rFonts w:ascii="Aptos" w:hAnsi="Aptos"/>
          <w:caps w:val="0"/>
          <w:snapToGrid/>
          <w:kern w:val="2"/>
          <w:sz w:val="24"/>
          <w:szCs w:val="24"/>
        </w:rPr>
        <w:tab/>
      </w:r>
      <w:r>
        <w:t>Procedural Matters</w:t>
      </w:r>
      <w:r>
        <w:tab/>
        <w:t>55</w:t>
      </w:r>
    </w:p>
    <w:p w:rsidR="00725C86" w:rsidRPr="00725C86" w:rsidP="00725C86" w14:paraId="6C43275F" w14:textId="77777777">
      <w:pPr>
        <w:pStyle w:val="TOC1"/>
        <w:rPr>
          <w:rFonts w:ascii="Aptos" w:hAnsi="Aptos"/>
          <w:caps w:val="0"/>
          <w:snapToGrid/>
          <w:kern w:val="2"/>
          <w:sz w:val="24"/>
          <w:szCs w:val="24"/>
        </w:rPr>
      </w:pPr>
      <w:r>
        <w:t>V.</w:t>
      </w:r>
      <w:r w:rsidRPr="00725C86">
        <w:rPr>
          <w:rFonts w:ascii="Aptos" w:hAnsi="Aptos"/>
          <w:caps w:val="0"/>
          <w:snapToGrid/>
          <w:kern w:val="2"/>
          <w:sz w:val="24"/>
          <w:szCs w:val="24"/>
        </w:rPr>
        <w:tab/>
      </w:r>
      <w:r>
        <w:t>Ordering Clauses</w:t>
      </w:r>
      <w:r>
        <w:tab/>
        <w:t>59</w:t>
      </w:r>
    </w:p>
    <w:bookmarkEnd w:id="0"/>
    <w:p w:rsidR="00725C86" w:rsidRPr="00301716" w:rsidP="00725C86" w14:paraId="674A659D" w14:textId="77777777">
      <w:pPr>
        <w:widowControl/>
        <w:snapToGrid w:val="0"/>
        <w:rPr>
          <w:snapToGrid/>
          <w:spacing w:val="-2"/>
        </w:rPr>
      </w:pPr>
      <w:r w:rsidRPr="00301716">
        <w:rPr>
          <w:snapToGrid/>
          <w:spacing w:val="-2"/>
        </w:rPr>
        <w:t>APPENDIX A – FINAL RULES</w:t>
      </w:r>
    </w:p>
    <w:p w:rsidR="00725C86" w:rsidRPr="00301716" w:rsidP="00725C86" w14:paraId="2C292CDA" w14:textId="77777777">
      <w:pPr>
        <w:widowControl/>
        <w:snapToGrid w:val="0"/>
        <w:rPr>
          <w:snapToGrid/>
          <w:spacing w:val="-2"/>
        </w:rPr>
      </w:pPr>
      <w:r w:rsidRPr="00301716">
        <w:rPr>
          <w:snapToGrid/>
          <w:spacing w:val="-2"/>
        </w:rPr>
        <w:t>APPENDIX B – FINAL REGULATORY FLEXIBILITY ANALYSIS</w:t>
      </w:r>
    </w:p>
    <w:p w:rsidR="00725C86" w:rsidRPr="00301716" w:rsidP="00725C86" w14:paraId="42AA617D" w14:textId="77777777">
      <w:pPr>
        <w:widowControl/>
        <w:snapToGrid w:val="0"/>
        <w:rPr>
          <w:snapToGrid/>
          <w:spacing w:val="-2"/>
        </w:rPr>
      </w:pPr>
      <w:r w:rsidRPr="00301716">
        <w:rPr>
          <w:snapToGrid/>
          <w:spacing w:val="-2"/>
        </w:rPr>
        <w:t>APPENDIX C – LIST OF COMMENTERS</w:t>
      </w:r>
    </w:p>
    <w:p w:rsidR="00725C86" w:rsidRPr="00301716" w:rsidP="00725C86" w14:paraId="1D6ADE64" w14:textId="77777777">
      <w:pPr>
        <w:widowControl/>
        <w:snapToGrid w:val="0"/>
        <w:rPr>
          <w:snapToGrid/>
          <w:spacing w:val="-2"/>
        </w:rPr>
      </w:pPr>
    </w:p>
    <w:p w:rsidR="00725C86" w:rsidRPr="00816744" w:rsidP="00725C86" w14:paraId="27E25DF9" w14:textId="77777777">
      <w:pPr>
        <w:keepNext/>
        <w:numPr>
          <w:ilvl w:val="0"/>
          <w:numId w:val="3"/>
        </w:numPr>
        <w:tabs>
          <w:tab w:val="left" w:pos="720"/>
        </w:tabs>
        <w:suppressAutoHyphens/>
        <w:spacing w:after="120"/>
        <w:outlineLvl w:val="0"/>
        <w:rPr>
          <w:rFonts w:ascii="Times New Roman Bold" w:hAnsi="Times New Roman Bold"/>
        </w:rPr>
      </w:pPr>
      <w:bookmarkStart w:id="2" w:name="_Toc230014191"/>
      <w:bookmarkStart w:id="3" w:name="_Toc230014283"/>
      <w:bookmarkStart w:id="4" w:name="_Toc231300294"/>
      <w:bookmarkStart w:id="5" w:name="_Toc231985413"/>
      <w:bookmarkStart w:id="6" w:name="_Toc233617879"/>
      <w:bookmarkStart w:id="7" w:name="_Toc233618213"/>
      <w:r w:rsidRPr="00816744">
        <w:rPr>
          <w:rFonts w:ascii="Times New Roman Bold" w:hAnsi="Times New Roman Bold"/>
          <w:b/>
          <w:caps/>
        </w:rPr>
        <w:t>introduction</w:t>
      </w:r>
      <w:bookmarkEnd w:id="2"/>
      <w:bookmarkEnd w:id="3"/>
      <w:bookmarkEnd w:id="4"/>
      <w:bookmarkEnd w:id="5"/>
      <w:bookmarkEnd w:id="6"/>
      <w:bookmarkEnd w:id="7"/>
    </w:p>
    <w:p w:rsidR="00725C86" w:rsidRPr="00301716" w:rsidP="00725C86" w14:paraId="323BE36A" w14:textId="77777777">
      <w:pPr>
        <w:pStyle w:val="ParaNum"/>
        <w:rPr>
          <w:snapToGrid/>
        </w:rPr>
      </w:pPr>
      <w:r w:rsidRPr="00301716">
        <w:rPr>
          <w:snapToGrid/>
        </w:rPr>
        <w:t>Consumers want information that helps them make informed decisions—information that is relevant, easy to read and understand, and quick to access.  Disclosures that become overly complex or difficult to navigate end up frustrating or confusing consumers, not empowering them.</w:t>
      </w:r>
    </w:p>
    <w:p w:rsidR="00725C86" w:rsidRPr="00301716" w:rsidP="00725C86" w14:paraId="3E9017B3" w14:textId="77777777">
      <w:pPr>
        <w:pStyle w:val="ParaNum"/>
        <w:widowControl/>
        <w:rPr>
          <w:snapToGrid/>
        </w:rPr>
      </w:pPr>
      <w:r w:rsidRPr="00301716">
        <w:rPr>
          <w:snapToGrid/>
        </w:rPr>
        <w:t>In 2021, Congress directed the Commission to enact rules to require the display of broadband consumer labels to disclose to consumers information regarding the broadband plans offered by broadband internet access service providers.</w:t>
      </w:r>
      <w:r>
        <w:rPr>
          <w:rStyle w:val="FootnoteReference"/>
        </w:rPr>
        <w:footnoteReference w:id="3"/>
      </w:r>
    </w:p>
    <w:p w:rsidR="00725C86" w:rsidRPr="00301716" w:rsidP="00725C86" w14:paraId="38E9FEBA" w14:textId="77777777">
      <w:pPr>
        <w:pStyle w:val="ParaNum"/>
        <w:rPr>
          <w:snapToGrid/>
        </w:rPr>
      </w:pPr>
      <w:r w:rsidRPr="00301716">
        <w:rPr>
          <w:snapToGrid/>
        </w:rPr>
        <w:t>However, the Commission’s initial rules, adopted in 2022,</w:t>
      </w:r>
      <w:r>
        <w:rPr>
          <w:rStyle w:val="FootnoteReference"/>
        </w:rPr>
        <w:footnoteReference w:id="4"/>
      </w:r>
      <w:r w:rsidRPr="00301716">
        <w:rPr>
          <w:snapToGrid/>
        </w:rPr>
        <w:t xml:space="preserve"> resulted in sometimes-confusing</w:t>
      </w:r>
      <w:r>
        <w:rPr>
          <w:snapToGrid/>
        </w:rPr>
        <w:t xml:space="preserve"> labels</w:t>
      </w:r>
      <w:r w:rsidRPr="00301716">
        <w:rPr>
          <w:snapToGrid/>
        </w:rPr>
        <w:t>,</w:t>
      </w:r>
      <w:r>
        <w:rPr>
          <w:snapToGrid/>
          <w:vertAlign w:val="superscript"/>
        </w:rPr>
        <w:footnoteReference w:id="5"/>
      </w:r>
      <w:r w:rsidRPr="00301716">
        <w:rPr>
          <w:snapToGrid/>
        </w:rPr>
        <w:t xml:space="preserve"> increasing compliance costs for providers in the process.  With this order, we refocus the rules on ensuring that consumers have the clear, accurate, and concise information about broadband plans, making the labels a more useful shopping tool.</w:t>
      </w:r>
    </w:p>
    <w:p w:rsidR="00725C86" w:rsidRPr="00301716" w:rsidP="00725C86" w14:paraId="03DDF11A" w14:textId="77777777">
      <w:pPr>
        <w:pStyle w:val="ParaNum"/>
        <w:rPr>
          <w:snapToGrid/>
        </w:rPr>
      </w:pPr>
      <w:r w:rsidRPr="00301716">
        <w:rPr>
          <w:snapToGrid/>
        </w:rPr>
        <w:t xml:space="preserve">Specifically, we enable providers to describe label information in a natural, conversational style over the phone; simplify fee presentation to avoid clutter; remove outdated information from the label; use links or icons at point-of-sale to avoid unwieldy amounts of information that can overwhelm consumers; and eliminate requirements that go beyond our mandate, e.g., requiring providers to make label information machine-readable and to keep labels for two years after the plan is no longer available to new customers.  At the same time, we ensure the labels remain accessible to people with disabilities, and that labels are displayed in the same language(s) used when marketing a service.  </w:t>
      </w:r>
    </w:p>
    <w:p w:rsidR="00725C86" w:rsidRPr="00816744" w:rsidP="00725C86" w14:paraId="74772984" w14:textId="77777777">
      <w:pPr>
        <w:pStyle w:val="Heading1"/>
      </w:pPr>
      <w:bookmarkStart w:id="8" w:name="_Toc230014192"/>
      <w:bookmarkStart w:id="9" w:name="_Toc230014284"/>
      <w:bookmarkStart w:id="10" w:name="_Toc231300295"/>
      <w:bookmarkStart w:id="11" w:name="_Toc231985414"/>
      <w:bookmarkStart w:id="12" w:name="_Toc233617880"/>
      <w:bookmarkStart w:id="13" w:name="_Toc233618214"/>
      <w:bookmarkStart w:id="14" w:name="_Toc235613370"/>
      <w:r w:rsidRPr="00816744">
        <w:t>background</w:t>
      </w:r>
      <w:bookmarkEnd w:id="8"/>
      <w:bookmarkEnd w:id="9"/>
      <w:bookmarkEnd w:id="10"/>
      <w:bookmarkEnd w:id="11"/>
      <w:bookmarkEnd w:id="12"/>
      <w:bookmarkEnd w:id="13"/>
      <w:bookmarkEnd w:id="14"/>
    </w:p>
    <w:p w:rsidR="00725C86" w:rsidRPr="00301716" w:rsidP="00725C86" w14:paraId="1A809A34" w14:textId="77777777">
      <w:pPr>
        <w:pStyle w:val="ParaNum"/>
        <w:rPr>
          <w:snapToGrid/>
        </w:rPr>
      </w:pPr>
      <w:r w:rsidRPr="00301716">
        <w:rPr>
          <w:snapToGrid/>
        </w:rPr>
        <w:t>The Infrastructure Act directs the Commission to “promulgate regulations to require the display of broadband consumer labels, as described in the Public Notice of the Commission issued on April 4, 2016 (</w:t>
      </w:r>
      <w:hyperlink r:id="rId6" w:history="1">
        <w:r w:rsidRPr="00816744">
          <w:t>DA 16-357</w:t>
        </w:r>
      </w:hyperlink>
      <w:r w:rsidRPr="00301716">
        <w:rPr>
          <w:snapToGrid/>
        </w:rPr>
        <w:t>), to disclose to consumers information regarding broadband internet access service plans.”</w:t>
      </w:r>
      <w:r>
        <w:rPr>
          <w:rStyle w:val="FootnoteReference"/>
        </w:rPr>
        <w:footnoteReference w:id="6"/>
      </w:r>
      <w:r w:rsidRPr="00301716">
        <w:rPr>
          <w:snapToGrid/>
        </w:rPr>
        <w:t xml:space="preserve">  Such labels must “include information regarding whether the offered price is an introductory rate and, if so, the price the consumer will be required to pay following the introductory period.”</w:t>
      </w:r>
      <w:r>
        <w:rPr>
          <w:rStyle w:val="FootnoteReference"/>
        </w:rPr>
        <w:footnoteReference w:id="7"/>
      </w:r>
      <w:r w:rsidRPr="00301716">
        <w:rPr>
          <w:rFonts w:cs="Calibri"/>
          <w:snapToGrid/>
        </w:rPr>
        <w:t xml:space="preserve">  </w:t>
      </w:r>
    </w:p>
    <w:p w:rsidR="00725C86" w:rsidRPr="00301716" w:rsidP="00725C86" w14:paraId="52A86A12" w14:textId="77777777">
      <w:pPr>
        <w:pStyle w:val="ParaNum"/>
        <w:rPr>
          <w:snapToGrid/>
        </w:rPr>
      </w:pPr>
      <w:r w:rsidRPr="00301716">
        <w:rPr>
          <w:snapToGrid/>
        </w:rPr>
        <w:t>In November 2022, the Commission adopted rules implementing the Infrastructure Act’s label mandate.  The Commission required providers to display labels at points of sale, including non-website locations such as physical stores and telephone sales channels.  To comply with the rule, labels must:  (1) show prices, including introductory rates; (2) provide one-time and recurring fees and data allowances; (3) provide the length of the contract term, if applicable; (4) disclose typical upload and download speed and typical latency; (5) link to network management practices, among other things;</w:t>
      </w:r>
      <w:r w:rsidRPr="00D93B35">
        <w:rPr>
          <w:rStyle w:val="FootnoteReference"/>
        </w:rPr>
        <w:t xml:space="preserve"> </w:t>
      </w:r>
      <w:r w:rsidRPr="00301716">
        <w:rPr>
          <w:snapToGrid/>
        </w:rPr>
        <w:t>and (6) appear in English and in other languages in which the ISP markets its services in the United States.</w:t>
      </w:r>
      <w:r>
        <w:rPr>
          <w:rStyle w:val="FootnoteReference"/>
        </w:rPr>
        <w:footnoteReference w:id="8"/>
      </w:r>
      <w:r w:rsidRPr="00301716">
        <w:rPr>
          <w:snapToGrid/>
        </w:rPr>
        <w:t xml:space="preserve">  The Commission also prescribed requirements that went beyond point-of-sale display, e.g., providers must make labels available on their websites in machine-readable format</w:t>
      </w:r>
      <w:r>
        <w:rPr>
          <w:rStyle w:val="FootnoteReference"/>
        </w:rPr>
        <w:footnoteReference w:id="9"/>
      </w:r>
      <w:r w:rsidRPr="00301716">
        <w:rPr>
          <w:snapToGrid/>
        </w:rPr>
        <w:t xml:space="preserve"> and archive labels for no less </w:t>
      </w:r>
      <w:r w:rsidRPr="00301716">
        <w:rPr>
          <w:snapToGrid/>
        </w:rPr>
        <w:t>than two years after a plan is no longer available.</w:t>
      </w:r>
      <w:r>
        <w:rPr>
          <w:rStyle w:val="FootnoteReference"/>
        </w:rPr>
        <w:footnoteReference w:id="10"/>
      </w:r>
      <w:r w:rsidRPr="00301716">
        <w:rPr>
          <w:snapToGrid/>
        </w:rPr>
        <w:t xml:space="preserve">  Providers must do so for all standalone mass-market retail broadband internet access services.</w:t>
      </w:r>
      <w:r>
        <w:rPr>
          <w:rStyle w:val="FootnoteReference"/>
        </w:rPr>
        <w:footnoteReference w:id="11"/>
      </w:r>
      <w:r w:rsidRPr="00301716">
        <w:rPr>
          <w:snapToGrid/>
        </w:rPr>
        <w:t xml:space="preserve">  In an accompanying </w:t>
      </w:r>
      <w:r w:rsidRPr="00301716">
        <w:rPr>
          <w:i/>
          <w:snapToGrid/>
        </w:rPr>
        <w:t>Further Notice of Proposed Rulemaking</w:t>
      </w:r>
      <w:r w:rsidRPr="00301716">
        <w:rPr>
          <w:snapToGrid/>
        </w:rPr>
        <w:t>, the Commission sought comment on whether to adopt additional rules, such as requiring ISPs to display labels in additional languages and to submit label information directly to the Commission.</w:t>
      </w:r>
      <w:r>
        <w:rPr>
          <w:rStyle w:val="FootnoteReference"/>
        </w:rPr>
        <w:footnoteReference w:id="12"/>
      </w:r>
      <w:r w:rsidRPr="00301716">
        <w:rPr>
          <w:snapToGrid/>
        </w:rPr>
        <w:t xml:space="preserve">  </w:t>
      </w:r>
    </w:p>
    <w:p w:rsidR="00725C86" w:rsidRPr="00301716" w:rsidP="00725C86" w14:paraId="21FA22B0" w14:textId="77777777">
      <w:pPr>
        <w:pStyle w:val="ParaNum"/>
        <w:rPr>
          <w:snapToGrid/>
        </w:rPr>
      </w:pPr>
      <w:r w:rsidRPr="00301716">
        <w:rPr>
          <w:snapToGrid/>
        </w:rPr>
        <w:t>In August 2023, the Commission addressed three petitions to clarify and/or reconsider certain requirements.</w:t>
      </w:r>
      <w:r>
        <w:rPr>
          <w:rStyle w:val="FootnoteReference"/>
        </w:rPr>
        <w:footnoteReference w:id="13"/>
      </w:r>
      <w:r w:rsidRPr="00301716">
        <w:rPr>
          <w:snapToGrid/>
        </w:rPr>
        <w:t xml:space="preserve">  Among other things, the Commission affirmed that providers must itemize the fees they add to base monthly prices, including government program-related fees that they choose to pass through to consumers.</w:t>
      </w:r>
      <w:r>
        <w:rPr>
          <w:rStyle w:val="FootnoteReference"/>
        </w:rPr>
        <w:footnoteReference w:id="14"/>
      </w:r>
      <w:r w:rsidRPr="00301716">
        <w:rPr>
          <w:snapToGrid/>
        </w:rPr>
        <w:t xml:space="preserve">  For most of the new rules, the compliance date was April 10, 2024, for providers with more than 100,000 subscriber lines and October 10, 2024, for other providers.</w:t>
      </w:r>
      <w:r>
        <w:rPr>
          <w:rStyle w:val="FootnoteReference"/>
        </w:rPr>
        <w:footnoteReference w:id="15"/>
      </w:r>
      <w:r w:rsidRPr="00301716">
        <w:rPr>
          <w:snapToGrid/>
        </w:rPr>
        <w:t xml:space="preserve">  The requirements to make label information available in machine-readable format and in customers’ online account portals had a compliance date of October 10, 2024, for all providers.</w:t>
      </w:r>
      <w:r>
        <w:rPr>
          <w:rStyle w:val="FootnoteReference"/>
        </w:rPr>
        <w:footnoteReference w:id="16"/>
      </w:r>
    </w:p>
    <w:p w:rsidR="00725C86" w:rsidRPr="00301716" w:rsidP="00725C86" w14:paraId="14116DDE" w14:textId="77777777">
      <w:pPr>
        <w:pStyle w:val="ParaNum"/>
        <w:rPr>
          <w:snapToGrid/>
        </w:rPr>
      </w:pPr>
      <w:r w:rsidRPr="00301716">
        <w:rPr>
          <w:snapToGrid/>
        </w:rPr>
        <w:t xml:space="preserve">On November 3, 2025, the Commission released the </w:t>
      </w:r>
      <w:r w:rsidRPr="00301716">
        <w:rPr>
          <w:i/>
          <w:snapToGrid/>
        </w:rPr>
        <w:t>Second Further Notice</w:t>
      </w:r>
      <w:r w:rsidRPr="00301716">
        <w:rPr>
          <w:snapToGrid/>
        </w:rPr>
        <w:t xml:space="preserve"> seeking comment on proposals to eliminate six requirements.</w:t>
      </w:r>
      <w:r>
        <w:rPr>
          <w:rStyle w:val="FootnoteReference"/>
        </w:rPr>
        <w:footnoteReference w:id="17"/>
      </w:r>
      <w:r w:rsidRPr="00301716">
        <w:rPr>
          <w:snapToGrid/>
        </w:rPr>
        <w:t xml:space="preserve">  The </w:t>
      </w:r>
      <w:r w:rsidRPr="00301716">
        <w:rPr>
          <w:i/>
          <w:snapToGrid/>
        </w:rPr>
        <w:t>Second Further Notice</w:t>
      </w:r>
      <w:r w:rsidRPr="00301716">
        <w:rPr>
          <w:snapToGrid/>
        </w:rPr>
        <w:t xml:space="preserve"> also sought comment </w:t>
      </w:r>
      <w:r w:rsidRPr="00301716">
        <w:rPr>
          <w:snapToGrid/>
        </w:rPr>
        <w:t xml:space="preserve">on whether to close pending inquiries from the </w:t>
      </w:r>
      <w:r w:rsidRPr="00301716">
        <w:rPr>
          <w:i/>
          <w:snapToGrid/>
        </w:rPr>
        <w:t>First Further Notice</w:t>
      </w:r>
      <w:r w:rsidRPr="00301716">
        <w:rPr>
          <w:snapToGrid/>
        </w:rPr>
        <w:t>, and on other ways to streamline the rules while preserving their consumer benefit.</w:t>
      </w:r>
      <w:r>
        <w:rPr>
          <w:rStyle w:val="FootnoteReference"/>
        </w:rPr>
        <w:footnoteReference w:id="18"/>
      </w:r>
      <w:r w:rsidRPr="00301716">
        <w:rPr>
          <w:snapToGrid/>
        </w:rPr>
        <w:t xml:space="preserve">  Parties filed twenty-five comments, ten reply comments, and several </w:t>
      </w:r>
      <w:r w:rsidRPr="00301716">
        <w:rPr>
          <w:i/>
          <w:snapToGrid/>
        </w:rPr>
        <w:t xml:space="preserve">ex </w:t>
      </w:r>
      <w:r w:rsidRPr="00301716">
        <w:rPr>
          <w:i/>
          <w:snapToGrid/>
        </w:rPr>
        <w:t>parte</w:t>
      </w:r>
      <w:r w:rsidRPr="00301716">
        <w:rPr>
          <w:i/>
          <w:snapToGrid/>
        </w:rPr>
        <w:t xml:space="preserve"> </w:t>
      </w:r>
      <w:r w:rsidRPr="00301716">
        <w:rPr>
          <w:snapToGrid/>
        </w:rPr>
        <w:t>submissions.</w:t>
      </w:r>
      <w:r>
        <w:rPr>
          <w:rStyle w:val="FootnoteReference"/>
        </w:rPr>
        <w:footnoteReference w:id="19"/>
      </w:r>
      <w:r w:rsidRPr="00301716">
        <w:rPr>
          <w:snapToGrid/>
        </w:rPr>
        <w:t xml:space="preserve">  </w:t>
      </w:r>
    </w:p>
    <w:p w:rsidR="00725C86" w:rsidRPr="00816744" w:rsidP="00725C86" w14:paraId="7BB08C66" w14:textId="77777777">
      <w:pPr>
        <w:pStyle w:val="Heading1"/>
      </w:pPr>
      <w:bookmarkStart w:id="15" w:name="_Toc230014193"/>
      <w:bookmarkStart w:id="16" w:name="_Toc230014285"/>
      <w:bookmarkStart w:id="17" w:name="_Toc231300296"/>
      <w:bookmarkStart w:id="18" w:name="_Toc231985415"/>
      <w:bookmarkStart w:id="19" w:name="_Toc233617881"/>
      <w:bookmarkStart w:id="20" w:name="_Toc233618215"/>
      <w:bookmarkStart w:id="21" w:name="_Toc235613371"/>
      <w:r w:rsidRPr="00816744">
        <w:t>discussion</w:t>
      </w:r>
      <w:bookmarkEnd w:id="15"/>
      <w:bookmarkEnd w:id="16"/>
      <w:bookmarkEnd w:id="17"/>
      <w:bookmarkEnd w:id="18"/>
      <w:bookmarkEnd w:id="19"/>
      <w:bookmarkEnd w:id="20"/>
      <w:bookmarkEnd w:id="21"/>
      <w:r w:rsidRPr="00816744">
        <w:t xml:space="preserve"> </w:t>
      </w:r>
    </w:p>
    <w:p w:rsidR="00725C86" w:rsidRPr="00301716" w:rsidP="00725C86" w14:paraId="3F073272" w14:textId="77777777">
      <w:pPr>
        <w:pStyle w:val="ParaNum"/>
        <w:rPr>
          <w:snapToGrid/>
        </w:rPr>
      </w:pPr>
      <w:r w:rsidRPr="00301716">
        <w:rPr>
          <w:snapToGrid/>
        </w:rPr>
        <w:t xml:space="preserve">In this Order, we eliminate or modify certain broadband label requirements to make the label clearer and more usable for consumers, </w:t>
      </w:r>
      <w:r>
        <w:t>and as a result,</w:t>
      </w:r>
      <w:r w:rsidRPr="00995513">
        <w:t xml:space="preserve"> </w:t>
      </w:r>
      <w:r>
        <w:t xml:space="preserve">also </w:t>
      </w:r>
      <w:r w:rsidRPr="00995513">
        <w:t>reduc</w:t>
      </w:r>
      <w:r>
        <w:t>e</w:t>
      </w:r>
      <w:r w:rsidRPr="00995513">
        <w:t xml:space="preserve"> compliance costs</w:t>
      </w:r>
      <w:r>
        <w:t xml:space="preserve">.  </w:t>
      </w:r>
      <w:r w:rsidRPr="00301716">
        <w:rPr>
          <w:snapToGrid/>
        </w:rPr>
        <w:t xml:space="preserve">Based on the record in response to the </w:t>
      </w:r>
      <w:r w:rsidRPr="00301716">
        <w:rPr>
          <w:i/>
          <w:iCs/>
          <w:snapToGrid/>
        </w:rPr>
        <w:t>Second Further Notice</w:t>
      </w:r>
      <w:r w:rsidRPr="00301716">
        <w:rPr>
          <w:snapToGrid/>
        </w:rPr>
        <w:t>, we amend the rule to: (1) enable providers to describe label information in a natural, conversational style over the phone; (2) enable providers to simplify fee presentation to avoid label clutter; (3) remove outdated information from the label by eliminating the requirement that providers display information about the now-concluded</w:t>
      </w:r>
      <w:r w:rsidRPr="00301716">
        <w:rPr>
          <w:i/>
          <w:snapToGrid/>
        </w:rPr>
        <w:t xml:space="preserve"> </w:t>
      </w:r>
      <w:r w:rsidRPr="00301716">
        <w:rPr>
          <w:snapToGrid/>
        </w:rPr>
        <w:t xml:space="preserve">Affordable Connectivity Program; (4) clarify that providers may use hyperlinks or icons within account portals to make the customer’s label “easily accessible”; (5) allow providers to use a hyperlink or icon at the point of sale in lieu of displaying the full label; (6) eliminate the requirement that providers make label information available in machine readable database format; and (7) eliminate the requirement that providers archive labels for at least two years after a service is no longer offered to new customers.  We do so while retaining the requirements that labels be accessible to people with disabilities and that providers display labels in any language(s) in which they market their services.  We also close open inquiries from the </w:t>
      </w:r>
      <w:r w:rsidRPr="00301716">
        <w:rPr>
          <w:i/>
          <w:iCs/>
          <w:snapToGrid/>
        </w:rPr>
        <w:t>First Further Notice.</w:t>
      </w:r>
    </w:p>
    <w:p w:rsidR="00725C86" w:rsidRPr="00301716" w:rsidP="00725C86" w14:paraId="12270FF7" w14:textId="77777777">
      <w:pPr>
        <w:pStyle w:val="Heading2"/>
        <w:rPr>
          <w:snapToGrid/>
        </w:rPr>
      </w:pPr>
      <w:bookmarkStart w:id="22" w:name="_Toc230014194"/>
      <w:bookmarkStart w:id="23" w:name="_Toc230014286"/>
      <w:bookmarkStart w:id="24" w:name="_Toc231300297"/>
      <w:bookmarkStart w:id="25" w:name="_Toc231985416"/>
      <w:bookmarkStart w:id="26" w:name="_Toc233617882"/>
      <w:bookmarkStart w:id="27" w:name="_Toc233618216"/>
      <w:bookmarkStart w:id="28" w:name="_Toc235613372"/>
      <w:r w:rsidRPr="00301716">
        <w:rPr>
          <w:snapToGrid/>
        </w:rPr>
        <w:t>Improving Label Display and Content</w:t>
      </w:r>
      <w:bookmarkEnd w:id="22"/>
      <w:bookmarkEnd w:id="23"/>
      <w:bookmarkEnd w:id="24"/>
      <w:bookmarkEnd w:id="25"/>
      <w:bookmarkEnd w:id="26"/>
      <w:bookmarkEnd w:id="27"/>
      <w:bookmarkEnd w:id="28"/>
      <w:r w:rsidRPr="00301716">
        <w:rPr>
          <w:snapToGrid/>
        </w:rPr>
        <w:t xml:space="preserve">  </w:t>
      </w:r>
    </w:p>
    <w:p w:rsidR="00725C86" w:rsidRPr="00301716" w:rsidP="00725C86" w14:paraId="7F9C3451" w14:textId="77777777">
      <w:pPr>
        <w:pStyle w:val="Heading3"/>
        <w:rPr>
          <w:snapToGrid/>
        </w:rPr>
      </w:pPr>
      <w:bookmarkStart w:id="29" w:name="_Toc230014195"/>
      <w:bookmarkStart w:id="30" w:name="_Toc230014287"/>
      <w:bookmarkStart w:id="31" w:name="_Toc231300298"/>
      <w:bookmarkStart w:id="32" w:name="_Toc231985417"/>
      <w:bookmarkStart w:id="33" w:name="_Toc233617883"/>
      <w:bookmarkStart w:id="34" w:name="_Toc233618217"/>
      <w:bookmarkStart w:id="35" w:name="_Toc235613373"/>
      <w:r w:rsidRPr="00301716">
        <w:rPr>
          <w:snapToGrid/>
        </w:rPr>
        <w:t>Phone Sales</w:t>
      </w:r>
      <w:bookmarkEnd w:id="29"/>
      <w:bookmarkEnd w:id="30"/>
      <w:bookmarkEnd w:id="31"/>
      <w:bookmarkEnd w:id="32"/>
      <w:bookmarkEnd w:id="33"/>
      <w:bookmarkEnd w:id="34"/>
      <w:bookmarkEnd w:id="35"/>
    </w:p>
    <w:p w:rsidR="00725C86" w:rsidRPr="00301716" w:rsidP="00570899" w14:paraId="26901378" w14:textId="77777777">
      <w:pPr>
        <w:pStyle w:val="ParaNum"/>
        <w:widowControl/>
        <w:rPr>
          <w:snapToGrid/>
        </w:rPr>
      </w:pPr>
      <w:r w:rsidRPr="00301716">
        <w:rPr>
          <w:snapToGrid/>
        </w:rPr>
        <w:t>We enable providers’ phone sales representatives to present label information in natural, conversational style by eliminating the requirement that they read the labels verbatim to customers.</w:t>
      </w:r>
      <w:r>
        <w:rPr>
          <w:rStyle w:val="FootnoteReference"/>
        </w:rPr>
        <w:footnoteReference w:id="20"/>
      </w:r>
      <w:r w:rsidRPr="00301716">
        <w:rPr>
          <w:snapToGrid/>
        </w:rPr>
        <w:t xml:space="preserve">  </w:t>
      </w:r>
      <w:r w:rsidRPr="00301716">
        <w:rPr>
          <w:rFonts w:cs="Calibri"/>
          <w:snapToGrid/>
        </w:rPr>
        <w:t>We agree with commenters that a more conversational presentation of the labels fits the unique nature of the telephone sale, which is time-limited and requires the consumer to remember information, unlike written labels that consumers can refer to at any point.</w:t>
      </w:r>
      <w:r>
        <w:rPr>
          <w:rStyle w:val="FootnoteReference"/>
        </w:rPr>
        <w:footnoteReference w:id="21"/>
      </w:r>
      <w:r w:rsidRPr="00301716">
        <w:rPr>
          <w:rFonts w:cs="Calibri"/>
          <w:snapToGrid/>
        </w:rPr>
        <w:t xml:space="preserve">  </w:t>
      </w:r>
      <w:r w:rsidRPr="00301716">
        <w:rPr>
          <w:snapToGrid/>
        </w:rPr>
        <w:t xml:space="preserve">By contrast, </w:t>
      </w:r>
      <w:r w:rsidRPr="00301716">
        <w:rPr>
          <w:rFonts w:cs="Calibri"/>
          <w:snapToGrid/>
        </w:rPr>
        <w:t xml:space="preserve">verbatim recitation of a document that consumers cannot see serves neither providers nor consumers well.  Provider phone sales representatives must </w:t>
      </w:r>
      <w:r w:rsidRPr="00301716">
        <w:rPr>
          <w:snapToGrid/>
        </w:rPr>
        <w:t xml:space="preserve">orally summarize the following label fields during the sales interaction: monthly price inclusive of any monthly fees, including the introductory rate and its duration if applicable; typical download and </w:t>
      </w:r>
      <w:r w:rsidRPr="00301716">
        <w:rPr>
          <w:snapToGrid/>
        </w:rPr>
        <w:t>upload speeds; latency; data allowance; contract term duration if applicable; and early termination fees if applicable.</w:t>
      </w:r>
      <w:r>
        <w:rPr>
          <w:rStyle w:val="FootnoteReference"/>
        </w:rPr>
        <w:footnoteReference w:id="22"/>
      </w:r>
    </w:p>
    <w:p w:rsidR="00725C86" w:rsidRPr="00301716" w:rsidP="00725C86" w14:paraId="0047A8CE" w14:textId="77777777">
      <w:pPr>
        <w:pStyle w:val="ParaNum"/>
        <w:rPr>
          <w:snapToGrid/>
        </w:rPr>
      </w:pPr>
      <w:r w:rsidRPr="00301716">
        <w:rPr>
          <w:snapToGrid/>
        </w:rPr>
        <w:t>We agree that consumers using the phone to shop for broadband service may also want the opportunity to see the label.  Some commenters</w:t>
      </w:r>
      <w:r>
        <w:rPr>
          <w:rStyle w:val="FootnoteReference"/>
        </w:rPr>
        <w:footnoteReference w:id="23"/>
      </w:r>
      <w:r w:rsidRPr="00301716">
        <w:rPr>
          <w:snapToGrid/>
        </w:rPr>
        <w:t xml:space="preserve"> urge us to require provider phone sales representatives to offer to transmit the full broadband consumer label to the consumer, if the consumer so desires, via text message, email, or U.S. mail—consistent with the consumer’s preference.  We decline to do so, but encourage providers to direct consumers to the labels on the provider’s website.</w:t>
      </w:r>
    </w:p>
    <w:p w:rsidR="00725C86" w:rsidP="00570899" w14:paraId="5823A1E1" w14:textId="77777777">
      <w:pPr>
        <w:pStyle w:val="ParaNum"/>
        <w:widowControl/>
        <w:rPr>
          <w:snapToGrid/>
        </w:rPr>
      </w:pPr>
      <w:r w:rsidRPr="00301716">
        <w:rPr>
          <w:snapToGrid/>
        </w:rPr>
        <w:t>The approach we adopt ensures that consumers receive real-time disclosure of the fields most material to a purchase decision and have access to the full label for review without requiring providers to recite a visual document verbatim in an oral format for which it was not designed.</w:t>
      </w:r>
      <w:r>
        <w:rPr>
          <w:rStyle w:val="FootnoteReference"/>
        </w:rPr>
        <w:footnoteReference w:id="24"/>
      </w:r>
      <w:r w:rsidRPr="00301716">
        <w:rPr>
          <w:snapToGrid/>
        </w:rPr>
        <w:t xml:space="preserve">  It also addresses the concerns raised in the record by more than a half dozen accessibility organizations:  the verbal summary requirement ensures consumers without internet access receive label content during the call and labels will be easily accessible to consumers with disabilities on providers’ websites.</w:t>
      </w:r>
      <w:r>
        <w:rPr>
          <w:rStyle w:val="FootnoteReference"/>
        </w:rPr>
        <w:footnoteReference w:id="25"/>
      </w:r>
      <w:r w:rsidRPr="00301716">
        <w:rPr>
          <w:snapToGrid/>
        </w:rPr>
        <w:t xml:space="preserve">  For these reasons, we decline to simply exclude telephone calls from the definition of point of sale,</w:t>
      </w:r>
      <w:r>
        <w:rPr>
          <w:rStyle w:val="FootnoteReference"/>
        </w:rPr>
        <w:footnoteReference w:id="26"/>
      </w:r>
      <w:r w:rsidRPr="00301716">
        <w:rPr>
          <w:snapToGrid/>
        </w:rPr>
        <w:t xml:space="preserve"> which would restrict access to label information for the significant segment of the population that engages in telephone shopping for broadband service</w:t>
      </w:r>
      <w:r>
        <w:rPr>
          <w:rStyle w:val="FootnoteReference"/>
        </w:rPr>
        <w:footnoteReference w:id="27"/>
      </w:r>
      <w:r w:rsidRPr="00301716">
        <w:rPr>
          <w:snapToGrid/>
        </w:rPr>
        <w:t>—including many consumers with disabilities.</w:t>
      </w:r>
      <w:r>
        <w:rPr>
          <w:rStyle w:val="FootnoteReference"/>
        </w:rPr>
        <w:footnoteReference w:id="28"/>
      </w:r>
      <w:r w:rsidRPr="00301716">
        <w:rPr>
          <w:snapToGrid/>
        </w:rPr>
        <w:t xml:space="preserve">  To ensure providers </w:t>
      </w:r>
      <w:r w:rsidRPr="00301716">
        <w:rPr>
          <w:snapToGrid/>
        </w:rPr>
        <w:t>retain the flexibility to adapt verbal summaries to diverse customer interactions, we also decline to adopt a mandatory script for phone label disclosures.</w:t>
      </w:r>
      <w:r>
        <w:rPr>
          <w:rStyle w:val="FootnoteReference"/>
        </w:rPr>
        <w:footnoteReference w:id="29"/>
      </w:r>
      <w:r w:rsidRPr="00301716">
        <w:rPr>
          <w:snapToGrid/>
        </w:rPr>
        <w:t xml:space="preserve">  </w:t>
      </w:r>
    </w:p>
    <w:p w:rsidR="00725C86" w:rsidRPr="00301716" w:rsidP="00725C86" w14:paraId="6A0613AC" w14:textId="77777777">
      <w:pPr>
        <w:pStyle w:val="ParaNum"/>
        <w:rPr>
          <w:snapToGrid/>
        </w:rPr>
      </w:pPr>
      <w:r>
        <w:rPr>
          <w:snapToGrid/>
        </w:rPr>
        <w:t xml:space="preserve">We conclude that the approach we adopt is within our statutory authority.  </w:t>
      </w:r>
      <w:r w:rsidRPr="00386885">
        <w:rPr>
          <w:snapToGrid/>
        </w:rPr>
        <w:t xml:space="preserve">Although the provision of label information in a telephone conversation may not literally constitute the “display” of a label, such disclosure is an appropriate implementation of the Congressional intent </w:t>
      </w:r>
      <w:r>
        <w:rPr>
          <w:snapToGrid/>
        </w:rPr>
        <w:t xml:space="preserve">that the content of labels be disclosed to </w:t>
      </w:r>
      <w:r w:rsidRPr="00386885">
        <w:rPr>
          <w:snapToGrid/>
        </w:rPr>
        <w:t>consumers</w:t>
      </w:r>
      <w:r w:rsidRPr="00B5745B">
        <w:rPr>
          <w:snapToGrid/>
        </w:rPr>
        <w:t>, especially</w:t>
      </w:r>
      <w:r w:rsidRPr="00386885">
        <w:rPr>
          <w:snapToGrid/>
        </w:rPr>
        <w:t xml:space="preserve"> in light of the record showing that the telephone is a frequently used sales channel, especially for older adults, lower-income households, and consumers with limited digital literacy</w:t>
      </w:r>
      <w:r w:rsidRPr="00B5745B">
        <w:rPr>
          <w:snapToGrid/>
        </w:rPr>
        <w:t>.</w:t>
      </w:r>
      <w:r>
        <w:rPr>
          <w:rStyle w:val="FootnoteReference"/>
          <w:snapToGrid/>
        </w:rPr>
        <w:footnoteReference w:id="30"/>
      </w:r>
      <w:r w:rsidRPr="00386885">
        <w:rPr>
          <w:snapToGrid/>
        </w:rPr>
        <w:t xml:space="preserve"> </w:t>
      </w:r>
      <w:r w:rsidRPr="00B5745B">
        <w:rPr>
          <w:snapToGrid/>
        </w:rPr>
        <w:t xml:space="preserve"> We</w:t>
      </w:r>
      <w:r w:rsidRPr="00386885">
        <w:rPr>
          <w:snapToGrid/>
        </w:rPr>
        <w:t xml:space="preserve"> find that in directing the Commission to require the display of labels “to disclose to consumers information regarding broadband internet access service plans,” Congress intended to authorize the Commission to adopt closely related measures to ensure such disclosure, and did not intend to prevent the Commission from ensuring that label content is accessible to consumers who use the telephone to purchase broadband service.</w:t>
      </w:r>
      <w:r>
        <w:rPr>
          <w:rStyle w:val="FootnoteReference"/>
          <w:snapToGrid/>
        </w:rPr>
        <w:footnoteReference w:id="31"/>
      </w:r>
      <w:r w:rsidRPr="00386885">
        <w:rPr>
          <w:snapToGrid/>
        </w:rPr>
        <w:t> </w:t>
      </w:r>
    </w:p>
    <w:p w:rsidR="00725C86" w:rsidRPr="00301716" w:rsidP="00725C86" w14:paraId="062D9B09" w14:textId="77777777">
      <w:pPr>
        <w:pStyle w:val="Heading3"/>
        <w:rPr>
          <w:snapToGrid/>
        </w:rPr>
      </w:pPr>
      <w:bookmarkStart w:id="36" w:name="_Toc230014196"/>
      <w:bookmarkStart w:id="37" w:name="_Toc230014288"/>
      <w:bookmarkStart w:id="38" w:name="_Toc231300299"/>
      <w:bookmarkStart w:id="39" w:name="_Toc231985418"/>
      <w:bookmarkStart w:id="40" w:name="_Toc233617884"/>
      <w:bookmarkStart w:id="41" w:name="_Toc233618218"/>
      <w:bookmarkStart w:id="42" w:name="_Toc235613374"/>
      <w:r w:rsidRPr="00301716">
        <w:rPr>
          <w:snapToGrid/>
        </w:rPr>
        <w:t>Passthrough Fees</w:t>
      </w:r>
      <w:bookmarkEnd w:id="36"/>
      <w:bookmarkEnd w:id="37"/>
      <w:bookmarkEnd w:id="38"/>
      <w:bookmarkEnd w:id="39"/>
      <w:bookmarkEnd w:id="40"/>
      <w:bookmarkEnd w:id="41"/>
      <w:bookmarkEnd w:id="42"/>
      <w:r w:rsidRPr="00301716">
        <w:rPr>
          <w:snapToGrid/>
        </w:rPr>
        <w:t xml:space="preserve"> </w:t>
      </w:r>
    </w:p>
    <w:p w:rsidR="00725C86" w:rsidRPr="00AE4B79" w:rsidP="00725C86" w14:paraId="1EA14AD0" w14:textId="77777777">
      <w:pPr>
        <w:pStyle w:val="ParaNum"/>
        <w:rPr>
          <w:snapToGrid/>
        </w:rPr>
      </w:pPr>
      <w:r w:rsidRPr="00301716">
        <w:rPr>
          <w:snapToGrid/>
        </w:rPr>
        <w:t>Rather than continuing to require providers to itemize “passthrough fees”</w:t>
      </w:r>
      <w:r w:rsidRPr="00C02DEB">
        <w:rPr>
          <w:sz w:val="20"/>
          <w:vertAlign w:val="superscript"/>
        </w:rPr>
        <w:t xml:space="preserve"> </w:t>
      </w:r>
      <w:r>
        <w:rPr>
          <w:rStyle w:val="FootnoteReference"/>
        </w:rPr>
        <w:footnoteReference w:id="32"/>
      </w:r>
      <w:r w:rsidRPr="00301716">
        <w:rPr>
          <w:snapToGrid/>
        </w:rPr>
        <w:t xml:space="preserve"> that can vary by location, we allow providers to display such fees in the aggregate, either as a maximum or “up to” amount for the total fees applicable in any location where the service plan is offered,</w:t>
      </w:r>
      <w:r>
        <w:rPr>
          <w:rStyle w:val="FootnoteReference"/>
        </w:rPr>
        <w:footnoteReference w:id="33"/>
      </w:r>
      <w:r w:rsidRPr="00301716">
        <w:rPr>
          <w:snapToGrid/>
        </w:rPr>
        <w:t xml:space="preserve"> or as the exact total of such fees assessed in a particular location.  </w:t>
      </w:r>
      <w:r>
        <w:rPr>
          <w:snapToGrid/>
        </w:rPr>
        <w:t>To ensure that consumers understand the fees they will pay, we also require that any provider choosing to use the “up to” option must break out the total “up to” amount into two categories: (1) the maximum amount of passthrough fees that recover government-imposed costs, and (2) the maximum amount of passthrough fees attributable to costs imposed by non-</w:t>
      </w:r>
      <w:r>
        <w:rPr>
          <w:snapToGrid/>
        </w:rPr>
        <w:t>governmental third-party entities.</w:t>
      </w:r>
      <w:r>
        <w:rPr>
          <w:rStyle w:val="FootnoteReference"/>
          <w:snapToGrid/>
        </w:rPr>
        <w:footnoteReference w:id="34"/>
      </w:r>
      <w:r>
        <w:rPr>
          <w:snapToGrid/>
        </w:rPr>
        <w:t xml:space="preserve">  Thus, providers choosing the “up to” approach must include a comprehensive “up to” amount, as well as an “up to” amount for governmental passthrough fees and an “up to” amount for non-governmental passthrough fees.</w:t>
      </w:r>
      <w:r>
        <w:rPr>
          <w:rStyle w:val="FootnoteReference"/>
          <w:snapToGrid/>
        </w:rPr>
        <w:footnoteReference w:id="35"/>
      </w:r>
      <w:r>
        <w:rPr>
          <w:snapToGrid/>
        </w:rPr>
        <w:t xml:space="preserve">  For the governmental and third-party, non-governmental breakdowns, the label also must provide the types of passthrough fees that may be included in each category, but need not identify separate “up to” amounts for each type of fee in each of the two categories.  </w:t>
      </w:r>
      <w:r w:rsidRPr="00AE4B79">
        <w:rPr>
          <w:snapToGrid/>
        </w:rPr>
        <w:t>The label must also direct consumers to a provider-maintained webpage with clear descriptions of each type of passthrough fee listed</w:t>
      </w:r>
      <w:r>
        <w:t>.</w:t>
      </w:r>
      <w:r>
        <w:rPr>
          <w:rStyle w:val="FootnoteReference"/>
        </w:rPr>
        <w:footnoteReference w:id="36"/>
      </w:r>
    </w:p>
    <w:p w:rsidR="00725C86" w:rsidRPr="00301716" w:rsidP="00570899" w14:paraId="2CBFDD4A" w14:textId="77777777">
      <w:pPr>
        <w:pStyle w:val="ParaNum"/>
        <w:widowControl/>
        <w:rPr>
          <w:snapToGrid/>
        </w:rPr>
      </w:pPr>
      <w:r w:rsidRPr="00301716">
        <w:rPr>
          <w:snapToGrid/>
        </w:rPr>
        <w:t>The Infrastructure Act directs us to require the display of broadband labels “as described in” a public notice issued by the Commission in 2016,</w:t>
      </w:r>
      <w:r>
        <w:rPr>
          <w:rStyle w:val="FootnoteReference"/>
        </w:rPr>
        <w:footnoteReference w:id="37"/>
      </w:r>
      <w:r w:rsidRPr="00301716">
        <w:rPr>
          <w:snapToGrid/>
        </w:rPr>
        <w:t xml:space="preserve"> and that public notice in turn explains that labels should convey the information consumers need to know “in plain language that is easy to understand without overwhelming consumers with too much information.”</w:t>
      </w:r>
      <w:r>
        <w:rPr>
          <w:rStyle w:val="FootnoteReference"/>
        </w:rPr>
        <w:footnoteReference w:id="38"/>
      </w:r>
      <w:r w:rsidRPr="00301716">
        <w:rPr>
          <w:snapToGrid/>
        </w:rPr>
        <w:t xml:space="preserve">  As a commenter points out, too much detail regarding fees could draw consumers’ attention away from more important label information,</w:t>
      </w:r>
      <w:r>
        <w:rPr>
          <w:rStyle w:val="FootnoteReference"/>
        </w:rPr>
        <w:footnoteReference w:id="39"/>
      </w:r>
      <w:r w:rsidRPr="00301716">
        <w:rPr>
          <w:snapToGrid/>
        </w:rPr>
        <w:t xml:space="preserve"> and research suggests that “excessive itemization creates cognitive burdens that reduce consumer welfare.”</w:t>
      </w:r>
      <w:r>
        <w:rPr>
          <w:rStyle w:val="FootnoteReference"/>
        </w:rPr>
        <w:footnoteReference w:id="40"/>
      </w:r>
      <w:r w:rsidRPr="00301716">
        <w:rPr>
          <w:snapToGrid/>
        </w:rPr>
        <w:t xml:space="preserve">  Commenters who advocate for retaining mandatory itemization</w:t>
      </w:r>
      <w:r>
        <w:rPr>
          <w:snapToGrid/>
        </w:rPr>
        <w:t xml:space="preserve"> of all fees</w:t>
      </w:r>
      <w:r w:rsidRPr="00301716">
        <w:rPr>
          <w:snapToGrid/>
        </w:rPr>
        <w:t xml:space="preserve"> do not persuasively address these concerns.</w:t>
      </w:r>
      <w:r>
        <w:rPr>
          <w:rStyle w:val="FootnoteReference"/>
        </w:rPr>
        <w:footnoteReference w:id="41"/>
      </w:r>
      <w:r>
        <w:rPr>
          <w:snapToGrid/>
        </w:rPr>
        <w:t xml:space="preserve">  Allowing providers to state a total “up to” amount, while also clearly identifying the portions of that amount attributable to governmental and non-governmental, third-party passthrough fees, </w:t>
      </w:r>
      <w:r>
        <w:rPr>
          <w:snapToGrid/>
        </w:rPr>
        <w:t>will ensure that consumers can access relevant information in an easily digestible format without being overwhelmed with an exhaustive itemization of all possible passthrough fees.</w:t>
      </w:r>
    </w:p>
    <w:p w:rsidR="00725C86" w:rsidRPr="00301716" w:rsidP="00725C86" w14:paraId="57991D8C" w14:textId="77777777">
      <w:pPr>
        <w:pStyle w:val="ParaNum"/>
        <w:rPr>
          <w:snapToGrid/>
        </w:rPr>
      </w:pPr>
      <w:r w:rsidRPr="00301716">
        <w:rPr>
          <w:snapToGrid/>
        </w:rPr>
        <w:t>The record also shows that requiring</w:t>
      </w:r>
      <w:r>
        <w:rPr>
          <w:snapToGrid/>
        </w:rPr>
        <w:t xml:space="preserve"> full</w:t>
      </w:r>
      <w:r w:rsidRPr="00301716">
        <w:rPr>
          <w:snapToGrid/>
        </w:rPr>
        <w:t xml:space="preserve"> itemization imposes burdens on providers.  Itemizing fees often requires providers to generate and maintain a large number of distinct labels to account for state and local variation in fees across their service territories.</w:t>
      </w:r>
      <w:r>
        <w:rPr>
          <w:rStyle w:val="FootnoteReference"/>
        </w:rPr>
        <w:footnoteReference w:id="42"/>
      </w:r>
      <w:r w:rsidRPr="00301716">
        <w:rPr>
          <w:snapToGrid/>
        </w:rPr>
        <w:t xml:space="preserve">  This creates ongoing administrative complexity, particularly for providers operating across multiple jurisdictions.</w:t>
      </w:r>
      <w:r>
        <w:rPr>
          <w:rStyle w:val="FootnoteReference"/>
        </w:rPr>
        <w:footnoteReference w:id="43"/>
      </w:r>
      <w:r w:rsidRPr="00301716">
        <w:rPr>
          <w:snapToGrid/>
        </w:rPr>
        <w:t xml:space="preserve">  By contrast, as demonstrated by the </w:t>
      </w:r>
      <w:r w:rsidRPr="00301716">
        <w:rPr>
          <w:snapToGrid/>
          <w:szCs w:val="22"/>
        </w:rPr>
        <w:t xml:space="preserve">Broadband Internet Technical Advisory Group (BITAG) </w:t>
      </w:r>
      <w:r w:rsidRPr="00301716">
        <w:rPr>
          <w:snapToGrid/>
        </w:rPr>
        <w:t>maximum value field approach, calculating a maximum  “up to” amount is technically achievable without requiring a separate label for each jurisdiction.</w:t>
      </w:r>
      <w:r>
        <w:rPr>
          <w:rStyle w:val="FootnoteReference"/>
        </w:rPr>
        <w:footnoteReference w:id="44"/>
      </w:r>
      <w:r w:rsidRPr="00301716">
        <w:rPr>
          <w:snapToGrid/>
        </w:rPr>
        <w:t xml:space="preserve">  </w:t>
      </w:r>
    </w:p>
    <w:p w:rsidR="00725C86" w:rsidRPr="00301716" w:rsidP="00725C86" w14:paraId="280F7082" w14:textId="77777777">
      <w:pPr>
        <w:pStyle w:val="ParaNum"/>
        <w:rPr>
          <w:snapToGrid/>
        </w:rPr>
      </w:pPr>
      <w:r w:rsidRPr="00301716">
        <w:rPr>
          <w:snapToGrid/>
        </w:rPr>
        <w:t>We amend the rule to allow two additional alternatives for the display of passthrough fees, rather than requiring full itemization of each location-specific fee.</w:t>
      </w:r>
      <w:r>
        <w:rPr>
          <w:rStyle w:val="FootnoteReference"/>
        </w:rPr>
        <w:footnoteReference w:id="45"/>
      </w:r>
      <w:r w:rsidRPr="00301716">
        <w:rPr>
          <w:snapToGrid/>
        </w:rPr>
        <w:t xml:space="preserve">  First, drawing on the BITAG recommendation, we permit providers to present passthrough fees on a single line specifying the maximum passthrough fee that would be paid by any subscriber across all jurisdictions where the service plan is offered—that is, the highest “up to” amount applicable anywhere in the provider’s service territory for that plan.  For purposes of this rule, “service territory” means the geographic area within which a provider offers the specific broadband service plan to which the label applies.  Alternatively, providers may display, on a jurisdiction-specific basis, the exact total of the passthrough fees that subscribers in that jurisdiction will pay.  Providers may also continue to itemize fees individually as current rules permit.  The displayed maximum or exact total must be accurate, i.e., it must not understate the current fees applicable to any consumer subscribing to that plan.  If fees subsequently increase above the disclosed maximum or exact total, the provider must revise the label accordingly.  Because fee disclosure must not understate current fees, we decline to adopt NTCA’s safe harbor based on a historical 12-month average,</w:t>
      </w:r>
      <w:r>
        <w:rPr>
          <w:rStyle w:val="FootnoteReference"/>
        </w:rPr>
        <w:footnoteReference w:id="46"/>
      </w:r>
      <w:r w:rsidRPr="00301716">
        <w:rPr>
          <w:snapToGrid/>
        </w:rPr>
        <w:t xml:space="preserve"> because a backward-looking average may not accurately reflect current fees.  </w:t>
      </w:r>
    </w:p>
    <w:p w:rsidR="00725C86" w:rsidRPr="00301716" w:rsidP="00570899" w14:paraId="735BED3C" w14:textId="77777777">
      <w:pPr>
        <w:pStyle w:val="ParaNum"/>
        <w:widowControl/>
        <w:rPr>
          <w:snapToGrid/>
        </w:rPr>
      </w:pPr>
      <w:r w:rsidRPr="00301716">
        <w:rPr>
          <w:snapToGrid/>
        </w:rPr>
        <w:t>We also disagree with commenters who argue that displaying an exact total or maximum amount would undermine the effectiveness of the label, increase consumer confusion, or recreate the bill shock the label was designed to prevent.</w:t>
      </w:r>
      <w:r>
        <w:rPr>
          <w:rStyle w:val="FootnoteReference"/>
        </w:rPr>
        <w:footnoteReference w:id="47"/>
      </w:r>
      <w:r w:rsidRPr="00301716">
        <w:rPr>
          <w:snapToGrid/>
        </w:rPr>
        <w:t xml:space="preserve">  As described above, a single line totaling multiple fees can help consumers compare plan prices without forcing them to make additional calculations.  </w:t>
      </w:r>
      <w:r>
        <w:rPr>
          <w:snapToGrid/>
        </w:rPr>
        <w:t>Additionally, a separate breakdown of that maximum amount between governmental and third-party, non-governmental fees will provide useful context for consumers.  This approach</w:t>
      </w:r>
      <w:r w:rsidRPr="00301716">
        <w:rPr>
          <w:snapToGrid/>
        </w:rPr>
        <w:t xml:space="preserve"> will reduce consumer confusion, rather than increase it.  And because the “up to” amounts must be accurate, they will not cause bill shock, which can occur when providers do not disclose the true cost of service at point-of-sale.</w:t>
      </w:r>
      <w:r>
        <w:rPr>
          <w:rStyle w:val="FootnoteReference"/>
        </w:rPr>
        <w:footnoteReference w:id="48"/>
      </w:r>
      <w:r w:rsidRPr="00301716">
        <w:rPr>
          <w:snapToGrid/>
        </w:rPr>
        <w:t xml:space="preserve">  Including maximum </w:t>
      </w:r>
      <w:r w:rsidRPr="00301716">
        <w:rPr>
          <w:snapToGrid/>
        </w:rPr>
        <w:t xml:space="preserve">passthrough fee amounts will result in some consumers experiencing bills below what is displayed on the label, the opposite of bill shock.  </w:t>
      </w:r>
    </w:p>
    <w:p w:rsidR="00725C86" w:rsidRPr="00301716" w:rsidP="00725C86" w14:paraId="28A917FA" w14:textId="77777777">
      <w:pPr>
        <w:pStyle w:val="ParaNum"/>
        <w:rPr>
          <w:snapToGrid/>
        </w:rPr>
      </w:pPr>
      <w:r w:rsidRPr="00301716">
        <w:rPr>
          <w:snapToGrid/>
        </w:rPr>
        <w:t>For similar reasons, we reject arguments that an “up to” amount will allow providers to hide charges or impair consumers’ ability to understand the fees they may pay.</w:t>
      </w:r>
      <w:r>
        <w:rPr>
          <w:rStyle w:val="FootnoteReference"/>
        </w:rPr>
        <w:footnoteReference w:id="49"/>
      </w:r>
      <w:r w:rsidRPr="00301716">
        <w:rPr>
          <w:snapToGrid/>
        </w:rPr>
        <w:t xml:space="preserve">  Providers that display an “up to” amount will still clearly disclose the most that a consumer will pay for passthrough fees in any jurisdiction where the plan is offered.</w:t>
      </w:r>
      <w:r>
        <w:rPr>
          <w:rStyle w:val="FootnoteReference"/>
        </w:rPr>
        <w:footnoteReference w:id="50"/>
      </w:r>
      <w:r w:rsidRPr="00301716">
        <w:rPr>
          <w:snapToGrid/>
        </w:rPr>
        <w:t xml:space="preserve">  </w:t>
      </w:r>
      <w:r>
        <w:rPr>
          <w:snapToGrid/>
        </w:rPr>
        <w:t xml:space="preserve">Further, requiring a breakdown of governmental fees in relation to third-party, non-governmental fees will ensure that consumers are aware of the types of fees they may be required to pay.  </w:t>
      </w:r>
      <w:r w:rsidRPr="00301716">
        <w:rPr>
          <w:snapToGrid/>
        </w:rPr>
        <w:t xml:space="preserve">Nothing in the record supports the point that consumer decision-making suffers when multiple fees are consolidated.  As long as the exact total or maximum amount is accurate, consumers have the information necessary to make informed purchasing decisions.  With respect to Public Knowledge’s concern about the absence of a principled limit on embedded fees, we note </w:t>
      </w:r>
      <w:r w:rsidRPr="00816744">
        <w:t>that the accuracy requirement provides such a limit; a provider may not embed fees that cause the consumers’ bill to exceed the maximum stated in the applicable label</w:t>
      </w:r>
      <w:r w:rsidRPr="00301716">
        <w:rPr>
          <w:snapToGrid/>
        </w:rPr>
        <w:t>.</w:t>
      </w:r>
      <w:r>
        <w:footnoteReference w:id="51"/>
      </w:r>
      <w:r w:rsidRPr="00301716">
        <w:rPr>
          <w:snapToGrid/>
        </w:rPr>
        <w:t xml:space="preserve">  Making clear to consumers the maximum aggregate passthrough fee they will face satisfies the transparency objective of the Infrastructure Act, while potentially reducing the burden of review a consumer may experience with an itemized list that may vary slightly across different provider labels.    </w:t>
      </w:r>
    </w:p>
    <w:p w:rsidR="00725C86" w:rsidRPr="00301716" w:rsidP="00725C86" w14:paraId="7A098AFD" w14:textId="77777777">
      <w:pPr>
        <w:pStyle w:val="ParaNum"/>
        <w:rPr>
          <w:snapToGrid/>
        </w:rPr>
      </w:pPr>
      <w:r w:rsidRPr="00301716">
        <w:rPr>
          <w:snapToGrid/>
        </w:rPr>
        <w:t>While we anticipate that most providers will opt to present an “up to” maximum or an exact</w:t>
      </w:r>
      <w:r>
        <w:rPr>
          <w:snapToGrid/>
        </w:rPr>
        <w:t>,</w:t>
      </w:r>
      <w:r w:rsidRPr="00301716">
        <w:rPr>
          <w:snapToGrid/>
        </w:rPr>
        <w:t xml:space="preserve"> location-specific fee total, some may choose to continue to itemize passthrough fees.  We expect that over time, competitive forces will encourage providers to adopt disclosure formats consumers find most useful, and in all cases the accuracy requirements ensure that consumers can reliably compare total recurring amounts across providers.  The approach we adopt preserves transparent, comparable information for consumers while allowing providers flexibility to avoid label proliferation.  We also recognize this is a change in course.  The Commission declined to allow an “up to” approach in the </w:t>
      </w:r>
      <w:r w:rsidRPr="00301716">
        <w:rPr>
          <w:i/>
          <w:iCs/>
          <w:snapToGrid/>
        </w:rPr>
        <w:t>Broadband Label Order on Reconsideration</w:t>
      </w:r>
      <w:r w:rsidRPr="00301716">
        <w:rPr>
          <w:snapToGrid/>
        </w:rPr>
        <w:t>, stating that a single figure would not provide sufficient transparency or facilitate comparison shopping.</w:t>
      </w:r>
      <w:r>
        <w:rPr>
          <w:rStyle w:val="FootnoteReference"/>
        </w:rPr>
        <w:footnoteReference w:id="52"/>
      </w:r>
      <w:r w:rsidRPr="00301716">
        <w:rPr>
          <w:snapToGrid/>
        </w:rPr>
        <w:t xml:space="preserve">  With the benefit of a more robust record—including evidence that mandated itemization impedes providers’ flexibility, promotes unnecessary label proliferation, and may undermine consumers’ ability to comparison shop and thereby frustrate the goals of the Infrastructure Act—we conclude that permitting providers to display passthrough fees as a maximum or “up to” amount or exact total gives consumers sufficient disclosure to enable comparison shopping and more effectively meets the objectives of the Infrastructure Act. </w:t>
      </w:r>
    </w:p>
    <w:p w:rsidR="00725C86" w:rsidRPr="00301716" w:rsidP="00725C86" w14:paraId="5B25FC73" w14:textId="77777777">
      <w:pPr>
        <w:pStyle w:val="Heading3"/>
        <w:rPr>
          <w:snapToGrid/>
        </w:rPr>
      </w:pPr>
      <w:bookmarkStart w:id="43" w:name="_Toc230014197"/>
      <w:bookmarkStart w:id="44" w:name="_Toc230014289"/>
      <w:bookmarkStart w:id="45" w:name="_Toc231300300"/>
      <w:bookmarkStart w:id="46" w:name="_Toc231985419"/>
      <w:bookmarkStart w:id="47" w:name="_Toc233617885"/>
      <w:bookmarkStart w:id="48" w:name="_Toc233618219"/>
      <w:bookmarkStart w:id="49" w:name="_Toc235613375"/>
      <w:r w:rsidRPr="00301716">
        <w:rPr>
          <w:snapToGrid/>
        </w:rPr>
        <w:t>Affordable Connectivity Program</w:t>
      </w:r>
      <w:bookmarkEnd w:id="43"/>
      <w:bookmarkEnd w:id="44"/>
      <w:bookmarkEnd w:id="45"/>
      <w:bookmarkEnd w:id="46"/>
      <w:bookmarkEnd w:id="47"/>
      <w:bookmarkEnd w:id="48"/>
      <w:bookmarkEnd w:id="49"/>
    </w:p>
    <w:p w:rsidR="00725C86" w:rsidRPr="00301716" w:rsidP="00725C86" w14:paraId="5B52C162" w14:textId="77777777">
      <w:pPr>
        <w:pStyle w:val="ParaNum"/>
        <w:rPr>
          <w:snapToGrid/>
        </w:rPr>
      </w:pPr>
      <w:r w:rsidRPr="00301716">
        <w:rPr>
          <w:snapToGrid/>
        </w:rPr>
        <w:t>We eliminate the requirement that providers include information about the ACP in the broadband label.</w:t>
      </w:r>
      <w:r w:rsidRPr="00D93B35">
        <w:rPr>
          <w:rStyle w:val="FootnoteReference"/>
        </w:rPr>
        <w:t xml:space="preserve"> </w:t>
      </w:r>
      <w:r w:rsidRPr="00301716">
        <w:rPr>
          <w:snapToGrid/>
        </w:rPr>
        <w:t xml:space="preserve"> The program ended June 1, 2024.</w:t>
      </w:r>
      <w:r>
        <w:rPr>
          <w:rStyle w:val="FootnoteReference"/>
        </w:rPr>
        <w:footnoteReference w:id="53"/>
      </w:r>
      <w:r w:rsidRPr="00301716">
        <w:rPr>
          <w:snapToGrid/>
        </w:rPr>
        <w:t xml:space="preserve">  We agree with commenters that retaining a </w:t>
      </w:r>
      <w:r w:rsidRPr="00301716">
        <w:rPr>
          <w:snapToGrid/>
        </w:rPr>
        <w:t>reference to an expired program offers no consumer benefit and risks confusing consumers who may be led to believe the program remains available.</w:t>
      </w:r>
      <w:r>
        <w:rPr>
          <w:rStyle w:val="FootnoteReference"/>
        </w:rPr>
        <w:footnoteReference w:id="54"/>
      </w:r>
      <w:r w:rsidRPr="00301716">
        <w:rPr>
          <w:snapToGrid/>
        </w:rPr>
        <w:t xml:space="preserve">  We thus decline suggestions that we maintain the requirement as a placeholder obligation that would activate automatically upon establishment of a successor federal broadband affordability program.</w:t>
      </w:r>
      <w:r>
        <w:rPr>
          <w:rStyle w:val="FootnoteReference"/>
        </w:rPr>
        <w:footnoteReference w:id="55"/>
      </w:r>
      <w:r w:rsidRPr="00301716">
        <w:rPr>
          <w:snapToGrid/>
        </w:rPr>
        <w:t xml:space="preserve">  </w:t>
      </w:r>
    </w:p>
    <w:p w:rsidR="00725C86" w:rsidRPr="00301716" w:rsidP="00725C86" w14:paraId="10D1C53D" w14:textId="77777777">
      <w:pPr>
        <w:pStyle w:val="Heading3"/>
        <w:rPr>
          <w:snapToGrid/>
        </w:rPr>
      </w:pPr>
      <w:bookmarkStart w:id="50" w:name="_Toc230014198"/>
      <w:bookmarkStart w:id="51" w:name="_Toc230014290"/>
      <w:bookmarkStart w:id="52" w:name="_Toc231300301"/>
      <w:bookmarkStart w:id="53" w:name="_Toc231985420"/>
      <w:bookmarkStart w:id="54" w:name="_Toc233617886"/>
      <w:bookmarkStart w:id="55" w:name="_Toc233618220"/>
      <w:bookmarkStart w:id="56" w:name="_Toc235613376"/>
      <w:r w:rsidRPr="00301716">
        <w:rPr>
          <w:snapToGrid/>
        </w:rPr>
        <w:t>Customer Account Portal</w:t>
      </w:r>
      <w:bookmarkEnd w:id="50"/>
      <w:bookmarkEnd w:id="51"/>
      <w:bookmarkEnd w:id="52"/>
      <w:bookmarkEnd w:id="53"/>
      <w:bookmarkEnd w:id="54"/>
      <w:bookmarkEnd w:id="55"/>
      <w:bookmarkEnd w:id="56"/>
      <w:r w:rsidRPr="00301716">
        <w:rPr>
          <w:snapToGrid/>
        </w:rPr>
        <w:t xml:space="preserve"> </w:t>
      </w:r>
    </w:p>
    <w:p w:rsidR="00725C86" w:rsidRPr="001A6AC3" w:rsidP="00725C86" w14:paraId="5A887992" w14:textId="77777777">
      <w:pPr>
        <w:pStyle w:val="ParaNum"/>
      </w:pPr>
      <w:r w:rsidRPr="001A6AC3">
        <w:rPr>
          <w:snapToGrid/>
        </w:rPr>
        <w:t>We retain the requirement that providers that give their customers access to their account information via an online portal must give those customers easy access to the label of their current plan.  And we amend the rule to clarify that providers may satisfy the “easily accessible” requirement for customer portals by prominently displaying a hyperlink or icon in the customer’s portal directing the customer to the label for their current plan</w:t>
      </w:r>
      <w:r>
        <w:rPr>
          <w:rStyle w:val="FootnoteReference"/>
        </w:rPr>
        <w:footnoteReference w:id="56"/>
      </w:r>
      <w:r w:rsidRPr="001A6AC3">
        <w:rPr>
          <w:snapToGrid/>
        </w:rPr>
        <w:t xml:space="preserve"> and thus providers need not display the label itself in the customer’s portal.</w:t>
      </w:r>
      <w:r>
        <w:rPr>
          <w:rStyle w:val="FootnoteReference"/>
        </w:rPr>
        <w:footnoteReference w:id="57"/>
      </w:r>
      <w:r w:rsidRPr="001A6AC3">
        <w:rPr>
          <w:snapToGrid/>
        </w:rPr>
        <w:t xml:space="preserve">  We agree with commenters that access to the label via their portal is important to enable subscribers to verify their current plan terms, detect billing discrepancies, and evaluate their current plan’s suitability to their needs.</w:t>
      </w:r>
      <w:r>
        <w:rPr>
          <w:rStyle w:val="FootnoteReference"/>
        </w:rPr>
        <w:footnoteReference w:id="58"/>
      </w:r>
      <w:r w:rsidRPr="001A6AC3">
        <w:rPr>
          <w:snapToGrid/>
        </w:rPr>
        <w:t xml:space="preserve">  </w:t>
      </w:r>
      <w:r w:rsidRPr="001A6AC3">
        <w:t>We believe that allowing providers to use</w:t>
      </w:r>
      <w:r w:rsidRPr="001A6AC3">
        <w:t xml:space="preserve"> </w:t>
      </w:r>
      <w:r w:rsidRPr="001A6AC3">
        <w:t>a link or icon, rather than displaying the label alongside all the other information in the portal, will make it easier for consumers to focus on the portal information they wish to read and benefit consumers accessing their portal on mobile devices.</w:t>
      </w:r>
    </w:p>
    <w:p w:rsidR="00725C86" w:rsidRPr="001A6AC3" w:rsidP="00725C86" w14:paraId="40ACA9A9" w14:textId="77777777">
      <w:pPr>
        <w:pStyle w:val="ParaNum"/>
        <w:rPr>
          <w:snapToGrid/>
        </w:rPr>
      </w:pPr>
      <w:r w:rsidRPr="001A6AC3">
        <w:t>Display flexibility should also reduce provider compliance costs.  We agree with commenters that maintaining label display in customer portals entails costly development work,</w:t>
      </w:r>
      <w:r>
        <w:rPr>
          <w:sz w:val="20"/>
          <w:vertAlign w:val="superscript"/>
        </w:rPr>
        <w:footnoteReference w:id="59"/>
      </w:r>
      <w:r w:rsidRPr="001A6AC3">
        <w:t xml:space="preserve"> and that a requirement for full label display in customer portals “imposes significant burdens and costs without concomitant benefit to subscribers.”</w:t>
      </w:r>
      <w:r>
        <w:rPr>
          <w:sz w:val="20"/>
          <w:vertAlign w:val="superscript"/>
        </w:rPr>
        <w:footnoteReference w:id="60"/>
      </w:r>
      <w:r w:rsidRPr="001A6AC3">
        <w:t xml:space="preserve">  While these commenters do not specifically quantify the costs at issue, the record nonetheless reflects that full-label display imposes some compliance burden on providers, and the clarification we adopt here is responsive to that concern.  </w:t>
      </w:r>
    </w:p>
    <w:p w:rsidR="00725C86" w:rsidRPr="001A6AC3" w:rsidP="00570899" w14:paraId="3AF58725" w14:textId="77777777">
      <w:pPr>
        <w:pStyle w:val="ParaNum"/>
        <w:widowControl/>
        <w:rPr>
          <w:snapToGrid/>
        </w:rPr>
      </w:pPr>
      <w:r w:rsidRPr="001A6AC3">
        <w:rPr>
          <w:snapToGrid/>
        </w:rPr>
        <w:t>We agree that a static label displayed in a customer’s portal runs the risk of becoming outdated, inaccurate, or misleading as plan terms evolve over time.</w:t>
      </w:r>
      <w:r>
        <w:rPr>
          <w:rStyle w:val="FootnoteReference"/>
        </w:rPr>
        <w:footnoteReference w:id="61"/>
      </w:r>
      <w:r w:rsidRPr="001A6AC3">
        <w:rPr>
          <w:snapToGrid/>
        </w:rPr>
        <w:t xml:space="preserve">  However, the label accessed in a portal should reflect the terms of the customer’s current plan, rather than the original plan purchased if different, to, among other things, enable market comparisons and better manage their existing plan.</w:t>
      </w:r>
      <w:r>
        <w:rPr>
          <w:rStyle w:val="FootnoteReference"/>
        </w:rPr>
        <w:footnoteReference w:id="62"/>
      </w:r>
      <w:r w:rsidRPr="001A6AC3">
        <w:rPr>
          <w:snapToGrid/>
        </w:rPr>
        <w:t xml:space="preserve">  Thus, consumers should not be confused or misled as long as their providers meet their obligations under the rule of providing easy access to the label of each consumer’s </w:t>
      </w:r>
      <w:r w:rsidRPr="001A6AC3">
        <w:rPr>
          <w:i/>
          <w:iCs/>
          <w:snapToGrid/>
        </w:rPr>
        <w:t>current</w:t>
      </w:r>
      <w:r w:rsidRPr="001A6AC3">
        <w:rPr>
          <w:snapToGrid/>
        </w:rPr>
        <w:t xml:space="preserve"> plan.</w:t>
      </w:r>
      <w:r>
        <w:rPr>
          <w:rStyle w:val="FootnoteReference"/>
        </w:rPr>
        <w:footnoteReference w:id="63"/>
      </w:r>
      <w:r w:rsidRPr="001A6AC3">
        <w:rPr>
          <w:snapToGrid/>
        </w:rPr>
        <w:t xml:space="preserve">  While we recognize that labels may not specify every charge or discount associated with a consumer’s current service plan, and thus may not serve as a comprehensive billing reference document,</w:t>
      </w:r>
      <w:r>
        <w:rPr>
          <w:rStyle w:val="FootnoteReference"/>
        </w:rPr>
        <w:footnoteReference w:id="64"/>
      </w:r>
      <w:r w:rsidRPr="001A6AC3">
        <w:rPr>
          <w:snapToGrid/>
        </w:rPr>
        <w:t xml:space="preserve"> labels that correspond to a consumer’s current plan clearly “can assist in identifying billing inaccuracies and unexpected fees,”</w:t>
      </w:r>
      <w:r>
        <w:rPr>
          <w:rStyle w:val="FootnoteReference"/>
        </w:rPr>
        <w:footnoteReference w:id="65"/>
      </w:r>
      <w:r w:rsidRPr="001A6AC3">
        <w:rPr>
          <w:snapToGrid/>
        </w:rPr>
        <w:t xml:space="preserve"> as the rule intends, as well as providing a baseline for future comparison shopping.  We also disagree with some commenters’ claims that the portal access requirement is “divorced from the purpose of labels: to facilitate </w:t>
      </w:r>
      <w:r w:rsidRPr="001A6AC3">
        <w:rPr>
          <w:i/>
          <w:iCs/>
          <w:snapToGrid/>
        </w:rPr>
        <w:t xml:space="preserve">shopping </w:t>
      </w:r>
      <w:r w:rsidRPr="001A6AC3">
        <w:rPr>
          <w:snapToGrid/>
        </w:rPr>
        <w:t>for broadband services.”</w:t>
      </w:r>
      <w:r>
        <w:rPr>
          <w:rStyle w:val="FootnoteReference"/>
        </w:rPr>
        <w:footnoteReference w:id="66"/>
      </w:r>
      <w:r w:rsidRPr="001A6AC3">
        <w:rPr>
          <w:snapToGrid/>
        </w:rPr>
        <w:t xml:space="preserve">  In adopting the rule, as noted above, the Commission recognized that portal access to labels “furthers our goal of assisting consumers with comparison shopping by allowing consumers to more easily compare their current plans to alternative plans when shopping for broadband service in the future.”</w:t>
      </w:r>
      <w:r>
        <w:rPr>
          <w:rStyle w:val="FootnoteReference"/>
        </w:rPr>
        <w:footnoteReference w:id="67"/>
      </w:r>
      <w:r w:rsidRPr="001A6AC3">
        <w:rPr>
          <w:snapToGrid/>
        </w:rPr>
        <w:t xml:space="preserve">  </w:t>
      </w:r>
    </w:p>
    <w:p w:rsidR="00725C86" w:rsidRPr="00301716" w:rsidP="00570899" w14:paraId="784E6C9B" w14:textId="77777777">
      <w:pPr>
        <w:pStyle w:val="ParaNum"/>
        <w:widowControl/>
        <w:rPr>
          <w:snapToGrid/>
        </w:rPr>
      </w:pPr>
      <w:r w:rsidRPr="00895633">
        <w:t>Additionally, we are</w:t>
      </w:r>
      <w:r w:rsidRPr="00895633">
        <w:t xml:space="preserve"> </w:t>
      </w:r>
      <w:r w:rsidRPr="00895633">
        <w:t>unpersuaded that the costs of providing access via a link in the consumer’s account portal outweigh any consumer benefit to subscribers.</w:t>
      </w:r>
      <w:r>
        <w:footnoteReference w:id="68"/>
      </w:r>
      <w:r w:rsidRPr="00895633">
        <w:t xml:space="preserve">  No commenter attempts to quantify these claimed costs.</w:t>
      </w:r>
      <w:r>
        <w:rPr>
          <w:sz w:val="20"/>
          <w:vertAlign w:val="superscript"/>
        </w:rPr>
        <w:footnoteReference w:id="69"/>
      </w:r>
      <w:r w:rsidRPr="00895633">
        <w:t xml:space="preserve">  And, </w:t>
      </w:r>
      <w:r w:rsidRPr="00301716">
        <w:rPr>
          <w:snapToGrid/>
        </w:rPr>
        <w:t>as described above, there is ample evidence that the portal requirement benefits consumers.  Therefore, we find insufficient basis in the record to revisit the 2022 Order’s assessment that “</w:t>
      </w:r>
      <w:r w:rsidRPr="00301716">
        <w:rPr>
          <w:rFonts w:ascii="TimesNewRomanPSMT" w:hAnsi="TimesNewRomanPSMT" w:cs="TimesNewRomanPSMT"/>
          <w:snapToGrid/>
          <w:kern w:val="0"/>
          <w:szCs w:val="22"/>
        </w:rPr>
        <w:t>associating a label that is already displayed on a provider’s primary advertising web page with a customer’s online account should not be overly burdensome, and that the benefits to consumers far outweigh any costs to providers.”</w:t>
      </w:r>
      <w:r>
        <w:rPr>
          <w:rStyle w:val="FootnoteReference"/>
        </w:rPr>
        <w:footnoteReference w:id="70"/>
      </w:r>
      <w:r w:rsidRPr="00301716">
        <w:rPr>
          <w:rFonts w:ascii="TimesNewRomanPSMT" w:hAnsi="TimesNewRomanPSMT" w:cs="TimesNewRomanPSMT"/>
          <w:snapToGrid/>
          <w:kern w:val="0"/>
          <w:szCs w:val="22"/>
        </w:rPr>
        <w:t xml:space="preserve">  </w:t>
      </w:r>
      <w:r w:rsidRPr="00301716">
        <w:rPr>
          <w:snapToGrid/>
        </w:rPr>
        <w:t>We also disagree that information on consumers’ bills obviates the need for access to the label.</w:t>
      </w:r>
      <w:r>
        <w:rPr>
          <w:rStyle w:val="FootnoteReference"/>
        </w:rPr>
        <w:footnoteReference w:id="71"/>
      </w:r>
      <w:r w:rsidRPr="00301716">
        <w:rPr>
          <w:snapToGrid/>
        </w:rPr>
        <w:t xml:space="preserve">  A label provides information (e.g., “typical” data speeds) that </w:t>
      </w:r>
      <w:r w:rsidRPr="00301716">
        <w:rPr>
          <w:snapToGrid/>
        </w:rPr>
        <w:t>is not included in bills and summarizes key information in a recognizable format that supports comparison shopping, which bills aren’t usually designed to do.</w:t>
      </w:r>
      <w:r>
        <w:rPr>
          <w:rStyle w:val="FootnoteReference"/>
        </w:rPr>
        <w:footnoteReference w:id="72"/>
      </w:r>
      <w:r w:rsidRPr="00301716">
        <w:rPr>
          <w:snapToGrid/>
        </w:rPr>
        <w:t xml:space="preserve">  </w:t>
      </w:r>
    </w:p>
    <w:p w:rsidR="00725C86" w:rsidRPr="00301716" w:rsidP="00725C86" w14:paraId="73A9722A" w14:textId="77777777">
      <w:pPr>
        <w:pStyle w:val="Heading3"/>
        <w:rPr>
          <w:snapToGrid/>
        </w:rPr>
      </w:pPr>
      <w:bookmarkStart w:id="57" w:name="_Toc230014199"/>
      <w:bookmarkStart w:id="58" w:name="_Toc230014291"/>
      <w:bookmarkStart w:id="59" w:name="_Toc231300302"/>
      <w:bookmarkStart w:id="60" w:name="_Toc231985421"/>
      <w:bookmarkStart w:id="61" w:name="_Toc233617887"/>
      <w:bookmarkStart w:id="62" w:name="_Toc233618221"/>
      <w:bookmarkStart w:id="63" w:name="_Toc235613377"/>
      <w:r w:rsidRPr="00301716">
        <w:rPr>
          <w:snapToGrid/>
        </w:rPr>
        <w:t>Point-of-Sale Display</w:t>
      </w:r>
      <w:bookmarkEnd w:id="57"/>
      <w:bookmarkEnd w:id="58"/>
      <w:bookmarkEnd w:id="59"/>
      <w:bookmarkEnd w:id="60"/>
      <w:bookmarkEnd w:id="61"/>
      <w:bookmarkEnd w:id="62"/>
      <w:bookmarkEnd w:id="63"/>
    </w:p>
    <w:p w:rsidR="00725C86" w:rsidRPr="00301716" w:rsidP="00725C86" w14:paraId="468D98D6" w14:textId="77777777">
      <w:pPr>
        <w:pStyle w:val="ParaNum"/>
        <w:rPr>
          <w:snapToGrid/>
        </w:rPr>
      </w:pPr>
      <w:r w:rsidRPr="00301716">
        <w:rPr>
          <w:snapToGrid/>
        </w:rPr>
        <w:t>We give providers flexibility to use links or icons at the point of sale instead of displaying the full label.  We agree with commenters that this change will better enable consumers viewing broadband plans on their mobile phones to read and process relevant information.</w:t>
      </w:r>
      <w:r>
        <w:rPr>
          <w:rStyle w:val="FootnoteReference"/>
        </w:rPr>
        <w:footnoteReference w:id="73"/>
      </w:r>
      <w:r w:rsidRPr="00301716">
        <w:rPr>
          <w:snapToGrid/>
        </w:rPr>
        <w:t xml:space="preserve">  And it will enable providers to avoid significant design and operational challenges, especially in the mobile device context, where screen space limitations make simultaneous display of marketing content and a full label difficult to achieve without degrading the consumer experience for either.</w:t>
      </w:r>
      <w:r>
        <w:rPr>
          <w:rStyle w:val="FootnoteReference"/>
        </w:rPr>
        <w:footnoteReference w:id="74"/>
      </w:r>
      <w:r w:rsidRPr="00301716">
        <w:rPr>
          <w:snapToGrid/>
        </w:rPr>
        <w:t xml:space="preserve">  An icon or link prominently displayed in close proximity to the advertised plan and that links directly to the associated label can resolve the operational challenges (e.g., by conserving limited display space on mobile devices) while ensuring that consumers can easily access relevant label information. </w:t>
      </w:r>
    </w:p>
    <w:p w:rsidR="00725C86" w:rsidRPr="00301716" w:rsidP="00725C86" w14:paraId="412D3304" w14:textId="77777777">
      <w:pPr>
        <w:pStyle w:val="ParaNum"/>
        <w:rPr>
          <w:snapToGrid/>
        </w:rPr>
      </w:pPr>
      <w:r w:rsidRPr="00301716">
        <w:rPr>
          <w:snapToGrid/>
        </w:rPr>
        <w:t>We recognize this is a change in course from the Commission’s 2022 decision requiring full label display at the point of sale.</w:t>
      </w:r>
      <w:r>
        <w:rPr>
          <w:rStyle w:val="FootnoteReference"/>
        </w:rPr>
        <w:footnoteReference w:id="75"/>
      </w:r>
      <w:r w:rsidRPr="00301716">
        <w:rPr>
          <w:snapToGrid/>
        </w:rPr>
        <w:t xml:space="preserve">  In previously declining to allow a link in place of the full label, the Commission noted that “commenters [did] not articulate any particular challenges in displaying the actual label alongside a provider’s marketing materials.”</w:t>
      </w:r>
      <w:r>
        <w:rPr>
          <w:rStyle w:val="FootnoteReference"/>
        </w:rPr>
        <w:footnoteReference w:id="76"/>
      </w:r>
      <w:r w:rsidRPr="00301716">
        <w:rPr>
          <w:snapToGrid/>
        </w:rPr>
        <w:t xml:space="preserve">  The record here, however, provides a more specific and documented account of the operational challenges involved in meeting the display requirement.</w:t>
      </w:r>
      <w:r>
        <w:rPr>
          <w:rStyle w:val="FootnoteReference"/>
        </w:rPr>
        <w:footnoteReference w:id="77"/>
      </w:r>
      <w:r w:rsidRPr="00301716">
        <w:rPr>
          <w:snapToGrid/>
        </w:rPr>
        <w:t xml:space="preserve">  </w:t>
      </w:r>
    </w:p>
    <w:p w:rsidR="00725C86" w:rsidRPr="00301716" w:rsidP="00570899" w14:paraId="7E0B0228" w14:textId="77777777">
      <w:pPr>
        <w:pStyle w:val="ParaNum"/>
        <w:widowControl/>
        <w:rPr>
          <w:snapToGrid/>
        </w:rPr>
      </w:pPr>
      <w:r w:rsidRPr="002545DB">
        <w:t xml:space="preserve">We find that these documented operational challenges support modifying the full label display requirement to allow the use of an icon or link, provided that any icon or link connect directly to the customer’s specific plan label and appear in close proximity to the associated advertised plan.  </w:t>
      </w:r>
      <w:r w:rsidRPr="00301716">
        <w:rPr>
          <w:snapToGrid/>
        </w:rPr>
        <w:t>When a provider places an icon or link next to the advertised plan and that icon or link connects directly to that plan’s label, the consumer is a mere single click away from the label, and need not re-enter the address or engage in a time-consuming search for information relevant to comparison shopping, as some comments suggest.</w:t>
      </w:r>
      <w:r>
        <w:rPr>
          <w:rStyle w:val="FootnoteReference"/>
        </w:rPr>
        <w:footnoteReference w:id="78"/>
      </w:r>
      <w:r w:rsidRPr="00301716">
        <w:rPr>
          <w:snapToGrid/>
        </w:rPr>
        <w:t xml:space="preserve">  Our approach strikes an appropriate balance between operational flexibility and consumer access.</w:t>
      </w:r>
    </w:p>
    <w:p w:rsidR="00725C86" w:rsidRPr="00301716" w:rsidP="00725C86" w14:paraId="075EB358" w14:textId="77777777">
      <w:pPr>
        <w:pStyle w:val="ParaNum"/>
        <w:rPr>
          <w:snapToGrid/>
        </w:rPr>
      </w:pPr>
      <w:r w:rsidRPr="00301716">
        <w:rPr>
          <w:snapToGrid/>
        </w:rPr>
        <w:t xml:space="preserve">To ensure consumers can easily compare plans at point-of-sale, links must connect directly to the label for the advertised plan or to a labels page on which the specific plan is immediately identifiable and accessible without additional navigation, address entry, or search.  This requirement addresses concerns raised by commenters about immediacy, minimum-click access, and visibility of labels, which continue to guide our approach to point-of-sale display. </w:t>
      </w:r>
      <w:r>
        <w:rPr>
          <w:snapToGrid/>
        </w:rPr>
        <w:t xml:space="preserve"> </w:t>
      </w:r>
      <w:r w:rsidRPr="003D3A22">
        <w:rPr>
          <w:snapToGrid/>
        </w:rPr>
        <w:t>Providers using a link or icon in lieu of the full label must clearly identify it as leading to the label so that consumers understand what the link or icon represents and are not left to guess whether it leads to label information.</w:t>
      </w:r>
      <w:r>
        <w:rPr>
          <w:rStyle w:val="FootnoteReference"/>
          <w:snapToGrid/>
        </w:rPr>
        <w:footnoteReference w:id="79"/>
      </w:r>
    </w:p>
    <w:p w:rsidR="00725C86" w:rsidRPr="00301716" w:rsidP="00725C86" w14:paraId="5712DF5B" w14:textId="77777777">
      <w:pPr>
        <w:pStyle w:val="Heading3"/>
        <w:rPr>
          <w:snapToGrid/>
        </w:rPr>
      </w:pPr>
      <w:bookmarkStart w:id="64" w:name="_Toc230014200"/>
      <w:bookmarkStart w:id="65" w:name="_Toc230014292"/>
      <w:bookmarkStart w:id="66" w:name="_Toc231300303"/>
      <w:bookmarkStart w:id="67" w:name="_Toc231985422"/>
      <w:bookmarkStart w:id="68" w:name="_Toc233617888"/>
      <w:bookmarkStart w:id="69" w:name="_Toc233618222"/>
      <w:bookmarkStart w:id="70" w:name="_Toc235613378"/>
      <w:r w:rsidRPr="00301716">
        <w:rPr>
          <w:snapToGrid/>
        </w:rPr>
        <w:t>Multilingual Requirement</w:t>
      </w:r>
      <w:bookmarkEnd w:id="64"/>
      <w:bookmarkEnd w:id="65"/>
      <w:bookmarkEnd w:id="66"/>
      <w:bookmarkEnd w:id="67"/>
      <w:bookmarkEnd w:id="68"/>
      <w:bookmarkEnd w:id="69"/>
      <w:bookmarkEnd w:id="70"/>
      <w:r w:rsidRPr="00301716">
        <w:rPr>
          <w:snapToGrid/>
        </w:rPr>
        <w:t xml:space="preserve"> </w:t>
      </w:r>
    </w:p>
    <w:p w:rsidR="00725C86" w:rsidRPr="00301716" w:rsidP="00725C86" w14:paraId="0A0F7C3B" w14:textId="77777777">
      <w:pPr>
        <w:pStyle w:val="ParaNum"/>
        <w:rPr>
          <w:snapToGrid/>
        </w:rPr>
      </w:pPr>
      <w:r w:rsidRPr="00301716">
        <w:rPr>
          <w:snapToGrid/>
        </w:rPr>
        <w:t>We retain the requirement that providers display the label in English and any other languages in which the provider markets its services in the United States and its territories.  Although the Commission sought comment on whether to remove this requirement, we agree with CTIA and other commenters supporting retaining the requirement</w:t>
      </w:r>
      <w:r>
        <w:rPr>
          <w:rStyle w:val="FootnoteReference"/>
        </w:rPr>
        <w:footnoteReference w:id="80"/>
      </w:r>
      <w:r w:rsidRPr="00301716">
        <w:rPr>
          <w:snapToGrid/>
        </w:rPr>
        <w:t xml:space="preserve"> and find it is a commonsense way of ensuring the label is a useful tool for consumers.</w:t>
      </w:r>
      <w:r>
        <w:rPr>
          <w:rStyle w:val="FootnoteReference"/>
        </w:rPr>
        <w:footnoteReference w:id="81"/>
      </w:r>
      <w:r w:rsidRPr="00301716">
        <w:rPr>
          <w:snapToGrid/>
        </w:rPr>
        <w:t xml:space="preserve"> </w:t>
      </w:r>
    </w:p>
    <w:p w:rsidR="00725C86" w:rsidRPr="00301716" w:rsidP="00725C86" w14:paraId="0F1D9291" w14:textId="77777777">
      <w:pPr>
        <w:pStyle w:val="ParaNum"/>
        <w:rPr>
          <w:snapToGrid/>
        </w:rPr>
      </w:pPr>
      <w:r w:rsidRPr="00301716">
        <w:rPr>
          <w:snapToGrid/>
        </w:rPr>
        <w:t>We find insufficient the arguments of two commenters urging us to eliminate this requirement.</w:t>
      </w:r>
      <w:r>
        <w:rPr>
          <w:rStyle w:val="FootnoteReference"/>
        </w:rPr>
        <w:footnoteReference w:id="82"/>
      </w:r>
      <w:r w:rsidRPr="00301716">
        <w:rPr>
          <w:snapToGrid/>
        </w:rPr>
        <w:t xml:space="preserve">  We see no cost data or other evidence to indicate that retaining the requirement will deter providers from marketing in languages other than English.</w:t>
      </w:r>
      <w:r>
        <w:rPr>
          <w:rStyle w:val="FootnoteReference"/>
        </w:rPr>
        <w:footnoteReference w:id="83"/>
      </w:r>
      <w:r w:rsidRPr="00301716">
        <w:rPr>
          <w:snapToGrid/>
        </w:rPr>
        <w:t xml:space="preserve">  In the absence of such evidence, it is reasonable to infer that a provider will not incur a substantial incremental cost in translating the label to a language in which the provider is already conducting marketing, and the consumer benefit is concrete and immediate.  If a provider has affirmatively sought out and recruited customers in their native language, investing in the research, outreach, and translation resources that multilingual marketing entails, the record offers no persuasive evidence that translating a standardized label into that same language would impose an unreasonable burden.  As CTIA acknowledges, the current requirement reflects sound policy precisely because providers that market in a given language already possess the translation resources necessary to produce the label in that language.</w:t>
      </w:r>
      <w:r>
        <w:rPr>
          <w:rStyle w:val="FootnoteReference"/>
        </w:rPr>
        <w:footnoteReference w:id="84"/>
      </w:r>
      <w:r w:rsidRPr="00301716">
        <w:rPr>
          <w:snapToGrid/>
        </w:rPr>
        <w:t xml:space="preserve">  </w:t>
      </w:r>
    </w:p>
    <w:p w:rsidR="00725C86" w:rsidRPr="00301716" w:rsidP="00725C86" w14:paraId="7C8C81D0" w14:textId="77777777">
      <w:pPr>
        <w:pStyle w:val="Heading2"/>
        <w:rPr>
          <w:snapToGrid/>
        </w:rPr>
      </w:pPr>
      <w:bookmarkStart w:id="71" w:name="_Toc230014201"/>
      <w:bookmarkStart w:id="72" w:name="_Toc230014293"/>
      <w:bookmarkStart w:id="73" w:name="_Toc231300304"/>
      <w:bookmarkStart w:id="74" w:name="_Toc231985423"/>
      <w:bookmarkStart w:id="75" w:name="_Toc233617889"/>
      <w:bookmarkStart w:id="76" w:name="_Toc233618223"/>
      <w:bookmarkStart w:id="77" w:name="_Toc235613379"/>
      <w:r w:rsidRPr="00301716">
        <w:rPr>
          <w:snapToGrid/>
        </w:rPr>
        <w:t>Eliminating Burdensome Reporting and Recordkeeping Requirements</w:t>
      </w:r>
      <w:bookmarkEnd w:id="71"/>
      <w:bookmarkEnd w:id="72"/>
      <w:bookmarkEnd w:id="73"/>
      <w:bookmarkEnd w:id="74"/>
      <w:bookmarkEnd w:id="75"/>
      <w:bookmarkEnd w:id="76"/>
      <w:bookmarkEnd w:id="77"/>
    </w:p>
    <w:p w:rsidR="00725C86" w:rsidRPr="00301716" w:rsidP="00725C86" w14:paraId="355D1128" w14:textId="77777777">
      <w:pPr>
        <w:pStyle w:val="Heading3"/>
        <w:rPr>
          <w:snapToGrid/>
        </w:rPr>
      </w:pPr>
      <w:bookmarkStart w:id="78" w:name="_Toc230014202"/>
      <w:bookmarkStart w:id="79" w:name="_Toc230014294"/>
      <w:bookmarkStart w:id="80" w:name="_Toc231300305"/>
      <w:bookmarkStart w:id="81" w:name="_Toc231985424"/>
      <w:bookmarkStart w:id="82" w:name="_Toc233617890"/>
      <w:bookmarkStart w:id="83" w:name="_Toc233618224"/>
      <w:bookmarkStart w:id="84" w:name="_Toc235613380"/>
      <w:r w:rsidRPr="00301716">
        <w:rPr>
          <w:snapToGrid/>
        </w:rPr>
        <w:t>Machine-Readability and Data File Requirements</w:t>
      </w:r>
      <w:bookmarkEnd w:id="78"/>
      <w:bookmarkEnd w:id="79"/>
      <w:bookmarkEnd w:id="80"/>
      <w:bookmarkEnd w:id="81"/>
      <w:bookmarkEnd w:id="82"/>
      <w:bookmarkEnd w:id="83"/>
      <w:bookmarkEnd w:id="84"/>
    </w:p>
    <w:p w:rsidR="00725C86" w:rsidRPr="00301716" w:rsidP="00725C86" w14:paraId="4E680A77" w14:textId="77777777">
      <w:pPr>
        <w:pStyle w:val="ParaNum"/>
        <w:rPr>
          <w:snapToGrid/>
        </w:rPr>
      </w:pPr>
      <w:r w:rsidRPr="00301716">
        <w:rPr>
          <w:snapToGrid/>
        </w:rPr>
        <w:t>We eliminate the requirement that providers make the contents of labels available separately in a machine readable spreadsheet file format hosted at a dedicated URL,</w:t>
      </w:r>
      <w:r>
        <w:rPr>
          <w:rStyle w:val="FootnoteReference"/>
        </w:rPr>
        <w:footnoteReference w:id="85"/>
      </w:r>
      <w:r w:rsidRPr="00301716">
        <w:rPr>
          <w:snapToGrid/>
        </w:rPr>
        <w:t xml:space="preserve"> while emphasizing that providers remain obligated to make labels accessible to consumers with disabilities, including ensuring such information is compatible with screen readers and other assistive technologies used by people with disabilities.</w:t>
      </w:r>
      <w:r>
        <w:rPr>
          <w:rStyle w:val="FootnoteReference"/>
        </w:rPr>
        <w:footnoteReference w:id="86"/>
      </w:r>
      <w:r w:rsidRPr="00301716">
        <w:rPr>
          <w:snapToGrid/>
        </w:rPr>
        <w:t xml:space="preserve">  We agree with commenters arguing that this action aligns the label requirements more closely with the Infrastructure Act’s purpose of disclosure to consumers, not third parties, and alleviates a significant burden on providers.</w:t>
      </w:r>
      <w:r>
        <w:rPr>
          <w:rStyle w:val="FootnoteReference"/>
        </w:rPr>
        <w:footnoteReference w:id="87"/>
      </w:r>
      <w:r w:rsidRPr="00301716">
        <w:rPr>
          <w:snapToGrid/>
        </w:rPr>
        <w:t xml:space="preserve">  The Infrastructure Act directs the Commission to require “the display of broadband consumer labels” that provide consumers with information about broadband plans.</w:t>
      </w:r>
      <w:r>
        <w:rPr>
          <w:rStyle w:val="FootnoteReference"/>
        </w:rPr>
        <w:footnoteReference w:id="88"/>
      </w:r>
      <w:r w:rsidRPr="00301716">
        <w:rPr>
          <w:snapToGrid/>
        </w:rPr>
        <w:t xml:space="preserve">  This requirement was modeled on nutrition labels, which are focused on point-of-sale disclosure to consumers.</w:t>
      </w:r>
      <w:r>
        <w:rPr>
          <w:rStyle w:val="FootnoteReference"/>
        </w:rPr>
        <w:footnoteReference w:id="89"/>
      </w:r>
      <w:r w:rsidRPr="00301716">
        <w:rPr>
          <w:snapToGrid/>
        </w:rPr>
        <w:t xml:space="preserve">  </w:t>
      </w:r>
    </w:p>
    <w:p w:rsidR="00725C86" w:rsidRPr="00301716" w:rsidP="00725C86" w14:paraId="08665665" w14:textId="77777777">
      <w:pPr>
        <w:pStyle w:val="ParaNum"/>
        <w:rPr>
          <w:snapToGrid/>
        </w:rPr>
      </w:pPr>
      <w:r w:rsidRPr="00301716">
        <w:rPr>
          <w:snapToGrid/>
        </w:rPr>
        <w:t>In requiring machine readability, the Commission appeared to believe third-party access advances the statutory objective by facilitating the creation of comparison-shopping tools for consumers, as well as enabling more efficient data collection and compliance monitoring by the Commission, and promoting marketplace research.</w:t>
      </w:r>
      <w:r>
        <w:rPr>
          <w:rStyle w:val="FootnoteReference"/>
        </w:rPr>
        <w:footnoteReference w:id="90"/>
      </w:r>
      <w:r w:rsidRPr="00301716">
        <w:rPr>
          <w:snapToGrid/>
        </w:rPr>
        <w:t xml:space="preserve">  However, the Infrastructure Act’s directive “to disclose to consumers </w:t>
      </w:r>
      <w:r w:rsidRPr="00301716">
        <w:rPr>
          <w:snapToGrid/>
        </w:rPr>
        <w:t>information” and the prior Commission-approved label referenced in the Act do not appear to contemplate third-party data aggregation and research.</w:t>
      </w:r>
      <w:r>
        <w:rPr>
          <w:rStyle w:val="FootnoteReference"/>
        </w:rPr>
        <w:footnoteReference w:id="91"/>
      </w:r>
      <w:r w:rsidRPr="00301716">
        <w:rPr>
          <w:snapToGrid/>
        </w:rPr>
        <w:t xml:space="preserve">  Section 60504 only directs us to require the display of labels to </w:t>
      </w:r>
      <w:r w:rsidRPr="00301716">
        <w:rPr>
          <w:i/>
          <w:iCs/>
          <w:snapToGrid/>
        </w:rPr>
        <w:t>disclose information</w:t>
      </w:r>
      <w:r w:rsidRPr="00301716">
        <w:rPr>
          <w:snapToGrid/>
        </w:rPr>
        <w:t xml:space="preserve"> about broadband plans </w:t>
      </w:r>
      <w:r w:rsidRPr="00301716">
        <w:rPr>
          <w:i/>
          <w:iCs/>
          <w:snapToGrid/>
        </w:rPr>
        <w:t>to consumers</w:t>
      </w:r>
      <w:r w:rsidRPr="00301716">
        <w:rPr>
          <w:snapToGrid/>
        </w:rPr>
        <w:t>.  Nor does the Commission’s 2016 public notice—cited in section 60504 of the Infrastructure Act as a description of what we are directed to require—indicate that the labels described in that public notice must be in machine-readable data file formats for processing by computers.  To the contrary, the public notice found that the format of the approved labels “displays [the key factors consumers need to know] in plain language that is easy to understand.”</w:t>
      </w:r>
      <w:r>
        <w:rPr>
          <w:rStyle w:val="FootnoteReference"/>
        </w:rPr>
        <w:footnoteReference w:id="92"/>
      </w:r>
      <w:r w:rsidRPr="00301716">
        <w:rPr>
          <w:snapToGrid/>
        </w:rPr>
        <w:t xml:space="preserve">  For these reasons, we reach a different conclusion than the Commission did in 2022.</w:t>
      </w:r>
      <w:r>
        <w:rPr>
          <w:rStyle w:val="FootnoteReference"/>
        </w:rPr>
        <w:footnoteReference w:id="93"/>
      </w:r>
    </w:p>
    <w:p w:rsidR="00725C86" w:rsidRPr="00301716" w:rsidP="00725C86" w14:paraId="590D0807" w14:textId="77777777">
      <w:pPr>
        <w:pStyle w:val="ParaNum"/>
        <w:rPr>
          <w:snapToGrid/>
        </w:rPr>
      </w:pPr>
      <w:r w:rsidRPr="00301716">
        <w:rPr>
          <w:snapToGrid/>
        </w:rPr>
        <w:t>We also conclude that the substantial compliance burdens imposed by this requirement are not justified by the minimal, if any, likely benefits for consumers.</w:t>
      </w:r>
      <w:r>
        <w:rPr>
          <w:rStyle w:val="FootnoteReference"/>
        </w:rPr>
        <w:footnoteReference w:id="94"/>
      </w:r>
      <w:r w:rsidRPr="00301716">
        <w:rPr>
          <w:snapToGrid/>
        </w:rPr>
        <w:t xml:space="preserve">  The current record offers a fuller description of the relevant compliance burdens than was available to the Commission in 2022.</w:t>
      </w:r>
      <w:r>
        <w:rPr>
          <w:rStyle w:val="FootnoteReference"/>
        </w:rPr>
        <w:footnoteReference w:id="95"/>
      </w:r>
      <w:r w:rsidRPr="00301716">
        <w:rPr>
          <w:snapToGrid/>
        </w:rPr>
        <w:t xml:space="preserve">  We also find insufficient evidence that the requirement is needed to facilitate transparency and consumer decision-making, as some commenters argue.</w:t>
      </w:r>
      <w:r>
        <w:rPr>
          <w:rStyle w:val="FootnoteReference"/>
        </w:rPr>
        <w:footnoteReference w:id="96"/>
      </w:r>
      <w:r w:rsidRPr="00301716">
        <w:rPr>
          <w:snapToGrid/>
        </w:rPr>
        <w:t xml:space="preserve">  The statute and our consumer-focused requirements give consumers the transparency necessary to make good purchase decisions.  And there is no record evidence that any third parties have used machine-readable label content to develop pro-consumer tools.</w:t>
      </w:r>
      <w:r>
        <w:rPr>
          <w:rStyle w:val="FootnoteReference"/>
        </w:rPr>
        <w:footnoteReference w:id="97"/>
      </w:r>
      <w:r w:rsidRPr="00301716">
        <w:rPr>
          <w:snapToGrid/>
        </w:rPr>
        <w:t xml:space="preserve">  </w:t>
      </w:r>
    </w:p>
    <w:p w:rsidR="00725C86" w:rsidRPr="00301716" w:rsidP="00725C86" w14:paraId="63F9DC3E" w14:textId="77777777">
      <w:pPr>
        <w:pStyle w:val="ParaNum"/>
        <w:rPr>
          <w:snapToGrid/>
        </w:rPr>
      </w:pPr>
      <w:r w:rsidRPr="00301716">
        <w:rPr>
          <w:snapToGrid/>
        </w:rPr>
        <w:t>Some commenters raise concern that, without machine readability, labels will not be easily accessible to consumers with disabilities.</w:t>
      </w:r>
      <w:r>
        <w:rPr>
          <w:rStyle w:val="FootnoteReference"/>
        </w:rPr>
        <w:footnoteReference w:id="98"/>
      </w:r>
      <w:r w:rsidRPr="00301716">
        <w:rPr>
          <w:snapToGrid/>
        </w:rPr>
        <w:t xml:space="preserve">  We emphasize that our action in this Order does not affect providers’ obligation to make labels accessible to consumers with disabilities, including ensuring such information is compatible with screen readers and other assistive technologies used by people with disabilities.</w:t>
      </w:r>
      <w:r>
        <w:rPr>
          <w:rStyle w:val="FootnoteReference"/>
        </w:rPr>
        <w:footnoteReference w:id="99"/>
      </w:r>
      <w:r w:rsidRPr="00301716">
        <w:rPr>
          <w:snapToGrid/>
        </w:rPr>
        <w:t xml:space="preserve">  The rules’ requirement that labels be easily accessible to consumers with disabilities is independent of the machine-readability provision deleted by this Order.</w:t>
      </w:r>
      <w:r>
        <w:rPr>
          <w:rStyle w:val="FootnoteReference"/>
        </w:rPr>
        <w:footnoteReference w:id="100"/>
      </w:r>
      <w:r w:rsidRPr="00301716">
        <w:rPr>
          <w:snapToGrid/>
        </w:rPr>
        <w:t xml:space="preserve">  We remind broadband </w:t>
      </w:r>
      <w:r w:rsidRPr="00301716">
        <w:rPr>
          <w:snapToGrid/>
        </w:rPr>
        <w:t>providers of the guidance on accessibility offered by the Web Content Accessibility Guidelines.</w:t>
      </w:r>
      <w:r>
        <w:rPr>
          <w:rStyle w:val="FootnoteReference"/>
        </w:rPr>
        <w:footnoteReference w:id="101"/>
      </w:r>
      <w:r w:rsidRPr="00301716">
        <w:rPr>
          <w:snapToGrid/>
        </w:rPr>
        <w:t xml:space="preserve">  While machine readability in some form may be involved in ensuring that labels are easily accessible to people with vision disabilities (e.g., by being compatible with screen readers, among other steps), the more specific machine-readability requirement of section 8.1(a)(3)—that label content be provided separately in a spreadsheet file format via a dedicated uniform resource locator (URL) that contains all of a provider’s labels—was not adopted to advance accessibility.</w:t>
      </w:r>
      <w:r>
        <w:rPr>
          <w:rStyle w:val="FootnoteReference"/>
        </w:rPr>
        <w:footnoteReference w:id="102"/>
      </w:r>
      <w:r w:rsidRPr="00301716">
        <w:rPr>
          <w:snapToGrid/>
        </w:rPr>
        <w:t xml:space="preserve"> </w:t>
      </w:r>
    </w:p>
    <w:p w:rsidR="00725C86" w:rsidRPr="00301716" w:rsidP="00725C86" w14:paraId="03831F5A" w14:textId="77777777">
      <w:pPr>
        <w:pStyle w:val="Heading3"/>
        <w:rPr>
          <w:snapToGrid/>
        </w:rPr>
      </w:pPr>
      <w:bookmarkStart w:id="85" w:name="_Toc230014203"/>
      <w:bookmarkStart w:id="86" w:name="_Toc230014295"/>
      <w:bookmarkStart w:id="87" w:name="_Toc231300306"/>
      <w:bookmarkStart w:id="88" w:name="_Toc231985425"/>
      <w:bookmarkStart w:id="89" w:name="_Toc233617891"/>
      <w:bookmarkStart w:id="90" w:name="_Toc233618225"/>
      <w:bookmarkStart w:id="91" w:name="_Toc235613381"/>
      <w:r w:rsidRPr="00301716">
        <w:rPr>
          <w:snapToGrid/>
        </w:rPr>
        <w:t>Archiving</w:t>
      </w:r>
      <w:bookmarkEnd w:id="85"/>
      <w:bookmarkEnd w:id="86"/>
      <w:bookmarkEnd w:id="87"/>
      <w:bookmarkEnd w:id="88"/>
      <w:bookmarkEnd w:id="89"/>
      <w:bookmarkEnd w:id="90"/>
      <w:bookmarkEnd w:id="91"/>
    </w:p>
    <w:p w:rsidR="00725C86" w:rsidRPr="00301716" w:rsidP="00725C86" w14:paraId="58567797" w14:textId="77777777">
      <w:pPr>
        <w:pStyle w:val="ParaNum"/>
        <w:rPr>
          <w:snapToGrid/>
        </w:rPr>
      </w:pPr>
      <w:r w:rsidRPr="00301716">
        <w:rPr>
          <w:snapToGrid/>
        </w:rPr>
        <w:t>We eliminate the requirement that providers archive all labels for at least two years after a service plan is no longer available to new customers and the provider has removed the plan’s label from its website or alternate sales channels.</w:t>
      </w:r>
      <w:r>
        <w:rPr>
          <w:rStyle w:val="FootnoteReference"/>
        </w:rPr>
        <w:footnoteReference w:id="103"/>
      </w:r>
      <w:r w:rsidRPr="00301716">
        <w:rPr>
          <w:snapToGrid/>
        </w:rPr>
        <w:t xml:space="preserve">  In adopting the archiving requirement in 2022, the Commission assumed that archiving would not impose a significant incremental burden on providers.</w:t>
      </w:r>
      <w:r>
        <w:rPr>
          <w:rStyle w:val="FootnoteReference"/>
        </w:rPr>
        <w:footnoteReference w:id="104"/>
      </w:r>
      <w:r w:rsidRPr="00301716">
        <w:rPr>
          <w:snapToGrid/>
        </w:rPr>
        <w:t xml:space="preserve">  However, the current record indicates there are substantial compliance costs, while supporters do not point to any demonstrated consumer benefit.</w:t>
      </w:r>
      <w:r>
        <w:rPr>
          <w:rStyle w:val="FootnoteReference"/>
        </w:rPr>
        <w:footnoteReference w:id="105"/>
      </w:r>
      <w:r w:rsidRPr="00301716">
        <w:rPr>
          <w:snapToGrid/>
        </w:rPr>
        <w:t xml:space="preserve">  According to providers, archiving imposes ongoing costs that fall hardest on small providers,</w:t>
      </w:r>
      <w:r>
        <w:rPr>
          <w:rStyle w:val="FootnoteReference"/>
        </w:rPr>
        <w:footnoteReference w:id="106"/>
      </w:r>
      <w:r w:rsidRPr="00301716">
        <w:rPr>
          <w:snapToGrid/>
        </w:rPr>
        <w:t xml:space="preserve"> diverting time and resources from core operations.</w:t>
      </w:r>
      <w:r>
        <w:rPr>
          <w:rStyle w:val="FootnoteReference"/>
        </w:rPr>
        <w:footnoteReference w:id="107"/>
      </w:r>
      <w:r w:rsidRPr="00301716">
        <w:rPr>
          <w:snapToGrid/>
        </w:rPr>
        <w:t xml:space="preserve">  NTCA explains, for example, that the enforcement rationale for the rule is “based on speculative future utility in complaint proceedings.”</w:t>
      </w:r>
      <w:r>
        <w:rPr>
          <w:rStyle w:val="FootnoteReference"/>
        </w:rPr>
        <w:footnoteReference w:id="108"/>
      </w:r>
      <w:r w:rsidRPr="00301716">
        <w:rPr>
          <w:snapToGrid/>
        </w:rPr>
        <w:t xml:space="preserve">  CTIA and ICLE further contend that requiring archiving of labels for service plans that are no longer offered to new purchasers does not aid comparison shopping for currently available services.</w:t>
      </w:r>
      <w:r>
        <w:rPr>
          <w:rStyle w:val="FootnoteReference"/>
        </w:rPr>
        <w:footnoteReference w:id="109"/>
      </w:r>
      <w:r w:rsidRPr="00301716">
        <w:rPr>
          <w:snapToGrid/>
        </w:rPr>
        <w:t xml:space="preserve">  </w:t>
      </w:r>
    </w:p>
    <w:p w:rsidR="00725C86" w:rsidRPr="00301716" w:rsidP="00570899" w14:paraId="0836C908" w14:textId="77777777">
      <w:pPr>
        <w:pStyle w:val="ParaNum"/>
        <w:widowControl/>
        <w:rPr>
          <w:snapToGrid/>
        </w:rPr>
      </w:pPr>
      <w:r w:rsidRPr="00301716">
        <w:rPr>
          <w:snapToGrid/>
        </w:rPr>
        <w:t>We emphasize that deleting this provision does not affect the Commission’s transparency rule, which requires a broadband provider to “publicly disclose accurate information regarding the network management practices, performance characteristics, and commercial terms of its broadband internet access services sufficient to enable consumers to make informed choices regarding the purchase and use of such services.”</w:t>
      </w:r>
      <w:r>
        <w:rPr>
          <w:rStyle w:val="FootnoteReference"/>
        </w:rPr>
        <w:footnoteReference w:id="110"/>
      </w:r>
      <w:r w:rsidRPr="00301716">
        <w:rPr>
          <w:snapToGrid/>
        </w:rPr>
        <w:t xml:space="preserve">  We believe the transparency rule and the requirement that customers maintain access to their current plan label through their account portal—as well as other sources of information such as the customer’s service agreement, monthly bills, and records of any plan changes during a customer’s subscription</w:t>
      </w:r>
      <w:r>
        <w:rPr>
          <w:rStyle w:val="FootnoteReference"/>
        </w:rPr>
        <w:footnoteReference w:id="111"/>
      </w:r>
      <w:r w:rsidRPr="00301716">
        <w:rPr>
          <w:snapToGrid/>
        </w:rPr>
        <w:t xml:space="preserve">—sufficiently address concerns that, absent archiving, subscribers </w:t>
      </w:r>
      <w:r w:rsidRPr="00301716">
        <w:rPr>
          <w:snapToGrid/>
        </w:rPr>
        <w:t>whose service plans are no longer offered to new customers would be deprived of access to key information about their plans.</w:t>
      </w:r>
      <w:r>
        <w:rPr>
          <w:rStyle w:val="FootnoteReference"/>
        </w:rPr>
        <w:footnoteReference w:id="112"/>
      </w:r>
      <w:r w:rsidRPr="00301716">
        <w:rPr>
          <w:snapToGrid/>
        </w:rPr>
        <w:t xml:space="preserve">  </w:t>
      </w:r>
    </w:p>
    <w:p w:rsidR="00725C86" w:rsidRPr="00301716" w:rsidP="00725C86" w14:paraId="38CADDF8" w14:textId="77777777">
      <w:pPr>
        <w:pStyle w:val="ParaNum"/>
        <w:rPr>
          <w:snapToGrid/>
        </w:rPr>
      </w:pPr>
      <w:r w:rsidRPr="00301716">
        <w:rPr>
          <w:snapToGrid/>
        </w:rPr>
        <w:t xml:space="preserve">The </w:t>
      </w:r>
      <w:r w:rsidRPr="00301716">
        <w:rPr>
          <w:i/>
          <w:snapToGrid/>
        </w:rPr>
        <w:t>Broadband Label Order</w:t>
      </w:r>
      <w:r w:rsidRPr="00301716">
        <w:rPr>
          <w:snapToGrid/>
        </w:rPr>
        <w:t xml:space="preserve"> explained that archived labels would help the Commission and state authorities investigate potential inaccuracies in labels, including in cases arising from consumer complaints.</w:t>
      </w:r>
      <w:r>
        <w:rPr>
          <w:rStyle w:val="FootnoteReference"/>
        </w:rPr>
        <w:footnoteReference w:id="113"/>
      </w:r>
      <w:r w:rsidRPr="00301716">
        <w:rPr>
          <w:snapToGrid/>
        </w:rPr>
        <w:t xml:space="preserve">  Yet it did not point to any provision of the Infrastructure Act, nor anything in the </w:t>
      </w:r>
      <w:r w:rsidRPr="00301716">
        <w:rPr>
          <w:i/>
          <w:iCs/>
          <w:snapToGrid/>
        </w:rPr>
        <w:t>2016 Broadband Label PN</w:t>
      </w:r>
      <w:r w:rsidRPr="00301716">
        <w:rPr>
          <w:snapToGrid/>
        </w:rPr>
        <w:t xml:space="preserve">, suggesting that an archiving requirement is needed to achieve the Congressional purpose, and we affirmatively conclude today that it is not needed.  Further, the </w:t>
      </w:r>
      <w:r w:rsidRPr="00301716">
        <w:rPr>
          <w:i/>
          <w:snapToGrid/>
        </w:rPr>
        <w:t>Broadband Label Order</w:t>
      </w:r>
      <w:r w:rsidRPr="00301716">
        <w:rPr>
          <w:snapToGrid/>
        </w:rPr>
        <w:t xml:space="preserve"> merely speculated that giving subscribers the ability to request archived labels would help them,</w:t>
      </w:r>
      <w:r>
        <w:rPr>
          <w:rStyle w:val="FootnoteReference"/>
        </w:rPr>
        <w:footnoteReference w:id="114"/>
      </w:r>
      <w:r w:rsidRPr="00301716">
        <w:rPr>
          <w:snapToGrid/>
        </w:rPr>
        <w:t xml:space="preserve"> without indicating why other customer records, including billing and service agreements, would not do the same at lower marginal cost. </w:t>
      </w:r>
    </w:p>
    <w:p w:rsidR="00725C86" w:rsidRPr="00301716" w:rsidP="00725C86" w14:paraId="59B2576C" w14:textId="77777777">
      <w:pPr>
        <w:pStyle w:val="ParaNum"/>
        <w:rPr>
          <w:snapToGrid/>
        </w:rPr>
      </w:pPr>
      <w:r w:rsidRPr="00301716">
        <w:rPr>
          <w:snapToGrid/>
        </w:rPr>
        <w:t>We disagree with commenters who say the archiving requirement is essential for enforcement.  We retain authority to obtain historical plan data through investigative demands when needed to evaluate potential noncompliance.</w:t>
      </w:r>
      <w:r>
        <w:rPr>
          <w:rStyle w:val="FootnoteReference"/>
        </w:rPr>
        <w:footnoteReference w:id="115"/>
      </w:r>
      <w:r w:rsidRPr="00301716">
        <w:rPr>
          <w:snapToGrid/>
        </w:rPr>
        <w:t xml:space="preserve">  Providers have other incentives to retain records of their marketing materials in light of federal and state bans on deceptive advertising.  And we disagree that archiving is essential for the customers themselves to check if they received the service they signed up for.  Service agreements, billing statements, and other records already provide much of the information relevant to resolving billing or service disputes.</w:t>
      </w:r>
      <w:r>
        <w:rPr>
          <w:rStyle w:val="FootnoteReference"/>
        </w:rPr>
        <w:footnoteReference w:id="116"/>
      </w:r>
      <w:r w:rsidRPr="00301716">
        <w:rPr>
          <w:snapToGrid/>
        </w:rPr>
        <w:t xml:space="preserve">  </w:t>
      </w:r>
    </w:p>
    <w:p w:rsidR="00725C86" w:rsidRPr="00301716" w:rsidP="00725C86" w14:paraId="29D0AC64" w14:textId="77777777">
      <w:pPr>
        <w:pStyle w:val="Heading2"/>
        <w:rPr>
          <w:snapToGrid/>
        </w:rPr>
      </w:pPr>
      <w:bookmarkStart w:id="92" w:name="_Toc230014204"/>
      <w:bookmarkStart w:id="93" w:name="_Toc230014296"/>
      <w:bookmarkStart w:id="94" w:name="_Toc231300307"/>
      <w:bookmarkStart w:id="95" w:name="_Toc231985426"/>
      <w:bookmarkStart w:id="96" w:name="_Toc233617892"/>
      <w:bookmarkStart w:id="97" w:name="_Toc233618226"/>
      <w:bookmarkStart w:id="98" w:name="_Toc235613382"/>
      <w:r w:rsidRPr="00301716">
        <w:rPr>
          <w:snapToGrid/>
        </w:rPr>
        <w:t>The Label Template</w:t>
      </w:r>
      <w:bookmarkEnd w:id="92"/>
      <w:bookmarkEnd w:id="93"/>
      <w:bookmarkEnd w:id="94"/>
      <w:bookmarkEnd w:id="95"/>
      <w:bookmarkEnd w:id="96"/>
      <w:bookmarkEnd w:id="97"/>
      <w:bookmarkEnd w:id="98"/>
    </w:p>
    <w:p w:rsidR="00725C86" w:rsidRPr="00301716" w:rsidP="00725C86" w14:paraId="45725038" w14:textId="77777777">
      <w:pPr>
        <w:pStyle w:val="Heading3"/>
        <w:rPr>
          <w:snapToGrid/>
        </w:rPr>
      </w:pPr>
      <w:bookmarkStart w:id="99" w:name="_Toc230014205"/>
      <w:bookmarkStart w:id="100" w:name="_Toc230014297"/>
      <w:bookmarkStart w:id="101" w:name="_Toc231300308"/>
      <w:bookmarkStart w:id="102" w:name="_Toc231985427"/>
      <w:bookmarkStart w:id="103" w:name="_Toc233617893"/>
      <w:bookmarkStart w:id="104" w:name="_Toc233618227"/>
      <w:bookmarkStart w:id="105" w:name="_Toc235613383"/>
      <w:r w:rsidRPr="00301716">
        <w:rPr>
          <w:snapToGrid/>
        </w:rPr>
        <w:t>Removing the Template from the CFR</w:t>
      </w:r>
      <w:bookmarkEnd w:id="99"/>
      <w:bookmarkEnd w:id="100"/>
      <w:bookmarkEnd w:id="101"/>
      <w:bookmarkEnd w:id="102"/>
      <w:bookmarkEnd w:id="103"/>
      <w:bookmarkEnd w:id="104"/>
      <w:bookmarkEnd w:id="105"/>
      <w:r w:rsidRPr="00301716">
        <w:rPr>
          <w:snapToGrid/>
        </w:rPr>
        <w:t xml:space="preserve"> </w:t>
      </w:r>
    </w:p>
    <w:p w:rsidR="00725C86" w:rsidRPr="00301716" w:rsidP="00725C86" w14:paraId="4D7C50A8" w14:textId="77777777">
      <w:pPr>
        <w:pStyle w:val="ParaNum"/>
        <w:rPr>
          <w:snapToGrid/>
        </w:rPr>
      </w:pPr>
      <w:r w:rsidRPr="00301716">
        <w:t xml:space="preserve">We adopt our proposal to remove the label template from the Code of Federal Regulations.  As we stated in the </w:t>
      </w:r>
      <w:r w:rsidRPr="00A3268C">
        <w:rPr>
          <w:i/>
          <w:iCs/>
        </w:rPr>
        <w:t>Second Further Notice</w:t>
      </w:r>
      <w:r w:rsidRPr="00301716">
        <w:t>, our approach will allow us to more easily update the visual layout and other formatting elements of the label.</w:t>
      </w:r>
      <w:r>
        <w:rPr>
          <w:rStyle w:val="FootnoteReference"/>
        </w:rPr>
        <w:footnoteReference w:id="117"/>
      </w:r>
      <w:r w:rsidRPr="00301716">
        <w:t xml:space="preserve">  No party objects to our proposal, and we agree with the Accessibility Organizations that we should make sure to maintain version control and that updates, including revision history, remain publicly accessible.</w:t>
      </w:r>
      <w:r>
        <w:rPr>
          <w:rStyle w:val="FootnoteReference"/>
        </w:rPr>
        <w:footnoteReference w:id="118"/>
      </w:r>
      <w:r w:rsidRPr="00301716">
        <w:t xml:space="preserve">  The template will be maintained at fcc.gov/</w:t>
      </w:r>
      <w:r w:rsidRPr="00301716">
        <w:t>broadbandlabels</w:t>
      </w:r>
      <w:r w:rsidRPr="00301716">
        <w:t xml:space="preserve">.  </w:t>
      </w:r>
      <w:r w:rsidRPr="006A3E9A">
        <w:t>We delegate to the Consumer and Governmental Affairs Bureau authority to make non-substantive changes to the visual layout and other formatting elements of the label.  The Bureau shall describe any such update in a Public Notice before an update takes effect.  This delegation does not authorize the Bureau to make substantive changes to the template’s content except as authorized through Commission action.</w:t>
      </w:r>
      <w:r>
        <w:rPr>
          <w:sz w:val="20"/>
          <w:vertAlign w:val="superscript"/>
        </w:rPr>
        <w:footnoteReference w:id="119"/>
      </w:r>
      <w:r>
        <w:t xml:space="preserve">  </w:t>
      </w:r>
      <w:r w:rsidRPr="00301716">
        <w:t>Providers’ underlying obligations remain governed by section 8.1 of</w:t>
      </w:r>
      <w:r w:rsidRPr="00301716">
        <w:rPr>
          <w:snapToGrid/>
        </w:rPr>
        <w:t xml:space="preserve"> the Commission’s rules.</w:t>
      </w:r>
    </w:p>
    <w:p w:rsidR="00725C86" w:rsidRPr="00301716" w:rsidP="00725C86" w14:paraId="352F0E7B" w14:textId="77777777">
      <w:pPr>
        <w:pStyle w:val="Heading3"/>
        <w:rPr>
          <w:snapToGrid/>
        </w:rPr>
      </w:pPr>
      <w:bookmarkStart w:id="106" w:name="_Toc231300309"/>
      <w:bookmarkStart w:id="107" w:name="_Toc231985428"/>
      <w:bookmarkStart w:id="108" w:name="_Toc233617894"/>
      <w:bookmarkStart w:id="109" w:name="_Toc233618228"/>
      <w:bookmarkStart w:id="110" w:name="_Toc235613384"/>
      <w:r w:rsidRPr="00301716">
        <w:rPr>
          <w:snapToGrid/>
        </w:rPr>
        <w:t>Updating the Template</w:t>
      </w:r>
      <w:bookmarkEnd w:id="106"/>
      <w:bookmarkEnd w:id="107"/>
      <w:bookmarkEnd w:id="108"/>
      <w:bookmarkEnd w:id="109"/>
      <w:bookmarkEnd w:id="110"/>
    </w:p>
    <w:p w:rsidR="00725C86" w:rsidRPr="00301716" w:rsidP="00570899" w14:paraId="694B492A" w14:textId="77777777">
      <w:pPr>
        <w:pStyle w:val="ParaNum"/>
        <w:widowControl/>
        <w:rPr>
          <w:snapToGrid/>
        </w:rPr>
      </w:pPr>
      <w:r w:rsidRPr="00301716">
        <w:rPr>
          <w:snapToGrid/>
        </w:rPr>
        <w:t>We adopt our proposal to replace the “fcc.gov/consumer” reference in the template</w:t>
      </w:r>
      <w:r>
        <w:rPr>
          <w:rStyle w:val="FootnoteReference"/>
        </w:rPr>
        <w:footnoteReference w:id="120"/>
      </w:r>
      <w:r w:rsidRPr="00301716">
        <w:rPr>
          <w:snapToGrid/>
        </w:rPr>
        <w:t xml:space="preserve"> with “fcc.gov/</w:t>
      </w:r>
      <w:r w:rsidRPr="00301716">
        <w:rPr>
          <w:snapToGrid/>
        </w:rPr>
        <w:t>broadbandlabels</w:t>
      </w:r>
      <w:r w:rsidRPr="00301716">
        <w:rPr>
          <w:snapToGrid/>
        </w:rPr>
        <w:t>.”</w:t>
      </w:r>
      <w:r>
        <w:rPr>
          <w:rStyle w:val="FootnoteReference"/>
        </w:rPr>
        <w:footnoteReference w:id="121"/>
      </w:r>
      <w:r w:rsidRPr="00301716">
        <w:rPr>
          <w:snapToGrid/>
        </w:rPr>
        <w:t xml:space="preserve">  This change, which is unopposed, is necessary to enable consumers to access directly the broadband label information maintained by the Commission.  </w:t>
      </w:r>
    </w:p>
    <w:p w:rsidR="00725C86" w:rsidRPr="00301716" w:rsidP="00725C86" w14:paraId="0842D137" w14:textId="77777777">
      <w:pPr>
        <w:pStyle w:val="Heading2"/>
        <w:rPr>
          <w:snapToGrid/>
        </w:rPr>
      </w:pPr>
      <w:bookmarkStart w:id="111" w:name="_Toc230014206"/>
      <w:bookmarkStart w:id="112" w:name="_Toc230014298"/>
      <w:bookmarkStart w:id="113" w:name="_Toc231300310"/>
      <w:bookmarkStart w:id="114" w:name="_Toc231985429"/>
      <w:bookmarkStart w:id="115" w:name="_Toc233617895"/>
      <w:bookmarkStart w:id="116" w:name="_Toc233618229"/>
      <w:bookmarkStart w:id="117" w:name="_Toc235613385"/>
      <w:r w:rsidRPr="00301716">
        <w:rPr>
          <w:snapToGrid/>
        </w:rPr>
        <w:t>Eliminating Outdated Rules</w:t>
      </w:r>
      <w:bookmarkEnd w:id="111"/>
      <w:bookmarkEnd w:id="112"/>
      <w:bookmarkEnd w:id="113"/>
      <w:bookmarkEnd w:id="114"/>
      <w:bookmarkEnd w:id="115"/>
      <w:bookmarkEnd w:id="116"/>
      <w:bookmarkEnd w:id="117"/>
    </w:p>
    <w:p w:rsidR="00725C86" w:rsidRPr="00301716" w:rsidP="00725C86" w14:paraId="0660CF40" w14:textId="77777777">
      <w:pPr>
        <w:pStyle w:val="ParaNum"/>
        <w:rPr>
          <w:snapToGrid/>
        </w:rPr>
      </w:pPr>
      <w:r w:rsidRPr="00301716">
        <w:rPr>
          <w:rFonts w:eastAsia="Aptos"/>
          <w:snapToGrid/>
        </w:rPr>
        <w:t>We adopt our proposal to remove section 8.1(a)(7) from our rules.</w:t>
      </w:r>
      <w:r>
        <w:rPr>
          <w:rStyle w:val="FootnoteReference"/>
          <w:rFonts w:eastAsia="Aptos"/>
        </w:rPr>
        <w:footnoteReference w:id="122"/>
      </w:r>
      <w:r w:rsidRPr="00301716">
        <w:rPr>
          <w:rFonts w:eastAsia="Aptos"/>
          <w:snapToGrid/>
        </w:rPr>
        <w:t xml:space="preserve">  That provision set forth implementation deadlines for the </w:t>
      </w:r>
      <w:r w:rsidRPr="00301716">
        <w:rPr>
          <w:rFonts w:eastAsia="Aptos"/>
          <w:i/>
          <w:snapToGrid/>
        </w:rPr>
        <w:t>Broadband Label Order</w:t>
      </w:r>
      <w:r w:rsidRPr="00301716">
        <w:rPr>
          <w:rFonts w:eastAsia="Aptos"/>
          <w:iCs/>
          <w:snapToGrid/>
        </w:rPr>
        <w:t xml:space="preserve">:  April 10, 2024 for </w:t>
      </w:r>
      <w:r w:rsidRPr="00301716">
        <w:rPr>
          <w:rFonts w:eastAsia="Aptos"/>
          <w:snapToGrid/>
        </w:rPr>
        <w:t xml:space="preserve">providers with more than 100,000 subscribers and October 10, 2024 for smaller providers.  These deadlines have passed, and providers are now subject to the label requirements.  </w:t>
      </w:r>
    </w:p>
    <w:p w:rsidR="00725C86" w:rsidRPr="00301716" w:rsidP="00725C86" w14:paraId="4AFB7A6E" w14:textId="77777777">
      <w:pPr>
        <w:pStyle w:val="Heading3"/>
        <w:rPr>
          <w:snapToGrid/>
        </w:rPr>
      </w:pPr>
      <w:bookmarkStart w:id="118" w:name="_Toc230014207"/>
      <w:bookmarkStart w:id="119" w:name="_Toc230014299"/>
      <w:bookmarkStart w:id="120" w:name="_Toc231300311"/>
      <w:bookmarkStart w:id="121" w:name="_Toc231985430"/>
      <w:bookmarkStart w:id="122" w:name="_Toc233617896"/>
      <w:bookmarkStart w:id="123" w:name="_Toc233618230"/>
      <w:bookmarkStart w:id="124" w:name="_Toc235613386"/>
      <w:r w:rsidRPr="00301716">
        <w:rPr>
          <w:rFonts w:eastAsia="Aptos"/>
          <w:snapToGrid/>
        </w:rPr>
        <w:t>Issues from the First Further Notice of Proposed Rulemaking</w:t>
      </w:r>
      <w:bookmarkEnd w:id="118"/>
      <w:bookmarkEnd w:id="119"/>
      <w:bookmarkEnd w:id="120"/>
      <w:bookmarkEnd w:id="121"/>
      <w:bookmarkEnd w:id="122"/>
      <w:bookmarkEnd w:id="123"/>
      <w:bookmarkEnd w:id="124"/>
      <w:r w:rsidRPr="00301716">
        <w:rPr>
          <w:rFonts w:eastAsia="Aptos"/>
          <w:snapToGrid/>
        </w:rPr>
        <w:t xml:space="preserve"> </w:t>
      </w:r>
    </w:p>
    <w:p w:rsidR="00725C86" w:rsidRPr="00301716" w:rsidP="00725C86" w14:paraId="2C949FEF" w14:textId="77777777">
      <w:pPr>
        <w:pStyle w:val="ParaNum"/>
        <w:rPr>
          <w:rFonts w:eastAsia="Aptos"/>
          <w:snapToGrid/>
        </w:rPr>
      </w:pPr>
      <w:r w:rsidRPr="00301716">
        <w:rPr>
          <w:rFonts w:eastAsia="Aptos"/>
          <w:snapToGrid/>
        </w:rPr>
        <w:t xml:space="preserve">We close the Commission’s inquiry into the various proposals on which the Commission sought comment in </w:t>
      </w:r>
      <w:r w:rsidRPr="00301716">
        <w:rPr>
          <w:snapToGrid/>
        </w:rPr>
        <w:t xml:space="preserve">the </w:t>
      </w:r>
      <w:r w:rsidRPr="00301716">
        <w:rPr>
          <w:i/>
          <w:snapToGrid/>
        </w:rPr>
        <w:t>First Further Notice</w:t>
      </w:r>
      <w:r w:rsidRPr="00301716">
        <w:rPr>
          <w:iCs/>
          <w:snapToGrid/>
        </w:rPr>
        <w:t>.</w:t>
      </w:r>
      <w:r>
        <w:rPr>
          <w:rStyle w:val="FootnoteReference"/>
        </w:rPr>
        <w:footnoteReference w:id="123"/>
      </w:r>
      <w:r w:rsidRPr="00301716">
        <w:rPr>
          <w:iCs/>
          <w:snapToGrid/>
        </w:rPr>
        <w:t xml:space="preserve">  </w:t>
      </w:r>
      <w:r w:rsidRPr="00301716">
        <w:rPr>
          <w:snapToGrid/>
        </w:rPr>
        <w:t>Specifically, the Commission sought comment on whether to: specify additional accessibility standards (such as ASL, Braille, and tactile indicators); require the display of labels in additional languages; require disclosure of discounts and other price variables in labels; extend label requirements to bundled services; modify or supplement required performance information; require specific disclosures in the label regarding network management and privacy; require interactive labels; employ focus groups, surveys, or subject matter experts to provide feedback on future changes to the label; publish a style guide and implementation tools to assist providers and enhance consistency in label presentation; and permit ISPs to submit labels information directly to the Commission, in lieu of providing labels directly at the point of sale and archiving them.</w:t>
      </w:r>
      <w:r>
        <w:rPr>
          <w:rStyle w:val="FootnoteReference"/>
        </w:rPr>
        <w:footnoteReference w:id="124"/>
      </w:r>
      <w:r w:rsidRPr="00301716">
        <w:rPr>
          <w:snapToGrid/>
        </w:rPr>
        <w:t xml:space="preserve">  The record indicates that these proposals would unduly complicate the display of labels, contrary to the Commission’s objective that labels convey the information consumers need to know “in plain language that is easy to understand without overwhelming consumers with too much information,”</w:t>
      </w:r>
      <w:r>
        <w:rPr>
          <w:rStyle w:val="FootnoteReference"/>
        </w:rPr>
        <w:footnoteReference w:id="125"/>
      </w:r>
      <w:r w:rsidRPr="00301716">
        <w:rPr>
          <w:snapToGrid/>
        </w:rPr>
        <w:t xml:space="preserve"> or would impose unwarranted compliance burdens on providers.  </w:t>
      </w:r>
    </w:p>
    <w:p w:rsidR="00725C86" w:rsidRPr="00301716" w:rsidP="00725C86" w14:paraId="5CC862B9" w14:textId="77777777">
      <w:pPr>
        <w:pStyle w:val="ParaNum"/>
        <w:rPr>
          <w:rFonts w:eastAsia="Aptos"/>
          <w:snapToGrid/>
        </w:rPr>
      </w:pPr>
      <w:r w:rsidRPr="00301716">
        <w:rPr>
          <w:snapToGrid/>
        </w:rPr>
        <w:t xml:space="preserve">Several commenters support the Commission’s intention to </w:t>
      </w:r>
      <w:r w:rsidRPr="00301716">
        <w:rPr>
          <w:rFonts w:eastAsia="Aptos"/>
          <w:snapToGrid/>
        </w:rPr>
        <w:t xml:space="preserve">close its inquiry into </w:t>
      </w:r>
      <w:r w:rsidRPr="00301716">
        <w:rPr>
          <w:snapToGrid/>
        </w:rPr>
        <w:t xml:space="preserve">the </w:t>
      </w:r>
      <w:r w:rsidRPr="00301716">
        <w:rPr>
          <w:i/>
          <w:snapToGrid/>
        </w:rPr>
        <w:t>First Further Notice</w:t>
      </w:r>
      <w:r w:rsidRPr="00301716">
        <w:rPr>
          <w:rFonts w:eastAsia="Aptos"/>
          <w:snapToGrid/>
        </w:rPr>
        <w:t xml:space="preserve"> proposals</w:t>
      </w:r>
      <w:r w:rsidRPr="00301716">
        <w:rPr>
          <w:snapToGrid/>
        </w:rPr>
        <w:t xml:space="preserve">, arguing that those proposals would impose unnecessary </w:t>
      </w:r>
      <w:r>
        <w:t xml:space="preserve">burdens </w:t>
      </w:r>
      <w:r w:rsidRPr="00301716">
        <w:rPr>
          <w:snapToGrid/>
        </w:rPr>
        <w:t>and undermine the streamlining objective in this proceeding.</w:t>
      </w:r>
      <w:r>
        <w:rPr>
          <w:rStyle w:val="FootnoteReference"/>
        </w:rPr>
        <w:footnoteReference w:id="126"/>
      </w:r>
      <w:r w:rsidRPr="00301716">
        <w:rPr>
          <w:snapToGrid/>
        </w:rPr>
        <w:t xml:space="preserve">  Although one commenter urges the Commission not to close its inquiry into defining ‘typical’ performance metrics, arguing that the current approach results in disclosures that are not comparable between providers,</w:t>
      </w:r>
      <w:r>
        <w:rPr>
          <w:rStyle w:val="FootnoteReference"/>
        </w:rPr>
        <w:footnoteReference w:id="127"/>
      </w:r>
      <w:r w:rsidRPr="00301716">
        <w:rPr>
          <w:snapToGrid/>
        </w:rPr>
        <w:t xml:space="preserve"> we agree with the commenters who argue that the current rule is sufficient.  </w:t>
      </w:r>
    </w:p>
    <w:p w:rsidR="00725C86" w:rsidRPr="00301716" w:rsidP="00725C86" w14:paraId="0E803751" w14:textId="77777777">
      <w:pPr>
        <w:pStyle w:val="ParaNum"/>
        <w:rPr>
          <w:rFonts w:eastAsia="Aptos"/>
          <w:snapToGrid/>
        </w:rPr>
      </w:pPr>
      <w:r w:rsidRPr="00301716">
        <w:rPr>
          <w:snapToGrid/>
        </w:rPr>
        <w:t>Other commenters oppose closing the inquiry into additional accessibility standards, specifically those relating to ASL-accessible formats, Braille, and tactile indicators, arguing that text-based accessibility alone does not adequately serve all consumers with disabilities.</w:t>
      </w:r>
      <w:r>
        <w:rPr>
          <w:rStyle w:val="FootnoteReference"/>
        </w:rPr>
        <w:footnoteReference w:id="128"/>
      </w:r>
      <w:r w:rsidRPr="00301716">
        <w:rPr>
          <w:snapToGrid/>
        </w:rPr>
        <w:t xml:space="preserve">  They urge the </w:t>
      </w:r>
      <w:r w:rsidRPr="00301716">
        <w:rPr>
          <w:snapToGrid/>
        </w:rPr>
        <w:t>Commission to acknowledge multimodal accessibility as an open issue warranting further examination.</w:t>
      </w:r>
      <w:r>
        <w:rPr>
          <w:rStyle w:val="FootnoteReference"/>
        </w:rPr>
        <w:footnoteReference w:id="129"/>
      </w:r>
      <w:r w:rsidRPr="00301716">
        <w:rPr>
          <w:snapToGrid/>
        </w:rPr>
        <w:t xml:space="preserve">  We find that the requirement that providers make the labels easily accessible to people with disabilities sufficiently directs providers to ensure accessibility while providing flexibility to meet the requirement.</w:t>
      </w:r>
      <w:r>
        <w:rPr>
          <w:rStyle w:val="FootnoteReference"/>
        </w:rPr>
        <w:footnoteReference w:id="130"/>
      </w:r>
      <w:r w:rsidRPr="00301716">
        <w:rPr>
          <w:snapToGrid/>
        </w:rPr>
        <w:t xml:space="preserve">  To the extent accessibility concerns arise, providers will need to act to ensure an individual has access to the provider’s labels.  </w:t>
      </w:r>
      <w:r>
        <w:t xml:space="preserve">While the responsibility is on providers to ensure the labels are accessible for consumers with disabilities, we </w:t>
      </w:r>
      <w:r w:rsidRPr="006F6F0E">
        <w:t>also encourage consumers to utilize the Commission’s Consumer Inquiries and Complaints Center to apprise the Commission of any accessibility concerns requiring additional assistance.</w:t>
      </w:r>
      <w:r>
        <w:rPr>
          <w:rStyle w:val="FootnoteReference"/>
        </w:rPr>
        <w:footnoteReference w:id="131"/>
      </w:r>
      <w:r w:rsidRPr="006F6F0E">
        <w:t xml:space="preserve"> </w:t>
      </w:r>
      <w:r w:rsidRPr="00301716">
        <w:rPr>
          <w:snapToGrid/>
        </w:rPr>
        <w:t xml:space="preserve"> </w:t>
      </w:r>
    </w:p>
    <w:p w:rsidR="00725C86" w:rsidRPr="00301716" w:rsidP="00725C86" w14:paraId="67D6C550" w14:textId="77777777">
      <w:pPr>
        <w:pStyle w:val="Heading3"/>
        <w:rPr>
          <w:rFonts w:eastAsia="Aptos"/>
          <w:snapToGrid/>
        </w:rPr>
      </w:pPr>
      <w:bookmarkStart w:id="125" w:name="_Toc230014208"/>
      <w:bookmarkStart w:id="126" w:name="_Toc230014300"/>
      <w:bookmarkStart w:id="127" w:name="_Toc231300312"/>
      <w:bookmarkStart w:id="128" w:name="_Toc231985431"/>
      <w:bookmarkStart w:id="129" w:name="_Toc233617897"/>
      <w:bookmarkStart w:id="130" w:name="_Toc233618231"/>
      <w:bookmarkStart w:id="131" w:name="_Toc235613387"/>
      <w:r w:rsidRPr="00301716">
        <w:rPr>
          <w:rFonts w:eastAsia="Aptos"/>
          <w:snapToGrid/>
        </w:rPr>
        <w:t>Other Matters</w:t>
      </w:r>
      <w:bookmarkEnd w:id="125"/>
      <w:bookmarkEnd w:id="126"/>
      <w:bookmarkEnd w:id="127"/>
      <w:bookmarkEnd w:id="128"/>
      <w:bookmarkEnd w:id="129"/>
      <w:bookmarkEnd w:id="130"/>
      <w:bookmarkEnd w:id="131"/>
    </w:p>
    <w:p w:rsidR="00725C86" w:rsidRPr="00301716" w:rsidP="00725C86" w14:paraId="355C7251" w14:textId="77777777">
      <w:pPr>
        <w:pStyle w:val="ParaNum"/>
        <w:rPr>
          <w:rFonts w:eastAsia="Aptos"/>
          <w:snapToGrid/>
        </w:rPr>
      </w:pPr>
      <w:r w:rsidRPr="00301716">
        <w:rPr>
          <w:rFonts w:eastAsia="Aptos"/>
          <w:snapToGrid/>
        </w:rPr>
        <w:t>We decline to exclude mass-market services that are marketed to business customers from the label requirements, as CTIA asks.</w:t>
      </w:r>
      <w:r>
        <w:rPr>
          <w:rStyle w:val="FootnoteReference"/>
          <w:rFonts w:eastAsia="Aptos"/>
        </w:rPr>
        <w:footnoteReference w:id="132"/>
      </w:r>
      <w:r w:rsidRPr="00301716">
        <w:rPr>
          <w:rFonts w:eastAsia="Aptos"/>
          <w:snapToGrid/>
        </w:rPr>
        <w:t xml:space="preserve">  The Infrastructure Act directs the Commission to require labels for “broadband internet access service,” as defined in section 8.1(b) of the Commission’s rules or any successor regulation.</w:t>
      </w:r>
      <w:r>
        <w:rPr>
          <w:rStyle w:val="FootnoteReference"/>
          <w:rFonts w:eastAsia="Aptos"/>
        </w:rPr>
        <w:footnoteReference w:id="133"/>
      </w:r>
      <w:r w:rsidRPr="00301716">
        <w:rPr>
          <w:rFonts w:eastAsia="Aptos"/>
          <w:snapToGrid/>
        </w:rPr>
        <w:t xml:space="preserve">  </w:t>
      </w:r>
      <w:r>
        <w:rPr>
          <w:rFonts w:eastAsia="Aptos"/>
          <w:snapToGrid/>
        </w:rPr>
        <w:t xml:space="preserve">Section 8.1(b) </w:t>
      </w:r>
      <w:r w:rsidRPr="00301716">
        <w:rPr>
          <w:rFonts w:eastAsia="Aptos"/>
          <w:snapToGrid/>
        </w:rPr>
        <w:t>defines “broadband internet access service” as “a mass-market retail service by wire or radio that provides the capability to transmit data to and receive data from all or substantially all internet endpoints, including any capabilities that are incidental to and enable the operation of the communications service, but excluding dial-up internet access service.”</w:t>
      </w:r>
      <w:r>
        <w:rPr>
          <w:rStyle w:val="FootnoteReference"/>
          <w:rFonts w:eastAsia="Aptos"/>
        </w:rPr>
        <w:footnoteReference w:id="134"/>
      </w:r>
      <w:r w:rsidRPr="00301716">
        <w:rPr>
          <w:rFonts w:eastAsia="Aptos"/>
          <w:snapToGrid/>
        </w:rPr>
        <w:t xml:space="preserve">  Given the lack of evidence in the record regarding the costs imposed by the labeling requirement on providers of mass-market services used by business customers, we find no reason to pursue a definitional change.   </w:t>
      </w:r>
    </w:p>
    <w:p w:rsidR="00725C86" w:rsidRPr="00301716" w:rsidP="00725C86" w14:paraId="369A689D" w14:textId="77777777">
      <w:pPr>
        <w:pStyle w:val="ParaNum"/>
        <w:rPr>
          <w:rFonts w:eastAsia="Aptos"/>
          <w:snapToGrid/>
        </w:rPr>
      </w:pPr>
      <w:r w:rsidRPr="00301716">
        <w:rPr>
          <w:rFonts w:eastAsia="Aptos"/>
          <w:snapToGrid/>
        </w:rPr>
        <w:t>We also decline to exclude E-Rate and Rural Health Care (RHC) services from the label requirements, as urged by DQE Communications LLC (DQE), a broadband provider that exclusively serves enterprise and business customers.</w:t>
      </w:r>
      <w:r>
        <w:rPr>
          <w:rStyle w:val="FootnoteReference"/>
          <w:rFonts w:eastAsia="Aptos"/>
        </w:rPr>
        <w:footnoteReference w:id="135"/>
      </w:r>
      <w:r w:rsidRPr="00301716">
        <w:rPr>
          <w:rFonts w:eastAsia="Aptos"/>
          <w:snapToGrid/>
        </w:rPr>
        <w:t xml:space="preserve">  Although DQE claims that the label requirement imposes disproportionate costs and obligations,</w:t>
      </w:r>
      <w:r>
        <w:rPr>
          <w:rStyle w:val="FootnoteReference"/>
          <w:rFonts w:eastAsia="Aptos"/>
        </w:rPr>
        <w:footnoteReference w:id="136"/>
      </w:r>
      <w:r w:rsidRPr="00301716">
        <w:rPr>
          <w:rFonts w:eastAsia="Aptos"/>
          <w:snapToGrid/>
        </w:rPr>
        <w:t xml:space="preserve"> it does not describe with specificity the costs and obligations it incurs with respect to E-Rate and RHC customers.  Given that the label requirement applies to all mass-market broadband services,</w:t>
      </w:r>
      <w:r>
        <w:rPr>
          <w:rStyle w:val="FootnoteReference"/>
          <w:rFonts w:eastAsia="Aptos"/>
        </w:rPr>
        <w:footnoteReference w:id="137"/>
      </w:r>
      <w:r w:rsidRPr="00301716">
        <w:rPr>
          <w:rFonts w:eastAsia="Aptos"/>
          <w:snapToGrid/>
        </w:rPr>
        <w:t xml:space="preserve"> it would appear that, to the extent such “off-the-shelf” services are requested by E-Rate or RHC customers,</w:t>
      </w:r>
      <w:r>
        <w:rPr>
          <w:rStyle w:val="FootnoteReference"/>
          <w:rFonts w:eastAsia="Aptos"/>
        </w:rPr>
        <w:footnoteReference w:id="138"/>
      </w:r>
      <w:r w:rsidRPr="00301716">
        <w:rPr>
          <w:rFonts w:eastAsia="Aptos"/>
          <w:snapToGrid/>
        </w:rPr>
        <w:t xml:space="preserve"> the necessary labels should already be available from the upstream providers of such mass-market broadband services, and thus can be readily displayed, with minimal if any alteration, by any E-Rate or RHC provider making use of such services.  Therefore, in the absence of any contrary evidence, we conclude that minimal, if any, cost would be incurred by DQE or similarly situated providers in passing such labels on to their E-Rate and RHC customers.  </w:t>
      </w:r>
    </w:p>
    <w:p w:rsidR="00725C86" w:rsidRPr="00D25252" w:rsidP="00A81BC3" w14:paraId="5CAC2B0C" w14:textId="77777777">
      <w:pPr>
        <w:pStyle w:val="ParaNum"/>
        <w:widowControl/>
        <w:rPr>
          <w:rFonts w:eastAsia="Aptos"/>
          <w:snapToGrid/>
        </w:rPr>
      </w:pPr>
      <w:r w:rsidRPr="00301716">
        <w:rPr>
          <w:rFonts w:eastAsia="Aptos"/>
          <w:snapToGrid/>
        </w:rPr>
        <w:t xml:space="preserve">Further, the </w:t>
      </w:r>
      <w:r w:rsidRPr="00301716">
        <w:rPr>
          <w:bCs/>
          <w:snapToGrid/>
        </w:rPr>
        <w:t xml:space="preserve">Schools, Health &amp; Libraries Broadband Coalition and the </w:t>
      </w:r>
      <w:r w:rsidRPr="00301716">
        <w:rPr>
          <w:rFonts w:eastAsia="Aptos"/>
          <w:bCs/>
          <w:snapToGrid/>
        </w:rPr>
        <w:t>Consortium for School Networking (</w:t>
      </w:r>
      <w:r w:rsidRPr="00301716">
        <w:rPr>
          <w:rFonts w:eastAsia="Aptos"/>
          <w:snapToGrid/>
        </w:rPr>
        <w:t>SHLB/</w:t>
      </w:r>
      <w:r w:rsidRPr="00301716">
        <w:rPr>
          <w:rFonts w:eastAsia="Aptos"/>
          <w:snapToGrid/>
        </w:rPr>
        <w:t>CoSN</w:t>
      </w:r>
      <w:r w:rsidRPr="00301716">
        <w:rPr>
          <w:rFonts w:eastAsia="Aptos"/>
          <w:snapToGrid/>
        </w:rPr>
        <w:t>) list a variety of benefits that they claim result from making labels for mass-market services available to schools, libraries, and rural health care facilities.</w:t>
      </w:r>
      <w:r>
        <w:rPr>
          <w:rStyle w:val="FootnoteReference"/>
          <w:rFonts w:eastAsia="Aptos"/>
        </w:rPr>
        <w:footnoteReference w:id="139"/>
      </w:r>
      <w:r w:rsidRPr="00301716">
        <w:rPr>
          <w:rFonts w:eastAsia="Aptos"/>
          <w:snapToGrid/>
        </w:rPr>
        <w:t xml:space="preserve">  They state that </w:t>
      </w:r>
      <w:r w:rsidRPr="00301716">
        <w:rPr>
          <w:snapToGrid/>
        </w:rPr>
        <w:t>in a variety of circumstances, including limited budgets, lack of competitive options, and insufficient technical expertise to navigate complex proposals, a school, library, or health care provider may choose to purchase a mass-market internet service, rather than an individualized service offered in response to an RFP.</w:t>
      </w:r>
      <w:r>
        <w:rPr>
          <w:rStyle w:val="FootnoteReference"/>
        </w:rPr>
        <w:footnoteReference w:id="140"/>
      </w:r>
      <w:r w:rsidRPr="00301716">
        <w:rPr>
          <w:snapToGrid/>
        </w:rPr>
        <w:t xml:space="preserve"> They add that by providing standardized, clear information about services available in the mass market, labels also help institutions evaluate bids, comply with program rules requiring cost-effectiveness, and plan procurements.</w:t>
      </w:r>
      <w:r>
        <w:rPr>
          <w:rStyle w:val="FootnoteReference"/>
        </w:rPr>
        <w:footnoteReference w:id="141"/>
      </w:r>
      <w:r w:rsidRPr="00301716">
        <w:rPr>
          <w:snapToGrid/>
        </w:rPr>
        <w:t xml:space="preserve">  According to SHLB/</w:t>
      </w:r>
      <w:r w:rsidRPr="00301716">
        <w:rPr>
          <w:snapToGrid/>
        </w:rPr>
        <w:t>CoSN</w:t>
      </w:r>
      <w:r w:rsidRPr="00301716">
        <w:rPr>
          <w:snapToGrid/>
        </w:rPr>
        <w:t>, labels also assist with documentation for funding applications, which often require details such as monthly price, contract length, and speeds—information that labels present “in a uniform and concise manner.”</w:t>
      </w:r>
      <w:r>
        <w:rPr>
          <w:rStyle w:val="FootnoteReference"/>
        </w:rPr>
        <w:footnoteReference w:id="142"/>
      </w:r>
    </w:p>
    <w:p w:rsidR="00725C86" w:rsidP="00725C86" w14:paraId="53FC474C" w14:textId="77777777">
      <w:pPr>
        <w:pStyle w:val="Heading2"/>
      </w:pPr>
      <w:bookmarkStart w:id="132" w:name="_Toc235186922"/>
      <w:bookmarkStart w:id="133" w:name="_Toc235613388"/>
      <w:r>
        <w:t>Assessment of Consumer Benefits</w:t>
      </w:r>
      <w:bookmarkEnd w:id="132"/>
      <w:bookmarkEnd w:id="133"/>
    </w:p>
    <w:p w:rsidR="00725C86" w:rsidRPr="002607E7" w:rsidP="00725C86" w14:paraId="10480395" w14:textId="77777777">
      <w:pPr>
        <w:pStyle w:val="ParaNum"/>
        <w:rPr>
          <w:rFonts w:eastAsia="Aptos"/>
          <w:snapToGrid/>
        </w:rPr>
      </w:pPr>
      <w:r>
        <w:t xml:space="preserve">We recognize the importance of assessing, over time, whether broadband labels are achieving their intended consumer benefits.  Accordingly, we direct the </w:t>
      </w:r>
      <w:r w:rsidRPr="00F1015F">
        <w:t>Consumer Protection and Accessibility Advisory Committee </w:t>
      </w:r>
      <w:r>
        <w:t xml:space="preserve">(CPAAC) to produce reports assessing the effectiveness of broadband labels, the first to be completed no later than two years after publication of this Order in the </w:t>
      </w:r>
      <w:r w:rsidRPr="002607E7">
        <w:rPr>
          <w:i/>
          <w:iCs/>
        </w:rPr>
        <w:t>Federal Register</w:t>
      </w:r>
      <w:r>
        <w:t xml:space="preserve">, and the following reports to be completed every four years thereafter.  Each report should address:  (1) </w:t>
      </w:r>
      <w:r w:rsidRPr="00F1015F">
        <w:t>the extent to which broadband labels reach consumers (i.e., are people aware the labels exist and are they using them) and any challenges that remain</w:t>
      </w:r>
      <w:r>
        <w:t xml:space="preserve"> to their use; </w:t>
      </w:r>
      <w:r w:rsidRPr="00F1015F">
        <w:t xml:space="preserve">(2) recommendations for how the FCC, industry, </w:t>
      </w:r>
      <w:r>
        <w:t>and</w:t>
      </w:r>
      <w:r w:rsidRPr="00F1015F">
        <w:t xml:space="preserve"> consumer groups can better </w:t>
      </w:r>
      <w:r>
        <w:t>publicize</w:t>
      </w:r>
      <w:r w:rsidRPr="00F1015F">
        <w:t xml:space="preserve"> broadband labels to ensure that consumers are aware of the</w:t>
      </w:r>
      <w:r>
        <w:t xml:space="preserve">m and </w:t>
      </w:r>
      <w:r w:rsidRPr="00F1015F">
        <w:t xml:space="preserve">understand how to use </w:t>
      </w:r>
      <w:r>
        <w:t xml:space="preserve">them; </w:t>
      </w:r>
      <w:r w:rsidRPr="00F1015F">
        <w:t>(3) the extent to which broadband labels are accessible for consumers with disabilities and any challenges that remain</w:t>
      </w:r>
      <w:r>
        <w:t xml:space="preserve"> to full accessibility; </w:t>
      </w:r>
      <w:r w:rsidRPr="00F1015F">
        <w:t>(4) recommendations for how the FCC and providers can address the challenges that remain in ensuring broadband labels are accessible for consumers with disabilities</w:t>
      </w:r>
      <w:r>
        <w:t>; and (5) other opportunities to better clarify and make more useful to consumers the information on the label.</w:t>
      </w:r>
    </w:p>
    <w:p w:rsidR="00725C86" w:rsidRPr="00301716" w:rsidP="00725C86" w14:paraId="35BE1DDB" w14:textId="77777777">
      <w:pPr>
        <w:pStyle w:val="Heading2"/>
        <w:rPr>
          <w:snapToGrid/>
        </w:rPr>
      </w:pPr>
      <w:bookmarkStart w:id="134" w:name="_Toc230014209"/>
      <w:bookmarkStart w:id="135" w:name="_Toc230014301"/>
      <w:bookmarkStart w:id="136" w:name="_Toc231300313"/>
      <w:bookmarkStart w:id="137" w:name="_Toc231985432"/>
      <w:bookmarkStart w:id="138" w:name="_Toc233617898"/>
      <w:bookmarkStart w:id="139" w:name="_Toc233618232"/>
      <w:bookmarkStart w:id="140" w:name="_Toc235613389"/>
      <w:r w:rsidRPr="00301716">
        <w:rPr>
          <w:snapToGrid/>
        </w:rPr>
        <w:t>Legal Authority</w:t>
      </w:r>
      <w:bookmarkEnd w:id="134"/>
      <w:bookmarkEnd w:id="135"/>
      <w:bookmarkEnd w:id="136"/>
      <w:bookmarkEnd w:id="137"/>
      <w:bookmarkEnd w:id="138"/>
      <w:bookmarkEnd w:id="139"/>
      <w:bookmarkEnd w:id="140"/>
      <w:r w:rsidRPr="00301716">
        <w:rPr>
          <w:snapToGrid/>
        </w:rPr>
        <w:t xml:space="preserve"> </w:t>
      </w:r>
    </w:p>
    <w:p w:rsidR="00725C86" w:rsidRPr="00301716" w:rsidP="00725C86" w14:paraId="598C3346" w14:textId="77777777">
      <w:pPr>
        <w:pStyle w:val="ParaNum"/>
        <w:rPr>
          <w:snapToGrid/>
        </w:rPr>
      </w:pPr>
      <w:r w:rsidRPr="00301716">
        <w:rPr>
          <w:snapToGrid/>
        </w:rPr>
        <w:t>We conclude that section 60504 of the Infrastructure Act provides the Commission with the authority to modify the broadband label rules as discussed herein.  Section 60504 directs the Commission to “promulgate regulations to require the display of broadband consumer labels, as described in the Public Notice of the Commission issued on April 4, 2016 (DA 16–357), to disclose to consumers information regarding broadband internet access service plans.”</w:t>
      </w:r>
      <w:r>
        <w:rPr>
          <w:rStyle w:val="FootnoteReference"/>
        </w:rPr>
        <w:footnoteReference w:id="143"/>
      </w:r>
      <w:r w:rsidRPr="00301716">
        <w:rPr>
          <w:snapToGrid/>
        </w:rPr>
        <w:t xml:space="preserve">  The 2016 Public Notice described broadband consumer labels as an implementation of the Commission’s broadband transparency rule.</w:t>
      </w:r>
      <w:r>
        <w:rPr>
          <w:rStyle w:val="FootnoteReference"/>
        </w:rPr>
        <w:footnoteReference w:id="144"/>
      </w:r>
      <w:r w:rsidRPr="00301716">
        <w:rPr>
          <w:snapToGrid/>
        </w:rPr>
        <w:t xml:space="preserve">  In approving a specific format and content for broadband labels, the </w:t>
      </w:r>
      <w:r w:rsidRPr="00301716">
        <w:rPr>
          <w:i/>
          <w:snapToGrid/>
        </w:rPr>
        <w:t>2016 Broadband Labels PN</w:t>
      </w:r>
      <w:r w:rsidRPr="00301716">
        <w:rPr>
          <w:snapToGrid/>
        </w:rPr>
        <w:t xml:space="preserve"> characterized them as “a simple-to-understand format describing the key factors consumers need to know when considering broadband service. . . .”</w:t>
      </w:r>
      <w:r>
        <w:rPr>
          <w:rStyle w:val="FootnoteReference"/>
        </w:rPr>
        <w:footnoteReference w:id="145"/>
      </w:r>
      <w:r w:rsidRPr="00301716">
        <w:rPr>
          <w:snapToGrid/>
        </w:rPr>
        <w:t xml:space="preserve">  The changes we adopt today better align the rules with section 60504 by removing or modifying a number of requirements that do not appear to be needed to </w:t>
      </w:r>
      <w:r w:rsidRPr="00301716">
        <w:rPr>
          <w:snapToGrid/>
        </w:rPr>
        <w:t>achieve the core statutory objective.</w:t>
      </w:r>
      <w:r>
        <w:rPr>
          <w:rStyle w:val="FootnoteReference"/>
        </w:rPr>
        <w:footnoteReference w:id="146"/>
      </w:r>
      <w:r w:rsidRPr="00301716">
        <w:rPr>
          <w:snapToGrid/>
        </w:rPr>
        <w:t xml:space="preserve">  We conclude that the label display requirements adopted herein raise no First Amendment concerns.</w:t>
      </w:r>
      <w:r>
        <w:rPr>
          <w:rStyle w:val="FootnoteReference"/>
        </w:rPr>
        <w:footnoteReference w:id="147"/>
      </w:r>
    </w:p>
    <w:p w:rsidR="00725C86" w:rsidRPr="00301716" w:rsidP="00725C86" w14:paraId="7297E0AA" w14:textId="77777777">
      <w:pPr>
        <w:pStyle w:val="ParaNum"/>
        <w:rPr>
          <w:snapToGrid/>
        </w:rPr>
      </w:pPr>
      <w:r w:rsidRPr="00301716">
        <w:rPr>
          <w:snapToGrid/>
        </w:rPr>
        <w:t>Sections 13 and 257 of the Communications Act of 1934, as amended,</w:t>
      </w:r>
      <w:r>
        <w:rPr>
          <w:rStyle w:val="FootnoteReference"/>
        </w:rPr>
        <w:footnoteReference w:id="148"/>
      </w:r>
      <w:r w:rsidRPr="00301716">
        <w:rPr>
          <w:snapToGrid/>
        </w:rPr>
        <w:t xml:space="preserve"> which the Commission has previously relied on as authority for the broadband transparency rule, provide additional authority.</w:t>
      </w:r>
      <w:r>
        <w:rPr>
          <w:rStyle w:val="FootnoteReference"/>
        </w:rPr>
        <w:footnoteReference w:id="149"/>
      </w:r>
      <w:r w:rsidRPr="00301716">
        <w:rPr>
          <w:snapToGrid/>
        </w:rPr>
        <w:t xml:space="preserve">  To the extent that broadband labels continue to be used for offerings through the E-Rate and Rural Health Care universal service programs, section 254 supplies authority.</w:t>
      </w:r>
      <w:r>
        <w:rPr>
          <w:rStyle w:val="FootnoteReference"/>
        </w:rPr>
        <w:footnoteReference w:id="150"/>
      </w:r>
      <w:r w:rsidRPr="00301716">
        <w:rPr>
          <w:snapToGrid/>
        </w:rPr>
        <w:t xml:space="preserve">  We also note the Commission’s finding in the </w:t>
      </w:r>
      <w:r w:rsidRPr="00301716">
        <w:rPr>
          <w:i/>
          <w:iCs/>
          <w:snapToGrid/>
        </w:rPr>
        <w:t>Broadband Label Order</w:t>
      </w:r>
      <w:r w:rsidRPr="00301716">
        <w:rPr>
          <w:snapToGrid/>
        </w:rPr>
        <w:t xml:space="preserve"> that Title III of the Act provides additional authority for the rules adopted here with respect to wireless providers.</w:t>
      </w:r>
      <w:r>
        <w:rPr>
          <w:rStyle w:val="FootnoteReference"/>
        </w:rPr>
        <w:footnoteReference w:id="151"/>
      </w:r>
      <w:r w:rsidRPr="00301716">
        <w:rPr>
          <w:i/>
          <w:iCs/>
          <w:snapToGrid/>
        </w:rPr>
        <w:t xml:space="preserve"> </w:t>
      </w:r>
    </w:p>
    <w:p w:rsidR="00725C86" w:rsidRPr="00301716" w:rsidP="00725C86" w14:paraId="4792CA9A" w14:textId="77777777">
      <w:pPr>
        <w:pStyle w:val="Heading2"/>
        <w:rPr>
          <w:snapToGrid/>
        </w:rPr>
      </w:pPr>
      <w:bookmarkStart w:id="141" w:name="_Toc230014210"/>
      <w:bookmarkStart w:id="142" w:name="_Toc230014302"/>
      <w:bookmarkStart w:id="143" w:name="_Toc231300314"/>
      <w:bookmarkStart w:id="144" w:name="_Toc231985433"/>
      <w:bookmarkStart w:id="145" w:name="_Toc233617899"/>
      <w:bookmarkStart w:id="146" w:name="_Toc233618233"/>
      <w:bookmarkStart w:id="147" w:name="_Toc235613390"/>
      <w:r w:rsidRPr="00301716">
        <w:rPr>
          <w:snapToGrid/>
        </w:rPr>
        <w:t>Costs and Benefits</w:t>
      </w:r>
      <w:bookmarkEnd w:id="141"/>
      <w:bookmarkEnd w:id="142"/>
      <w:bookmarkEnd w:id="143"/>
      <w:bookmarkEnd w:id="144"/>
      <w:bookmarkEnd w:id="145"/>
      <w:bookmarkEnd w:id="146"/>
      <w:bookmarkEnd w:id="147"/>
      <w:r w:rsidRPr="00301716">
        <w:rPr>
          <w:snapToGrid/>
        </w:rPr>
        <w:t xml:space="preserve"> </w:t>
      </w:r>
    </w:p>
    <w:p w:rsidR="00725C86" w:rsidRPr="00301716" w:rsidP="00725C86" w14:paraId="65733EB3" w14:textId="77777777">
      <w:pPr>
        <w:pStyle w:val="ParaNum"/>
        <w:rPr>
          <w:snapToGrid/>
        </w:rPr>
      </w:pPr>
      <w:r w:rsidRPr="00301716">
        <w:rPr>
          <w:snapToGrid/>
        </w:rPr>
        <w:t xml:space="preserve">This Order streamlines the existing broadband label requirements by making minor changes to the information required to be presented and the way in which the information is required to be presented.  These changes are expected to reduce costs for broadband providers, while still providing consumers information to make informed broadband purchases.  </w:t>
      </w:r>
    </w:p>
    <w:p w:rsidR="00725C86" w:rsidRPr="00301716" w:rsidP="00725C86" w14:paraId="1139412E" w14:textId="77777777">
      <w:pPr>
        <w:pStyle w:val="ParaNum"/>
        <w:rPr>
          <w:snapToGrid/>
        </w:rPr>
      </w:pPr>
      <w:r w:rsidRPr="00301716">
        <w:rPr>
          <w:snapToGrid/>
        </w:rPr>
        <w:t>First, the Order modifies the requirement for presenting the broadband label on a sale by phone so that customer service representatives no longer have to read the label contents verbatim.  This change will allow representatives to communicate the contents of the broadband label in a more natural and understandable way, which should benefit consumers.  Next, instead of requiring providers to itemize all fees, which may vary by location, the rules set forth in this Order allow providers to include either (1) the “up to” (i.e., maximum) total amount of passthrough fees that a subscriber would be charged in any location where the service plan is offered, or (2) the exact total amount the consumer would be charged for broadband fees in a particular location.  Under both options, the required label content is simplified, enabling providers to convey the information consumers need to know “in plain language that is easy to understand without overwhelming consumers with too much information.”</w:t>
      </w:r>
      <w:r>
        <w:rPr>
          <w:rStyle w:val="FootnoteReference"/>
        </w:rPr>
        <w:footnoteReference w:id="152"/>
      </w:r>
      <w:r w:rsidRPr="00301716">
        <w:rPr>
          <w:snapToGrid/>
        </w:rPr>
        <w:t xml:space="preserve">  In addition, the first alternative—displaying the maximum a consumer would be charged—reduces compliance costs for providers because they are no longer required to create multiple labels when fees vary by location.  </w:t>
      </w:r>
    </w:p>
    <w:p w:rsidR="00725C86" w:rsidRPr="00301716" w:rsidP="00725C86" w14:paraId="5C86479E" w14:textId="77777777">
      <w:pPr>
        <w:pStyle w:val="ParaNum"/>
        <w:rPr>
          <w:snapToGrid/>
        </w:rPr>
      </w:pPr>
      <w:r w:rsidRPr="00301716">
        <w:rPr>
          <w:snapToGrid/>
        </w:rPr>
        <w:t xml:space="preserve">Further, this Order allows providers to use hyperlinks to labels at the point of sale and in customer account portals, rather than displaying the full label.  While using hyperlinks to broadband labels instead of displaying the labels automatically may result in fewer consumers reading the label, interested consumers still have the opportunity to view the broadband label.  The Order also eliminates the requirement that providers provide the contents of labels separately, in a machine-readable </w:t>
      </w:r>
      <w:r w:rsidRPr="00301716">
        <w:rPr>
          <w:snapToGrid/>
        </w:rPr>
        <w:t xml:space="preserve">spreadsheet file format on their websites via a dedicated uniform resource locator (URL).  Because consumers themselves, including consumers with disabilities, will still be able to read the labels, we do not expect that eliminating this requirement will hurt consumers, and doing so could potentially reduce providers’ compliance costs.  Lastly, the Order eliminates the requirement that providers retain labels for two years after they discontinue plans.  This change will not affect consumers’ access to labels for plans currently offered to the public and may lower costs of storage for providers.  Collectively, we expect the rule changes set forth in this Order to reduce providers’ costs while imposing no material harms on consumers.  </w:t>
      </w:r>
    </w:p>
    <w:p w:rsidR="00725C86" w:rsidRPr="00816744" w:rsidP="00725C86" w14:paraId="2676644C" w14:textId="77777777">
      <w:pPr>
        <w:pStyle w:val="Heading1"/>
      </w:pPr>
      <w:bookmarkStart w:id="148" w:name="_Toc74735541"/>
      <w:bookmarkStart w:id="149" w:name="_Toc76547704"/>
      <w:bookmarkStart w:id="150" w:name="_Toc80185581"/>
      <w:bookmarkStart w:id="151" w:name="_Toc82177672"/>
      <w:bookmarkStart w:id="152" w:name="_Toc82177968"/>
      <w:bookmarkStart w:id="153" w:name="_Toc83375327"/>
      <w:bookmarkStart w:id="154" w:name="_Toc95129442"/>
      <w:bookmarkStart w:id="155" w:name="_Toc99530195"/>
      <w:bookmarkStart w:id="156" w:name="_Toc112152903"/>
      <w:bookmarkStart w:id="157" w:name="_Toc114569006"/>
      <w:bookmarkStart w:id="158" w:name="_Toc114745234"/>
      <w:bookmarkStart w:id="159" w:name="_Toc117835310"/>
      <w:bookmarkStart w:id="160" w:name="_Toc164952722"/>
      <w:bookmarkStart w:id="161" w:name="_Toc166502289"/>
      <w:bookmarkStart w:id="162" w:name="_Toc166359401"/>
      <w:bookmarkStart w:id="163" w:name="_Toc166670673"/>
      <w:bookmarkStart w:id="164" w:name="_Toc168909215"/>
      <w:bookmarkStart w:id="165" w:name="_Toc168910304"/>
      <w:bookmarkStart w:id="166" w:name="_Toc176521175"/>
      <w:bookmarkStart w:id="167" w:name="_Toc176787534"/>
      <w:bookmarkStart w:id="168" w:name="_Toc176858237"/>
      <w:bookmarkStart w:id="169" w:name="_Toc176959754"/>
      <w:bookmarkStart w:id="170" w:name="_Toc177564074"/>
      <w:bookmarkStart w:id="171" w:name="_Toc180419780"/>
      <w:bookmarkStart w:id="172" w:name="_Toc189641416"/>
      <w:bookmarkStart w:id="173" w:name="_Toc189732038"/>
      <w:bookmarkStart w:id="174" w:name="_Toc189737856"/>
      <w:bookmarkStart w:id="175" w:name="_Toc189738097"/>
      <w:bookmarkStart w:id="176" w:name="_Toc189738590"/>
      <w:bookmarkStart w:id="177" w:name="_Toc189738925"/>
      <w:bookmarkStart w:id="178" w:name="_Toc189739135"/>
      <w:bookmarkStart w:id="179" w:name="_Toc189739322"/>
      <w:bookmarkStart w:id="180" w:name="_Toc189746997"/>
      <w:bookmarkStart w:id="181" w:name="_Toc189747147"/>
      <w:bookmarkStart w:id="182" w:name="_Toc189747365"/>
      <w:bookmarkStart w:id="183" w:name="_Toc189747416"/>
      <w:bookmarkStart w:id="184" w:name="_Toc189747645"/>
      <w:bookmarkStart w:id="185" w:name="_Toc189747735"/>
      <w:bookmarkStart w:id="186" w:name="_Toc189753776"/>
      <w:bookmarkStart w:id="187" w:name="_Toc190251127"/>
      <w:bookmarkStart w:id="188" w:name="_Toc190265124"/>
      <w:bookmarkStart w:id="189" w:name="_Toc192655703"/>
      <w:bookmarkStart w:id="190" w:name="_Toc192656667"/>
      <w:bookmarkStart w:id="191" w:name="_Toc192656960"/>
      <w:bookmarkStart w:id="192" w:name="_Toc192657075"/>
      <w:bookmarkStart w:id="193" w:name="_Toc192657218"/>
      <w:bookmarkStart w:id="194" w:name="_Toc192672215"/>
      <w:bookmarkStart w:id="195" w:name="_Toc192672551"/>
      <w:bookmarkStart w:id="196" w:name="_Toc192672741"/>
      <w:bookmarkStart w:id="197" w:name="_Toc192672813"/>
      <w:bookmarkStart w:id="198" w:name="_Toc193824746"/>
      <w:bookmarkStart w:id="199" w:name="_Toc193868129"/>
      <w:bookmarkStart w:id="200" w:name="_Toc193874495"/>
      <w:bookmarkStart w:id="201" w:name="_Toc193880646"/>
      <w:bookmarkStart w:id="202" w:name="_Toc193904476"/>
      <w:bookmarkStart w:id="203" w:name="_Toc193911264"/>
      <w:bookmarkStart w:id="204" w:name="_Toc194298428"/>
      <w:bookmarkStart w:id="205" w:name="_Toc194325186"/>
      <w:bookmarkStart w:id="206" w:name="_Toc194327759"/>
      <w:bookmarkStart w:id="207" w:name="_Toc194327907"/>
      <w:bookmarkStart w:id="208" w:name="_Toc194661926"/>
      <w:bookmarkStart w:id="209" w:name="_Toc194662615"/>
      <w:bookmarkStart w:id="210" w:name="_Toc196389624"/>
      <w:bookmarkStart w:id="211" w:name="_Toc231300315"/>
      <w:bookmarkStart w:id="212" w:name="_Toc231985434"/>
      <w:bookmarkStart w:id="213" w:name="_Toc233617900"/>
      <w:bookmarkStart w:id="214" w:name="_Toc233618234"/>
      <w:bookmarkStart w:id="215" w:name="_Toc230014211"/>
      <w:bookmarkStart w:id="216" w:name="_Toc230014303"/>
      <w:bookmarkStart w:id="217" w:name="_Toc235613391"/>
      <w:r w:rsidRPr="00816744">
        <w:t>Procedural Matters</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7"/>
      <w:r w:rsidRPr="00816744">
        <w:t xml:space="preserve"> </w:t>
      </w:r>
      <w:bookmarkEnd w:id="215"/>
      <w:bookmarkEnd w:id="216"/>
    </w:p>
    <w:p w:rsidR="00725C86" w:rsidRPr="00301716" w:rsidP="00725C86" w14:paraId="26F280AB" w14:textId="77777777">
      <w:pPr>
        <w:pStyle w:val="ParaNum"/>
        <w:rPr>
          <w:snapToGrid/>
        </w:rPr>
      </w:pPr>
      <w:bookmarkStart w:id="218" w:name="_Toc192672217"/>
      <w:bookmarkStart w:id="219" w:name="_Toc192672553"/>
      <w:bookmarkStart w:id="220" w:name="_Toc192672743"/>
      <w:bookmarkStart w:id="221" w:name="_Toc192672815"/>
      <w:bookmarkStart w:id="222" w:name="_Toc193824748"/>
      <w:bookmarkStart w:id="223" w:name="_Toc193868132"/>
      <w:bookmarkStart w:id="224" w:name="_Toc193874498"/>
      <w:bookmarkStart w:id="225" w:name="_Toc193880649"/>
      <w:bookmarkStart w:id="226" w:name="_Toc193904478"/>
      <w:bookmarkStart w:id="227" w:name="_Toc193911265"/>
      <w:bookmarkStart w:id="228" w:name="_Toc194298429"/>
      <w:bookmarkStart w:id="229" w:name="_Toc194325187"/>
      <w:bookmarkStart w:id="230" w:name="_Toc194327760"/>
      <w:bookmarkStart w:id="231" w:name="_Toc194327908"/>
      <w:bookmarkStart w:id="232" w:name="_Toc194661927"/>
      <w:bookmarkStart w:id="233" w:name="_Toc194662616"/>
      <w:bookmarkStart w:id="234" w:name="_Toc196389625"/>
      <w:bookmarkStart w:id="235" w:name="_Toc230762448"/>
      <w:bookmarkStart w:id="236" w:name="_Toc231300316"/>
      <w:bookmarkStart w:id="237" w:name="_Toc231985435"/>
      <w:bookmarkStart w:id="238" w:name="_Hlk165895431"/>
      <w:bookmarkStart w:id="239" w:name="_Toc194298432"/>
      <w:bookmarkStart w:id="240" w:name="_Toc194325190"/>
      <w:bookmarkStart w:id="241" w:name="_Toc194327763"/>
      <w:bookmarkStart w:id="242" w:name="_Toc194327911"/>
      <w:bookmarkStart w:id="243" w:name="_Toc194661930"/>
      <w:bookmarkStart w:id="244" w:name="_Toc194662619"/>
      <w:bookmarkStart w:id="245" w:name="_Toc196389628"/>
      <w:bookmarkStart w:id="246" w:name="_Toc230014213"/>
      <w:bookmarkStart w:id="247" w:name="_Toc230014305"/>
      <w:bookmarkStart w:id="248" w:name="_Toc193868139"/>
      <w:bookmarkStart w:id="249" w:name="_Toc193874505"/>
      <w:bookmarkStart w:id="250" w:name="_Toc193880656"/>
      <w:bookmarkStart w:id="251" w:name="_Toc193904481"/>
      <w:bookmarkStart w:id="252" w:name="_Toc193911268"/>
      <w:bookmarkStart w:id="253" w:name="_Toc192672220"/>
      <w:bookmarkStart w:id="254" w:name="_Toc192672556"/>
      <w:bookmarkStart w:id="255" w:name="_Toc192672746"/>
      <w:bookmarkStart w:id="256" w:name="_Toc192672818"/>
      <w:bookmarkStart w:id="257" w:name="_Toc193824751"/>
      <w:r w:rsidRPr="00301716">
        <w:rPr>
          <w:i/>
          <w:iCs/>
          <w:snapToGrid/>
        </w:rPr>
        <w:t>Regulatory Flexibility Act</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r w:rsidRPr="00301716">
        <w:rPr>
          <w:snapToGrid/>
        </w:rPr>
        <w:t>.  The Regulatory Flexibility Act of 1980, as amended (RFA),</w:t>
      </w:r>
      <w:r>
        <w:rPr>
          <w:rStyle w:val="FootnoteReference"/>
        </w:rPr>
        <w:footnoteReference w:id="153"/>
      </w:r>
      <w:r w:rsidRPr="00301716">
        <w:rPr>
          <w:snapToGrid/>
        </w:rPr>
        <w:t xml:space="preserve"> requires that an agency prepare a regulatory flexibility analysis for notice and comment rulemakings, unless the agency certifies that “the rule will not, if promulgated, have a significant economic impact on a substantial number of small entities.”</w:t>
      </w:r>
      <w:r>
        <w:rPr>
          <w:rStyle w:val="FootnoteReference"/>
        </w:rPr>
        <w:footnoteReference w:id="154"/>
      </w:r>
      <w:r w:rsidRPr="00301716">
        <w:rPr>
          <w:snapToGrid/>
        </w:rPr>
        <w:t xml:space="preserve">  Accordingly, the Commission has prepared a Final Regulatory Flexibility Analysis (FRFA) concerning the possible impact on small entities of the rule changes contained in this Order.  The FRFA is set forth in Appendix B.  </w:t>
      </w:r>
    </w:p>
    <w:bookmarkEnd w:id="238"/>
    <w:p w:rsidR="00725C86" w:rsidRPr="00301716" w:rsidP="00725C86" w14:paraId="403ED76B" w14:textId="77777777">
      <w:pPr>
        <w:pStyle w:val="ParaNum"/>
        <w:rPr>
          <w:snapToGrid/>
        </w:rPr>
      </w:pPr>
      <w:r w:rsidRPr="00301716">
        <w:rPr>
          <w:i/>
          <w:snapToGrid/>
        </w:rPr>
        <w:t>Paperwork Reduction Act</w:t>
      </w:r>
      <w:r w:rsidRPr="00301716">
        <w:rPr>
          <w:i/>
          <w:iCs/>
          <w:snapToGrid/>
        </w:rPr>
        <w:t xml:space="preserve"> Analysis</w:t>
      </w:r>
      <w:r w:rsidRPr="00301716">
        <w:rPr>
          <w:snapToGrid/>
        </w:rPr>
        <w:t>.  This Report and Order may contain new or substantively modified information collection requirements subject to the Paperwork Reduction Act of 1995 (PRA).</w:t>
      </w:r>
      <w:r>
        <w:rPr>
          <w:rStyle w:val="FootnoteReference"/>
        </w:rPr>
        <w:footnoteReference w:id="155"/>
      </w:r>
      <w:r w:rsidRPr="00301716">
        <w:rPr>
          <w:snapToGrid/>
        </w:rPr>
        <w:t xml:space="preserve">  All such requirements will be submitted to the Office of Management and Budget (OMB) for review under section 3507(d) of the PRA.</w:t>
      </w:r>
      <w:r>
        <w:rPr>
          <w:rStyle w:val="FootnoteReference"/>
        </w:rPr>
        <w:footnoteReference w:id="156"/>
      </w:r>
      <w:r w:rsidRPr="00301716">
        <w:rPr>
          <w:snapToGrid/>
        </w:rPr>
        <w:t xml:space="preserve">  OMB, the general public, and other Federal agencies are invited to comment on any new or modified information collection requirements contained in this proceeding.  In addition, we note that pursuant to the Small Business Paperwork Relief Act of 2002, 44 U.S.C. § 3506(c)(4), we previously sought specific comment on how the Commission might further reduce the information collection burden for small business concerns with fewer than 25 employees.  In Appendix B, we have assessed the effects of the required collection of information on these small entities.  </w:t>
      </w:r>
    </w:p>
    <w:p w:rsidR="00725C86" w:rsidRPr="00301716" w:rsidP="00725C86" w14:paraId="45DAFFA9" w14:textId="77777777">
      <w:pPr>
        <w:pStyle w:val="ParaNum"/>
        <w:rPr>
          <w:snapToGrid/>
        </w:rPr>
      </w:pPr>
      <w:r w:rsidRPr="00301716">
        <w:rPr>
          <w:i/>
          <w:iCs/>
          <w:snapToGrid/>
        </w:rPr>
        <w:t>Congressional Review Act</w:t>
      </w:r>
      <w:r w:rsidRPr="00301716">
        <w:rPr>
          <w:snapToGrid/>
        </w:rPr>
        <w:t xml:space="preserve">.  The Commission has determined, and the Administrator of the Office of Information and Regulatory Affairs, Office of Management and Budget, concurs, that this rule is “non-major” under the Congressional Review Act, 5 U.S.C. § 804(2).  The Commission will send a copy of this Report and Order to Congress and the Government Accountability Office pursuant to 5 U.S.C. § 801(a)(1)(A). </w:t>
      </w:r>
    </w:p>
    <w:p w:rsidR="00725C86" w:rsidRPr="00301716" w:rsidP="00725C86" w14:paraId="7D8EBD6C" w14:textId="77777777">
      <w:pPr>
        <w:pStyle w:val="ParaNum"/>
        <w:rPr>
          <w:snapToGrid/>
        </w:rPr>
      </w:pPr>
      <w:bookmarkStart w:id="258" w:name="_Toc192672221"/>
      <w:bookmarkStart w:id="259" w:name="_Toc192672557"/>
      <w:bookmarkStart w:id="260" w:name="_Toc192672747"/>
      <w:bookmarkStart w:id="261" w:name="_Toc192672819"/>
      <w:bookmarkStart w:id="262" w:name="_Toc193824752"/>
      <w:bookmarkStart w:id="263" w:name="_Toc193868141"/>
      <w:bookmarkStart w:id="264" w:name="_Toc193874507"/>
      <w:bookmarkStart w:id="265" w:name="_Toc193880658"/>
      <w:bookmarkStart w:id="266" w:name="_Toc193904483"/>
      <w:bookmarkStart w:id="267" w:name="_Toc193911270"/>
      <w:bookmarkStart w:id="268" w:name="_Toc194298434"/>
      <w:bookmarkStart w:id="269" w:name="_Toc194325192"/>
      <w:bookmarkStart w:id="270" w:name="_Toc194327765"/>
      <w:bookmarkStart w:id="271" w:name="_Toc194327913"/>
      <w:bookmarkStart w:id="272" w:name="_Toc194661932"/>
      <w:bookmarkStart w:id="273" w:name="_Toc194662621"/>
      <w:bookmarkStart w:id="274" w:name="_Toc196389630"/>
      <w:bookmarkStart w:id="275" w:name="_Toc230762451"/>
      <w:bookmarkStart w:id="276" w:name="_Toc231300319"/>
      <w:bookmarkStart w:id="277" w:name="_Toc231985437"/>
      <w:bookmarkStart w:id="278" w:name="_Toc74735542"/>
      <w:bookmarkStart w:id="279" w:name="_Toc76547705"/>
      <w:bookmarkStart w:id="280" w:name="_Toc80185582"/>
      <w:bookmarkStart w:id="281" w:name="_Toc82177673"/>
      <w:bookmarkStart w:id="282" w:name="_Toc82177969"/>
      <w:bookmarkStart w:id="283" w:name="_Toc83375328"/>
      <w:bookmarkStart w:id="284" w:name="_Toc95129443"/>
      <w:bookmarkStart w:id="285" w:name="_Toc99530196"/>
      <w:bookmarkStart w:id="286" w:name="_Toc112152904"/>
      <w:bookmarkStart w:id="287" w:name="_Toc114569007"/>
      <w:bookmarkStart w:id="288" w:name="_Toc114745235"/>
      <w:bookmarkStart w:id="289" w:name="_Toc117835311"/>
      <w:bookmarkStart w:id="290" w:name="_Toc164952723"/>
      <w:bookmarkStart w:id="291" w:name="_Toc166502290"/>
      <w:bookmarkStart w:id="292" w:name="_Toc166359402"/>
      <w:bookmarkStart w:id="293" w:name="_Toc166670674"/>
      <w:bookmarkStart w:id="294" w:name="_Toc168909216"/>
      <w:bookmarkStart w:id="295" w:name="_Toc168910305"/>
      <w:bookmarkStart w:id="296" w:name="_Toc176521176"/>
      <w:bookmarkStart w:id="297" w:name="_Toc176787535"/>
      <w:bookmarkStart w:id="298" w:name="_Toc176858238"/>
      <w:bookmarkStart w:id="299" w:name="_Toc176959755"/>
      <w:bookmarkStart w:id="300" w:name="_Toc177564075"/>
      <w:bookmarkStart w:id="301" w:name="_Toc180419781"/>
      <w:bookmarkStart w:id="302" w:name="_Toc189641417"/>
      <w:bookmarkStart w:id="303" w:name="_Toc189737857"/>
      <w:bookmarkStart w:id="304" w:name="_Toc189738098"/>
      <w:bookmarkStart w:id="305" w:name="_Toc189738591"/>
      <w:bookmarkStart w:id="306" w:name="_Toc189738926"/>
      <w:bookmarkStart w:id="307" w:name="_Toc189739136"/>
      <w:bookmarkStart w:id="308" w:name="_Toc189739323"/>
      <w:bookmarkStart w:id="309" w:name="_Toc189746998"/>
      <w:bookmarkStart w:id="310" w:name="_Toc189747148"/>
      <w:bookmarkStart w:id="311" w:name="_Toc189747366"/>
      <w:bookmarkStart w:id="312" w:name="_Toc189747417"/>
      <w:bookmarkStart w:id="313" w:name="_Toc189747646"/>
      <w:bookmarkStart w:id="314" w:name="_Toc189747736"/>
      <w:bookmarkStart w:id="315" w:name="_Toc189753777"/>
      <w:bookmarkStart w:id="316" w:name="_Toc190251128"/>
      <w:bookmarkStart w:id="317" w:name="_Toc190265125"/>
      <w:bookmarkStart w:id="318" w:name="_Toc192655704"/>
      <w:bookmarkStart w:id="319" w:name="_Toc192656668"/>
      <w:bookmarkStart w:id="320" w:name="_Toc192656961"/>
      <w:bookmarkStart w:id="321" w:name="_Toc192657076"/>
      <w:bookmarkStart w:id="322" w:name="_Toc192657219"/>
      <w:bookmarkStart w:id="323" w:name="_Toc192672222"/>
      <w:bookmarkStart w:id="324" w:name="_Toc192672558"/>
      <w:bookmarkStart w:id="325" w:name="_Toc192672748"/>
      <w:bookmarkStart w:id="326" w:name="_Toc192672820"/>
      <w:bookmarkStart w:id="327" w:name="_Toc193824753"/>
      <w:bookmarkStart w:id="328" w:name="_Toc193868142"/>
      <w:bookmarkStart w:id="329" w:name="_Toc193874508"/>
      <w:bookmarkStart w:id="330" w:name="_Toc193880659"/>
      <w:bookmarkStart w:id="331" w:name="_Toc193904484"/>
      <w:bookmarkStart w:id="332" w:name="_Toc193911271"/>
      <w:bookmarkStart w:id="333" w:name="_Toc194298435"/>
      <w:bookmarkStart w:id="334" w:name="_Toc194325193"/>
      <w:bookmarkStart w:id="335" w:name="_Toc194327766"/>
      <w:bookmarkStart w:id="336" w:name="_Toc194327914"/>
      <w:bookmarkStart w:id="337" w:name="_Toc194661933"/>
      <w:bookmarkStart w:id="338" w:name="_Toc194662622"/>
      <w:bookmarkStart w:id="339" w:name="_Toc196389631"/>
      <w:bookmarkStart w:id="340" w:name="_Toc230014216"/>
      <w:bookmarkStart w:id="341" w:name="_Toc23001430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r w:rsidRPr="00301716">
        <w:rPr>
          <w:i/>
          <w:iCs/>
          <w:snapToGrid/>
        </w:rPr>
        <w:t>Additional Information</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r w:rsidRPr="00301716">
        <w:rPr>
          <w:snapToGrid/>
        </w:rPr>
        <w:t>.  For additional information about this proceeding, contact Michelle Branigan, Consumer Policy Division, Consumer and Governmental Affairs Bureau, Federal Communications Commission, at (202) 418-1345 or Michelle.Branigan@fcc.gov.</w:t>
      </w:r>
    </w:p>
    <w:p w:rsidR="00725C86" w:rsidRPr="00816744" w:rsidP="00725C86" w14:paraId="6805DFED" w14:textId="77777777">
      <w:pPr>
        <w:pStyle w:val="Heading1"/>
      </w:pPr>
      <w:bookmarkStart w:id="342" w:name="_Toc231300320"/>
      <w:bookmarkStart w:id="343" w:name="_Toc231985438"/>
      <w:bookmarkStart w:id="344" w:name="_Toc233617901"/>
      <w:bookmarkStart w:id="345" w:name="_Toc233618235"/>
      <w:bookmarkStart w:id="346" w:name="_Toc235613392"/>
      <w:r w:rsidRPr="00816744">
        <w:t>Ordering Clauses</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2"/>
      <w:bookmarkEnd w:id="343"/>
      <w:bookmarkEnd w:id="344"/>
      <w:bookmarkEnd w:id="345"/>
      <w:bookmarkEnd w:id="346"/>
      <w:r w:rsidRPr="00816744">
        <w:t xml:space="preserve"> </w:t>
      </w:r>
      <w:bookmarkEnd w:id="340"/>
      <w:bookmarkEnd w:id="341"/>
    </w:p>
    <w:p w:rsidR="00725C86" w:rsidRPr="00301716" w:rsidP="00725C86" w14:paraId="446C8580" w14:textId="77777777">
      <w:pPr>
        <w:pStyle w:val="ParaNum"/>
        <w:rPr>
          <w:snapToGrid/>
        </w:rPr>
      </w:pPr>
      <w:r w:rsidRPr="00301716">
        <w:rPr>
          <w:snapToGrid/>
        </w:rPr>
        <w:t xml:space="preserve">Accordingly, </w:t>
      </w:r>
      <w:r w:rsidRPr="00301716">
        <w:rPr>
          <w:b/>
          <w:bCs/>
          <w:snapToGrid/>
        </w:rPr>
        <w:t>IT IS ORDERED</w:t>
      </w:r>
      <w:r w:rsidRPr="00301716">
        <w:rPr>
          <w:snapToGrid/>
        </w:rPr>
        <w:t xml:space="preserve"> that, pursuant to the authority found in sections 13, 201(b), 254, 257, 301, 303, 316, and 332 of the Communications Act of 1934, as amended, 47 U.S.C. §§ 163, 201(b), 254, 257, 301, 303, 316, 332, and section 60504 of the Infrastructure Investment and Jobs Act, Pub. L. 117-58, 135 Stat. 429, 1244 (2021), 47 U.S.C. § 1753, this Report and Order is hereby </w:t>
      </w:r>
      <w:r w:rsidRPr="00301716">
        <w:rPr>
          <w:b/>
          <w:bCs/>
          <w:snapToGrid/>
        </w:rPr>
        <w:t>ADOPTED</w:t>
      </w:r>
      <w:r w:rsidRPr="00301716">
        <w:rPr>
          <w:snapToGrid/>
        </w:rPr>
        <w:t>.</w:t>
      </w:r>
      <w:r>
        <w:rPr>
          <w:rStyle w:val="FootnoteReference"/>
        </w:rPr>
        <w:footnoteReference w:id="157"/>
      </w:r>
    </w:p>
    <w:p w:rsidR="00725C86" w:rsidRPr="00301716" w:rsidP="00725C86" w14:paraId="124A69C0" w14:textId="77777777">
      <w:pPr>
        <w:pStyle w:val="ParaNum"/>
        <w:rPr>
          <w:snapToGrid/>
        </w:rPr>
      </w:pPr>
      <w:r w:rsidRPr="00301716">
        <w:rPr>
          <w:b/>
          <w:bCs/>
          <w:snapToGrid/>
        </w:rPr>
        <w:t>IT IS FURTHER ORDERED</w:t>
      </w:r>
      <w:r w:rsidRPr="00301716">
        <w:rPr>
          <w:snapToGrid/>
        </w:rPr>
        <w:t xml:space="preserve"> that Part 8 of the Commission’s Rules </w:t>
      </w:r>
      <w:r w:rsidRPr="00301716">
        <w:rPr>
          <w:b/>
          <w:bCs/>
          <w:snapToGrid/>
        </w:rPr>
        <w:t>IS AMENDED</w:t>
      </w:r>
      <w:r w:rsidRPr="00301716">
        <w:rPr>
          <w:snapToGrid/>
        </w:rPr>
        <w:t xml:space="preserve"> as set forth in Appendix A of this Report and Order. </w:t>
      </w:r>
    </w:p>
    <w:p w:rsidR="00725C86" w:rsidRPr="00301716" w:rsidP="00725C86" w14:paraId="4BC7B3F4" w14:textId="77777777">
      <w:pPr>
        <w:pStyle w:val="ParaNum"/>
        <w:rPr>
          <w:snapToGrid/>
        </w:rPr>
      </w:pPr>
      <w:r w:rsidRPr="00301716">
        <w:rPr>
          <w:b/>
          <w:bCs/>
          <w:snapToGrid/>
        </w:rPr>
        <w:t>IT IS FURTHER ORDERED</w:t>
      </w:r>
      <w:r w:rsidRPr="00301716">
        <w:rPr>
          <w:snapToGrid/>
        </w:rPr>
        <w:t xml:space="preserve"> </w:t>
      </w:r>
      <w:r>
        <w:rPr>
          <w:snapToGrid/>
        </w:rPr>
        <w:t xml:space="preserve">that </w:t>
      </w:r>
      <w:r w:rsidRPr="00301716">
        <w:rPr>
          <w:snapToGrid/>
        </w:rPr>
        <w:t xml:space="preserve">the amendments </w:t>
      </w:r>
      <w:r>
        <w:rPr>
          <w:snapToGrid/>
        </w:rPr>
        <w:t xml:space="preserve">to section 8.1(b) of the Commission’s rules, </w:t>
      </w:r>
      <w:r w:rsidRPr="00301716">
        <w:rPr>
          <w:snapToGrid/>
        </w:rPr>
        <w:t>set forth in Appendix A of this Report and Order</w:t>
      </w:r>
      <w:r>
        <w:rPr>
          <w:snapToGrid/>
        </w:rPr>
        <w:t>,</w:t>
      </w:r>
      <w:r w:rsidRPr="00301716">
        <w:rPr>
          <w:snapToGrid/>
        </w:rPr>
        <w:t xml:space="preserve"> </w:t>
      </w:r>
      <w:r w:rsidRPr="00301716">
        <w:rPr>
          <w:b/>
          <w:bCs/>
          <w:snapToGrid/>
        </w:rPr>
        <w:t>SHALL BE EFFECTIVE</w:t>
      </w:r>
      <w:r w:rsidRPr="00301716">
        <w:rPr>
          <w:snapToGrid/>
        </w:rPr>
        <w:t xml:space="preserve"> 30 days after publication in the Federal Register, </w:t>
      </w:r>
      <w:r>
        <w:rPr>
          <w:snapToGrid/>
        </w:rPr>
        <w:t xml:space="preserve">and the amendments to section 8.1(a) of the Commission’s rules, set forth in Appendix A, </w:t>
      </w:r>
      <w:r w:rsidRPr="00301716">
        <w:rPr>
          <w:snapToGrid/>
        </w:rPr>
        <w:t xml:space="preserve">will not become effective until </w:t>
      </w:r>
      <w:r w:rsidRPr="00301716">
        <w:rPr>
          <w:snapToGrid/>
          <w:szCs w:val="22"/>
        </w:rPr>
        <w:t xml:space="preserve">the Office of Management and Budget completes review of any information collection requirements that the Consumer and Governmental Affairs Bureau determines is required under the Paperwork Reduction Act.  The Commission directs the Consumer and Governmental Affairs Bureau to announce the effective date of </w:t>
      </w:r>
      <w:r>
        <w:rPr>
          <w:snapToGrid/>
          <w:szCs w:val="22"/>
        </w:rPr>
        <w:t xml:space="preserve">the amendments to section 8.1(a) of the </w:t>
      </w:r>
      <w:r w:rsidRPr="00301716">
        <w:rPr>
          <w:snapToGrid/>
          <w:szCs w:val="22"/>
        </w:rPr>
        <w:t>rules by subsequent Public Notice</w:t>
      </w:r>
      <w:r w:rsidRPr="00301716">
        <w:rPr>
          <w:snapToGrid/>
        </w:rPr>
        <w:t>.</w:t>
      </w:r>
    </w:p>
    <w:p w:rsidR="00725C86" w:rsidRPr="00301716" w:rsidP="00725C86" w14:paraId="474F833D" w14:textId="77777777">
      <w:pPr>
        <w:pStyle w:val="ParaNum"/>
        <w:rPr>
          <w:snapToGrid/>
        </w:rPr>
      </w:pPr>
      <w:r w:rsidRPr="00301716">
        <w:rPr>
          <w:b/>
          <w:bCs/>
          <w:snapToGrid/>
        </w:rPr>
        <w:t>IT IS FURTHER ORDERED</w:t>
      </w:r>
      <w:r w:rsidRPr="00301716">
        <w:rPr>
          <w:snapToGrid/>
        </w:rPr>
        <w:t xml:space="preserve"> that the Commission’s rulemaking proceeding initiated by the First Further Notice of Proposed Rulemaking in CG Docket No. 22-</w:t>
      </w:r>
      <w:r w:rsidRPr="00816744">
        <w:t xml:space="preserve">2 </w:t>
      </w:r>
      <w:r w:rsidRPr="00301716">
        <w:rPr>
          <w:b/>
          <w:bCs/>
          <w:snapToGrid/>
        </w:rPr>
        <w:t>IS HEREBY TERMINATED</w:t>
      </w:r>
      <w:r w:rsidRPr="00301716">
        <w:rPr>
          <w:snapToGrid/>
        </w:rPr>
        <w:t xml:space="preserve">. </w:t>
      </w:r>
    </w:p>
    <w:p w:rsidR="00725C86" w:rsidRPr="00301716" w:rsidP="00725C86" w14:paraId="506A8EB4" w14:textId="77777777">
      <w:pPr>
        <w:pStyle w:val="ParaNum"/>
        <w:rPr>
          <w:snapToGrid/>
        </w:rPr>
      </w:pPr>
      <w:r w:rsidRPr="00301716">
        <w:rPr>
          <w:b/>
          <w:bCs/>
          <w:snapToGrid/>
        </w:rPr>
        <w:t>IT IS FURTHER ORDERED</w:t>
      </w:r>
      <w:r w:rsidRPr="00301716">
        <w:rPr>
          <w:snapToGrid/>
        </w:rPr>
        <w:t xml:space="preserve"> that the Commission’s Office of the Secretary </w:t>
      </w:r>
      <w:r w:rsidRPr="00301716">
        <w:rPr>
          <w:b/>
          <w:bCs/>
          <w:snapToGrid/>
        </w:rPr>
        <w:t>SHALL SEND</w:t>
      </w:r>
      <w:r w:rsidRPr="00301716">
        <w:rPr>
          <w:snapToGrid/>
        </w:rPr>
        <w:t xml:space="preserve"> a copy of this </w:t>
      </w:r>
      <w:r w:rsidRPr="00301716">
        <w:rPr>
          <w:i/>
          <w:snapToGrid/>
        </w:rPr>
        <w:t>Report and Order</w:t>
      </w:r>
      <w:r w:rsidRPr="00301716">
        <w:rPr>
          <w:snapToGrid/>
        </w:rPr>
        <w:t>, including the Final Regulatory Flexibility Analysis, to the Chief Counsel for Advocacy of the Small Business Administration.</w:t>
      </w:r>
      <w:r>
        <w:rPr>
          <w:rStyle w:val="FootnoteReference"/>
        </w:rPr>
        <w:footnoteReference w:id="158"/>
      </w:r>
    </w:p>
    <w:p w:rsidR="00725C86" w:rsidRPr="00301716" w:rsidP="00725C86" w14:paraId="22F17D8A" w14:textId="77777777">
      <w:pPr>
        <w:pStyle w:val="ParaNum"/>
        <w:rPr>
          <w:snapToGrid/>
        </w:rPr>
      </w:pPr>
      <w:r w:rsidRPr="00301716">
        <w:rPr>
          <w:b/>
          <w:bCs/>
          <w:snapToGrid/>
        </w:rPr>
        <w:t>IT IS FURTHER ORDERED</w:t>
      </w:r>
      <w:r w:rsidRPr="00301716">
        <w:rPr>
          <w:snapToGrid/>
        </w:rPr>
        <w:t xml:space="preserve"> that the Office of the Managing Director, Performance Program Management, </w:t>
      </w:r>
      <w:r w:rsidRPr="00301716">
        <w:rPr>
          <w:b/>
          <w:bCs/>
          <w:snapToGrid/>
        </w:rPr>
        <w:t>SHALL SEND</w:t>
      </w:r>
      <w:r w:rsidRPr="00301716">
        <w:rPr>
          <w:snapToGrid/>
        </w:rPr>
        <w:t xml:space="preserve"> a copy of this Report and Order in a report to Congress and the Government Accountability Office pursuant to the Congressional Review Act, 5 U.S.C. § 801(a)(1)(A).</w:t>
      </w:r>
    </w:p>
    <w:p w:rsidR="00725C86" w:rsidRPr="00301716" w:rsidP="00725C86" w14:paraId="2569CB0F" w14:textId="77777777">
      <w:pPr>
        <w:tabs>
          <w:tab w:val="left" w:pos="720"/>
        </w:tabs>
        <w:snapToGrid w:val="0"/>
        <w:spacing w:after="120"/>
        <w:ind w:left="720"/>
        <w:rPr>
          <w:snapToGrid/>
        </w:rPr>
      </w:pPr>
    </w:p>
    <w:p w:rsidR="00725C86" w:rsidRPr="00301716" w:rsidP="00725C86" w14:paraId="669FD391" w14:textId="77777777">
      <w:pPr>
        <w:snapToGrid w:val="0"/>
        <w:ind w:left="3600" w:firstLine="720"/>
        <w:rPr>
          <w:snapToGrid/>
        </w:rPr>
      </w:pPr>
      <w:r w:rsidRPr="00301716">
        <w:rPr>
          <w:snapToGrid/>
        </w:rPr>
        <w:t>FEDERAL COMMUNICATIONS COMMISSION</w:t>
      </w:r>
    </w:p>
    <w:p w:rsidR="00725C86" w:rsidRPr="00301716" w:rsidP="00725C86" w14:paraId="1C8448B4" w14:textId="77777777">
      <w:pPr>
        <w:snapToGrid w:val="0"/>
        <w:rPr>
          <w:snapToGrid/>
        </w:rPr>
      </w:pPr>
    </w:p>
    <w:p w:rsidR="00725C86" w:rsidRPr="00301716" w:rsidP="00725C86" w14:paraId="19E5F1DE" w14:textId="77777777">
      <w:pPr>
        <w:snapToGrid w:val="0"/>
        <w:rPr>
          <w:snapToGrid/>
        </w:rPr>
      </w:pPr>
    </w:p>
    <w:p w:rsidR="00725C86" w:rsidRPr="00301716" w:rsidP="00725C86" w14:paraId="257C8846" w14:textId="77777777">
      <w:pPr>
        <w:snapToGrid w:val="0"/>
        <w:rPr>
          <w:snapToGrid/>
        </w:rPr>
      </w:pPr>
    </w:p>
    <w:p w:rsidR="00725C86" w:rsidRPr="00301716" w:rsidP="00725C86" w14:paraId="3584A8DE" w14:textId="77777777">
      <w:pPr>
        <w:snapToGrid w:val="0"/>
        <w:rPr>
          <w:snapToGrid/>
        </w:rPr>
      </w:pPr>
    </w:p>
    <w:p w:rsidR="00725C86" w:rsidRPr="00301716" w:rsidP="00725C86" w14:paraId="3D4F1268" w14:textId="77777777">
      <w:pPr>
        <w:snapToGrid w:val="0"/>
        <w:ind w:left="3600" w:firstLine="720"/>
        <w:rPr>
          <w:snapToGrid/>
        </w:rPr>
      </w:pPr>
      <w:r w:rsidRPr="00301716">
        <w:rPr>
          <w:snapToGrid/>
        </w:rPr>
        <w:t>Marlene H. Dortch</w:t>
      </w:r>
    </w:p>
    <w:p w:rsidR="00725C86" w:rsidRPr="00301716" w:rsidP="00725C86" w14:paraId="1D81FDBE" w14:textId="77777777">
      <w:pPr>
        <w:snapToGrid w:val="0"/>
        <w:ind w:left="3600" w:firstLine="720"/>
        <w:rPr>
          <w:snapToGrid/>
        </w:rPr>
      </w:pPr>
      <w:r w:rsidRPr="00301716">
        <w:rPr>
          <w:snapToGrid/>
        </w:rPr>
        <w:t>Secretary</w:t>
      </w:r>
    </w:p>
    <w:p w:rsidR="00725C86" w:rsidRPr="00301716" w:rsidP="00725C86" w14:paraId="1EF03353" w14:textId="77777777">
      <w:pPr>
        <w:widowControl/>
        <w:sectPr w:rsidSect="00725C86">
          <w:headerReference w:type="default" r:id="rId7"/>
          <w:footerReference w:type="default" r:id="rId8"/>
          <w:headerReference w:type="first" r:id="rId9"/>
          <w:endnotePr>
            <w:numFmt w:val="decimal"/>
          </w:endnotePr>
          <w:pgSz w:w="12240" w:h="15840"/>
          <w:pgMar w:top="1440" w:right="1440" w:bottom="720" w:left="1440" w:header="720" w:footer="720" w:gutter="0"/>
          <w:pgNumType w:start="1"/>
          <w:cols w:space="720"/>
          <w:titlePg/>
          <w:docGrid w:linePitch="299"/>
        </w:sectPr>
      </w:pPr>
    </w:p>
    <w:p w:rsidR="00725C86" w:rsidRPr="00301716" w:rsidP="00725C86" w14:paraId="7FEDADB2" w14:textId="77777777">
      <w:pPr>
        <w:snapToGrid w:val="0"/>
        <w:jc w:val="center"/>
        <w:rPr>
          <w:b/>
          <w:snapToGrid/>
        </w:rPr>
      </w:pPr>
      <w:r w:rsidRPr="00301716">
        <w:rPr>
          <w:b/>
          <w:snapToGrid/>
        </w:rPr>
        <w:t xml:space="preserve">APPENDIX A </w:t>
      </w:r>
    </w:p>
    <w:p w:rsidR="00725C86" w:rsidRPr="00301716" w:rsidP="00725C86" w14:paraId="5C2D8EDB" w14:textId="77777777">
      <w:pPr>
        <w:snapToGrid w:val="0"/>
        <w:jc w:val="center"/>
        <w:rPr>
          <w:b/>
          <w:snapToGrid/>
        </w:rPr>
      </w:pPr>
    </w:p>
    <w:p w:rsidR="00725C86" w:rsidRPr="00301716" w:rsidP="00725C86" w14:paraId="5ACE57E0" w14:textId="77777777">
      <w:pPr>
        <w:snapToGrid w:val="0"/>
        <w:jc w:val="center"/>
        <w:rPr>
          <w:b/>
          <w:snapToGrid/>
        </w:rPr>
      </w:pPr>
      <w:r w:rsidRPr="00301716">
        <w:rPr>
          <w:b/>
          <w:snapToGrid/>
        </w:rPr>
        <w:t>Final Rules</w:t>
      </w:r>
    </w:p>
    <w:p w:rsidR="00725C86" w:rsidRPr="00301716" w:rsidP="00725C86" w14:paraId="390E10EE" w14:textId="77777777">
      <w:pPr>
        <w:snapToGrid w:val="0"/>
        <w:rPr>
          <w:snapToGrid/>
        </w:rPr>
      </w:pPr>
    </w:p>
    <w:p w:rsidR="00725C86" w:rsidRPr="00301716" w:rsidP="00725C86" w14:paraId="6BAC4B28" w14:textId="38A8A78A">
      <w:pPr>
        <w:snapToGrid w:val="0"/>
        <w:rPr>
          <w:snapToGrid/>
        </w:rPr>
      </w:pPr>
      <w:r w:rsidRPr="00301716">
        <w:rPr>
          <w:snapToGrid/>
        </w:rPr>
        <w:t xml:space="preserve">For the reasons </w:t>
      </w:r>
      <w:r w:rsidR="00C22514">
        <w:rPr>
          <w:snapToGrid/>
        </w:rPr>
        <w:t xml:space="preserve">discussed </w:t>
      </w:r>
      <w:r w:rsidR="002D032B">
        <w:rPr>
          <w:snapToGrid/>
        </w:rPr>
        <w:t>in the document above</w:t>
      </w:r>
      <w:r w:rsidRPr="00301716">
        <w:rPr>
          <w:snapToGrid/>
        </w:rPr>
        <w:t>, the Federal Communications Commission amends 47 CFR part 8 as follows:</w:t>
      </w:r>
    </w:p>
    <w:p w:rsidR="00725C86" w:rsidRPr="00301716" w:rsidP="00725C86" w14:paraId="4BCC2F6C" w14:textId="77777777">
      <w:pPr>
        <w:snapToGrid w:val="0"/>
        <w:rPr>
          <w:snapToGrid/>
        </w:rPr>
      </w:pPr>
    </w:p>
    <w:p w:rsidR="00725C86" w:rsidRPr="00301716" w:rsidP="00725C86" w14:paraId="73441FAB" w14:textId="77777777">
      <w:pPr>
        <w:snapToGrid w:val="0"/>
        <w:rPr>
          <w:b/>
          <w:bCs/>
          <w:snapToGrid/>
        </w:rPr>
      </w:pPr>
      <w:r w:rsidRPr="00301716">
        <w:rPr>
          <w:b/>
          <w:bCs/>
          <w:snapToGrid/>
        </w:rPr>
        <w:t xml:space="preserve">PART 8— INTERNET TRANSPARENCY FOR CONSUMERS </w:t>
      </w:r>
    </w:p>
    <w:p w:rsidR="00725C86" w:rsidRPr="00301716" w:rsidP="00725C86" w14:paraId="177FD05F" w14:textId="77777777">
      <w:pPr>
        <w:snapToGrid w:val="0"/>
        <w:ind w:left="720"/>
        <w:rPr>
          <w:b/>
          <w:bCs/>
          <w:snapToGrid/>
        </w:rPr>
      </w:pPr>
    </w:p>
    <w:p w:rsidR="00725C86" w:rsidRPr="00301716" w:rsidP="00A72E83" w14:paraId="1D6979B2" w14:textId="77777777">
      <w:pPr>
        <w:snapToGrid w:val="0"/>
        <w:ind w:firstLine="720"/>
        <w:rPr>
          <w:snapToGrid/>
        </w:rPr>
      </w:pPr>
      <w:r w:rsidRPr="00301716">
        <w:rPr>
          <w:snapToGrid/>
        </w:rPr>
        <w:t>1. The authority citation for part 8 continues to read as follows:</w:t>
      </w:r>
    </w:p>
    <w:p w:rsidR="00725C86" w:rsidRPr="00301716" w:rsidP="00725C86" w14:paraId="726E6971" w14:textId="77777777">
      <w:pPr>
        <w:snapToGrid w:val="0"/>
        <w:rPr>
          <w:b/>
          <w:bCs/>
          <w:snapToGrid/>
        </w:rPr>
      </w:pPr>
    </w:p>
    <w:p w:rsidR="00725C86" w:rsidRPr="00301716" w:rsidP="00725C86" w14:paraId="10D014B5" w14:textId="77777777">
      <w:pPr>
        <w:snapToGrid w:val="0"/>
        <w:rPr>
          <w:snapToGrid/>
        </w:rPr>
      </w:pPr>
      <w:r w:rsidRPr="00301716">
        <w:rPr>
          <w:b/>
          <w:bCs/>
          <w:snapToGrid/>
        </w:rPr>
        <w:t>Authority</w:t>
      </w:r>
      <w:r w:rsidRPr="00301716">
        <w:rPr>
          <w:snapToGrid/>
        </w:rPr>
        <w:t>:</w:t>
      </w:r>
      <w:r w:rsidRPr="00301716">
        <w:rPr>
          <w:b/>
          <w:bCs/>
          <w:snapToGrid/>
        </w:rPr>
        <w:t xml:space="preserve">  </w:t>
      </w:r>
      <w:r w:rsidRPr="00301716">
        <w:rPr>
          <w:snapToGrid/>
        </w:rPr>
        <w:t>47 U.S.C. 151, 152, 154, 201(b), 257, 302a, 303(r), 312, 333, 503 and 1753.</w:t>
      </w:r>
      <w:r w:rsidRPr="00301716">
        <w:rPr>
          <w:b/>
          <w:bCs/>
          <w:snapToGrid/>
        </w:rPr>
        <w:t xml:space="preserve">  </w:t>
      </w:r>
    </w:p>
    <w:p w:rsidR="00725C86" w:rsidRPr="00301716" w:rsidP="00725C86" w14:paraId="19B71296" w14:textId="77777777">
      <w:pPr>
        <w:snapToGrid w:val="0"/>
        <w:rPr>
          <w:snapToGrid/>
        </w:rPr>
      </w:pPr>
    </w:p>
    <w:p w:rsidR="00725C86" w:rsidRPr="00301716" w:rsidP="00725C86" w14:paraId="1F50CC20" w14:textId="77777777">
      <w:pPr>
        <w:snapToGrid w:val="0"/>
        <w:rPr>
          <w:b/>
          <w:bCs/>
          <w:snapToGrid/>
        </w:rPr>
      </w:pPr>
      <w:r w:rsidRPr="00301716">
        <w:rPr>
          <w:b/>
          <w:bCs/>
          <w:snapToGrid/>
        </w:rPr>
        <w:t>SUBPART A – Broadband Transparency</w:t>
      </w:r>
    </w:p>
    <w:p w:rsidR="00725C86" w:rsidRPr="00301716" w:rsidP="00725C86" w14:paraId="79B3B3F9" w14:textId="77777777">
      <w:pPr>
        <w:snapToGrid w:val="0"/>
        <w:rPr>
          <w:snapToGrid/>
        </w:rPr>
      </w:pPr>
    </w:p>
    <w:p w:rsidR="00725C86" w:rsidRPr="00301716" w:rsidP="00A72E83" w14:paraId="7E0C5B2D" w14:textId="140FC8BA">
      <w:pPr>
        <w:snapToGrid w:val="0"/>
        <w:ind w:firstLine="720"/>
        <w:rPr>
          <w:snapToGrid/>
        </w:rPr>
      </w:pPr>
      <w:r w:rsidRPr="00301716">
        <w:rPr>
          <w:snapToGrid/>
        </w:rPr>
        <w:t xml:space="preserve">2.  Delayed indefinitely, </w:t>
      </w:r>
      <w:r w:rsidR="002D032B">
        <w:rPr>
          <w:snapToGrid/>
        </w:rPr>
        <w:t xml:space="preserve">further </w:t>
      </w:r>
      <w:r w:rsidRPr="00301716">
        <w:rPr>
          <w:snapToGrid/>
        </w:rPr>
        <w:t>amend § 8.1 by revising paragraph (a) to read as follows:</w:t>
      </w:r>
    </w:p>
    <w:p w:rsidR="00725C86" w:rsidRPr="00301716" w:rsidP="00725C86" w14:paraId="3B12DA23" w14:textId="77777777">
      <w:pPr>
        <w:snapToGrid w:val="0"/>
        <w:rPr>
          <w:snapToGrid/>
        </w:rPr>
      </w:pPr>
    </w:p>
    <w:p w:rsidR="00725C86" w:rsidRPr="00301716" w:rsidP="00725C86" w14:paraId="5D47563E" w14:textId="77777777">
      <w:pPr>
        <w:snapToGrid w:val="0"/>
        <w:rPr>
          <w:b/>
          <w:bCs/>
          <w:snapToGrid/>
        </w:rPr>
      </w:pPr>
      <w:r w:rsidRPr="00301716">
        <w:rPr>
          <w:b/>
          <w:bCs/>
          <w:snapToGrid/>
        </w:rPr>
        <w:t>§ 8.1 Transparency.</w:t>
      </w:r>
    </w:p>
    <w:p w:rsidR="00725C86" w:rsidRPr="00301716" w:rsidP="00725C86" w14:paraId="14C46716" w14:textId="77777777">
      <w:pPr>
        <w:snapToGrid w:val="0"/>
        <w:rPr>
          <w:snapToGrid/>
        </w:rPr>
      </w:pPr>
    </w:p>
    <w:p w:rsidR="00725C86" w:rsidRPr="00301716" w:rsidP="00725C86" w14:paraId="4DB3734F" w14:textId="77777777">
      <w:pPr>
        <w:snapToGrid w:val="0"/>
        <w:rPr>
          <w:snapToGrid/>
        </w:rPr>
      </w:pPr>
      <w:r w:rsidRPr="00301716">
        <w:rPr>
          <w:snapToGrid/>
        </w:rPr>
        <w:t xml:space="preserve">(a) * * * </w:t>
      </w:r>
    </w:p>
    <w:p w:rsidR="00725C86" w:rsidRPr="00301716" w:rsidP="00725C86" w14:paraId="785B8001" w14:textId="77777777">
      <w:pPr>
        <w:snapToGrid w:val="0"/>
        <w:ind w:left="720"/>
        <w:rPr>
          <w:snapToGrid/>
        </w:rPr>
      </w:pPr>
    </w:p>
    <w:p w:rsidR="00725C86" w:rsidRPr="00301716" w:rsidP="00725C86" w14:paraId="694A8C30" w14:textId="317EA7EC">
      <w:pPr>
        <w:snapToGrid w:val="0"/>
        <w:rPr>
          <w:strike/>
          <w:snapToGrid/>
        </w:rPr>
      </w:pPr>
      <w:r w:rsidRPr="00301716">
        <w:rPr>
          <w:snapToGrid/>
        </w:rPr>
        <w:t>(1)</w:t>
      </w:r>
      <w:r w:rsidRPr="00301716">
        <w:rPr>
          <w:b/>
          <w:bCs/>
          <w:snapToGrid/>
        </w:rPr>
        <w:t>(</w:t>
      </w:r>
      <w:r w:rsidRPr="00301716">
        <w:rPr>
          <w:b/>
          <w:bCs/>
          <w:snapToGrid/>
        </w:rPr>
        <w:t>i</w:t>
      </w:r>
      <w:r w:rsidRPr="00301716">
        <w:rPr>
          <w:b/>
          <w:bCs/>
          <w:snapToGrid/>
        </w:rPr>
        <w:t>)</w:t>
      </w:r>
      <w:r w:rsidRPr="00301716">
        <w:rPr>
          <w:snapToGrid/>
        </w:rPr>
        <w:t xml:space="preserve"> Any person providing broadband internet access service shall create and display an accurate broadband consumer label for each stand-alone broadband internet access service it currently offers for purchase.  The label must be prominently displayed, publicly available, and easily accessible to consumers, including consumers with disabilities,</w:t>
      </w:r>
      <w:r w:rsidRPr="00301716">
        <w:rPr>
          <w:b/>
          <w:snapToGrid/>
        </w:rPr>
        <w:t xml:space="preserve"> </w:t>
      </w:r>
      <w:r w:rsidRPr="00301716">
        <w:rPr>
          <w:snapToGrid/>
        </w:rPr>
        <w:t xml:space="preserve">at the point of sale with the content and in the format prescribed by the Commission in “[Fixed or Mobile] Broadband Consumer Disclosure Label,” </w:t>
      </w:r>
      <w:r w:rsidRPr="00301716">
        <w:rPr>
          <w:b/>
          <w:bCs/>
          <w:snapToGrid/>
        </w:rPr>
        <w:t xml:space="preserve">located at </w:t>
      </w:r>
      <w:r>
        <w:rPr>
          <w:b/>
        </w:rPr>
        <w:t>www.</w:t>
      </w:r>
      <w:r w:rsidRPr="00985B22">
        <w:rPr>
          <w:color w:val="000000"/>
        </w:rPr>
        <w:t xml:space="preserve"> </w:t>
      </w:r>
      <w:r>
        <w:rPr>
          <w:b/>
        </w:rPr>
        <w:t>fcc</w:t>
      </w:r>
      <w:r w:rsidRPr="00985B22">
        <w:rPr>
          <w:b/>
        </w:rPr>
        <w:t>.gov/</w:t>
      </w:r>
      <w:r w:rsidRPr="00985B22">
        <w:rPr>
          <w:b/>
        </w:rPr>
        <w:t>broadbandlabels</w:t>
      </w:r>
      <w:r w:rsidR="00437C4E">
        <w:rPr>
          <w:b/>
        </w:rPr>
        <w:t xml:space="preserve"> </w:t>
      </w:r>
      <w:r w:rsidRPr="00723E1A" w:rsidR="00437C4E">
        <w:rPr>
          <w:bCs/>
          <w:strike/>
        </w:rPr>
        <w:t>i</w:t>
      </w:r>
      <w:r w:rsidRPr="00301716">
        <w:rPr>
          <w:strike/>
          <w:snapToGrid/>
        </w:rPr>
        <w:t>n figure 1 to this paragraph (a)(1)</w:t>
      </w:r>
      <w:r w:rsidRPr="00301716">
        <w:rPr>
          <w:snapToGrid/>
        </w:rPr>
        <w:t>.</w:t>
      </w:r>
      <w:r w:rsidRPr="00301716">
        <w:rPr>
          <w:strike/>
          <w:snapToGrid/>
        </w:rPr>
        <w:t xml:space="preserve">  </w:t>
      </w:r>
    </w:p>
    <w:p w:rsidR="00725C86" w:rsidRPr="00301716" w:rsidP="00725C86" w14:paraId="6BF107F1" w14:textId="77777777">
      <w:pPr>
        <w:snapToGrid w:val="0"/>
        <w:rPr>
          <w:strike/>
          <w:snapToGrid/>
        </w:rPr>
      </w:pPr>
    </w:p>
    <w:p w:rsidR="00725C86" w:rsidRPr="00301716" w:rsidP="00725C86" w14:paraId="18CAA815" w14:textId="77777777">
      <w:pPr>
        <w:snapToGrid w:val="0"/>
        <w:rPr>
          <w:strike/>
          <w:snapToGrid/>
        </w:rPr>
      </w:pPr>
      <w:r w:rsidRPr="00301716">
        <w:rPr>
          <w:strike/>
          <w:snapToGrid/>
        </w:rPr>
        <w:t>Figure 1 to Paragraph (a)(1)—[Fixed or Mobile] Broadband Consumer Disclosure Label</w:t>
      </w:r>
    </w:p>
    <w:p w:rsidR="00725C86" w:rsidRPr="00301716" w:rsidP="00725C86" w14:paraId="319EE71A" w14:textId="77777777">
      <w:pPr>
        <w:snapToGrid w:val="0"/>
        <w:rPr>
          <w:snapToGrid/>
        </w:rPr>
      </w:pPr>
    </w:p>
    <w:p w:rsidR="00725C86" w:rsidRPr="00301716" w:rsidP="00725C86" w14:paraId="38149023" w14:textId="77777777">
      <w:pPr>
        <w:snapToGrid w:val="0"/>
        <w:rPr>
          <w:b/>
          <w:bCs/>
          <w:snapToGrid/>
        </w:rPr>
      </w:pPr>
      <w:r w:rsidRPr="00301716">
        <w:rPr>
          <w:b/>
          <w:bCs/>
          <w:snapToGrid/>
        </w:rPr>
        <w:t>(ii) A label shall itemize any monthly fees not included in the monthly price, except that passthrough fees may be presented in the aggregate, as either the maximum monthly total or the exact monthly total of such fees assessed on subscribers in the geographic area to which the label applies.</w:t>
      </w:r>
      <w:r>
        <w:rPr>
          <w:b/>
          <w:bCs/>
          <w:snapToGrid/>
        </w:rPr>
        <w:t xml:space="preserve">  Providers opting to display passthrough fees as a maximum “up to” amount must additionally provide on the label a breakdown of this amount into a maximum “up to” amount for passthrough fees that recover government-imposed costs and a maximum “up to” amount for passthrough fees that recover costs imposed by non-governmental, third-party infrastructure owners, and the types of fees included in each of the two categories.  </w:t>
      </w:r>
    </w:p>
    <w:p w:rsidR="00725C86" w:rsidRPr="00301716" w:rsidP="00725C86" w14:paraId="07EA5154" w14:textId="77777777">
      <w:pPr>
        <w:snapToGrid w:val="0"/>
        <w:rPr>
          <w:snapToGrid/>
        </w:rPr>
      </w:pPr>
    </w:p>
    <w:p w:rsidR="00725C86" w:rsidRPr="00301716" w:rsidP="00725C86" w14:paraId="433EC959" w14:textId="77777777">
      <w:pPr>
        <w:widowControl/>
        <w:snapToGrid w:val="0"/>
        <w:rPr>
          <w:snapToGrid/>
        </w:rPr>
      </w:pPr>
      <w:r w:rsidRPr="00301716">
        <w:rPr>
          <w:snapToGrid/>
        </w:rPr>
        <w:t xml:space="preserve">(2) </w:t>
      </w:r>
      <w:r w:rsidRPr="00301716">
        <w:rPr>
          <w:b/>
          <w:snapToGrid/>
        </w:rPr>
        <w:t>(</w:t>
      </w:r>
      <w:r w:rsidRPr="00301716">
        <w:rPr>
          <w:b/>
          <w:snapToGrid/>
        </w:rPr>
        <w:t>i</w:t>
      </w:r>
      <w:r w:rsidRPr="00301716">
        <w:rPr>
          <w:b/>
          <w:snapToGrid/>
        </w:rPr>
        <w:t>)</w:t>
      </w:r>
      <w:r w:rsidRPr="00301716">
        <w:rPr>
          <w:snapToGrid/>
        </w:rPr>
        <w:t xml:space="preserve"> Broadband internet access service providers shall display the label required under paragraph (a)(1) of this section at each point of sale.  </w:t>
      </w:r>
      <w:r w:rsidRPr="00301716">
        <w:rPr>
          <w:i/>
          <w:snapToGrid/>
        </w:rPr>
        <w:t>Point of sale</w:t>
      </w:r>
      <w:r w:rsidRPr="00301716">
        <w:rPr>
          <w:snapToGrid/>
        </w:rPr>
        <w:t xml:space="preserve"> is defined to mean a provider’s website and any alternate sales channels through which the provider’s broadband internet access service is sold, including </w:t>
      </w:r>
      <w:r w:rsidRPr="00301716">
        <w:rPr>
          <w:strike/>
          <w:snapToGrid/>
        </w:rPr>
        <w:t xml:space="preserve">a </w:t>
      </w:r>
      <w:r w:rsidRPr="00301716">
        <w:rPr>
          <w:snapToGrid/>
        </w:rPr>
        <w:t>provider-owned retail locations, third-party retail location</w:t>
      </w:r>
      <w:r w:rsidRPr="00301716">
        <w:rPr>
          <w:b/>
          <w:snapToGrid/>
        </w:rPr>
        <w:t>s</w:t>
      </w:r>
      <w:r w:rsidRPr="00301716">
        <w:rPr>
          <w:snapToGrid/>
        </w:rPr>
        <w:t xml:space="preserve">, and </w:t>
      </w:r>
      <w:r w:rsidRPr="00301716">
        <w:rPr>
          <w:strike/>
          <w:snapToGrid/>
        </w:rPr>
        <w:t>over the phone</w:t>
      </w:r>
      <w:r w:rsidRPr="00301716">
        <w:rPr>
          <w:snapToGrid/>
        </w:rPr>
        <w:t xml:space="preserve"> telephone sales channels.  For labels displayed on provider websites, the label </w:t>
      </w:r>
      <w:r w:rsidRPr="00301716">
        <w:rPr>
          <w:b/>
          <w:snapToGrid/>
        </w:rPr>
        <w:t>(or an icon or link that connects directly to the label</w:t>
      </w:r>
      <w:r w:rsidRPr="00E05D0C">
        <w:rPr>
          <w:b/>
          <w:bCs/>
          <w:snapToGrid/>
        </w:rPr>
        <w:t xml:space="preserve"> and is </w:t>
      </w:r>
      <w:r w:rsidRPr="00E758C0">
        <w:rPr>
          <w:b/>
          <w:snapToGrid/>
        </w:rPr>
        <w:t>clearly identified as a way to access the label for the advertised plan</w:t>
      </w:r>
      <w:r w:rsidRPr="00301716">
        <w:rPr>
          <w:b/>
          <w:snapToGrid/>
        </w:rPr>
        <w:t xml:space="preserve">) </w:t>
      </w:r>
      <w:r w:rsidRPr="00301716">
        <w:rPr>
          <w:snapToGrid/>
        </w:rPr>
        <w:t xml:space="preserve">must be displayed in close proximity to the associated advertised service plan.  </w:t>
      </w:r>
      <w:r w:rsidRPr="00301716">
        <w:rPr>
          <w:i/>
          <w:snapToGrid/>
        </w:rPr>
        <w:t>Point of sale</w:t>
      </w:r>
      <w:r w:rsidRPr="00301716">
        <w:rPr>
          <w:snapToGrid/>
        </w:rPr>
        <w:t xml:space="preserve"> also means the time a consumer begins investigating and comparing broadband service offerings available to them at their location.  For alternate sales channels, providers must document each instance when it directs a consumer to a label and retain such documentation for two years. This requirement will be deemed satisfied if, instead, the provider: establishes the business practices and processes it will follow in distributing the label through alternative sales channels; retains training materials and related business practice documentation for two years; and provides such information to the Commission upon request, within thirty days.  </w:t>
      </w:r>
      <w:r w:rsidRPr="00301716">
        <w:rPr>
          <w:i/>
          <w:snapToGrid/>
        </w:rPr>
        <w:t>Point of sale</w:t>
      </w:r>
      <w:r w:rsidRPr="00301716">
        <w:rPr>
          <w:snapToGrid/>
        </w:rPr>
        <w:t xml:space="preserve"> for purposes of the E-Rate and Rural Health Care programs is defined as the </w:t>
      </w:r>
      <w:r w:rsidRPr="00301716">
        <w:rPr>
          <w:snapToGrid/>
        </w:rPr>
        <w:t xml:space="preserve">time a service provider submits its bid to a program participant.  Providers participating in the E-Rate and Rural Health Care programs must provide their labels to program participants when they submit their bids to participants.  </w:t>
      </w:r>
    </w:p>
    <w:p w:rsidR="00725C86" w:rsidRPr="00301716" w:rsidP="00725C86" w14:paraId="5ABF4042" w14:textId="77777777">
      <w:pPr>
        <w:snapToGrid w:val="0"/>
        <w:ind w:left="720"/>
        <w:rPr>
          <w:snapToGrid/>
        </w:rPr>
      </w:pPr>
    </w:p>
    <w:p w:rsidR="00725C86" w:rsidRPr="00301716" w:rsidP="00725C86" w14:paraId="76111783" w14:textId="77777777">
      <w:pPr>
        <w:snapToGrid w:val="0"/>
        <w:rPr>
          <w:snapToGrid/>
        </w:rPr>
      </w:pPr>
      <w:r w:rsidRPr="00301716">
        <w:rPr>
          <w:b/>
          <w:snapToGrid/>
        </w:rPr>
        <w:t>(ii)</w:t>
      </w:r>
      <w:r w:rsidRPr="00301716">
        <w:rPr>
          <w:snapToGrid/>
        </w:rPr>
        <w:t xml:space="preserve"> Broadband internet access service providers that offer online account portals to their customers shall also make each customer’s </w:t>
      </w:r>
      <w:r w:rsidRPr="00301716">
        <w:rPr>
          <w:b/>
          <w:snapToGrid/>
        </w:rPr>
        <w:t>current plan</w:t>
      </w:r>
      <w:r w:rsidRPr="00301716">
        <w:rPr>
          <w:snapToGrid/>
        </w:rPr>
        <w:t xml:space="preserve"> label easily accessible to the customer in such portals</w:t>
      </w:r>
      <w:r w:rsidRPr="00301716">
        <w:rPr>
          <w:b/>
          <w:bCs/>
          <w:snapToGrid/>
        </w:rPr>
        <w:t xml:space="preserve">, by displaying the label </w:t>
      </w:r>
      <w:r w:rsidRPr="00301716">
        <w:rPr>
          <w:b/>
          <w:snapToGrid/>
        </w:rPr>
        <w:t xml:space="preserve">(or an icon or link that connects directly to the label). </w:t>
      </w:r>
      <w:r w:rsidRPr="00301716">
        <w:rPr>
          <w:snapToGrid/>
        </w:rPr>
        <w:t xml:space="preserve"> </w:t>
      </w:r>
    </w:p>
    <w:p w:rsidR="00725C86" w:rsidRPr="00301716" w:rsidP="00725C86" w14:paraId="08C0003E" w14:textId="77777777">
      <w:pPr>
        <w:snapToGrid w:val="0"/>
        <w:ind w:left="720"/>
        <w:rPr>
          <w:snapToGrid/>
        </w:rPr>
      </w:pPr>
    </w:p>
    <w:p w:rsidR="00725C86" w:rsidRPr="00301716" w:rsidP="00725C86" w14:paraId="48D6038B" w14:textId="77777777">
      <w:pPr>
        <w:snapToGrid w:val="0"/>
        <w:rPr>
          <w:b/>
          <w:snapToGrid/>
        </w:rPr>
      </w:pPr>
      <w:r w:rsidRPr="00301716">
        <w:rPr>
          <w:b/>
          <w:snapToGrid/>
        </w:rPr>
        <w:t>(iii) At telephone points of sale, a provider satisfies the display requirement of paragraph (a)(2) by orally summarizing the following label fields during the sales interaction: monthly price inclusive of monthly fees, including the introductory rate and its duration if applicable; typical download and upload speeds; latency; data allowance; contract term duration if applicable; and early termination fees if applicable.  Verbatim recitation of the label is not required to satisfy this obligation.</w:t>
      </w:r>
    </w:p>
    <w:p w:rsidR="00725C86" w:rsidRPr="00301716" w:rsidP="00725C86" w14:paraId="5552CE1A" w14:textId="77777777">
      <w:pPr>
        <w:snapToGrid w:val="0"/>
        <w:ind w:left="2520"/>
        <w:rPr>
          <w:snapToGrid/>
        </w:rPr>
      </w:pPr>
    </w:p>
    <w:p w:rsidR="00725C86" w:rsidRPr="00301716" w:rsidP="00725C86" w14:paraId="64B996C8" w14:textId="77777777">
      <w:pPr>
        <w:snapToGrid w:val="0"/>
        <w:rPr>
          <w:b/>
          <w:bCs/>
          <w:snapToGrid/>
        </w:rPr>
      </w:pPr>
      <w:r w:rsidRPr="00301716">
        <w:rPr>
          <w:b/>
          <w:bCs/>
          <w:snapToGrid/>
        </w:rPr>
        <w:t>(3) [Removed and Reserved]</w:t>
      </w:r>
    </w:p>
    <w:p w:rsidR="00725C86" w:rsidRPr="00301716" w:rsidP="00725C86" w14:paraId="3EDA609B" w14:textId="77777777">
      <w:pPr>
        <w:snapToGrid w:val="0"/>
        <w:rPr>
          <w:snapToGrid/>
        </w:rPr>
      </w:pPr>
    </w:p>
    <w:p w:rsidR="00725C86" w:rsidRPr="00301716" w:rsidP="00725C86" w14:paraId="5AB8EE01" w14:textId="77777777">
      <w:pPr>
        <w:snapToGrid w:val="0"/>
        <w:rPr>
          <w:snapToGrid/>
        </w:rPr>
      </w:pPr>
      <w:r w:rsidRPr="00301716">
        <w:rPr>
          <w:snapToGrid/>
        </w:rPr>
        <w:t>* * * * *</w:t>
      </w:r>
    </w:p>
    <w:p w:rsidR="00725C86" w:rsidRPr="00301716" w:rsidP="00725C86" w14:paraId="038F7216" w14:textId="77777777">
      <w:pPr>
        <w:snapToGrid w:val="0"/>
        <w:rPr>
          <w:snapToGrid/>
        </w:rPr>
      </w:pPr>
    </w:p>
    <w:p w:rsidR="00725C86" w:rsidRPr="00301716" w:rsidP="00725C86" w14:paraId="311861AD" w14:textId="77777777">
      <w:pPr>
        <w:snapToGrid w:val="0"/>
        <w:rPr>
          <w:b/>
          <w:bCs/>
          <w:snapToGrid/>
        </w:rPr>
      </w:pPr>
      <w:r w:rsidRPr="00301716">
        <w:rPr>
          <w:b/>
          <w:bCs/>
          <w:snapToGrid/>
        </w:rPr>
        <w:t>(5) [Removed and Reserved]</w:t>
      </w:r>
    </w:p>
    <w:p w:rsidR="00725C86" w:rsidRPr="00301716" w:rsidP="00725C86" w14:paraId="0F67FFB8" w14:textId="77777777">
      <w:pPr>
        <w:snapToGrid w:val="0"/>
        <w:rPr>
          <w:snapToGrid/>
        </w:rPr>
      </w:pPr>
    </w:p>
    <w:p w:rsidR="00725C86" w:rsidRPr="00301716" w:rsidP="00725C86" w14:paraId="23C9EF77" w14:textId="77777777">
      <w:pPr>
        <w:snapToGrid w:val="0"/>
        <w:rPr>
          <w:snapToGrid/>
        </w:rPr>
      </w:pPr>
      <w:r w:rsidRPr="00301716">
        <w:rPr>
          <w:snapToGrid/>
        </w:rPr>
        <w:t>* * * * *</w:t>
      </w:r>
    </w:p>
    <w:p w:rsidR="00725C86" w:rsidRPr="00301716" w:rsidP="00725C86" w14:paraId="14F475DC" w14:textId="77777777">
      <w:pPr>
        <w:snapToGrid w:val="0"/>
        <w:ind w:left="720"/>
        <w:rPr>
          <w:snapToGrid/>
        </w:rPr>
      </w:pPr>
    </w:p>
    <w:p w:rsidR="00725C86" w:rsidRPr="00301716" w:rsidP="00725C86" w14:paraId="015A334C" w14:textId="77777777">
      <w:pPr>
        <w:snapToGrid w:val="0"/>
        <w:rPr>
          <w:b/>
          <w:bCs/>
          <w:snapToGrid/>
        </w:rPr>
      </w:pPr>
      <w:r w:rsidRPr="00301716">
        <w:rPr>
          <w:b/>
          <w:bCs/>
          <w:snapToGrid/>
        </w:rPr>
        <w:t>(7) [Removed and Reserved]</w:t>
      </w:r>
    </w:p>
    <w:p w:rsidR="00725C86" w:rsidRPr="00301716" w:rsidP="00725C86" w14:paraId="7C6E8AD3" w14:textId="77777777">
      <w:pPr>
        <w:snapToGrid w:val="0"/>
        <w:rPr>
          <w:b/>
          <w:bCs/>
          <w:snapToGrid/>
        </w:rPr>
      </w:pPr>
    </w:p>
    <w:p w:rsidR="00725C86" w:rsidRPr="00301716" w:rsidP="00725C86" w14:paraId="37D0C4E7" w14:textId="77777777">
      <w:pPr>
        <w:snapToGrid w:val="0"/>
        <w:rPr>
          <w:snapToGrid/>
        </w:rPr>
      </w:pPr>
      <w:r w:rsidRPr="00301716">
        <w:rPr>
          <w:snapToGrid/>
        </w:rPr>
        <w:t>* * * * *</w:t>
      </w:r>
    </w:p>
    <w:p w:rsidR="00725C86" w:rsidRPr="00301716" w:rsidP="00725C86" w14:paraId="5F1EA7DC" w14:textId="77777777">
      <w:pPr>
        <w:snapToGrid w:val="0"/>
        <w:rPr>
          <w:b/>
          <w:bCs/>
          <w:snapToGrid/>
        </w:rPr>
      </w:pPr>
    </w:p>
    <w:p w:rsidR="00725C86" w:rsidRPr="00301716" w:rsidP="00AC7826" w14:paraId="361A89E0" w14:textId="77777777">
      <w:pPr>
        <w:snapToGrid w:val="0"/>
        <w:ind w:firstLine="720"/>
        <w:rPr>
          <w:snapToGrid/>
          <w:szCs w:val="22"/>
        </w:rPr>
      </w:pPr>
      <w:r w:rsidRPr="00301716">
        <w:rPr>
          <w:snapToGrid/>
        </w:rPr>
        <w:t xml:space="preserve">3. </w:t>
      </w:r>
      <w:r w:rsidRPr="00301716">
        <w:rPr>
          <w:snapToGrid/>
          <w:szCs w:val="22"/>
        </w:rPr>
        <w:t>Amend §</w:t>
      </w:r>
      <w:r w:rsidRPr="00301716">
        <w:rPr>
          <w:rFonts w:ascii="Arial" w:hAnsi="Arial" w:cs="Arial"/>
          <w:snapToGrid/>
          <w:szCs w:val="22"/>
        </w:rPr>
        <w:t> </w:t>
      </w:r>
      <w:r w:rsidRPr="00301716">
        <w:rPr>
          <w:snapToGrid/>
          <w:szCs w:val="22"/>
        </w:rPr>
        <w:t>8.1 by revising paragraph (b) to read as follows:</w:t>
      </w:r>
    </w:p>
    <w:p w:rsidR="00725C86" w:rsidRPr="00301716" w:rsidP="00725C86" w14:paraId="33281FE1" w14:textId="77777777">
      <w:pPr>
        <w:snapToGrid w:val="0"/>
        <w:rPr>
          <w:snapToGrid/>
          <w:szCs w:val="22"/>
        </w:rPr>
      </w:pPr>
    </w:p>
    <w:p w:rsidR="00725C86" w:rsidRPr="00301716" w:rsidP="00725C86" w14:paraId="255BDBD9" w14:textId="77777777">
      <w:pPr>
        <w:snapToGrid w:val="0"/>
        <w:rPr>
          <w:b/>
          <w:bCs/>
          <w:snapToGrid/>
        </w:rPr>
      </w:pPr>
      <w:r w:rsidRPr="00301716">
        <w:rPr>
          <w:b/>
          <w:bCs/>
          <w:snapToGrid/>
        </w:rPr>
        <w:t>§ 8.1 Transparency.</w:t>
      </w:r>
    </w:p>
    <w:p w:rsidR="00725C86" w:rsidRPr="00301716" w:rsidP="00725C86" w14:paraId="500DD6E4" w14:textId="77777777">
      <w:pPr>
        <w:snapToGrid w:val="0"/>
        <w:rPr>
          <w:snapToGrid/>
        </w:rPr>
      </w:pPr>
    </w:p>
    <w:p w:rsidR="00725C86" w:rsidRPr="00301716" w:rsidP="00725C86" w14:paraId="3DF9D879" w14:textId="77777777">
      <w:pPr>
        <w:snapToGrid w:val="0"/>
        <w:rPr>
          <w:snapToGrid/>
        </w:rPr>
      </w:pPr>
      <w:r w:rsidRPr="00301716">
        <w:rPr>
          <w:snapToGrid/>
        </w:rPr>
        <w:t>* * *</w:t>
      </w:r>
    </w:p>
    <w:p w:rsidR="00725C86" w:rsidRPr="00301716" w:rsidP="00725C86" w14:paraId="34F26629" w14:textId="77777777">
      <w:pPr>
        <w:snapToGrid w:val="0"/>
        <w:rPr>
          <w:snapToGrid/>
        </w:rPr>
      </w:pPr>
    </w:p>
    <w:p w:rsidR="00725C86" w:rsidRPr="00301716" w:rsidP="00725C86" w14:paraId="52460251" w14:textId="77777777">
      <w:pPr>
        <w:snapToGrid w:val="0"/>
        <w:rPr>
          <w:snapToGrid/>
        </w:rPr>
      </w:pPr>
      <w:r w:rsidRPr="00301716">
        <w:rPr>
          <w:snapToGrid/>
        </w:rPr>
        <w:t>(b)</w:t>
      </w:r>
      <w:r w:rsidRPr="00301716">
        <w:rPr>
          <w:b/>
          <w:bCs/>
          <w:snapToGrid/>
        </w:rPr>
        <w:t>(1)</w:t>
      </w:r>
      <w:r w:rsidRPr="00301716">
        <w:rPr>
          <w:snapToGrid/>
        </w:rPr>
        <w:t xml:space="preserve"> Broadband internet access service is a mass-market retail service by wire or radio that provides the capability to transmit data to and receive data from all or substantially all internet endpoints, including any capabilities that are incidental to and enable the operation of the communications service, but excluding dial-up internet access service. This term also encompasses any service that the Commission finds to be providing a functional equivalent of the service described in the previous sentence or that is used to evade the protections set forth in this part. For purposes of paragraphs (a)(1) through (6) of this section, “mass-market” services exclude service offerings customized for the customer through individually negotiated agreements even when the services are supported by federal universal service support.</w:t>
      </w:r>
    </w:p>
    <w:p w:rsidR="00725C86" w:rsidRPr="00301716" w:rsidP="00725C86" w14:paraId="62D3CBF1" w14:textId="77777777">
      <w:pPr>
        <w:snapToGrid w:val="0"/>
        <w:rPr>
          <w:snapToGrid/>
        </w:rPr>
      </w:pPr>
    </w:p>
    <w:p w:rsidR="00725C86" w:rsidRPr="00301716" w:rsidP="00725C86" w14:paraId="7243D9AE" w14:textId="77777777">
      <w:pPr>
        <w:snapToGrid w:val="0"/>
        <w:rPr>
          <w:b/>
          <w:bCs/>
          <w:snapToGrid/>
        </w:rPr>
      </w:pPr>
      <w:r w:rsidRPr="00301716">
        <w:rPr>
          <w:b/>
          <w:bCs/>
          <w:snapToGrid/>
        </w:rPr>
        <w:t>(2) In this section, “passthrough fee” means a monthly charge that:</w:t>
      </w:r>
    </w:p>
    <w:p w:rsidR="00725C86" w:rsidRPr="00301716" w:rsidP="00725C86" w14:paraId="3002CF17" w14:textId="77777777">
      <w:pPr>
        <w:snapToGrid w:val="0"/>
        <w:rPr>
          <w:b/>
          <w:bCs/>
          <w:snapToGrid/>
        </w:rPr>
      </w:pPr>
      <w:r w:rsidRPr="00301716">
        <w:rPr>
          <w:b/>
          <w:bCs/>
          <w:snapToGrid/>
        </w:rPr>
        <w:t>(</w:t>
      </w:r>
      <w:r w:rsidRPr="00301716">
        <w:rPr>
          <w:b/>
          <w:bCs/>
          <w:snapToGrid/>
        </w:rPr>
        <w:t>i</w:t>
      </w:r>
      <w:r w:rsidRPr="00301716">
        <w:rPr>
          <w:b/>
          <w:bCs/>
          <w:snapToGrid/>
        </w:rPr>
        <w:t xml:space="preserve">) is imposed by a government entity or third-party infrastructure owner rather than set by the provider itself; </w:t>
      </w:r>
    </w:p>
    <w:p w:rsidR="00725C86" w:rsidRPr="00301716" w:rsidP="00725C86" w14:paraId="76CF67F7" w14:textId="77777777">
      <w:pPr>
        <w:snapToGrid w:val="0"/>
        <w:rPr>
          <w:b/>
          <w:bCs/>
          <w:snapToGrid/>
        </w:rPr>
      </w:pPr>
      <w:r w:rsidRPr="00301716">
        <w:rPr>
          <w:b/>
          <w:bCs/>
          <w:snapToGrid/>
        </w:rPr>
        <w:t xml:space="preserve">(ii) represents costs that the </w:t>
      </w:r>
      <w:r w:rsidRPr="00813F98">
        <w:rPr>
          <w:b/>
          <w:bCs/>
        </w:rPr>
        <w:t xml:space="preserve">provider chooses to recover from </w:t>
      </w:r>
      <w:r w:rsidRPr="00301716">
        <w:rPr>
          <w:b/>
          <w:bCs/>
          <w:snapToGrid/>
        </w:rPr>
        <w:t xml:space="preserve">consumers as a separate charge rather than incorporating them into the base monthly price; and </w:t>
      </w:r>
    </w:p>
    <w:p w:rsidR="00725C86" w:rsidRPr="00301716" w:rsidP="00725C86" w14:paraId="0DD45AEE" w14:textId="77777777">
      <w:pPr>
        <w:snapToGrid w:val="0"/>
        <w:rPr>
          <w:b/>
          <w:bCs/>
          <w:snapToGrid/>
        </w:rPr>
      </w:pPr>
      <w:r w:rsidRPr="00301716">
        <w:rPr>
          <w:b/>
          <w:bCs/>
          <w:snapToGrid/>
        </w:rPr>
        <w:t xml:space="preserve">(iii) varies by consumer location. </w:t>
      </w:r>
    </w:p>
    <w:p w:rsidR="00725C86" w:rsidRPr="00301716" w:rsidP="00725C86" w14:paraId="26B11B07" w14:textId="77777777">
      <w:pPr>
        <w:snapToGrid w:val="0"/>
        <w:rPr>
          <w:b/>
          <w:bCs/>
          <w:snapToGrid/>
        </w:rPr>
      </w:pPr>
    </w:p>
    <w:p w:rsidR="00725C86" w:rsidRPr="00301716" w:rsidP="00725C86" w14:paraId="7366A8B7" w14:textId="77777777">
      <w:pPr>
        <w:snapToGrid w:val="0"/>
        <w:rPr>
          <w:snapToGrid/>
        </w:rPr>
      </w:pPr>
    </w:p>
    <w:p w:rsidR="00725C86" w:rsidRPr="00301716" w:rsidP="0015270D" w14:paraId="3704695F" w14:textId="71516186">
      <w:pPr>
        <w:snapToGrid w:val="0"/>
        <w:sectPr w:rsidSect="00725C86">
          <w:footerReference w:type="first" r:id="rId10"/>
          <w:endnotePr>
            <w:numFmt w:val="decimal"/>
          </w:endnotePr>
          <w:pgSz w:w="12240" w:h="15840"/>
          <w:pgMar w:top="1440" w:right="1440" w:bottom="720" w:left="1440" w:header="720" w:footer="720" w:gutter="0"/>
          <w:cols w:space="720"/>
          <w:docGrid w:linePitch="299"/>
        </w:sectPr>
      </w:pPr>
      <w:r w:rsidRPr="00301716">
        <w:rPr>
          <w:snapToGrid/>
        </w:rPr>
        <w:t xml:space="preserve"> * * * *</w:t>
      </w:r>
      <w:r w:rsidR="0015270D">
        <w:rPr>
          <w:snapToGrid/>
        </w:rPr>
        <w:t xml:space="preserve"> </w:t>
      </w:r>
      <w:r w:rsidR="0015270D">
        <w:t>*</w:t>
      </w:r>
    </w:p>
    <w:p w:rsidR="00725C86" w:rsidRPr="00B134BE" w:rsidP="00725C86" w14:paraId="3F4B441E" w14:textId="77777777">
      <w:pPr>
        <w:snapToGrid w:val="0"/>
        <w:jc w:val="center"/>
      </w:pPr>
      <w:r w:rsidRPr="00816744">
        <w:rPr>
          <w:rFonts w:ascii="Times New Roman Bold" w:hAnsi="Times New Roman Bold"/>
          <w:b/>
          <w:caps/>
        </w:rPr>
        <w:t>APPENDIX B</w:t>
      </w:r>
    </w:p>
    <w:p w:rsidR="00725C86" w:rsidRPr="00B134BE" w:rsidP="00725C86" w14:paraId="45810E3C" w14:textId="77777777">
      <w:pPr>
        <w:snapToGrid w:val="0"/>
        <w:jc w:val="center"/>
      </w:pPr>
      <w:r w:rsidRPr="00816744">
        <w:rPr>
          <w:rFonts w:ascii="Times New Roman Bold" w:hAnsi="Times New Roman Bold"/>
          <w:b/>
          <w:caps/>
        </w:rPr>
        <w:t xml:space="preserve"> </w:t>
      </w:r>
    </w:p>
    <w:p w:rsidR="00725C86" w:rsidRPr="00301716" w:rsidP="00725C86" w14:paraId="030BFDC0" w14:textId="77777777">
      <w:pPr>
        <w:snapToGrid w:val="0"/>
        <w:jc w:val="center"/>
        <w:rPr>
          <w:b/>
          <w:snapToGrid/>
        </w:rPr>
      </w:pPr>
      <w:r w:rsidRPr="00301716">
        <w:rPr>
          <w:b/>
          <w:snapToGrid/>
        </w:rPr>
        <w:t>Final Regulatory Flexibility Analysis</w:t>
      </w:r>
    </w:p>
    <w:p w:rsidR="00725C86" w:rsidRPr="00301716" w:rsidP="00725C86" w14:paraId="7E125C14" w14:textId="77777777">
      <w:pPr>
        <w:snapToGrid w:val="0"/>
        <w:rPr>
          <w:snapToGrid/>
        </w:rPr>
      </w:pPr>
    </w:p>
    <w:p w:rsidR="00725C86" w:rsidRPr="00E73BAC" w:rsidP="00725C86" w14:paraId="2163675A" w14:textId="77777777">
      <w:pPr>
        <w:pStyle w:val="ParaNum"/>
        <w:numPr>
          <w:ilvl w:val="0"/>
          <w:numId w:val="11"/>
        </w:numPr>
        <w:tabs>
          <w:tab w:val="clear" w:pos="1080"/>
          <w:tab w:val="left" w:pos="1440"/>
        </w:tabs>
        <w:rPr>
          <w:snapToGrid/>
        </w:rPr>
      </w:pPr>
      <w:r w:rsidRPr="00E73BAC">
        <w:rPr>
          <w:snapToGrid/>
        </w:rPr>
        <w:t>As required by the Regulatory Flexibility Act of 1980, as amended (RFA),</w:t>
      </w:r>
      <w:r>
        <w:rPr>
          <w:rStyle w:val="FootnoteReference"/>
        </w:rPr>
        <w:footnoteReference w:id="159"/>
      </w:r>
      <w:r w:rsidRPr="00E73BAC">
        <w:rPr>
          <w:snapToGrid/>
        </w:rPr>
        <w:t xml:space="preserve"> the Federal Communications Commission (Commission) incorporated an Initial Regulatory Flexibility Analysis (IRFA) in the </w:t>
      </w:r>
      <w:r w:rsidRPr="00816744">
        <w:rPr>
          <w:i/>
        </w:rPr>
        <w:t>Empowering Broadband Consumers Through Transparency</w:t>
      </w:r>
      <w:r w:rsidRPr="00E73BAC">
        <w:rPr>
          <w:snapToGrid/>
        </w:rPr>
        <w:t xml:space="preserve"> Second Further Notice of Proposed Rulemaking (Notice) released in November 2025.</w:t>
      </w:r>
      <w:r>
        <w:rPr>
          <w:rStyle w:val="FootnoteReference"/>
        </w:rPr>
        <w:footnoteReference w:id="160"/>
      </w:r>
      <w:r w:rsidRPr="00E73BAC">
        <w:rPr>
          <w:snapToGrid/>
        </w:rPr>
        <w:t xml:space="preserve">  The Commission sought written public comment on the proposals in the Notice, including comment on the IRFA.  The comments received are addressed below.  This Final Regulatory Flexibility Analysis (FRFA) conforms to the RFA and it (or summaries thereof) will be published in the </w:t>
      </w:r>
      <w:r w:rsidRPr="00E73BAC">
        <w:rPr>
          <w:iCs/>
          <w:snapToGrid/>
        </w:rPr>
        <w:t>Federal Register</w:t>
      </w:r>
      <w:r w:rsidRPr="00E73BAC">
        <w:rPr>
          <w:snapToGrid/>
        </w:rPr>
        <w:t>.</w:t>
      </w:r>
      <w:r>
        <w:rPr>
          <w:rStyle w:val="FootnoteReference"/>
        </w:rPr>
        <w:footnoteReference w:id="161"/>
      </w:r>
      <w:r w:rsidRPr="00E73BAC">
        <w:rPr>
          <w:snapToGrid/>
        </w:rPr>
        <w:t xml:space="preserve">   </w:t>
      </w:r>
    </w:p>
    <w:p w:rsidR="00725C86" w:rsidRPr="00301716" w:rsidP="00725C86" w14:paraId="7D80AA74" w14:textId="77777777">
      <w:pPr>
        <w:pStyle w:val="Heading2"/>
        <w:rPr>
          <w:snapToGrid/>
        </w:rPr>
      </w:pPr>
      <w:bookmarkStart w:id="347" w:name="_Toc262465660"/>
      <w:bookmarkStart w:id="348" w:name="_Toc310524628"/>
      <w:bookmarkStart w:id="349" w:name="_Toc310524896"/>
      <w:bookmarkStart w:id="350" w:name="_Toc314645318"/>
      <w:bookmarkStart w:id="351" w:name="_Toc314648949"/>
      <w:bookmarkStart w:id="352" w:name="_Toc314738875"/>
      <w:bookmarkStart w:id="353" w:name="_Toc314738918"/>
      <w:bookmarkStart w:id="354" w:name="_Toc393478008"/>
      <w:bookmarkStart w:id="355" w:name="_Toc394658129"/>
      <w:bookmarkStart w:id="356" w:name="_Toc394659974"/>
      <w:bookmarkStart w:id="357" w:name="_Toc394678814"/>
      <w:bookmarkStart w:id="358" w:name="_Toc394679528"/>
      <w:bookmarkStart w:id="359" w:name="_Toc395264435"/>
      <w:bookmarkStart w:id="360" w:name="_Toc397508650"/>
      <w:bookmarkStart w:id="361" w:name="_Toc397604500"/>
      <w:bookmarkStart w:id="362" w:name="_Toc397686588"/>
      <w:bookmarkStart w:id="363" w:name="_Toc399935851"/>
      <w:bookmarkStart w:id="364" w:name="_Toc403121201"/>
      <w:bookmarkStart w:id="365" w:name="_Toc465357613"/>
      <w:bookmarkStart w:id="366" w:name="_Toc468201215"/>
      <w:bookmarkStart w:id="367" w:name="_Toc468702539"/>
      <w:bookmarkStart w:id="368" w:name="_Toc473563723"/>
      <w:bookmarkStart w:id="369" w:name="_Toc474348299"/>
      <w:bookmarkStart w:id="370" w:name="_Toc474351636"/>
      <w:bookmarkStart w:id="371" w:name="_Toc474352567"/>
      <w:bookmarkStart w:id="372" w:name="_Toc474353429"/>
      <w:bookmarkStart w:id="373" w:name="_Toc474532754"/>
      <w:bookmarkStart w:id="374" w:name="_Toc474534420"/>
      <w:bookmarkStart w:id="375" w:name="_Toc474752047"/>
      <w:bookmarkStart w:id="376" w:name="_Toc474947286"/>
      <w:bookmarkStart w:id="377" w:name="_Toc475028086"/>
      <w:bookmarkStart w:id="378" w:name="_Toc475537249"/>
      <w:bookmarkStart w:id="379" w:name="_Toc475899449"/>
      <w:bookmarkStart w:id="380" w:name="_Toc477805783"/>
      <w:bookmarkStart w:id="381" w:name="_Toc477954217"/>
      <w:bookmarkStart w:id="382" w:name="_Toc231300321"/>
      <w:bookmarkStart w:id="383" w:name="_Toc231985439"/>
      <w:bookmarkStart w:id="384" w:name="_Toc233617902"/>
      <w:bookmarkStart w:id="385" w:name="_Toc233618236"/>
      <w:bookmarkStart w:id="386" w:name="_Toc235613393"/>
      <w:r w:rsidRPr="00301716">
        <w:rPr>
          <w:snapToGrid/>
        </w:rPr>
        <w:t xml:space="preserve">Need for, and Objectives of, the </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301716">
        <w:rPr>
          <w:snapToGrid/>
        </w:rPr>
        <w:t>Rules</w:t>
      </w:r>
      <w:bookmarkEnd w:id="382"/>
      <w:bookmarkEnd w:id="383"/>
      <w:bookmarkEnd w:id="384"/>
      <w:bookmarkEnd w:id="385"/>
      <w:bookmarkEnd w:id="386"/>
    </w:p>
    <w:p w:rsidR="00725C86" w:rsidRPr="00301716" w:rsidP="00725C86" w14:paraId="4C181E46" w14:textId="77777777">
      <w:pPr>
        <w:pStyle w:val="ParaNum"/>
        <w:rPr>
          <w:snapToGrid/>
        </w:rPr>
      </w:pPr>
      <w:r w:rsidRPr="00301716">
        <w:rPr>
          <w:snapToGrid/>
        </w:rPr>
        <w:t xml:space="preserve">The Commission adopted broadband label requirements in the </w:t>
      </w:r>
      <w:r w:rsidRPr="00301716">
        <w:rPr>
          <w:i/>
          <w:snapToGrid/>
        </w:rPr>
        <w:t>Broadband Label Order</w:t>
      </w:r>
      <w:r w:rsidRPr="00301716">
        <w:rPr>
          <w:snapToGrid/>
        </w:rPr>
        <w:t xml:space="preserve"> to provide consumers with easy-to-understand and accurate information about broadband service plans, as mandated by the Infrastructure Investment and Jobs Act.</w:t>
      </w:r>
      <w:r>
        <w:rPr>
          <w:rStyle w:val="FootnoteReference"/>
        </w:rPr>
        <w:footnoteReference w:id="162"/>
      </w:r>
      <w:r w:rsidRPr="00301716">
        <w:rPr>
          <w:snapToGrid/>
        </w:rPr>
        <w:t xml:space="preserve">  Since the initial implementation of these rules, for larger providers in April 2024 and for smaller providers in October 2024, the Commission has received feedback from industry stakeholders through the </w:t>
      </w:r>
      <w:r w:rsidRPr="00301716">
        <w:rPr>
          <w:i/>
          <w:snapToGrid/>
        </w:rPr>
        <w:t>Delete, Delete, Delete</w:t>
      </w:r>
      <w:r w:rsidRPr="00301716">
        <w:rPr>
          <w:snapToGrid/>
        </w:rPr>
        <w:t xml:space="preserve"> proceeding asserting that certain aspects of the current broadband label requirements may be unnecessarily burdensome for providers while not providing commensurate benefits to consumers.</w:t>
      </w:r>
      <w:r>
        <w:rPr>
          <w:rStyle w:val="FootnoteReference"/>
        </w:rPr>
        <w:footnoteReference w:id="163"/>
      </w:r>
      <w:r w:rsidRPr="00301716">
        <w:rPr>
          <w:snapToGrid/>
        </w:rPr>
        <w:t xml:space="preserve">  </w:t>
      </w:r>
    </w:p>
    <w:p w:rsidR="00725C86" w:rsidRPr="00301716" w:rsidP="00725C86" w14:paraId="544E4044" w14:textId="77777777">
      <w:pPr>
        <w:pStyle w:val="ParaNum"/>
        <w:rPr>
          <w:snapToGrid/>
        </w:rPr>
      </w:pPr>
      <w:r w:rsidRPr="00301716">
        <w:rPr>
          <w:snapToGrid/>
        </w:rPr>
        <w:t xml:space="preserve">The primary objective of the </w:t>
      </w:r>
      <w:r w:rsidRPr="00301716">
        <w:rPr>
          <w:i/>
          <w:iCs/>
          <w:snapToGrid/>
        </w:rPr>
        <w:t>Report and</w:t>
      </w:r>
      <w:r w:rsidRPr="00301716">
        <w:rPr>
          <w:snapToGrid/>
        </w:rPr>
        <w:t xml:space="preserve"> </w:t>
      </w:r>
      <w:r w:rsidRPr="00301716">
        <w:rPr>
          <w:i/>
          <w:iCs/>
          <w:snapToGrid/>
        </w:rPr>
        <w:t>Order</w:t>
      </w:r>
      <w:r w:rsidRPr="00301716">
        <w:rPr>
          <w:snapToGrid/>
        </w:rPr>
        <w:t xml:space="preserve"> (Order) is to simplify regulatory requirements while maintaining the transparency benefits that broadband labels offer consumers.  Specifically, the Order (1) enables providers to describe labels in a natural, conversational style over the phone, rather than requiring customer service representatives to read label contents verbatim; (2) simplifies fee presentation by allowing providers to include either the maximum or exact amount consumers would be charged for fees that may vary by location, rather than requiring itemization of all such fees; (3) removes outdated information about the now concluded Affordable Connectivity Program (ACP) from the label; (4) allows use of hyperlinks or icons at the point of sale and in customer account portals; (5) eliminates the requirement that providers make label content machine readable; and (6) eliminates the requirement that providers retain labels for two years after a service is no longer offered to new customers.  At the same time, the Order ensures that labels remain accessible to people with disabilities and requires providers to present them in English and in any other language a provider uses in marketing.  </w:t>
      </w:r>
    </w:p>
    <w:p w:rsidR="00725C86" w:rsidRPr="00301716" w:rsidP="00725C86" w14:paraId="59044C90" w14:textId="77777777">
      <w:pPr>
        <w:pStyle w:val="ParaNum"/>
        <w:rPr>
          <w:snapToGrid/>
        </w:rPr>
      </w:pPr>
      <w:r w:rsidRPr="00301716">
        <w:rPr>
          <w:snapToGrid/>
        </w:rPr>
        <w:t xml:space="preserve">The Order does not change the core label requirements to display a broadband consumer label containing critical information about the provider’s service offerings, including information about pricing, introductory rates, data allowances, and performance metrics.  </w:t>
      </w:r>
    </w:p>
    <w:p w:rsidR="00725C86" w:rsidRPr="00301716" w:rsidP="00725C86" w14:paraId="14FA24AE" w14:textId="77777777">
      <w:pPr>
        <w:pStyle w:val="Heading2"/>
        <w:rPr>
          <w:snapToGrid/>
        </w:rPr>
      </w:pPr>
      <w:bookmarkStart w:id="387" w:name="_Toc468201216"/>
      <w:bookmarkStart w:id="388" w:name="_Toc468702540"/>
      <w:bookmarkStart w:id="389" w:name="_Toc473563724"/>
      <w:bookmarkStart w:id="390" w:name="_Toc474348300"/>
      <w:bookmarkStart w:id="391" w:name="_Toc474351637"/>
      <w:bookmarkStart w:id="392" w:name="_Toc474352568"/>
      <w:bookmarkStart w:id="393" w:name="_Toc474353430"/>
      <w:bookmarkStart w:id="394" w:name="_Toc474532755"/>
      <w:bookmarkStart w:id="395" w:name="_Toc474534421"/>
      <w:bookmarkStart w:id="396" w:name="_Toc474752048"/>
      <w:bookmarkStart w:id="397" w:name="_Toc474947288"/>
      <w:bookmarkStart w:id="398" w:name="_Toc475028088"/>
      <w:bookmarkStart w:id="399" w:name="_Toc475537251"/>
      <w:bookmarkStart w:id="400" w:name="_Toc475899451"/>
      <w:bookmarkStart w:id="401" w:name="_Toc477805784"/>
      <w:bookmarkStart w:id="402" w:name="_Toc477954218"/>
      <w:bookmarkStart w:id="403" w:name="_Toc231300322"/>
      <w:bookmarkStart w:id="404" w:name="_Toc231985440"/>
      <w:bookmarkStart w:id="405" w:name="_Toc233617903"/>
      <w:bookmarkStart w:id="406" w:name="_Toc233618237"/>
      <w:bookmarkStart w:id="407" w:name="_Toc235613394"/>
      <w:r w:rsidRPr="00301716">
        <w:rPr>
          <w:snapToGrid/>
        </w:rPr>
        <w:t>Summary of Significant Issues Raised by Public Comments in Response to the IRFA</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p w:rsidR="00725C86" w:rsidRPr="00301716" w:rsidP="00725C86" w14:paraId="5B5DDE0F" w14:textId="77777777">
      <w:pPr>
        <w:pStyle w:val="ParaNum"/>
        <w:rPr>
          <w:snapToGrid/>
        </w:rPr>
      </w:pPr>
      <w:r w:rsidRPr="00301716">
        <w:rPr>
          <w:snapToGrid/>
        </w:rPr>
        <w:t xml:space="preserve">NTCA, WISPA, </w:t>
      </w:r>
      <w:r w:rsidRPr="00301716">
        <w:rPr>
          <w:snapToGrid/>
        </w:rPr>
        <w:t>Breezeline</w:t>
      </w:r>
      <w:r w:rsidRPr="00301716">
        <w:rPr>
          <w:snapToGrid/>
        </w:rPr>
        <w:t xml:space="preserve">, ACA Connects, and </w:t>
      </w:r>
      <w:r w:rsidRPr="00301716">
        <w:rPr>
          <w:snapToGrid/>
        </w:rPr>
        <w:t>Joink</w:t>
      </w:r>
      <w:r w:rsidRPr="00301716">
        <w:rPr>
          <w:snapToGrid/>
        </w:rPr>
        <w:t xml:space="preserve"> filed comments regarding the impact of the rule on small entities.</w:t>
      </w:r>
    </w:p>
    <w:p w:rsidR="00725C86" w:rsidRPr="00301716" w:rsidP="00725C86" w14:paraId="3B1CBDCA" w14:textId="77777777">
      <w:pPr>
        <w:pStyle w:val="ParaNum"/>
        <w:rPr>
          <w:snapToGrid/>
        </w:rPr>
      </w:pPr>
      <w:r w:rsidRPr="00301716">
        <w:rPr>
          <w:snapToGrid/>
        </w:rPr>
        <w:t>NTCA – The Rural Broadband Association (NTCA) was the only commenter to include a section specifically responding to the IRFA.</w:t>
      </w:r>
      <w:r>
        <w:rPr>
          <w:rStyle w:val="FootnoteReference"/>
        </w:rPr>
        <w:footnoteReference w:id="164"/>
      </w:r>
      <w:r w:rsidRPr="00301716">
        <w:rPr>
          <w:snapToGrid/>
        </w:rPr>
        <w:t xml:space="preserve">  NTCA, which represents small, rural local exchange carriers, supports the Commission’s proposals as burden-relieving for small entities, and urged the Commission to avoid imposing any additional requirements beyond those proposed in the FNRPM.</w:t>
      </w:r>
      <w:r>
        <w:rPr>
          <w:rStyle w:val="FootnoteReference"/>
        </w:rPr>
        <w:footnoteReference w:id="165"/>
      </w:r>
      <w:r w:rsidRPr="00301716">
        <w:rPr>
          <w:snapToGrid/>
        </w:rPr>
        <w:t xml:space="preserve">  NTCA identified a material inconsistency between the 2023 Paperwork Reduction Act (PRA) Worksheet supporting this proceeding, which estimated zero capital, operation, and maintenance costs for small companies, and the Commission’s own acknowledgement in the 2022 Broadband Label Order that certain label tasks “may require more time for providers that are less likely to have in-house attorneys and compliance departments to assist in the preparation broadband labels, and thus will need to engage outside legal resources to implement several proposed requirements.”</w:t>
      </w:r>
      <w:r>
        <w:rPr>
          <w:rStyle w:val="FootnoteReference"/>
        </w:rPr>
        <w:footnoteReference w:id="166"/>
      </w:r>
      <w:r w:rsidRPr="00301716">
        <w:rPr>
          <w:snapToGrid/>
        </w:rPr>
        <w:t xml:space="preserve">  NTCA further argued that even reliance on existing internal staff generates real opportunity costs, as compliance draws resources away from network investment and other operational priorities, concluding that elimination of the identified requirements would provide meaningful economic benefits to small providers.</w:t>
      </w:r>
      <w:r>
        <w:rPr>
          <w:rStyle w:val="FootnoteReference"/>
        </w:rPr>
        <w:footnoteReference w:id="167"/>
      </w:r>
      <w:r w:rsidRPr="00301716">
        <w:rPr>
          <w:snapToGrid/>
        </w:rPr>
        <w:t xml:space="preserve">  </w:t>
      </w:r>
    </w:p>
    <w:p w:rsidR="00725C86" w:rsidRPr="00301716" w:rsidP="00725C86" w14:paraId="58A9CE24" w14:textId="77777777">
      <w:pPr>
        <w:pStyle w:val="ParaNum"/>
        <w:rPr>
          <w:snapToGrid/>
        </w:rPr>
      </w:pPr>
      <w:r w:rsidRPr="00301716">
        <w:rPr>
          <w:snapToGrid/>
        </w:rPr>
        <w:t xml:space="preserve">WISPA, </w:t>
      </w:r>
      <w:r w:rsidRPr="00301716">
        <w:rPr>
          <w:snapToGrid/>
        </w:rPr>
        <w:t>Breezeline</w:t>
      </w:r>
      <w:r w:rsidRPr="00301716">
        <w:rPr>
          <w:snapToGrid/>
        </w:rPr>
        <w:t xml:space="preserve">, ACA Connects, and </w:t>
      </w:r>
      <w:r w:rsidRPr="00301716">
        <w:rPr>
          <w:snapToGrid/>
        </w:rPr>
        <w:t>Joink</w:t>
      </w:r>
      <w:r w:rsidRPr="00301716">
        <w:rPr>
          <w:snapToGrid/>
        </w:rPr>
        <w:t xml:space="preserve"> also raised cost and burden concerns to small entities in their comments on the Notice more generally.  These commenters supported the proposed eliminations as measures that would reduce unnecessary compliance costs and administrative burden for providers, including small entities, without undermining the consumer transparency goals of the broadband label requirements.</w:t>
      </w:r>
      <w:r>
        <w:rPr>
          <w:rStyle w:val="FootnoteReference"/>
        </w:rPr>
        <w:footnoteReference w:id="168"/>
      </w:r>
    </w:p>
    <w:p w:rsidR="00725C86" w:rsidRPr="00301716" w:rsidP="00725C86" w14:paraId="05561A2B" w14:textId="77777777">
      <w:pPr>
        <w:pStyle w:val="ParaNum"/>
        <w:rPr>
          <w:snapToGrid/>
        </w:rPr>
      </w:pPr>
      <w:r w:rsidRPr="00301716">
        <w:rPr>
          <w:snapToGrid/>
        </w:rPr>
        <w:t>USTelecom</w:t>
      </w:r>
      <w:r w:rsidRPr="00301716">
        <w:rPr>
          <w:snapToGrid/>
        </w:rPr>
        <w:t xml:space="preserve"> and other commenters noted compliance costs and burdens associated with the existing broadband label requirements but did not specifically address the impacts of those requirements on small entities.</w:t>
      </w:r>
      <w:r>
        <w:rPr>
          <w:rStyle w:val="FootnoteReference"/>
        </w:rPr>
        <w:footnoteReference w:id="169"/>
      </w:r>
    </w:p>
    <w:p w:rsidR="00725C86" w:rsidRPr="00301716" w:rsidP="00725C86" w14:paraId="533683FD" w14:textId="77777777">
      <w:pPr>
        <w:pStyle w:val="Heading2"/>
        <w:rPr>
          <w:snapToGrid/>
        </w:rPr>
      </w:pPr>
      <w:bookmarkStart w:id="408" w:name="_Toc468201217"/>
      <w:bookmarkStart w:id="409" w:name="_Toc468702541"/>
      <w:bookmarkStart w:id="410" w:name="_Toc473563725"/>
      <w:bookmarkStart w:id="411" w:name="_Toc474348301"/>
      <w:bookmarkStart w:id="412" w:name="_Toc474351638"/>
      <w:bookmarkStart w:id="413" w:name="_Toc474352569"/>
      <w:bookmarkStart w:id="414" w:name="_Toc474353431"/>
      <w:bookmarkStart w:id="415" w:name="_Toc474532756"/>
      <w:bookmarkStart w:id="416" w:name="_Toc474534422"/>
      <w:bookmarkStart w:id="417" w:name="_Toc474752049"/>
      <w:bookmarkStart w:id="418" w:name="_Toc474947289"/>
      <w:bookmarkStart w:id="419" w:name="_Toc475028089"/>
      <w:bookmarkStart w:id="420" w:name="_Toc475537252"/>
      <w:bookmarkStart w:id="421" w:name="_Toc475899452"/>
      <w:bookmarkStart w:id="422" w:name="_Toc477805785"/>
      <w:bookmarkStart w:id="423" w:name="_Toc477954219"/>
      <w:bookmarkStart w:id="424" w:name="_Toc233618238"/>
      <w:bookmarkStart w:id="425" w:name="_Toc233617904"/>
      <w:bookmarkStart w:id="426" w:name="_Toc231985441"/>
      <w:bookmarkStart w:id="427" w:name="_Toc231300323"/>
      <w:bookmarkStart w:id="428" w:name="_Toc262465662"/>
      <w:bookmarkStart w:id="429" w:name="_Toc310524630"/>
      <w:bookmarkStart w:id="430" w:name="_Toc310524898"/>
      <w:bookmarkStart w:id="431" w:name="_Toc314645320"/>
      <w:bookmarkStart w:id="432" w:name="_Toc314648951"/>
      <w:bookmarkStart w:id="433" w:name="_Toc314738877"/>
      <w:bookmarkStart w:id="434" w:name="_Toc314738920"/>
      <w:bookmarkStart w:id="435" w:name="_Toc393478010"/>
      <w:bookmarkStart w:id="436" w:name="_Toc394658131"/>
      <w:bookmarkStart w:id="437" w:name="_Toc394659976"/>
      <w:bookmarkStart w:id="438" w:name="_Toc394678816"/>
      <w:bookmarkStart w:id="439" w:name="_Toc394679530"/>
      <w:bookmarkStart w:id="440" w:name="_Toc395264437"/>
      <w:bookmarkStart w:id="441" w:name="_Toc397508652"/>
      <w:bookmarkStart w:id="442" w:name="_Toc397604502"/>
      <w:bookmarkStart w:id="443" w:name="_Toc397686590"/>
      <w:bookmarkStart w:id="444" w:name="_Toc399935853"/>
      <w:bookmarkStart w:id="445" w:name="_Toc403121203"/>
      <w:bookmarkStart w:id="446" w:name="_Toc465357615"/>
      <w:bookmarkStart w:id="447" w:name="_Toc235613395"/>
      <w:r w:rsidRPr="00301716">
        <w:rPr>
          <w:snapToGrid/>
        </w:rPr>
        <w:t xml:space="preserve">Response to Comments by the Chief Counsel </w:t>
      </w:r>
      <w:bookmarkStart w:id="448" w:name="_Hlk217914514"/>
      <w:r w:rsidRPr="00301716">
        <w:rPr>
          <w:snapToGrid/>
        </w:rPr>
        <w:t>for the Small Business Administration</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Pr="00301716">
        <w:rPr>
          <w:snapToGrid/>
        </w:rPr>
        <w:t xml:space="preserve"> Office of Advocacy</w:t>
      </w:r>
      <w:bookmarkEnd w:id="424"/>
      <w:bookmarkEnd w:id="425"/>
      <w:bookmarkEnd w:id="426"/>
      <w:bookmarkEnd w:id="427"/>
      <w:bookmarkEnd w:id="447"/>
      <w:bookmarkEnd w:id="448"/>
    </w:p>
    <w:p w:rsidR="00725C86" w:rsidRPr="00301716" w:rsidP="00725C86" w14:paraId="6D726CBB" w14:textId="77777777">
      <w:pPr>
        <w:pStyle w:val="ParaNum"/>
        <w:rPr>
          <w:snapToGrid/>
        </w:rPr>
      </w:pPr>
      <w:r w:rsidRPr="00301716">
        <w:rPr>
          <w:snapToGrid/>
        </w:rPr>
        <w:t>Pursuant to the Small Business Jobs Act of 2010, which amended the RFA,</w:t>
      </w:r>
      <w:r>
        <w:rPr>
          <w:rStyle w:val="FootnoteReference"/>
        </w:rPr>
        <w:footnoteReference w:id="170"/>
      </w:r>
      <w:r w:rsidRPr="00301716">
        <w:rPr>
          <w:snapToGrid/>
        </w:rPr>
        <w:t xml:space="preserve"> the Commission is required to respond to any comments filed by the Chief Counsel for the Small Business Administration (SBA) Office of Advocacy, and also provide a detailed statement of any change made to the proposed rules as a result of those comments.</w:t>
      </w:r>
      <w:r>
        <w:rPr>
          <w:rStyle w:val="FootnoteReference"/>
        </w:rPr>
        <w:footnoteReference w:id="171"/>
      </w:r>
      <w:r w:rsidRPr="00301716">
        <w:rPr>
          <w:snapToGrid/>
        </w:rPr>
        <w:t xml:space="preserve">  The Chief Counsel did not file any comments in response to the proposed rules in this proceeding. </w:t>
      </w:r>
    </w:p>
    <w:p w:rsidR="00725C86" w:rsidRPr="00301716" w:rsidP="00725C86" w14:paraId="59C22A62" w14:textId="77777777">
      <w:pPr>
        <w:pStyle w:val="Heading2"/>
        <w:rPr>
          <w:snapToGrid/>
        </w:rPr>
      </w:pPr>
      <w:bookmarkStart w:id="449" w:name="_Toc468201218"/>
      <w:bookmarkStart w:id="450" w:name="_Toc468702542"/>
      <w:bookmarkStart w:id="451" w:name="_Toc473563726"/>
      <w:bookmarkStart w:id="452" w:name="_Toc474348302"/>
      <w:bookmarkStart w:id="453" w:name="_Toc474351639"/>
      <w:bookmarkStart w:id="454" w:name="_Toc474352570"/>
      <w:bookmarkStart w:id="455" w:name="_Toc474353432"/>
      <w:bookmarkStart w:id="456" w:name="_Toc474532757"/>
      <w:bookmarkStart w:id="457" w:name="_Toc474534423"/>
      <w:bookmarkStart w:id="458" w:name="_Toc474752050"/>
      <w:bookmarkStart w:id="459" w:name="_Toc474947290"/>
      <w:bookmarkStart w:id="460" w:name="_Toc475028090"/>
      <w:bookmarkStart w:id="461" w:name="_Toc475537253"/>
      <w:bookmarkStart w:id="462" w:name="_Toc475899453"/>
      <w:bookmarkStart w:id="463" w:name="_Toc477805786"/>
      <w:bookmarkStart w:id="464" w:name="_Toc477954220"/>
      <w:bookmarkStart w:id="465" w:name="_Toc231300324"/>
      <w:bookmarkStart w:id="466" w:name="_Toc231985442"/>
      <w:bookmarkStart w:id="467" w:name="_Toc233617905"/>
      <w:bookmarkStart w:id="468" w:name="_Toc233618239"/>
      <w:bookmarkStart w:id="469" w:name="_Toc235613396"/>
      <w:r w:rsidRPr="00301716">
        <w:rPr>
          <w:snapToGrid/>
        </w:rPr>
        <w:t>Description and Estimate of the Number of Small Entities to Which the Rules Will Apply</w:t>
      </w:r>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rsidR="00725C86" w:rsidRPr="00301716" w:rsidP="003E3F9C" w14:paraId="08E0D389" w14:textId="77777777">
      <w:pPr>
        <w:pStyle w:val="ParaNum"/>
        <w:widowControl/>
        <w:rPr>
          <w:snapToGrid/>
        </w:rPr>
      </w:pPr>
      <w:r w:rsidRPr="00301716">
        <w:rPr>
          <w:snapToGrid/>
        </w:rPr>
        <w:t>The RFA directs agencies to provide a description of, and where feasible, an estimate of the number of small entities that may be affected by the adopted rules.</w:t>
      </w:r>
      <w:r>
        <w:rPr>
          <w:rStyle w:val="FootnoteReference"/>
        </w:rPr>
        <w:footnoteReference w:id="172"/>
      </w:r>
      <w:r w:rsidRPr="00301716">
        <w:rPr>
          <w:snapToGrid/>
        </w:rPr>
        <w:t xml:space="preserve">  The RFA generally defines the term “small entity” as having the same meaning as the terms “small business,” “small organization,” and “small governmental jurisdiction.”</w:t>
      </w:r>
      <w:r>
        <w:rPr>
          <w:rStyle w:val="FootnoteReference"/>
        </w:rPr>
        <w:footnoteReference w:id="173"/>
      </w:r>
      <w:r w:rsidRPr="00301716">
        <w:rPr>
          <w:snapToGrid/>
        </w:rPr>
        <w:t xml:space="preserve">  In addition, the term “small business” has the same meaning as the term “small business concern” under the Small Business Act.</w:t>
      </w:r>
      <w:r>
        <w:rPr>
          <w:rStyle w:val="FootnoteReference"/>
        </w:rPr>
        <w:footnoteReference w:id="174"/>
      </w:r>
      <w:r w:rsidRPr="00301716">
        <w:rPr>
          <w:snapToGrid/>
        </w:rPr>
        <w:t xml:space="preserve">  A “small business concern” is one which: (1) is independently owned and operated; (2) is not dominant in its field of operation; and (3) satisfies any additional criteria established by the SBA.</w:t>
      </w:r>
      <w:r>
        <w:rPr>
          <w:rStyle w:val="FootnoteReference"/>
        </w:rPr>
        <w:footnoteReference w:id="175"/>
      </w:r>
      <w:r w:rsidRPr="00301716">
        <w:rPr>
          <w:snapToGrid/>
        </w:rPr>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rStyle w:val="FootnoteReference"/>
        </w:rPr>
        <w:footnoteReference w:id="176"/>
      </w:r>
      <w:r w:rsidRPr="00301716">
        <w:rPr>
          <w:snapToGrid/>
        </w:rPr>
        <w:t xml:space="preserve">  </w:t>
      </w:r>
    </w:p>
    <w:p w:rsidR="00725C86" w:rsidRPr="00301716" w:rsidP="00725C86" w14:paraId="341FF1C2" w14:textId="77777777">
      <w:pPr>
        <w:pStyle w:val="ParaNum"/>
        <w:rPr>
          <w:snapToGrid/>
        </w:rPr>
      </w:pPr>
      <w:r w:rsidRPr="00301716">
        <w:rPr>
          <w:snapToGrid/>
        </w:rPr>
        <w:t>Our actions, over time, may affect small entities that are not easily categorized at present.  We therefore describe three broad groups of small entities that could be directly affected by our actions.</w:t>
      </w:r>
      <w:r>
        <w:rPr>
          <w:rStyle w:val="FootnoteReference"/>
        </w:rPr>
        <w:footnoteReference w:id="177"/>
      </w:r>
      <w:r w:rsidRPr="00301716">
        <w:rPr>
          <w:snapToGrid/>
        </w:rPr>
        <w:t xml:space="preserve">  In general, a small business is an independent business having fewer than 500 employees.</w:t>
      </w:r>
      <w:r>
        <w:rPr>
          <w:rStyle w:val="FootnoteReference"/>
        </w:rPr>
        <w:footnoteReference w:id="178"/>
      </w:r>
      <w:r w:rsidRPr="00301716">
        <w:rPr>
          <w:snapToGrid/>
        </w:rPr>
        <w:t xml:space="preserve">  These types of small businesses represent 99.9% of all businesses in the United States, which translates to 34.75 million businesses.</w:t>
      </w:r>
      <w:r>
        <w:rPr>
          <w:rStyle w:val="FootnoteReference"/>
        </w:rPr>
        <w:footnoteReference w:id="179"/>
      </w:r>
      <w:r w:rsidRPr="00301716">
        <w:rPr>
          <w:snapToGrid/>
        </w:rPr>
        <w:t xml:space="preserve">  Next, “small organizations” are not-for-profit enterprises that are independently owned and operated and are not dominant in their field.</w:t>
      </w:r>
      <w:r>
        <w:rPr>
          <w:rStyle w:val="FootnoteReference"/>
        </w:rPr>
        <w:footnoteReference w:id="180"/>
      </w:r>
      <w:r w:rsidRPr="00301716">
        <w:rPr>
          <w:snapToGrid/>
        </w:rPr>
        <w:t xml:space="preserve">  While we do not have data regarding the number of non-profits that meet that criteria, over 99 percent of nonprofits have fewer than 500 employees.</w:t>
      </w:r>
      <w:r>
        <w:rPr>
          <w:rStyle w:val="FootnoteReference"/>
        </w:rPr>
        <w:footnoteReference w:id="181"/>
      </w:r>
      <w:r w:rsidRPr="00301716">
        <w:rPr>
          <w:snapToGrid/>
        </w:rPr>
        <w:t xml:space="preserve">  Finally, “small governmental jurisdictions” are defined as cities, counties, towns, townships, villages, school districts, or special districts with populations of less than fifty thousand.</w:t>
      </w:r>
      <w:r>
        <w:rPr>
          <w:rStyle w:val="FootnoteReference"/>
        </w:rPr>
        <w:footnoteReference w:id="182"/>
      </w:r>
      <w:r w:rsidRPr="00301716">
        <w:rPr>
          <w:snapToGrid/>
        </w:rPr>
        <w:t xml:space="preserve">  Based on the 2022 U.S. Census of Governments data, we estimate that at least 48,724 out of 90,835 local government jurisdictions have a population of less than 50,000.</w:t>
      </w:r>
      <w:r>
        <w:rPr>
          <w:rStyle w:val="FootnoteReference"/>
        </w:rPr>
        <w:footnoteReference w:id="183"/>
      </w:r>
      <w:r w:rsidRPr="00301716">
        <w:rPr>
          <w:snapToGrid/>
        </w:rPr>
        <w:t xml:space="preserve">  </w:t>
      </w:r>
    </w:p>
    <w:p w:rsidR="00725C86" w:rsidRPr="00301716" w:rsidP="003E3F9C" w14:paraId="488A61CA" w14:textId="77777777">
      <w:pPr>
        <w:pStyle w:val="ParaNum"/>
        <w:widowControl/>
        <w:rPr>
          <w:snapToGrid/>
        </w:rPr>
      </w:pPr>
      <w:r w:rsidRPr="00301716">
        <w:rPr>
          <w:snapToGrid/>
        </w:rPr>
        <w:t>The rules adopted in the Order will apply to small entities in the industries identified in the chart below by their six-digit North American Industry Classification System (NAICS)</w:t>
      </w:r>
      <w:r>
        <w:rPr>
          <w:rStyle w:val="FootnoteReference"/>
        </w:rPr>
        <w:footnoteReference w:id="184"/>
      </w:r>
      <w:r w:rsidRPr="00301716">
        <w:rPr>
          <w:snapToGrid/>
        </w:rPr>
        <w:t xml:space="preserve"> codes and corresponding SBA size standard.</w:t>
      </w:r>
      <w:r>
        <w:rPr>
          <w:rStyle w:val="FootnoteReference"/>
        </w:rPr>
        <w:footnoteReference w:id="185"/>
      </w:r>
      <w:r w:rsidRPr="00301716">
        <w:rPr>
          <w:snapToGrid/>
        </w:rPr>
        <w:t xml:space="preserve">  Where available, we also provide additional information regarding the number of potentially affected entities in the identified industries below.</w:t>
      </w:r>
    </w:p>
    <w:p w:rsidR="00725C86" w:rsidRPr="00301716" w:rsidP="00725C86" w14:paraId="7FD652B4" w14:textId="77777777">
      <w:pPr>
        <w:snapToGrid w:val="0"/>
        <w:rPr>
          <w:snapToGrid/>
        </w:rPr>
      </w:pPr>
    </w:p>
    <w:p w:rsidR="00725C86" w:rsidRPr="00301716" w:rsidP="00725C86" w14:paraId="5C2FB8CD" w14:textId="77777777">
      <w:pPr>
        <w:snapToGrid w:val="0"/>
        <w:rPr>
          <w:b/>
          <w:bCs/>
          <w:snapToGrid/>
        </w:rPr>
      </w:pPr>
      <w:r w:rsidRPr="00301716">
        <w:rPr>
          <w:b/>
          <w:bCs/>
          <w:snapToGrid/>
        </w:rPr>
        <w:t>Table 1.   Census Bureau Data by NAICS Code Table</w:t>
      </w:r>
    </w:p>
    <w:tbl>
      <w:tblPr>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4"/>
        <w:gridCol w:w="1372"/>
        <w:gridCol w:w="1593"/>
        <w:gridCol w:w="1376"/>
        <w:gridCol w:w="1376"/>
        <w:gridCol w:w="1539"/>
      </w:tblGrid>
      <w:tr w14:paraId="0D7A9C1B" w14:textId="77777777" w:rsidTr="00635987">
        <w:tblPrEx>
          <w:tblW w:w="9350" w:type="dxa"/>
          <w:tblLook w:val="04A0"/>
        </w:tblPrEx>
        <w:tc>
          <w:tcPr>
            <w:tcW w:w="2094" w:type="dxa"/>
            <w:tcBorders>
              <w:top w:val="single" w:sz="4" w:space="0" w:color="auto"/>
              <w:left w:val="single" w:sz="4" w:space="0" w:color="auto"/>
              <w:bottom w:val="single" w:sz="4" w:space="0" w:color="auto"/>
              <w:right w:val="single" w:sz="4" w:space="0" w:color="auto"/>
            </w:tcBorders>
            <w:hideMark/>
          </w:tcPr>
          <w:p w:rsidR="00725C86" w:rsidRPr="00301716" w:rsidP="00635987" w14:paraId="2DD18297" w14:textId="77777777">
            <w:pPr>
              <w:snapToGrid w:val="0"/>
              <w:rPr>
                <w:snapToGrid/>
              </w:rPr>
            </w:pPr>
            <w:r w:rsidRPr="00301716">
              <w:rPr>
                <w:b/>
                <w:bCs/>
                <w:snapToGrid/>
              </w:rPr>
              <w:t>Regulated Industry (NAICS Classification)</w:t>
            </w:r>
          </w:p>
        </w:tc>
        <w:tc>
          <w:tcPr>
            <w:tcW w:w="1372" w:type="dxa"/>
            <w:tcBorders>
              <w:top w:val="single" w:sz="4" w:space="0" w:color="auto"/>
              <w:left w:val="single" w:sz="4" w:space="0" w:color="auto"/>
              <w:bottom w:val="single" w:sz="4" w:space="0" w:color="auto"/>
              <w:right w:val="single" w:sz="4" w:space="0" w:color="auto"/>
            </w:tcBorders>
            <w:hideMark/>
          </w:tcPr>
          <w:p w:rsidR="00725C86" w:rsidRPr="00301716" w:rsidP="00635987" w14:paraId="598BA6D5" w14:textId="77777777">
            <w:pPr>
              <w:snapToGrid w:val="0"/>
              <w:rPr>
                <w:snapToGrid/>
              </w:rPr>
            </w:pPr>
            <w:r w:rsidRPr="00301716">
              <w:rPr>
                <w:b/>
                <w:bCs/>
                <w:snapToGrid/>
              </w:rPr>
              <w:t>NAICS Code</w:t>
            </w:r>
          </w:p>
        </w:tc>
        <w:tc>
          <w:tcPr>
            <w:tcW w:w="1593" w:type="dxa"/>
            <w:tcBorders>
              <w:top w:val="single" w:sz="4" w:space="0" w:color="auto"/>
              <w:left w:val="single" w:sz="4" w:space="0" w:color="auto"/>
              <w:bottom w:val="single" w:sz="4" w:space="0" w:color="auto"/>
              <w:right w:val="single" w:sz="4" w:space="0" w:color="auto"/>
            </w:tcBorders>
            <w:hideMark/>
          </w:tcPr>
          <w:p w:rsidR="00725C86" w:rsidRPr="00301716" w:rsidP="00635987" w14:paraId="5D8C1A42" w14:textId="77777777">
            <w:pPr>
              <w:snapToGrid w:val="0"/>
              <w:rPr>
                <w:snapToGrid/>
              </w:rPr>
            </w:pPr>
            <w:r w:rsidRPr="00301716">
              <w:rPr>
                <w:b/>
                <w:bCs/>
                <w:snapToGrid/>
              </w:rPr>
              <w:t>SBA Size Standard</w:t>
            </w:r>
          </w:p>
        </w:tc>
        <w:tc>
          <w:tcPr>
            <w:tcW w:w="1376" w:type="dxa"/>
            <w:tcBorders>
              <w:top w:val="single" w:sz="4" w:space="0" w:color="auto"/>
              <w:left w:val="single" w:sz="4" w:space="0" w:color="auto"/>
              <w:bottom w:val="single" w:sz="4" w:space="0" w:color="auto"/>
              <w:right w:val="single" w:sz="4" w:space="0" w:color="auto"/>
            </w:tcBorders>
            <w:hideMark/>
          </w:tcPr>
          <w:p w:rsidR="00725C86" w:rsidRPr="00301716" w:rsidP="00635987" w14:paraId="62D850DB" w14:textId="77777777">
            <w:pPr>
              <w:snapToGrid w:val="0"/>
              <w:rPr>
                <w:snapToGrid/>
              </w:rPr>
            </w:pPr>
            <w:r w:rsidRPr="00301716">
              <w:rPr>
                <w:b/>
                <w:bCs/>
                <w:snapToGrid/>
              </w:rPr>
              <w:t>Total Firms</w:t>
            </w:r>
            <w:r>
              <w:rPr>
                <w:bCs/>
                <w:snapToGrid/>
                <w:vertAlign w:val="superscript"/>
              </w:rPr>
              <w:footnoteReference w:id="186"/>
            </w:r>
          </w:p>
        </w:tc>
        <w:tc>
          <w:tcPr>
            <w:tcW w:w="1376" w:type="dxa"/>
            <w:tcBorders>
              <w:top w:val="single" w:sz="4" w:space="0" w:color="auto"/>
              <w:left w:val="single" w:sz="4" w:space="0" w:color="auto"/>
              <w:bottom w:val="single" w:sz="4" w:space="0" w:color="auto"/>
              <w:right w:val="single" w:sz="4" w:space="0" w:color="auto"/>
            </w:tcBorders>
            <w:hideMark/>
          </w:tcPr>
          <w:p w:rsidR="00725C86" w:rsidRPr="00301716" w:rsidP="00635987" w14:paraId="1FA2DD91" w14:textId="77777777">
            <w:pPr>
              <w:snapToGrid w:val="0"/>
              <w:rPr>
                <w:snapToGrid/>
              </w:rPr>
            </w:pPr>
            <w:r w:rsidRPr="00301716">
              <w:rPr>
                <w:b/>
                <w:bCs/>
                <w:snapToGrid/>
              </w:rPr>
              <w:t>Small Firms</w:t>
            </w:r>
            <w:r>
              <w:rPr>
                <w:bCs/>
                <w:snapToGrid/>
                <w:vertAlign w:val="superscript"/>
              </w:rPr>
              <w:footnoteReference w:id="187"/>
            </w:r>
          </w:p>
        </w:tc>
        <w:tc>
          <w:tcPr>
            <w:tcW w:w="1539" w:type="dxa"/>
            <w:tcBorders>
              <w:top w:val="single" w:sz="4" w:space="0" w:color="auto"/>
              <w:left w:val="single" w:sz="4" w:space="0" w:color="auto"/>
              <w:bottom w:val="single" w:sz="4" w:space="0" w:color="auto"/>
              <w:right w:val="single" w:sz="4" w:space="0" w:color="auto"/>
            </w:tcBorders>
            <w:hideMark/>
          </w:tcPr>
          <w:p w:rsidR="00725C86" w:rsidRPr="00301716" w:rsidP="00635987" w14:paraId="461ACEC1" w14:textId="77777777">
            <w:pPr>
              <w:snapToGrid w:val="0"/>
              <w:rPr>
                <w:snapToGrid/>
              </w:rPr>
            </w:pPr>
            <w:r w:rsidRPr="00301716">
              <w:rPr>
                <w:b/>
                <w:bCs/>
                <w:snapToGrid/>
              </w:rPr>
              <w:t>% Small Firms in Industry</w:t>
            </w:r>
          </w:p>
        </w:tc>
      </w:tr>
      <w:tr w14:paraId="75D73EAC" w14:textId="77777777" w:rsidTr="00635987">
        <w:tblPrEx>
          <w:tblW w:w="9350" w:type="dxa"/>
          <w:tblLook w:val="04A0"/>
        </w:tblPrEx>
        <w:trPr>
          <w:trHeight w:val="260"/>
        </w:trPr>
        <w:tc>
          <w:tcPr>
            <w:tcW w:w="2094" w:type="dxa"/>
            <w:tcBorders>
              <w:top w:val="single" w:sz="4" w:space="0" w:color="auto"/>
              <w:left w:val="single" w:sz="4" w:space="0" w:color="auto"/>
              <w:bottom w:val="single" w:sz="4" w:space="0" w:color="auto"/>
              <w:right w:val="single" w:sz="4" w:space="0" w:color="auto"/>
            </w:tcBorders>
            <w:hideMark/>
          </w:tcPr>
          <w:p w:rsidR="00725C86" w:rsidRPr="00301716" w:rsidP="00635987" w14:paraId="33C3710E" w14:textId="77777777">
            <w:pPr>
              <w:snapToGrid w:val="0"/>
              <w:rPr>
                <w:snapToGrid/>
              </w:rPr>
            </w:pPr>
            <w:r w:rsidRPr="00301716">
              <w:rPr>
                <w:snapToGrid/>
              </w:rPr>
              <w:t>Wired Telecommunications Carriers</w:t>
            </w:r>
            <w:r>
              <w:rPr>
                <w:snapToGrid/>
                <w:vertAlign w:val="superscript"/>
              </w:rPr>
              <w:footnoteReference w:id="188"/>
            </w:r>
          </w:p>
        </w:tc>
        <w:tc>
          <w:tcPr>
            <w:tcW w:w="1372" w:type="dxa"/>
            <w:tcBorders>
              <w:top w:val="single" w:sz="4" w:space="0" w:color="auto"/>
              <w:left w:val="single" w:sz="4" w:space="0" w:color="auto"/>
              <w:bottom w:val="single" w:sz="4" w:space="0" w:color="auto"/>
              <w:right w:val="single" w:sz="4" w:space="0" w:color="auto"/>
            </w:tcBorders>
            <w:hideMark/>
          </w:tcPr>
          <w:p w:rsidR="00725C86" w:rsidRPr="00301716" w:rsidP="00635987" w14:paraId="6BD4F73B" w14:textId="77777777">
            <w:pPr>
              <w:snapToGrid w:val="0"/>
              <w:rPr>
                <w:snapToGrid/>
              </w:rPr>
            </w:pPr>
            <w:r w:rsidRPr="00301716">
              <w:rPr>
                <w:snapToGrid/>
              </w:rPr>
              <w:t>517111</w:t>
            </w:r>
          </w:p>
        </w:tc>
        <w:tc>
          <w:tcPr>
            <w:tcW w:w="1593" w:type="dxa"/>
            <w:tcBorders>
              <w:top w:val="single" w:sz="4" w:space="0" w:color="auto"/>
              <w:left w:val="single" w:sz="4" w:space="0" w:color="auto"/>
              <w:bottom w:val="single" w:sz="4" w:space="0" w:color="auto"/>
              <w:right w:val="single" w:sz="4" w:space="0" w:color="auto"/>
            </w:tcBorders>
            <w:hideMark/>
          </w:tcPr>
          <w:p w:rsidR="00725C86" w:rsidRPr="00301716" w:rsidP="00635987" w14:paraId="641D87C5" w14:textId="77777777">
            <w:pPr>
              <w:snapToGrid w:val="0"/>
              <w:rPr>
                <w:snapToGrid/>
              </w:rPr>
            </w:pPr>
            <w:r w:rsidRPr="00301716">
              <w:rPr>
                <w:snapToGrid/>
              </w:rPr>
              <w:t>1,500 employees</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5BEE7BCA" w14:textId="77777777">
            <w:pPr>
              <w:snapToGrid w:val="0"/>
              <w:rPr>
                <w:snapToGrid/>
              </w:rPr>
            </w:pPr>
            <w:r w:rsidRPr="00301716">
              <w:rPr>
                <w:snapToGrid/>
              </w:rPr>
              <w:t>3,054</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70FCB73" w14:textId="77777777">
            <w:pPr>
              <w:snapToGrid w:val="0"/>
              <w:rPr>
                <w:snapToGrid/>
              </w:rPr>
            </w:pPr>
            <w:r w:rsidRPr="00301716">
              <w:rPr>
                <w:snapToGrid/>
              </w:rPr>
              <w:t>2,964</w:t>
            </w:r>
          </w:p>
        </w:tc>
        <w:tc>
          <w:tcPr>
            <w:tcW w:w="1539"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3FCD729" w14:textId="77777777">
            <w:pPr>
              <w:snapToGrid w:val="0"/>
              <w:rPr>
                <w:snapToGrid/>
              </w:rPr>
            </w:pPr>
            <w:r w:rsidRPr="00301716">
              <w:rPr>
                <w:snapToGrid/>
              </w:rPr>
              <w:t>97.05</w:t>
            </w:r>
          </w:p>
        </w:tc>
      </w:tr>
      <w:tr w14:paraId="351C93D3" w14:textId="77777777" w:rsidTr="00635987">
        <w:tblPrEx>
          <w:tblW w:w="9350" w:type="dxa"/>
          <w:tblLook w:val="04A0"/>
        </w:tblPrEx>
        <w:trPr>
          <w:trHeight w:val="260"/>
        </w:trPr>
        <w:tc>
          <w:tcPr>
            <w:tcW w:w="2094" w:type="dxa"/>
            <w:tcBorders>
              <w:top w:val="single" w:sz="4" w:space="0" w:color="auto"/>
              <w:left w:val="single" w:sz="4" w:space="0" w:color="auto"/>
              <w:bottom w:val="single" w:sz="4" w:space="0" w:color="auto"/>
              <w:right w:val="single" w:sz="4" w:space="0" w:color="auto"/>
            </w:tcBorders>
            <w:hideMark/>
          </w:tcPr>
          <w:p w:rsidR="00725C86" w:rsidRPr="00301716" w:rsidP="00635987" w14:paraId="5D8C3336" w14:textId="77777777">
            <w:pPr>
              <w:snapToGrid w:val="0"/>
              <w:rPr>
                <w:snapToGrid/>
              </w:rPr>
            </w:pPr>
            <w:r w:rsidRPr="00301716">
              <w:rPr>
                <w:snapToGrid/>
              </w:rPr>
              <w:t>Wireless Telecommunications Carriers (except Satellite)</w:t>
            </w:r>
            <w:r>
              <w:rPr>
                <w:snapToGrid/>
                <w:vertAlign w:val="superscript"/>
              </w:rPr>
              <w:footnoteReference w:id="189"/>
            </w:r>
            <w:r w:rsidRPr="00301716">
              <w:rPr>
                <w:snapToGrid/>
              </w:rPr>
              <w:t xml:space="preserve"> </w:t>
            </w:r>
          </w:p>
        </w:tc>
        <w:tc>
          <w:tcPr>
            <w:tcW w:w="1372" w:type="dxa"/>
            <w:tcBorders>
              <w:top w:val="single" w:sz="4" w:space="0" w:color="auto"/>
              <w:left w:val="single" w:sz="4" w:space="0" w:color="auto"/>
              <w:bottom w:val="single" w:sz="4" w:space="0" w:color="auto"/>
              <w:right w:val="single" w:sz="4" w:space="0" w:color="auto"/>
            </w:tcBorders>
            <w:hideMark/>
          </w:tcPr>
          <w:p w:rsidR="00725C86" w:rsidRPr="00301716" w:rsidP="00635987" w14:paraId="669579A7" w14:textId="77777777">
            <w:pPr>
              <w:snapToGrid w:val="0"/>
              <w:rPr>
                <w:snapToGrid/>
              </w:rPr>
            </w:pPr>
            <w:r w:rsidRPr="00301716">
              <w:rPr>
                <w:snapToGrid/>
              </w:rPr>
              <w:t>517112</w:t>
            </w:r>
          </w:p>
        </w:tc>
        <w:tc>
          <w:tcPr>
            <w:tcW w:w="1593" w:type="dxa"/>
            <w:tcBorders>
              <w:top w:val="single" w:sz="4" w:space="0" w:color="auto"/>
              <w:left w:val="single" w:sz="4" w:space="0" w:color="auto"/>
              <w:bottom w:val="single" w:sz="4" w:space="0" w:color="auto"/>
              <w:right w:val="single" w:sz="4" w:space="0" w:color="auto"/>
            </w:tcBorders>
            <w:hideMark/>
          </w:tcPr>
          <w:p w:rsidR="00725C86" w:rsidRPr="00301716" w:rsidP="00635987" w14:paraId="0F68F01C" w14:textId="77777777">
            <w:pPr>
              <w:snapToGrid w:val="0"/>
              <w:rPr>
                <w:snapToGrid/>
              </w:rPr>
            </w:pPr>
            <w:r w:rsidRPr="00301716">
              <w:rPr>
                <w:snapToGrid/>
              </w:rPr>
              <w:t>1,500 employees</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47D01FFD" w14:textId="77777777">
            <w:pPr>
              <w:snapToGrid w:val="0"/>
              <w:rPr>
                <w:snapToGrid/>
              </w:rPr>
            </w:pPr>
            <w:r w:rsidRPr="00301716">
              <w:rPr>
                <w:snapToGrid/>
              </w:rPr>
              <w:t>2,893</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16680122" w14:textId="77777777">
            <w:pPr>
              <w:snapToGrid w:val="0"/>
              <w:rPr>
                <w:snapToGrid/>
              </w:rPr>
            </w:pPr>
            <w:r w:rsidRPr="00301716">
              <w:rPr>
                <w:snapToGrid/>
              </w:rPr>
              <w:t>2,837</w:t>
            </w:r>
          </w:p>
        </w:tc>
        <w:tc>
          <w:tcPr>
            <w:tcW w:w="1539"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2F002F1F" w14:textId="77777777">
            <w:pPr>
              <w:snapToGrid w:val="0"/>
              <w:rPr>
                <w:snapToGrid/>
              </w:rPr>
            </w:pPr>
            <w:r w:rsidRPr="00301716">
              <w:rPr>
                <w:snapToGrid/>
              </w:rPr>
              <w:t>98.06</w:t>
            </w:r>
          </w:p>
        </w:tc>
      </w:tr>
      <w:tr w14:paraId="7BC6B8C4" w14:textId="77777777" w:rsidTr="00635987">
        <w:tblPrEx>
          <w:tblW w:w="9350" w:type="dxa"/>
          <w:tblLook w:val="04A0"/>
        </w:tblPrEx>
        <w:trPr>
          <w:trHeight w:val="260"/>
        </w:trPr>
        <w:tc>
          <w:tcPr>
            <w:tcW w:w="2094" w:type="dxa"/>
            <w:tcBorders>
              <w:top w:val="single" w:sz="4" w:space="0" w:color="auto"/>
              <w:left w:val="single" w:sz="4" w:space="0" w:color="auto"/>
              <w:bottom w:val="single" w:sz="4" w:space="0" w:color="auto"/>
              <w:right w:val="single" w:sz="4" w:space="0" w:color="auto"/>
            </w:tcBorders>
            <w:hideMark/>
          </w:tcPr>
          <w:p w:rsidR="00725C86" w:rsidRPr="00301716" w:rsidP="00635987" w14:paraId="245FDE25" w14:textId="77777777">
            <w:pPr>
              <w:snapToGrid w:val="0"/>
              <w:rPr>
                <w:snapToGrid/>
              </w:rPr>
            </w:pPr>
            <w:r w:rsidRPr="00301716">
              <w:rPr>
                <w:snapToGrid/>
              </w:rPr>
              <w:t>Telecommunications Resellers</w:t>
            </w:r>
            <w:r>
              <w:rPr>
                <w:snapToGrid/>
                <w:vertAlign w:val="superscript"/>
              </w:rPr>
              <w:footnoteReference w:id="190"/>
            </w:r>
          </w:p>
        </w:tc>
        <w:tc>
          <w:tcPr>
            <w:tcW w:w="1372" w:type="dxa"/>
            <w:tcBorders>
              <w:top w:val="single" w:sz="4" w:space="0" w:color="auto"/>
              <w:left w:val="single" w:sz="4" w:space="0" w:color="auto"/>
              <w:bottom w:val="single" w:sz="4" w:space="0" w:color="auto"/>
              <w:right w:val="single" w:sz="4" w:space="0" w:color="auto"/>
            </w:tcBorders>
            <w:hideMark/>
          </w:tcPr>
          <w:p w:rsidR="00725C86" w:rsidRPr="00301716" w:rsidP="00635987" w14:paraId="0CD9F8C7" w14:textId="77777777">
            <w:pPr>
              <w:snapToGrid w:val="0"/>
              <w:rPr>
                <w:snapToGrid/>
              </w:rPr>
            </w:pPr>
            <w:r w:rsidRPr="00301716">
              <w:rPr>
                <w:snapToGrid/>
              </w:rPr>
              <w:t>517121</w:t>
            </w:r>
          </w:p>
        </w:tc>
        <w:tc>
          <w:tcPr>
            <w:tcW w:w="1593" w:type="dxa"/>
            <w:tcBorders>
              <w:top w:val="single" w:sz="4" w:space="0" w:color="auto"/>
              <w:left w:val="single" w:sz="4" w:space="0" w:color="auto"/>
              <w:bottom w:val="single" w:sz="4" w:space="0" w:color="auto"/>
              <w:right w:val="single" w:sz="4" w:space="0" w:color="auto"/>
            </w:tcBorders>
            <w:hideMark/>
          </w:tcPr>
          <w:p w:rsidR="00725C86" w:rsidRPr="00301716" w:rsidP="00635987" w14:paraId="21299AC6" w14:textId="77777777">
            <w:pPr>
              <w:snapToGrid w:val="0"/>
              <w:rPr>
                <w:snapToGrid/>
              </w:rPr>
            </w:pPr>
            <w:r w:rsidRPr="00301716">
              <w:rPr>
                <w:snapToGrid/>
              </w:rPr>
              <w:t>1,500 employees</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54236569" w14:textId="77777777">
            <w:pPr>
              <w:snapToGrid w:val="0"/>
              <w:rPr>
                <w:snapToGrid/>
              </w:rPr>
            </w:pPr>
            <w:r w:rsidRPr="00301716">
              <w:rPr>
                <w:snapToGrid/>
              </w:rPr>
              <w:t>1,386</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CF651EC" w14:textId="77777777">
            <w:pPr>
              <w:snapToGrid w:val="0"/>
              <w:rPr>
                <w:snapToGrid/>
              </w:rPr>
            </w:pPr>
            <w:r w:rsidRPr="00301716">
              <w:rPr>
                <w:snapToGrid/>
              </w:rPr>
              <w:t>1,375</w:t>
            </w:r>
          </w:p>
        </w:tc>
        <w:tc>
          <w:tcPr>
            <w:tcW w:w="1539"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40B1B056" w14:textId="77777777">
            <w:pPr>
              <w:snapToGrid w:val="0"/>
              <w:rPr>
                <w:snapToGrid/>
              </w:rPr>
            </w:pPr>
            <w:r w:rsidRPr="00301716">
              <w:rPr>
                <w:snapToGrid/>
              </w:rPr>
              <w:t>99.21</w:t>
            </w:r>
          </w:p>
        </w:tc>
      </w:tr>
      <w:tr w14:paraId="0D18616E" w14:textId="77777777" w:rsidTr="00635987">
        <w:tblPrEx>
          <w:tblW w:w="9350" w:type="dxa"/>
          <w:tblLook w:val="04A0"/>
        </w:tblPrEx>
        <w:trPr>
          <w:trHeight w:val="260"/>
        </w:trPr>
        <w:tc>
          <w:tcPr>
            <w:tcW w:w="2094" w:type="dxa"/>
            <w:tcBorders>
              <w:top w:val="single" w:sz="4" w:space="0" w:color="auto"/>
              <w:left w:val="single" w:sz="4" w:space="0" w:color="auto"/>
              <w:bottom w:val="single" w:sz="4" w:space="0" w:color="auto"/>
              <w:right w:val="single" w:sz="4" w:space="0" w:color="auto"/>
            </w:tcBorders>
            <w:hideMark/>
          </w:tcPr>
          <w:p w:rsidR="00725C86" w:rsidRPr="00301716" w:rsidP="00635987" w14:paraId="11AB3C21" w14:textId="77777777">
            <w:pPr>
              <w:snapToGrid w:val="0"/>
              <w:rPr>
                <w:snapToGrid/>
              </w:rPr>
            </w:pPr>
            <w:r w:rsidRPr="00301716">
              <w:rPr>
                <w:snapToGrid/>
              </w:rPr>
              <w:t>Satellite Telecommunications</w:t>
            </w:r>
          </w:p>
        </w:tc>
        <w:tc>
          <w:tcPr>
            <w:tcW w:w="1372" w:type="dxa"/>
            <w:tcBorders>
              <w:top w:val="single" w:sz="4" w:space="0" w:color="auto"/>
              <w:left w:val="single" w:sz="4" w:space="0" w:color="auto"/>
              <w:bottom w:val="single" w:sz="4" w:space="0" w:color="auto"/>
              <w:right w:val="single" w:sz="4" w:space="0" w:color="auto"/>
            </w:tcBorders>
            <w:hideMark/>
          </w:tcPr>
          <w:p w:rsidR="00725C86" w:rsidRPr="00301716" w:rsidP="00635987" w14:paraId="712E7A74" w14:textId="77777777">
            <w:pPr>
              <w:snapToGrid w:val="0"/>
              <w:rPr>
                <w:snapToGrid/>
              </w:rPr>
            </w:pPr>
            <w:r w:rsidRPr="00301716">
              <w:rPr>
                <w:snapToGrid/>
              </w:rPr>
              <w:t>517410</w:t>
            </w:r>
          </w:p>
        </w:tc>
        <w:tc>
          <w:tcPr>
            <w:tcW w:w="1593" w:type="dxa"/>
            <w:tcBorders>
              <w:top w:val="single" w:sz="4" w:space="0" w:color="auto"/>
              <w:left w:val="single" w:sz="4" w:space="0" w:color="auto"/>
              <w:bottom w:val="single" w:sz="4" w:space="0" w:color="auto"/>
              <w:right w:val="single" w:sz="4" w:space="0" w:color="auto"/>
            </w:tcBorders>
            <w:hideMark/>
          </w:tcPr>
          <w:p w:rsidR="00725C86" w:rsidRPr="00301716" w:rsidP="00635987" w14:paraId="1F1CA463" w14:textId="77777777">
            <w:pPr>
              <w:snapToGrid w:val="0"/>
              <w:rPr>
                <w:snapToGrid/>
              </w:rPr>
            </w:pPr>
            <w:r w:rsidRPr="00301716">
              <w:rPr>
                <w:snapToGrid/>
              </w:rPr>
              <w:t>$47 million</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28DB2157" w14:textId="77777777">
            <w:pPr>
              <w:snapToGrid w:val="0"/>
              <w:rPr>
                <w:snapToGrid/>
              </w:rPr>
            </w:pPr>
            <w:r w:rsidRPr="00301716">
              <w:rPr>
                <w:snapToGrid/>
              </w:rPr>
              <w:t>275</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799AC2FF" w14:textId="77777777">
            <w:pPr>
              <w:snapToGrid w:val="0"/>
              <w:rPr>
                <w:snapToGrid/>
              </w:rPr>
            </w:pPr>
            <w:r w:rsidRPr="00301716">
              <w:rPr>
                <w:snapToGrid/>
              </w:rPr>
              <w:t>242</w:t>
            </w:r>
          </w:p>
        </w:tc>
        <w:tc>
          <w:tcPr>
            <w:tcW w:w="1539"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413799E9" w14:textId="77777777">
            <w:pPr>
              <w:snapToGrid w:val="0"/>
              <w:rPr>
                <w:snapToGrid/>
              </w:rPr>
            </w:pPr>
            <w:r w:rsidRPr="00301716">
              <w:rPr>
                <w:snapToGrid/>
              </w:rPr>
              <w:t>88.00</w:t>
            </w:r>
          </w:p>
        </w:tc>
      </w:tr>
      <w:tr w14:paraId="28F78A00" w14:textId="77777777" w:rsidTr="00635987">
        <w:tblPrEx>
          <w:tblW w:w="9350" w:type="dxa"/>
          <w:tblLook w:val="04A0"/>
        </w:tblPrEx>
        <w:trPr>
          <w:trHeight w:val="260"/>
        </w:trPr>
        <w:tc>
          <w:tcPr>
            <w:tcW w:w="2094" w:type="dxa"/>
            <w:tcBorders>
              <w:top w:val="single" w:sz="4" w:space="0" w:color="auto"/>
              <w:left w:val="single" w:sz="4" w:space="0" w:color="auto"/>
              <w:bottom w:val="single" w:sz="4" w:space="0" w:color="auto"/>
              <w:right w:val="single" w:sz="4" w:space="0" w:color="auto"/>
            </w:tcBorders>
            <w:hideMark/>
          </w:tcPr>
          <w:p w:rsidR="00725C86" w:rsidRPr="00301716" w:rsidP="00635987" w14:paraId="7B5E6E02" w14:textId="77777777">
            <w:pPr>
              <w:snapToGrid w:val="0"/>
              <w:rPr>
                <w:snapToGrid/>
              </w:rPr>
            </w:pPr>
            <w:r w:rsidRPr="00301716">
              <w:rPr>
                <w:snapToGrid/>
              </w:rPr>
              <w:t>All Other Telecommunications</w:t>
            </w:r>
          </w:p>
        </w:tc>
        <w:tc>
          <w:tcPr>
            <w:tcW w:w="1372" w:type="dxa"/>
            <w:tcBorders>
              <w:top w:val="single" w:sz="4" w:space="0" w:color="auto"/>
              <w:left w:val="single" w:sz="4" w:space="0" w:color="auto"/>
              <w:bottom w:val="single" w:sz="4" w:space="0" w:color="auto"/>
              <w:right w:val="single" w:sz="4" w:space="0" w:color="auto"/>
            </w:tcBorders>
            <w:hideMark/>
          </w:tcPr>
          <w:p w:rsidR="00725C86" w:rsidRPr="00301716" w:rsidP="00635987" w14:paraId="70AF33A4" w14:textId="77777777">
            <w:pPr>
              <w:snapToGrid w:val="0"/>
              <w:rPr>
                <w:snapToGrid/>
              </w:rPr>
            </w:pPr>
            <w:r w:rsidRPr="00301716">
              <w:rPr>
                <w:snapToGrid/>
              </w:rPr>
              <w:t>517810</w:t>
            </w:r>
          </w:p>
        </w:tc>
        <w:tc>
          <w:tcPr>
            <w:tcW w:w="1593" w:type="dxa"/>
            <w:tcBorders>
              <w:top w:val="single" w:sz="4" w:space="0" w:color="auto"/>
              <w:left w:val="single" w:sz="4" w:space="0" w:color="auto"/>
              <w:bottom w:val="single" w:sz="4" w:space="0" w:color="auto"/>
              <w:right w:val="single" w:sz="4" w:space="0" w:color="auto"/>
            </w:tcBorders>
            <w:hideMark/>
          </w:tcPr>
          <w:p w:rsidR="00725C86" w:rsidRPr="00301716" w:rsidP="00635987" w14:paraId="0C5D1098" w14:textId="77777777">
            <w:pPr>
              <w:snapToGrid w:val="0"/>
              <w:rPr>
                <w:snapToGrid/>
              </w:rPr>
            </w:pPr>
            <w:r w:rsidRPr="00301716">
              <w:rPr>
                <w:snapToGrid/>
              </w:rPr>
              <w:t>$40 million</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9524DFD" w14:textId="77777777">
            <w:pPr>
              <w:snapToGrid w:val="0"/>
              <w:rPr>
                <w:snapToGrid/>
              </w:rPr>
            </w:pPr>
            <w:r w:rsidRPr="00301716">
              <w:rPr>
                <w:snapToGrid/>
              </w:rPr>
              <w:t>1,079</w:t>
            </w:r>
          </w:p>
        </w:tc>
        <w:tc>
          <w:tcPr>
            <w:tcW w:w="1376"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1586DAA6" w14:textId="77777777">
            <w:pPr>
              <w:snapToGrid w:val="0"/>
              <w:rPr>
                <w:snapToGrid/>
              </w:rPr>
            </w:pPr>
            <w:r w:rsidRPr="00301716">
              <w:rPr>
                <w:snapToGrid/>
              </w:rPr>
              <w:t>1,039</w:t>
            </w:r>
          </w:p>
        </w:tc>
        <w:tc>
          <w:tcPr>
            <w:tcW w:w="1539"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717ECFD1" w14:textId="77777777">
            <w:pPr>
              <w:snapToGrid w:val="0"/>
              <w:rPr>
                <w:snapToGrid/>
              </w:rPr>
            </w:pPr>
            <w:r w:rsidRPr="00301716">
              <w:rPr>
                <w:snapToGrid/>
              </w:rPr>
              <w:t>96.29</w:t>
            </w:r>
          </w:p>
        </w:tc>
      </w:tr>
    </w:tbl>
    <w:p w:rsidR="00725C86" w:rsidRPr="00301716" w:rsidP="00725C86" w14:paraId="3B75EC41" w14:textId="77777777">
      <w:pPr>
        <w:snapToGrid w:val="0"/>
        <w:rPr>
          <w:snapToGrid/>
        </w:rPr>
      </w:pPr>
      <w:r w:rsidRPr="00816744">
        <w:rPr>
          <w:kern w:val="0"/>
          <w:sz w:val="24"/>
        </w:rPr>
        <w:br w:type="page"/>
      </w:r>
    </w:p>
    <w:p w:rsidR="00725C86" w:rsidRPr="00301716" w:rsidP="00725C86" w14:paraId="35F553AE" w14:textId="77777777">
      <w:pPr>
        <w:snapToGrid w:val="0"/>
        <w:rPr>
          <w:snapToGrid/>
        </w:rPr>
      </w:pPr>
      <w:r w:rsidRPr="00301716">
        <w:rPr>
          <w:b/>
          <w:bCs/>
          <w:snapToGrid/>
        </w:rPr>
        <w:t xml:space="preserve">Table 2.  Telecommunications Service Provider Data  </w:t>
      </w:r>
    </w:p>
    <w:tbl>
      <w:tblPr>
        <w:tblW w:w="76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7"/>
        <w:gridCol w:w="1801"/>
        <w:gridCol w:w="991"/>
        <w:gridCol w:w="1531"/>
      </w:tblGrid>
      <w:tr w14:paraId="00CE301E" w14:textId="77777777" w:rsidTr="00635987">
        <w:tblPrEx>
          <w:tblW w:w="7650" w:type="dxa"/>
          <w:jc w:val="center"/>
          <w:tblLayout w:type="fixed"/>
          <w:tblLook w:val="04A0"/>
        </w:tblPrEx>
        <w:trPr>
          <w:trHeight w:val="300"/>
          <w:tblHeader/>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1F97FA6D" w14:textId="77777777">
            <w:pPr>
              <w:snapToGrid w:val="0"/>
              <w:rPr>
                <w:b/>
                <w:bCs/>
                <w:iCs/>
                <w:snapToGrid/>
              </w:rPr>
            </w:pPr>
            <w:r w:rsidRPr="00301716">
              <w:rPr>
                <w:b/>
                <w:bCs/>
                <w:iCs/>
                <w:snapToGrid/>
              </w:rPr>
              <w:t>2024 Universal Service Monitoring Report Telecommunications Service Provider Data</w:t>
            </w:r>
            <w:r w:rsidRPr="00301716">
              <w:rPr>
                <w:iCs/>
                <w:snapToGrid/>
              </w:rPr>
              <w:t xml:space="preserve"> </w:t>
            </w:r>
            <w:r>
              <w:rPr>
                <w:iCs/>
                <w:snapToGrid/>
                <w:vertAlign w:val="superscript"/>
              </w:rPr>
              <w:footnoteReference w:id="191"/>
            </w:r>
          </w:p>
          <w:p w:rsidR="00725C86" w:rsidRPr="00301716" w:rsidP="00635987" w14:paraId="246EF4A0" w14:textId="77777777">
            <w:pPr>
              <w:snapToGrid w:val="0"/>
              <w:rPr>
                <w:b/>
                <w:bCs/>
                <w:snapToGrid/>
              </w:rPr>
            </w:pPr>
            <w:r w:rsidRPr="00301716">
              <w:rPr>
                <w:b/>
                <w:bCs/>
                <w:snapToGrid/>
              </w:rPr>
              <w:t>(Data as of December 2023)</w:t>
            </w:r>
          </w:p>
        </w:tc>
        <w:tc>
          <w:tcPr>
            <w:tcW w:w="4320" w:type="dxa"/>
            <w:gridSpan w:val="3"/>
            <w:tcBorders>
              <w:top w:val="single" w:sz="4" w:space="0" w:color="auto"/>
              <w:left w:val="single" w:sz="4" w:space="0" w:color="auto"/>
              <w:bottom w:val="single" w:sz="4" w:space="0" w:color="auto"/>
              <w:right w:val="single" w:sz="4" w:space="0" w:color="auto"/>
            </w:tcBorders>
            <w:noWrap/>
            <w:hideMark/>
          </w:tcPr>
          <w:p w:rsidR="00725C86" w:rsidRPr="00301716" w:rsidP="00635987" w14:paraId="4FAB6D79" w14:textId="77777777">
            <w:pPr>
              <w:snapToGrid w:val="0"/>
              <w:rPr>
                <w:b/>
                <w:bCs/>
                <w:snapToGrid/>
              </w:rPr>
            </w:pPr>
            <w:r w:rsidRPr="00301716">
              <w:rPr>
                <w:b/>
                <w:bCs/>
                <w:snapToGrid/>
              </w:rPr>
              <w:t>SBA Size Standard</w:t>
            </w:r>
          </w:p>
          <w:p w:rsidR="00725C86" w:rsidRPr="00301716" w:rsidP="00635987" w14:paraId="7E93A281" w14:textId="77777777">
            <w:pPr>
              <w:snapToGrid w:val="0"/>
              <w:rPr>
                <w:snapToGrid/>
              </w:rPr>
            </w:pPr>
            <w:r w:rsidRPr="00301716">
              <w:rPr>
                <w:b/>
                <w:bCs/>
                <w:snapToGrid/>
              </w:rPr>
              <w:t>(1500 Employees)</w:t>
            </w:r>
          </w:p>
        </w:tc>
      </w:tr>
      <w:tr w14:paraId="456250AA" w14:textId="77777777" w:rsidTr="00635987">
        <w:tblPrEx>
          <w:tblW w:w="7650" w:type="dxa"/>
          <w:jc w:val="center"/>
          <w:tblLayout w:type="fixed"/>
          <w:tblLook w:val="04A0"/>
        </w:tblPrEx>
        <w:trPr>
          <w:trHeight w:val="300"/>
          <w:tblHeader/>
          <w:jc w:val="center"/>
        </w:trPr>
        <w:tc>
          <w:tcPr>
            <w:tcW w:w="3325" w:type="dxa"/>
            <w:tcBorders>
              <w:top w:val="single" w:sz="4" w:space="0" w:color="auto"/>
              <w:left w:val="single" w:sz="4" w:space="0" w:color="auto"/>
              <w:bottom w:val="single" w:sz="4" w:space="0" w:color="auto"/>
              <w:right w:val="single" w:sz="4" w:space="0" w:color="auto"/>
            </w:tcBorders>
            <w:noWrap/>
          </w:tcPr>
          <w:p w:rsidR="00725C86" w:rsidRPr="00301716" w:rsidP="00635987" w14:paraId="0118AF1E" w14:textId="77777777">
            <w:pPr>
              <w:snapToGrid w:val="0"/>
              <w:rPr>
                <w:b/>
                <w:bCs/>
                <w:snapToGrid/>
              </w:rPr>
            </w:pPr>
          </w:p>
          <w:p w:rsidR="00725C86" w:rsidRPr="00301716" w:rsidP="00635987" w14:paraId="2B02B890" w14:textId="77777777">
            <w:pPr>
              <w:snapToGrid w:val="0"/>
              <w:rPr>
                <w:iCs/>
                <w:snapToGrid/>
              </w:rPr>
            </w:pPr>
            <w:r w:rsidRPr="00301716">
              <w:rPr>
                <w:b/>
                <w:bCs/>
                <w:snapToGrid/>
              </w:rPr>
              <w:t>Affected Entity</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226F472A" w14:textId="77777777">
            <w:pPr>
              <w:snapToGrid w:val="0"/>
              <w:rPr>
                <w:snapToGrid/>
              </w:rPr>
            </w:pPr>
            <w:r w:rsidRPr="00301716">
              <w:rPr>
                <w:b/>
                <w:bCs/>
                <w:snapToGrid/>
              </w:rPr>
              <w:t>Total # FCC Form 499A Filers</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2209CF18" w14:textId="77777777">
            <w:pPr>
              <w:snapToGrid w:val="0"/>
              <w:rPr>
                <w:snapToGrid/>
              </w:rPr>
            </w:pPr>
            <w:r w:rsidRPr="00301716">
              <w:rPr>
                <w:b/>
                <w:bCs/>
                <w:snapToGrid/>
              </w:rPr>
              <w:t>Small Firms</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D5A89B8" w14:textId="77777777">
            <w:pPr>
              <w:snapToGrid w:val="0"/>
              <w:rPr>
                <w:snapToGrid/>
              </w:rPr>
            </w:pPr>
            <w:r w:rsidRPr="00301716">
              <w:rPr>
                <w:b/>
                <w:bCs/>
                <w:snapToGrid/>
              </w:rPr>
              <w:t>% Small Entities</w:t>
            </w:r>
          </w:p>
        </w:tc>
      </w:tr>
      <w:tr w14:paraId="64D0CCE2" w14:textId="77777777" w:rsidTr="0063598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7BD72E1" w14:textId="77777777">
            <w:pPr>
              <w:snapToGrid w:val="0"/>
              <w:rPr>
                <w:iCs/>
                <w:snapToGrid/>
              </w:rPr>
            </w:pPr>
            <w:r w:rsidRPr="00301716">
              <w:rPr>
                <w:iCs/>
                <w:snapToGrid/>
              </w:rPr>
              <w:t>Incumbent Local Exchange Carriers (Incumbent LECs)</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9ED1BDF" w14:textId="77777777">
            <w:pPr>
              <w:snapToGrid w:val="0"/>
              <w:rPr>
                <w:iCs/>
                <w:snapToGrid/>
              </w:rPr>
            </w:pPr>
            <w:r w:rsidRPr="00301716">
              <w:rPr>
                <w:iCs/>
                <w:snapToGrid/>
              </w:rPr>
              <w:t>1,175</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485316B3" w14:textId="77777777">
            <w:pPr>
              <w:snapToGrid w:val="0"/>
              <w:rPr>
                <w:iCs/>
                <w:snapToGrid/>
              </w:rPr>
            </w:pPr>
            <w:r w:rsidRPr="00301716">
              <w:rPr>
                <w:iCs/>
                <w:snapToGrid/>
              </w:rPr>
              <w:t>917</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369A9EF4" w14:textId="77777777">
            <w:pPr>
              <w:snapToGrid w:val="0"/>
              <w:rPr>
                <w:iCs/>
                <w:snapToGrid/>
              </w:rPr>
            </w:pPr>
            <w:r w:rsidRPr="00301716">
              <w:rPr>
                <w:iCs/>
                <w:snapToGrid/>
              </w:rPr>
              <w:t>78.04</w:t>
            </w:r>
          </w:p>
        </w:tc>
      </w:tr>
      <w:tr w14:paraId="6734BF70" w14:textId="77777777" w:rsidTr="0063598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3950D690" w14:textId="77777777">
            <w:pPr>
              <w:snapToGrid w:val="0"/>
              <w:rPr>
                <w:iCs/>
                <w:snapToGrid/>
              </w:rPr>
            </w:pPr>
            <w:r w:rsidRPr="00301716">
              <w:rPr>
                <w:iCs/>
                <w:snapToGrid/>
              </w:rPr>
              <w:t>Interexchange Carriers (IXCs)</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D4431B2" w14:textId="77777777">
            <w:pPr>
              <w:snapToGrid w:val="0"/>
              <w:rPr>
                <w:iCs/>
                <w:snapToGrid/>
              </w:rPr>
            </w:pPr>
            <w:r w:rsidRPr="00301716">
              <w:rPr>
                <w:iCs/>
                <w:snapToGrid/>
              </w:rPr>
              <w:t>113</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6C335C44" w14:textId="77777777">
            <w:pPr>
              <w:snapToGrid w:val="0"/>
              <w:rPr>
                <w:iCs/>
                <w:snapToGrid/>
              </w:rPr>
            </w:pPr>
            <w:r w:rsidRPr="00301716">
              <w:rPr>
                <w:iCs/>
                <w:snapToGrid/>
              </w:rPr>
              <w:t>95</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09679E68" w14:textId="77777777">
            <w:pPr>
              <w:snapToGrid w:val="0"/>
              <w:rPr>
                <w:iCs/>
                <w:snapToGrid/>
              </w:rPr>
            </w:pPr>
            <w:r w:rsidRPr="00301716">
              <w:rPr>
                <w:iCs/>
                <w:snapToGrid/>
              </w:rPr>
              <w:t>84.07</w:t>
            </w:r>
          </w:p>
        </w:tc>
      </w:tr>
      <w:tr w14:paraId="7F418AC9" w14:textId="77777777" w:rsidTr="00635987">
        <w:tblPrEx>
          <w:tblW w:w="7650" w:type="dxa"/>
          <w:jc w:val="center"/>
          <w:tblLayout w:type="fixed"/>
          <w:tblLook w:val="04A0"/>
        </w:tblPrEx>
        <w:trPr>
          <w:trHeight w:val="80"/>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DA12CB6" w14:textId="77777777">
            <w:pPr>
              <w:snapToGrid w:val="0"/>
              <w:rPr>
                <w:iCs/>
                <w:snapToGrid/>
              </w:rPr>
            </w:pPr>
            <w:r w:rsidRPr="00301716">
              <w:rPr>
                <w:iCs/>
                <w:snapToGrid/>
              </w:rPr>
              <w:t>Local Exchange Carriers (LECs)</w:t>
            </w:r>
            <w:r>
              <w:rPr>
                <w:iCs/>
                <w:snapToGrid/>
                <w:vertAlign w:val="superscript"/>
              </w:rPr>
              <w:footnoteReference w:id="192"/>
            </w:r>
            <w:r w:rsidRPr="00301716">
              <w:rPr>
                <w:iCs/>
                <w:snapToGrid/>
              </w:rPr>
              <w:t xml:space="preserve">  </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5B3D3A13" w14:textId="77777777">
            <w:pPr>
              <w:snapToGrid w:val="0"/>
              <w:rPr>
                <w:iCs/>
                <w:snapToGrid/>
              </w:rPr>
            </w:pPr>
            <w:r w:rsidRPr="00301716">
              <w:rPr>
                <w:iCs/>
                <w:snapToGrid/>
              </w:rPr>
              <w:t>4,904</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56E9E3C3" w14:textId="77777777">
            <w:pPr>
              <w:snapToGrid w:val="0"/>
              <w:rPr>
                <w:iCs/>
                <w:snapToGrid/>
              </w:rPr>
            </w:pPr>
            <w:r w:rsidRPr="00301716">
              <w:rPr>
                <w:iCs/>
                <w:snapToGrid/>
              </w:rPr>
              <w:t>4,493</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5D38927" w14:textId="77777777">
            <w:pPr>
              <w:snapToGrid w:val="0"/>
              <w:rPr>
                <w:iCs/>
                <w:snapToGrid/>
              </w:rPr>
            </w:pPr>
            <w:r w:rsidRPr="00301716">
              <w:rPr>
                <w:iCs/>
                <w:snapToGrid/>
              </w:rPr>
              <w:t>91.62</w:t>
            </w:r>
          </w:p>
        </w:tc>
      </w:tr>
      <w:tr w14:paraId="55C63990" w14:textId="77777777" w:rsidTr="00635987">
        <w:tblPrEx>
          <w:tblW w:w="7650" w:type="dxa"/>
          <w:jc w:val="center"/>
          <w:tblLayout w:type="fixed"/>
          <w:tblLook w:val="04A0"/>
        </w:tblPrEx>
        <w:trPr>
          <w:trHeight w:val="80"/>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10763742" w14:textId="77777777">
            <w:pPr>
              <w:snapToGrid w:val="0"/>
              <w:rPr>
                <w:iCs/>
                <w:snapToGrid/>
              </w:rPr>
            </w:pPr>
            <w:r w:rsidRPr="00301716">
              <w:rPr>
                <w:iCs/>
                <w:snapToGrid/>
              </w:rPr>
              <w:t>Local Resellers</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2232AABB" w14:textId="77777777">
            <w:pPr>
              <w:snapToGrid w:val="0"/>
              <w:rPr>
                <w:iCs/>
                <w:snapToGrid/>
              </w:rPr>
            </w:pPr>
            <w:r w:rsidRPr="00301716">
              <w:rPr>
                <w:iCs/>
                <w:snapToGrid/>
              </w:rPr>
              <w:t>222</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0CCC93EA" w14:textId="77777777">
            <w:pPr>
              <w:snapToGrid w:val="0"/>
              <w:rPr>
                <w:iCs/>
                <w:snapToGrid/>
              </w:rPr>
            </w:pPr>
            <w:r w:rsidRPr="00301716">
              <w:rPr>
                <w:iCs/>
                <w:snapToGrid/>
              </w:rPr>
              <w:t>217</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1F533287" w14:textId="77777777">
            <w:pPr>
              <w:snapToGrid w:val="0"/>
              <w:rPr>
                <w:iCs/>
                <w:snapToGrid/>
              </w:rPr>
            </w:pPr>
            <w:r w:rsidRPr="00301716">
              <w:rPr>
                <w:iCs/>
                <w:snapToGrid/>
              </w:rPr>
              <w:t>97.75</w:t>
            </w:r>
          </w:p>
        </w:tc>
      </w:tr>
      <w:tr w14:paraId="675195DF" w14:textId="77777777" w:rsidTr="0063598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309B1EF5" w14:textId="77777777">
            <w:pPr>
              <w:snapToGrid w:val="0"/>
              <w:rPr>
                <w:iCs/>
                <w:snapToGrid/>
              </w:rPr>
            </w:pPr>
            <w:r w:rsidRPr="00301716">
              <w:rPr>
                <w:iCs/>
                <w:snapToGrid/>
              </w:rPr>
              <w:t>Toll Resellers</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49FF6815" w14:textId="77777777">
            <w:pPr>
              <w:snapToGrid w:val="0"/>
              <w:rPr>
                <w:iCs/>
                <w:snapToGrid/>
              </w:rPr>
            </w:pPr>
            <w:r w:rsidRPr="00301716">
              <w:rPr>
                <w:iCs/>
                <w:snapToGrid/>
              </w:rPr>
              <w:t>411</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6648C79E" w14:textId="77777777">
            <w:pPr>
              <w:snapToGrid w:val="0"/>
              <w:rPr>
                <w:iCs/>
                <w:snapToGrid/>
              </w:rPr>
            </w:pPr>
            <w:r w:rsidRPr="00301716">
              <w:rPr>
                <w:iCs/>
                <w:snapToGrid/>
              </w:rPr>
              <w:t>398</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111ED803" w14:textId="77777777">
            <w:pPr>
              <w:snapToGrid w:val="0"/>
              <w:rPr>
                <w:iCs/>
                <w:snapToGrid/>
              </w:rPr>
            </w:pPr>
            <w:r w:rsidRPr="00301716">
              <w:rPr>
                <w:iCs/>
                <w:snapToGrid/>
              </w:rPr>
              <w:t>96.84</w:t>
            </w:r>
          </w:p>
        </w:tc>
      </w:tr>
      <w:tr w14:paraId="3D95EC19" w14:textId="77777777" w:rsidTr="0063598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3FEF815A" w14:textId="77777777">
            <w:pPr>
              <w:snapToGrid w:val="0"/>
              <w:rPr>
                <w:iCs/>
                <w:snapToGrid/>
              </w:rPr>
            </w:pPr>
            <w:r w:rsidRPr="00301716">
              <w:rPr>
                <w:iCs/>
                <w:snapToGrid/>
              </w:rPr>
              <w:t>Telecommunications Resellers</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2421E67" w14:textId="77777777">
            <w:pPr>
              <w:snapToGrid w:val="0"/>
              <w:rPr>
                <w:iCs/>
                <w:snapToGrid/>
              </w:rPr>
            </w:pPr>
            <w:r w:rsidRPr="00301716">
              <w:rPr>
                <w:iCs/>
                <w:snapToGrid/>
              </w:rPr>
              <w:t>633</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1D9544EA" w14:textId="77777777">
            <w:pPr>
              <w:snapToGrid w:val="0"/>
              <w:rPr>
                <w:iCs/>
                <w:snapToGrid/>
              </w:rPr>
            </w:pPr>
            <w:r w:rsidRPr="00301716">
              <w:rPr>
                <w:iCs/>
                <w:snapToGrid/>
              </w:rPr>
              <w:t>615</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02818347" w14:textId="77777777">
            <w:pPr>
              <w:snapToGrid w:val="0"/>
              <w:rPr>
                <w:iCs/>
                <w:snapToGrid/>
              </w:rPr>
            </w:pPr>
            <w:r w:rsidRPr="00301716">
              <w:rPr>
                <w:iCs/>
                <w:snapToGrid/>
              </w:rPr>
              <w:t>97.16</w:t>
            </w:r>
          </w:p>
        </w:tc>
      </w:tr>
      <w:tr w14:paraId="34F8E7DA" w14:textId="77777777" w:rsidTr="0063598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3B8F427E" w14:textId="77777777">
            <w:pPr>
              <w:snapToGrid w:val="0"/>
              <w:rPr>
                <w:iCs/>
                <w:snapToGrid/>
              </w:rPr>
            </w:pPr>
            <w:r w:rsidRPr="00301716">
              <w:rPr>
                <w:iCs/>
                <w:snapToGrid/>
              </w:rPr>
              <w:t>Wired Telecommunications Carriers</w:t>
            </w:r>
            <w:r>
              <w:rPr>
                <w:iCs/>
                <w:snapToGrid/>
                <w:vertAlign w:val="superscript"/>
              </w:rPr>
              <w:footnoteReference w:id="193"/>
            </w:r>
            <w:r w:rsidRPr="00301716">
              <w:rPr>
                <w:iCs/>
                <w:snapToGrid/>
              </w:rPr>
              <w:t xml:space="preserve"> </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01F6AA3A" w14:textId="77777777">
            <w:pPr>
              <w:snapToGrid w:val="0"/>
              <w:rPr>
                <w:iCs/>
                <w:snapToGrid/>
              </w:rPr>
            </w:pPr>
            <w:r w:rsidRPr="00301716">
              <w:rPr>
                <w:iCs/>
                <w:snapToGrid/>
              </w:rPr>
              <w:t>4,682</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6EED2D5D" w14:textId="77777777">
            <w:pPr>
              <w:snapToGrid w:val="0"/>
              <w:rPr>
                <w:iCs/>
                <w:snapToGrid/>
              </w:rPr>
            </w:pPr>
            <w:r w:rsidRPr="00301716">
              <w:rPr>
                <w:iCs/>
                <w:snapToGrid/>
              </w:rPr>
              <w:t>4,276</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1BF22EC4" w14:textId="77777777">
            <w:pPr>
              <w:snapToGrid w:val="0"/>
              <w:rPr>
                <w:iCs/>
                <w:snapToGrid/>
              </w:rPr>
            </w:pPr>
            <w:r w:rsidRPr="00301716">
              <w:rPr>
                <w:iCs/>
                <w:snapToGrid/>
              </w:rPr>
              <w:t>91.33</w:t>
            </w:r>
          </w:p>
        </w:tc>
      </w:tr>
      <w:tr w14:paraId="557E3F2B" w14:textId="77777777" w:rsidTr="0063598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4BE35715" w14:textId="77777777">
            <w:pPr>
              <w:snapToGrid w:val="0"/>
              <w:rPr>
                <w:iCs/>
                <w:snapToGrid/>
              </w:rPr>
            </w:pPr>
            <w:r w:rsidRPr="00301716">
              <w:rPr>
                <w:iCs/>
                <w:snapToGrid/>
              </w:rPr>
              <w:t>Wireless Telecommunications Carriers (except Satellite)</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B90A601" w14:textId="77777777">
            <w:pPr>
              <w:snapToGrid w:val="0"/>
              <w:rPr>
                <w:iCs/>
                <w:snapToGrid/>
              </w:rPr>
            </w:pPr>
            <w:r w:rsidRPr="00301716">
              <w:rPr>
                <w:iCs/>
                <w:snapToGrid/>
              </w:rPr>
              <w:t>585</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273D6B5A" w14:textId="77777777">
            <w:pPr>
              <w:snapToGrid w:val="0"/>
              <w:rPr>
                <w:iCs/>
                <w:snapToGrid/>
              </w:rPr>
            </w:pPr>
            <w:r w:rsidRPr="00301716">
              <w:rPr>
                <w:iCs/>
                <w:snapToGrid/>
              </w:rPr>
              <w:t>498</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7A4C2040" w14:textId="77777777">
            <w:pPr>
              <w:snapToGrid w:val="0"/>
              <w:rPr>
                <w:iCs/>
                <w:snapToGrid/>
              </w:rPr>
            </w:pPr>
            <w:r w:rsidRPr="00301716">
              <w:rPr>
                <w:iCs/>
                <w:snapToGrid/>
              </w:rPr>
              <w:t>85.13</w:t>
            </w:r>
          </w:p>
        </w:tc>
      </w:tr>
      <w:tr w14:paraId="072D1580" w14:textId="77777777" w:rsidTr="00635987">
        <w:tblPrEx>
          <w:tblW w:w="7650" w:type="dxa"/>
          <w:jc w:val="center"/>
          <w:tblLayout w:type="fixed"/>
          <w:tblLook w:val="04A0"/>
        </w:tblPrEx>
        <w:trPr>
          <w:trHeight w:val="255"/>
          <w:jc w:val="center"/>
        </w:trPr>
        <w:tc>
          <w:tcPr>
            <w:tcW w:w="3325"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74A41A4" w14:textId="77777777">
            <w:pPr>
              <w:snapToGrid w:val="0"/>
              <w:rPr>
                <w:iCs/>
                <w:snapToGrid/>
              </w:rPr>
            </w:pPr>
            <w:r w:rsidRPr="00301716">
              <w:rPr>
                <w:iCs/>
                <w:snapToGrid/>
              </w:rPr>
              <w:t>Wireless Telephony</w:t>
            </w:r>
          </w:p>
        </w:tc>
        <w:tc>
          <w:tcPr>
            <w:tcW w:w="180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26C5156F" w14:textId="77777777">
            <w:pPr>
              <w:snapToGrid w:val="0"/>
              <w:rPr>
                <w:iCs/>
                <w:snapToGrid/>
              </w:rPr>
            </w:pPr>
            <w:r w:rsidRPr="00301716">
              <w:rPr>
                <w:iCs/>
                <w:snapToGrid/>
              </w:rPr>
              <w:t>326</w:t>
            </w:r>
          </w:p>
        </w:tc>
        <w:tc>
          <w:tcPr>
            <w:tcW w:w="990" w:type="dxa"/>
            <w:tcBorders>
              <w:top w:val="single" w:sz="4" w:space="0" w:color="auto"/>
              <w:left w:val="single" w:sz="4" w:space="0" w:color="auto"/>
              <w:bottom w:val="single" w:sz="4" w:space="0" w:color="auto"/>
              <w:right w:val="single" w:sz="4" w:space="0" w:color="auto"/>
            </w:tcBorders>
            <w:hideMark/>
          </w:tcPr>
          <w:p w:rsidR="00725C86" w:rsidRPr="00301716" w:rsidP="00635987" w14:paraId="71D40988" w14:textId="77777777">
            <w:pPr>
              <w:snapToGrid w:val="0"/>
              <w:rPr>
                <w:iCs/>
                <w:snapToGrid/>
              </w:rPr>
            </w:pPr>
            <w:r w:rsidRPr="00301716">
              <w:rPr>
                <w:iCs/>
                <w:snapToGrid/>
              </w:rPr>
              <w:t>247</w:t>
            </w:r>
          </w:p>
        </w:tc>
        <w:tc>
          <w:tcPr>
            <w:tcW w:w="1530" w:type="dxa"/>
            <w:tcBorders>
              <w:top w:val="single" w:sz="4" w:space="0" w:color="auto"/>
              <w:left w:val="single" w:sz="4" w:space="0" w:color="auto"/>
              <w:bottom w:val="single" w:sz="4" w:space="0" w:color="auto"/>
              <w:right w:val="single" w:sz="4" w:space="0" w:color="auto"/>
            </w:tcBorders>
            <w:noWrap/>
            <w:hideMark/>
          </w:tcPr>
          <w:p w:rsidR="00725C86" w:rsidRPr="00301716" w:rsidP="00635987" w14:paraId="6E7E87CF" w14:textId="77777777">
            <w:pPr>
              <w:snapToGrid w:val="0"/>
              <w:rPr>
                <w:iCs/>
                <w:snapToGrid/>
              </w:rPr>
            </w:pPr>
            <w:r w:rsidRPr="00301716">
              <w:rPr>
                <w:iCs/>
                <w:snapToGrid/>
              </w:rPr>
              <w:t>75.77</w:t>
            </w:r>
          </w:p>
        </w:tc>
      </w:tr>
    </w:tbl>
    <w:p w:rsidR="00725C86" w:rsidRPr="00301716" w:rsidP="00725C86" w14:paraId="679E885E" w14:textId="77777777">
      <w:pPr>
        <w:snapToGrid w:val="0"/>
        <w:rPr>
          <w:b/>
          <w:bCs/>
          <w:snapToGrid/>
        </w:rPr>
      </w:pPr>
    </w:p>
    <w:p w:rsidR="00725C86" w:rsidRPr="00301716" w:rsidP="00725C86" w14:paraId="47E2792E" w14:textId="77777777">
      <w:pPr>
        <w:pStyle w:val="Heading2"/>
        <w:rPr>
          <w:snapToGrid/>
        </w:rPr>
      </w:pPr>
      <w:bookmarkStart w:id="470" w:name="_Toc231300325"/>
      <w:bookmarkStart w:id="471" w:name="_Toc231985443"/>
      <w:bookmarkStart w:id="472" w:name="_Toc233617906"/>
      <w:bookmarkStart w:id="473" w:name="_Toc233618240"/>
      <w:bookmarkStart w:id="474" w:name="_Hlk217914562"/>
      <w:bookmarkStart w:id="475" w:name="_Toc235613397"/>
      <w:r w:rsidRPr="00301716">
        <w:rPr>
          <w:snapToGrid/>
        </w:rPr>
        <w:t>Description</w:t>
      </w:r>
      <w:r w:rsidRPr="00301716">
        <w:rPr>
          <w:bCs/>
          <w:snapToGrid/>
        </w:rPr>
        <w:t xml:space="preserve"> of Economic Impact and Projected Reporting, </w:t>
      </w:r>
      <w:r w:rsidRPr="00301716">
        <w:rPr>
          <w:snapToGrid/>
        </w:rPr>
        <w:t>Recordkeeping</w:t>
      </w:r>
      <w:r w:rsidRPr="00301716">
        <w:rPr>
          <w:bCs/>
          <w:snapToGrid/>
        </w:rPr>
        <w:t xml:space="preserve"> and Other </w:t>
      </w:r>
      <w:r w:rsidRPr="00301716">
        <w:rPr>
          <w:snapToGrid/>
        </w:rPr>
        <w:t>Compliance</w:t>
      </w:r>
      <w:r w:rsidRPr="00301716">
        <w:rPr>
          <w:bCs/>
          <w:snapToGrid/>
        </w:rPr>
        <w:t xml:space="preserve"> </w:t>
      </w:r>
      <w:r w:rsidRPr="00301716">
        <w:rPr>
          <w:snapToGrid/>
        </w:rPr>
        <w:t>Requirements for Small Entities</w:t>
      </w:r>
      <w:bookmarkEnd w:id="470"/>
      <w:bookmarkEnd w:id="471"/>
      <w:bookmarkEnd w:id="472"/>
      <w:bookmarkEnd w:id="473"/>
      <w:bookmarkEnd w:id="475"/>
    </w:p>
    <w:bookmarkEnd w:id="474"/>
    <w:p w:rsidR="00725C86" w:rsidRPr="00301716" w:rsidP="00725C86" w14:paraId="564FBD4A" w14:textId="77777777">
      <w:pPr>
        <w:pStyle w:val="ParaNum"/>
        <w:rPr>
          <w:snapToGrid/>
        </w:rPr>
      </w:pPr>
      <w:r w:rsidRPr="00301716">
        <w:rPr>
          <w:snapToGrid/>
        </w:rPr>
        <w:t>The RFA directs agencies to describe the economic impact of adopted rules on small entities, as well as projected reporting, recordkeeping and other compliance requirements, including an estimate of the classes of small entities which will be subject to the requirement and the type of professional skills necessary for preparation of the report or record.</w:t>
      </w:r>
      <w:r>
        <w:rPr>
          <w:rStyle w:val="FootnoteReference"/>
        </w:rPr>
        <w:footnoteReference w:id="194"/>
      </w:r>
      <w:r w:rsidRPr="00301716">
        <w:rPr>
          <w:snapToGrid/>
        </w:rPr>
        <w:t xml:space="preserve"> </w:t>
      </w:r>
    </w:p>
    <w:p w:rsidR="00725C86" w:rsidRPr="00301716" w:rsidP="00725C86" w14:paraId="4C1DA915" w14:textId="77777777">
      <w:pPr>
        <w:pStyle w:val="ParaNum"/>
        <w:rPr>
          <w:snapToGrid/>
        </w:rPr>
      </w:pPr>
      <w:r w:rsidRPr="00301716">
        <w:rPr>
          <w:snapToGrid/>
        </w:rPr>
        <w:t xml:space="preserve"> The Order streamlines existing broadband label requirements by making targeted changes to the information providers are required to provide and to the manner in which it must be displayed.  The Commission expects these changes to reduce costs for providers, including small entities, while continuing to provide consumers with information needed to make informed broadband purchasing decisions.  The Commission expects the rule changes set forth in this Order to reduce provider costs while imposing no material harm on consumers.</w:t>
      </w:r>
    </w:p>
    <w:p w:rsidR="00725C86" w:rsidRPr="00301716" w:rsidP="00725C86" w14:paraId="28EC655E" w14:textId="77777777">
      <w:pPr>
        <w:pStyle w:val="ParaNum"/>
        <w:rPr>
          <w:snapToGrid/>
        </w:rPr>
      </w:pPr>
      <w:r w:rsidRPr="00301716">
        <w:rPr>
          <w:snapToGrid/>
        </w:rPr>
        <w:t xml:space="preserve">The Order’s changes reduce compliance obligations in the following respects, each of which is particularly beneficial to small entities that are less likely than large providers to maintain dedicated in-house legal and technical compliance staff.  First, the fee presentation change allows providers to disclose the maximum or exact amount consumers would be charged for location-variable fees, eliminating the need to create and maintain multiple location-specific labels.  Second, the point of sale and account portal changes allow providers to use hyperlinks or icons in lieu of the full label display, </w:t>
      </w:r>
      <w:r w:rsidRPr="00301716">
        <w:rPr>
          <w:snapToGrid/>
        </w:rPr>
        <w:t>reducing the technical burden of full label display systems.  Third, elimination of the machine readability requirement removes a technical backend obligation that imposed costs without commensurate consumer benefit.  Fourth, the telephone sales modification allows customer service representatives to describe label contents conversationally rather than verbatim, reducing training and scripting burdens.  Fifth, elimination of the two-year archiving requirement may lower storage costs.  Sixth, removal of the outdated ACP information (ACP) eliminates the need to maintain a label element that no longer serves any consumer information purpose.</w:t>
      </w:r>
    </w:p>
    <w:p w:rsidR="00725C86" w:rsidRPr="00301716" w:rsidP="00725C86" w14:paraId="0FF99FB8" w14:textId="77777777">
      <w:pPr>
        <w:pStyle w:val="ParaNum"/>
        <w:rPr>
          <w:snapToGrid/>
        </w:rPr>
      </w:pPr>
      <w:r w:rsidRPr="00301716">
        <w:rPr>
          <w:snapToGrid/>
        </w:rPr>
        <w:t>The core broadband label requirements remain in effect for all providers, including small entities.  Providers must continue to display a label containing critical information pricing, introductory rates, data allowances, and performance metrics.  Compliance will continue to require professional skills in legal compliance, marketing, and broadband technology.  Small entities that lack in-house compliance staff may continue to require professional assistance, although we expect that the elimination of several requirements will substantially reduce the scope and cost of such assistance.</w:t>
      </w:r>
    </w:p>
    <w:p w:rsidR="00725C86" w:rsidRPr="00301716" w:rsidP="00725C86" w14:paraId="7670FDC7" w14:textId="77777777">
      <w:pPr>
        <w:pStyle w:val="ParaNum"/>
        <w:rPr>
          <w:snapToGrid/>
        </w:rPr>
      </w:pPr>
      <w:r w:rsidRPr="00301716">
        <w:rPr>
          <w:snapToGrid/>
        </w:rPr>
        <w:t xml:space="preserve">The Order does not impose any new reporting, recordkeeping, or other compliance obligations on small entities.  </w:t>
      </w:r>
      <w:bookmarkStart w:id="476" w:name="_Toc310524632"/>
      <w:bookmarkStart w:id="477" w:name="_Toc310524900"/>
      <w:bookmarkStart w:id="478" w:name="_Toc314645322"/>
      <w:bookmarkStart w:id="479" w:name="_Toc314648953"/>
      <w:bookmarkStart w:id="480" w:name="_Toc314738879"/>
      <w:bookmarkStart w:id="481" w:name="_Toc314738922"/>
      <w:bookmarkStart w:id="482" w:name="_Toc393478012"/>
      <w:bookmarkStart w:id="483" w:name="_Toc394658134"/>
      <w:bookmarkStart w:id="484" w:name="_Toc394659979"/>
      <w:bookmarkStart w:id="485" w:name="_Toc394678819"/>
      <w:bookmarkStart w:id="486" w:name="_Toc394679533"/>
      <w:bookmarkStart w:id="487" w:name="_Toc395264440"/>
      <w:bookmarkStart w:id="488" w:name="_Toc397508655"/>
      <w:bookmarkStart w:id="489" w:name="_Toc397604505"/>
      <w:bookmarkStart w:id="490" w:name="_Toc397686593"/>
      <w:bookmarkStart w:id="491" w:name="_Toc399935856"/>
      <w:bookmarkStart w:id="492" w:name="_Toc403121206"/>
      <w:bookmarkStart w:id="493" w:name="_Toc465357617"/>
      <w:bookmarkStart w:id="494" w:name="_Toc468201220"/>
      <w:bookmarkStart w:id="495" w:name="_Toc468702544"/>
      <w:bookmarkStart w:id="496" w:name="_Toc473563728"/>
      <w:bookmarkStart w:id="497" w:name="_Toc474348304"/>
      <w:bookmarkStart w:id="498" w:name="_Toc474351641"/>
      <w:bookmarkStart w:id="499" w:name="_Toc474352572"/>
      <w:bookmarkStart w:id="500" w:name="_Toc474353434"/>
      <w:bookmarkStart w:id="501" w:name="_Toc474532759"/>
      <w:bookmarkStart w:id="502" w:name="_Toc474534425"/>
      <w:bookmarkStart w:id="503" w:name="_Toc474752052"/>
      <w:bookmarkStart w:id="504" w:name="_Toc474947292"/>
      <w:bookmarkStart w:id="505" w:name="_Toc475028092"/>
      <w:bookmarkStart w:id="506" w:name="_Toc475537255"/>
      <w:bookmarkStart w:id="507" w:name="_Toc475899455"/>
      <w:bookmarkStart w:id="508" w:name="_Toc477805788"/>
      <w:bookmarkStart w:id="509" w:name="_Toc477954222"/>
      <w:r w:rsidRPr="00301716">
        <w:rPr>
          <w:snapToGrid/>
        </w:rPr>
        <w:t>All adopted changes reduce burdens relative to existing requirements.</w:t>
      </w:r>
    </w:p>
    <w:p w:rsidR="00725C86" w:rsidRPr="00301716" w:rsidP="00725C86" w14:paraId="67C4B460" w14:textId="77777777">
      <w:pPr>
        <w:pStyle w:val="Heading2"/>
        <w:rPr>
          <w:snapToGrid/>
        </w:rPr>
      </w:pPr>
      <w:bookmarkStart w:id="510" w:name="_Toc231300326"/>
      <w:bookmarkStart w:id="511" w:name="_Toc231985444"/>
      <w:bookmarkStart w:id="512" w:name="_Toc233617907"/>
      <w:bookmarkStart w:id="513" w:name="_Toc233618241"/>
      <w:bookmarkStart w:id="514" w:name="_Toc235613398"/>
      <w:r w:rsidRPr="00301716">
        <w:rPr>
          <w:snapToGrid/>
        </w:rPr>
        <w:t>Discussion of Steps Taken to Minimize the Significant Economic Impact on Small Entities, and Significant Alternatives Considered</w:t>
      </w:r>
      <w:bookmarkEnd w:id="510"/>
      <w:bookmarkEnd w:id="511"/>
      <w:bookmarkEnd w:id="512"/>
      <w:bookmarkEnd w:id="513"/>
      <w:bookmarkEnd w:id="514"/>
    </w:p>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rsidR="00725C86" w:rsidRPr="00301716" w:rsidP="00725C86" w14:paraId="0048B519" w14:textId="77777777">
      <w:pPr>
        <w:pStyle w:val="ParaNum"/>
        <w:rPr>
          <w:snapToGrid/>
        </w:rPr>
      </w:pPr>
      <w:r w:rsidRPr="00301716">
        <w:rPr>
          <w:snapToGrid/>
        </w:rPr>
        <w:t>The RFA requires an agency to provide “a description of the steps the agency has taken to minimize the significant economic impact on small entities…including a statement of the factual, policy, and legal reasons for selecting the alternative adopted in the final rule and why each one of the other significant alternatives to the rule considered by the agency which affect the impact on small entities was rejected.”</w:t>
      </w:r>
      <w:r>
        <w:rPr>
          <w:rStyle w:val="FootnoteReference"/>
        </w:rPr>
        <w:footnoteReference w:id="195"/>
      </w:r>
    </w:p>
    <w:p w:rsidR="00725C86" w:rsidRPr="00301716" w:rsidP="00725C86" w14:paraId="00583AFB" w14:textId="77777777">
      <w:pPr>
        <w:pStyle w:val="ParaNum"/>
        <w:rPr>
          <w:snapToGrid/>
        </w:rPr>
      </w:pPr>
      <w:r w:rsidRPr="00301716">
        <w:rPr>
          <w:i/>
          <w:iCs/>
          <w:snapToGrid/>
        </w:rPr>
        <w:t>Elimination of six compliance requirements</w:t>
      </w:r>
      <w:r w:rsidRPr="00301716">
        <w:rPr>
          <w:snapToGrid/>
        </w:rPr>
        <w:t xml:space="preserve">.  The most significant step taken to minimize economic impact on small entities is the elimination of six compliance requirements that generated disproportionate administrative, technical and financial burden, particularly for smaller providers, without commensurate consumer benefit.  The legal and policy basis for each elimination is grounded in the Commission’s finding that these requirements were not mandated by the Infrastructure Act or the 2016 Broadband Labels Public Notice and thus exceeded the Commission’s statutory mandate.  Eliminating requirements that lack statutory grounding and imposed real costs on small entities directly advances the RFA’s objectives.  </w:t>
      </w:r>
    </w:p>
    <w:p w:rsidR="00725C86" w:rsidRPr="00301716" w:rsidP="00725C86" w14:paraId="53DB59D2" w14:textId="77777777">
      <w:pPr>
        <w:pStyle w:val="ParaNum"/>
        <w:rPr>
          <w:snapToGrid/>
        </w:rPr>
      </w:pPr>
      <w:r w:rsidRPr="00301716">
        <w:rPr>
          <w:i/>
          <w:iCs/>
          <w:snapToGrid/>
        </w:rPr>
        <w:t>Fee Presentation Flexibility</w:t>
      </w:r>
      <w:r w:rsidRPr="00301716">
        <w:rPr>
          <w:snapToGrid/>
        </w:rPr>
        <w:t>.  Rather than requiring itemization of all location-variable fees, which entailed creating multiple label versions for different service areas, the Order allows providers to disclose either the maximum or exact amount a consumer will be charged for these fees.  This approach achieves the transparency goal while substantially reducing administrative complexity, especially for small entities serving multiple geographic markets.</w:t>
      </w:r>
    </w:p>
    <w:p w:rsidR="00725C86" w:rsidRPr="00301716" w:rsidP="00725C86" w14:paraId="21119CB4" w14:textId="77777777">
      <w:pPr>
        <w:pStyle w:val="ParaNum"/>
        <w:rPr>
          <w:snapToGrid/>
        </w:rPr>
      </w:pPr>
      <w:r w:rsidRPr="00301716">
        <w:rPr>
          <w:i/>
          <w:iCs/>
          <w:snapToGrid/>
        </w:rPr>
        <w:t>Hyperlink and Icon Alternative</w:t>
      </w:r>
      <w:r w:rsidRPr="00301716">
        <w:rPr>
          <w:snapToGrid/>
        </w:rPr>
        <w:t>.  The Order allows providers to satisfy point of sale and customer portal display requirements through hyperlinks or icons linking to broadband labels rather than full-label display at the point of sale.  This reduces the technical burden of label display systems while preserving consumer access to label information.</w:t>
      </w:r>
    </w:p>
    <w:p w:rsidR="00725C86" w:rsidRPr="00301716" w:rsidP="00725C86" w14:paraId="3BB567ED" w14:textId="77777777">
      <w:pPr>
        <w:pStyle w:val="ParaNum"/>
        <w:rPr>
          <w:snapToGrid/>
        </w:rPr>
      </w:pPr>
      <w:r w:rsidRPr="00301716">
        <w:rPr>
          <w:i/>
          <w:iCs/>
          <w:snapToGrid/>
        </w:rPr>
        <w:t>Implementation Timing</w:t>
      </w:r>
      <w:r w:rsidRPr="00301716">
        <w:rPr>
          <w:snapToGrid/>
        </w:rPr>
        <w:t>.  The Commission notes that the 2022 Broadband Label Order provided differential implementation timelines, giving smaller providers (those with 100,000 or fewer subscribers) a six-month extension beyond the deadline applicable to large providers.  Because the changes adopted in this Order exclusively reduce compliance obligations, no additional differential implantation schedule for small entities is necessary.  The Commission also removes the now-moot deadline provision at section 8.1(a)(7) to streamline the rules.</w:t>
      </w:r>
    </w:p>
    <w:p w:rsidR="00725C86" w:rsidRPr="00301716" w:rsidP="00725C86" w14:paraId="3960D454" w14:textId="77777777">
      <w:pPr>
        <w:pStyle w:val="Heading2"/>
        <w:rPr>
          <w:snapToGrid/>
        </w:rPr>
      </w:pPr>
      <w:bookmarkStart w:id="515" w:name="_Toc394658128"/>
      <w:bookmarkStart w:id="516" w:name="_Toc394659973"/>
      <w:bookmarkStart w:id="517" w:name="_Toc394678813"/>
      <w:bookmarkStart w:id="518" w:name="_Toc394679527"/>
      <w:bookmarkStart w:id="519" w:name="_Toc395264434"/>
      <w:bookmarkStart w:id="520" w:name="_Toc397508649"/>
      <w:bookmarkStart w:id="521" w:name="_Toc397604499"/>
      <w:bookmarkStart w:id="522" w:name="_Toc397686587"/>
      <w:bookmarkStart w:id="523" w:name="_Toc399935850"/>
      <w:bookmarkStart w:id="524" w:name="_Toc403121200"/>
      <w:bookmarkStart w:id="525" w:name="_Toc423370699"/>
      <w:bookmarkStart w:id="526" w:name="_Toc450326202"/>
      <w:bookmarkStart w:id="527" w:name="_Toc465357619"/>
      <w:bookmarkStart w:id="528" w:name="_Toc468201221"/>
      <w:bookmarkStart w:id="529" w:name="_Toc468702545"/>
      <w:bookmarkStart w:id="530" w:name="_Toc473563729"/>
      <w:bookmarkStart w:id="531" w:name="_Toc474348305"/>
      <w:bookmarkStart w:id="532" w:name="_Toc474351642"/>
      <w:bookmarkStart w:id="533" w:name="_Toc474352573"/>
      <w:bookmarkStart w:id="534" w:name="_Toc474353435"/>
      <w:bookmarkStart w:id="535" w:name="_Toc474532760"/>
      <w:bookmarkStart w:id="536" w:name="_Toc474534426"/>
      <w:bookmarkStart w:id="537" w:name="_Toc474752053"/>
      <w:bookmarkStart w:id="538" w:name="_Toc474947293"/>
      <w:bookmarkStart w:id="539" w:name="_Toc475028093"/>
      <w:bookmarkStart w:id="540" w:name="_Toc475537256"/>
      <w:bookmarkStart w:id="541" w:name="_Toc475899456"/>
      <w:bookmarkStart w:id="542" w:name="_Toc231300327"/>
      <w:bookmarkStart w:id="543" w:name="_Toc231985445"/>
      <w:bookmarkStart w:id="544" w:name="_Toc233617908"/>
      <w:bookmarkStart w:id="545" w:name="_Toc233618242"/>
      <w:bookmarkStart w:id="546" w:name="_Toc235613399"/>
      <w:r w:rsidRPr="00301716">
        <w:rPr>
          <w:snapToGrid/>
        </w:rPr>
        <w:t>Report to Congress</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p w:rsidR="00725C86" w:rsidRPr="00301716" w:rsidP="00725C86" w14:paraId="52BE5D33" w14:textId="77777777">
      <w:pPr>
        <w:pStyle w:val="ParaNum"/>
        <w:rPr>
          <w:snapToGrid/>
        </w:rPr>
      </w:pPr>
      <w:r w:rsidRPr="00301716">
        <w:rPr>
          <w:snapToGrid/>
        </w:rPr>
        <w:t xml:space="preserve">The Commission will send a copy of the </w:t>
      </w:r>
      <w:r w:rsidRPr="00301716">
        <w:rPr>
          <w:i/>
          <w:snapToGrid/>
        </w:rPr>
        <w:t>Order</w:t>
      </w:r>
      <w:r w:rsidRPr="00301716">
        <w:rPr>
          <w:snapToGrid/>
        </w:rPr>
        <w:t xml:space="preserve"> including this Final Regulatory Flexibility Analysis, </w:t>
      </w:r>
      <w:bookmarkStart w:id="547" w:name="_Hlk9495338"/>
      <w:r w:rsidRPr="00301716">
        <w:rPr>
          <w:snapToGrid/>
        </w:rPr>
        <w:t>in a report to Congress pursuant to the Congressional Review Act.</w:t>
      </w:r>
      <w:r>
        <w:rPr>
          <w:rStyle w:val="FootnoteReference"/>
        </w:rPr>
        <w:footnoteReference w:id="196"/>
      </w:r>
      <w:r w:rsidRPr="00301716">
        <w:rPr>
          <w:snapToGrid/>
        </w:rPr>
        <w:t xml:space="preserve">  </w:t>
      </w:r>
      <w:bookmarkEnd w:id="547"/>
      <w:r w:rsidRPr="00301716">
        <w:rPr>
          <w:snapToGrid/>
        </w:rPr>
        <w:t xml:space="preserve">In addition, the Commission will send a copy of the </w:t>
      </w:r>
      <w:r w:rsidRPr="00301716">
        <w:rPr>
          <w:i/>
          <w:snapToGrid/>
        </w:rPr>
        <w:t>Order</w:t>
      </w:r>
      <w:r w:rsidRPr="00301716">
        <w:rPr>
          <w:snapToGrid/>
        </w:rPr>
        <w:t xml:space="preserve">, including this Final Regulatory Flexibility Analysis, to the Chief Counsel for the SBA Office of Advocacy </w:t>
      </w:r>
      <w:bookmarkStart w:id="548" w:name="_Hlk217915010"/>
      <w:r w:rsidRPr="00301716">
        <w:rPr>
          <w:snapToGrid/>
        </w:rPr>
        <w:t xml:space="preserve">and will publish a copy of the </w:t>
      </w:r>
      <w:bookmarkEnd w:id="548"/>
      <w:r w:rsidRPr="00301716">
        <w:rPr>
          <w:i/>
          <w:snapToGrid/>
        </w:rPr>
        <w:t>Order</w:t>
      </w:r>
      <w:r w:rsidRPr="00301716">
        <w:rPr>
          <w:snapToGrid/>
        </w:rPr>
        <w:t xml:space="preserve">, and this Final Regulatory Flexibility Analysis (or summaries thereof) in the </w:t>
      </w:r>
      <w:r w:rsidRPr="00301716">
        <w:rPr>
          <w:iCs/>
          <w:snapToGrid/>
        </w:rPr>
        <w:t>Federal Register</w:t>
      </w:r>
      <w:r w:rsidRPr="00301716">
        <w:rPr>
          <w:snapToGrid/>
        </w:rPr>
        <w:t>.</w:t>
      </w:r>
      <w:bookmarkStart w:id="549" w:name="_Hlk217915070"/>
      <w:r>
        <w:rPr>
          <w:rStyle w:val="FootnoteReference"/>
        </w:rPr>
        <w:footnoteReference w:id="197"/>
      </w:r>
      <w:r w:rsidRPr="00301716">
        <w:rPr>
          <w:snapToGrid/>
        </w:rPr>
        <w:t xml:space="preserve"> </w:t>
      </w:r>
      <w:bookmarkEnd w:id="549"/>
      <w:r w:rsidRPr="00301716">
        <w:rPr>
          <w:snapToGrid/>
        </w:rPr>
        <w:t xml:space="preserve"> </w:t>
      </w:r>
    </w:p>
    <w:p w:rsidR="00725C86" w:rsidRPr="00301716" w:rsidP="00725C86" w14:paraId="6C0A60B1" w14:textId="77777777">
      <w:pPr>
        <w:snapToGrid w:val="0"/>
        <w:rPr>
          <w:snapToGrid/>
        </w:rPr>
      </w:pPr>
    </w:p>
    <w:p w:rsidR="00725C86" w:rsidRPr="00301716" w:rsidP="00725C86" w14:paraId="652C471B" w14:textId="77777777">
      <w:pPr>
        <w:snapToGrid w:val="0"/>
        <w:rPr>
          <w:snapToGrid/>
        </w:rPr>
      </w:pPr>
    </w:p>
    <w:p w:rsidR="00725C86" w:rsidRPr="00301716" w:rsidP="00725C86" w14:paraId="6EB0CAB8" w14:textId="77777777">
      <w:pPr>
        <w:snapToGrid w:val="0"/>
        <w:ind w:left="3600" w:firstLine="720"/>
        <w:rPr>
          <w:snapToGrid/>
        </w:rPr>
      </w:pPr>
    </w:p>
    <w:p w:rsidR="00725C86" w:rsidRPr="00301716" w:rsidP="00725C86" w14:paraId="0F5DF4F9" w14:textId="77777777">
      <w:pPr>
        <w:widowControl/>
        <w:sectPr w:rsidSect="00725C86">
          <w:footnotePr>
            <w:numRestart w:val="eachSect"/>
          </w:footnotePr>
          <w:endnotePr>
            <w:numFmt w:val="decimal"/>
          </w:endnotePr>
          <w:pgSz w:w="12240" w:h="15840"/>
          <w:pgMar w:top="1440" w:right="1440" w:bottom="720" w:left="1440" w:header="720" w:footer="720" w:gutter="0"/>
          <w:cols w:space="720"/>
          <w:docGrid w:linePitch="299"/>
        </w:sectPr>
      </w:pPr>
    </w:p>
    <w:p w:rsidR="00725C86" w:rsidRPr="00301716" w:rsidP="00725C86" w14:paraId="228BBF50" w14:textId="77777777">
      <w:pPr>
        <w:snapToGrid w:val="0"/>
        <w:spacing w:after="120"/>
        <w:jc w:val="center"/>
        <w:rPr>
          <w:b/>
          <w:bCs/>
          <w:snapToGrid/>
        </w:rPr>
      </w:pPr>
      <w:r w:rsidRPr="00301716">
        <w:rPr>
          <w:b/>
          <w:bCs/>
          <w:snapToGrid/>
        </w:rPr>
        <w:t>APPENDIX C</w:t>
      </w:r>
    </w:p>
    <w:p w:rsidR="00725C86" w:rsidRPr="00301716" w:rsidP="00725C86" w14:paraId="66372525" w14:textId="77777777">
      <w:pPr>
        <w:snapToGrid w:val="0"/>
        <w:spacing w:after="120"/>
        <w:jc w:val="center"/>
        <w:rPr>
          <w:b/>
          <w:bCs/>
          <w:snapToGrid/>
        </w:rPr>
      </w:pPr>
      <w:r w:rsidRPr="00301716">
        <w:rPr>
          <w:b/>
          <w:bCs/>
          <w:snapToGrid/>
        </w:rPr>
        <w:t>List of Commenters</w:t>
      </w:r>
    </w:p>
    <w:p w:rsidR="00725C86" w:rsidRPr="00301716" w:rsidP="00725C86" w14:paraId="6C98E869" w14:textId="77777777">
      <w:pPr>
        <w:snapToGrid w:val="0"/>
        <w:spacing w:after="120"/>
        <w:jc w:val="center"/>
        <w:rPr>
          <w:b/>
          <w:bCs/>
          <w:snapToGrid/>
        </w:rPr>
      </w:pPr>
      <w:r w:rsidRPr="00301716">
        <w:rPr>
          <w:b/>
          <w:bCs/>
          <w:snapToGrid/>
        </w:rPr>
        <w:t>Initial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05"/>
        <w:gridCol w:w="2430"/>
        <w:gridCol w:w="1615"/>
      </w:tblGrid>
      <w:tr w14:paraId="385DCEED"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4118FA88" w14:textId="77777777">
            <w:pPr>
              <w:tabs>
                <w:tab w:val="left" w:pos="720"/>
              </w:tabs>
              <w:snapToGrid w:val="0"/>
              <w:spacing w:after="120"/>
              <w:rPr>
                <w:rFonts w:eastAsia="Calibri"/>
                <w:snapToGrid/>
              </w:rPr>
            </w:pPr>
            <w:r w:rsidRPr="00301716">
              <w:rPr>
                <w:rFonts w:eastAsia="Calibri"/>
                <w:snapToGrid/>
              </w:rPr>
              <w:t>Commenter</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76500CF1" w14:textId="77777777">
            <w:pPr>
              <w:tabs>
                <w:tab w:val="left" w:pos="720"/>
              </w:tabs>
              <w:snapToGrid w:val="0"/>
              <w:spacing w:after="120"/>
              <w:rPr>
                <w:rFonts w:eastAsia="Calibri"/>
                <w:snapToGrid/>
              </w:rPr>
            </w:pPr>
            <w:r w:rsidRPr="00301716">
              <w:rPr>
                <w:rFonts w:eastAsia="Calibri"/>
                <w:snapToGrid/>
              </w:rPr>
              <w:t>Abbreviated Name</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80D7C13" w14:textId="77777777">
            <w:pPr>
              <w:tabs>
                <w:tab w:val="left" w:pos="720"/>
              </w:tabs>
              <w:snapToGrid w:val="0"/>
              <w:spacing w:after="120"/>
              <w:rPr>
                <w:rFonts w:eastAsia="Calibri"/>
                <w:snapToGrid/>
              </w:rPr>
            </w:pPr>
            <w:r w:rsidRPr="00301716">
              <w:rPr>
                <w:rFonts w:eastAsia="Calibri"/>
                <w:snapToGrid/>
              </w:rPr>
              <w:t>Date Filed</w:t>
            </w:r>
          </w:p>
        </w:tc>
      </w:tr>
      <w:tr w14:paraId="7E5D98B8"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01D834D7" w14:textId="77777777">
            <w:pPr>
              <w:tabs>
                <w:tab w:val="left" w:pos="720"/>
              </w:tabs>
              <w:snapToGrid w:val="0"/>
              <w:spacing w:after="120"/>
              <w:rPr>
                <w:rFonts w:eastAsia="Calibri"/>
                <w:snapToGrid/>
              </w:rPr>
            </w:pPr>
            <w:r w:rsidRPr="00301716">
              <w:rPr>
                <w:rFonts w:eastAsia="Calibri"/>
                <w:snapToGrid/>
              </w:rPr>
              <w:t>AARP</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5E6FCE4E" w14:textId="77777777">
            <w:pPr>
              <w:tabs>
                <w:tab w:val="left" w:pos="720"/>
              </w:tabs>
              <w:snapToGrid w:val="0"/>
              <w:spacing w:after="120"/>
              <w:rPr>
                <w:rFonts w:eastAsia="Calibri"/>
                <w:snapToGrid/>
              </w:rPr>
            </w:pPr>
            <w:r w:rsidRPr="00301716">
              <w:rPr>
                <w:rFonts w:eastAsia="Calibri"/>
                <w:snapToGrid/>
              </w:rPr>
              <w:t>AARP</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024A7B01" w14:textId="77777777">
            <w:pPr>
              <w:tabs>
                <w:tab w:val="left" w:pos="720"/>
              </w:tabs>
              <w:snapToGrid w:val="0"/>
              <w:spacing w:after="120"/>
              <w:rPr>
                <w:rFonts w:eastAsia="Calibri"/>
                <w:snapToGrid/>
              </w:rPr>
            </w:pPr>
            <w:r w:rsidRPr="00301716">
              <w:rPr>
                <w:rFonts w:eastAsia="Calibri"/>
                <w:snapToGrid/>
              </w:rPr>
              <w:t>1/16/26</w:t>
            </w:r>
          </w:p>
        </w:tc>
      </w:tr>
      <w:tr w14:paraId="450947C7"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67B8D65C" w14:textId="77777777">
            <w:pPr>
              <w:tabs>
                <w:tab w:val="left" w:pos="720"/>
              </w:tabs>
              <w:snapToGrid w:val="0"/>
              <w:spacing w:after="120"/>
              <w:rPr>
                <w:rFonts w:eastAsia="Calibri"/>
                <w:snapToGrid/>
              </w:rPr>
            </w:pPr>
            <w:r w:rsidRPr="00301716">
              <w:rPr>
                <w:rFonts w:eastAsia="Calibri"/>
                <w:snapToGrid/>
              </w:rPr>
              <w:t>ACA Connects—America’s Communications Association</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39048095" w14:textId="77777777">
            <w:pPr>
              <w:tabs>
                <w:tab w:val="left" w:pos="720"/>
              </w:tabs>
              <w:snapToGrid w:val="0"/>
              <w:spacing w:after="120"/>
              <w:rPr>
                <w:rFonts w:eastAsia="Calibri"/>
                <w:snapToGrid/>
              </w:rPr>
            </w:pPr>
            <w:r w:rsidRPr="00301716">
              <w:rPr>
                <w:rFonts w:eastAsia="Calibri"/>
                <w:snapToGrid/>
              </w:rPr>
              <w:t xml:space="preserve">ACA Connects </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CC5A2F3" w14:textId="77777777">
            <w:pPr>
              <w:tabs>
                <w:tab w:val="left" w:pos="720"/>
              </w:tabs>
              <w:snapToGrid w:val="0"/>
              <w:spacing w:after="120"/>
              <w:rPr>
                <w:rFonts w:eastAsia="Calibri"/>
                <w:snapToGrid/>
              </w:rPr>
            </w:pPr>
            <w:r w:rsidRPr="00301716">
              <w:rPr>
                <w:rFonts w:eastAsia="Calibri"/>
                <w:snapToGrid/>
              </w:rPr>
              <w:t>1/16/26</w:t>
            </w:r>
          </w:p>
        </w:tc>
      </w:tr>
      <w:tr w14:paraId="3344088E"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10136EBE" w14:textId="77777777">
            <w:pPr>
              <w:tabs>
                <w:tab w:val="left" w:pos="720"/>
              </w:tabs>
              <w:snapToGrid w:val="0"/>
              <w:spacing w:after="120"/>
              <w:rPr>
                <w:rFonts w:eastAsia="Calibri"/>
                <w:snapToGrid/>
              </w:rPr>
            </w:pPr>
            <w:r w:rsidRPr="00301716">
              <w:rPr>
                <w:rFonts w:eastAsia="Calibri"/>
                <w:snapToGrid/>
              </w:rPr>
              <w:t xml:space="preserve">Asian Americans Advancing Justice </w:t>
            </w:r>
            <w:r w:rsidRPr="00301716">
              <w:rPr>
                <w:rFonts w:ascii="Arial" w:eastAsia="Calibri" w:hAnsi="Arial" w:cs="Arial"/>
                <w:snapToGrid/>
                <w:lang w:bidi="he-IL"/>
              </w:rPr>
              <w:t>ǀ</w:t>
            </w:r>
            <w:r w:rsidRPr="00301716">
              <w:rPr>
                <w:rFonts w:eastAsia="Calibri"/>
                <w:snapToGrid/>
              </w:rPr>
              <w:t xml:space="preserve"> AAJC, OCA - Asian Pacific American Advocates, and the National Council of Asian Pacific Americans</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548C3382" w14:textId="77777777">
            <w:pPr>
              <w:tabs>
                <w:tab w:val="left" w:pos="720"/>
              </w:tabs>
              <w:snapToGrid w:val="0"/>
              <w:spacing w:after="120"/>
              <w:rPr>
                <w:rFonts w:eastAsia="Calibri"/>
                <w:snapToGrid/>
              </w:rPr>
            </w:pPr>
            <w:r w:rsidRPr="00301716">
              <w:rPr>
                <w:rFonts w:eastAsia="Calibri"/>
                <w:snapToGrid/>
              </w:rPr>
              <w:t>AAJC</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21A0DCD1" w14:textId="77777777">
            <w:pPr>
              <w:tabs>
                <w:tab w:val="left" w:pos="720"/>
              </w:tabs>
              <w:snapToGrid w:val="0"/>
              <w:spacing w:after="120"/>
              <w:rPr>
                <w:rFonts w:eastAsia="Calibri"/>
                <w:snapToGrid/>
              </w:rPr>
            </w:pPr>
            <w:r w:rsidRPr="00301716">
              <w:rPr>
                <w:rFonts w:eastAsia="Calibri"/>
                <w:snapToGrid/>
              </w:rPr>
              <w:t>1/12/26</w:t>
            </w:r>
          </w:p>
        </w:tc>
      </w:tr>
      <w:tr w14:paraId="5970C9E2"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54090621" w14:textId="77777777">
            <w:pPr>
              <w:tabs>
                <w:tab w:val="left" w:pos="720"/>
              </w:tabs>
              <w:snapToGrid w:val="0"/>
              <w:spacing w:after="120"/>
              <w:rPr>
                <w:rFonts w:eastAsia="Calibri"/>
                <w:snapToGrid/>
              </w:rPr>
            </w:pPr>
            <w:r w:rsidRPr="00301716">
              <w:rPr>
                <w:snapToGrid/>
              </w:rPr>
              <w:t>Breezeline</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793CF1F5" w14:textId="77777777">
            <w:pPr>
              <w:tabs>
                <w:tab w:val="left" w:pos="720"/>
              </w:tabs>
              <w:snapToGrid w:val="0"/>
              <w:spacing w:after="120"/>
              <w:rPr>
                <w:rFonts w:eastAsia="Calibri"/>
                <w:snapToGrid/>
              </w:rPr>
            </w:pPr>
            <w:r w:rsidRPr="00301716">
              <w:rPr>
                <w:snapToGrid/>
              </w:rPr>
              <w:t>Breezeline</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321B3945" w14:textId="77777777">
            <w:pPr>
              <w:tabs>
                <w:tab w:val="left" w:pos="720"/>
              </w:tabs>
              <w:snapToGrid w:val="0"/>
              <w:spacing w:after="120"/>
              <w:rPr>
                <w:snapToGrid/>
              </w:rPr>
            </w:pPr>
            <w:r w:rsidRPr="00301716">
              <w:rPr>
                <w:snapToGrid/>
              </w:rPr>
              <w:t>1/20/26</w:t>
            </w:r>
          </w:p>
        </w:tc>
      </w:tr>
      <w:tr w14:paraId="5405B519"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56FDB752" w14:textId="77777777">
            <w:pPr>
              <w:tabs>
                <w:tab w:val="left" w:pos="720"/>
              </w:tabs>
              <w:snapToGrid w:val="0"/>
              <w:spacing w:after="120"/>
              <w:rPr>
                <w:rFonts w:eastAsia="Calibri"/>
                <w:snapToGrid/>
              </w:rPr>
            </w:pPr>
            <w:r w:rsidRPr="00301716">
              <w:rPr>
                <w:rFonts w:eastAsia="Calibri"/>
                <w:snapToGrid/>
              </w:rPr>
              <w:t>CPAC Foundation Center for Regulatory Freedom</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5E6EA4EC" w14:textId="77777777">
            <w:pPr>
              <w:tabs>
                <w:tab w:val="left" w:pos="720"/>
              </w:tabs>
              <w:snapToGrid w:val="0"/>
              <w:spacing w:after="120"/>
              <w:rPr>
                <w:rFonts w:eastAsia="Calibri"/>
                <w:snapToGrid/>
              </w:rPr>
            </w:pPr>
            <w:r w:rsidRPr="00301716">
              <w:rPr>
                <w:rFonts w:eastAsia="Calibri"/>
                <w:snapToGrid/>
              </w:rPr>
              <w:t>CPAC/CRF</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55B9CD4C" w14:textId="77777777">
            <w:pPr>
              <w:tabs>
                <w:tab w:val="left" w:pos="720"/>
              </w:tabs>
              <w:snapToGrid w:val="0"/>
              <w:spacing w:after="120"/>
              <w:rPr>
                <w:rFonts w:eastAsia="Calibri"/>
                <w:snapToGrid/>
              </w:rPr>
            </w:pPr>
            <w:r w:rsidRPr="00301716">
              <w:rPr>
                <w:rFonts w:eastAsia="Calibri"/>
                <w:snapToGrid/>
              </w:rPr>
              <w:t>1/2/26</w:t>
            </w:r>
          </w:p>
        </w:tc>
      </w:tr>
      <w:tr w14:paraId="5DFA42D0"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7A016DC6" w14:textId="77777777">
            <w:pPr>
              <w:tabs>
                <w:tab w:val="left" w:pos="720"/>
              </w:tabs>
              <w:snapToGrid w:val="0"/>
              <w:spacing w:after="120"/>
              <w:rPr>
                <w:rFonts w:eastAsia="Calibri"/>
                <w:snapToGrid/>
              </w:rPr>
            </w:pPr>
            <w:r w:rsidRPr="00301716">
              <w:rPr>
                <w:rFonts w:eastAsia="Calibri"/>
                <w:snapToGrid/>
              </w:rPr>
              <w:t>CTIA—The Wireless Association ®</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23DD4223" w14:textId="77777777">
            <w:pPr>
              <w:tabs>
                <w:tab w:val="left" w:pos="720"/>
              </w:tabs>
              <w:snapToGrid w:val="0"/>
              <w:spacing w:after="120"/>
              <w:rPr>
                <w:rFonts w:eastAsia="Calibri"/>
                <w:snapToGrid/>
              </w:rPr>
            </w:pPr>
            <w:r w:rsidRPr="00301716">
              <w:rPr>
                <w:rFonts w:eastAsia="Calibri"/>
                <w:snapToGrid/>
              </w:rPr>
              <w:t>CTIA</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A3F0045" w14:textId="77777777">
            <w:pPr>
              <w:tabs>
                <w:tab w:val="left" w:pos="720"/>
              </w:tabs>
              <w:snapToGrid w:val="0"/>
              <w:spacing w:after="120"/>
              <w:rPr>
                <w:rFonts w:eastAsia="Calibri"/>
                <w:snapToGrid/>
              </w:rPr>
            </w:pPr>
            <w:r w:rsidRPr="00301716">
              <w:rPr>
                <w:rFonts w:eastAsia="Calibri"/>
                <w:snapToGrid/>
              </w:rPr>
              <w:t>1/16/26</w:t>
            </w:r>
          </w:p>
        </w:tc>
      </w:tr>
      <w:tr w14:paraId="0B0545B4"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64E20731" w14:textId="77777777">
            <w:pPr>
              <w:tabs>
                <w:tab w:val="left" w:pos="720"/>
              </w:tabs>
              <w:snapToGrid w:val="0"/>
              <w:spacing w:after="120"/>
              <w:rPr>
                <w:rFonts w:eastAsia="Calibri"/>
                <w:snapToGrid/>
              </w:rPr>
            </w:pPr>
            <w:r w:rsidRPr="00301716">
              <w:rPr>
                <w:rFonts w:eastAsia="Calibri"/>
                <w:snapToGrid/>
              </w:rPr>
              <w:t>Hispanic Technology and Telecommunications Partnerships (HTTP)</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4E3AD6A4" w14:textId="77777777">
            <w:pPr>
              <w:tabs>
                <w:tab w:val="left" w:pos="720"/>
              </w:tabs>
              <w:snapToGrid w:val="0"/>
              <w:spacing w:after="120"/>
              <w:rPr>
                <w:rFonts w:eastAsia="Calibri"/>
                <w:snapToGrid/>
              </w:rPr>
            </w:pPr>
            <w:r w:rsidRPr="00301716">
              <w:rPr>
                <w:rFonts w:eastAsia="Calibri"/>
                <w:snapToGrid/>
              </w:rPr>
              <w:t>HTTP</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42492460" w14:textId="77777777">
            <w:pPr>
              <w:tabs>
                <w:tab w:val="left" w:pos="720"/>
              </w:tabs>
              <w:snapToGrid w:val="0"/>
              <w:spacing w:after="120"/>
              <w:rPr>
                <w:rFonts w:eastAsia="Calibri"/>
                <w:snapToGrid/>
              </w:rPr>
            </w:pPr>
            <w:r w:rsidRPr="00301716">
              <w:rPr>
                <w:rFonts w:eastAsia="Calibri"/>
                <w:snapToGrid/>
              </w:rPr>
              <w:t>12/19/25</w:t>
            </w:r>
          </w:p>
        </w:tc>
      </w:tr>
      <w:tr w14:paraId="0F2929DC"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644FC129" w14:textId="77777777">
            <w:pPr>
              <w:tabs>
                <w:tab w:val="left" w:pos="720"/>
              </w:tabs>
              <w:snapToGrid w:val="0"/>
              <w:spacing w:after="120"/>
              <w:rPr>
                <w:rFonts w:eastAsia="Calibri"/>
                <w:snapToGrid/>
              </w:rPr>
            </w:pPr>
            <w:r w:rsidRPr="00301716">
              <w:rPr>
                <w:rFonts w:eastAsia="Calibri"/>
                <w:snapToGrid/>
              </w:rPr>
              <w:t>INCOMPAS</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62B239A1" w14:textId="77777777">
            <w:pPr>
              <w:tabs>
                <w:tab w:val="left" w:pos="720"/>
              </w:tabs>
              <w:snapToGrid w:val="0"/>
              <w:spacing w:after="120"/>
              <w:rPr>
                <w:rFonts w:eastAsia="Calibri"/>
                <w:snapToGrid/>
              </w:rPr>
            </w:pPr>
            <w:r w:rsidRPr="00301716">
              <w:rPr>
                <w:rFonts w:eastAsia="Calibri"/>
                <w:snapToGrid/>
              </w:rPr>
              <w:t>INCOMPAS</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6A59B95E" w14:textId="77777777">
            <w:pPr>
              <w:tabs>
                <w:tab w:val="left" w:pos="720"/>
              </w:tabs>
              <w:snapToGrid w:val="0"/>
              <w:spacing w:after="120"/>
              <w:rPr>
                <w:rFonts w:eastAsia="Calibri"/>
                <w:snapToGrid/>
              </w:rPr>
            </w:pPr>
            <w:r w:rsidRPr="00301716">
              <w:rPr>
                <w:rFonts w:eastAsia="Calibri"/>
                <w:snapToGrid/>
              </w:rPr>
              <w:t>1/20/26</w:t>
            </w:r>
          </w:p>
        </w:tc>
      </w:tr>
      <w:tr w14:paraId="13C3FB3D"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3937A72D" w14:textId="77777777">
            <w:pPr>
              <w:tabs>
                <w:tab w:val="left" w:pos="720"/>
              </w:tabs>
              <w:snapToGrid w:val="0"/>
              <w:spacing w:after="120"/>
              <w:rPr>
                <w:rFonts w:eastAsia="Calibri"/>
                <w:snapToGrid/>
              </w:rPr>
            </w:pPr>
            <w:r w:rsidRPr="00301716">
              <w:rPr>
                <w:rFonts w:eastAsia="Calibri"/>
                <w:snapToGrid/>
              </w:rPr>
              <w:t>International Center for Law &amp; Economics</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2715436A" w14:textId="77777777">
            <w:pPr>
              <w:tabs>
                <w:tab w:val="left" w:pos="720"/>
              </w:tabs>
              <w:snapToGrid w:val="0"/>
              <w:spacing w:after="120"/>
              <w:rPr>
                <w:rFonts w:eastAsia="Calibri"/>
                <w:snapToGrid/>
              </w:rPr>
            </w:pPr>
            <w:r w:rsidRPr="00301716">
              <w:rPr>
                <w:rFonts w:eastAsia="Calibri"/>
                <w:snapToGrid/>
              </w:rPr>
              <w:t>ICLE</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5C7F9B8" w14:textId="77777777">
            <w:pPr>
              <w:tabs>
                <w:tab w:val="left" w:pos="720"/>
              </w:tabs>
              <w:snapToGrid w:val="0"/>
              <w:spacing w:after="120"/>
              <w:rPr>
                <w:rFonts w:eastAsia="Calibri"/>
                <w:snapToGrid/>
              </w:rPr>
            </w:pPr>
            <w:r w:rsidRPr="00301716">
              <w:rPr>
                <w:rFonts w:eastAsia="Calibri"/>
                <w:snapToGrid/>
              </w:rPr>
              <w:t>1/2/26</w:t>
            </w:r>
          </w:p>
        </w:tc>
      </w:tr>
      <w:tr w14:paraId="5CABD865"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6089FC25" w14:textId="77777777">
            <w:pPr>
              <w:tabs>
                <w:tab w:val="left" w:pos="720"/>
              </w:tabs>
              <w:snapToGrid w:val="0"/>
              <w:spacing w:after="120"/>
              <w:rPr>
                <w:rFonts w:eastAsia="Calibri"/>
                <w:snapToGrid/>
              </w:rPr>
            </w:pPr>
            <w:r w:rsidRPr="00301716">
              <w:rPr>
                <w:rFonts w:eastAsia="Calibri"/>
                <w:snapToGrid/>
              </w:rPr>
              <w:t>Joink</w:t>
            </w:r>
            <w:r w:rsidRPr="00301716">
              <w:rPr>
                <w:rFonts w:eastAsia="Calibri"/>
                <w:snapToGrid/>
              </w:rPr>
              <w:t>, LLC</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289AFEFE" w14:textId="77777777">
            <w:pPr>
              <w:tabs>
                <w:tab w:val="left" w:pos="720"/>
              </w:tabs>
              <w:snapToGrid w:val="0"/>
              <w:spacing w:after="120"/>
              <w:rPr>
                <w:rFonts w:eastAsia="Calibri"/>
                <w:snapToGrid/>
              </w:rPr>
            </w:pPr>
            <w:r w:rsidRPr="00301716">
              <w:rPr>
                <w:rFonts w:eastAsia="Calibri"/>
                <w:snapToGrid/>
              </w:rPr>
              <w:t>Joink</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5D353129" w14:textId="77777777">
            <w:pPr>
              <w:tabs>
                <w:tab w:val="left" w:pos="720"/>
              </w:tabs>
              <w:snapToGrid w:val="0"/>
              <w:spacing w:after="120"/>
              <w:rPr>
                <w:rFonts w:eastAsia="Calibri"/>
                <w:snapToGrid/>
              </w:rPr>
            </w:pPr>
            <w:r w:rsidRPr="00301716">
              <w:rPr>
                <w:rFonts w:eastAsia="Calibri"/>
                <w:snapToGrid/>
              </w:rPr>
              <w:t>12/30/25</w:t>
            </w:r>
          </w:p>
        </w:tc>
      </w:tr>
      <w:tr w14:paraId="3D3C748B"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4799871D" w14:textId="77777777">
            <w:pPr>
              <w:tabs>
                <w:tab w:val="left" w:pos="720"/>
              </w:tabs>
              <w:snapToGrid w:val="0"/>
              <w:spacing w:after="120"/>
              <w:rPr>
                <w:rFonts w:eastAsia="Calibri"/>
                <w:snapToGrid/>
              </w:rPr>
            </w:pPr>
            <w:r w:rsidRPr="00301716">
              <w:rPr>
                <w:rFonts w:eastAsia="Calibri"/>
                <w:snapToGrid/>
              </w:rPr>
              <w:t>J. Randolph Luening, BroadbandToolkit.com (a business unit of Signals Analytics, LLC)</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67E13701" w14:textId="77777777">
            <w:pPr>
              <w:tabs>
                <w:tab w:val="left" w:pos="720"/>
              </w:tabs>
              <w:snapToGrid w:val="0"/>
              <w:spacing w:after="120"/>
              <w:rPr>
                <w:rFonts w:eastAsia="Calibri"/>
                <w:snapToGrid/>
              </w:rPr>
            </w:pPr>
            <w:r w:rsidRPr="00301716">
              <w:rPr>
                <w:rFonts w:eastAsia="Calibri"/>
                <w:snapToGrid/>
              </w:rPr>
              <w:t>BroadbandToolkit.com</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4608088A" w14:textId="77777777">
            <w:pPr>
              <w:tabs>
                <w:tab w:val="left" w:pos="720"/>
              </w:tabs>
              <w:snapToGrid w:val="0"/>
              <w:spacing w:after="120"/>
              <w:rPr>
                <w:rFonts w:eastAsia="Calibri"/>
                <w:snapToGrid/>
              </w:rPr>
            </w:pPr>
            <w:r w:rsidRPr="00301716">
              <w:rPr>
                <w:rFonts w:eastAsia="Calibri"/>
                <w:snapToGrid/>
              </w:rPr>
              <w:t>1/16/26</w:t>
            </w:r>
          </w:p>
        </w:tc>
      </w:tr>
      <w:tr w14:paraId="57AC397E"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534FCD3D" w14:textId="77777777">
            <w:pPr>
              <w:tabs>
                <w:tab w:val="left" w:pos="720"/>
              </w:tabs>
              <w:snapToGrid w:val="0"/>
              <w:spacing w:after="120"/>
              <w:rPr>
                <w:rFonts w:eastAsia="Calibri"/>
                <w:snapToGrid/>
              </w:rPr>
            </w:pPr>
            <w:r w:rsidRPr="00301716">
              <w:rPr>
                <w:rFonts w:eastAsia="Calibri"/>
                <w:snapToGrid/>
              </w:rPr>
              <w:t>Scott Jordan (UC-Irvine)</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378187B6" w14:textId="77777777">
            <w:pPr>
              <w:tabs>
                <w:tab w:val="left" w:pos="720"/>
              </w:tabs>
              <w:snapToGrid w:val="0"/>
              <w:spacing w:after="120"/>
              <w:rPr>
                <w:rFonts w:eastAsia="Calibri"/>
                <w:snapToGrid/>
              </w:rPr>
            </w:pPr>
            <w:r w:rsidRPr="00301716">
              <w:rPr>
                <w:rFonts w:eastAsia="Calibri"/>
                <w:snapToGrid/>
              </w:rPr>
              <w:t>Jordan</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F400FD4" w14:textId="77777777">
            <w:pPr>
              <w:tabs>
                <w:tab w:val="left" w:pos="720"/>
              </w:tabs>
              <w:snapToGrid w:val="0"/>
              <w:spacing w:after="120"/>
              <w:rPr>
                <w:rFonts w:eastAsia="Calibri"/>
                <w:snapToGrid/>
              </w:rPr>
            </w:pPr>
            <w:r w:rsidRPr="00301716">
              <w:rPr>
                <w:rFonts w:eastAsia="Calibri"/>
                <w:snapToGrid/>
              </w:rPr>
              <w:t>1/16/26</w:t>
            </w:r>
          </w:p>
        </w:tc>
      </w:tr>
      <w:tr w14:paraId="523B09B0"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05266BD2" w14:textId="77777777">
            <w:pPr>
              <w:tabs>
                <w:tab w:val="left" w:pos="720"/>
              </w:tabs>
              <w:snapToGrid w:val="0"/>
              <w:spacing w:after="120"/>
              <w:rPr>
                <w:rFonts w:eastAsia="Calibri"/>
                <w:snapToGrid/>
              </w:rPr>
            </w:pPr>
            <w:r w:rsidRPr="00301716">
              <w:rPr>
                <w:rFonts w:eastAsia="Calibri"/>
                <w:snapToGrid/>
              </w:rPr>
              <w:t>Media Access Project</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2E0310FC" w14:textId="77777777">
            <w:pPr>
              <w:tabs>
                <w:tab w:val="left" w:pos="720"/>
              </w:tabs>
              <w:snapToGrid w:val="0"/>
              <w:spacing w:after="120"/>
              <w:rPr>
                <w:rFonts w:eastAsia="Calibri"/>
                <w:snapToGrid/>
              </w:rPr>
            </w:pPr>
            <w:r w:rsidRPr="00301716">
              <w:rPr>
                <w:rFonts w:eastAsia="Calibri"/>
                <w:snapToGrid/>
              </w:rPr>
              <w:t>MAP</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46AF6824" w14:textId="77777777">
            <w:pPr>
              <w:tabs>
                <w:tab w:val="left" w:pos="720"/>
              </w:tabs>
              <w:snapToGrid w:val="0"/>
              <w:spacing w:after="120"/>
              <w:rPr>
                <w:rFonts w:eastAsia="Calibri"/>
                <w:snapToGrid/>
              </w:rPr>
            </w:pPr>
            <w:r w:rsidRPr="00301716">
              <w:rPr>
                <w:rFonts w:eastAsia="Calibri"/>
                <w:snapToGrid/>
              </w:rPr>
              <w:t>1/20/26</w:t>
            </w:r>
          </w:p>
        </w:tc>
      </w:tr>
      <w:tr w14:paraId="526CA235"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3DEF9242" w14:textId="77777777">
            <w:pPr>
              <w:tabs>
                <w:tab w:val="left" w:pos="720"/>
              </w:tabs>
              <w:snapToGrid w:val="0"/>
              <w:spacing w:after="120"/>
              <w:rPr>
                <w:rFonts w:eastAsia="Calibri"/>
                <w:snapToGrid/>
              </w:rPr>
            </w:pPr>
            <w:r w:rsidRPr="00301716">
              <w:rPr>
                <w:rFonts w:eastAsia="Calibri"/>
                <w:snapToGrid/>
              </w:rPr>
              <w:t>NCTA – The Internet &amp; Television Association</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2ACAC857" w14:textId="77777777">
            <w:pPr>
              <w:tabs>
                <w:tab w:val="left" w:pos="720"/>
              </w:tabs>
              <w:snapToGrid w:val="0"/>
              <w:spacing w:after="120"/>
              <w:rPr>
                <w:rFonts w:eastAsia="Calibri"/>
                <w:snapToGrid/>
              </w:rPr>
            </w:pPr>
            <w:r w:rsidRPr="00301716">
              <w:rPr>
                <w:rFonts w:eastAsia="Calibri"/>
                <w:snapToGrid/>
              </w:rPr>
              <w:t>NCTA</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40748DB1" w14:textId="77777777">
            <w:pPr>
              <w:tabs>
                <w:tab w:val="left" w:pos="720"/>
              </w:tabs>
              <w:snapToGrid w:val="0"/>
              <w:spacing w:after="120"/>
              <w:rPr>
                <w:rFonts w:eastAsia="Calibri"/>
                <w:snapToGrid/>
              </w:rPr>
            </w:pPr>
            <w:r w:rsidRPr="00301716">
              <w:rPr>
                <w:rFonts w:eastAsia="Calibri"/>
                <w:snapToGrid/>
              </w:rPr>
              <w:t>1/16/26</w:t>
            </w:r>
          </w:p>
        </w:tc>
      </w:tr>
      <w:tr w14:paraId="55209CBC"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2C979C1A" w14:textId="77777777">
            <w:pPr>
              <w:tabs>
                <w:tab w:val="left" w:pos="720"/>
              </w:tabs>
              <w:snapToGrid w:val="0"/>
              <w:spacing w:after="120"/>
              <w:rPr>
                <w:rFonts w:eastAsia="Calibri"/>
                <w:snapToGrid/>
              </w:rPr>
            </w:pPr>
            <w:r w:rsidRPr="00301716">
              <w:rPr>
                <w:rFonts w:eastAsia="Calibri"/>
                <w:snapToGrid/>
              </w:rPr>
              <w:t xml:space="preserve">New York State Public Service Commission </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4F4C6AE9" w14:textId="77777777">
            <w:pPr>
              <w:tabs>
                <w:tab w:val="left" w:pos="720"/>
              </w:tabs>
              <w:snapToGrid w:val="0"/>
              <w:spacing w:after="120"/>
              <w:rPr>
                <w:rFonts w:eastAsia="Calibri"/>
                <w:snapToGrid/>
              </w:rPr>
            </w:pPr>
            <w:r w:rsidRPr="00301716">
              <w:rPr>
                <w:rFonts w:eastAsia="Calibri"/>
                <w:snapToGrid/>
              </w:rPr>
              <w:t>NYSPSC</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41AE41D7" w14:textId="77777777">
            <w:pPr>
              <w:tabs>
                <w:tab w:val="left" w:pos="720"/>
              </w:tabs>
              <w:snapToGrid w:val="0"/>
              <w:spacing w:after="120"/>
              <w:rPr>
                <w:rFonts w:eastAsia="Calibri"/>
                <w:snapToGrid/>
              </w:rPr>
            </w:pPr>
            <w:r w:rsidRPr="00301716">
              <w:rPr>
                <w:rFonts w:eastAsia="Calibri"/>
                <w:snapToGrid/>
              </w:rPr>
              <w:t>1/13/26</w:t>
            </w:r>
          </w:p>
        </w:tc>
      </w:tr>
      <w:tr w14:paraId="02FA119B"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5F29CB03" w14:textId="77777777">
            <w:pPr>
              <w:tabs>
                <w:tab w:val="left" w:pos="720"/>
              </w:tabs>
              <w:snapToGrid w:val="0"/>
              <w:spacing w:after="120"/>
              <w:rPr>
                <w:rFonts w:eastAsia="Calibri"/>
                <w:snapToGrid/>
              </w:rPr>
            </w:pPr>
            <w:r w:rsidRPr="00301716">
              <w:rPr>
                <w:rFonts w:eastAsia="Calibri"/>
                <w:snapToGrid/>
              </w:rPr>
              <w:t xml:space="preserve">NTCA–The Rural Broadband Association and the Wireless </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615E0F73" w14:textId="77777777">
            <w:pPr>
              <w:tabs>
                <w:tab w:val="left" w:pos="720"/>
              </w:tabs>
              <w:snapToGrid w:val="0"/>
              <w:spacing w:after="120"/>
              <w:rPr>
                <w:rFonts w:eastAsia="Calibri"/>
                <w:snapToGrid/>
              </w:rPr>
            </w:pPr>
            <w:r w:rsidRPr="00301716">
              <w:rPr>
                <w:rFonts w:eastAsia="Calibri"/>
                <w:snapToGrid/>
              </w:rPr>
              <w:t xml:space="preserve">NTCA </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083950D" w14:textId="77777777">
            <w:pPr>
              <w:tabs>
                <w:tab w:val="left" w:pos="720"/>
              </w:tabs>
              <w:snapToGrid w:val="0"/>
              <w:spacing w:after="120"/>
              <w:rPr>
                <w:rFonts w:eastAsia="Calibri"/>
                <w:snapToGrid/>
              </w:rPr>
            </w:pPr>
            <w:r w:rsidRPr="00301716">
              <w:rPr>
                <w:rFonts w:eastAsia="Calibri"/>
                <w:snapToGrid/>
              </w:rPr>
              <w:t>1/16/26</w:t>
            </w:r>
          </w:p>
        </w:tc>
      </w:tr>
      <w:tr w14:paraId="0E9B520C"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4E8220C7" w14:textId="77777777">
            <w:pPr>
              <w:tabs>
                <w:tab w:val="left" w:pos="720"/>
              </w:tabs>
              <w:snapToGrid w:val="0"/>
              <w:spacing w:after="120"/>
              <w:rPr>
                <w:rFonts w:eastAsia="Calibri"/>
                <w:snapToGrid/>
              </w:rPr>
            </w:pPr>
            <w:r w:rsidRPr="00301716">
              <w:rPr>
                <w:rFonts w:eastAsia="Calibri"/>
                <w:snapToGrid/>
              </w:rPr>
              <w:t>Jon Peha (Carnegie Mellon)</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71305858" w14:textId="77777777">
            <w:pPr>
              <w:tabs>
                <w:tab w:val="left" w:pos="720"/>
              </w:tabs>
              <w:snapToGrid w:val="0"/>
              <w:spacing w:after="120"/>
              <w:rPr>
                <w:rFonts w:eastAsia="Calibri"/>
                <w:snapToGrid/>
              </w:rPr>
            </w:pPr>
            <w:r w:rsidRPr="00301716">
              <w:rPr>
                <w:rFonts w:eastAsia="Calibri"/>
                <w:snapToGrid/>
              </w:rPr>
              <w:t>Peha</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66BA27F2" w14:textId="77777777">
            <w:pPr>
              <w:tabs>
                <w:tab w:val="left" w:pos="720"/>
              </w:tabs>
              <w:snapToGrid w:val="0"/>
              <w:spacing w:after="120"/>
              <w:rPr>
                <w:rFonts w:eastAsia="Calibri"/>
                <w:snapToGrid/>
              </w:rPr>
            </w:pPr>
            <w:r w:rsidRPr="00301716">
              <w:rPr>
                <w:rFonts w:eastAsia="Calibri"/>
                <w:snapToGrid/>
              </w:rPr>
              <w:t>12/31/25</w:t>
            </w:r>
          </w:p>
        </w:tc>
      </w:tr>
      <w:tr w14:paraId="4DEB8CE4"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77A755BF" w14:textId="77777777">
            <w:pPr>
              <w:tabs>
                <w:tab w:val="left" w:pos="720"/>
              </w:tabs>
              <w:snapToGrid w:val="0"/>
              <w:spacing w:after="120"/>
              <w:rPr>
                <w:rFonts w:eastAsia="Calibri"/>
                <w:snapToGrid/>
              </w:rPr>
            </w:pPr>
            <w:r w:rsidRPr="00301716">
              <w:rPr>
                <w:rFonts w:eastAsia="Calibri"/>
                <w:snapToGrid/>
              </w:rPr>
              <w:t>Public Knowledge</w:t>
            </w:r>
            <w:r w:rsidRPr="00301716">
              <w:rPr>
                <w:rFonts w:eastAsia="Calibri"/>
                <w:snapToGrid/>
              </w:rPr>
              <w:br/>
              <w:t>National Digital Inclusion Alliance</w:t>
            </w:r>
            <w:r w:rsidRPr="00301716">
              <w:rPr>
                <w:rFonts w:eastAsia="Calibri"/>
                <w:snapToGrid/>
              </w:rPr>
              <w:br/>
              <w:t>Open Technology Institute at New America</w:t>
            </w:r>
            <w:r w:rsidRPr="00301716">
              <w:rPr>
                <w:rFonts w:eastAsia="Calibri"/>
                <w:snapToGrid/>
              </w:rPr>
              <w:br/>
              <w:t>National Consumer Law Center</w:t>
            </w:r>
            <w:r w:rsidRPr="00301716">
              <w:rPr>
                <w:rFonts w:eastAsia="Calibri"/>
                <w:snapToGrid/>
              </w:rPr>
              <w:br/>
              <w:t>Benton Institute for Broadband &amp; Society</w:t>
            </w:r>
            <w:r w:rsidRPr="00301716">
              <w:rPr>
                <w:rFonts w:eastAsia="Calibri"/>
                <w:snapToGrid/>
              </w:rPr>
              <w:br/>
              <w:t>The Leadership Conference on Civil and Human Rights</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699173D9" w14:textId="77777777">
            <w:pPr>
              <w:tabs>
                <w:tab w:val="left" w:pos="720"/>
              </w:tabs>
              <w:snapToGrid w:val="0"/>
              <w:spacing w:after="120"/>
              <w:rPr>
                <w:rFonts w:eastAsia="Calibri"/>
                <w:snapToGrid/>
              </w:rPr>
            </w:pPr>
            <w:r w:rsidRPr="00301716">
              <w:rPr>
                <w:rFonts w:eastAsia="Calibri"/>
                <w:snapToGrid/>
              </w:rPr>
              <w:t>Public Knowledge et al.</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0C164897" w14:textId="77777777">
            <w:pPr>
              <w:tabs>
                <w:tab w:val="left" w:pos="720"/>
              </w:tabs>
              <w:snapToGrid w:val="0"/>
              <w:spacing w:after="120"/>
              <w:rPr>
                <w:rFonts w:eastAsia="Calibri"/>
                <w:snapToGrid/>
              </w:rPr>
            </w:pPr>
            <w:r w:rsidRPr="00301716">
              <w:rPr>
                <w:rFonts w:eastAsia="Calibri"/>
                <w:snapToGrid/>
              </w:rPr>
              <w:t>1/20/26</w:t>
            </w:r>
          </w:p>
        </w:tc>
      </w:tr>
      <w:tr w14:paraId="6294EFB7"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6088DDF8" w14:textId="77777777">
            <w:pPr>
              <w:tabs>
                <w:tab w:val="left" w:pos="720"/>
              </w:tabs>
              <w:snapToGrid w:val="0"/>
              <w:spacing w:after="120"/>
              <w:rPr>
                <w:rFonts w:eastAsia="Calibri"/>
                <w:snapToGrid/>
              </w:rPr>
            </w:pPr>
            <w:r w:rsidRPr="00301716">
              <w:rPr>
                <w:rFonts w:eastAsia="Calibri"/>
                <w:snapToGrid/>
              </w:rPr>
              <w:t>Representatives Nanette Barragan, Troy Carter, Doris Matsui, and 28 of their Colleagues in the House of Representatives</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7DB85672" w14:textId="77777777">
            <w:pPr>
              <w:tabs>
                <w:tab w:val="left" w:pos="720"/>
              </w:tabs>
              <w:snapToGrid w:val="0"/>
              <w:spacing w:after="120"/>
              <w:rPr>
                <w:rFonts w:eastAsia="Calibri"/>
                <w:snapToGrid/>
              </w:rPr>
            </w:pPr>
            <w:r w:rsidRPr="00301716">
              <w:rPr>
                <w:rFonts w:eastAsia="Calibri"/>
                <w:snapToGrid/>
              </w:rPr>
              <w:t>Tri-Caucus</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23D94E13" w14:textId="77777777">
            <w:pPr>
              <w:tabs>
                <w:tab w:val="left" w:pos="720"/>
              </w:tabs>
              <w:snapToGrid w:val="0"/>
              <w:spacing w:after="120"/>
              <w:rPr>
                <w:rFonts w:eastAsia="Calibri"/>
                <w:snapToGrid/>
              </w:rPr>
            </w:pPr>
            <w:r w:rsidRPr="00301716">
              <w:rPr>
                <w:rFonts w:eastAsia="Calibri"/>
                <w:snapToGrid/>
              </w:rPr>
              <w:t>12/4/26</w:t>
            </w:r>
          </w:p>
        </w:tc>
      </w:tr>
      <w:tr w14:paraId="336BE692"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06BD1DE5" w14:textId="77777777">
            <w:pPr>
              <w:tabs>
                <w:tab w:val="left" w:pos="720"/>
              </w:tabs>
              <w:snapToGrid w:val="0"/>
              <w:spacing w:after="120"/>
              <w:rPr>
                <w:rFonts w:eastAsia="Calibri"/>
                <w:snapToGrid/>
              </w:rPr>
            </w:pPr>
            <w:r w:rsidRPr="00301716">
              <w:rPr>
                <w:rFonts w:eastAsia="Calibri"/>
                <w:snapToGrid/>
              </w:rPr>
              <w:t>SHLB Coalition</w:t>
            </w:r>
            <w:r w:rsidRPr="00301716">
              <w:rPr>
                <w:rFonts w:eastAsia="Calibri"/>
                <w:snapToGrid/>
              </w:rPr>
              <w:br/>
              <w:t>The Consortium for School Networking</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20308893" w14:textId="77777777">
            <w:pPr>
              <w:tabs>
                <w:tab w:val="left" w:pos="720"/>
              </w:tabs>
              <w:snapToGrid w:val="0"/>
              <w:spacing w:after="120"/>
              <w:rPr>
                <w:rFonts w:eastAsia="Calibri"/>
                <w:snapToGrid/>
              </w:rPr>
            </w:pPr>
            <w:r w:rsidRPr="00301716">
              <w:rPr>
                <w:rFonts w:eastAsia="Calibri"/>
                <w:snapToGrid/>
              </w:rPr>
              <w:t>SHLB/</w:t>
            </w:r>
            <w:r w:rsidRPr="00301716">
              <w:rPr>
                <w:rFonts w:eastAsia="Calibri"/>
                <w:snapToGrid/>
              </w:rPr>
              <w:t>CoSN</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00F43397" w14:textId="77777777">
            <w:pPr>
              <w:tabs>
                <w:tab w:val="left" w:pos="720"/>
              </w:tabs>
              <w:snapToGrid w:val="0"/>
              <w:spacing w:after="120"/>
              <w:rPr>
                <w:rFonts w:eastAsia="Calibri"/>
                <w:snapToGrid/>
              </w:rPr>
            </w:pPr>
            <w:r w:rsidRPr="00301716">
              <w:rPr>
                <w:rFonts w:eastAsia="Calibri"/>
                <w:snapToGrid/>
              </w:rPr>
              <w:t>1/12/26</w:t>
            </w:r>
          </w:p>
        </w:tc>
      </w:tr>
      <w:tr w14:paraId="0F39B199"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4D794A27" w14:textId="77777777">
            <w:pPr>
              <w:tabs>
                <w:tab w:val="left" w:pos="720"/>
              </w:tabs>
              <w:snapToGrid w:val="0"/>
              <w:spacing w:after="120"/>
              <w:rPr>
                <w:rFonts w:eastAsia="Calibri"/>
                <w:snapToGrid/>
              </w:rPr>
            </w:pPr>
            <w:r w:rsidRPr="00301716">
              <w:rPr>
                <w:rFonts w:eastAsia="Calibri"/>
                <w:snapToGrid/>
              </w:rPr>
              <w:t>TDIforAccess</w:t>
            </w:r>
            <w:r w:rsidRPr="00301716">
              <w:rPr>
                <w:rFonts w:eastAsia="Calibri"/>
                <w:snapToGrid/>
              </w:rPr>
              <w:t>, Inc.</w:t>
            </w:r>
            <w:r w:rsidRPr="00301716">
              <w:rPr>
                <w:rFonts w:eastAsia="Calibri"/>
                <w:snapToGrid/>
              </w:rPr>
              <w:br/>
            </w:r>
            <w:r w:rsidRPr="00301716">
              <w:rPr>
                <w:rFonts w:eastAsia="Calibri"/>
                <w:snapToGrid/>
              </w:rPr>
              <w:t>Deaf Equality</w:t>
            </w:r>
            <w:r w:rsidRPr="00301716">
              <w:rPr>
                <w:rFonts w:eastAsia="Calibri"/>
                <w:snapToGrid/>
              </w:rPr>
              <w:br/>
              <w:t>National Association of State Agencies for the Deaf and Hard of Hearing</w:t>
            </w:r>
            <w:r w:rsidRPr="00301716">
              <w:rPr>
                <w:rFonts w:eastAsia="Calibri"/>
                <w:snapToGrid/>
              </w:rPr>
              <w:br/>
              <w:t>Global Alliance of Speech-to-Text Captioning</w:t>
            </w:r>
            <w:r w:rsidRPr="00301716">
              <w:rPr>
                <w:rFonts w:eastAsia="Calibri"/>
                <w:snapToGrid/>
              </w:rPr>
              <w:br/>
              <w:t>Association of Late-Deafened Adults</w:t>
            </w:r>
            <w:r w:rsidRPr="00301716">
              <w:rPr>
                <w:rFonts w:eastAsia="Calibri"/>
                <w:snapToGrid/>
              </w:rPr>
              <w:br/>
              <w:t>The Conference of Educational Administrators of Schools and Programs for the Deaf</w:t>
            </w:r>
            <w:r w:rsidRPr="00301716">
              <w:rPr>
                <w:rFonts w:eastAsia="Calibri"/>
                <w:snapToGrid/>
              </w:rPr>
              <w:br/>
            </w:r>
            <w:r w:rsidRPr="00301716">
              <w:rPr>
                <w:rFonts w:eastAsia="Calibri"/>
                <w:snapToGrid/>
              </w:rPr>
              <w:t>accesSOS</w:t>
            </w:r>
            <w:r w:rsidRPr="00301716">
              <w:rPr>
                <w:rFonts w:eastAsia="Calibri"/>
                <w:snapToGrid/>
              </w:rPr>
              <w:br/>
              <w:t>Cerebral Palsy &amp; Deaf Organization</w:t>
            </w:r>
            <w:r w:rsidRPr="00301716">
              <w:rPr>
                <w:rFonts w:eastAsia="Calibri"/>
                <w:snapToGrid/>
              </w:rPr>
              <w:br/>
              <w:t>Gallaudet University Alumni Association</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411E9AB7" w14:textId="77777777">
            <w:pPr>
              <w:tabs>
                <w:tab w:val="left" w:pos="720"/>
              </w:tabs>
              <w:snapToGrid w:val="0"/>
              <w:spacing w:after="120"/>
              <w:rPr>
                <w:rFonts w:eastAsia="Calibri"/>
                <w:snapToGrid/>
              </w:rPr>
            </w:pPr>
            <w:r w:rsidRPr="00301716">
              <w:rPr>
                <w:rFonts w:eastAsia="Calibri"/>
                <w:snapToGrid/>
              </w:rPr>
              <w:t xml:space="preserve">Accessibility </w:t>
            </w:r>
            <w:r w:rsidRPr="00301716">
              <w:rPr>
                <w:rFonts w:eastAsia="Calibri"/>
                <w:snapToGrid/>
              </w:rPr>
              <w:t>Organizations</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4E2226DC" w14:textId="77777777">
            <w:pPr>
              <w:tabs>
                <w:tab w:val="left" w:pos="720"/>
              </w:tabs>
              <w:snapToGrid w:val="0"/>
              <w:spacing w:after="120"/>
              <w:rPr>
                <w:rFonts w:eastAsia="Calibri"/>
                <w:snapToGrid/>
              </w:rPr>
            </w:pPr>
            <w:r w:rsidRPr="00301716">
              <w:rPr>
                <w:rFonts w:eastAsia="Calibri"/>
                <w:snapToGrid/>
              </w:rPr>
              <w:t>1/16/26</w:t>
            </w:r>
          </w:p>
        </w:tc>
      </w:tr>
      <w:tr w14:paraId="090F6BB9"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335EEEBC" w14:textId="77777777">
            <w:pPr>
              <w:tabs>
                <w:tab w:val="left" w:pos="720"/>
              </w:tabs>
              <w:snapToGrid w:val="0"/>
              <w:spacing w:after="120"/>
              <w:rPr>
                <w:rFonts w:eastAsia="Calibri"/>
                <w:snapToGrid/>
              </w:rPr>
            </w:pPr>
            <w:r w:rsidRPr="00301716">
              <w:rPr>
                <w:rFonts w:eastAsia="Calibri"/>
                <w:snapToGrid/>
              </w:rPr>
              <w:t>USTelecom</w:t>
            </w:r>
            <w:r w:rsidRPr="00301716">
              <w:rPr>
                <w:rFonts w:eastAsia="Calibri"/>
                <w:snapToGrid/>
              </w:rPr>
              <w:t xml:space="preserve"> –The Broadband Association</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5BF965F5" w14:textId="77777777">
            <w:pPr>
              <w:tabs>
                <w:tab w:val="left" w:pos="720"/>
              </w:tabs>
              <w:snapToGrid w:val="0"/>
              <w:spacing w:after="120"/>
              <w:rPr>
                <w:rFonts w:eastAsia="Calibri"/>
                <w:snapToGrid/>
              </w:rPr>
            </w:pPr>
            <w:r w:rsidRPr="00301716">
              <w:rPr>
                <w:rFonts w:eastAsia="Calibri"/>
                <w:snapToGrid/>
              </w:rPr>
              <w:t>USTelecom</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09C942AC" w14:textId="77777777">
            <w:pPr>
              <w:tabs>
                <w:tab w:val="left" w:pos="720"/>
              </w:tabs>
              <w:snapToGrid w:val="0"/>
              <w:spacing w:after="120"/>
              <w:rPr>
                <w:rFonts w:eastAsia="Calibri"/>
                <w:snapToGrid/>
              </w:rPr>
            </w:pPr>
            <w:r w:rsidRPr="00301716">
              <w:rPr>
                <w:rFonts w:eastAsia="Calibri"/>
                <w:snapToGrid/>
              </w:rPr>
              <w:t>1/16/26</w:t>
            </w:r>
          </w:p>
        </w:tc>
      </w:tr>
      <w:tr w14:paraId="6E3D69F1"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2FA44444" w14:textId="77777777">
            <w:pPr>
              <w:tabs>
                <w:tab w:val="left" w:pos="720"/>
              </w:tabs>
              <w:snapToGrid w:val="0"/>
              <w:spacing w:after="120"/>
              <w:rPr>
                <w:rFonts w:eastAsia="Calibri"/>
                <w:snapToGrid/>
              </w:rPr>
            </w:pPr>
            <w:r w:rsidRPr="00301716">
              <w:rPr>
                <w:rFonts w:eastAsia="Calibri"/>
                <w:snapToGrid/>
              </w:rPr>
              <w:t>The Utility Reform Network</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4BDBB70D" w14:textId="77777777">
            <w:pPr>
              <w:tabs>
                <w:tab w:val="left" w:pos="720"/>
              </w:tabs>
              <w:snapToGrid w:val="0"/>
              <w:spacing w:after="120"/>
              <w:rPr>
                <w:rFonts w:eastAsia="Calibri"/>
                <w:snapToGrid/>
              </w:rPr>
            </w:pPr>
            <w:r w:rsidRPr="00301716">
              <w:rPr>
                <w:rFonts w:eastAsia="Calibri"/>
                <w:snapToGrid/>
              </w:rPr>
              <w:t>TURN</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470A391A" w14:textId="77777777">
            <w:pPr>
              <w:tabs>
                <w:tab w:val="left" w:pos="720"/>
              </w:tabs>
              <w:snapToGrid w:val="0"/>
              <w:spacing w:after="120"/>
              <w:rPr>
                <w:rFonts w:eastAsia="Calibri"/>
                <w:snapToGrid/>
              </w:rPr>
            </w:pPr>
            <w:r w:rsidRPr="00301716">
              <w:rPr>
                <w:rFonts w:eastAsia="Calibri"/>
                <w:snapToGrid/>
              </w:rPr>
              <w:t>1/16/26</w:t>
            </w:r>
          </w:p>
        </w:tc>
      </w:tr>
      <w:tr w14:paraId="4D358460"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4516380A" w14:textId="77777777">
            <w:pPr>
              <w:tabs>
                <w:tab w:val="left" w:pos="720"/>
              </w:tabs>
              <w:snapToGrid w:val="0"/>
              <w:spacing w:after="120"/>
              <w:rPr>
                <w:rFonts w:eastAsia="Calibri"/>
                <w:snapToGrid/>
              </w:rPr>
            </w:pPr>
            <w:r w:rsidRPr="00301716">
              <w:rPr>
                <w:rFonts w:eastAsia="Calibri"/>
                <w:snapToGrid/>
              </w:rPr>
              <w:t>David Williams</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0070AA48" w14:textId="77777777">
            <w:pPr>
              <w:tabs>
                <w:tab w:val="left" w:pos="720"/>
              </w:tabs>
              <w:snapToGrid w:val="0"/>
              <w:spacing w:after="120"/>
              <w:rPr>
                <w:rFonts w:eastAsia="Calibri"/>
                <w:snapToGrid/>
              </w:rPr>
            </w:pPr>
            <w:r w:rsidRPr="00301716">
              <w:rPr>
                <w:rFonts w:eastAsia="Calibri"/>
                <w:snapToGrid/>
              </w:rPr>
              <w:t>Williams</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D414D0A" w14:textId="77777777">
            <w:pPr>
              <w:tabs>
                <w:tab w:val="left" w:pos="720"/>
              </w:tabs>
              <w:snapToGrid w:val="0"/>
              <w:spacing w:after="120"/>
              <w:rPr>
                <w:rFonts w:eastAsia="Calibri"/>
                <w:snapToGrid/>
              </w:rPr>
            </w:pPr>
            <w:r w:rsidRPr="00301716">
              <w:rPr>
                <w:rFonts w:eastAsia="Calibri"/>
                <w:snapToGrid/>
              </w:rPr>
              <w:t>1/2/26</w:t>
            </w:r>
          </w:p>
        </w:tc>
      </w:tr>
      <w:tr w14:paraId="3E502DAA" w14:textId="77777777" w:rsidTr="00635987">
        <w:tblPrEx>
          <w:tblW w:w="0" w:type="auto"/>
          <w:tblLook w:val="04A0"/>
        </w:tblPrEx>
        <w:tc>
          <w:tcPr>
            <w:tcW w:w="5305" w:type="dxa"/>
            <w:tcBorders>
              <w:top w:val="single" w:sz="4" w:space="0" w:color="auto"/>
              <w:left w:val="single" w:sz="4" w:space="0" w:color="auto"/>
              <w:bottom w:val="single" w:sz="4" w:space="0" w:color="auto"/>
              <w:right w:val="single" w:sz="4" w:space="0" w:color="auto"/>
            </w:tcBorders>
            <w:hideMark/>
          </w:tcPr>
          <w:p w:rsidR="00725C86" w:rsidRPr="00301716" w:rsidP="00635987" w14:paraId="1924331D" w14:textId="77777777">
            <w:pPr>
              <w:tabs>
                <w:tab w:val="left" w:pos="720"/>
              </w:tabs>
              <w:snapToGrid w:val="0"/>
              <w:spacing w:after="120"/>
              <w:rPr>
                <w:rFonts w:eastAsia="Calibri"/>
                <w:snapToGrid/>
              </w:rPr>
            </w:pPr>
            <w:r w:rsidRPr="00301716">
              <w:rPr>
                <w:rFonts w:eastAsia="Calibri"/>
                <w:snapToGrid/>
              </w:rPr>
              <w:t>WISPA – The Association for Broadband Without Boundaries</w:t>
            </w:r>
          </w:p>
        </w:tc>
        <w:tc>
          <w:tcPr>
            <w:tcW w:w="2430" w:type="dxa"/>
            <w:tcBorders>
              <w:top w:val="single" w:sz="4" w:space="0" w:color="auto"/>
              <w:left w:val="single" w:sz="4" w:space="0" w:color="auto"/>
              <w:bottom w:val="single" w:sz="4" w:space="0" w:color="auto"/>
              <w:right w:val="single" w:sz="4" w:space="0" w:color="auto"/>
            </w:tcBorders>
            <w:hideMark/>
          </w:tcPr>
          <w:p w:rsidR="00725C86" w:rsidRPr="00301716" w:rsidP="00635987" w14:paraId="1CC9AA04" w14:textId="77777777">
            <w:pPr>
              <w:tabs>
                <w:tab w:val="left" w:pos="720"/>
              </w:tabs>
              <w:snapToGrid w:val="0"/>
              <w:spacing w:after="120"/>
              <w:rPr>
                <w:rFonts w:eastAsia="Calibri"/>
                <w:snapToGrid/>
              </w:rPr>
            </w:pPr>
            <w:r w:rsidRPr="00301716">
              <w:rPr>
                <w:rFonts w:eastAsia="Calibri"/>
                <w:snapToGrid/>
              </w:rPr>
              <w:t>WISPA</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F8C240E" w14:textId="77777777">
            <w:pPr>
              <w:tabs>
                <w:tab w:val="left" w:pos="720"/>
              </w:tabs>
              <w:snapToGrid w:val="0"/>
              <w:spacing w:after="120"/>
              <w:rPr>
                <w:rFonts w:eastAsia="Calibri"/>
                <w:snapToGrid/>
              </w:rPr>
            </w:pPr>
            <w:r w:rsidRPr="00301716">
              <w:rPr>
                <w:rFonts w:eastAsia="Calibri"/>
                <w:snapToGrid/>
              </w:rPr>
              <w:t>1/20/16</w:t>
            </w:r>
          </w:p>
        </w:tc>
      </w:tr>
    </w:tbl>
    <w:p w:rsidR="00725C86" w:rsidRPr="00301716" w:rsidP="00725C86" w14:paraId="24F4A0E9" w14:textId="77777777">
      <w:pPr>
        <w:tabs>
          <w:tab w:val="left" w:pos="720"/>
        </w:tabs>
        <w:snapToGrid w:val="0"/>
        <w:spacing w:after="120"/>
        <w:ind w:left="720"/>
        <w:rPr>
          <w:snapToGrid/>
        </w:rPr>
      </w:pPr>
    </w:p>
    <w:p w:rsidR="00725C86" w:rsidRPr="00301716" w:rsidP="00725C86" w14:paraId="57CDCF6D" w14:textId="77777777">
      <w:pPr>
        <w:snapToGrid w:val="0"/>
        <w:spacing w:after="120"/>
        <w:jc w:val="center"/>
        <w:rPr>
          <w:b/>
          <w:bCs/>
          <w:snapToGrid/>
        </w:rPr>
      </w:pPr>
      <w:bookmarkStart w:id="550" w:name="_Toc105673927"/>
      <w:bookmarkStart w:id="551" w:name="_Toc107988713"/>
      <w:bookmarkStart w:id="552" w:name="_Toc108711173"/>
      <w:bookmarkStart w:id="553" w:name="_Toc110430747"/>
      <w:bookmarkStart w:id="554" w:name="_Toc110853650"/>
      <w:bookmarkStart w:id="555" w:name="_Toc111477315"/>
      <w:bookmarkStart w:id="556" w:name="_Toc114559496"/>
      <w:bookmarkStart w:id="557" w:name="_Toc119311268"/>
      <w:r w:rsidRPr="00301716">
        <w:rPr>
          <w:b/>
          <w:bCs/>
          <w:snapToGrid/>
        </w:rPr>
        <w:t>Reply Comments</w:t>
      </w:r>
      <w:bookmarkEnd w:id="550"/>
      <w:bookmarkEnd w:id="551"/>
      <w:bookmarkEnd w:id="552"/>
      <w:bookmarkEnd w:id="553"/>
      <w:bookmarkEnd w:id="554"/>
      <w:bookmarkEnd w:id="555"/>
      <w:bookmarkEnd w:id="556"/>
      <w:bookmarkEnd w:id="557"/>
      <w:r w:rsidRPr="00301716">
        <w:rPr>
          <w:b/>
          <w:bCs/>
          <w:snapToGrid/>
        </w:rPr>
        <w:t xml:space="preserv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30"/>
        <w:gridCol w:w="2610"/>
        <w:gridCol w:w="1615"/>
      </w:tblGrid>
      <w:tr w14:paraId="4D4D553E"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0D9B7F10" w14:textId="77777777">
            <w:pPr>
              <w:tabs>
                <w:tab w:val="left" w:pos="720"/>
              </w:tabs>
              <w:snapToGrid w:val="0"/>
              <w:spacing w:after="120"/>
              <w:rPr>
                <w:rFonts w:eastAsia="Calibri"/>
                <w:snapToGrid/>
              </w:rPr>
            </w:pPr>
            <w:r w:rsidRPr="00301716">
              <w:rPr>
                <w:rFonts w:eastAsia="Calibri"/>
                <w:snapToGrid/>
              </w:rPr>
              <w:t>Commenter</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216642F6" w14:textId="77777777">
            <w:pPr>
              <w:tabs>
                <w:tab w:val="left" w:pos="720"/>
              </w:tabs>
              <w:snapToGrid w:val="0"/>
              <w:spacing w:after="120"/>
              <w:rPr>
                <w:rFonts w:eastAsia="Calibri"/>
                <w:snapToGrid/>
              </w:rPr>
            </w:pPr>
            <w:r w:rsidRPr="00301716">
              <w:rPr>
                <w:rFonts w:eastAsia="Calibri"/>
                <w:snapToGrid/>
              </w:rPr>
              <w:t>Abbreviated Name</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6B23890B" w14:textId="77777777">
            <w:pPr>
              <w:tabs>
                <w:tab w:val="left" w:pos="720"/>
              </w:tabs>
              <w:snapToGrid w:val="0"/>
              <w:spacing w:after="120"/>
              <w:rPr>
                <w:rFonts w:eastAsia="Calibri"/>
                <w:snapToGrid/>
              </w:rPr>
            </w:pPr>
            <w:r w:rsidRPr="00301716">
              <w:rPr>
                <w:rFonts w:eastAsia="Calibri"/>
                <w:snapToGrid/>
              </w:rPr>
              <w:t>Date Filed</w:t>
            </w:r>
          </w:p>
        </w:tc>
      </w:tr>
      <w:tr w14:paraId="1B0C79B4"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2ACC1B3E" w14:textId="77777777">
            <w:pPr>
              <w:tabs>
                <w:tab w:val="left" w:pos="720"/>
              </w:tabs>
              <w:snapToGrid w:val="0"/>
              <w:spacing w:after="120"/>
              <w:rPr>
                <w:rFonts w:eastAsia="Calibri"/>
                <w:snapToGrid/>
              </w:rPr>
            </w:pPr>
            <w:r w:rsidRPr="00301716">
              <w:rPr>
                <w:rFonts w:eastAsia="Calibri"/>
                <w:snapToGrid/>
              </w:rPr>
              <w:t>City of Boston, MA</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733DECB1" w14:textId="77777777">
            <w:pPr>
              <w:tabs>
                <w:tab w:val="left" w:pos="720"/>
              </w:tabs>
              <w:snapToGrid w:val="0"/>
              <w:spacing w:after="120"/>
              <w:rPr>
                <w:rFonts w:eastAsia="Calibri"/>
                <w:snapToGrid/>
              </w:rPr>
            </w:pPr>
            <w:r w:rsidRPr="00301716">
              <w:rPr>
                <w:rFonts w:eastAsia="Calibri"/>
                <w:snapToGrid/>
              </w:rPr>
              <w:t>Boston</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29AE33F8" w14:textId="77777777">
            <w:pPr>
              <w:tabs>
                <w:tab w:val="left" w:pos="720"/>
              </w:tabs>
              <w:snapToGrid w:val="0"/>
              <w:spacing w:after="120"/>
              <w:rPr>
                <w:rFonts w:eastAsia="Calibri"/>
                <w:snapToGrid/>
              </w:rPr>
            </w:pPr>
            <w:r w:rsidRPr="00301716">
              <w:rPr>
                <w:rFonts w:eastAsia="Calibri"/>
                <w:snapToGrid/>
              </w:rPr>
              <w:t>2/18/26</w:t>
            </w:r>
          </w:p>
        </w:tc>
      </w:tr>
      <w:tr w14:paraId="0A5665F4"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48A5A23E" w14:textId="77777777">
            <w:pPr>
              <w:tabs>
                <w:tab w:val="left" w:pos="720"/>
              </w:tabs>
              <w:snapToGrid w:val="0"/>
              <w:spacing w:after="120"/>
              <w:rPr>
                <w:rFonts w:eastAsia="Calibri"/>
                <w:snapToGrid/>
              </w:rPr>
            </w:pPr>
            <w:r w:rsidRPr="00301716">
              <w:rPr>
                <w:rFonts w:eastAsia="Calibri"/>
                <w:snapToGrid/>
              </w:rPr>
              <w:t>DQE Communications LLC</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154DF2AD" w14:textId="77777777">
            <w:pPr>
              <w:tabs>
                <w:tab w:val="left" w:pos="720"/>
              </w:tabs>
              <w:snapToGrid w:val="0"/>
              <w:spacing w:after="120"/>
              <w:rPr>
                <w:rFonts w:eastAsia="Calibri"/>
                <w:snapToGrid/>
              </w:rPr>
            </w:pPr>
            <w:r w:rsidRPr="00301716">
              <w:rPr>
                <w:rFonts w:eastAsia="Calibri"/>
                <w:snapToGrid/>
              </w:rPr>
              <w:t>DQE</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6A639BA1" w14:textId="77777777">
            <w:pPr>
              <w:tabs>
                <w:tab w:val="left" w:pos="720"/>
              </w:tabs>
              <w:snapToGrid w:val="0"/>
              <w:spacing w:after="120"/>
              <w:rPr>
                <w:rFonts w:eastAsia="Calibri"/>
                <w:snapToGrid/>
              </w:rPr>
            </w:pPr>
            <w:r w:rsidRPr="00301716">
              <w:rPr>
                <w:rFonts w:eastAsia="Calibri"/>
                <w:snapToGrid/>
              </w:rPr>
              <w:t>1/21/26</w:t>
            </w:r>
          </w:p>
        </w:tc>
      </w:tr>
      <w:tr w14:paraId="60C8573B"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2F91FBC9" w14:textId="77777777">
            <w:pPr>
              <w:tabs>
                <w:tab w:val="left" w:pos="720"/>
              </w:tabs>
              <w:snapToGrid w:val="0"/>
              <w:spacing w:after="120"/>
              <w:rPr>
                <w:rFonts w:eastAsia="Calibri"/>
                <w:snapToGrid/>
              </w:rPr>
            </w:pPr>
            <w:r w:rsidRPr="00301716">
              <w:rPr>
                <w:rFonts w:eastAsia="Calibri"/>
                <w:snapToGrid/>
              </w:rPr>
              <w:t>Scott Jordan (UC-Irvine)</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0E752610" w14:textId="77777777">
            <w:pPr>
              <w:tabs>
                <w:tab w:val="left" w:pos="720"/>
              </w:tabs>
              <w:snapToGrid w:val="0"/>
              <w:spacing w:after="120"/>
              <w:rPr>
                <w:rFonts w:eastAsia="Calibri"/>
                <w:snapToGrid/>
              </w:rPr>
            </w:pPr>
            <w:r w:rsidRPr="00301716">
              <w:rPr>
                <w:rFonts w:eastAsia="Calibri"/>
                <w:snapToGrid/>
              </w:rPr>
              <w:t>Jordan</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3F41F7B3" w14:textId="77777777">
            <w:pPr>
              <w:tabs>
                <w:tab w:val="left" w:pos="720"/>
              </w:tabs>
              <w:snapToGrid w:val="0"/>
              <w:spacing w:after="120"/>
              <w:rPr>
                <w:rFonts w:eastAsia="Calibri"/>
                <w:snapToGrid/>
              </w:rPr>
            </w:pPr>
            <w:r w:rsidRPr="00301716">
              <w:rPr>
                <w:rFonts w:eastAsia="Calibri"/>
                <w:snapToGrid/>
              </w:rPr>
              <w:t>2/17/26</w:t>
            </w:r>
          </w:p>
        </w:tc>
      </w:tr>
      <w:tr w14:paraId="4100B490"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00C75E09" w14:textId="77777777">
            <w:pPr>
              <w:tabs>
                <w:tab w:val="left" w:pos="720"/>
              </w:tabs>
              <w:snapToGrid w:val="0"/>
              <w:spacing w:after="120"/>
              <w:rPr>
                <w:rFonts w:eastAsia="Calibri"/>
                <w:snapToGrid/>
              </w:rPr>
            </w:pPr>
            <w:r w:rsidRPr="00301716">
              <w:rPr>
                <w:rFonts w:eastAsia="Calibri"/>
                <w:snapToGrid/>
              </w:rPr>
              <w:t>NCTA – The Internet and Television Association</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7B6F2C73" w14:textId="77777777">
            <w:pPr>
              <w:tabs>
                <w:tab w:val="left" w:pos="720"/>
              </w:tabs>
              <w:snapToGrid w:val="0"/>
              <w:spacing w:after="120"/>
              <w:rPr>
                <w:rFonts w:eastAsia="Calibri"/>
                <w:snapToGrid/>
              </w:rPr>
            </w:pPr>
            <w:r w:rsidRPr="00301716">
              <w:rPr>
                <w:rFonts w:eastAsia="Calibri"/>
                <w:snapToGrid/>
              </w:rPr>
              <w:t>NCTA</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30925EC" w14:textId="77777777">
            <w:pPr>
              <w:tabs>
                <w:tab w:val="left" w:pos="720"/>
              </w:tabs>
              <w:snapToGrid w:val="0"/>
              <w:spacing w:after="120"/>
              <w:rPr>
                <w:rFonts w:eastAsia="Calibri"/>
                <w:snapToGrid/>
              </w:rPr>
            </w:pPr>
            <w:r w:rsidRPr="00301716">
              <w:rPr>
                <w:rFonts w:eastAsia="Calibri"/>
                <w:snapToGrid/>
              </w:rPr>
              <w:t>2/17/26</w:t>
            </w:r>
          </w:p>
        </w:tc>
      </w:tr>
      <w:tr w14:paraId="4163FF07"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531BCC75" w14:textId="77777777">
            <w:pPr>
              <w:tabs>
                <w:tab w:val="left" w:pos="720"/>
              </w:tabs>
              <w:snapToGrid w:val="0"/>
              <w:spacing w:after="120"/>
              <w:rPr>
                <w:rFonts w:eastAsia="Calibri"/>
                <w:snapToGrid/>
              </w:rPr>
            </w:pPr>
            <w:r w:rsidRPr="00301716">
              <w:rPr>
                <w:rFonts w:eastAsia="Calibri"/>
                <w:snapToGrid/>
              </w:rPr>
              <w:t>NTCA – The Rural Broadband Association, Wireless Service Providers Association</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6C7F7DAB" w14:textId="77777777">
            <w:pPr>
              <w:tabs>
                <w:tab w:val="left" w:pos="720"/>
              </w:tabs>
              <w:snapToGrid w:val="0"/>
              <w:spacing w:after="120"/>
              <w:rPr>
                <w:rFonts w:eastAsia="Calibri"/>
                <w:snapToGrid/>
              </w:rPr>
            </w:pPr>
            <w:r w:rsidRPr="00301716">
              <w:rPr>
                <w:rFonts w:eastAsia="Calibri"/>
                <w:snapToGrid/>
              </w:rPr>
              <w:t>NTCA and WISPA</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204E8CD" w14:textId="77777777">
            <w:pPr>
              <w:tabs>
                <w:tab w:val="left" w:pos="720"/>
              </w:tabs>
              <w:snapToGrid w:val="0"/>
              <w:spacing w:after="120"/>
              <w:rPr>
                <w:rFonts w:eastAsia="Calibri"/>
                <w:snapToGrid/>
              </w:rPr>
            </w:pPr>
            <w:r w:rsidRPr="00301716">
              <w:rPr>
                <w:rFonts w:eastAsia="Calibri"/>
                <w:snapToGrid/>
              </w:rPr>
              <w:t>2/17/26</w:t>
            </w:r>
          </w:p>
        </w:tc>
      </w:tr>
      <w:tr w14:paraId="54D84505"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343B8171" w14:textId="77777777">
            <w:pPr>
              <w:tabs>
                <w:tab w:val="left" w:pos="720"/>
              </w:tabs>
              <w:snapToGrid w:val="0"/>
              <w:spacing w:after="120"/>
              <w:rPr>
                <w:rFonts w:eastAsia="Calibri"/>
                <w:snapToGrid/>
              </w:rPr>
            </w:pPr>
            <w:r w:rsidRPr="00301716">
              <w:rPr>
                <w:rFonts w:eastAsia="Calibri"/>
                <w:snapToGrid/>
              </w:rPr>
              <w:t xml:space="preserve">Public Knowledge, National Digital Inclusion Alliance, </w:t>
            </w:r>
            <w:r w:rsidRPr="00301716">
              <w:rPr>
                <w:rFonts w:eastAsia="Calibri"/>
                <w:snapToGrid/>
              </w:rPr>
              <w:t>MediaJustice</w:t>
            </w:r>
            <w:r w:rsidRPr="00301716">
              <w:rPr>
                <w:rFonts w:eastAsia="Calibri"/>
                <w:snapToGrid/>
              </w:rPr>
              <w:t>, Common Sense Media, Everyone on Cit of Boston, New America’s Open Technology Institute, Benton Institute for Broadband and Society, NTEN, Massachusetts Digital Equity Coalition, Massachusetts Law Reform Institute</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69E193FB" w14:textId="77777777">
            <w:pPr>
              <w:tabs>
                <w:tab w:val="left" w:pos="720"/>
              </w:tabs>
              <w:snapToGrid w:val="0"/>
              <w:spacing w:after="120"/>
              <w:rPr>
                <w:rFonts w:eastAsia="Calibri"/>
                <w:snapToGrid/>
              </w:rPr>
            </w:pPr>
            <w:r w:rsidRPr="00301716">
              <w:rPr>
                <w:rFonts w:eastAsia="Calibri"/>
                <w:snapToGrid/>
              </w:rPr>
              <w:t>Public Knowledge et al.</w:t>
            </w:r>
            <w:r w:rsidRPr="00301716">
              <w:rPr>
                <w:rFonts w:eastAsia="Calibri"/>
                <w:i/>
                <w:snapToGrid/>
              </w:rPr>
              <w:t xml:space="preserve"> </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0DF6EC6A" w14:textId="77777777">
            <w:pPr>
              <w:tabs>
                <w:tab w:val="left" w:pos="720"/>
              </w:tabs>
              <w:snapToGrid w:val="0"/>
              <w:spacing w:after="120"/>
              <w:rPr>
                <w:rFonts w:eastAsia="Calibri"/>
                <w:snapToGrid/>
              </w:rPr>
            </w:pPr>
            <w:r w:rsidRPr="00301716">
              <w:rPr>
                <w:rFonts w:eastAsia="Calibri"/>
                <w:snapToGrid/>
              </w:rPr>
              <w:t>2/17/26</w:t>
            </w:r>
          </w:p>
        </w:tc>
      </w:tr>
      <w:tr w14:paraId="50BA1698"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07DCB899" w14:textId="77777777">
            <w:pPr>
              <w:tabs>
                <w:tab w:val="left" w:pos="720"/>
              </w:tabs>
              <w:snapToGrid w:val="0"/>
              <w:spacing w:after="120"/>
              <w:rPr>
                <w:rFonts w:eastAsia="Calibri"/>
                <w:snapToGrid/>
              </w:rPr>
            </w:pPr>
            <w:r w:rsidRPr="00301716">
              <w:rPr>
                <w:rFonts w:eastAsia="Calibri"/>
                <w:snapToGrid/>
              </w:rPr>
              <w:t>The Utility Reform Network</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39A268A6" w14:textId="77777777">
            <w:pPr>
              <w:tabs>
                <w:tab w:val="left" w:pos="720"/>
              </w:tabs>
              <w:snapToGrid w:val="0"/>
              <w:spacing w:after="120"/>
              <w:rPr>
                <w:rFonts w:eastAsia="Calibri"/>
                <w:snapToGrid/>
              </w:rPr>
            </w:pPr>
            <w:r w:rsidRPr="00301716">
              <w:rPr>
                <w:rFonts w:eastAsia="Calibri"/>
                <w:snapToGrid/>
              </w:rPr>
              <w:t>TURN</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26958272" w14:textId="77777777">
            <w:pPr>
              <w:tabs>
                <w:tab w:val="left" w:pos="720"/>
              </w:tabs>
              <w:snapToGrid w:val="0"/>
              <w:spacing w:after="120"/>
              <w:rPr>
                <w:rFonts w:eastAsia="Calibri"/>
                <w:snapToGrid/>
              </w:rPr>
            </w:pPr>
            <w:r w:rsidRPr="00301716">
              <w:rPr>
                <w:rFonts w:eastAsia="Calibri"/>
                <w:snapToGrid/>
              </w:rPr>
              <w:t>2/13/26</w:t>
            </w:r>
          </w:p>
        </w:tc>
      </w:tr>
      <w:tr w14:paraId="5D17A8F5"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0E01B47E" w14:textId="77777777">
            <w:pPr>
              <w:tabs>
                <w:tab w:val="left" w:pos="720"/>
              </w:tabs>
              <w:snapToGrid w:val="0"/>
              <w:spacing w:after="120"/>
              <w:rPr>
                <w:rFonts w:eastAsia="Calibri"/>
                <w:snapToGrid/>
              </w:rPr>
            </w:pPr>
            <w:r w:rsidRPr="00301716">
              <w:rPr>
                <w:rFonts w:eastAsia="Calibri"/>
                <w:snapToGrid/>
              </w:rPr>
              <w:t>USTelecom</w:t>
            </w:r>
            <w:r w:rsidRPr="00301716">
              <w:rPr>
                <w:rFonts w:eastAsia="Calibri"/>
                <w:snapToGrid/>
              </w:rPr>
              <w:t xml:space="preserve"> –The Broadband Association</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7275EF22" w14:textId="77777777">
            <w:pPr>
              <w:tabs>
                <w:tab w:val="left" w:pos="720"/>
              </w:tabs>
              <w:snapToGrid w:val="0"/>
              <w:spacing w:after="120"/>
              <w:rPr>
                <w:rFonts w:eastAsia="Calibri"/>
                <w:snapToGrid/>
              </w:rPr>
            </w:pPr>
            <w:r w:rsidRPr="00301716">
              <w:rPr>
                <w:rFonts w:eastAsia="Calibri"/>
                <w:snapToGrid/>
              </w:rPr>
              <w:t>USTelecom</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3163CF62" w14:textId="77777777">
            <w:pPr>
              <w:tabs>
                <w:tab w:val="left" w:pos="720"/>
              </w:tabs>
              <w:snapToGrid w:val="0"/>
              <w:spacing w:after="120"/>
              <w:rPr>
                <w:rFonts w:eastAsia="Calibri"/>
                <w:snapToGrid/>
              </w:rPr>
            </w:pPr>
            <w:r w:rsidRPr="00301716">
              <w:rPr>
                <w:rFonts w:eastAsia="Calibri"/>
                <w:snapToGrid/>
              </w:rPr>
              <w:t>2/16/26</w:t>
            </w:r>
          </w:p>
        </w:tc>
      </w:tr>
      <w:tr w14:paraId="50CEC1E2" w14:textId="77777777" w:rsidTr="00635987">
        <w:tblPrEx>
          <w:tblW w:w="0" w:type="auto"/>
          <w:tblInd w:w="-5" w:type="dxa"/>
          <w:tblLook w:val="04A0"/>
        </w:tblPrEx>
        <w:tc>
          <w:tcPr>
            <w:tcW w:w="5130" w:type="dxa"/>
            <w:tcBorders>
              <w:top w:val="single" w:sz="4" w:space="0" w:color="auto"/>
              <w:left w:val="single" w:sz="4" w:space="0" w:color="auto"/>
              <w:bottom w:val="single" w:sz="4" w:space="0" w:color="auto"/>
              <w:right w:val="single" w:sz="4" w:space="0" w:color="auto"/>
            </w:tcBorders>
            <w:hideMark/>
          </w:tcPr>
          <w:p w:rsidR="00725C86" w:rsidRPr="00301716" w:rsidP="00635987" w14:paraId="6FB9AE58" w14:textId="77777777">
            <w:pPr>
              <w:tabs>
                <w:tab w:val="left" w:pos="720"/>
              </w:tabs>
              <w:snapToGrid w:val="0"/>
              <w:spacing w:after="120"/>
              <w:rPr>
                <w:rFonts w:eastAsia="Calibri"/>
                <w:snapToGrid/>
              </w:rPr>
            </w:pPr>
            <w:r w:rsidRPr="00301716">
              <w:rPr>
                <w:rFonts w:eastAsia="Calibri"/>
                <w:snapToGrid/>
              </w:rPr>
              <w:t>WISPA – The Association for Broadband Without Boundaries</w:t>
            </w:r>
          </w:p>
        </w:tc>
        <w:tc>
          <w:tcPr>
            <w:tcW w:w="2610" w:type="dxa"/>
            <w:tcBorders>
              <w:top w:val="single" w:sz="4" w:space="0" w:color="auto"/>
              <w:left w:val="single" w:sz="4" w:space="0" w:color="auto"/>
              <w:bottom w:val="single" w:sz="4" w:space="0" w:color="auto"/>
              <w:right w:val="single" w:sz="4" w:space="0" w:color="auto"/>
            </w:tcBorders>
            <w:hideMark/>
          </w:tcPr>
          <w:p w:rsidR="00725C86" w:rsidRPr="00301716" w:rsidP="00635987" w14:paraId="41626306" w14:textId="77777777">
            <w:pPr>
              <w:tabs>
                <w:tab w:val="left" w:pos="720"/>
              </w:tabs>
              <w:snapToGrid w:val="0"/>
              <w:spacing w:after="120"/>
              <w:rPr>
                <w:rFonts w:eastAsia="Calibri"/>
                <w:snapToGrid/>
              </w:rPr>
            </w:pPr>
            <w:r w:rsidRPr="00301716">
              <w:rPr>
                <w:rFonts w:eastAsia="Calibri"/>
                <w:snapToGrid/>
              </w:rPr>
              <w:t>WISPA</w:t>
            </w:r>
          </w:p>
        </w:tc>
        <w:tc>
          <w:tcPr>
            <w:tcW w:w="1615" w:type="dxa"/>
            <w:tcBorders>
              <w:top w:val="single" w:sz="4" w:space="0" w:color="auto"/>
              <w:left w:val="single" w:sz="4" w:space="0" w:color="auto"/>
              <w:bottom w:val="single" w:sz="4" w:space="0" w:color="auto"/>
              <w:right w:val="single" w:sz="4" w:space="0" w:color="auto"/>
            </w:tcBorders>
            <w:hideMark/>
          </w:tcPr>
          <w:p w:rsidR="00725C86" w:rsidRPr="00301716" w:rsidP="00635987" w14:paraId="767DBD29" w14:textId="77777777">
            <w:pPr>
              <w:tabs>
                <w:tab w:val="left" w:pos="720"/>
              </w:tabs>
              <w:snapToGrid w:val="0"/>
              <w:spacing w:after="120"/>
              <w:rPr>
                <w:rFonts w:eastAsia="Calibri"/>
                <w:snapToGrid/>
              </w:rPr>
            </w:pPr>
            <w:r w:rsidRPr="00301716">
              <w:rPr>
                <w:rFonts w:eastAsia="Calibri"/>
                <w:snapToGrid/>
              </w:rPr>
              <w:t>2/17/26</w:t>
            </w:r>
          </w:p>
        </w:tc>
      </w:tr>
    </w:tbl>
    <w:p w:rsidR="00725C86" w:rsidRPr="00B134BE" w:rsidP="00725C86" w14:paraId="26F0DBD6" w14:textId="77777777">
      <w:pPr>
        <w:snapToGrid w:val="0"/>
        <w:jc w:val="center"/>
      </w:pPr>
      <w:bookmarkStart w:id="558" w:name="_Toc105673928"/>
      <w:bookmarkStart w:id="559" w:name="_Toc107988714"/>
      <w:bookmarkStart w:id="560" w:name="_Toc108711174"/>
      <w:bookmarkStart w:id="561" w:name="_Toc110430748"/>
      <w:bookmarkStart w:id="562" w:name="_Toc110853651"/>
      <w:bookmarkStart w:id="563" w:name="_Toc111477316"/>
      <w:bookmarkStart w:id="564" w:name="_Toc114559497"/>
      <w:bookmarkStart w:id="565" w:name="_Toc119311269"/>
    </w:p>
    <w:p w:rsidR="00725C86" w:rsidRPr="00301716" w:rsidP="00725C86" w14:paraId="012E6754" w14:textId="77777777">
      <w:pPr>
        <w:snapToGrid w:val="0"/>
        <w:spacing w:after="120"/>
        <w:jc w:val="center"/>
        <w:rPr>
          <w:b/>
          <w:bCs/>
          <w:snapToGrid/>
        </w:rPr>
      </w:pPr>
      <w:r w:rsidRPr="00301716">
        <w:rPr>
          <w:b/>
          <w:bCs/>
          <w:snapToGrid/>
        </w:rPr>
        <w:t xml:space="preserve">Ex </w:t>
      </w:r>
      <w:r w:rsidRPr="00301716">
        <w:rPr>
          <w:b/>
          <w:bCs/>
          <w:snapToGrid/>
        </w:rPr>
        <w:t>Parte</w:t>
      </w:r>
      <w:r w:rsidRPr="00301716">
        <w:rPr>
          <w:b/>
          <w:bCs/>
          <w:snapToGrid/>
        </w:rPr>
        <w:t xml:space="preserve"> Filings</w:t>
      </w:r>
      <w:bookmarkEnd w:id="558"/>
      <w:bookmarkEnd w:id="559"/>
      <w:bookmarkEnd w:id="560"/>
      <w:bookmarkEnd w:id="561"/>
      <w:bookmarkEnd w:id="562"/>
      <w:bookmarkEnd w:id="563"/>
      <w:bookmarkEnd w:id="564"/>
      <w:bookmarkEnd w:id="56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25"/>
        <w:gridCol w:w="2610"/>
        <w:gridCol w:w="1615"/>
      </w:tblGrid>
      <w:tr w14:paraId="39FACB98" w14:textId="77777777" w:rsidTr="00635987">
        <w:tblPrEx>
          <w:tblW w:w="0" w:type="auto"/>
          <w:tblLook w:val="04A0"/>
        </w:tblPrEx>
        <w:tc>
          <w:tcPr>
            <w:tcW w:w="5125" w:type="dxa"/>
            <w:tcBorders>
              <w:top w:val="single" w:sz="4" w:space="0" w:color="auto"/>
              <w:left w:val="single" w:sz="4" w:space="0" w:color="auto"/>
              <w:bottom w:val="single" w:sz="4" w:space="0" w:color="auto"/>
              <w:right w:val="single" w:sz="4" w:space="0" w:color="auto"/>
            </w:tcBorders>
            <w:hideMark/>
          </w:tcPr>
          <w:p w:rsidR="00725C86" w:rsidRPr="00816744" w:rsidP="00635987" w14:paraId="6C3EB909" w14:textId="77777777">
            <w:pPr>
              <w:snapToGrid w:val="0"/>
            </w:pPr>
            <w:r w:rsidRPr="00816744">
              <w:t>Commenter</w:t>
            </w:r>
          </w:p>
        </w:tc>
        <w:tc>
          <w:tcPr>
            <w:tcW w:w="2610" w:type="dxa"/>
            <w:tcBorders>
              <w:top w:val="single" w:sz="4" w:space="0" w:color="auto"/>
              <w:left w:val="single" w:sz="4" w:space="0" w:color="auto"/>
              <w:bottom w:val="single" w:sz="4" w:space="0" w:color="auto"/>
              <w:right w:val="single" w:sz="4" w:space="0" w:color="auto"/>
            </w:tcBorders>
            <w:hideMark/>
          </w:tcPr>
          <w:p w:rsidR="00725C86" w:rsidRPr="00816744" w:rsidP="00635987" w14:paraId="3D4D7EF7" w14:textId="77777777">
            <w:pPr>
              <w:snapToGrid w:val="0"/>
            </w:pPr>
            <w:r w:rsidRPr="00816744">
              <w:t>Abbreviated Name</w:t>
            </w:r>
          </w:p>
        </w:tc>
        <w:tc>
          <w:tcPr>
            <w:tcW w:w="1615" w:type="dxa"/>
            <w:tcBorders>
              <w:top w:val="single" w:sz="4" w:space="0" w:color="auto"/>
              <w:left w:val="single" w:sz="4" w:space="0" w:color="auto"/>
              <w:bottom w:val="single" w:sz="4" w:space="0" w:color="auto"/>
              <w:right w:val="single" w:sz="4" w:space="0" w:color="auto"/>
            </w:tcBorders>
            <w:hideMark/>
          </w:tcPr>
          <w:p w:rsidR="00725C86" w:rsidRPr="00816744" w:rsidP="00635987" w14:paraId="610C8FF0" w14:textId="77777777">
            <w:pPr>
              <w:snapToGrid w:val="0"/>
            </w:pPr>
            <w:r w:rsidRPr="00816744">
              <w:t>Date Filed</w:t>
            </w:r>
          </w:p>
        </w:tc>
      </w:tr>
      <w:tr w14:paraId="3DAFA437" w14:textId="77777777" w:rsidTr="00635987">
        <w:tblPrEx>
          <w:tblW w:w="0" w:type="auto"/>
          <w:tblLook w:val="04A0"/>
        </w:tblPrEx>
        <w:tc>
          <w:tcPr>
            <w:tcW w:w="5125" w:type="dxa"/>
            <w:tcBorders>
              <w:top w:val="single" w:sz="4" w:space="0" w:color="auto"/>
              <w:left w:val="single" w:sz="4" w:space="0" w:color="auto"/>
              <w:bottom w:val="single" w:sz="4" w:space="0" w:color="auto"/>
              <w:right w:val="single" w:sz="4" w:space="0" w:color="auto"/>
            </w:tcBorders>
            <w:hideMark/>
          </w:tcPr>
          <w:p w:rsidR="00725C86" w:rsidRPr="00816744" w:rsidP="00635987" w14:paraId="65616527" w14:textId="77777777">
            <w:pPr>
              <w:snapToGrid w:val="0"/>
              <w:rPr>
                <w:rFonts w:ascii="Times New Roman Bold" w:hAnsi="Times New Roman Bold"/>
                <w:b/>
                <w:caps/>
              </w:rPr>
            </w:pPr>
            <w:r w:rsidRPr="006C757F">
              <w:t>Scott Jordan (UC-Irvine)</w:t>
            </w:r>
          </w:p>
        </w:tc>
        <w:tc>
          <w:tcPr>
            <w:tcW w:w="2610" w:type="dxa"/>
            <w:tcBorders>
              <w:top w:val="single" w:sz="4" w:space="0" w:color="auto"/>
              <w:left w:val="single" w:sz="4" w:space="0" w:color="auto"/>
              <w:bottom w:val="single" w:sz="4" w:space="0" w:color="auto"/>
              <w:right w:val="single" w:sz="4" w:space="0" w:color="auto"/>
            </w:tcBorders>
            <w:hideMark/>
          </w:tcPr>
          <w:p w:rsidR="00725C86" w:rsidRPr="00816744" w:rsidP="00635987" w14:paraId="64726853" w14:textId="77777777">
            <w:pPr>
              <w:snapToGrid w:val="0"/>
            </w:pPr>
            <w:r w:rsidRPr="006C757F">
              <w:t>Jordan</w:t>
            </w:r>
          </w:p>
        </w:tc>
        <w:tc>
          <w:tcPr>
            <w:tcW w:w="1615" w:type="dxa"/>
            <w:tcBorders>
              <w:top w:val="single" w:sz="4" w:space="0" w:color="auto"/>
              <w:left w:val="single" w:sz="4" w:space="0" w:color="auto"/>
              <w:bottom w:val="single" w:sz="4" w:space="0" w:color="auto"/>
              <w:right w:val="single" w:sz="4" w:space="0" w:color="auto"/>
            </w:tcBorders>
            <w:hideMark/>
          </w:tcPr>
          <w:p w:rsidR="00725C86" w:rsidRPr="00816744" w:rsidP="00635987" w14:paraId="14192C38" w14:textId="77777777">
            <w:pPr>
              <w:snapToGrid w:val="0"/>
            </w:pPr>
            <w:r w:rsidRPr="006C757F">
              <w:t>3/3/26</w:t>
            </w:r>
          </w:p>
          <w:p w:rsidR="00725C86" w:rsidRPr="00816744" w:rsidP="00635987" w14:paraId="24C221AF" w14:textId="77777777">
            <w:pPr>
              <w:snapToGrid w:val="0"/>
            </w:pPr>
            <w:r w:rsidRPr="006C757F">
              <w:t>3/6/26</w:t>
            </w:r>
          </w:p>
          <w:p w:rsidR="00725C86" w:rsidRPr="00816744" w:rsidP="00635987" w14:paraId="4692F909" w14:textId="77777777">
            <w:pPr>
              <w:snapToGrid w:val="0"/>
            </w:pPr>
            <w:r w:rsidRPr="006C757F">
              <w:t>3/10/26</w:t>
            </w:r>
          </w:p>
          <w:p w:rsidR="00725C86" w:rsidRPr="00816744" w:rsidP="00635987" w14:paraId="0F68AC88" w14:textId="77777777">
            <w:pPr>
              <w:snapToGrid w:val="0"/>
              <w:rPr>
                <w:caps/>
              </w:rPr>
            </w:pPr>
            <w:r w:rsidRPr="006C757F">
              <w:t>3/11/26</w:t>
            </w:r>
          </w:p>
        </w:tc>
      </w:tr>
    </w:tbl>
    <w:p w:rsidR="00AC114C" w:rsidP="00A50F9E" w14:paraId="3E52D453" w14:textId="77777777">
      <w:pPr>
        <w:sectPr w:rsidSect="00E37F0F">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720" w:footer="720" w:gutter="0"/>
          <w:cols w:space="720"/>
          <w:noEndnote/>
          <w:docGrid w:linePitch="299"/>
        </w:sectPr>
      </w:pPr>
    </w:p>
    <w:p w:rsidR="003966C1" w:rsidRPr="003966C1" w:rsidP="003966C1" w14:paraId="498D651D" w14:textId="77777777">
      <w:pPr>
        <w:jc w:val="center"/>
        <w:rPr>
          <w:b/>
          <w:bCs/>
          <w:color w:val="000000"/>
          <w:szCs w:val="22"/>
        </w:rPr>
      </w:pPr>
      <w:r w:rsidRPr="003966C1">
        <w:rPr>
          <w:b/>
          <w:bCs/>
          <w:color w:val="000000"/>
          <w:szCs w:val="22"/>
        </w:rPr>
        <w:t>STATEMENT OF</w:t>
      </w:r>
    </w:p>
    <w:p w:rsidR="003966C1" w:rsidRPr="003966C1" w:rsidP="003966C1" w14:paraId="506CE360" w14:textId="77777777">
      <w:pPr>
        <w:spacing w:after="240"/>
        <w:jc w:val="center"/>
        <w:rPr>
          <w:b/>
          <w:bCs/>
          <w:color w:val="000000"/>
          <w:szCs w:val="22"/>
        </w:rPr>
      </w:pPr>
      <w:r w:rsidRPr="003966C1">
        <w:rPr>
          <w:b/>
          <w:bCs/>
          <w:color w:val="000000"/>
          <w:szCs w:val="22"/>
        </w:rPr>
        <w:t>CHAIRMAN BRENDAN CARR</w:t>
      </w:r>
    </w:p>
    <w:p w:rsidR="003966C1" w:rsidRPr="003966C1" w:rsidP="003966C1" w14:paraId="7C5BAB8B" w14:textId="77777777">
      <w:pPr>
        <w:spacing w:after="120"/>
        <w:ind w:left="720" w:hanging="720"/>
        <w:rPr>
          <w:b/>
          <w:bCs/>
          <w:color w:val="000000"/>
          <w:szCs w:val="22"/>
        </w:rPr>
      </w:pPr>
      <w:r w:rsidRPr="00FA7920">
        <w:rPr>
          <w:szCs w:val="22"/>
        </w:rPr>
        <w:t xml:space="preserve">Re: </w:t>
      </w:r>
      <w:r w:rsidRPr="00FA7920">
        <w:rPr>
          <w:szCs w:val="22"/>
        </w:rPr>
        <w:tab/>
      </w:r>
      <w:r w:rsidRPr="00FA7920">
        <w:rPr>
          <w:i/>
          <w:iCs/>
          <w:szCs w:val="22"/>
        </w:rPr>
        <w:t>Empowering Broadband Consumers Through Transparency</w:t>
      </w:r>
      <w:r w:rsidRPr="00FA7920">
        <w:rPr>
          <w:szCs w:val="22"/>
        </w:rPr>
        <w:t>, CG Docket No. 22-2; GN Docket No. 25-133, Report and Order (July 22, 2026).</w:t>
      </w:r>
    </w:p>
    <w:p w:rsidR="003966C1" w:rsidRPr="003966C1" w:rsidP="003966C1" w14:paraId="63D0F33F" w14:textId="77777777">
      <w:pPr>
        <w:spacing w:after="120"/>
        <w:ind w:firstLine="720"/>
        <w:rPr>
          <w:color w:val="000000"/>
          <w:szCs w:val="22"/>
        </w:rPr>
      </w:pPr>
      <w:r w:rsidRPr="003966C1">
        <w:rPr>
          <w:color w:val="000000"/>
          <w:szCs w:val="22"/>
        </w:rPr>
        <w:t>Today, the FCC is taking another step to make broadband nutrition labels work better for consumers.  When Congress directed the FCC to create these labels, the goal was simple—give Americans clear, useful information for broadband internet comparison shopping.  But over the last few years, we have learned that when labels become cluttered with unnecessary details, they stop being the quick, easy-to-use shopping tool Congress envisioned.  That’s why we’re streamlining them today.</w:t>
      </w:r>
    </w:p>
    <w:p w:rsidR="003966C1" w:rsidRPr="003966C1" w:rsidP="003966C1" w14:paraId="6210AC8C" w14:textId="77777777">
      <w:pPr>
        <w:spacing w:after="120"/>
        <w:ind w:firstLine="720"/>
        <w:rPr>
          <w:color w:val="000000"/>
          <w:szCs w:val="22"/>
        </w:rPr>
      </w:pPr>
      <w:r w:rsidRPr="003966C1">
        <w:rPr>
          <w:color w:val="000000"/>
          <w:szCs w:val="22"/>
        </w:rPr>
        <w:t>The new label removes unnecessary clutter, eliminates outdated requirements like references to the expired Affordable Connectivity Program, gives providers more practical ways to make labels available through hyperlinks, QR codes, and online account portals, and lets customer service representatives explain the information in plain English over the phone instead of reading a long script word for word.</w:t>
      </w:r>
    </w:p>
    <w:p w:rsidR="003966C1" w:rsidRPr="003966C1" w:rsidP="003966C1" w14:paraId="34B86FF2" w14:textId="77777777">
      <w:pPr>
        <w:spacing w:after="120"/>
        <w:ind w:firstLine="720"/>
        <w:rPr>
          <w:color w:val="000000"/>
          <w:szCs w:val="22"/>
        </w:rPr>
      </w:pPr>
      <w:r w:rsidRPr="003966C1">
        <w:rPr>
          <w:color w:val="000000"/>
          <w:szCs w:val="22"/>
        </w:rPr>
        <w:t>None of those changes come at the expense of transparency.  Providers will still offer a label for every standalone broadband plan.  Consumers will still get necessary information about pricing, introductory rates, broadband speeds, and data allowances.  The labels will also remain accessible and available in the languages providers use to market their services.</w:t>
      </w:r>
    </w:p>
    <w:p w:rsidR="003966C1" w:rsidRPr="003966C1" w:rsidP="003966C1" w14:paraId="22AB5EC6" w14:textId="77777777">
      <w:pPr>
        <w:spacing w:after="120"/>
        <w:ind w:firstLine="720"/>
        <w:rPr>
          <w:color w:val="000000"/>
          <w:szCs w:val="22"/>
        </w:rPr>
      </w:pPr>
      <w:r w:rsidRPr="003966C1">
        <w:rPr>
          <w:color w:val="000000"/>
          <w:szCs w:val="22"/>
        </w:rPr>
        <w:t>The result is a label that’s easier for consumers to use, while reducing costs for providers.  That’s a win for everyone.  Thanks to Ed Bartholme, Mark Stone, Wes Platt, Zac Champ, Michelle Branigan, Robert Aldrich, David Konczal, Richard Mallen, Jonathan Lechter, and Kim Makuch for their great work on this item.</w:t>
      </w:r>
    </w:p>
    <w:p w:rsidR="003966C1" w:rsidP="00A50F9E" w14:paraId="6ACCE4DC" w14:textId="77777777">
      <w:pPr>
        <w:sectPr w:rsidSect="003966C1">
          <w:headerReference w:type="default" r:id="rId16"/>
          <w:pgSz w:w="12240" w:h="15840"/>
          <w:pgMar w:top="1440" w:right="1440" w:bottom="1440" w:left="1440" w:header="720" w:footer="720" w:gutter="0"/>
          <w:cols w:space="720"/>
          <w:docGrid w:linePitch="360"/>
        </w:sectPr>
      </w:pPr>
    </w:p>
    <w:p w:rsidR="00371E4D" w:rsidRPr="00DC2B1E" w:rsidP="00371E4D" w14:paraId="1D06AEC2" w14:textId="77777777">
      <w:pPr>
        <w:jc w:val="center"/>
        <w:rPr>
          <w:b/>
          <w:bCs/>
          <w:szCs w:val="22"/>
        </w:rPr>
      </w:pPr>
      <w:r w:rsidRPr="00DC2B1E">
        <w:rPr>
          <w:b/>
          <w:bCs/>
          <w:szCs w:val="22"/>
        </w:rPr>
        <w:t>STATEMENT OF</w:t>
      </w:r>
    </w:p>
    <w:p w:rsidR="00371E4D" w:rsidRPr="00DC2B1E" w:rsidP="00371E4D" w14:paraId="246B0C5D" w14:textId="77777777">
      <w:pPr>
        <w:spacing w:after="240"/>
        <w:jc w:val="center"/>
        <w:rPr>
          <w:b/>
          <w:bCs/>
          <w:szCs w:val="22"/>
        </w:rPr>
      </w:pPr>
      <w:r w:rsidRPr="00DC2B1E">
        <w:rPr>
          <w:b/>
          <w:bCs/>
          <w:szCs w:val="22"/>
        </w:rPr>
        <w:t>COMMISSIONER ANNA GOMEZ</w:t>
      </w:r>
    </w:p>
    <w:p w:rsidR="00371E4D" w:rsidRPr="00371E4D" w:rsidP="00371E4D" w14:paraId="39C614FE" w14:textId="77777777">
      <w:pPr>
        <w:spacing w:after="120"/>
        <w:ind w:left="720" w:hanging="720"/>
        <w:rPr>
          <w:b/>
          <w:bCs/>
          <w:color w:val="000000"/>
          <w:szCs w:val="22"/>
        </w:rPr>
      </w:pPr>
      <w:r w:rsidRPr="00FA7920">
        <w:rPr>
          <w:szCs w:val="22"/>
        </w:rPr>
        <w:t xml:space="preserve">Re: </w:t>
      </w:r>
      <w:r w:rsidRPr="00FA7920">
        <w:rPr>
          <w:szCs w:val="22"/>
        </w:rPr>
        <w:tab/>
      </w:r>
      <w:r w:rsidRPr="00FA7920">
        <w:rPr>
          <w:i/>
          <w:iCs/>
          <w:szCs w:val="22"/>
        </w:rPr>
        <w:t>Empowering Broadband Consumers Through Transparency</w:t>
      </w:r>
      <w:r w:rsidRPr="00FA7920">
        <w:rPr>
          <w:szCs w:val="22"/>
        </w:rPr>
        <w:t>, CG Docket No. 22-2; GN Docket No. 25-133, Report and Order (July 22, 2026).</w:t>
      </w:r>
    </w:p>
    <w:p w:rsidR="00371E4D" w:rsidRPr="00BA73BC" w:rsidP="00371E4D" w14:paraId="7F201981" w14:textId="77777777">
      <w:pPr>
        <w:spacing w:after="120"/>
        <w:ind w:firstLine="720"/>
      </w:pPr>
      <w:r w:rsidRPr="00BA73BC">
        <w:t xml:space="preserve">The Commission’s decisions should always be centered around a clear analysis of how our actions impact consumers. I am pleased that many of the consumer concerns I raised when the Commission considered the </w:t>
      </w:r>
      <w:r>
        <w:t>Notice of Proposed Rulemaking</w:t>
      </w:r>
      <w:r w:rsidRPr="00BA73BC">
        <w:t xml:space="preserve"> last year</w:t>
      </w:r>
      <w:r>
        <w:rPr>
          <w:rStyle w:val="FootnoteReference"/>
        </w:rPr>
        <w:footnoteReference w:id="198"/>
      </w:r>
      <w:r w:rsidRPr="00BA73BC">
        <w:t xml:space="preserve"> have been addressed in today’s Report and Order. </w:t>
      </w:r>
    </w:p>
    <w:p w:rsidR="00371E4D" w:rsidRPr="00BA73BC" w:rsidP="00371E4D" w14:paraId="0D7F63C6" w14:textId="77777777">
      <w:pPr>
        <w:spacing w:after="120"/>
        <w:ind w:firstLine="720"/>
      </w:pPr>
      <w:r w:rsidRPr="00BA73BC">
        <w:t>This item ensures phone calls remain categorized as a point of sale. The reality is that some consumers shopping for broadband service do not currently have it, so they rely on phone calls to find information about potential service plans. The rules we adopt today require that critical information is conveyed over the phone, including the monthly price inclusive of any monthly fees, the introductory rate and its duration, typical download and upload speeds, latency, data allowance, contract term, and early termination fees.</w:t>
      </w:r>
    </w:p>
    <w:p w:rsidR="00371E4D" w:rsidRPr="00BA73BC" w:rsidP="00371E4D" w14:paraId="6B236AC9" w14:textId="77777777">
      <w:pPr>
        <w:spacing w:after="120"/>
        <w:ind w:firstLine="720"/>
      </w:pPr>
      <w:r w:rsidRPr="00BA73BC">
        <w:t>Regarding fee itemization, I thank the Chairman’s office and the Bureau for working with me to find a careful balance between providing consumers with valuable information and keeping the labels functional and easy-to-use. In addition to a single aggregate or maximum amount for passthrough fees that will allow consumers to comparison shop, the labels will provide a breakdown by fees that are remitted to state and local governments and those remitted to third parties. Each category will also include a list of the types of fees passed on to consumers. Though I would have preferred that the labels provide a complete itemization, consumers will have the option to click on a link below to learn more about each of the types of fees and what they are used for.</w:t>
      </w:r>
    </w:p>
    <w:p w:rsidR="00371E4D" w:rsidRPr="00BA73BC" w:rsidP="00371E4D" w14:paraId="48C48247" w14:textId="77777777">
      <w:pPr>
        <w:spacing w:after="120"/>
        <w:ind w:firstLine="720"/>
      </w:pPr>
      <w:r w:rsidRPr="00BA73BC">
        <w:t xml:space="preserve">Today’s item also retains the requirement that providers include broadband labels in customers’ account portals. However, we narrow the requirement to providing a hyperlink or icon, rather than requiring the full label to be displayed. While my preference would have been to display the full label, my hope is that the Commission, our industry partners, and consumer groups will work together to promote and advertise the concept of broadband labels such that consumers seek out this resource and use it regularly. In the same way that grocery store shoppers want to know how much protein or fiber is in the food they are buying, I hope that consumers shopping for broadband will seek out broadband labels when making purchasing decisions. </w:t>
      </w:r>
    </w:p>
    <w:p w:rsidR="00371E4D" w:rsidRPr="00BA73BC" w:rsidP="00371E4D" w14:paraId="35C6AEF1" w14:textId="77777777">
      <w:pPr>
        <w:spacing w:after="120"/>
        <w:ind w:firstLine="720"/>
      </w:pPr>
      <w:r w:rsidRPr="00BA73BC">
        <w:t xml:space="preserve">This Report and Order also retains the requirement that industry provide consumers with the broadband label in whichever language the service </w:t>
      </w:r>
      <w:r>
        <w:t>is</w:t>
      </w:r>
      <w:r w:rsidRPr="00BA73BC">
        <w:t xml:space="preserve"> marketed to them. This is a win for consumers. I have long advocated for consumer-facing information to be provided in multiple languages. Every consumer, regardless of their language of choice, deserves to be well-informed when making purchasing decisions. And we protect that right today. </w:t>
      </w:r>
    </w:p>
    <w:p w:rsidR="00371E4D" w:rsidRPr="00BA73BC" w:rsidP="00371E4D" w14:paraId="22322287" w14:textId="77777777">
      <w:pPr>
        <w:widowControl/>
        <w:spacing w:after="120"/>
        <w:ind w:firstLine="720"/>
      </w:pPr>
      <w:r w:rsidRPr="00BA73BC">
        <w:t>Through the Infrastructure Investment and Jobs Act, a bipartisan Congress instructed the Commission to establish a requirement for broadband service providers to display easy-to-understand labels. In doing so, it indicated its intent to ensure that information regarding broadband internet access service plans is “available, effective, and sufficient” for consumers.</w:t>
      </w:r>
      <w:r>
        <w:rPr>
          <w:rStyle w:val="FootnoteReference"/>
        </w:rPr>
        <w:footnoteReference w:id="199"/>
      </w:r>
      <w:r w:rsidRPr="00BA73BC">
        <w:t xml:space="preserve"> Thus, ensuring that consumers are well-informed about the price of their broadband internet service is an ongoing obligation. As technology, </w:t>
      </w:r>
      <w:r w:rsidRPr="00BA73BC">
        <w:t xml:space="preserve">service offerings, billing practices, and consumer needs change over time, the Commission should revisit our disclosure requirements to confirm that they continue to serve consumers well. </w:t>
      </w:r>
    </w:p>
    <w:p w:rsidR="00371E4D" w:rsidRPr="00BA73BC" w:rsidP="00371E4D" w14:paraId="786359C0" w14:textId="77777777">
      <w:pPr>
        <w:spacing w:after="120"/>
        <w:ind w:firstLine="720"/>
      </w:pPr>
      <w:r w:rsidRPr="00BA73BC">
        <w:t>I thank the Chairman’s office for implementing my request that the Consumer Protection and Accessibility Advisory Committee be tasked with producing an “Assessment of Consumer Benefit</w:t>
      </w:r>
      <w:r>
        <w:t>s</w:t>
      </w:r>
      <w:r w:rsidRPr="00BA73BC">
        <w:t xml:space="preserve">” on a recurring basis. The Committee, comprised of both industry representatives and consumer advocates, will produce reports that identify the extent to which broadband labels reach consumers, any challenges that remain in ensuring consumers are aware the labels exist and understand how to use them, and recommendations for how the Commission, the industry, and consumer groups can work together to better market the labels to consumers. These reports will also evaluate the extent to which broadband labels are accessible for consumers with disabilities, identify any challenges that remain, and provide recommendations for how the FCC and providers can work together to address accessibility challenges. I look forward to reviewing these recommendations and contributing to future Commission efforts to improve the labels and to better inform consumers. </w:t>
      </w:r>
    </w:p>
    <w:p w:rsidR="00371E4D" w:rsidRPr="00BA73BC" w:rsidP="00371E4D" w14:paraId="16770A3F" w14:textId="77777777">
      <w:pPr>
        <w:spacing w:after="120"/>
        <w:ind w:firstLine="720"/>
      </w:pPr>
      <w:r w:rsidRPr="00BA73BC">
        <w:t>Thank you to the Chairman for working with me on edits</w:t>
      </w:r>
      <w:r>
        <w:t xml:space="preserve"> </w:t>
      </w:r>
      <w:r w:rsidRPr="00BA73BC">
        <w:t>and thank you to the Consumer and Governmental Affairs Bureau for your work on this item.</w:t>
      </w:r>
    </w:p>
    <w:p w:rsidR="00371E4D" w:rsidRPr="00BA73BC" w:rsidP="00371E4D" w14:paraId="6FD0D126" w14:textId="77777777">
      <w:pPr>
        <w:spacing w:after="120"/>
        <w:ind w:firstLine="720"/>
      </w:pPr>
    </w:p>
    <w:p w:rsidR="00371E4D" w:rsidP="00371E4D" w14:paraId="2C74946B" w14:textId="77777777">
      <w:pPr>
        <w:spacing w:after="120"/>
        <w:sectPr w:rsidSect="00371E4D">
          <w:headerReference w:type="default" r:id="rId17"/>
          <w:footnotePr>
            <w:numRestart w:val="eachSect"/>
          </w:footnotePr>
          <w:pgSz w:w="12240" w:h="15840"/>
          <w:pgMar w:top="1440" w:right="1440" w:bottom="1440" w:left="1440" w:header="720" w:footer="720" w:gutter="0"/>
          <w:cols w:space="720"/>
          <w:docGrid w:linePitch="360"/>
        </w:sectPr>
      </w:pPr>
    </w:p>
    <w:p w:rsidR="00CC2EE6" w:rsidRPr="005577AD" w:rsidP="00CC2EE6" w14:paraId="111156FF" w14:textId="77777777">
      <w:pPr>
        <w:jc w:val="center"/>
        <w:rPr>
          <w:b/>
          <w:bCs/>
          <w:caps/>
          <w:szCs w:val="22"/>
        </w:rPr>
      </w:pPr>
      <w:r w:rsidRPr="005577AD">
        <w:rPr>
          <w:b/>
          <w:bCs/>
          <w:caps/>
          <w:szCs w:val="22"/>
        </w:rPr>
        <w:t>Statement of</w:t>
      </w:r>
    </w:p>
    <w:p w:rsidR="00CC2EE6" w:rsidRPr="005577AD" w:rsidP="00CC2EE6" w14:paraId="61433779" w14:textId="77777777">
      <w:pPr>
        <w:spacing w:after="240"/>
        <w:jc w:val="center"/>
        <w:rPr>
          <w:b/>
          <w:bCs/>
          <w:caps/>
          <w:szCs w:val="22"/>
        </w:rPr>
      </w:pPr>
      <w:r>
        <w:rPr>
          <w:b/>
          <w:bCs/>
          <w:caps/>
          <w:szCs w:val="22"/>
        </w:rPr>
        <w:t>Commissioner Olivia Trusty</w:t>
      </w:r>
    </w:p>
    <w:p w:rsidR="00CC2EE6" w:rsidRPr="00007793" w:rsidP="00CC2EE6" w14:paraId="6AB3F7B1" w14:textId="77777777">
      <w:pPr>
        <w:spacing w:after="120"/>
        <w:ind w:left="720" w:hanging="720"/>
        <w:rPr>
          <w:b/>
          <w:bCs/>
          <w:color w:val="000000"/>
          <w:szCs w:val="22"/>
        </w:rPr>
      </w:pPr>
      <w:r w:rsidRPr="00FA7920">
        <w:rPr>
          <w:szCs w:val="22"/>
        </w:rPr>
        <w:t xml:space="preserve">Re: </w:t>
      </w:r>
      <w:r w:rsidRPr="00FA7920">
        <w:rPr>
          <w:szCs w:val="22"/>
        </w:rPr>
        <w:tab/>
      </w:r>
      <w:r w:rsidRPr="00FA7920">
        <w:rPr>
          <w:i/>
          <w:iCs/>
          <w:szCs w:val="22"/>
        </w:rPr>
        <w:t>Empowering Broadband Consumers Through Transparency</w:t>
      </w:r>
      <w:r w:rsidRPr="00FA7920">
        <w:rPr>
          <w:szCs w:val="22"/>
        </w:rPr>
        <w:t>, CG Docket No. 22-2; GN Docket No. 25-133, Report and Order (July 22, 2026).</w:t>
      </w:r>
    </w:p>
    <w:p w:rsidR="00CC2EE6" w:rsidRPr="00712B06" w:rsidP="00CC2EE6" w14:paraId="1532403B" w14:textId="77777777">
      <w:pPr>
        <w:spacing w:after="120"/>
        <w:ind w:firstLine="720"/>
        <w:rPr>
          <w:szCs w:val="22"/>
        </w:rPr>
      </w:pPr>
      <w:r w:rsidRPr="00712B06">
        <w:rPr>
          <w:szCs w:val="22"/>
        </w:rPr>
        <w:t>Through the Build America Agenda, the Commission is advancing efforts to achieve universal connectivity.  But expanding access is only part of the equation.  Consumers also need clear, accurate information to make informed decisions about the broadband services they purchase.</w:t>
      </w:r>
    </w:p>
    <w:p w:rsidR="00CC2EE6" w:rsidRPr="00712B06" w:rsidP="00CC2EE6" w14:paraId="43D6E5BC" w14:textId="77777777">
      <w:pPr>
        <w:spacing w:after="120"/>
        <w:ind w:firstLine="720"/>
        <w:rPr>
          <w:szCs w:val="22"/>
        </w:rPr>
      </w:pPr>
      <w:r w:rsidRPr="00712B06">
        <w:rPr>
          <w:szCs w:val="22"/>
        </w:rPr>
        <w:t>The Commission has long recognized this principle.  For nearly 15 years, our broadband transparency rule has required providers to publicly disclose accurate information about the commercial terms and technical characteristics of their services sufficient for consumers to make informed decisions.  That rule remains in place and continues to ensure that consumers, the Commission, and the broader Internet ecosystem have access to the information they need.</w:t>
      </w:r>
    </w:p>
    <w:p w:rsidR="00CC2EE6" w:rsidRPr="00712B06" w:rsidP="00CC2EE6" w14:paraId="26383005" w14:textId="77777777">
      <w:pPr>
        <w:spacing w:after="120"/>
        <w:ind w:firstLine="720"/>
        <w:rPr>
          <w:szCs w:val="22"/>
        </w:rPr>
      </w:pPr>
      <w:r w:rsidRPr="00712B06">
        <w:rPr>
          <w:szCs w:val="22"/>
        </w:rPr>
        <w:t>In the Infrastructure Investment and Jobs Act, Congress directed the Commission to require broadband providers to display consumer labels modeled on the approach described in the Commission’s 2016 Public Notice.  The balanced reforms adopted today will continue to provide consumers with meaningful information while ensuring our rules avoid imposing unnecessary burdens on providers.</w:t>
      </w:r>
    </w:p>
    <w:p w:rsidR="00CC2EE6" w:rsidRPr="00712B06" w:rsidP="00CC2EE6" w14:paraId="5496F7AC" w14:textId="77777777">
      <w:pPr>
        <w:spacing w:after="120"/>
        <w:ind w:firstLine="720"/>
        <w:rPr>
          <w:szCs w:val="22"/>
        </w:rPr>
      </w:pPr>
      <w:r w:rsidRPr="00712B06">
        <w:rPr>
          <w:szCs w:val="22"/>
        </w:rPr>
        <w:t>Imagine a family moving into a new home and comparing broadband options.  They are looking for straightforward answers:  How much will this service cost each month?  What speeds can I expect?  Are there additional fees? A broadband label should help them answer those questions quickly and confidently – not require them to navigate unnecessary complexity or decipher confusing disclosures.</w:t>
      </w:r>
    </w:p>
    <w:p w:rsidR="00CC2EE6" w:rsidRPr="00712B06" w:rsidP="00CC2EE6" w14:paraId="3EA862BE" w14:textId="77777777">
      <w:pPr>
        <w:spacing w:after="120"/>
        <w:ind w:firstLine="720"/>
        <w:rPr>
          <w:szCs w:val="22"/>
        </w:rPr>
      </w:pPr>
      <w:r w:rsidRPr="00712B06">
        <w:rPr>
          <w:szCs w:val="22"/>
        </w:rPr>
        <w:t>The record demonstrates that requiring providers to itemize every pass-through fee could create confusion rather than promote transparency.  Consumers overwhelmingly want confidence that they will not be surprised by a higher price than they anticipated.  Displaying</w:t>
      </w:r>
      <w:r w:rsidRPr="00712B06">
        <w:rPr>
          <w:szCs w:val="22"/>
        </w:rPr>
        <w:t xml:space="preserve"> </w:t>
      </w:r>
      <w:r w:rsidRPr="00712B06">
        <w:rPr>
          <w:szCs w:val="22"/>
        </w:rPr>
        <w:t>aggregate amounts of applicable pass-through fees accomplishes that objective while reducing complexity.</w:t>
      </w:r>
    </w:p>
    <w:p w:rsidR="00CC2EE6" w:rsidRPr="00712B06" w:rsidP="00CC2EE6" w14:paraId="5CE0E405" w14:textId="77777777">
      <w:pPr>
        <w:spacing w:after="120"/>
        <w:ind w:firstLine="720"/>
        <w:rPr>
          <w:szCs w:val="22"/>
        </w:rPr>
      </w:pPr>
      <w:r w:rsidRPr="00712B06">
        <w:rPr>
          <w:szCs w:val="22"/>
        </w:rPr>
        <w:t>Broadband labels must also be displayed in ways that reflect how consumers shop today.  Allowing providers to use links or icons to access broadband labels recognizes the realities of modern digital commerce, particularly on mobile devices.  The Commission has taken a similar approach elsewhere, including in the Cyber Trust Mark program, which relies on QR codes.  I also appreciate the item’s clarification that any links or icons used for this purpose must be clearly identified so consumers can easily locate the broadband label.</w:t>
      </w:r>
    </w:p>
    <w:p w:rsidR="00CC2EE6" w:rsidRPr="00712B06" w:rsidP="00CC2EE6" w14:paraId="3A987B38" w14:textId="77777777">
      <w:pPr>
        <w:spacing w:after="120"/>
        <w:ind w:firstLine="720"/>
        <w:rPr>
          <w:szCs w:val="22"/>
        </w:rPr>
      </w:pPr>
      <w:r w:rsidRPr="00712B06">
        <w:rPr>
          <w:szCs w:val="22"/>
        </w:rPr>
        <w:t>Finally, I want to acknowledge the importance of accessibility.  I appreciate that this item will enlist the help of the Consumer Protection and Accessibility Advisory Committee to examine those accessibility issues as part of its broader reviews of the usefulness of broadband labels in the future.  That approach will allow the Commission to benefit from stakeholder expertise and advice regarding how to account for technological advancements.</w:t>
      </w:r>
    </w:p>
    <w:p w:rsidR="00CC2EE6" w:rsidRPr="005577AD" w:rsidP="00CC2EE6" w14:paraId="06BBE04D" w14:textId="77777777">
      <w:pPr>
        <w:spacing w:after="120"/>
        <w:ind w:firstLine="720"/>
        <w:rPr>
          <w:szCs w:val="22"/>
        </w:rPr>
      </w:pPr>
      <w:r w:rsidRPr="00712B06">
        <w:rPr>
          <w:szCs w:val="22"/>
        </w:rPr>
        <w:t>I thank the Consumer and Governmental Affairs Bureau for their great work on this item</w:t>
      </w:r>
      <w:r>
        <w:rPr>
          <w:szCs w:val="22"/>
        </w:rPr>
        <w:t>.</w:t>
      </w:r>
    </w:p>
    <w:p w:rsidR="00CC2EE6" w:rsidRPr="005577AD" w:rsidP="00CC2EE6" w14:paraId="70988BFD" w14:textId="77777777">
      <w:pPr>
        <w:widowControl/>
        <w:ind w:firstLine="720"/>
        <w:rPr>
          <w:szCs w:val="22"/>
        </w:rPr>
      </w:pPr>
    </w:p>
    <w:p w:rsidR="00371E4D" w:rsidRPr="00BA73BC" w:rsidP="00371E4D" w14:paraId="38F49CD6" w14:textId="77777777">
      <w:pPr>
        <w:spacing w:after="120"/>
      </w:pPr>
    </w:p>
    <w:p w:rsidR="00412FC5" w:rsidRPr="00A50F9E" w:rsidP="00A50F9E" w14:paraId="702F6484" w14:textId="77777777"/>
    <w:sectPr w:rsidSect="00371E4D">
      <w:footnotePr>
        <w:numRestart w:val="eachSect"/>
      </w:footnotePr>
      <w:pgSz w:w="12240" w:h="15840"/>
      <w:pgMar w:top="1440" w:right="1440" w:bottom="1440" w:left="1440" w:header="720" w:footer="720" w:gutter="0"/>
      <w:cols w:space="720"/>
      <w:docGrid w:linePitch="360"/>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41181" w14:paraId="32D150EA" w14:textId="77777777">
      <w:pPr>
        <w:spacing w:line="20" w:lineRule="exact"/>
      </w:pPr>
    </w:p>
  </w:endnote>
  <w:endnote w:type="continuationSeparator" w:id="1">
    <w:p w:rsidR="00841181" w14:paraId="37E13B2F" w14:textId="77777777">
      <w:r>
        <w:t xml:space="preserve"> </w:t>
      </w:r>
    </w:p>
  </w:endnote>
  <w:endnote w:type="continuationNotice" w:id="2">
    <w:p w:rsidR="00841181" w14:paraId="1237EEB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arajita">
    <w:charset w:val="00"/>
    <w:family w:val="roman"/>
    <w:pitch w:val="variable"/>
    <w:sig w:usb0="00008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25C86" w:rsidP="00C138EC" w14:paraId="0555BB30"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25C86" w:rsidP="00816744" w14:paraId="73DEA868"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1C1D3880"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80D4DAF"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79E16D6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582F12CF" w14:textId="77777777">
    <w:pPr>
      <w:suppressAutoHyphens/>
      <w:spacing w:line="227" w:lineRule="auto"/>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5F510BF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41181" w14:paraId="372E5305" w14:textId="77777777">
      <w:r>
        <w:separator/>
      </w:r>
    </w:p>
  </w:footnote>
  <w:footnote w:type="continuationSeparator" w:id="1">
    <w:p w:rsidR="00841181" w:rsidP="00C721AC" w14:paraId="65D7B132" w14:textId="77777777">
      <w:pPr>
        <w:spacing w:before="120"/>
        <w:rPr>
          <w:sz w:val="20"/>
        </w:rPr>
      </w:pPr>
      <w:r>
        <w:rPr>
          <w:sz w:val="20"/>
        </w:rPr>
        <w:t xml:space="preserve">(Continued from previous page)  </w:t>
      </w:r>
      <w:r>
        <w:rPr>
          <w:sz w:val="20"/>
        </w:rPr>
        <w:separator/>
      </w:r>
    </w:p>
  </w:footnote>
  <w:footnote w:type="continuationNotice" w:id="2">
    <w:p w:rsidR="00841181" w:rsidP="00C721AC" w14:paraId="3B8A71E3" w14:textId="77777777">
      <w:pPr>
        <w:jc w:val="right"/>
        <w:rPr>
          <w:sz w:val="20"/>
        </w:rPr>
      </w:pPr>
      <w:r>
        <w:rPr>
          <w:sz w:val="20"/>
        </w:rPr>
        <w:t>(continued….)</w:t>
      </w:r>
    </w:p>
  </w:footnote>
  <w:footnote w:id="3">
    <w:p w:rsidR="00725C86" w:rsidP="00725C86" w14:paraId="0B4D9269" w14:textId="77777777">
      <w:pPr>
        <w:pStyle w:val="FootnoteText"/>
      </w:pPr>
      <w:r>
        <w:rPr>
          <w:rStyle w:val="FootnoteReference"/>
        </w:rPr>
        <w:footnoteRef/>
      </w:r>
      <w:r>
        <w:t xml:space="preserve"> We refer to “broadband Internet access service providers” as “ISPs” or “providers” in this Order.  The Infrastructure Investment and Jobs Act, Pub. L. No. 117-58, § 60504(a), 135 Stat. 429, 1244 (2021) (Infrastructure Act).  Section 60504 is codified at 47 U.S.C. § 1753.</w:t>
      </w:r>
    </w:p>
  </w:footnote>
  <w:footnote w:id="4">
    <w:p w:rsidR="00725C86" w:rsidP="00725C86" w14:paraId="39F67C18" w14:textId="77777777">
      <w:pPr>
        <w:pStyle w:val="FootnoteText"/>
      </w:pPr>
      <w:r>
        <w:rPr>
          <w:rStyle w:val="FootnoteReference"/>
        </w:rPr>
        <w:footnoteRef/>
      </w:r>
      <w:r>
        <w:t xml:space="preserve"> </w:t>
      </w:r>
      <w:r>
        <w:rPr>
          <w:i/>
          <w:iCs/>
        </w:rPr>
        <w:t>Empowering Broadband Consumers Through Transparency</w:t>
      </w:r>
      <w:r>
        <w:t xml:space="preserve">, CG Docket No. 22-2, Report and Order and Further Notice of Proposed Rulemaking, 37 FCC </w:t>
      </w:r>
      <w:r>
        <w:t>Rcd</w:t>
      </w:r>
      <w:r>
        <w:t xml:space="preserve"> 13686 (2022) (</w:t>
      </w:r>
      <w:r>
        <w:rPr>
          <w:i/>
          <w:iCs/>
        </w:rPr>
        <w:t>Broadband Label Order</w:t>
      </w:r>
      <w:r>
        <w:t>).  The rules are codified at 47 CFR § 8.1(a).</w:t>
      </w:r>
    </w:p>
  </w:footnote>
  <w:footnote w:id="5">
    <w:p w:rsidR="00725C86" w:rsidP="00725C86" w14:paraId="4003762B" w14:textId="77777777">
      <w:pPr>
        <w:pStyle w:val="FootnoteText"/>
      </w:pPr>
      <w:r>
        <w:rPr>
          <w:rStyle w:val="FootnoteReference"/>
        </w:rPr>
        <w:footnoteRef/>
      </w:r>
      <w:r>
        <w:t xml:space="preserve"> </w:t>
      </w:r>
      <w:r w:rsidRPr="008D2DED">
        <w:rPr>
          <w:i/>
          <w:iCs/>
        </w:rPr>
        <w:t>See</w:t>
      </w:r>
      <w:r>
        <w:rPr>
          <w:i/>
          <w:iCs/>
        </w:rPr>
        <w:t>, e.g.</w:t>
      </w:r>
      <w:r w:rsidRPr="00CA6560">
        <w:t>,</w:t>
      </w:r>
      <w:r w:rsidRPr="008D2DED">
        <w:t xml:space="preserve"> </w:t>
      </w:r>
      <w:r w:rsidRPr="008D2DED">
        <w:t>Breezeline</w:t>
      </w:r>
      <w:r w:rsidRPr="008D2DED">
        <w:t xml:space="preserve"> Comments at 5 (</w:t>
      </w:r>
      <w:r>
        <w:t xml:space="preserve">stating that, in </w:t>
      </w:r>
      <w:r>
        <w:t>Breezeline’s</w:t>
      </w:r>
      <w:r>
        <w:t xml:space="preserve"> experience, </w:t>
      </w:r>
      <w:r w:rsidRPr="00380A43">
        <w:t>the combination of service-specific promotional text with the broadband label</w:t>
      </w:r>
      <w:r w:rsidRPr="008D2DED">
        <w:t xml:space="preserve"> on </w:t>
      </w:r>
      <w:r w:rsidRPr="00380A43">
        <w:t xml:space="preserve">the initial </w:t>
      </w:r>
      <w:r w:rsidRPr="008D2DED">
        <w:t xml:space="preserve">marketing </w:t>
      </w:r>
      <w:r w:rsidRPr="00380A43">
        <w:t>page is overwhelming for many</w:t>
      </w:r>
      <w:r w:rsidRPr="008D2DED">
        <w:t xml:space="preserve"> customers and </w:t>
      </w:r>
      <w:r w:rsidRPr="00380A43">
        <w:t xml:space="preserve">often </w:t>
      </w:r>
      <w:r w:rsidRPr="008D2DED">
        <w:t>creates unnecessary confusion)</w:t>
      </w:r>
      <w:r>
        <w:t xml:space="preserve">; </w:t>
      </w:r>
      <w:r w:rsidRPr="009A39A0">
        <w:rPr>
          <w:i/>
        </w:rPr>
        <w:t>id</w:t>
      </w:r>
      <w:r>
        <w:t xml:space="preserve">. n.15 (citing </w:t>
      </w:r>
      <w:r w:rsidRPr="00FD3BD0">
        <w:t>Patience Haggin, Internet Plans Now Come With “Nutrition Labels.” No One Knows How to Read Them, The Wall Street Journal, Dec. 8, 2024</w:t>
      </w:r>
      <w:r>
        <w:t xml:space="preserve">), </w:t>
      </w:r>
      <w:r w:rsidRPr="00237119">
        <w:t>https://www.wsj.com/business/telecom/internet-broadband-plan-labels-793cc460</w:t>
      </w:r>
      <w:r>
        <w:t>.</w:t>
      </w:r>
      <w:r w:rsidRPr="00FD3BD0">
        <w:t xml:space="preserve">  </w:t>
      </w:r>
    </w:p>
  </w:footnote>
  <w:footnote w:id="6">
    <w:p w:rsidR="00725C86" w:rsidP="00725C86" w14:paraId="5FD9141B" w14:textId="77777777">
      <w:pPr>
        <w:pStyle w:val="FootnoteText"/>
      </w:pPr>
      <w:r>
        <w:rPr>
          <w:rStyle w:val="FootnoteReference"/>
        </w:rPr>
        <w:footnoteRef/>
      </w:r>
      <w:r>
        <w:t xml:space="preserve"> 47 U.S.C. § 1753</w:t>
      </w:r>
      <w:r>
        <w:rPr>
          <w:rFonts w:cs="Calibri"/>
        </w:rPr>
        <w:t>(a)</w:t>
      </w:r>
      <w:r>
        <w:t xml:space="preserve">.  </w:t>
      </w:r>
    </w:p>
  </w:footnote>
  <w:footnote w:id="7">
    <w:p w:rsidR="00725C86" w:rsidP="00725C86" w14:paraId="25E52A66" w14:textId="77777777">
      <w:pPr>
        <w:pStyle w:val="FootnoteText"/>
      </w:pPr>
      <w:r>
        <w:rPr>
          <w:rStyle w:val="FootnoteReference"/>
        </w:rPr>
        <w:footnoteRef/>
      </w:r>
      <w:r>
        <w:t xml:space="preserve"> </w:t>
      </w:r>
      <w:r>
        <w:rPr>
          <w:i/>
          <w:iCs/>
        </w:rPr>
        <w:t>Id.</w:t>
      </w:r>
      <w:r>
        <w:t xml:space="preserve"> </w:t>
      </w:r>
      <w:r>
        <w:rPr>
          <w:rFonts w:cs="Calibri"/>
        </w:rPr>
        <w:t>§ 1753(b)(1).</w:t>
      </w:r>
    </w:p>
  </w:footnote>
  <w:footnote w:id="8">
    <w:p w:rsidR="00725C86" w:rsidP="00725C86" w14:paraId="639855AE" w14:textId="77777777">
      <w:pPr>
        <w:pStyle w:val="FootnoteText"/>
      </w:pPr>
      <w:r>
        <w:rPr>
          <w:rStyle w:val="FootnoteReference"/>
        </w:rPr>
        <w:footnoteRef/>
      </w:r>
      <w:r>
        <w:t xml:space="preserve"> </w:t>
      </w:r>
      <w:r>
        <w:rPr>
          <w:i/>
          <w:iCs/>
        </w:rPr>
        <w:t>See generally Broadband Label Order</w:t>
      </w:r>
      <w:r>
        <w:t>; 47 CFR § 8.1(a)(1) fig. 1, (4).</w:t>
      </w:r>
    </w:p>
  </w:footnote>
  <w:footnote w:id="9">
    <w:p w:rsidR="00725C86" w:rsidP="00725C86" w14:paraId="661BF11D" w14:textId="77777777">
      <w:pPr>
        <w:pStyle w:val="FootnoteText"/>
      </w:pPr>
      <w:r>
        <w:rPr>
          <w:rStyle w:val="FootnoteReference"/>
        </w:rPr>
        <w:footnoteRef/>
      </w:r>
      <w:r>
        <w:t xml:space="preserve"> As part of this requirement, the Commission also required ISPs to provide the information in any label separately in a spreadsheet file format on provider websites via a dedicated URL that contains all of their labels.  </w:t>
      </w:r>
      <w:r>
        <w:rPr>
          <w:i/>
          <w:iCs/>
        </w:rPr>
        <w:t>Broadband Label Order</w:t>
      </w:r>
      <w:r>
        <w:t xml:space="preserve">, 37 FCC </w:t>
      </w:r>
      <w:r>
        <w:t>Rcd</w:t>
      </w:r>
      <w:r>
        <w:t xml:space="preserve"> at 13707, para. 68.  </w:t>
      </w:r>
    </w:p>
  </w:footnote>
  <w:footnote w:id="10">
    <w:p w:rsidR="00725C86" w:rsidP="00725C86" w14:paraId="58FDDDDE" w14:textId="77777777">
      <w:pPr>
        <w:pStyle w:val="FootnoteText"/>
      </w:pPr>
      <w:r>
        <w:rPr>
          <w:rStyle w:val="FootnoteReference"/>
        </w:rPr>
        <w:footnoteRef/>
      </w:r>
      <w:r>
        <w:t xml:space="preserve"> </w:t>
      </w:r>
      <w:r>
        <w:rPr>
          <w:i/>
        </w:rPr>
        <w:t>See generally Broadband Label Order</w:t>
      </w:r>
      <w:r>
        <w:t>; 47 CFR § 8.1(a)(3), (5).</w:t>
      </w:r>
    </w:p>
  </w:footnote>
  <w:footnote w:id="11">
    <w:p w:rsidR="00725C86" w:rsidP="00725C86" w14:paraId="1E3582EA" w14:textId="77777777">
      <w:pPr>
        <w:pStyle w:val="FootnoteText"/>
      </w:pPr>
      <w:r>
        <w:rPr>
          <w:rStyle w:val="FootnoteReference"/>
        </w:rPr>
        <w:footnoteRef/>
      </w:r>
      <w:r>
        <w:t xml:space="preserve"> </w:t>
      </w:r>
      <w:r>
        <w:rPr>
          <w:i/>
          <w:iCs/>
        </w:rPr>
        <w:t>Broadband Label Order</w:t>
      </w:r>
      <w:r>
        <w:t xml:space="preserve">, 37 FCC </w:t>
      </w:r>
      <w:r>
        <w:t>Rcd</w:t>
      </w:r>
      <w:r>
        <w:t xml:space="preserve"> at 13692, para. 16; </w:t>
      </w:r>
      <w:r>
        <w:rPr>
          <w:i/>
          <w:iCs/>
        </w:rPr>
        <w:t>id</w:t>
      </w:r>
      <w:r>
        <w:t xml:space="preserve">. at 13696, para. 31.  The label rule applies to plans offering “broadband Internet access service,” which our rules define as “a mass-market retail service by wire or radio that provides the capability to transmit data to and receive data from all or substantially all internet endpoints, including any capabilities that are incidental to and enable the operation of the communications service, but excluding dial-up internet access service.”  </w:t>
      </w:r>
      <w:r>
        <w:rPr>
          <w:i/>
          <w:iCs/>
        </w:rPr>
        <w:t>See</w:t>
      </w:r>
      <w:r>
        <w:t xml:space="preserve"> 47 CFR § 8.1(b); 47 U.S.C. §§ 1751(1) (citing 47 CFR § 8.1(b)), 1753(a).  The label requirement does not apply to enterprise service offerings or special access services because they are not mass-market retail services.  </w:t>
      </w:r>
      <w:r>
        <w:rPr>
          <w:i/>
          <w:iCs/>
        </w:rPr>
        <w:t>Broadband Label Order</w:t>
      </w:r>
      <w:r>
        <w:t xml:space="preserve">, 37 FCC </w:t>
      </w:r>
      <w:r>
        <w:t>Rcd</w:t>
      </w:r>
      <w:r>
        <w:t xml:space="preserve"> at 13692, para. 17.  In addition, the label requirement does not apply to bundled services, e.g., plans bundling voice and broadband internet access services.  </w:t>
      </w:r>
      <w:r>
        <w:rPr>
          <w:i/>
          <w:iCs/>
        </w:rPr>
        <w:t xml:space="preserve">Id. </w:t>
      </w:r>
      <w:r>
        <w:t xml:space="preserve">at 13696, para. 31.  Entities such as coffee shops, bookstores, airlines, and private end-user networks (e.g., libraries and universities), and other entities that acquire broadband Internet access service from an ISP to enable patrons to access the Internet from their establishments need not to display labels, unless they offer service to patrons as a mass-market retail service.  </w:t>
      </w:r>
      <w:r>
        <w:rPr>
          <w:i/>
          <w:iCs/>
        </w:rPr>
        <w:t xml:space="preserve">Id. </w:t>
      </w:r>
      <w:r>
        <w:t>at 13693, para. 20.</w:t>
      </w:r>
    </w:p>
  </w:footnote>
  <w:footnote w:id="12">
    <w:p w:rsidR="00725C86" w:rsidP="00725C86" w14:paraId="05EC08C1" w14:textId="77777777">
      <w:pPr>
        <w:pStyle w:val="FootnoteText"/>
      </w:pPr>
      <w:r>
        <w:rPr>
          <w:rStyle w:val="FootnoteReference"/>
        </w:rPr>
        <w:footnoteRef/>
      </w:r>
      <w:r>
        <w:t xml:space="preserve"> </w:t>
      </w:r>
      <w:r>
        <w:rPr>
          <w:i/>
          <w:iCs/>
        </w:rPr>
        <w:t xml:space="preserve">Id. </w:t>
      </w:r>
      <w:r>
        <w:t xml:space="preserve">at 13727-33, paras. 131-52.  We refer to the first Further Notice of Proposed Rulemaking that accompanied the </w:t>
      </w:r>
      <w:r>
        <w:rPr>
          <w:i/>
        </w:rPr>
        <w:t>Broadband Label Order</w:t>
      </w:r>
      <w:r>
        <w:t xml:space="preserve"> as the </w:t>
      </w:r>
      <w:r>
        <w:rPr>
          <w:i/>
        </w:rPr>
        <w:t>First Further Notice</w:t>
      </w:r>
      <w:r>
        <w:t xml:space="preserve">.  </w:t>
      </w:r>
    </w:p>
  </w:footnote>
  <w:footnote w:id="13">
    <w:p w:rsidR="00725C86" w:rsidP="00725C86" w14:paraId="4B187B00" w14:textId="77777777">
      <w:pPr>
        <w:pStyle w:val="FootnoteText"/>
      </w:pPr>
      <w:r>
        <w:rPr>
          <w:rStyle w:val="FootnoteReference"/>
        </w:rPr>
        <w:footnoteRef/>
      </w:r>
      <w:r>
        <w:t xml:space="preserve"> </w:t>
      </w:r>
      <w:r>
        <w:rPr>
          <w:i/>
          <w:color w:val="000000"/>
        </w:rPr>
        <w:t>Empowering Broadband Consumers Through Transparency</w:t>
      </w:r>
      <w:r>
        <w:rPr>
          <w:color w:val="000000"/>
        </w:rPr>
        <w:t xml:space="preserve">, </w:t>
      </w:r>
      <w:r>
        <w:rPr>
          <w:snapToGrid w:val="0"/>
        </w:rPr>
        <w:t xml:space="preserve">CG Docket No. 22-2, </w:t>
      </w:r>
      <w:r w:rsidRPr="00816744">
        <w:t>Order on Reconsideration</w:t>
      </w:r>
      <w:r>
        <w:rPr>
          <w:snapToGrid w:val="0"/>
        </w:rPr>
        <w:t xml:space="preserve">, 38 FCC </w:t>
      </w:r>
      <w:r>
        <w:rPr>
          <w:snapToGrid w:val="0"/>
        </w:rPr>
        <w:t>Rcd</w:t>
      </w:r>
      <w:r>
        <w:rPr>
          <w:snapToGrid w:val="0"/>
        </w:rPr>
        <w:t xml:space="preserve"> 8238 (2023) (</w:t>
      </w:r>
      <w:r>
        <w:rPr>
          <w:i/>
          <w:snapToGrid w:val="0"/>
        </w:rPr>
        <w:t>Broadband Label Reconsideration Order</w:t>
      </w:r>
      <w:r>
        <w:rPr>
          <w:snapToGrid w:val="0"/>
        </w:rPr>
        <w:t xml:space="preserve">).  </w:t>
      </w:r>
    </w:p>
  </w:footnote>
  <w:footnote w:id="14">
    <w:p w:rsidR="00725C86" w:rsidP="00725C86" w14:paraId="05339342" w14:textId="77777777">
      <w:pPr>
        <w:pStyle w:val="FootnoteText"/>
      </w:pPr>
      <w:r>
        <w:rPr>
          <w:rStyle w:val="FootnoteReference"/>
        </w:rPr>
        <w:footnoteRef/>
      </w:r>
      <w:r>
        <w:t xml:space="preserve"> </w:t>
      </w:r>
      <w:r>
        <w:rPr>
          <w:i/>
          <w:iCs/>
        </w:rPr>
        <w:t xml:space="preserve">Id. </w:t>
      </w:r>
      <w:r>
        <w:t>at 8241-42, paras. 12-19.</w:t>
      </w:r>
    </w:p>
  </w:footnote>
  <w:footnote w:id="15">
    <w:p w:rsidR="00725C86" w:rsidP="00725C86" w14:paraId="26A4FFCE" w14:textId="77777777">
      <w:pPr>
        <w:pStyle w:val="FootnoteText"/>
      </w:pPr>
      <w:r>
        <w:rPr>
          <w:rStyle w:val="FootnoteReference"/>
        </w:rPr>
        <w:footnoteRef/>
      </w:r>
      <w:r>
        <w:t xml:space="preserve"> </w:t>
      </w:r>
      <w:r>
        <w:rPr>
          <w:i/>
        </w:rPr>
        <w:t>Consumer and Governmental Affairs Bureau Announces Compliance Dates of April 10, 2024 and October 10, 2024 for Broadband Label Rules</w:t>
      </w:r>
      <w:r>
        <w:t xml:space="preserve">, CG Docket No. 22-2, GN Docket No. 25-133, Public Notice, 38 FCC </w:t>
      </w:r>
      <w:r>
        <w:t>Rcd</w:t>
      </w:r>
      <w:r>
        <w:t xml:space="preserve"> 9341 (CGB 2023).</w:t>
      </w:r>
    </w:p>
  </w:footnote>
  <w:footnote w:id="16">
    <w:p w:rsidR="00725C86" w:rsidP="00725C86" w14:paraId="22F6377D" w14:textId="77777777">
      <w:pPr>
        <w:pStyle w:val="FootnoteText"/>
      </w:pPr>
      <w:r>
        <w:rPr>
          <w:rStyle w:val="FootnoteReference"/>
        </w:rPr>
        <w:footnoteRef/>
      </w:r>
      <w:r>
        <w:t xml:space="preserve"> </w:t>
      </w:r>
      <w:r>
        <w:rPr>
          <w:i/>
        </w:rPr>
        <w:t>Id</w:t>
      </w:r>
      <w:r>
        <w:t>.</w:t>
      </w:r>
    </w:p>
  </w:footnote>
  <w:footnote w:id="17">
    <w:p w:rsidR="00725C86" w:rsidP="00725C86" w14:paraId="5ABB6BFC" w14:textId="77777777">
      <w:pPr>
        <w:pStyle w:val="FootnoteText"/>
      </w:pPr>
      <w:r>
        <w:rPr>
          <w:rStyle w:val="FootnoteReference"/>
        </w:rPr>
        <w:footnoteRef/>
      </w:r>
      <w:r>
        <w:t xml:space="preserve"> </w:t>
      </w:r>
      <w:r>
        <w:rPr>
          <w:rStyle w:val="Emphasis"/>
        </w:rPr>
        <w:t>Empowering Broadband Consumers Through Transparency</w:t>
      </w:r>
      <w:r>
        <w:t xml:space="preserve">, CG Docket No. 22-2, GN Docket No. 25-133, </w:t>
      </w:r>
      <w:r w:rsidRPr="002F30C0">
        <w:rPr>
          <w:i/>
          <w:iCs/>
        </w:rPr>
        <w:t>Second Notice of Proposed Rulemaking and Further Notice of Proposed Rulemaking</w:t>
      </w:r>
      <w:r>
        <w:t xml:space="preserve">, 40 FCC </w:t>
      </w:r>
      <w:r>
        <w:t>Rcd</w:t>
      </w:r>
      <w:r>
        <w:t xml:space="preserve"> 8614 (2025) (</w:t>
      </w:r>
      <w:r w:rsidRPr="00785B5F">
        <w:rPr>
          <w:i/>
          <w:iCs/>
        </w:rPr>
        <w:t>Second Further Notice</w:t>
      </w:r>
      <w:r>
        <w:t xml:space="preserve">).  In </w:t>
      </w:r>
      <w:r w:rsidRPr="00995513">
        <w:t xml:space="preserve">response to the recent </w:t>
      </w:r>
      <w:r w:rsidRPr="005111B8">
        <w:rPr>
          <w:i/>
        </w:rPr>
        <w:t>Delete, Delete, Delete Public Notice</w:t>
      </w:r>
      <w:r w:rsidRPr="00995513">
        <w:t>, parties suggested that the Commission eliminate several label requirements because they are burdensome, are not mandated by the Infrastructure Act, and/or provide minimal consumer benefit.</w:t>
      </w:r>
      <w:r>
        <w:t xml:space="preserve"> </w:t>
      </w:r>
      <w:r w:rsidRPr="00CC259D">
        <w:rPr>
          <w:i/>
          <w:iCs/>
        </w:rPr>
        <w:t xml:space="preserve"> </w:t>
      </w:r>
      <w:r w:rsidRPr="00F817EF">
        <w:rPr>
          <w:i/>
          <w:iCs/>
        </w:rPr>
        <w:t>See, e.g</w:t>
      </w:r>
      <w:r w:rsidRPr="00F817EF">
        <w:t>., Block</w:t>
      </w:r>
      <w:r>
        <w:t xml:space="preserve"> Communications, Inc. Comments, GN Docket No. 25-133, </w:t>
      </w:r>
      <w:r w:rsidRPr="00F817EF">
        <w:t>at 12</w:t>
      </w:r>
      <w:r>
        <w:t>-</w:t>
      </w:r>
      <w:r w:rsidRPr="00F817EF">
        <w:t>13</w:t>
      </w:r>
      <w:r>
        <w:t xml:space="preserve"> (Apr. 11, 2025)</w:t>
      </w:r>
      <w:r w:rsidRPr="00F817EF">
        <w:t xml:space="preserve">; </w:t>
      </w:r>
      <w:r>
        <w:t xml:space="preserve">Taxpayers Protection Alliance Comments, GN Docket No. 25-133, </w:t>
      </w:r>
      <w:r w:rsidRPr="00F817EF">
        <w:t>at 2</w:t>
      </w:r>
      <w:r>
        <w:t xml:space="preserve"> (Apr. 11, 2025) </w:t>
      </w:r>
      <w:r w:rsidRPr="00F817EF">
        <w:t>(</w:t>
      </w:r>
      <w:r>
        <w:t xml:space="preserve">stating that </w:t>
      </w:r>
      <w:r w:rsidRPr="00F817EF">
        <w:t xml:space="preserve">the labels </w:t>
      </w:r>
      <w:r>
        <w:t xml:space="preserve">provide information that is too technical for many consumers to find practical and </w:t>
      </w:r>
      <w:r w:rsidRPr="00F817EF">
        <w:t>focus on cost at</w:t>
      </w:r>
      <w:r>
        <w:t xml:space="preserve"> </w:t>
      </w:r>
      <w:r w:rsidRPr="00F817EF">
        <w:t xml:space="preserve">the expense of reliability); </w:t>
      </w:r>
      <w:r>
        <w:t>Competitive Carriers Association Reply, GN Docket No. 25-133,</w:t>
      </w:r>
      <w:r w:rsidRPr="00016F2A">
        <w:t xml:space="preserve"> </w:t>
      </w:r>
      <w:r>
        <w:t>at</w:t>
      </w:r>
      <w:r w:rsidRPr="00F817EF">
        <w:t xml:space="preserve"> 5</w:t>
      </w:r>
      <w:r>
        <w:t xml:space="preserve"> (Apr. 28, 2025)</w:t>
      </w:r>
      <w:r w:rsidRPr="00F817EF">
        <w:t xml:space="preserve">; </w:t>
      </w:r>
      <w:r>
        <w:t xml:space="preserve">U.S. Chamber of Commerce Reply, GN Docket No 25-133, </w:t>
      </w:r>
      <w:r w:rsidRPr="00F817EF">
        <w:t xml:space="preserve">at </w:t>
      </w:r>
      <w:r>
        <w:t>2-3 (Apr. 28, 2025)</w:t>
      </w:r>
      <w:r w:rsidRPr="00F817EF">
        <w:t>; CTIA</w:t>
      </w:r>
      <w:r>
        <w:t>—The Wireless Association Reply, GN Docket No. 25-133,</w:t>
      </w:r>
      <w:r w:rsidRPr="00016F2A">
        <w:t xml:space="preserve"> </w:t>
      </w:r>
      <w:r w:rsidRPr="00F817EF">
        <w:t>at 3</w:t>
      </w:r>
      <w:r>
        <w:t xml:space="preserve"> (Apr. 28, 2025)</w:t>
      </w:r>
      <w:r w:rsidRPr="00F817EF">
        <w:t xml:space="preserve"> </w:t>
      </w:r>
      <w:r>
        <w:t>(CTIA Delete Reply)</w:t>
      </w:r>
      <w:r w:rsidRPr="00F817EF">
        <w:t>; WISPA</w:t>
      </w:r>
      <w:r>
        <w:t xml:space="preserve">—The Association for Broadband Without Boundaries Reply, GN Docket No. 25-133, </w:t>
      </w:r>
      <w:r w:rsidRPr="00F817EF">
        <w:t xml:space="preserve">at </w:t>
      </w:r>
      <w:r>
        <w:t>2-</w:t>
      </w:r>
      <w:r w:rsidRPr="00F817EF">
        <w:t>3</w:t>
      </w:r>
      <w:r>
        <w:t xml:space="preserve"> (Apr. 28, 2025)</w:t>
      </w:r>
      <w:r w:rsidRPr="00F817EF">
        <w:t xml:space="preserve"> </w:t>
      </w:r>
      <w:r>
        <w:t xml:space="preserve">(WISPA Delete Reply).  </w:t>
      </w:r>
      <w:r w:rsidRPr="00F817EF">
        <w:t xml:space="preserve">Commenters observe that some of the broadband label rules may exceed the </w:t>
      </w:r>
      <w:r>
        <w:t xml:space="preserve">Commission’s </w:t>
      </w:r>
      <w:r w:rsidRPr="00F817EF">
        <w:t xml:space="preserve">mandate in the Infrastructure Act, and for that reason </w:t>
      </w:r>
      <w:r>
        <w:t xml:space="preserve">argue that </w:t>
      </w:r>
      <w:r w:rsidRPr="00F817EF">
        <w:t>we should revise the rules</w:t>
      </w:r>
      <w:r>
        <w:t xml:space="preserve">.  </w:t>
      </w:r>
      <w:r w:rsidRPr="00F817EF">
        <w:rPr>
          <w:i/>
          <w:iCs/>
        </w:rPr>
        <w:t>See, e.g</w:t>
      </w:r>
      <w:r w:rsidRPr="00F817EF">
        <w:t>., International Center for Law &amp; Economics Comments</w:t>
      </w:r>
      <w:r>
        <w:t>, GN Docket No. 25-133,</w:t>
      </w:r>
      <w:r w:rsidRPr="003016D5">
        <w:t xml:space="preserve"> </w:t>
      </w:r>
      <w:r w:rsidRPr="00F817EF">
        <w:t>at 18</w:t>
      </w:r>
      <w:r>
        <w:t xml:space="preserve"> (Apr. 11, 2025)</w:t>
      </w:r>
      <w:r w:rsidRPr="00F817EF">
        <w:t xml:space="preserve">; Free State </w:t>
      </w:r>
      <w:r>
        <w:t xml:space="preserve">Foundation </w:t>
      </w:r>
      <w:r w:rsidRPr="00F817EF">
        <w:t>Reply</w:t>
      </w:r>
      <w:r>
        <w:t>, GN Docket No. 25-133,</w:t>
      </w:r>
      <w:r w:rsidRPr="003016D5">
        <w:t xml:space="preserve"> </w:t>
      </w:r>
      <w:r w:rsidRPr="00F817EF">
        <w:t>at 9</w:t>
      </w:r>
      <w:r>
        <w:t xml:space="preserve"> (Apr. 28, 2025).  O</w:t>
      </w:r>
      <w:r w:rsidRPr="00F817EF">
        <w:t xml:space="preserve">ther </w:t>
      </w:r>
      <w:r w:rsidRPr="007B341A">
        <w:rPr>
          <w:i/>
          <w:iCs/>
        </w:rPr>
        <w:t>Delete, Delete, Delete Public Notice</w:t>
      </w:r>
      <w:r w:rsidRPr="00F817EF">
        <w:t xml:space="preserve"> commenters </w:t>
      </w:r>
      <w:r>
        <w:t xml:space="preserve">support the broadband label rules and </w:t>
      </w:r>
      <w:r w:rsidRPr="00F817EF">
        <w:t>oppose these positions</w:t>
      </w:r>
      <w:r>
        <w:t xml:space="preserve">.  </w:t>
      </w:r>
      <w:r w:rsidRPr="00F817EF">
        <w:rPr>
          <w:i/>
          <w:iCs/>
        </w:rPr>
        <w:t>See, e.g</w:t>
      </w:r>
      <w:r w:rsidRPr="00F817EF">
        <w:t xml:space="preserve">., </w:t>
      </w:r>
      <w:r>
        <w:t xml:space="preserve">City of </w:t>
      </w:r>
      <w:r w:rsidRPr="00F817EF">
        <w:t>San José Reply</w:t>
      </w:r>
      <w:r>
        <w:t xml:space="preserve">, GN Docket No. 25-133, </w:t>
      </w:r>
      <w:r w:rsidRPr="00F817EF">
        <w:t>at 3</w:t>
      </w:r>
      <w:r>
        <w:t>-</w:t>
      </w:r>
      <w:r w:rsidRPr="00F817EF">
        <w:t>4</w:t>
      </w:r>
      <w:r>
        <w:t xml:space="preserve"> (Apr. 28, 2025)</w:t>
      </w:r>
      <w:r w:rsidRPr="00F817EF">
        <w:t>; Local Government Commen</w:t>
      </w:r>
      <w:r>
        <w:t>t</w:t>
      </w:r>
      <w:r w:rsidRPr="00F817EF">
        <w:t>ers</w:t>
      </w:r>
      <w:r>
        <w:t xml:space="preserve">, Anne Arundel County, MD </w:t>
      </w:r>
      <w:r w:rsidRPr="00312449">
        <w:rPr>
          <w:i/>
          <w:iCs/>
        </w:rPr>
        <w:t>et al</w:t>
      </w:r>
      <w:r>
        <w:t>. Reply, GN Docket No. 25-133,</w:t>
      </w:r>
      <w:r w:rsidRPr="00E33CF4">
        <w:t xml:space="preserve"> </w:t>
      </w:r>
      <w:r w:rsidRPr="00F817EF">
        <w:t>at 24</w:t>
      </w:r>
      <w:r>
        <w:t>-</w:t>
      </w:r>
      <w:r w:rsidRPr="00F817EF">
        <w:t xml:space="preserve">25 </w:t>
      </w:r>
      <w:r>
        <w:t>(Apr. 28, 2025) (Local Government Delete Reply)</w:t>
      </w:r>
      <w:r w:rsidRPr="00F817EF">
        <w:t>; Public Interest Joint Commenters</w:t>
      </w:r>
      <w:r>
        <w:t xml:space="preserve">, Access Humboldt, </w:t>
      </w:r>
      <w:r w:rsidRPr="00312449">
        <w:rPr>
          <w:i/>
          <w:iCs/>
        </w:rPr>
        <w:t>et al</w:t>
      </w:r>
      <w:r>
        <w:t>. Reply, GN Docket No. 25-133,</w:t>
      </w:r>
      <w:r w:rsidRPr="00900A74">
        <w:t xml:space="preserve"> </w:t>
      </w:r>
      <w:r w:rsidRPr="00F817EF">
        <w:t>at 4</w:t>
      </w:r>
      <w:r>
        <w:t xml:space="preserve"> (Apr. 28, 2025)</w:t>
      </w:r>
      <w:r w:rsidRPr="00F817EF">
        <w:t xml:space="preserve"> </w:t>
      </w:r>
      <w:r>
        <w:t>(Public Interest Delete Reply)</w:t>
      </w:r>
      <w:r w:rsidRPr="00F817EF">
        <w:t>; New York</w:t>
      </w:r>
      <w:r>
        <w:t xml:space="preserve"> State Department of Public Service</w:t>
      </w:r>
      <w:r w:rsidRPr="00F817EF">
        <w:t xml:space="preserve"> Reply</w:t>
      </w:r>
      <w:r>
        <w:t xml:space="preserve">, GN Docket No. 25-133, </w:t>
      </w:r>
      <w:r w:rsidRPr="00F817EF">
        <w:t>at 2</w:t>
      </w:r>
      <w:r>
        <w:t xml:space="preserve"> (Apr. 28, 2025)</w:t>
      </w:r>
      <w:r w:rsidRPr="00F817EF">
        <w:t xml:space="preserve"> </w:t>
      </w:r>
      <w:r>
        <w:t>(New York Delete Reply)</w:t>
      </w:r>
      <w:r w:rsidRPr="00F817EF">
        <w:t xml:space="preserve">; </w:t>
      </w:r>
      <w:r>
        <w:t>National Association of State Utility Consumer Advocates</w:t>
      </w:r>
      <w:r w:rsidRPr="00F817EF">
        <w:t xml:space="preserve"> Reply</w:t>
      </w:r>
      <w:r>
        <w:t>, GN Docket No. 25-133,</w:t>
      </w:r>
      <w:r w:rsidRPr="00900A74">
        <w:t xml:space="preserve"> </w:t>
      </w:r>
      <w:r w:rsidRPr="00F817EF">
        <w:t>at 2</w:t>
      </w:r>
      <w:r>
        <w:t xml:space="preserve"> (Apr. 28, 2025)</w:t>
      </w:r>
      <w:r w:rsidRPr="00F817EF">
        <w:t xml:space="preserve"> </w:t>
      </w:r>
      <w:r>
        <w:t>(NASUCA Delete Reply)</w:t>
      </w:r>
      <w:r w:rsidRPr="00F817EF">
        <w:t>; Free Press Reply</w:t>
      </w:r>
      <w:r>
        <w:t xml:space="preserve">, GN Docket No. 25-133, </w:t>
      </w:r>
      <w:r w:rsidRPr="00F817EF">
        <w:t>at 2</w:t>
      </w:r>
      <w:r>
        <w:t>-</w:t>
      </w:r>
      <w:r w:rsidRPr="00F817EF">
        <w:t>3</w:t>
      </w:r>
      <w:r>
        <w:t xml:space="preserve"> (Apr. 28, 2025).</w:t>
      </w:r>
    </w:p>
  </w:footnote>
  <w:footnote w:id="18">
    <w:p w:rsidR="00725C86" w:rsidP="00725C86" w14:paraId="632A7784" w14:textId="77777777">
      <w:pPr>
        <w:pStyle w:val="FootnoteText"/>
      </w:pPr>
      <w:r>
        <w:rPr>
          <w:rStyle w:val="FootnoteReference"/>
        </w:rPr>
        <w:footnoteRef/>
      </w:r>
      <w:r>
        <w:t xml:space="preserve"> </w:t>
      </w:r>
      <w:r w:rsidRPr="000753A2">
        <w:rPr>
          <w:i/>
          <w:iCs/>
        </w:rPr>
        <w:t>Second Further Notice</w:t>
      </w:r>
      <w:r w:rsidRPr="00A91CF7">
        <w:t xml:space="preserve">, </w:t>
      </w:r>
      <w:r>
        <w:t xml:space="preserve">40 FCC </w:t>
      </w:r>
      <w:r>
        <w:t>Rcd</w:t>
      </w:r>
      <w:r>
        <w:t xml:space="preserve"> at 8623, paras. 27-29.</w:t>
      </w:r>
    </w:p>
  </w:footnote>
  <w:footnote w:id="19">
    <w:p w:rsidR="00725C86" w:rsidP="00725C86" w14:paraId="6F37DC0A" w14:textId="77777777">
      <w:pPr>
        <w:pStyle w:val="FootnoteText"/>
      </w:pPr>
      <w:r>
        <w:rPr>
          <w:rStyle w:val="FootnoteReference"/>
        </w:rPr>
        <w:footnoteRef/>
      </w:r>
      <w:r>
        <w:t xml:space="preserve"> </w:t>
      </w:r>
      <w:r>
        <w:rPr>
          <w:i/>
          <w:iCs/>
        </w:rPr>
        <w:t>See infra</w:t>
      </w:r>
      <w:r>
        <w:t xml:space="preserve"> Appendix C.  The comments and reply comments are cited herein, respectively, as “[Name of Filer] Comments” and “[Name of Filer] Reply.”</w:t>
      </w:r>
    </w:p>
  </w:footnote>
  <w:footnote w:id="20">
    <w:p w:rsidR="00725C86" w:rsidP="00725C86" w14:paraId="4D016AB6" w14:textId="77777777">
      <w:pPr>
        <w:pStyle w:val="FootnoteText"/>
      </w:pPr>
      <w:r>
        <w:rPr>
          <w:rStyle w:val="FootnoteReference"/>
        </w:rPr>
        <w:footnoteRef/>
      </w:r>
      <w:r>
        <w:t xml:space="preserve"> Comments indicate that </w:t>
      </w:r>
      <w:r>
        <w:rPr>
          <w:rFonts w:cs="Calibri"/>
        </w:rPr>
        <w:t xml:space="preserve">telephone calls remain a preferred channel for significant segments of the population, including older adults, lower-income households, and consumers with limited digital literacy, who warrant particular attention to ensure they are not left without meaningful access to label information.  </w:t>
      </w:r>
      <w:r>
        <w:rPr>
          <w:rFonts w:cs="Calibri"/>
          <w:i/>
          <w:iCs/>
        </w:rPr>
        <w:t>See, e.g.</w:t>
      </w:r>
      <w:r>
        <w:t>,</w:t>
      </w:r>
      <w:r>
        <w:rPr>
          <w:rFonts w:cs="Calibri"/>
          <w:i/>
          <w:iCs/>
        </w:rPr>
        <w:t xml:space="preserve"> </w:t>
      </w:r>
      <w:r>
        <w:t>AARP Comments at 7-10; The Utility Reform Network Comments at 4-5 (TURN Comments).</w:t>
      </w:r>
    </w:p>
  </w:footnote>
  <w:footnote w:id="21">
    <w:p w:rsidR="00725C86" w:rsidP="00725C86" w14:paraId="4A67A45B" w14:textId="77777777">
      <w:pPr>
        <w:pStyle w:val="FootnoteText"/>
      </w:pPr>
      <w:r>
        <w:rPr>
          <w:rStyle w:val="FootnoteReference"/>
        </w:rPr>
        <w:footnoteRef/>
      </w:r>
      <w:r>
        <w:t xml:space="preserve"> </w:t>
      </w:r>
      <w:r>
        <w:rPr>
          <w:i/>
          <w:iCs/>
        </w:rPr>
        <w:t xml:space="preserve">See </w:t>
      </w:r>
      <w:r>
        <w:t>Breezeline</w:t>
      </w:r>
      <w:r>
        <w:t xml:space="preserve"> Comments at 2; ICLE at 9-10; ACA Connects Comments at 8-9;</w:t>
      </w:r>
      <w:r>
        <w:rPr>
          <w:snapToGrid w:val="0"/>
          <w:color w:val="212529"/>
          <w:kern w:val="28"/>
          <w:shd w:val="clear" w:color="auto" w:fill="FFFFFF"/>
        </w:rPr>
        <w:t xml:space="preserve"> CTIA Comments at 8; </w:t>
      </w:r>
      <w:r>
        <w:t>WISPA Comments at 5-6; NCTA Reply at 2-3 ;</w:t>
      </w:r>
      <w:r>
        <w:rPr>
          <w:snapToGrid w:val="0"/>
          <w:kern w:val="28"/>
          <w:sz w:val="22"/>
        </w:rPr>
        <w:t xml:space="preserve"> </w:t>
      </w:r>
      <w:r>
        <w:t xml:space="preserve">NTCA Reply at 3-4. </w:t>
      </w:r>
    </w:p>
  </w:footnote>
  <w:footnote w:id="22">
    <w:p w:rsidR="00725C86" w:rsidP="00725C86" w14:paraId="0519018B" w14:textId="77777777">
      <w:pPr>
        <w:pStyle w:val="FootnoteText"/>
      </w:pPr>
      <w:r>
        <w:rPr>
          <w:rStyle w:val="FootnoteReference"/>
        </w:rPr>
        <w:footnoteRef/>
      </w:r>
      <w:r>
        <w:t xml:space="preserve"> The required oral disclosure fields reflect the information consumers most need to evaluate cost and service quality in real time during a telephone sales interaction: monthly price (including fees) tells consumers what they will pay and prevents bill shock; introductory rate and duration flag temporary pricing; typical speeds, latency, and data allowance describe service performance; and contract term and early termination fees disclose commitment and exit costs.  These fields collectively enable a consumer to make a meaningful purchase decision during a time-limited phone call without bombarding a consumer with more detailed information that can be accessed on a provider’s website.  </w:t>
      </w:r>
      <w:r>
        <w:rPr>
          <w:i/>
          <w:iCs/>
        </w:rPr>
        <w:t>See, e.g</w:t>
      </w:r>
      <w:r>
        <w:t>., AARP Comments at 4 (emphasizing the importance of “clear, comprehensive, and accurate information” for consumers shopping for broadband); TURN Comments at 4 (stating the labels were created “to provide clear, easy-to-understand, and accurate information”).</w:t>
      </w:r>
    </w:p>
  </w:footnote>
  <w:footnote w:id="23">
    <w:p w:rsidR="00725C86" w:rsidP="00725C86" w14:paraId="2B5CD3BD" w14:textId="77777777">
      <w:pPr>
        <w:pStyle w:val="FootnoteText"/>
      </w:pPr>
      <w:r>
        <w:rPr>
          <w:rStyle w:val="FootnoteReference"/>
        </w:rPr>
        <w:footnoteRef/>
      </w:r>
      <w:r>
        <w:t xml:space="preserve"> </w:t>
      </w:r>
      <w:r w:rsidRPr="00107345">
        <w:rPr>
          <w:i/>
          <w:iCs/>
        </w:rPr>
        <w:t>See, e.g.</w:t>
      </w:r>
      <w:r w:rsidRPr="00DB5C49">
        <w:t>,</w:t>
      </w:r>
      <w:r w:rsidRPr="00EA6711">
        <w:t xml:space="preserve"> </w:t>
      </w:r>
      <w:r>
        <w:t xml:space="preserve">NCTA Reply at 3; </w:t>
      </w:r>
      <w:r w:rsidRPr="008B2E72">
        <w:t xml:space="preserve">AARP </w:t>
      </w:r>
      <w:r>
        <w:t>C</w:t>
      </w:r>
      <w:r w:rsidRPr="008B2E72">
        <w:t>omments at 7</w:t>
      </w:r>
      <w:r>
        <w:t>-</w:t>
      </w:r>
      <w:r w:rsidRPr="008B2E72">
        <w:t xml:space="preserve">8; </w:t>
      </w:r>
      <w:r w:rsidRPr="008B2E72">
        <w:rPr>
          <w:i/>
        </w:rPr>
        <w:t xml:space="preserve">see also </w:t>
      </w:r>
      <w:r w:rsidRPr="008B2E72">
        <w:t xml:space="preserve">TURN Comments at 4 (opposing removal of telephone from point of sale definition as incompatible with </w:t>
      </w:r>
      <w:r>
        <w:t>section</w:t>
      </w:r>
      <w:r w:rsidRPr="008B2E72">
        <w:t xml:space="preserve"> 8.1(a)(1)’s requirement that label information be available to consumers at the beginning of the shopping process, and citing 2023 ACS data showing 80% of adults with vision difficulty own a smartphone</w:t>
      </w:r>
      <w:r>
        <w:t>,</w:t>
      </w:r>
      <w:r w:rsidRPr="008B2E72">
        <w:t xml:space="preserve"> compared to 62.7% with home broadband access)</w:t>
      </w:r>
      <w:r>
        <w:t xml:space="preserve">; </w:t>
      </w:r>
      <w:r w:rsidRPr="008B2E72">
        <w:t>Accessibility Organizations Comments</w:t>
      </w:r>
      <w:r w:rsidRPr="00E4562D">
        <w:t xml:space="preserve"> </w:t>
      </w:r>
      <w:r w:rsidRPr="008B2E72">
        <w:t>at 10</w:t>
      </w:r>
      <w:r>
        <w:t>.</w:t>
      </w:r>
      <w:r w:rsidRPr="00090EA3">
        <w:t xml:space="preserve"> </w:t>
      </w:r>
      <w:r>
        <w:t xml:space="preserve"> </w:t>
      </w:r>
      <w:r w:rsidRPr="008B2E72">
        <w:t xml:space="preserve">Accessibility Organizations is a coalition of nine disability rights organizations: </w:t>
      </w:r>
      <w:r w:rsidRPr="008B2E72">
        <w:t>TDIforAccess</w:t>
      </w:r>
      <w:r w:rsidRPr="008B2E72">
        <w:t xml:space="preserve">, Inc. (TDI), Deaf Equality, National Association of State Agencies for the Deaf and Hard of Hearing (NASADHH), Global Alliance of Speech-to-Text Captioning, Association of Late-Deafened Adults (ALDA), The Conference of Educational Administrators of Schools and Programs for the Deaf (CEASD), </w:t>
      </w:r>
      <w:r w:rsidRPr="008B2E72">
        <w:t>accesSOS</w:t>
      </w:r>
      <w:r w:rsidRPr="008B2E72">
        <w:t>, Cerebral Palsy and Deaf Organization (CPADO), and Gallaudet University Alumni Association</w:t>
      </w:r>
      <w:r>
        <w:t>.</w:t>
      </w:r>
    </w:p>
  </w:footnote>
  <w:footnote w:id="24">
    <w:p w:rsidR="00725C86" w:rsidP="00725C86" w14:paraId="2333D3E0" w14:textId="77777777">
      <w:pPr>
        <w:pStyle w:val="FootnoteText"/>
      </w:pPr>
      <w:r>
        <w:rPr>
          <w:rStyle w:val="FootnoteReference"/>
        </w:rPr>
        <w:footnoteRef/>
      </w:r>
      <w:r>
        <w:t xml:space="preserve"> Cognitive science and consumer behavior literature make clear the distinction between written and oral modalities in consumer information.  Written disclosure formats allow consumers to scan, self-pace, and make simultaneous comparisons across information elements.  In contrast, oral presentation is sequential and time-constrained, placing demands on working memory that written formats do not.  </w:t>
      </w:r>
      <w:r w:rsidRPr="003F0855">
        <w:rPr>
          <w:i/>
          <w:iCs/>
        </w:rPr>
        <w:t>See, e.g.</w:t>
      </w:r>
      <w:r w:rsidRPr="00DB5C49">
        <w:t>,</w:t>
      </w:r>
      <w:r>
        <w:t xml:space="preserve"> James M. Lacko &amp; Janis K. Pappalardo, </w:t>
      </w:r>
      <w:r w:rsidRPr="003F0855">
        <w:rPr>
          <w:i/>
          <w:iCs/>
        </w:rPr>
        <w:t>Improving Consumer Mortgage Disclosures: An Empirical Assessment of Current and Prototype Disclosure Forms, FTC Bureau of Economics Staff Report</w:t>
      </w:r>
      <w:r>
        <w:t xml:space="preserve"> (Jun. 2007),</w:t>
      </w:r>
      <w:r w:rsidRPr="00816744">
        <w:t xml:space="preserve"> </w:t>
      </w:r>
      <w:hyperlink r:id="rId1" w:history="1">
        <w:r w:rsidRPr="003001F9">
          <w:rPr>
            <w:rStyle w:val="Hyperlink"/>
          </w:rPr>
          <w:t>https://www.ftc.gov/reports/improving-consumer-mortgage-disclosures-empirical-assessment-current-prototype-disclosure-forms</w:t>
        </w:r>
      </w:hyperlink>
      <w:r>
        <w:t xml:space="preserve">.  These findings are consistent with the record in this proceeding, which documents that verbatim recitation of the broadband label in a telephone interaction serves neither providers nor consumers effectively.  </w:t>
      </w:r>
      <w:r w:rsidRPr="00BF5999">
        <w:rPr>
          <w:i/>
          <w:iCs/>
        </w:rPr>
        <w:t>See, e.g.</w:t>
      </w:r>
      <w:r w:rsidRPr="00DB5C49">
        <w:t>,</w:t>
      </w:r>
      <w:r w:rsidRPr="00B450FD">
        <w:t xml:space="preserve"> </w:t>
      </w:r>
      <w:r w:rsidRPr="004A6052">
        <w:t xml:space="preserve">ICLE </w:t>
      </w:r>
      <w:r>
        <w:t xml:space="preserve">Comments at 9-10; </w:t>
      </w:r>
      <w:r w:rsidRPr="00833962">
        <w:t>NCTA Reply at 2</w:t>
      </w:r>
      <w:r>
        <w:t>-</w:t>
      </w:r>
      <w:r w:rsidRPr="00833962">
        <w:t>3;</w:t>
      </w:r>
      <w:r>
        <w:t xml:space="preserve"> </w:t>
      </w:r>
      <w:r w:rsidRPr="008837CB">
        <w:t>NTCA</w:t>
      </w:r>
      <w:r>
        <w:t xml:space="preserve"> Comments at 3-4.</w:t>
      </w:r>
    </w:p>
  </w:footnote>
  <w:footnote w:id="25">
    <w:p w:rsidR="00725C86" w:rsidP="00725C86" w14:paraId="16540687" w14:textId="77777777">
      <w:pPr>
        <w:pStyle w:val="FootnoteText"/>
      </w:pPr>
      <w:r>
        <w:rPr>
          <w:rStyle w:val="FootnoteReference"/>
        </w:rPr>
        <w:footnoteRef/>
      </w:r>
      <w:r>
        <w:t xml:space="preserve"> </w:t>
      </w:r>
      <w:r>
        <w:rPr>
          <w:i/>
          <w:iCs/>
        </w:rPr>
        <w:t xml:space="preserve">See </w:t>
      </w:r>
      <w:r>
        <w:t>Accessibility Organizations Comments at 10-11 (emphasizing that alternate accessible formats must remain available upon request).</w:t>
      </w:r>
    </w:p>
  </w:footnote>
  <w:footnote w:id="26">
    <w:p w:rsidR="00725C86" w:rsidP="00725C86" w14:paraId="308B2DD4" w14:textId="77777777">
      <w:pPr>
        <w:pStyle w:val="FootnoteText"/>
      </w:pPr>
      <w:r>
        <w:rPr>
          <w:rStyle w:val="FootnoteReference"/>
        </w:rPr>
        <w:footnoteRef/>
      </w:r>
      <w:r>
        <w:t xml:space="preserve"> </w:t>
      </w:r>
      <w:r>
        <w:rPr>
          <w:i/>
          <w:iCs/>
        </w:rPr>
        <w:t>See Second Further Notice</w:t>
      </w:r>
      <w:r>
        <w:t xml:space="preserve">, 40 FCC </w:t>
      </w:r>
      <w:r>
        <w:t>Rcd</w:t>
      </w:r>
      <w:r>
        <w:t xml:space="preserve"> at 8617-18, para. 11.</w:t>
      </w:r>
    </w:p>
  </w:footnote>
  <w:footnote w:id="27">
    <w:p w:rsidR="00725C86" w:rsidP="00725C86" w14:paraId="6669EE1D" w14:textId="77777777">
      <w:pPr>
        <w:pStyle w:val="FootnoteText"/>
      </w:pPr>
      <w:r>
        <w:rPr>
          <w:rStyle w:val="FootnoteReference"/>
        </w:rPr>
        <w:footnoteRef/>
      </w:r>
      <w:r>
        <w:t xml:space="preserve"> </w:t>
      </w:r>
      <w:r>
        <w:rPr>
          <w:i/>
          <w:iCs/>
        </w:rPr>
        <w:t>See, e.g.</w:t>
      </w:r>
      <w:r>
        <w:t>, AARP Comments at 7-10; TURN Comments at 4-5.</w:t>
      </w:r>
    </w:p>
  </w:footnote>
  <w:footnote w:id="28">
    <w:p w:rsidR="00725C86" w:rsidP="00725C86" w14:paraId="08E0AF0C" w14:textId="77777777">
      <w:pPr>
        <w:pStyle w:val="FootnoteText"/>
      </w:pPr>
      <w:r>
        <w:rPr>
          <w:rStyle w:val="FootnoteReference"/>
        </w:rPr>
        <w:footnoteRef/>
      </w:r>
      <w:r>
        <w:t xml:space="preserve"> Accessibility Organizations Comments at 10-11.</w:t>
      </w:r>
    </w:p>
  </w:footnote>
  <w:footnote w:id="29">
    <w:p w:rsidR="00725C86" w:rsidP="00725C86" w14:paraId="2EA8110A" w14:textId="77777777">
      <w:pPr>
        <w:pStyle w:val="FootnoteText"/>
      </w:pPr>
      <w:r>
        <w:rPr>
          <w:rStyle w:val="FootnoteReference"/>
        </w:rPr>
        <w:footnoteRef/>
      </w:r>
      <w:r>
        <w:t xml:space="preserve"> TURN Reply at 5.</w:t>
      </w:r>
    </w:p>
  </w:footnote>
  <w:footnote w:id="30">
    <w:p w:rsidR="00725C86" w:rsidP="00725C86" w14:paraId="00A27086" w14:textId="77777777">
      <w:pPr>
        <w:pStyle w:val="FootnoteText"/>
      </w:pPr>
      <w:r>
        <w:rPr>
          <w:rStyle w:val="FootnoteReference"/>
        </w:rPr>
        <w:footnoteRef/>
      </w:r>
      <w:r>
        <w:t xml:space="preserve"> </w:t>
      </w:r>
      <w:r w:rsidRPr="00350916">
        <w:rPr>
          <w:i/>
          <w:iCs/>
        </w:rPr>
        <w:t>See supra</w:t>
      </w:r>
      <w:r>
        <w:t xml:space="preserve"> note 18.  ICLE raises a concern that the current rule goes beyond Congressional intent because r</w:t>
      </w:r>
      <w:r w:rsidRPr="001804FB">
        <w:t>eading information aloud does not constitute “display</w:t>
      </w:r>
      <w:r>
        <w:t>.</w:t>
      </w:r>
      <w:r w:rsidRPr="001804FB">
        <w:t>”</w:t>
      </w:r>
      <w:r>
        <w:t xml:space="preserve">  ICLE Comments at 9-10.  However, ICLE differentiates between “a specific requirement to read the entire formatted label verbatim,” which it opposes, and “</w:t>
      </w:r>
      <w:r>
        <w:t>provid</w:t>
      </w:r>
      <w:r>
        <w:t>[</w:t>
      </w:r>
      <w:r>
        <w:t>ing</w:t>
      </w:r>
      <w:r>
        <w:t xml:space="preserve">] information in a conversational manner suited to telephone communication,” which it does not oppose.  </w:t>
      </w:r>
      <w:r w:rsidRPr="00A856D7">
        <w:rPr>
          <w:i/>
          <w:iCs/>
        </w:rPr>
        <w:t>Id</w:t>
      </w:r>
      <w:r>
        <w:t>. at 9.</w:t>
      </w:r>
    </w:p>
  </w:footnote>
  <w:footnote w:id="31">
    <w:p w:rsidR="00725C86" w:rsidP="00725C86" w14:paraId="72C36785" w14:textId="77777777">
      <w:pPr>
        <w:pStyle w:val="FootnoteText"/>
      </w:pPr>
      <w:r>
        <w:rPr>
          <w:rStyle w:val="FootnoteReference"/>
        </w:rPr>
        <w:footnoteRef/>
      </w:r>
      <w:r>
        <w:t xml:space="preserve"> </w:t>
      </w:r>
      <w:r w:rsidRPr="00040C76">
        <w:t xml:space="preserve">47 U.S.C. </w:t>
      </w:r>
      <w:r>
        <w:rPr>
          <w:rFonts w:ascii="Aparajita" w:hAnsi="Aparajita" w:cs="Aparajita"/>
        </w:rPr>
        <w:t>§</w:t>
      </w:r>
      <w:r>
        <w:t xml:space="preserve"> </w:t>
      </w:r>
      <w:r w:rsidRPr="00040C76">
        <w:t xml:space="preserve">1753(a); </w:t>
      </w:r>
      <w:r w:rsidRPr="00040C76">
        <w:rPr>
          <w:i/>
          <w:iCs/>
        </w:rPr>
        <w:t>see also</w:t>
      </w:r>
      <w:r w:rsidRPr="00040C76">
        <w:t xml:space="preserve"> 47 U.S.C. </w:t>
      </w:r>
      <w:r w:rsidRPr="000A4E83">
        <w:t xml:space="preserve">§ </w:t>
      </w:r>
      <w:r w:rsidRPr="00040C76">
        <w:t>154(</w:t>
      </w:r>
      <w:r w:rsidRPr="00040C76">
        <w:t>i</w:t>
      </w:r>
      <w:r w:rsidRPr="00040C76">
        <w:t>) (authorizing the Commission to “make such rules and regulations, not inconsistent with [the Communications Act of 1934, as amended], as may be necessary in the execution of its functions”</w:t>
      </w:r>
      <w:r>
        <w:t>).</w:t>
      </w:r>
    </w:p>
  </w:footnote>
  <w:footnote w:id="32">
    <w:p w:rsidR="00725C86" w:rsidP="00725C86" w14:paraId="4D6744EA" w14:textId="77777777">
      <w:pPr>
        <w:pStyle w:val="FootnoteText"/>
      </w:pPr>
      <w:r>
        <w:rPr>
          <w:rStyle w:val="FootnoteReference"/>
        </w:rPr>
        <w:footnoteRef/>
      </w:r>
      <w:r>
        <w:t xml:space="preserve"> For purposes of the rules adopted by this Report and Order, </w:t>
      </w:r>
      <w:r w:rsidRPr="004E7149">
        <w:t>“</w:t>
      </w:r>
      <w:r>
        <w:t>p</w:t>
      </w:r>
      <w:r w:rsidRPr="004E7149">
        <w:t>assthrough fees” are monthly charges that 1) are imposed by a government entity or third-party infrastructure owner rather than set by the provider itself</w:t>
      </w:r>
      <w:r>
        <w:t xml:space="preserve">; 2) </w:t>
      </w:r>
      <w:r w:rsidRPr="004E7149">
        <w:t xml:space="preserve">represent costs the provider chooses to pass through to consumers rather than </w:t>
      </w:r>
      <w:r>
        <w:t xml:space="preserve">rolling them into </w:t>
      </w:r>
      <w:r w:rsidRPr="004E7149">
        <w:t>the base monthly price</w:t>
      </w:r>
      <w:r>
        <w:t xml:space="preserve">; and </w:t>
      </w:r>
      <w:r w:rsidRPr="004E7149">
        <w:t xml:space="preserve">3) vary by consumer location.  </w:t>
      </w:r>
      <w:r w:rsidRPr="006963DD">
        <w:rPr>
          <w:i/>
        </w:rPr>
        <w:t>See</w:t>
      </w:r>
      <w:r>
        <w:t xml:space="preserve"> </w:t>
      </w:r>
      <w:r w:rsidRPr="00EF3ED6">
        <w:rPr>
          <w:i/>
          <w:iCs/>
        </w:rPr>
        <w:t>infra</w:t>
      </w:r>
      <w:r>
        <w:t xml:space="preserve"> Appendix A, amending 47 CFR </w:t>
      </w:r>
      <w:r w:rsidRPr="000A4E83">
        <w:t>§</w:t>
      </w:r>
      <w:r>
        <w:t xml:space="preserve"> 8.1(b).  For example, “passthrough fees” include </w:t>
      </w:r>
      <w:r w:rsidRPr="00480885">
        <w:t>state and local right</w:t>
      </w:r>
      <w:r>
        <w:t>-</w:t>
      </w:r>
      <w:r w:rsidRPr="00480885">
        <w:t>of</w:t>
      </w:r>
      <w:r>
        <w:t>-</w:t>
      </w:r>
      <w:r w:rsidRPr="00480885">
        <w:t>way fees</w:t>
      </w:r>
      <w:r w:rsidRPr="00ED3397">
        <w:t xml:space="preserve">, </w:t>
      </w:r>
      <w:r w:rsidRPr="00480885">
        <w:t>pol</w:t>
      </w:r>
      <w:r>
        <w:t>e</w:t>
      </w:r>
      <w:r w:rsidRPr="00480885">
        <w:t xml:space="preserve"> attachment fees</w:t>
      </w:r>
      <w:r w:rsidRPr="00ED3397">
        <w:t xml:space="preserve"> imposed by third-party pole owners, and similar charges</w:t>
      </w:r>
      <w:r>
        <w:t xml:space="preserve">.  ACA Connects raises concerns about maintaining differential treatment of passthrough fees and taxes, claiming that </w:t>
      </w:r>
      <w:r w:rsidRPr="00902A6F">
        <w:t xml:space="preserve">“whether a government-imposed charge is a </w:t>
      </w:r>
      <w:r>
        <w:t>‘</w:t>
      </w:r>
      <w:r w:rsidRPr="00902A6F">
        <w:t>tax</w:t>
      </w:r>
      <w:r>
        <w:t>’</w:t>
      </w:r>
      <w:r w:rsidRPr="00902A6F">
        <w:t xml:space="preserve"> or </w:t>
      </w:r>
      <w:r>
        <w:t>‘</w:t>
      </w:r>
      <w:r w:rsidRPr="00902A6F">
        <w:t>fee</w:t>
      </w:r>
      <w:r>
        <w:t>’</w:t>
      </w:r>
      <w:r w:rsidRPr="00902A6F">
        <w:t xml:space="preserve"> is not always clear</w:t>
      </w:r>
      <w:r>
        <w:t xml:space="preserve">.” </w:t>
      </w:r>
      <w:r w:rsidRPr="00902A6F">
        <w:rPr>
          <w:i/>
        </w:rPr>
        <w:t xml:space="preserve"> </w:t>
      </w:r>
      <w:r w:rsidRPr="00902A6F">
        <w:t>ACA Connects</w:t>
      </w:r>
      <w:r w:rsidRPr="007C4CA6">
        <w:t xml:space="preserve"> </w:t>
      </w:r>
      <w:r w:rsidRPr="00902A6F">
        <w:t>Comments at 6 n.11</w:t>
      </w:r>
      <w:r>
        <w:t xml:space="preserve">, quoting </w:t>
      </w:r>
      <w:r w:rsidRPr="00902A6F">
        <w:t>ACA Connects, et al., Joint Petition for Clarification or, in the Alternative, Reconsideration, CG Docket No. 22-2 (filed Jan. 17, 2023)</w:t>
      </w:r>
      <w:r>
        <w:t xml:space="preserve">.  We clarify that charges that legally must be collected from the consumer (like many taxes) are distinct from how we define “passthrough fees,” which are paid by the provider and passed through at the provider’s discretion.  Therefore, it should not be difficult for providers to differentiate the two.  Providers must continue to comply with the requirement to itemize fees that they set or those that </w:t>
      </w:r>
      <w:r w:rsidRPr="00047598">
        <w:t xml:space="preserve">do not vary by location, </w:t>
      </w:r>
      <w:r>
        <w:t xml:space="preserve">unless they include those costs in </w:t>
      </w:r>
      <w:r w:rsidRPr="00047598">
        <w:t>the base monthly price specified in the label.</w:t>
      </w:r>
      <w:r>
        <w:t xml:space="preserve">  </w:t>
      </w:r>
      <w:r w:rsidRPr="00781A9A">
        <w:rPr>
          <w:i/>
          <w:iCs/>
        </w:rPr>
        <w:t xml:space="preserve">See </w:t>
      </w:r>
      <w:r w:rsidRPr="00781A9A">
        <w:rPr>
          <w:i/>
        </w:rPr>
        <w:t>Broadband Label Order</w:t>
      </w:r>
      <w:r w:rsidRPr="00781A9A">
        <w:t xml:space="preserve">, 37 FCC </w:t>
      </w:r>
      <w:r w:rsidRPr="00781A9A">
        <w:t>Rcd</w:t>
      </w:r>
      <w:r w:rsidRPr="00781A9A">
        <w:t xml:space="preserve"> at </w:t>
      </w:r>
      <w:r w:rsidRPr="0022610B">
        <w:t>1369</w:t>
      </w:r>
      <w:r>
        <w:t xml:space="preserve">4-95, </w:t>
      </w:r>
      <w:r w:rsidRPr="00781A9A">
        <w:t xml:space="preserve">para. </w:t>
      </w:r>
      <w:r>
        <w:t>24 n.49 (“</w:t>
      </w:r>
      <w:r w:rsidRPr="00781A9A">
        <w:t>A provider that opts to combine all of its monthly discretionary fees with its base monthly price may do so and list</w:t>
      </w:r>
      <w:r>
        <w:t xml:space="preserve"> </w:t>
      </w:r>
      <w:r w:rsidRPr="00781A9A">
        <w:t xml:space="preserve">that total price. </w:t>
      </w:r>
      <w:r>
        <w:t xml:space="preserve"> </w:t>
      </w:r>
      <w:r w:rsidRPr="00781A9A">
        <w:t>In that case, the provider need not separately itemize those fees in the label.</w:t>
      </w:r>
      <w:r>
        <w:t>”).</w:t>
      </w:r>
    </w:p>
  </w:footnote>
  <w:footnote w:id="33">
    <w:p w:rsidR="00725C86" w:rsidP="00725C86" w14:paraId="0DCBA418" w14:textId="77777777">
      <w:pPr>
        <w:pStyle w:val="FootnoteText"/>
      </w:pPr>
      <w:r>
        <w:rPr>
          <w:rStyle w:val="FootnoteReference"/>
        </w:rPr>
        <w:footnoteRef/>
      </w:r>
      <w:r>
        <w:t xml:space="preserve"> For example, a provider opting to disclose the maximum passthrough fee amount, and whose total passthrough fees do not exceed a maximum of $13.95 per month in any jurisdiction where service plan “X” is offered, may present those fees on the label for service plan “X” as:  “Up to $13.95 per month.”  Providers may, if they wish, continue to itemize these fees individually.  Providers retain discretion over the nomenclature they use to describe passthrough fee line items on the label, provided the presentation is clear, accurate, and not misleading. </w:t>
      </w:r>
    </w:p>
  </w:footnote>
  <w:footnote w:id="34">
    <w:p w:rsidR="00725C86" w:rsidP="00725C86" w14:paraId="5862F373" w14:textId="77777777">
      <w:pPr>
        <w:pStyle w:val="FootnoteText"/>
      </w:pPr>
      <w:r>
        <w:rPr>
          <w:rStyle w:val="FootnoteReference"/>
        </w:rPr>
        <w:footnoteRef/>
      </w:r>
      <w:r>
        <w:t xml:space="preserve"> For the purposes of the label, “governmental passthrough fees” means surcharges that are used to recover costs imposed by state or local governments that a provider is not legally required to collect from end-users and that it nonetheless chooses to recover via a separate fee assessed on customers.  </w:t>
      </w:r>
      <w:r w:rsidRPr="00DC7BC9">
        <w:t xml:space="preserve">Examples of </w:t>
      </w:r>
      <w:r>
        <w:t>such</w:t>
      </w:r>
      <w:r w:rsidRPr="00DC7BC9">
        <w:t xml:space="preserve"> fees </w:t>
      </w:r>
      <w:r>
        <w:t xml:space="preserve">may </w:t>
      </w:r>
      <w:r w:rsidRPr="00DC7BC9">
        <w:t>include</w:t>
      </w:r>
      <w:r>
        <w:t xml:space="preserve"> fees to recover</w:t>
      </w:r>
      <w:r w:rsidRPr="00DC7BC9">
        <w:t xml:space="preserve"> public right-of-way (ROW) access charges and E911 charges, among others. </w:t>
      </w:r>
      <w:r>
        <w:t xml:space="preserve">“Passthrough fees” do not include fees that are assessed to recover costs imposed by the federal government, such as federal Universal Service Fund contributions, unless the amount of such fees varies based on the customer’s location. Fees that do not vary by customer location must be itemized on labels.  “Non-governmental passthrough fees” are fees that are assessed to recover business costs charged to the provider by private third-party entities, such as utility companies or real estate owners, and that the provider chooses to break out as itemized line items on the consumer’s bill.  </w:t>
      </w:r>
      <w:r w:rsidRPr="001E7607">
        <w:t xml:space="preserve">Examples of </w:t>
      </w:r>
      <w:r>
        <w:t xml:space="preserve">such </w:t>
      </w:r>
      <w:r w:rsidRPr="001E7607">
        <w:t xml:space="preserve">fees </w:t>
      </w:r>
      <w:r>
        <w:t xml:space="preserve">may </w:t>
      </w:r>
      <w:r w:rsidRPr="001E7607">
        <w:t xml:space="preserve">include pole attachment and joint-use fees, and utility metering fees.  </w:t>
      </w:r>
      <w:r w:rsidRPr="002E7D44">
        <w:rPr>
          <w:i/>
          <w:iCs/>
        </w:rPr>
        <w:t>See supra</w:t>
      </w:r>
      <w:r>
        <w:t xml:space="preserve"> note </w:t>
      </w:r>
      <w:r w:rsidRPr="00F67ECD">
        <w:t>30</w:t>
      </w:r>
      <w:r>
        <w:t xml:space="preserve">; Appendix A, amending 47 CFR </w:t>
      </w:r>
      <w:r w:rsidRPr="000A4E83">
        <w:t>§</w:t>
      </w:r>
      <w:r>
        <w:t xml:space="preserve"> 8.1(b).  </w:t>
      </w:r>
    </w:p>
  </w:footnote>
  <w:footnote w:id="35">
    <w:p w:rsidR="00725C86" w:rsidP="00725C86" w14:paraId="67226E99" w14:textId="77777777">
      <w:pPr>
        <w:pStyle w:val="FootnoteText"/>
      </w:pPr>
      <w:r>
        <w:rPr>
          <w:rStyle w:val="FootnoteReference"/>
        </w:rPr>
        <w:footnoteRef/>
      </w:r>
      <w:r>
        <w:t xml:space="preserve"> As these two categories are the only categories of fees fitting our definition of “passthrough fee,” the maximum amounts indicated on the label for government fees and non-governmental third party infrastructure owners, respectively, must add up to the comprehensive maximum for passthrough fees stated on the label.</w:t>
      </w:r>
    </w:p>
  </w:footnote>
  <w:footnote w:id="36">
    <w:p w:rsidR="00725C86" w:rsidP="00725C86" w14:paraId="2EF9CC09" w14:textId="77777777">
      <w:pPr>
        <w:pStyle w:val="FootnoteText"/>
      </w:pPr>
      <w:r w:rsidRPr="00D7208B">
        <w:rPr>
          <w:rStyle w:val="FootnoteReference"/>
        </w:rPr>
        <w:footnoteRef/>
      </w:r>
      <w:r w:rsidRPr="00D7208B">
        <w:t xml:space="preserve"> For example, a description of a pole attachment fee might state:  “A fee by a third-party utility or pole owner for the provider’s use of poles to attach network equipment, which the provider passes through to consumers rather than including </w:t>
      </w:r>
      <w:r>
        <w:t xml:space="preserve">it </w:t>
      </w:r>
      <w:r w:rsidRPr="00D7208B">
        <w:t>in the base monthly price.”  Providers may look to the</w:t>
      </w:r>
      <w:r>
        <w:t xml:space="preserve"> </w:t>
      </w:r>
      <w:r w:rsidRPr="00D7208B">
        <w:t xml:space="preserve">FCC’s glossary of terms, </w:t>
      </w:r>
      <w:r>
        <w:t>https://www.fcc.gov/</w:t>
      </w:r>
      <w:r w:rsidRPr="008E7D53">
        <w:t>broadbandlabels-glossary</w:t>
      </w:r>
      <w:r w:rsidRPr="00D7208B">
        <w:t>, as a model for the level of detail and plain-language style appropriate for such descriptions.</w:t>
      </w:r>
      <w:r>
        <w:t xml:space="preserve">  We direct the Consumer and Governmental Affairs Bureau to update the glossary with sample passthrough fee descriptions as appropriate.</w:t>
      </w:r>
    </w:p>
  </w:footnote>
  <w:footnote w:id="37">
    <w:p w:rsidR="00725C86" w:rsidP="00725C86" w14:paraId="401530B0" w14:textId="77777777">
      <w:pPr>
        <w:pStyle w:val="FootnoteText"/>
      </w:pPr>
      <w:r>
        <w:rPr>
          <w:rStyle w:val="FootnoteReference"/>
        </w:rPr>
        <w:footnoteRef/>
      </w:r>
      <w:r>
        <w:t xml:space="preserve"> 47 U.S.C. § 1753(a), citing </w:t>
      </w:r>
      <w:r>
        <w:rPr>
          <w:i/>
        </w:rPr>
        <w:t>Consumer and Governmental Affairs, Wireline Competition, and Wireless Telecommunications Bureaus Approve Open Internet Broadband Consumer Labels</w:t>
      </w:r>
      <w:r>
        <w:t xml:space="preserve">, GN Docket No. 14-28, Public Notice, 31 FCC </w:t>
      </w:r>
      <w:r>
        <w:t>Rcd</w:t>
      </w:r>
      <w:r>
        <w:t xml:space="preserve"> 3358 (CGB/WCB/WTB 2016) (</w:t>
      </w:r>
      <w:r>
        <w:rPr>
          <w:i/>
        </w:rPr>
        <w:t>2016 Broadband Labels PN</w:t>
      </w:r>
      <w:r>
        <w:t>).</w:t>
      </w:r>
    </w:p>
  </w:footnote>
  <w:footnote w:id="38">
    <w:p w:rsidR="00725C86" w:rsidP="00725C86" w14:paraId="07F9AB5B" w14:textId="77777777">
      <w:pPr>
        <w:pStyle w:val="FootnoteText"/>
      </w:pPr>
      <w:r>
        <w:rPr>
          <w:rStyle w:val="FootnoteReference"/>
        </w:rPr>
        <w:footnoteRef/>
      </w:r>
      <w:r>
        <w:t xml:space="preserve"> </w:t>
      </w:r>
      <w:r>
        <w:rPr>
          <w:i/>
        </w:rPr>
        <w:t>2016 Broadband Labels PN</w:t>
      </w:r>
      <w:r>
        <w:t>, 31 FCC at 3359.</w:t>
      </w:r>
    </w:p>
  </w:footnote>
  <w:footnote w:id="39">
    <w:p w:rsidR="00725C86" w:rsidP="00725C86" w14:paraId="102F6641" w14:textId="77777777">
      <w:pPr>
        <w:pStyle w:val="FootnoteText"/>
      </w:pPr>
      <w:r>
        <w:rPr>
          <w:rStyle w:val="FootnoteReference"/>
        </w:rPr>
        <w:footnoteRef/>
      </w:r>
      <w:r>
        <w:t xml:space="preserve"> ICLE Comments at 10; </w:t>
      </w:r>
      <w:r>
        <w:rPr>
          <w:i/>
          <w:iCs/>
        </w:rPr>
        <w:t>see also</w:t>
      </w:r>
      <w:r>
        <w:t xml:space="preserve"> </w:t>
      </w:r>
      <w:r>
        <w:rPr>
          <w:i/>
        </w:rPr>
        <w:t>Broadband Label Order</w:t>
      </w:r>
      <w:r>
        <w:t xml:space="preserve">, 37 FCC </w:t>
      </w:r>
      <w:r>
        <w:t>Rcd</w:t>
      </w:r>
      <w:r>
        <w:t xml:space="preserve"> at 13697, para. 35 (regarding data allowances, emphasizing that “it is important to keep the label information as simple as possible for consumers”); </w:t>
      </w:r>
      <w:r>
        <w:rPr>
          <w:i/>
          <w:szCs w:val="22"/>
        </w:rPr>
        <w:t>Broadband Label Reconsideration Order</w:t>
      </w:r>
      <w:r>
        <w:rPr>
          <w:iCs/>
          <w:szCs w:val="22"/>
        </w:rPr>
        <w:t>,</w:t>
      </w:r>
      <w:r>
        <w:t xml:space="preserve"> 38 FCC </w:t>
      </w:r>
      <w:r>
        <w:t>Rcd</w:t>
      </w:r>
      <w:r>
        <w:t xml:space="preserve"> at 8242-43, para. 21 (in the context of data allowances, rejecting request to allow labels to display additional data allowances because “allowing providers to clutter the Label with detail about those allowances would undermine its simplicity and utility”).</w:t>
      </w:r>
    </w:p>
  </w:footnote>
  <w:footnote w:id="40">
    <w:p w:rsidR="00725C86" w:rsidP="00725C86" w14:paraId="057274D4" w14:textId="77777777">
      <w:pPr>
        <w:pStyle w:val="FootnoteText"/>
      </w:pPr>
      <w:r>
        <w:rPr>
          <w:rStyle w:val="FootnoteReference"/>
        </w:rPr>
        <w:footnoteRef/>
      </w:r>
      <w:r>
        <w:t xml:space="preserve"> ICLE Comments at 11 (citation omitted).</w:t>
      </w:r>
    </w:p>
  </w:footnote>
  <w:footnote w:id="41">
    <w:p w:rsidR="00725C86" w:rsidP="00725C86" w14:paraId="12F898BF" w14:textId="77777777">
      <w:pPr>
        <w:pStyle w:val="FootnoteText"/>
      </w:pPr>
      <w:r>
        <w:rPr>
          <w:rStyle w:val="FootnoteReference"/>
        </w:rPr>
        <w:footnoteRef/>
      </w:r>
      <w:r>
        <w:t xml:space="preserve"> See AARP Comments at 8-9; HTTP Comments at 1-2; Public Knowledge Comments at 78; TURN Comments at 10; NYSPSC Comments at 2.</w:t>
      </w:r>
    </w:p>
  </w:footnote>
  <w:footnote w:id="42">
    <w:p w:rsidR="00725C86" w:rsidP="00725C86" w14:paraId="6608A5E9" w14:textId="77777777">
      <w:pPr>
        <w:pStyle w:val="FootnoteText"/>
      </w:pPr>
      <w:r>
        <w:rPr>
          <w:rStyle w:val="FootnoteReference"/>
        </w:rPr>
        <w:footnoteRef/>
      </w:r>
      <w:r>
        <w:t xml:space="preserve"> </w:t>
      </w:r>
      <w:r>
        <w:rPr>
          <w:i/>
          <w:iCs/>
        </w:rPr>
        <w:t>See, e.g</w:t>
      </w:r>
      <w:r>
        <w:t xml:space="preserve">., ACA Connects Comments at 4-5; ICLE Comments at 10-11; INCOMPAS Comments at 6.  </w:t>
      </w:r>
    </w:p>
  </w:footnote>
  <w:footnote w:id="43">
    <w:p w:rsidR="00725C86" w:rsidP="00725C86" w14:paraId="74D1C344" w14:textId="77777777">
      <w:pPr>
        <w:pStyle w:val="FootnoteText"/>
      </w:pPr>
      <w:r>
        <w:rPr>
          <w:rStyle w:val="FootnoteReference"/>
        </w:rPr>
        <w:footnoteRef/>
      </w:r>
      <w:r>
        <w:t xml:space="preserve"> NTCA Comments at 5; </w:t>
      </w:r>
      <w:r>
        <w:t>USTelecom</w:t>
      </w:r>
      <w:r>
        <w:t xml:space="preserve"> Comments at 5-6.</w:t>
      </w:r>
    </w:p>
  </w:footnote>
  <w:footnote w:id="44">
    <w:p w:rsidR="00725C86" w:rsidP="00725C86" w14:paraId="2E3D0FED" w14:textId="77777777">
      <w:pPr>
        <w:pStyle w:val="FootnoteText"/>
      </w:pPr>
      <w:r>
        <w:rPr>
          <w:rStyle w:val="FootnoteReference"/>
        </w:rPr>
        <w:footnoteRef/>
      </w:r>
      <w:r>
        <w:t xml:space="preserve"> The Broadband Internet Technical Advisory Group (BITAG), a non-profit organization whose working group included engineers from major broadband providers, recommended displaying the highest applicable fee across all jurisdictions as a single “up to” amount.  BITAG, </w:t>
      </w:r>
      <w:r w:rsidRPr="00546DBC">
        <w:t>Machine-Readable Broadband Internet Access Service Labels</w:t>
      </w:r>
      <w:r>
        <w:t xml:space="preserve">: A Broadband Technical Advisory Group Technical Working Group Report (Aug. 27, 2024), </w:t>
      </w:r>
      <w:r w:rsidRPr="00546DBC">
        <w:t>https://papers.ssrn.com/sol3/papers.cfm?abstract_id=5681704#</w:t>
      </w:r>
      <w:r>
        <w:t xml:space="preserve"> (BITAG Report); </w:t>
      </w:r>
      <w:r>
        <w:rPr>
          <w:i/>
          <w:iCs/>
        </w:rPr>
        <w:t>see also</w:t>
      </w:r>
      <w:r>
        <w:t xml:space="preserve"> Scott Jordan, </w:t>
      </w:r>
      <w:r>
        <w:rPr>
          <w:i/>
        </w:rPr>
        <w:t xml:space="preserve">Ex </w:t>
      </w:r>
      <w:r>
        <w:rPr>
          <w:i/>
        </w:rPr>
        <w:t>Parte</w:t>
      </w:r>
      <w:r>
        <w:t xml:space="preserve"> Notice at 1 (filed Mar. 3, 2026) (citing the BITAG Report).  BITAG developed the maximum value field approach to address the label proliferation problem that results from requiring separate line items for fees that vary across jurisdictions.  </w:t>
      </w:r>
    </w:p>
  </w:footnote>
  <w:footnote w:id="45">
    <w:p w:rsidR="00725C86" w:rsidP="00725C86" w14:paraId="7798B343" w14:textId="77777777">
      <w:pPr>
        <w:pStyle w:val="FootnoteText"/>
      </w:pPr>
      <w:r>
        <w:rPr>
          <w:rStyle w:val="FootnoteReference"/>
        </w:rPr>
        <w:footnoteRef/>
      </w:r>
      <w:r>
        <w:t xml:space="preserve"> </w:t>
      </w:r>
      <w:r>
        <w:rPr>
          <w:i/>
        </w:rPr>
        <w:t xml:space="preserve">See </w:t>
      </w:r>
      <w:r>
        <w:t>Breezeline</w:t>
      </w:r>
      <w:r>
        <w:t xml:space="preserve"> Comments at 2-3 (supporting this approach); NTCA Comments at 5 (supporting this approach in concept); NCTA Comments at 6 (supporting maximum fee display requirement as an alternative).</w:t>
      </w:r>
    </w:p>
  </w:footnote>
  <w:footnote w:id="46">
    <w:p w:rsidR="00725C86" w:rsidP="00725C86" w14:paraId="38220C13" w14:textId="77777777">
      <w:pPr>
        <w:pStyle w:val="FootnoteText"/>
      </w:pPr>
      <w:r>
        <w:rPr>
          <w:rStyle w:val="FootnoteReference"/>
        </w:rPr>
        <w:footnoteRef/>
      </w:r>
      <w:r>
        <w:t xml:space="preserve"> NTCA Comments at 5.</w:t>
      </w:r>
    </w:p>
  </w:footnote>
  <w:footnote w:id="47">
    <w:p w:rsidR="00725C86" w:rsidP="00725C86" w14:paraId="0D35FCC3" w14:textId="77777777">
      <w:pPr>
        <w:pStyle w:val="FootnoteText"/>
      </w:pPr>
      <w:r>
        <w:rPr>
          <w:rStyle w:val="FootnoteReference"/>
        </w:rPr>
        <w:footnoteRef/>
      </w:r>
      <w:r>
        <w:t xml:space="preserve"> </w:t>
      </w:r>
      <w:r>
        <w:rPr>
          <w:i/>
        </w:rPr>
        <w:t>See, e.g</w:t>
      </w:r>
      <w:r>
        <w:t>., TURN Comments at 10.</w:t>
      </w:r>
    </w:p>
  </w:footnote>
  <w:footnote w:id="48">
    <w:p w:rsidR="00725C86" w:rsidP="00725C86" w14:paraId="6B2E7FBB" w14:textId="77777777">
      <w:pPr>
        <w:pStyle w:val="FootnoteText"/>
      </w:pPr>
      <w:r>
        <w:rPr>
          <w:rStyle w:val="FootnoteReference"/>
        </w:rPr>
        <w:footnoteRef/>
      </w:r>
      <w:r>
        <w:t xml:space="preserve"> </w:t>
      </w:r>
      <w:r>
        <w:rPr>
          <w:iCs/>
        </w:rPr>
        <w:t xml:space="preserve">We reiterate that </w:t>
      </w:r>
      <w:r>
        <w:t xml:space="preserve">providers’ display of fees must be accurate (and must not understate a consumer’s costs) however they decide to present them.  </w:t>
      </w:r>
    </w:p>
  </w:footnote>
  <w:footnote w:id="49">
    <w:p w:rsidR="00725C86" w:rsidP="00725C86" w14:paraId="71E7204B" w14:textId="77777777">
      <w:pPr>
        <w:pStyle w:val="FootnoteText"/>
      </w:pPr>
      <w:r>
        <w:rPr>
          <w:rStyle w:val="FootnoteReference"/>
        </w:rPr>
        <w:footnoteRef/>
      </w:r>
      <w:r>
        <w:t xml:space="preserve"> AARP Comments at 8-9; Hispanic Technology and Telecommunications Partnership Comments at 1-2 (HTTP Comments); </w:t>
      </w:r>
      <w:r>
        <w:rPr>
          <w:i/>
          <w:iCs/>
        </w:rPr>
        <w:t>see also</w:t>
      </w:r>
      <w:r>
        <w:t xml:space="preserve"> NYSPSC Comments at 2 (cautioning that disclosure of state and local fees prevents misleading or incomplete price information and that removing or weakening elements of the label risks returning to a marketplace in which consumers do not have access to clear, accurate cost information).</w:t>
      </w:r>
    </w:p>
  </w:footnote>
  <w:footnote w:id="50">
    <w:p w:rsidR="00725C86" w:rsidP="00725C86" w14:paraId="4ACEC4B9" w14:textId="77777777">
      <w:pPr>
        <w:pStyle w:val="FootnoteText"/>
      </w:pPr>
      <w:r>
        <w:rPr>
          <w:rStyle w:val="FootnoteReference"/>
        </w:rPr>
        <w:footnoteRef/>
      </w:r>
      <w:r>
        <w:t xml:space="preserve"> </w:t>
      </w:r>
      <w:r>
        <w:rPr>
          <w:i/>
          <w:iCs/>
        </w:rPr>
        <w:t xml:space="preserve">See </w:t>
      </w:r>
      <w:r>
        <w:rPr>
          <w:i/>
        </w:rPr>
        <w:t>Broadband Label Order</w:t>
      </w:r>
      <w:r>
        <w:t xml:space="preserve">, 37 FCC </w:t>
      </w:r>
      <w:r>
        <w:t>Rcd</w:t>
      </w:r>
      <w:r>
        <w:t xml:space="preserve"> at 13694-95, para. 24 n.49; </w:t>
      </w:r>
      <w:r>
        <w:rPr>
          <w:i/>
        </w:rPr>
        <w:t>Broadband Label Order on Reconsideration</w:t>
      </w:r>
      <w:r>
        <w:t xml:space="preserve">, 38 FCC </w:t>
      </w:r>
      <w:r>
        <w:t>Rcd</w:t>
      </w:r>
      <w:r>
        <w:t xml:space="preserve"> at 8242, para. 19 (</w:t>
      </w:r>
      <w:r w:rsidRPr="00816744">
        <w:t>emphasizing that “if the provider does not impose additional discretionary fees on top of the base monthly price, but instead incorporates them into the monthly price, the provider can state ‘None’ on the label template”).</w:t>
      </w:r>
    </w:p>
  </w:footnote>
  <w:footnote w:id="51">
    <w:p w:rsidR="00725C86" w:rsidP="00725C86" w14:paraId="795DC133" w14:textId="77777777">
      <w:pPr>
        <w:pStyle w:val="FootnoteText"/>
      </w:pPr>
      <w:r>
        <w:rPr>
          <w:rStyle w:val="FootnoteReference"/>
        </w:rPr>
        <w:footnoteRef/>
      </w:r>
      <w:r>
        <w:t xml:space="preserve"> </w:t>
      </w:r>
      <w:r w:rsidRPr="006F559D">
        <w:t>Public Knowledge, et al</w:t>
      </w:r>
      <w:r w:rsidRPr="006F559D">
        <w:rPr>
          <w:i/>
          <w:iCs/>
        </w:rPr>
        <w:t xml:space="preserve">. </w:t>
      </w:r>
      <w:r w:rsidRPr="006F559D">
        <w:t xml:space="preserve">Comments at 7.  </w:t>
      </w:r>
    </w:p>
  </w:footnote>
  <w:footnote w:id="52">
    <w:p w:rsidR="00725C86" w:rsidP="00725C86" w14:paraId="1CC9B31F" w14:textId="77777777">
      <w:pPr>
        <w:pStyle w:val="FootnoteText"/>
      </w:pPr>
      <w:r>
        <w:rPr>
          <w:rStyle w:val="FootnoteReference"/>
        </w:rPr>
        <w:footnoteRef/>
      </w:r>
      <w:r>
        <w:t xml:space="preserve"> </w:t>
      </w:r>
      <w:r>
        <w:rPr>
          <w:i/>
        </w:rPr>
        <w:t>Broadband Label Order on Reconsideration</w:t>
      </w:r>
      <w:r>
        <w:t xml:space="preserve">, 38 FCC </w:t>
      </w:r>
      <w:r>
        <w:t>Rcd</w:t>
      </w:r>
      <w:r>
        <w:t xml:space="preserve"> at 8242, para. 18 (“We believe that identifying a maximum dollar figure . . . does not sufficiently disclose to consumers what they will be charged for and how those fees compare to another provider’s service offerings.”).</w:t>
      </w:r>
    </w:p>
  </w:footnote>
  <w:footnote w:id="53">
    <w:p w:rsidR="00725C86" w:rsidP="00725C86" w14:paraId="00E96DD4" w14:textId="77777777">
      <w:pPr>
        <w:pStyle w:val="FootnoteText"/>
      </w:pPr>
      <w:r>
        <w:rPr>
          <w:rStyle w:val="FootnoteReference"/>
        </w:rPr>
        <w:footnoteRef/>
      </w:r>
      <w:r>
        <w:t xml:space="preserve"> </w:t>
      </w:r>
      <w:r>
        <w:rPr>
          <w:i/>
        </w:rPr>
        <w:t>Wireline Competition Bureau Announces the Final Month of the Affordable Connectivity Program</w:t>
      </w:r>
      <w:r>
        <w:t xml:space="preserve">, CC Docket No. 21-450, Public Notice, 39 FCC </w:t>
      </w:r>
      <w:r>
        <w:t>Rcd</w:t>
      </w:r>
      <w:r>
        <w:t xml:space="preserve"> 2063, 2067 (WCB 2024) (</w:t>
      </w:r>
      <w:r>
        <w:rPr>
          <w:i/>
        </w:rPr>
        <w:t>ACP Final Month PN</w:t>
      </w:r>
      <w:r>
        <w:t>).  The ACP Final Month PN stated that “[w]</w:t>
      </w:r>
      <w:r>
        <w:t>ith</w:t>
      </w:r>
      <w:r>
        <w:t xml:space="preserve"> the upcoming end of the ACP, providers will not be required to include information on the ACP in their labels,” but also made clear that this guidance “is subject to change should the funding status of the ACP change.”  </w:t>
      </w:r>
      <w:r>
        <w:rPr>
          <w:i/>
        </w:rPr>
        <w:t>Id</w:t>
      </w:r>
      <w:r>
        <w:t xml:space="preserve">.  Through our decision today, we effectively make this guidance permanent. </w:t>
      </w:r>
    </w:p>
  </w:footnote>
  <w:footnote w:id="54">
    <w:p w:rsidR="00725C86" w:rsidP="00725C86" w14:paraId="16270F06" w14:textId="77777777">
      <w:pPr>
        <w:pStyle w:val="FootnoteText"/>
      </w:pPr>
      <w:r>
        <w:rPr>
          <w:rStyle w:val="FootnoteReference"/>
        </w:rPr>
        <w:footnoteRef/>
      </w:r>
      <w:r>
        <w:t xml:space="preserve"> Taxpayers Protection Alliance Comments at 1 (TPA Comments);</w:t>
      </w:r>
      <w:r w:rsidRPr="00995BF4">
        <w:t xml:space="preserve"> </w:t>
      </w:r>
      <w:r>
        <w:t>WISPA Comments at 2;</w:t>
      </w:r>
      <w:r w:rsidRPr="00995BF4">
        <w:t xml:space="preserve"> </w:t>
      </w:r>
      <w:r>
        <w:t>USTelecom</w:t>
      </w:r>
      <w:r>
        <w:t xml:space="preserve"> – The Broadband Association Comments at 3 (</w:t>
      </w:r>
      <w:r>
        <w:t>USTelecom</w:t>
      </w:r>
      <w:r>
        <w:t xml:space="preserve"> Comments);</w:t>
      </w:r>
      <w:r w:rsidRPr="00995BF4">
        <w:t xml:space="preserve"> </w:t>
      </w:r>
      <w:r>
        <w:t>CTIA Comments at 9;</w:t>
      </w:r>
      <w:r w:rsidRPr="00995BF4">
        <w:t xml:space="preserve"> </w:t>
      </w:r>
      <w:r>
        <w:t>Breezeline</w:t>
      </w:r>
      <w:r>
        <w:t xml:space="preserve"> Comments at 3;</w:t>
      </w:r>
      <w:r w:rsidRPr="00995BF4">
        <w:t xml:space="preserve"> </w:t>
      </w:r>
      <w:r>
        <w:t>ACA Connects Comment at 9;</w:t>
      </w:r>
      <w:r w:rsidRPr="00995BF4">
        <w:t xml:space="preserve"> </w:t>
      </w:r>
      <w:r>
        <w:t>NTCA Comments at 5-6;</w:t>
      </w:r>
      <w:r w:rsidRPr="00995BF4">
        <w:t xml:space="preserve"> </w:t>
      </w:r>
      <w:r>
        <w:t xml:space="preserve">AARP Comments at 9; </w:t>
      </w:r>
      <w:r>
        <w:rPr>
          <w:i/>
          <w:iCs/>
        </w:rPr>
        <w:t>s</w:t>
      </w:r>
      <w:r w:rsidRPr="00A0310E">
        <w:rPr>
          <w:i/>
          <w:iCs/>
        </w:rPr>
        <w:t>ee</w:t>
      </w:r>
      <w:r w:rsidRPr="00A0310E">
        <w:rPr>
          <w:i/>
          <w:iCs/>
        </w:rPr>
        <w:t xml:space="preserve"> also</w:t>
      </w:r>
      <w:r>
        <w:t xml:space="preserve"> NTCA Comments at 6 (</w:t>
      </w:r>
      <w:r w:rsidRPr="00A0310E">
        <w:t>rais</w:t>
      </w:r>
      <w:r>
        <w:t>ing the</w:t>
      </w:r>
      <w:r w:rsidRPr="00A0310E">
        <w:t xml:space="preserve"> concern that retaining ACP information could implicate FTC prohibitions on bait-and-switch tactics if consumers are led to believe they can enroll in a program that no longer exists</w:t>
      </w:r>
      <w:r>
        <w:t>).</w:t>
      </w:r>
    </w:p>
  </w:footnote>
  <w:footnote w:id="55">
    <w:p w:rsidR="00725C86" w:rsidP="00725C86" w14:paraId="737804B6" w14:textId="77777777">
      <w:pPr>
        <w:pStyle w:val="FootnoteText"/>
      </w:pPr>
      <w:r>
        <w:rPr>
          <w:rStyle w:val="FootnoteReference"/>
        </w:rPr>
        <w:footnoteRef/>
      </w:r>
      <w:r>
        <w:t xml:space="preserve"> AARP Comments at 9; Asian Americans Advancing Justice ǀ AAJC (AAJC) </w:t>
      </w:r>
      <w:r w:rsidRPr="00816744">
        <w:rPr>
          <w:rStyle w:val="Emphasis"/>
          <w:i w:val="0"/>
        </w:rPr>
        <w:t>et al.</w:t>
      </w:r>
      <w:r>
        <w:rPr>
          <w:rStyle w:val="Emphasis"/>
        </w:rPr>
        <w:t xml:space="preserve"> </w:t>
      </w:r>
      <w:r>
        <w:t>Comments at 2 (AAJC Comments).  AAJC filed jointly with National Council of Asian Pacific Americans, OCA – Asian Pacific American Advocates, Filipina Women's Network, and Japanese American Citizens League.</w:t>
      </w:r>
    </w:p>
  </w:footnote>
  <w:footnote w:id="56">
    <w:p w:rsidR="00725C86" w:rsidP="00725C86" w14:paraId="5E59B3E9" w14:textId="77777777">
      <w:pPr>
        <w:pStyle w:val="FootnoteText"/>
      </w:pPr>
      <w:r>
        <w:rPr>
          <w:rStyle w:val="FootnoteReference"/>
        </w:rPr>
        <w:footnoteRef/>
      </w:r>
      <w:r>
        <w:t xml:space="preserve"> In doing so, we effectively adopt the proposal in the </w:t>
      </w:r>
      <w:r>
        <w:rPr>
          <w:i/>
          <w:iCs/>
        </w:rPr>
        <w:t>Second Further Notice</w:t>
      </w:r>
      <w:r>
        <w:t xml:space="preserve"> to eliminate the requirement to display the labels themselves in customer portals.  </w:t>
      </w:r>
      <w:r>
        <w:rPr>
          <w:i/>
          <w:iCs/>
        </w:rPr>
        <w:t>See Second Further Notice</w:t>
      </w:r>
      <w:r>
        <w:t xml:space="preserve">, 40 FCC </w:t>
      </w:r>
      <w:r>
        <w:t>Rcd</w:t>
      </w:r>
      <w:r>
        <w:t xml:space="preserve"> at </w:t>
      </w:r>
      <w:r w:rsidRPr="00C23514">
        <w:t>86</w:t>
      </w:r>
      <w:r>
        <w:t>20, para. 17.</w:t>
      </w:r>
    </w:p>
  </w:footnote>
  <w:footnote w:id="57">
    <w:p w:rsidR="00725C86" w:rsidP="00725C86" w14:paraId="3257E88F" w14:textId="77777777">
      <w:pPr>
        <w:pStyle w:val="FootnoteText"/>
      </w:pPr>
      <w:r>
        <w:rPr>
          <w:rStyle w:val="FootnoteReference"/>
        </w:rPr>
        <w:footnoteRef/>
      </w:r>
      <w:r>
        <w:t xml:space="preserve"> </w:t>
      </w:r>
      <w:r>
        <w:rPr>
          <w:i/>
        </w:rPr>
        <w:t>See</w:t>
      </w:r>
      <w:r>
        <w:t xml:space="preserve"> 47 CFR § 8.1(a)(2).  Links should take customers to their current plan and not a general landing page.  </w:t>
      </w:r>
    </w:p>
  </w:footnote>
  <w:footnote w:id="58">
    <w:p w:rsidR="00725C86" w:rsidP="00725C86" w14:paraId="7181738A" w14:textId="77777777">
      <w:pPr>
        <w:pStyle w:val="FootnoteText"/>
      </w:pPr>
      <w:r>
        <w:rPr>
          <w:rStyle w:val="FootnoteReference"/>
        </w:rPr>
        <w:footnoteRef/>
      </w:r>
      <w:r>
        <w:t xml:space="preserve"> </w:t>
      </w:r>
      <w:r>
        <w:rPr>
          <w:i/>
          <w:iCs/>
        </w:rPr>
        <w:t>See, e.g.</w:t>
      </w:r>
      <w:r>
        <w:t>, TURN Comments at 9-10; Peha Comments at 3; Accessibility Organizations Comments at 8-9 (arguing that the portal-based display “promotes transparency and enable consumers to recall easily what they purchased in case there are questions in the future about speed, service, or other billing disputes,” and emphasizes that visibility and ease of access are essential to the label’s consumer protection function); TURN Comments at 9; AARP Comments at 9; AAJC Comments at 2; Jordan Comments at 3, 5.</w:t>
      </w:r>
    </w:p>
  </w:footnote>
  <w:footnote w:id="59">
    <w:p w:rsidR="00725C86" w:rsidP="00725C86" w14:paraId="0E3A5AD0" w14:textId="77777777">
      <w:pPr>
        <w:pStyle w:val="FootnoteText"/>
      </w:pPr>
      <w:r>
        <w:rPr>
          <w:rStyle w:val="FootnoteReference"/>
        </w:rPr>
        <w:footnoteRef/>
      </w:r>
      <w:r>
        <w:t xml:space="preserve"> </w:t>
      </w:r>
      <w:r>
        <w:t>USTelecom</w:t>
      </w:r>
      <w:r>
        <w:t xml:space="preserve"> Comments at 3 (stating that the account portal requirement “</w:t>
      </w:r>
      <w:r w:rsidRPr="004B65FC">
        <w:t>can be overly burdensome for providers given that development work would be required to make changes to the customer’s portal</w:t>
      </w:r>
      <w:r>
        <w:t xml:space="preserve">”).  </w:t>
      </w:r>
    </w:p>
  </w:footnote>
  <w:footnote w:id="60">
    <w:p w:rsidR="00725C86" w:rsidP="00725C86" w14:paraId="6FBAA3C5" w14:textId="77777777">
      <w:pPr>
        <w:pStyle w:val="FootnoteText"/>
      </w:pPr>
      <w:r>
        <w:rPr>
          <w:rStyle w:val="FootnoteReference"/>
        </w:rPr>
        <w:footnoteRef/>
      </w:r>
      <w:r>
        <w:t xml:space="preserve"> NTCA Comments at 6; </w:t>
      </w:r>
      <w:r w:rsidRPr="00F64E7C">
        <w:rPr>
          <w:i/>
          <w:iCs/>
        </w:rPr>
        <w:t>se</w:t>
      </w:r>
      <w:r w:rsidRPr="007F7715">
        <w:rPr>
          <w:i/>
          <w:iCs/>
        </w:rPr>
        <w:t>e also</w:t>
      </w:r>
      <w:r w:rsidRPr="007F7715">
        <w:t xml:space="preserve"> </w:t>
      </w:r>
      <w:r w:rsidRPr="007F7715">
        <w:t>Breezeline</w:t>
      </w:r>
      <w:r w:rsidRPr="007F7715">
        <w:t xml:space="preserve"> Comments at 5-6 (noting that smaller providers face significant challenges in continuously updating web pages to integrate new labels, and their reliance on third-party vendors and legacy templates makes these updates particularly difficult, especially for mobile platforms).  </w:t>
      </w:r>
    </w:p>
  </w:footnote>
  <w:footnote w:id="61">
    <w:p w:rsidR="00725C86" w:rsidP="00725C86" w14:paraId="66299DF9" w14:textId="77777777">
      <w:pPr>
        <w:pStyle w:val="FootnoteText"/>
      </w:pPr>
      <w:r>
        <w:rPr>
          <w:rStyle w:val="FootnoteReference"/>
        </w:rPr>
        <w:footnoteRef/>
      </w:r>
      <w:r>
        <w:t xml:space="preserve"> </w:t>
      </w:r>
      <w:r>
        <w:t>Breezeline</w:t>
      </w:r>
      <w:r>
        <w:t xml:space="preserve"> Comments at 4; ICLE Comments at 12; NCTA Comments at 3; </w:t>
      </w:r>
      <w:r>
        <w:t>USTelecom</w:t>
      </w:r>
      <w:r>
        <w:t xml:space="preserve"> Comments at 3.</w:t>
      </w:r>
    </w:p>
  </w:footnote>
  <w:footnote w:id="62">
    <w:p w:rsidR="00725C86" w:rsidP="00725C86" w14:paraId="659E3864" w14:textId="77777777">
      <w:pPr>
        <w:pStyle w:val="FootnoteText"/>
      </w:pPr>
      <w:r>
        <w:rPr>
          <w:rStyle w:val="FootnoteReference"/>
        </w:rPr>
        <w:footnoteRef/>
      </w:r>
      <w:r>
        <w:t xml:space="preserve"> </w:t>
      </w:r>
      <w:r>
        <w:rPr>
          <w:i/>
          <w:iCs/>
        </w:rPr>
        <w:t>Broadband Label Order</w:t>
      </w:r>
      <w:r>
        <w:t xml:space="preserve">, 37 FCC </w:t>
      </w:r>
      <w:r>
        <w:t>Rcd</w:t>
      </w:r>
      <w:r>
        <w:t xml:space="preserve"> at 13716-17, para. 97 (stating that consumers “should be able to easily access their </w:t>
      </w:r>
      <w:r>
        <w:rPr>
          <w:i/>
        </w:rPr>
        <w:t xml:space="preserve">existing </w:t>
      </w:r>
      <w:r>
        <w:t xml:space="preserve">plans”) (emphasis added); </w:t>
      </w:r>
      <w:r>
        <w:rPr>
          <w:i/>
          <w:iCs/>
        </w:rPr>
        <w:t>id</w:t>
      </w:r>
      <w:r>
        <w:t xml:space="preserve">. (explaining that the portal access provision allows consumers “to more easily compare their </w:t>
      </w:r>
      <w:r>
        <w:rPr>
          <w:i/>
          <w:iCs/>
        </w:rPr>
        <w:t xml:space="preserve">current </w:t>
      </w:r>
      <w:r>
        <w:t xml:space="preserve">plans to alternative plans when shopping for broadband service in the future”) (emphasis added).  The </w:t>
      </w:r>
      <w:r>
        <w:rPr>
          <w:i/>
          <w:iCs/>
        </w:rPr>
        <w:t>Broadband Label Order</w:t>
      </w:r>
      <w:r>
        <w:t xml:space="preserve"> also points out that by being accessible at the portal, the label “assists consumers in identifying billing inaccuracies and unexpected fees,” </w:t>
      </w:r>
      <w:r>
        <w:rPr>
          <w:i/>
          <w:iCs/>
        </w:rPr>
        <w:t>id</w:t>
      </w:r>
      <w:r>
        <w:t>., which would not be possible if the label were not required to be associated with the consumer’s current plan.</w:t>
      </w:r>
    </w:p>
  </w:footnote>
  <w:footnote w:id="63">
    <w:p w:rsidR="00725C86" w:rsidP="00725C86" w14:paraId="01E6337E" w14:textId="77777777">
      <w:pPr>
        <w:pStyle w:val="FootnoteText"/>
      </w:pPr>
      <w:r>
        <w:rPr>
          <w:rStyle w:val="FootnoteReference"/>
        </w:rPr>
        <w:footnoteRef/>
      </w:r>
      <w:r>
        <w:t xml:space="preserve"> 47 CFR § 8.1(a)(2).</w:t>
      </w:r>
    </w:p>
  </w:footnote>
  <w:footnote w:id="64">
    <w:p w:rsidR="00725C86" w:rsidP="00725C86" w14:paraId="7752101C" w14:textId="77777777">
      <w:pPr>
        <w:pStyle w:val="FootnoteText"/>
      </w:pPr>
      <w:r>
        <w:rPr>
          <w:rStyle w:val="FootnoteReference"/>
        </w:rPr>
        <w:footnoteRef/>
      </w:r>
      <w:r>
        <w:t xml:space="preserve"> </w:t>
      </w:r>
      <w:r>
        <w:rPr>
          <w:i/>
          <w:iCs/>
        </w:rPr>
        <w:t>See</w:t>
      </w:r>
      <w:r>
        <w:t xml:space="preserve"> </w:t>
      </w:r>
      <w:r>
        <w:t>USTelecom</w:t>
      </w:r>
      <w:r>
        <w:t xml:space="preserve"> Reply at 3.</w:t>
      </w:r>
    </w:p>
  </w:footnote>
  <w:footnote w:id="65">
    <w:p w:rsidR="00725C86" w:rsidP="00725C86" w14:paraId="2240E9E1" w14:textId="77777777">
      <w:pPr>
        <w:pStyle w:val="FootnoteText"/>
      </w:pPr>
      <w:r>
        <w:rPr>
          <w:rStyle w:val="FootnoteReference"/>
        </w:rPr>
        <w:footnoteRef/>
      </w:r>
      <w:r>
        <w:t xml:space="preserve"> </w:t>
      </w:r>
      <w:r>
        <w:rPr>
          <w:i/>
          <w:iCs/>
        </w:rPr>
        <w:t>Broadband Label Order</w:t>
      </w:r>
      <w:r>
        <w:t xml:space="preserve">, 37 FCC </w:t>
      </w:r>
      <w:r>
        <w:t>Rcd</w:t>
      </w:r>
      <w:r>
        <w:t xml:space="preserve"> at 13716-17, para. 97.</w:t>
      </w:r>
    </w:p>
  </w:footnote>
  <w:footnote w:id="66">
    <w:p w:rsidR="00725C86" w:rsidP="00725C86" w14:paraId="2F590FEA" w14:textId="77777777">
      <w:pPr>
        <w:pStyle w:val="FootnoteText"/>
      </w:pPr>
      <w:r>
        <w:rPr>
          <w:rStyle w:val="FootnoteReference"/>
        </w:rPr>
        <w:footnoteRef/>
      </w:r>
      <w:r>
        <w:t xml:space="preserve"> NTCA Comments at 6; </w:t>
      </w:r>
      <w:r>
        <w:rPr>
          <w:i/>
          <w:iCs/>
        </w:rPr>
        <w:t>see also</w:t>
      </w:r>
      <w:r>
        <w:t xml:space="preserve"> ICLE Comments at 12.</w:t>
      </w:r>
    </w:p>
  </w:footnote>
  <w:footnote w:id="67">
    <w:p w:rsidR="00725C86" w:rsidP="00725C86" w14:paraId="06C4602C" w14:textId="77777777">
      <w:pPr>
        <w:pStyle w:val="FootnoteText"/>
      </w:pPr>
      <w:r>
        <w:rPr>
          <w:rStyle w:val="FootnoteReference"/>
        </w:rPr>
        <w:footnoteRef/>
      </w:r>
      <w:r>
        <w:t xml:space="preserve"> </w:t>
      </w:r>
      <w:r>
        <w:rPr>
          <w:i/>
          <w:iCs/>
        </w:rPr>
        <w:t>Broadband Label Order</w:t>
      </w:r>
      <w:r>
        <w:t xml:space="preserve">, 37 FCC </w:t>
      </w:r>
      <w:r>
        <w:t>Rcd</w:t>
      </w:r>
      <w:r>
        <w:t xml:space="preserve"> at 13716-17, para. 97.</w:t>
      </w:r>
    </w:p>
  </w:footnote>
  <w:footnote w:id="68">
    <w:p w:rsidR="00725C86" w:rsidP="00725C86" w14:paraId="36AA3B7F" w14:textId="77777777">
      <w:pPr>
        <w:pStyle w:val="FootnoteText"/>
      </w:pPr>
      <w:r>
        <w:rPr>
          <w:rStyle w:val="FootnoteReference"/>
        </w:rPr>
        <w:footnoteRef/>
      </w:r>
      <w:r>
        <w:t xml:space="preserve"> NTCA Comments at 6; </w:t>
      </w:r>
      <w:r>
        <w:t>USTelecom</w:t>
      </w:r>
      <w:r>
        <w:t xml:space="preserve"> Comments at 3.  </w:t>
      </w:r>
    </w:p>
  </w:footnote>
  <w:footnote w:id="69">
    <w:p w:rsidR="00725C86" w:rsidP="00725C86" w14:paraId="3BB943DD" w14:textId="77777777">
      <w:pPr>
        <w:pStyle w:val="FootnoteText"/>
      </w:pPr>
      <w:r>
        <w:rPr>
          <w:rStyle w:val="FootnoteReference"/>
        </w:rPr>
        <w:footnoteRef/>
      </w:r>
      <w:r>
        <w:t xml:space="preserve"> Providers who contend that requiring portal access imposes costs focus their cost claims on the full </w:t>
      </w:r>
      <w:r w:rsidRPr="00C75034">
        <w:rPr>
          <w:i/>
          <w:iCs/>
        </w:rPr>
        <w:t>display</w:t>
      </w:r>
      <w:r>
        <w:t xml:space="preserve"> of labels in portals, rather than the alternative of providing an icon or link.  NTCA Comments at 6 (referring to “the obligation that labels be displayed in online customer account portals” and stating that “this requirement imposes significant burdens and costs”); </w:t>
      </w:r>
      <w:r>
        <w:t>USTelecom</w:t>
      </w:r>
      <w:r>
        <w:t xml:space="preserve"> Comments at 3 (same).  As discussed further below, the burdens associated with providing full display of labels on web pages can be significantly reduced by substituting a link or icon that connects to the label.</w:t>
      </w:r>
      <w:r w:rsidRPr="00315C9A">
        <w:t xml:space="preserve"> </w:t>
      </w:r>
      <w:r>
        <w:t xml:space="preserve"> </w:t>
      </w:r>
      <w:r w:rsidRPr="008958B6">
        <w:rPr>
          <w:i/>
          <w:iCs/>
        </w:rPr>
        <w:t>See</w:t>
      </w:r>
      <w:r>
        <w:t xml:space="preserve"> </w:t>
      </w:r>
      <w:r w:rsidRPr="00C75034">
        <w:rPr>
          <w:i/>
          <w:iCs/>
        </w:rPr>
        <w:t>infra</w:t>
      </w:r>
      <w:r>
        <w:t xml:space="preserve"> paras. 26-28.</w:t>
      </w:r>
    </w:p>
  </w:footnote>
  <w:footnote w:id="70">
    <w:p w:rsidR="00725C86" w:rsidP="00725C86" w14:paraId="4D6D4F20" w14:textId="77777777">
      <w:pPr>
        <w:pStyle w:val="FootnoteText"/>
      </w:pPr>
      <w:r>
        <w:rPr>
          <w:rStyle w:val="FootnoteReference"/>
        </w:rPr>
        <w:footnoteRef/>
      </w:r>
      <w:r>
        <w:t xml:space="preserve"> </w:t>
      </w:r>
      <w:r>
        <w:rPr>
          <w:i/>
          <w:iCs/>
        </w:rPr>
        <w:t>Broadband Label Order</w:t>
      </w:r>
      <w:r>
        <w:t xml:space="preserve">, 37 FCC </w:t>
      </w:r>
      <w:r>
        <w:t>Rcd</w:t>
      </w:r>
      <w:r>
        <w:t xml:space="preserve"> at 13716-17, para. 97.</w:t>
      </w:r>
    </w:p>
  </w:footnote>
  <w:footnote w:id="71">
    <w:p w:rsidR="00725C86" w:rsidP="00725C86" w14:paraId="7581504B" w14:textId="77777777">
      <w:pPr>
        <w:pStyle w:val="FootnoteText"/>
      </w:pPr>
      <w:r>
        <w:rPr>
          <w:rStyle w:val="FootnoteReference"/>
        </w:rPr>
        <w:footnoteRef/>
      </w:r>
      <w:r>
        <w:t xml:space="preserve"> </w:t>
      </w:r>
      <w:r>
        <w:t>Breezeline</w:t>
      </w:r>
      <w:r>
        <w:t xml:space="preserve"> Comments at 4; </w:t>
      </w:r>
      <w:r>
        <w:t>USTelecom</w:t>
      </w:r>
      <w:r>
        <w:t xml:space="preserve"> Comments at 3; NTCA Reply at 6-7.</w:t>
      </w:r>
    </w:p>
  </w:footnote>
  <w:footnote w:id="72">
    <w:p w:rsidR="00725C86" w:rsidP="00725C86" w14:paraId="7CF24CFF" w14:textId="77777777">
      <w:pPr>
        <w:pStyle w:val="FootnoteText"/>
      </w:pPr>
      <w:r>
        <w:rPr>
          <w:rStyle w:val="FootnoteReference"/>
        </w:rPr>
        <w:footnoteRef/>
      </w:r>
      <w:r>
        <w:t xml:space="preserve"> </w:t>
      </w:r>
      <w:r w:rsidRPr="00B23E6A">
        <w:rPr>
          <w:i/>
          <w:iCs/>
        </w:rPr>
        <w:t>See</w:t>
      </w:r>
      <w:r>
        <w:t xml:space="preserve"> Letter from Scott Jordan to Marlene H. Dortch, Secretary, FCC, CG Docket No. 22-2, Attach. (filed Mar. 3, 2026) (slide deck examining bills from Charter, Comcast, Cox, AT&amp;T, and Verizon and finding none contained actual measured download speed, upload speed or latency).</w:t>
      </w:r>
    </w:p>
  </w:footnote>
  <w:footnote w:id="73">
    <w:p w:rsidR="00725C86" w:rsidP="00725C86" w14:paraId="7680C74C" w14:textId="77777777">
      <w:pPr>
        <w:pStyle w:val="FootnoteText"/>
      </w:pPr>
      <w:r>
        <w:rPr>
          <w:rStyle w:val="FootnoteReference"/>
        </w:rPr>
        <w:footnoteRef/>
      </w:r>
      <w:r>
        <w:t xml:space="preserve"> </w:t>
      </w:r>
      <w:r>
        <w:rPr>
          <w:i/>
          <w:iCs/>
        </w:rPr>
        <w:t>See</w:t>
      </w:r>
      <w:r>
        <w:t xml:space="preserve"> </w:t>
      </w:r>
      <w:r>
        <w:t>Breezeline</w:t>
      </w:r>
      <w:r>
        <w:t xml:space="preserve"> Comments at 5-6 (presenting detailed labels directly on marketing pages often overwhelms customers and creates unnecessary confusion, and a clearly marked link or icon would provide a cleaner, more user-friendly experience while still ensuring consumers have full access to all required information); ACA Connects at 10-11 (observing that flexibility “would reduce visual clutter and make web pages easier to navigate, especially when displayed on a mobile device”); WISPA at 5 (arguing that “full static labels make webpages cluttered, difficult to navigate, and visually inaccessible”).</w:t>
      </w:r>
    </w:p>
  </w:footnote>
  <w:footnote w:id="74">
    <w:p w:rsidR="00725C86" w:rsidP="00725C86" w14:paraId="456AA7C5" w14:textId="77777777">
      <w:pPr>
        <w:pStyle w:val="FootnoteText"/>
      </w:pPr>
      <w:r>
        <w:rPr>
          <w:rStyle w:val="FootnoteReference"/>
        </w:rPr>
        <w:footnoteRef/>
      </w:r>
      <w:r>
        <w:t xml:space="preserve"> CTIA Comments at 12-13 (mandating full label display alongside marketing content creates significant design and operational challenges, particularly on mobile devices where screen space is limited).</w:t>
      </w:r>
    </w:p>
  </w:footnote>
  <w:footnote w:id="75">
    <w:p w:rsidR="00725C86" w:rsidP="00725C86" w14:paraId="27B2FF78" w14:textId="77777777">
      <w:pPr>
        <w:pStyle w:val="FootnoteText"/>
        <w:rPr>
          <w:highlight w:val="yellow"/>
        </w:rPr>
      </w:pPr>
      <w:r>
        <w:rPr>
          <w:rStyle w:val="FootnoteReference"/>
        </w:rPr>
        <w:footnoteRef/>
      </w:r>
      <w:r>
        <w:t xml:space="preserve"> </w:t>
      </w:r>
      <w:r>
        <w:rPr>
          <w:i/>
        </w:rPr>
        <w:t>Broadband Label Order</w:t>
      </w:r>
      <w:r>
        <w:t xml:space="preserve">, 37 FCC </w:t>
      </w:r>
      <w:r>
        <w:t>Rcd</w:t>
      </w:r>
      <w:r>
        <w:t xml:space="preserve"> at 13715, para. 91.</w:t>
      </w:r>
    </w:p>
  </w:footnote>
  <w:footnote w:id="76">
    <w:p w:rsidR="00725C86" w:rsidP="00725C86" w14:paraId="18FF5C56" w14:textId="77777777">
      <w:pPr>
        <w:pStyle w:val="FootnoteText"/>
      </w:pPr>
      <w:r>
        <w:rPr>
          <w:rStyle w:val="FootnoteReference"/>
        </w:rPr>
        <w:footnoteRef/>
      </w:r>
      <w:r>
        <w:t xml:space="preserve"> </w:t>
      </w:r>
      <w:r w:rsidRPr="0001110A">
        <w:rPr>
          <w:i/>
        </w:rPr>
        <w:t xml:space="preserve">Id. </w:t>
      </w:r>
      <w:r w:rsidRPr="0001110A">
        <w:rPr>
          <w:iCs/>
        </w:rPr>
        <w:t xml:space="preserve">at </w:t>
      </w:r>
      <w:r w:rsidRPr="00E17CCD">
        <w:rPr>
          <w:iCs/>
        </w:rPr>
        <w:t>13715</w:t>
      </w:r>
      <w:r>
        <w:rPr>
          <w:iCs/>
        </w:rPr>
        <w:t xml:space="preserve">-16, </w:t>
      </w:r>
      <w:r w:rsidRPr="0001110A">
        <w:t>para. 94.</w:t>
      </w:r>
    </w:p>
  </w:footnote>
  <w:footnote w:id="77">
    <w:p w:rsidR="00725C86" w:rsidP="00725C86" w14:paraId="17861C7F" w14:textId="77777777">
      <w:pPr>
        <w:pStyle w:val="FootnoteText"/>
      </w:pPr>
      <w:r>
        <w:rPr>
          <w:rStyle w:val="FootnoteReference"/>
        </w:rPr>
        <w:footnoteRef/>
      </w:r>
      <w:r>
        <w:t xml:space="preserve"> </w:t>
      </w:r>
      <w:r>
        <w:rPr>
          <w:i/>
          <w:iCs/>
        </w:rPr>
        <w:t>See</w:t>
      </w:r>
      <w:r>
        <w:t xml:space="preserve"> CTIA Comments at 12-13 (discussing operational challenges with displaying labels on mobile devices); ACA Connects at 10-11 (asserting that “[c]</w:t>
      </w:r>
      <w:r>
        <w:t>onfiguring</w:t>
      </w:r>
      <w:r>
        <w:t xml:space="preserve"> webpages to display the complete label—particularly in a way that is responsive, accessible, and compatible with existing site architecture—has been a consistent point of pain for smaller ACA Connects Members,” and adding that for providers that rely on third-party vendors or legacy website templates, “integrating the full label into those systems has required unexpected redesigns, custom coding, and recurring maintenance”).</w:t>
      </w:r>
    </w:p>
  </w:footnote>
  <w:footnote w:id="78">
    <w:p w:rsidR="00725C86" w:rsidP="00725C86" w14:paraId="0EFFF208" w14:textId="77777777">
      <w:pPr>
        <w:pStyle w:val="FootnoteText"/>
      </w:pPr>
      <w:r>
        <w:rPr>
          <w:rStyle w:val="FootnoteReference"/>
        </w:rPr>
        <w:footnoteRef/>
      </w:r>
      <w:r>
        <w:t xml:space="preserve"> </w:t>
      </w:r>
      <w:r>
        <w:rPr>
          <w:i/>
          <w:iCs/>
        </w:rPr>
        <w:t>See</w:t>
      </w:r>
      <w:r>
        <w:t xml:space="preserve"> TURN Comments at 6; Accessibility Organizations Comments at 12 (citing 47 CFR § 8.1(a)(1)); Public Knowledge et al. Comments at 11.  Although commenters raise these concerns primarily in the context of portal display and telephone disclosure, the principles they articulate apply with equal force to point of sale display, where consumers are making active purchase decisions and immediate access to label information is most critical. </w:t>
      </w:r>
      <w:r>
        <w:rPr>
          <w:i/>
          <w:iCs/>
        </w:rPr>
        <w:t xml:space="preserve"> </w:t>
      </w:r>
      <w:r>
        <w:rPr>
          <w:i/>
        </w:rPr>
        <w:t>See id</w:t>
      </w:r>
      <w:r>
        <w:t xml:space="preserve">.; </w:t>
      </w:r>
      <w:r>
        <w:rPr>
          <w:i/>
          <w:iCs/>
        </w:rPr>
        <w:t>see also</w:t>
      </w:r>
      <w:r>
        <w:rPr>
          <w:i/>
        </w:rPr>
        <w:t xml:space="preserve"> </w:t>
      </w:r>
      <w:r>
        <w:t xml:space="preserve">Letter from Asian Americans Advancing Justice – AAJC, Benton Institute for Broadband &amp; Society, Common Cause, Consumer Reports, </w:t>
      </w:r>
      <w:r>
        <w:t>MediaJustice</w:t>
      </w:r>
      <w:r>
        <w:t>, National Consumer Law Center, National Hispanic Media Coalition, New America’s Open Technology Institute, Public Knowledge, and United Church of Christ Media Justice Ministry to Marlene H. Dortch, Secretary, FCC, CG Docket No. 22-2, at 2-3 (filed Apr. 27, 2022) (AAJC et al. Letter) (arguing that labels must be “immediately visible” to consumers at the point of sale and that relegating crucial service information to back pages or requiring credit card submission before label access undermines transparency); New America’s Open Technology Institute Comments, CG Docket No. 22-2, at 8-9 (Mar. 9, 2022) (arguing that labels must be prominently displayed and immediately visible when consumers interact with provider marketing materials, and that ISP ordering systems that conceal label access until late in the purchase flow, including after entry of address and credit card information, undermine the transparency purpose of the rule; noting that labels must be accessible to prospective customers “by merely browsing the website, app, or other marketing materials”).</w:t>
      </w:r>
    </w:p>
  </w:footnote>
  <w:footnote w:id="79">
    <w:p w:rsidR="00725C86" w:rsidP="00725C86" w14:paraId="0BF4D1BC" w14:textId="77777777">
      <w:pPr>
        <w:pStyle w:val="FootnoteText"/>
      </w:pPr>
      <w:r>
        <w:rPr>
          <w:rStyle w:val="FootnoteReference"/>
        </w:rPr>
        <w:footnoteRef/>
      </w:r>
      <w:r>
        <w:t xml:space="preserve"> </w:t>
      </w:r>
      <w:r w:rsidRPr="00DC4870">
        <w:rPr>
          <w:i/>
          <w:iCs/>
        </w:rPr>
        <w:t>See</w:t>
      </w:r>
      <w:r>
        <w:t xml:space="preserve"> Letter from Ryan Johnston, TURN, to Marlene H. Dortch, Secretary, FCC, CG Docket No. 22-2, at 2 (filed Ju. 15, 2026) (raising a concern that if a link or icon is used in lieu of full label display, it may not be immediately obvious to a consumer that the link or icon leads to the label). </w:t>
      </w:r>
    </w:p>
  </w:footnote>
  <w:footnote w:id="80">
    <w:p w:rsidR="00725C86" w:rsidP="00725C86" w14:paraId="4A1ECEF2" w14:textId="77777777">
      <w:pPr>
        <w:pStyle w:val="FootnoteText"/>
      </w:pPr>
      <w:r>
        <w:rPr>
          <w:rStyle w:val="FootnoteReference"/>
        </w:rPr>
        <w:footnoteRef/>
      </w:r>
      <w:r>
        <w:t xml:space="preserve"> </w:t>
      </w:r>
      <w:r>
        <w:rPr>
          <w:i/>
          <w:iCs/>
        </w:rPr>
        <w:t>See</w:t>
      </w:r>
      <w:r>
        <w:t xml:space="preserve"> CTIA Comments at 9; </w:t>
      </w:r>
      <w:r>
        <w:t>USTelecom</w:t>
      </w:r>
      <w:r>
        <w:t xml:space="preserve"> Comments at 4; NTCA Comments at 10-14; Tri-Caucus Comments at 1-2; NYSPSC Comments at 2-3; AARP Comments at 11-12; AAJC Comments at 2; Accessibility Organizations Comments at 10; Public Knowledge et al. Comments at 4-5; TURN Reply at 5-6.</w:t>
      </w:r>
    </w:p>
  </w:footnote>
  <w:footnote w:id="81">
    <w:p w:rsidR="00725C86" w:rsidP="00725C86" w14:paraId="1AF5F5DB" w14:textId="77777777">
      <w:pPr>
        <w:pStyle w:val="FootnoteText"/>
      </w:pPr>
      <w:r>
        <w:rPr>
          <w:rStyle w:val="FootnoteReference"/>
          <w:bCs/>
        </w:rPr>
        <w:footnoteRef/>
      </w:r>
      <w:r>
        <w:t xml:space="preserve"> </w:t>
      </w:r>
      <w:r>
        <w:rPr>
          <w:i/>
          <w:iCs/>
        </w:rPr>
        <w:t>See</w:t>
      </w:r>
      <w:r>
        <w:t xml:space="preserve"> 47 CFR § 8.1(a)(4).   </w:t>
      </w:r>
    </w:p>
  </w:footnote>
  <w:footnote w:id="82">
    <w:p w:rsidR="00725C86" w:rsidP="00725C86" w14:paraId="68E58129" w14:textId="77777777">
      <w:pPr>
        <w:pStyle w:val="FootnoteText"/>
      </w:pPr>
      <w:r>
        <w:rPr>
          <w:rStyle w:val="FootnoteReference"/>
        </w:rPr>
        <w:footnoteRef/>
      </w:r>
      <w:r>
        <w:t xml:space="preserve"> </w:t>
      </w:r>
      <w:r>
        <w:rPr>
          <w:i/>
          <w:iCs/>
        </w:rPr>
        <w:t>See</w:t>
      </w:r>
      <w:r>
        <w:t xml:space="preserve"> </w:t>
      </w:r>
      <w:r>
        <w:t>Breezeline</w:t>
      </w:r>
      <w:r>
        <w:t xml:space="preserve"> Comments at 4; WISPA Comments at 5. </w:t>
      </w:r>
    </w:p>
  </w:footnote>
  <w:footnote w:id="83">
    <w:p w:rsidR="00725C86" w:rsidP="00725C86" w14:paraId="47990159" w14:textId="77777777">
      <w:pPr>
        <w:pStyle w:val="FootnoteText"/>
      </w:pPr>
      <w:r>
        <w:rPr>
          <w:rStyle w:val="FootnoteReference"/>
        </w:rPr>
        <w:footnoteRef/>
      </w:r>
      <w:r>
        <w:t xml:space="preserve"> </w:t>
      </w:r>
      <w:r>
        <w:t>Breezeline</w:t>
      </w:r>
      <w:r>
        <w:t xml:space="preserve"> Comments at 4.</w:t>
      </w:r>
    </w:p>
  </w:footnote>
  <w:footnote w:id="84">
    <w:p w:rsidR="00725C86" w:rsidP="00725C86" w14:paraId="53D58C0C" w14:textId="77777777">
      <w:pPr>
        <w:pStyle w:val="FootnoteText"/>
      </w:pPr>
      <w:r>
        <w:rPr>
          <w:rStyle w:val="FootnoteReference"/>
        </w:rPr>
        <w:footnoteRef/>
      </w:r>
      <w:r>
        <w:t xml:space="preserve"> CTIA Comments at 9-10 (“[A] policy of displaying labels in any language in which a provider markets is sound, as providers will already have experience and resources for translating materials into the languages they use for marketing.”).</w:t>
      </w:r>
    </w:p>
  </w:footnote>
  <w:footnote w:id="85">
    <w:p w:rsidR="00725C86" w:rsidP="00725C86" w14:paraId="426A8499" w14:textId="77777777">
      <w:pPr>
        <w:pStyle w:val="FootnoteText"/>
      </w:pPr>
      <w:r>
        <w:rPr>
          <w:rStyle w:val="FootnoteReference"/>
        </w:rPr>
        <w:footnoteRef/>
      </w:r>
      <w:r>
        <w:t xml:space="preserve"> 47 CFR </w:t>
      </w:r>
      <w:r w:rsidRPr="00256349">
        <w:t>§</w:t>
      </w:r>
      <w:r>
        <w:t xml:space="preserve"> 8.1(a)(3); </w:t>
      </w:r>
      <w:r w:rsidRPr="000046F7">
        <w:rPr>
          <w:i/>
          <w:iCs/>
        </w:rPr>
        <w:t>Second Further Notice</w:t>
      </w:r>
      <w:r w:rsidRPr="000046F7">
        <w:t xml:space="preserve">, 40 FCC </w:t>
      </w:r>
      <w:r w:rsidRPr="000046F7">
        <w:t>Rcd</w:t>
      </w:r>
      <w:r w:rsidRPr="000046F7">
        <w:t xml:space="preserve"> at 8620, para</w:t>
      </w:r>
      <w:r>
        <w:t>.</w:t>
      </w:r>
      <w:r w:rsidRPr="000046F7">
        <w:t xml:space="preserve"> 20</w:t>
      </w:r>
      <w:r>
        <w:t xml:space="preserve"> (proposing to delete </w:t>
      </w:r>
      <w:r w:rsidRPr="00241DFA">
        <w:t>47 CFR §</w:t>
      </w:r>
      <w:r>
        <w:t> </w:t>
      </w:r>
      <w:r w:rsidRPr="00241DFA">
        <w:t>8.</w:t>
      </w:r>
      <w:r>
        <w:t>1</w:t>
      </w:r>
      <w:r w:rsidRPr="00241DFA">
        <w:t>(a)(</w:t>
      </w:r>
      <w:r>
        <w:t>3)).  The eliminated requirement is for a separately hosted machine-readable data file in a format such as CSV, JSON, or XML, designed primarily for bulk data aggregation by third parties.  This is distinct from the label that consumers view directly in their browser, in formats such as HTML, which are inherently compatible with assistive technologies such as screen readers and do not require additional software or steps to access.</w:t>
      </w:r>
    </w:p>
  </w:footnote>
  <w:footnote w:id="86">
    <w:p w:rsidR="00725C86" w:rsidP="00725C86" w14:paraId="0B6DAC10" w14:textId="77777777">
      <w:pPr>
        <w:pStyle w:val="FootnoteText"/>
      </w:pPr>
      <w:r>
        <w:rPr>
          <w:rStyle w:val="FootnoteReference"/>
        </w:rPr>
        <w:footnoteRef/>
      </w:r>
      <w:r>
        <w:t xml:space="preserve"> </w:t>
      </w:r>
      <w:r>
        <w:rPr>
          <w:i/>
          <w:iCs/>
        </w:rPr>
        <w:t>See</w:t>
      </w:r>
      <w:r>
        <w:t xml:space="preserve"> 47 CFR § 8.1(a)(1) (providing that labels must be “easily accessible to consumers, including consumers with disabilities, at the point of sale”); </w:t>
      </w:r>
      <w:r>
        <w:rPr>
          <w:i/>
          <w:iCs/>
        </w:rPr>
        <w:t>Broadband Label Order</w:t>
      </w:r>
      <w:r>
        <w:t xml:space="preserve">, 37 FCC </w:t>
      </w:r>
      <w:r>
        <w:t>Rcd</w:t>
      </w:r>
      <w:r>
        <w:t xml:space="preserve"> at 13712, paras. 81-82.</w:t>
      </w:r>
    </w:p>
  </w:footnote>
  <w:footnote w:id="87">
    <w:p w:rsidR="00725C86" w:rsidP="00725C86" w14:paraId="096EAA6C" w14:textId="77777777">
      <w:pPr>
        <w:pStyle w:val="FootnoteText"/>
      </w:pPr>
      <w:r>
        <w:rPr>
          <w:rStyle w:val="FootnoteReference"/>
        </w:rPr>
        <w:footnoteRef/>
      </w:r>
      <w:r>
        <w:t xml:space="preserve"> </w:t>
      </w:r>
      <w:r>
        <w:rPr>
          <w:i/>
          <w:iCs/>
        </w:rPr>
        <w:t>See, e.g.</w:t>
      </w:r>
      <w:r>
        <w:t xml:space="preserve">, ACA Connects Comments at 6 (asserting that the requirement “has no clear basis in the statute” and imposes burdens “particularly [on] small and mid-sized providers with limited engineering resources”); </w:t>
      </w:r>
      <w:r>
        <w:t>USTelecom</w:t>
      </w:r>
      <w:r>
        <w:t xml:space="preserve"> Comments at 2 (arguing the requirement “has no clear purpose or benefit except for third parties seeking to mine this information,” and noting that, in any event, such third parties can “collect this information directly from the consumer-formatted versions of the labels that providers will continue to make available on their websites”); CTIA Comments at 5 (noting that this data structure “was never intended to be used by consumers” and is “accessed only infrequently”); ICLE Comments at 13 (“The expense is not data storage but the systems development and maintenance required to extract label information from providers’ various systems, format it consistently according to specifications, validate it for accuracy and update it continuously as plans change.”).</w:t>
      </w:r>
    </w:p>
  </w:footnote>
  <w:footnote w:id="88">
    <w:p w:rsidR="00725C86" w:rsidP="00725C86" w14:paraId="758CA515" w14:textId="77777777">
      <w:pPr>
        <w:pStyle w:val="FootnoteText"/>
      </w:pPr>
      <w:r>
        <w:rPr>
          <w:rStyle w:val="FootnoteReference"/>
        </w:rPr>
        <w:footnoteRef/>
      </w:r>
      <w:r>
        <w:t xml:space="preserve"> 47 U.S.C. § 1753(a); </w:t>
      </w:r>
      <w:r>
        <w:rPr>
          <w:i/>
          <w:iCs/>
        </w:rPr>
        <w:t>see also</w:t>
      </w:r>
      <w:r>
        <w:t xml:space="preserve"> </w:t>
      </w:r>
      <w:r>
        <w:rPr>
          <w:i/>
        </w:rPr>
        <w:t>2016 Broadband Labels PN</w:t>
      </w:r>
      <w:r>
        <w:t xml:space="preserve">, 31 FCC </w:t>
      </w:r>
      <w:r>
        <w:t>Rcd</w:t>
      </w:r>
      <w:r>
        <w:t xml:space="preserve"> at 3358 (noting the Commission’s prior finding that labels would provide consumers “an easy way to understand provider prices, performance, and network practices” by “convey[</w:t>
      </w:r>
      <w:r>
        <w:t>ing</w:t>
      </w:r>
      <w:r>
        <w:t>] the required information in a simple-to-understand format that would enable consumers to compare services of different broadband providers”).</w:t>
      </w:r>
    </w:p>
  </w:footnote>
  <w:footnote w:id="89">
    <w:p w:rsidR="00725C86" w:rsidP="00725C86" w14:paraId="2FA60B25" w14:textId="77777777">
      <w:pPr>
        <w:pStyle w:val="FootnoteText"/>
      </w:pPr>
      <w:r>
        <w:rPr>
          <w:rStyle w:val="FootnoteReference"/>
        </w:rPr>
        <w:footnoteRef/>
      </w:r>
      <w:r>
        <w:t xml:space="preserve"> </w:t>
      </w:r>
      <w:r>
        <w:rPr>
          <w:i/>
          <w:iCs/>
        </w:rPr>
        <w:t>See, e.g</w:t>
      </w:r>
      <w:r>
        <w:t xml:space="preserve">., 47 U.S.C. § 1753(a) (directing the Commission to “require the display of broadband consumer labels, as described in [the </w:t>
      </w:r>
      <w:r>
        <w:rPr>
          <w:i/>
          <w:iCs/>
        </w:rPr>
        <w:t>2016 Broadband Labels Public Notice</w:t>
      </w:r>
      <w:r>
        <w:t xml:space="preserve">]”).  The format of the labels approved in that public notice bear an obvious resemblance to nutrition labels.  Further, the </w:t>
      </w:r>
      <w:r>
        <w:rPr>
          <w:i/>
          <w:iCs/>
        </w:rPr>
        <w:t>2015 Open Internet Order</w:t>
      </w:r>
      <w:r>
        <w:t xml:space="preserve">, which adopted the transparency rule that the original broadband label was designed to implement, also described the format of a broadband label as “similar to a nutrition label.”  </w:t>
      </w:r>
      <w:r>
        <w:rPr>
          <w:i/>
          <w:iCs/>
        </w:rPr>
        <w:t>2015 Open Internet Order</w:t>
      </w:r>
      <w:r>
        <w:t xml:space="preserve">, 30 FCC </w:t>
      </w:r>
      <w:r>
        <w:t>Rcd</w:t>
      </w:r>
      <w:r>
        <w:t xml:space="preserve"> at 5680, para. 179; </w:t>
      </w:r>
      <w:r>
        <w:rPr>
          <w:i/>
          <w:iCs/>
        </w:rPr>
        <w:t>see also</w:t>
      </w:r>
      <w:r>
        <w:t xml:space="preserve"> </w:t>
      </w:r>
      <w:r>
        <w:rPr>
          <w:i/>
          <w:iCs/>
        </w:rPr>
        <w:t>2018 Preserving Internet Freedom Order</w:t>
      </w:r>
      <w:r>
        <w:t xml:space="preserve">, 33 FCC </w:t>
      </w:r>
      <w:r>
        <w:t>Rcd</w:t>
      </w:r>
      <w:r>
        <w:t xml:space="preserve"> at 624-25, para. 179.  In adopting the broadband label rule in 2022, the Commission repeatedly analogized a broadband label to a nutrition label.  </w:t>
      </w:r>
      <w:r>
        <w:rPr>
          <w:i/>
          <w:iCs/>
        </w:rPr>
        <w:t>See, e.g.</w:t>
      </w:r>
      <w:r>
        <w:t xml:space="preserve">, </w:t>
      </w:r>
      <w:r>
        <w:rPr>
          <w:i/>
          <w:iCs/>
        </w:rPr>
        <w:t>Broadband Label Order</w:t>
      </w:r>
      <w:r>
        <w:t xml:space="preserve">, 37 FCC </w:t>
      </w:r>
      <w:r>
        <w:t>Rcd</w:t>
      </w:r>
      <w:r>
        <w:t xml:space="preserve"> at 13690, 13706, 13715, paras. 14, 64, 92.  The Nutrition Labeling and Education Act ensures consumers receive standardized information at the point of purchase.  While researchers and app developers may use nutrition label data for various purposes, including facilitating consumer shopping, the statutory mandate centers on consumer access, not facilitating third-party data aggregation.  </w:t>
      </w:r>
      <w:r>
        <w:rPr>
          <w:i/>
          <w:iCs/>
        </w:rPr>
        <w:t>See, e.g</w:t>
      </w:r>
      <w:r>
        <w:t>., Pub. L. No. 101-535, 104 Stat. 2353 (1990).</w:t>
      </w:r>
    </w:p>
  </w:footnote>
  <w:footnote w:id="90">
    <w:p w:rsidR="00725C86" w:rsidP="00725C86" w14:paraId="10064F4E" w14:textId="77777777">
      <w:pPr>
        <w:pStyle w:val="FootnoteText"/>
      </w:pPr>
      <w:r>
        <w:rPr>
          <w:rStyle w:val="FootnoteReference"/>
        </w:rPr>
        <w:footnoteRef/>
      </w:r>
      <w:r>
        <w:t xml:space="preserve"> </w:t>
      </w:r>
      <w:r>
        <w:rPr>
          <w:i/>
          <w:iCs/>
        </w:rPr>
        <w:t>Broadband Label Order</w:t>
      </w:r>
      <w:r>
        <w:t xml:space="preserve">, 37 FCC </w:t>
      </w:r>
      <w:r>
        <w:t>Rcd</w:t>
      </w:r>
      <w:r>
        <w:t xml:space="preserve"> at 13708-09, paras. 69-72. </w:t>
      </w:r>
    </w:p>
  </w:footnote>
  <w:footnote w:id="91">
    <w:p w:rsidR="00725C86" w:rsidP="00725C86" w14:paraId="5D1D140A" w14:textId="77777777">
      <w:pPr>
        <w:pStyle w:val="FootnoteText"/>
      </w:pPr>
      <w:r>
        <w:rPr>
          <w:rStyle w:val="FootnoteReference"/>
        </w:rPr>
        <w:footnoteRef/>
      </w:r>
      <w:r>
        <w:t xml:space="preserve"> </w:t>
      </w:r>
      <w:r>
        <w:rPr>
          <w:i/>
          <w:iCs/>
        </w:rPr>
        <w:t xml:space="preserve">See id. </w:t>
      </w:r>
      <w:r>
        <w:t>at 13708, para. 69 (acknowledging that section 60504 of the Infrastructure Act does not expressly address the format requirements for broadband labels).</w:t>
      </w:r>
    </w:p>
  </w:footnote>
  <w:footnote w:id="92">
    <w:p w:rsidR="00725C86" w:rsidP="00725C86" w14:paraId="3F96A005" w14:textId="77777777">
      <w:pPr>
        <w:pStyle w:val="FootnoteText"/>
      </w:pPr>
      <w:r>
        <w:rPr>
          <w:rStyle w:val="FootnoteReference"/>
        </w:rPr>
        <w:footnoteRef/>
      </w:r>
      <w:r>
        <w:t xml:space="preserve"> </w:t>
      </w:r>
      <w:r>
        <w:rPr>
          <w:i/>
        </w:rPr>
        <w:t>2016 Broadband Labels PN</w:t>
      </w:r>
      <w:r>
        <w:t>, 31 FCC at 3359.</w:t>
      </w:r>
    </w:p>
  </w:footnote>
  <w:footnote w:id="93">
    <w:p w:rsidR="00725C86" w:rsidP="00725C86" w14:paraId="1085B83C" w14:textId="77777777">
      <w:pPr>
        <w:pStyle w:val="FootnoteText"/>
      </w:pPr>
      <w:r>
        <w:rPr>
          <w:rStyle w:val="FootnoteReference"/>
        </w:rPr>
        <w:footnoteRef/>
      </w:r>
      <w:r>
        <w:t xml:space="preserve"> We note that the machine-readability requirement was adopted prior to the Supreme Court’s decision in </w:t>
      </w:r>
      <w:r>
        <w:rPr>
          <w:i/>
          <w:iCs/>
        </w:rPr>
        <w:t>Loper Bright Enterprises v. Raimondo</w:t>
      </w:r>
      <w:r>
        <w:t xml:space="preserve">, 603 U.S. 369, 392 (2024), ruling (among other things) that “agency interpretations of statutes . . . are </w:t>
      </w:r>
      <w:r>
        <w:rPr>
          <w:i/>
        </w:rPr>
        <w:t>not</w:t>
      </w:r>
      <w:r>
        <w:t xml:space="preserve"> entitled to deference.”  </w:t>
      </w:r>
    </w:p>
  </w:footnote>
  <w:footnote w:id="94">
    <w:p w:rsidR="00725C86" w:rsidP="00725C86" w14:paraId="74F99628" w14:textId="77777777">
      <w:pPr>
        <w:pStyle w:val="FootnoteText"/>
      </w:pPr>
      <w:r>
        <w:rPr>
          <w:rStyle w:val="FootnoteReference"/>
        </w:rPr>
        <w:footnoteRef/>
      </w:r>
      <w:r>
        <w:t xml:space="preserve"> </w:t>
      </w:r>
      <w:r>
        <w:rPr>
          <w:i/>
          <w:iCs/>
        </w:rPr>
        <w:t>See, e.g.</w:t>
      </w:r>
      <w:r>
        <w:t>, ACA Connects Comments at 6-7 (“[A]</w:t>
      </w:r>
      <w:r>
        <w:t>ny</w:t>
      </w:r>
      <w:r>
        <w:t xml:space="preserve"> benefits </w:t>
      </w:r>
      <w:r>
        <w:rPr>
          <w:rFonts w:eastAsia="Aptos"/>
          <w:szCs w:val="22"/>
        </w:rPr>
        <w:t xml:space="preserve">are outweighed by </w:t>
      </w:r>
      <w:r>
        <w:t xml:space="preserve">the costs of generating, hosting, and continuously updating machine-readable broadband labels, which are particularly burdensome for small and mid-sized providers with limited engineering resources.”); </w:t>
      </w:r>
      <w:r>
        <w:t>Breezeline</w:t>
      </w:r>
      <w:r>
        <w:t xml:space="preserve"> Comments at 4 (“Developing and maintaining specialized machine-readable files for every individual plan entails significant cost and time for little corresponding benefit to consumers.”).</w:t>
      </w:r>
    </w:p>
  </w:footnote>
  <w:footnote w:id="95">
    <w:p w:rsidR="00725C86" w:rsidP="00725C86" w14:paraId="26027DDC" w14:textId="77777777">
      <w:pPr>
        <w:pStyle w:val="FootnoteText"/>
      </w:pPr>
      <w:r>
        <w:rPr>
          <w:rStyle w:val="FootnoteReference"/>
        </w:rPr>
        <w:footnoteRef/>
      </w:r>
      <w:r>
        <w:t xml:space="preserve"> </w:t>
      </w:r>
      <w:r>
        <w:rPr>
          <w:i/>
          <w:iCs/>
        </w:rPr>
        <w:t>See, e.g.</w:t>
      </w:r>
      <w:r>
        <w:t xml:space="preserve">, ICLE Comments at 12-14 (identifying the primary expense as “the systems development and maintenance required to extract label information from providers’ various systems, format it consistently according to specifications, validate it for accuracy, and update it continuously as plans change.  These are nontrivial software development and database-management tasks.”).  </w:t>
      </w:r>
    </w:p>
  </w:footnote>
  <w:footnote w:id="96">
    <w:p w:rsidR="00725C86" w:rsidP="00725C86" w14:paraId="48A3282E" w14:textId="77777777">
      <w:pPr>
        <w:pStyle w:val="FootnoteText"/>
      </w:pPr>
      <w:r>
        <w:rPr>
          <w:rStyle w:val="FootnoteReference"/>
        </w:rPr>
        <w:footnoteRef/>
      </w:r>
      <w:r>
        <w:t xml:space="preserve"> </w:t>
      </w:r>
      <w:r>
        <w:rPr>
          <w:szCs w:val="22"/>
        </w:rPr>
        <w:t xml:space="preserve">BroadbandToolkit.com </w:t>
      </w:r>
      <w:r>
        <w:t>Comments at 2-3; John Peha Comments at 6; AARP Comments at 11; Accessibility Organizations Comments at 7; TURN Comments at 6.</w:t>
      </w:r>
    </w:p>
  </w:footnote>
  <w:footnote w:id="97">
    <w:p w:rsidR="00725C86" w:rsidP="00725C86" w14:paraId="36493C96" w14:textId="77777777">
      <w:pPr>
        <w:pStyle w:val="FootnoteText"/>
      </w:pPr>
      <w:r>
        <w:rPr>
          <w:rStyle w:val="FootnoteReference"/>
        </w:rPr>
        <w:footnoteRef/>
      </w:r>
      <w:r>
        <w:t xml:space="preserve"> ICLE Comments at 13.</w:t>
      </w:r>
    </w:p>
  </w:footnote>
  <w:footnote w:id="98">
    <w:p w:rsidR="00725C86" w:rsidP="00725C86" w14:paraId="32A61219" w14:textId="77777777">
      <w:pPr>
        <w:pStyle w:val="FootnoteText"/>
      </w:pPr>
      <w:r>
        <w:rPr>
          <w:rStyle w:val="FootnoteReference"/>
        </w:rPr>
        <w:footnoteRef/>
      </w:r>
      <w:r>
        <w:t xml:space="preserve"> Accessibility Organizations Comments at 7 (“[I]t is our experience that this requirement is essential to ensure that </w:t>
      </w:r>
      <w:r>
        <w:t>DeafBlind</w:t>
      </w:r>
      <w:r>
        <w:t>, blind, or low-vision consumers using assistive technologies are able to receive the benefits associated with the broadband label rules.”); TURN Comments at 6 (characterizing machine-readable labels as “both a critical accessibility and research tool” and stating that “screen readers and refreshable braille displays are just a few examples of the technologies that require machine-readability to function”).</w:t>
      </w:r>
    </w:p>
  </w:footnote>
  <w:footnote w:id="99">
    <w:p w:rsidR="00725C86" w:rsidP="00725C86" w14:paraId="28110720" w14:textId="77777777">
      <w:pPr>
        <w:pStyle w:val="FootnoteText"/>
      </w:pPr>
      <w:r>
        <w:rPr>
          <w:rStyle w:val="FootnoteReference"/>
        </w:rPr>
        <w:footnoteRef/>
      </w:r>
      <w:r>
        <w:t xml:space="preserve"> </w:t>
      </w:r>
      <w:r>
        <w:rPr>
          <w:i/>
          <w:iCs/>
        </w:rPr>
        <w:t>See Broadband Label Order</w:t>
      </w:r>
      <w:r>
        <w:t xml:space="preserve">, 37 FCC </w:t>
      </w:r>
      <w:r>
        <w:t>Rcd</w:t>
      </w:r>
      <w:r>
        <w:t xml:space="preserve"> at 13712, paras. 81-82.</w:t>
      </w:r>
      <w:r>
        <w:rPr>
          <w:snapToGrid w:val="0"/>
          <w:kern w:val="28"/>
          <w:sz w:val="22"/>
        </w:rPr>
        <w:t xml:space="preserve"> </w:t>
      </w:r>
    </w:p>
  </w:footnote>
  <w:footnote w:id="100">
    <w:p w:rsidR="00725C86" w:rsidP="00725C86" w14:paraId="304B1963" w14:textId="77777777">
      <w:pPr>
        <w:pStyle w:val="FootnoteText"/>
      </w:pPr>
      <w:r>
        <w:rPr>
          <w:rStyle w:val="FootnoteReference"/>
        </w:rPr>
        <w:footnoteRef/>
      </w:r>
      <w:r>
        <w:t xml:space="preserve"> </w:t>
      </w:r>
      <w:r>
        <w:rPr>
          <w:i/>
          <w:iCs/>
        </w:rPr>
        <w:t>Compare</w:t>
      </w:r>
      <w:r>
        <w:t xml:space="preserve"> 47 CFR § 8.1(a)(1) </w:t>
      </w:r>
      <w:r>
        <w:rPr>
          <w:i/>
          <w:iCs/>
        </w:rPr>
        <w:t>with</w:t>
      </w:r>
      <w:r>
        <w:t xml:space="preserve"> </w:t>
      </w:r>
      <w:r>
        <w:rPr>
          <w:i/>
          <w:iCs/>
        </w:rPr>
        <w:t>id</w:t>
      </w:r>
      <w:r>
        <w:t>. § 8.1(a)(3).</w:t>
      </w:r>
    </w:p>
  </w:footnote>
  <w:footnote w:id="101">
    <w:p w:rsidR="00725C86" w:rsidP="00725C86" w14:paraId="4C19BEBC" w14:textId="77777777">
      <w:pPr>
        <w:pStyle w:val="FootnoteText"/>
      </w:pPr>
      <w:r>
        <w:rPr>
          <w:rStyle w:val="FootnoteReference"/>
        </w:rPr>
        <w:footnoteRef/>
      </w:r>
      <w:r>
        <w:t xml:space="preserve"> </w:t>
      </w:r>
      <w:r>
        <w:rPr>
          <w:i/>
          <w:iCs/>
        </w:rPr>
        <w:t>See generally</w:t>
      </w:r>
      <w:r>
        <w:t xml:space="preserve"> Web Content Accessibility Guidelines (WCAG) 2.1, W3C Recommendation (May 6, 2025), </w:t>
      </w:r>
      <w:hyperlink r:id="rId2" w:history="1">
        <w:r>
          <w:rPr>
            <w:rStyle w:val="Hyperlink"/>
          </w:rPr>
          <w:t>https://www.w3.org/TR/WCAG21</w:t>
        </w:r>
      </w:hyperlink>
      <w:r>
        <w:t xml:space="preserve">. </w:t>
      </w:r>
    </w:p>
  </w:footnote>
  <w:footnote w:id="102">
    <w:p w:rsidR="00725C86" w:rsidP="00725C86" w14:paraId="12B70EFC" w14:textId="77777777">
      <w:pPr>
        <w:pStyle w:val="FootnoteText"/>
      </w:pPr>
      <w:r>
        <w:rPr>
          <w:rStyle w:val="FootnoteReference"/>
        </w:rPr>
        <w:footnoteRef/>
      </w:r>
      <w:r>
        <w:t xml:space="preserve"> </w:t>
      </w:r>
      <w:r>
        <w:rPr>
          <w:i/>
          <w:iCs/>
        </w:rPr>
        <w:t>Broadband Label Order</w:t>
      </w:r>
      <w:r>
        <w:t xml:space="preserve">, 37 FCC </w:t>
      </w:r>
      <w:r>
        <w:t>Rcd</w:t>
      </w:r>
      <w:r>
        <w:t xml:space="preserve"> at 13708-09, paras. 69-72.</w:t>
      </w:r>
    </w:p>
  </w:footnote>
  <w:footnote w:id="103">
    <w:p w:rsidR="00725C86" w:rsidP="00725C86" w14:paraId="13C6A77A" w14:textId="77777777">
      <w:pPr>
        <w:pStyle w:val="FootnoteText"/>
      </w:pPr>
      <w:r>
        <w:rPr>
          <w:rStyle w:val="FootnoteReference"/>
        </w:rPr>
        <w:footnoteRef/>
      </w:r>
      <w:r>
        <w:t xml:space="preserve"> </w:t>
      </w:r>
      <w:r>
        <w:rPr>
          <w:i/>
          <w:iCs/>
        </w:rPr>
        <w:t>See</w:t>
      </w:r>
      <w:r>
        <w:t xml:space="preserve"> 47 CFR § 8.1(a)(5).</w:t>
      </w:r>
    </w:p>
  </w:footnote>
  <w:footnote w:id="104">
    <w:p w:rsidR="00725C86" w:rsidP="00725C86" w14:paraId="4713A333" w14:textId="77777777">
      <w:pPr>
        <w:pStyle w:val="FootnoteText"/>
      </w:pPr>
      <w:r>
        <w:rPr>
          <w:rStyle w:val="FootnoteReference"/>
        </w:rPr>
        <w:footnoteRef/>
      </w:r>
      <w:r>
        <w:t xml:space="preserve"> </w:t>
      </w:r>
      <w:r>
        <w:rPr>
          <w:i/>
        </w:rPr>
        <w:t>Broadband Label Order</w:t>
      </w:r>
      <w:r>
        <w:t xml:space="preserve">, 37 FCC </w:t>
      </w:r>
      <w:r>
        <w:t>Rcd</w:t>
      </w:r>
      <w:r>
        <w:t xml:space="preserve"> at 13718-19, para. 102.</w:t>
      </w:r>
    </w:p>
  </w:footnote>
  <w:footnote w:id="105">
    <w:p w:rsidR="00725C86" w:rsidP="00725C86" w14:paraId="5768B7FD" w14:textId="77777777">
      <w:pPr>
        <w:pStyle w:val="FootnoteText"/>
      </w:pPr>
      <w:r>
        <w:rPr>
          <w:rStyle w:val="FootnoteReference"/>
        </w:rPr>
        <w:footnoteRef/>
      </w:r>
      <w:r>
        <w:t xml:space="preserve"> CTIA Comments at 6 (arguing that the cost of maintaining archives outweighs their “limited theoretical value”);</w:t>
      </w:r>
      <w:r>
        <w:rPr>
          <w:i/>
          <w:iCs/>
        </w:rPr>
        <w:t xml:space="preserve"> see also</w:t>
      </w:r>
      <w:r>
        <w:t xml:space="preserve"> NCTA Comments at 4; INCOMPAS Comments at 21.</w:t>
      </w:r>
      <w:r>
        <w:rPr>
          <w:snapToGrid w:val="0"/>
          <w:kern w:val="28"/>
          <w:sz w:val="22"/>
        </w:rPr>
        <w:t xml:space="preserve">  </w:t>
      </w:r>
      <w:r>
        <w:rPr>
          <w:snapToGrid w:val="0"/>
          <w:kern w:val="28"/>
        </w:rPr>
        <w:t>As the Commission noted</w:t>
      </w:r>
      <w:r>
        <w:rPr>
          <w:snapToGrid w:val="0"/>
          <w:kern w:val="28"/>
          <w:sz w:val="22"/>
        </w:rPr>
        <w:t xml:space="preserve"> </w:t>
      </w:r>
      <w:r>
        <w:t xml:space="preserve">in the </w:t>
      </w:r>
      <w:r>
        <w:rPr>
          <w:i/>
          <w:iCs/>
        </w:rPr>
        <w:t>Broadband Label Order</w:t>
      </w:r>
      <w:r>
        <w:t>, “requiring labeling for services no longer available to new customers has a substantially diminished benefit for purposes of comparison shopping.”</w:t>
      </w:r>
      <w:r w:rsidRPr="00816744">
        <w:rPr>
          <w:rFonts w:ascii="Aptos" w:hAnsi="Aptos"/>
          <w:i/>
          <w:kern w:val="2"/>
          <w:sz w:val="24"/>
        </w:rPr>
        <w:t xml:space="preserve">  </w:t>
      </w:r>
      <w:r>
        <w:rPr>
          <w:i/>
        </w:rPr>
        <w:t>Broadband Label Order</w:t>
      </w:r>
      <w:r>
        <w:t xml:space="preserve">, 37 FCC </w:t>
      </w:r>
      <w:r>
        <w:t>Rcd</w:t>
      </w:r>
      <w:r>
        <w:t xml:space="preserve"> at 13718, para. 101.</w:t>
      </w:r>
    </w:p>
  </w:footnote>
  <w:footnote w:id="106">
    <w:p w:rsidR="00725C86" w:rsidP="00725C86" w14:paraId="6767444B" w14:textId="77777777">
      <w:pPr>
        <w:pStyle w:val="FootnoteText"/>
      </w:pPr>
      <w:r>
        <w:rPr>
          <w:rStyle w:val="FootnoteReference"/>
        </w:rPr>
        <w:footnoteRef/>
      </w:r>
      <w:r>
        <w:t xml:space="preserve"> </w:t>
      </w:r>
      <w:r>
        <w:rPr>
          <w:i/>
          <w:iCs/>
        </w:rPr>
        <w:t>See, e.g.</w:t>
      </w:r>
      <w:r>
        <w:t>, WISPA Comments at 6.</w:t>
      </w:r>
    </w:p>
  </w:footnote>
  <w:footnote w:id="107">
    <w:p w:rsidR="00725C86" w:rsidP="00725C86" w14:paraId="7FB3D3D9" w14:textId="77777777">
      <w:pPr>
        <w:pStyle w:val="FootnoteText"/>
      </w:pPr>
      <w:r>
        <w:rPr>
          <w:rStyle w:val="FootnoteReference"/>
        </w:rPr>
        <w:footnoteRef/>
      </w:r>
      <w:r>
        <w:t xml:space="preserve"> </w:t>
      </w:r>
      <w:r>
        <w:rPr>
          <w:i/>
          <w:iCs/>
        </w:rPr>
        <w:t>Id.</w:t>
      </w:r>
      <w:r>
        <w:t xml:space="preserve">; ACA Connects at 8 (arguing that archiving is a costly task, consuming personnel hours that could be better spent elsewhere). </w:t>
      </w:r>
    </w:p>
  </w:footnote>
  <w:footnote w:id="108">
    <w:p w:rsidR="00725C86" w:rsidP="00725C86" w14:paraId="30D32D89" w14:textId="77777777">
      <w:pPr>
        <w:pStyle w:val="FootnoteText"/>
      </w:pPr>
      <w:r>
        <w:rPr>
          <w:rStyle w:val="FootnoteReference"/>
        </w:rPr>
        <w:footnoteRef/>
      </w:r>
      <w:r>
        <w:t xml:space="preserve"> NTCA Comments at 8.   </w:t>
      </w:r>
    </w:p>
  </w:footnote>
  <w:footnote w:id="109">
    <w:p w:rsidR="00725C86" w:rsidP="00725C86" w14:paraId="3086A46E" w14:textId="77777777">
      <w:pPr>
        <w:pStyle w:val="FootnoteText"/>
      </w:pPr>
      <w:r>
        <w:rPr>
          <w:rStyle w:val="FootnoteReference"/>
        </w:rPr>
        <w:footnoteRef/>
      </w:r>
      <w:r>
        <w:t xml:space="preserve"> ICLE Comments at 14-15; CTIA Comments at 6.</w:t>
      </w:r>
    </w:p>
  </w:footnote>
  <w:footnote w:id="110">
    <w:p w:rsidR="00725C86" w:rsidP="00725C86" w14:paraId="385EEAA0" w14:textId="77777777">
      <w:pPr>
        <w:pStyle w:val="FootnoteText"/>
      </w:pPr>
      <w:r>
        <w:rPr>
          <w:rStyle w:val="FootnoteReference"/>
        </w:rPr>
        <w:footnoteRef/>
      </w:r>
      <w:r>
        <w:t xml:space="preserve"> 47 CFR § 8.1(a).</w:t>
      </w:r>
    </w:p>
  </w:footnote>
  <w:footnote w:id="111">
    <w:p w:rsidR="00725C86" w:rsidP="00725C86" w14:paraId="2C5BCDB9" w14:textId="77777777">
      <w:pPr>
        <w:pStyle w:val="FootnoteText"/>
      </w:pPr>
      <w:r>
        <w:rPr>
          <w:rStyle w:val="FootnoteReference"/>
        </w:rPr>
        <w:footnoteRef/>
      </w:r>
      <w:r>
        <w:t xml:space="preserve"> </w:t>
      </w:r>
      <w:r>
        <w:rPr>
          <w:i/>
        </w:rPr>
        <w:t>See</w:t>
      </w:r>
      <w:r>
        <w:t xml:space="preserve"> ICLE Comments at 14-15 (asserting that “[p]</w:t>
      </w:r>
      <w:r>
        <w:t>roviders</w:t>
      </w:r>
      <w:r>
        <w:t xml:space="preserve"> maintain these records as part of normal business operations and for their own accounting purposes.”).</w:t>
      </w:r>
    </w:p>
  </w:footnote>
  <w:footnote w:id="112">
    <w:p w:rsidR="00725C86" w:rsidP="00725C86" w14:paraId="58F004A1" w14:textId="77777777">
      <w:pPr>
        <w:pStyle w:val="FootnoteText"/>
      </w:pPr>
      <w:r>
        <w:rPr>
          <w:rStyle w:val="FootnoteReference"/>
        </w:rPr>
        <w:footnoteRef/>
      </w:r>
      <w:r>
        <w:t xml:space="preserve"> </w:t>
      </w:r>
      <w:r>
        <w:rPr>
          <w:i/>
          <w:iCs/>
        </w:rPr>
        <w:t>See</w:t>
      </w:r>
      <w:r>
        <w:t xml:space="preserve"> TURN Reply at 8-9.</w:t>
      </w:r>
    </w:p>
  </w:footnote>
  <w:footnote w:id="113">
    <w:p w:rsidR="00725C86" w:rsidP="00725C86" w14:paraId="0AEE66D7" w14:textId="77777777">
      <w:pPr>
        <w:pStyle w:val="FootnoteText"/>
      </w:pPr>
      <w:r>
        <w:rPr>
          <w:rStyle w:val="FootnoteReference"/>
        </w:rPr>
        <w:footnoteRef/>
      </w:r>
      <w:r>
        <w:t xml:space="preserve"> </w:t>
      </w:r>
      <w:r>
        <w:rPr>
          <w:i/>
        </w:rPr>
        <w:t>Broadband Label Order</w:t>
      </w:r>
      <w:r>
        <w:t xml:space="preserve">, 37 FCC </w:t>
      </w:r>
      <w:r>
        <w:t>Rcd</w:t>
      </w:r>
      <w:r>
        <w:t xml:space="preserve"> at 13718-19, para. 102.</w:t>
      </w:r>
    </w:p>
  </w:footnote>
  <w:footnote w:id="114">
    <w:p w:rsidR="00725C86" w:rsidP="00725C86" w14:paraId="76EBEB1E" w14:textId="77777777">
      <w:pPr>
        <w:pStyle w:val="FootnoteText"/>
      </w:pPr>
      <w:r>
        <w:rPr>
          <w:rStyle w:val="FootnoteReference"/>
        </w:rPr>
        <w:footnoteRef/>
      </w:r>
      <w:r>
        <w:t xml:space="preserve"> </w:t>
      </w:r>
      <w:r>
        <w:rPr>
          <w:i/>
        </w:rPr>
        <w:t>Id</w:t>
      </w:r>
      <w:r>
        <w:t>. at 13719, para. 104.</w:t>
      </w:r>
    </w:p>
  </w:footnote>
  <w:footnote w:id="115">
    <w:p w:rsidR="00725C86" w:rsidP="00725C86" w14:paraId="53A7D3C3" w14:textId="77777777">
      <w:pPr>
        <w:pStyle w:val="FootnoteText"/>
      </w:pPr>
      <w:r>
        <w:rPr>
          <w:rStyle w:val="FootnoteReference"/>
        </w:rPr>
        <w:footnoteRef/>
      </w:r>
      <w:r>
        <w:t xml:space="preserve"> </w:t>
      </w:r>
      <w:r>
        <w:rPr>
          <w:i/>
          <w:iCs/>
        </w:rPr>
        <w:t>See, e.g.</w:t>
      </w:r>
      <w:r>
        <w:t>, 47 U.S.C. § 403.</w:t>
      </w:r>
    </w:p>
  </w:footnote>
  <w:footnote w:id="116">
    <w:p w:rsidR="00725C86" w:rsidP="00725C86" w14:paraId="6873AF09" w14:textId="77777777">
      <w:pPr>
        <w:pStyle w:val="FootnoteText"/>
      </w:pPr>
      <w:r>
        <w:rPr>
          <w:rStyle w:val="FootnoteReference"/>
        </w:rPr>
        <w:footnoteRef/>
      </w:r>
      <w:r>
        <w:t xml:space="preserve"> </w:t>
      </w:r>
      <w:r>
        <w:rPr>
          <w:i/>
          <w:iCs/>
        </w:rPr>
        <w:t>See</w:t>
      </w:r>
      <w:r>
        <w:t xml:space="preserve"> ICLE Comments at 14 (noting “[w]</w:t>
      </w:r>
      <w:r>
        <w:t>hen</w:t>
      </w:r>
      <w:r>
        <w:t xml:space="preserve"> a customer disputes a bill, they reference their service agreements and bills, not the archived point-of-sale label . . .”).</w:t>
      </w:r>
    </w:p>
  </w:footnote>
  <w:footnote w:id="117">
    <w:p w:rsidR="00725C86" w:rsidP="00725C86" w14:paraId="390EEC3F" w14:textId="77777777">
      <w:pPr>
        <w:pStyle w:val="FootnoteText"/>
      </w:pPr>
      <w:r>
        <w:rPr>
          <w:rStyle w:val="FootnoteReference"/>
        </w:rPr>
        <w:footnoteRef/>
      </w:r>
      <w:r>
        <w:t xml:space="preserve"> </w:t>
      </w:r>
      <w:r>
        <w:rPr>
          <w:i/>
          <w:iCs/>
        </w:rPr>
        <w:t>Second Further Notice</w:t>
      </w:r>
      <w:r>
        <w:t xml:space="preserve">, 40 FCC </w:t>
      </w:r>
      <w:r>
        <w:t>Rcd</w:t>
      </w:r>
      <w:r>
        <w:t xml:space="preserve"> at 8621, para. 22.</w:t>
      </w:r>
    </w:p>
  </w:footnote>
  <w:footnote w:id="118">
    <w:p w:rsidR="00725C86" w:rsidP="00725C86" w14:paraId="0C8A1005" w14:textId="77777777">
      <w:pPr>
        <w:pStyle w:val="FootnoteText"/>
      </w:pPr>
      <w:r>
        <w:rPr>
          <w:rStyle w:val="FootnoteReference"/>
        </w:rPr>
        <w:footnoteRef/>
      </w:r>
      <w:r>
        <w:t xml:space="preserve"> </w:t>
      </w:r>
      <w:r>
        <w:rPr>
          <w:i/>
          <w:iCs/>
        </w:rPr>
        <w:t>See</w:t>
      </w:r>
      <w:r>
        <w:t xml:space="preserve"> Accessibility Organizations Comments at 11.  </w:t>
      </w:r>
    </w:p>
  </w:footnote>
  <w:footnote w:id="119">
    <w:p w:rsidR="00725C86" w:rsidP="00725C86" w14:paraId="27954F35" w14:textId="77777777">
      <w:pPr>
        <w:pStyle w:val="FootnoteText"/>
      </w:pPr>
      <w:r>
        <w:rPr>
          <w:rStyle w:val="FootnoteReference"/>
        </w:rPr>
        <w:footnoteRef/>
      </w:r>
      <w:r>
        <w:t xml:space="preserve"> </w:t>
      </w:r>
      <w:r w:rsidRPr="00F5198F">
        <w:t xml:space="preserve">The Bureau may make technical and conforming changes in label content, </w:t>
      </w:r>
      <w:r w:rsidRPr="00643F83">
        <w:t>e.g.</w:t>
      </w:r>
      <w:r w:rsidRPr="00F5198F">
        <w:t>, when there is a change in the name of a Commission website referenced in the label.</w:t>
      </w:r>
    </w:p>
  </w:footnote>
  <w:footnote w:id="120">
    <w:p w:rsidR="00725C86" w:rsidP="00725C86" w14:paraId="260C715B" w14:textId="77777777">
      <w:pPr>
        <w:pStyle w:val="FootnoteText"/>
        <w:spacing w:before="120"/>
      </w:pPr>
      <w:r>
        <w:rPr>
          <w:rStyle w:val="FootnoteReference"/>
        </w:rPr>
        <w:footnoteRef/>
      </w:r>
      <w:r>
        <w:t xml:space="preserve"> 47 CFR § 8.1(a)(1) fig. 1.  </w:t>
      </w:r>
    </w:p>
  </w:footnote>
  <w:footnote w:id="121">
    <w:p w:rsidR="00725C86" w:rsidP="00725C86" w14:paraId="46658660" w14:textId="77777777">
      <w:pPr>
        <w:pStyle w:val="FootnoteText"/>
      </w:pPr>
      <w:r>
        <w:rPr>
          <w:rStyle w:val="FootnoteReference"/>
        </w:rPr>
        <w:footnoteRef/>
      </w:r>
      <w:r>
        <w:t xml:space="preserve"> </w:t>
      </w:r>
      <w:r>
        <w:rPr>
          <w:i/>
          <w:iCs/>
        </w:rPr>
        <w:t>Second Further Notice</w:t>
      </w:r>
      <w:r>
        <w:t xml:space="preserve">, 40 FCC </w:t>
      </w:r>
      <w:r>
        <w:t>Rcd</w:t>
      </w:r>
      <w:r>
        <w:t xml:space="preserve"> at 8622, para. 24.</w:t>
      </w:r>
    </w:p>
  </w:footnote>
  <w:footnote w:id="122">
    <w:p w:rsidR="00725C86" w:rsidP="00725C86" w14:paraId="3FE0F44E" w14:textId="77777777">
      <w:pPr>
        <w:pStyle w:val="FootnoteText"/>
      </w:pPr>
      <w:r>
        <w:rPr>
          <w:rStyle w:val="FootnoteReference"/>
        </w:rPr>
        <w:footnoteRef/>
      </w:r>
      <w:r>
        <w:t xml:space="preserve"> </w:t>
      </w:r>
      <w:r>
        <w:rPr>
          <w:i/>
          <w:iCs/>
        </w:rPr>
        <w:t xml:space="preserve">Id. </w:t>
      </w:r>
      <w:r>
        <w:t>at 8622, para. 25.</w:t>
      </w:r>
    </w:p>
  </w:footnote>
  <w:footnote w:id="123">
    <w:p w:rsidR="00725C86" w:rsidP="00725C86" w14:paraId="34092F9A" w14:textId="77777777">
      <w:pPr>
        <w:pStyle w:val="FootnoteText"/>
      </w:pPr>
      <w:r>
        <w:rPr>
          <w:rStyle w:val="FootnoteReference"/>
        </w:rPr>
        <w:footnoteRef/>
      </w:r>
      <w:r>
        <w:t xml:space="preserve"> </w:t>
      </w:r>
      <w:r>
        <w:rPr>
          <w:i/>
          <w:iCs/>
        </w:rPr>
        <w:t>Id.</w:t>
      </w:r>
      <w:r>
        <w:t xml:space="preserve"> at 8623, paras. 27-29.</w:t>
      </w:r>
    </w:p>
  </w:footnote>
  <w:footnote w:id="124">
    <w:p w:rsidR="00725C86" w:rsidP="00725C86" w14:paraId="5F73E390" w14:textId="77777777">
      <w:pPr>
        <w:pStyle w:val="FootnoteText"/>
      </w:pPr>
      <w:r>
        <w:rPr>
          <w:rStyle w:val="FootnoteReference"/>
        </w:rPr>
        <w:footnoteRef/>
      </w:r>
      <w:r>
        <w:t xml:space="preserve"> </w:t>
      </w:r>
      <w:r>
        <w:rPr>
          <w:i/>
          <w:iCs/>
        </w:rPr>
        <w:t>Broadband Label Order</w:t>
      </w:r>
      <w:r>
        <w:t xml:space="preserve">, 37 FCC </w:t>
      </w:r>
      <w:r>
        <w:t>Rcd</w:t>
      </w:r>
      <w:r>
        <w:t xml:space="preserve"> at 13728-33, paras. 132-52.</w:t>
      </w:r>
    </w:p>
  </w:footnote>
  <w:footnote w:id="125">
    <w:p w:rsidR="00725C86" w:rsidP="00725C86" w14:paraId="7BEDE320" w14:textId="77777777">
      <w:pPr>
        <w:pStyle w:val="FootnoteText"/>
      </w:pPr>
      <w:r>
        <w:rPr>
          <w:rStyle w:val="FootnoteReference"/>
        </w:rPr>
        <w:footnoteRef/>
      </w:r>
      <w:r>
        <w:t xml:space="preserve"> </w:t>
      </w:r>
      <w:r>
        <w:rPr>
          <w:i/>
        </w:rPr>
        <w:t>2016 Broadband Labels PN</w:t>
      </w:r>
      <w:r>
        <w:t>, 31 FCC at 3359; 47 U.S.C. § 1753(a).</w:t>
      </w:r>
    </w:p>
  </w:footnote>
  <w:footnote w:id="126">
    <w:p w:rsidR="00725C86" w:rsidP="00725C86" w14:paraId="702F3E54" w14:textId="77777777">
      <w:pPr>
        <w:pStyle w:val="FootnoteText"/>
      </w:pPr>
      <w:r>
        <w:rPr>
          <w:rStyle w:val="FootnoteReference"/>
        </w:rPr>
        <w:footnoteRef/>
      </w:r>
      <w:r>
        <w:t xml:space="preserve"> </w:t>
      </w:r>
      <w:r>
        <w:rPr>
          <w:i/>
        </w:rPr>
        <w:t>See, e.g.</w:t>
      </w:r>
      <w:r>
        <w:rPr>
          <w:iCs/>
        </w:rPr>
        <w:t xml:space="preserve">, </w:t>
      </w:r>
      <w:r>
        <w:t>Breezeline</w:t>
      </w:r>
      <w:r>
        <w:t xml:space="preserve"> Comments at 6; CTIA Comments at 11; ACA Connects Comments at 11-12; WISPA Comments at 7; NTCA Comments at 10-11.</w:t>
      </w:r>
    </w:p>
  </w:footnote>
  <w:footnote w:id="127">
    <w:p w:rsidR="00725C86" w:rsidP="00725C86" w14:paraId="5F771885" w14:textId="77777777">
      <w:pPr>
        <w:pStyle w:val="FootnoteText"/>
      </w:pPr>
      <w:r>
        <w:rPr>
          <w:rStyle w:val="FootnoteReference"/>
        </w:rPr>
        <w:footnoteRef/>
      </w:r>
      <w:r>
        <w:t xml:space="preserve"> Jordan Comments at 7.</w:t>
      </w:r>
    </w:p>
  </w:footnote>
  <w:footnote w:id="128">
    <w:p w:rsidR="00725C86" w:rsidP="00725C86" w14:paraId="76F497D4" w14:textId="77777777">
      <w:pPr>
        <w:pStyle w:val="FootnoteText"/>
      </w:pPr>
      <w:r>
        <w:rPr>
          <w:rStyle w:val="FootnoteReference"/>
        </w:rPr>
        <w:footnoteRef/>
      </w:r>
      <w:r>
        <w:t xml:space="preserve"> </w:t>
      </w:r>
      <w:r>
        <w:rPr>
          <w:i/>
          <w:iCs/>
        </w:rPr>
        <w:t>See, e.g.</w:t>
      </w:r>
      <w:r>
        <w:t>, Accessibility Organizations Comments at 13-14; TURN Comments at 7.</w:t>
      </w:r>
    </w:p>
  </w:footnote>
  <w:footnote w:id="129">
    <w:p w:rsidR="00725C86" w:rsidP="00725C86" w14:paraId="2071A757" w14:textId="77777777">
      <w:pPr>
        <w:pStyle w:val="FootnoteText"/>
      </w:pPr>
      <w:r>
        <w:rPr>
          <w:rStyle w:val="FootnoteReference"/>
        </w:rPr>
        <w:footnoteRef/>
      </w:r>
      <w:r>
        <w:t xml:space="preserve"> Accessibility Organizations Comments at 13-14.</w:t>
      </w:r>
    </w:p>
  </w:footnote>
  <w:footnote w:id="130">
    <w:p w:rsidR="00725C86" w:rsidP="00725C86" w14:paraId="432D69E1" w14:textId="77777777">
      <w:pPr>
        <w:pStyle w:val="FootnoteText"/>
      </w:pPr>
      <w:r>
        <w:rPr>
          <w:rStyle w:val="FootnoteReference"/>
        </w:rPr>
        <w:footnoteRef/>
      </w:r>
      <w:r>
        <w:t xml:space="preserve"> </w:t>
      </w:r>
      <w:r>
        <w:rPr>
          <w:i/>
          <w:iCs/>
        </w:rPr>
        <w:t xml:space="preserve">See </w:t>
      </w:r>
      <w:r>
        <w:t xml:space="preserve">47 CFR § 8.1(a)(1); </w:t>
      </w:r>
      <w:r>
        <w:rPr>
          <w:i/>
          <w:iCs/>
        </w:rPr>
        <w:t>Broadband Label Order</w:t>
      </w:r>
      <w:r>
        <w:t xml:space="preserve">, 37 FCC </w:t>
      </w:r>
      <w:r>
        <w:t>Rcd</w:t>
      </w:r>
      <w:r>
        <w:t xml:space="preserve"> at 13712, paras. 81-82.</w:t>
      </w:r>
    </w:p>
  </w:footnote>
  <w:footnote w:id="131">
    <w:p w:rsidR="00725C86" w:rsidRPr="000C1147" w:rsidP="00725C86" w14:paraId="4043BC32" w14:textId="77777777">
      <w:pPr>
        <w:pStyle w:val="FootnoteText"/>
      </w:pPr>
      <w:r>
        <w:rPr>
          <w:rStyle w:val="FootnoteReference"/>
        </w:rPr>
        <w:footnoteRef/>
      </w:r>
      <w:r>
        <w:t xml:space="preserve"> </w:t>
      </w:r>
      <w:r>
        <w:rPr>
          <w:i/>
          <w:iCs/>
        </w:rPr>
        <w:t>See</w:t>
      </w:r>
      <w:r>
        <w:t xml:space="preserve"> Consumer Inquiries and Complaint Center, </w:t>
      </w:r>
      <w:hyperlink r:id="rId3" w:history="1">
        <w:r w:rsidRPr="004040C1">
          <w:rPr>
            <w:rStyle w:val="Hyperlink"/>
          </w:rPr>
          <w:t>https://consumercomplaints.fcc.gov</w:t>
        </w:r>
      </w:hyperlink>
      <w:r>
        <w:t xml:space="preserve">. </w:t>
      </w:r>
    </w:p>
  </w:footnote>
  <w:footnote w:id="132">
    <w:p w:rsidR="00725C86" w:rsidP="00725C86" w14:paraId="0197B3BE" w14:textId="77777777">
      <w:pPr>
        <w:pStyle w:val="FootnoteText"/>
      </w:pPr>
      <w:r>
        <w:rPr>
          <w:rStyle w:val="FootnoteReference"/>
        </w:rPr>
        <w:footnoteRef/>
      </w:r>
      <w:r>
        <w:t xml:space="preserve"> </w:t>
      </w:r>
      <w:r>
        <w:rPr>
          <w:rFonts w:eastAsia="Aptos"/>
        </w:rPr>
        <w:t>CTIA Comments at 10.  No other commenters address this question, except in the context of E-Rate and Rural Health Care services, as discussed below.</w:t>
      </w:r>
    </w:p>
  </w:footnote>
  <w:footnote w:id="133">
    <w:p w:rsidR="00725C86" w:rsidP="00725C86" w14:paraId="33D730E1" w14:textId="77777777">
      <w:pPr>
        <w:pStyle w:val="FootnoteText"/>
      </w:pPr>
      <w:r>
        <w:rPr>
          <w:rStyle w:val="FootnoteReference"/>
        </w:rPr>
        <w:footnoteRef/>
      </w:r>
      <w:r>
        <w:t xml:space="preserve"> 47 U.S.C. §§ 1751(1), 1753(a).</w:t>
      </w:r>
    </w:p>
  </w:footnote>
  <w:footnote w:id="134">
    <w:p w:rsidR="00725C86" w:rsidP="00725C86" w14:paraId="617AEBB3" w14:textId="77777777">
      <w:pPr>
        <w:pStyle w:val="FootnoteText"/>
      </w:pPr>
      <w:r>
        <w:rPr>
          <w:rStyle w:val="FootnoteReference"/>
        </w:rPr>
        <w:footnoteRef/>
      </w:r>
      <w:r>
        <w:t xml:space="preserve"> 47 CFR § 8.1(b). The definition also “encompasses any service that the Commission finds to be providing a functional equivalent of the service” defined in the rules or that is used to evade the protections set forth in the rules.</w:t>
      </w:r>
      <w:r>
        <w:rPr>
          <w:snapToGrid w:val="0"/>
          <w:kern w:val="28"/>
          <w:sz w:val="22"/>
        </w:rPr>
        <w:t xml:space="preserve"> </w:t>
      </w:r>
      <w:r>
        <w:t>47 CFR § 8.1(b).</w:t>
      </w:r>
    </w:p>
  </w:footnote>
  <w:footnote w:id="135">
    <w:p w:rsidR="00725C86" w:rsidP="00725C86" w14:paraId="43B10DB4" w14:textId="77777777">
      <w:pPr>
        <w:pStyle w:val="FootnoteText"/>
      </w:pPr>
      <w:r>
        <w:rPr>
          <w:rStyle w:val="FootnoteReference"/>
        </w:rPr>
        <w:footnoteRef/>
      </w:r>
      <w:r>
        <w:t xml:space="preserve"> DQE Comments at 1-2.</w:t>
      </w:r>
    </w:p>
  </w:footnote>
  <w:footnote w:id="136">
    <w:p w:rsidR="00725C86" w:rsidP="00725C86" w14:paraId="7A67821C" w14:textId="77777777">
      <w:pPr>
        <w:pStyle w:val="FootnoteText"/>
      </w:pPr>
      <w:r>
        <w:rPr>
          <w:rStyle w:val="FootnoteReference"/>
        </w:rPr>
        <w:footnoteRef/>
      </w:r>
      <w:r>
        <w:t xml:space="preserve"> </w:t>
      </w:r>
      <w:r>
        <w:rPr>
          <w:i/>
          <w:iCs/>
        </w:rPr>
        <w:t>Id.</w:t>
      </w:r>
    </w:p>
  </w:footnote>
  <w:footnote w:id="137">
    <w:p w:rsidR="00725C86" w:rsidP="00725C86" w14:paraId="6FF77690" w14:textId="77777777">
      <w:pPr>
        <w:pStyle w:val="FootnoteText"/>
      </w:pPr>
      <w:r>
        <w:rPr>
          <w:rStyle w:val="FootnoteReference"/>
        </w:rPr>
        <w:footnoteRef/>
      </w:r>
      <w:r>
        <w:t xml:space="preserve"> </w:t>
      </w:r>
      <w:r>
        <w:rPr>
          <w:i/>
          <w:iCs/>
        </w:rPr>
        <w:t>Broadband Label Order</w:t>
      </w:r>
      <w:r>
        <w:t xml:space="preserve">, 37 FCC </w:t>
      </w:r>
      <w:r>
        <w:t>Rcd</w:t>
      </w:r>
      <w:r>
        <w:t xml:space="preserve"> at 13692, para. 17 (affirming that enterprise service offerings, including services offered through customized or individually negotiated arrangements, are not “mass-market retail services” and therefore not covered by the label rule).</w:t>
      </w:r>
    </w:p>
  </w:footnote>
  <w:footnote w:id="138">
    <w:p w:rsidR="00725C86" w:rsidP="00725C86" w14:paraId="038C5F0A" w14:textId="77777777">
      <w:pPr>
        <w:pStyle w:val="FootnoteText"/>
      </w:pPr>
      <w:r>
        <w:rPr>
          <w:rStyle w:val="FootnoteReference"/>
        </w:rPr>
        <w:footnoteRef/>
      </w:r>
      <w:r>
        <w:t xml:space="preserve"> DQE Comments at 2.</w:t>
      </w:r>
    </w:p>
  </w:footnote>
  <w:footnote w:id="139">
    <w:p w:rsidR="00725C86" w:rsidP="00725C86" w14:paraId="3B26A553" w14:textId="77777777">
      <w:pPr>
        <w:pStyle w:val="FootnoteText"/>
      </w:pPr>
      <w:r>
        <w:rPr>
          <w:rStyle w:val="FootnoteReference"/>
        </w:rPr>
        <w:footnoteRef/>
      </w:r>
      <w:r>
        <w:t xml:space="preserve"> SHLB/</w:t>
      </w:r>
      <w:r>
        <w:t>CoSN</w:t>
      </w:r>
      <w:r>
        <w:t xml:space="preserve"> Comments at 1.</w:t>
      </w:r>
    </w:p>
  </w:footnote>
  <w:footnote w:id="140">
    <w:p w:rsidR="00725C86" w:rsidP="00725C86" w14:paraId="54A13ED0" w14:textId="77777777">
      <w:pPr>
        <w:pStyle w:val="FootnoteText"/>
      </w:pPr>
      <w:r>
        <w:rPr>
          <w:rStyle w:val="FootnoteReference"/>
        </w:rPr>
        <w:footnoteRef/>
      </w:r>
      <w:r>
        <w:t xml:space="preserve"> </w:t>
      </w:r>
      <w:r>
        <w:rPr>
          <w:i/>
          <w:iCs/>
        </w:rPr>
        <w:t>Id.</w:t>
      </w:r>
      <w:r>
        <w:t xml:space="preserve"> at 4-5.</w:t>
      </w:r>
    </w:p>
  </w:footnote>
  <w:footnote w:id="141">
    <w:p w:rsidR="00725C86" w:rsidP="00725C86" w14:paraId="48F38D59" w14:textId="77777777">
      <w:pPr>
        <w:pStyle w:val="FootnoteText"/>
      </w:pPr>
      <w:r>
        <w:rPr>
          <w:rStyle w:val="FootnoteReference"/>
        </w:rPr>
        <w:footnoteRef/>
      </w:r>
      <w:r>
        <w:t xml:space="preserve"> </w:t>
      </w:r>
      <w:r>
        <w:rPr>
          <w:i/>
          <w:iCs/>
        </w:rPr>
        <w:t>Id.</w:t>
      </w:r>
      <w:r>
        <w:t xml:space="preserve"> at 6-7.</w:t>
      </w:r>
    </w:p>
  </w:footnote>
  <w:footnote w:id="142">
    <w:p w:rsidR="00725C86" w:rsidP="00725C86" w14:paraId="42827CBA" w14:textId="77777777">
      <w:pPr>
        <w:pStyle w:val="FootnoteText"/>
      </w:pPr>
      <w:r>
        <w:rPr>
          <w:rStyle w:val="FootnoteReference"/>
        </w:rPr>
        <w:footnoteRef/>
      </w:r>
      <w:r>
        <w:t xml:space="preserve"> </w:t>
      </w:r>
      <w:r>
        <w:rPr>
          <w:i/>
          <w:iCs/>
        </w:rPr>
        <w:t>Id.</w:t>
      </w:r>
    </w:p>
  </w:footnote>
  <w:footnote w:id="143">
    <w:p w:rsidR="00725C86" w:rsidP="00725C86" w14:paraId="22F7CCE7" w14:textId="77777777">
      <w:pPr>
        <w:pStyle w:val="FootnoteText"/>
      </w:pPr>
      <w:r>
        <w:rPr>
          <w:rStyle w:val="FootnoteReference"/>
        </w:rPr>
        <w:footnoteRef/>
      </w:r>
      <w:r>
        <w:t xml:space="preserve"> 47 U.S.C. § 1753(a).</w:t>
      </w:r>
    </w:p>
  </w:footnote>
  <w:footnote w:id="144">
    <w:p w:rsidR="00725C86" w:rsidP="00725C86" w14:paraId="177C91E3" w14:textId="77777777">
      <w:pPr>
        <w:pStyle w:val="FootnoteText"/>
      </w:pPr>
      <w:r>
        <w:rPr>
          <w:rStyle w:val="FootnoteReference"/>
        </w:rPr>
        <w:footnoteRef/>
      </w:r>
      <w:r>
        <w:t xml:space="preserve"> </w:t>
      </w:r>
      <w:r>
        <w:rPr>
          <w:i/>
          <w:iCs/>
        </w:rPr>
        <w:t xml:space="preserve">See </w:t>
      </w:r>
      <w:r>
        <w:t xml:space="preserve">47 CFR § 8.1(a); </w:t>
      </w:r>
      <w:r>
        <w:rPr>
          <w:i/>
          <w:iCs/>
        </w:rPr>
        <w:t>2016 Broadband Labels PN</w:t>
      </w:r>
      <w:r>
        <w:t xml:space="preserve">, 31 FCC </w:t>
      </w:r>
      <w:r>
        <w:t>Rcd</w:t>
      </w:r>
      <w:r>
        <w:t xml:space="preserve"> at 3358-59, citing </w:t>
      </w:r>
      <w:r>
        <w:rPr>
          <w:i/>
          <w:iCs/>
        </w:rPr>
        <w:t>Protecting and Promoting the Open Internet</w:t>
      </w:r>
      <w:r>
        <w:t xml:space="preserve">, GN Docket No. 14-28, Report and Order on Remand, Declaratory Ruling, and Order, 30 FCC </w:t>
      </w:r>
      <w:r>
        <w:t>Rcd</w:t>
      </w:r>
      <w:r>
        <w:t xml:space="preserve"> 5601, 5669-81, paras. 154-81 (2015) (</w:t>
      </w:r>
      <w:r>
        <w:rPr>
          <w:i/>
          <w:iCs/>
        </w:rPr>
        <w:t>2015 Open Internet Order</w:t>
      </w:r>
      <w:r>
        <w:t>).</w:t>
      </w:r>
    </w:p>
  </w:footnote>
  <w:footnote w:id="145">
    <w:p w:rsidR="00725C86" w:rsidP="00725C86" w14:paraId="20F56E62" w14:textId="77777777">
      <w:pPr>
        <w:pStyle w:val="FootnoteText"/>
      </w:pPr>
      <w:r>
        <w:rPr>
          <w:rStyle w:val="FootnoteReference"/>
        </w:rPr>
        <w:footnoteRef/>
      </w:r>
      <w:r>
        <w:t xml:space="preserve"> </w:t>
      </w:r>
      <w:r>
        <w:rPr>
          <w:i/>
          <w:iCs/>
        </w:rPr>
        <w:t>2016 Broadband Labels PN</w:t>
      </w:r>
      <w:r>
        <w:t xml:space="preserve">, 31 FCC </w:t>
      </w:r>
      <w:r>
        <w:t>Rcd</w:t>
      </w:r>
      <w:r>
        <w:t xml:space="preserve"> at 3358-59.</w:t>
      </w:r>
    </w:p>
  </w:footnote>
  <w:footnote w:id="146">
    <w:p w:rsidR="00725C86" w:rsidP="00725C86" w14:paraId="029872EE" w14:textId="77777777">
      <w:pPr>
        <w:pStyle w:val="FootnoteText"/>
      </w:pPr>
      <w:r>
        <w:rPr>
          <w:rStyle w:val="FootnoteReference"/>
        </w:rPr>
        <w:footnoteRef/>
      </w:r>
      <w:r>
        <w:t xml:space="preserve"> </w:t>
      </w:r>
      <w:r>
        <w:rPr>
          <w:i/>
          <w:iCs/>
        </w:rPr>
        <w:t>See</w:t>
      </w:r>
      <w:r>
        <w:rPr>
          <w:i/>
          <w:iCs/>
          <w:snapToGrid w:val="0"/>
          <w:kern w:val="28"/>
          <w:sz w:val="22"/>
        </w:rPr>
        <w:t xml:space="preserve"> </w:t>
      </w:r>
      <w:r>
        <w:rPr>
          <w:i/>
          <w:iCs/>
          <w:snapToGrid w:val="0"/>
          <w:kern w:val="28"/>
        </w:rPr>
        <w:t xml:space="preserve">supra </w:t>
      </w:r>
      <w:r>
        <w:rPr>
          <w:snapToGrid w:val="0"/>
          <w:kern w:val="28"/>
        </w:rPr>
        <w:t xml:space="preserve">Part III.B (removing machine-readability and archiving provisions). </w:t>
      </w:r>
      <w:r>
        <w:rPr>
          <w:i/>
          <w:iCs/>
          <w:snapToGrid w:val="0"/>
          <w:kern w:val="28"/>
          <w:sz w:val="22"/>
        </w:rPr>
        <w:t xml:space="preserve"> </w:t>
      </w:r>
      <w:r>
        <w:t>In addition to the statutory authority basis described above, the Commission’s policy rationale for each modification is set forth in the relevant sections of this Order.</w:t>
      </w:r>
    </w:p>
  </w:footnote>
  <w:footnote w:id="147">
    <w:p w:rsidR="00725C86" w:rsidP="00725C86" w14:paraId="2D7DD952" w14:textId="77777777">
      <w:pPr>
        <w:pStyle w:val="FootnoteText"/>
      </w:pPr>
      <w:r>
        <w:rPr>
          <w:rStyle w:val="FootnoteReference"/>
        </w:rPr>
        <w:footnoteRef/>
      </w:r>
      <w:r>
        <w:t xml:space="preserve"> Only one commenter raised First Amendment concerns in this proceeding.  CTIA argued that requiring full label display “substantially and unnecessarily impacts and interferes with providers’ ability to design their marketing materials and websites.”  </w:t>
      </w:r>
      <w:r>
        <w:rPr>
          <w:i/>
          <w:iCs/>
        </w:rPr>
        <w:t>See</w:t>
      </w:r>
      <w:r>
        <w:t xml:space="preserve"> CTIA Comments at 10-11.  We note that this concern is addressed by our decision in this Order, which does not impose the specific display requirement CTIA challenged.  </w:t>
      </w:r>
    </w:p>
  </w:footnote>
  <w:footnote w:id="148">
    <w:p w:rsidR="00725C86" w:rsidP="00725C86" w14:paraId="5006F5DC" w14:textId="77777777">
      <w:pPr>
        <w:pStyle w:val="FootnoteText"/>
      </w:pPr>
      <w:r>
        <w:rPr>
          <w:rStyle w:val="FootnoteReference"/>
        </w:rPr>
        <w:footnoteRef/>
      </w:r>
      <w:r>
        <w:t xml:space="preserve"> 47 U.S.C. §§ 163, 257.</w:t>
      </w:r>
    </w:p>
  </w:footnote>
  <w:footnote w:id="149">
    <w:p w:rsidR="00725C86" w:rsidP="00725C86" w14:paraId="3612C5F3" w14:textId="77777777">
      <w:pPr>
        <w:pStyle w:val="FootnoteText"/>
      </w:pPr>
      <w:r>
        <w:rPr>
          <w:rStyle w:val="FootnoteReference"/>
        </w:rPr>
        <w:footnoteRef/>
      </w:r>
      <w:r>
        <w:t xml:space="preserve"> </w:t>
      </w:r>
      <w:r>
        <w:rPr>
          <w:i/>
          <w:iCs/>
        </w:rPr>
        <w:t>See</w:t>
      </w:r>
      <w:r>
        <w:t xml:space="preserve"> </w:t>
      </w:r>
      <w:r>
        <w:rPr>
          <w:i/>
          <w:iCs/>
        </w:rPr>
        <w:t>Restoring Internet Freedom</w:t>
      </w:r>
      <w:r>
        <w:t xml:space="preserve">, WC Docket No. 17-108, Declaratory Ruling, Report and Order, and Order, 33 FCC </w:t>
      </w:r>
      <w:r>
        <w:t>Rcd</w:t>
      </w:r>
      <w:r>
        <w:t xml:space="preserve"> 311, 445-50, paras. 232-38 </w:t>
      </w:r>
      <w:r w:rsidRPr="00D43C6B">
        <w:t>(2018)</w:t>
      </w:r>
      <w:r>
        <w:t xml:space="preserve"> (</w:t>
      </w:r>
      <w:r>
        <w:rPr>
          <w:i/>
          <w:iCs/>
        </w:rPr>
        <w:t>2018</w:t>
      </w:r>
      <w:r>
        <w:t xml:space="preserve"> </w:t>
      </w:r>
      <w:r>
        <w:rPr>
          <w:i/>
          <w:iCs/>
        </w:rPr>
        <w:t>Restoring Internet Freedom Order</w:t>
      </w:r>
      <w:r>
        <w:t xml:space="preserve">).  Although section 257 subsequently was amended to shift aspects of that provision to the new reporting requirement enacted in section 13 of the Act, “it was not altered in any material respect for purposes of the Commission’s authority in this regard.” </w:t>
      </w:r>
      <w:r>
        <w:rPr>
          <w:i/>
          <w:iCs/>
        </w:rPr>
        <w:t>Mozilla Corp. v. FCC</w:t>
      </w:r>
      <w:r>
        <w:t>, 940 F.3d 1, 47 (D.C. Cir. 2019).</w:t>
      </w:r>
    </w:p>
  </w:footnote>
  <w:footnote w:id="150">
    <w:p w:rsidR="00725C86" w:rsidP="00725C86" w14:paraId="0940CAA1" w14:textId="77777777">
      <w:pPr>
        <w:pStyle w:val="FootnoteText"/>
      </w:pPr>
      <w:r>
        <w:rPr>
          <w:rStyle w:val="FootnoteReference"/>
        </w:rPr>
        <w:footnoteRef/>
      </w:r>
      <w:r>
        <w:t xml:space="preserve"> 47 U.S.C. § 254.</w:t>
      </w:r>
    </w:p>
  </w:footnote>
  <w:footnote w:id="151">
    <w:p w:rsidR="00725C86" w:rsidP="00725C86" w14:paraId="15AA43AE" w14:textId="77777777">
      <w:pPr>
        <w:pStyle w:val="FootnoteText"/>
      </w:pPr>
      <w:r>
        <w:rPr>
          <w:rStyle w:val="FootnoteReference"/>
        </w:rPr>
        <w:footnoteRef/>
      </w:r>
      <w:r>
        <w:t xml:space="preserve"> </w:t>
      </w:r>
      <w:r>
        <w:rPr>
          <w:i/>
          <w:iCs/>
        </w:rPr>
        <w:t>Broadband Label Order</w:t>
      </w:r>
      <w:r>
        <w:t xml:space="preserve">, 37 FCC </w:t>
      </w:r>
      <w:r>
        <w:t>Rcd</w:t>
      </w:r>
      <w:r>
        <w:t xml:space="preserve"> at 13712, para. 120.</w:t>
      </w:r>
    </w:p>
  </w:footnote>
  <w:footnote w:id="152">
    <w:p w:rsidR="00725C86" w:rsidP="00725C86" w14:paraId="3FF31EBC" w14:textId="77777777">
      <w:pPr>
        <w:pStyle w:val="FootnoteText"/>
      </w:pPr>
      <w:r>
        <w:rPr>
          <w:rStyle w:val="FootnoteReference"/>
        </w:rPr>
        <w:footnoteRef/>
      </w:r>
      <w:r>
        <w:t xml:space="preserve"> </w:t>
      </w:r>
      <w:r>
        <w:rPr>
          <w:i/>
        </w:rPr>
        <w:t>2016 Broadband Labels PN</w:t>
      </w:r>
      <w:r>
        <w:t>, 31 FCC at 3359; 47 U.S.C. § 1753(a) (directing the Commission to require the display of labels “as described in the [</w:t>
      </w:r>
      <w:r>
        <w:rPr>
          <w:i/>
          <w:iCs/>
        </w:rPr>
        <w:t>2016 Broadband Label PN</w:t>
      </w:r>
      <w:r>
        <w:t>]”).</w:t>
      </w:r>
    </w:p>
  </w:footnote>
  <w:footnote w:id="153">
    <w:p w:rsidR="00725C86" w:rsidP="00725C86" w14:paraId="6CEEF8CC" w14:textId="77777777">
      <w:pPr>
        <w:pStyle w:val="FootnoteText"/>
      </w:pPr>
      <w:r>
        <w:rPr>
          <w:rStyle w:val="FootnoteReference"/>
        </w:rPr>
        <w:footnoteRef/>
      </w:r>
      <w:r>
        <w:t xml:space="preserve"> </w:t>
      </w:r>
      <w:r>
        <w:rPr>
          <w:i/>
          <w:iCs/>
        </w:rPr>
        <w:t>See</w:t>
      </w:r>
      <w:r>
        <w:t xml:space="preserve"> 5 U.S.C. § 603.  The RFA, </w:t>
      </w:r>
      <w:r>
        <w:rPr>
          <w:i/>
          <w:iCs/>
        </w:rPr>
        <w:t>see</w:t>
      </w:r>
      <w:r>
        <w:t xml:space="preserve"> 5 U.S.C. § 601, et seq., has been amended by the Small Business Regulatory Enforcement Fairness Act of 1996 (SBREFA), Pub. L. No. 104-121, Title II, 110 Stat. 847 (1996).</w:t>
      </w:r>
    </w:p>
  </w:footnote>
  <w:footnote w:id="154">
    <w:p w:rsidR="00725C86" w:rsidP="00725C86" w14:paraId="26CB9688" w14:textId="77777777">
      <w:pPr>
        <w:pStyle w:val="FootnoteText"/>
      </w:pPr>
      <w:r>
        <w:rPr>
          <w:rStyle w:val="FootnoteReference"/>
        </w:rPr>
        <w:footnoteRef/>
      </w:r>
      <w:r>
        <w:t xml:space="preserve"> 5 U.S.C. § 605(b).</w:t>
      </w:r>
    </w:p>
  </w:footnote>
  <w:footnote w:id="155">
    <w:p w:rsidR="00725C86" w:rsidP="00725C86" w14:paraId="6B5AB2F3" w14:textId="77777777">
      <w:pPr>
        <w:pStyle w:val="FootnoteText"/>
      </w:pPr>
      <w:r>
        <w:rPr>
          <w:rStyle w:val="FootnoteReference"/>
        </w:rPr>
        <w:footnoteRef/>
      </w:r>
      <w:r>
        <w:t xml:space="preserve"> Pub. L. No. 104-13, 109 Stat. 163 (1995) (codified at 44 U.S.C. §§ 3501-3520).</w:t>
      </w:r>
    </w:p>
  </w:footnote>
  <w:footnote w:id="156">
    <w:p w:rsidR="00725C86" w:rsidP="00725C86" w14:paraId="1190026D" w14:textId="77777777">
      <w:pPr>
        <w:pStyle w:val="FootnoteText"/>
      </w:pPr>
      <w:r>
        <w:rPr>
          <w:rStyle w:val="FootnoteReference"/>
        </w:rPr>
        <w:footnoteRef/>
      </w:r>
      <w:r>
        <w:t xml:space="preserve"> 44 U.S.C. § 3507(d).</w:t>
      </w:r>
    </w:p>
  </w:footnote>
  <w:footnote w:id="157">
    <w:p w:rsidR="00725C86" w:rsidP="00725C86" w14:paraId="5CB9C3AC" w14:textId="77777777">
      <w:pPr>
        <w:pStyle w:val="FootnoteText"/>
      </w:pPr>
      <w:r>
        <w:rPr>
          <w:rStyle w:val="FootnoteReference"/>
        </w:rPr>
        <w:footnoteRef/>
      </w:r>
      <w:r>
        <w:t xml:space="preserve"> Pursuant to Executive Order 14215, 90 Fed. Reg. 10447 (Feb. 20, 2025), this regulatory action has been determined to be not significant under Executive Order 12866, 58 Fed. Reg. 68708 (Dec. 28, 1993).</w:t>
      </w:r>
    </w:p>
  </w:footnote>
  <w:footnote w:id="158">
    <w:p w:rsidR="00725C86" w:rsidP="00725C86" w14:paraId="5D94808A" w14:textId="77777777">
      <w:pPr>
        <w:pStyle w:val="FootnoteText"/>
      </w:pPr>
      <w:r>
        <w:rPr>
          <w:rStyle w:val="FootnoteReference"/>
        </w:rPr>
        <w:footnoteRef/>
      </w:r>
      <w:r>
        <w:t xml:space="preserve"> </w:t>
      </w:r>
      <w:r>
        <w:rPr>
          <w:i/>
          <w:iCs/>
        </w:rPr>
        <w:t>See</w:t>
      </w:r>
      <w:r>
        <w:t xml:space="preserve"> 5 U.S.C. </w:t>
      </w:r>
      <w:r>
        <w:rPr>
          <w:szCs w:val="22"/>
        </w:rPr>
        <w:t>§ 603.</w:t>
      </w:r>
    </w:p>
  </w:footnote>
  <w:footnote w:id="159">
    <w:p w:rsidR="00725C86" w:rsidP="00725C86" w14:paraId="25140CEB" w14:textId="77777777">
      <w:pPr>
        <w:pStyle w:val="FootnoteText"/>
      </w:pPr>
      <w:r>
        <w:rPr>
          <w:rStyle w:val="FootnoteReference"/>
        </w:rPr>
        <w:footnoteRef/>
      </w:r>
      <w:r>
        <w:t xml:space="preserve"> </w:t>
      </w:r>
      <w:r>
        <w:rPr>
          <w:szCs w:val="22"/>
        </w:rPr>
        <w:t xml:space="preserve">5 U.S.C. §§ 601 </w:t>
      </w:r>
      <w:r>
        <w:rPr>
          <w:i/>
          <w:szCs w:val="22"/>
        </w:rPr>
        <w:t>et seq</w:t>
      </w:r>
      <w:r>
        <w:rPr>
          <w:szCs w:val="22"/>
        </w:rPr>
        <w:t>., as amended by the Small Business Regulatory Enforcement and Fairness Act (SBREFA), Pub. L. No. 104-121, 110 Stat. 847 (1996)</w:t>
      </w:r>
      <w:r>
        <w:t>.</w:t>
      </w:r>
    </w:p>
  </w:footnote>
  <w:footnote w:id="160">
    <w:p w:rsidR="00725C86" w:rsidP="00725C86" w14:paraId="0D406499" w14:textId="77777777">
      <w:pPr>
        <w:pStyle w:val="FootnoteText"/>
      </w:pPr>
      <w:r>
        <w:rPr>
          <w:rStyle w:val="FootnoteReference"/>
        </w:rPr>
        <w:footnoteRef/>
      </w:r>
      <w:r>
        <w:t xml:space="preserve"> </w:t>
      </w:r>
      <w:r w:rsidRPr="00816744">
        <w:t>Empowering Broadband Consumers Through Transparency</w:t>
      </w:r>
      <w:r>
        <w:t xml:space="preserve">, CG Docket No. 22-2, GN Docket No. 25-133, Second Further Notice of Proposed Rulemaking and Notice of Proposed Rulemaking, 40 FCC </w:t>
      </w:r>
      <w:r>
        <w:t>Rcd</w:t>
      </w:r>
      <w:r>
        <w:t xml:space="preserve"> 8614 (2025) (</w:t>
      </w:r>
      <w:r>
        <w:rPr>
          <w:i/>
          <w:iCs/>
        </w:rPr>
        <w:t>Second Further Notice</w:t>
      </w:r>
      <w:r>
        <w:t>), Appendix B.</w:t>
      </w:r>
    </w:p>
  </w:footnote>
  <w:footnote w:id="161">
    <w:p w:rsidR="00725C86" w:rsidP="00725C86" w14:paraId="7A5FF129" w14:textId="77777777">
      <w:pPr>
        <w:pStyle w:val="FootnoteText"/>
        <w:tabs>
          <w:tab w:val="left" w:pos="3365"/>
        </w:tabs>
      </w:pPr>
      <w:r>
        <w:rPr>
          <w:rStyle w:val="FootnoteReference"/>
        </w:rPr>
        <w:footnoteRef/>
      </w:r>
      <w:r>
        <w:t xml:space="preserve"> </w:t>
      </w:r>
      <w:r>
        <w:rPr>
          <w:szCs w:val="22"/>
        </w:rPr>
        <w:t xml:space="preserve">5 U.S.C. </w:t>
      </w:r>
      <w:r>
        <w:t>§ 604.</w:t>
      </w:r>
      <w:r>
        <w:tab/>
      </w:r>
    </w:p>
  </w:footnote>
  <w:footnote w:id="162">
    <w:p w:rsidR="00725C86" w:rsidP="00725C86" w14:paraId="4DB398D8" w14:textId="77777777">
      <w:pPr>
        <w:pStyle w:val="FootnoteText"/>
      </w:pPr>
      <w:r>
        <w:rPr>
          <w:rStyle w:val="FootnoteReference"/>
        </w:rPr>
        <w:footnoteRef/>
      </w:r>
      <w:r>
        <w:t xml:space="preserve"> </w:t>
      </w:r>
      <w:r>
        <w:rPr>
          <w:i/>
          <w:iCs/>
        </w:rPr>
        <w:t>Empowering Broadband Consumers Through Transparency</w:t>
      </w:r>
      <w:r>
        <w:t xml:space="preserve">, CG Docket No. 22-2, Report and Order and Further Notice of Proposed Rulemaking, 37 FCC </w:t>
      </w:r>
      <w:r>
        <w:t>Rcd</w:t>
      </w:r>
      <w:r>
        <w:t xml:space="preserve"> 13686 (2022) (</w:t>
      </w:r>
      <w:r>
        <w:rPr>
          <w:i/>
          <w:iCs/>
        </w:rPr>
        <w:t>Broadband Label Order</w:t>
      </w:r>
      <w:r>
        <w:t>); The Infrastructure Investment and Jobs Act, Pub. L. No. 117-58, 135 Stat. 429, § 60504(a) (2021) (Infrastructure Act).</w:t>
      </w:r>
    </w:p>
  </w:footnote>
  <w:footnote w:id="163">
    <w:p w:rsidR="00725C86" w:rsidP="00725C86" w14:paraId="7DFB867C" w14:textId="77777777">
      <w:pPr>
        <w:pStyle w:val="FootnoteText"/>
      </w:pPr>
      <w:r>
        <w:rPr>
          <w:rStyle w:val="FootnoteReference"/>
        </w:rPr>
        <w:footnoteRef/>
      </w:r>
      <w:r>
        <w:t xml:space="preserve"> </w:t>
      </w:r>
      <w:r>
        <w:rPr>
          <w:i/>
          <w:iCs/>
        </w:rPr>
        <w:t>Delete, Delete, Delete</w:t>
      </w:r>
      <w:r>
        <w:t>, GN Docket No. 25-133, Public Notice, DA 25-219 (GN 2025) (</w:t>
      </w:r>
      <w:r>
        <w:rPr>
          <w:i/>
          <w:iCs/>
        </w:rPr>
        <w:t>Delete, Delete, Delete Public Notice</w:t>
      </w:r>
      <w:r>
        <w:t xml:space="preserve">); </w:t>
      </w:r>
      <w:r>
        <w:rPr>
          <w:i/>
          <w:iCs/>
        </w:rPr>
        <w:t>Consumer and Governmental Affairs Bureau Announces Compliance Dates of April 10, 2024 and October 10, 2024 for Broadband Label Rules</w:t>
      </w:r>
      <w:r>
        <w:t xml:space="preserve">, CG Docket No. 22-2, Public Notice, 38 FCC </w:t>
      </w:r>
      <w:r>
        <w:t>Rcd</w:t>
      </w:r>
      <w:r>
        <w:t xml:space="preserve"> 9341 (CGB 2023).</w:t>
      </w:r>
    </w:p>
  </w:footnote>
  <w:footnote w:id="164">
    <w:p w:rsidR="00725C86" w:rsidP="00725C86" w14:paraId="35633217" w14:textId="77777777">
      <w:pPr>
        <w:pStyle w:val="FootnoteText"/>
        <w:tabs>
          <w:tab w:val="left" w:pos="2542"/>
        </w:tabs>
      </w:pPr>
      <w:r>
        <w:rPr>
          <w:rStyle w:val="FootnoteReference"/>
        </w:rPr>
        <w:footnoteRef/>
      </w:r>
      <w:r>
        <w:t xml:space="preserve"> NTCA Comments</w:t>
      </w:r>
      <w:r>
        <w:rPr>
          <w:i/>
        </w:rPr>
        <w:t xml:space="preserve"> </w:t>
      </w:r>
      <w:r>
        <w:t>at 18-19.</w:t>
      </w:r>
    </w:p>
  </w:footnote>
  <w:footnote w:id="165">
    <w:p w:rsidR="00725C86" w:rsidP="00725C86" w14:paraId="39857DB0" w14:textId="77777777">
      <w:pPr>
        <w:pStyle w:val="FootnoteText"/>
      </w:pPr>
      <w:r>
        <w:rPr>
          <w:rStyle w:val="FootnoteReference"/>
        </w:rPr>
        <w:footnoteRef/>
      </w:r>
      <w:r>
        <w:t xml:space="preserve"> </w:t>
      </w:r>
      <w:r>
        <w:rPr>
          <w:i/>
          <w:iCs/>
        </w:rPr>
        <w:t>Id.</w:t>
      </w:r>
    </w:p>
  </w:footnote>
  <w:footnote w:id="166">
    <w:p w:rsidR="00725C86" w:rsidP="00725C86" w14:paraId="5133A0E7" w14:textId="77777777">
      <w:pPr>
        <w:pStyle w:val="FootnoteText"/>
      </w:pPr>
      <w:r>
        <w:rPr>
          <w:rStyle w:val="FootnoteReference"/>
        </w:rPr>
        <w:footnoteRef/>
      </w:r>
      <w:r>
        <w:t xml:space="preserve"> </w:t>
      </w:r>
      <w:r>
        <w:rPr>
          <w:i/>
          <w:iCs/>
        </w:rPr>
        <w:t>Id.</w:t>
      </w:r>
      <w:r>
        <w:rPr>
          <w:i/>
        </w:rPr>
        <w:t xml:space="preserve"> </w:t>
      </w:r>
      <w:r>
        <w:t xml:space="preserve">at 18, citing the 2022 </w:t>
      </w:r>
      <w:r>
        <w:rPr>
          <w:i/>
          <w:iCs/>
        </w:rPr>
        <w:t>Broadband Label Order</w:t>
      </w:r>
      <w:r>
        <w:t xml:space="preserve"> at para 118.</w:t>
      </w:r>
    </w:p>
  </w:footnote>
  <w:footnote w:id="167">
    <w:p w:rsidR="00725C86" w:rsidP="00725C86" w14:paraId="44B0A133" w14:textId="77777777">
      <w:pPr>
        <w:pStyle w:val="FootnoteText"/>
      </w:pPr>
      <w:r>
        <w:rPr>
          <w:rStyle w:val="FootnoteReference"/>
        </w:rPr>
        <w:footnoteRef/>
      </w:r>
      <w:r>
        <w:t xml:space="preserve"> </w:t>
      </w:r>
      <w:r>
        <w:rPr>
          <w:i/>
          <w:iCs/>
        </w:rPr>
        <w:t>Id.</w:t>
      </w:r>
      <w:r>
        <w:rPr>
          <w:i/>
        </w:rPr>
        <w:t xml:space="preserve"> </w:t>
      </w:r>
      <w:r>
        <w:t>at 19.</w:t>
      </w:r>
    </w:p>
  </w:footnote>
  <w:footnote w:id="168">
    <w:p w:rsidR="00725C86" w:rsidP="00725C86" w14:paraId="4724EEDA" w14:textId="77777777">
      <w:pPr>
        <w:pStyle w:val="FootnoteText"/>
      </w:pPr>
      <w:r>
        <w:rPr>
          <w:rStyle w:val="FootnoteReference"/>
        </w:rPr>
        <w:footnoteRef/>
      </w:r>
      <w:r>
        <w:t xml:space="preserve"> </w:t>
      </w:r>
      <w:r>
        <w:rPr>
          <w:i/>
          <w:iCs/>
        </w:rPr>
        <w:t>See</w:t>
      </w:r>
      <w:r>
        <w:t xml:space="preserve"> WISPA Comments at 1, 6; WISPA Reply at 6-9; </w:t>
      </w:r>
      <w:r>
        <w:t>Breezeline</w:t>
      </w:r>
      <w:r>
        <w:t xml:space="preserve"> Comments at 1, 3, 5; ACA Connects Comments at 3-4, 10; </w:t>
      </w:r>
      <w:r>
        <w:t>Joink</w:t>
      </w:r>
      <w:r>
        <w:t xml:space="preserve"> Comments at 1-2.</w:t>
      </w:r>
    </w:p>
  </w:footnote>
  <w:footnote w:id="169">
    <w:p w:rsidR="00725C86" w:rsidP="00725C86" w14:paraId="6EEC0C6A" w14:textId="77777777">
      <w:pPr>
        <w:pStyle w:val="FootnoteText"/>
      </w:pPr>
      <w:r>
        <w:rPr>
          <w:rStyle w:val="FootnoteReference"/>
        </w:rPr>
        <w:footnoteRef/>
      </w:r>
      <w:r>
        <w:t xml:space="preserve"> </w:t>
      </w:r>
      <w:r>
        <w:rPr>
          <w:i/>
          <w:iCs/>
        </w:rPr>
        <w:t>See</w:t>
      </w:r>
      <w:r>
        <w:t xml:space="preserve"> </w:t>
      </w:r>
      <w:r>
        <w:t>USTelecom</w:t>
      </w:r>
      <w:r>
        <w:t xml:space="preserve"> Comments at 2-3, 5; CTIA Comments at 5-6.</w:t>
      </w:r>
    </w:p>
  </w:footnote>
  <w:footnote w:id="170">
    <w:p w:rsidR="00725C86" w:rsidP="00725C86" w14:paraId="70A53BEF" w14:textId="77777777">
      <w:pPr>
        <w:pStyle w:val="FootnoteText"/>
      </w:pPr>
      <w:r>
        <w:rPr>
          <w:rStyle w:val="FootnoteReference"/>
        </w:rPr>
        <w:footnoteRef/>
      </w:r>
      <w:r>
        <w:t xml:space="preserve"> Small Business Jobs Act of 2010, Pub. L. No. 111-240, 124 Stat. 2504 (2010).</w:t>
      </w:r>
    </w:p>
  </w:footnote>
  <w:footnote w:id="171">
    <w:p w:rsidR="00725C86" w:rsidP="00725C86" w14:paraId="0DF942BA" w14:textId="77777777">
      <w:pPr>
        <w:pStyle w:val="FootnoteText"/>
      </w:pPr>
      <w:r>
        <w:rPr>
          <w:rStyle w:val="FootnoteReference"/>
        </w:rPr>
        <w:footnoteRef/>
      </w:r>
      <w:r>
        <w:t xml:space="preserve"> </w:t>
      </w:r>
      <w:r>
        <w:rPr>
          <w:szCs w:val="22"/>
        </w:rPr>
        <w:t xml:space="preserve">5 U.S.C. </w:t>
      </w:r>
      <w:r>
        <w:t xml:space="preserve">§ 604 (a)(3). </w:t>
      </w:r>
    </w:p>
  </w:footnote>
  <w:footnote w:id="172">
    <w:p w:rsidR="00725C86" w:rsidP="00725C86" w14:paraId="2E8199A3" w14:textId="77777777">
      <w:pPr>
        <w:pStyle w:val="FootnoteText"/>
      </w:pPr>
      <w:r>
        <w:rPr>
          <w:rStyle w:val="FootnoteReference"/>
        </w:rPr>
        <w:footnoteRef/>
      </w:r>
      <w:r>
        <w:t xml:space="preserve"> </w:t>
      </w:r>
      <w:r>
        <w:rPr>
          <w:i/>
        </w:rPr>
        <w:t>Id</w:t>
      </w:r>
      <w:r>
        <w:t xml:space="preserve">.  </w:t>
      </w:r>
    </w:p>
  </w:footnote>
  <w:footnote w:id="173">
    <w:p w:rsidR="00725C86" w:rsidP="00725C86" w14:paraId="3CEFC14E" w14:textId="77777777">
      <w:pPr>
        <w:pStyle w:val="FootnoteText"/>
      </w:pPr>
      <w:r>
        <w:rPr>
          <w:rStyle w:val="FootnoteReference"/>
        </w:rPr>
        <w:footnoteRef/>
      </w:r>
      <w:r>
        <w:t xml:space="preserve"> </w:t>
      </w:r>
      <w:r>
        <w:rPr>
          <w:i/>
        </w:rPr>
        <w:t>Id</w:t>
      </w:r>
      <w:r>
        <w:t xml:space="preserve">. § 601(6).  </w:t>
      </w:r>
    </w:p>
  </w:footnote>
  <w:footnote w:id="174">
    <w:p w:rsidR="00725C86" w:rsidP="00725C86" w14:paraId="54D7A4ED" w14:textId="77777777">
      <w:pPr>
        <w:pStyle w:val="FootnoteText"/>
      </w:pPr>
      <w:r>
        <w:rPr>
          <w:rStyle w:val="FootnoteReference"/>
        </w:rPr>
        <w:footnoteRef/>
      </w:r>
      <w:r>
        <w:t xml:space="preserve"> </w:t>
      </w:r>
      <w:r>
        <w:rPr>
          <w:i/>
          <w:iCs/>
        </w:rPr>
        <w:t>Id</w:t>
      </w:r>
      <w:r>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75">
    <w:p w:rsidR="00725C86" w:rsidP="00725C86" w14:paraId="6FDEFEE6" w14:textId="77777777">
      <w:pPr>
        <w:pStyle w:val="FootnoteText"/>
      </w:pPr>
      <w:r>
        <w:rPr>
          <w:rStyle w:val="FootnoteReference"/>
        </w:rPr>
        <w:footnoteRef/>
      </w:r>
      <w:r>
        <w:t xml:space="preserve"> 15 U.S.C. § 632.</w:t>
      </w:r>
    </w:p>
  </w:footnote>
  <w:footnote w:id="176">
    <w:p w:rsidR="00725C86" w:rsidP="00725C86" w14:paraId="58E59F7C" w14:textId="77777777">
      <w:pPr>
        <w:pStyle w:val="FootnoteText"/>
      </w:pPr>
      <w:r>
        <w:rPr>
          <w:rStyle w:val="FootnoteReference"/>
        </w:rPr>
        <w:footnoteRef/>
      </w:r>
      <w:r>
        <w:t xml:space="preserve"> 13 CFR 121.903.</w:t>
      </w:r>
    </w:p>
  </w:footnote>
  <w:footnote w:id="177">
    <w:p w:rsidR="00725C86" w:rsidP="00725C86" w14:paraId="7C244178" w14:textId="77777777">
      <w:pPr>
        <w:pStyle w:val="FootnoteText"/>
      </w:pPr>
      <w:r>
        <w:rPr>
          <w:rStyle w:val="FootnoteReference"/>
          <w:rFonts w:eastAsia="Calibri"/>
        </w:rPr>
        <w:footnoteRef/>
      </w:r>
      <w:r>
        <w:t xml:space="preserve"> 5 U.S.C. § 601(3)-(6).</w:t>
      </w:r>
    </w:p>
  </w:footnote>
  <w:footnote w:id="178">
    <w:p w:rsidR="00725C86" w:rsidP="00725C86" w14:paraId="15F0883D" w14:textId="77777777">
      <w:pPr>
        <w:pStyle w:val="FootnoteText"/>
      </w:pPr>
      <w:r>
        <w:rPr>
          <w:rStyle w:val="FootnoteReference"/>
          <w:rFonts w:eastAsia="Calibri"/>
        </w:rPr>
        <w:footnoteRef/>
      </w:r>
      <w:r>
        <w:t xml:space="preserve"> </w:t>
      </w:r>
      <w:r>
        <w:rPr>
          <w:i/>
          <w:iCs/>
        </w:rPr>
        <w:t>See</w:t>
      </w:r>
      <w:r>
        <w:t xml:space="preserve"> SBA, Office of Advocacy, </w:t>
      </w:r>
      <w:r>
        <w:rPr>
          <w:i/>
          <w:iCs/>
        </w:rPr>
        <w:t>Frequently Asked Questions About Small Business</w:t>
      </w:r>
      <w:r>
        <w:t xml:space="preserve"> (July 23, 2024), </w:t>
      </w:r>
      <w:hyperlink r:id="rId4" w:history="1">
        <w:r>
          <w:rPr>
            <w:rStyle w:val="Hyperlink"/>
          </w:rPr>
          <w:t>https://advocacy.sba.gov/wp-content/uploads/2024/12/Frequently-Asked-Questions-About-Small-Business_2024-508.pdf</w:t>
        </w:r>
      </w:hyperlink>
      <w:r>
        <w:t>.</w:t>
      </w:r>
    </w:p>
  </w:footnote>
  <w:footnote w:id="179">
    <w:p w:rsidR="00725C86" w:rsidP="00725C86" w14:paraId="47A75883" w14:textId="77777777">
      <w:pPr>
        <w:pStyle w:val="FootnoteText"/>
      </w:pPr>
      <w:r>
        <w:rPr>
          <w:rStyle w:val="FootnoteReference"/>
        </w:rPr>
        <w:footnoteRef/>
      </w:r>
      <w:r>
        <w:t xml:space="preserve"> </w:t>
      </w:r>
      <w:r>
        <w:rPr>
          <w:i/>
          <w:iCs/>
        </w:rPr>
        <w:t>Id</w:t>
      </w:r>
      <w:r>
        <w:t>.</w:t>
      </w:r>
    </w:p>
  </w:footnote>
  <w:footnote w:id="180">
    <w:p w:rsidR="00725C86" w:rsidP="00725C86" w14:paraId="79FB76F3" w14:textId="77777777">
      <w:pPr>
        <w:pStyle w:val="FootnoteText"/>
      </w:pPr>
      <w:r>
        <w:rPr>
          <w:rStyle w:val="FootnoteReference"/>
          <w:rFonts w:eastAsia="Calibri"/>
        </w:rPr>
        <w:footnoteRef/>
      </w:r>
      <w:r>
        <w:t xml:space="preserve"> </w:t>
      </w:r>
      <w:r>
        <w:rPr>
          <w:spacing w:val="-2"/>
        </w:rPr>
        <w:t>5 U.S.C.</w:t>
      </w:r>
      <w:r>
        <w:t xml:space="preserve"> § 601(4).</w:t>
      </w:r>
    </w:p>
  </w:footnote>
  <w:footnote w:id="181">
    <w:p w:rsidR="00725C86" w:rsidP="00725C86" w14:paraId="3F0F2E8E" w14:textId="77777777">
      <w:pPr>
        <w:pStyle w:val="FootnoteText"/>
      </w:pPr>
      <w:r>
        <w:rPr>
          <w:rStyle w:val="FootnoteReference"/>
        </w:rPr>
        <w:footnoteRef/>
      </w:r>
      <w:r>
        <w:t xml:space="preserve"> </w:t>
      </w:r>
      <w:r>
        <w:rPr>
          <w:i/>
          <w:iCs/>
        </w:rPr>
        <w:t xml:space="preserve">See </w:t>
      </w:r>
      <w:r>
        <w:t xml:space="preserve">SBA, Office of Advocacy, </w:t>
      </w:r>
      <w:r>
        <w:rPr>
          <w:i/>
          <w:iCs/>
        </w:rPr>
        <w:t>Small Business Facts, Spotlight on Nonprofits</w:t>
      </w:r>
      <w:r>
        <w:t xml:space="preserve"> (July 2019), </w:t>
      </w:r>
      <w:hyperlink r:id="rId5" w:history="1">
        <w:r>
          <w:rPr>
            <w:rStyle w:val="Hyperlink"/>
          </w:rPr>
          <w:t>https://advocacy.sba.gov/2019/07/25/small-business-facts-spotlight-on-nonprofits</w:t>
        </w:r>
      </w:hyperlink>
      <w:r>
        <w:t xml:space="preserve">.  </w:t>
      </w:r>
    </w:p>
  </w:footnote>
  <w:footnote w:id="182">
    <w:p w:rsidR="00725C86" w:rsidP="00725C86" w14:paraId="4479D52D" w14:textId="77777777">
      <w:pPr>
        <w:pStyle w:val="FootnoteText"/>
      </w:pPr>
      <w:r>
        <w:rPr>
          <w:rStyle w:val="FootnoteReference"/>
          <w:rFonts w:eastAsia="Calibri"/>
          <w:spacing w:val="-2"/>
        </w:rPr>
        <w:footnoteRef/>
      </w:r>
      <w:r>
        <w:t xml:space="preserve"> 5 U.S.C. § 601(5).</w:t>
      </w:r>
    </w:p>
  </w:footnote>
  <w:footnote w:id="183">
    <w:p w:rsidR="00725C86" w:rsidP="00725C86" w14:paraId="10F40627" w14:textId="77777777">
      <w:pPr>
        <w:pStyle w:val="FootnoteText"/>
      </w:pPr>
      <w:r>
        <w:rPr>
          <w:rStyle w:val="FootnoteReference"/>
        </w:rPr>
        <w:footnoteRef/>
      </w:r>
      <w:r>
        <w:t xml:space="preserve"> </w:t>
      </w:r>
      <w:r>
        <w:rPr>
          <w:i/>
        </w:rPr>
        <w:t>See</w:t>
      </w:r>
      <w:r>
        <w:t xml:space="preserve"> U.S. Census Bureau, 2022 Census of Governments – Organization, </w:t>
      </w:r>
      <w:hyperlink r:id="rId6" w:history="1">
        <w:r>
          <w:rPr>
            <w:rStyle w:val="Hyperlink"/>
          </w:rPr>
          <w:t>https://www.census.gov/data/tables/2022/econ/gus/2022-governments.html</w:t>
        </w:r>
      </w:hyperlink>
      <w:r>
        <w:t xml:space="preserve">, tables 1–11.  </w:t>
      </w:r>
    </w:p>
  </w:footnote>
  <w:footnote w:id="184">
    <w:p w:rsidR="00725C86" w:rsidP="00725C86" w14:paraId="7C9CC1BC" w14:textId="77777777">
      <w:pPr>
        <w:pStyle w:val="FootnoteText"/>
      </w:pPr>
      <w:r>
        <w:rPr>
          <w:rStyle w:val="FootnoteReference"/>
        </w:rPr>
        <w:footnoteRef/>
      </w:r>
      <w:r>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Pr>
          <w:i/>
          <w:iCs/>
        </w:rPr>
        <w:t xml:space="preserve">See </w:t>
      </w:r>
      <w:hyperlink r:id="rId7" w:history="1">
        <w:r>
          <w:rPr>
            <w:rStyle w:val="Hyperlink"/>
          </w:rPr>
          <w:t>www.census.gov/NAICS</w:t>
        </w:r>
      </w:hyperlink>
      <w:r>
        <w:t xml:space="preserve"> for further details regarding the NAICS codes identified in this chart.</w:t>
      </w:r>
    </w:p>
  </w:footnote>
  <w:footnote w:id="185">
    <w:p w:rsidR="00725C86" w:rsidP="00725C86" w14:paraId="24C132A6" w14:textId="77777777">
      <w:pPr>
        <w:pStyle w:val="FootnoteText"/>
      </w:pPr>
      <w:r>
        <w:rPr>
          <w:rStyle w:val="FootnoteReference"/>
        </w:rPr>
        <w:footnoteRef/>
      </w:r>
      <w:r>
        <w:t xml:space="preserve"> The size standards in this chart are set forth in 13 CFR 121.201, by six digit NAICS code.</w:t>
      </w:r>
    </w:p>
  </w:footnote>
  <w:footnote w:id="186">
    <w:p w:rsidR="00725C86" w:rsidP="00725C86" w14:paraId="22C0CCC5" w14:textId="77777777">
      <w:pPr>
        <w:pStyle w:val="FootnoteText"/>
      </w:pPr>
      <w:r>
        <w:rPr>
          <w:rStyle w:val="FootnoteReference"/>
        </w:rPr>
        <w:footnoteRef/>
      </w:r>
      <w:r>
        <w:t xml:space="preserve"> </w:t>
      </w:r>
      <w:r>
        <w:rPr>
          <w:bCs/>
          <w:i/>
          <w:iCs/>
          <w:color w:val="010101"/>
        </w:rPr>
        <w:t>See</w:t>
      </w:r>
      <w:r>
        <w:t xml:space="preserve"> U.S. Census Bureau, </w:t>
      </w:r>
      <w:r>
        <w:rPr>
          <w:i/>
          <w:iCs/>
        </w:rPr>
        <w:t xml:space="preserve">2017 </w:t>
      </w:r>
      <w:r>
        <w:rPr>
          <w:i/>
        </w:rPr>
        <w:t>Economic Census</w:t>
      </w:r>
      <w:r>
        <w:rPr>
          <w:bCs/>
          <w:i/>
        </w:rPr>
        <w:t xml:space="preserve"> of the United States</w:t>
      </w:r>
      <w:r>
        <w:t xml:space="preserve">, </w:t>
      </w:r>
      <w:r>
        <w:rPr>
          <w:i/>
          <w:iCs/>
        </w:rPr>
        <w:t xml:space="preserve">Employment Size of Firms for the U.S.: 2017, </w:t>
      </w:r>
      <w:r>
        <w:t xml:space="preserve">Table ID: EC1700SIZEEMPFIRM, </w:t>
      </w:r>
      <w:r>
        <w:rPr>
          <w:i/>
          <w:iCs/>
        </w:rPr>
        <w:t>and</w:t>
      </w:r>
      <w:r>
        <w:t xml:space="preserve"> </w:t>
      </w:r>
      <w:r>
        <w:rPr>
          <w:i/>
          <w:iCs/>
        </w:rPr>
        <w:t xml:space="preserve">2017 </w:t>
      </w:r>
      <w:r>
        <w:rPr>
          <w:i/>
        </w:rPr>
        <w:t>Economic Census</w:t>
      </w:r>
      <w:r>
        <w:rPr>
          <w:bCs/>
          <w:i/>
        </w:rPr>
        <w:t xml:space="preserve"> of the United States</w:t>
      </w:r>
      <w:r>
        <w:t xml:space="preserve">, </w:t>
      </w:r>
      <w:r>
        <w:rPr>
          <w:i/>
          <w:iCs/>
        </w:rPr>
        <w:t>Selected Sectors: Sales, Value of Shipments, or Revenue Size of Firms for the U.S.: 2017</w:t>
      </w:r>
      <w:r>
        <w:t>, Table ID: EC1700SIZEREVFIRM.</w:t>
      </w:r>
    </w:p>
  </w:footnote>
  <w:footnote w:id="187">
    <w:p w:rsidR="00725C86" w:rsidP="00725C86" w14:paraId="597C5976" w14:textId="77777777">
      <w:pPr>
        <w:pStyle w:val="FootnoteText"/>
      </w:pPr>
      <w:r>
        <w:rPr>
          <w:rStyle w:val="FootnoteReference"/>
        </w:rPr>
        <w:footnoteRef/>
      </w:r>
      <w:r>
        <w:t xml:space="preserve"> </w:t>
      </w:r>
      <w:r>
        <w:rPr>
          <w:i/>
          <w:iCs/>
        </w:rPr>
        <w:t>Id</w:t>
      </w:r>
      <w:r>
        <w:t>.</w:t>
      </w:r>
      <w:r>
        <w:rPr>
          <w:i/>
          <w:iCs/>
        </w:rPr>
        <w:t xml:space="preserve"> </w:t>
      </w:r>
    </w:p>
  </w:footnote>
  <w:footnote w:id="188">
    <w:p w:rsidR="00725C86" w:rsidP="00725C86" w14:paraId="1280F10A" w14:textId="77777777">
      <w:pPr>
        <w:pStyle w:val="FootnoteText"/>
      </w:pPr>
      <w:r>
        <w:rPr>
          <w:rStyle w:val="FootnoteReference"/>
        </w:rPr>
        <w:footnoteRef/>
      </w:r>
      <w:r>
        <w:t xml:space="preserve"> Affected Entities in this industry include Incumbent Local Exchange Carriers (Incumbent LECs), Interexchange Carriers (IXCs), Local Exchange Carriers (LECs), Wired Broadband Internet Access Service Providers.</w:t>
      </w:r>
    </w:p>
  </w:footnote>
  <w:footnote w:id="189">
    <w:p w:rsidR="00725C86" w:rsidP="00725C86" w14:paraId="77ABD90E" w14:textId="77777777">
      <w:pPr>
        <w:pStyle w:val="FootnoteText"/>
      </w:pPr>
      <w:r>
        <w:rPr>
          <w:rStyle w:val="FootnoteReference"/>
        </w:rPr>
        <w:footnoteRef/>
      </w:r>
      <w:r>
        <w:t xml:space="preserve"> Affected Entities in this industry include Wireless Broadband Internet Access Service Providers and Wireless Telephony.   </w:t>
      </w:r>
    </w:p>
  </w:footnote>
  <w:footnote w:id="190">
    <w:p w:rsidR="00725C86" w:rsidP="00725C86" w14:paraId="16B2F8C8" w14:textId="77777777">
      <w:pPr>
        <w:pStyle w:val="FootnoteText"/>
      </w:pPr>
      <w:r>
        <w:rPr>
          <w:rStyle w:val="FootnoteReference"/>
        </w:rPr>
        <w:footnoteRef/>
      </w:r>
      <w:r>
        <w:t xml:space="preserve"> Affected Entities in this industry include Toll Resellers.</w:t>
      </w:r>
    </w:p>
  </w:footnote>
  <w:footnote w:id="191">
    <w:p w:rsidR="00725C86" w:rsidP="00725C86" w14:paraId="6AFECC86" w14:textId="77777777">
      <w:pPr>
        <w:pStyle w:val="FootnoteText"/>
      </w:pPr>
      <w:r>
        <w:rPr>
          <w:rStyle w:val="FootnoteReference"/>
        </w:rPr>
        <w:footnoteRef/>
      </w:r>
      <w:r>
        <w:t xml:space="preserve"> </w:t>
      </w:r>
      <w:r>
        <w:rPr>
          <w:iCs/>
        </w:rPr>
        <w:t xml:space="preserve">Federal-State Joint Board on Universal Service, Universal Service Monitoring Report at 26, Table 1.12 (2024), </w:t>
      </w:r>
      <w:hyperlink r:id="rId8" w:history="1">
        <w:r>
          <w:rPr>
            <w:rStyle w:val="Hyperlink"/>
          </w:rPr>
          <w:t>https://docs.fcc.gov/public/attachments/DOC-408848A1.pdf</w:t>
        </w:r>
      </w:hyperlink>
      <w:r>
        <w:t>.</w:t>
      </w:r>
    </w:p>
  </w:footnote>
  <w:footnote w:id="192">
    <w:p w:rsidR="00725C86" w:rsidP="00725C86" w14:paraId="4BF90F8A" w14:textId="77777777">
      <w:pPr>
        <w:pStyle w:val="FootnoteText"/>
      </w:pPr>
      <w:r>
        <w:rPr>
          <w:rStyle w:val="FootnoteReference"/>
        </w:rPr>
        <w:footnoteRef/>
      </w:r>
      <w:r>
        <w:t xml:space="preserve"> Affected Entities in this industry include all reporting fixed local service providers (CLECs &amp; ILECs).</w:t>
      </w:r>
    </w:p>
  </w:footnote>
  <w:footnote w:id="193">
    <w:p w:rsidR="00725C86" w:rsidP="00725C86" w14:paraId="2CD5F97A" w14:textId="77777777">
      <w:pPr>
        <w:pStyle w:val="FootnoteText"/>
        <w:rPr>
          <w:b/>
          <w:bCs/>
        </w:rPr>
      </w:pPr>
      <w:r>
        <w:rPr>
          <w:rStyle w:val="FootnoteReference"/>
        </w:rPr>
        <w:footnoteRef/>
      </w:r>
      <w:r>
        <w:t xml:space="preserve"> Local Resellers fall into another U.S. Census Bureau industry (Telecommunications Resellers) and therefore data for these providers is not included in this industry.  </w:t>
      </w:r>
    </w:p>
  </w:footnote>
  <w:footnote w:id="194">
    <w:p w:rsidR="00725C86" w:rsidP="00725C86" w14:paraId="27D076B8" w14:textId="77777777">
      <w:pPr>
        <w:pStyle w:val="FootnoteText"/>
      </w:pPr>
      <w:r>
        <w:rPr>
          <w:rStyle w:val="FootnoteReference"/>
        </w:rPr>
        <w:footnoteRef/>
      </w:r>
      <w:r>
        <w:t xml:space="preserve"> </w:t>
      </w:r>
      <w:r>
        <w:rPr>
          <w:szCs w:val="22"/>
        </w:rPr>
        <w:t xml:space="preserve">5 U.S.C. </w:t>
      </w:r>
      <w:r>
        <w:t xml:space="preserve">§ 604(a)(5). </w:t>
      </w:r>
    </w:p>
  </w:footnote>
  <w:footnote w:id="195">
    <w:p w:rsidR="00725C86" w:rsidP="00725C86" w14:paraId="03672992" w14:textId="77777777">
      <w:pPr>
        <w:spacing w:after="120"/>
        <w:rPr>
          <w:sz w:val="20"/>
        </w:rPr>
      </w:pPr>
      <w:r>
        <w:rPr>
          <w:rStyle w:val="FootnoteReference"/>
        </w:rPr>
        <w:footnoteRef/>
      </w:r>
      <w:r>
        <w:rPr>
          <w:b/>
          <w:bCs/>
          <w:i/>
          <w:iCs/>
          <w:sz w:val="20"/>
        </w:rPr>
        <w:t xml:space="preserve"> </w:t>
      </w:r>
      <w:r>
        <w:rPr>
          <w:i/>
          <w:iCs/>
          <w:sz w:val="20"/>
        </w:rPr>
        <w:t>Id.</w:t>
      </w:r>
      <w:r>
        <w:rPr>
          <w:sz w:val="20"/>
        </w:rPr>
        <w:t xml:space="preserve"> § 604(a)(6).</w:t>
      </w:r>
    </w:p>
  </w:footnote>
  <w:footnote w:id="196">
    <w:p w:rsidR="00725C86" w:rsidP="00725C86" w14:paraId="27B26669" w14:textId="77777777">
      <w:pPr>
        <w:pStyle w:val="FootnoteText"/>
      </w:pPr>
      <w:r>
        <w:rPr>
          <w:rStyle w:val="FootnoteReference"/>
        </w:rPr>
        <w:footnoteRef/>
      </w:r>
      <w:r>
        <w:t xml:space="preserve"> </w:t>
      </w:r>
      <w:r>
        <w:rPr>
          <w:szCs w:val="22"/>
        </w:rPr>
        <w:t xml:space="preserve">5 U.S.C. </w:t>
      </w:r>
      <w:r>
        <w:t>§ 801(a)(1)(A).</w:t>
      </w:r>
    </w:p>
  </w:footnote>
  <w:footnote w:id="197">
    <w:p w:rsidR="00725C86" w:rsidP="00725C86" w14:paraId="020F8F9B" w14:textId="77777777">
      <w:pPr>
        <w:pStyle w:val="FootnoteText"/>
      </w:pPr>
      <w:r>
        <w:rPr>
          <w:rStyle w:val="FootnoteReference"/>
        </w:rPr>
        <w:footnoteRef/>
      </w:r>
      <w:r>
        <w:t xml:space="preserve"> </w:t>
      </w:r>
      <w:r>
        <w:rPr>
          <w:i/>
          <w:iCs/>
        </w:rPr>
        <w:t xml:space="preserve">Id. </w:t>
      </w:r>
      <w:r>
        <w:t>§ 604(b).</w:t>
      </w:r>
    </w:p>
  </w:footnote>
  <w:footnote w:id="198">
    <w:p w:rsidR="00371E4D" w:rsidP="00371E4D" w14:paraId="1B31854D" w14:textId="77777777">
      <w:pPr>
        <w:pStyle w:val="FootnoteText"/>
      </w:pPr>
      <w:r w:rsidRPr="00B01C76">
        <w:rPr>
          <w:rStyle w:val="FootnoteReference"/>
        </w:rPr>
        <w:footnoteRef/>
      </w:r>
      <w:r w:rsidRPr="00B01C76">
        <w:t xml:space="preserve"> </w:t>
      </w:r>
      <w:r w:rsidRPr="00B01C76">
        <w:rPr>
          <w:rStyle w:val="Emphasis"/>
        </w:rPr>
        <w:t>Empowering Broadband Consumers Through Transparency</w:t>
      </w:r>
      <w:r w:rsidRPr="00B01C76">
        <w:t xml:space="preserve">, CG Docket No. 22-2, GN Docket No. 25-133, </w:t>
      </w:r>
      <w:r w:rsidRPr="00B01C76">
        <w:rPr>
          <w:i/>
          <w:iCs/>
        </w:rPr>
        <w:t>Second Notice of Proposed Rulemaking and Further Notice of Proposed Rulemaking</w:t>
      </w:r>
      <w:r w:rsidRPr="00B01C76">
        <w:t xml:space="preserve">, 40 FCC </w:t>
      </w:r>
      <w:r w:rsidRPr="00B01C76">
        <w:t>Rcd</w:t>
      </w:r>
      <w:r w:rsidRPr="00B01C76">
        <w:t xml:space="preserve"> 8614 (2025) (dissenting statement of Commissioner Anna M. Gomez).</w:t>
      </w:r>
    </w:p>
  </w:footnote>
  <w:footnote w:id="199">
    <w:p w:rsidR="00371E4D" w:rsidRPr="003822CE" w:rsidP="00371E4D" w14:paraId="55D3A05B" w14:textId="77777777">
      <w:pPr>
        <w:pStyle w:val="FootnoteText"/>
      </w:pPr>
      <w:r w:rsidRPr="003822CE">
        <w:rPr>
          <w:rStyle w:val="FootnoteReference"/>
        </w:rPr>
        <w:footnoteRef/>
      </w:r>
      <w:r w:rsidRPr="003822CE">
        <w:t xml:space="preserve"> The Infrastructure Investment and Jobs Act, Pub. L. No. 117-58, § 60504(</w:t>
      </w:r>
      <w:r>
        <w:t>c</w:t>
      </w:r>
      <w:r w:rsidRPr="003822CE">
        <w:t>)</w:t>
      </w:r>
      <w:r>
        <w:t>(2)</w:t>
      </w:r>
      <w:r w:rsidRPr="003822CE">
        <w:t>, 135 Stat. 429, 1244 (2021)</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25C86" w:rsidRPr="00816744" w:rsidP="00816744" w14:paraId="2A04EF66" w14:textId="2F07060A">
    <w:pPr>
      <w:pStyle w:val="Header"/>
    </w:pPr>
    <w:r>
      <w:rPr>
        <w:noProof/>
      </w:rPr>
      <w:pict>
        <v:rect 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w10:wrap anchorx="margin"/>
        </v:rect>
      </w:pict>
    </w:r>
    <w:r>
      <w:tab/>
      <w:t>Federal Communications Commission</w:t>
    </w:r>
    <w:r>
      <w:tab/>
    </w:r>
    <w:r>
      <w:rPr>
        <w:spacing w:val="-2"/>
      </w:rPr>
      <w:t>FCC 26-48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25C86" w:rsidRPr="00816744" w:rsidP="00301716" w14:paraId="650DF046" w14:textId="36DFEAEB">
    <w:pPr>
      <w:pStyle w:val="Header"/>
      <w:rPr>
        <w:b w:val="0"/>
      </w:rPr>
    </w:pPr>
    <w:r>
      <w:rPr>
        <w:noProof/>
      </w:rPr>
      <w:pict>
        <v:rect id="Rectangle 2"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w:r>
    <w:r>
      <w:tab/>
      <w:t>Federal Communications Commission</w:t>
    </w:r>
    <w:r>
      <w:tab/>
    </w:r>
    <w:r>
      <w:rPr>
        <w:spacing w:val="-2"/>
      </w:rPr>
      <w:t>FCC 26-48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DB53317" w14:textId="7A719EAD">
    <w:pPr>
      <w:pStyle w:val="Header"/>
      <w:rPr>
        <w:b w:val="0"/>
      </w:rPr>
    </w:pPr>
    <w:r>
      <w:tab/>
      <w:t>Federal Communications Commission</w:t>
    </w:r>
    <w:r>
      <w:tab/>
    </w:r>
    <w:r w:rsidR="0028058F">
      <w:rPr>
        <w:spacing w:val="-2"/>
      </w:rPr>
      <w:t>FCC 26-48</w:t>
    </w:r>
  </w:p>
  <w:p w:rsidR="00D25FB5" w14:paraId="1B75C63C"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1042AD36"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B2BD5B6" w14:textId="6679A0FF">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28058F">
      <w:rPr>
        <w:spacing w:val="-2"/>
      </w:rPr>
      <w:t>FCC 26-48</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966C1" w:rsidRPr="000E4178" w:rsidP="000E4178" w14:paraId="235F8CD3" w14:textId="653D1927">
    <w:pPr>
      <w:tabs>
        <w:tab w:val="center" w:pos="4680"/>
        <w:tab w:val="right" w:pos="9360"/>
      </w:tabs>
    </w:pPr>
    <w:r>
      <w:rPr>
        <w:noProof/>
      </w:rPr>
      <w:pict>
        <v:rect id="_x0000_s2053"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4144" o:allowincell="f" fillcolor="black" stroked="f" strokeweight="0.05pt">
          <w10:wrap anchorx="margin"/>
        </v:rect>
      </w:pict>
    </w:r>
    <w:r w:rsidRPr="000E4178">
      <w:rPr>
        <w:b/>
      </w:rPr>
      <w:tab/>
      <w:t>Federal Communications Commission</w:t>
    </w:r>
    <w:r w:rsidRPr="000E4178">
      <w:rPr>
        <w:b/>
      </w:rPr>
      <w:tab/>
    </w:r>
    <w:r>
      <w:rPr>
        <w:b/>
        <w:spacing w:val="-2"/>
      </w:rPr>
      <w:t>FCC 26-48</w:t>
    </w:r>
  </w:p>
  <w:p w:rsidR="003966C1" w:rsidRPr="000E4178" w:rsidP="000E4178" w14:paraId="23AA4BA7" w14:textId="7777777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71E4D" w:rsidRPr="00BA73BC" w14:paraId="32BBA48B" w14:textId="1E405C7B">
    <w:pPr>
      <w:pStyle w:val="Header"/>
      <w:rPr>
        <w:b w:val="0"/>
        <w:szCs w:val="22"/>
      </w:rPr>
    </w:pPr>
    <w:r>
      <w:rPr>
        <w:noProof/>
      </w:rPr>
      <w:pict>
        <v:rect id="_x0000_s2054"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strokeweight="0.05pt">
          <w10:wrap anchorx="margin"/>
        </v:rect>
      </w:pict>
    </w:r>
    <w:r w:rsidRPr="00DC2B1E">
      <w:rPr>
        <w:szCs w:val="22"/>
      </w:rPr>
      <w:tab/>
      <w:t>Federal Communications Commission</w:t>
    </w:r>
    <w:r w:rsidRPr="00DC2B1E">
      <w:rPr>
        <w:szCs w:val="22"/>
      </w:rPr>
      <w:tab/>
    </w:r>
    <w:r>
      <w:rPr>
        <w:spacing w:val="-2"/>
      </w:rPr>
      <w:t>FCC 26-48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145C52F4"/>
    <w:lvl w:ilvl="0">
      <w:start w:val="1"/>
      <w:numFmt w:val="bullet"/>
      <w:pStyle w:val="ListBullet"/>
      <w:lvlText w:val=""/>
      <w:lvlJc w:val="left"/>
      <w:pPr>
        <w:ind w:left="720" w:hanging="360"/>
      </w:pPr>
      <w:rPr>
        <w:rFonts w:ascii="Wingdings" w:hAnsi="Wingdings" w:hint="default"/>
      </w:rPr>
    </w:lvl>
  </w:abstractNum>
  <w:abstractNum w:abstractNumId="1">
    <w:nsid w:val="03656CFE"/>
    <w:multiLevelType w:val="hybridMultilevel"/>
    <w:tmpl w:val="E34C54D8"/>
    <w:lvl w:ilvl="0">
      <w:start w:val="1"/>
      <w:numFmt w:val="upperRoman"/>
      <w:lvlText w:val="%1."/>
      <w:lvlJc w:val="left"/>
      <w:pPr>
        <w:ind w:left="1080" w:hanging="72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3B712B47"/>
    <w:multiLevelType w:val="hybridMultilevel"/>
    <w:tmpl w:val="169A4EFC"/>
    <w:lvl w:ilvl="0">
      <w:start w:val="1"/>
      <w:numFmt w:val="upperLetter"/>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
    <w:nsid w:val="3DF819D9"/>
    <w:multiLevelType w:val="hybridMultilevel"/>
    <w:tmpl w:val="94504B2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8">
    <w:nsid w:val="43817AE0"/>
    <w:multiLevelType w:val="hybridMultilevel"/>
    <w:tmpl w:val="F58C92C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50DE1A73"/>
    <w:multiLevelType w:val="hybridMultilevel"/>
    <w:tmpl w:val="39608BF4"/>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1">
    <w:nsid w:val="595F6212"/>
    <w:multiLevelType w:val="hybridMultilevel"/>
    <w:tmpl w:val="7F52DBC4"/>
    <w:lvl w:ilvl="0">
      <w:start w:val="1"/>
      <w:numFmt w:val="bullet"/>
      <w:lvlText w:val="•"/>
      <w:lvlJc w:val="left"/>
      <w:pPr>
        <w:ind w:left="720" w:hanging="360"/>
      </w:pPr>
    </w:lvl>
    <w:lvl w:ilvl="1">
      <w:start w:val="1"/>
      <w:numFmt w:val="bullet"/>
      <w:lvlText w:val="•"/>
      <w:lvlJc w:val="left"/>
      <w:pPr>
        <w:ind w:left="360" w:hanging="360"/>
      </w:pPr>
    </w:lvl>
    <w:lvl w:ilvl="2">
      <w:start w:val="1"/>
      <w:numFmt w:val="bullet"/>
      <w:lvlText w:val="o"/>
      <w:lvlJc w:val="left"/>
      <w:pPr>
        <w:ind w:left="720" w:hanging="360"/>
      </w:pPr>
      <w:rPr>
        <w:rFonts w:ascii="Courier New" w:hAnsi="Courier New" w:hint="default"/>
      </w:rPr>
    </w:lvl>
    <w:lvl w:ilvl="3">
      <w:start w:val="0"/>
      <w:numFmt w:val="decimal"/>
      <w:lvlJc w:val="left"/>
    </w:lvl>
    <w:lvl w:ilvl="4">
      <w:start w:val="0"/>
      <w:numFmt w:val="decimal"/>
      <w:lvlJc w:val="left"/>
    </w:lvl>
    <w:lvl w:ilvl="5">
      <w:start w:val="1"/>
      <w:numFmt w:val="bullet"/>
      <w:lvlText w:val="o"/>
      <w:lvlJc w:val="left"/>
      <w:pPr>
        <w:ind w:left="720" w:hanging="360"/>
      </w:pPr>
      <w:rPr>
        <w:rFonts w:ascii="Courier New" w:hAnsi="Courier New" w:hint="default"/>
      </w:rPr>
    </w:lvl>
    <w:lvl w:ilvl="6">
      <w:start w:val="1"/>
      <w:numFmt w:val="bullet"/>
      <w:lvlText w:val="o"/>
      <w:lvlJc w:val="left"/>
      <w:pPr>
        <w:ind w:left="720" w:hanging="360"/>
      </w:pPr>
      <w:rPr>
        <w:rFonts w:ascii="Courier New" w:hAnsi="Courier New" w:hint="default"/>
      </w:rPr>
    </w:lvl>
    <w:lvl w:ilvl="7">
      <w:start w:val="0"/>
      <w:numFmt w:val="decimal"/>
      <w:lvlJc w:val="left"/>
    </w:lvl>
    <w:lvl w:ilvl="8">
      <w:start w:val="0"/>
      <w:numFmt w:val="decimal"/>
      <w:lvlJc w:val="left"/>
    </w:lvl>
  </w:abstractNum>
  <w:abstractNum w:abstractNumId="12">
    <w:nsid w:val="59CE6EBD"/>
    <w:multiLevelType w:val="hybridMultilevel"/>
    <w:tmpl w:val="2F6CC59E"/>
    <w:lvl w:ilvl="0">
      <w:start w:val="1"/>
      <w:numFmt w:val="lowerRoman"/>
      <w:lvlText w:val="%1."/>
      <w:lvlJc w:val="right"/>
      <w:pPr>
        <w:ind w:left="1440" w:hanging="360"/>
      </w:pPr>
    </w:lvl>
    <w:lvl w:ilvl="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3">
    <w:nsid w:val="5EF660B1"/>
    <w:multiLevelType w:val="hybridMultilevel"/>
    <w:tmpl w:val="2BFE36E0"/>
    <w:lvl w:ilvl="0">
      <w:start w:val="1"/>
      <w:numFmt w:val="decimal"/>
      <w:lvlText w:val="%1."/>
      <w:lvlJc w:val="left"/>
      <w:pPr>
        <w:tabs>
          <w:tab w:val="num" w:pos="1080"/>
        </w:tabs>
        <w:ind w:left="0" w:firstLine="720"/>
      </w:pPr>
      <w:rPr>
        <w:rFonts w:hint="default"/>
        <w:b w:val="0"/>
        <w:bCs/>
        <w:i w:val="0"/>
        <w:i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603F28E1"/>
    <w:multiLevelType w:val="hybridMultilevel"/>
    <w:tmpl w:val="3500B5CA"/>
    <w:lvl w:ilvl="0">
      <w:start w:val="1"/>
      <w:numFmt w:val="upperLetter"/>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5">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6">
    <w:nsid w:val="6ACE2231"/>
    <w:multiLevelType w:val="hybridMultilevel"/>
    <w:tmpl w:val="DEFC21A4"/>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17">
    <w:nsid w:val="6B697397"/>
    <w:multiLevelType w:val="hybridMultilevel"/>
    <w:tmpl w:val="E4621952"/>
    <w:lvl w:ilvl="0">
      <w:start w:val="7"/>
      <w:numFmt w:val="bullet"/>
      <w:lvlText w:val=""/>
      <w:lvlJc w:val="left"/>
      <w:pPr>
        <w:ind w:left="720" w:hanging="360"/>
      </w:pPr>
      <w:rPr>
        <w:rFonts w:ascii="Symbol" w:eastAsia="Times New Roman" w:hAnsi="Symbol"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972709686">
    <w:abstractNumId w:val="3"/>
  </w:num>
  <w:num w:numId="2" w16cid:durableId="1949583404">
    <w:abstractNumId w:val="15"/>
  </w:num>
  <w:num w:numId="3" w16cid:durableId="331641764">
    <w:abstractNumId w:val="5"/>
  </w:num>
  <w:num w:numId="4" w16cid:durableId="408776582">
    <w:abstractNumId w:val="9"/>
  </w:num>
  <w:num w:numId="5" w16cid:durableId="1044712736">
    <w:abstractNumId w:val="4"/>
  </w:num>
  <w:num w:numId="6" w16cid:durableId="964308336">
    <w:abstractNumId w:val="2"/>
  </w:num>
  <w:num w:numId="7" w16cid:durableId="16333660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8489785">
    <w:abstractNumId w:val="0"/>
  </w:num>
  <w:num w:numId="9" w16cid:durableId="1596396480">
    <w:abstractNumId w:val="15"/>
    <w:lvlOverride w:ilvl="0">
      <w:startOverride w:val="1"/>
    </w:lvlOverride>
  </w:num>
  <w:num w:numId="10" w16cid:durableId="875654975">
    <w:abstractNumId w:val="15"/>
    <w:lvlOverride w:ilvl="0">
      <w:startOverride w:val="1"/>
    </w:lvlOverride>
  </w:num>
  <w:num w:numId="11" w16cid:durableId="50538766">
    <w:abstractNumId w:val="15"/>
    <w:lvlOverride w:ilvl="0">
      <w:startOverride w:val="1"/>
    </w:lvlOverride>
  </w:num>
  <w:num w:numId="12" w16cid:durableId="1603563107">
    <w:abstractNumId w:val="10"/>
  </w:num>
  <w:num w:numId="13" w16cid:durableId="271204027">
    <w:abstractNumId w:val="12"/>
  </w:num>
  <w:num w:numId="14" w16cid:durableId="1883132620">
    <w:abstractNumId w:val="14"/>
  </w:num>
  <w:num w:numId="15" w16cid:durableId="1678846832">
    <w:abstractNumId w:val="7"/>
  </w:num>
  <w:num w:numId="16" w16cid:durableId="1835299210">
    <w:abstractNumId w:val="16"/>
  </w:num>
  <w:num w:numId="17" w16cid:durableId="1588029099">
    <w:abstractNumId w:val="15"/>
    <w:lvlOverride w:ilvl="0">
      <w:startOverride w:val="1"/>
    </w:lvlOverride>
  </w:num>
  <w:num w:numId="18" w16cid:durableId="362943037">
    <w:abstractNumId w:val="1"/>
  </w:num>
  <w:num w:numId="19" w16cid:durableId="2117211223">
    <w:abstractNumId w:val="8"/>
  </w:num>
  <w:num w:numId="20" w16cid:durableId="1463234634">
    <w:abstractNumId w:val="11"/>
  </w:num>
  <w:num w:numId="21" w16cid:durableId="1813205456">
    <w:abstractNumId w:val="13"/>
  </w:num>
  <w:num w:numId="22" w16cid:durableId="1294630076">
    <w:abstractNumId w:val="5"/>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92211999">
    <w:abstractNumId w:val="15"/>
    <w:lvlOverride w:ilvl="0">
      <w:startOverride w:val="1"/>
    </w:lvlOverride>
  </w:num>
  <w:num w:numId="24" w16cid:durableId="232203290">
    <w:abstractNumId w:val="15"/>
    <w:lvlOverride w:ilvl="0">
      <w:startOverride w:val="1"/>
    </w:lvlOverride>
  </w:num>
  <w:num w:numId="25" w16cid:durableId="703989872">
    <w:abstractNumId w:val="17"/>
  </w:num>
  <w:num w:numId="26" w16cid:durableId="415900293">
    <w:abstractNumId w:val="6"/>
  </w:num>
  <w:num w:numId="27" w16cid:durableId="113137294">
    <w:abstractNumId w:val="15"/>
    <w:lvlOverride w:ilvl="0">
      <w:startOverride w:val="1"/>
    </w:lvlOverride>
  </w:num>
  <w:num w:numId="28" w16cid:durableId="505943572">
    <w:abstractNumId w:val="15"/>
    <w:lvlOverride w:ilvl="0">
      <w:startOverride w:val="1"/>
    </w:lvlOverride>
  </w:num>
  <w:num w:numId="29" w16cid:durableId="1378243541">
    <w:abstractNumId w:val="15"/>
    <w:lvlOverride w:ilvl="0">
      <w:startOverride w:val="1"/>
    </w:lvlOverride>
  </w:num>
  <w:num w:numId="30" w16cid:durableId="383139838">
    <w:abstractNumId w:val="15"/>
    <w:lvlOverride w:ilvl="0">
      <w:startOverride w:val="1"/>
    </w:lvlOverride>
  </w:num>
  <w:num w:numId="31" w16cid:durableId="924655194">
    <w:abstractNumId w:val="15"/>
    <w:lvlOverride w:ilvl="0">
      <w:startOverride w:val="1"/>
    </w:lvlOverride>
  </w:num>
  <w:num w:numId="32" w16cid:durableId="1451708262">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2E97"/>
    <w:rsid w:val="000046F7"/>
    <w:rsid w:val="00007793"/>
    <w:rsid w:val="0001110A"/>
    <w:rsid w:val="00016F2A"/>
    <w:rsid w:val="00036039"/>
    <w:rsid w:val="00037F90"/>
    <w:rsid w:val="00040C76"/>
    <w:rsid w:val="00047598"/>
    <w:rsid w:val="000753A2"/>
    <w:rsid w:val="000875BF"/>
    <w:rsid w:val="00090EA3"/>
    <w:rsid w:val="00096D8C"/>
    <w:rsid w:val="000A4E83"/>
    <w:rsid w:val="000C0B65"/>
    <w:rsid w:val="000C1147"/>
    <w:rsid w:val="000E05FE"/>
    <w:rsid w:val="000E3D42"/>
    <w:rsid w:val="000E4178"/>
    <w:rsid w:val="00107345"/>
    <w:rsid w:val="00122BD5"/>
    <w:rsid w:val="00133F79"/>
    <w:rsid w:val="0015270D"/>
    <w:rsid w:val="00160104"/>
    <w:rsid w:val="001804FB"/>
    <w:rsid w:val="00194A66"/>
    <w:rsid w:val="001A6AC3"/>
    <w:rsid w:val="001D6BCF"/>
    <w:rsid w:val="001E01CA"/>
    <w:rsid w:val="001E7607"/>
    <w:rsid w:val="0022610B"/>
    <w:rsid w:val="00237119"/>
    <w:rsid w:val="00241DFA"/>
    <w:rsid w:val="002545DB"/>
    <w:rsid w:val="00256349"/>
    <w:rsid w:val="002607E7"/>
    <w:rsid w:val="00275CF5"/>
    <w:rsid w:val="002800C9"/>
    <w:rsid w:val="0028058F"/>
    <w:rsid w:val="0028301F"/>
    <w:rsid w:val="00285017"/>
    <w:rsid w:val="002A2D2E"/>
    <w:rsid w:val="002C00E8"/>
    <w:rsid w:val="002D032B"/>
    <w:rsid w:val="002E7D44"/>
    <w:rsid w:val="002F30C0"/>
    <w:rsid w:val="003001F9"/>
    <w:rsid w:val="003016D5"/>
    <w:rsid w:val="00301716"/>
    <w:rsid w:val="00312449"/>
    <w:rsid w:val="00315C9A"/>
    <w:rsid w:val="00343749"/>
    <w:rsid w:val="00350916"/>
    <w:rsid w:val="003660ED"/>
    <w:rsid w:val="00371E4D"/>
    <w:rsid w:val="00380A43"/>
    <w:rsid w:val="003822CE"/>
    <w:rsid w:val="00386885"/>
    <w:rsid w:val="003966C1"/>
    <w:rsid w:val="003B0550"/>
    <w:rsid w:val="003B3405"/>
    <w:rsid w:val="003B694F"/>
    <w:rsid w:val="003D3A22"/>
    <w:rsid w:val="003E3F9C"/>
    <w:rsid w:val="003F0855"/>
    <w:rsid w:val="003F171C"/>
    <w:rsid w:val="004040C1"/>
    <w:rsid w:val="00412FC5"/>
    <w:rsid w:val="00422276"/>
    <w:rsid w:val="004242F1"/>
    <w:rsid w:val="00437C4E"/>
    <w:rsid w:val="00445A00"/>
    <w:rsid w:val="004509CE"/>
    <w:rsid w:val="00451B0F"/>
    <w:rsid w:val="00480885"/>
    <w:rsid w:val="004A6052"/>
    <w:rsid w:val="004B65FC"/>
    <w:rsid w:val="004C2EE3"/>
    <w:rsid w:val="004E4A22"/>
    <w:rsid w:val="004E7149"/>
    <w:rsid w:val="005111B8"/>
    <w:rsid w:val="00511968"/>
    <w:rsid w:val="00546DBC"/>
    <w:rsid w:val="0055614C"/>
    <w:rsid w:val="005577AD"/>
    <w:rsid w:val="00566D06"/>
    <w:rsid w:val="00570899"/>
    <w:rsid w:val="005D7C75"/>
    <w:rsid w:val="005E14C2"/>
    <w:rsid w:val="00607BA5"/>
    <w:rsid w:val="0061180A"/>
    <w:rsid w:val="00626EB6"/>
    <w:rsid w:val="00635987"/>
    <w:rsid w:val="00643F83"/>
    <w:rsid w:val="00646E09"/>
    <w:rsid w:val="00655D03"/>
    <w:rsid w:val="00683388"/>
    <w:rsid w:val="00683F84"/>
    <w:rsid w:val="006963DD"/>
    <w:rsid w:val="006A3E9A"/>
    <w:rsid w:val="006A6A81"/>
    <w:rsid w:val="006C757F"/>
    <w:rsid w:val="006F559D"/>
    <w:rsid w:val="006F6F0E"/>
    <w:rsid w:val="006F7393"/>
    <w:rsid w:val="0070224F"/>
    <w:rsid w:val="007115F7"/>
    <w:rsid w:val="00712B06"/>
    <w:rsid w:val="00723E1A"/>
    <w:rsid w:val="00725C86"/>
    <w:rsid w:val="00781A9A"/>
    <w:rsid w:val="00785689"/>
    <w:rsid w:val="00785B5F"/>
    <w:rsid w:val="0079754B"/>
    <w:rsid w:val="007A1E6D"/>
    <w:rsid w:val="007B0EB2"/>
    <w:rsid w:val="007B341A"/>
    <w:rsid w:val="007C4CA6"/>
    <w:rsid w:val="007F7715"/>
    <w:rsid w:val="00810B6F"/>
    <w:rsid w:val="00813F98"/>
    <w:rsid w:val="00816744"/>
    <w:rsid w:val="00822CE0"/>
    <w:rsid w:val="00833962"/>
    <w:rsid w:val="00841181"/>
    <w:rsid w:val="00841AB1"/>
    <w:rsid w:val="008837CB"/>
    <w:rsid w:val="00895633"/>
    <w:rsid w:val="008958B6"/>
    <w:rsid w:val="008B2E72"/>
    <w:rsid w:val="008C68F1"/>
    <w:rsid w:val="008D2DED"/>
    <w:rsid w:val="008E7D53"/>
    <w:rsid w:val="00900A74"/>
    <w:rsid w:val="00902A6F"/>
    <w:rsid w:val="00921803"/>
    <w:rsid w:val="00926503"/>
    <w:rsid w:val="009726D8"/>
    <w:rsid w:val="00985B22"/>
    <w:rsid w:val="00995513"/>
    <w:rsid w:val="00995BF4"/>
    <w:rsid w:val="009A39A0"/>
    <w:rsid w:val="009D7308"/>
    <w:rsid w:val="009F76DB"/>
    <w:rsid w:val="00A0310E"/>
    <w:rsid w:val="00A3268C"/>
    <w:rsid w:val="00A32C3B"/>
    <w:rsid w:val="00A45F4F"/>
    <w:rsid w:val="00A50F9E"/>
    <w:rsid w:val="00A600A9"/>
    <w:rsid w:val="00A72E83"/>
    <w:rsid w:val="00A81BC3"/>
    <w:rsid w:val="00A856D7"/>
    <w:rsid w:val="00A901C5"/>
    <w:rsid w:val="00A91CF7"/>
    <w:rsid w:val="00AA444B"/>
    <w:rsid w:val="00AA55B7"/>
    <w:rsid w:val="00AA5B9E"/>
    <w:rsid w:val="00AB2407"/>
    <w:rsid w:val="00AB53DF"/>
    <w:rsid w:val="00AC114C"/>
    <w:rsid w:val="00AC7826"/>
    <w:rsid w:val="00AE4B79"/>
    <w:rsid w:val="00B01C76"/>
    <w:rsid w:val="00B07E5C"/>
    <w:rsid w:val="00B134BE"/>
    <w:rsid w:val="00B23E6A"/>
    <w:rsid w:val="00B450FD"/>
    <w:rsid w:val="00B5745B"/>
    <w:rsid w:val="00B811F7"/>
    <w:rsid w:val="00BA5DC6"/>
    <w:rsid w:val="00BA6196"/>
    <w:rsid w:val="00BA73BC"/>
    <w:rsid w:val="00BC6D8C"/>
    <w:rsid w:val="00BF5999"/>
    <w:rsid w:val="00C02DEB"/>
    <w:rsid w:val="00C138EC"/>
    <w:rsid w:val="00C22514"/>
    <w:rsid w:val="00C23514"/>
    <w:rsid w:val="00C34006"/>
    <w:rsid w:val="00C36B4C"/>
    <w:rsid w:val="00C426B1"/>
    <w:rsid w:val="00C66160"/>
    <w:rsid w:val="00C721AC"/>
    <w:rsid w:val="00C75034"/>
    <w:rsid w:val="00C90D6A"/>
    <w:rsid w:val="00CA247E"/>
    <w:rsid w:val="00CA6560"/>
    <w:rsid w:val="00CA6D21"/>
    <w:rsid w:val="00CC259D"/>
    <w:rsid w:val="00CC2EE6"/>
    <w:rsid w:val="00CC72B6"/>
    <w:rsid w:val="00D0218D"/>
    <w:rsid w:val="00D25252"/>
    <w:rsid w:val="00D25FB5"/>
    <w:rsid w:val="00D43C6B"/>
    <w:rsid w:val="00D44223"/>
    <w:rsid w:val="00D7208B"/>
    <w:rsid w:val="00D93B35"/>
    <w:rsid w:val="00DA2529"/>
    <w:rsid w:val="00DB130A"/>
    <w:rsid w:val="00DB2EBB"/>
    <w:rsid w:val="00DB5C49"/>
    <w:rsid w:val="00DC10A1"/>
    <w:rsid w:val="00DC2B1E"/>
    <w:rsid w:val="00DC4870"/>
    <w:rsid w:val="00DC655F"/>
    <w:rsid w:val="00DC7BC9"/>
    <w:rsid w:val="00DD0B59"/>
    <w:rsid w:val="00DD7EBD"/>
    <w:rsid w:val="00DF62B6"/>
    <w:rsid w:val="00E05D0C"/>
    <w:rsid w:val="00E07225"/>
    <w:rsid w:val="00E17CCD"/>
    <w:rsid w:val="00E33CF4"/>
    <w:rsid w:val="00E37F0F"/>
    <w:rsid w:val="00E4562D"/>
    <w:rsid w:val="00E5409F"/>
    <w:rsid w:val="00E73BAC"/>
    <w:rsid w:val="00E758C0"/>
    <w:rsid w:val="00EA6711"/>
    <w:rsid w:val="00EB1178"/>
    <w:rsid w:val="00ED3397"/>
    <w:rsid w:val="00EE6488"/>
    <w:rsid w:val="00EF3ED6"/>
    <w:rsid w:val="00F021FA"/>
    <w:rsid w:val="00F1015F"/>
    <w:rsid w:val="00F5198F"/>
    <w:rsid w:val="00F62E97"/>
    <w:rsid w:val="00F64209"/>
    <w:rsid w:val="00F64E7C"/>
    <w:rsid w:val="00F67ECD"/>
    <w:rsid w:val="00F817EF"/>
    <w:rsid w:val="00F83409"/>
    <w:rsid w:val="00F87F8B"/>
    <w:rsid w:val="00F93BF5"/>
    <w:rsid w:val="00FA7920"/>
    <w:rsid w:val="00FD3BD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6BC9684"/>
  <w15:chartTrackingRefBased/>
  <w15:docId w15:val="{D2D8838F-AEDF-46AB-A126-7C28598DE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99"/>
    <w:lsdException w:name="footer" w:uiPriority="99"/>
    <w:lsdException w:name="caption" w:semiHidden="1" w:unhideWhenUsed="1" w:qFormat="1"/>
    <w:lsdException w:name="annotation reference" w:uiPriority="99"/>
    <w:lsdException w:name="List Bullet" w:uiPriority="99"/>
    <w:lsdException w:name="Title" w:qFormat="1"/>
    <w:lsdException w:name="Subtitle" w:qFormat="1"/>
    <w:lsdException w:name="Strong" w:qFormat="1"/>
    <w:lsdException w:name="Emphasis" w:uiPriority="20"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aliases w:val="Heading 4 Char Char,Heading 4 Char Char2 Char1 Char Char,Heading 4 Char Char4,Heading 4 Char1,Heading 4 Char1 Char1 Char Char,Heading 4 Char1 Char1 Char Char1 Char Char Char,Heading 4 Char3 Char Char,Heading 4 Char3 Char Char Char Char Char"/>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
    <w:basedOn w:val="Normal"/>
    <w:next w:val="ParaNum"/>
    <w:link w:val="Heading5Char"/>
    <w:qFormat/>
    <w:rsid w:val="00511968"/>
    <w:pPr>
      <w:keepNext/>
      <w:numPr>
        <w:ilvl w:val="4"/>
        <w:numId w:val="3"/>
      </w:numPr>
      <w:tabs>
        <w:tab w:val="left" w:pos="3600"/>
      </w:tabs>
      <w:suppressAutoHyphens/>
      <w:spacing w:after="120"/>
      <w:outlineLvl w:val="4"/>
    </w:pPr>
    <w:rPr>
      <w:b/>
    </w:rPr>
  </w:style>
  <w:style w:type="paragraph" w:styleId="Heading6">
    <w:name w:val="heading 6"/>
    <w:aliases w:val="h6,Heading 6 Char Char,Heading 6 Char Char Char,Heading 6 Char Char1,Heading 6 Char1,Heading 6 Char1 Char,Heading 6 Char2"/>
    <w:basedOn w:val="Normal"/>
    <w:next w:val="ParaNum"/>
    <w:link w:val="Heading6Char"/>
    <w:qFormat/>
    <w:rsid w:val="00036039"/>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3"/>
      </w:numPr>
      <w:tabs>
        <w:tab w:val="left" w:pos="5040"/>
      </w:tabs>
      <w:spacing w:after="120"/>
      <w:outlineLvl w:val="6"/>
    </w:pPr>
    <w:rPr>
      <w:b/>
    </w:rPr>
  </w:style>
  <w:style w:type="paragraph" w:styleId="Heading8">
    <w:name w:val="heading 8"/>
    <w:basedOn w:val="Normal"/>
    <w:next w:val="ParaNum"/>
    <w:link w:val="Heading8Char"/>
    <w:qFormat/>
    <w:rsid w:val="001E01CA"/>
    <w:pPr>
      <w:numPr>
        <w:ilvl w:val="7"/>
        <w:numId w:val="3"/>
      </w:numPr>
      <w:tabs>
        <w:tab w:val="clear" w:pos="5400"/>
        <w:tab w:val="left" w:pos="5760"/>
      </w:tabs>
      <w:spacing w:after="120"/>
      <w:outlineLvl w:val="7"/>
    </w:pPr>
    <w:rPr>
      <w:b/>
    </w:rPr>
  </w:style>
  <w:style w:type="paragraph" w:styleId="Heading9">
    <w:name w:val="heading 9"/>
    <w:aliases w:val="9,Heading 9.table,Titre 9,Topic,t,table"/>
    <w:basedOn w:val="Normal"/>
    <w:next w:val="ParaNum"/>
    <w:link w:val="Heading9Char"/>
    <w:qFormat/>
    <w:rsid w:val="001E01CA"/>
    <w:pPr>
      <w:numPr>
        <w:ilvl w:val="8"/>
        <w:numId w:val="3"/>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rsid w:val="00E07225"/>
    <w:pPr>
      <w:numPr>
        <w:numId w:val="2"/>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link w:val="FootnoteTextChar"/>
    <w:rsid w:val="000E3D42"/>
    <w:pPr>
      <w:spacing w:after="120"/>
    </w:pPr>
  </w:style>
  <w:style w:type="character" w:styleId="FootnoteReference">
    <w:name w:val="footnote reference"/>
    <w:aliases w:val="Appel note de bas de p,Style 12,(NECG) Footnote Reference,Style 124,o,fr,Style 3,Style 13,FR,Style 6,Style 17,Footnote Reference/,Style 7,Style 4,Footnote Reference1,Style 34,Style 9,-E Funotenzeichen,A,Style 20,callout,Ref,Style 1,R"/>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725C86"/>
    <w:rPr>
      <w:rFonts w:ascii="Times New Roman Bold" w:hAnsi="Times New Roman Bold"/>
      <w:b/>
      <w:caps/>
      <w:snapToGrid w:val="0"/>
      <w:kern w:val="28"/>
      <w:sz w:val="22"/>
    </w:rPr>
  </w:style>
  <w:style w:type="character" w:customStyle="1" w:styleId="Heading2Char">
    <w:name w:val="Heading 2 Char"/>
    <w:link w:val="Heading2"/>
    <w:rsid w:val="00725C86"/>
    <w:rPr>
      <w:b/>
      <w:snapToGrid w:val="0"/>
      <w:kern w:val="28"/>
      <w:sz w:val="22"/>
    </w:rPr>
  </w:style>
  <w:style w:type="character" w:customStyle="1" w:styleId="Heading3Char">
    <w:name w:val="Heading 3 Char"/>
    <w:link w:val="Heading3"/>
    <w:rsid w:val="00725C86"/>
    <w:rPr>
      <w:b/>
      <w:snapToGrid w:val="0"/>
      <w:kern w:val="28"/>
      <w:sz w:val="22"/>
    </w:rPr>
  </w:style>
  <w:style w:type="character" w:customStyle="1" w:styleId="Heading4Char">
    <w:name w:val="Heading 4 Char"/>
    <w:aliases w:val="Heading 4 Char Char Char1,Heading 4 Char Char2 Char1 Char Char Char1,Heading 4 Char Char4 Char1,Heading 4 Char1 Char1,Heading 4 Char1 Char1 Char Char Char1,Heading 4 Char1 Char1 Char Char1 Char Char Char Char1"/>
    <w:link w:val="Heading4"/>
    <w:rsid w:val="00725C86"/>
    <w:rPr>
      <w:b/>
      <w:snapToGrid w:val="0"/>
      <w:kern w:val="28"/>
      <w:sz w:val="22"/>
    </w:rPr>
  </w:style>
  <w:style w:type="character" w:customStyle="1" w:styleId="Heading5Char">
    <w:name w:val="Heading 5 Char"/>
    <w:aliases w:val="Heading 5 Char Char Char Char Char Char1,Heading 5 Char Char Char1 Char1,Heading 5 Char Char1 Char Char1,Heading 5 Char Char2 Char1,Heading 5 Char1 Char Char Char Char1,Heading 5 Char1 Char Char1 Char1,Heading 5 Char1 Char1 Char1"/>
    <w:link w:val="Heading5"/>
    <w:rsid w:val="00725C86"/>
    <w:rPr>
      <w:b/>
      <w:snapToGrid w:val="0"/>
      <w:kern w:val="28"/>
      <w:sz w:val="22"/>
    </w:rPr>
  </w:style>
  <w:style w:type="character" w:customStyle="1" w:styleId="Heading6Char">
    <w:name w:val="Heading 6 Char"/>
    <w:aliases w:val="h6 Char1,Heading 6 Char Char Char2,Heading 6 Char Char Char Char1,Heading 6 Char Char1 Char1,Heading 6 Char1 Char2,Heading 6 Char1 Char Char1,Heading 6 Char2 Char1"/>
    <w:link w:val="Heading6"/>
    <w:rsid w:val="00725C86"/>
    <w:rPr>
      <w:b/>
      <w:snapToGrid w:val="0"/>
      <w:kern w:val="28"/>
      <w:sz w:val="22"/>
    </w:rPr>
  </w:style>
  <w:style w:type="character" w:customStyle="1" w:styleId="Heading7Char">
    <w:name w:val="Heading 7 Char"/>
    <w:link w:val="Heading7"/>
    <w:rsid w:val="00725C86"/>
    <w:rPr>
      <w:b/>
      <w:snapToGrid w:val="0"/>
      <w:kern w:val="28"/>
      <w:sz w:val="22"/>
    </w:rPr>
  </w:style>
  <w:style w:type="character" w:customStyle="1" w:styleId="Heading8Char">
    <w:name w:val="Heading 8 Char"/>
    <w:link w:val="Heading8"/>
    <w:rsid w:val="00725C86"/>
    <w:rPr>
      <w:b/>
      <w:snapToGrid w:val="0"/>
      <w:kern w:val="28"/>
      <w:sz w:val="22"/>
    </w:rPr>
  </w:style>
  <w:style w:type="character" w:customStyle="1" w:styleId="Heading9Char">
    <w:name w:val="Heading 9 Char"/>
    <w:aliases w:val="9 Char1,Heading 9.table Char1,Titre 9 Char1,Topic Char1,t Char1,table Char1"/>
    <w:link w:val="Heading9"/>
    <w:rsid w:val="00725C86"/>
    <w:rPr>
      <w:b/>
      <w:snapToGrid w:val="0"/>
      <w:kern w:val="28"/>
      <w:sz w:val="22"/>
    </w:rPr>
  </w:style>
  <w:style w:type="character" w:customStyle="1" w:styleId="EndnoteTextChar">
    <w:name w:val="Endnote Text Char"/>
    <w:link w:val="EndnoteText"/>
    <w:semiHidden/>
    <w:rsid w:val="00725C86"/>
    <w:rPr>
      <w:snapToGrid w:val="0"/>
      <w:kern w:val="28"/>
    </w:rPr>
  </w:style>
  <w:style w:type="character" w:customStyle="1" w:styleId="FootnoteTextChar">
    <w:name w:val="Footnote Text Char"/>
    <w:basedOn w:val="DefaultParagraphFont"/>
    <w:link w:val="FootnoteText"/>
    <w:rsid w:val="00725C86"/>
  </w:style>
  <w:style w:type="character" w:customStyle="1" w:styleId="HeaderChar">
    <w:name w:val="Header Char"/>
    <w:link w:val="Header"/>
    <w:rsid w:val="00725C86"/>
    <w:rPr>
      <w:b/>
      <w:snapToGrid w:val="0"/>
      <w:kern w:val="28"/>
      <w:sz w:val="22"/>
    </w:rPr>
  </w:style>
  <w:style w:type="numbering" w:customStyle="1" w:styleId="NoList1">
    <w:name w:val="No List1"/>
    <w:next w:val="NoList"/>
    <w:uiPriority w:val="99"/>
    <w:semiHidden/>
    <w:unhideWhenUsed/>
    <w:rsid w:val="00725C86"/>
  </w:style>
  <w:style w:type="character" w:styleId="FollowedHyperlink">
    <w:name w:val="FollowedHyperlink"/>
    <w:unhideWhenUsed/>
    <w:rsid w:val="00725C86"/>
    <w:rPr>
      <w:color w:val="96607D"/>
      <w:u w:val="single"/>
    </w:rPr>
  </w:style>
  <w:style w:type="character" w:customStyle="1" w:styleId="Heading4Char2">
    <w:name w:val="Heading 4 Char2"/>
    <w:aliases w:val="Heading 4 Char Char Char,Heading 4 Char Char2 Char1 Char Char Char,Heading 4 Char Char4 Char,Heading 4 Char1 Char,Heading 4 Char1 Char1 Char Char Char,Heading 4 Char1 Char1 Char Char1 Char Char Char Char,Heading 4 Char3 Char Char Char"/>
    <w:semiHidden/>
    <w:rsid w:val="00725C86"/>
    <w:rPr>
      <w:rFonts w:ascii="Aptos" w:eastAsia="Times New Roman" w:hAnsi="Aptos" w:cs="Times New Roman"/>
      <w:i/>
      <w:iCs/>
      <w:color w:val="0F4761"/>
      <w:kern w:val="28"/>
      <w:sz w:val="22"/>
    </w:rPr>
  </w:style>
  <w:style w:type="character" w:customStyle="1" w:styleId="Heading5Char1">
    <w:name w:val="Heading 5 Char1"/>
    <w:aliases w:val="Heading 5 Char Char Char Char Char Char,Heading 5 Char Char Char1 Char,Heading 5 Char Char1 Char Char,Heading 5 Char Char2 Char,Heading 5 Char1 Char Char Char Char,Heading 5 Char1 Char Char1 Char,Heading 5 Char1 Char1 Char"/>
    <w:semiHidden/>
    <w:rsid w:val="00725C86"/>
    <w:rPr>
      <w:rFonts w:ascii="Aptos" w:eastAsia="Times New Roman" w:hAnsi="Aptos" w:cs="Times New Roman"/>
      <w:color w:val="0F4761"/>
      <w:kern w:val="28"/>
      <w:sz w:val="22"/>
    </w:rPr>
  </w:style>
  <w:style w:type="character" w:customStyle="1" w:styleId="Heading6Char3">
    <w:name w:val="Heading 6 Char3"/>
    <w:aliases w:val="h6 Char,Heading 6 Char Char Char1,Heading 6 Char Char Char Char,Heading 6 Char Char1 Char,Heading 6 Char1 Char1,Heading 6 Char1 Char Char,Heading 6 Char2 Char"/>
    <w:semiHidden/>
    <w:rsid w:val="00725C86"/>
    <w:rPr>
      <w:rFonts w:ascii="Aptos" w:eastAsia="Times New Roman" w:hAnsi="Aptos" w:cs="Times New Roman"/>
      <w:i/>
      <w:iCs/>
      <w:color w:val="595959"/>
      <w:kern w:val="28"/>
      <w:sz w:val="22"/>
    </w:rPr>
  </w:style>
  <w:style w:type="paragraph" w:customStyle="1" w:styleId="msonormal">
    <w:name w:val="msonormal"/>
    <w:basedOn w:val="Normal"/>
    <w:rsid w:val="00725C86"/>
    <w:pPr>
      <w:widowControl/>
      <w:spacing w:before="100" w:beforeAutospacing="1" w:after="100" w:afterAutospacing="1"/>
    </w:pPr>
    <w:rPr>
      <w:snapToGrid/>
      <w:kern w:val="0"/>
      <w:sz w:val="24"/>
      <w:szCs w:val="24"/>
    </w:rPr>
  </w:style>
  <w:style w:type="character" w:customStyle="1" w:styleId="Heading9Char1">
    <w:name w:val="Heading 9 Char1"/>
    <w:aliases w:val="9 Char,Heading 9.table Char,Titre 9 Char,Topic Char,t Char,table Char"/>
    <w:semiHidden/>
    <w:rsid w:val="00725C86"/>
    <w:rPr>
      <w:rFonts w:ascii="Aptos" w:eastAsia="Times New Roman" w:hAnsi="Aptos" w:cs="Times New Roman"/>
      <w:color w:val="272727"/>
      <w:kern w:val="28"/>
      <w:sz w:val="22"/>
    </w:rPr>
  </w:style>
  <w:style w:type="paragraph" w:styleId="CommentText">
    <w:name w:val="annotation text"/>
    <w:basedOn w:val="Normal"/>
    <w:link w:val="CommentTextChar"/>
    <w:uiPriority w:val="99"/>
    <w:unhideWhenUsed/>
    <w:rsid w:val="00725C86"/>
    <w:rPr>
      <w:rFonts w:ascii="Aptos" w:eastAsia="Aptos" w:hAnsi="Aptos" w:cs="Arial"/>
      <w:snapToGrid/>
      <w:sz w:val="20"/>
    </w:rPr>
  </w:style>
  <w:style w:type="character" w:customStyle="1" w:styleId="CommentTextChar">
    <w:name w:val="Comment Text Char"/>
    <w:basedOn w:val="DefaultParagraphFont"/>
    <w:link w:val="CommentText"/>
    <w:uiPriority w:val="99"/>
    <w:rsid w:val="00725C86"/>
    <w:rPr>
      <w:rFonts w:ascii="Aptos" w:eastAsia="Aptos" w:hAnsi="Aptos" w:cs="Arial"/>
      <w:kern w:val="28"/>
    </w:rPr>
  </w:style>
  <w:style w:type="paragraph" w:styleId="ListBullet">
    <w:name w:val="List Bullet"/>
    <w:basedOn w:val="Normal"/>
    <w:uiPriority w:val="99"/>
    <w:unhideWhenUsed/>
    <w:rsid w:val="00725C86"/>
    <w:pPr>
      <w:numPr>
        <w:numId w:val="8"/>
      </w:numPr>
      <w:spacing w:line="276" w:lineRule="auto"/>
      <w:ind w:left="0" w:firstLine="0"/>
      <w:contextualSpacing/>
    </w:pPr>
    <w:rPr>
      <w:rFonts w:eastAsia="Yu Mincho"/>
      <w:snapToGrid/>
      <w:szCs w:val="24"/>
      <w:lang w:eastAsia="zh-CN"/>
    </w:rPr>
  </w:style>
  <w:style w:type="paragraph" w:styleId="CommentSubject">
    <w:name w:val="annotation subject"/>
    <w:basedOn w:val="CommentText"/>
    <w:next w:val="CommentText"/>
    <w:link w:val="CommentSubjectChar"/>
    <w:unhideWhenUsed/>
    <w:rsid w:val="00725C86"/>
    <w:pPr>
      <w:snapToGrid w:val="0"/>
    </w:pPr>
    <w:rPr>
      <w:rFonts w:ascii="Times New Roman" w:eastAsia="Times New Roman" w:hAnsi="Times New Roman" w:cs="Times New Roman"/>
      <w:b/>
      <w:bCs/>
    </w:rPr>
  </w:style>
  <w:style w:type="character" w:customStyle="1" w:styleId="CommentSubjectChar">
    <w:name w:val="Comment Subject Char"/>
    <w:basedOn w:val="CommentTextChar"/>
    <w:link w:val="CommentSubject"/>
    <w:rsid w:val="00725C86"/>
    <w:rPr>
      <w:rFonts w:ascii="Aptos" w:eastAsia="Aptos" w:hAnsi="Aptos" w:cs="Arial"/>
      <w:b/>
      <w:bCs/>
      <w:kern w:val="28"/>
    </w:rPr>
  </w:style>
  <w:style w:type="paragraph" w:styleId="NoSpacing">
    <w:name w:val="No Spacing"/>
    <w:uiPriority w:val="1"/>
    <w:qFormat/>
    <w:rsid w:val="00725C86"/>
    <w:rPr>
      <w:rFonts w:ascii="Calibri" w:eastAsia="Calibri" w:hAnsi="Calibri"/>
      <w:sz w:val="22"/>
      <w:szCs w:val="22"/>
    </w:rPr>
  </w:style>
  <w:style w:type="paragraph" w:styleId="Revision">
    <w:name w:val="Revision"/>
    <w:uiPriority w:val="99"/>
    <w:semiHidden/>
    <w:rsid w:val="00725C86"/>
    <w:pPr>
      <w:snapToGrid w:val="0"/>
    </w:pPr>
    <w:rPr>
      <w:kern w:val="28"/>
      <w:sz w:val="22"/>
    </w:rPr>
  </w:style>
  <w:style w:type="paragraph" w:styleId="ListParagraph">
    <w:name w:val="List Paragraph"/>
    <w:basedOn w:val="Normal"/>
    <w:qFormat/>
    <w:rsid w:val="00725C86"/>
    <w:pPr>
      <w:spacing w:line="276" w:lineRule="auto"/>
      <w:ind w:left="720"/>
      <w:contextualSpacing/>
    </w:pPr>
    <w:rPr>
      <w:rFonts w:eastAsia="Aptos" w:cs="Arial"/>
      <w:snapToGrid/>
      <w:szCs w:val="24"/>
    </w:rPr>
  </w:style>
  <w:style w:type="paragraph" w:styleId="TOCHeading">
    <w:name w:val="TOC Heading"/>
    <w:basedOn w:val="Normal"/>
    <w:next w:val="Normal"/>
    <w:uiPriority w:val="39"/>
    <w:unhideWhenUsed/>
    <w:qFormat/>
    <w:rsid w:val="00725C86"/>
    <w:pPr>
      <w:keepNext/>
      <w:keepLines/>
      <w:widowControl/>
      <w:tabs>
        <w:tab w:val="left" w:pos="720"/>
      </w:tabs>
      <w:spacing w:before="240" w:line="256" w:lineRule="auto"/>
      <w:jc w:val="center"/>
    </w:pPr>
    <w:rPr>
      <w:snapToGrid/>
      <w:color w:val="000000"/>
      <w:kern w:val="0"/>
      <w:szCs w:val="22"/>
    </w:rPr>
  </w:style>
  <w:style w:type="character" w:customStyle="1" w:styleId="ParaNumChar1">
    <w:name w:val="ParaNum Char1"/>
    <w:link w:val="ParaNum"/>
    <w:locked/>
    <w:rsid w:val="00725C86"/>
    <w:rPr>
      <w:snapToGrid w:val="0"/>
      <w:kern w:val="28"/>
      <w:sz w:val="22"/>
    </w:rPr>
  </w:style>
  <w:style w:type="paragraph" w:customStyle="1" w:styleId="Default">
    <w:name w:val="Default"/>
    <w:rsid w:val="00725C86"/>
    <w:pPr>
      <w:autoSpaceDE w:val="0"/>
      <w:autoSpaceDN w:val="0"/>
      <w:adjustRightInd w:val="0"/>
    </w:pPr>
    <w:rPr>
      <w:color w:val="000000"/>
      <w:sz w:val="22"/>
      <w:szCs w:val="24"/>
    </w:rPr>
  </w:style>
  <w:style w:type="paragraph" w:customStyle="1" w:styleId="StyleTOCHeadingCentered">
    <w:name w:val="Style TOC Heading + Centered"/>
    <w:basedOn w:val="TOCHeading"/>
    <w:rsid w:val="00725C86"/>
    <w:rPr>
      <w:szCs w:val="20"/>
    </w:rPr>
  </w:style>
  <w:style w:type="paragraph" w:customStyle="1" w:styleId="pf0">
    <w:name w:val="pf0"/>
    <w:basedOn w:val="Normal"/>
    <w:rsid w:val="00725C86"/>
    <w:pPr>
      <w:widowControl/>
      <w:spacing w:before="100" w:beforeAutospacing="1" w:after="100" w:afterAutospacing="1"/>
    </w:pPr>
    <w:rPr>
      <w:snapToGrid/>
      <w:kern w:val="0"/>
      <w:sz w:val="24"/>
      <w:szCs w:val="24"/>
    </w:rPr>
  </w:style>
  <w:style w:type="paragraph" w:customStyle="1" w:styleId="StyleParaNum">
    <w:name w:val="Style ParaNum"/>
    <w:basedOn w:val="ParaNum"/>
    <w:rsid w:val="00725C86"/>
    <w:pPr>
      <w:numPr>
        <w:numId w:val="0"/>
      </w:numPr>
      <w:tabs>
        <w:tab w:val="num" w:pos="1440"/>
      </w:tabs>
      <w:snapToGrid w:val="0"/>
    </w:pPr>
    <w:rPr>
      <w:b/>
      <w:bCs/>
      <w:snapToGrid/>
    </w:rPr>
  </w:style>
  <w:style w:type="paragraph" w:customStyle="1" w:styleId="StyleParaNumBold">
    <w:name w:val="Style ParaNum + Bold"/>
    <w:basedOn w:val="ParaNum"/>
    <w:rsid w:val="00725C86"/>
    <w:pPr>
      <w:numPr>
        <w:numId w:val="0"/>
      </w:numPr>
      <w:tabs>
        <w:tab w:val="num" w:pos="1440"/>
      </w:tabs>
      <w:snapToGrid w:val="0"/>
    </w:pPr>
    <w:rPr>
      <w:bCs/>
      <w:snapToGrid/>
    </w:rPr>
  </w:style>
  <w:style w:type="character" w:styleId="CommentReference">
    <w:name w:val="annotation reference"/>
    <w:uiPriority w:val="99"/>
    <w:unhideWhenUsed/>
    <w:rsid w:val="00725C86"/>
    <w:rPr>
      <w:sz w:val="16"/>
      <w:szCs w:val="16"/>
    </w:rPr>
  </w:style>
  <w:style w:type="character" w:customStyle="1" w:styleId="Footnote">
    <w:name w:val="Footnote"/>
    <w:rsid w:val="00725C86"/>
    <w:rPr>
      <w:rFonts w:ascii="Times New Roman" w:hAnsi="Times New Roman" w:cs="Times New Roman" w:hint="default"/>
    </w:rPr>
  </w:style>
  <w:style w:type="character" w:customStyle="1" w:styleId="ParaNumChar">
    <w:name w:val="ParaNum Char"/>
    <w:locked/>
    <w:rsid w:val="00725C86"/>
    <w:rPr>
      <w:rFonts w:ascii="Times New Roman" w:eastAsia="Times New Roman" w:hAnsi="Times New Roman" w:cs="Times New Roman" w:hint="default"/>
      <w:snapToGrid/>
      <w:kern w:val="28"/>
      <w:sz w:val="22"/>
      <w:szCs w:val="20"/>
    </w:rPr>
  </w:style>
  <w:style w:type="character" w:customStyle="1" w:styleId="StyleTimesNewRomanBold">
    <w:name w:val="Style Times New Roman Bold"/>
    <w:rsid w:val="00725C86"/>
    <w:rPr>
      <w:rFonts w:ascii="Times New Roman" w:hAnsi="Times New Roman" w:cs="Times New Roman" w:hint="default"/>
      <w:b/>
      <w:bCs/>
      <w:kern w:val="0"/>
      <w:sz w:val="22"/>
    </w:rPr>
  </w:style>
  <w:style w:type="character" w:customStyle="1" w:styleId="cf01">
    <w:name w:val="cf01"/>
    <w:rsid w:val="00725C86"/>
    <w:rPr>
      <w:rFonts w:ascii="Segoe UI" w:hAnsi="Segoe UI" w:cs="Segoe UI" w:hint="default"/>
      <w:sz w:val="18"/>
      <w:szCs w:val="18"/>
    </w:rPr>
  </w:style>
  <w:style w:type="table" w:styleId="TableGrid">
    <w:name w:val="Table Grid"/>
    <w:basedOn w:val="TableNormal"/>
    <w:uiPriority w:val="39"/>
    <w:rsid w:val="00725C8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uiPriority w:val="20"/>
    <w:qFormat/>
    <w:rsid w:val="00725C86"/>
    <w:rPr>
      <w:i/>
      <w:iCs/>
    </w:rPr>
  </w:style>
  <w:style w:type="character" w:styleId="Mention">
    <w:name w:val="Mention"/>
    <w:uiPriority w:val="99"/>
    <w:unhideWhenUsed/>
    <w:rsid w:val="00725C86"/>
    <w:rPr>
      <w:color w:val="2B579A"/>
      <w:shd w:val="clear" w:color="auto" w:fill="E1DFDD"/>
    </w:rPr>
  </w:style>
  <w:style w:type="character" w:styleId="UnresolvedMention">
    <w:name w:val="Unresolved Mention"/>
    <w:uiPriority w:val="99"/>
    <w:unhideWhenUsed/>
    <w:rsid w:val="00725C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oter" Target="footer4.xml" /><Relationship Id="rId14" Type="http://schemas.openxmlformats.org/officeDocument/2006/relationships/header" Target="header4.xml" /><Relationship Id="rId15" Type="http://schemas.openxmlformats.org/officeDocument/2006/relationships/footer" Target="footer5.xml" /><Relationship Id="rId16" Type="http://schemas.openxmlformats.org/officeDocument/2006/relationships/header" Target="header5.xml" /><Relationship Id="rId17" Type="http://schemas.openxmlformats.org/officeDocument/2006/relationships/header" Target="header6.xml" /><Relationship Id="rId18" Type="http://schemas.microsoft.com/office/2006/relationships/keyMapCustomizations" Target="customizations.xml" /><Relationship Id="rId19" Type="http://schemas.openxmlformats.org/officeDocument/2006/relationships/theme" Target="theme/theme1.xml" /><Relationship Id="rId2" Type="http://schemas.openxmlformats.org/officeDocument/2006/relationships/endnotes" Target="endnote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document/bureaus-approve-broadband-labels-proposed-consumer-advisory-cmte"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tc.gov/reports/improving-consumer-mortgage-disclosures-empirical-assessment-current-prototype-disclosure-forms" TargetMode="External" /><Relationship Id="rId2" Type="http://schemas.openxmlformats.org/officeDocument/2006/relationships/hyperlink" Target="https://www.w3.org/TR/WCAG21" TargetMode="External" /><Relationship Id="rId3" Type="http://schemas.openxmlformats.org/officeDocument/2006/relationships/hyperlink" Target="https://consumercomplaints.fcc.gov/" TargetMode="External" /><Relationship Id="rId4" Type="http://schemas.openxmlformats.org/officeDocument/2006/relationships/hyperlink" Target="https://advocacy.sba.gov/wp-content/uploads/2024/12/Frequently-Asked-Questions-About-Small-Business_2024-508.pdf" TargetMode="External" /><Relationship Id="rId5" Type="http://schemas.openxmlformats.org/officeDocument/2006/relationships/hyperlink" Target="https://advocacy.sba.gov/2019/07/25/small-business-facts-spotlight-on-nonprofits/" TargetMode="External" /><Relationship Id="rId6" Type="http://schemas.openxmlformats.org/officeDocument/2006/relationships/hyperlink" Target="https://www.census.gov/data/tables/2022/econ/gus/2022-governments.html" TargetMode="External" /><Relationship Id="rId7" Type="http://schemas.openxmlformats.org/officeDocument/2006/relationships/hyperlink" Target="http://www.census.gov/NAICS" TargetMode="External" /><Relationship Id="rId8" Type="http://schemas.openxmlformats.org/officeDocument/2006/relationships/hyperlink" Target="https://docs.fcc.gov/public/attachments/DOC-408848A1.pdf"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