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627B056B"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248BC6BE" w14:textId="77777777">
      <w:pPr>
        <w:pStyle w:val="StyleBoldCentered"/>
      </w:pPr>
      <w:r>
        <w:t>F</w:t>
      </w:r>
      <w:r>
        <w:rPr>
          <w:caps w:val="0"/>
        </w:rPr>
        <w:t>ederal Communications Commission</w:t>
      </w:r>
    </w:p>
    <w:p w:rsidR="004C2EE3" w:rsidP="00096D8C" w14:paraId="21543DF1" w14:textId="77777777">
      <w:pPr>
        <w:pStyle w:val="StyleBoldCentered"/>
      </w:pPr>
      <w:r>
        <w:rPr>
          <w:caps w:val="0"/>
        </w:rPr>
        <w:t>Washington, D.C. 20554</w:t>
      </w:r>
    </w:p>
    <w:p w:rsidR="005919ED" w:rsidRPr="00A55B3E" w:rsidP="005919ED" w14:paraId="7AA0EDC8" w14:textId="77777777"/>
    <w:p w:rsidR="005919ED" w:rsidRPr="00A55B3E" w:rsidP="005919ED" w14:paraId="0ACF0653" w14:textId="77777777"/>
    <w:tbl>
      <w:tblPr>
        <w:tblW w:w="0" w:type="auto"/>
        <w:tblLayout w:type="fixed"/>
        <w:tblLook w:val="0000"/>
      </w:tblPr>
      <w:tblGrid>
        <w:gridCol w:w="4698"/>
        <w:gridCol w:w="630"/>
        <w:gridCol w:w="4248"/>
      </w:tblGrid>
      <w:tr w14:paraId="5ACD7759" w14:textId="77777777">
        <w:tblPrEx>
          <w:tblW w:w="0" w:type="auto"/>
          <w:tblLayout w:type="fixed"/>
          <w:tblLook w:val="0000"/>
        </w:tblPrEx>
        <w:tc>
          <w:tcPr>
            <w:tcW w:w="4698" w:type="dxa"/>
          </w:tcPr>
          <w:p w:rsidR="005919ED" w:rsidRPr="00A55B3E" w14:paraId="43324A96" w14:textId="77777777">
            <w:pPr>
              <w:tabs>
                <w:tab w:val="center" w:pos="4680"/>
              </w:tabs>
              <w:suppressAutoHyphens/>
              <w:rPr>
                <w:spacing w:val="-2"/>
              </w:rPr>
            </w:pPr>
            <w:r w:rsidRPr="00A55B3E">
              <w:rPr>
                <w:spacing w:val="-2"/>
              </w:rPr>
              <w:t>In the Matter of</w:t>
            </w:r>
          </w:p>
          <w:p w:rsidR="005919ED" w:rsidRPr="00A55B3E" w14:paraId="7B642B50" w14:textId="77777777">
            <w:pPr>
              <w:tabs>
                <w:tab w:val="center" w:pos="4680"/>
              </w:tabs>
              <w:suppressAutoHyphens/>
              <w:rPr>
                <w:spacing w:val="-2"/>
              </w:rPr>
            </w:pPr>
          </w:p>
          <w:p w:rsidR="005919ED" w:rsidRPr="00A55B3E" w14:paraId="4CDE9F90" w14:textId="77777777">
            <w:pPr>
              <w:tabs>
                <w:tab w:val="center" w:pos="4680"/>
              </w:tabs>
              <w:suppressAutoHyphens/>
              <w:rPr>
                <w:spacing w:val="-2"/>
              </w:rPr>
            </w:pPr>
            <w:r w:rsidRPr="00A55B3E">
              <w:rPr>
                <w:spacing w:val="-2"/>
              </w:rPr>
              <w:t xml:space="preserve">Improving the Effectiveness of </w:t>
            </w:r>
            <w:r w:rsidRPr="00A55B3E">
              <w:rPr>
                <w:spacing w:val="-2"/>
              </w:rPr>
              <w:t>the Robocall</w:t>
            </w:r>
          </w:p>
          <w:p w:rsidR="005919ED" w:rsidRPr="00A55B3E" w14:paraId="139C28C3" w14:textId="77777777">
            <w:pPr>
              <w:tabs>
                <w:tab w:val="center" w:pos="4680"/>
              </w:tabs>
              <w:suppressAutoHyphens/>
              <w:rPr>
                <w:spacing w:val="-2"/>
              </w:rPr>
            </w:pPr>
            <w:r w:rsidRPr="00A55B3E">
              <w:rPr>
                <w:spacing w:val="-2"/>
              </w:rPr>
              <w:t>Mitigation Database</w:t>
            </w:r>
            <w:r w:rsidRPr="00A55B3E">
              <w:rPr>
                <w:spacing w:val="-2"/>
              </w:rPr>
              <w:br/>
            </w:r>
          </w:p>
          <w:p w:rsidR="005919ED" w:rsidRPr="00A55B3E" w14:paraId="68D48552" w14:textId="77777777">
            <w:pPr>
              <w:tabs>
                <w:tab w:val="center" w:pos="4680"/>
              </w:tabs>
              <w:suppressAutoHyphens/>
              <w:rPr>
                <w:spacing w:val="-2"/>
              </w:rPr>
            </w:pPr>
            <w:r w:rsidRPr="00A55B3E">
              <w:rPr>
                <w:spacing w:val="-2"/>
              </w:rPr>
              <w:t>Call Authentication Trust Anchor</w:t>
            </w:r>
          </w:p>
          <w:p w:rsidR="005919ED" w:rsidRPr="00A55B3E" w14:paraId="3C0B9BBE" w14:textId="77777777">
            <w:pPr>
              <w:tabs>
                <w:tab w:val="center" w:pos="4680"/>
              </w:tabs>
              <w:suppressAutoHyphens/>
              <w:rPr>
                <w:spacing w:val="-2"/>
              </w:rPr>
            </w:pPr>
          </w:p>
          <w:p w:rsidR="005919ED" w:rsidRPr="00A55B3E" w14:paraId="246292A7" w14:textId="77777777">
            <w:pPr>
              <w:tabs>
                <w:tab w:val="center" w:pos="4680"/>
              </w:tabs>
              <w:suppressAutoHyphens/>
              <w:rPr>
                <w:spacing w:val="-2"/>
              </w:rPr>
            </w:pPr>
            <w:r w:rsidRPr="00A55B3E">
              <w:rPr>
                <w:spacing w:val="-2"/>
              </w:rPr>
              <w:t>Advanced Methods to Target and Eliminate</w:t>
            </w:r>
          </w:p>
          <w:p w:rsidR="005919ED" w:rsidRPr="00A55B3E" w14:paraId="74A0E735" w14:textId="77777777">
            <w:pPr>
              <w:tabs>
                <w:tab w:val="center" w:pos="4680"/>
              </w:tabs>
              <w:suppressAutoHyphens/>
              <w:rPr>
                <w:spacing w:val="-2"/>
              </w:rPr>
            </w:pPr>
            <w:r w:rsidRPr="00A55B3E">
              <w:rPr>
                <w:spacing w:val="-2"/>
              </w:rPr>
              <w:t>Unlawful Robocalls</w:t>
            </w:r>
          </w:p>
        </w:tc>
        <w:tc>
          <w:tcPr>
            <w:tcW w:w="630" w:type="dxa"/>
          </w:tcPr>
          <w:p w:rsidR="005919ED" w:rsidRPr="00A55B3E" w14:paraId="5BD2D496" w14:textId="77777777">
            <w:pPr>
              <w:tabs>
                <w:tab w:val="center" w:pos="4680"/>
              </w:tabs>
              <w:suppressAutoHyphens/>
              <w:rPr>
                <w:b/>
                <w:spacing w:val="-2"/>
              </w:rPr>
            </w:pPr>
            <w:r w:rsidRPr="00A55B3E">
              <w:rPr>
                <w:b/>
                <w:spacing w:val="-2"/>
              </w:rPr>
              <w:t>)</w:t>
            </w:r>
          </w:p>
          <w:p w:rsidR="005919ED" w:rsidRPr="00A55B3E" w14:paraId="423273E8" w14:textId="77777777">
            <w:pPr>
              <w:tabs>
                <w:tab w:val="center" w:pos="4680"/>
              </w:tabs>
              <w:suppressAutoHyphens/>
              <w:rPr>
                <w:b/>
                <w:spacing w:val="-2"/>
              </w:rPr>
            </w:pPr>
            <w:r w:rsidRPr="00A55B3E">
              <w:rPr>
                <w:b/>
                <w:spacing w:val="-2"/>
              </w:rPr>
              <w:t>)</w:t>
            </w:r>
          </w:p>
          <w:p w:rsidR="005919ED" w:rsidRPr="00A55B3E" w14:paraId="249556F6" w14:textId="77777777">
            <w:pPr>
              <w:tabs>
                <w:tab w:val="center" w:pos="4680"/>
              </w:tabs>
              <w:suppressAutoHyphens/>
              <w:rPr>
                <w:b/>
                <w:spacing w:val="-2"/>
              </w:rPr>
            </w:pPr>
            <w:r w:rsidRPr="00A55B3E">
              <w:rPr>
                <w:b/>
                <w:spacing w:val="-2"/>
              </w:rPr>
              <w:t>)</w:t>
            </w:r>
          </w:p>
          <w:p w:rsidR="005919ED" w:rsidRPr="00A55B3E" w14:paraId="1035E061" w14:textId="77777777">
            <w:pPr>
              <w:tabs>
                <w:tab w:val="center" w:pos="4680"/>
              </w:tabs>
              <w:suppressAutoHyphens/>
              <w:rPr>
                <w:b/>
                <w:spacing w:val="-2"/>
              </w:rPr>
            </w:pPr>
            <w:r w:rsidRPr="00A55B3E">
              <w:rPr>
                <w:b/>
                <w:spacing w:val="-2"/>
              </w:rPr>
              <w:t>)</w:t>
            </w:r>
          </w:p>
          <w:p w:rsidR="005919ED" w:rsidRPr="00A55B3E" w14:paraId="7DEDA7E0" w14:textId="77777777">
            <w:pPr>
              <w:tabs>
                <w:tab w:val="center" w:pos="4680"/>
              </w:tabs>
              <w:suppressAutoHyphens/>
              <w:rPr>
                <w:b/>
                <w:spacing w:val="-2"/>
              </w:rPr>
            </w:pPr>
            <w:r w:rsidRPr="00A55B3E">
              <w:rPr>
                <w:b/>
                <w:spacing w:val="-2"/>
              </w:rPr>
              <w:t>)</w:t>
            </w:r>
          </w:p>
          <w:p w:rsidR="005919ED" w:rsidRPr="00A55B3E" w14:paraId="214E36E3" w14:textId="77777777">
            <w:pPr>
              <w:tabs>
                <w:tab w:val="center" w:pos="4680"/>
              </w:tabs>
              <w:suppressAutoHyphens/>
              <w:rPr>
                <w:b/>
                <w:spacing w:val="-2"/>
              </w:rPr>
            </w:pPr>
            <w:r w:rsidRPr="00A55B3E">
              <w:rPr>
                <w:b/>
                <w:spacing w:val="-2"/>
              </w:rPr>
              <w:t>)</w:t>
            </w:r>
          </w:p>
          <w:p w:rsidR="005919ED" w:rsidRPr="00A55B3E" w14:paraId="509C5557" w14:textId="77777777">
            <w:pPr>
              <w:tabs>
                <w:tab w:val="center" w:pos="4680"/>
              </w:tabs>
              <w:suppressAutoHyphens/>
              <w:rPr>
                <w:b/>
                <w:spacing w:val="-2"/>
              </w:rPr>
            </w:pPr>
            <w:r w:rsidRPr="00A55B3E">
              <w:rPr>
                <w:b/>
                <w:spacing w:val="-2"/>
              </w:rPr>
              <w:t>)</w:t>
            </w:r>
          </w:p>
          <w:p w:rsidR="005919ED" w:rsidRPr="00A55B3E" w14:paraId="1882D143" w14:textId="77777777">
            <w:pPr>
              <w:tabs>
                <w:tab w:val="center" w:pos="4680"/>
              </w:tabs>
              <w:suppressAutoHyphens/>
              <w:rPr>
                <w:b/>
                <w:spacing w:val="-2"/>
              </w:rPr>
            </w:pPr>
            <w:r w:rsidRPr="00A55B3E">
              <w:rPr>
                <w:b/>
                <w:spacing w:val="-2"/>
              </w:rPr>
              <w:t>)</w:t>
            </w:r>
          </w:p>
          <w:p w:rsidR="005919ED" w:rsidRPr="00A55B3E" w14:paraId="6DA2A4F8" w14:textId="77777777">
            <w:pPr>
              <w:tabs>
                <w:tab w:val="center" w:pos="4680"/>
              </w:tabs>
              <w:suppressAutoHyphens/>
              <w:rPr>
                <w:b/>
                <w:spacing w:val="-2"/>
              </w:rPr>
            </w:pPr>
            <w:r w:rsidRPr="00A55B3E">
              <w:rPr>
                <w:b/>
                <w:spacing w:val="-2"/>
              </w:rPr>
              <w:t>)</w:t>
            </w:r>
          </w:p>
        </w:tc>
        <w:tc>
          <w:tcPr>
            <w:tcW w:w="4248" w:type="dxa"/>
          </w:tcPr>
          <w:p w:rsidR="005919ED" w:rsidRPr="00A55B3E" w14:paraId="139FAFB0" w14:textId="77777777">
            <w:pPr>
              <w:tabs>
                <w:tab w:val="center" w:pos="4680"/>
              </w:tabs>
              <w:suppressAutoHyphens/>
              <w:rPr>
                <w:spacing w:val="-2"/>
              </w:rPr>
            </w:pPr>
          </w:p>
          <w:p w:rsidR="005919ED" w:rsidRPr="00A55B3E" w14:paraId="7023B47F" w14:textId="77777777">
            <w:pPr>
              <w:tabs>
                <w:tab w:val="center" w:pos="4680"/>
              </w:tabs>
              <w:suppressAutoHyphens/>
              <w:rPr>
                <w:spacing w:val="-2"/>
              </w:rPr>
            </w:pPr>
          </w:p>
          <w:p w:rsidR="005919ED" w:rsidRPr="00A55B3E" w14:paraId="24D069DE" w14:textId="77777777">
            <w:pPr>
              <w:tabs>
                <w:tab w:val="center" w:pos="4680"/>
              </w:tabs>
              <w:suppressAutoHyphens/>
              <w:rPr>
                <w:spacing w:val="-2"/>
              </w:rPr>
            </w:pPr>
            <w:r w:rsidRPr="00A55B3E">
              <w:rPr>
                <w:spacing w:val="-2"/>
              </w:rPr>
              <w:t>WC Docket No. 24-213</w:t>
            </w:r>
          </w:p>
          <w:p w:rsidR="005919ED" w:rsidRPr="00A55B3E" w14:paraId="6A7A3BB1" w14:textId="77777777">
            <w:pPr>
              <w:tabs>
                <w:tab w:val="center" w:pos="4680"/>
              </w:tabs>
              <w:suppressAutoHyphens/>
              <w:rPr>
                <w:spacing w:val="-2"/>
              </w:rPr>
            </w:pPr>
          </w:p>
          <w:p w:rsidR="005919ED" w:rsidRPr="00A55B3E" w14:paraId="6E50F188" w14:textId="77777777">
            <w:pPr>
              <w:tabs>
                <w:tab w:val="center" w:pos="4680"/>
              </w:tabs>
              <w:suppressAutoHyphens/>
              <w:rPr>
                <w:spacing w:val="-2"/>
              </w:rPr>
            </w:pPr>
          </w:p>
          <w:p w:rsidR="005919ED" w:rsidRPr="00A55B3E" w14:paraId="324ECE64" w14:textId="77777777">
            <w:pPr>
              <w:tabs>
                <w:tab w:val="center" w:pos="4680"/>
              </w:tabs>
              <w:suppressAutoHyphens/>
              <w:rPr>
                <w:spacing w:val="-2"/>
              </w:rPr>
            </w:pPr>
            <w:r w:rsidRPr="00A55B3E">
              <w:rPr>
                <w:spacing w:val="-2"/>
              </w:rPr>
              <w:t>WC Docket No. 17-97</w:t>
            </w:r>
          </w:p>
          <w:p w:rsidR="005919ED" w:rsidRPr="00A55B3E" w14:paraId="1450A008" w14:textId="77777777">
            <w:pPr>
              <w:tabs>
                <w:tab w:val="center" w:pos="4680"/>
              </w:tabs>
              <w:suppressAutoHyphens/>
              <w:rPr>
                <w:spacing w:val="-2"/>
              </w:rPr>
            </w:pPr>
          </w:p>
          <w:p w:rsidR="005919ED" w:rsidRPr="00A55B3E" w14:paraId="7418143E" w14:textId="77777777">
            <w:pPr>
              <w:tabs>
                <w:tab w:val="center" w:pos="4680"/>
              </w:tabs>
              <w:suppressAutoHyphens/>
              <w:rPr>
                <w:spacing w:val="-2"/>
              </w:rPr>
            </w:pPr>
            <w:r w:rsidRPr="00A55B3E">
              <w:rPr>
                <w:spacing w:val="-2"/>
              </w:rPr>
              <w:t>CG Docket No. 17-59</w:t>
            </w:r>
          </w:p>
        </w:tc>
      </w:tr>
    </w:tbl>
    <w:p w:rsidR="005919ED" w:rsidRPr="00A55B3E" w:rsidP="005919ED" w14:paraId="17686FAB" w14:textId="77777777"/>
    <w:p w:rsidR="005919ED" w:rsidRPr="00A55B3E" w:rsidP="005919ED" w14:paraId="1C90C0E6" w14:textId="77777777">
      <w:pPr>
        <w:pStyle w:val="StyleBoldCentered"/>
      </w:pPr>
      <w:r w:rsidRPr="00A55B3E">
        <w:t>Further Notice of Proposed Rulemaking</w:t>
      </w:r>
    </w:p>
    <w:p w:rsidR="005919ED" w:rsidRPr="00A55B3E" w:rsidP="005919ED" w14:paraId="7844FFDB" w14:textId="77777777">
      <w:pPr>
        <w:rPr>
          <w:szCs w:val="22"/>
        </w:rPr>
      </w:pPr>
    </w:p>
    <w:p w:rsidR="005919ED" w:rsidRPr="00773691" w:rsidP="005919ED" w14:paraId="0A187FA1" w14:textId="439AF2B8">
      <w:pPr>
        <w:tabs>
          <w:tab w:val="left" w:pos="720"/>
          <w:tab w:val="right" w:pos="9360"/>
        </w:tabs>
        <w:suppressAutoHyphens/>
        <w:spacing w:line="227" w:lineRule="auto"/>
        <w:rPr>
          <w:b/>
          <w:bCs/>
          <w:spacing w:val="-2"/>
        </w:rPr>
      </w:pPr>
      <w:r w:rsidRPr="00773691">
        <w:rPr>
          <w:b/>
          <w:bCs/>
          <w:spacing w:val="-2"/>
        </w:rPr>
        <w:t>Adopted</w:t>
      </w:r>
      <w:r w:rsidRPr="00773691">
        <w:rPr>
          <w:b/>
          <w:bCs/>
          <w:spacing w:val="-2"/>
        </w:rPr>
        <w:t xml:space="preserve">:  </w:t>
      </w:r>
      <w:r w:rsidR="00F66131">
        <w:rPr>
          <w:b/>
          <w:bCs/>
          <w:spacing w:val="-2"/>
        </w:rPr>
        <w:t>July</w:t>
      </w:r>
      <w:r w:rsidR="00F66131">
        <w:rPr>
          <w:b/>
          <w:bCs/>
          <w:spacing w:val="-2"/>
        </w:rPr>
        <w:t xml:space="preserve"> 22, </w:t>
      </w:r>
      <w:r w:rsidR="00F66131">
        <w:rPr>
          <w:b/>
          <w:bCs/>
          <w:spacing w:val="-2"/>
        </w:rPr>
        <w:t>2026</w:t>
      </w:r>
      <w:r>
        <w:rPr>
          <w:b/>
          <w:bCs/>
          <w:spacing w:val="-2"/>
        </w:rPr>
        <w:tab/>
      </w:r>
      <w:r w:rsidRPr="00773691">
        <w:rPr>
          <w:b/>
          <w:bCs/>
          <w:spacing w:val="-2"/>
        </w:rPr>
        <w:t>Released</w:t>
      </w:r>
      <w:r w:rsidRPr="00773691">
        <w:rPr>
          <w:b/>
          <w:bCs/>
          <w:spacing w:val="-2"/>
        </w:rPr>
        <w:t xml:space="preserve">:  </w:t>
      </w:r>
      <w:r w:rsidR="00F66131">
        <w:rPr>
          <w:b/>
          <w:bCs/>
          <w:spacing w:val="-2"/>
        </w:rPr>
        <w:t>July</w:t>
      </w:r>
      <w:r w:rsidR="00F66131">
        <w:rPr>
          <w:b/>
          <w:bCs/>
          <w:spacing w:val="-2"/>
        </w:rPr>
        <w:t xml:space="preserve"> 23, 2026</w:t>
      </w:r>
    </w:p>
    <w:p w:rsidR="005919ED" w:rsidRPr="00A55B3E" w:rsidP="005919ED" w14:paraId="68E4FBC2" w14:textId="77777777">
      <w:pPr>
        <w:rPr>
          <w:szCs w:val="22"/>
        </w:rPr>
      </w:pPr>
    </w:p>
    <w:p w:rsidR="005919ED" w:rsidRPr="00A55B3E" w:rsidP="005919ED" w14:paraId="339B2B20" w14:textId="77777777">
      <w:pPr>
        <w:rPr>
          <w:b/>
          <w:bCs/>
          <w:szCs w:val="22"/>
        </w:rPr>
      </w:pPr>
      <w:r w:rsidRPr="00A55B3E">
        <w:rPr>
          <w:b/>
          <w:bCs/>
          <w:szCs w:val="22"/>
        </w:rPr>
        <w:t>Comment Date</w:t>
      </w:r>
      <w:r w:rsidRPr="00A55B3E">
        <w:rPr>
          <w:b/>
          <w:bCs/>
          <w:szCs w:val="22"/>
        </w:rPr>
        <w:t>:  (</w:t>
      </w:r>
      <w:r w:rsidRPr="00A55B3E">
        <w:rPr>
          <w:b/>
          <w:bCs/>
          <w:szCs w:val="22"/>
        </w:rPr>
        <w:t>30 days after date of publication in the Federal Register)</w:t>
      </w:r>
    </w:p>
    <w:p w:rsidR="005919ED" w:rsidRPr="00A55B3E" w:rsidP="005919ED" w14:paraId="62D248CF" w14:textId="77777777">
      <w:pPr>
        <w:rPr>
          <w:b/>
          <w:bCs/>
          <w:szCs w:val="22"/>
        </w:rPr>
      </w:pPr>
      <w:r w:rsidRPr="00A55B3E">
        <w:rPr>
          <w:b/>
          <w:bCs/>
          <w:szCs w:val="22"/>
        </w:rPr>
        <w:t>Reply Comment Date</w:t>
      </w:r>
      <w:r w:rsidRPr="00A55B3E">
        <w:rPr>
          <w:b/>
          <w:bCs/>
          <w:szCs w:val="22"/>
        </w:rPr>
        <w:t>:  (</w:t>
      </w:r>
      <w:r w:rsidRPr="00A55B3E">
        <w:rPr>
          <w:b/>
          <w:bCs/>
          <w:szCs w:val="22"/>
        </w:rPr>
        <w:t>60 days after date of publication in the Federal Register)</w:t>
      </w:r>
    </w:p>
    <w:p w:rsidR="005919ED" w:rsidRPr="00A55B3E" w:rsidP="005919ED" w14:paraId="38401367" w14:textId="77777777">
      <w:pPr>
        <w:rPr>
          <w:szCs w:val="22"/>
        </w:rPr>
      </w:pPr>
    </w:p>
    <w:p w:rsidR="005919ED" w:rsidRPr="00A55B3E" w:rsidP="005919ED" w14:paraId="0D3526F8" w14:textId="7A6C62E8">
      <w:pPr>
        <w:tabs>
          <w:tab w:val="center" w:pos="9270"/>
        </w:tabs>
        <w:spacing w:after="240"/>
        <w:rPr>
          <w:spacing w:val="-2"/>
        </w:rPr>
      </w:pPr>
      <w:r w:rsidRPr="00A55B3E">
        <w:rPr>
          <w:spacing w:val="-2"/>
        </w:rPr>
        <w:t xml:space="preserve">By the Commission: </w:t>
      </w:r>
      <w:r w:rsidRPr="00EF664F" w:rsidR="00EF664F">
        <w:rPr>
          <w:spacing w:val="-2"/>
        </w:rPr>
        <w:t>Chairman Carr and Commissioner Trusty issuing separate statements.</w:t>
      </w:r>
    </w:p>
    <w:p w:rsidR="005919ED" w:rsidP="008E1118" w14:paraId="16F3281E" w14:textId="3F16E16C">
      <w:pPr>
        <w:pStyle w:val="TOCTitle"/>
      </w:pPr>
      <w:bookmarkStart w:id="0" w:name="TOChere"/>
      <w:bookmarkStart w:id="1" w:name="_Toc148563332"/>
      <w:bookmarkStart w:id="2" w:name="_Toc148598479"/>
      <w:bookmarkStart w:id="3" w:name="_Toc232150151"/>
      <w:bookmarkStart w:id="4" w:name="_Toc232150498"/>
      <w:bookmarkStart w:id="5" w:name="_Toc232604711"/>
      <w:bookmarkStart w:id="6" w:name="_Toc233210663"/>
      <w:bookmarkStart w:id="7" w:name="_Toc233622362"/>
      <w:bookmarkStart w:id="8" w:name="_Toc233709800"/>
      <w:r>
        <w:t>Table of Contents</w:t>
      </w:r>
    </w:p>
    <w:p w:rsidR="008E1118" w:rsidP="008E1118" w14:paraId="0D5F3719" w14:textId="65C64FC6">
      <w:pPr>
        <w:pStyle w:val="Paratitle"/>
      </w:pPr>
      <w:r>
        <w:t>Heading</w:t>
      </w:r>
      <w:r>
        <w:tab/>
        <w:t>Paragraph #</w:t>
      </w:r>
      <w:bookmarkStart w:id="9" w:name="start_here"/>
      <w:bookmarkEnd w:id="9"/>
    </w:p>
    <w:p w:rsidR="008E1118" w:rsidP="008E1118" w14:paraId="61925447" w14:textId="05FEAE3F">
      <w:pPr>
        <w:pStyle w:val="TOC1"/>
        <w:rPr>
          <w:rFonts w:ascii="Aptos" w:hAnsi="Aptos"/>
          <w:caps w:val="0"/>
          <w:snapToGrid/>
          <w:kern w:val="2"/>
          <w:sz w:val="24"/>
          <w:szCs w:val="24"/>
        </w:rPr>
      </w:pPr>
      <w:r>
        <w:t>I.</w:t>
      </w:r>
      <w:r>
        <w:rPr>
          <w:rFonts w:ascii="Aptos" w:hAnsi="Aptos"/>
          <w:caps w:val="0"/>
          <w:snapToGrid/>
          <w:kern w:val="2"/>
          <w:sz w:val="24"/>
          <w:szCs w:val="24"/>
        </w:rPr>
        <w:tab/>
      </w:r>
      <w:r>
        <w:t>Introduction</w:t>
      </w:r>
      <w:r>
        <w:tab/>
        <w:t>1</w:t>
      </w:r>
    </w:p>
    <w:p w:rsidR="008E1118" w:rsidP="008E1118" w14:paraId="45B81DCE" w14:textId="497D0CDC">
      <w:pPr>
        <w:pStyle w:val="TOC1"/>
        <w:rPr>
          <w:rFonts w:ascii="Aptos" w:hAnsi="Aptos"/>
          <w:caps w:val="0"/>
          <w:snapToGrid/>
          <w:kern w:val="2"/>
          <w:sz w:val="24"/>
          <w:szCs w:val="24"/>
        </w:rPr>
      </w:pPr>
      <w:r>
        <w:t>II.</w:t>
      </w:r>
      <w:r>
        <w:rPr>
          <w:rFonts w:ascii="Aptos" w:hAnsi="Aptos"/>
          <w:caps w:val="0"/>
          <w:snapToGrid/>
          <w:kern w:val="2"/>
          <w:sz w:val="24"/>
          <w:szCs w:val="24"/>
        </w:rPr>
        <w:tab/>
      </w:r>
      <w:r>
        <w:t>Background</w:t>
      </w:r>
      <w:r>
        <w:tab/>
        <w:t>3</w:t>
      </w:r>
    </w:p>
    <w:p w:rsidR="008E1118" w:rsidP="008E1118" w14:paraId="435C44E6" w14:textId="43CDA1C2">
      <w:pPr>
        <w:pStyle w:val="TOC1"/>
        <w:rPr>
          <w:rFonts w:ascii="Aptos" w:hAnsi="Aptos"/>
          <w:caps w:val="0"/>
          <w:snapToGrid/>
          <w:kern w:val="2"/>
          <w:sz w:val="24"/>
          <w:szCs w:val="24"/>
        </w:rPr>
      </w:pPr>
      <w:r>
        <w:t>III.</w:t>
      </w:r>
      <w:r>
        <w:rPr>
          <w:rFonts w:ascii="Aptos" w:hAnsi="Aptos"/>
          <w:caps w:val="0"/>
          <w:snapToGrid/>
          <w:kern w:val="2"/>
          <w:sz w:val="24"/>
          <w:szCs w:val="24"/>
        </w:rPr>
        <w:tab/>
      </w:r>
      <w:r>
        <w:t>Discussion</w:t>
      </w:r>
      <w:r>
        <w:tab/>
        <w:t>7</w:t>
      </w:r>
    </w:p>
    <w:p w:rsidR="008E1118" w:rsidP="008E1118" w14:paraId="45CBF5F5" w14:textId="5D643D54">
      <w:pPr>
        <w:pStyle w:val="TOC2"/>
        <w:tabs>
          <w:tab w:val="left" w:pos="360"/>
        </w:tabs>
        <w:rPr>
          <w:rFonts w:ascii="Aptos" w:hAnsi="Aptos"/>
          <w:snapToGrid/>
          <w:kern w:val="2"/>
          <w:sz w:val="24"/>
          <w:szCs w:val="24"/>
        </w:rPr>
      </w:pPr>
      <w:r>
        <w:t>A.</w:t>
      </w:r>
      <w:r>
        <w:rPr>
          <w:rFonts w:ascii="Aptos" w:hAnsi="Aptos"/>
          <w:snapToGrid/>
          <w:kern w:val="2"/>
          <w:sz w:val="24"/>
          <w:szCs w:val="24"/>
        </w:rPr>
        <w:tab/>
      </w:r>
      <w:r>
        <w:t>Strengthen Filing Obligations</w:t>
      </w:r>
      <w:r>
        <w:tab/>
        <w:t>8</w:t>
      </w:r>
    </w:p>
    <w:p w:rsidR="008E1118" w:rsidP="008E1118" w14:paraId="3CA7A001" w14:textId="1594BD1E">
      <w:pPr>
        <w:pStyle w:val="TOC3"/>
        <w:tabs>
          <w:tab w:val="left" w:pos="360"/>
        </w:tabs>
        <w:rPr>
          <w:rFonts w:ascii="Aptos" w:hAnsi="Aptos"/>
          <w:snapToGrid/>
          <w:kern w:val="2"/>
          <w:sz w:val="24"/>
          <w:szCs w:val="24"/>
        </w:rPr>
      </w:pPr>
      <w:r>
        <w:t>1.</w:t>
      </w:r>
      <w:r>
        <w:rPr>
          <w:rFonts w:ascii="Aptos" w:hAnsi="Aptos"/>
          <w:snapToGrid/>
          <w:kern w:val="2"/>
          <w:sz w:val="24"/>
          <w:szCs w:val="24"/>
        </w:rPr>
        <w:tab/>
      </w:r>
      <w:r>
        <w:t>Which Entities Must File</w:t>
      </w:r>
      <w:r>
        <w:tab/>
        <w:t>9</w:t>
      </w:r>
    </w:p>
    <w:p w:rsidR="008E1118" w:rsidP="008E1118" w14:paraId="05B224B4" w14:textId="41AD6855">
      <w:pPr>
        <w:pStyle w:val="TOC3"/>
        <w:tabs>
          <w:tab w:val="left" w:pos="360"/>
        </w:tabs>
        <w:rPr>
          <w:rFonts w:ascii="Aptos" w:hAnsi="Aptos"/>
          <w:snapToGrid/>
          <w:kern w:val="2"/>
          <w:sz w:val="24"/>
          <w:szCs w:val="24"/>
        </w:rPr>
      </w:pPr>
      <w:r>
        <w:t>2.</w:t>
      </w:r>
      <w:r>
        <w:rPr>
          <w:rFonts w:ascii="Aptos" w:hAnsi="Aptos"/>
          <w:snapToGrid/>
          <w:kern w:val="2"/>
          <w:sz w:val="24"/>
          <w:szCs w:val="24"/>
        </w:rPr>
        <w:tab/>
      </w:r>
      <w:r>
        <w:t>What Information Must Be Submitted</w:t>
      </w:r>
      <w:r>
        <w:tab/>
        <w:t>18</w:t>
      </w:r>
    </w:p>
    <w:p w:rsidR="008E1118" w:rsidP="008E1118" w14:paraId="1E36B4CE" w14:textId="6E6FECF8">
      <w:pPr>
        <w:pStyle w:val="TOC3"/>
        <w:tabs>
          <w:tab w:val="left" w:pos="360"/>
        </w:tabs>
        <w:rPr>
          <w:rFonts w:ascii="Aptos" w:hAnsi="Aptos"/>
          <w:snapToGrid/>
          <w:kern w:val="2"/>
          <w:sz w:val="24"/>
          <w:szCs w:val="24"/>
        </w:rPr>
      </w:pPr>
      <w:r>
        <w:t>3.</w:t>
      </w:r>
      <w:r>
        <w:rPr>
          <w:rFonts w:ascii="Aptos" w:hAnsi="Aptos"/>
          <w:snapToGrid/>
          <w:kern w:val="2"/>
          <w:sz w:val="24"/>
          <w:szCs w:val="24"/>
        </w:rPr>
        <w:tab/>
      </w:r>
      <w:r>
        <w:t>Submitting and Viewing Information</w:t>
      </w:r>
      <w:r>
        <w:tab/>
        <w:t>59</w:t>
      </w:r>
    </w:p>
    <w:p w:rsidR="008E1118" w:rsidP="008E1118" w14:paraId="33C30B25" w14:textId="59D4E17D">
      <w:pPr>
        <w:pStyle w:val="TOC2"/>
        <w:tabs>
          <w:tab w:val="left" w:pos="360"/>
        </w:tabs>
        <w:rPr>
          <w:rFonts w:ascii="Aptos" w:hAnsi="Aptos"/>
          <w:snapToGrid/>
          <w:kern w:val="2"/>
          <w:sz w:val="24"/>
          <w:szCs w:val="24"/>
        </w:rPr>
      </w:pPr>
      <w:r>
        <w:t>B.</w:t>
      </w:r>
      <w:r>
        <w:rPr>
          <w:rFonts w:ascii="Aptos" w:hAnsi="Aptos"/>
          <w:snapToGrid/>
          <w:kern w:val="2"/>
          <w:sz w:val="24"/>
          <w:szCs w:val="24"/>
        </w:rPr>
        <w:tab/>
      </w:r>
      <w:r>
        <w:t>Keeping Bad Actor Providers Out of the RMD</w:t>
      </w:r>
      <w:r>
        <w:tab/>
        <w:t>66</w:t>
      </w:r>
    </w:p>
    <w:p w:rsidR="008E1118" w:rsidP="008E1118" w14:paraId="5C8F48C8" w14:textId="3B30A1E8">
      <w:pPr>
        <w:pStyle w:val="TOC3"/>
        <w:tabs>
          <w:tab w:val="left" w:pos="360"/>
        </w:tabs>
        <w:rPr>
          <w:rFonts w:ascii="Aptos" w:hAnsi="Aptos"/>
          <w:snapToGrid/>
          <w:kern w:val="2"/>
          <w:sz w:val="24"/>
          <w:szCs w:val="24"/>
        </w:rPr>
      </w:pPr>
      <w:r>
        <w:t>1.</w:t>
      </w:r>
      <w:r>
        <w:rPr>
          <w:rFonts w:ascii="Aptos" w:hAnsi="Aptos"/>
          <w:snapToGrid/>
          <w:kern w:val="2"/>
          <w:sz w:val="24"/>
          <w:szCs w:val="24"/>
        </w:rPr>
        <w:tab/>
      </w:r>
      <w:r>
        <w:t>Preventing Bad Actor Providers from Getting Into the RMD</w:t>
      </w:r>
      <w:r>
        <w:tab/>
        <w:t>67</w:t>
      </w:r>
    </w:p>
    <w:p w:rsidR="008E1118" w:rsidP="008E1118" w14:paraId="7FE7FF49" w14:textId="0D7293B4">
      <w:pPr>
        <w:pStyle w:val="TOC3"/>
        <w:tabs>
          <w:tab w:val="left" w:pos="360"/>
        </w:tabs>
        <w:rPr>
          <w:rFonts w:ascii="Aptos" w:hAnsi="Aptos"/>
          <w:snapToGrid/>
          <w:kern w:val="2"/>
          <w:sz w:val="24"/>
          <w:szCs w:val="24"/>
        </w:rPr>
      </w:pPr>
      <w:r>
        <w:t>2.</w:t>
      </w:r>
      <w:r>
        <w:rPr>
          <w:rFonts w:ascii="Aptos" w:hAnsi="Aptos"/>
          <w:snapToGrid/>
          <w:kern w:val="2"/>
          <w:sz w:val="24"/>
          <w:szCs w:val="24"/>
        </w:rPr>
        <w:tab/>
      </w:r>
      <w:r>
        <w:t>Identifying Bad Actor Providers in the RMD</w:t>
      </w:r>
      <w:r>
        <w:tab/>
        <w:t>74</w:t>
      </w:r>
    </w:p>
    <w:p w:rsidR="008E1118" w:rsidP="008E1118" w14:paraId="0239A389" w14:textId="2DB327CC">
      <w:pPr>
        <w:pStyle w:val="TOC3"/>
        <w:tabs>
          <w:tab w:val="left" w:pos="360"/>
        </w:tabs>
        <w:rPr>
          <w:rFonts w:ascii="Aptos" w:hAnsi="Aptos"/>
          <w:snapToGrid/>
          <w:kern w:val="2"/>
          <w:sz w:val="24"/>
          <w:szCs w:val="24"/>
        </w:rPr>
      </w:pPr>
      <w:r>
        <w:t>3.</w:t>
      </w:r>
      <w:r>
        <w:rPr>
          <w:rFonts w:ascii="Aptos" w:hAnsi="Aptos"/>
          <w:snapToGrid/>
          <w:kern w:val="2"/>
          <w:sz w:val="24"/>
          <w:szCs w:val="24"/>
        </w:rPr>
        <w:tab/>
      </w:r>
      <w:r>
        <w:t>Tools for Removal of Bad Actor Providers from the RMD</w:t>
      </w:r>
      <w:r>
        <w:tab/>
        <w:t>79</w:t>
      </w:r>
    </w:p>
    <w:p w:rsidR="008E1118" w:rsidP="008E1118" w14:paraId="784376BD" w14:textId="28878E62">
      <w:pPr>
        <w:pStyle w:val="TOC3"/>
        <w:tabs>
          <w:tab w:val="left" w:pos="360"/>
        </w:tabs>
        <w:rPr>
          <w:rFonts w:ascii="Aptos" w:hAnsi="Aptos"/>
          <w:snapToGrid/>
          <w:kern w:val="2"/>
          <w:sz w:val="24"/>
          <w:szCs w:val="24"/>
        </w:rPr>
      </w:pPr>
      <w:r>
        <w:t>4.</w:t>
      </w:r>
      <w:r>
        <w:rPr>
          <w:rFonts w:ascii="Aptos" w:hAnsi="Aptos"/>
          <w:snapToGrid/>
          <w:kern w:val="2"/>
          <w:sz w:val="24"/>
          <w:szCs w:val="24"/>
        </w:rPr>
        <w:tab/>
      </w:r>
      <w:r>
        <w:t>Keeping Removed Bad Actor Providers Out</w:t>
      </w:r>
      <w:r>
        <w:tab/>
        <w:t>98</w:t>
      </w:r>
    </w:p>
    <w:p w:rsidR="008E1118" w:rsidP="008E1118" w14:paraId="4F2F24CD" w14:textId="627F864F">
      <w:pPr>
        <w:pStyle w:val="TOC3"/>
        <w:tabs>
          <w:tab w:val="left" w:pos="360"/>
        </w:tabs>
        <w:rPr>
          <w:rFonts w:ascii="Aptos" w:hAnsi="Aptos"/>
          <w:snapToGrid/>
          <w:kern w:val="2"/>
          <w:sz w:val="24"/>
          <w:szCs w:val="24"/>
        </w:rPr>
      </w:pPr>
      <w:r>
        <w:t>5.</w:t>
      </w:r>
      <w:r>
        <w:rPr>
          <w:rFonts w:ascii="Aptos" w:hAnsi="Aptos"/>
          <w:snapToGrid/>
          <w:kern w:val="2"/>
          <w:sz w:val="24"/>
          <w:szCs w:val="24"/>
        </w:rPr>
        <w:tab/>
      </w:r>
      <w:r>
        <w:t>Audits</w:t>
      </w:r>
      <w:r>
        <w:tab/>
        <w:t>120</w:t>
      </w:r>
    </w:p>
    <w:p w:rsidR="008E1118" w:rsidP="008E1118" w14:paraId="5EA3ABDB" w14:textId="14169C7F">
      <w:pPr>
        <w:pStyle w:val="TOC3"/>
        <w:tabs>
          <w:tab w:val="left" w:pos="360"/>
        </w:tabs>
        <w:rPr>
          <w:rFonts w:ascii="Aptos" w:hAnsi="Aptos"/>
          <w:snapToGrid/>
          <w:kern w:val="2"/>
          <w:sz w:val="24"/>
          <w:szCs w:val="24"/>
        </w:rPr>
      </w:pPr>
      <w:r>
        <w:t>6.</w:t>
      </w:r>
      <w:r>
        <w:rPr>
          <w:rFonts w:ascii="Aptos" w:hAnsi="Aptos"/>
          <w:snapToGrid/>
          <w:kern w:val="2"/>
          <w:sz w:val="24"/>
          <w:szCs w:val="24"/>
        </w:rPr>
        <w:tab/>
      </w:r>
      <w:r>
        <w:t>Resources for Administration</w:t>
      </w:r>
      <w:r>
        <w:tab/>
        <w:t>121</w:t>
      </w:r>
    </w:p>
    <w:p w:rsidR="008E1118" w:rsidP="008E1118" w14:paraId="4804D32A" w14:textId="07CF72E6">
      <w:pPr>
        <w:pStyle w:val="TOC2"/>
        <w:tabs>
          <w:tab w:val="left" w:pos="360"/>
        </w:tabs>
        <w:rPr>
          <w:rFonts w:ascii="Aptos" w:hAnsi="Aptos"/>
          <w:snapToGrid/>
          <w:kern w:val="2"/>
          <w:sz w:val="24"/>
          <w:szCs w:val="24"/>
        </w:rPr>
      </w:pPr>
      <w:r>
        <w:t>C.</w:t>
      </w:r>
      <w:r>
        <w:rPr>
          <w:rFonts w:ascii="Aptos" w:hAnsi="Aptos"/>
          <w:snapToGrid/>
          <w:kern w:val="2"/>
          <w:sz w:val="24"/>
          <w:szCs w:val="24"/>
        </w:rPr>
        <w:tab/>
      </w:r>
      <w:r>
        <w:t>Other Considerations</w:t>
      </w:r>
      <w:r>
        <w:tab/>
        <w:t>124</w:t>
      </w:r>
    </w:p>
    <w:p w:rsidR="008E1118" w:rsidP="008E1118" w14:paraId="7C25CD98" w14:textId="52BFA406">
      <w:pPr>
        <w:pStyle w:val="TOC3"/>
        <w:tabs>
          <w:tab w:val="left" w:pos="360"/>
        </w:tabs>
        <w:rPr>
          <w:rFonts w:ascii="Aptos" w:hAnsi="Aptos"/>
          <w:snapToGrid/>
          <w:kern w:val="2"/>
          <w:sz w:val="24"/>
          <w:szCs w:val="24"/>
        </w:rPr>
      </w:pPr>
      <w:r>
        <w:t>1.</w:t>
      </w:r>
      <w:r>
        <w:rPr>
          <w:rFonts w:ascii="Aptos" w:hAnsi="Aptos"/>
          <w:snapToGrid/>
          <w:kern w:val="2"/>
          <w:sz w:val="24"/>
          <w:szCs w:val="24"/>
        </w:rPr>
        <w:tab/>
      </w:r>
      <w:r>
        <w:t>Further Streamline and Clarify the RMD Rules</w:t>
      </w:r>
      <w:r>
        <w:tab/>
        <w:t>124</w:t>
      </w:r>
    </w:p>
    <w:p w:rsidR="008E1118" w:rsidP="008E1118" w14:paraId="514D2A2B" w14:textId="4E1D2730">
      <w:pPr>
        <w:pStyle w:val="TOC3"/>
        <w:tabs>
          <w:tab w:val="left" w:pos="360"/>
        </w:tabs>
        <w:rPr>
          <w:rFonts w:ascii="Aptos" w:hAnsi="Aptos"/>
          <w:snapToGrid/>
          <w:kern w:val="2"/>
          <w:sz w:val="24"/>
          <w:szCs w:val="24"/>
        </w:rPr>
      </w:pPr>
      <w:r>
        <w:t>2.</w:t>
      </w:r>
      <w:r>
        <w:rPr>
          <w:rFonts w:ascii="Aptos" w:hAnsi="Aptos"/>
          <w:snapToGrid/>
          <w:kern w:val="2"/>
          <w:sz w:val="24"/>
          <w:szCs w:val="24"/>
        </w:rPr>
        <w:tab/>
      </w:r>
      <w:r>
        <w:t>Effective Date</w:t>
      </w:r>
      <w:r>
        <w:tab/>
        <w:t>129</w:t>
      </w:r>
    </w:p>
    <w:p w:rsidR="008E1118" w:rsidP="008E1118" w14:paraId="18578778" w14:textId="61BDF049">
      <w:pPr>
        <w:pStyle w:val="TOC2"/>
        <w:tabs>
          <w:tab w:val="left" w:pos="360"/>
        </w:tabs>
        <w:rPr>
          <w:rFonts w:ascii="Aptos" w:hAnsi="Aptos"/>
          <w:snapToGrid/>
          <w:kern w:val="2"/>
          <w:sz w:val="24"/>
          <w:szCs w:val="24"/>
        </w:rPr>
      </w:pPr>
      <w:r>
        <w:t>D.</w:t>
      </w:r>
      <w:r>
        <w:rPr>
          <w:rFonts w:ascii="Aptos" w:hAnsi="Aptos"/>
          <w:snapToGrid/>
          <w:kern w:val="2"/>
          <w:sz w:val="24"/>
          <w:szCs w:val="24"/>
        </w:rPr>
        <w:tab/>
      </w:r>
      <w:r>
        <w:t>Legal Authority</w:t>
      </w:r>
      <w:r>
        <w:tab/>
        <w:t>130</w:t>
      </w:r>
    </w:p>
    <w:p w:rsidR="008E1118" w:rsidP="008E1118" w14:paraId="70F4C3E2" w14:textId="0778FA25">
      <w:pPr>
        <w:pStyle w:val="TOC2"/>
        <w:tabs>
          <w:tab w:val="left" w:pos="360"/>
        </w:tabs>
        <w:rPr>
          <w:rFonts w:ascii="Aptos" w:hAnsi="Aptos"/>
          <w:snapToGrid/>
          <w:kern w:val="2"/>
          <w:sz w:val="24"/>
          <w:szCs w:val="24"/>
        </w:rPr>
      </w:pPr>
      <w:r>
        <w:t>E.</w:t>
      </w:r>
      <w:r>
        <w:rPr>
          <w:rFonts w:ascii="Aptos" w:hAnsi="Aptos"/>
          <w:snapToGrid/>
          <w:kern w:val="2"/>
          <w:sz w:val="24"/>
          <w:szCs w:val="24"/>
        </w:rPr>
        <w:tab/>
      </w:r>
      <w:r>
        <w:t>Cost-Benefit Analysis</w:t>
      </w:r>
      <w:r>
        <w:tab/>
        <w:t>135</w:t>
      </w:r>
    </w:p>
    <w:p w:rsidR="008E1118" w:rsidP="008E1118" w14:paraId="790BA544" w14:textId="58A46F49">
      <w:pPr>
        <w:pStyle w:val="TOC1"/>
        <w:rPr>
          <w:rFonts w:ascii="Aptos" w:hAnsi="Aptos"/>
          <w:caps w:val="0"/>
          <w:snapToGrid/>
          <w:kern w:val="2"/>
          <w:sz w:val="24"/>
          <w:szCs w:val="24"/>
        </w:rPr>
      </w:pPr>
      <w:r>
        <w:t>IV.</w:t>
      </w:r>
      <w:r>
        <w:rPr>
          <w:rFonts w:ascii="Aptos" w:hAnsi="Aptos"/>
          <w:caps w:val="0"/>
          <w:snapToGrid/>
          <w:kern w:val="2"/>
          <w:sz w:val="24"/>
          <w:szCs w:val="24"/>
        </w:rPr>
        <w:tab/>
      </w:r>
      <w:r>
        <w:t>Procedural Matters</w:t>
      </w:r>
      <w:r>
        <w:tab/>
        <w:t>138</w:t>
      </w:r>
    </w:p>
    <w:p w:rsidR="008E1118" w:rsidP="008E1118" w14:paraId="4ED01EC2" w14:textId="4D754550">
      <w:pPr>
        <w:pStyle w:val="TOC1"/>
        <w:rPr>
          <w:rFonts w:ascii="Aptos" w:hAnsi="Aptos"/>
          <w:caps w:val="0"/>
          <w:snapToGrid/>
          <w:kern w:val="2"/>
          <w:sz w:val="24"/>
          <w:szCs w:val="24"/>
        </w:rPr>
      </w:pPr>
      <w:r>
        <w:t>V.</w:t>
      </w:r>
      <w:r>
        <w:rPr>
          <w:rFonts w:ascii="Aptos" w:hAnsi="Aptos"/>
          <w:caps w:val="0"/>
          <w:snapToGrid/>
          <w:kern w:val="2"/>
          <w:sz w:val="24"/>
          <w:szCs w:val="24"/>
        </w:rPr>
        <w:tab/>
      </w:r>
      <w:r>
        <w:t>Ordering Clauses</w:t>
      </w:r>
      <w:r>
        <w:tab/>
        <w:t>144</w:t>
      </w:r>
    </w:p>
    <w:bookmarkEnd w:id="0"/>
    <w:p w:rsidR="008E1118" w:rsidP="005919ED" w14:paraId="2D4B5C0B" w14:textId="77777777">
      <w:pPr>
        <w:rPr>
          <w:szCs w:val="22"/>
        </w:rPr>
      </w:pPr>
    </w:p>
    <w:p w:rsidR="005919ED" w:rsidP="005919ED" w14:paraId="0956B8F4" w14:textId="77777777">
      <w:pPr>
        <w:rPr>
          <w:szCs w:val="22"/>
        </w:rPr>
      </w:pPr>
    </w:p>
    <w:p w:rsidR="005919ED" w:rsidP="005919ED" w14:paraId="5F022901" w14:textId="77777777">
      <w:pPr>
        <w:rPr>
          <w:szCs w:val="22"/>
        </w:rPr>
      </w:pPr>
    </w:p>
    <w:p w:rsidR="005919ED" w:rsidRPr="00A55B3E" w:rsidP="005919ED" w14:paraId="70EBE653" w14:textId="77777777">
      <w:pPr>
        <w:rPr>
          <w:szCs w:val="22"/>
        </w:rPr>
      </w:pPr>
    </w:p>
    <w:p w:rsidR="005919ED" w:rsidRPr="00A55B3E" w:rsidP="005919ED" w14:paraId="24EFEBA0" w14:textId="77777777">
      <w:pPr>
        <w:pStyle w:val="Heading1"/>
        <w:keepNext w:val="0"/>
        <w:suppressAutoHyphens w:val="0"/>
      </w:pPr>
      <w:bookmarkStart w:id="10" w:name="_Toc235472508"/>
      <w:bookmarkStart w:id="11" w:name="_Toc235534107"/>
      <w:bookmarkStart w:id="12" w:name="_Toc235536510"/>
      <w:r w:rsidRPr="00A55B3E">
        <w:t>Introduction</w:t>
      </w:r>
      <w:bookmarkEnd w:id="1"/>
      <w:bookmarkEnd w:id="2"/>
      <w:bookmarkEnd w:id="3"/>
      <w:bookmarkEnd w:id="4"/>
      <w:bookmarkEnd w:id="5"/>
      <w:bookmarkEnd w:id="6"/>
      <w:bookmarkEnd w:id="7"/>
      <w:bookmarkEnd w:id="8"/>
      <w:bookmarkEnd w:id="10"/>
      <w:bookmarkEnd w:id="11"/>
      <w:bookmarkEnd w:id="12"/>
    </w:p>
    <w:p w:rsidR="005919ED" w:rsidRPr="00A55B3E" w:rsidP="005919ED" w14:paraId="232F1B24" w14:textId="77777777">
      <w:pPr>
        <w:pStyle w:val="ParaNum"/>
      </w:pPr>
      <w:r w:rsidRPr="00A55B3E">
        <w:t xml:space="preserve">As the Federal Communications Commission (FCC or Commission) continues its effort to provide meaningful relief to consumers and restore trust in voice communications by tackling illegal calls at every point in the call path, it now turns its attention to the Robocall Mitigation Database (RMD or Database).  </w:t>
      </w:r>
    </w:p>
    <w:p w:rsidR="005919ED" w:rsidRPr="00A55B3E" w:rsidP="005919ED" w14:paraId="6130E887" w14:textId="77777777">
      <w:pPr>
        <w:pStyle w:val="ParaNum"/>
      </w:pPr>
      <w:r w:rsidRPr="00A55B3E">
        <w:t xml:space="preserve">The RMD has become a central tool in the Commission’s efforts to stop illegal calls by promoting transparency and accountability for </w:t>
      </w:r>
      <w:r w:rsidRPr="00A55B3E">
        <w:t>providers’</w:t>
      </w:r>
      <w:r w:rsidRPr="00A55B3E">
        <w:t xml:space="preserve"> robocall mitigation practices.  Today, all voice service providers</w:t>
      </w:r>
      <w:r>
        <w:rPr>
          <w:rStyle w:val="FootnoteReference"/>
        </w:rPr>
        <w:footnoteReference w:id="3"/>
      </w:r>
      <w:r w:rsidRPr="00A55B3E">
        <w:t xml:space="preserve"> are required to submit a filing in the RMD that includes critical information about their business and their robocall mitigation practices, and downstream providers are only permitted to accept calls from providers whose filings appear in the Database and have not been removed by </w:t>
      </w:r>
      <w:r w:rsidRPr="00A55B3E">
        <w:t>a Commission</w:t>
      </w:r>
      <w:r w:rsidRPr="00A55B3E">
        <w:t xml:space="preserve"> enforcement action.  But as the importance of the RMD has grown, the Commission’s RMD rules and existing functionality must stay ahead of bad actors’ ability to enter (or re-enter) the RMD and then transmit illegal calls on the U.S. voice network.  We aim to improve the effectiveness of the RMD by proposing and seeking </w:t>
      </w:r>
      <w:r w:rsidRPr="00A55B3E">
        <w:t>comment</w:t>
      </w:r>
      <w:r w:rsidRPr="00A55B3E">
        <w:t xml:space="preserve"> on measures to strengthen filing obligations and to deter bad actors and non-compliant providers from entering or remaining in the Database.</w:t>
      </w:r>
    </w:p>
    <w:p w:rsidR="005919ED" w:rsidRPr="00A55B3E" w:rsidP="005919ED" w14:paraId="2C556294" w14:textId="77777777">
      <w:pPr>
        <w:pStyle w:val="Heading1"/>
        <w:keepNext w:val="0"/>
        <w:suppressAutoHyphens w:val="0"/>
      </w:pPr>
      <w:bookmarkStart w:id="13" w:name="_Toc148563333"/>
      <w:bookmarkStart w:id="14" w:name="_Toc148598480"/>
      <w:bookmarkStart w:id="15" w:name="_Toc232150152"/>
      <w:bookmarkStart w:id="16" w:name="_Toc232150499"/>
      <w:bookmarkStart w:id="17" w:name="_Toc232604712"/>
      <w:bookmarkStart w:id="18" w:name="_Toc233210664"/>
      <w:bookmarkStart w:id="19" w:name="_Toc233622363"/>
      <w:bookmarkStart w:id="20" w:name="_Toc233709801"/>
      <w:bookmarkStart w:id="21" w:name="_Toc235472509"/>
      <w:bookmarkStart w:id="22" w:name="_Toc235534108"/>
      <w:bookmarkStart w:id="23" w:name="_Toc235536511"/>
      <w:r w:rsidRPr="00A55B3E">
        <w:t>Background</w:t>
      </w:r>
      <w:bookmarkEnd w:id="13"/>
      <w:bookmarkEnd w:id="14"/>
      <w:bookmarkEnd w:id="15"/>
      <w:bookmarkEnd w:id="16"/>
      <w:bookmarkEnd w:id="17"/>
      <w:bookmarkEnd w:id="18"/>
      <w:bookmarkEnd w:id="19"/>
      <w:bookmarkEnd w:id="20"/>
      <w:bookmarkEnd w:id="21"/>
      <w:bookmarkEnd w:id="22"/>
      <w:bookmarkEnd w:id="23"/>
    </w:p>
    <w:p w:rsidR="005919ED" w:rsidRPr="00A55B3E" w:rsidP="005919ED" w14:paraId="62B391F1" w14:textId="77777777">
      <w:pPr>
        <w:pStyle w:val="ParaNum"/>
      </w:pPr>
      <w:r w:rsidRPr="00A55B3E">
        <w:rPr>
          <w:i/>
          <w:iCs/>
        </w:rPr>
        <w:t>Robocall Mitigation Database.</w:t>
      </w:r>
      <w:r w:rsidRPr="00A55B3E">
        <w:t xml:space="preserve">  The Commission established the RMD in 2021 as part of its efforts to implement section 4 of the TRACED Act, which directed the Commission to require voice service providers to deploy the STIR/SHAKEN caller ID authentication framework on their IP networks by June 30, 2021.</w:t>
      </w:r>
      <w:r>
        <w:rPr>
          <w:rStyle w:val="FootnoteReference"/>
        </w:rPr>
        <w:footnoteReference w:id="4"/>
      </w:r>
      <w:r w:rsidRPr="00A55B3E">
        <w:t xml:space="preserve">  The TRACED Act allowed extensions of the implementation deadline for certain providers based on undue hardship or reliance on non-IP infrastructure,</w:t>
      </w:r>
      <w:r>
        <w:rPr>
          <w:rStyle w:val="FootnoteReference"/>
        </w:rPr>
        <w:footnoteReference w:id="5"/>
      </w:r>
      <w:r w:rsidRPr="00A55B3E">
        <w:t xml:space="preserve"> and required any provider granted an extension to implement a robocall mitigation program.</w:t>
      </w:r>
      <w:r>
        <w:rPr>
          <w:rStyle w:val="FootnoteReference"/>
        </w:rPr>
        <w:footnoteReference w:id="6"/>
      </w:r>
      <w:r w:rsidRPr="00A55B3E">
        <w:t xml:space="preserve">  To promote transparency, effective robocall mitigation, and monitoring of compliance with the TRACED Act’s mandate, the Commission initially required all originating and terminating providers to file in the Database with a certification as to whether they had fully, partially, or not implemented STIR/SHAKEN on their IP-based networks.</w:t>
      </w:r>
      <w:r>
        <w:rPr>
          <w:rStyle w:val="FootnoteReference"/>
        </w:rPr>
        <w:footnoteReference w:id="7"/>
      </w:r>
      <w:r w:rsidRPr="00A55B3E">
        <w:t xml:space="preserve">  The Commission’s rules required those providers claiming an implementation extension to upload a description of their robocall mitigation program (i.e., robocall mitigation plan) to the Database, including the provider’s “reasonable steps” to reduce the origination of illegal robocalls on its network.</w:t>
      </w:r>
      <w:r>
        <w:rPr>
          <w:rStyle w:val="FootnoteReference"/>
        </w:rPr>
        <w:footnoteReference w:id="8"/>
      </w:r>
      <w:r w:rsidRPr="00A55B3E">
        <w:t xml:space="preserve">  In addition, the rules required all providers filing in the Database to submit certain additional business and identifying information.</w:t>
      </w:r>
      <w:r>
        <w:rPr>
          <w:rStyle w:val="FootnoteReference"/>
        </w:rPr>
        <w:footnoteReference w:id="9"/>
      </w:r>
      <w:r w:rsidRPr="00A55B3E">
        <w:t xml:space="preserve">  The Commission made these RMD filings publicly available on the Commission’s website to facilitate inter-provider cooperation and the public’s ability to understand providers’ robocall mitigation practices.</w:t>
      </w:r>
      <w:r>
        <w:rPr>
          <w:rStyle w:val="FootnoteReference"/>
        </w:rPr>
        <w:footnoteReference w:id="10"/>
      </w:r>
      <w:r w:rsidRPr="00A55B3E">
        <w:t xml:space="preserve">  Since that time, the Commission has gradually expanded the RMD filing requirements.  Today, all voice service providers</w:t>
      </w:r>
      <w:r>
        <w:rPr>
          <w:rStyle w:val="FootnoteReference"/>
        </w:rPr>
        <w:footnoteReference w:id="11"/>
      </w:r>
      <w:r w:rsidRPr="00A55B3E">
        <w:t xml:space="preserve"> must submit a filing</w:t>
      </w:r>
      <w:r>
        <w:rPr>
          <w:rStyle w:val="FootnoteReference"/>
        </w:rPr>
        <w:footnoteReference w:id="12"/>
      </w:r>
      <w:r w:rsidRPr="00A55B3E">
        <w:t xml:space="preserve"> in the RMD</w:t>
      </w:r>
      <w:r>
        <w:rPr>
          <w:rStyle w:val="FootnoteReference"/>
        </w:rPr>
        <w:footnoteReference w:id="13"/>
      </w:r>
      <w:r w:rsidRPr="00A55B3E">
        <w:t xml:space="preserve"> that includes certifications, robocall mitigation information, business identifying information, provider</w:t>
      </w:r>
      <w:r>
        <w:t xml:space="preserve"> </w:t>
      </w:r>
      <w:r w:rsidRPr="00A55B3E">
        <w:t>type and service information, and a robocall mitigation plan</w:t>
      </w:r>
      <w:r>
        <w:rPr>
          <w:rStyle w:val="FootnoteReference"/>
        </w:rPr>
        <w:footnoteReference w:id="14"/>
      </w:r>
      <w:r w:rsidRPr="00A55B3E">
        <w:t xml:space="preserve"> via a portal accessible on the Commission’s website,</w:t>
      </w:r>
      <w:r>
        <w:rPr>
          <w:rStyle w:val="FootnoteReference"/>
        </w:rPr>
        <w:footnoteReference w:id="15"/>
      </w:r>
      <w:r w:rsidRPr="00A55B3E">
        <w:t xml:space="preserve"> regardless of whether or not the provider has implemented STIR/SHAKEN</w:t>
      </w:r>
      <w:r>
        <w:rPr>
          <w:rStyle w:val="FootnoteReference"/>
        </w:rPr>
        <w:footnoteReference w:id="16"/>
      </w:r>
      <w:r w:rsidRPr="00A55B3E">
        <w:t xml:space="preserve"> or claimed an implementation exemption.</w:t>
      </w:r>
      <w:r>
        <w:rPr>
          <w:rStyle w:val="FootnoteReference"/>
        </w:rPr>
        <w:footnoteReference w:id="17"/>
      </w:r>
      <w:r w:rsidRPr="00A55B3E">
        <w:t xml:space="preserve">  The RMD currently contains over 11,000 filings.</w:t>
      </w:r>
      <w:r>
        <w:rPr>
          <w:rStyle w:val="FootnoteReference"/>
        </w:rPr>
        <w:footnoteReference w:id="18"/>
      </w:r>
      <w:r w:rsidRPr="00A55B3E">
        <w:t xml:space="preserve">  Downstream providers may only accept voice calls directly from another provider if that provider’s filing appears in the Database and has not been removed pursuant to an enforcement action.</w:t>
      </w:r>
      <w:r>
        <w:rPr>
          <w:rStyle w:val="FootnoteReference"/>
        </w:rPr>
        <w:footnoteReference w:id="19"/>
      </w:r>
    </w:p>
    <w:p w:rsidR="005919ED" w:rsidRPr="00A55B3E" w:rsidP="005919ED" w14:paraId="1DF2C403" w14:textId="77777777">
      <w:pPr>
        <w:pStyle w:val="ParaNum"/>
      </w:pPr>
      <w:r w:rsidRPr="00A55B3E">
        <w:rPr>
          <w:i/>
          <w:iCs/>
        </w:rPr>
        <w:t>Know Your Customer (KYC).</w:t>
      </w:r>
      <w:r w:rsidRPr="00A55B3E">
        <w:t xml:space="preserve">  The Commission’s KYC rule requires that each originating provider “[t]ake affirmative, effective measures to prevent new and renewing customers from using its network to originate illegal calls, including knowing its customers and exercising due diligence in ensuring that its services are not used to originate illegal traffic.”</w:t>
      </w:r>
      <w:r>
        <w:rPr>
          <w:rStyle w:val="FootnoteReference"/>
        </w:rPr>
        <w:footnoteReference w:id="20"/>
      </w:r>
      <w:r w:rsidRPr="00A55B3E">
        <w:t xml:space="preserve">  In April 2026, the Commission adopted a </w:t>
      </w:r>
      <w:r w:rsidRPr="00A55B3E">
        <w:rPr>
          <w:i/>
          <w:iCs/>
        </w:rPr>
        <w:t>KYC FNPRM</w:t>
      </w:r>
      <w:r w:rsidRPr="00A55B3E">
        <w:t xml:space="preserve"> seeking comment on customer identification requirements for new and renewing customers and requirements for originating providers to obtain, verify, retain, and re-verify customer information.</w:t>
      </w:r>
      <w:r>
        <w:rPr>
          <w:rStyle w:val="FootnoteReference"/>
        </w:rPr>
        <w:footnoteReference w:id="21"/>
      </w:r>
    </w:p>
    <w:p w:rsidR="005919ED" w:rsidRPr="00A55B3E" w:rsidP="005919ED" w14:paraId="05566B6E" w14:textId="77777777">
      <w:pPr>
        <w:pStyle w:val="ParaNum"/>
      </w:pPr>
      <w:r w:rsidRPr="00A55B3E">
        <w:rPr>
          <w:i/>
          <w:iCs/>
        </w:rPr>
        <w:t>Know Your Upstream Provider (KYUP).</w:t>
      </w:r>
      <w:r w:rsidRPr="00A55B3E">
        <w:t xml:space="preserve">  The Commission’s KYUP rule requires that all voice service providers “[t]ake reasonable and effective steps to ensure that any originating provider or intermediate provider, foreign or domestic, from which it directly receives traffic is not using the provider to carry or process a high volume of illegal traffic onto the U.S. network.”</w:t>
      </w:r>
      <w:r>
        <w:rPr>
          <w:rStyle w:val="FootnoteReference"/>
        </w:rPr>
        <w:footnoteReference w:id="22"/>
      </w:r>
      <w:r w:rsidRPr="00A55B3E">
        <w:t xml:space="preserve">  Voice service providers also must describe the measures they use to know their upstream providers in the robocall mitigation plans they must submit as part of their RMD filings.</w:t>
      </w:r>
      <w:r>
        <w:rPr>
          <w:rStyle w:val="FootnoteReference"/>
        </w:rPr>
        <w:footnoteReference w:id="23"/>
      </w:r>
    </w:p>
    <w:p w:rsidR="005919ED" w:rsidRPr="00A55B3E" w:rsidP="00920BE2" w14:paraId="5F64013F" w14:textId="77777777">
      <w:pPr>
        <w:pStyle w:val="ParaNum"/>
        <w:widowControl/>
      </w:pPr>
      <w:r w:rsidRPr="00A55B3E">
        <w:rPr>
          <w:i/>
          <w:iCs/>
        </w:rPr>
        <w:t xml:space="preserve">KYUP </w:t>
      </w:r>
      <w:r w:rsidRPr="00A55B3E">
        <w:rPr>
          <w:i/>
        </w:rPr>
        <w:t>FNPRM</w:t>
      </w:r>
      <w:r w:rsidRPr="00A55B3E">
        <w:rPr>
          <w:i/>
          <w:iCs/>
        </w:rPr>
        <w:t>.</w:t>
      </w:r>
      <w:r w:rsidRPr="00A55B3E">
        <w:t xml:space="preserve">  In May 2026, the Commission adopted the </w:t>
      </w:r>
      <w:r w:rsidRPr="00A55B3E">
        <w:rPr>
          <w:i/>
          <w:iCs/>
        </w:rPr>
        <w:t xml:space="preserve">KYUP </w:t>
      </w:r>
      <w:r w:rsidRPr="00A55B3E">
        <w:rPr>
          <w:i/>
        </w:rPr>
        <w:t>FNPRM</w:t>
      </w:r>
      <w:r w:rsidRPr="00A55B3E">
        <w:t xml:space="preserve">, which proposed several changes to its KYUP and caller ID authentication rules that are relevant to this proceeding.  Specifically, </w:t>
      </w:r>
      <w:r w:rsidRPr="00537A65">
        <w:t>it</w:t>
      </w:r>
      <w:r w:rsidRPr="00A55B3E">
        <w:t xml:space="preserve"> proposed baseline KYUP measures that would require providers to:  (1) obtain detailed information directly from upstream providers; (2) conduct due diligence of their upstream provider’s compliance with certain Commission rules; (3) verify the validity and authenticity of the information obtained about an upstream provider; (4) implement baseline monitoring obligations; and (5) refuse or discontinue service when an upstream provider is, or is likely to be, the source of illegal calls.</w:t>
      </w:r>
      <w:r>
        <w:rPr>
          <w:rStyle w:val="FootnoteReference"/>
        </w:rPr>
        <w:footnoteReference w:id="24"/>
      </w:r>
      <w:r w:rsidRPr="00A55B3E">
        <w:t xml:space="preserve">  As part of these obligations, the proposals would require providers to confirm whether or not the upstream provider has a compliant filing in the RMD and would be able to cross-check information with the RMD to identify inconsistencies.</w:t>
      </w:r>
      <w:r>
        <w:rPr>
          <w:rStyle w:val="FootnoteReference"/>
        </w:rPr>
        <w:footnoteReference w:id="25"/>
      </w:r>
      <w:r w:rsidRPr="00A55B3E">
        <w:t xml:space="preserve">  It also proposed to revise or adopt definitions governing STIR/SHAKEN implementation obligations, which also apply to RMD filing requirements, including a proposal to reinterpret the term “voice service provider” to refer to initiating, originating, intermediate, and terminating providers, including both facilities-based and non-facilities-based providers, such as VoIP resellers and MVNOs,</w:t>
      </w:r>
      <w:r>
        <w:rPr>
          <w:rStyle w:val="FootnoteReference"/>
        </w:rPr>
        <w:footnoteReference w:id="26"/>
      </w:r>
      <w:r w:rsidRPr="00A55B3E">
        <w:t xml:space="preserve"> and to adopt a definition for “end-user.”</w:t>
      </w:r>
      <w:r>
        <w:rPr>
          <w:rStyle w:val="FootnoteReference"/>
        </w:rPr>
        <w:footnoteReference w:id="27"/>
      </w:r>
    </w:p>
    <w:p w:rsidR="005919ED" w:rsidRPr="00A55B3E" w:rsidP="005919ED" w14:paraId="1A90C720" w14:textId="77777777">
      <w:pPr>
        <w:pStyle w:val="Heading1"/>
      </w:pPr>
      <w:bookmarkStart w:id="25" w:name="_Toc232150153"/>
      <w:bookmarkStart w:id="26" w:name="_Toc232150500"/>
      <w:bookmarkStart w:id="27" w:name="_Toc232604713"/>
      <w:bookmarkStart w:id="28" w:name="_Toc233210665"/>
      <w:bookmarkStart w:id="29" w:name="_Toc233622364"/>
      <w:bookmarkStart w:id="30" w:name="_Toc233709802"/>
      <w:bookmarkStart w:id="31" w:name="_Toc235472510"/>
      <w:bookmarkStart w:id="32" w:name="_Toc235534109"/>
      <w:bookmarkStart w:id="33" w:name="_Toc235536512"/>
      <w:r w:rsidRPr="00A55B3E">
        <w:t>Discussion</w:t>
      </w:r>
      <w:bookmarkEnd w:id="25"/>
      <w:bookmarkEnd w:id="26"/>
      <w:bookmarkEnd w:id="27"/>
      <w:bookmarkEnd w:id="28"/>
      <w:bookmarkEnd w:id="29"/>
      <w:bookmarkEnd w:id="30"/>
      <w:bookmarkEnd w:id="31"/>
      <w:bookmarkEnd w:id="32"/>
      <w:bookmarkEnd w:id="33"/>
    </w:p>
    <w:p w:rsidR="005919ED" w:rsidRPr="00A55B3E" w:rsidP="005919ED" w14:paraId="3F33C60E" w14:textId="77777777">
      <w:pPr>
        <w:pStyle w:val="ParaNum"/>
      </w:pPr>
      <w:r w:rsidRPr="00A55B3E">
        <w:t>To improve the effectiveness of the RMD in promoting transparency and accountability for providers’ practices to mitigate illegal calls, we propose rules designed to strengthen providers’ filing obligations and deter bad actors and non-compliant providers from entering or remaining in the Database.  We intend for these rules to apply to all new and existing filings submitted in the RMD.  As the starting place for our proposed rule changes,</w:t>
      </w:r>
      <w:r>
        <w:rPr>
          <w:rStyle w:val="FootnoteReference"/>
        </w:rPr>
        <w:footnoteReference w:id="28"/>
      </w:r>
      <w:r w:rsidRPr="00A55B3E">
        <w:t xml:space="preserve"> we use the streamlined rules we proposed in the </w:t>
      </w:r>
      <w:r w:rsidRPr="00A55B3E">
        <w:rPr>
          <w:i/>
        </w:rPr>
        <w:t>KYUP FNPRM</w:t>
      </w:r>
      <w:r w:rsidRPr="00A55B3E">
        <w:t>.</w:t>
      </w:r>
      <w:r>
        <w:rPr>
          <w:rStyle w:val="FootnoteReference"/>
        </w:rPr>
        <w:footnoteReference w:id="29"/>
      </w:r>
      <w:r w:rsidRPr="00A55B3E">
        <w:t xml:space="preserve">  In advancing these proposals, we aim to ensure consistency across all our existing and proposed rules, which operate together to target illegal calls and promote accountability throughout the call path, including our caller ID authentication rules, traceback requirements, KYC and KYUP obligations, and call blocking rules.</w:t>
      </w:r>
      <w:r>
        <w:rPr>
          <w:rStyle w:val="FootnoteReference"/>
        </w:rPr>
        <w:footnoteReference w:id="30"/>
      </w:r>
      <w:r w:rsidRPr="00A55B3E">
        <w:t xml:space="preserve">  We invite commenters to evaluate our proposals in the context of this comprehensive framework.</w:t>
      </w:r>
    </w:p>
    <w:p w:rsidR="005919ED" w:rsidRPr="00A55B3E" w:rsidP="00770912" w14:paraId="4041E01A" w14:textId="77777777">
      <w:pPr>
        <w:pStyle w:val="Heading2"/>
      </w:pPr>
      <w:bookmarkStart w:id="34" w:name="_Toc232150154"/>
      <w:bookmarkStart w:id="35" w:name="_Toc232150501"/>
      <w:bookmarkStart w:id="36" w:name="_Toc232604714"/>
      <w:bookmarkStart w:id="37" w:name="_Toc233210666"/>
      <w:bookmarkStart w:id="38" w:name="_Toc233622365"/>
      <w:bookmarkStart w:id="39" w:name="_Toc233709803"/>
      <w:bookmarkStart w:id="40" w:name="_Toc235472511"/>
      <w:bookmarkStart w:id="41" w:name="_Toc235534110"/>
      <w:bookmarkStart w:id="42" w:name="_Toc235536513"/>
      <w:r w:rsidRPr="00A55B3E">
        <w:t>Strengthen Filing Obligations</w:t>
      </w:r>
      <w:bookmarkEnd w:id="34"/>
      <w:bookmarkEnd w:id="35"/>
      <w:bookmarkEnd w:id="36"/>
      <w:bookmarkEnd w:id="37"/>
      <w:bookmarkEnd w:id="38"/>
      <w:bookmarkEnd w:id="39"/>
      <w:bookmarkEnd w:id="40"/>
      <w:bookmarkEnd w:id="41"/>
      <w:bookmarkEnd w:id="42"/>
    </w:p>
    <w:p w:rsidR="005919ED" w:rsidRPr="00A55B3E" w:rsidP="005919ED" w14:paraId="3A3F1731" w14:textId="77777777">
      <w:pPr>
        <w:pStyle w:val="ParaNum"/>
      </w:pPr>
      <w:r w:rsidRPr="00A55B3E">
        <w:t xml:space="preserve">We propose and seek </w:t>
      </w:r>
      <w:r w:rsidRPr="00A55B3E">
        <w:t>comment</w:t>
      </w:r>
      <w:r w:rsidRPr="00A55B3E">
        <w:t xml:space="preserve"> on measures to strengthen providers’ obligations with respect to filing in the RMD, including proposed rules regarding which entities must file, what information they must submit, and how that information is submitted and viewable by the public.</w:t>
      </w:r>
    </w:p>
    <w:p w:rsidR="005919ED" w:rsidRPr="00A55B3E" w:rsidP="005919ED" w14:paraId="21699329" w14:textId="77777777">
      <w:pPr>
        <w:pStyle w:val="Heading3"/>
      </w:pPr>
      <w:bookmarkStart w:id="43" w:name="_Toc232150155"/>
      <w:bookmarkStart w:id="44" w:name="_Toc232150502"/>
      <w:bookmarkStart w:id="45" w:name="_Toc232604715"/>
      <w:bookmarkStart w:id="46" w:name="_Toc233210667"/>
      <w:bookmarkStart w:id="47" w:name="_Toc233622366"/>
      <w:bookmarkStart w:id="48" w:name="_Toc233709804"/>
      <w:bookmarkStart w:id="49" w:name="_Toc235472512"/>
      <w:bookmarkStart w:id="50" w:name="_Toc235534111"/>
      <w:bookmarkStart w:id="51" w:name="_Toc235536514"/>
      <w:r w:rsidRPr="00A55B3E">
        <w:t>Which Entities Must File</w:t>
      </w:r>
      <w:bookmarkEnd w:id="43"/>
      <w:bookmarkEnd w:id="44"/>
      <w:bookmarkEnd w:id="45"/>
      <w:bookmarkEnd w:id="46"/>
      <w:bookmarkEnd w:id="47"/>
      <w:bookmarkEnd w:id="48"/>
      <w:bookmarkEnd w:id="49"/>
      <w:bookmarkEnd w:id="50"/>
      <w:bookmarkEnd w:id="51"/>
    </w:p>
    <w:p w:rsidR="005919ED" w:rsidRPr="00A55B3E" w:rsidP="005919ED" w14:paraId="6A3F55FF" w14:textId="77777777">
      <w:pPr>
        <w:pStyle w:val="ParaNum"/>
      </w:pPr>
      <w:r w:rsidRPr="00A55B3E">
        <w:t xml:space="preserve">In this section, we propose and seek comment on measures to codify and clarify </w:t>
      </w:r>
      <w:r w:rsidRPr="00A55B3E">
        <w:t>providers’</w:t>
      </w:r>
      <w:r w:rsidRPr="00A55B3E">
        <w:t xml:space="preserve"> robocall mitigation filing obligations, including confirming the scope of entities that are voice service providers, the indirect applicability of these rules to foreign voice service providers, filing obligations of related entities, and the use of third parties to file in the RMD.</w:t>
      </w:r>
    </w:p>
    <w:p w:rsidR="005919ED" w:rsidRPr="00A55B3E" w:rsidP="005919ED" w14:paraId="1AD30A21" w14:textId="77777777">
      <w:pPr>
        <w:pStyle w:val="ParaNum"/>
      </w:pPr>
      <w:r w:rsidRPr="00A55B3E">
        <w:rPr>
          <w:i/>
          <w:iCs/>
        </w:rPr>
        <w:t>Confirming which entities are voice service providers.</w:t>
      </w:r>
      <w:r w:rsidRPr="00A55B3E">
        <w:t xml:space="preserve">  We seek comment on whether we should further explain what constitutes the provision of “voice service” and what it means to be a “voice service provider” to ensure that all entities that provide voice service are aware of their obligations to comply with RMD requirements and other obligations to combat illegal calls.  Despite our recent proposals in the </w:t>
      </w:r>
      <w:r w:rsidRPr="00A55B3E">
        <w:rPr>
          <w:i/>
          <w:iCs/>
        </w:rPr>
        <w:t>KYUP FNPRM</w:t>
      </w:r>
      <w:r w:rsidRPr="00A55B3E">
        <w:t xml:space="preserve"> to clarify the meaning of those terms through definitions in section 64.6300 of the Commission’s rules</w:t>
      </w:r>
      <w:r>
        <w:rPr>
          <w:rStyle w:val="FootnoteReference"/>
        </w:rPr>
        <w:footnoteReference w:id="31"/>
      </w:r>
      <w:r w:rsidRPr="00A55B3E">
        <w:t xml:space="preserve">—which govern the Commission’s RMD requirements in section 64.6305 and the Commission’s caller ID authentication rules—we remain concerned that some entities that are voice service </w:t>
      </w:r>
      <w:r w:rsidRPr="00A55B3E">
        <w:t>providers, and</w:t>
      </w:r>
      <w:r w:rsidRPr="00A55B3E">
        <w:t xml:space="preserve"> therefore must comply with the Commission’s rules to combat illegal calls, would still not view themselves as such.  In revisiting this issue, we emphasize that we do not intend to alter the scope of entities that are voice service providers, but rather to clarify which entities are voice service providers today.</w:t>
      </w:r>
      <w:r>
        <w:rPr>
          <w:rStyle w:val="FootnoteReference"/>
        </w:rPr>
        <w:footnoteReference w:id="32"/>
      </w:r>
      <w:r w:rsidRPr="00A55B3E">
        <w:t xml:space="preserve">  The Commission has been clear that Congress intended the meaning of “voice service” to be broad,</w:t>
      </w:r>
      <w:r>
        <w:rPr>
          <w:rStyle w:val="FootnoteReference"/>
        </w:rPr>
        <w:footnoteReference w:id="33"/>
      </w:r>
      <w:r w:rsidRPr="00A55B3E">
        <w:t xml:space="preserve"> and we believe that for purposes of the Commission’s rules targeting illegal calls, the meaning applies to entities regardless of the classification of their service, the technological solutions or facilities used to provide their service, the commercial name for the service they provide, or whether they hold any particular Commission authorization, license, or certification, so long as the service meets the definition of “voice service,” as we propose</w:t>
      </w:r>
      <w:r>
        <w:t>d</w:t>
      </w:r>
      <w:r w:rsidRPr="00A55B3E">
        <w:t xml:space="preserve"> to clarify and codify that definition in the </w:t>
      </w:r>
      <w:r w:rsidRPr="00A55B3E">
        <w:rPr>
          <w:i/>
          <w:iCs/>
        </w:rPr>
        <w:t>KYUP FNPRM</w:t>
      </w:r>
      <w:r w:rsidRPr="00A55B3E">
        <w:t>.</w:t>
      </w:r>
      <w:r>
        <w:rPr>
          <w:rStyle w:val="FootnoteReference"/>
        </w:rPr>
        <w:footnoteReference w:id="34"/>
      </w:r>
    </w:p>
    <w:p w:rsidR="005919ED" w:rsidRPr="00A55B3E" w:rsidP="005919ED" w14:paraId="2D385C72" w14:textId="77777777">
      <w:pPr>
        <w:pStyle w:val="ParaNum"/>
      </w:pPr>
      <w:r w:rsidRPr="00A55B3E">
        <w:t>We believe our view is supported by a statutory interpretation of the definition of “voice service” in the TRACED Act, which the Commission has codified in section 64.6300 of our rules.</w:t>
      </w:r>
      <w:r>
        <w:rPr>
          <w:rStyle w:val="FootnoteReference"/>
        </w:rPr>
        <w:footnoteReference w:id="35"/>
      </w:r>
      <w:r w:rsidRPr="00A55B3E">
        <w:t xml:space="preserve">  The TRACED Act defines “voice service” as:</w:t>
      </w:r>
    </w:p>
    <w:p w:rsidR="005919ED" w:rsidRPr="00A55B3E" w:rsidP="005919ED" w14:paraId="663F4DB0" w14:textId="77777777">
      <w:pPr>
        <w:pStyle w:val="StyleBlockTextJustifiedLeft075Right075"/>
      </w:pPr>
      <w:r>
        <w:t>[A]</w:t>
      </w:r>
      <w:r w:rsidRPr="00A55B3E">
        <w:t>ny service that is interconnected with the public switched telephone network and that furnishes voice communications to an end user using resources from the North American Numbering Plan or any successor to the North American Numbering Plan adopted by the Commission under section 251(e)(1) of the Communications Act of 1934</w:t>
      </w:r>
      <w:r>
        <w:t xml:space="preserve"> [(the Act)]</w:t>
      </w:r>
      <w:r w:rsidRPr="00A55B3E">
        <w:t>, as amended; and [i]ncludes—transmissions from a telephone facsimile machine, computer, or other device to a telephone facsimile machine; and [w]ithout limitation, any service that enables real-time, two-way voice communications, including any service that requires internet protocol-compatible customer premises equipment and permits out-bound calling, whether or not the service is one-way or two-way voice over internet protocol.</w:t>
      </w:r>
      <w:r>
        <w:rPr>
          <w:rStyle w:val="FootnoteReference"/>
        </w:rPr>
        <w:footnoteReference w:id="36"/>
      </w:r>
    </w:p>
    <w:p w:rsidR="005919ED" w:rsidRPr="00A55B3E" w:rsidP="0042259A" w14:paraId="259455B2" w14:textId="77777777">
      <w:pPr>
        <w:pStyle w:val="ParaNum"/>
        <w:widowControl/>
        <w:numPr>
          <w:ilvl w:val="0"/>
          <w:numId w:val="0"/>
        </w:numPr>
      </w:pPr>
      <w:r w:rsidRPr="00A55B3E">
        <w:t xml:space="preserve">We note, as an initial matter, that we expressed our view in the </w:t>
      </w:r>
      <w:r w:rsidRPr="00A55B3E">
        <w:rPr>
          <w:i/>
          <w:iCs/>
        </w:rPr>
        <w:t>KYUP FNPRM</w:t>
      </w:r>
      <w:r w:rsidRPr="00A55B3E">
        <w:t xml:space="preserve"> that this definition “appl[ies] to the furnishing of voice communications to an end user directly or indirectly,” consistent with our prior interpretation of the nearly identical definition of “voice service” in the RAY BAUM’S Act.</w:t>
      </w:r>
      <w:r>
        <w:rPr>
          <w:rStyle w:val="FootnoteReference"/>
        </w:rPr>
        <w:footnoteReference w:id="37"/>
      </w:r>
      <w:r w:rsidRPr="00A55B3E">
        <w:t xml:space="preserve">  Thus, an entity need not provide service directly to end users to be a voice service provider.</w:t>
      </w:r>
      <w:r>
        <w:rPr>
          <w:rStyle w:val="FootnoteReference"/>
        </w:rPr>
        <w:footnoteReference w:id="38"/>
      </w:r>
      <w:r w:rsidRPr="00A55B3E">
        <w:t xml:space="preserve">  </w:t>
      </w:r>
    </w:p>
    <w:p w:rsidR="005919ED" w:rsidRPr="00A55B3E" w:rsidP="005919ED" w14:paraId="46A851B3" w14:textId="77777777">
      <w:pPr>
        <w:pStyle w:val="ParaNum"/>
      </w:pPr>
      <w:r w:rsidRPr="00A55B3E">
        <w:t>We also believe that the definitions of key terms in the “voice service” definition support a broad reading.  “Service,” in a commercial context, refers to “business activity that involves doing things for customers rather than producing goods,”</w:t>
      </w:r>
      <w:r>
        <w:rPr>
          <w:rStyle w:val="FootnoteReference"/>
        </w:rPr>
        <w:footnoteReference w:id="39"/>
      </w:r>
      <w:r w:rsidRPr="00A55B3E">
        <w:t xml:space="preserve"> so the term can apply to any type of commercial entity that is providing a service.  “Interconnected” refers to “different parts or things connected or related to each other” and does not imply that the service uses any particular type of facilities or technological solutions.</w:t>
      </w:r>
      <w:r>
        <w:rPr>
          <w:rStyle w:val="FootnoteReference"/>
        </w:rPr>
        <w:footnoteReference w:id="40"/>
      </w:r>
      <w:r w:rsidRPr="00A55B3E">
        <w:t xml:space="preserve">  Likewise, “furnish” means “to supply or provide something needed” and is not limited to any type of facilities or technological solution.</w:t>
      </w:r>
      <w:r>
        <w:rPr>
          <w:rStyle w:val="FootnoteReference"/>
        </w:rPr>
        <w:footnoteReference w:id="41"/>
      </w:r>
      <w:r w:rsidRPr="00A55B3E">
        <w:t xml:space="preserve">  The term “enables” is also broad, meaning “to make someone able to do something, or to make something possible,” such that any type of facility or technological solution could enable a voice service.</w:t>
      </w:r>
      <w:r>
        <w:rPr>
          <w:rStyle w:val="FootnoteReference"/>
        </w:rPr>
        <w:footnoteReference w:id="42"/>
      </w:r>
      <w:r w:rsidRPr="00A55B3E">
        <w:t xml:space="preserve">  None of these definitions, nor the broader definition of “voice service” itself refer to any specific type of provider, require a specific service classification, or require any specific FCC authorization, license, or certification.  When these definitions are taken together, we believe the broad meaning of “voice service” is sufficiently captured by our proposed definition of “voice service provider” in the </w:t>
      </w:r>
      <w:r w:rsidRPr="00A55B3E">
        <w:rPr>
          <w:i/>
          <w:iCs/>
        </w:rPr>
        <w:t>KYUP FNPRM</w:t>
      </w:r>
      <w:r w:rsidRPr="00A55B3E">
        <w:t xml:space="preserve"> as “any entity that provides voice service for a given call,” which covers “all initiating, originating, intermediate, and terminating providers, including facilities-based providers and non-facilities-based providers, which includes VoIP resellers and MVNOs.”</w:t>
      </w:r>
      <w:r>
        <w:rPr>
          <w:rStyle w:val="FootnoteReference"/>
        </w:rPr>
        <w:footnoteReference w:id="43"/>
      </w:r>
      <w:r w:rsidRPr="00A55B3E">
        <w:t xml:space="preserve">  We seek comment on that view.</w:t>
      </w:r>
    </w:p>
    <w:p w:rsidR="005919ED" w:rsidRPr="00A55B3E" w:rsidP="005919ED" w14:paraId="4253172B" w14:textId="77777777">
      <w:pPr>
        <w:pStyle w:val="ParaNum"/>
      </w:pPr>
      <w:r w:rsidRPr="00A55B3E">
        <w:t xml:space="preserve">Beyond the definitional interpretations, we also believe that the requirement regarding the use of North American Numbering Plan (NANP) resources is broad.  It does not specify that the service obtained the NANP resources directly or indirectly, or even that the service controls the NANP resources at all, so long as the service makes use of such resources.  Accordingly, we believe that if an entity provides a customer with the ability to make use of NANP resources, regardless of the facilities or technological solution used to do so, then it </w:t>
      </w:r>
      <w:r w:rsidRPr="00A55B3E">
        <w:t>would</w:t>
      </w:r>
      <w:r w:rsidRPr="00A55B3E">
        <w:t xml:space="preserve"> qualify as a voice service if it satisfies the other parts of the definition. </w:t>
      </w:r>
    </w:p>
    <w:p w:rsidR="005919ED" w:rsidRPr="00A55B3E" w:rsidP="005919ED" w14:paraId="08ACAFFB" w14:textId="77777777">
      <w:pPr>
        <w:pStyle w:val="ParaNum"/>
      </w:pPr>
      <w:r w:rsidRPr="00A55B3E">
        <w:t>In light of this analysis, we believe that in addition to traditional wireline, wireless, and VoIP services,</w:t>
      </w:r>
      <w:r>
        <w:rPr>
          <w:rStyle w:val="FootnoteReference"/>
        </w:rPr>
        <w:footnoteReference w:id="44"/>
      </w:r>
      <w:r w:rsidRPr="00A55B3E">
        <w:t xml:space="preserve"> “voice service,” for the purposes of our rules targeting illegal calls, includes PBXs, dialing platforms, cloud service providers, over-the-top service providers, call centers, value-added-service providers, and telephone number service providers (TNSP) to the extent the services “furnish[] voice communications to an end user using resources from the North American Numbering Plan,” including if they “enable[] real-time, two-way voice communications .</w:t>
      </w:r>
      <w:r>
        <w:t> </w:t>
      </w:r>
      <w:r w:rsidRPr="00A55B3E">
        <w:t>.</w:t>
      </w:r>
      <w:r>
        <w:t> </w:t>
      </w:r>
      <w:r w:rsidRPr="00A55B3E">
        <w:t>. whether or not the service is one-way or two-way [VoIP].”</w:t>
      </w:r>
      <w:r>
        <w:rPr>
          <w:rStyle w:val="FootnoteReference"/>
        </w:rPr>
        <w:footnoteReference w:id="45"/>
      </w:r>
      <w:r w:rsidRPr="00A55B3E">
        <w:t xml:space="preserve">  Additionally, to the extent an entity believes it is providing an information service, that does not mean its service is not also a voice service, as the provision or classification of a service is not determinative as to whether the entity is providing voice service for the purpose of the Commission’s rules targeting illegal calls.</w:t>
      </w:r>
      <w:r>
        <w:rPr>
          <w:rStyle w:val="FootnoteReference"/>
        </w:rPr>
        <w:footnoteReference w:id="46"/>
      </w:r>
      <w:r w:rsidRPr="00A55B3E">
        <w:t xml:space="preserve">  We seek comment on our analysis and these beliefs.  Does any confusion remain as to when an entity is a voice service provider?  Do all of the services listed furnish voice communications that is interconnected with the PSTN (either directly or through an interconnected provider) to an end user (directly or indirectly) using NANP numbering resources, or are they capable of doing so, such that they can qualify as voice services for the purposes of our rules targeting illegal calls?  Should we list which services qualify as voice services?  To the extent any entities that are part of the voice ecosystem still do not believe they are voice service providers, what is the nature of their services, and is there an independent policy and legal basis for subjecting such entities to the RMD rules and/or other rules to combat illegal calls?  We also seek comment on whether we should revise the definition of “end user” proposed in the </w:t>
      </w:r>
      <w:r w:rsidRPr="00A55B3E">
        <w:rPr>
          <w:i/>
          <w:iCs/>
        </w:rPr>
        <w:t>KYUP FNPRM</w:t>
      </w:r>
      <w:r>
        <w:rPr>
          <w:rStyle w:val="FootnoteReference"/>
        </w:rPr>
        <w:footnoteReference w:id="47"/>
      </w:r>
      <w:r w:rsidRPr="00A55B3E">
        <w:t xml:space="preserve"> to further clarify when an entity is furnishing voice communications rather than acting as the end user.  </w:t>
      </w:r>
    </w:p>
    <w:p w:rsidR="005919ED" w:rsidRPr="00A55B3E" w:rsidP="005919ED" w14:paraId="63E7DE1D" w14:textId="77777777">
      <w:pPr>
        <w:pStyle w:val="ParaNum"/>
      </w:pPr>
      <w:r w:rsidRPr="00A55B3E">
        <w:rPr>
          <w:i/>
          <w:iCs/>
        </w:rPr>
        <w:t xml:space="preserve">Foreign </w:t>
      </w:r>
      <w:r>
        <w:rPr>
          <w:i/>
          <w:iCs/>
        </w:rPr>
        <w:t>v</w:t>
      </w:r>
      <w:r w:rsidRPr="00A55B3E">
        <w:rPr>
          <w:i/>
          <w:iCs/>
        </w:rPr>
        <w:t xml:space="preserve">oice </w:t>
      </w:r>
      <w:r>
        <w:rPr>
          <w:i/>
          <w:iCs/>
        </w:rPr>
        <w:t>s</w:t>
      </w:r>
      <w:r w:rsidRPr="00A55B3E">
        <w:rPr>
          <w:i/>
          <w:iCs/>
        </w:rPr>
        <w:t xml:space="preserve">ervice </w:t>
      </w:r>
      <w:r>
        <w:rPr>
          <w:i/>
          <w:iCs/>
        </w:rPr>
        <w:t>p</w:t>
      </w:r>
      <w:r w:rsidRPr="00A55B3E">
        <w:rPr>
          <w:i/>
          <w:iCs/>
        </w:rPr>
        <w:t>roviders.</w:t>
      </w:r>
      <w:r w:rsidRPr="00A55B3E">
        <w:t xml:space="preserve">  We seek </w:t>
      </w:r>
      <w:r w:rsidRPr="00A55B3E">
        <w:t>comment</w:t>
      </w:r>
      <w:r w:rsidRPr="00A55B3E">
        <w:t xml:space="preserve"> on whether further clarification is necessary with respect to when a foreign voice service provider may choose to file in the RMD and how the filing requirements apply to such providers.  Under our current rules, domestic voice service providers must only accept calls that use NANP resources pertaining to the United States in the caller ID field from foreign voice service providers whose filings appear in the RMD and have not been removed.</w:t>
      </w:r>
      <w:r>
        <w:rPr>
          <w:rStyle w:val="FootnoteReference"/>
        </w:rPr>
        <w:footnoteReference w:id="48"/>
      </w:r>
      <w:r w:rsidRPr="00A55B3E">
        <w:t xml:space="preserve">  In the </w:t>
      </w:r>
      <w:r w:rsidRPr="00A55B3E">
        <w:rPr>
          <w:i/>
          <w:iCs/>
        </w:rPr>
        <w:t>KYUP FNPRM</w:t>
      </w:r>
      <w:r w:rsidRPr="00A55B3E">
        <w:t>, we proposed to revise the definitions of “foreign voice service provider”</w:t>
      </w:r>
      <w:r>
        <w:rPr>
          <w:rStyle w:val="FootnoteReference"/>
        </w:rPr>
        <w:footnoteReference w:id="49"/>
      </w:r>
      <w:r w:rsidRPr="00A55B3E">
        <w:t xml:space="preserve"> and “gateway provider”</w:t>
      </w:r>
      <w:r>
        <w:rPr>
          <w:rStyle w:val="FootnoteReference"/>
        </w:rPr>
        <w:footnoteReference w:id="50"/>
      </w:r>
      <w:r w:rsidRPr="00A55B3E">
        <w:t xml:space="preserve"> to, in part, address our concern that bad actor foreign providers may be establishing nominal offices, operations, or facilities in the United States (such as a hosted server or shared address) to falsely appear as a provider with bona fide independent business operations in the United States, and thereby avoid scrutiny of the provider and their calls.</w:t>
      </w:r>
      <w:r>
        <w:rPr>
          <w:rStyle w:val="FootnoteReference"/>
        </w:rPr>
        <w:footnoteReference w:id="51"/>
      </w:r>
      <w:r w:rsidRPr="00A55B3E">
        <w:t xml:space="preserve">  We believe the proposed revised definitions make clear when a provider is a foreign voice service provider versus any kind of domestic provider for the purposes of the RMD filing requirements, but we seek comment on this view.  Should we expand upon these or other proposed definitions to provide additional clarity regarding which entities are foreign voice service providers for purposes of the RMD rules, and if so, how?  Although foreign voice service providers’ RMD filings are subject to the same requirements</w:t>
      </w:r>
      <w:r>
        <w:t>,</w:t>
      </w:r>
      <w:r w:rsidRPr="00A55B3E">
        <w:t xml:space="preserve"> removal processes</w:t>
      </w:r>
      <w:r>
        <w:t>,</w:t>
      </w:r>
      <w:r w:rsidRPr="00A55B3E">
        <w:t xml:space="preserve"> and criteria as domestic providers,</w:t>
      </w:r>
      <w:r>
        <w:rPr>
          <w:rStyle w:val="FootnoteReference"/>
        </w:rPr>
        <w:footnoteReference w:id="52"/>
      </w:r>
      <w:r w:rsidRPr="00A55B3E">
        <w:t xml:space="preserve"> they are not required to implement STIR/SHAKEN</w:t>
      </w:r>
      <w:r>
        <w:t>.</w:t>
      </w:r>
      <w:r>
        <w:rPr>
          <w:rStyle w:val="FootnoteReference"/>
        </w:rPr>
        <w:footnoteReference w:id="53"/>
      </w:r>
      <w:r w:rsidRPr="00A55B3E">
        <w:t xml:space="preserve"> </w:t>
      </w:r>
      <w:r w:rsidRPr="00A55B3E">
        <w:t xml:space="preserve"> </w:t>
      </w:r>
      <w:r>
        <w:t>We</w:t>
      </w:r>
      <w:r w:rsidRPr="00A55B3E">
        <w:t xml:space="preserve"> therefore seek comment on whether we should revise or clarify how foreign providers indicate their STIR/SHAKEN implementation status in the RMD,</w:t>
      </w:r>
      <w:r>
        <w:rPr>
          <w:rStyle w:val="FootnoteReference"/>
        </w:rPr>
        <w:footnoteReference w:id="54"/>
      </w:r>
      <w:r w:rsidRPr="00A55B3E">
        <w:t xml:space="preserve"> particularly given efforts to develop Cross Border Call Authentication (CBCA).</w:t>
      </w:r>
      <w:r>
        <w:rPr>
          <w:rStyle w:val="FootnoteReference"/>
        </w:rPr>
        <w:footnoteReference w:id="55"/>
      </w:r>
      <w:r w:rsidRPr="00A55B3E">
        <w:t xml:space="preserve">  If so, how?</w:t>
      </w:r>
    </w:p>
    <w:p w:rsidR="005919ED" w:rsidRPr="00A55B3E" w:rsidP="005919ED" w14:paraId="5140E5A3" w14:textId="77777777">
      <w:pPr>
        <w:pStyle w:val="ParaNum"/>
      </w:pPr>
      <w:r w:rsidRPr="00A55B3E">
        <w:rPr>
          <w:i/>
          <w:iCs/>
        </w:rPr>
        <w:t>Filing obligations of related entities.</w:t>
      </w:r>
      <w:r w:rsidRPr="00A55B3E">
        <w:t xml:space="preserve">  We propose to codify the existing requirement that parents, affiliates, and subsidiaries that independently meet the definition of a “voice service provider” must each file a separate filing in the RMD.</w:t>
      </w:r>
      <w:r>
        <w:rPr>
          <w:rStyle w:val="FootnoteReference"/>
        </w:rPr>
        <w:footnoteReference w:id="56"/>
      </w:r>
      <w:r w:rsidRPr="00A55B3E">
        <w:t xml:space="preserve">  We believe that codifying this requirement is necessary to increase accountability and prevent filers from obfuscating their relationships with other entities in the RMD, including bad actors and providers that have been removed from the RMD pursuant to </w:t>
      </w:r>
      <w:r>
        <w:t xml:space="preserve">a </w:t>
      </w:r>
      <w:r w:rsidRPr="00A55B3E">
        <w:t>Commission enforcement action.  We seek comment on this proposal and assessment.  We also seek comment on potential additional or alternative requirements to differentiate entities for purposes of determining their independent RMD filing obligations.  For instance, are there specific identifiers that are a necessary or sufficient indicator of an independent filing obligation, such as Operating Company Numbers (OCN),</w:t>
      </w:r>
      <w:r>
        <w:rPr>
          <w:rStyle w:val="FootnoteReference"/>
          <w:szCs w:val="22"/>
        </w:rPr>
        <w:footnoteReference w:id="57"/>
      </w:r>
      <w:r w:rsidRPr="00A55B3E">
        <w:t xml:space="preserve"> FCC Registration Numbers (FRN),</w:t>
      </w:r>
      <w:r>
        <w:rPr>
          <w:rStyle w:val="FootnoteReference"/>
          <w:szCs w:val="22"/>
        </w:rPr>
        <w:footnoteReference w:id="58"/>
      </w:r>
      <w:r w:rsidRPr="00A55B3E">
        <w:t xml:space="preserve"> Form 499-A Filer IDs,</w:t>
      </w:r>
      <w:r>
        <w:rPr>
          <w:rStyle w:val="FootnoteReference"/>
          <w:szCs w:val="22"/>
        </w:rPr>
        <w:footnoteReference w:id="59"/>
      </w:r>
      <w:r w:rsidRPr="00A55B3E">
        <w:t xml:space="preserve"> or Service Provider Code (SPC) token authorizations?  Additionally, we seek comment on how this proposal aligns or departs from providers’ practices today, including with respect to obtaining SPC tokens.  We note that </w:t>
      </w:r>
      <w:r>
        <w:t>6,689</w:t>
      </w:r>
      <w:r w:rsidRPr="00A55B3E">
        <w:t xml:space="preserve"> RMD filings indicate full or partial implementation of STIR/SHAKEN,</w:t>
      </w:r>
      <w:r>
        <w:rPr>
          <w:rStyle w:val="FootnoteReference"/>
        </w:rPr>
        <w:footnoteReference w:id="60"/>
      </w:r>
      <w:r w:rsidRPr="00A55B3E">
        <w:t xml:space="preserve"> but that only </w:t>
      </w:r>
      <w:r>
        <w:t>2,143</w:t>
      </w:r>
      <w:r w:rsidRPr="00A55B3E">
        <w:t xml:space="preserve"> providers appear on the Governance Authority’s list of authorized providers.</w:t>
      </w:r>
      <w:r>
        <w:rPr>
          <w:rStyle w:val="FootnoteReference"/>
        </w:rPr>
        <w:footnoteReference w:id="61"/>
      </w:r>
      <w:r w:rsidRPr="00A55B3E">
        <w:t xml:space="preserve">  Are providers filing independently in the RMD but sharing SPC tokens?  If so, is that practice permissible under the Governance Authority policies and does it cause confusion for downstream providers accepting </w:t>
      </w:r>
      <w:r>
        <w:t>calls</w:t>
      </w:r>
      <w:r w:rsidRPr="00A55B3E">
        <w:t xml:space="preserve"> from these providers or otherwise hinder efforts to combat illegal calls?</w:t>
      </w:r>
    </w:p>
    <w:p w:rsidR="005919ED" w:rsidRPr="00A55B3E" w:rsidP="005919ED" w14:paraId="41B675A8" w14:textId="77777777">
      <w:pPr>
        <w:pStyle w:val="ParaNum"/>
      </w:pPr>
      <w:r w:rsidRPr="00A55B3E">
        <w:rPr>
          <w:i/>
          <w:iCs/>
        </w:rPr>
        <w:t>Third-party RMD submissions.</w:t>
      </w:r>
      <w:r w:rsidRPr="00A55B3E">
        <w:t xml:space="preserve">  We seek </w:t>
      </w:r>
      <w:r w:rsidRPr="00A55B3E">
        <w:t>comment</w:t>
      </w:r>
      <w:r w:rsidRPr="00A55B3E">
        <w:t xml:space="preserve"> on measures to ensure transparency and accountability when providers rely on a third party to submit RMD filings on their behalf.  Under our current rules, RMD filings must be signed by an officer in conformity with section 1.16 of the Commission’s rules with a declaration, under penalty of perjury, that the information included in the filing is true and correct.</w:t>
      </w:r>
      <w:r>
        <w:rPr>
          <w:rStyle w:val="FootnoteReference"/>
        </w:rPr>
        <w:footnoteReference w:id="62"/>
      </w:r>
      <w:r w:rsidRPr="00A55B3E">
        <w:t xml:space="preserve">  At the same time, we are aware that some providers may rely on third parties, who may not be officers of the provider, to complete their RMD </w:t>
      </w:r>
      <w:r>
        <w:t xml:space="preserve">filing </w:t>
      </w:r>
      <w:r w:rsidRPr="00A55B3E">
        <w:t xml:space="preserve">obligations.  We seek </w:t>
      </w:r>
      <w:r w:rsidRPr="00A55B3E">
        <w:t>comment</w:t>
      </w:r>
      <w:r w:rsidRPr="00A55B3E">
        <w:t xml:space="preserve"> on the prevalence of this practice and on the nature of these third-party arrangements.  Is it more common among small providers or certain other types of providers?  Are third parties who are not officers of the provider making the required declaration or are they completing the information in the filing but leaving the declaration to an officer?  What is the relationship between the third parties and the providers—are the third parties acting as consultants, agents, counsel, or in some other capacity?  What are the third parties’ qualifications and the extent of their knowledge of providers’ practices?  Should we explicitly permit or prohibit the use of such third parties?  Would permitting their use further remove a provider from its responsibility to abide by RMD requirements?  If we permit their use, should we place any requirements or restrictions on their use?  For instance, should we only permit providers to use third parties to input information in the filing but maintain the requirement that an officer of the provider make the declaration?  What adjustments, if any, would we need to make in the RMD system to permit this?  Should we require that providers ensure their third party provide</w:t>
      </w:r>
      <w:r>
        <w:t>s</w:t>
      </w:r>
      <w:r w:rsidRPr="00A55B3E">
        <w:t xml:space="preserve"> their contact information on the RMD submission form, including their name, primary address, email address, and phone number, and if the third party is registered to do business with the Commission, the third party’s FRN?  Should we require that third parties be agents of the provider and modify the declaration requirement to permit that it be completed by an officer or agent of the company?  Would such a change result in more filings that do not accurately reflect the information and practices of the provider or allow providers to avoid liability for the failures of the third party?  Since the obligation to properly fulfill RMD filing requirements remains with providers, will that deter them from using bad actor third parties, or should we create another mechanism to prohibit providers from using bad actor third parties that we identify?  Even though the RMD filing obligations remain with providers, should we grant a safe harbor to providers who have used third parties unless and until we adopt any rules concerning their use and those rules go into effect?</w:t>
      </w:r>
    </w:p>
    <w:p w:rsidR="005919ED" w:rsidRPr="00A55B3E" w:rsidP="005919ED" w14:paraId="0FCC86E6" w14:textId="77777777">
      <w:pPr>
        <w:pStyle w:val="Heading3"/>
      </w:pPr>
      <w:bookmarkStart w:id="52" w:name="_Toc232150156"/>
      <w:bookmarkStart w:id="53" w:name="_Toc232150503"/>
      <w:bookmarkStart w:id="54" w:name="_Toc232604716"/>
      <w:bookmarkStart w:id="55" w:name="_Toc233210668"/>
      <w:bookmarkStart w:id="56" w:name="_Toc233622367"/>
      <w:bookmarkStart w:id="57" w:name="_Toc233709805"/>
      <w:bookmarkStart w:id="58" w:name="_Toc235472513"/>
      <w:bookmarkStart w:id="59" w:name="_Toc235534112"/>
      <w:bookmarkStart w:id="60" w:name="_Toc235536515"/>
      <w:r w:rsidRPr="00A55B3E">
        <w:t>What Information Must Be Submitted</w:t>
      </w:r>
      <w:bookmarkEnd w:id="52"/>
      <w:bookmarkEnd w:id="53"/>
      <w:bookmarkEnd w:id="54"/>
      <w:bookmarkEnd w:id="55"/>
      <w:bookmarkEnd w:id="56"/>
      <w:bookmarkEnd w:id="57"/>
      <w:bookmarkEnd w:id="58"/>
      <w:bookmarkEnd w:id="59"/>
      <w:bookmarkEnd w:id="60"/>
    </w:p>
    <w:p w:rsidR="005919ED" w:rsidRPr="00A55B3E" w:rsidP="00174104" w14:paraId="345FE95E" w14:textId="77777777">
      <w:pPr>
        <w:pStyle w:val="ParaNum"/>
        <w:widowControl/>
      </w:pPr>
      <w:r w:rsidRPr="00A55B3E">
        <w:t xml:space="preserve">In this section, we propose and seek </w:t>
      </w:r>
      <w:r w:rsidRPr="00A55B3E">
        <w:t>comment</w:t>
      </w:r>
      <w:r w:rsidRPr="00A55B3E">
        <w:t xml:space="preserve"> on </w:t>
      </w:r>
      <w:r w:rsidRPr="00A55B3E">
        <w:t>a number of</w:t>
      </w:r>
      <w:r w:rsidRPr="00A55B3E">
        <w:t xml:space="preserve"> measures to codify or improve the accuracy and completeness of information that providers must submit in the RMD.  Under current rules, providers must submit information that fits into five categories that we propose to codify:  </w:t>
      </w:r>
      <w:r w:rsidRPr="03153136">
        <w:t xml:space="preserve">(1) </w:t>
      </w:r>
      <w:r w:rsidRPr="03153136">
        <w:t>certifications</w:t>
      </w:r>
      <w:r w:rsidRPr="00A55B3E">
        <w:rPr>
          <w:szCs w:val="22"/>
        </w:rPr>
        <w:t>;</w:t>
      </w:r>
      <w:r>
        <w:rPr>
          <w:rStyle w:val="FootnoteReference"/>
        </w:rPr>
        <w:footnoteReference w:id="63"/>
      </w:r>
      <w:r w:rsidRPr="03153136">
        <w:t xml:space="preserve"> (2)</w:t>
      </w:r>
      <w:r w:rsidRPr="00A55B3E">
        <w:rPr>
          <w:szCs w:val="22"/>
        </w:rPr>
        <w:t xml:space="preserve"> </w:t>
      </w:r>
      <w:r w:rsidRPr="03153136">
        <w:t>robocall mitigation information;</w:t>
      </w:r>
      <w:r>
        <w:rPr>
          <w:rStyle w:val="FootnoteReference"/>
        </w:rPr>
        <w:footnoteReference w:id="64"/>
      </w:r>
      <w:r w:rsidRPr="03153136">
        <w:t xml:space="preserve"> (3) </w:t>
      </w:r>
      <w:r w:rsidRPr="03153136">
        <w:t>business</w:t>
      </w:r>
      <w:r w:rsidRPr="00A55B3E">
        <w:rPr>
          <w:szCs w:val="22"/>
        </w:rPr>
        <w:t xml:space="preserve"> </w:t>
      </w:r>
      <w:r w:rsidRPr="03153136">
        <w:t>identifying information</w:t>
      </w:r>
      <w:r w:rsidRPr="00A55B3E">
        <w:rPr>
          <w:szCs w:val="22"/>
        </w:rPr>
        <w:t>;</w:t>
      </w:r>
      <w:r>
        <w:rPr>
          <w:rStyle w:val="FootnoteReference"/>
        </w:rPr>
        <w:footnoteReference w:id="65"/>
      </w:r>
      <w:r w:rsidRPr="03153136">
        <w:t xml:space="preserve"> (4) provider</w:t>
      </w:r>
      <w:r>
        <w:rPr>
          <w:szCs w:val="22"/>
        </w:rPr>
        <w:t xml:space="preserve"> </w:t>
      </w:r>
      <w:r w:rsidRPr="03153136">
        <w:t>type and service information;</w:t>
      </w:r>
      <w:r>
        <w:rPr>
          <w:rStyle w:val="FootnoteReference"/>
        </w:rPr>
        <w:footnoteReference w:id="66"/>
      </w:r>
      <w:r w:rsidRPr="03153136">
        <w:t xml:space="preserve"> and (5) a robocall mitigation plan.</w:t>
      </w:r>
      <w:r>
        <w:rPr>
          <w:rStyle w:val="FootnoteReference"/>
        </w:rPr>
        <w:footnoteReference w:id="67"/>
      </w:r>
      <w:r w:rsidRPr="00A55B3E">
        <w:rPr>
          <w:szCs w:val="22"/>
        </w:rPr>
        <w:t xml:space="preserve"> </w:t>
      </w:r>
      <w:r w:rsidRPr="00A55B3E">
        <w:rPr>
          <w:szCs w:val="22"/>
        </w:rPr>
        <w:t xml:space="preserve"> </w:t>
      </w:r>
      <w:r w:rsidRPr="03153136">
        <w:t xml:space="preserve">Except as discussed below, we do not intend to further modify providers’ obligations under these categories, as we believe the streamlined rules, as proposed in the </w:t>
      </w:r>
      <w:r w:rsidRPr="00A55B3E">
        <w:rPr>
          <w:i/>
        </w:rPr>
        <w:t>KYUP FNPRM</w:t>
      </w:r>
      <w:r w:rsidRPr="00A55B3E">
        <w:rPr>
          <w:szCs w:val="22"/>
        </w:rPr>
        <w:t>,</w:t>
      </w:r>
      <w:r>
        <w:rPr>
          <w:rStyle w:val="FootnoteReference"/>
        </w:rPr>
        <w:footnoteReference w:id="68"/>
      </w:r>
      <w:r w:rsidRPr="03153136">
        <w:t xml:space="preserve"> if adopted, are sufficiently clear and precise, but we seek comment on this view.</w:t>
      </w:r>
    </w:p>
    <w:p w:rsidR="005919ED" w:rsidRPr="00A55B3E" w:rsidP="005919ED" w14:paraId="5E887D62" w14:textId="77777777">
      <w:pPr>
        <w:pStyle w:val="Heading4"/>
      </w:pPr>
      <w:r w:rsidRPr="00A55B3E">
        <w:t>Certifications</w:t>
      </w:r>
    </w:p>
    <w:p w:rsidR="005919ED" w:rsidRPr="00A55B3E" w:rsidP="005919ED" w14:paraId="353F0852" w14:textId="77777777">
      <w:pPr>
        <w:pStyle w:val="ParaNum"/>
      </w:pPr>
      <w:r w:rsidRPr="00A55B3E">
        <w:t xml:space="preserve">We propose and seek comment on certification and related requirements that are used to hold providers accountable, including for STIR/SHAKEN attestation, lack of candor, compliance with illegal call rules, and traceback commitments and cooperation </w:t>
      </w:r>
      <w:r>
        <w:t>with investigations</w:t>
      </w:r>
      <w:r w:rsidRPr="00A55B3E">
        <w:t>.</w:t>
      </w:r>
    </w:p>
    <w:p w:rsidR="005919ED" w:rsidRPr="00A55B3E" w:rsidP="005919ED" w14:paraId="4E2F04F5" w14:textId="77777777">
      <w:pPr>
        <w:pStyle w:val="ParaNum"/>
      </w:pPr>
      <w:r w:rsidRPr="00A55B3E">
        <w:rPr>
          <w:i/>
        </w:rPr>
        <w:t>STIR/SHAKEN attestation certification.</w:t>
      </w:r>
      <w:r w:rsidRPr="00A55B3E">
        <w:t xml:space="preserve">  We propose to require that all voice service providers that serve end users directly certify compliance with any attestation </w:t>
      </w:r>
      <w:r>
        <w:t>rules</w:t>
      </w:r>
      <w:r w:rsidRPr="00A55B3E">
        <w:t xml:space="preserve"> adopted in response to the </w:t>
      </w:r>
      <w:r w:rsidRPr="00A55B3E">
        <w:rPr>
          <w:i/>
        </w:rPr>
        <w:t>KYUP FNPRM</w:t>
      </w:r>
      <w:r w:rsidRPr="00A55B3E">
        <w:t xml:space="preserve">.  The </w:t>
      </w:r>
      <w:r w:rsidRPr="00A55B3E">
        <w:rPr>
          <w:i/>
        </w:rPr>
        <w:t>KYUP FNPRM</w:t>
      </w:r>
      <w:r w:rsidRPr="00A55B3E">
        <w:t xml:space="preserve"> proposed </w:t>
      </w:r>
      <w:r>
        <w:t>STIR/SHAKEN attestation-level requirements and prohibitions.</w:t>
      </w:r>
      <w:r>
        <w:rPr>
          <w:rStyle w:val="FootnoteReference"/>
        </w:rPr>
        <w:footnoteReference w:id="69"/>
      </w:r>
      <w:r>
        <w:t xml:space="preserve">  It also proposed </w:t>
      </w:r>
      <w:r w:rsidRPr="00A55B3E">
        <w:t>to require all voice service providers that serve end users directly to make attestation-level decisions for their end users’ Session Initiation Protocol (SIP) calls</w:t>
      </w:r>
      <w:r>
        <w:t>,</w:t>
      </w:r>
      <w:r>
        <w:rPr>
          <w:rStyle w:val="FootnoteReference"/>
        </w:rPr>
        <w:footnoteReference w:id="70"/>
      </w:r>
      <w:r w:rsidRPr="00A55B3E">
        <w:t xml:space="preserve">  Functionally, th</w:t>
      </w:r>
      <w:r>
        <w:t>e latter</w:t>
      </w:r>
      <w:r w:rsidRPr="00A55B3E">
        <w:t xml:space="preserve"> proposal would </w:t>
      </w:r>
      <w:r>
        <w:t xml:space="preserve">only </w:t>
      </w:r>
      <w:r w:rsidRPr="00A55B3E">
        <w:t>create a new attestation obligation for non-facilities based providers</w:t>
      </w:r>
      <w:r w:rsidRPr="00A55B3E">
        <w:t>,</w:t>
      </w:r>
      <w:r w:rsidRPr="00A55B3E">
        <w:t xml:space="preserve"> </w:t>
      </w:r>
      <w:r>
        <w:t xml:space="preserve">since </w:t>
      </w:r>
      <w:r w:rsidRPr="00A55B3E">
        <w:t>facilities-based providers</w:t>
      </w:r>
      <w:r>
        <w:t xml:space="preserve"> should</w:t>
      </w:r>
      <w:r w:rsidRPr="00A55B3E">
        <w:t xml:space="preserve"> already make attestation decisions when they serve end users directly</w:t>
      </w:r>
      <w:r>
        <w:t xml:space="preserve"> to fulfill their</w:t>
      </w:r>
      <w:r w:rsidRPr="00A55B3E">
        <w:t xml:space="preserve"> STIR/SHAKEN implementation obligation.  Although the proposed streamlined rules in the </w:t>
      </w:r>
      <w:r>
        <w:rPr>
          <w:i/>
          <w:iCs/>
        </w:rPr>
        <w:t>KYUP</w:t>
      </w:r>
      <w:r w:rsidRPr="00CD616B">
        <w:rPr>
          <w:i/>
        </w:rPr>
        <w:t xml:space="preserve"> </w:t>
      </w:r>
      <w:r w:rsidRPr="00A55B3E">
        <w:rPr>
          <w:i/>
          <w:iCs/>
        </w:rPr>
        <w:t>FNPRM</w:t>
      </w:r>
      <w:r w:rsidRPr="00A55B3E">
        <w:t xml:space="preserve"> include a provision that would require all voice service providers that serve end users directly to certify in the RMD that they are compliant with the proposed attestation requirements,</w:t>
      </w:r>
      <w:r>
        <w:rPr>
          <w:rStyle w:val="FootnoteReference"/>
        </w:rPr>
        <w:footnoteReference w:id="71"/>
      </w:r>
      <w:r w:rsidRPr="00A55B3E">
        <w:t xml:space="preserve"> we did not formally propose the certification requirement in the body of the</w:t>
      </w:r>
      <w:r>
        <w:t xml:space="preserve"> </w:t>
      </w:r>
      <w:r>
        <w:rPr>
          <w:i/>
          <w:iCs/>
        </w:rPr>
        <w:t xml:space="preserve">KYUP </w:t>
      </w:r>
      <w:r w:rsidRPr="00A55B3E">
        <w:rPr>
          <w:i/>
          <w:iCs/>
        </w:rPr>
        <w:t>FNPRM</w:t>
      </w:r>
      <w:r w:rsidRPr="00A55B3E">
        <w:t xml:space="preserve">, and so we do so here.  We believe the proposed attestation certification is important, as it represents an acknowledgement of the new role that non-facilities-based providers would play in the STIR/SHAKEN ecosystem if the </w:t>
      </w:r>
      <w:r w:rsidRPr="00A55B3E">
        <w:rPr>
          <w:i/>
        </w:rPr>
        <w:t>KYUP FNPRM</w:t>
      </w:r>
      <w:r w:rsidRPr="00A55B3E">
        <w:t xml:space="preserve"> proposal is adopted, and it would provide a strong basis for accountability for both facilities-based providers and non-facilities-based providers.  We seek </w:t>
      </w:r>
      <w:r w:rsidRPr="00A55B3E">
        <w:t>comment</w:t>
      </w:r>
      <w:r w:rsidRPr="00A55B3E">
        <w:t xml:space="preserve"> on this proposal and our analysis.</w:t>
      </w:r>
    </w:p>
    <w:p w:rsidR="005919ED" w:rsidRPr="00A55B3E" w:rsidP="00174104" w14:paraId="7CDE1CAB" w14:textId="77777777">
      <w:pPr>
        <w:pStyle w:val="ParaNum"/>
        <w:widowControl/>
      </w:pPr>
      <w:r w:rsidRPr="00A55B3E">
        <w:rPr>
          <w:i/>
          <w:iCs/>
        </w:rPr>
        <w:t>Lack of candor certification.</w:t>
      </w:r>
      <w:r w:rsidRPr="00A55B3E">
        <w:t xml:space="preserve">  We propose that providers must certify that they have not submitted false, misleading, or inaccurate information to the Commission, any agent or other third party designated by the Commission or </w:t>
      </w:r>
      <w:r w:rsidRPr="00F540BD">
        <w:t xml:space="preserve">acting </w:t>
      </w:r>
      <w:r>
        <w:t xml:space="preserve">on behalf of the Commission </w:t>
      </w:r>
      <w:r w:rsidRPr="00F540BD">
        <w:t>pursuant to Commission rules or direction</w:t>
      </w:r>
      <w:r w:rsidRPr="00A55B3E">
        <w:t>, or the Governance Authority.</w:t>
      </w:r>
      <w:r>
        <w:rPr>
          <w:rStyle w:val="FootnoteReference"/>
        </w:rPr>
        <w:footnoteReference w:id="72"/>
      </w:r>
      <w:r w:rsidRPr="00A55B3E">
        <w:t xml:space="preserve">  We believe that such agents or designated</w:t>
      </w:r>
      <w:r w:rsidRPr="00A55B3E">
        <w:t xml:space="preserve"> </w:t>
      </w:r>
      <w:r w:rsidRPr="00A55B3E">
        <w:t>entities include, at a minimum, the industry traceback consortium and</w:t>
      </w:r>
      <w:r>
        <w:t xml:space="preserve"> the</w:t>
      </w:r>
      <w:r w:rsidRPr="00A55B3E">
        <w:t xml:space="preserve"> North American Numbering Plan Administrator (NANPA), as both of these entities, as well as the Governance Authority, serve important roles in the robocall mitigation ecosystem.</w:t>
      </w:r>
      <w:r>
        <w:rPr>
          <w:rStyle w:val="FootnoteReference"/>
        </w:rPr>
        <w:footnoteReference w:id="73"/>
      </w:r>
      <w:r w:rsidRPr="00A55B3E">
        <w:t xml:space="preserve">  We seek comment on this proposal.  Should we include any other entities?</w:t>
      </w:r>
    </w:p>
    <w:p w:rsidR="005919ED" w:rsidRPr="00A55B3E" w:rsidP="005919ED" w14:paraId="6FFEBB03" w14:textId="77777777">
      <w:pPr>
        <w:pStyle w:val="ParaNum"/>
      </w:pPr>
      <w:r w:rsidRPr="00A55B3E">
        <w:rPr>
          <w:i/>
          <w:iCs/>
        </w:rPr>
        <w:t>Certification of compliance with illegal call rules.</w:t>
      </w:r>
      <w:r w:rsidRPr="00A55B3E">
        <w:t xml:space="preserve">  We propose to require that providers certify that they are in compliance with all applicable Commission rules pertaining to robocalls and other illegal calls, including all those in Subparts L, P, and HH of Part 64 and </w:t>
      </w:r>
      <w:r>
        <w:t xml:space="preserve">those in </w:t>
      </w:r>
      <w:r w:rsidRPr="00A55B3E">
        <w:t>Part 52.</w:t>
      </w:r>
      <w:r>
        <w:rPr>
          <w:rStyle w:val="FootnoteReference"/>
        </w:rPr>
        <w:footnoteReference w:id="74"/>
      </w:r>
      <w:r w:rsidRPr="00A55B3E">
        <w:t xml:space="preserve">  We believe that these certification obligations would give the Commission a clear and direct basis to remove providers from the RMD for submitting invalid certifications when they violate any Commission rule related to illegal calls and numbering administration.</w:t>
      </w:r>
      <w:r>
        <w:rPr>
          <w:rStyle w:val="FootnoteReference"/>
        </w:rPr>
        <w:footnoteReference w:id="75"/>
      </w:r>
      <w:r w:rsidRPr="00A55B3E">
        <w:t xml:space="preserve">  We seek comment on this proposal.  Should we require providers to certify</w:t>
      </w:r>
      <w:r w:rsidRPr="00A55B3E">
        <w:t xml:space="preserve"> </w:t>
      </w:r>
      <w:r>
        <w:t>their</w:t>
      </w:r>
      <w:r w:rsidRPr="00A55B3E">
        <w:t xml:space="preserve"> compliance with other applicable Commission rules?</w:t>
      </w:r>
    </w:p>
    <w:p w:rsidR="005919ED" w:rsidRPr="00A55B3E" w:rsidP="005919ED" w14:paraId="1A595BB3" w14:textId="77777777">
      <w:pPr>
        <w:pStyle w:val="ParaNum"/>
      </w:pPr>
      <w:r w:rsidRPr="00A55B3E">
        <w:rPr>
          <w:i/>
        </w:rPr>
        <w:t xml:space="preserve">Traceback commitments and cooperation </w:t>
      </w:r>
      <w:r>
        <w:rPr>
          <w:i/>
        </w:rPr>
        <w:t>with investigations</w:t>
      </w:r>
      <w:r w:rsidRPr="00A55B3E">
        <w:rPr>
          <w:i/>
        </w:rPr>
        <w:t>.</w:t>
      </w:r>
      <w:r w:rsidRPr="00A55B3E">
        <w:t xml:space="preserve">  We propose to simplify providers’ commitments related to responding to traceback requests and cooperation with investigating and stopping illegal calls to make it more administrable.  Under our existing rules, providers are required to:  (1) include in their robocall mitigation programs a “</w:t>
      </w:r>
      <w:r w:rsidRPr="00A55B3E">
        <w:rPr>
          <w:i/>
        </w:rPr>
        <w:t>commitment</w:t>
      </w:r>
      <w:r w:rsidRPr="00A55B3E">
        <w:t xml:space="preserve"> to respond within 24 hours to all traceback requests from the Commission, law enforcement, and the industry traceback consortium, and to cooperate with such entities in investigating and stopping any illegal robocallers that use its service</w:t>
      </w:r>
      <w:r>
        <w:t>”</w:t>
      </w:r>
      <w:r w:rsidRPr="00A55B3E">
        <w:t xml:space="preserve"> to originate</w:t>
      </w:r>
      <w:r>
        <w:t>, carry, or process</w:t>
      </w:r>
      <w:r w:rsidRPr="00A55B3E">
        <w:t xml:space="preserve"> calls;</w:t>
      </w:r>
      <w:r>
        <w:rPr>
          <w:rStyle w:val="FootnoteReference"/>
        </w:rPr>
        <w:footnoteReference w:id="76"/>
      </w:r>
      <w:r w:rsidRPr="00A55B3E">
        <w:t xml:space="preserve"> and (2) include in their RMD filing a </w:t>
      </w:r>
      <w:r w:rsidRPr="00A55B3E">
        <w:rPr>
          <w:i/>
        </w:rPr>
        <w:t>statement</w:t>
      </w:r>
      <w:r w:rsidRPr="00A55B3E">
        <w:t xml:space="preserve"> of that commitment.</w:t>
      </w:r>
      <w:r>
        <w:rPr>
          <w:rStyle w:val="FootnoteReference"/>
        </w:rPr>
        <w:footnoteReference w:id="77"/>
      </w:r>
      <w:r w:rsidRPr="00A55B3E">
        <w:t xml:space="preserve">  We propose to simplify these requirements and strengthen the cooperation obligation by establishing one requirement that providers certify on the RMD submission form that they commit to respond within 24 hours to all traceback requests from the Commission, law enforcement, and the industry traceback consortium and another requirement that they certify to cooperate with the Commission, law enforcement, and the industry traceback consortium in investigating and stopping their network or services from being used to transmit illegal calls.  We seek </w:t>
      </w:r>
      <w:r w:rsidRPr="00A55B3E">
        <w:t>comment</w:t>
      </w:r>
      <w:r w:rsidRPr="00A55B3E">
        <w:t xml:space="preserve"> on this proposal.</w:t>
      </w:r>
    </w:p>
    <w:p w:rsidR="005919ED" w:rsidRPr="00A55B3E" w:rsidP="005919ED" w14:paraId="711FB45F" w14:textId="77777777">
      <w:pPr>
        <w:pStyle w:val="ParaNum"/>
      </w:pPr>
      <w:r w:rsidRPr="00A55B3E">
        <w:t>We also seek comment on whether we should require providers to participate in the automated traceback response process established by the currently designated industry traceback consortium—the Industry Traceback Group (ITG)—</w:t>
      </w:r>
      <w:r w:rsidRPr="00A55B3E">
        <w:t>in order to</w:t>
      </w:r>
      <w:r w:rsidRPr="00A55B3E">
        <w:t xml:space="preserve"> be listed in the RMD.</w:t>
      </w:r>
      <w:r w:rsidRPr="00A55B3E">
        <w:t xml:space="preserve"> </w:t>
      </w:r>
      <w:r w:rsidRPr="00A55B3E">
        <w:t xml:space="preserve"> Our understanding is that </w:t>
      </w:r>
      <w:r w:rsidRPr="00A55B3E">
        <w:t>the ITG</w:t>
      </w:r>
      <w:r w:rsidRPr="00A55B3E">
        <w:t xml:space="preserve"> uses different methods to perform tracebacks, one of which involves using a secure platform to automate provider responses and incident reporting.</w:t>
      </w:r>
      <w:r>
        <w:rPr>
          <w:rStyle w:val="FootnoteReference"/>
        </w:rPr>
        <w:footnoteReference w:id="78"/>
      </w:r>
      <w:r w:rsidRPr="00A55B3E">
        <w:t xml:space="preserve">  As we understand it, this automated process expedites tracebacks and thereby enables the ITG to identify the source of suspected illegal calls more quickly.  Given that bad actors </w:t>
      </w:r>
      <w:r w:rsidRPr="00A55B3E">
        <w:t>are able to</w:t>
      </w:r>
      <w:r w:rsidRPr="00A55B3E">
        <w:t xml:space="preserve"> generate a significant number of illegal calls in a short timeframe,</w:t>
      </w:r>
      <w:r>
        <w:rPr>
          <w:rStyle w:val="FootnoteReference"/>
        </w:rPr>
        <w:footnoteReference w:id="79"/>
      </w:r>
      <w:r w:rsidRPr="00A55B3E">
        <w:t xml:space="preserve"> which can result in substantial harm to consumers, we believe it is important that tracebacks be completed quickly so that illegal calls can be stopped as soon as possible.  We seek </w:t>
      </w:r>
      <w:r w:rsidRPr="00A55B3E">
        <w:t>comment</w:t>
      </w:r>
      <w:r w:rsidRPr="00A55B3E">
        <w:t xml:space="preserve"> on the feasibility and costs of requiring all providers to participate in the automated traceback response process as a condition of being listed in the RMD, as well as any other benefits or drawbacks of such a requirement, including resource constraints for </w:t>
      </w:r>
      <w:r w:rsidRPr="00A55B3E">
        <w:t>the ITG</w:t>
      </w:r>
      <w:r w:rsidRPr="00A55B3E">
        <w:t>.  As an alternative, should we simply require that providers participate in the automated traceback response process directly, rather than requiring them to participate in the process as a condition of being listed in the RMD?</w:t>
      </w:r>
      <w:r>
        <w:rPr>
          <w:rStyle w:val="FootnoteReference"/>
        </w:rPr>
        <w:footnoteReference w:id="80"/>
      </w:r>
    </w:p>
    <w:p w:rsidR="005919ED" w:rsidRPr="00A55B3E" w:rsidP="005919ED" w14:paraId="68579240" w14:textId="77777777">
      <w:pPr>
        <w:pStyle w:val="Heading4"/>
      </w:pPr>
      <w:r w:rsidRPr="00A55B3E">
        <w:t xml:space="preserve">Robocall Mitigation Information </w:t>
      </w:r>
    </w:p>
    <w:p w:rsidR="005919ED" w:rsidRPr="00A55B3E" w:rsidP="005919ED" w14:paraId="02929744" w14:textId="77777777">
      <w:pPr>
        <w:pStyle w:val="ParaNum"/>
      </w:pPr>
      <w:r w:rsidRPr="00A55B3E">
        <w:t>We propose and seek comment on measures to enhance robocall mitigation information requirements, including strengthening the obligations for providers claiming STIR/SHAKEN implementation exemptions, adopting a temporary exemption for providers in the process of obtaining an SPC token, clarifying requirements related to prior enforcement actions or investigations</w:t>
      </w:r>
      <w:r>
        <w:t xml:space="preserve">, and </w:t>
      </w:r>
      <w:r w:rsidRPr="00A55B3E">
        <w:t>requir</w:t>
      </w:r>
      <w:r>
        <w:t>ing</w:t>
      </w:r>
      <w:r w:rsidRPr="00A55B3E">
        <w:t xml:space="preserve"> providers to submit additional information regarding their use of third parties.</w:t>
      </w:r>
    </w:p>
    <w:p w:rsidR="005919ED" w:rsidRPr="00A55B3E" w:rsidP="005919ED" w14:paraId="4CC1C266" w14:textId="77777777">
      <w:pPr>
        <w:pStyle w:val="ParaNum"/>
      </w:pPr>
      <w:r w:rsidRPr="00A55B3E">
        <w:rPr>
          <w:i/>
        </w:rPr>
        <w:t>Strengthening the requirement for claiming STIR/SHAKEN implementation exemptions.</w:t>
      </w:r>
      <w:r w:rsidRPr="00A55B3E">
        <w:t xml:space="preserve">  We propose to strengthen the requirement that providers identify and explain the basis for claiming a STIR/SHAKEN implementation exemption,</w:t>
      </w:r>
      <w:r>
        <w:rPr>
          <w:rStyle w:val="FootnoteReference"/>
        </w:rPr>
        <w:footnoteReference w:id="81"/>
      </w:r>
      <w:r w:rsidRPr="00A55B3E">
        <w:t xml:space="preserve"> building upon the streamlined rules proposed in the </w:t>
      </w:r>
      <w:r w:rsidRPr="00A55B3E">
        <w:rPr>
          <w:i/>
        </w:rPr>
        <w:t>KYUP FNPRM</w:t>
      </w:r>
      <w:r w:rsidRPr="00A55B3E">
        <w:t>.</w:t>
      </w:r>
      <w:r>
        <w:rPr>
          <w:rStyle w:val="FootnoteReference"/>
        </w:rPr>
        <w:footnoteReference w:id="82"/>
      </w:r>
      <w:r w:rsidRPr="00A55B3E">
        <w:t xml:space="preserve">  When a provider files in the RMD, it must provide a certification regarding its STIR/SHAKEN implementation status.</w:t>
      </w:r>
      <w:r>
        <w:rPr>
          <w:rStyle w:val="FootnoteReference"/>
        </w:rPr>
        <w:footnoteReference w:id="83"/>
      </w:r>
      <w:r w:rsidRPr="00A55B3E">
        <w:t xml:space="preserve">  If a voice service provider certifies to less than full STIR/SHAKEN implementation, it must identify the exemption it is claiming and the basis for the exemption.</w:t>
      </w:r>
      <w:r>
        <w:rPr>
          <w:rStyle w:val="FootnoteReference"/>
        </w:rPr>
        <w:footnoteReference w:id="84"/>
      </w:r>
      <w:r w:rsidRPr="00A55B3E">
        <w:t xml:space="preserve">  </w:t>
      </w:r>
    </w:p>
    <w:p w:rsidR="005919ED" w:rsidRPr="00A55B3E" w:rsidP="005919ED" w14:paraId="404BB3D3" w14:textId="77777777">
      <w:pPr>
        <w:pStyle w:val="ParaNum"/>
      </w:pPr>
      <w:r w:rsidRPr="00A55B3E">
        <w:t>Currently, providers may be exempt from implementing STIR/SHAKEN pursuant to four implementation exemptions.  First, because STIR/SHAKEN only works on IP-based voice networks, the TRACED Act grants an ongoing implementation extension for providers’ non-IP networks.</w:t>
      </w:r>
      <w:r>
        <w:rPr>
          <w:rStyle w:val="FootnoteReference"/>
        </w:rPr>
        <w:footnoteReference w:id="85"/>
      </w:r>
      <w:r w:rsidRPr="00A55B3E">
        <w:t xml:space="preserve">  Second, pursuant to the TRACED Act, the Commission granted and has maintained an ongoing undue hardship extension for providers that cannot obtain the SPC token required to implement STIR/SHAKEN due to the Governance Authority’s policy requirements,</w:t>
      </w:r>
      <w:r>
        <w:rPr>
          <w:rStyle w:val="FootnoteReference"/>
        </w:rPr>
        <w:footnoteReference w:id="86"/>
      </w:r>
      <w:r w:rsidRPr="00A55B3E">
        <w:t xml:space="preserve"> which the Commission proposed to repeal in the </w:t>
      </w:r>
      <w:r w:rsidRPr="00A55B3E">
        <w:rPr>
          <w:i/>
        </w:rPr>
        <w:t>KYUP FNPRM</w:t>
      </w:r>
      <w:r w:rsidRPr="00A55B3E">
        <w:t>.</w:t>
      </w:r>
      <w:r>
        <w:rPr>
          <w:rStyle w:val="FootnoteReference"/>
        </w:rPr>
        <w:footnoteReference w:id="87"/>
      </w:r>
      <w:r w:rsidRPr="00A55B3E">
        <w:t xml:space="preserve">  Third, the Commission adopted another ongoing undue hardship extension in 2023 for small voice service providers that originate calls via satellite using U.S. NANP numbers,</w:t>
      </w:r>
      <w:r>
        <w:rPr>
          <w:rStyle w:val="FootnoteReference"/>
        </w:rPr>
        <w:footnoteReference w:id="88"/>
      </w:r>
      <w:r w:rsidRPr="00A55B3E">
        <w:t xml:space="preserve"> which the Commission sought comment on repealing in the </w:t>
      </w:r>
      <w:r w:rsidRPr="00A55B3E">
        <w:rPr>
          <w:i/>
        </w:rPr>
        <w:t>KYUP FNPRM</w:t>
      </w:r>
      <w:r w:rsidRPr="00A55B3E">
        <w:t>.</w:t>
      </w:r>
      <w:r>
        <w:rPr>
          <w:rStyle w:val="FootnoteReference"/>
        </w:rPr>
        <w:footnoteReference w:id="89"/>
      </w:r>
      <w:r w:rsidRPr="00A55B3E">
        <w:t xml:space="preserve">  Fourth, providers that lack control over the network infrastructure necessary to implement STIR/SHAKEN are exempt from implementing STIR/SHAKEN,</w:t>
      </w:r>
      <w:r>
        <w:rPr>
          <w:rStyle w:val="FootnoteReference"/>
        </w:rPr>
        <w:footnoteReference w:id="90"/>
      </w:r>
      <w:r w:rsidRPr="00A55B3E">
        <w:t xml:space="preserve"> which the Commission proposed to codify and rename as the “non-facilities-based provider exemption” in the </w:t>
      </w:r>
      <w:r w:rsidRPr="00A55B3E">
        <w:rPr>
          <w:i/>
        </w:rPr>
        <w:t>KYUP FNPRM</w:t>
      </w:r>
      <w:r w:rsidRPr="00A55B3E">
        <w:t>.</w:t>
      </w:r>
      <w:r>
        <w:rPr>
          <w:rStyle w:val="FootnoteReference"/>
        </w:rPr>
        <w:footnoteReference w:id="91"/>
      </w:r>
      <w:r w:rsidRPr="00A55B3E">
        <w:t xml:space="preserve">  </w:t>
      </w:r>
    </w:p>
    <w:p w:rsidR="005919ED" w:rsidRPr="00A55B3E" w:rsidP="005919ED" w14:paraId="333E7E4B" w14:textId="77777777">
      <w:pPr>
        <w:pStyle w:val="ParaNum"/>
      </w:pPr>
      <w:r w:rsidRPr="00A55B3E">
        <w:t>For providers to fulfill the obligation to identify any exemptions</w:t>
      </w:r>
      <w:r w:rsidRPr="00A55B3E">
        <w:t xml:space="preserve"> </w:t>
      </w:r>
      <w:r>
        <w:t>they are</w:t>
      </w:r>
      <w:r w:rsidRPr="00A55B3E">
        <w:t xml:space="preserve"> claiming and </w:t>
      </w:r>
      <w:r>
        <w:t xml:space="preserve">explain </w:t>
      </w:r>
      <w:r w:rsidRPr="00A55B3E">
        <w:t>the basis for the exemption, the Commission has stated that they “must both explicitly state the rule that exempts it from compliance and explain in detail why that exemption applies.”</w:t>
      </w:r>
      <w:r>
        <w:rPr>
          <w:rStyle w:val="FootnoteReference"/>
        </w:rPr>
        <w:footnoteReference w:id="92"/>
      </w:r>
      <w:r w:rsidRPr="00A55B3E">
        <w:t xml:space="preserve">  However, Commission staff have observed, based on a preliminary review, that some RMD filings fail to identify a valid exemption and/or fail to adequately explain why an exemption applies.  For example, some providers assert that an exemption applies because they are small providers or do not have access to numbering resources, neither of which are valid bases for claiming an exemption.</w:t>
      </w:r>
      <w:r>
        <w:rPr>
          <w:rStyle w:val="FootnoteReference"/>
        </w:rPr>
        <w:footnoteReference w:id="93"/>
      </w:r>
      <w:r w:rsidRPr="00A55B3E">
        <w:t xml:space="preserve">  Other providers simply state that they do not have an SPC token or that their downstream providers perform the STIR/SHAKEN authentication on their behalf, which also do not qualify as valid bases for claiming an exemption.</w:t>
      </w:r>
    </w:p>
    <w:p w:rsidR="005919ED" w:rsidRPr="00A55B3E" w:rsidP="005919ED" w14:paraId="7F7FD883" w14:textId="77777777">
      <w:pPr>
        <w:pStyle w:val="ParaNum"/>
      </w:pPr>
      <w:r w:rsidRPr="00A55B3E">
        <w:t xml:space="preserve">To help address these </w:t>
      </w:r>
      <w:r w:rsidRPr="00A55B3E">
        <w:t>issues, and</w:t>
      </w:r>
      <w:r w:rsidRPr="00A55B3E">
        <w:t xml:space="preserve"> given our proposal in the </w:t>
      </w:r>
      <w:r w:rsidRPr="00A55B3E">
        <w:rPr>
          <w:i/>
        </w:rPr>
        <w:t>KYUP FNPRM</w:t>
      </w:r>
      <w:r w:rsidRPr="00A55B3E">
        <w:t xml:space="preserve"> to codify all valid exemptions, we now propose </w:t>
      </w:r>
      <w:r w:rsidRPr="00A55B3E">
        <w:t xml:space="preserve">to </w:t>
      </w:r>
      <w:r w:rsidRPr="00A55B3E">
        <w:t>strengthen</w:t>
      </w:r>
      <w:r w:rsidRPr="00A55B3E">
        <w:t xml:space="preserve"> the requirements for claiming an exemption.  First, we propose to codify the requirement that a provider claiming an exemption cite the specific rule for the exemption.</w:t>
      </w:r>
      <w:r>
        <w:rPr>
          <w:rStyle w:val="FootnoteReference"/>
        </w:rPr>
        <w:footnoteReference w:id="94"/>
      </w:r>
      <w:r w:rsidRPr="00A55B3E">
        <w:t xml:space="preserve">  Second, we propose to codify the requirement that a provider “explain in detail why [an] exemption applies,” and expand it to require that the provider include the facts specific to its network and services that are relevant to the scope of the exemption(s) and any steps it has taken to confirm that it cannot implement STIR/SHAKEN, or indicate that it is a foreign voice service provider not subject to STIR/SHAKEN implementation.</w:t>
      </w:r>
      <w:r>
        <w:rPr>
          <w:rStyle w:val="FootnoteReference"/>
        </w:rPr>
        <w:footnoteReference w:id="95"/>
      </w:r>
      <w:r w:rsidRPr="00A55B3E">
        <w:t xml:space="preserve">  We seek comment on this proposal and on what specific information providers should be required to supply to ensure they demonstrate that an exemption applies.</w:t>
      </w:r>
    </w:p>
    <w:p w:rsidR="005919ED" w:rsidRPr="00A55B3E" w:rsidP="005919ED" w14:paraId="66A20E8D" w14:textId="77777777">
      <w:pPr>
        <w:pStyle w:val="ParaNum"/>
      </w:pPr>
      <w:r w:rsidRPr="274CC7CA">
        <w:rPr>
          <w:i/>
        </w:rPr>
        <w:t>Temporary exemption for providers in the process of obtaining an SPC token.</w:t>
      </w:r>
      <w:r w:rsidRPr="00A55B3E">
        <w:rPr>
          <w:szCs w:val="22"/>
        </w:rPr>
        <w:t xml:space="preserve">  </w:t>
      </w:r>
      <w:r w:rsidRPr="00A55B3E">
        <w:t xml:space="preserve">We propose </w:t>
      </w:r>
      <w:r w:rsidRPr="00A55B3E">
        <w:t>to adopt</w:t>
      </w:r>
      <w:r w:rsidRPr="00A55B3E">
        <w:t xml:space="preserve"> a new temporary exemption for providers that are in the process of obtaining an SPC token </w:t>
      </w:r>
      <w:r w:rsidRPr="274CC7CA">
        <w:t xml:space="preserve">to ensure that providers can comply with </w:t>
      </w:r>
      <w:r w:rsidRPr="00A55B3E">
        <w:t>our STIR/SHAKEN implementation certification requirement</w:t>
      </w:r>
      <w:r>
        <w:rPr>
          <w:rStyle w:val="FootnoteReference"/>
        </w:rPr>
        <w:footnoteReference w:id="96"/>
      </w:r>
      <w:r w:rsidRPr="00A55B3E">
        <w:t xml:space="preserve"> and the Governance Authority’s existing token access policy.  To implement STIR/SHAKEN, our rules require providers with a STIR/SHAKEN implementation obligation to obtain an SPC token,</w:t>
      </w:r>
      <w:r>
        <w:rPr>
          <w:rStyle w:val="FootnoteReference"/>
        </w:rPr>
        <w:footnoteReference w:id="97"/>
      </w:r>
      <w:r w:rsidRPr="00A55B3E">
        <w:t xml:space="preserve"> and the Commission has stated that providers are prohibited from certifying to complete or partial STIR/SHAKEN implementation in the </w:t>
      </w:r>
      <w:r w:rsidRPr="274CC7CA">
        <w:t>RMD</w:t>
      </w:r>
      <w:r w:rsidRPr="00A55B3E">
        <w:t xml:space="preserve"> unless they have obtained an SPC token.</w:t>
      </w:r>
      <w:r>
        <w:rPr>
          <w:rStyle w:val="FootnoteReference"/>
        </w:rPr>
        <w:footnoteReference w:id="98"/>
      </w:r>
      <w:r w:rsidRPr="00A55B3E">
        <w:t xml:space="preserve">  At th</w:t>
      </w:r>
      <w:r w:rsidRPr="274CC7CA">
        <w:t>e same time, the Governance Authority’s SPC token access policy currently requires, in relevant part, that providers “</w:t>
      </w:r>
      <w:r>
        <w:t>[</w:t>
      </w:r>
      <w:r w:rsidRPr="00A55B3E">
        <w:t>h</w:t>
      </w:r>
      <w:r>
        <w:t>]</w:t>
      </w:r>
      <w:r w:rsidRPr="00A55B3E">
        <w:t xml:space="preserve">ave certified with the </w:t>
      </w:r>
      <w:r>
        <w:t>[</w:t>
      </w:r>
      <w:r w:rsidRPr="00A55B3E">
        <w:t>Commission</w:t>
      </w:r>
      <w:r>
        <w:t>]</w:t>
      </w:r>
      <w:r w:rsidRPr="00A55B3E">
        <w:t xml:space="preserve"> that they have implemented STIR/SHAKEN or comply with the </w:t>
      </w:r>
      <w:r>
        <w:t>[</w:t>
      </w:r>
      <w:r w:rsidRPr="00A55B3E">
        <w:t>Commission’s robocall mitigation program</w:t>
      </w:r>
      <w:r>
        <w:t>]</w:t>
      </w:r>
      <w:r w:rsidRPr="00A55B3E">
        <w:t xml:space="preserve"> requirements and are listed in the </w:t>
      </w:r>
      <w:r>
        <w:t>[</w:t>
      </w:r>
      <w:r w:rsidRPr="00A55B3E">
        <w:t>RMD</w:t>
      </w:r>
      <w:r>
        <w:t>]</w:t>
      </w:r>
      <w:r w:rsidRPr="00A55B3E">
        <w:t>.”</w:t>
      </w:r>
      <w:r>
        <w:rPr>
          <w:rStyle w:val="FootnoteReference"/>
        </w:rPr>
        <w:footnoteReference w:id="99"/>
      </w:r>
      <w:r w:rsidRPr="00A55B3E">
        <w:t xml:space="preserve">  Thus, newly established providers are not able to comply with our certification requirement and the Governance Authority’s token access policy when they are in the process of obtaining an SPC token</w:t>
      </w:r>
      <w:r w:rsidRPr="00A55B3E">
        <w:rPr>
          <w:szCs w:val="22"/>
        </w:rPr>
        <w:t>.</w:t>
      </w:r>
    </w:p>
    <w:p w:rsidR="005919ED" w:rsidRPr="007F14A1" w:rsidP="005919ED" w14:paraId="721525E4" w14:textId="77777777">
      <w:pPr>
        <w:pStyle w:val="ParaNum"/>
      </w:pPr>
      <w:r w:rsidRPr="007F14A1">
        <w:rPr>
          <w:szCs w:val="22"/>
        </w:rPr>
        <w:t xml:space="preserve">To allow providers to accurately complete their STIR/SHAKEN implementation certification in the RMD and to resolve the conflict between our rules and </w:t>
      </w:r>
      <w:r>
        <w:rPr>
          <w:szCs w:val="22"/>
        </w:rPr>
        <w:t xml:space="preserve">the </w:t>
      </w:r>
      <w:r w:rsidRPr="007F14A1">
        <w:rPr>
          <w:szCs w:val="22"/>
        </w:rPr>
        <w:t xml:space="preserve">Governance Authority’s policy, </w:t>
      </w:r>
      <w:r w:rsidRPr="00A55B3E">
        <w:t xml:space="preserve">we propose </w:t>
      </w:r>
      <w:r w:rsidRPr="00A55B3E">
        <w:t>to adopt</w:t>
      </w:r>
      <w:r w:rsidRPr="00A55B3E">
        <w:t xml:space="preserve"> </w:t>
      </w:r>
      <w:r w:rsidRPr="007F14A1">
        <w:rPr>
          <w:szCs w:val="22"/>
        </w:rPr>
        <w:t xml:space="preserve">a temporary exemption for providers that are in the process of obtaining an SPC token to implement STIR/SHAKEN.  We propose to require providers claiming this temporary exemption to follow the strengthened requirements for claiming an exemption that we propose above, including providing a description of the steps they have taken to obtain an SPC token.  We also propose to require that, at the time that such providers claim this exemption on the RMD submission form, they provide their OCN.  This would be a mandatory requirement for providers to be able to claim </w:t>
      </w:r>
      <w:r w:rsidRPr="007F14A1">
        <w:rPr>
          <w:szCs w:val="22"/>
        </w:rPr>
        <w:t>the temporary</w:t>
      </w:r>
      <w:r w:rsidRPr="007F14A1">
        <w:rPr>
          <w:szCs w:val="22"/>
        </w:rPr>
        <w:t xml:space="preserve"> exemption, while they are in the process of obtaining an SPC token.  Currently, providers are required to provide an OCN on the RMD submission form if they have one,</w:t>
      </w:r>
      <w:r>
        <w:rPr>
          <w:rStyle w:val="FootnoteReference"/>
          <w:szCs w:val="22"/>
        </w:rPr>
        <w:footnoteReference w:id="100"/>
      </w:r>
      <w:r w:rsidRPr="007F14A1">
        <w:rPr>
          <w:szCs w:val="22"/>
        </w:rPr>
        <w:t xml:space="preserve"> but having an OCN is a prerequisite to obtaining an SPC token,</w:t>
      </w:r>
      <w:r>
        <w:rPr>
          <w:rStyle w:val="FootnoteReference"/>
          <w:szCs w:val="22"/>
        </w:rPr>
        <w:footnoteReference w:id="101"/>
      </w:r>
      <w:r w:rsidRPr="007F14A1">
        <w:rPr>
          <w:szCs w:val="22"/>
        </w:rPr>
        <w:t xml:space="preserve"> and we believe requiring providers to provide an OCN at the time they claim the temporary exemption will demonstrate that the provider is in fact pursuing an SPC token in good faith.  We seek </w:t>
      </w:r>
      <w:r w:rsidRPr="007F14A1">
        <w:rPr>
          <w:szCs w:val="22"/>
        </w:rPr>
        <w:t>comment</w:t>
      </w:r>
      <w:r w:rsidRPr="007F14A1">
        <w:rPr>
          <w:szCs w:val="22"/>
        </w:rPr>
        <w:t xml:space="preserve"> on these proposals.</w:t>
      </w:r>
      <w:r w:rsidRPr="007F14A1">
        <w:rPr>
          <w:szCs w:val="22"/>
        </w:rPr>
        <w:t xml:space="preserve">  </w:t>
      </w:r>
      <w:r w:rsidRPr="007F14A1">
        <w:rPr>
          <w:szCs w:val="22"/>
        </w:rPr>
        <w:t>Should we require providers to submit any additional information regarding their registration status, and if so, what?  When providers become authorized to obtain an SPC token and update their filing to indicate their implementation of STIR/SHAKEN, should we require them to insert the date they received the SPC token authorization or any related information?</w:t>
      </w:r>
    </w:p>
    <w:p w:rsidR="005919ED" w:rsidRPr="000B5000" w:rsidP="005919ED" w14:paraId="305B8088" w14:textId="77777777">
      <w:pPr>
        <w:pStyle w:val="ParaNum"/>
      </w:pPr>
      <w:r w:rsidRPr="007F14A1">
        <w:rPr>
          <w:szCs w:val="22"/>
        </w:rPr>
        <w:t xml:space="preserve">We also propose </w:t>
      </w:r>
      <w:r w:rsidRPr="007F14A1">
        <w:rPr>
          <w:szCs w:val="22"/>
        </w:rPr>
        <w:t>to establish</w:t>
      </w:r>
      <w:r w:rsidRPr="007F14A1">
        <w:rPr>
          <w:szCs w:val="22"/>
        </w:rPr>
        <w:t xml:space="preserve"> measures to ensure use of the exemption remains temporary and seek comment on how best to do so.  For instance, should we set </w:t>
      </w:r>
      <w:r>
        <w:rPr>
          <w:szCs w:val="22"/>
        </w:rPr>
        <w:t>a</w:t>
      </w:r>
      <w:r w:rsidRPr="007F14A1">
        <w:rPr>
          <w:szCs w:val="22"/>
        </w:rPr>
        <w:t xml:space="preserve"> specific number of days after which a filing claiming the exemption will be suspended or removed from the RMD</w:t>
      </w:r>
      <w:r>
        <w:rPr>
          <w:rStyle w:val="FootnoteReference"/>
          <w:szCs w:val="22"/>
        </w:rPr>
        <w:footnoteReference w:id="102"/>
      </w:r>
      <w:r w:rsidRPr="007F14A1">
        <w:rPr>
          <w:szCs w:val="22"/>
        </w:rPr>
        <w:t xml:space="preserve"> if the provider has not updated the filing to remove the exemption and indicate that it has implemented STIR/SHAKEN?</w:t>
      </w:r>
      <w:r>
        <w:rPr>
          <w:rStyle w:val="FootnoteReference"/>
        </w:rPr>
        <w:footnoteReference w:id="103"/>
      </w:r>
      <w:r w:rsidRPr="007F14A1">
        <w:rPr>
          <w:szCs w:val="22"/>
        </w:rPr>
        <w:t xml:space="preserve">  If so, how many days is sufficient to ensure that providers have sufficient opportunity to obtain an SPC token and update their STIR/SHAKEN implementation status in the RMD?  Should such suspensions or removals occur automatically or be processed manually by Commission staff?</w:t>
      </w:r>
    </w:p>
    <w:p w:rsidR="005919ED" w:rsidRPr="00922E68" w:rsidP="005919ED" w14:paraId="415EC00A" w14:textId="77777777">
      <w:pPr>
        <w:pStyle w:val="ParaNum"/>
      </w:pPr>
      <w:r w:rsidRPr="00A55B3E">
        <w:rPr>
          <w:i/>
          <w:szCs w:val="22"/>
        </w:rPr>
        <w:t>Harmonizing the prior action or investigation requirements.</w:t>
      </w:r>
      <w:r w:rsidRPr="00A55B3E">
        <w:rPr>
          <w:szCs w:val="22"/>
        </w:rPr>
        <w:t xml:space="preserve">  We propose to harmonize two provisions related to prior enforcement actions or investigations.  </w:t>
      </w:r>
      <w:r w:rsidRPr="00A55B3E">
        <w:t xml:space="preserve">Under our current rules, voice service providers must </w:t>
      </w:r>
      <w:r w:rsidRPr="00A55B3E">
        <w:rPr>
          <w:szCs w:val="22"/>
        </w:rPr>
        <w:t>certify “that any prior certification has not been removed by Commission action” and that they have “not been prohibited from filing in the Robocall Mitigation Database by the Commission.”</w:t>
      </w:r>
      <w:r>
        <w:rPr>
          <w:rStyle w:val="FootnoteReference"/>
          <w:szCs w:val="22"/>
        </w:rPr>
        <w:footnoteReference w:id="104"/>
      </w:r>
      <w:r w:rsidRPr="00A55B3E">
        <w:rPr>
          <w:szCs w:val="22"/>
        </w:rPr>
        <w:t xml:space="preserve">  At the same time, voice service providers must state</w:t>
      </w:r>
      <w:r>
        <w:rPr>
          <w:szCs w:val="22"/>
        </w:rPr>
        <w:t>:</w:t>
      </w:r>
      <w:r w:rsidRPr="00A55B3E">
        <w:rPr>
          <w:szCs w:val="22"/>
        </w:rPr>
        <w:t xml:space="preserve"> </w:t>
      </w:r>
    </w:p>
    <w:p w:rsidR="005919ED" w:rsidP="005919ED" w14:paraId="6AFA2948" w14:textId="77777777">
      <w:pPr>
        <w:pStyle w:val="StyleBlockTextJustifiedLeft075Right075"/>
      </w:pPr>
      <w:r w:rsidRPr="00A55B3E">
        <w:t>whether, at any time in the prior two years, the filing entity (and/or any entity for which the filing entity shares common ownership, management, directors, or control) has been the subject of a formal Commission, law enforcement, or regulatory agency action or investigation with accompanying findings of actual or suspected wrongdoing due to the filing entity transmitting, encouraging, assisting, or otherwise facilitating illegal robocalls or spoofing, or a deficient Robocall Mitigation Database certification or mitigation program description.</w:t>
      </w:r>
      <w:r>
        <w:rPr>
          <w:rStyle w:val="FootnoteReference"/>
          <w:szCs w:val="22"/>
        </w:rPr>
        <w:footnoteReference w:id="105"/>
      </w:r>
      <w:r w:rsidRPr="00A55B3E">
        <w:t xml:space="preserve">  </w:t>
      </w:r>
    </w:p>
    <w:p w:rsidR="005919ED" w:rsidRPr="00A55B3E" w:rsidP="005919ED" w14:paraId="1A0E8D58" w14:textId="77777777">
      <w:pPr>
        <w:pStyle w:val="ParaNum"/>
        <w:numPr>
          <w:ilvl w:val="0"/>
          <w:numId w:val="0"/>
        </w:numPr>
      </w:pPr>
      <w:r w:rsidRPr="00A55B3E">
        <w:rPr>
          <w:szCs w:val="22"/>
        </w:rPr>
        <w:t>Thus, when a provider states that it has been the subject of a formal enforcement action or investigation in the prior two years, it can create an apparent contradiction with the requirement</w:t>
      </w:r>
      <w:r w:rsidRPr="00A55B3E">
        <w:t xml:space="preserve"> that the provider certify that “any prior certification has not been removed by Commission action.”</w:t>
      </w:r>
      <w:r>
        <w:rPr>
          <w:rStyle w:val="FootnoteReference"/>
        </w:rPr>
        <w:footnoteReference w:id="106"/>
      </w:r>
      <w:r w:rsidRPr="00A55B3E">
        <w:rPr>
          <w:szCs w:val="22"/>
        </w:rPr>
        <w:t xml:space="preserve"> </w:t>
      </w:r>
    </w:p>
    <w:p w:rsidR="005919ED" w:rsidRPr="00A55B3E" w:rsidP="005919ED" w14:paraId="3B5128E2" w14:textId="77777777">
      <w:pPr>
        <w:pStyle w:val="ParaNum"/>
      </w:pPr>
      <w:r w:rsidRPr="00A55B3E">
        <w:t xml:space="preserve">To address this contradiction, we propose to revise the first certification to simply require that a provider certify that it “is </w:t>
      </w:r>
      <w:r w:rsidRPr="00A55B3E">
        <w:rPr>
          <w:szCs w:val="22"/>
        </w:rPr>
        <w:t xml:space="preserve">not presently prohibited from filing in the Robocall Mitigation Database by the Commission.”  Because providers may be permitted by the Commission to file in the RMD after they have been removed by </w:t>
      </w:r>
      <w:r>
        <w:rPr>
          <w:szCs w:val="22"/>
        </w:rPr>
        <w:t xml:space="preserve">a </w:t>
      </w:r>
      <w:r w:rsidRPr="00A55B3E">
        <w:rPr>
          <w:szCs w:val="22"/>
        </w:rPr>
        <w:t xml:space="preserve">Commission action under certain circumstances, we think this revised certification will better capture our goal of deterring providers from refiling when they are not permitted to do so. </w:t>
      </w:r>
      <w:r w:rsidRPr="00A55B3E">
        <w:t xml:space="preserve"> </w:t>
      </w:r>
      <w:r w:rsidRPr="00A55B3E">
        <w:rPr>
          <w:szCs w:val="22"/>
        </w:rPr>
        <w:t xml:space="preserve">We seek </w:t>
      </w:r>
      <w:r w:rsidRPr="00A55B3E">
        <w:rPr>
          <w:szCs w:val="22"/>
        </w:rPr>
        <w:t>comment</w:t>
      </w:r>
      <w:r w:rsidRPr="00A55B3E">
        <w:rPr>
          <w:szCs w:val="22"/>
        </w:rPr>
        <w:t xml:space="preserve"> on this proposal.</w:t>
      </w:r>
    </w:p>
    <w:p w:rsidR="005919ED" w:rsidRPr="00A55B3E" w:rsidP="005919ED" w14:paraId="339A3D9E" w14:textId="77777777">
      <w:pPr>
        <w:pStyle w:val="ParaNum"/>
      </w:pPr>
      <w:r w:rsidRPr="00A55B3E">
        <w:rPr>
          <w:i/>
          <w:iCs/>
          <w:szCs w:val="22"/>
        </w:rPr>
        <w:t>Findings of wrongdoing statement.</w:t>
      </w:r>
      <w:r w:rsidRPr="00A55B3E">
        <w:rPr>
          <w:szCs w:val="22"/>
        </w:rPr>
        <w:t xml:space="preserve">  We also take this opportunity to invite </w:t>
      </w:r>
      <w:r w:rsidRPr="00A55B3E">
        <w:rPr>
          <w:szCs w:val="22"/>
        </w:rPr>
        <w:t>comment</w:t>
      </w:r>
      <w:r w:rsidRPr="00A55B3E">
        <w:rPr>
          <w:szCs w:val="22"/>
        </w:rPr>
        <w:t xml:space="preserve"> on whether, and to what extent, we should revise the language in the prior action or investigation statement requirement regarding the findings of wrongdoing.  The current language requires providers to state the “findings of actual or suspected wrongdoing due to the filing entity transmitting, encouraging, assisting, or otherwise facilitating illegal robocalls or spoofing, or a deficient Robocall Mitigation Database certification or mitigation program description.”</w:t>
      </w:r>
      <w:r>
        <w:rPr>
          <w:rStyle w:val="FootnoteReference"/>
        </w:rPr>
        <w:footnoteReference w:id="107"/>
      </w:r>
      <w:r w:rsidRPr="00A55B3E">
        <w:rPr>
          <w:szCs w:val="22"/>
        </w:rPr>
        <w:t xml:space="preserve">  Should we simplify and clarify the language by revising it to “due to the filing entity transmitting, or facilitating the transmittal, of illegal robocalls or spoofing </w:t>
      </w:r>
      <w:r w:rsidRPr="00A55B3E">
        <w:rPr>
          <w:szCs w:val="22"/>
        </w:rPr>
        <w:t>.</w:t>
      </w:r>
      <w:r>
        <w:rPr>
          <w:szCs w:val="22"/>
        </w:rPr>
        <w:t> </w:t>
      </w:r>
      <w:r w:rsidRPr="00A55B3E">
        <w:rPr>
          <w:szCs w:val="22"/>
        </w:rPr>
        <w:t>.</w:t>
      </w:r>
      <w:r>
        <w:rPr>
          <w:szCs w:val="22"/>
        </w:rPr>
        <w:t> </w:t>
      </w:r>
      <w:r w:rsidRPr="00A55B3E">
        <w:rPr>
          <w:szCs w:val="22"/>
        </w:rPr>
        <w:t>. .</w:t>
      </w:r>
      <w:r w:rsidRPr="00A55B3E">
        <w:rPr>
          <w:szCs w:val="22"/>
        </w:rPr>
        <w:t xml:space="preserve">”?  Should we revise the language to include all illegal calls and not just illegal robocalls to provide transparency regarding all relevant wrongdoing? </w:t>
      </w:r>
    </w:p>
    <w:p w:rsidR="005919ED" w:rsidRPr="00A55B3E" w:rsidP="005919ED" w14:paraId="3F3AB63B" w14:textId="77777777">
      <w:pPr>
        <w:pStyle w:val="ParaNum"/>
      </w:pPr>
      <w:r w:rsidRPr="00A55B3E">
        <w:rPr>
          <w:i/>
        </w:rPr>
        <w:t>Simplifying prior action and investigation description obligations.</w:t>
      </w:r>
      <w:r w:rsidRPr="00A55B3E">
        <w:t xml:space="preserve">  </w:t>
      </w:r>
      <w:r w:rsidRPr="00A55B3E">
        <w:rPr>
          <w:szCs w:val="22"/>
        </w:rPr>
        <w:t>Under our current rules, providers that state they have been subject to prior actions or investigations with accompanying findings of actual or suspected wrongdoing in the prior two years must provide a description of any such action or investigation.</w:t>
      </w:r>
      <w:r>
        <w:rPr>
          <w:rStyle w:val="FootnoteReference"/>
        </w:rPr>
        <w:footnoteReference w:id="108"/>
      </w:r>
      <w:r w:rsidRPr="00A55B3E">
        <w:rPr>
          <w:szCs w:val="22"/>
        </w:rPr>
        <w:t xml:space="preserve">  The description must include:  (1) “[a]ll law enforcement or regulatory agencies involved;” (2) “the date that any action or investigation was commenced;” (3) “the current status of the action or investigation;” (4) “a summary of the findings of wrongdoing made in connection with the action or investigation;” and (5) “whether any final determinations have been issued.”</w:t>
      </w:r>
      <w:r>
        <w:rPr>
          <w:rStyle w:val="FootnoteReference"/>
          <w:szCs w:val="22"/>
        </w:rPr>
        <w:footnoteReference w:id="109"/>
      </w:r>
      <w:r w:rsidRPr="00A55B3E">
        <w:rPr>
          <w:szCs w:val="22"/>
        </w:rPr>
        <w:t xml:space="preserve">  We believe that, as written, these required elements are unnecessarily cumbersome without a corresponding benefit.</w:t>
      </w:r>
      <w:r>
        <w:rPr>
          <w:rStyle w:val="FootnoteReference"/>
          <w:szCs w:val="22"/>
        </w:rPr>
        <w:footnoteReference w:id="110"/>
      </w:r>
      <w:r w:rsidRPr="00A55B3E">
        <w:rPr>
          <w:szCs w:val="22"/>
        </w:rPr>
        <w:t xml:space="preserve">  For instance, the date an action commenced may not be as relevant as the date that any findings of actual or suspected wrongdoing were issued, and if a document describing findings of wrongdoing is publicly available, the summary of such findings seems unnecessary.  Additionally, because ongoing investigations are dynamic, providers may have a continuous obligation to keep their filings updated with changes under our current rules.</w:t>
      </w:r>
    </w:p>
    <w:p w:rsidR="005919ED" w:rsidRPr="00A55B3E" w:rsidP="005919ED" w14:paraId="4A6DDB7C" w14:textId="77777777">
      <w:pPr>
        <w:pStyle w:val="ParaNum"/>
      </w:pPr>
      <w:r w:rsidRPr="00A55B3E">
        <w:rPr>
          <w:szCs w:val="22"/>
        </w:rPr>
        <w:t xml:space="preserve">Accordingly, we propose to simplify the prior action or investigation certification requirement to solicit enough information to identify the enforcement action, the </w:t>
      </w:r>
      <w:r>
        <w:rPr>
          <w:szCs w:val="22"/>
        </w:rPr>
        <w:t xml:space="preserve">agency or </w:t>
      </w:r>
      <w:r w:rsidRPr="00A55B3E">
        <w:rPr>
          <w:szCs w:val="22"/>
        </w:rPr>
        <w:t>agencies that issued it, and the nature of the findings, which we believe will reduce burdens on providers and improve administrability.  Specifically, we propose to require that, except to the extent</w:t>
      </w:r>
      <w:r w:rsidRPr="00A55B3E">
        <w:rPr>
          <w:szCs w:val="22"/>
        </w:rPr>
        <w:t xml:space="preserve"> </w:t>
      </w:r>
      <w:r w:rsidRPr="00A55B3E">
        <w:rPr>
          <w:szCs w:val="22"/>
        </w:rPr>
        <w:t xml:space="preserve">and only for the period during which an action or investigation has been designated as non-public </w:t>
      </w:r>
      <w:r>
        <w:rPr>
          <w:szCs w:val="22"/>
        </w:rPr>
        <w:t xml:space="preserve">or confidential </w:t>
      </w:r>
      <w:r w:rsidRPr="00A55B3E">
        <w:rPr>
          <w:szCs w:val="22"/>
        </w:rPr>
        <w:t xml:space="preserve">by </w:t>
      </w:r>
      <w:r>
        <w:rPr>
          <w:szCs w:val="22"/>
        </w:rPr>
        <w:t>a</w:t>
      </w:r>
      <w:r w:rsidRPr="00A55B3E">
        <w:rPr>
          <w:szCs w:val="22"/>
        </w:rPr>
        <w:t xml:space="preserve"> law enforcement</w:t>
      </w:r>
      <w:r>
        <w:rPr>
          <w:szCs w:val="22"/>
        </w:rPr>
        <w:t xml:space="preserve"> agency,</w:t>
      </w:r>
      <w:r w:rsidRPr="00A55B3E">
        <w:rPr>
          <w:szCs w:val="22"/>
        </w:rPr>
        <w:t xml:space="preserve"> regulatory agency</w:t>
      </w:r>
      <w:r>
        <w:rPr>
          <w:szCs w:val="22"/>
        </w:rPr>
        <w:t>, court, or other governmental entity that is</w:t>
      </w:r>
      <w:r w:rsidRPr="00A55B3E">
        <w:rPr>
          <w:szCs w:val="22"/>
        </w:rPr>
        <w:t xml:space="preserve"> involved, providers must </w:t>
      </w:r>
      <w:r>
        <w:rPr>
          <w:szCs w:val="22"/>
        </w:rPr>
        <w:t>provide</w:t>
      </w:r>
      <w:r w:rsidRPr="00A55B3E">
        <w:rPr>
          <w:szCs w:val="22"/>
        </w:rPr>
        <w:t>:  (1) all law enforcement or regulatory agencies involved; (2) the date any findings of actual or suspected wrongdoing were issued; (3) one or more identifier for the action or investigation, such as a file number, case number, or document number; and (4) a URL to access a publicly available document that describes the findings of wrongdoing made in connection with the action or investigation</w:t>
      </w:r>
      <w:r>
        <w:rPr>
          <w:szCs w:val="22"/>
        </w:rPr>
        <w:t>,</w:t>
      </w:r>
      <w:r w:rsidRPr="00A55B3E">
        <w:rPr>
          <w:szCs w:val="22"/>
        </w:rPr>
        <w:t xml:space="preserve"> or if no such document is publicly available,</w:t>
      </w:r>
      <w:r>
        <w:rPr>
          <w:szCs w:val="22"/>
        </w:rPr>
        <w:t xml:space="preserve"> a copy of such document, or if not memorialized in a document,</w:t>
      </w:r>
      <w:r w:rsidRPr="00A55B3E">
        <w:rPr>
          <w:szCs w:val="22"/>
        </w:rPr>
        <w:t xml:space="preserve"> an accurate summary of the specific findings of wrongdoing made in connection with the action or investigation, including whether the findings constitute an actual determination of wrongdoing or a suspected determination of wrongdoing.  We believe this information is sufficient for the Commission and third parties to identify and evaluate the nature of an action or investigation.  We seek </w:t>
      </w:r>
      <w:r w:rsidRPr="00A55B3E">
        <w:rPr>
          <w:szCs w:val="22"/>
        </w:rPr>
        <w:t>comment</w:t>
      </w:r>
      <w:r w:rsidRPr="00A55B3E">
        <w:rPr>
          <w:szCs w:val="22"/>
        </w:rPr>
        <w:t xml:space="preserve"> on this proposal and analysis.  Should we require providers to include any additional information in their descriptions, such as details regarding prior actions or investigations </w:t>
      </w:r>
      <w:r w:rsidRPr="00A55B3E">
        <w:rPr>
          <w:szCs w:val="22"/>
        </w:rPr>
        <w:t>involv</w:t>
      </w:r>
      <w:r w:rsidRPr="00A55B3E">
        <w:rPr>
          <w:szCs w:val="22"/>
        </w:rPr>
        <w:t>ing an entity with which it shares common ownership, management, directors, or control?</w:t>
      </w:r>
      <w:r>
        <w:rPr>
          <w:rStyle w:val="FootnoteReference"/>
        </w:rPr>
        <w:footnoteReference w:id="111"/>
      </w:r>
      <w:r w:rsidRPr="00A55B3E">
        <w:rPr>
          <w:szCs w:val="22"/>
        </w:rPr>
        <w:t xml:space="preserve">  Should we add an additional element requiring providers to describe the actions they have taken to address or mitigate the actual or suspected determinations?</w:t>
      </w:r>
    </w:p>
    <w:p w:rsidR="005919ED" w:rsidRPr="00A55B3E" w:rsidP="00174104" w14:paraId="738A0D05" w14:textId="77777777">
      <w:pPr>
        <w:pStyle w:val="ParaNum"/>
        <w:widowControl/>
      </w:pPr>
      <w:r w:rsidRPr="00A55B3E">
        <w:rPr>
          <w:i/>
          <w:iCs/>
        </w:rPr>
        <w:t xml:space="preserve">Use of </w:t>
      </w:r>
      <w:r>
        <w:rPr>
          <w:i/>
          <w:iCs/>
        </w:rPr>
        <w:t>t</w:t>
      </w:r>
      <w:r w:rsidRPr="00A55B3E">
        <w:rPr>
          <w:i/>
          <w:iCs/>
        </w:rPr>
        <w:t xml:space="preserve">hird </w:t>
      </w:r>
      <w:r>
        <w:rPr>
          <w:i/>
          <w:iCs/>
        </w:rPr>
        <w:t>p</w:t>
      </w:r>
      <w:r w:rsidRPr="00A55B3E">
        <w:rPr>
          <w:i/>
          <w:iCs/>
        </w:rPr>
        <w:t xml:space="preserve">arties.  </w:t>
      </w:r>
      <w:r w:rsidRPr="00A55B3E">
        <w:t>We propose to require that providers submit additional information in the RMD regarding their use of third parties, which we believe will enhance accountability.  Specifically, we propose to require that voice service providers indicate whether or not they engage third parties for the following:  (1) performing call analytics;</w:t>
      </w:r>
      <w:r>
        <w:rPr>
          <w:rStyle w:val="FootnoteReference"/>
        </w:rPr>
        <w:footnoteReference w:id="112"/>
      </w:r>
      <w:r w:rsidRPr="00A55B3E">
        <w:t xml:space="preserve"> (2) performing the technological </w:t>
      </w:r>
      <w:r w:rsidRPr="722CFDE8">
        <w:t>act</w:t>
      </w:r>
      <w:r w:rsidRPr="00A55B3E">
        <w:t xml:space="preserve"> of signing calls to satisfy STIR/SHAKEN obligations;</w:t>
      </w:r>
      <w:r>
        <w:rPr>
          <w:rStyle w:val="FootnoteReference"/>
        </w:rPr>
        <w:footnoteReference w:id="113"/>
      </w:r>
      <w:r w:rsidRPr="00A55B3E">
        <w:t xml:space="preserve"> (3) fulfilling KYC and KYUP obligations;</w:t>
      </w:r>
      <w:r>
        <w:rPr>
          <w:rStyle w:val="FootnoteReference"/>
        </w:rPr>
        <w:footnoteReference w:id="114"/>
      </w:r>
      <w:r w:rsidRPr="00A55B3E">
        <w:t xml:space="preserve"> and (4) submitting </w:t>
      </w:r>
      <w:r>
        <w:t>RMD</w:t>
      </w:r>
      <w:r w:rsidRPr="00A55B3E">
        <w:t xml:space="preserve"> submissions to the Commission if we permit providers to use third parties for this purpose.</w:t>
      </w:r>
      <w:r>
        <w:rPr>
          <w:rStyle w:val="FootnoteReference"/>
        </w:rPr>
        <w:footnoteReference w:id="115"/>
      </w:r>
      <w:r w:rsidRPr="00A55B3E">
        <w:t xml:space="preserve">  We also propose to require providers to name any third parties they use and provide the following information for each third party:  email, phone number, and, if available, website.  In all cases, we reiterate that the compliance obligation remains with the provider, and not any third party, which we believe will incentivize providers to use reputable third parties.  We believe that these third-party disclosure requirements will promote accountability by facilitating our ability to evaluate whether providers are engaging legitimate third parties that have adopted appropriate practices and to allow us to better identify potential causes of non-compliance when, for example, several non-compliant providers are using the same third party.</w:t>
      </w:r>
      <w:r>
        <w:rPr>
          <w:rStyle w:val="FootnoteReference"/>
        </w:rPr>
        <w:footnoteReference w:id="116"/>
      </w:r>
      <w:r w:rsidRPr="00A55B3E">
        <w:t xml:space="preserve">  We seek comment on these proposals and analysis.  What are the benefits and downsides of requiring providers to submit such information?  If we should not require any such information, why not?  Are there other uses </w:t>
      </w:r>
      <w:r w:rsidRPr="00A55B3E">
        <w:t>of</w:t>
      </w:r>
      <w:r w:rsidRPr="00A55B3E">
        <w:t xml:space="preserve"> third parties we should require providers to disclose, such as use of third parties for call branding information?</w:t>
      </w:r>
      <w:r>
        <w:rPr>
          <w:rStyle w:val="FootnoteReference"/>
        </w:rPr>
        <w:footnoteReference w:id="117"/>
      </w:r>
    </w:p>
    <w:p w:rsidR="005919ED" w:rsidRPr="00A55B3E" w:rsidP="005919ED" w14:paraId="12226504" w14:textId="77777777">
      <w:pPr>
        <w:pStyle w:val="Heading4"/>
      </w:pPr>
      <w:r w:rsidRPr="00A55B3E">
        <w:t xml:space="preserve">Business Identifying Information </w:t>
      </w:r>
    </w:p>
    <w:p w:rsidR="005919ED" w:rsidRPr="00A55B3E" w:rsidP="005919ED" w14:paraId="4C8A0905" w14:textId="77777777">
      <w:pPr>
        <w:pStyle w:val="ParaNum"/>
      </w:pPr>
      <w:r w:rsidRPr="00A55B3E">
        <w:t xml:space="preserve">In this section, we propose and seek </w:t>
      </w:r>
      <w:r w:rsidRPr="00A55B3E">
        <w:t>comment</w:t>
      </w:r>
      <w:r w:rsidRPr="00A55B3E">
        <w:t xml:space="preserve"> on </w:t>
      </w:r>
      <w:r w:rsidRPr="00A55B3E">
        <w:t>a number of</w:t>
      </w:r>
      <w:r w:rsidRPr="00A55B3E">
        <w:t xml:space="preserve"> measures to codify existing requirements and expand providers’ obligations to submit business identifying information to the RMD. </w:t>
      </w:r>
    </w:p>
    <w:p w:rsidR="005919ED" w:rsidRPr="00A55B3E" w:rsidP="005919ED" w14:paraId="6688D1FE" w14:textId="77777777">
      <w:pPr>
        <w:pStyle w:val="ParaNum"/>
      </w:pPr>
      <w:r w:rsidRPr="00A55B3E">
        <w:rPr>
          <w:i/>
          <w:szCs w:val="22"/>
        </w:rPr>
        <w:t xml:space="preserve">Principals, </w:t>
      </w:r>
      <w:r>
        <w:rPr>
          <w:i/>
          <w:szCs w:val="22"/>
        </w:rPr>
        <w:t>a</w:t>
      </w:r>
      <w:r w:rsidRPr="00A55B3E">
        <w:rPr>
          <w:i/>
          <w:szCs w:val="22"/>
        </w:rPr>
        <w:t xml:space="preserve">ffiliates, </w:t>
      </w:r>
      <w:r>
        <w:rPr>
          <w:i/>
          <w:szCs w:val="22"/>
        </w:rPr>
        <w:t>s</w:t>
      </w:r>
      <w:r w:rsidRPr="00A55B3E">
        <w:rPr>
          <w:i/>
          <w:szCs w:val="22"/>
        </w:rPr>
        <w:t xml:space="preserve">ubsidiaries, and </w:t>
      </w:r>
      <w:r>
        <w:rPr>
          <w:i/>
          <w:szCs w:val="22"/>
        </w:rPr>
        <w:t>p</w:t>
      </w:r>
      <w:r w:rsidRPr="00A55B3E">
        <w:rPr>
          <w:i/>
          <w:szCs w:val="22"/>
        </w:rPr>
        <w:t xml:space="preserve">arent </w:t>
      </w:r>
      <w:r>
        <w:rPr>
          <w:i/>
          <w:szCs w:val="22"/>
        </w:rPr>
        <w:t>c</w:t>
      </w:r>
      <w:r w:rsidRPr="00A55B3E">
        <w:rPr>
          <w:i/>
          <w:szCs w:val="22"/>
        </w:rPr>
        <w:t xml:space="preserve">ompanies.  </w:t>
      </w:r>
      <w:r w:rsidRPr="00A55B3E">
        <w:rPr>
          <w:szCs w:val="22"/>
        </w:rPr>
        <w:t xml:space="preserve">We propose to codify the existing requirement that providers submit information regarding their principals, affiliates, subsidiaries, and parent companies and to better specify what information </w:t>
      </w:r>
      <w:r>
        <w:rPr>
          <w:szCs w:val="22"/>
        </w:rPr>
        <w:t xml:space="preserve">they </w:t>
      </w:r>
      <w:r w:rsidRPr="00A55B3E">
        <w:rPr>
          <w:szCs w:val="22"/>
        </w:rPr>
        <w:t>must provide.</w:t>
      </w:r>
    </w:p>
    <w:p w:rsidR="005919ED" w:rsidRPr="00A55B3E" w:rsidP="005919ED" w14:paraId="29ECDA90" w14:textId="77777777">
      <w:pPr>
        <w:pStyle w:val="ParaNum"/>
      </w:pPr>
      <w:r w:rsidRPr="134F8478">
        <w:t xml:space="preserve">The Commission established a requirement that providers disclose information about principals, affiliates, subsidiaries, and parent companies with “sufficient detail to facilitate the Commission’s ability to determine whether the provider has been prohibited from filing in the Robocall Mitigation Database” in the </w:t>
      </w:r>
      <w:r w:rsidRPr="134F8478">
        <w:rPr>
          <w:i/>
        </w:rPr>
        <w:t>Sixth Caller ID Authentication Order</w:t>
      </w:r>
      <w:r w:rsidRPr="00A55B3E">
        <w:rPr>
          <w:szCs w:val="22"/>
        </w:rPr>
        <w:t>,</w:t>
      </w:r>
      <w:r>
        <w:rPr>
          <w:rStyle w:val="FootnoteReference"/>
        </w:rPr>
        <w:footnoteReference w:id="118"/>
      </w:r>
      <w:r w:rsidRPr="134F8478">
        <w:t xml:space="preserve"> but it did not codify the requirement in its rules.  Some</w:t>
      </w:r>
      <w:r w:rsidRPr="00A55B3E">
        <w:t xml:space="preserve"> providers appear to have been confused concerning what information must be supplied, which has resulted in deficient filings.  We endeavor to resolve that confusion.  </w:t>
      </w:r>
      <w:r w:rsidRPr="00A55B3E">
        <w:rPr>
          <w:i/>
          <w:iCs/>
        </w:rPr>
        <w:t>First</w:t>
      </w:r>
      <w:r w:rsidRPr="00A55B3E">
        <w:t>, we propose to codify definitions for principal, affiliate, subsidiary, and parent, and seek comment on what those definitions should be.  Should we simply refer to existing definitions for these terms or establish new definitions for them?</w:t>
      </w:r>
      <w:r>
        <w:rPr>
          <w:rStyle w:val="FootnoteReference"/>
        </w:rPr>
        <w:footnoteReference w:id="119"/>
      </w:r>
      <w:r w:rsidRPr="00A55B3E">
        <w:t xml:space="preserve">  </w:t>
      </w:r>
      <w:r w:rsidRPr="00A55B3E">
        <w:rPr>
          <w:i/>
          <w:iCs/>
        </w:rPr>
        <w:t>Second</w:t>
      </w:r>
      <w:r w:rsidRPr="00A55B3E">
        <w:t xml:space="preserve">, to prevent a provider from masking its relationship with prohibited entities, we propose to codify the requirement that providers identify </w:t>
      </w:r>
      <w:r w:rsidRPr="00A55B3E">
        <w:rPr>
          <w:i/>
        </w:rPr>
        <w:t>all</w:t>
      </w:r>
      <w:r w:rsidRPr="00A55B3E">
        <w:t xml:space="preserve"> principals, affiliates, subsidiaries, and parent companies in their filings, which we believe was already required, but may not have been clear when coupled with the “sufficient detail” qualification described above.  However, we seek refreshed </w:t>
      </w:r>
      <w:r w:rsidRPr="00A55B3E">
        <w:t>comment</w:t>
      </w:r>
      <w:r w:rsidRPr="00A55B3E">
        <w:t xml:space="preserve"> on the burdens of this obligation and on steps we can take to minimize those burdens, such as requiring providers to update this information less frequently.</w:t>
      </w:r>
      <w:r>
        <w:rPr>
          <w:rStyle w:val="FootnoteReference"/>
        </w:rPr>
        <w:footnoteReference w:id="120"/>
      </w:r>
      <w:r w:rsidRPr="00A55B3E">
        <w:t xml:space="preserve">  </w:t>
      </w:r>
      <w:r w:rsidRPr="00A55B3E">
        <w:rPr>
          <w:i/>
        </w:rPr>
        <w:t>Third</w:t>
      </w:r>
      <w:r w:rsidRPr="00A55B3E">
        <w:t xml:space="preserve">, we propose to codify the existing requirement for providers to identify human </w:t>
      </w:r>
      <w:r w:rsidRPr="00A55B3E">
        <w:t>principals</w:t>
      </w:r>
      <w:r w:rsidRPr="00A55B3E">
        <w:t>, which many providers fail to do.  We believe that all providers necessarily have at least one human principal—</w:t>
      </w:r>
      <w:r w:rsidRPr="134F8478">
        <w:t>an individual who exercises influence, management, or supervisory responsibility, whether or not that individual has ownership or control of the filing entity—</w:t>
      </w:r>
      <w:r w:rsidRPr="00A55B3E">
        <w:t>and therefore are already required to disclose such an individual in their RMD filing as part of the requirement to disclose principals</w:t>
      </w:r>
      <w:r w:rsidRPr="00A55B3E">
        <w:rPr>
          <w:szCs w:val="22"/>
        </w:rPr>
        <w:t>.</w:t>
      </w:r>
      <w:r>
        <w:rPr>
          <w:rStyle w:val="FootnoteReference"/>
        </w:rPr>
        <w:footnoteReference w:id="121"/>
      </w:r>
      <w:r w:rsidRPr="00A55B3E">
        <w:t xml:space="preserve">  </w:t>
      </w:r>
      <w:r w:rsidRPr="00A55B3E">
        <w:rPr>
          <w:i/>
        </w:rPr>
        <w:t>Fourth</w:t>
      </w:r>
      <w:r w:rsidRPr="00A55B3E">
        <w:t xml:space="preserve">, we propose to require providers to submit specific information regarding their human principals, including their title, telephone number, email address, physical address, country of residence, and citizenship.  </w:t>
      </w:r>
      <w:r w:rsidRPr="00A55B3E">
        <w:rPr>
          <w:i/>
          <w:iCs/>
        </w:rPr>
        <w:t>Fifth</w:t>
      </w:r>
      <w:r w:rsidRPr="00A55B3E">
        <w:t>, we propose to maintain the requirement for providers to identify all other principals, affiliates, subsidiaries, and parent companies, and to require providers to submit the RMD number for entities that are in the RMD or the business address</w:t>
      </w:r>
      <w:r>
        <w:rPr>
          <w:rStyle w:val="FootnoteReference"/>
        </w:rPr>
        <w:footnoteReference w:id="122"/>
      </w:r>
      <w:r w:rsidRPr="00A55B3E">
        <w:t xml:space="preserve"> for entities that are not in the RMD.  We believe this would provide the minimum detail necessary to facilitate the Commission’s ability to determine whether the provider has been prohibited from filing in the RMD.  We seek </w:t>
      </w:r>
      <w:r w:rsidRPr="00A55B3E">
        <w:t>comment</w:t>
      </w:r>
      <w:r w:rsidRPr="00A55B3E">
        <w:t xml:space="preserve"> on these proposals and justifications.</w:t>
      </w:r>
    </w:p>
    <w:p w:rsidR="005919ED" w:rsidRPr="00A55B3E" w:rsidP="005919ED" w14:paraId="7E897F41" w14:textId="77777777">
      <w:pPr>
        <w:pStyle w:val="ParaNum"/>
      </w:pPr>
      <w:r w:rsidRPr="00A55B3E">
        <w:t xml:space="preserve">Should we require that providers supply additional information about their principals, affiliates, subsidiaries, and parent companies to aid our oversight, such as any prior business names or trade names (DBAs)?  Should we require that they provide copies of government issued identification for human principals, and if so, should we require that they submit a photo of each principal with their ID?  Should providers be required to disclose only one human </w:t>
      </w:r>
      <w:r w:rsidRPr="00A55B3E">
        <w:t>principal</w:t>
      </w:r>
      <w:r w:rsidRPr="00A55B3E">
        <w:t xml:space="preserve">?  Should they be required to disclose one or more human </w:t>
      </w:r>
      <w:r w:rsidRPr="00A55B3E">
        <w:t>principals</w:t>
      </w:r>
      <w:r w:rsidRPr="00A55B3E">
        <w:t xml:space="preserve"> for the provider’s affiliates, parents, or subsidiaries?  </w:t>
      </w:r>
    </w:p>
    <w:p w:rsidR="005919ED" w:rsidRPr="00A55B3E" w:rsidP="005919ED" w14:paraId="7BE3E29C" w14:textId="77777777">
      <w:pPr>
        <w:pStyle w:val="ParaNum"/>
      </w:pPr>
      <w:r w:rsidRPr="00A55B3E">
        <w:rPr>
          <w:i/>
          <w:szCs w:val="22"/>
        </w:rPr>
        <w:t xml:space="preserve">Registered U.S. </w:t>
      </w:r>
      <w:r>
        <w:rPr>
          <w:i/>
          <w:szCs w:val="22"/>
        </w:rPr>
        <w:t>a</w:t>
      </w:r>
      <w:r w:rsidRPr="00A55B3E">
        <w:rPr>
          <w:i/>
          <w:szCs w:val="22"/>
        </w:rPr>
        <w:t xml:space="preserve">gent.  </w:t>
      </w:r>
      <w:r w:rsidRPr="00A55B3E">
        <w:rPr>
          <w:szCs w:val="22"/>
        </w:rPr>
        <w:t>We propose to require providers to identify and provide contact information for a U.S. registered agent to aid in enforcement actions.  We propose that the contact information must include a U.S. mailing address, telephone number, and e-mail address.  Although our existing and proposed RMD filing requirements include identifying and providing contact information for individuals who work for the provider,</w:t>
      </w:r>
      <w:r>
        <w:rPr>
          <w:rStyle w:val="FootnoteReference"/>
        </w:rPr>
        <w:footnoteReference w:id="123"/>
      </w:r>
      <w:r w:rsidRPr="00A55B3E">
        <w:rPr>
          <w:szCs w:val="22"/>
        </w:rPr>
        <w:t xml:space="preserve"> a registered agent acts as a designated point of contact with the provider for communications with law enforcement and regulatory agencies, and to receive service of legal documents.  We believe that requiring designation of a U.S. registered agent will particularly support enforcement actions against foreign entities, including those that establish nominal offices, operations, or facilities in the United States (as opposed to a bona fide independent business operation) with the goal of having their calls be viewed as originating in the United States.  Specifically, it would establish a reliable contact in the United States for serving legal documents and could help establish jurisdictional reach over the provider.  We invite </w:t>
      </w:r>
      <w:r w:rsidRPr="00A55B3E">
        <w:rPr>
          <w:szCs w:val="22"/>
        </w:rPr>
        <w:t>comment</w:t>
      </w:r>
      <w:r w:rsidRPr="00A55B3E">
        <w:rPr>
          <w:szCs w:val="22"/>
        </w:rPr>
        <w:t xml:space="preserve"> on this proposal and analysis, including potential costs or challenges for certain providers, such as small providers, and any alternative approaches to alleviate those costs and challenges.  Should we harmonize this requirement with the Form 499 requirements to designate an agent for service of process?</w:t>
      </w:r>
      <w:r>
        <w:rPr>
          <w:rStyle w:val="FootnoteReference"/>
          <w:szCs w:val="22"/>
        </w:rPr>
        <w:footnoteReference w:id="124"/>
      </w:r>
      <w:r w:rsidRPr="00A55B3E">
        <w:rPr>
          <w:szCs w:val="22"/>
        </w:rPr>
        <w:t xml:space="preserve"> </w:t>
      </w:r>
    </w:p>
    <w:p w:rsidR="005919ED" w:rsidRPr="00A55B3E" w:rsidP="005919ED" w14:paraId="70798091" w14:textId="77777777">
      <w:pPr>
        <w:pStyle w:val="Heading4"/>
      </w:pPr>
      <w:r w:rsidRPr="00A55B3E">
        <w:t>Provider</w:t>
      </w:r>
      <w:r>
        <w:t xml:space="preserve"> </w:t>
      </w:r>
      <w:r w:rsidRPr="00A55B3E">
        <w:t>Type and Service Information</w:t>
      </w:r>
    </w:p>
    <w:p w:rsidR="005919ED" w:rsidRPr="00A55B3E" w:rsidP="005919ED" w14:paraId="00462B4C" w14:textId="77777777">
      <w:pPr>
        <w:pStyle w:val="ParaNum"/>
      </w:pPr>
      <w:r w:rsidRPr="00A55B3E">
        <w:t>We next</w:t>
      </w:r>
      <w:r w:rsidRPr="00A55B3E">
        <w:t xml:space="preserve"> propose and seek </w:t>
      </w:r>
      <w:r w:rsidRPr="00A55B3E">
        <w:t>comment</w:t>
      </w:r>
      <w:r w:rsidRPr="00A55B3E">
        <w:t xml:space="preserve"> on measures to improve the accuracy of provider</w:t>
      </w:r>
      <w:r>
        <w:t xml:space="preserve"> </w:t>
      </w:r>
      <w:r w:rsidRPr="00A55B3E">
        <w:t xml:space="preserve">type and service information submitted to the RMD.  Specifically, we propose to revise the existing requirements for providers to identify their role in the call chain and seek comment on allowing entities that identify as end users to submit RMD filings, ensuring providers accurately identify as a foreign voice service provider, and requiring providers to submit information about their numbering resources and KYUP business information. </w:t>
      </w:r>
    </w:p>
    <w:p w:rsidR="005919ED" w:rsidRPr="00A55B3E" w:rsidP="005919ED" w14:paraId="1EF7B663" w14:textId="77777777">
      <w:pPr>
        <w:pStyle w:val="ParaNum"/>
      </w:pPr>
      <w:r w:rsidRPr="00A55B3E">
        <w:rPr>
          <w:i/>
          <w:szCs w:val="22"/>
        </w:rPr>
        <w:t xml:space="preserve">Role in the </w:t>
      </w:r>
      <w:r>
        <w:rPr>
          <w:i/>
          <w:szCs w:val="22"/>
        </w:rPr>
        <w:t>c</w:t>
      </w:r>
      <w:r w:rsidRPr="00A55B3E">
        <w:rPr>
          <w:i/>
          <w:szCs w:val="22"/>
        </w:rPr>
        <w:t xml:space="preserve">all </w:t>
      </w:r>
      <w:r>
        <w:rPr>
          <w:i/>
          <w:szCs w:val="22"/>
        </w:rPr>
        <w:t>c</w:t>
      </w:r>
      <w:r w:rsidRPr="00A55B3E">
        <w:rPr>
          <w:i/>
          <w:szCs w:val="22"/>
        </w:rPr>
        <w:t xml:space="preserve">hain.  </w:t>
      </w:r>
      <w:r w:rsidRPr="00A55B3E">
        <w:rPr>
          <w:szCs w:val="22"/>
        </w:rPr>
        <w:t xml:space="preserve">We propose to further revise our existing requirements for providers to identify their role(s) in the call chain in line with our proposed definitions in the </w:t>
      </w:r>
      <w:r w:rsidRPr="00A55B3E">
        <w:rPr>
          <w:i/>
          <w:szCs w:val="22"/>
        </w:rPr>
        <w:t>KYUP FNPRM</w:t>
      </w:r>
      <w:r w:rsidRPr="00A55B3E">
        <w:rPr>
          <w:szCs w:val="22"/>
        </w:rPr>
        <w:t>.  Our existing rules generally require providers to identify whether they are a voice service provider, gateway provider, or non-gateway intermediate provider with or without a STIR/SHAKEN implementation obligation.</w:t>
      </w:r>
      <w:r>
        <w:rPr>
          <w:rStyle w:val="FootnoteReference"/>
          <w:szCs w:val="22"/>
        </w:rPr>
        <w:footnoteReference w:id="125"/>
      </w:r>
      <w:r w:rsidRPr="00A55B3E">
        <w:rPr>
          <w:szCs w:val="22"/>
        </w:rPr>
        <w:t xml:space="preserve">  The </w:t>
      </w:r>
      <w:r w:rsidRPr="00A55B3E">
        <w:rPr>
          <w:i/>
          <w:szCs w:val="22"/>
        </w:rPr>
        <w:t>KYUP FNPRM</w:t>
      </w:r>
      <w:r w:rsidRPr="00A55B3E">
        <w:rPr>
          <w:szCs w:val="22"/>
        </w:rPr>
        <w:t xml:space="preserve"> proposed to reinterpret the meaning of “voice service provider” to include gateway providers and non-gateway intermediate providers, as well as to add new definitions for facilities-based provider, non-facilities-based provider, originating provider, and terminating provider.</w:t>
      </w:r>
      <w:r>
        <w:rPr>
          <w:rStyle w:val="FootnoteReference"/>
          <w:szCs w:val="22"/>
        </w:rPr>
        <w:footnoteReference w:id="126"/>
      </w:r>
      <w:r w:rsidRPr="00A55B3E">
        <w:rPr>
          <w:szCs w:val="22"/>
        </w:rPr>
        <w:t xml:space="preserve">  The proposed streamlined rules in the </w:t>
      </w:r>
      <w:r>
        <w:rPr>
          <w:i/>
          <w:iCs/>
          <w:szCs w:val="22"/>
        </w:rPr>
        <w:t xml:space="preserve">KYUP </w:t>
      </w:r>
      <w:r w:rsidRPr="00A55B3E">
        <w:rPr>
          <w:i/>
          <w:szCs w:val="22"/>
        </w:rPr>
        <w:t>FNPRM</w:t>
      </w:r>
      <w:r w:rsidRPr="00A55B3E">
        <w:rPr>
          <w:szCs w:val="22"/>
        </w:rPr>
        <w:t xml:space="preserve"> would require providers to identify which of those types of providers they are and separate out the requirement to state whether they have a STIR/SHAKEN implementation obligation.</w:t>
      </w:r>
      <w:r>
        <w:rPr>
          <w:rStyle w:val="FootnoteReference"/>
          <w:szCs w:val="22"/>
        </w:rPr>
        <w:footnoteReference w:id="127"/>
      </w:r>
      <w:r w:rsidRPr="00A55B3E">
        <w:rPr>
          <w:szCs w:val="22"/>
        </w:rPr>
        <w:t xml:space="preserve">  We propose to further revise those streamlined rules to better capture a provider’s role(s) in the call chain, as follows:</w:t>
      </w:r>
    </w:p>
    <w:p w:rsidR="005919ED" w:rsidRPr="00A55B3E" w:rsidP="005919ED" w14:paraId="201CBB27" w14:textId="77777777">
      <w:pPr>
        <w:pStyle w:val="ParaNum"/>
        <w:numPr>
          <w:ilvl w:val="0"/>
          <w:numId w:val="12"/>
        </w:numPr>
        <w:ind w:left="1080"/>
      </w:pPr>
      <w:r w:rsidRPr="00A55B3E">
        <w:rPr>
          <w:szCs w:val="22"/>
        </w:rPr>
        <w:t>a voice</w:t>
      </w:r>
      <w:r w:rsidRPr="00A55B3E">
        <w:rPr>
          <w:szCs w:val="22"/>
        </w:rPr>
        <w:t xml:space="preserve"> service provider must indicate whether it is a facilities-based provider and/or a non-facilities-based provider;</w:t>
      </w:r>
      <w:r>
        <w:rPr>
          <w:rStyle w:val="FootnoteReference"/>
          <w:szCs w:val="22"/>
        </w:rPr>
        <w:footnoteReference w:id="128"/>
      </w:r>
    </w:p>
    <w:p w:rsidR="005919ED" w:rsidRPr="00A55B3E" w:rsidP="005919ED" w14:paraId="0944781A" w14:textId="77777777">
      <w:pPr>
        <w:pStyle w:val="ParaNum"/>
        <w:numPr>
          <w:ilvl w:val="0"/>
          <w:numId w:val="12"/>
        </w:numPr>
        <w:ind w:left="1080"/>
      </w:pPr>
      <w:r w:rsidRPr="4338F191">
        <w:t>a facilities-based provider must indicate whether it is</w:t>
      </w:r>
      <w:r w:rsidRPr="4338F191">
        <w:t>:  (</w:t>
      </w:r>
      <w:r w:rsidRPr="4338F191">
        <w:t>i) an originating or terminating voice service provider directly serving end users; (ii) an originating or terminating provider acting as a wholesale provider originating or terminating calls for end users it does not directly serve on behalf of another provider or providers; (iii) a gateway provider; and/or (iv) a non-gateway intermediate provider;</w:t>
      </w:r>
      <w:r>
        <w:rPr>
          <w:rStyle w:val="FootnoteReference"/>
        </w:rPr>
        <w:footnoteReference w:id="129"/>
      </w:r>
    </w:p>
    <w:p w:rsidR="005919ED" w:rsidRPr="00A55B3E" w:rsidP="005919ED" w14:paraId="22C02203" w14:textId="77777777">
      <w:pPr>
        <w:pStyle w:val="ParaNum"/>
        <w:numPr>
          <w:ilvl w:val="0"/>
          <w:numId w:val="12"/>
        </w:numPr>
        <w:ind w:left="1080"/>
      </w:pPr>
      <w:r w:rsidRPr="00A55B3E">
        <w:rPr>
          <w:szCs w:val="22"/>
        </w:rPr>
        <w:t>A non-facilities-based provider must indicate whether it is directly serving end users and/or whether it is a wholesale provider to another provider or providers that does not directly serve end users.</w:t>
      </w:r>
    </w:p>
    <w:p w:rsidR="005919ED" w:rsidRPr="00A55B3E" w:rsidP="005919ED" w14:paraId="3FE59924" w14:textId="77777777">
      <w:pPr>
        <w:pStyle w:val="ParaNum"/>
        <w:numPr>
          <w:ilvl w:val="0"/>
          <w:numId w:val="0"/>
        </w:numPr>
      </w:pPr>
      <w:r w:rsidRPr="00A55B3E">
        <w:rPr>
          <w:szCs w:val="22"/>
        </w:rPr>
        <w:t>Consistent with our established approach that a provider’s role is determined on a call-by-call basis,</w:t>
      </w:r>
      <w:r>
        <w:rPr>
          <w:rStyle w:val="FootnoteReference"/>
          <w:szCs w:val="22"/>
        </w:rPr>
        <w:footnoteReference w:id="130"/>
      </w:r>
      <w:r w:rsidRPr="00A55B3E">
        <w:rPr>
          <w:szCs w:val="22"/>
        </w:rPr>
        <w:t xml:space="preserve"> these categories are not mutually exclusive, recognizing that a provider can be a facilities-based provider for some calls and</w:t>
      </w:r>
      <w:r>
        <w:rPr>
          <w:szCs w:val="22"/>
        </w:rPr>
        <w:t xml:space="preserve"> a</w:t>
      </w:r>
      <w:r w:rsidRPr="00A55B3E">
        <w:rPr>
          <w:szCs w:val="22"/>
        </w:rPr>
        <w:t xml:space="preserve"> non-facilities-based provider for other calls, and that the same is true for each sub-category.  Additionally, we propose to eliminate the current requirement that providers state whether they have a STIR/SHAKEN implementation obligation, which we maintained in the proposed streamlined rules in the </w:t>
      </w:r>
      <w:r w:rsidRPr="00A55B3E">
        <w:rPr>
          <w:i/>
          <w:iCs/>
          <w:szCs w:val="22"/>
        </w:rPr>
        <w:t>KYUP FNPRM</w:t>
      </w:r>
      <w:r w:rsidRPr="00A55B3E">
        <w:rPr>
          <w:szCs w:val="22"/>
        </w:rPr>
        <w:t>.</w:t>
      </w:r>
      <w:r>
        <w:rPr>
          <w:rStyle w:val="FootnoteReference"/>
          <w:szCs w:val="22"/>
        </w:rPr>
        <w:footnoteReference w:id="131"/>
      </w:r>
      <w:r w:rsidRPr="00A55B3E">
        <w:rPr>
          <w:szCs w:val="22"/>
        </w:rPr>
        <w:t xml:space="preserve">  All voice service providers are required to implement STIR/SHAKEN unless they are subject to an exemption, and they are already required to certify to their STIR/SHAKEN implementation status in a different part of our rules.</w:t>
      </w:r>
      <w:r>
        <w:rPr>
          <w:rStyle w:val="FootnoteReference"/>
          <w:szCs w:val="22"/>
        </w:rPr>
        <w:footnoteReference w:id="132"/>
      </w:r>
      <w:r w:rsidRPr="00A55B3E">
        <w:rPr>
          <w:szCs w:val="22"/>
        </w:rPr>
        <w:t xml:space="preserve">  We seek comment on these proposals and analysis.  Should we require providers to indicate whether they are an initiating provider, as we propose to define that term in the </w:t>
      </w:r>
      <w:r w:rsidRPr="00A55B3E">
        <w:rPr>
          <w:i/>
          <w:szCs w:val="22"/>
        </w:rPr>
        <w:t>KYUP FNPRM</w:t>
      </w:r>
      <w:r w:rsidRPr="00A55B3E">
        <w:rPr>
          <w:szCs w:val="22"/>
        </w:rPr>
        <w:t>?</w:t>
      </w:r>
      <w:r>
        <w:rPr>
          <w:rStyle w:val="FootnoteReference"/>
          <w:szCs w:val="22"/>
        </w:rPr>
        <w:footnoteReference w:id="133"/>
      </w:r>
      <w:r>
        <w:rPr>
          <w:szCs w:val="22"/>
        </w:rPr>
        <w:t xml:space="preserve">  Are </w:t>
      </w:r>
      <w:r>
        <w:rPr>
          <w:szCs w:val="22"/>
        </w:rPr>
        <w:t>there</w:t>
      </w:r>
      <w:r>
        <w:rPr>
          <w:szCs w:val="22"/>
        </w:rPr>
        <w:t xml:space="preserve"> instances when a provider will not be aware that it is acting as a wholesale provider, such as if the provider’s customer resells the provider’s service without the provider’s knowledge?  Do providers allow customers to resell service without the provider’s knowledge, and if so, is that contrary to their existing requirement to know their upstream provider?</w:t>
      </w:r>
      <w:r>
        <w:rPr>
          <w:rStyle w:val="FootnoteReference"/>
          <w:szCs w:val="22"/>
        </w:rPr>
        <w:footnoteReference w:id="134"/>
      </w:r>
      <w:r>
        <w:rPr>
          <w:szCs w:val="22"/>
        </w:rPr>
        <w:t xml:space="preserve">  Should we modify the proposed requirement to self-identify as a wholesale provider to permit providers to only indicate when they knowingly serve as a wholesale provider?</w:t>
      </w:r>
    </w:p>
    <w:p w:rsidR="005919ED" w:rsidRPr="00A55B3E" w:rsidP="005919ED" w14:paraId="6630E1ED" w14:textId="77777777">
      <w:pPr>
        <w:pStyle w:val="ParaNum"/>
      </w:pPr>
      <w:r w:rsidRPr="00A55B3E">
        <w:t>We also seek comment on whether we should add an option on the RMD submission form for entities to indicate their belief that they are an “end user” and not a “voice service provider,” to address instances when such entities feel compelled to file in the RMD.</w:t>
      </w:r>
      <w:r>
        <w:rPr>
          <w:rStyle w:val="FootnoteReference"/>
        </w:rPr>
        <w:footnoteReference w:id="135"/>
      </w:r>
      <w:r w:rsidRPr="00A55B3E">
        <w:t xml:space="preserve">  Although end users are not required to file in the RMD, and we do not condone voice service providers compelling their end users to submit RMD filings, Commission staff have observed that some entities that do not consider themselves “voice service providers” nevertheless submit RMD filings out of an abundance of caution or because the provider supplying them with voice service requires them to do so to transmit their calls.  If we adopt such an approach, we expect that we would require such entities to describe the reason they are submitting a filing, provide a detailed explanation of why the entity does not meet the definition of a “voice service provider” or the definitions for the subcategories of voice service providers (i.e., initiating, originating, intermediate, terminating, facilities-based</w:t>
      </w:r>
      <w:r>
        <w:t>,</w:t>
      </w:r>
      <w:r w:rsidRPr="00A55B3E">
        <w:t xml:space="preserve"> and non-facilities</w:t>
      </w:r>
      <w:r>
        <w:t>-</w:t>
      </w:r>
      <w:r w:rsidRPr="00A55B3E">
        <w:t>based), and a description of the nature of the entity’s business.  We believe such a description would oblige the entity to fully evaluate and explain its role</w:t>
      </w:r>
      <w:r>
        <w:t xml:space="preserve"> in the call chain</w:t>
      </w:r>
      <w:r w:rsidRPr="00A55B3E">
        <w:t xml:space="preserve">, and </w:t>
      </w:r>
      <w:r>
        <w:t xml:space="preserve">to </w:t>
      </w:r>
      <w:r w:rsidRPr="00A55B3E">
        <w:t>provide the Commission and stakeholders with information necessary to adequately assess whether the entity’s determination is reasonable.  We seek comment on this view.  If there are benefits to allowing entities that believe they are end users to file in the RMD and indicate as much, what are these benefits?  Conversely, are there potential downsides or unintended consequences, and if so, should we prohibit voice service providers from requiring end users to file in the RMD?</w:t>
      </w:r>
    </w:p>
    <w:p w:rsidR="005919ED" w:rsidRPr="00A55B3E" w:rsidP="005919ED" w14:paraId="7C5837DB" w14:textId="77777777">
      <w:pPr>
        <w:pStyle w:val="ParaNum"/>
      </w:pPr>
      <w:r w:rsidRPr="00A55B3E">
        <w:rPr>
          <w:i/>
          <w:iCs/>
        </w:rPr>
        <w:t xml:space="preserve">Identifying </w:t>
      </w:r>
      <w:r>
        <w:rPr>
          <w:i/>
          <w:iCs/>
        </w:rPr>
        <w:t>f</w:t>
      </w:r>
      <w:r w:rsidRPr="00A55B3E">
        <w:rPr>
          <w:i/>
          <w:iCs/>
        </w:rPr>
        <w:t xml:space="preserve">oreign </w:t>
      </w:r>
      <w:r>
        <w:rPr>
          <w:i/>
          <w:iCs/>
        </w:rPr>
        <w:t>v</w:t>
      </w:r>
      <w:r w:rsidRPr="00A55B3E">
        <w:rPr>
          <w:i/>
          <w:iCs/>
        </w:rPr>
        <w:t xml:space="preserve">oice </w:t>
      </w:r>
      <w:r>
        <w:rPr>
          <w:i/>
          <w:iCs/>
        </w:rPr>
        <w:t>s</w:t>
      </w:r>
      <w:r w:rsidRPr="00A55B3E">
        <w:rPr>
          <w:i/>
          <w:iCs/>
        </w:rPr>
        <w:t xml:space="preserve">ervice </w:t>
      </w:r>
      <w:r>
        <w:rPr>
          <w:i/>
          <w:iCs/>
        </w:rPr>
        <w:t>p</w:t>
      </w:r>
      <w:r w:rsidRPr="00A55B3E">
        <w:rPr>
          <w:i/>
          <w:iCs/>
        </w:rPr>
        <w:t>roviders.</w:t>
      </w:r>
      <w:r w:rsidRPr="00A55B3E">
        <w:t xml:space="preserve">  We seek </w:t>
      </w:r>
      <w:r w:rsidRPr="00A55B3E">
        <w:t>comment</w:t>
      </w:r>
      <w:r w:rsidRPr="00A55B3E">
        <w:t xml:space="preserve"> on whether we should establish additional RMD filing requirements to ensure that providers accurately identify when they are a foreign voice service provider.  Providers submitting filings in the RMD are already required to indicate whether they are a foreign voice service provider,</w:t>
      </w:r>
      <w:r>
        <w:rPr>
          <w:rStyle w:val="FootnoteReference"/>
        </w:rPr>
        <w:footnoteReference w:id="136"/>
      </w:r>
      <w:r w:rsidRPr="00A55B3E">
        <w:t xml:space="preserve"> but as noted above, we are concerned that bad actor foreign providers are certifying that they are not foreign providers even though they do not have bona fide independent business operations in the United States.</w:t>
      </w:r>
      <w:r>
        <w:rPr>
          <w:rStyle w:val="FootnoteReference"/>
        </w:rPr>
        <w:footnoteReference w:id="137"/>
      </w:r>
      <w:r w:rsidRPr="00A55B3E">
        <w:t xml:space="preserve">  To fully address this concern, should we require providers to, for example, supply additional business information beyond what we propose or seek comment on herein?  What, if any, additional information would help distinguish bona fide independent domestic business operations from nominal offices</w:t>
      </w:r>
      <w:r>
        <w:t xml:space="preserve"> or operations</w:t>
      </w:r>
      <w:r w:rsidRPr="00A55B3E">
        <w:t xml:space="preserve">?  Should we require providers to describe the nature of their U.S. offices, operations, or facilities so we can evaluate whether those operations are a bona fide independent domestic business operation?  Should providers be required to provide information regarding their use of hosted servers or shared addresses?  Should providers be required to disclose whether any parent company was created, incorporated, or organized abroad or has common ownership or management with a company that was created, incorporated, or organized abroad?  How would any such additional requirements dovetail with the proposed revised definition for “foreign voice service provider” in the </w:t>
      </w:r>
      <w:r w:rsidRPr="00A55B3E">
        <w:rPr>
          <w:i/>
          <w:iCs/>
        </w:rPr>
        <w:t>KYUP FNPRM</w:t>
      </w:r>
      <w:r w:rsidRPr="00A55B3E">
        <w:t>.</w:t>
      </w:r>
      <w:r>
        <w:rPr>
          <w:rStyle w:val="FootnoteReference"/>
        </w:rPr>
        <w:footnoteReference w:id="138"/>
      </w:r>
    </w:p>
    <w:p w:rsidR="005919ED" w:rsidRPr="00A55B3E" w:rsidP="005919ED" w14:paraId="5F63C8F0" w14:textId="77777777">
      <w:pPr>
        <w:pStyle w:val="ParaNum"/>
      </w:pPr>
      <w:r w:rsidRPr="00A55B3E">
        <w:rPr>
          <w:i/>
          <w:iCs/>
        </w:rPr>
        <w:t xml:space="preserve">Numbering </w:t>
      </w:r>
      <w:r>
        <w:rPr>
          <w:i/>
          <w:iCs/>
        </w:rPr>
        <w:t>r</w:t>
      </w:r>
      <w:r w:rsidRPr="00A55B3E">
        <w:rPr>
          <w:i/>
          <w:iCs/>
        </w:rPr>
        <w:t xml:space="preserve">esources </w:t>
      </w:r>
      <w:r>
        <w:rPr>
          <w:i/>
          <w:iCs/>
        </w:rPr>
        <w:t>i</w:t>
      </w:r>
      <w:r w:rsidRPr="00A55B3E">
        <w:rPr>
          <w:i/>
          <w:iCs/>
        </w:rPr>
        <w:t>nformation.</w:t>
      </w:r>
      <w:r w:rsidRPr="00A55B3E">
        <w:t xml:space="preserve">  In the </w:t>
      </w:r>
      <w:r w:rsidRPr="00A55B3E">
        <w:rPr>
          <w:i/>
          <w:iCs/>
        </w:rPr>
        <w:t>Robocall Numbering Policies NPRM</w:t>
      </w:r>
      <w:r w:rsidRPr="00A55B3E">
        <w:t>, we sought comment on measures to increase the transparency about which providers have access to numbers, which we believed would improve our numbering administration and help us deter illegal calls.</w:t>
      </w:r>
      <w:r>
        <w:rPr>
          <w:rStyle w:val="FootnoteReference"/>
        </w:rPr>
        <w:footnoteReference w:id="139"/>
      </w:r>
      <w:r w:rsidRPr="00A55B3E">
        <w:t xml:space="preserve">  We seek comment on whether</w:t>
      </w:r>
      <w:r>
        <w:t>,</w:t>
      </w:r>
      <w:r w:rsidRPr="00A55B3E">
        <w:t xml:space="preserve"> and the extent to which</w:t>
      </w:r>
      <w:r>
        <w:t>,</w:t>
      </w:r>
      <w:r w:rsidRPr="00A55B3E">
        <w:t xml:space="preserve"> we should require providers to submit information about their access to and use of numbering resources in the RMD.  For instance, should we require providers to disclose </w:t>
      </w:r>
      <w:r w:rsidRPr="00A55B3E">
        <w:t>whether or not</w:t>
      </w:r>
      <w:r w:rsidRPr="00A55B3E">
        <w:t xml:space="preserve"> they have access to numbers directly or indirectly and, if indirectly, from which provider(s) they procured numbers?  Should we require them to disclose the block(s) or range(s) of numbers to which they have access?</w:t>
      </w:r>
      <w:r>
        <w:rPr>
          <w:rStyle w:val="FootnoteReference"/>
        </w:rPr>
        <w:footnoteReference w:id="140"/>
      </w:r>
      <w:r w:rsidRPr="00A55B3E">
        <w:t xml:space="preserve">  Should we require providers that make numbers available on a wholesale basis to resellers to disclose the providers to which they have resold numbers, and if so, should we require them to disclose the block(s) or range(s) provided to each reseller, as well as the OCNs for the resellers if they have one?</w:t>
      </w:r>
      <w:r>
        <w:rPr>
          <w:rStyle w:val="FootnoteReference"/>
        </w:rPr>
        <w:footnoteReference w:id="141"/>
      </w:r>
      <w:r w:rsidRPr="00A55B3E">
        <w:t xml:space="preserve">  Should we inquire about any affiliation that a provider might have with an entity to which they are selling or from which they are buying numbers?  What are the benefits and drawbacks of any such requirements, particularly for robocall mitigation and numbering administration</w:t>
      </w:r>
      <w:r>
        <w:t>?</w:t>
      </w:r>
      <w:r w:rsidRPr="00A55B3E">
        <w:t xml:space="preserve">  We note that some such information is subject to confidentiality under our rules</w:t>
      </w:r>
      <w:r>
        <w:rPr>
          <w:rStyle w:val="FootnoteReference"/>
        </w:rPr>
        <w:footnoteReference w:id="142"/>
      </w:r>
      <w:r w:rsidRPr="00A55B3E">
        <w:t xml:space="preserve"> and seek comment on how to address that confidentiality if we require any numbering information to be submitted in the RMD.</w:t>
      </w:r>
      <w:r>
        <w:rPr>
          <w:rStyle w:val="FootnoteReference"/>
        </w:rPr>
        <w:footnoteReference w:id="143"/>
      </w:r>
      <w:r w:rsidRPr="00A55B3E">
        <w:t xml:space="preserve">  To what extent would requiring the submission of any such numbering information in the RMD be duplicative of providers’ reporting requirements to the NANPA, and what, if any, benefits or burdens would result from such duplicative reporting? </w:t>
      </w:r>
    </w:p>
    <w:p w:rsidR="005919ED" w:rsidRPr="00A55B3E" w:rsidP="005919ED" w14:paraId="12208D1C" w14:textId="77777777">
      <w:pPr>
        <w:pStyle w:val="ParaNum"/>
      </w:pPr>
      <w:r w:rsidRPr="00A55B3E">
        <w:rPr>
          <w:i/>
          <w:iCs/>
        </w:rPr>
        <w:t xml:space="preserve">Nature of </w:t>
      </w:r>
      <w:r>
        <w:rPr>
          <w:i/>
          <w:iCs/>
        </w:rPr>
        <w:t>s</w:t>
      </w:r>
      <w:r w:rsidRPr="00A55B3E">
        <w:rPr>
          <w:i/>
          <w:iCs/>
        </w:rPr>
        <w:t>ervices.</w:t>
      </w:r>
      <w:r w:rsidRPr="00A55B3E">
        <w:t xml:space="preserve">  We propose to require providers to submit a general description about the nature of their voice services, including the types of services they offer and the types of customers they serve or intend to serve.  We believe this information will help us better understand the types of voice services and business arrangements in the ecosystem, whether </w:t>
      </w:r>
      <w:r w:rsidRPr="00A55B3E">
        <w:t>providers’</w:t>
      </w:r>
      <w:r w:rsidRPr="00A55B3E">
        <w:t xml:space="preserve"> robocall mitigation programs are sufficient for the type</w:t>
      </w:r>
      <w:r>
        <w:t>s</w:t>
      </w:r>
      <w:r w:rsidRPr="00A55B3E">
        <w:t xml:space="preserve"> of services they provide, and whether providers are validly claiming an exemption from the STIR/SHAKEN implementation obligation.  We seek comment on this proposal and assessment.  Should we establish more specific requirements for what the description must include?</w:t>
      </w:r>
    </w:p>
    <w:p w:rsidR="005919ED" w:rsidRPr="00A55B3E" w:rsidP="005919ED" w14:paraId="05D2308F" w14:textId="77777777">
      <w:pPr>
        <w:pStyle w:val="ParaNum"/>
      </w:pPr>
      <w:r w:rsidRPr="00A55B3E">
        <w:rPr>
          <w:i/>
          <w:iCs/>
        </w:rPr>
        <w:t xml:space="preserve">Additional </w:t>
      </w:r>
      <w:r>
        <w:rPr>
          <w:i/>
          <w:iCs/>
        </w:rPr>
        <w:t>p</w:t>
      </w:r>
      <w:r w:rsidRPr="00A55B3E">
        <w:rPr>
          <w:i/>
          <w:iCs/>
        </w:rPr>
        <w:t xml:space="preserve">rovider </w:t>
      </w:r>
      <w:r>
        <w:rPr>
          <w:i/>
          <w:iCs/>
        </w:rPr>
        <w:t>i</w:t>
      </w:r>
      <w:r w:rsidRPr="00A55B3E">
        <w:rPr>
          <w:i/>
          <w:iCs/>
        </w:rPr>
        <w:t>nformation</w:t>
      </w:r>
      <w:r w:rsidRPr="00A55B3E">
        <w:rPr>
          <w:i/>
          <w:iCs/>
        </w:rPr>
        <w:t>.</w:t>
      </w:r>
      <w:r w:rsidRPr="00A55B3E">
        <w:rPr>
          <w:i/>
          <w:iCs/>
        </w:rPr>
        <w:t xml:space="preserve">  </w:t>
      </w:r>
      <w:r w:rsidRPr="00A55B3E">
        <w:t xml:space="preserve">We seek </w:t>
      </w:r>
      <w:r w:rsidRPr="00A55B3E">
        <w:t>comment</w:t>
      </w:r>
      <w:r w:rsidRPr="00A55B3E">
        <w:t xml:space="preserve"> on</w:t>
      </w:r>
      <w:r w:rsidRPr="00A55B3E">
        <w:t xml:space="preserve"> </w:t>
      </w:r>
      <w:r w:rsidRPr="00A55B3E">
        <w:t xml:space="preserve">requiring providers to submit additional information about their businesses in the RMD that largely aligns with the KYUP information we proposed in the </w:t>
      </w:r>
      <w:r w:rsidRPr="00A55B3E">
        <w:rPr>
          <w:i/>
          <w:iCs/>
        </w:rPr>
        <w:t>KYUP FNPRM</w:t>
      </w:r>
      <w:r w:rsidRPr="00A55B3E">
        <w:t xml:space="preserve"> or an explanation for why they cannot supply such information.  Th</w:t>
      </w:r>
      <w:r>
        <w:t>e</w:t>
      </w:r>
      <w:r w:rsidRPr="00A55B3E">
        <w:t xml:space="preserve"> </w:t>
      </w:r>
      <w:r>
        <w:rPr>
          <w:i/>
          <w:iCs/>
        </w:rPr>
        <w:t>KYUP</w:t>
      </w:r>
      <w:r w:rsidRPr="00CD616B">
        <w:rPr>
          <w:i/>
        </w:rPr>
        <w:t xml:space="preserve"> </w:t>
      </w:r>
      <w:r w:rsidRPr="00A55B3E">
        <w:rPr>
          <w:i/>
        </w:rPr>
        <w:t>FNPRM</w:t>
      </w:r>
      <w:r w:rsidRPr="00A55B3E">
        <w:t xml:space="preserve"> proposes to require that providers obtain information categorized under six types,</w:t>
      </w:r>
      <w:r>
        <w:rPr>
          <w:rStyle w:val="FootnoteReference"/>
        </w:rPr>
        <w:footnoteReference w:id="144"/>
      </w:r>
      <w:r w:rsidRPr="00A55B3E">
        <w:t xml:space="preserve"> some of which is already required by our existing RMD rules and some of which is addressed by the discussion above.  The following is the remaining information by type that we believe may be beneficial for providers to submit in the RMD.</w:t>
      </w:r>
      <w:r>
        <w:rPr>
          <w:rStyle w:val="FootnoteReference"/>
        </w:rPr>
        <w:footnoteReference w:id="145"/>
      </w:r>
      <w:r w:rsidRPr="00A55B3E">
        <w:t xml:space="preserve">  We note in footnotes when such information relates to an existing RMD filing requirement and we seek comment on whether a requirement to collect such information should replace or augment the existing requirement.</w:t>
      </w:r>
    </w:p>
    <w:p w:rsidR="005919ED" w:rsidRPr="00A55B3E" w:rsidP="005919ED" w14:paraId="6B9D9911" w14:textId="77777777">
      <w:pPr>
        <w:pStyle w:val="ParaNum"/>
        <w:numPr>
          <w:ilvl w:val="0"/>
          <w:numId w:val="14"/>
        </w:numPr>
        <w:ind w:left="1080"/>
      </w:pPr>
      <w:r w:rsidRPr="00A55B3E">
        <w:t>General business information, including:</w:t>
      </w:r>
    </w:p>
    <w:p w:rsidR="005919ED" w:rsidRPr="00A55B3E" w:rsidP="005919ED" w14:paraId="18060715" w14:textId="77777777">
      <w:pPr>
        <w:pStyle w:val="ParaNum"/>
        <w:numPr>
          <w:ilvl w:val="1"/>
          <w:numId w:val="15"/>
        </w:numPr>
        <w:ind w:left="1440"/>
      </w:pPr>
      <w:r w:rsidRPr="00A55B3E">
        <w:t xml:space="preserve">supporting records for legal business </w:t>
      </w:r>
      <w:r w:rsidRPr="00A55B3E">
        <w:t>name</w:t>
      </w:r>
      <w:r w:rsidRPr="00A55B3E">
        <w:t xml:space="preserve"> (e.g., government </w:t>
      </w:r>
      <w:r w:rsidRPr="00A55B3E">
        <w:t>record</w:t>
      </w:r>
      <w:r w:rsidRPr="00A55B3E">
        <w:t>, government identification, lease, utility statement, search result from a government website, or report from a legitimate private database that validates company information);</w:t>
      </w:r>
      <w:r>
        <w:rPr>
          <w:rStyle w:val="FootnoteReference"/>
        </w:rPr>
        <w:footnoteReference w:id="146"/>
      </w:r>
    </w:p>
    <w:p w:rsidR="005919ED" w:rsidRPr="00A55B3E" w:rsidP="005919ED" w14:paraId="3A4A654E" w14:textId="77777777">
      <w:pPr>
        <w:pStyle w:val="ParaNum"/>
        <w:numPr>
          <w:ilvl w:val="1"/>
          <w:numId w:val="15"/>
        </w:numPr>
        <w:ind w:left="1440"/>
      </w:pPr>
      <w:r w:rsidRPr="00A55B3E">
        <w:t>any prior business names or trade names (DBAs) the company has used in the last three years;</w:t>
      </w:r>
      <w:r>
        <w:rPr>
          <w:rStyle w:val="FootnoteReference"/>
        </w:rPr>
        <w:footnoteReference w:id="147"/>
      </w:r>
    </w:p>
    <w:p w:rsidR="005919ED" w:rsidRPr="00A55B3E" w:rsidP="005919ED" w14:paraId="531D2F69" w14:textId="77777777">
      <w:pPr>
        <w:pStyle w:val="ParaNum"/>
        <w:numPr>
          <w:ilvl w:val="1"/>
          <w:numId w:val="15"/>
        </w:numPr>
        <w:ind w:left="1440"/>
      </w:pPr>
      <w:r w:rsidRPr="00A55B3E">
        <w:t>a physical address that is a bona fide place of business for the upstream provider and is not a virtual address, shared office location without a dedicated suite or floor, P.O. Box, mail forwarding service, hosted server location, registered agent, or address shared by multiple unrelated or purportedly unrelated businesses;</w:t>
      </w:r>
      <w:r>
        <w:rPr>
          <w:rStyle w:val="FootnoteReference"/>
        </w:rPr>
        <w:footnoteReference w:id="148"/>
      </w:r>
      <w:r w:rsidRPr="00A55B3E">
        <w:t xml:space="preserve"> and</w:t>
      </w:r>
    </w:p>
    <w:p w:rsidR="005919ED" w:rsidRPr="00A55B3E" w:rsidP="005919ED" w14:paraId="21B0B353" w14:textId="77777777">
      <w:pPr>
        <w:pStyle w:val="ParaNum"/>
        <w:numPr>
          <w:ilvl w:val="1"/>
          <w:numId w:val="15"/>
        </w:numPr>
        <w:ind w:left="1440"/>
      </w:pPr>
      <w:r w:rsidRPr="00A55B3E">
        <w:t>contact information, including a business telephone number and email address;</w:t>
      </w:r>
      <w:r>
        <w:rPr>
          <w:rStyle w:val="FootnoteReference"/>
        </w:rPr>
        <w:footnoteReference w:id="149"/>
      </w:r>
    </w:p>
    <w:p w:rsidR="005919ED" w:rsidRPr="00A55B3E" w:rsidP="005919ED" w14:paraId="12DC4B60" w14:textId="77777777">
      <w:pPr>
        <w:pStyle w:val="ParaNum"/>
        <w:numPr>
          <w:ilvl w:val="0"/>
          <w:numId w:val="14"/>
        </w:numPr>
        <w:ind w:left="1080"/>
      </w:pPr>
      <w:r w:rsidRPr="00A55B3E">
        <w:t xml:space="preserve">Internet commercial presence information, such as </w:t>
      </w:r>
      <w:r w:rsidRPr="00A55B3E">
        <w:t>website</w:t>
      </w:r>
      <w:r w:rsidRPr="00A55B3E">
        <w:t>, social media, or apps;</w:t>
      </w:r>
    </w:p>
    <w:p w:rsidR="005919ED" w:rsidRPr="00A55B3E" w:rsidP="005919ED" w14:paraId="28445BA6" w14:textId="77777777">
      <w:pPr>
        <w:pStyle w:val="ParaNum"/>
        <w:numPr>
          <w:ilvl w:val="0"/>
          <w:numId w:val="14"/>
        </w:numPr>
        <w:ind w:left="1080"/>
      </w:pPr>
      <w:r w:rsidRPr="00A55B3E">
        <w:t>Ownership and affiliate information, including:</w:t>
      </w:r>
    </w:p>
    <w:p w:rsidR="005919ED" w:rsidRPr="00A55B3E" w:rsidP="005919ED" w14:paraId="617CA481" w14:textId="77777777">
      <w:pPr>
        <w:pStyle w:val="ParaNum"/>
        <w:numPr>
          <w:ilvl w:val="1"/>
          <w:numId w:val="15"/>
        </w:numPr>
        <w:ind w:left="1440"/>
      </w:pPr>
      <w:r w:rsidRPr="00A55B3E">
        <w:t>information about owners and company leadership (including ultimate beneficial owners and authorized business representatives), including their name, title, business telephone number, business email address, work address, country of residence, citizenship, and copies of government issued identification;</w:t>
      </w:r>
      <w:r>
        <w:rPr>
          <w:rStyle w:val="FootnoteReference"/>
        </w:rPr>
        <w:footnoteReference w:id="150"/>
      </w:r>
    </w:p>
    <w:p w:rsidR="005919ED" w:rsidRPr="00A55B3E" w:rsidP="005919ED" w14:paraId="05BFC15C" w14:textId="77777777">
      <w:pPr>
        <w:pStyle w:val="ParaNum"/>
        <w:numPr>
          <w:ilvl w:val="1"/>
          <w:numId w:val="15"/>
        </w:numPr>
        <w:ind w:left="1440"/>
      </w:pPr>
      <w:r w:rsidRPr="00A55B3E">
        <w:t>additional information about the company’s parents, affiliates, and subsidiaries, including their business names, trade names (DBAs), place of incorporation, and principal places of business;</w:t>
      </w:r>
      <w:r>
        <w:rPr>
          <w:rStyle w:val="FootnoteReference"/>
        </w:rPr>
        <w:footnoteReference w:id="151"/>
      </w:r>
    </w:p>
    <w:p w:rsidR="005919ED" w:rsidRPr="00A55B3E" w:rsidP="005919ED" w14:paraId="28698764" w14:textId="77777777">
      <w:pPr>
        <w:pStyle w:val="ParaNum"/>
        <w:numPr>
          <w:ilvl w:val="1"/>
          <w:numId w:val="15"/>
        </w:numPr>
        <w:ind w:left="1440"/>
      </w:pPr>
      <w:r w:rsidRPr="00A55B3E">
        <w:t>names, addresses (including country), email addresses, and ownership stake for all individuals with 10% or more direct or indirect ownership of the company; and</w:t>
      </w:r>
    </w:p>
    <w:p w:rsidR="005919ED" w:rsidRPr="00A55B3E" w:rsidP="005919ED" w14:paraId="737BDE2B" w14:textId="77777777">
      <w:pPr>
        <w:pStyle w:val="ParaNum"/>
        <w:numPr>
          <w:ilvl w:val="1"/>
          <w:numId w:val="15"/>
        </w:numPr>
        <w:ind w:left="1440"/>
      </w:pPr>
      <w:r w:rsidRPr="00A55B3E">
        <w:t>whether or not the provider or its parents, affiliates, subsidiaries, principals, owners, or leadership, and other companies where any such persons have served as a principal, owner, or leader, have been the subject of any criminal or regulatory investigations or actions in the past five years and the nature of such investigations or actions;</w:t>
      </w:r>
    </w:p>
    <w:p w:rsidR="005919ED" w:rsidRPr="00A55B3E" w:rsidP="005919ED" w14:paraId="72070577" w14:textId="77777777">
      <w:pPr>
        <w:pStyle w:val="ParaNum"/>
        <w:numPr>
          <w:ilvl w:val="0"/>
          <w:numId w:val="14"/>
        </w:numPr>
        <w:ind w:left="1080"/>
      </w:pPr>
      <w:r w:rsidRPr="00A55B3E">
        <w:t>Operational information, including:</w:t>
      </w:r>
    </w:p>
    <w:p w:rsidR="005919ED" w:rsidRPr="00A55B3E" w:rsidP="005919ED" w14:paraId="12698B29" w14:textId="77777777">
      <w:pPr>
        <w:pStyle w:val="ParaNum"/>
        <w:numPr>
          <w:ilvl w:val="1"/>
          <w:numId w:val="15"/>
        </w:numPr>
        <w:ind w:left="1440"/>
      </w:pPr>
      <w:r w:rsidRPr="00A55B3E">
        <w:t>place of formation and corporate formation records, including proof of good standing;</w:t>
      </w:r>
    </w:p>
    <w:p w:rsidR="005919ED" w:rsidRPr="00A55B3E" w:rsidP="005919ED" w14:paraId="760C7125" w14:textId="77777777">
      <w:pPr>
        <w:pStyle w:val="ParaNum"/>
        <w:numPr>
          <w:ilvl w:val="1"/>
          <w:numId w:val="15"/>
        </w:numPr>
        <w:ind w:left="1440"/>
      </w:pPr>
      <w:r w:rsidRPr="00A55B3E">
        <w:t>location of its principal operations, how long the company has been operating, and whether the company has any foreign ownership or management; and</w:t>
      </w:r>
    </w:p>
    <w:p w:rsidR="005919ED" w:rsidRPr="00A55B3E" w:rsidP="005919ED" w14:paraId="565D7CB2" w14:textId="77777777">
      <w:pPr>
        <w:pStyle w:val="ParaNum"/>
        <w:numPr>
          <w:ilvl w:val="1"/>
          <w:numId w:val="15"/>
        </w:numPr>
        <w:ind w:left="1440"/>
      </w:pPr>
      <w:r w:rsidRPr="00A55B3E">
        <w:t xml:space="preserve">business registration number in its jurisdiction (such as federal or state Employer Identification Numbers (EINs) for U.S. providers and the </w:t>
      </w:r>
      <w:r w:rsidRPr="00A55B3E">
        <w:t>foreign-equivalents</w:t>
      </w:r>
      <w:r w:rsidRPr="00A55B3E">
        <w:t xml:space="preserve"> for foreign providers);</w:t>
      </w:r>
    </w:p>
    <w:p w:rsidR="005919ED" w:rsidRPr="00A55B3E" w:rsidP="005919ED" w14:paraId="5B859400" w14:textId="77777777">
      <w:pPr>
        <w:pStyle w:val="ParaNum"/>
        <w:numPr>
          <w:ilvl w:val="0"/>
          <w:numId w:val="14"/>
        </w:numPr>
        <w:ind w:left="1080"/>
      </w:pPr>
      <w:r w:rsidRPr="00A55B3E">
        <w:t>Service information, including</w:t>
      </w:r>
      <w:r>
        <w:rPr>
          <w:rStyle w:val="FootnoteReference"/>
        </w:rPr>
        <w:footnoteReference w:id="152"/>
      </w:r>
      <w:r>
        <w:t>:</w:t>
      </w:r>
    </w:p>
    <w:p w:rsidR="005919ED" w:rsidRPr="00A55B3E" w:rsidP="005919ED" w14:paraId="2E8BADF3" w14:textId="77777777">
      <w:pPr>
        <w:pStyle w:val="ParaNum"/>
        <w:numPr>
          <w:ilvl w:val="1"/>
          <w:numId w:val="15"/>
        </w:numPr>
        <w:ind w:left="1440"/>
      </w:pPr>
      <w:r w:rsidRPr="00A55B3E">
        <w:t>whether it relies on non-Internet Protocol (IP) technology; and</w:t>
      </w:r>
    </w:p>
    <w:p w:rsidR="005919ED" w:rsidRPr="00A55B3E" w:rsidP="005919ED" w14:paraId="3F9D16F9" w14:textId="77777777">
      <w:pPr>
        <w:pStyle w:val="ParaNum"/>
        <w:numPr>
          <w:ilvl w:val="1"/>
          <w:numId w:val="15"/>
        </w:numPr>
        <w:ind w:left="1440"/>
      </w:pPr>
      <w:r w:rsidRPr="00A55B3E">
        <w:t xml:space="preserve">whether another voice service provider has refused or discontinued service to the provider for any of the reasons described in the </w:t>
      </w:r>
      <w:r w:rsidRPr="00A55B3E">
        <w:rPr>
          <w:i/>
          <w:iCs/>
        </w:rPr>
        <w:t>KYUP FNPRM</w:t>
      </w:r>
      <w:r w:rsidRPr="00A55B3E">
        <w:t>,</w:t>
      </w:r>
      <w:r>
        <w:rPr>
          <w:rStyle w:val="FootnoteReference"/>
        </w:rPr>
        <w:footnoteReference w:id="153"/>
      </w:r>
      <w:r w:rsidRPr="00A55B3E">
        <w:t xml:space="preserve"> and the reason(s) for such refusal or discontinuance.</w:t>
      </w:r>
      <w:r>
        <w:rPr>
          <w:rStyle w:val="FootnoteReference"/>
        </w:rPr>
        <w:footnoteReference w:id="154"/>
      </w:r>
    </w:p>
    <w:p w:rsidR="005919ED" w:rsidRPr="00A55B3E" w:rsidP="005919ED" w14:paraId="0887242E" w14:textId="77777777">
      <w:pPr>
        <w:pStyle w:val="ParaNum"/>
        <w:numPr>
          <w:ilvl w:val="0"/>
          <w:numId w:val="0"/>
        </w:numPr>
      </w:pPr>
      <w:r w:rsidRPr="00A55B3E">
        <w:t xml:space="preserve">We believe that requiring providers to submit this information could enhance our ability to evaluate providers and their </w:t>
      </w:r>
      <w:r w:rsidRPr="00A55B3E">
        <w:t>practices, and</w:t>
      </w:r>
      <w:r w:rsidRPr="00A55B3E">
        <w:t xml:space="preserve"> ultimately reduce the need for extended reviews and investigations.  We also believe it could enhance the ability of other providers to perform KYUP obligations, particularly if we adopt our KYUP proposals in the </w:t>
      </w:r>
      <w:r w:rsidRPr="00A55B3E">
        <w:rPr>
          <w:i/>
          <w:iCs/>
        </w:rPr>
        <w:t>KYUP FNPRM</w:t>
      </w:r>
      <w:r w:rsidRPr="00A55B3E">
        <w:t xml:space="preserve">.  Additionally, we think the incremental costs of any such requirements are likely negligible if we adopt our KYUP proposals, as providers will need to compile </w:t>
      </w:r>
      <w:r>
        <w:t xml:space="preserve">and supply </w:t>
      </w:r>
      <w:r w:rsidRPr="00A55B3E">
        <w:t>this information to their downstream providers already.</w:t>
      </w:r>
      <w:r>
        <w:rPr>
          <w:rStyle w:val="FootnoteReference"/>
        </w:rPr>
        <w:footnoteReference w:id="155"/>
      </w:r>
      <w:r>
        <w:t xml:space="preserve">  W</w:t>
      </w:r>
      <w:r w:rsidRPr="00A55B3E">
        <w:t>e seek comment on these views and other benefits or drawbacks to providers submitting this information in the RMD.</w:t>
      </w:r>
    </w:p>
    <w:p w:rsidR="005919ED" w:rsidRPr="00A55B3E" w:rsidP="005919ED" w14:paraId="4383A465" w14:textId="77777777">
      <w:pPr>
        <w:pStyle w:val="Heading4"/>
      </w:pPr>
      <w:r w:rsidRPr="00A55B3E">
        <w:t>Robocall Mitigation Plan</w:t>
      </w:r>
    </w:p>
    <w:p w:rsidR="005919ED" w:rsidRPr="00A55B3E" w:rsidP="005919ED" w14:paraId="2C468C90" w14:textId="77777777">
      <w:pPr>
        <w:pStyle w:val="ParaNum"/>
      </w:pPr>
      <w:r w:rsidRPr="00A55B3E">
        <w:t xml:space="preserve">In this section, we propose and seek </w:t>
      </w:r>
      <w:r w:rsidRPr="00A55B3E">
        <w:t>comment</w:t>
      </w:r>
      <w:r w:rsidRPr="00A55B3E">
        <w:t xml:space="preserve"> on measures to strengthen the robocall mitigation program and plan obligations for all voice service providers.  As part of our efforts to improve the reliability of RMD filings, we invite </w:t>
      </w:r>
      <w:r w:rsidRPr="00A55B3E">
        <w:t>comment</w:t>
      </w:r>
      <w:r w:rsidRPr="00A55B3E">
        <w:t xml:space="preserve"> </w:t>
      </w:r>
      <w:r w:rsidRPr="00A55B3E">
        <w:t>on</w:t>
      </w:r>
      <w:r w:rsidRPr="00A55B3E">
        <w:t xml:space="preserve"> the extent to which any of the information required under our proposals should be provided on the RMD submission form instead of in the robocall mitigation plan. </w:t>
      </w:r>
    </w:p>
    <w:p w:rsidR="005919ED" w:rsidRPr="00A55B3E" w:rsidP="005919ED" w14:paraId="298B29EF" w14:textId="77777777">
      <w:pPr>
        <w:pStyle w:val="ParaNum"/>
        <w:rPr>
          <w:szCs w:val="22"/>
        </w:rPr>
      </w:pPr>
      <w:r w:rsidRPr="00A55B3E">
        <w:rPr>
          <w:i/>
          <w:iCs/>
          <w:szCs w:val="22"/>
        </w:rPr>
        <w:t xml:space="preserve">Heightened </w:t>
      </w:r>
      <w:r w:rsidRPr="00A55B3E">
        <w:rPr>
          <w:i/>
          <w:iCs/>
          <w:szCs w:val="22"/>
        </w:rPr>
        <w:t>robocall mitigation program requirement</w:t>
      </w:r>
      <w:r w:rsidRPr="00A55B3E">
        <w:rPr>
          <w:i/>
          <w:iCs/>
          <w:szCs w:val="22"/>
        </w:rPr>
        <w:t xml:space="preserve">.  </w:t>
      </w:r>
      <w:r w:rsidRPr="00A55B3E">
        <w:rPr>
          <w:szCs w:val="22"/>
        </w:rPr>
        <w:t>We propose to enhance the general requirement that providers implement a robocall mitigation program to align with our expectations set out in existing and proposed rules.  Under the Commission’s current rules, voice service providers are required to “implement an appropriate robocall mitigation program” that includes “reasonable steps” to avoid, as applicable, the origination, carrying, or processing of illegal robocall traffic.</w:t>
      </w:r>
      <w:r>
        <w:rPr>
          <w:rStyle w:val="FootnoteReference"/>
        </w:rPr>
        <w:footnoteReference w:id="156"/>
      </w:r>
      <w:r w:rsidRPr="00A55B3E">
        <w:rPr>
          <w:szCs w:val="22"/>
        </w:rPr>
        <w:t xml:space="preserve">  The proposed streamlined rule in the </w:t>
      </w:r>
      <w:r w:rsidRPr="00A55B3E">
        <w:rPr>
          <w:i/>
          <w:iCs/>
          <w:szCs w:val="22"/>
        </w:rPr>
        <w:t xml:space="preserve">KYUP FNPRM </w:t>
      </w:r>
      <w:r w:rsidRPr="00A55B3E">
        <w:rPr>
          <w:szCs w:val="22"/>
        </w:rPr>
        <w:t>would require that each voice service provider take “reasonable steps to prevent its network or services from being used to transmit illegal robocalls.”</w:t>
      </w:r>
      <w:r>
        <w:rPr>
          <w:rStyle w:val="FootnoteReference"/>
          <w:szCs w:val="22"/>
        </w:rPr>
        <w:footnoteReference w:id="157"/>
      </w:r>
      <w:r w:rsidRPr="00A55B3E">
        <w:rPr>
          <w:szCs w:val="22"/>
        </w:rPr>
        <w:t xml:space="preserve">  We propose to further revise the streamlined rule in the following two ways.</w:t>
      </w:r>
    </w:p>
    <w:p w:rsidR="005919ED" w:rsidRPr="00A55B3E" w:rsidP="005919ED" w14:paraId="5AD48373" w14:textId="77777777">
      <w:pPr>
        <w:pStyle w:val="ParaNum"/>
        <w:rPr>
          <w:szCs w:val="22"/>
        </w:rPr>
      </w:pPr>
      <w:r w:rsidRPr="00A55B3E">
        <w:rPr>
          <w:szCs w:val="22"/>
        </w:rPr>
        <w:t>First, we propose to require that all voice service providers implement a robocall mitigation program that includes “affirmative, effective measures” rather than just “reasonable steps.”  Although the Commission has previously declined to replace the “reasonable steps” general mitigation standard with the “affirmative, effective measures” standard,</w:t>
      </w:r>
      <w:r>
        <w:rPr>
          <w:rStyle w:val="FootnoteReference"/>
          <w:szCs w:val="22"/>
        </w:rPr>
        <w:footnoteReference w:id="158"/>
      </w:r>
      <w:r w:rsidRPr="00A55B3E">
        <w:rPr>
          <w:szCs w:val="22"/>
        </w:rPr>
        <w:t xml:space="preserve"> we now believe the existing requirement is too lax, as it allows providers to skate by without adopting meaningful robocall mitigation practices.  Specifically, we do not believe the “reasonable steps” requirement compels providers to institute an ongoing effort to ensure that the measures that comprise their robocall mitigation program are effective.  Our revised requirement would also align with providers’ existing general KYC obligation</w:t>
      </w:r>
      <w:r>
        <w:rPr>
          <w:rStyle w:val="FootnoteReference"/>
        </w:rPr>
        <w:footnoteReference w:id="159"/>
      </w:r>
      <w:r w:rsidRPr="00A55B3E">
        <w:rPr>
          <w:szCs w:val="22"/>
        </w:rPr>
        <w:t xml:space="preserve"> and our recently proposed heightened general KYUP obligation,</w:t>
      </w:r>
      <w:r>
        <w:rPr>
          <w:rStyle w:val="FootnoteReference"/>
        </w:rPr>
        <w:footnoteReference w:id="160"/>
      </w:r>
      <w:r w:rsidRPr="00A55B3E">
        <w:rPr>
          <w:szCs w:val="22"/>
        </w:rPr>
        <w:t xml:space="preserve"> thereby promoting regulatory consistency and administrability.  We seek </w:t>
      </w:r>
      <w:r w:rsidRPr="00A55B3E">
        <w:rPr>
          <w:szCs w:val="22"/>
        </w:rPr>
        <w:t>comment</w:t>
      </w:r>
      <w:r w:rsidRPr="00A55B3E">
        <w:rPr>
          <w:szCs w:val="22"/>
        </w:rPr>
        <w:t xml:space="preserve"> on this proposal and analysis.  If we adopt such an approach, should we provide additional guidance to voice service providers about what measures would be deemed “affirmative” and “effective,” and if so, what should that guidance include?</w:t>
      </w:r>
    </w:p>
    <w:p w:rsidR="005919ED" w:rsidP="005919ED" w14:paraId="25C3B383" w14:textId="77777777">
      <w:pPr>
        <w:pStyle w:val="ParaNum"/>
        <w:rPr>
          <w:szCs w:val="22"/>
        </w:rPr>
      </w:pPr>
      <w:r w:rsidRPr="571F214D">
        <w:t xml:space="preserve">Second, we propose to amend the rule to require that providers’ mitigation measures be designed to prevent their network or services from being used to transmit all illegal calls and not just illegal </w:t>
      </w:r>
      <w:r w:rsidRPr="571F214D">
        <w:rPr>
          <w:i/>
        </w:rPr>
        <w:t>robo</w:t>
      </w:r>
      <w:r w:rsidRPr="571F214D">
        <w:t>calls.  When the Commission first developed the RMD to collect robocall mitigation program information for providers that received a STIR/SHAKEN implementation exemption, it followed the TRACED Act’s usage of the term “robocall mitigation program.”</w:t>
      </w:r>
      <w:r>
        <w:rPr>
          <w:rStyle w:val="FootnoteReference"/>
        </w:rPr>
        <w:footnoteReference w:id="161"/>
      </w:r>
      <w:r w:rsidRPr="571F214D">
        <w:t xml:space="preserve">  However, the Commission has frequently stated its intent to combat all illegal calls, and not just calls that meet the technical definition of a robocall,</w:t>
      </w:r>
      <w:r w:rsidRPr="00A55B3E">
        <w:rPr>
          <w:bCs/>
        </w:rPr>
        <w:t xml:space="preserve"> which may only include certain scam, fraud, and otherwise impermissible calls</w:t>
      </w:r>
      <w:r w:rsidRPr="00A55B3E">
        <w:rPr>
          <w:szCs w:val="22"/>
        </w:rPr>
        <w:t>.</w:t>
      </w:r>
      <w:r>
        <w:rPr>
          <w:rStyle w:val="FootnoteReference"/>
        </w:rPr>
        <w:footnoteReference w:id="162"/>
      </w:r>
      <w:r w:rsidRPr="571F214D">
        <w:t xml:space="preserve">  Indeed, </w:t>
      </w:r>
      <w:r w:rsidRPr="00A55B3E">
        <w:rPr>
          <w:bCs/>
        </w:rPr>
        <w:t>the Commission’s KYC rule requires providers to take affirmative, effective measures to prevent new and renewing customers from using their networks to originate “illegal calls,”</w:t>
      </w:r>
      <w:r>
        <w:rPr>
          <w:rStyle w:val="FootnoteReference"/>
        </w:rPr>
        <w:footnoteReference w:id="163"/>
      </w:r>
      <w:r w:rsidRPr="00A55B3E">
        <w:rPr>
          <w:bCs/>
        </w:rPr>
        <w:t xml:space="preserve"> its KYUP rule requires providers to take reasonable and effective steps to ensure that upstream providers are not using them to carry or process a high volume of “illegal traffic,”</w:t>
      </w:r>
      <w:r>
        <w:rPr>
          <w:rStyle w:val="FootnoteReference"/>
        </w:rPr>
        <w:footnoteReference w:id="164"/>
      </w:r>
      <w:r w:rsidRPr="00A55B3E">
        <w:rPr>
          <w:rStyle w:val="FootnoteReference"/>
        </w:rPr>
        <w:t xml:space="preserve"> </w:t>
      </w:r>
      <w:r w:rsidRPr="00A55B3E">
        <w:rPr>
          <w:bCs/>
        </w:rPr>
        <w:t>and its call blocking rules also refer to the general categories of illegal calls or illegal traffic.</w:t>
      </w:r>
      <w:r>
        <w:rPr>
          <w:rStyle w:val="FootnoteReference"/>
          <w:bCs/>
        </w:rPr>
        <w:footnoteReference w:id="165"/>
      </w:r>
      <w:r w:rsidRPr="00A55B3E">
        <w:rPr>
          <w:bCs/>
        </w:rPr>
        <w:t xml:space="preserve">  Given the Commission’s emphasis on combatting all illegal calls, and that the Commission and stakeholders often use </w:t>
      </w:r>
      <w:r w:rsidRPr="571F214D">
        <w:t>the term “robocall” colloquially to refer to all illegal calls, we believe that responsible providers already design their robocall mitigation programs to prevent their networks or services from being used to transmit all illegal calls, and not just illegal robocalls.  To the extent that is not the case, we propose to amend the robocall mitigation plan rule to require that providers implement measures to address all “illegal calls.”</w:t>
      </w:r>
      <w:r>
        <w:rPr>
          <w:rStyle w:val="FootnoteReference"/>
        </w:rPr>
        <w:footnoteReference w:id="166"/>
      </w:r>
      <w:r w:rsidRPr="571F214D">
        <w:t xml:space="preserve">  We believe this proposal would promote regulatory consistency within our rules targeting illegal calls.  We seek </w:t>
      </w:r>
      <w:r w:rsidRPr="571F214D">
        <w:t>comment</w:t>
      </w:r>
      <w:r w:rsidRPr="571F214D">
        <w:t xml:space="preserve"> on this proposal and analysis.</w:t>
      </w:r>
    </w:p>
    <w:p w:rsidR="005919ED" w:rsidRPr="00A55B3E" w:rsidP="005919ED" w14:paraId="5FCA6F2C" w14:textId="77777777">
      <w:pPr>
        <w:pStyle w:val="ParaNum"/>
      </w:pPr>
      <w:r w:rsidRPr="00A55B3E">
        <w:rPr>
          <w:i/>
          <w:iCs/>
        </w:rPr>
        <w:t>Strengthened robocall mitigation plan requirements.</w:t>
      </w:r>
      <w:r w:rsidRPr="00A55B3E">
        <w:t xml:space="preserve">  We propose to strengthen the existing requirement that providers submit a description of </w:t>
      </w:r>
      <w:r w:rsidRPr="00A55B3E">
        <w:t>their</w:t>
      </w:r>
      <w:r w:rsidRPr="00A55B3E">
        <w:t xml:space="preserve"> robocall mitigation program (i.e., a robocall mitigation plan)</w:t>
      </w:r>
      <w:r>
        <w:rPr>
          <w:rStyle w:val="FootnoteReference"/>
        </w:rPr>
        <w:footnoteReference w:id="167"/>
      </w:r>
      <w:r w:rsidRPr="00A55B3E">
        <w:t xml:space="preserve"> to sync the rule with our proposed heightened robocall mitigation program standard, ensure providers take their robocall mitigation program obligations seriously, and provide a firmer basis for holding providers accountable.  Under our current rules, providers must submit with their RMD filing a robocall mitigation plan that describes the specific reasonable steps they have taken to avoid, as applicable, originating, carrying, or processing illegal robocall traffic as part of their robocall mitigation program, including a description of how they comply with KYC and KYUP requirements and the analytics systems they use to identify and block illegal traffic.</w:t>
      </w:r>
      <w:r>
        <w:rPr>
          <w:rStyle w:val="FootnoteReference"/>
        </w:rPr>
        <w:footnoteReference w:id="168"/>
      </w:r>
      <w:r w:rsidRPr="00A55B3E">
        <w:t xml:space="preserve">  We first propose to align the rule with the proposal above by requiring that providers describe the affirmative, effective measures they use to prevent their network and services from being used to transmit illegal calls.  We also propose to raise the standard for the level of information that providers must include in </w:t>
      </w:r>
      <w:r>
        <w:t>the</w:t>
      </w:r>
      <w:r w:rsidRPr="00A55B3E">
        <w:t xml:space="preserve"> descriptions of </w:t>
      </w:r>
      <w:r w:rsidRPr="00A55B3E">
        <w:t>their</w:t>
      </w:r>
      <w:r w:rsidRPr="00A55B3E">
        <w:t xml:space="preserve"> robocall mitigation programs by requiring that such descriptions be detailed.  We seek </w:t>
      </w:r>
      <w:r w:rsidRPr="00A55B3E">
        <w:t>comment</w:t>
      </w:r>
      <w:r w:rsidRPr="00A55B3E">
        <w:t xml:space="preserve"> on these proposals.</w:t>
      </w:r>
    </w:p>
    <w:p w:rsidR="005919ED" w:rsidRPr="00A55B3E" w:rsidP="005919ED" w14:paraId="7417C8DE" w14:textId="77777777">
      <w:pPr>
        <w:pStyle w:val="ParaNum"/>
      </w:pPr>
      <w:r w:rsidRPr="00A55B3E">
        <w:t xml:space="preserve">We also seek </w:t>
      </w:r>
      <w:r w:rsidRPr="00A55B3E">
        <w:t>comment</w:t>
      </w:r>
      <w:r w:rsidRPr="00A55B3E">
        <w:t xml:space="preserve"> on whether we should require that providers submit more specific information about how they comply with KYC and KYUP obligations, particularly </w:t>
      </w:r>
      <w:r w:rsidRPr="00A55B3E">
        <w:t>in light of</w:t>
      </w:r>
      <w:r w:rsidRPr="00A55B3E">
        <w:t xml:space="preserve"> our proposals in the </w:t>
      </w:r>
      <w:r w:rsidRPr="00A55B3E">
        <w:rPr>
          <w:i/>
          <w:iCs/>
        </w:rPr>
        <w:t>KYC FNPRM</w:t>
      </w:r>
      <w:r w:rsidRPr="00A55B3E">
        <w:t xml:space="preserve"> and </w:t>
      </w:r>
      <w:r w:rsidRPr="00A55B3E">
        <w:rPr>
          <w:i/>
          <w:iCs/>
        </w:rPr>
        <w:t>KYUP FNPRM</w:t>
      </w:r>
      <w:r w:rsidRPr="00A55B3E">
        <w:t>.  For example, should we require voice service providers to describe their customer identification, verification, and retention practices?</w:t>
      </w:r>
      <w:r>
        <w:rPr>
          <w:rStyle w:val="FootnoteReference"/>
          <w:szCs w:val="22"/>
        </w:rPr>
        <w:footnoteReference w:id="169"/>
      </w:r>
      <w:r w:rsidRPr="00A55B3E">
        <w:t xml:space="preserve">  Should we require providers to describe specific processes and procedures for each of the five categories of baseline KYUP measures—information collection, compliance review, information verification, monitoring, and responsive action—proposed in the </w:t>
      </w:r>
      <w:r w:rsidRPr="00A55B3E">
        <w:rPr>
          <w:i/>
          <w:iCs/>
        </w:rPr>
        <w:t>KYUP FNPRM</w:t>
      </w:r>
      <w:r>
        <w:t>.</w:t>
      </w:r>
      <w:r w:rsidRPr="00A55B3E">
        <w:t xml:space="preserve">  </w:t>
      </w:r>
      <w:r>
        <w:t>O</w:t>
      </w:r>
      <w:r w:rsidRPr="00A55B3E">
        <w:t xml:space="preserve">r </w:t>
      </w:r>
      <w:r>
        <w:t>should we</w:t>
      </w:r>
      <w:r w:rsidRPr="00A55B3E">
        <w:t xml:space="preserve"> only require that provide</w:t>
      </w:r>
      <w:r>
        <w:t>rs describe the</w:t>
      </w:r>
      <w:r w:rsidRPr="00A55B3E">
        <w:t xml:space="preserve"> KYC and KYUP practices </w:t>
      </w:r>
      <w:r>
        <w:t xml:space="preserve">they use </w:t>
      </w:r>
      <w:r w:rsidRPr="00A55B3E">
        <w:t xml:space="preserve">beyond any measures </w:t>
      </w:r>
      <w:r>
        <w:t>the Commission ultimately</w:t>
      </w:r>
      <w:r w:rsidRPr="00A55B3E">
        <w:t xml:space="preserve"> adopt</w:t>
      </w:r>
      <w:r>
        <w:t>s</w:t>
      </w:r>
      <w:r w:rsidRPr="00A55B3E">
        <w:t>?</w:t>
      </w:r>
      <w:r>
        <w:rPr>
          <w:rStyle w:val="FootnoteReference"/>
        </w:rPr>
        <w:footnoteReference w:id="170"/>
      </w:r>
    </w:p>
    <w:p w:rsidR="005919ED" w:rsidRPr="00A55B3E" w:rsidP="005919ED" w14:paraId="4F81DD57" w14:textId="77777777">
      <w:pPr>
        <w:pStyle w:val="ParaNum"/>
      </w:pPr>
      <w:r w:rsidRPr="00A55B3E">
        <w:t>We further propose to require that providers describe the specific call analytics measures they use to identify and block illegal calls and whether or not each measure is performed by the provider or a third party.</w:t>
      </w:r>
      <w:r>
        <w:rPr>
          <w:rStyle w:val="FootnoteReference"/>
        </w:rPr>
        <w:footnoteReference w:id="171"/>
      </w:r>
      <w:r w:rsidRPr="00A55B3E">
        <w:t xml:space="preserve">  We seek comment on what level of detail we should require providers use to describe their call analytics measures that would balance the need for more rigorous review of providers’ robocall mitigation plans with concerns that too much detail might provide bad actors with a roadmap to evade analytics-based blocking.  Finally, we propose to codify the requirement that providers describe any contractual provisions with end-users or upstream providers addressing robocall mitigation</w:t>
      </w:r>
      <w:r>
        <w:rPr>
          <w:rStyle w:val="FootnoteReference"/>
        </w:rPr>
        <w:footnoteReference w:id="172"/>
      </w:r>
      <w:r w:rsidRPr="00A55B3E">
        <w:t xml:space="preserve"> and seek refreshed comment on whether we should require providers to submit specific contractual provisions.</w:t>
      </w:r>
      <w:r>
        <w:rPr>
          <w:rStyle w:val="FootnoteReference"/>
        </w:rPr>
        <w:footnoteReference w:id="173"/>
      </w:r>
    </w:p>
    <w:p w:rsidR="005919ED" w:rsidRPr="00A55B3E" w:rsidP="005919ED" w14:paraId="441533A3" w14:textId="77777777">
      <w:pPr>
        <w:pStyle w:val="ParaNum"/>
      </w:pPr>
      <w:r w:rsidRPr="00A55B3E">
        <w:t xml:space="preserve">We also seek comment on whether we should require that providers submit any additional or more specific information in </w:t>
      </w:r>
      <w:r w:rsidRPr="00A55B3E">
        <w:t>their</w:t>
      </w:r>
      <w:r w:rsidRPr="00A55B3E">
        <w:t xml:space="preserve"> robocall mitigation plans.  To date, the Commission has not mandated that providers include specific measures in their mitigation plans,</w:t>
      </w:r>
      <w:r>
        <w:rPr>
          <w:rStyle w:val="FootnoteReference"/>
        </w:rPr>
        <w:footnoteReference w:id="174"/>
      </w:r>
      <w:r w:rsidRPr="00A55B3E">
        <w:t xml:space="preserve"> finding that providers require “flexibility in determining which measures to use to mitigate illegal calls on their networks.”</w:t>
      </w:r>
      <w:r>
        <w:rPr>
          <w:rStyle w:val="FootnoteReference"/>
        </w:rPr>
        <w:footnoteReference w:id="175"/>
      </w:r>
      <w:r w:rsidRPr="00A55B3E">
        <w:t xml:space="preserve">  However, Commission staff frequently identify robocall mitigation plans with minimal information and are concerned that </w:t>
      </w:r>
      <w:r>
        <w:t>the</w:t>
      </w:r>
      <w:r w:rsidRPr="00A55B3E">
        <w:t xml:space="preserve"> providers </w:t>
      </w:r>
      <w:r>
        <w:t xml:space="preserve">behind those filings </w:t>
      </w:r>
      <w:r w:rsidRPr="00A55B3E">
        <w:t>may not have implemented adequate robocall mitigation programs.  Should the level of detail we require be based on risk, and should we require that providers explain the assessment of their risk?  Should we define risk categories for different types of providers or service offerings?</w:t>
      </w:r>
      <w:r>
        <w:rPr>
          <w:rStyle w:val="FootnoteReference"/>
        </w:rPr>
        <w:footnoteReference w:id="176"/>
      </w:r>
      <w:r w:rsidRPr="00A55B3E">
        <w:t xml:space="preserve">  Should we require that providers include metrics on the effectiveness of </w:t>
      </w:r>
      <w:r w:rsidRPr="00A55B3E">
        <w:t>their</w:t>
      </w:r>
      <w:r w:rsidRPr="00A55B3E">
        <w:t xml:space="preserve"> robocall mitigation programs or details about how they follow permissive and required call blocking rules?  What would be the benefits and costs of any such requirements?</w:t>
      </w:r>
    </w:p>
    <w:p w:rsidR="005919ED" w:rsidRPr="00A55B3E" w:rsidP="005919ED" w14:paraId="7C6AD6AB" w14:textId="77777777">
      <w:pPr>
        <w:pStyle w:val="Heading3"/>
      </w:pPr>
      <w:bookmarkStart w:id="61" w:name="_Toc232150157"/>
      <w:bookmarkStart w:id="62" w:name="_Toc232150504"/>
      <w:bookmarkStart w:id="63" w:name="_Toc232604717"/>
      <w:bookmarkStart w:id="64" w:name="_Toc233210669"/>
      <w:bookmarkStart w:id="65" w:name="_Toc233622368"/>
      <w:bookmarkStart w:id="66" w:name="_Toc233709806"/>
      <w:bookmarkStart w:id="67" w:name="_Toc235472514"/>
      <w:bookmarkStart w:id="68" w:name="_Toc235534113"/>
      <w:bookmarkStart w:id="69" w:name="_Toc235536516"/>
      <w:r w:rsidRPr="00A55B3E">
        <w:t>Submitting and Viewing Information</w:t>
      </w:r>
      <w:bookmarkEnd w:id="61"/>
      <w:bookmarkEnd w:id="62"/>
      <w:bookmarkEnd w:id="63"/>
      <w:bookmarkEnd w:id="64"/>
      <w:bookmarkEnd w:id="65"/>
      <w:bookmarkEnd w:id="66"/>
      <w:bookmarkEnd w:id="67"/>
      <w:bookmarkEnd w:id="68"/>
      <w:bookmarkEnd w:id="69"/>
    </w:p>
    <w:p w:rsidR="005919ED" w:rsidRPr="00A55B3E" w:rsidP="005919ED" w14:paraId="29BA51E3" w14:textId="77777777">
      <w:pPr>
        <w:pStyle w:val="ParaNum"/>
      </w:pPr>
      <w:r w:rsidRPr="00A55B3E">
        <w:t xml:space="preserve">In this section, we propose and seek </w:t>
      </w:r>
      <w:r w:rsidRPr="00A55B3E">
        <w:t>comment</w:t>
      </w:r>
      <w:r w:rsidRPr="00A55B3E">
        <w:t xml:space="preserve"> on how providers should submit information to the RMD, the conditions when such information may be public, and when providers must update information and recertify their filings. </w:t>
      </w:r>
    </w:p>
    <w:p w:rsidR="005919ED" w:rsidRPr="00A55B3E" w:rsidP="005919ED" w14:paraId="6BE43D5D" w14:textId="77777777">
      <w:pPr>
        <w:pStyle w:val="Heading4"/>
      </w:pPr>
      <w:r w:rsidRPr="00A55B3E">
        <w:t>How Information is Submitted</w:t>
      </w:r>
    </w:p>
    <w:p w:rsidR="005919ED" w:rsidRPr="00A55B3E" w:rsidP="005919ED" w14:paraId="2E131910" w14:textId="77777777">
      <w:pPr>
        <w:pStyle w:val="ParaNum"/>
      </w:pPr>
      <w:r w:rsidRPr="00A55B3E">
        <w:rPr>
          <w:i/>
          <w:iCs/>
        </w:rPr>
        <w:t>Format for each category of information.</w:t>
      </w:r>
      <w:r w:rsidRPr="00A55B3E">
        <w:t xml:space="preserve">  As it stands today, providers submit information in their RMD filing by inputting the information where required in the RMD form or by uploading a PDF.  We propose to designate that the information in the categories of certifications, robocall mitigation information, business identifying information, and provider</w:t>
      </w:r>
      <w:r>
        <w:t xml:space="preserve"> </w:t>
      </w:r>
      <w:r w:rsidRPr="00A55B3E">
        <w:t xml:space="preserve">type and service information must be submitted in the RMD form and that the robocall mitigation plan continue to be uploaded as a PDF.  We seek </w:t>
      </w:r>
      <w:r w:rsidRPr="00A55B3E">
        <w:t>comment</w:t>
      </w:r>
      <w:r w:rsidRPr="00A55B3E">
        <w:t xml:space="preserve"> on this proposal.  Is there certain information in the first four categories that </w:t>
      </w:r>
      <w:r>
        <w:t xml:space="preserve">we should require or that </w:t>
      </w:r>
      <w:r w:rsidRPr="00A55B3E">
        <w:t xml:space="preserve">providers should be able to submit in their robocall mitigation plans or in a separately uploaded document?  We note that </w:t>
      </w:r>
      <w:r>
        <w:t>our proposal</w:t>
      </w:r>
      <w:r w:rsidRPr="00A55B3E">
        <w:t xml:space="preserve"> would reorganize where providers submit some </w:t>
      </w:r>
      <w:r w:rsidRPr="00A55B3E">
        <w:t>information</w:t>
      </w:r>
      <w:r w:rsidRPr="00A55B3E">
        <w:t xml:space="preserve"> they are currently required to supply</w:t>
      </w:r>
      <w:r>
        <w:t>,</w:t>
      </w:r>
      <w:r w:rsidRPr="00A55B3E">
        <w:t xml:space="preserve"> and </w:t>
      </w:r>
      <w:r>
        <w:t>we</w:t>
      </w:r>
      <w:r w:rsidRPr="00A55B3E">
        <w:t xml:space="preserve"> encourage commenters to review the proposed rules in Appendix A, which shows the complete list of existing and proposed information </w:t>
      </w:r>
      <w:r>
        <w:t>by</w:t>
      </w:r>
      <w:r w:rsidRPr="00A55B3E">
        <w:t xml:space="preserve"> category.</w:t>
      </w:r>
      <w:r>
        <w:rPr>
          <w:rStyle w:val="FootnoteReference"/>
        </w:rPr>
        <w:footnoteReference w:id="177"/>
      </w:r>
    </w:p>
    <w:p w:rsidR="005919ED" w:rsidRPr="00A55B3E" w:rsidP="00A00D60" w14:paraId="2DB55374" w14:textId="77777777">
      <w:pPr>
        <w:pStyle w:val="ParaNum"/>
        <w:widowControl/>
      </w:pPr>
      <w:r w:rsidRPr="00CF0D04">
        <w:rPr>
          <w:i/>
          <w:iCs/>
        </w:rPr>
        <w:t xml:space="preserve">Machine-readable PDFs.  </w:t>
      </w:r>
      <w:r w:rsidRPr="00A55B3E">
        <w:t xml:space="preserve">We also propose to codify that providers must submit a PDF of </w:t>
      </w:r>
      <w:r w:rsidRPr="00A55B3E">
        <w:t>their</w:t>
      </w:r>
      <w:r w:rsidRPr="00A55B3E">
        <w:t xml:space="preserve"> robocall mitigation plans in machine-readable format.  Today, providers are required to submit a PDF of </w:t>
      </w:r>
      <w:r w:rsidRPr="00A55B3E">
        <w:t>their</w:t>
      </w:r>
      <w:r w:rsidRPr="00A55B3E">
        <w:t xml:space="preserve"> robocall mitigation plan</w:t>
      </w:r>
      <w:r>
        <w:t xml:space="preserve"> in the RMD</w:t>
      </w:r>
      <w:r w:rsidRPr="00A55B3E">
        <w:t xml:space="preserve">.  </w:t>
      </w:r>
      <w:r>
        <w:t>Commission staff use technicals tools to analyze the contents of these PDFs to ensure that they contain the information required by Commission rules.  However, s</w:t>
      </w:r>
      <w:r w:rsidRPr="00A55B3E">
        <w:t>ome providers submit PDFs that are not machine-readable or searchable, hindering our compliance review process.  We think that providers typically have the means to submit robocall mitigation plans in machine</w:t>
      </w:r>
      <w:r>
        <w:t>-</w:t>
      </w:r>
      <w:r w:rsidRPr="00A55B3E">
        <w:t>readable format and that some providers may be submitting non-readable PDFs to intentionally stifle our oversight.</w:t>
      </w:r>
      <w:r>
        <w:rPr>
          <w:rStyle w:val="FootnoteReference"/>
        </w:rPr>
        <w:footnoteReference w:id="178"/>
      </w:r>
      <w:r w:rsidRPr="00A55B3E">
        <w:t xml:space="preserve">  We seek comment on this proposal and these views.</w:t>
      </w:r>
    </w:p>
    <w:p w:rsidR="005919ED" w:rsidRPr="00A55B3E" w:rsidP="005919ED" w14:paraId="204F5E69" w14:textId="77777777">
      <w:pPr>
        <w:pStyle w:val="Heading4"/>
      </w:pPr>
      <w:r w:rsidRPr="00A55B3E">
        <w:t>Public, Non-Public, and Confidential Information</w:t>
      </w:r>
    </w:p>
    <w:p w:rsidR="005919ED" w:rsidRPr="00A55B3E" w:rsidP="005919ED" w14:paraId="1FE5B0BF" w14:textId="77777777">
      <w:pPr>
        <w:pStyle w:val="ParaNum"/>
      </w:pPr>
      <w:r w:rsidRPr="00A55B3E">
        <w:rPr>
          <w:szCs w:val="22"/>
        </w:rPr>
        <w:t xml:space="preserve">One of the primary goals of the RMD is to promote transparency about providers and </w:t>
      </w:r>
      <w:r w:rsidRPr="00A55B3E">
        <w:rPr>
          <w:szCs w:val="22"/>
        </w:rPr>
        <w:t>their</w:t>
      </w:r>
      <w:r w:rsidRPr="00A55B3E">
        <w:t xml:space="preserve"> robocall </w:t>
      </w:r>
      <w:r w:rsidRPr="00A55B3E">
        <w:rPr>
          <w:szCs w:val="22"/>
        </w:rPr>
        <w:t xml:space="preserve">mitigation practices, and so we believe that, as a baseline, information we require providers to submit </w:t>
      </w:r>
      <w:r w:rsidRPr="00A55B3E">
        <w:rPr>
          <w:szCs w:val="22"/>
        </w:rPr>
        <w:t>in</w:t>
      </w:r>
      <w:r w:rsidRPr="00A55B3E">
        <w:rPr>
          <w:szCs w:val="22"/>
        </w:rPr>
        <w:t xml:space="preserve"> the RMD should be made available to the public.  At the same time, “we are committed to ensuring that rules designed to protect consumers from illegal calls do not inadvertently create new risks by mandating the collection, retention, and sharing of sensitive business and personal data without corresponding safeguards.”</w:t>
      </w:r>
      <w:r>
        <w:rPr>
          <w:rStyle w:val="FootnoteReference"/>
          <w:szCs w:val="22"/>
        </w:rPr>
        <w:footnoteReference w:id="179"/>
      </w:r>
      <w:r w:rsidRPr="00A55B3E">
        <w:rPr>
          <w:szCs w:val="22"/>
        </w:rPr>
        <w:t xml:space="preserve">  We note that providers</w:t>
      </w:r>
      <w:r w:rsidRPr="00A55B3E">
        <w:t xml:space="preserve"> may also request confidential treatment </w:t>
      </w:r>
      <w:r w:rsidRPr="00A55B3E">
        <w:rPr>
          <w:szCs w:val="22"/>
        </w:rPr>
        <w:t xml:space="preserve">of information </w:t>
      </w:r>
      <w:r w:rsidRPr="00A55B3E">
        <w:t xml:space="preserve">pursuant to section 0.459 of the Commission’s rules consistent with the </w:t>
      </w:r>
      <w:r w:rsidRPr="00A55B3E">
        <w:rPr>
          <w:szCs w:val="22"/>
        </w:rPr>
        <w:t>RMD</w:t>
      </w:r>
      <w:r w:rsidRPr="00A55B3E">
        <w:t xml:space="preserve"> </w:t>
      </w:r>
      <w:r w:rsidRPr="00A55B3E">
        <w:rPr>
          <w:i/>
          <w:iCs/>
        </w:rPr>
        <w:t>Protective Order</w:t>
      </w:r>
      <w:r w:rsidRPr="00A55B3E">
        <w:t>, which governs the treatment of confidential or highly confidential information included in robocall mitigation program descriptions.</w:t>
      </w:r>
      <w:r>
        <w:rPr>
          <w:rStyle w:val="FootnoteReference"/>
        </w:rPr>
        <w:footnoteReference w:id="180"/>
      </w:r>
      <w:r w:rsidRPr="00A55B3E">
        <w:rPr>
          <w:szCs w:val="22"/>
        </w:rPr>
        <w:t xml:space="preserve">  </w:t>
      </w:r>
      <w:r w:rsidRPr="00A55B3E">
        <w:t xml:space="preserve">At the time the Wireline Competition Bureau (Bureau) issued the </w:t>
      </w:r>
      <w:r w:rsidRPr="00A55B3E">
        <w:rPr>
          <w:i/>
          <w:iCs/>
        </w:rPr>
        <w:t>Protective Order</w:t>
      </w:r>
      <w:r w:rsidRPr="00A55B3E">
        <w:t>, it made clear that “certifications, contact information, and other data submitted to the Robocall Mitigation Database are public and cannot be marked as confidential.”</w:t>
      </w:r>
      <w:r>
        <w:rPr>
          <w:rStyle w:val="FootnoteReference"/>
        </w:rPr>
        <w:footnoteReference w:id="181"/>
      </w:r>
      <w:r w:rsidRPr="00A55B3E">
        <w:t xml:space="preserve">  </w:t>
      </w:r>
    </w:p>
    <w:p w:rsidR="005919ED" w:rsidRPr="00E4174F" w:rsidP="005919ED" w14:paraId="49BA579E" w14:textId="77777777">
      <w:pPr>
        <w:pStyle w:val="ParaNum"/>
      </w:pPr>
      <w:r w:rsidRPr="00A55B3E">
        <w:t xml:space="preserve">In light of these goals and the revisions to RMD filing obligations since the </w:t>
      </w:r>
      <w:r w:rsidRPr="00A55B3E">
        <w:rPr>
          <w:i/>
          <w:iCs/>
        </w:rPr>
        <w:t>Protective Order</w:t>
      </w:r>
      <w:r w:rsidRPr="00A55B3E">
        <w:t xml:space="preserve"> (including those we propose above), we take this opportunity to propose and invite comment on what information providers submit in the RMD should be available in the </w:t>
      </w:r>
      <w:r w:rsidRPr="51AA47CB">
        <w:t>public-facing RMD versus what information should only be viewable by Commission staff.  Specifically, we propose that the contact and other identifying information for human principals, the business address for non-human principals, affiliates, subsidiaries, and parent companies that are not in the RMD, and information about providers’ use of third parties should not be made public.</w:t>
      </w:r>
      <w:r>
        <w:rPr>
          <w:rStyle w:val="FootnoteReference"/>
        </w:rPr>
        <w:footnoteReference w:id="182"/>
      </w:r>
      <w:r w:rsidRPr="51AA47CB">
        <w:t xml:space="preserve">  We seek comment on this proposal and on whether any other information should not be public.  Should we issue or implement additional protective measures for information we determine should not be public?</w:t>
      </w:r>
    </w:p>
    <w:p w:rsidR="005919ED" w:rsidRPr="00A55B3E" w:rsidP="005919ED" w14:paraId="0CC02623" w14:textId="77777777">
      <w:pPr>
        <w:pStyle w:val="Heading4"/>
      </w:pPr>
      <w:r w:rsidRPr="00A55B3E">
        <w:t>Filing Updates and Recertification</w:t>
      </w:r>
    </w:p>
    <w:p w:rsidR="005919ED" w:rsidRPr="00A55B3E" w:rsidP="005919ED" w14:paraId="4283C91B" w14:textId="77777777">
      <w:pPr>
        <w:pStyle w:val="ParaNum"/>
      </w:pPr>
      <w:r w:rsidRPr="00A55B3E">
        <w:t>We seek comment on whether we should modify our requirements that set out providers’ obligations to update their RMD filings.  Under our current rules, providers are obligated to update their filings within 10 business days of “any change in the information” submitted</w:t>
      </w:r>
      <w:r>
        <w:t>, which we believe includes updating the information to reflect changes effectuated as a result of modification to or expiration of Commission rules</w:t>
      </w:r>
      <w:r w:rsidRPr="00A55B3E">
        <w:t>.</w:t>
      </w:r>
      <w:r>
        <w:rPr>
          <w:rStyle w:val="FootnoteReference"/>
        </w:rPr>
        <w:footnoteReference w:id="183"/>
      </w:r>
      <w:r w:rsidRPr="00A55B3E">
        <w:t xml:space="preserve">  They are also required to recertify annually by March 1 that any information submitted to the RMD is true and correct.</w:t>
      </w:r>
      <w:r>
        <w:rPr>
          <w:rStyle w:val="FootnoteReference"/>
        </w:rPr>
        <w:footnoteReference w:id="184"/>
      </w:r>
      <w:r w:rsidRPr="00A55B3E">
        <w:t xml:space="preserve">  We believe requirements like these are important to ensuring that RMD filings remain accurate and up-to-date.  We </w:t>
      </w:r>
      <w:r>
        <w:t>also</w:t>
      </w:r>
      <w:r w:rsidRPr="00A55B3E">
        <w:t xml:space="preserve"> believe, however, that many providers fail to make necessary updates or complete recertifications by the deadline</w:t>
      </w:r>
      <w:r>
        <w:t>s</w:t>
      </w:r>
      <w:r w:rsidRPr="00A55B3E">
        <w:t xml:space="preserve">, thereby requiring us to initiate enforcement activities.  We seek </w:t>
      </w:r>
      <w:r w:rsidRPr="00A55B3E">
        <w:t>comment</w:t>
      </w:r>
      <w:r w:rsidRPr="00A55B3E">
        <w:t xml:space="preserve"> on ways we can modify the requirements so that providers take these obligations seriously while preventing the obligations from being overly burdensome and allowing for focused review by Commission staff.  For instance, should we eliminate the requirement that providers update their filings within 10 business days and instead require that providers update and affirmatively recertify their filings more frequently, such as once a quarter or every six months?  If so, should we suspend filings when a provider fails to make updates or complete recertifications using any suspension process we may adopt, as we seek comment on below?</w:t>
      </w:r>
      <w:r>
        <w:rPr>
          <w:rStyle w:val="FootnoteReference"/>
        </w:rPr>
        <w:footnoteReference w:id="185"/>
      </w:r>
      <w:r w:rsidRPr="00A55B3E">
        <w:t xml:space="preserve">  Are there alternative approaches we should consider?</w:t>
      </w:r>
      <w:r>
        <w:t xml:space="preserve">  We also seek comment on whether we should specifically state that providers must update their information by established deadlines to account for modification to or expiration of Commission rules.</w:t>
      </w:r>
    </w:p>
    <w:p w:rsidR="005919ED" w:rsidRPr="00A55B3E" w:rsidP="005919ED" w14:paraId="54C6FA15" w14:textId="77777777">
      <w:pPr>
        <w:pStyle w:val="ParaNum"/>
      </w:pPr>
      <w:r w:rsidRPr="00A55B3E">
        <w:t xml:space="preserve">We seek </w:t>
      </w:r>
      <w:r w:rsidRPr="00A55B3E">
        <w:t>comment</w:t>
      </w:r>
      <w:r w:rsidRPr="00A55B3E">
        <w:t xml:space="preserve"> on any procedures </w:t>
      </w:r>
      <w:r>
        <w:t xml:space="preserve">or safeguards </w:t>
      </w:r>
      <w:r w:rsidRPr="00A55B3E">
        <w:t>that should apply</w:t>
      </w:r>
      <w:r>
        <w:t xml:space="preserve"> before a provider is permitted</w:t>
      </w:r>
      <w:r w:rsidRPr="00A55B3E">
        <w:t xml:space="preserve"> to delet</w:t>
      </w:r>
      <w:r>
        <w:t>e a</w:t>
      </w:r>
      <w:r w:rsidRPr="00A55B3E">
        <w:t xml:space="preserve"> filing.  </w:t>
      </w:r>
      <w:r>
        <w:t>Today, providers are permitted to delete their RMD filing if they determine that they are no longer required to have a filing in the RMD.  This might occur, for example, if a provider discontinues the provision of voice service or if two voice service providers merge and only one RMD filing is needed for the merged entity.  When a filing is deleted, it is no longer visible to the public, which could cause confusion for downstream providers.  We are also concerned that bad actors may use the ability to delete filings to circumvent enforcement actions.  Should we limit the circumstances in which providers may delete their filings, such as by requiring them</w:t>
      </w:r>
      <w:r w:rsidRPr="00A55B3E">
        <w:t xml:space="preserve"> to meet specific criteria</w:t>
      </w:r>
      <w:r>
        <w:t>?</w:t>
      </w:r>
      <w:r w:rsidRPr="00A55B3E">
        <w:t xml:space="preserve"> </w:t>
      </w:r>
      <w:r>
        <w:t xml:space="preserve"> I</w:t>
      </w:r>
      <w:r w:rsidRPr="00A55B3E">
        <w:t>f so, what</w:t>
      </w:r>
      <w:r>
        <w:t xml:space="preserve"> should those criteria be</w:t>
      </w:r>
      <w:r w:rsidRPr="00A55B3E">
        <w:t xml:space="preserve">?  Should we prevent providers from deleting their filings when the provider is subject to a Show Cause Order issued by the Enforcement Bureau?  Are there alternative approaches we should consider?  For instance, should we adopt a process that allows providers to suspend, rather than delete, their RMD filings?  If so, are any additional safeguards or procedures necessary? </w:t>
      </w:r>
    </w:p>
    <w:p w:rsidR="005919ED" w:rsidRPr="00A55B3E" w:rsidP="00C06157" w14:paraId="7074D955" w14:textId="77777777">
      <w:pPr>
        <w:pStyle w:val="Heading2"/>
        <w:keepNext/>
        <w:keepLines/>
      </w:pPr>
      <w:bookmarkStart w:id="70" w:name="_Toc232150158"/>
      <w:bookmarkStart w:id="71" w:name="_Toc232150505"/>
      <w:bookmarkStart w:id="72" w:name="_Toc232604718"/>
      <w:bookmarkStart w:id="73" w:name="_Toc233210670"/>
      <w:bookmarkStart w:id="74" w:name="_Toc233622369"/>
      <w:bookmarkStart w:id="75" w:name="_Toc233709807"/>
      <w:bookmarkStart w:id="76" w:name="_Toc235472515"/>
      <w:bookmarkStart w:id="77" w:name="_Toc235534114"/>
      <w:bookmarkStart w:id="78" w:name="_Toc235536517"/>
      <w:r w:rsidRPr="00A55B3E">
        <w:t>Keeping Bad Actor Providers Out of the RMD</w:t>
      </w:r>
      <w:bookmarkEnd w:id="70"/>
      <w:bookmarkEnd w:id="71"/>
      <w:bookmarkEnd w:id="72"/>
      <w:bookmarkEnd w:id="73"/>
      <w:bookmarkEnd w:id="74"/>
      <w:bookmarkEnd w:id="75"/>
      <w:bookmarkEnd w:id="76"/>
      <w:bookmarkEnd w:id="77"/>
      <w:bookmarkEnd w:id="78"/>
      <w:r w:rsidRPr="00A55B3E">
        <w:t xml:space="preserve"> </w:t>
      </w:r>
    </w:p>
    <w:p w:rsidR="005919ED" w:rsidRPr="00A55B3E" w:rsidP="00C06157" w14:paraId="4DC28CB0" w14:textId="77777777">
      <w:pPr>
        <w:pStyle w:val="ParaNum"/>
        <w:keepNext/>
        <w:keepLines/>
      </w:pPr>
      <w:r w:rsidRPr="00CC45BA">
        <w:t xml:space="preserve">We aim to enhance the measures used to ensure that the RMD only includes filings from legitimate providers that are willing and able to comply with the Commission’s robocall mitigation, caller ID authentication, traceback, and other illegal call requirements.  First, we propose and seek </w:t>
      </w:r>
      <w:r w:rsidRPr="00CC45BA">
        <w:t>comment</w:t>
      </w:r>
      <w:r w:rsidRPr="00CC45BA">
        <w:t xml:space="preserve"> on measures to further prevent non-compliant and fraudulent filings from entering the Database in the first instance.  Second, we propose and seek </w:t>
      </w:r>
      <w:r w:rsidRPr="00CC45BA">
        <w:t>comment</w:t>
      </w:r>
      <w:r w:rsidRPr="00CC45BA">
        <w:t xml:space="preserve"> on tools to better identify non-compliant and fraudulent filings already in the Database, including through enhanced information sharing and technical review of filings.  Third, we propose and seek </w:t>
      </w:r>
      <w:r w:rsidRPr="00CC45BA">
        <w:t>comment</w:t>
      </w:r>
      <w:r w:rsidRPr="00CC45BA">
        <w:t xml:space="preserve"> on causes and processes for removing bad </w:t>
      </w:r>
      <w:r w:rsidRPr="00CC45BA">
        <w:t>actor</w:t>
      </w:r>
      <w:r w:rsidRPr="00CC45BA">
        <w:t xml:space="preserve"> and non-compliant providers, while maintaining clear and administrable </w:t>
      </w:r>
      <w:r w:rsidRPr="00CC45BA">
        <w:t>protections</w:t>
      </w:r>
      <w:r w:rsidRPr="00CC45BA">
        <w:t xml:space="preserve"> for providers that make good-faith efforts to comply.  Fourth, we seek </w:t>
      </w:r>
      <w:r w:rsidRPr="00CC45BA">
        <w:t>comment</w:t>
      </w:r>
      <w:r w:rsidRPr="00CC45BA">
        <w:t xml:space="preserve"> on mechanisms to keep removed providers out of the RMD.  We also seek </w:t>
      </w:r>
      <w:r w:rsidRPr="00CC45BA">
        <w:t>comment</w:t>
      </w:r>
      <w:r w:rsidRPr="00CC45BA">
        <w:t xml:space="preserve"> on audit requirements and resources for administering the RMD.  We believe it is necessary to address these issues using targeted measures to improve the integrity of the Database and reduce opportunities for bad actors to misuse it.  </w:t>
      </w:r>
    </w:p>
    <w:p w:rsidR="005919ED" w:rsidRPr="00A55B3E" w:rsidP="005919ED" w14:paraId="3B9C0AB0" w14:textId="77777777">
      <w:pPr>
        <w:pStyle w:val="Heading3"/>
      </w:pPr>
      <w:bookmarkStart w:id="79" w:name="_Toc232150159"/>
      <w:bookmarkStart w:id="80" w:name="_Toc232150506"/>
      <w:bookmarkStart w:id="81" w:name="_Toc232604719"/>
      <w:bookmarkStart w:id="82" w:name="_Toc233210671"/>
      <w:bookmarkStart w:id="83" w:name="_Toc233622370"/>
      <w:bookmarkStart w:id="84" w:name="_Toc233709808"/>
      <w:bookmarkStart w:id="85" w:name="_Toc235472516"/>
      <w:bookmarkStart w:id="86" w:name="_Toc235534115"/>
      <w:bookmarkStart w:id="87" w:name="_Toc235536518"/>
      <w:r w:rsidRPr="00A55B3E">
        <w:t>Preventing Bad Actor Providers from Getting Into the RMD</w:t>
      </w:r>
      <w:bookmarkEnd w:id="79"/>
      <w:bookmarkEnd w:id="80"/>
      <w:bookmarkEnd w:id="81"/>
      <w:bookmarkEnd w:id="82"/>
      <w:bookmarkEnd w:id="83"/>
      <w:bookmarkEnd w:id="84"/>
      <w:bookmarkEnd w:id="85"/>
      <w:bookmarkEnd w:id="86"/>
      <w:bookmarkEnd w:id="87"/>
    </w:p>
    <w:p w:rsidR="005919ED" w:rsidRPr="00A55B3E" w:rsidP="005919ED" w14:paraId="6C52D81A" w14:textId="77777777">
      <w:pPr>
        <w:pStyle w:val="ParaNum"/>
      </w:pPr>
      <w:r w:rsidRPr="00CC45BA">
        <w:t xml:space="preserve">We seek comment on how we </w:t>
      </w:r>
      <w:r>
        <w:t xml:space="preserve">can </w:t>
      </w:r>
      <w:r w:rsidRPr="00CC45BA">
        <w:t>prevent non-compliant and fraudulent filings from entering the Database in the first instance, which we believe has a number of benefits, including reduced enforcement burdens, improved reliability of Database information, and reduced ability of bad actor providers to use the Database to obtain access to the U.S. voice network.</w:t>
      </w:r>
    </w:p>
    <w:p w:rsidR="005919ED" w:rsidRPr="00A55B3E" w:rsidP="005919ED" w14:paraId="4139594D" w14:textId="77777777">
      <w:pPr>
        <w:pStyle w:val="ParaNum"/>
      </w:pPr>
      <w:r w:rsidRPr="00C9717F">
        <w:rPr>
          <w:i/>
          <w:iCs/>
        </w:rPr>
        <w:t>Delegation to the Bureau.</w:t>
      </w:r>
      <w:r>
        <w:t xml:space="preserve">  </w:t>
      </w:r>
      <w:r w:rsidRPr="00F540BD">
        <w:t>The Commission has previously delegated authority to the Bureau to implement and manage the technical and operational aspects of the RMD, including the authority to establish the form and format of submissions to the Database, to make any necessary changes to the RMD portal and submission interface, and to implement any technical data validation solution that it determines is likely to produce benefits that outweigh the solution’s costs.</w:t>
      </w:r>
      <w:r>
        <w:rPr>
          <w:rStyle w:val="FootnoteReference"/>
        </w:rPr>
        <w:footnoteReference w:id="186"/>
      </w:r>
      <w:r w:rsidRPr="00F540BD">
        <w:t xml:space="preserve">  In addition, the Bureau has existing authority to develop and administer recordkeeping and reporting requirements for telecommunications carriers, providers of interconnected VoIP services, and providers of broadband service under section 0.91 of the Commission’s rules.</w:t>
      </w:r>
      <w:r>
        <w:rPr>
          <w:rStyle w:val="FootnoteReference"/>
          <w:kern w:val="0"/>
        </w:rPr>
        <w:footnoteReference w:id="187"/>
      </w:r>
      <w:r w:rsidRPr="00F540BD">
        <w:t xml:space="preserve">  We believe that these existing delegations</w:t>
      </w:r>
      <w:r w:rsidRPr="00CC45BA">
        <w:t xml:space="preserve"> are broad and include authority for the Bureau to develop and implement additional measures to prevent non-compliant and fraudulent filings from entering the Database.  But to the extent any further clarity is needed, we </w:t>
      </w:r>
      <w:r w:rsidRPr="00CC45BA">
        <w:t>propose to</w:t>
      </w:r>
      <w:r w:rsidRPr="00CC45BA">
        <w:t xml:space="preserve"> expressly delegate these functions to the Bureau.  </w:t>
      </w:r>
      <w:r w:rsidRPr="00CC45BA">
        <w:t>We further</w:t>
      </w:r>
      <w:r w:rsidRPr="00CC45BA">
        <w:t xml:space="preserve"> propose to direct the Bureau to develop these measures in consultation with the Office of Managing Director (OMD), the Office of Economics and Analytics (OEA), and the Enforcement Bureau.  This</w:t>
      </w:r>
      <w:r w:rsidRPr="00F540BD">
        <w:t xml:space="preserve"> will allow Commission staff to adapt more quickly to evolving bad actor tactics by making practical enhancements to the Database and associated filing </w:t>
      </w:r>
      <w:r w:rsidRPr="00CC45BA">
        <w:t xml:space="preserve">and review </w:t>
      </w:r>
      <w:r w:rsidRPr="00F540BD">
        <w:t>workflows.  The Commission has been continuously upgrading its processes and enhancing measures, both technical and operational, to help weed out bad actors from all parts of the call path and this includes a review of the current RMD processes to mitigate against fraud, waste, and abuse.  We seek public comment on best practices, both technical and operational, that have been successful in systems to detect fraud, waste, and abuse, and that will aid in the Commission’s efforts to identify indicia that a provider’s filing may be non-compliant or that the provider may be attempting to evade Commission rules.</w:t>
      </w:r>
      <w:r>
        <w:rPr>
          <w:rStyle w:val="FootnoteReference"/>
          <w:kern w:val="0"/>
        </w:rPr>
        <w:footnoteReference w:id="188"/>
      </w:r>
    </w:p>
    <w:p w:rsidR="005919ED" w:rsidRPr="00A55B3E" w:rsidP="005919ED" w14:paraId="5023C28D" w14:textId="77777777">
      <w:pPr>
        <w:pStyle w:val="ParaNum"/>
      </w:pPr>
      <w:r>
        <w:rPr>
          <w:i/>
          <w:iCs/>
        </w:rPr>
        <w:t>“Appearance” in the Database</w:t>
      </w:r>
      <w:r w:rsidRPr="00C9717F">
        <w:rPr>
          <w:i/>
          <w:iCs/>
        </w:rPr>
        <w:t>.</w:t>
      </w:r>
      <w:r>
        <w:t xml:space="preserve">  </w:t>
      </w:r>
      <w:r w:rsidRPr="00F540BD">
        <w:t>We also propose to establish a new rule that a filing does not “appear” in the Database unless and until the filing has been accepted and published in the Database.  We further propose to codify that the Bureau may reject, withhold publication of, or place into a pending status any new or updated filing that appears non-compliant, appears to have been submitted in evasion of the Commission’s rules or orders, or otherwise requires further analysis before it can be accepted and published in the Database because it appears it would qualify for one of the causes for removal or other enforcement action discussed below.</w:t>
      </w:r>
      <w:r>
        <w:rPr>
          <w:rStyle w:val="FootnoteReference"/>
          <w:kern w:val="0"/>
        </w:rPr>
        <w:footnoteReference w:id="189"/>
      </w:r>
      <w:r w:rsidRPr="00F540BD">
        <w:t xml:space="preserve">  This authority would include, for example, filings that appear to have been submitted by, on behalf of, or for the benefit of a provider whose filing was previously removed from the Database, unless the provider has obtained any consent required under our reinstatement rules.</w:t>
      </w:r>
      <w:r>
        <w:rPr>
          <w:rStyle w:val="FootnoteReference"/>
          <w:kern w:val="0"/>
        </w:rPr>
        <w:footnoteReference w:id="190"/>
      </w:r>
      <w:r w:rsidRPr="00F540BD">
        <w:t xml:space="preserve">  We seek comment on this proposal.</w:t>
      </w:r>
      <w:r w:rsidRPr="00A55B3E">
        <w:t xml:space="preserve">  Should we describe in our rules the specific circumstances in which the Bureau would be permitted to </w:t>
      </w:r>
      <w:r w:rsidRPr="00F540BD">
        <w:t xml:space="preserve">reject, withhold publication of, or place into a pending status a filing, or should we delegate authority to the Bureau to establish those parameters?  Should we otherwise limit the Bureau’s authority to reject, withhold, or apply a pending status to a submitted filing?  What notice and opportunity to cure, if any, should the Bureau provide to the filing party before rejecting publication?  Should the Bureau be permitted to reject publication immediately where a filing is facially or materially deficient, unauthorized, or submitted in apparent evasion of a Commission order, while allowing filers to seek review or resubmit a corrected filing?  Should we establish a deadline or shot clock for the Commission to make a final determination regarding filings that have been placed in a pending status?  We seek </w:t>
      </w:r>
      <w:r w:rsidRPr="00F540BD">
        <w:t>comment</w:t>
      </w:r>
      <w:r w:rsidRPr="00F540BD">
        <w:t xml:space="preserve"> on how to ensure that the publication process prevents non-compliant or fraudulent filings from appearing in the Database while preserving a workable path for legitimate providers to correct ministerial or inadvertent errors.</w:t>
      </w:r>
    </w:p>
    <w:p w:rsidR="005919ED" w:rsidP="005919ED" w14:paraId="06EB846D" w14:textId="77777777">
      <w:pPr>
        <w:pStyle w:val="ParaNum"/>
      </w:pPr>
      <w:r w:rsidRPr="00176B9C">
        <w:rPr>
          <w:i/>
          <w:iCs/>
        </w:rPr>
        <w:t xml:space="preserve">Letter </w:t>
      </w:r>
      <w:r w:rsidRPr="00CD616B">
        <w:t>of</w:t>
      </w:r>
      <w:r w:rsidRPr="00176B9C">
        <w:rPr>
          <w:i/>
          <w:iCs/>
        </w:rPr>
        <w:t xml:space="preserve"> </w:t>
      </w:r>
      <w:r>
        <w:rPr>
          <w:i/>
          <w:iCs/>
        </w:rPr>
        <w:t>c</w:t>
      </w:r>
      <w:r w:rsidRPr="00176B9C">
        <w:rPr>
          <w:i/>
          <w:iCs/>
        </w:rPr>
        <w:t xml:space="preserve">redit </w:t>
      </w:r>
      <w:r>
        <w:rPr>
          <w:i/>
          <w:iCs/>
        </w:rPr>
        <w:t>r</w:t>
      </w:r>
      <w:r w:rsidRPr="00176B9C">
        <w:rPr>
          <w:i/>
          <w:iCs/>
        </w:rPr>
        <w:t>equirement.</w:t>
      </w:r>
      <w:r w:rsidRPr="009C73AC">
        <w:t xml:space="preserve">  We seek comment on whether we should require entities that file in the RMD to obtain</w:t>
      </w:r>
      <w:r>
        <w:t xml:space="preserve"> and submit</w:t>
      </w:r>
      <w:r w:rsidRPr="009C73AC">
        <w:t xml:space="preserve"> a </w:t>
      </w:r>
      <w:r>
        <w:t xml:space="preserve">standby </w:t>
      </w:r>
      <w:r w:rsidRPr="009C73AC">
        <w:t xml:space="preserve">letter of credit from a bank meeting </w:t>
      </w:r>
      <w:r>
        <w:t>our capital</w:t>
      </w:r>
      <w:r w:rsidRPr="009C73AC">
        <w:t xml:space="preserve"> requirements</w:t>
      </w:r>
      <w:r>
        <w:t>,</w:t>
      </w:r>
      <w:r w:rsidRPr="009C73AC">
        <w:t xml:space="preserve"> </w:t>
      </w:r>
      <w:r>
        <w:t xml:space="preserve">along with a bankruptcy opinion of counsel, </w:t>
      </w:r>
      <w:r w:rsidRPr="009C73AC">
        <w:t xml:space="preserve">in support of </w:t>
      </w:r>
      <w:r>
        <w:t>their</w:t>
      </w:r>
      <w:r w:rsidRPr="009C73AC">
        <w:t xml:space="preserve"> RMD filing</w:t>
      </w:r>
      <w:r>
        <w:t>s</w:t>
      </w:r>
      <w:r w:rsidRPr="009C73AC">
        <w:t xml:space="preserve">.  The Commission has used letters of credit in other contexts </w:t>
      </w:r>
      <w:r>
        <w:t xml:space="preserve">when it has imposed </w:t>
      </w:r>
      <w:r w:rsidRPr="009C73AC">
        <w:t>performance obligations.</w:t>
      </w:r>
      <w:r>
        <w:rPr>
          <w:rStyle w:val="FootnoteReference"/>
        </w:rPr>
        <w:footnoteReference w:id="191"/>
      </w:r>
      <w:r w:rsidRPr="009C73AC">
        <w:t xml:space="preserve">  We believe requiring entities to furnish a letter of credit when filing in the RMD could have several benefits.  First, </w:t>
      </w:r>
      <w:r>
        <w:t>the due diligence performed</w:t>
      </w:r>
      <w:r w:rsidRPr="009C73AC">
        <w:t xml:space="preserve"> by </w:t>
      </w:r>
      <w:r>
        <w:t xml:space="preserve">financial institutions could aid in </w:t>
      </w:r>
      <w:r w:rsidRPr="009C73AC">
        <w:t>screen</w:t>
      </w:r>
      <w:r>
        <w:t>ing</w:t>
      </w:r>
      <w:r w:rsidRPr="009C73AC">
        <w:t xml:space="preserve"> out bad actor</w:t>
      </w:r>
      <w:r>
        <w:t>s</w:t>
      </w:r>
      <w:r w:rsidRPr="009C73AC">
        <w:t xml:space="preserve"> </w:t>
      </w:r>
      <w:r>
        <w:t>seeking to file</w:t>
      </w:r>
      <w:r w:rsidRPr="009C73AC">
        <w:t xml:space="preserve"> in the RMD without being a significant barrier to low-risk legitimate voice service providers</w:t>
      </w:r>
      <w:r>
        <w:t>.</w:t>
      </w:r>
      <w:r w:rsidRPr="009C73AC">
        <w:t xml:space="preserve">  </w:t>
      </w:r>
      <w:r w:rsidRPr="001902CD">
        <w:t xml:space="preserve">Second, </w:t>
      </w:r>
      <w:r>
        <w:t>the simple act of obtaining a letter of credit could</w:t>
      </w:r>
      <w:r w:rsidRPr="001902CD">
        <w:t xml:space="preserve"> deter </w:t>
      </w:r>
      <w:r>
        <w:t xml:space="preserve">both </w:t>
      </w:r>
      <w:r w:rsidRPr="001902CD">
        <w:t xml:space="preserve">new and existing bad actor providers from </w:t>
      </w:r>
      <w:r>
        <w:t xml:space="preserve">filing in the </w:t>
      </w:r>
      <w:r>
        <w:t>RMD, and</w:t>
      </w:r>
      <w:r>
        <w:t xml:space="preserve"> thereby keep them from </w:t>
      </w:r>
      <w:r w:rsidRPr="001902CD">
        <w:t>participating in the U.S. voice network.</w:t>
      </w:r>
      <w:r>
        <w:t xml:space="preserve">  Third</w:t>
      </w:r>
      <w:r w:rsidRPr="009C73AC">
        <w:t xml:space="preserve">, it could </w:t>
      </w:r>
      <w:r>
        <w:t xml:space="preserve">increase the likelihood that the Commission could collect forfeiture penalties ordered to be paid by a court from </w:t>
      </w:r>
      <w:r w:rsidRPr="009C73AC">
        <w:t>bad actors,</w:t>
      </w:r>
      <w:r>
        <w:t xml:space="preserve"> thus</w:t>
      </w:r>
      <w:r w:rsidRPr="009C73AC">
        <w:t xml:space="preserve"> deterring providers from violating our robocall mitigation rules.  </w:t>
      </w:r>
      <w:r>
        <w:t>Finally</w:t>
      </w:r>
      <w:r w:rsidRPr="009C73AC">
        <w:t>, a letter of credit requirement could prevent bad actors from refiling immediately in the RMD under a different name after they have been removed from the Database</w:t>
      </w:r>
      <w:r>
        <w:t xml:space="preserve"> by an enforcement action, because they would need to secure a new letter of credit</w:t>
      </w:r>
      <w:r w:rsidRPr="009C73AC">
        <w:t>.</w:t>
      </w:r>
      <w:r>
        <w:t xml:space="preserve">  We believe each of these benefits would increase the integrity of the RMD, thereby helping ensure that only legitimate and responsible providers are participating in the U.S. voice ecosystem, and ultimately delivering benefits to consumers and other providers, alike.</w:t>
      </w:r>
    </w:p>
    <w:p w:rsidR="005919ED" w:rsidP="005919ED" w14:paraId="1443FDFA" w14:textId="77777777">
      <w:pPr>
        <w:pStyle w:val="ParaNum"/>
      </w:pPr>
      <w:r>
        <w:t xml:space="preserve">We also seek </w:t>
      </w:r>
      <w:r>
        <w:t>comment</w:t>
      </w:r>
      <w:r>
        <w:t xml:space="preserve"> on whether a letter of credit requirement, if we adopt one, s</w:t>
      </w:r>
      <w:r w:rsidRPr="009C73AC">
        <w:t>hould be limited to</w:t>
      </w:r>
      <w:r>
        <w:t xml:space="preserve"> certain entities or to certain circumstances.  For instance, should the requirement only apply to </w:t>
      </w:r>
      <w:r w:rsidRPr="009C73AC">
        <w:t>foreign voice service providers</w:t>
      </w:r>
      <w:r>
        <w:t>?  S</w:t>
      </w:r>
      <w:r w:rsidRPr="009C73AC">
        <w:t xml:space="preserve">hould it </w:t>
      </w:r>
      <w:r>
        <w:t xml:space="preserve">only apply </w:t>
      </w:r>
      <w:r w:rsidRPr="009C73AC">
        <w:t xml:space="preserve">to </w:t>
      </w:r>
      <w:r>
        <w:t xml:space="preserve">entities filing in the RMD for the first time </w:t>
      </w:r>
      <w:r w:rsidRPr="009C73AC">
        <w:t xml:space="preserve">or </w:t>
      </w:r>
      <w:r>
        <w:t xml:space="preserve">should it apply to </w:t>
      </w:r>
      <w:r w:rsidRPr="009C73AC">
        <w:t>all</w:t>
      </w:r>
      <w:r>
        <w:t xml:space="preserve"> </w:t>
      </w:r>
      <w:r w:rsidRPr="009C73AC">
        <w:t xml:space="preserve">RMD </w:t>
      </w:r>
      <w:r>
        <w:t>filers, including those with existing RMD filings</w:t>
      </w:r>
      <w:r w:rsidRPr="009C73AC">
        <w:t xml:space="preserve">?  </w:t>
      </w:r>
      <w:r>
        <w:t>Should</w:t>
      </w:r>
      <w:r w:rsidRPr="009C73AC">
        <w:t xml:space="preserve"> the letter of credit be waived if a company meets certain requirements, such as operating for a period of three years?  Would a period of three years properly balance our desire to reduce costs and regulatory burdens with our desire to discourage bad actors from filing in the RMD?  For providers in operation for fewer than three years, should we require that the </w:t>
      </w:r>
      <w:r>
        <w:t xml:space="preserve">financial institution </w:t>
      </w:r>
      <w:r w:rsidRPr="009C73AC">
        <w:t xml:space="preserve">certify annually within the first three years that the letter of credit remains in effect or should we require that </w:t>
      </w:r>
      <w:r>
        <w:t>a</w:t>
      </w:r>
      <w:r w:rsidRPr="009C73AC">
        <w:t xml:space="preserve"> </w:t>
      </w:r>
      <w:r>
        <w:t xml:space="preserve">current, drawable </w:t>
      </w:r>
      <w:r w:rsidRPr="009C73AC">
        <w:t xml:space="preserve">letter of credit be refiled annually?  What evidence should we require a provider to submit to establish that it has been in operation for three years?  </w:t>
      </w:r>
    </w:p>
    <w:p w:rsidR="005919ED" w:rsidRPr="00A55B3E" w:rsidP="005919ED" w14:paraId="0F731207" w14:textId="77777777">
      <w:pPr>
        <w:pStyle w:val="ParaNum"/>
      </w:pPr>
      <w:r>
        <w:t xml:space="preserve">We </w:t>
      </w:r>
      <w:r>
        <w:t>further seek</w:t>
      </w:r>
      <w:r>
        <w:t xml:space="preserve"> comment on how to implement a new letter of credit requirement, if adopted.</w:t>
      </w:r>
      <w:r w:rsidRPr="009C73AC">
        <w:t xml:space="preserve">  </w:t>
      </w:r>
      <w:r>
        <w:t>S</w:t>
      </w:r>
      <w:r w:rsidRPr="009C73AC">
        <w:t xml:space="preserve">hould </w:t>
      </w:r>
      <w:r>
        <w:t>we decline to</w:t>
      </w:r>
      <w:r w:rsidRPr="009C73AC">
        <w:t xml:space="preserve"> accept and publish </w:t>
      </w:r>
      <w:r>
        <w:t>an RMD</w:t>
      </w:r>
      <w:r w:rsidRPr="009C73AC">
        <w:t xml:space="preserve"> filing unless Commission staff </w:t>
      </w:r>
      <w:r w:rsidRPr="009C73AC">
        <w:t>has</w:t>
      </w:r>
      <w:r w:rsidRPr="009C73AC">
        <w:t xml:space="preserve"> verified </w:t>
      </w:r>
      <w:r>
        <w:t xml:space="preserve">that </w:t>
      </w:r>
      <w:r w:rsidRPr="009C73AC">
        <w:t>the letter of credit</w:t>
      </w:r>
      <w:r>
        <w:t xml:space="preserve"> has been issued for an acceptable amount in an acceptable form by an acceptable bank?  </w:t>
      </w:r>
      <w:r w:rsidRPr="009C73AC">
        <w:t xml:space="preserve">Should we require providers to submit a letter of credit only after their filings are accepted into the system and the Bureau has not otherwise rejected, placed in a pending status, or withheld the filings from publication based on an apparent cause for removal or other enforcement action?  Should we give providers </w:t>
      </w:r>
      <w:r w:rsidRPr="009C73AC">
        <w:t>a period of time</w:t>
      </w:r>
      <w:r w:rsidRPr="009C73AC">
        <w:t xml:space="preserve"> to submit the required letter of credit after the filing is accepted but before it is published, such as 14 days, 30 days, or some other period?  What amount should we require for the letter of credit, and should that amount vary based on the size of the provider, the amount of traffic it transmits, its reported revenues for the most recent year, or some other benchmark?  What should be the term of the letter of credit?  What eligibility requirements should a financial institution be required to satisfy </w:t>
      </w:r>
      <w:r w:rsidRPr="009C73AC">
        <w:t>in order to</w:t>
      </w:r>
      <w:r w:rsidRPr="009C73AC">
        <w:t xml:space="preserve"> qualify as an acceptable issuer for a letter of credit?  For instance, should we require that financial institutions meet the “</w:t>
      </w:r>
      <w:r>
        <w:t>w</w:t>
      </w:r>
      <w:r w:rsidRPr="009C73AC">
        <w:t xml:space="preserve">ell-capitalized” criteria established by federal bank supervisory agencies as we do in the </w:t>
      </w:r>
      <w:r>
        <w:t xml:space="preserve">Universal Service </w:t>
      </w:r>
      <w:r w:rsidRPr="009C73AC">
        <w:t>High Cost Program?</w:t>
      </w:r>
      <w:r>
        <w:rPr>
          <w:rStyle w:val="FootnoteReference"/>
        </w:rPr>
        <w:footnoteReference w:id="192"/>
      </w:r>
      <w:r w:rsidRPr="009C73AC">
        <w:t xml:space="preserve">  Would a requirement that the bank must be registered in the SWIFT financial network be sufficient or would some alternative requirement better identify trusted financial institutions</w:t>
      </w:r>
      <w:r w:rsidRPr="00A55B3E">
        <w:t>?</w:t>
      </w:r>
      <w:r>
        <w:rPr>
          <w:rStyle w:val="FootnoteReference"/>
        </w:rPr>
        <w:footnoteReference w:id="193"/>
      </w:r>
      <w:r>
        <w:t xml:space="preserve">  Are there other circumstances, beyond collecting forfeiture penalties ordered to be paid by a court, that </w:t>
      </w:r>
      <w:r w:rsidRPr="009C73AC">
        <w:t xml:space="preserve">the Commission </w:t>
      </w:r>
      <w:r>
        <w:t xml:space="preserve">would </w:t>
      </w:r>
      <w:r w:rsidRPr="009C73AC">
        <w:t xml:space="preserve">be </w:t>
      </w:r>
      <w:r>
        <w:t>permitted</w:t>
      </w:r>
      <w:r w:rsidRPr="009C73AC">
        <w:t xml:space="preserve"> to draw </w:t>
      </w:r>
      <w:r>
        <w:t>up</w:t>
      </w:r>
      <w:r w:rsidRPr="009C73AC">
        <w:t>on the letter of credit</w:t>
      </w:r>
      <w:r>
        <w:t>?</w:t>
      </w:r>
    </w:p>
    <w:p w:rsidR="005919ED" w:rsidRPr="00A55B3E" w:rsidP="005919ED" w14:paraId="4C873E7B" w14:textId="77777777">
      <w:pPr>
        <w:pStyle w:val="ParaNum"/>
      </w:pPr>
      <w:r w:rsidRPr="0003672A">
        <w:rPr>
          <w:i/>
          <w:iCs/>
        </w:rPr>
        <w:t>Alternatives.</w:t>
      </w:r>
      <w:r>
        <w:t xml:space="preserve">  </w:t>
      </w:r>
      <w:r w:rsidRPr="00A55B3E">
        <w:t>We also seek comment on whether there are viable</w:t>
      </w:r>
      <w:r>
        <w:t xml:space="preserve"> </w:t>
      </w:r>
      <w:r w:rsidRPr="00A55B3E">
        <w:t>alternatives to a letter of credit</w:t>
      </w:r>
      <w:r>
        <w:t xml:space="preserve"> that we could impose to deter bad actors from entering the RMD, such as requiring surety bonds or other similar instruments or requiring third-party audited financial statements.</w:t>
      </w:r>
      <w:r>
        <w:rPr>
          <w:rStyle w:val="FootnoteReference"/>
        </w:rPr>
        <w:footnoteReference w:id="194"/>
      </w:r>
      <w:r>
        <w:rPr>
          <w:szCs w:val="22"/>
        </w:rPr>
        <w:t xml:space="preserve">  </w:t>
      </w:r>
      <w:r>
        <w:t xml:space="preserve">Are there other mechanisms we could use to vet entities before they enter the RMD, such as based on the KYUP requirements we proposed in the </w:t>
      </w:r>
      <w:r w:rsidRPr="0003672A">
        <w:rPr>
          <w:i/>
          <w:iCs/>
        </w:rPr>
        <w:t>KYUP FNPRM</w:t>
      </w:r>
      <w:r>
        <w:t>?</w:t>
      </w:r>
      <w:r>
        <w:rPr>
          <w:rStyle w:val="FootnoteReference"/>
        </w:rPr>
        <w:footnoteReference w:id="195"/>
      </w:r>
      <w:r>
        <w:t xml:space="preserve">  For instance, i</w:t>
      </w:r>
      <w:r w:rsidRPr="00B7354C">
        <w:t>s vetting RMD applicants a task for which the NANPA</w:t>
      </w:r>
      <w:r>
        <w:t xml:space="preserve"> (in connection with its duty administering numbering resources) or a similarly situated entity,</w:t>
      </w:r>
      <w:r w:rsidRPr="00B7354C">
        <w:t xml:space="preserve"> may be suited, subject to an appropriate contract amendment and compensation?</w:t>
      </w:r>
      <w:r>
        <w:t xml:space="preserve">  What are the potential benefits and drawbacks or unintended consequences of any given approach?</w:t>
      </w:r>
    </w:p>
    <w:p w:rsidR="005919ED" w:rsidRPr="00A55B3E" w:rsidP="005919ED" w14:paraId="7B74C767" w14:textId="77777777">
      <w:pPr>
        <w:pStyle w:val="Heading3"/>
      </w:pPr>
      <w:bookmarkStart w:id="88" w:name="_Toc232150160"/>
      <w:bookmarkStart w:id="89" w:name="_Toc232150507"/>
      <w:bookmarkStart w:id="90" w:name="_Toc232604720"/>
      <w:bookmarkStart w:id="91" w:name="_Toc233210672"/>
      <w:bookmarkStart w:id="92" w:name="_Toc233622371"/>
      <w:bookmarkStart w:id="93" w:name="_Toc233709809"/>
      <w:bookmarkStart w:id="94" w:name="_Toc235472517"/>
      <w:bookmarkStart w:id="95" w:name="_Toc235534116"/>
      <w:bookmarkStart w:id="96" w:name="_Toc235536519"/>
      <w:r w:rsidRPr="00A55B3E">
        <w:t>Identifying Bad Actor Providers in the RMD</w:t>
      </w:r>
      <w:bookmarkEnd w:id="88"/>
      <w:bookmarkEnd w:id="89"/>
      <w:bookmarkEnd w:id="90"/>
      <w:bookmarkEnd w:id="91"/>
      <w:bookmarkEnd w:id="92"/>
      <w:bookmarkEnd w:id="93"/>
      <w:bookmarkEnd w:id="94"/>
      <w:bookmarkEnd w:id="95"/>
      <w:bookmarkEnd w:id="96"/>
      <w:r w:rsidRPr="00A55B3E">
        <w:t xml:space="preserve"> </w:t>
      </w:r>
    </w:p>
    <w:p w:rsidR="005919ED" w:rsidRPr="00A55B3E" w:rsidP="005919ED" w14:paraId="4A12A8A3" w14:textId="77777777">
      <w:pPr>
        <w:pStyle w:val="ParaNum"/>
      </w:pPr>
      <w:r w:rsidRPr="00A55B3E">
        <w:t xml:space="preserve">We propose and seek </w:t>
      </w:r>
      <w:r w:rsidRPr="00A55B3E">
        <w:t>comment</w:t>
      </w:r>
      <w:r w:rsidRPr="00A55B3E">
        <w:t xml:space="preserve"> on measures designed to enhance our ability to identify </w:t>
      </w:r>
      <w:r>
        <w:t>non-compliant and fraudulent filings</w:t>
      </w:r>
      <w:r w:rsidRPr="00A55B3E">
        <w:t xml:space="preserve"> that are in the RMD, including technical measures, expediting the traceback process, information sharing with the Governance Authority, and Foreign Adversary Control attestations.</w:t>
      </w:r>
    </w:p>
    <w:p w:rsidR="005919ED" w:rsidRPr="00A55B3E" w:rsidP="005919ED" w14:paraId="48DC568C" w14:textId="77777777">
      <w:pPr>
        <w:pStyle w:val="ParaNum"/>
      </w:pPr>
      <w:r w:rsidRPr="0057419B">
        <w:rPr>
          <w:i/>
          <w:iCs/>
          <w:kern w:val="0"/>
        </w:rPr>
        <w:t>Technical measures.</w:t>
      </w:r>
      <w:r w:rsidRPr="00F540BD">
        <w:t xml:space="preserve">  To enhance measures to identify non-compliant and fraudulent filings already in the Database, we propose to explicitly direct the Bureau to consult with OMD, OEA, and the Enforcement Bureau, as necessary, to develop and implement technical tools to identify and target filings that are deficient,</w:t>
      </w:r>
      <w:r>
        <w:rPr>
          <w:rStyle w:val="FootnoteReference"/>
          <w:kern w:val="0"/>
        </w:rPr>
        <w:footnoteReference w:id="196"/>
      </w:r>
      <w:r w:rsidRPr="00F540BD">
        <w:t xml:space="preserve"> facially deficient,</w:t>
      </w:r>
      <w:r>
        <w:rPr>
          <w:rStyle w:val="FootnoteReference"/>
          <w:kern w:val="0"/>
        </w:rPr>
        <w:footnoteReference w:id="197"/>
      </w:r>
      <w:r w:rsidRPr="00F540BD">
        <w:t xml:space="preserve"> or materially deficient,</w:t>
      </w:r>
      <w:r>
        <w:rPr>
          <w:rStyle w:val="FootnoteReference"/>
          <w:kern w:val="0"/>
        </w:rPr>
        <w:footnoteReference w:id="198"/>
      </w:r>
      <w:r w:rsidRPr="00F540BD">
        <w:t xml:space="preserve"> filings that lack candor,</w:t>
      </w:r>
      <w:r>
        <w:rPr>
          <w:rStyle w:val="FootnoteReference"/>
          <w:kern w:val="0"/>
        </w:rPr>
        <w:footnoteReference w:id="199"/>
      </w:r>
      <w:r w:rsidRPr="00F540BD">
        <w:t xml:space="preserve"> duplicate filings, dummy filings,</w:t>
      </w:r>
      <w:r>
        <w:rPr>
          <w:rStyle w:val="FootnoteReference"/>
          <w:kern w:val="0"/>
        </w:rPr>
        <w:footnoteReference w:id="200"/>
      </w:r>
      <w:r w:rsidRPr="00F540BD">
        <w:t xml:space="preserve"> filings submitted by related entities, filings associated with known bad actors, and other filings that contain indicia of non-compliance with our rules.</w:t>
      </w:r>
      <w:r>
        <w:rPr>
          <w:rStyle w:val="FootnoteReference"/>
          <w:kern w:val="0"/>
        </w:rPr>
        <w:footnoteReference w:id="201"/>
      </w:r>
      <w:r w:rsidRPr="00F540BD">
        <w:t xml:space="preserve">  We further propose to direct the Bureau to ensure that any technical measure that it implements complies with all relevant federal data and privacy statutes</w:t>
      </w:r>
      <w:r>
        <w:t>, along with any other relevant government guidance, such as those addressing use of artificial intelligence</w:t>
      </w:r>
      <w:r w:rsidRPr="00F540BD">
        <w:t>.</w:t>
      </w:r>
      <w:r>
        <w:rPr>
          <w:rStyle w:val="FootnoteReference"/>
        </w:rPr>
        <w:footnoteReference w:id="202"/>
      </w:r>
      <w:r w:rsidRPr="00F540BD">
        <w:t xml:space="preserve">  The Commission has already recognized the value of technical validation tools in improving Database integrity</w:t>
      </w:r>
      <w:r>
        <w:t>,</w:t>
      </w:r>
      <w:r w:rsidRPr="00F540BD">
        <w:t xml:space="preserve"> and</w:t>
      </w:r>
      <w:r>
        <w:t xml:space="preserve"> it</w:t>
      </w:r>
      <w:r w:rsidRPr="00F540BD">
        <w:t xml:space="preserve"> has delegated authority to the Bureau to implement a technical data validation solution if the Bureau determines that the benefits would outweigh the costs.</w:t>
      </w:r>
      <w:r>
        <w:rPr>
          <w:rStyle w:val="FootnoteReference"/>
        </w:rPr>
        <w:footnoteReference w:id="203"/>
      </w:r>
      <w:r w:rsidRPr="00F540BD">
        <w:t xml:space="preserve">  We seek comment on these proposed directions to the Bureau to further delineate the scope of its delegated authority. </w:t>
      </w:r>
      <w:r>
        <w:t xml:space="preserve"> How should the Bureau weigh benefits in the form of reductions in the required staff resources associated with administration of the Database or improved ability to leverage the available information in the Database to general additional actionable insights?  Are there experiences at other federal agencies that might provide relevant examples?</w:t>
      </w:r>
      <w:r>
        <w:rPr>
          <w:rStyle w:val="FootnoteReference"/>
        </w:rPr>
        <w:footnoteReference w:id="204"/>
      </w:r>
      <w:r>
        <w:t xml:space="preserve">  W</w:t>
      </w:r>
      <w:r w:rsidRPr="0057419B">
        <w:rPr>
          <w:kern w:val="0"/>
        </w:rPr>
        <w:t>e also seek comment on technical approaches or best practices currently in use by industry to analyze RMD filings and whether there are means to cross-reference data in RMD filings, the ITG, and third-party sources to maximize the utility of these various resources to identify bad actors.</w:t>
      </w:r>
      <w:r>
        <w:rPr>
          <w:rStyle w:val="FootnoteReference"/>
          <w:kern w:val="0"/>
        </w:rPr>
        <w:footnoteReference w:id="205"/>
      </w:r>
    </w:p>
    <w:p w:rsidR="005919ED" w:rsidRPr="00A55B3E" w:rsidP="005919ED" w14:paraId="47F110D3" w14:textId="77777777">
      <w:pPr>
        <w:pStyle w:val="ParaNum"/>
      </w:pPr>
      <w:r w:rsidRPr="00CC45BA">
        <w:rPr>
          <w:i/>
          <w:iCs/>
          <w:kern w:val="0"/>
        </w:rPr>
        <w:t>Expediting the traceback process.</w:t>
      </w:r>
      <w:r w:rsidRPr="00F540BD">
        <w:t xml:space="preserve">  We also seek comment on the value of having the ITG expedite the traceback process and the best approaches for doing so.  How long does a typical traceback take and how long would it take if all providers in the call path were part of the ITG’s existing automated traceback process?  Are there other technical solutions or processes to expedite the traceback process?  Do we have the authority to direct </w:t>
      </w:r>
      <w:r w:rsidRPr="00F540BD">
        <w:t>the ITG</w:t>
      </w:r>
      <w:r w:rsidRPr="00F540BD">
        <w:t xml:space="preserve"> to adopt any such process, and if so, should we do so?  If not, should we encourage </w:t>
      </w:r>
      <w:r w:rsidRPr="00F540BD">
        <w:t>the ITG</w:t>
      </w:r>
      <w:r w:rsidRPr="00F540BD">
        <w:t xml:space="preserve"> to adopt such processes, and if so, how?  What are the costs and benefits of the existing mechanisms and how would they </w:t>
      </w:r>
      <w:r w:rsidRPr="00F540BD">
        <w:t>compare</w:t>
      </w:r>
      <w:r w:rsidRPr="00F540BD">
        <w:t xml:space="preserve"> to any alternative mechanisms?  Does </w:t>
      </w:r>
      <w:r w:rsidRPr="00F540BD">
        <w:t>the ITG</w:t>
      </w:r>
      <w:r w:rsidRPr="00F540BD">
        <w:t xml:space="preserve"> have any resource constraints that we should consider, and if so, how could they be mitigated?</w:t>
      </w:r>
    </w:p>
    <w:p w:rsidR="005919ED" w:rsidRPr="00F540BD" w:rsidP="005919ED" w14:paraId="061F51F0" w14:textId="77777777">
      <w:pPr>
        <w:pStyle w:val="ParaNum"/>
      </w:pPr>
      <w:r w:rsidRPr="00CC45BA">
        <w:rPr>
          <w:i/>
          <w:iCs/>
          <w:kern w:val="0"/>
        </w:rPr>
        <w:t>Information sharing with the Governance Authority.</w:t>
      </w:r>
      <w:r w:rsidRPr="00CC45BA">
        <w:t xml:space="preserve">  </w:t>
      </w:r>
      <w:r w:rsidRPr="00F540BD">
        <w:t xml:space="preserve">We also seek comment on whether the Commission should establish better information sharing with the Governance Authority.  The Commission has recently strengthened requirements for providers with STIR/SHAKEN implementation obligations, including </w:t>
      </w:r>
      <w:r>
        <w:t xml:space="preserve">requiring </w:t>
      </w:r>
      <w:r w:rsidRPr="00F540BD">
        <w:t xml:space="preserve">such providers </w:t>
      </w:r>
      <w:r>
        <w:t xml:space="preserve">to </w:t>
      </w:r>
      <w:r w:rsidRPr="00F540BD">
        <w:t xml:space="preserve">obtain their own SPC token and digital certificate and certify </w:t>
      </w:r>
      <w:r>
        <w:t>to either</w:t>
      </w:r>
      <w:r w:rsidRPr="00F540BD">
        <w:t xml:space="preserve"> complete or partial implementation in the Database only if they have obtained an SPC token and digital certificate and sign calls with their own certificate.</w:t>
      </w:r>
      <w:r>
        <w:rPr>
          <w:rStyle w:val="FootnoteReference"/>
        </w:rPr>
        <w:footnoteReference w:id="206"/>
      </w:r>
      <w:r w:rsidRPr="00F540BD">
        <w:t xml:space="preserve">  In addition, the </w:t>
      </w:r>
      <w:r w:rsidRPr="00CC45BA">
        <w:rPr>
          <w:i/>
          <w:iCs/>
          <w:kern w:val="0"/>
        </w:rPr>
        <w:t>KYUP FNPRM</w:t>
      </w:r>
      <w:r w:rsidRPr="00F540BD">
        <w:t xml:space="preserve"> proposes additional measures to strengthen the Governance Authority’s oversight, including improved policies for issuing and revoking SPC tokens and more robust information sharing with the ITG and call analytics providers.</w:t>
      </w:r>
      <w:r>
        <w:rPr>
          <w:rStyle w:val="FootnoteReference"/>
        </w:rPr>
        <w:footnoteReference w:id="207"/>
      </w:r>
      <w:r w:rsidRPr="00F540BD">
        <w:t xml:space="preserve">  We seek comment on whether the Governance Authority should provide this type of information and other related data to the Commission to assist in identifying non-compliant and fraudulent Database filings, including OCNs associated with authorized providers, more specific information about SPC token issuances and revocations, additional information about authorized Certification Authorities, and information concerning providers suspected of misusing SPC tokens or applying improper attestations.  Should the Commission require the Governance Authority to direct the Policy Administrator to include the OCNs associated with authorized providers on its public list of authorized providers,</w:t>
      </w:r>
      <w:r>
        <w:rPr>
          <w:rStyle w:val="FootnoteReference"/>
        </w:rPr>
        <w:footnoteReference w:id="208"/>
      </w:r>
      <w:r w:rsidRPr="00F540BD">
        <w:t xml:space="preserve"> or should such information be shared with the Commission on a non-public basis?  Would inclusion of OCNs help distinguish providers with similar names and help identify filings that falsely or inaccurately claim STIR/SHAKEN implementation?  We seek </w:t>
      </w:r>
      <w:r w:rsidRPr="00F540BD">
        <w:t>comment</w:t>
      </w:r>
      <w:r w:rsidRPr="00F540BD">
        <w:t xml:space="preserve"> on the costs and benefits of such information sharing.</w:t>
      </w:r>
    </w:p>
    <w:p w:rsidR="005919ED" w:rsidRPr="00A55B3E" w:rsidP="005919ED" w14:paraId="7A970B26" w14:textId="77777777">
      <w:pPr>
        <w:pStyle w:val="ParaNum"/>
      </w:pPr>
      <w:r w:rsidRPr="00A55B3E">
        <w:rPr>
          <w:i/>
          <w:iCs/>
        </w:rPr>
        <w:t>Foreign Adversary Control Attestations.</w:t>
      </w:r>
      <w:r w:rsidRPr="00A55B3E">
        <w:t xml:space="preserve">  To ensure that the Commission and the public are aware of the Foreign Adversary Control status of all domestic voice service providers, we propose to modify Schedule A of our Foreign Adversary Control rules to include published Robocall Mitigation Database filings, the filer of which is a domestic voice service provider.</w:t>
      </w:r>
      <w:r>
        <w:rPr>
          <w:rStyle w:val="FootnoteReference"/>
        </w:rPr>
        <w:footnoteReference w:id="209"/>
      </w:r>
      <w:r w:rsidRPr="00A55B3E">
        <w:t xml:space="preserve">  In the </w:t>
      </w:r>
      <w:r w:rsidRPr="00A55B3E">
        <w:rPr>
          <w:i/>
          <w:iCs/>
        </w:rPr>
        <w:t>Foreign Adversary Control Report and Order</w:t>
      </w:r>
      <w:r w:rsidRPr="00A55B3E">
        <w:t>, the Commission took steps to address the significant threats that U.S. communications networks face from foreign adversaries and entities with ties to foreign adversaries by requiring all carriers holding domestic 214 authority and interconnected VoIP providers that hold direct access to numbering resources authorizations to submit Foreign Adversary Control attestations and disclosures.</w:t>
      </w:r>
      <w:r>
        <w:rPr>
          <w:rStyle w:val="FootnoteReference"/>
        </w:rPr>
        <w:footnoteReference w:id="210"/>
      </w:r>
      <w:r w:rsidRPr="00A55B3E">
        <w:t xml:space="preserve">  These attestation requirements, however, do not cover all voice service providers that transmit voice calls that reach U.S. consumers, as they do not all necessarily hold either authorization.</w:t>
      </w:r>
      <w:r>
        <w:rPr>
          <w:rStyle w:val="FootnoteReference"/>
        </w:rPr>
        <w:footnoteReference w:id="211"/>
      </w:r>
      <w:r w:rsidRPr="00A55B3E">
        <w:t xml:space="preserve">  Particularly given the prevalence and problem of foreign-originated illegal calls aimed at U.S. consumers,</w:t>
      </w:r>
      <w:r>
        <w:rPr>
          <w:rStyle w:val="FootnoteReference"/>
        </w:rPr>
        <w:footnoteReference w:id="212"/>
      </w:r>
      <w:r w:rsidRPr="00A55B3E">
        <w:t xml:space="preserve"> we propose to close this loophole by requiring all domestic voice service providers with a filing that appears in the RMD to attest to Foreign Adversary Control (i.e., that it is or is not owned by, controlled by, or subject to the jurisdiction or direction of a foreign adversary)</w:t>
      </w:r>
      <w:r>
        <w:rPr>
          <w:rStyle w:val="FootnoteReference"/>
        </w:rPr>
        <w:footnoteReference w:id="213"/>
      </w:r>
      <w:r w:rsidRPr="00A55B3E">
        <w:t xml:space="preserve"> and to comply with any applicable additional disclosures and reporting requirements as set forth in our Foreign Adversary Control rules.</w:t>
      </w:r>
      <w:r>
        <w:rPr>
          <w:rStyle w:val="FootnoteReference"/>
        </w:rPr>
        <w:footnoteReference w:id="214"/>
      </w:r>
      <w:r w:rsidRPr="00A55B3E">
        <w:t xml:space="preserve">  We believe this requirement would ensure that the Commission and the public are aware of the Foreign Adversary Control status of </w:t>
      </w:r>
      <w:r w:rsidRPr="00A55B3E">
        <w:rPr>
          <w:i/>
          <w:iCs/>
        </w:rPr>
        <w:t>all</w:t>
      </w:r>
      <w:r w:rsidRPr="00A55B3E">
        <w:t xml:space="preserve"> domestic voice service providers that have access to the U.S. voice network.  We seek </w:t>
      </w:r>
      <w:r w:rsidRPr="00A55B3E">
        <w:t>comment</w:t>
      </w:r>
      <w:r w:rsidRPr="00A55B3E">
        <w:t xml:space="preserve"> on this proposal and analysis.  Should we also require providers to </w:t>
      </w:r>
      <w:r w:rsidRPr="00727BDD">
        <w:t>certify on the RMD submission form that they have completed the Foreign Adversary Control attestation and that the</w:t>
      </w:r>
      <w:r w:rsidRPr="00A55B3E">
        <w:t xml:space="preserve"> attestation was negative?</w:t>
      </w:r>
    </w:p>
    <w:p w:rsidR="005919ED" w:rsidRPr="00A55B3E" w:rsidP="005919ED" w14:paraId="0F939C08" w14:textId="77777777">
      <w:pPr>
        <w:pStyle w:val="Heading3"/>
      </w:pPr>
      <w:bookmarkStart w:id="97" w:name="_Toc232150161"/>
      <w:bookmarkStart w:id="98" w:name="_Toc232150508"/>
      <w:bookmarkStart w:id="99" w:name="_Toc232604721"/>
      <w:bookmarkStart w:id="100" w:name="_Toc233210673"/>
      <w:bookmarkStart w:id="101" w:name="_Toc233622372"/>
      <w:bookmarkStart w:id="102" w:name="_Toc233709810"/>
      <w:bookmarkStart w:id="103" w:name="_Toc235472518"/>
      <w:bookmarkStart w:id="104" w:name="_Toc235534117"/>
      <w:bookmarkStart w:id="105" w:name="_Toc235536520"/>
      <w:r w:rsidRPr="00A55B3E">
        <w:t>Tools for Removal of Bad Actor Providers from the RMD</w:t>
      </w:r>
      <w:bookmarkEnd w:id="97"/>
      <w:bookmarkEnd w:id="98"/>
      <w:bookmarkEnd w:id="99"/>
      <w:bookmarkEnd w:id="100"/>
      <w:bookmarkEnd w:id="101"/>
      <w:bookmarkEnd w:id="102"/>
      <w:bookmarkEnd w:id="103"/>
      <w:bookmarkEnd w:id="104"/>
      <w:bookmarkEnd w:id="105"/>
      <w:r w:rsidRPr="00A55B3E">
        <w:t xml:space="preserve"> </w:t>
      </w:r>
    </w:p>
    <w:p w:rsidR="005919ED" w:rsidRPr="00A55B3E" w:rsidP="005919ED" w14:paraId="2CD58FB0" w14:textId="77777777">
      <w:pPr>
        <w:pStyle w:val="ParaNum"/>
      </w:pPr>
      <w:r>
        <w:t>W</w:t>
      </w:r>
      <w:r w:rsidRPr="00A55B3E">
        <w:t xml:space="preserve">e propose and seek </w:t>
      </w:r>
      <w:r w:rsidRPr="00A55B3E">
        <w:t>comment</w:t>
      </w:r>
      <w:r w:rsidRPr="00A55B3E">
        <w:t xml:space="preserve"> on the tools we use to remove bad </w:t>
      </w:r>
      <w:r w:rsidRPr="00A55B3E">
        <w:t>actor</w:t>
      </w:r>
      <w:r w:rsidRPr="00A55B3E">
        <w:t xml:space="preserve"> and non-compliant providers’ filings from the RMD.  </w:t>
      </w:r>
      <w:r>
        <w:t>V</w:t>
      </w:r>
      <w:r w:rsidRPr="00A55B3E">
        <w:t xml:space="preserve">oice service providers must </w:t>
      </w:r>
      <w:r>
        <w:t>submit and maintain accurate and complete filings in the RMD</w:t>
      </w:r>
      <w:r w:rsidRPr="00A55B3E">
        <w:t xml:space="preserve">.  </w:t>
      </w:r>
      <w:r>
        <w:t>Providers that</w:t>
      </w:r>
      <w:r w:rsidRPr="00A55B3E">
        <w:t xml:space="preserve"> fail to submit </w:t>
      </w:r>
      <w:r>
        <w:t>or</w:t>
      </w:r>
      <w:r w:rsidRPr="00A55B3E">
        <w:t xml:space="preserve"> maintain a compliant filing </w:t>
      </w:r>
      <w:r>
        <w:t>may be subject to removal from the RMD</w:t>
      </w:r>
      <w:r>
        <w:rPr>
          <w:rStyle w:val="FootnoteReference"/>
        </w:rPr>
        <w:footnoteReference w:id="215"/>
      </w:r>
      <w:r>
        <w:t xml:space="preserve"> or a </w:t>
      </w:r>
      <w:r w:rsidRPr="00A55B3E">
        <w:t>Commission forfeiture.</w:t>
      </w:r>
      <w:r>
        <w:rPr>
          <w:rStyle w:val="FootnoteReference"/>
        </w:rPr>
        <w:footnoteReference w:id="216"/>
      </w:r>
      <w:r w:rsidRPr="00A55B3E">
        <w:t xml:space="preserve">  Because downstream providers may only accept voice calls directly from another provider if that provider’s filing appears in the Database and has not been removed pursuant to an enforcement action,</w:t>
      </w:r>
      <w:r>
        <w:rPr>
          <w:rStyle w:val="FootnoteReference"/>
        </w:rPr>
        <w:footnoteReference w:id="217"/>
      </w:r>
      <w:r w:rsidRPr="00A55B3E">
        <w:t xml:space="preserve"> removed providers are effectively prevented from </w:t>
      </w:r>
      <w:r>
        <w:t>transmitting voice calls on the U.S. voice network</w:t>
      </w:r>
      <w:r w:rsidRPr="00A55B3E">
        <w:t>.  A provider whose filing has been removed is not permitted to re-file in the Database unless and until both the Bureau and Enforcement Bureau consent.</w:t>
      </w:r>
      <w:r>
        <w:rPr>
          <w:rStyle w:val="FootnoteReference"/>
        </w:rPr>
        <w:footnoteReference w:id="218"/>
      </w:r>
      <w:r w:rsidRPr="00A55B3E">
        <w:t xml:space="preserve">  Although the Commission’s removal actions have been </w:t>
      </w:r>
      <w:r>
        <w:t>effective at removing bad actor and non-compliant providers’ filings</w:t>
      </w:r>
      <w:r w:rsidRPr="00A55B3E">
        <w:t>,</w:t>
      </w:r>
      <w:r>
        <w:rPr>
          <w:rStyle w:val="FootnoteReference"/>
        </w:rPr>
        <w:footnoteReference w:id="219"/>
      </w:r>
      <w:r w:rsidRPr="00A55B3E">
        <w:t xml:space="preserve"> we believe codifying and enhancing removal procedures will enable us to more effectively expel </w:t>
      </w:r>
      <w:r>
        <w:t>such</w:t>
      </w:r>
      <w:r w:rsidRPr="00A55B3E">
        <w:t xml:space="preserve"> providers from the voice ecosystem.  Accordingly, </w:t>
      </w:r>
      <w:r>
        <w:t xml:space="preserve">we aim to codify and clarify removal procedures, </w:t>
      </w:r>
      <w:r w:rsidRPr="00A55B3E">
        <w:t>focus</w:t>
      </w:r>
      <w:r>
        <w:t>ing</w:t>
      </w:r>
      <w:r w:rsidRPr="00A55B3E">
        <w:t xml:space="preserve"> on the causes for removal or other enforcement action, removal processes, </w:t>
      </w:r>
      <w:r>
        <w:t xml:space="preserve">a </w:t>
      </w:r>
      <w:r w:rsidRPr="00A55B3E">
        <w:t>grace period for annual recertifications, suspensions, filing status indicators and traffic acceptance requirements, and removal notices.</w:t>
      </w:r>
    </w:p>
    <w:p w:rsidR="005919ED" w:rsidRPr="00A55B3E" w:rsidP="005919ED" w14:paraId="17F60FEF" w14:textId="77777777">
      <w:pPr>
        <w:pStyle w:val="ParaNum"/>
      </w:pPr>
      <w:r w:rsidRPr="00CC45BA">
        <w:rPr>
          <w:i/>
          <w:iCs/>
          <w:kern w:val="0"/>
        </w:rPr>
        <w:t>Causes for removal or other enforcement action.</w:t>
      </w:r>
      <w:r w:rsidRPr="00F540BD">
        <w:t xml:space="preserve">  We propose to codify the causes for which a provider may be subject to </w:t>
      </w:r>
      <w:r>
        <w:t xml:space="preserve">an </w:t>
      </w:r>
      <w:r w:rsidRPr="00F540BD">
        <w:t xml:space="preserve">enforcement action, including removal of the provider’s filing from the Database, to put providers on clear notice, strengthen the foundation for our enforcement actions, and enhance </w:t>
      </w:r>
      <w:r w:rsidRPr="00A55B3E">
        <w:t>the integrity and reliability of the Database and the U.S. voice network</w:t>
      </w:r>
      <w:r w:rsidRPr="00F540BD">
        <w:t>.  Specifically, we propose that the Enforcement Bureau retain the discretion to initiate an enforcement action against any voice service provider, including removal of the provider’s filing from the Database, for the following reasons:</w:t>
      </w:r>
    </w:p>
    <w:p w:rsidR="005919ED" w:rsidRPr="00A55B3E" w:rsidP="002B2016" w14:paraId="55CDF1C1" w14:textId="77777777">
      <w:pPr>
        <w:pStyle w:val="ParaNum"/>
        <w:widowControl/>
        <w:numPr>
          <w:ilvl w:val="0"/>
          <w:numId w:val="14"/>
        </w:numPr>
      </w:pPr>
      <w:r w:rsidRPr="00A55B3E">
        <w:rPr>
          <w:i/>
          <w:iCs/>
        </w:rPr>
        <w:t xml:space="preserve">deficient RMD filing </w:t>
      </w:r>
      <w:r w:rsidRPr="00A55B3E">
        <w:t xml:space="preserve">because </w:t>
      </w:r>
      <w:r w:rsidRPr="00F540BD">
        <w:t>the information it contains is incomplete or insufficient,</w:t>
      </w:r>
      <w:r>
        <w:rPr>
          <w:rStyle w:val="FootnoteReference"/>
          <w:kern w:val="0"/>
        </w:rPr>
        <w:footnoteReference w:id="220"/>
      </w:r>
      <w:r w:rsidRPr="00F540BD">
        <w:t xml:space="preserve"> but not substantially and materially so</w:t>
      </w:r>
      <w:r w:rsidRPr="00A55B3E">
        <w:t>;</w:t>
      </w:r>
      <w:r>
        <w:rPr>
          <w:rStyle w:val="FootnoteReference"/>
        </w:rPr>
        <w:footnoteReference w:id="221"/>
      </w:r>
    </w:p>
    <w:p w:rsidR="005919ED" w:rsidP="005919ED" w14:paraId="58C06037" w14:textId="77777777">
      <w:pPr>
        <w:pStyle w:val="ParaNum"/>
        <w:numPr>
          <w:ilvl w:val="0"/>
          <w:numId w:val="14"/>
        </w:numPr>
      </w:pPr>
      <w:r w:rsidRPr="00A55B3E">
        <w:rPr>
          <w:i/>
          <w:iCs/>
        </w:rPr>
        <w:t>facially deficient RMD filing</w:t>
      </w:r>
      <w:r w:rsidRPr="00A55B3E">
        <w:t xml:space="preserve"> because it lacks required information or certifications </w:t>
      </w:r>
      <w:r>
        <w:t xml:space="preserve">or the information it </w:t>
      </w:r>
      <w:r w:rsidRPr="00A55B3E">
        <w:t xml:space="preserve">contains </w:t>
      </w:r>
      <w:r>
        <w:t xml:space="preserve">is </w:t>
      </w:r>
      <w:r w:rsidRPr="00A55B3E">
        <w:t>invalid</w:t>
      </w:r>
      <w:r>
        <w:t>, non-responsive, or illegible;</w:t>
      </w:r>
      <w:r>
        <w:rPr>
          <w:rStyle w:val="FootnoteReference"/>
        </w:rPr>
        <w:footnoteReference w:id="222"/>
      </w:r>
    </w:p>
    <w:p w:rsidR="005919ED" w:rsidRPr="00A55B3E" w:rsidP="002B2016" w14:paraId="6737F56B" w14:textId="77777777">
      <w:pPr>
        <w:pStyle w:val="ParaNum"/>
        <w:widowControl/>
        <w:numPr>
          <w:ilvl w:val="0"/>
          <w:numId w:val="14"/>
        </w:numPr>
      </w:pPr>
      <w:r w:rsidRPr="002D0DB6">
        <w:rPr>
          <w:i/>
          <w:iCs/>
        </w:rPr>
        <w:t>materially deficient RMD filing</w:t>
      </w:r>
      <w:r>
        <w:t xml:space="preserve"> because it </w:t>
      </w:r>
      <w:r w:rsidRPr="00A55B3E">
        <w:t xml:space="preserve">contains information that is substantially and materially incomplete or insufficient, </w:t>
      </w:r>
      <w:r w:rsidRPr="00F540BD">
        <w:t>contains material internal inconsistencies,</w:t>
      </w:r>
      <w:r>
        <w:rPr>
          <w:rStyle w:val="FootnoteReference"/>
          <w:kern w:val="0"/>
        </w:rPr>
        <w:footnoteReference w:id="223"/>
      </w:r>
      <w:r w:rsidRPr="00F540BD">
        <w:t xml:space="preserve"> or</w:t>
      </w:r>
      <w:r w:rsidRPr="00A55B3E">
        <w:t xml:space="preserve"> contains </w:t>
      </w:r>
      <w:r w:rsidRPr="00F540BD">
        <w:t>information that is materially inconsistent with information the provider has reported elsewhere or with reliable external sources</w:t>
      </w:r>
      <w:r w:rsidRPr="00A55B3E">
        <w:t xml:space="preserve"> (e.g., CORES, the Governance Authority, the NANPA);</w:t>
      </w:r>
      <w:r>
        <w:rPr>
          <w:rStyle w:val="FootnoteReference"/>
        </w:rPr>
        <w:footnoteReference w:id="224"/>
      </w:r>
    </w:p>
    <w:p w:rsidR="005919ED" w:rsidRPr="00A55B3E" w:rsidP="005919ED" w14:paraId="68CF0919" w14:textId="77777777">
      <w:pPr>
        <w:pStyle w:val="ParaNum"/>
        <w:numPr>
          <w:ilvl w:val="0"/>
          <w:numId w:val="14"/>
        </w:numPr>
      </w:pPr>
      <w:r w:rsidRPr="00CC45BA">
        <w:rPr>
          <w:i/>
          <w:iCs/>
          <w:kern w:val="0"/>
        </w:rPr>
        <w:t>lack of candor</w:t>
      </w:r>
      <w:r w:rsidRPr="00F540BD">
        <w:t xml:space="preserve">, including submission of false, misleading, or inaccurate information to the Commission, the Governance Authority, the Policy Administrator, any Certification Authority, or </w:t>
      </w:r>
      <w:r w:rsidRPr="00A55B3E">
        <w:t>any agent</w:t>
      </w:r>
      <w:r w:rsidRPr="00CC45BA">
        <w:t xml:space="preserve"> or other </w:t>
      </w:r>
      <w:r w:rsidRPr="00A55B3E">
        <w:t>third party designated by the Commission or</w:t>
      </w:r>
      <w:r w:rsidRPr="00CC45BA">
        <w:t xml:space="preserve"> </w:t>
      </w:r>
      <w:r w:rsidRPr="00F540BD">
        <w:t xml:space="preserve">acting </w:t>
      </w:r>
      <w:r>
        <w:t>on behalf of the Commission</w:t>
      </w:r>
      <w:r w:rsidRPr="00F540BD">
        <w:t xml:space="preserve"> pursuant to Commission rules or direction</w:t>
      </w:r>
      <w:r w:rsidRPr="00A55B3E">
        <w:t xml:space="preserve">, including the NANPA and </w:t>
      </w:r>
      <w:r w:rsidRPr="00F540BD">
        <w:t>the industry traceback consortium;</w:t>
      </w:r>
      <w:r>
        <w:rPr>
          <w:rStyle w:val="FootnoteReference"/>
          <w:kern w:val="0"/>
        </w:rPr>
        <w:footnoteReference w:id="225"/>
      </w:r>
    </w:p>
    <w:p w:rsidR="005919ED" w:rsidRPr="00A55B3E" w:rsidP="005919ED" w14:paraId="699CEE41" w14:textId="77777777">
      <w:pPr>
        <w:pStyle w:val="ParaNum"/>
        <w:numPr>
          <w:ilvl w:val="0"/>
          <w:numId w:val="14"/>
        </w:numPr>
      </w:pPr>
      <w:r w:rsidRPr="00A55B3E">
        <w:rPr>
          <w:i/>
          <w:iCs/>
        </w:rPr>
        <w:t>annual recertification violations</w:t>
      </w:r>
      <w:r w:rsidRPr="00A55B3E">
        <w:t>, including failure to complete the recertification, failure to complete the recertification on time, and failure to pay the required annual recertification fee;</w:t>
      </w:r>
      <w:r>
        <w:rPr>
          <w:rStyle w:val="FootnoteReference"/>
        </w:rPr>
        <w:footnoteReference w:id="226"/>
      </w:r>
    </w:p>
    <w:p w:rsidR="005919ED" w:rsidRPr="00A55B3E" w:rsidP="005919ED" w14:paraId="446D1C37" w14:textId="77777777">
      <w:pPr>
        <w:pStyle w:val="ParaNum"/>
        <w:numPr>
          <w:ilvl w:val="0"/>
          <w:numId w:val="14"/>
        </w:numPr>
      </w:pPr>
      <w:r w:rsidRPr="00CC45BA">
        <w:rPr>
          <w:i/>
          <w:iCs/>
          <w:kern w:val="0"/>
        </w:rPr>
        <w:t>accepting calls from a prohibited provider</w:t>
      </w:r>
      <w:r w:rsidRPr="00F540BD">
        <w:t>, including a provider that does not have a filing that appears in the Database, whose filing has been removed from the Database, or that is subject to a mandatory blocking order;</w:t>
      </w:r>
      <w:r>
        <w:rPr>
          <w:rStyle w:val="FootnoteReference"/>
        </w:rPr>
        <w:footnoteReference w:id="227"/>
      </w:r>
    </w:p>
    <w:p w:rsidR="005919ED" w:rsidRPr="00A55B3E" w:rsidP="005919ED" w14:paraId="28E03356" w14:textId="77777777">
      <w:pPr>
        <w:pStyle w:val="ParaNum"/>
        <w:numPr>
          <w:ilvl w:val="0"/>
          <w:numId w:val="14"/>
        </w:numPr>
      </w:pPr>
      <w:r w:rsidRPr="00CC45BA">
        <w:rPr>
          <w:i/>
          <w:iCs/>
          <w:kern w:val="0"/>
        </w:rPr>
        <w:t>traceback violations</w:t>
      </w:r>
      <w:r w:rsidRPr="00F540BD">
        <w:t>, including failure to respond to traceback requests,</w:t>
      </w:r>
      <w:r>
        <w:rPr>
          <w:rStyle w:val="FootnoteReference"/>
          <w:kern w:val="0"/>
        </w:rPr>
        <w:footnoteReference w:id="228"/>
      </w:r>
      <w:r w:rsidRPr="00F540BD">
        <w:t xml:space="preserve"> repeated appearance in tracebacks, or submission of incomplete or inaccurate information in traceback responses;</w:t>
      </w:r>
    </w:p>
    <w:p w:rsidR="005919ED" w:rsidRPr="00A55B3E" w:rsidP="00A00D60" w14:paraId="3C1E3D6A" w14:textId="77777777">
      <w:pPr>
        <w:pStyle w:val="ParaNum"/>
        <w:widowControl/>
        <w:numPr>
          <w:ilvl w:val="0"/>
          <w:numId w:val="14"/>
        </w:numPr>
      </w:pPr>
      <w:r w:rsidRPr="00CC45BA">
        <w:rPr>
          <w:i/>
          <w:iCs/>
          <w:kern w:val="0"/>
        </w:rPr>
        <w:t>enabling transmission of illegal calls</w:t>
      </w:r>
      <w:r w:rsidRPr="00F540BD">
        <w:t>, including knowingly or negligently initiating, originating, carrying, processing, or terminating illegal calls;</w:t>
      </w:r>
      <w:r>
        <w:rPr>
          <w:rStyle w:val="FootnoteReference"/>
          <w:kern w:val="0"/>
        </w:rPr>
        <w:footnoteReference w:id="229"/>
      </w:r>
    </w:p>
    <w:p w:rsidR="005919ED" w:rsidRPr="00A55B3E" w:rsidP="005919ED" w14:paraId="6F26D6CF" w14:textId="77777777">
      <w:pPr>
        <w:pStyle w:val="ParaNum"/>
        <w:numPr>
          <w:ilvl w:val="0"/>
          <w:numId w:val="14"/>
        </w:numPr>
      </w:pPr>
      <w:r w:rsidRPr="00CC45BA">
        <w:rPr>
          <w:i/>
          <w:iCs/>
          <w:kern w:val="0"/>
        </w:rPr>
        <w:t>inadequate robocall mitigation</w:t>
      </w:r>
      <w:r w:rsidRPr="00F540BD">
        <w:t xml:space="preserve"> measures, including failure to implement a robocall mitigation program that complies with Commission rules or failure to comply with the robocall mitigation practices described in the provider’s robocall mitigation plan;</w:t>
      </w:r>
    </w:p>
    <w:p w:rsidR="005919ED" w:rsidRPr="00A55B3E" w:rsidP="005919ED" w14:paraId="400BB218" w14:textId="77777777">
      <w:pPr>
        <w:pStyle w:val="ParaNum"/>
        <w:numPr>
          <w:ilvl w:val="0"/>
          <w:numId w:val="14"/>
        </w:numPr>
      </w:pPr>
      <w:r w:rsidRPr="00CC45BA">
        <w:rPr>
          <w:i/>
          <w:iCs/>
          <w:kern w:val="0"/>
        </w:rPr>
        <w:t>failure to cooperate with a Commission investigation</w:t>
      </w:r>
      <w:r w:rsidRPr="00A55B3E">
        <w:t xml:space="preserve">, including failure to respond to </w:t>
      </w:r>
      <w:r w:rsidRPr="00F540BD">
        <w:t>a subpoena, letter of inquiry, cease-and-desist letter, or notice of suspected illegal traffic;</w:t>
      </w:r>
      <w:r>
        <w:rPr>
          <w:rStyle w:val="FootnoteReference"/>
          <w:kern w:val="0"/>
        </w:rPr>
        <w:footnoteReference w:id="230"/>
      </w:r>
    </w:p>
    <w:p w:rsidR="005919ED" w:rsidRPr="00A55B3E" w:rsidP="005919ED" w14:paraId="1BBC15F7" w14:textId="77777777">
      <w:pPr>
        <w:pStyle w:val="ParaNum"/>
        <w:numPr>
          <w:ilvl w:val="0"/>
          <w:numId w:val="14"/>
        </w:numPr>
      </w:pPr>
      <w:r w:rsidRPr="00CC45BA">
        <w:rPr>
          <w:i/>
          <w:iCs/>
          <w:kern w:val="0"/>
        </w:rPr>
        <w:t>impersonation</w:t>
      </w:r>
      <w:r w:rsidRPr="00F540BD">
        <w:t xml:space="preserve">, </w:t>
      </w:r>
      <w:r w:rsidRPr="00A55B3E">
        <w:t xml:space="preserve">including </w:t>
      </w:r>
      <w:r w:rsidRPr="00F540BD">
        <w:t>the unauthorized use of another person or entity’s identifying information in an RMD filing;</w:t>
      </w:r>
      <w:r>
        <w:rPr>
          <w:rStyle w:val="FootnoteReference"/>
          <w:kern w:val="0"/>
        </w:rPr>
        <w:footnoteReference w:id="231"/>
      </w:r>
    </w:p>
    <w:p w:rsidR="005919ED" w:rsidRPr="00A55B3E" w:rsidP="005919ED" w14:paraId="19A37701" w14:textId="77777777">
      <w:pPr>
        <w:pStyle w:val="ParaNum"/>
        <w:numPr>
          <w:ilvl w:val="0"/>
          <w:numId w:val="14"/>
        </w:numPr>
      </w:pPr>
      <w:r w:rsidRPr="00CC45BA">
        <w:rPr>
          <w:i/>
          <w:iCs/>
          <w:kern w:val="0"/>
        </w:rPr>
        <w:t>STIR/SHAKEN implementation violations</w:t>
      </w:r>
      <w:r w:rsidRPr="00F540BD">
        <w:t>, including failure to implement STIR/SHAKEN in accordance with Commission rules, improper attestations, and unauthorized authentication practices;</w:t>
      </w:r>
      <w:r>
        <w:rPr>
          <w:rStyle w:val="FootnoteReference"/>
          <w:kern w:val="0"/>
        </w:rPr>
        <w:footnoteReference w:id="232"/>
      </w:r>
    </w:p>
    <w:p w:rsidR="005919ED" w:rsidRPr="00A55B3E" w:rsidP="005919ED" w14:paraId="2F1925C6" w14:textId="77777777">
      <w:pPr>
        <w:pStyle w:val="ParaNum"/>
        <w:numPr>
          <w:ilvl w:val="0"/>
          <w:numId w:val="14"/>
        </w:numPr>
      </w:pPr>
      <w:r w:rsidRPr="00CC45BA">
        <w:rPr>
          <w:i/>
          <w:iCs/>
          <w:kern w:val="0"/>
        </w:rPr>
        <w:t>national security and law enforcement concerns</w:t>
      </w:r>
      <w:r w:rsidRPr="00F540BD">
        <w:t>, including when a provider</w:t>
      </w:r>
      <w:r w:rsidRPr="00A55B3E">
        <w:t>, or the provider’s subsidiary or affiliate,</w:t>
      </w:r>
      <w:r w:rsidRPr="00F540BD">
        <w:t xml:space="preserve"> is identified on the Covered List,</w:t>
      </w:r>
      <w:r>
        <w:rPr>
          <w:rStyle w:val="FootnoteReference"/>
        </w:rPr>
        <w:footnoteReference w:id="233"/>
      </w:r>
      <w:r w:rsidRPr="00F540BD">
        <w:t xml:space="preserve"> is identified </w:t>
      </w:r>
      <w:r>
        <w:t xml:space="preserve">as having foreign adversary control </w:t>
      </w:r>
      <w:r w:rsidRPr="00F540BD">
        <w:t>through the Foreign Adversary Control System,</w:t>
      </w:r>
      <w:r>
        <w:rPr>
          <w:rStyle w:val="FootnoteReference"/>
        </w:rPr>
        <w:footnoteReference w:id="234"/>
      </w:r>
      <w:r w:rsidRPr="00F540BD">
        <w:t xml:space="preserve"> is subject to a Commission action revoking or terminating a license or authorization on national security or law enforcement grounds, </w:t>
      </w:r>
      <w:r>
        <w:t xml:space="preserve">is excluded from obtaining a license or authorization on </w:t>
      </w:r>
      <w:r w:rsidRPr="00F540BD">
        <w:t>national security or law enforcement grounds</w:t>
      </w:r>
      <w:r>
        <w:t>,</w:t>
      </w:r>
      <w:r w:rsidRPr="00F540BD">
        <w:t xml:space="preserve"> is otherwise subject to a final Commission determination that its continued participation in the U.S. communications ecosystem poses unacceptable risks, and when the provider is owned or controlled by, under common ownership or control with, or acting on behalf of an entity that is subject to any such a determination;</w:t>
      </w:r>
    </w:p>
    <w:p w:rsidR="005919ED" w:rsidRPr="00CC45BA" w:rsidP="005919ED" w14:paraId="72CAF08C" w14:textId="77777777">
      <w:pPr>
        <w:pStyle w:val="ParaNum"/>
        <w:numPr>
          <w:ilvl w:val="0"/>
          <w:numId w:val="14"/>
        </w:numPr>
      </w:pPr>
      <w:r w:rsidRPr="00CC45BA">
        <w:rPr>
          <w:i/>
          <w:iCs/>
          <w:kern w:val="0"/>
        </w:rPr>
        <w:t>final Commission enforcement actions</w:t>
      </w:r>
      <w:r w:rsidRPr="00F540BD">
        <w:t xml:space="preserve"> with accompanying findings of actual wrongdoing related to facilitating illegal calls or spoofing, including a final determination order under section 64.1200(n)(3), a forfeiture order involving illegal calls or spoofing (if the forfeiture is paid or ordered to be paid by a court), revocation of a Commission authorization, or a final order finding that the provider has failed to comply with KYC, KYUP, STIR/SHAKEN, call blocking, traceback, numbering, or robocall mitigation requirements; and</w:t>
      </w:r>
    </w:p>
    <w:p w:rsidR="005919ED" w:rsidRPr="00A55B3E" w:rsidP="005919ED" w14:paraId="6E7B1FF8" w14:textId="77777777">
      <w:pPr>
        <w:pStyle w:val="ParaNum"/>
        <w:numPr>
          <w:ilvl w:val="0"/>
          <w:numId w:val="14"/>
        </w:numPr>
      </w:pPr>
      <w:r w:rsidRPr="00A55B3E">
        <w:rPr>
          <w:i/>
          <w:iCs/>
        </w:rPr>
        <w:t>repeat violations for reinstated providers</w:t>
      </w:r>
      <w:r w:rsidRPr="00A55B3E">
        <w:t>, including when the provider is removed for one basis but, after reinstatement, commits a violation under the same or another basis.</w:t>
      </w:r>
      <w:r w:rsidRPr="00A55B3E">
        <w:rPr>
          <w:i/>
          <w:iCs/>
        </w:rPr>
        <w:t xml:space="preserve"> </w:t>
      </w:r>
    </w:p>
    <w:p w:rsidR="005919ED" w:rsidRPr="00A55B3E" w:rsidP="005919ED" w14:paraId="048669B4" w14:textId="77777777">
      <w:pPr>
        <w:pStyle w:val="ParaNum"/>
      </w:pPr>
      <w:r w:rsidRPr="00A55B3E">
        <w:t xml:space="preserve">We seek comment on codification of each of these proposed causes for removal or other enforcement action, including whether we should provide additional guidance explaining what actions or omissions fall within each of these causes.  For instance, should removal for lack of candor </w:t>
      </w:r>
      <w:r w:rsidRPr="00F540BD">
        <w:t>require a showing that the false statement was material, repeated, or made with intent to deceive?  Or is negligent submission of materially inaccurate information sufficient where the provider fails to correct the information after notice?  Is failure to respond to a single traceback request sufficient for removal or must it be accompanied by other indicia of bad faith?  Should the Commission instead establish a threshold, such as repeated failures to respond to tracebacks within a defined period?  Should the rule distinguish between late responses, incomplete responses, false responses, and non-responses?  Should failure to participate in automated traceback processes constitute a cause for removal or other enforcement action, if we require providers to participate in the automated traceback process?  Should the Commission require evidence that the provider knowingly enabled the transmission of illegal calls, or should a “knew or should have known” standard apply?</w:t>
      </w:r>
      <w:r>
        <w:rPr>
          <w:rStyle w:val="FootnoteReference"/>
          <w:kern w:val="0"/>
        </w:rPr>
        <w:footnoteReference w:id="235"/>
      </w:r>
      <w:r w:rsidRPr="00F540BD">
        <w:t xml:space="preserve">  Should use of traceback data for identifying providers that enabled the transmission of illegal calls be limited to identifying originating or gateway providers that may be subject to removal?  Are there additional causes for removal that we have not considered?</w:t>
      </w:r>
    </w:p>
    <w:p w:rsidR="005919ED" w:rsidRPr="00A55B3E" w:rsidP="005919ED" w14:paraId="3391D491" w14:textId="77777777">
      <w:pPr>
        <w:pStyle w:val="ParaNum"/>
      </w:pPr>
      <w:r w:rsidRPr="00A55B3E">
        <w:rPr>
          <w:i/>
          <w:iCs/>
        </w:rPr>
        <w:t>Removal processes.</w:t>
      </w:r>
      <w:r w:rsidRPr="00A55B3E">
        <w:t xml:space="preserve">  </w:t>
      </w:r>
      <w:r w:rsidRPr="00F540BD">
        <w:t>We next propose and seek comment on enhancing and codifying the procedures for removing providers’ filings from the Database and on codifying which procedures apply to each cause for removal.  To date, the Commission has used the following procedures for RMD removal:</w:t>
      </w:r>
      <w:r>
        <w:rPr>
          <w:rStyle w:val="FootnoteReference"/>
        </w:rPr>
        <w:footnoteReference w:id="236"/>
      </w:r>
    </w:p>
    <w:p w:rsidR="005919ED" w:rsidRPr="00A55B3E" w:rsidP="00A00D60" w14:paraId="7C947EA9" w14:textId="77777777">
      <w:pPr>
        <w:pStyle w:val="ParaNum"/>
        <w:widowControl/>
        <w:numPr>
          <w:ilvl w:val="0"/>
          <w:numId w:val="18"/>
        </w:numPr>
      </w:pPr>
      <w:r w:rsidRPr="00CC45BA">
        <w:rPr>
          <w:i/>
          <w:iCs/>
          <w:kern w:val="0"/>
        </w:rPr>
        <w:t>Three-Step Removal Process</w:t>
      </w:r>
      <w:r w:rsidRPr="00F540BD">
        <w:t xml:space="preserve"> – For most filing deficiencies, the Commission uses a three-step process under which:  (1) the Bureau or the Enforcement Bureau first notifies the provider that its filing is deficient, explains the nature of the deficiency, and provides an opportunity to cure; (2) if the provider fails to cure, the Enforcement Bureau issues an order finding that a provider’s filing is deficient based on the available evidence and directing the provider to, within 14 days, </w:t>
      </w:r>
      <w:r w:rsidRPr="00A55B3E">
        <w:t>cure the deficiency and notify the Enforcement Bureau that the deficiency has been cured</w:t>
      </w:r>
      <w:r w:rsidRPr="00F540BD">
        <w:t xml:space="preserve"> or explain why its filing should not be removed; and (3) if the provider fails to cure or provide a sufficient explanation within the 14-day period, the Enforcement Bureau issues an order removing the filing from the Database.</w:t>
      </w:r>
      <w:r>
        <w:rPr>
          <w:rStyle w:val="FootnoteReference"/>
        </w:rPr>
        <w:footnoteReference w:id="237"/>
      </w:r>
    </w:p>
    <w:p w:rsidR="005919ED" w:rsidRPr="00A55B3E" w:rsidP="005919ED" w14:paraId="67CC1E3E" w14:textId="77777777">
      <w:pPr>
        <w:pStyle w:val="ParaNum"/>
        <w:numPr>
          <w:ilvl w:val="0"/>
          <w:numId w:val="18"/>
        </w:numPr>
      </w:pPr>
      <w:r w:rsidRPr="00CC45BA">
        <w:rPr>
          <w:i/>
          <w:iCs/>
          <w:kern w:val="0"/>
        </w:rPr>
        <w:t>Two-Step Removal Process</w:t>
      </w:r>
      <w:r w:rsidRPr="00F540BD">
        <w:t xml:space="preserve"> – For filings where the Commission has found that the </w:t>
      </w:r>
      <w:r w:rsidRPr="00A55B3E">
        <w:rPr>
          <w:rFonts w:cs="TimesNewRomanPSMT"/>
        </w:rPr>
        <w:t xml:space="preserve">provider has “willfully” violated the RMD filing rules, such as by submitting a filing that </w:t>
      </w:r>
      <w:r w:rsidRPr="00F540BD">
        <w:t xml:space="preserve">contains a facially deficient robocall mitigation plan, </w:t>
      </w:r>
      <w:r w:rsidRPr="00A55B3E">
        <w:rPr>
          <w:rFonts w:cs="TimesNewRomanPSMT"/>
        </w:rPr>
        <w:t>and therefore an expedited removal process is warranted,</w:t>
      </w:r>
      <w:r>
        <w:rPr>
          <w:rStyle w:val="FootnoteReference"/>
          <w:rFonts w:cs="TimesNewRomanPSMT"/>
        </w:rPr>
        <w:footnoteReference w:id="238"/>
      </w:r>
      <w:r w:rsidRPr="00A55B3E">
        <w:rPr>
          <w:rFonts w:cs="TimesNewRomanPSMT"/>
        </w:rPr>
        <w:t xml:space="preserve"> </w:t>
      </w:r>
      <w:r w:rsidRPr="00F540BD">
        <w:t xml:space="preserve">the Commission uses a two-step process under which:  (1) </w:t>
      </w:r>
      <w:r w:rsidRPr="00A55B3E">
        <w:t>the Enforcement Bureau issues a notice to the provider explaining the basis for the violation and providing an opportunity for the provider to resolve the violation or explain why there is no violation within 10 days; and (2) if the violation is not resolved or the provider fails to establish that there is no violation within that 10-day period, the Enforcement Bureau issues an order removing the filing from the Database.</w:t>
      </w:r>
      <w:r>
        <w:rPr>
          <w:rStyle w:val="FootnoteReference"/>
        </w:rPr>
        <w:footnoteReference w:id="239"/>
      </w:r>
    </w:p>
    <w:p w:rsidR="005919ED" w:rsidRPr="00A55B3E" w:rsidP="005919ED" w14:paraId="1CB10C50" w14:textId="77777777">
      <w:pPr>
        <w:pStyle w:val="ParaNum"/>
      </w:pPr>
      <w:r w:rsidRPr="00A55B3E">
        <w:t xml:space="preserve">We propose that the Three-Step Removal Process should apply only to deficient RMD filings, as we propose to codify that cause for removal </w:t>
      </w:r>
      <w:r>
        <w:t xml:space="preserve">or enforcement </w:t>
      </w:r>
      <w:r w:rsidRPr="00A55B3E">
        <w:t>above</w:t>
      </w:r>
      <w:r>
        <w:t>, except that</w:t>
      </w:r>
      <w:r w:rsidRPr="00A55B3E">
        <w:t xml:space="preserve"> the Enforcement Bureau should have the discretion to use this process for all other causes for removal.  </w:t>
      </w:r>
      <w:r>
        <w:t>We believe that these d</w:t>
      </w:r>
      <w:r w:rsidRPr="00A55B3E">
        <w:t xml:space="preserve">eficient RMD filings contain deficiencies that are non-willful, non-substantial, non-material, and typically inadvertent, and therefore that the harms associated with filings containing such deficiencies are minimal.  Additionally, such deficiencies may involve disputed facts or assertions, and therefore, we also believe that providers should have ample opportunity to explain and resolve these issues.  We seek comment on this proposal and assessment.  Should we establish a minimum notice and cure period under the first step, and if so, what should that period be?  Should the Bureaus have discretion to shorten the notice and cure period under the first and/or second step where the deficiency is readily curable or accompanied by other indicia of non-compliance, or where the provider fails to respond?    </w:t>
      </w:r>
    </w:p>
    <w:p w:rsidR="005919ED" w:rsidRPr="00A55B3E" w:rsidP="005919ED" w14:paraId="4F322018" w14:textId="77777777">
      <w:pPr>
        <w:pStyle w:val="ParaNum"/>
        <w:widowControl/>
      </w:pPr>
      <w:r w:rsidRPr="00F540BD">
        <w:t xml:space="preserve">We propose that the Two-Step Removal Process should apply to </w:t>
      </w:r>
      <w:r w:rsidRPr="00A55B3E">
        <w:t>all other causes for removal,</w:t>
      </w:r>
      <w:r w:rsidRPr="00F540BD">
        <w:t xml:space="preserve"> as we propose to codify those causes above, unless the Enforcement Bureau determines that the Three-Step Removal Process should apply.  We believe each of these causes</w:t>
      </w:r>
      <w:r w:rsidRPr="00A55B3E">
        <w:t xml:space="preserve"> are serious violations of Commission rules and significant threats to the integrity of the Database and the U.S. voice ecosystem</w:t>
      </w:r>
      <w:r w:rsidRPr="00F540BD">
        <w:t xml:space="preserve">.  We also believe each of those causes are, by definition, willful acts or omissions because they are objective and readily verifiable such that a responsible actor would know that its act or omission constitutes a violation, and therefore that expedited removal for these causes under the Two-Step Process is warranted.  We also propose </w:t>
      </w:r>
      <w:r w:rsidRPr="00F540BD">
        <w:t>to change</w:t>
      </w:r>
      <w:r w:rsidRPr="00F540BD">
        <w:t xml:space="preserve"> the 10-day cure/response period under the Two-Step Process to five (5) days to enhance our ability to quickly remove providers that willfully violate our rules.  We seek </w:t>
      </w:r>
      <w:r w:rsidRPr="00F540BD">
        <w:t>comment</w:t>
      </w:r>
      <w:r w:rsidRPr="00F540BD">
        <w:t xml:space="preserve"> on these proposals and analysis.  What are the legal and practical implications of this process?  Should we establish a threshold number of violations over a defined period for certain causes, such as failing to respond to tracebacks or applying improper STIR/SHAKEN attestations, before the violation is considered willful and subject to the Two-Step Removal process?  Is five (5) days sufficient time for an </w:t>
      </w:r>
      <w:r w:rsidRPr="00040BA5">
        <w:rPr>
          <w:szCs w:val="22"/>
        </w:rPr>
        <w:t xml:space="preserve">affected provider to cure </w:t>
      </w:r>
      <w:r>
        <w:rPr>
          <w:szCs w:val="22"/>
        </w:rPr>
        <w:t>its</w:t>
      </w:r>
      <w:r w:rsidRPr="00040BA5">
        <w:rPr>
          <w:szCs w:val="22"/>
        </w:rPr>
        <w:t xml:space="preserve"> filing, respond to the Commission, and/or notify its customers before its filing is removed and downstream providers must cease accepting the provider’s </w:t>
      </w:r>
      <w:r>
        <w:rPr>
          <w:szCs w:val="22"/>
        </w:rPr>
        <w:t>voice calls?</w:t>
      </w:r>
      <w:r w:rsidRPr="003B6971">
        <w:t xml:space="preserve">  </w:t>
      </w:r>
      <w:r w:rsidRPr="00F540BD">
        <w:t>Should the length of the cure/response period vary by the removal cause, and if so, what periods should apply to which causes?</w:t>
      </w:r>
    </w:p>
    <w:p w:rsidR="005919ED" w:rsidRPr="00A55B3E" w:rsidP="005919ED" w14:paraId="51061A0D" w14:textId="77777777">
      <w:pPr>
        <w:pStyle w:val="ParaNum"/>
        <w:widowControl/>
      </w:pPr>
      <w:r w:rsidRPr="00F540BD">
        <w:t xml:space="preserve">We also seek </w:t>
      </w:r>
      <w:r w:rsidRPr="00F540BD">
        <w:t>comment</w:t>
      </w:r>
      <w:r w:rsidRPr="00F540BD">
        <w:t xml:space="preserve"> on whether to adopt a One-Step Removal Process for egregious conduct or circumstances where further pre-removal process would be unnecessary, impracticable, or contrary to the public interest, including circumstances </w:t>
      </w:r>
      <w:r w:rsidRPr="00110705">
        <w:rPr>
          <w:szCs w:val="22"/>
        </w:rPr>
        <w:t xml:space="preserve">in which public health, interest, or safety require immediate removal.  Under such a process, the Enforcement Bureau could issue an order removing a provider’s filing from the Database after </w:t>
      </w:r>
      <w:r>
        <w:rPr>
          <w:szCs w:val="22"/>
        </w:rPr>
        <w:t>a certain number of</w:t>
      </w:r>
      <w:r w:rsidRPr="00110705">
        <w:rPr>
          <w:szCs w:val="22"/>
        </w:rPr>
        <w:t xml:space="preserve"> days without a pre-removal cure</w:t>
      </w:r>
      <w:r>
        <w:rPr>
          <w:szCs w:val="22"/>
        </w:rPr>
        <w:t>/response</w:t>
      </w:r>
      <w:r w:rsidRPr="00110705">
        <w:rPr>
          <w:szCs w:val="22"/>
        </w:rPr>
        <w:t xml:space="preserve"> period</w:t>
      </w:r>
      <w:r>
        <w:rPr>
          <w:szCs w:val="22"/>
        </w:rPr>
        <w:t>.</w:t>
      </w:r>
      <w:r w:rsidRPr="00110705">
        <w:rPr>
          <w:szCs w:val="22"/>
        </w:rPr>
        <w:t xml:space="preserve"> </w:t>
      </w:r>
      <w:r>
        <w:rPr>
          <w:szCs w:val="22"/>
        </w:rPr>
        <w:t xml:space="preserve"> The order would describe the cause(s) for removal and would establish notice of the impending removal to the provider, which could</w:t>
      </w:r>
      <w:r w:rsidRPr="00110705">
        <w:rPr>
          <w:szCs w:val="22"/>
        </w:rPr>
        <w:t xml:space="preserve"> seek reconsideration, review, or reinstatement after removal.  </w:t>
      </w:r>
      <w:r>
        <w:rPr>
          <w:szCs w:val="22"/>
        </w:rPr>
        <w:t>Would an</w:t>
      </w:r>
      <w:r w:rsidRPr="00110705">
        <w:rPr>
          <w:szCs w:val="22"/>
        </w:rPr>
        <w:t xml:space="preserve"> effective date </w:t>
      </w:r>
      <w:r>
        <w:rPr>
          <w:szCs w:val="22"/>
        </w:rPr>
        <w:t>for</w:t>
      </w:r>
      <w:r w:rsidRPr="00110705">
        <w:rPr>
          <w:szCs w:val="22"/>
        </w:rPr>
        <w:t xml:space="preserve"> any such removal order </w:t>
      </w:r>
      <w:r>
        <w:rPr>
          <w:szCs w:val="22"/>
        </w:rPr>
        <w:t xml:space="preserve">of five (5) days be sufficient </w:t>
      </w:r>
      <w:r w:rsidRPr="00110705">
        <w:rPr>
          <w:szCs w:val="22"/>
        </w:rPr>
        <w:t xml:space="preserve">to allow the affected provider time to notify its customers before its filing is removed and downstream providers must cease accepting the provider’s </w:t>
      </w:r>
      <w:r>
        <w:rPr>
          <w:szCs w:val="22"/>
        </w:rPr>
        <w:t>voice calls</w:t>
      </w:r>
      <w:r w:rsidRPr="00110705">
        <w:rPr>
          <w:szCs w:val="22"/>
        </w:rPr>
        <w:t xml:space="preserve">?  We further seek comment on the conduct or circumstances under which the One-Step Removal Process should be available.  For example, should this process be available where the provider has engaged in repeated or continuing violations under any of the causes for removal or other enforcement action discussed above?  </w:t>
      </w:r>
      <w:r w:rsidRPr="00110705">
        <w:rPr>
          <w:szCs w:val="22"/>
        </w:rPr>
        <w:t>Or,</w:t>
      </w:r>
      <w:r w:rsidRPr="00110705">
        <w:rPr>
          <w:szCs w:val="22"/>
        </w:rPr>
        <w:t xml:space="preserve"> should a single violation under certain causes, such as lack of candor, impersonation, or national security and law enforcement concerns, warrant the One-Step Removal Process?  </w:t>
      </w:r>
      <w:r w:rsidRPr="00F540BD">
        <w:t>What would be the legal and practical implications of a one-step removal process</w:t>
      </w:r>
      <w:r w:rsidRPr="00110705">
        <w:rPr>
          <w:szCs w:val="22"/>
        </w:rPr>
        <w:t xml:space="preserve">?  What safeguards, if any, should apply, and how quickly should a provider be permitted to seek reinstatement after removal?  </w:t>
      </w:r>
    </w:p>
    <w:p w:rsidR="005919ED" w:rsidRPr="00A55B3E" w:rsidP="005919ED" w14:paraId="72223CB0" w14:textId="77777777">
      <w:pPr>
        <w:pStyle w:val="ParaNum"/>
      </w:pPr>
      <w:r w:rsidRPr="00CC45BA">
        <w:t xml:space="preserve">We also seek comment on whether there are any alternative removal approaches we could use to expedite the removal of bad </w:t>
      </w:r>
      <w:r w:rsidRPr="00CC45BA">
        <w:t>actor</w:t>
      </w:r>
      <w:r w:rsidRPr="00CC45BA">
        <w:t xml:space="preserve"> and non-compliant providers’ filings.  For instance, to the extent the Enforcement Bureau engages in ongoing communications with providers attempting to cure their filings today, should providers have a set number of </w:t>
      </w:r>
      <w:r w:rsidRPr="00CC45BA">
        <w:t>opportunities—</w:t>
      </w:r>
      <w:r w:rsidRPr="00CC45BA">
        <w:t>e.g., three strikes—to fully cure their filings before removal</w:t>
      </w:r>
      <w:r>
        <w:t>?</w:t>
      </w:r>
      <w:r w:rsidRPr="00CC45BA">
        <w:t xml:space="preserve">  Would such a strict requirement be more reasonable given our proposals to clarify providers’ filing obligations?  Should such a requirement only apply to material violations?</w:t>
      </w:r>
    </w:p>
    <w:p w:rsidR="005919ED" w:rsidRPr="00D31317" w:rsidP="005919ED" w14:paraId="267F0F38" w14:textId="77777777">
      <w:pPr>
        <w:pStyle w:val="ParaNum"/>
        <w:widowControl/>
      </w:pPr>
      <w:r w:rsidRPr="00CC45BA">
        <w:rPr>
          <w:i/>
          <w:iCs/>
          <w:kern w:val="0"/>
        </w:rPr>
        <w:t>Suspensions.</w:t>
      </w:r>
      <w:r w:rsidRPr="00F540BD">
        <w:t xml:space="preserve">  We seek </w:t>
      </w:r>
      <w:r w:rsidRPr="00F540BD">
        <w:t>comment</w:t>
      </w:r>
      <w:r w:rsidRPr="00F540BD">
        <w:t xml:space="preserve"> on whether we should establish a process to suspend a provider’s filing from the Database when a provider’s filing or </w:t>
      </w:r>
      <w:r w:rsidRPr="00F540BD">
        <w:t>conduct</w:t>
      </w:r>
      <w:r w:rsidRPr="00F540BD">
        <w:t xml:space="preserve"> presents a cause for removal or other enforcement action.  We believe a suspension could serve as both a temporary remedy and intermediate step before removal.  </w:t>
      </w:r>
    </w:p>
    <w:p w:rsidR="005919ED" w:rsidRPr="003B6971" w:rsidP="005919ED" w14:paraId="7377A4BE" w14:textId="77777777">
      <w:pPr>
        <w:pStyle w:val="ParaNum"/>
      </w:pPr>
      <w:r>
        <w:t>We</w:t>
      </w:r>
      <w:r w:rsidRPr="003B6971">
        <w:t xml:space="preserve"> seek </w:t>
      </w:r>
      <w:r>
        <w:t xml:space="preserve">specific </w:t>
      </w:r>
      <w:r w:rsidRPr="003B6971">
        <w:t xml:space="preserve">comment on </w:t>
      </w:r>
      <w:r>
        <w:t>whether suspensions</w:t>
      </w:r>
      <w:r w:rsidRPr="003B6971">
        <w:t xml:space="preserve"> should</w:t>
      </w:r>
      <w:r>
        <w:t xml:space="preserve"> </w:t>
      </w:r>
      <w:r w:rsidRPr="00CC45BA">
        <w:t>apply when a provider fails to complete its annual recertification by the applicable deadline.  Should the RMD system automatically suspend any filing that has not been recertified and for which any required fee has not been paid by the deadline or after any grace period we may adopt, or should suspension occur only after Bureau review and notice to the provider?  If the process is automatic, what safeguards should apply to prevent suspension due to system error, payment-processing delays, or circumstances outside the provider’s control?  Should the Bureau provide advance reminders, a notice of missed deadline, or a short cure period before suspension?  Should suspension only occur after repeated failure to complete an annual recertification or pay the associated fee by the applicable deadline, and if so, how many failures should be permitted before suspension</w:t>
      </w:r>
      <w:r>
        <w:t xml:space="preserve"> </w:t>
      </w:r>
      <w:r w:rsidRPr="00CC45BA">
        <w:t>occur</w:t>
      </w:r>
      <w:r>
        <w:t>s</w:t>
      </w:r>
      <w:r w:rsidRPr="00CC45BA">
        <w:t>?  Under what circumstances should suspensions be lifted</w:t>
      </w:r>
      <w:r>
        <w:t>?</w:t>
      </w:r>
      <w:r w:rsidRPr="00CC45BA">
        <w:t xml:space="preserve">  For instance, should we allow providers to complete their certifications and pay any fees after the deadline and lift the suspension when they do?  If so, should we configure the system to automatically lift the suspension upon recertification and payment</w:t>
      </w:r>
      <w:r>
        <w:t>,</w:t>
      </w:r>
      <w:r w:rsidRPr="00CC45BA">
        <w:t xml:space="preserve"> or should the Bureau manually lift the suspension after completion of these steps and Bureau review?  Should we block providers from completing their recertifications and paying any fees after the deadline and only allow them to request approval to complete these steps to lift the suspension?  Should a filing be removed if the provider fails to complete recertification and pay any required fee within a specified period after suspension—e.g., 14 days or 30 days—and if so, are any additional findings, procedures, or safeguards necessary before imposing any such consequence?  Should repeated violations result in automatic removal, and if so, after how many times?</w:t>
      </w:r>
    </w:p>
    <w:p w:rsidR="005919ED" w:rsidRPr="00A55B3E" w:rsidP="005919ED" w14:paraId="4FF7FF37" w14:textId="77777777">
      <w:pPr>
        <w:pStyle w:val="ParaNum"/>
      </w:pPr>
      <w:r w:rsidRPr="00CC45BA">
        <w:t xml:space="preserve">We also seek </w:t>
      </w:r>
      <w:r w:rsidRPr="00CC45BA">
        <w:t>comment</w:t>
      </w:r>
      <w:r w:rsidRPr="00CC45BA">
        <w:t xml:space="preserve"> on whether the Bureau or the Enforcement Bureau should be able to suspend a filing while reviewing, investigating, or pursuing enforcement for other causes for removal or enforcement action.  Which causes, if any, are appropriate for suspension?  For instance, should suspension be permitted where the provider’s continued appearance in the Database presents heightened risks to consumers, the integrity of the Database, national security, law enforcement, or the U.S. voice network?  Should the Enforcement Bureau be required to initiate a removal after a certain amount of time following </w:t>
      </w:r>
      <w:r w:rsidRPr="00CC45BA">
        <w:t>a suspension</w:t>
      </w:r>
      <w:r w:rsidRPr="00CC45BA">
        <w:t xml:space="preserve">, and if so, how </w:t>
      </w:r>
      <w:r w:rsidRPr="00CC45BA">
        <w:t>soon after suspension</w:t>
      </w:r>
      <w:r w:rsidRPr="00CC45BA">
        <w:t xml:space="preserve"> must the removal process begin?  Should a suspension remain in place until the provider cures the underlying violation, responds adequately to a Bureau or Enforcement Bureau inquiry, resolves any pending investigation or removal process, or obtains Bureau and Enforcement Bureau approval?  Should the Commission establish maximum suspension periods, after which the Bureau or Enforcement Bureau must either lift the suspension, extend it for good cause, or complete a removal process?  Should failure to cure, respond, or otherwise resolve the underlying issue within a specified period result in removal under the applicable removal process?  Should repeated suspensions for the same or similar conduct be a cause for removal or other enforcement action, or should such conduct warrant automatic removal after a certain number of times, and if so, how many times?  Should repeated violations warrant heightened scrutiny, forfeiture, or denial of future reinstatement?</w:t>
      </w:r>
    </w:p>
    <w:p w:rsidR="005919ED" w:rsidRPr="00A55B3E" w:rsidP="005919ED" w14:paraId="7806B3EC" w14:textId="77777777">
      <w:pPr>
        <w:pStyle w:val="ParaNum"/>
      </w:pPr>
      <w:r w:rsidRPr="00CC45BA">
        <w:t xml:space="preserve">We seek </w:t>
      </w:r>
      <w:r w:rsidRPr="00CC45BA">
        <w:t>comment</w:t>
      </w:r>
      <w:r w:rsidRPr="00CC45BA">
        <w:t xml:space="preserve"> on various ways to implement and effectuate suspension.  Should a suspended filing remain visible in the Database but be clearly marked as “suspended,” “under review,” “past due” (in the case of filings that missed the recertification deadline</w:t>
      </w:r>
      <w:r>
        <w:t>)</w:t>
      </w:r>
      <w:r w:rsidRPr="00CC45BA">
        <w:t xml:space="preserve">, or some other indicator, or should it be removed from public view unless and until the provider cures the basis for suspension?  Should suspensions have the same downstream-provider consequences as </w:t>
      </w:r>
      <w:r w:rsidRPr="00CC45BA">
        <w:t>removal</w:t>
      </w:r>
      <w:r>
        <w:t>s</w:t>
      </w:r>
      <w:r w:rsidRPr="00CC45BA">
        <w:t>—i.e.</w:t>
      </w:r>
      <w:r w:rsidRPr="00CC45BA">
        <w:t>, downstream providers could not accept voice calls from a suspended provider—or should suspension</w:t>
      </w:r>
      <w:r>
        <w:t>s</w:t>
      </w:r>
      <w:r w:rsidRPr="00CC45BA">
        <w:t xml:space="preserve"> instead trigger permissive blocking or enhanced due diligence by downstream providers?  Should the effect of suspension vary depending on the basis for suspension, such that missed recertification or fee payment has different downstream consequences than suspension based on other causes for removal or serious misconduct?</w:t>
      </w:r>
    </w:p>
    <w:p w:rsidR="005919ED" w:rsidRPr="00A55B3E" w:rsidP="005919ED" w14:paraId="343167DC" w14:textId="77777777">
      <w:pPr>
        <w:pStyle w:val="ParaNum"/>
      </w:pPr>
      <w:r w:rsidRPr="00CC45BA">
        <w:t xml:space="preserve">We seek </w:t>
      </w:r>
      <w:r w:rsidRPr="00CC45BA">
        <w:t>comment</w:t>
      </w:r>
      <w:r w:rsidRPr="00CC45BA">
        <w:t xml:space="preserve"> on legal implications of any such suspension approach.  What notice, opportunity to respond or cure, evidentiary showing, or review rights must apply, if any, prior to suspension?  For annual recertification, do pre-deadline general or individualized notices or reminders provide sufficient notice?  Should the process differ where suspension is used as a temporary protective measure pending further review, where the provider has already received notice of the underlying conduct through another Commission process, or where public health, interest, safety, national security, law enforcement, or consumer-protection concerns require faster action?  What appeal or review rights should apply to automatic or Bureau-initiated suspensions?</w:t>
      </w:r>
    </w:p>
    <w:p w:rsidR="005919ED" w:rsidP="005919ED" w14:paraId="666A37F7" w14:textId="77777777">
      <w:pPr>
        <w:pStyle w:val="ParaNum"/>
      </w:pPr>
      <w:r>
        <w:rPr>
          <w:i/>
          <w:iCs/>
        </w:rPr>
        <w:t>A</w:t>
      </w:r>
      <w:r w:rsidRPr="00A55B3E">
        <w:rPr>
          <w:i/>
          <w:iCs/>
        </w:rPr>
        <w:t>nnual recertification</w:t>
      </w:r>
      <w:r>
        <w:rPr>
          <w:i/>
          <w:iCs/>
        </w:rPr>
        <w:t xml:space="preserve"> requirement modifications</w:t>
      </w:r>
      <w:r w:rsidRPr="00A55B3E">
        <w:rPr>
          <w:i/>
          <w:iCs/>
        </w:rPr>
        <w:t>.</w:t>
      </w:r>
      <w:r w:rsidRPr="00A55B3E">
        <w:t xml:space="preserve">  We seek </w:t>
      </w:r>
      <w:r w:rsidRPr="00A55B3E">
        <w:t>comment</w:t>
      </w:r>
      <w:r w:rsidRPr="00A55B3E">
        <w:t xml:space="preserve"> on whether we should establish a set grace period for providers that fail to complete annual recertifications by the March 1 deadline</w:t>
      </w:r>
      <w:r>
        <w:t xml:space="preserve"> to avoid immediate cause for suspension or removal</w:t>
      </w:r>
      <w:r w:rsidRPr="00A55B3E">
        <w:t>.  Are there meaningful benefits of providing a grace period</w:t>
      </w:r>
      <w:r>
        <w:t xml:space="preserve"> that </w:t>
      </w:r>
      <w:r>
        <w:t>outweigh</w:t>
      </w:r>
      <w:r>
        <w:t xml:space="preserve"> the downsides?</w:t>
      </w:r>
      <w:r w:rsidRPr="00A55B3E">
        <w:t xml:space="preserve"> </w:t>
      </w:r>
      <w:r>
        <w:t xml:space="preserve"> For instance, would this benefit responsible providers with legitimate </w:t>
      </w:r>
      <w:r>
        <w:t>customers</w:t>
      </w:r>
      <w:r>
        <w:t xml:space="preserve"> by providing them with an opportunity to complete their recertification and avoid interruption </w:t>
      </w:r>
      <w:r>
        <w:t>to</w:t>
      </w:r>
      <w:r>
        <w:t xml:space="preserve"> the service they provide to end users or other customers</w:t>
      </w:r>
      <w:r w:rsidRPr="00A55B3E">
        <w:t xml:space="preserve">?  What are the potential downsides?  </w:t>
      </w:r>
      <w:r>
        <w:t>Would providers begin treating the grace period as effectively a new deadline?  In addition to the annual general notice of the recertification deadline,</w:t>
      </w:r>
      <w:r>
        <w:rPr>
          <w:rStyle w:val="FootnoteReference"/>
        </w:rPr>
        <w:footnoteReference w:id="240"/>
      </w:r>
      <w:r>
        <w:t xml:space="preserve"> s</w:t>
      </w:r>
      <w:r w:rsidRPr="00A55B3E">
        <w:t xml:space="preserve">hould the Commission provide direct notice to providers prior to each annual recertification deadline or immediately upon closing of the recertification window when any grace period we may establish has begun?  If we adopt a grace period, how long should it be?  Should providers that complete recertification during a grace period be deemed fully compliant, or should filing during the grace period be treated as a violation </w:t>
      </w:r>
      <w:r>
        <w:t>with</w:t>
      </w:r>
      <w:r w:rsidRPr="00A55B3E">
        <w:t xml:space="preserve"> </w:t>
      </w:r>
      <w:r>
        <w:t xml:space="preserve">certain </w:t>
      </w:r>
      <w:r w:rsidRPr="00A55B3E">
        <w:t xml:space="preserve">potential enforcement consequences, even if </w:t>
      </w:r>
      <w:r>
        <w:t>no consequences</w:t>
      </w:r>
      <w:r w:rsidRPr="00A55B3E">
        <w:t xml:space="preserve"> occur in the first instance?  </w:t>
      </w:r>
      <w:r>
        <w:t xml:space="preserve">If so, what </w:t>
      </w:r>
      <w:r>
        <w:t>should</w:t>
      </w:r>
      <w:r>
        <w:t xml:space="preserve"> those potential consequences be?  </w:t>
      </w:r>
      <w:r w:rsidRPr="00A55B3E">
        <w:t xml:space="preserve">We also seek comment on whether any grace period should be available only for first-time or inadvertent failures, and whether repeated late recertifications should result in heightened scrutiny, forfeiture, removal, denial of reinstatement, or other </w:t>
      </w:r>
      <w:r>
        <w:t>consequences</w:t>
      </w:r>
      <w:r w:rsidRPr="00A55B3E">
        <w:t>.</w:t>
      </w:r>
    </w:p>
    <w:p w:rsidR="005919ED" w:rsidP="005919ED" w14:paraId="13F1DECB" w14:textId="77777777">
      <w:pPr>
        <w:pStyle w:val="ParaNum"/>
      </w:pPr>
      <w:r>
        <w:t xml:space="preserve">We seek comment on whether an annual recertification in the RMD should have a one-year term that expires on March 1 of the following year (or after any grace period, if we adopt one), and therefore that providers would need to perform the annual recertification prior to the deadline for their filing to appear in the Database for the following year.  We </w:t>
      </w:r>
      <w:r>
        <w:t>envision</w:t>
      </w:r>
      <w:r>
        <w:t xml:space="preserve"> that this would differ from a suspension for failing to complete the annual recertification, which we seek comment on above, because it would not be a response to a filer failing to recertify but would instead be a pre-established term that applies to all new filings.  This requirement would effectively place the onus on providers to take action to have their filings remain in the RMD rather than placing the onus on the Commission to take action to remove providers’ filings from the RMD.  As such, we think such a requirement would enhance providers awareness of their RMD obligations and increase the integrity of the Database while conserving Commission resources.  We seek </w:t>
      </w:r>
      <w:r>
        <w:t>comment</w:t>
      </w:r>
      <w:r>
        <w:t xml:space="preserve"> on the benefits and drawbacks of any such requirement.</w:t>
      </w:r>
    </w:p>
    <w:p w:rsidR="005919ED" w:rsidRPr="00A55B3E" w:rsidP="005919ED" w14:paraId="40FCBFFA" w14:textId="77777777">
      <w:pPr>
        <w:pStyle w:val="ParaNum"/>
      </w:pPr>
      <w:r>
        <w:t xml:space="preserve">We propose to codify the requirement that providers must submit the $100 annual recertification fee at the time they complete their recertification.  When the Commission established the annual recertification fee requirement in the </w:t>
      </w:r>
      <w:r w:rsidRPr="00932AE2">
        <w:rPr>
          <w:i/>
          <w:iCs/>
        </w:rPr>
        <w:t>RMD Order</w:t>
      </w:r>
      <w:r>
        <w:t>, it provided that the filing and the applicable filing fee would be submitted at the same time, but it did not codify that timing requirement in the rules.</w:t>
      </w:r>
      <w:r>
        <w:rPr>
          <w:rStyle w:val="FootnoteReference"/>
        </w:rPr>
        <w:footnoteReference w:id="241"/>
      </w:r>
      <w:r>
        <w:t xml:space="preserve">  We note that the fee requirement has not yet gone into effect.</w:t>
      </w:r>
      <w:r>
        <w:rPr>
          <w:rStyle w:val="FootnoteReference"/>
        </w:rPr>
        <w:footnoteReference w:id="242"/>
      </w:r>
      <w:r>
        <w:t xml:space="preserve">  For consistency with the requirement established in the </w:t>
      </w:r>
      <w:r w:rsidRPr="00932AE2">
        <w:rPr>
          <w:i/>
          <w:iCs/>
        </w:rPr>
        <w:t>RMD Order</w:t>
      </w:r>
      <w:r>
        <w:t xml:space="preserve"> and administrative convenience, the Database will be configured such that providers will not be able to complete their annual recertification until they have paid the annual recertification fee.</w:t>
      </w:r>
      <w:r>
        <w:rPr>
          <w:rStyle w:val="FootnoteReference"/>
        </w:rPr>
        <w:footnoteReference w:id="243"/>
      </w:r>
      <w:r>
        <w:t xml:space="preserve">  Accordingly, if we implement a grace period for the annual recertification, any providers that use the grace period will also pay the fee at the time they file the annual recertification.  We believe codifying the timing requirement in our rules will provide greater clarity to providers on the fee requirement.  We seek comment on this proposal and assessment.  Should we establish any additional rules related to the fee requirement that differ from the Commission’s general procedural rules applicable to fees?</w:t>
      </w:r>
      <w:r>
        <w:rPr>
          <w:rStyle w:val="FootnoteReference"/>
        </w:rPr>
        <w:footnoteReference w:id="244"/>
      </w:r>
      <w:r>
        <w:t xml:space="preserve">  Given how the Database will be configured, should we clarify that certain other rules are moot or otherwise inapplicable?  </w:t>
      </w:r>
      <w:r>
        <w:t>In light of</w:t>
      </w:r>
      <w:r>
        <w:t xml:space="preserve"> how the Database will be configured, should we clarify the recertification fee is late for purposes of the late payment penalty only for those who file after the grace period has expired?</w:t>
      </w:r>
      <w:r>
        <w:rPr>
          <w:rStyle w:val="FootnoteReference"/>
        </w:rPr>
        <w:footnoteReference w:id="245"/>
      </w:r>
    </w:p>
    <w:p w:rsidR="005919ED" w:rsidP="005919ED" w14:paraId="3B5DB66F" w14:textId="77777777">
      <w:pPr>
        <w:pStyle w:val="ParaNum"/>
      </w:pPr>
      <w:r w:rsidRPr="00CC45BA">
        <w:rPr>
          <w:i/>
          <w:iCs/>
          <w:kern w:val="0"/>
        </w:rPr>
        <w:t>Filing status indicators and call acceptance requirements.</w:t>
      </w:r>
      <w:r w:rsidRPr="00F540BD">
        <w:t xml:space="preserve">  </w:t>
      </w:r>
      <w:r w:rsidRPr="00A55B3E">
        <w:t xml:space="preserve">We seek </w:t>
      </w:r>
      <w:r w:rsidRPr="00A55B3E">
        <w:t>comment</w:t>
      </w:r>
      <w:r w:rsidRPr="00A55B3E">
        <w:t xml:space="preserve"> on whether, instead of hiding removed or suspended filings from view in the public database, they should remain viewable in the public </w:t>
      </w:r>
      <w:r w:rsidRPr="00A55B3E">
        <w:t>database</w:t>
      </w:r>
      <w:r w:rsidRPr="00A55B3E">
        <w:t xml:space="preserve"> and we should establish new filing status indicators.  Would appropriate indicators be “removed,” “suspended,” and “published” or “active”?  W</w:t>
      </w:r>
      <w:r>
        <w:t>ould</w:t>
      </w:r>
      <w:r w:rsidRPr="00A55B3E">
        <w:t xml:space="preserve"> maintaining </w:t>
      </w:r>
      <w:r>
        <w:t>public</w:t>
      </w:r>
      <w:r w:rsidRPr="00A55B3E">
        <w:t xml:space="preserve"> viewing of </w:t>
      </w:r>
      <w:r>
        <w:t>removed and suspended</w:t>
      </w:r>
      <w:r w:rsidRPr="00A55B3E">
        <w:t xml:space="preserve"> filings better enable </w:t>
      </w:r>
      <w:r>
        <w:t xml:space="preserve">downstream </w:t>
      </w:r>
      <w:r w:rsidRPr="00A55B3E">
        <w:t xml:space="preserve">providers to </w:t>
      </w:r>
      <w:r>
        <w:t xml:space="preserve">identify providers from which </w:t>
      </w:r>
      <w:r w:rsidRPr="00A55B3E">
        <w:t xml:space="preserve">they are </w:t>
      </w:r>
      <w:r>
        <w:t xml:space="preserve">no longer </w:t>
      </w:r>
      <w:r w:rsidRPr="00A55B3E">
        <w:t xml:space="preserve">permitted to accept </w:t>
      </w:r>
      <w:r>
        <w:t xml:space="preserve">voice </w:t>
      </w:r>
      <w:r w:rsidRPr="00A55B3E">
        <w:t xml:space="preserve">calls and </w:t>
      </w:r>
      <w:r>
        <w:t>otherwise</w:t>
      </w:r>
      <w:r w:rsidRPr="00A55B3E">
        <w:t xml:space="preserve"> support their KYUP efforts?  How should we modify our rule in section 64.6305(g) that directs providers to only accept voice </w:t>
      </w:r>
      <w:r>
        <w:t>calls</w:t>
      </w:r>
      <w:r w:rsidRPr="00A55B3E">
        <w:t xml:space="preserve"> from upstream providers that appear in the Database and have not been removed to account for all filings appearing in the database with such indicators?  Rather than, or in addition to, including filing status indicators in the Database itself, should the Commission maintain and publish a separate and regularly updated list of all the names of providers whose filings have been removed and/or suspended from the RMD?</w:t>
      </w:r>
    </w:p>
    <w:p w:rsidR="005919ED" w:rsidRPr="00A55B3E" w:rsidP="005919ED" w14:paraId="152C8749" w14:textId="77777777">
      <w:pPr>
        <w:pStyle w:val="ParaNum"/>
      </w:pPr>
      <w:r w:rsidRPr="00CC45BA">
        <w:rPr>
          <w:i/>
          <w:iCs/>
          <w:kern w:val="0"/>
        </w:rPr>
        <w:t>Mandatory customer notice.</w:t>
      </w:r>
      <w:r w:rsidRPr="00F540BD">
        <w:t xml:space="preserve">  We propose to require providers that are subject to a removal order, suspension</w:t>
      </w:r>
      <w:r>
        <w:t xml:space="preserve"> (if adopted)</w:t>
      </w:r>
      <w:r w:rsidRPr="00F540BD">
        <w:t>, or mandatory blocking order to provide notice to their customers.  Such notice may reduce consumer disruption by informing lawful customers that their service may be affected and by allowing them to migrate to another provider.</w:t>
      </w:r>
      <w:r>
        <w:rPr>
          <w:rStyle w:val="FootnoteReference"/>
          <w:kern w:val="0"/>
        </w:rPr>
        <w:footnoteReference w:id="246"/>
      </w:r>
      <w:r w:rsidRPr="00F540BD">
        <w:t xml:space="preserve">  We seek </w:t>
      </w:r>
      <w:r w:rsidRPr="00F540BD">
        <w:t>comment</w:t>
      </w:r>
      <w:r w:rsidRPr="00F540BD">
        <w:t xml:space="preserve"> on this proposal.  </w:t>
      </w:r>
      <w:r>
        <w:t>Which</w:t>
      </w:r>
      <w:r w:rsidRPr="00F540BD">
        <w:t xml:space="preserve"> providers should be required to provide </w:t>
      </w:r>
      <w:r w:rsidRPr="00F540BD">
        <w:t>customer notice—</w:t>
      </w:r>
      <w:r w:rsidRPr="00F540BD">
        <w:t>only retail providers, or also wholesale providers whose customers may include resellers, call centers, enterprise users, or other service providers?  What information should the notice contain, and when should it be sent?  Specifically, we seek comment on how the timing of this notice should be sequenced relative to the deadline for downstream providers to comply with any removal or mandatory blocking order so that customers are given sufficient time to find a new provider before their service is interrupted.</w:t>
      </w:r>
      <w:r>
        <w:rPr>
          <w:rStyle w:val="FootnoteReference"/>
          <w:kern w:val="0"/>
        </w:rPr>
        <w:footnoteReference w:id="247"/>
      </w:r>
      <w:r w:rsidRPr="00F540BD">
        <w:t xml:space="preserve">  Should compliance with any removal, suspensions, or mandatory blocking order be delayed for some period of time to allow customers time to enter into new service agreements?  Does RMD removal implicate providers’ obligation under section 214(a) of the Act and our rules to seek Commission authorization before discontinuing, reducing, or impairing service to a community or part of a community?</w:t>
      </w:r>
      <w:r>
        <w:rPr>
          <w:rStyle w:val="FootnoteReference"/>
          <w:kern w:val="0"/>
        </w:rPr>
        <w:footnoteReference w:id="248"/>
      </w:r>
      <w:r w:rsidRPr="00F540BD">
        <w:t xml:space="preserve">  If so, how, if at all, should we revise our RMD rules or discontinuance rules to account for RMD removals?  Should the provider be required to certify to the Commission that it has provided the RMD removal notice?  Should we require providers seeking reinstatement to submit proof that they provided the RMD removal notice and/or the notice required by our discontinuance rules as a condition of reinstatement?  Should the Commission specify a form of notice, such as email, customer portal notice, bill message, direct mail, or contractual notice, or delegate such implementation details to the Bureau?  If RMD removal implicates section 214(a) and our discontinuance rules, should the proposed RMD removal notice be included in the customer notice required by our discontinuance rules,</w:t>
      </w:r>
      <w:r>
        <w:rPr>
          <w:rStyle w:val="FootnoteReference"/>
          <w:kern w:val="0"/>
        </w:rPr>
        <w:footnoteReference w:id="249"/>
      </w:r>
      <w:r w:rsidRPr="00F540BD">
        <w:t xml:space="preserve"> or should it be separate?  Are there alternative approaches we should consider for notifying customers that their provider’s calls will no longer be accepted by downstream providers?</w:t>
      </w:r>
    </w:p>
    <w:p w:rsidR="005919ED" w:rsidRPr="00A55B3E" w:rsidP="00A00D60" w14:paraId="684EAF85" w14:textId="77777777">
      <w:pPr>
        <w:pStyle w:val="ParaNum"/>
        <w:widowControl/>
      </w:pPr>
      <w:r w:rsidRPr="00F540BD">
        <w:t xml:space="preserve">We further seek comment on whether downstream providers may or should provide direct notice to customers of an upstream provider whose calls will be blocked because of a removal or mandatory blocking order.  Downstream providers may have visibility into traffic patterns or customer relationships that could help identify affected entities or individuals.  However, such notice may </w:t>
      </w:r>
      <w:r w:rsidRPr="00F540BD">
        <w:t>implicate</w:t>
      </w:r>
      <w:r w:rsidRPr="00F540BD">
        <w:t xml:space="preserve"> customer proprietary network information and other confidentiality obligations under section 222 of the Act and the Commission’s rules.</w:t>
      </w:r>
      <w:r>
        <w:rPr>
          <w:rStyle w:val="FootnoteReference"/>
        </w:rPr>
        <w:footnoteReference w:id="250"/>
      </w:r>
      <w:r w:rsidRPr="00F540BD">
        <w:t xml:space="preserve">  We seek comment on how section 222 applies in this context.  Would customer notice be permissible either with customer consent, pursuant to an exception for protecting users or the provider’s rights and property, or under another legal basis?  Should the Commission adopt a rule expressly permitting limited use or disclosure of customer information for the purpose of providing notice required by a Commission removal or blocking order?  </w:t>
      </w:r>
      <w:r>
        <w:t>If so, w</w:t>
      </w:r>
      <w:r w:rsidRPr="00F540BD">
        <w:t>hat safeguards should apply?</w:t>
      </w:r>
    </w:p>
    <w:p w:rsidR="005919ED" w:rsidRPr="00A55B3E" w:rsidP="005919ED" w14:paraId="2DB05D68" w14:textId="77777777">
      <w:pPr>
        <w:pStyle w:val="Heading3"/>
      </w:pPr>
      <w:bookmarkStart w:id="106" w:name="_Toc232150162"/>
      <w:bookmarkStart w:id="107" w:name="_Toc232150509"/>
      <w:bookmarkStart w:id="108" w:name="_Toc232604722"/>
      <w:bookmarkStart w:id="109" w:name="_Toc233210674"/>
      <w:bookmarkStart w:id="110" w:name="_Toc233622373"/>
      <w:bookmarkStart w:id="111" w:name="_Toc233709811"/>
      <w:bookmarkStart w:id="112" w:name="_Toc235472519"/>
      <w:bookmarkStart w:id="113" w:name="_Toc235534118"/>
      <w:bookmarkStart w:id="114" w:name="_Toc235536521"/>
      <w:r w:rsidRPr="00A55B3E">
        <w:t>Keeping Removed Bad Actor Providers Out</w:t>
      </w:r>
      <w:bookmarkEnd w:id="106"/>
      <w:bookmarkEnd w:id="107"/>
      <w:bookmarkEnd w:id="108"/>
      <w:bookmarkEnd w:id="109"/>
      <w:bookmarkEnd w:id="110"/>
      <w:bookmarkEnd w:id="111"/>
      <w:bookmarkEnd w:id="112"/>
      <w:bookmarkEnd w:id="113"/>
      <w:bookmarkEnd w:id="114"/>
      <w:r w:rsidRPr="00A55B3E">
        <w:t xml:space="preserve"> </w:t>
      </w:r>
    </w:p>
    <w:p w:rsidR="005919ED" w:rsidRPr="00A55B3E" w:rsidP="005919ED" w14:paraId="61FC1B52" w14:textId="77777777">
      <w:pPr>
        <w:pStyle w:val="ParaNum"/>
      </w:pPr>
      <w:r w:rsidRPr="00F540BD">
        <w:t>We next propose and seek comment on measures to prevent bad actor providers, and the individuals and entities behind them, from reentering the Database after removal.  As discussed above, removal from the Database is a significant remedy designed to protect consumers and the voice network from bad actor providers, including those that fail to comply with the Commission’s robocall mitigation, caller ID authentication, traceback, and Database filing requirements.  But removal may be less effective if the same individuals, related entities, or alter egos can quickly resume participation in the voice ecosystem by filing in the Database under a new business name, affiliate, successor, or other vehicle.</w:t>
      </w:r>
      <w:r>
        <w:rPr>
          <w:rStyle w:val="FootnoteReference"/>
          <w:kern w:val="0"/>
        </w:rPr>
        <w:footnoteReference w:id="251"/>
      </w:r>
      <w:r w:rsidRPr="00F540BD">
        <w:t xml:space="preserve">  We propose and seek </w:t>
      </w:r>
      <w:r w:rsidRPr="00F540BD">
        <w:t>comment</w:t>
      </w:r>
      <w:r w:rsidRPr="00F540BD">
        <w:t xml:space="preserve"> on measures to address these tactics.  We also seek general comment here on whether the processes we discuss are sufficient to prevent bad actor providers from repeatedly “reinventing” themselves to evade the consequences of removal, or whether additional tools are needed. </w:t>
      </w:r>
    </w:p>
    <w:p w:rsidR="005919ED" w:rsidRPr="00A55B3E" w:rsidP="005919ED" w14:paraId="1FB11001" w14:textId="77777777">
      <w:pPr>
        <w:pStyle w:val="ParaNum"/>
      </w:pPr>
      <w:r w:rsidRPr="00CC45BA">
        <w:rPr>
          <w:i/>
          <w:iCs/>
          <w:kern w:val="0"/>
        </w:rPr>
        <w:t>Identifying and acting on unauthorized re-filings.</w:t>
      </w:r>
      <w:r w:rsidRPr="00F540BD">
        <w:t xml:space="preserve">  We seek comment on mechanisms to determine when a new filing is unauthorized because it is being made by, on behalf of, or for the benefit of a provider whose filing has been removed from the Database, a provider or person prohibited from filing in the Database pursuant to any debarment process we may adopt (as discussed below), or an alter ego, successor, affiliate, or evasion vehicle of such provider or person.  Should any factor, such as common ownership or control, create a rebuttable presumption that the new filing is unauthorized?  How should the Commission distinguish between evasion and legitimate business transactions, such as a bona fide arm’s length acquisition of assets from a removed provider?  Should it be incumbent upon </w:t>
      </w:r>
      <w:r w:rsidRPr="00F540BD">
        <w:t>filers</w:t>
      </w:r>
      <w:r w:rsidRPr="00F540BD">
        <w:t xml:space="preserve"> to communicate such circumstances to the Commission?  </w:t>
      </w:r>
    </w:p>
    <w:p w:rsidR="005919ED" w:rsidRPr="00A55B3E" w:rsidP="00A00D60" w14:paraId="66BFA976" w14:textId="77777777">
      <w:pPr>
        <w:pStyle w:val="ParaNum"/>
        <w:widowControl/>
      </w:pPr>
      <w:r w:rsidRPr="00F540BD">
        <w:t xml:space="preserve">We seek comment on the actions we should take when we determine that a new filing is unauthorized, including for example, rejecting or assigning a “pending review” status </w:t>
      </w:r>
      <w:r w:rsidRPr="00CC45BA">
        <w:t xml:space="preserve">to prevent publication of such filings and/or </w:t>
      </w:r>
      <w:r w:rsidRPr="00F540BD">
        <w:t xml:space="preserve">removal of filings unauthorized re-filings that are published.  Should such actions be performed automatically or manually?  Although we believe that such actions may help prevent bad actors from quickly reentering the voice ecosystem, to what extent would they present a risk of false positives that delay or prevent publication of filings by legitimate providers that have common vendors, shared office space, or similar names?  Are any such characteristics common for legitimate providers?  Should automated rejection, suppression, or removal be limited to filings with </w:t>
      </w:r>
      <w:r w:rsidRPr="00F540BD">
        <w:t>high-confidence</w:t>
      </w:r>
      <w:r w:rsidRPr="00F540BD">
        <w:t xml:space="preserve"> matches, such as identical OCNs, overlapping FRNs,</w:t>
      </w:r>
      <w:r>
        <w:rPr>
          <w:rStyle w:val="FootnoteReference"/>
        </w:rPr>
        <w:footnoteReference w:id="252"/>
      </w:r>
      <w:r w:rsidRPr="00F540BD">
        <w:t xml:space="preserve"> principals, or contact information?  When a filing is rejected, suppressed, or removed, should or must we provide notice to the filer with an opportunity to demonstrate that the filing was not made by, on behalf of, or for the benefit of a provider whose filing has been removed from the Database?  If so, what showing should we require, and should the filing remain unpublished while the Bureaus review that showing?  If, after reviewing the filing and any such showing, the Bureaus determine that a filing is unauthorized, should the filing be rejected, suppressed, or removed? </w:t>
      </w:r>
      <w:r w:rsidRPr="00F540BD">
        <w:t xml:space="preserve"> </w:t>
      </w:r>
      <w:r w:rsidRPr="00F540BD">
        <w:t>What, if any, additional notice and opportunity to cure is required before an unauthorized filing can be rejected, suppressed, or removed?</w:t>
      </w:r>
    </w:p>
    <w:p w:rsidR="005919ED" w:rsidRPr="00A55B3E" w:rsidP="005919ED" w14:paraId="61D50F6C" w14:textId="77777777">
      <w:pPr>
        <w:pStyle w:val="ParaNum"/>
      </w:pPr>
      <w:r w:rsidRPr="00CC45BA">
        <w:rPr>
          <w:i/>
          <w:iCs/>
          <w:kern w:val="0"/>
        </w:rPr>
        <w:t>Reinstatements.</w:t>
      </w:r>
      <w:r w:rsidRPr="00F540BD">
        <w:t xml:space="preserve">  We propose to clarify and codify the circumstances and process under which a removed provider may seek reinstatement to the Database.  We propose to require that a removed provider seeking reinstatement must submit a written request to the Enforcement Bureau, demonstrate that it has cured all violations, pay any outstanding regulatory or filing fees owed to the Commission or forfeitures imposed by a court, update all required RMD and CORES information, demonstrate compliance with traceback obligations, </w:t>
      </w:r>
      <w:r>
        <w:t>and</w:t>
      </w:r>
      <w:r w:rsidRPr="00F540BD">
        <w:t xml:space="preserve"> demonstrate it has implemented a robocall mitigation program that complies with Commission rules.  We also propose to codify the existing requirement that a provider whose filing has been removed from the Database is not permitted to refile unless and until both the Bureau and Enforcement Bureau consent.</w:t>
      </w:r>
      <w:r>
        <w:rPr>
          <w:rStyle w:val="FootnoteReference"/>
          <w:kern w:val="0"/>
        </w:rPr>
        <w:footnoteReference w:id="253"/>
      </w:r>
      <w:r w:rsidRPr="00F540BD">
        <w:t xml:space="preserve">  Consistent with the publication rule proposed above,</w:t>
      </w:r>
      <w:r>
        <w:rPr>
          <w:rStyle w:val="FootnoteReference"/>
          <w:kern w:val="0"/>
        </w:rPr>
        <w:footnoteReference w:id="254"/>
      </w:r>
      <w:r w:rsidRPr="00F540BD">
        <w:t xml:space="preserve"> even where the Bureaus consent to reinstatement or refiling, the provider’s filing would not “appear” in the Database for the purposes of section 64.6305(g) unless and until the filing is accepted and published.  We further propose to clarify that the Enforcement Bureau, in consultation with the Wireline Bureau, has the discretion to </w:t>
      </w:r>
      <w:r w:rsidRPr="00A55B3E">
        <w:t xml:space="preserve">grant, deny, or condition reinstatement based on the provider’s cooperation with the Bureau, the provider’s showing, the provider’s compliance history, and the </w:t>
      </w:r>
      <w:r>
        <w:t xml:space="preserve">Enforcement </w:t>
      </w:r>
      <w:r w:rsidRPr="00A55B3E">
        <w:t>Bureau</w:t>
      </w:r>
      <w:r>
        <w:t>’</w:t>
      </w:r>
      <w:r w:rsidRPr="00A55B3E">
        <w:t>s risk assessment regarding whether reinstatement would permit the provider’s network or services to be used to transmit illegal calls</w:t>
      </w:r>
      <w:r w:rsidRPr="00F540BD">
        <w:t>.  Reinstatement might also be contingent on the provider agreeing to a consent decree with the Enforcement Bureau.</w:t>
      </w:r>
      <w:r>
        <w:rPr>
          <w:rStyle w:val="FootnoteReference"/>
          <w:kern w:val="0"/>
        </w:rPr>
        <w:footnoteReference w:id="255"/>
      </w:r>
      <w:r w:rsidRPr="00F540BD">
        <w:t xml:space="preserve">  Consistent with current practices, these procedures would create no expectation that a provider whose filing has been removed will be reinstated.  We seek </w:t>
      </w:r>
      <w:r w:rsidRPr="00F540BD">
        <w:t>comment</w:t>
      </w:r>
      <w:r w:rsidRPr="00F540BD">
        <w:t xml:space="preserve"> on these proposals.</w:t>
      </w:r>
    </w:p>
    <w:p w:rsidR="005919ED" w:rsidRPr="00A55B3E" w:rsidP="005919ED" w14:paraId="45BD903B" w14:textId="77777777">
      <w:pPr>
        <w:pStyle w:val="ParaNum"/>
      </w:pPr>
      <w:r w:rsidRPr="00CC45BA">
        <w:rPr>
          <w:i/>
          <w:iCs/>
          <w:kern w:val="0"/>
        </w:rPr>
        <w:t xml:space="preserve">Bar on RMD </w:t>
      </w:r>
      <w:r>
        <w:rPr>
          <w:i/>
          <w:iCs/>
          <w:kern w:val="0"/>
        </w:rPr>
        <w:t>p</w:t>
      </w:r>
      <w:r w:rsidRPr="00CC45BA">
        <w:rPr>
          <w:i/>
          <w:iCs/>
          <w:kern w:val="0"/>
        </w:rPr>
        <w:t>articipation.</w:t>
      </w:r>
      <w:r w:rsidRPr="00F540BD">
        <w:t xml:space="preserve">  We seek comment on whether to establish an RMD-specific </w:t>
      </w:r>
      <w:r w:rsidRPr="00A55B3E">
        <w:t>debarment</w:t>
      </w:r>
      <w:r w:rsidRPr="00F540BD">
        <w:t>, limited denial of participation, bar on participation, or similar process to prevent bad actor providers and associated natural persons from participating in the Database for a defined period or, in appropriate cases, permanently.  For purposes of this inquiry, we use “participation” to include filing in the Database, maintaining a filing in the Database, seeking reinstatement after removal, owning or controlling a provider with a filing in the Database, managing or operating such a provider, or submitting a filing on behalf of such a provider.  We address below whether RMD misconduct should have broader consequences for other Commission authorizations, licenses, certifications, or applications—here, we focus on whether and how the Commission should limit participation in the Database itself.</w:t>
      </w:r>
    </w:p>
    <w:p w:rsidR="005919ED" w:rsidRPr="00A55B3E" w:rsidP="002B2016" w14:paraId="1452F3CA" w14:textId="77777777">
      <w:pPr>
        <w:pStyle w:val="ParaNum"/>
        <w:widowControl/>
      </w:pPr>
      <w:r w:rsidRPr="00F540BD">
        <w:t xml:space="preserve">In the recent </w:t>
      </w:r>
      <w:r w:rsidRPr="00CC45BA">
        <w:rPr>
          <w:i/>
          <w:kern w:val="0"/>
        </w:rPr>
        <w:t>Suspension and Debarment Order</w:t>
      </w:r>
      <w:r w:rsidRPr="00F540BD">
        <w:t>, the Commission adopted a Limited Denial of Participation (LDP) framework as an FCC-specific alternative to governmentwide suspension and debarment, explaining that an LDP may offer a more flexible remedy for misconduct that warrants limiting participation in FCC programs but may not warrant full suspension or debarment from all government programs.</w:t>
      </w:r>
      <w:r>
        <w:rPr>
          <w:rStyle w:val="FootnoteReference"/>
          <w:kern w:val="0"/>
        </w:rPr>
        <w:footnoteReference w:id="256"/>
      </w:r>
      <w:r w:rsidRPr="00F540BD">
        <w:t xml:space="preserve">  The Commission also adopted rules allowing the LDP to be limited to particular FCC programs, to be extended to other Commission programs depending on the facts and circumstances, to include notice and an opportunity to be heard, and to last initially for up to 12 months, with a possible six-month extension.</w:t>
      </w:r>
      <w:r>
        <w:rPr>
          <w:rStyle w:val="FootnoteReference"/>
          <w:kern w:val="0"/>
        </w:rPr>
        <w:footnoteReference w:id="257"/>
      </w:r>
      <w:r w:rsidRPr="00F540BD">
        <w:t xml:space="preserve">  We seek comment on whether we should establish an RMD-specific framework, modeled off the LDP framework, to address bad actor providers, including those whose filings have been removed from the Database and natural persons or related entities associated with such providers.  As an alternative, should we instead amend the recently adopted LDP rules so that the causes for removal or other enforcement action discussed above may also serve as bases for an LDP, either limited to RMD participation or, where warranted, extended to other Commission programs under the standards and procedures applicable to LDPs?</w:t>
      </w:r>
    </w:p>
    <w:p w:rsidR="005919ED" w:rsidRPr="00A55B3E" w:rsidP="005919ED" w14:paraId="4D5F4361" w14:textId="77777777">
      <w:pPr>
        <w:pStyle w:val="ParaNum"/>
      </w:pPr>
      <w:r w:rsidRPr="00CC45BA">
        <w:t>In particular, we</w:t>
      </w:r>
      <w:r w:rsidRPr="00CC45BA">
        <w:t xml:space="preserve"> seek comment on whether there should be a process to bar participation by barring from reinstatement a provider whose filing has been removed from the </w:t>
      </w:r>
      <w:r>
        <w:t>D</w:t>
      </w:r>
      <w:r w:rsidRPr="00CC45BA">
        <w:t xml:space="preserve">atabase for a defined </w:t>
      </w:r>
      <w:r w:rsidRPr="00CC45BA">
        <w:t>period of time</w:t>
      </w:r>
      <w:r w:rsidRPr="00CC45BA">
        <w:t xml:space="preserve"> or permanently where the provider was removed for serious or repeated misconduct.  We believe that time-limited or permanent bars on RMD reinstatement may be appropriate where the cause for removal was lack of candor, failure to respond to traceback requests or other traceback violations, impersonation, national security or law enforcement concerns, final Commission enforcement actions, or repeat violations by providers that were previously reinstated.  We seek comment on this view.  Should the Commission codify these or other causes </w:t>
      </w:r>
      <w:r w:rsidRPr="00CC45BA">
        <w:t>as</w:t>
      </w:r>
      <w:r w:rsidRPr="00CC45BA">
        <w:t xml:space="preserve"> warranting time-limited or permanent bars on RMD reinstatement?  Should the Commission establish a specific </w:t>
      </w:r>
      <w:r w:rsidRPr="00CC45BA">
        <w:t>period of time</w:t>
      </w:r>
      <w:r w:rsidRPr="00CC45BA">
        <w:t xml:space="preserve"> for time-limited bars and if so, what duration would be appropriate—one year, three years, five years, or another period?  Should different periods apply depending on the nature and severity of </w:t>
      </w:r>
      <w:r w:rsidRPr="00CC45BA">
        <w:t>the misconduct</w:t>
      </w:r>
      <w:r w:rsidRPr="00CC45BA">
        <w:t xml:space="preserve">?  Should any </w:t>
      </w:r>
      <w:r w:rsidRPr="00CC45BA">
        <w:t>particular misconduct</w:t>
      </w:r>
      <w:r w:rsidRPr="00CC45BA">
        <w:t xml:space="preserve"> warrant a permanent bar, or should permanent bars be reserved for egregious or repeated misconduct after notice and an opportunity to respond?  </w:t>
      </w:r>
    </w:p>
    <w:p w:rsidR="005919ED" w:rsidRPr="00A55B3E" w:rsidP="005919ED" w14:paraId="5AA8C684" w14:textId="77777777">
      <w:pPr>
        <w:pStyle w:val="ParaNum"/>
      </w:pPr>
      <w:r w:rsidRPr="00CC45BA">
        <w:t xml:space="preserve">We also seek </w:t>
      </w:r>
      <w:r w:rsidRPr="00CC45BA">
        <w:t>comment</w:t>
      </w:r>
      <w:r w:rsidRPr="00CC45BA">
        <w:t xml:space="preserve"> on the entities and individuals to which an RMD participation bar should apply.  Should any RMD-specific debarment, LDP, time-limited or permanent bar on RMD participation, or similar remedy apply only to the removed provider, or also to related entities and natural persons associated with that provider?  For example, should the Commission establish a process under which owners, officers, directors, board members, managers, key employees, persons responsible for regulatory compliance, or other associated natural persons may be barred for a period of time or permanently from owning, controlling, managing, operating, or submitting a filing on behalf of a provider that is required to submit a filing in the Database?  Should any such rule apply to regulatory consultants, third-party filing agents, or other persons who knowingly submit false, misleading, or inaccurate Database filings on behalf of multiple providers?  Should a time-limited or permanent bar on participation extend to affiliates, successors, alter egos, or entities under common ownership or control with the removed provider?</w:t>
      </w:r>
    </w:p>
    <w:p w:rsidR="005919ED" w:rsidRPr="00A55B3E" w:rsidP="005919ED" w14:paraId="17D48D79" w14:textId="77777777">
      <w:pPr>
        <w:pStyle w:val="ParaNum"/>
      </w:pPr>
      <w:r w:rsidRPr="00F540BD">
        <w:t xml:space="preserve">We seek </w:t>
      </w:r>
      <w:r w:rsidRPr="00F540BD">
        <w:t>comment</w:t>
      </w:r>
      <w:r w:rsidRPr="00F540BD">
        <w:t xml:space="preserve"> on the procedures and safeguards that should apply before the Commission imposes an RMD-specific debarment, LDP, time-limited or permanent bar on RMD participation, or similar remedy.  Because any such remedy could limit a provider’s or natural person’s ability to participate in the Database, we seek comment on what process is required before imposing such a remedy for misconduct.  What standard of proof should apply?  What notice and opportunity to respond should be required?  Should such a bar apply automatically upon removal of a provider’s filing from the Database, or only after a separate finding that the natural person participated in, directed, knew of, or should have known of the conduct that led to removal?  If there exist substantial and material questions of fact regarding whether a provider, related entity, or associated natural person should be barred from RMD participation, should the matter be designated for an evidentiary hearing before the Administrative Law Judge or the Commission?</w:t>
      </w:r>
      <w:r>
        <w:rPr>
          <w:rStyle w:val="FootnoteReference"/>
          <w:kern w:val="0"/>
        </w:rPr>
        <w:footnoteReference w:id="258"/>
      </w:r>
      <w:r w:rsidRPr="00F540BD">
        <w:t xml:space="preserve">  Should a hearing before the Administrative Law Judge be available as part of the appeals process for denial of reinstatement or imposition of a time-limited or permanent bar by the Bureaus?</w:t>
      </w:r>
      <w:r>
        <w:rPr>
          <w:rStyle w:val="FootnoteReference"/>
          <w:kern w:val="0"/>
        </w:rPr>
        <w:footnoteReference w:id="259"/>
      </w:r>
      <w:r w:rsidRPr="00F540BD">
        <w:t xml:space="preserve">  What appeal rights should apply, and should such appeals be resolved by the Bureaus, the Commission, the Administrative Law Judge, or some combination?  Should there be additional procedural safeguards or enhanced processes for permanent bars compared to time-limited bars?  </w:t>
      </w:r>
    </w:p>
    <w:p w:rsidR="005919ED" w:rsidRPr="00A55B3E" w:rsidP="005919ED" w14:paraId="5044146D" w14:textId="77777777">
      <w:pPr>
        <w:pStyle w:val="ParaNum"/>
      </w:pPr>
      <w:r w:rsidRPr="00CC45BA">
        <w:t xml:space="preserve">Finally, we seek </w:t>
      </w:r>
      <w:r w:rsidRPr="00CC45BA">
        <w:t>comment</w:t>
      </w:r>
      <w:r w:rsidRPr="00CC45BA">
        <w:t xml:space="preserve"> on conditions and collateral requirements that should apply when a provider, related entity, or associated natural person that was barred from participating in the Database is permitted to participate again, such as at the expiration of a time-limited bar.  Should the Commission require a compliance plan, independent audit, officer certification, probationary period, periodic reporting, or other conditions as part of any renewed participation?  Should such providers be subject to heightened scrutiny or more frequent recertification for a defined period?  Should barred individuals or entities be listed publicly, or would publication raise privacy, due process, or law enforcement concerns?  Should the Database form require filers to certify that no barred individual or entity owns, controls, manages, operates, or submits filings on behalf of the provider?  Would such a certification help prevent bad actors from reentering the Database through new entities, affiliates, successors, or third-party filing agents, or would it impose undue burdens on legitimate providers?</w:t>
      </w:r>
    </w:p>
    <w:p w:rsidR="005919ED" w:rsidP="005919ED" w14:paraId="5ED07FA6" w14:textId="77777777">
      <w:pPr>
        <w:pStyle w:val="ParaNum"/>
      </w:pPr>
      <w:r w:rsidRPr="00CC45BA">
        <w:rPr>
          <w:i/>
          <w:iCs/>
        </w:rPr>
        <w:t>Effect of removal on other Commission business.</w:t>
      </w:r>
      <w:r w:rsidRPr="00CC45BA">
        <w:t xml:space="preserve">  We further seek comment on whether misconduct in connection with the RMD should affect a provider’s or person’s ability to conduct other business with the FCC for </w:t>
      </w:r>
      <w:r w:rsidRPr="00CC45BA">
        <w:t>a period of time</w:t>
      </w:r>
      <w:r w:rsidRPr="00CC45BA">
        <w:t xml:space="preserve">.  </w:t>
      </w:r>
      <w:r>
        <w:t>As a starting point, to what extent are attorneys who submit RMD filings for an entity that is subsequently subject to an RMD enforcement action susceptible to potential censure, suspension, or disbarment from practice before the Commission under section 1.24(a) of the Commission’s rules?</w:t>
      </w:r>
      <w:r>
        <w:rPr>
          <w:rStyle w:val="FootnoteReference"/>
        </w:rPr>
        <w:footnoteReference w:id="260"/>
      </w:r>
      <w:r>
        <w:t xml:space="preserve">  If remedies under section 1.24(a) already would apply to such attorneys, should the same or similar remedies apply to others who engaged in misconduct in connection with the RMD?</w:t>
      </w:r>
    </w:p>
    <w:p w:rsidR="005919ED" w:rsidRPr="00CC45BA" w:rsidP="005919ED" w14:paraId="7FBDEC47" w14:textId="77777777">
      <w:pPr>
        <w:pStyle w:val="ParaNum"/>
      </w:pPr>
      <w:r>
        <w:t>Beyond that, m</w:t>
      </w:r>
      <w:r w:rsidRPr="00CC45BA">
        <w:t>any providers listed in the Database may hold other Commission authorizations, licenses, or certifications, such as domestic and international section 214 authorizations,</w:t>
      </w:r>
      <w:r>
        <w:rPr>
          <w:rStyle w:val="FootnoteReference"/>
        </w:rPr>
        <w:footnoteReference w:id="261"/>
      </w:r>
      <w:r w:rsidRPr="00CC45BA">
        <w:t xml:space="preserve"> authorization for direct access to numbering resources,</w:t>
      </w:r>
      <w:r>
        <w:rPr>
          <w:rStyle w:val="FootnoteReference"/>
        </w:rPr>
        <w:footnoteReference w:id="262"/>
      </w:r>
      <w:r w:rsidRPr="00CC45BA">
        <w:t xml:space="preserve"> eligible telecommunications carrier designations,</w:t>
      </w:r>
      <w:r>
        <w:rPr>
          <w:rStyle w:val="FootnoteReference"/>
        </w:rPr>
        <w:footnoteReference w:id="263"/>
      </w:r>
      <w:r w:rsidRPr="00CC45BA">
        <w:t xml:space="preserve"> or spectrum licenses.</w:t>
      </w:r>
      <w:r>
        <w:rPr>
          <w:rStyle w:val="FootnoteReference"/>
        </w:rPr>
        <w:footnoteReference w:id="264"/>
      </w:r>
      <w:r w:rsidRPr="00CC45BA">
        <w:t xml:space="preserve">  In the </w:t>
      </w:r>
      <w:r w:rsidRPr="00CC45BA">
        <w:rPr>
          <w:i/>
          <w:iCs/>
        </w:rPr>
        <w:t>Sixth Caller ID Authentication Order</w:t>
      </w:r>
      <w:r w:rsidRPr="00CC45BA">
        <w:t>, the Commission adopted rules permitting revocation of section 214 authority and other Commission authorization</w:t>
      </w:r>
      <w:r>
        <w:t>s</w:t>
      </w:r>
      <w:r w:rsidRPr="00CC45BA">
        <w:t>, license</w:t>
      </w:r>
      <w:r>
        <w:t>s</w:t>
      </w:r>
      <w:r w:rsidRPr="00CC45BA">
        <w:t>, or certification</w:t>
      </w:r>
      <w:r>
        <w:t>s</w:t>
      </w:r>
      <w:r w:rsidRPr="00CC45BA">
        <w:t xml:space="preserve"> for continued violations of the robocall mitigation rules, and stated that it would consider, in future application proceedings, whether it is in the public interest for individual company owners, directors, officers, and principals associated with entities subject to revocation to obtain new Commission authorizations, licenses, or certifications.</w:t>
      </w:r>
      <w:r>
        <w:rPr>
          <w:rStyle w:val="FootnoteReference"/>
          <w:kern w:val="0"/>
        </w:rPr>
        <w:footnoteReference w:id="265"/>
      </w:r>
      <w:r w:rsidRPr="00CC45BA">
        <w:t xml:space="preserve">  The Commission declined at that time to adopt a broader proposal to ban principals (either individuals or entities) associated with entities subject to any such revocations from serving, either directly or indirectly, as an attributable principal, officer, or director of entities that hold or apply for any FCC license or authorization for the provision of a Title II-regulated service or other voice service, citing the limited record, the complexity of identifying affected providers and applicants, and the risk of harm to providers and customers associated with the targeted principal but not involved in the robocall misconduct, but the Commission stated that it would consider whether to adopt such rules if repeat offenses increased.</w:t>
      </w:r>
      <w:r>
        <w:rPr>
          <w:rStyle w:val="FootnoteReference"/>
          <w:kern w:val="0"/>
        </w:rPr>
        <w:footnoteReference w:id="266"/>
      </w:r>
    </w:p>
    <w:p w:rsidR="005919ED" w:rsidRPr="00A55B3E" w:rsidP="005919ED" w14:paraId="341E4BFE" w14:textId="77777777">
      <w:pPr>
        <w:pStyle w:val="ParaNum"/>
      </w:pPr>
      <w:r w:rsidRPr="00F540BD">
        <w:t xml:space="preserve">Our experience administering the Database and enforcing its requirements has demonstrated an increased risk that bad actor providers, principals, affiliates, successors, or alter egos may evade removal by reentering the voice ecosystem through new filings by related entities.  Above, we seek </w:t>
      </w:r>
      <w:r w:rsidRPr="00F540BD">
        <w:t>comment</w:t>
      </w:r>
      <w:r w:rsidRPr="00F540BD">
        <w:t xml:space="preserve"> on whether to establish an RMD-specific debarment, limited denial of participation, participation bar, or similar process to limit participation in the Database itself.  We now seek tailored comment on whether the same types of misconduct that could warrant an RMD participation bar—such as RMD removal, repeated submission of deficient or false RMD filings, evasion through alter egos, repeated failure to respond to traceback requests, or repeated transmission of illegal calls—should also have broader consequences for the provider’s or principal’s Commission authorizations, licenses, certification, or applications.</w:t>
      </w:r>
      <w:r>
        <w:rPr>
          <w:rStyle w:val="FootnoteReference"/>
          <w:kern w:val="0"/>
        </w:rPr>
        <w:footnoteReference w:id="267"/>
      </w:r>
      <w:r w:rsidRPr="00F540BD">
        <w:t xml:space="preserve">  Specifically, should such conduct serve as </w:t>
      </w:r>
      <w:r w:rsidRPr="00CC45BA">
        <w:t xml:space="preserve">grounds to initiate proceedings to revoke, suspend, condition, designate for hearing, or otherwise review Commission authorizations, licenses, or certifications held by the provider or principal?  Should such conduct affect future applications to the Commission for authorizations, licenses, or certifications by the provider or by principals, affiliates, successors, alter egos, or entities under common ownership or control?  If so, should those consequences apply automatically for a defined period, only after a separate Commission finding, or only after application-specific review under the rules and procedures governing the relevant authorization, license, certification, and application? </w:t>
      </w:r>
      <w:r>
        <w:t xml:space="preserve"> </w:t>
      </w:r>
      <w:r w:rsidRPr="00CC45BA">
        <w:t xml:space="preserve">Should we </w:t>
      </w:r>
      <w:r w:rsidRPr="00F540BD">
        <w:t xml:space="preserve">adopt a process to bar, for </w:t>
      </w:r>
      <w:r w:rsidRPr="00F540BD">
        <w:t>a period of time</w:t>
      </w:r>
      <w:r w:rsidRPr="00F540BD">
        <w:t xml:space="preserve"> or permanently, principals of entities that engage in such misconduct from owning, controlling, managing, or operating</w:t>
      </w:r>
      <w:r w:rsidRPr="00CC45BA">
        <w:t>, either directly or indirectly,</w:t>
      </w:r>
      <w:r w:rsidRPr="00F540BD">
        <w:t xml:space="preserve"> an entity that holds or is applying for an FCC authorization, license, or certification?  What additional findings, procedures, and safeguards would be necessary before imposing any such consequences?</w:t>
      </w:r>
      <w:r>
        <w:rPr>
          <w:rStyle w:val="FootnoteReference"/>
          <w:kern w:val="0"/>
        </w:rPr>
        <w:footnoteReference w:id="268"/>
      </w:r>
      <w:r w:rsidRPr="00F540BD">
        <w:t xml:space="preserve">  Are </w:t>
      </w:r>
      <w:r w:rsidRPr="00A55B3E">
        <w:t>there</w:t>
      </w:r>
      <w:r w:rsidRPr="00A55B3E">
        <w:t xml:space="preserve"> </w:t>
      </w:r>
      <w:r w:rsidRPr="00F540BD">
        <w:t>situations in which it would be necessary or appropriate to conduct an evidentiary hearing before the Administrative Law Judge or the Commission, such as when material questions of fact exist or when required by statute or rule governing the relevant authorization, license, or certification?  Should the Commission adopt narrower RMD-specific consequences that only affect voice service-related authorizations, licenses, or certifications?</w:t>
      </w:r>
      <w:r w:rsidRPr="00CC45BA">
        <w:t xml:space="preserve">  </w:t>
      </w:r>
    </w:p>
    <w:p w:rsidR="005919ED" w:rsidRPr="00A55B3E" w:rsidP="005919ED" w14:paraId="09560DD8" w14:textId="77777777">
      <w:pPr>
        <w:pStyle w:val="ParaNum"/>
      </w:pPr>
      <w:r w:rsidRPr="00CC45BA">
        <w:rPr>
          <w:i/>
          <w:iCs/>
          <w:kern w:val="0"/>
        </w:rPr>
        <w:t>Prohibition on Accepting Voice Calls from Unlisted Providers.</w:t>
      </w:r>
      <w:r w:rsidRPr="00F540BD">
        <w:t xml:space="preserve">  We propose to amend section 64.6305(g) to provide greater clarity and specificity regarding downstream providers’ obligation to only accept voice calls from providers that appear in the </w:t>
      </w:r>
      <w:r w:rsidRPr="00F540BD">
        <w:t>Database, and</w:t>
      </w:r>
      <w:r w:rsidRPr="00F540BD">
        <w:t xml:space="preserve"> seek comment on how to do so.  Section 64.6305(g) requires intermediate providers and voice service providers to accept voice calls sent directly from domestic or foreign voice service providers and intermediate providers only if the upstream provider’s filing appears in the Database and has not been removed.</w:t>
      </w:r>
      <w:r>
        <w:rPr>
          <w:rStyle w:val="FootnoteReference"/>
        </w:rPr>
        <w:footnoteReference w:id="269"/>
      </w:r>
      <w:r w:rsidRPr="00F540BD">
        <w:t xml:space="preserve">  As an initial matter, should we amend our rules to affirmatively prohibit providers from accepting voice calls from a provider that is not published in the Database, rather than the current wording that requires providers to only accept calls from a provider whose filing appears in the Database and has not been removed?  If we </w:t>
      </w:r>
      <w:r w:rsidRPr="00A55B3E">
        <w:rPr>
          <w:szCs w:val="22"/>
        </w:rPr>
        <w:t>adopt our proposal that providers have a temporary exemption while they seek to obtain an SPC token,</w:t>
      </w:r>
      <w:r>
        <w:rPr>
          <w:rStyle w:val="FootnoteReference"/>
          <w:szCs w:val="22"/>
        </w:rPr>
        <w:footnoteReference w:id="270"/>
      </w:r>
      <w:r w:rsidRPr="00A55B3E">
        <w:rPr>
          <w:szCs w:val="22"/>
        </w:rPr>
        <w:t xml:space="preserve"> should we specify that providers are not permitted to accept </w:t>
      </w:r>
      <w:r>
        <w:rPr>
          <w:szCs w:val="22"/>
        </w:rPr>
        <w:t>calls</w:t>
      </w:r>
      <w:r w:rsidRPr="00A55B3E">
        <w:rPr>
          <w:szCs w:val="22"/>
        </w:rPr>
        <w:t xml:space="preserve"> from upstream providers unless they appear in the Database and have obtained an SPC token?</w:t>
      </w:r>
    </w:p>
    <w:p w:rsidR="005919ED" w:rsidRPr="00A55B3E" w:rsidP="005919ED" w14:paraId="455DBE48" w14:textId="77777777">
      <w:pPr>
        <w:pStyle w:val="ParaNum"/>
      </w:pPr>
      <w:r w:rsidRPr="00CC45BA">
        <w:t xml:space="preserve">We propose to specify the minimum frequency with which providers must check the Database to ensure compliance with this obligation and seek comment on that frequency.  Should providers be required to check the Database before </w:t>
      </w:r>
      <w:r w:rsidRPr="00CC45BA">
        <w:t>entering into</w:t>
      </w:r>
      <w:r w:rsidRPr="00CC45BA">
        <w:t xml:space="preserve"> a new interconnection, service, or traffic-exchange arrangement</w:t>
      </w:r>
      <w:r>
        <w:rPr>
          <w:rStyle w:val="FootnoteReference"/>
        </w:rPr>
        <w:footnoteReference w:id="271"/>
      </w:r>
      <w:r w:rsidRPr="00CC45BA">
        <w:t>; at regular intervals; and/or upon notice from the Commission that a provider has been removed?  Should the Commission establish a minimum frequency, such as daily, weekly, monthly, or before accepting calls from any upstream provider?  Should the obligation vary based on a provider’s size, role in the call path, traffic volume, or risk profile?  What costs would providers, particularly small and rural providers, face in complying with such procedures?  If the Commission were to adopt any such procedures, how long would providers need to implement any changes to their networks or operations to comply with new rules?  We also seek comment on providers’ current practices for complying with their obligations under section 64.6305(g), including whether they rely on the Database’s API, downloadable .CSV file, or another data source, and whether they employ any technical validation tools or rely on manual checks.</w:t>
      </w:r>
    </w:p>
    <w:p w:rsidR="005919ED" w:rsidRPr="00A55B3E" w:rsidP="005919ED" w14:paraId="3859AD71" w14:textId="77777777">
      <w:pPr>
        <w:pStyle w:val="ParaNum"/>
      </w:pPr>
      <w:r w:rsidRPr="00F540BD">
        <w:t xml:space="preserve">We propose to specify how quickly downstream providers must stop accepting calls after a provider’s filing is removed from the Database and seek </w:t>
      </w:r>
      <w:r w:rsidRPr="00F540BD">
        <w:t>comment</w:t>
      </w:r>
      <w:r w:rsidRPr="00F540BD">
        <w:t xml:space="preserve"> on when this should occur.  In the </w:t>
      </w:r>
      <w:r w:rsidRPr="00CC45BA">
        <w:rPr>
          <w:i/>
          <w:iCs/>
          <w:kern w:val="0"/>
        </w:rPr>
        <w:t>Sixth Caller ID Authentication Report and Order</w:t>
      </w:r>
      <w:r w:rsidRPr="00A55B3E">
        <w:t xml:space="preserve">, the Commission concluded </w:t>
      </w:r>
      <w:r w:rsidRPr="00F540BD">
        <w:t>that the existing Enforcement Bureau process, whereby providers are given two business days to block calls following Commission notice of removal from the Database, is sufficient, as it appropriately balances the public’s interest in blocking unwanted robocalls against the need to allow providers sufficient time to take the necessary steps to block calls.</w:t>
      </w:r>
      <w:r>
        <w:rPr>
          <w:rStyle w:val="FootnoteReference"/>
        </w:rPr>
        <w:footnoteReference w:id="272"/>
      </w:r>
      <w:r w:rsidRPr="00F540BD">
        <w:t xml:space="preserve">  However, since that </w:t>
      </w:r>
      <w:r>
        <w:rPr>
          <w:i/>
          <w:iCs/>
        </w:rPr>
        <w:t>O</w:t>
      </w:r>
      <w:r w:rsidRPr="007906C5">
        <w:rPr>
          <w:i/>
        </w:rPr>
        <w:t>rder</w:t>
      </w:r>
      <w:r w:rsidRPr="00F540BD">
        <w:t xml:space="preserve"> was adopted, the Enforcement Bureau has issued orders removing substantial numbers of filings from the Database, including two orders in August 2025 that removed 1,203 and 185 filings, respectively.</w:t>
      </w:r>
      <w:r>
        <w:rPr>
          <w:rStyle w:val="FootnoteReference"/>
        </w:rPr>
        <w:footnoteReference w:id="273"/>
      </w:r>
      <w:r w:rsidRPr="00F540BD">
        <w:t xml:space="preserve">  In light of this substantial uptick in enforcement, we now seek further comment on whether the current two-day compliance timeline is reasonable, and on the burdens and costs to providers in complying, and on the impact on customers of the deficient filer.  Should we establish a default or minimum timeline that would apply to compliance with section 64.6305(g) with respect to removal orders generally, but delegate to the Enforcement Bureau the discretion to establish a longer compliance timeline in a particular removal order, such as based on the number of filings being removed?  Should a default minimum timeline require downstream providers to cease accepting calls immediately upon release of the removal order, within the current two business days, or some other length of time?  Should the Enforcement Bureau consider other factors for extending the compliance timeline, and if so, what factors?  What operational steps must downstream providers take to stop accepting calls, and how much time is reasonably necessary?  How should we balance the need to protect consumers from illegal calls against the risk of disrupting lawful calls?  </w:t>
      </w:r>
    </w:p>
    <w:p w:rsidR="005919ED" w:rsidRPr="00A55B3E" w:rsidP="005919ED" w14:paraId="635FA75C" w14:textId="77777777">
      <w:pPr>
        <w:pStyle w:val="ParaNum"/>
      </w:pPr>
      <w:r w:rsidRPr="00F540BD">
        <w:t>We also seek comment on harmonizing the Database removal process with the Commission’s call blocking rules.  Under section 64.1200(n), a provider that receives a Notification of Suspected Illegal Traffic from the Enforcement Bureau must, within a minimum of 14 days, investigate the identified traffic, report the results of its investigation within the timeframe specified in the notice, and, if its investigation determines that it served as the gateway or originating provider for the identified traffic, block or cease accepting the identified traffic and substantially similar traffic on an ongoing basis within the timeframe specified in the notice.</w:t>
      </w:r>
      <w:r>
        <w:rPr>
          <w:rStyle w:val="FootnoteReference"/>
          <w:kern w:val="0"/>
        </w:rPr>
        <w:footnoteReference w:id="274"/>
      </w:r>
      <w:r w:rsidRPr="00F540BD">
        <w:t xml:space="preserve">  If the provider fails to respond, provides an insufficient response, continues to originate or transmit substantially similar traffic, or the Enforcement Bureau determines that the traffic is illegal despite the provider’s assertions, the Enforcement Bureau may issue an Initial Determination Order and, after a minimum of 14 additional days to respond, a Final Determination Order finding that the provider is not in compliance with section 64.1200(n)(2).</w:t>
      </w:r>
      <w:r>
        <w:rPr>
          <w:rStyle w:val="FootnoteReference"/>
          <w:kern w:val="0"/>
        </w:rPr>
        <w:footnoteReference w:id="275"/>
      </w:r>
      <w:r w:rsidRPr="00F540BD">
        <w:t xml:space="preserve">  Section 64.1200(n)(3), in turn, requires any provider immediately downstream from the upstream provider identified in the Final Determination Order to block all traffic received directly from that upstream provider beginning 30 days after release of the Final Determination Order.</w:t>
      </w:r>
      <w:r>
        <w:rPr>
          <w:rStyle w:val="FootnoteReference"/>
          <w:kern w:val="0"/>
        </w:rPr>
        <w:footnoteReference w:id="276"/>
      </w:r>
      <w:r w:rsidRPr="00F540BD">
        <w:t xml:space="preserve">  </w:t>
      </w:r>
    </w:p>
    <w:p w:rsidR="005919ED" w:rsidRPr="00A55B3E" w:rsidP="005919ED" w14:paraId="67A4500F" w14:textId="77777777">
      <w:pPr>
        <w:pStyle w:val="ParaNum"/>
      </w:pPr>
      <w:r w:rsidRPr="00CC45BA">
        <w:t xml:space="preserve">Thus, the Commission’s blocking obligations under section 64.1200(n) operate using different processes and timelines than used for section 64.6305(g), described above.  We seek </w:t>
      </w:r>
      <w:r w:rsidRPr="00CC45BA">
        <w:t>comment</w:t>
      </w:r>
      <w:r w:rsidRPr="00CC45BA">
        <w:t xml:space="preserve"> on whether and how these processes and timelines should be harmonized.  Should the Commission align the two-day </w:t>
      </w:r>
      <w:r w:rsidRPr="00CC45BA">
        <w:t>time period</w:t>
      </w:r>
      <w:r w:rsidRPr="00CC45BA">
        <w:t xml:space="preserve"> for downstream providers to cease accepting traffic from a provider removed from the Database with the 30-day period that applies to immediately downstream providers after release of a Final Determination Order?  Should we instead align the 30-day period with the two-day period, or otherwise set different periods for these timelines before harmonizing them?  How much time do voice service providers need to implement mandatory blocking under section 64.1200(n)(3) or cease accepting traffic under section 64.6305(g)?  Are the obligations sufficiently </w:t>
      </w:r>
      <w:r w:rsidRPr="00CC45BA">
        <w:t>distinct</w:t>
      </w:r>
      <w:r w:rsidRPr="00CC45BA">
        <w:t xml:space="preserve"> that different timeframes remain warranted?  Should a mandatory blocking order under section 64.1200(n)(3) automatically trigger the RMD removal process for the provider that received the Final Determination Order as well as for the provider(s) that originated the illegal traffic identified in the order, or should Database removal and mandatory blocking orders remain separate actions?  Should the Commission align terminology across the two rules, such as “refuse traffic,” “block traffic,” “cease accepting traffic,” and “identified and substantially similar traffic” to reduce confusion about providers’ obligations?  We also seek comment on whether providers should be permitted to satisfy both rule frameworks through a single compliance process, such as unified investigation, mitigation, blocking, and reporting workflow and how such a process could operate effectively.  Would such harmonization reduce burdens on providers and improve enforcement, or would it risk conflating distinct obligations that address different types of provider misconduct?  We seek comment on these questions.</w:t>
      </w:r>
    </w:p>
    <w:p w:rsidR="005919ED" w:rsidRPr="008F059A" w:rsidP="005919ED" w14:paraId="25A02EE9" w14:textId="77777777">
      <w:pPr>
        <w:pStyle w:val="ParaNum"/>
      </w:pPr>
      <w:r w:rsidRPr="00F540BD">
        <w:t xml:space="preserve">We seek comment on how downstream providers can identify whether a provider whose filing has been removed from the Database is the same entity as, or affiliated with, a provider from which they accept calls.  Should the Commission include OCNs (when available), FRNs, known business names, prior business names, affiliates, principals, or other identifiers in removal orders to assist downstream providers?  Should the Database include a downloadable list of removed providers and associated identifiers?  Should downstream providers be entitled to rely on the Database as the authoritative source, or should they also be required to conduct independent due diligence when they have reason to believe an upstream provider is an alter ego of a removed provider?  How would such obligations interact with KYUP obligations proposed in the </w:t>
      </w:r>
      <w:r w:rsidRPr="00CC45BA">
        <w:rPr>
          <w:i/>
          <w:iCs/>
          <w:kern w:val="0"/>
        </w:rPr>
        <w:t xml:space="preserve">KYUP </w:t>
      </w:r>
      <w:r w:rsidRPr="00CC45BA">
        <w:rPr>
          <w:i/>
          <w:kern w:val="0"/>
        </w:rPr>
        <w:t>FNPRM</w:t>
      </w:r>
      <w:r w:rsidRPr="00F540BD">
        <w:t>?</w:t>
      </w:r>
      <w:r>
        <w:rPr>
          <w:rStyle w:val="FootnoteReference"/>
        </w:rPr>
        <w:footnoteReference w:id="277"/>
      </w:r>
    </w:p>
    <w:p w:rsidR="005919ED" w:rsidRPr="008F059A" w:rsidP="002B2016" w14:paraId="0D3463DC" w14:textId="77777777">
      <w:pPr>
        <w:pStyle w:val="ParaNum"/>
        <w:widowControl/>
      </w:pPr>
      <w:r w:rsidRPr="00F540BD">
        <w:t xml:space="preserve">We propose to clarify that providers’ call refusal obligations apply to all voice calls, including calls that originate outside of the United States using non-NANP resources, and not just calls using NANP resources, to ensure </w:t>
      </w:r>
      <w:r w:rsidRPr="008F059A">
        <w:rPr>
          <w:szCs w:val="22"/>
        </w:rPr>
        <w:t>b</w:t>
      </w:r>
      <w:r w:rsidRPr="00F540BD">
        <w:t>ad actors cannot attempt to evade robocall mitigation rules by using non-NANP numbers, invalid numbers, or other caller ID information.</w:t>
      </w:r>
      <w:r>
        <w:rPr>
          <w:rStyle w:val="FootnoteReference"/>
        </w:rPr>
        <w:footnoteReference w:id="278"/>
      </w:r>
      <w:r w:rsidRPr="00F540BD">
        <w:t xml:space="preserve">  The Commission’s existing rule requiring providers to accept calls from a foreign voice service provider only if it is listed in the Database refers to calls using NANP resources that pertain to the United States in the caller ID field.</w:t>
      </w:r>
      <w:r>
        <w:rPr>
          <w:rStyle w:val="FootnoteReference"/>
        </w:rPr>
        <w:footnoteReference w:id="279"/>
      </w:r>
      <w:r w:rsidRPr="00F540BD">
        <w:t xml:space="preserve">  </w:t>
      </w:r>
      <w:r w:rsidRPr="008F059A">
        <w:rPr>
          <w:szCs w:val="22"/>
        </w:rPr>
        <w:t>We believe that expanding this requirement to require refusal of all voice calls</w:t>
      </w:r>
      <w:r>
        <w:rPr>
          <w:rStyle w:val="FootnoteReference"/>
          <w:szCs w:val="22"/>
        </w:rPr>
        <w:footnoteReference w:id="280"/>
      </w:r>
      <w:r w:rsidRPr="008F059A">
        <w:rPr>
          <w:szCs w:val="22"/>
        </w:rPr>
        <w:t xml:space="preserve"> will better prevent bad actors</w:t>
      </w:r>
      <w:r>
        <w:rPr>
          <w:szCs w:val="22"/>
        </w:rPr>
        <w:t>’</w:t>
      </w:r>
      <w:r w:rsidRPr="008F059A">
        <w:rPr>
          <w:szCs w:val="22"/>
        </w:rPr>
        <w:t xml:space="preserve"> evasive tactics.</w:t>
      </w:r>
      <w:r>
        <w:rPr>
          <w:rStyle w:val="FootnoteReference"/>
          <w:szCs w:val="22"/>
        </w:rPr>
        <w:footnoteReference w:id="281"/>
      </w:r>
      <w:r w:rsidRPr="008F059A">
        <w:rPr>
          <w:szCs w:val="22"/>
        </w:rPr>
        <w:t xml:space="preserve">  </w:t>
      </w:r>
      <w:r w:rsidRPr="00F540BD">
        <w:t>We seek comment on this proposal, including on the extent to which this changes providers’ current practices, on any operational challenges to this requirement, and on any unintended effects for lawful international traffic.</w:t>
      </w:r>
    </w:p>
    <w:p w:rsidR="005919ED" w:rsidRPr="00A55B3E" w:rsidP="00A00D60" w14:paraId="2DE79FC7" w14:textId="77777777">
      <w:pPr>
        <w:pStyle w:val="ParaNum"/>
        <w:widowControl/>
      </w:pPr>
      <w:r w:rsidRPr="00CC45BA">
        <w:t xml:space="preserve">We also seek comment on whether providers should be required or permitted to block text traffic from providers that are not listed in or have been removed from the Database.  The RMD is designed for voice service provider robocall mitigation obligations, but illegal text messages present related consumer protection concerns, and some providers participate in both the voice and text ecosystems.  We believe providers that pose threats to </w:t>
      </w:r>
      <w:r w:rsidRPr="00CC45BA">
        <w:t>consumers</w:t>
      </w:r>
      <w:r w:rsidRPr="00CC45BA">
        <w:t xml:space="preserve"> and the integrity of the voice ecosystem are also likely to pose threats to consumers and the integrity of the text ecosystem.  We seek comment on this view.  What authority would support such action?  What technical, operational, and consumer-impact issues would arise?</w:t>
      </w:r>
    </w:p>
    <w:p w:rsidR="005919ED" w:rsidRPr="00A55B3E" w:rsidP="005919ED" w14:paraId="29E95941" w14:textId="77777777">
      <w:pPr>
        <w:pStyle w:val="ParaNum"/>
      </w:pPr>
      <w:r w:rsidRPr="00CC45BA">
        <w:t xml:space="preserve">Finally, we seek comment on whether we should specify additional consequences that should follow from Database removal, such as notification to the Governance Authority for potential SPC token suspension or revocation, notification to the NANPA for potential review of access to numbering resources, notification to other Commission bureaus or offices regarding licenses or authorizations held by the </w:t>
      </w:r>
      <w:r w:rsidRPr="00CC45BA">
        <w:t>provider, and</w:t>
      </w:r>
      <w:r w:rsidRPr="00CC45BA">
        <w:t xml:space="preserve"> notice to state and federal law enforcement partners.  Should any of these consequences be automatic, or should they require separate review under the rules governing the relevant authorization or credential?  We also seek comment on how to coordinate these processes while preserving appropriate procedural protections.</w:t>
      </w:r>
    </w:p>
    <w:p w:rsidR="005919ED" w:rsidRPr="00A55B3E" w:rsidP="005919ED" w14:paraId="7811E2C9" w14:textId="77777777">
      <w:pPr>
        <w:pStyle w:val="Heading3"/>
      </w:pPr>
      <w:bookmarkStart w:id="115" w:name="_Toc232150163"/>
      <w:bookmarkStart w:id="116" w:name="_Toc232150510"/>
      <w:bookmarkStart w:id="117" w:name="_Toc232604723"/>
      <w:bookmarkStart w:id="118" w:name="_Toc233210675"/>
      <w:bookmarkStart w:id="119" w:name="_Toc233622374"/>
      <w:bookmarkStart w:id="120" w:name="_Toc233709812"/>
      <w:bookmarkStart w:id="121" w:name="_Toc235472520"/>
      <w:bookmarkStart w:id="122" w:name="_Toc235534119"/>
      <w:bookmarkStart w:id="123" w:name="_Toc235536522"/>
      <w:r w:rsidRPr="00A55B3E">
        <w:t>Audits</w:t>
      </w:r>
      <w:bookmarkEnd w:id="115"/>
      <w:bookmarkEnd w:id="116"/>
      <w:bookmarkEnd w:id="117"/>
      <w:bookmarkEnd w:id="118"/>
      <w:bookmarkEnd w:id="119"/>
      <w:bookmarkEnd w:id="120"/>
      <w:bookmarkEnd w:id="121"/>
      <w:bookmarkEnd w:id="122"/>
      <w:bookmarkEnd w:id="123"/>
    </w:p>
    <w:p w:rsidR="005919ED" w:rsidRPr="00A55B3E" w:rsidP="005919ED" w14:paraId="6136207E" w14:textId="77777777">
      <w:pPr>
        <w:pStyle w:val="ParaNum"/>
      </w:pPr>
      <w:r w:rsidRPr="00A55B3E">
        <w:t>The Commission recently asked if it should consider requiring independent audits of provider compliance with both its KYC rules</w:t>
      </w:r>
      <w:r>
        <w:rPr>
          <w:rStyle w:val="FootnoteReference"/>
        </w:rPr>
        <w:footnoteReference w:id="282"/>
      </w:r>
      <w:r w:rsidRPr="00A55B3E">
        <w:t xml:space="preserve"> and KYUP rules.</w:t>
      </w:r>
      <w:r>
        <w:rPr>
          <w:rStyle w:val="FootnoteReference"/>
        </w:rPr>
        <w:footnoteReference w:id="283"/>
      </w:r>
      <w:r w:rsidRPr="00A55B3E">
        <w:t xml:space="preserve">  Should the Commission use audits to assess companies’ compliance with requirements designed to target illegal calls, including </w:t>
      </w:r>
      <w:r w:rsidRPr="00A55B3E">
        <w:t>its</w:t>
      </w:r>
      <w:r w:rsidRPr="00A55B3E">
        <w:t xml:space="preserve"> RMD requirements?  If so, should the Commission, either itself or through a third party, conduct random audits of Database filings, targeted audits of high-risk providers, audits of providers seeking reinstatement, or a combination?  Should providers be required to retain records supporting their Database filings, robocall mitigation plans, KYC and KYUP practices, STIR/SHAKEN implementation certifications, traceback responses, and customer or upstream-provider due diligence?  If so</w:t>
      </w:r>
      <w:r w:rsidRPr="00A55B3E">
        <w:t>, for</w:t>
      </w:r>
      <w:r w:rsidRPr="00A55B3E">
        <w:t xml:space="preserve"> how long?  Should failure to cooperate with and provide fulsome responses to audits constitute a cause for removal and/or other penalties?  We seek comment on the burdens audits would impose, particularly on small providers, and on the benefits of audits in deterring bad actor providers and improving the reliability of the Database.  We also seek comment on amending section 52.15(k) of the Commission’s rules subjecting telecommunications service providers to “for cause” and random audits to “verify carrier compliance with Commission regulations and applicable industry guidelines relating to numbering administration” to expand the scope of audits that may be conducted under that rule to include compliance with the Commission’s RMD requirements and whether such a change would be necessary.</w:t>
      </w:r>
      <w:r>
        <w:rPr>
          <w:rStyle w:val="FootnoteReference"/>
        </w:rPr>
        <w:footnoteReference w:id="284"/>
      </w:r>
      <w:r w:rsidRPr="00A55B3E">
        <w:t xml:space="preserve">  Or, should the Commission consider proposing new audit requirements for purposes of testing provider compliance with all Commission requirements aimed at preventing unlawful calls and robocalls, including the RMD requirements?</w:t>
      </w:r>
    </w:p>
    <w:p w:rsidR="005919ED" w:rsidRPr="00A55B3E" w:rsidP="005919ED" w14:paraId="74897C21" w14:textId="77777777">
      <w:pPr>
        <w:pStyle w:val="Heading3"/>
      </w:pPr>
      <w:bookmarkStart w:id="124" w:name="_Toc232150164"/>
      <w:bookmarkStart w:id="125" w:name="_Toc232150511"/>
      <w:bookmarkStart w:id="126" w:name="_Toc232604724"/>
      <w:bookmarkStart w:id="127" w:name="_Toc233210676"/>
      <w:bookmarkStart w:id="128" w:name="_Toc233622375"/>
      <w:bookmarkStart w:id="129" w:name="_Toc233709813"/>
      <w:bookmarkStart w:id="130" w:name="_Toc235472521"/>
      <w:bookmarkStart w:id="131" w:name="_Toc235534120"/>
      <w:bookmarkStart w:id="132" w:name="_Toc235536523"/>
      <w:r w:rsidRPr="00A55B3E">
        <w:t>Resources for Administration</w:t>
      </w:r>
      <w:bookmarkEnd w:id="124"/>
      <w:bookmarkEnd w:id="125"/>
      <w:bookmarkEnd w:id="126"/>
      <w:bookmarkEnd w:id="127"/>
      <w:bookmarkEnd w:id="128"/>
      <w:bookmarkEnd w:id="129"/>
      <w:bookmarkEnd w:id="130"/>
      <w:bookmarkEnd w:id="131"/>
      <w:bookmarkEnd w:id="132"/>
    </w:p>
    <w:p w:rsidR="005919ED" w:rsidRPr="00A55B3E" w:rsidP="005919ED" w14:paraId="596BEF94" w14:textId="77777777">
      <w:pPr>
        <w:pStyle w:val="ParaNum"/>
      </w:pPr>
      <w:r w:rsidRPr="00A55B3E">
        <w:t>The RMD currently contains over 11,000 filings and continues to grow as new providers enter the voice ecosystem.</w:t>
      </w:r>
      <w:r>
        <w:rPr>
          <w:rStyle w:val="FootnoteReference"/>
        </w:rPr>
        <w:footnoteReference w:id="285"/>
      </w:r>
      <w:r w:rsidRPr="00A55B3E">
        <w:t xml:space="preserve">  In addition, existing filings are continuously updated when providers comply with the requirement to update their filings within 10 business days of any change to the information they must provide.</w:t>
      </w:r>
      <w:r>
        <w:rPr>
          <w:rStyle w:val="FootnoteReference"/>
        </w:rPr>
        <w:footnoteReference w:id="286"/>
      </w:r>
      <w:r w:rsidRPr="00A55B3E">
        <w:t xml:space="preserve">  Each RMD submission must be processed and reviewed by Commission staff to determine if it complies with the requirements of the Commission’s caller ID authentication and robocall mitigation rules, as well as to verify that all existing filers have timely complied with the requirement to recertify their filings annually by March 1.</w:t>
      </w:r>
      <w:r>
        <w:rPr>
          <w:rStyle w:val="FootnoteReference"/>
        </w:rPr>
        <w:footnoteReference w:id="287"/>
      </w:r>
      <w:r w:rsidRPr="00A55B3E">
        <w:t xml:space="preserve">  As the Commission has recognized, this compliance review process requires significant staff resources, including analysts to review each filing, attorneys to perform compliance assessments, and a supervisory attorney to oversee the process and coordinate the referral of any </w:t>
      </w:r>
      <w:r>
        <w:t>non-compliance and fraudulent</w:t>
      </w:r>
      <w:r w:rsidRPr="00A55B3E">
        <w:t xml:space="preserve"> filings to the Enforcement Bureau.</w:t>
      </w:r>
      <w:r>
        <w:rPr>
          <w:rStyle w:val="FootnoteReference"/>
        </w:rPr>
        <w:footnoteReference w:id="288"/>
      </w:r>
      <w:r w:rsidRPr="00A55B3E">
        <w:t xml:space="preserve">  Enforcement actions also require significant staff resources.</w:t>
      </w:r>
    </w:p>
    <w:p w:rsidR="005919ED" w:rsidRPr="00A55B3E" w:rsidP="002B2016" w14:paraId="1CD2E8B2" w14:textId="77777777">
      <w:pPr>
        <w:pStyle w:val="ParaNum"/>
        <w:widowControl/>
      </w:pPr>
      <w:r w:rsidRPr="00A55B3E">
        <w:t>The Commission has adopted several measures to support the continued administration and integrity of the Database.  Specifically, the Commission established a $100 application processing fee for initial Database filings and annual recertifications and applied the Commission’s red-light rule to RMD filings.</w:t>
      </w:r>
      <w:r>
        <w:rPr>
          <w:rStyle w:val="FootnoteReference"/>
        </w:rPr>
        <w:footnoteReference w:id="289"/>
      </w:r>
      <w:r w:rsidRPr="00A55B3E">
        <w:t xml:space="preserve">  The Commission has also implemented multi-factor authentication for accessing the Database, has established a dedicated email address that stakeholders can use to report deficient RMD filings to the Commission, and has released guidance and filer education in the form of a “Frequently Asked Questions” document to assist filers with their RMD compliance obligations.</w:t>
      </w:r>
      <w:r>
        <w:rPr>
          <w:rStyle w:val="FootnoteReference"/>
        </w:rPr>
        <w:footnoteReference w:id="290"/>
      </w:r>
      <w:r w:rsidRPr="00A55B3E">
        <w:t xml:space="preserve">  At the Commission’s direction and pursuant to its delegated authority, Bureau staff coordinates the development, testing, implementation, and maintenance of various technical and administrative aspects of the RMD system and submission portal.</w:t>
      </w:r>
      <w:r>
        <w:rPr>
          <w:rStyle w:val="FootnoteReference"/>
        </w:rPr>
        <w:footnoteReference w:id="291"/>
      </w:r>
      <w:r w:rsidRPr="00A55B3E">
        <w:t xml:space="preserve">  Staff also monitors the email inboxes established for general questions,</w:t>
      </w:r>
      <w:r>
        <w:rPr>
          <w:rStyle w:val="FootnoteReference"/>
        </w:rPr>
        <w:footnoteReference w:id="292"/>
      </w:r>
      <w:r w:rsidRPr="00A55B3E">
        <w:t xml:space="preserve"> outreach and compliance,</w:t>
      </w:r>
      <w:r>
        <w:rPr>
          <w:rStyle w:val="FootnoteReference"/>
        </w:rPr>
        <w:footnoteReference w:id="293"/>
      </w:r>
      <w:r w:rsidRPr="00A55B3E">
        <w:t xml:space="preserve"> and reports of deficient filings,</w:t>
      </w:r>
      <w:r>
        <w:rPr>
          <w:rStyle w:val="FootnoteReference"/>
        </w:rPr>
        <w:footnoteReference w:id="294"/>
      </w:r>
      <w:r w:rsidRPr="00A55B3E">
        <w:t xml:space="preserve"> and responds as appropriate to inquiries from users and stakeholders.</w:t>
      </w:r>
    </w:p>
    <w:p w:rsidR="005919ED" w:rsidRPr="00A55B3E" w:rsidP="005919ED" w14:paraId="6235A5AA" w14:textId="77777777">
      <w:pPr>
        <w:pStyle w:val="ParaNum"/>
      </w:pPr>
      <w:r w:rsidRPr="00F540BD">
        <w:t>The proposals and inquiries in this Further Notice may require additional technical tools, staff review, coordination among Commission bureaus and offices, information-sharing mechanisms, and provider outreach.  We seek comment on measures the Commission can implement to effectively administer the RMD, including resources and mechanisms that may support the costs and requirements of such administration.</w:t>
      </w:r>
      <w:r>
        <w:rPr>
          <w:rStyle w:val="FootnoteReference"/>
          <w:kern w:val="0"/>
        </w:rPr>
        <w:footnoteReference w:id="295"/>
      </w:r>
      <w:r w:rsidRPr="00F540BD">
        <w:t xml:space="preserve">  In a recent </w:t>
      </w:r>
      <w:r w:rsidRPr="00473769">
        <w:rPr>
          <w:i/>
          <w:kern w:val="0"/>
        </w:rPr>
        <w:t>NPRM</w:t>
      </w:r>
      <w:r w:rsidRPr="00F540BD">
        <w:t xml:space="preserve"> that aimed to take the profit out of unlawful calls originating from outside of the United States, the Commission sought comment on bond- or fee-based approaches to deter bad actors, and referenced the House version of the Foreign Robocall Elimination Act bill which would require certain providers to post a bond or fee to file in the RMD.</w:t>
      </w:r>
      <w:r>
        <w:rPr>
          <w:rStyle w:val="FootnoteReference"/>
          <w:kern w:val="0"/>
        </w:rPr>
        <w:footnoteReference w:id="296"/>
      </w:r>
      <w:r w:rsidRPr="00F540BD">
        <w:t xml:space="preserve">  Should the Commission adopt a bond-based or similar approach, we seek comment on whether the Commission has statutory authority to retain such monies, and how collected fees or bonds could best be expended on the Commission’s robocalls-related administrative functions, including resources for administering the RMD.  We also seek </w:t>
      </w:r>
      <w:r w:rsidRPr="00F540BD">
        <w:t>comment</w:t>
      </w:r>
      <w:r w:rsidRPr="00F540BD">
        <w:t xml:space="preserve"> on whether we have authority to establish or designate an RMD Administrator, either within the FCC or externally, to perform certain administrative functions under Commission oversight,</w:t>
      </w:r>
      <w:r>
        <w:rPr>
          <w:rStyle w:val="FootnoteReference"/>
          <w:kern w:val="0"/>
        </w:rPr>
        <w:footnoteReference w:id="297"/>
      </w:r>
      <w:r w:rsidRPr="00F540BD">
        <w:t xml:space="preserve"> and on the virtues and shortcomings of doing so.</w:t>
      </w:r>
    </w:p>
    <w:p w:rsidR="005919ED" w:rsidRPr="00A55B3E" w:rsidP="00770912" w14:paraId="3F216305" w14:textId="77777777">
      <w:pPr>
        <w:pStyle w:val="Heading2"/>
      </w:pPr>
      <w:bookmarkStart w:id="133" w:name="_Toc232150165"/>
      <w:bookmarkStart w:id="134" w:name="_Toc232150512"/>
      <w:bookmarkStart w:id="135" w:name="_Toc232604725"/>
      <w:bookmarkStart w:id="136" w:name="_Toc233210677"/>
      <w:bookmarkStart w:id="137" w:name="_Toc233622376"/>
      <w:bookmarkStart w:id="138" w:name="_Toc233709814"/>
      <w:bookmarkStart w:id="139" w:name="_Toc235472522"/>
      <w:bookmarkStart w:id="140" w:name="_Toc235534121"/>
      <w:bookmarkStart w:id="141" w:name="_Toc235536524"/>
      <w:r w:rsidRPr="00A55B3E">
        <w:t>Other Considerations</w:t>
      </w:r>
      <w:bookmarkEnd w:id="133"/>
      <w:bookmarkEnd w:id="134"/>
      <w:bookmarkEnd w:id="135"/>
      <w:bookmarkEnd w:id="136"/>
      <w:bookmarkEnd w:id="137"/>
      <w:bookmarkEnd w:id="138"/>
      <w:bookmarkEnd w:id="139"/>
      <w:bookmarkEnd w:id="140"/>
      <w:bookmarkEnd w:id="141"/>
    </w:p>
    <w:p w:rsidR="005919ED" w:rsidRPr="00A55B3E" w:rsidP="005919ED" w14:paraId="7EE07EBE" w14:textId="77777777">
      <w:pPr>
        <w:pStyle w:val="Heading3"/>
      </w:pPr>
      <w:bookmarkStart w:id="142" w:name="_Toc232150166"/>
      <w:bookmarkStart w:id="143" w:name="_Toc232150513"/>
      <w:bookmarkStart w:id="144" w:name="_Toc232604726"/>
      <w:bookmarkStart w:id="145" w:name="_Toc233210678"/>
      <w:bookmarkStart w:id="146" w:name="_Toc233622377"/>
      <w:bookmarkStart w:id="147" w:name="_Toc233709815"/>
      <w:bookmarkStart w:id="148" w:name="_Toc235472523"/>
      <w:bookmarkStart w:id="149" w:name="_Toc235534122"/>
      <w:bookmarkStart w:id="150" w:name="_Toc235536525"/>
      <w:r w:rsidRPr="00A55B3E">
        <w:t>Further Streamline and Clarify the RMD Rules</w:t>
      </w:r>
      <w:bookmarkEnd w:id="142"/>
      <w:bookmarkEnd w:id="143"/>
      <w:bookmarkEnd w:id="144"/>
      <w:bookmarkEnd w:id="145"/>
      <w:bookmarkEnd w:id="146"/>
      <w:bookmarkEnd w:id="147"/>
      <w:bookmarkEnd w:id="148"/>
      <w:bookmarkEnd w:id="149"/>
      <w:bookmarkEnd w:id="150"/>
      <w:r w:rsidRPr="00A55B3E">
        <w:t xml:space="preserve"> </w:t>
      </w:r>
    </w:p>
    <w:p w:rsidR="005919ED" w:rsidRPr="00A55B3E" w:rsidP="005919ED" w14:paraId="056B4D9E" w14:textId="77777777">
      <w:pPr>
        <w:pStyle w:val="ParaNum"/>
      </w:pPr>
      <w:r w:rsidRPr="00F540BD">
        <w:t xml:space="preserve">In this section, we propose and seek </w:t>
      </w:r>
      <w:r w:rsidRPr="00F540BD">
        <w:t>comment</w:t>
      </w:r>
      <w:r w:rsidRPr="00F540BD">
        <w:t xml:space="preserve"> on additional amendments to streamline and clarify the Commission’s RMD rules.  In the </w:t>
      </w:r>
      <w:r w:rsidRPr="00CC45BA">
        <w:rPr>
          <w:i/>
          <w:iCs/>
          <w:kern w:val="0"/>
        </w:rPr>
        <w:t xml:space="preserve">KYUP </w:t>
      </w:r>
      <w:r w:rsidRPr="00CC45BA">
        <w:rPr>
          <w:i/>
          <w:kern w:val="0"/>
        </w:rPr>
        <w:t>FNPRM</w:t>
      </w:r>
      <w:r w:rsidRPr="00F540BD">
        <w:t>, we proposed a comprehensive review of our caller ID authentication rules to remove unnecessary redundancy, ensure consistency, and increase clarity for providers.</w:t>
      </w:r>
      <w:r>
        <w:rPr>
          <w:rStyle w:val="FootnoteReference"/>
        </w:rPr>
        <w:footnoteReference w:id="298"/>
      </w:r>
      <w:r w:rsidRPr="00F540BD">
        <w:t xml:space="preserve">  The proposed changes would already result in significant streamlining of the RMD rules, and as stated above, those proposed streamlined rules were the starting point for our proposed rule revisions here.  We propose to further revise our RMD rules without changing providers’ existing obligations (except as proposed above) to ensure that section 64.6305 uses consistent terminology, accurately reflects the full scope of the information providers must submit and maintain in the Database, and aligns with related robocall mitigation, KYC, and KYUP obligations in section 64.1200.  We also propose the following specific revisions.</w:t>
      </w:r>
    </w:p>
    <w:p w:rsidR="005919ED" w:rsidRPr="001B41E9" w:rsidP="005919ED" w14:paraId="008D4CFE" w14:textId="77777777">
      <w:pPr>
        <w:pStyle w:val="ParaNum"/>
      </w:pPr>
      <w:r w:rsidRPr="00CC45BA">
        <w:t xml:space="preserve">First, we propose to revise section 64.6305 to use the term “filing,” as in “Robocall Mitigation Database filing” or “Database filing,” when referring to the full submission a provider must make and maintain in the Database, including its certifications, robocall mitigation information, business identifying information, provider type and service information, and robocall mitigation plan.  The current rules often use “certification” to refer to the broader Database submission, even though the required filing includes information and documents beyond the provider’s certifications.  We believe using “filing” to refer to the overall submission and “certification” only when referring to a specific certification will make the rules easier to understand and administer.  We seek </w:t>
      </w:r>
      <w:r w:rsidRPr="00CC45BA">
        <w:t>comment</w:t>
      </w:r>
      <w:r w:rsidRPr="00CC45BA">
        <w:t xml:space="preserve"> on this proposal.  Would this terminology better reflect how providers interact with the Database?  Are there provisions </w:t>
      </w:r>
      <w:r w:rsidRPr="00CC45BA">
        <w:t>where</w:t>
      </w:r>
      <w:r w:rsidRPr="00CC45BA">
        <w:t xml:space="preserve"> retaining the term “certification” would avoid confusion?  Should we instead use “submission” or another term?</w:t>
      </w:r>
    </w:p>
    <w:p w:rsidR="005919ED" w:rsidRPr="001B41E9" w:rsidP="005919ED" w14:paraId="47CF4E4A" w14:textId="77777777">
      <w:pPr>
        <w:pStyle w:val="ParaNum"/>
        <w:rPr>
          <w:bCs/>
        </w:rPr>
      </w:pPr>
      <w:r w:rsidRPr="001B41E9">
        <w:rPr>
          <w:bCs/>
        </w:rPr>
        <w:t>Second, we propose to amend the terminology in section 64.6305 to refer to “illegal calls” rather than only “illegal robocalls” or “illegal robocall traffic.”  Above, we propose to amend the rule obligating providers to implement a mitigation program to require that such programs are designed to mitigate all illegal calls, and not just robocalls.</w:t>
      </w:r>
      <w:r>
        <w:rPr>
          <w:rStyle w:val="FootnoteReference"/>
          <w:bCs/>
        </w:rPr>
        <w:footnoteReference w:id="299"/>
      </w:r>
      <w:r w:rsidRPr="001B41E9">
        <w:rPr>
          <w:bCs/>
        </w:rPr>
        <w:t xml:space="preserve">  For the detailed reasons we provided there, we believe all our RMD rules should be targeted toward all illegal calls, and therefore propose to change all references to “robocalls” to “calls,” except when referring to the Robocall Mitigation Database, robocall mitigation program, and robocall mitigation plan, where the word “robocall” would take on the colloquial use.  Relatedly, we propose to amend the term “illegal robocall traffic” to “illegal calls,” to align with other rules and proposals that focus on the illegality of each call.</w:t>
      </w:r>
      <w:r>
        <w:rPr>
          <w:rStyle w:val="FootnoteReference"/>
          <w:bCs/>
        </w:rPr>
        <w:footnoteReference w:id="300"/>
      </w:r>
      <w:r w:rsidRPr="001B41E9">
        <w:rPr>
          <w:bCs/>
        </w:rPr>
        <w:t xml:space="preserve">  Should we define the term “illegal calls,” and if so, how? </w:t>
      </w:r>
    </w:p>
    <w:p w:rsidR="005919ED" w:rsidRPr="00B038AA" w:rsidP="005919ED" w14:paraId="76FB588E" w14:textId="77777777">
      <w:pPr>
        <w:pStyle w:val="ParaNum"/>
      </w:pPr>
      <w:r w:rsidRPr="001B41E9">
        <w:t>Third, we propose to codify the existing requirement that providers with a STIR/SHAKEN implementation obligation a</w:t>
      </w:r>
      <w:r w:rsidRPr="00A55B3E">
        <w:t>re prohibited from certifying to complete or partial implementation in the RMD unless they have obtained an SPC token and digital certificate and sign calls with their certificate, either themselves or when working with a third party to perform the technological act of signing calls.</w:t>
      </w:r>
      <w:r>
        <w:rPr>
          <w:rStyle w:val="FootnoteReference"/>
        </w:rPr>
        <w:footnoteReference w:id="301"/>
      </w:r>
      <w:r w:rsidRPr="00A55B3E">
        <w:t xml:space="preserve">  We believe that codifying this requirement is necessary to </w:t>
      </w:r>
      <w:r>
        <w:t xml:space="preserve">clarify and </w:t>
      </w:r>
      <w:r w:rsidRPr="00A55B3E">
        <w:t xml:space="preserve">ensure compliance with providers’ filing obligations. </w:t>
      </w:r>
    </w:p>
    <w:p w:rsidR="005919ED" w:rsidRPr="00A55B3E" w:rsidP="005919ED" w14:paraId="23812591" w14:textId="77777777">
      <w:pPr>
        <w:pStyle w:val="ParaNum"/>
      </w:pPr>
      <w:r w:rsidRPr="00CC45BA">
        <w:t xml:space="preserve">Finally, we seek comment on any additional </w:t>
      </w:r>
      <w:r w:rsidRPr="00CC45BA">
        <w:t>conforming</w:t>
      </w:r>
      <w:r w:rsidRPr="00CC45BA">
        <w:t>, clarifying, or streamlining amendments to section 64.6305 that would improve readability and administrability without altering providers’ substantive obligations, except as otherwise proposed in above.</w:t>
      </w:r>
    </w:p>
    <w:p w:rsidR="005919ED" w:rsidRPr="00A55B3E" w:rsidP="005919ED" w14:paraId="2C8AE765" w14:textId="77777777">
      <w:pPr>
        <w:pStyle w:val="Heading3"/>
      </w:pPr>
      <w:bookmarkStart w:id="151" w:name="_Toc226610726"/>
      <w:bookmarkStart w:id="152" w:name="_Toc226957270"/>
      <w:bookmarkStart w:id="153" w:name="_Toc227136221"/>
      <w:bookmarkStart w:id="154" w:name="_Toc227827188"/>
      <w:bookmarkStart w:id="155" w:name="_Toc228202613"/>
      <w:bookmarkStart w:id="156" w:name="_Toc230011386"/>
      <w:bookmarkStart w:id="157" w:name="_Toc232150167"/>
      <w:bookmarkStart w:id="158" w:name="_Toc232150514"/>
      <w:bookmarkStart w:id="159" w:name="_Toc232604727"/>
      <w:bookmarkStart w:id="160" w:name="_Toc233210679"/>
      <w:bookmarkStart w:id="161" w:name="_Toc233622378"/>
      <w:bookmarkStart w:id="162" w:name="_Toc233709816"/>
      <w:bookmarkStart w:id="163" w:name="_Toc235472524"/>
      <w:bookmarkStart w:id="164" w:name="_Toc235534123"/>
      <w:bookmarkStart w:id="165" w:name="_Toc235536526"/>
      <w:r w:rsidRPr="00A55B3E">
        <w:t>Effective Date</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p>
    <w:p w:rsidR="005919ED" w:rsidRPr="00A55B3E" w:rsidP="005919ED" w14:paraId="67DBDE9D" w14:textId="77777777">
      <w:pPr>
        <w:pStyle w:val="ParaNum"/>
      </w:pPr>
      <w:r w:rsidRPr="00A55B3E">
        <w:t>We propose that the proposed rules become effective as follows:</w:t>
      </w:r>
    </w:p>
    <w:p w:rsidR="005919ED" w:rsidRPr="00A55B3E" w:rsidP="005919ED" w14:paraId="78F80D77" w14:textId="77777777">
      <w:pPr>
        <w:pStyle w:val="ParaNum"/>
        <w:numPr>
          <w:ilvl w:val="0"/>
          <w:numId w:val="17"/>
        </w:numPr>
      </w:pPr>
      <w:r w:rsidRPr="00A55B3E">
        <w:t>The proposed rules in Section III.A.1 would become effective the later of 6 months after Federal Register publication of a Report and Order adopting the rules or 30 days after publication in the Federal Register of notice of approval by the Office of Management and Budget (OMB) for rules that contain new or modified information collections subject to review under the Paperwork Reduction Act (PRA);</w:t>
      </w:r>
    </w:p>
    <w:p w:rsidR="005919ED" w:rsidRPr="00A55B3E" w:rsidP="005919ED" w14:paraId="5F2985AA" w14:textId="77777777">
      <w:pPr>
        <w:pStyle w:val="ParaNum"/>
        <w:numPr>
          <w:ilvl w:val="0"/>
          <w:numId w:val="17"/>
        </w:numPr>
      </w:pPr>
      <w:r w:rsidRPr="00A55B3E">
        <w:t xml:space="preserve">The proposed rules in Sections III.A.2 and III.A.3 would become effective under the following conditions:  (1) a Report and Order adopting the rules is published in the </w:t>
      </w:r>
      <w:r w:rsidRPr="00B66597">
        <w:t>Federal Register</w:t>
      </w:r>
      <w:r w:rsidRPr="00A55B3E">
        <w:t>; (2) publication in the Federal Register of notice of approval by OMB of rules that contain new or modified information collections subject to review under the PRA; (3) the FCC’s information technology systems and internal procedures have been updated to implement the rules; and (4) the Bureau publishes notice(s) in the Federal Register announcing that providers must comply with the rules when completing the next annual recertification; and</w:t>
      </w:r>
    </w:p>
    <w:p w:rsidR="005919ED" w:rsidRPr="00A55B3E" w:rsidP="005919ED" w14:paraId="56F9B947" w14:textId="77777777">
      <w:pPr>
        <w:pStyle w:val="ParaNum"/>
        <w:numPr>
          <w:ilvl w:val="0"/>
          <w:numId w:val="17"/>
        </w:numPr>
      </w:pPr>
      <w:r w:rsidRPr="00A55B3E">
        <w:t>The proposed rules in Sections III.B and III.C would become effective the later of 30 days after Federal Register publication of a Report and Order adopting the rules or 30 days after publication in the Federal Register of notice of approval by OMB for rules that contain new or modified information collections subject to review under the PRA.</w:t>
      </w:r>
    </w:p>
    <w:p w:rsidR="005919ED" w:rsidRPr="00A55B3E" w:rsidP="005919ED" w14:paraId="4545AF8F" w14:textId="77777777">
      <w:pPr>
        <w:pStyle w:val="ParaNum"/>
        <w:numPr>
          <w:ilvl w:val="0"/>
          <w:numId w:val="0"/>
        </w:numPr>
      </w:pPr>
      <w:r w:rsidRPr="00A55B3E">
        <w:t xml:space="preserve">We seek </w:t>
      </w:r>
      <w:r w:rsidRPr="00A55B3E">
        <w:t>comment</w:t>
      </w:r>
      <w:r w:rsidRPr="00A55B3E">
        <w:t xml:space="preserve"> on these proposals.</w:t>
      </w:r>
    </w:p>
    <w:p w:rsidR="005919ED" w:rsidRPr="00A55B3E" w:rsidP="00770912" w14:paraId="1D6CE7D4" w14:textId="77777777">
      <w:pPr>
        <w:pStyle w:val="Heading2"/>
      </w:pPr>
      <w:bookmarkStart w:id="166" w:name="_Toc148563371"/>
      <w:bookmarkStart w:id="167" w:name="_Toc148598518"/>
      <w:bookmarkStart w:id="168" w:name="_Toc232150168"/>
      <w:bookmarkStart w:id="169" w:name="_Toc232150515"/>
      <w:bookmarkStart w:id="170" w:name="_Toc232604728"/>
      <w:bookmarkStart w:id="171" w:name="_Toc233210680"/>
      <w:bookmarkStart w:id="172" w:name="_Toc233622379"/>
      <w:bookmarkStart w:id="173" w:name="_Toc233709817"/>
      <w:bookmarkStart w:id="174" w:name="_Toc235472525"/>
      <w:bookmarkStart w:id="175" w:name="_Toc235534124"/>
      <w:bookmarkStart w:id="176" w:name="_Toc235536527"/>
      <w:r w:rsidRPr="00A55B3E">
        <w:t>Legal Authority</w:t>
      </w:r>
      <w:bookmarkEnd w:id="166"/>
      <w:bookmarkEnd w:id="167"/>
      <w:bookmarkEnd w:id="168"/>
      <w:bookmarkEnd w:id="169"/>
      <w:bookmarkEnd w:id="170"/>
      <w:bookmarkEnd w:id="171"/>
      <w:bookmarkEnd w:id="172"/>
      <w:bookmarkEnd w:id="173"/>
      <w:bookmarkEnd w:id="174"/>
      <w:bookmarkEnd w:id="175"/>
      <w:bookmarkEnd w:id="176"/>
    </w:p>
    <w:p w:rsidR="005919ED" w:rsidRPr="00A55B3E" w:rsidP="003B69F8" w14:paraId="7606728D" w14:textId="77777777">
      <w:pPr>
        <w:pStyle w:val="ParaNum"/>
        <w:widowControl/>
      </w:pPr>
      <w:r w:rsidRPr="00A55B3E">
        <w:t>We propose to adopt the foregoing proposals pursuant to the same sources of authority we have relied upon in our previous RMD, caller ID authentication, and call blocking orders.</w:t>
      </w:r>
      <w:r>
        <w:rPr>
          <w:rStyle w:val="FootnoteReference"/>
          <w:bCs/>
        </w:rPr>
        <w:footnoteReference w:id="302"/>
      </w:r>
      <w:r w:rsidRPr="00A55B3E">
        <w:t xml:space="preserve">  Specifically, we propose to rely on sections 201(b) and 202(a), which provide the Commission broad authority to adopt rules governing the just and reasonable practices of common carriers, as the basis for our proposed requirements with respect to common carriers.</w:t>
      </w:r>
      <w:r>
        <w:rPr>
          <w:rStyle w:val="FootnoteReference"/>
        </w:rPr>
        <w:footnoteReference w:id="303"/>
      </w:r>
      <w:r w:rsidRPr="00A55B3E">
        <w:t xml:space="preserve">  We believe that section 251(e)(1) of the Act, which grants us “exclusive jurisdiction over those portions of the North American Numbering Plan that pertain to the United States,” also provides us with authority to adopt additional RMD requirements to prevent the fraudulent abuse of NANP resources.</w:t>
      </w:r>
      <w:r>
        <w:rPr>
          <w:rStyle w:val="FootnoteReference"/>
        </w:rPr>
        <w:footnoteReference w:id="304"/>
      </w:r>
      <w:r w:rsidRPr="00A55B3E">
        <w:t xml:space="preserve">  The Commission has found that our section 251(e) authority provided the basis for permissive blocking of invalid, unallocated, or unused numbers to protect users from spoofing.</w:t>
      </w:r>
      <w:r>
        <w:rPr>
          <w:rStyle w:val="FootnoteReference"/>
          <w:bCs/>
        </w:rPr>
        <w:footnoteReference w:id="305"/>
      </w:r>
      <w:r w:rsidRPr="00A55B3E">
        <w:t xml:space="preserve">  Similarly, the Commission has found that “the Truth in Caller ID Act grants us authority to prescribe rules to make unlawful the spoofing of caller ID information with the intent to defraud, cause harm, or wrongfully obtain something of value.”</w:t>
      </w:r>
      <w:r>
        <w:rPr>
          <w:rStyle w:val="FootnoteReference"/>
        </w:rPr>
        <w:footnoteReference w:id="306"/>
      </w:r>
      <w:r w:rsidRPr="00A55B3E">
        <w:t xml:space="preserve">  Section 251(e) and the Truth in Caller ID Act, taken together, grant us authority to prescribe rules to prevent the unlawful spoofing of caller ID and abuse of NANP resources by all voice service providers, and the proposed RMD requirements would take a further positive step toward stopping such illegal calling.  In addition, the Commission has relied on section 251(e) and the Truth in Caller ID Act to prohibit certain providers from accepting traffic from entities that are not listed in the RMD.</w:t>
      </w:r>
      <w:r>
        <w:rPr>
          <w:rStyle w:val="FootnoteReference"/>
        </w:rPr>
        <w:footnoteReference w:id="307"/>
      </w:r>
      <w:r w:rsidRPr="00A55B3E">
        <w:t xml:space="preserve">  The Commission has also relied on section 4 of the TRACED Act in adopting robocall mitigation duties for voice services providers, and we intend to also rely on that authority.</w:t>
      </w:r>
      <w:r>
        <w:rPr>
          <w:rStyle w:val="FootnoteReference"/>
        </w:rPr>
        <w:footnoteReference w:id="308"/>
      </w:r>
      <w:r w:rsidRPr="00A55B3E">
        <w:t xml:space="preserve">  We also believe that our proposed RMD mitigation and certification requirements will help protect consumers from unwanted calls and invite comment on our authority under section 7 of the TRACED Act, which directed the Commission to “initiate a rule-making to help protect a subscriber from receiving unwanted calls or text messages from a caller using an unauthenticated number.”</w:t>
      </w:r>
      <w:r>
        <w:rPr>
          <w:rStyle w:val="FootnoteReference"/>
          <w:bCs/>
        </w:rPr>
        <w:footnoteReference w:id="309"/>
      </w:r>
      <w:r w:rsidRPr="00A55B3E">
        <w:t xml:space="preserve">  We seek comment on these proposals and on additional sources of legal authority for any new or amended rules discussed above. </w:t>
      </w:r>
    </w:p>
    <w:p w:rsidR="005919ED" w:rsidRPr="00A55B3E" w:rsidP="005919ED" w14:paraId="70657073" w14:textId="77777777">
      <w:pPr>
        <w:pStyle w:val="ParaNum"/>
        <w:rPr>
          <w:szCs w:val="22"/>
        </w:rPr>
      </w:pPr>
      <w:r w:rsidRPr="00A55B3E">
        <w:rPr>
          <w:szCs w:val="22"/>
        </w:rPr>
        <w:t xml:space="preserve">We propose to rely on sections </w:t>
      </w:r>
      <w:r w:rsidRPr="00A55B3E">
        <w:t xml:space="preserve">201(b) and 202(a), the Truth in Caller ID Act, and the TRACED Act </w:t>
      </w:r>
      <w:r w:rsidRPr="00A55B3E">
        <w:rPr>
          <w:szCs w:val="22"/>
        </w:rPr>
        <w:t xml:space="preserve">for ensuring that our proposed robocall mitigation rules apply to all illegal calls, including calls originating outside of the United States using non-NANP resources, and not just calls using NANP resources.  Sections </w:t>
      </w:r>
      <w:r w:rsidRPr="00A55B3E">
        <w:t xml:space="preserve">201(b) and 202(a) apply to all common carriers </w:t>
      </w:r>
      <w:r>
        <w:t>and</w:t>
      </w:r>
      <w:r w:rsidRPr="00A55B3E">
        <w:t xml:space="preserve"> are not limited to calls using NANP resources.  We believe the Truth in Caller ID Act would apply to any calls that involve misleading or inaccurate caller identification information, and not just such caller identification information using NANP resources because the statute, as amended, applies not just to “any person within the United States” but also to “any person outside the United States if the recipient is within the United States.”</w:t>
      </w:r>
      <w:r>
        <w:rPr>
          <w:rStyle w:val="FootnoteReference"/>
        </w:rPr>
        <w:footnoteReference w:id="310"/>
      </w:r>
      <w:r w:rsidRPr="00A55B3E">
        <w:t xml:space="preserve">  We </w:t>
      </w:r>
      <w:r w:rsidRPr="00A55B3E">
        <w:rPr>
          <w:bCs/>
        </w:rPr>
        <w:t>seek comment on this proposal.</w:t>
      </w:r>
      <w:r w:rsidRPr="00A55B3E">
        <w:t xml:space="preserve">  We also seek comment on whether Section 4 of the TRACED Act may provide authority to impose requirements on providers to address all illegal calls.</w:t>
      </w:r>
      <w:r>
        <w:rPr>
          <w:rStyle w:val="FootnoteReference"/>
        </w:rPr>
        <w:footnoteReference w:id="311"/>
      </w:r>
      <w:r w:rsidRPr="00A55B3E">
        <w:t xml:space="preserve">  In particular, we seek comment on whether the </w:t>
      </w:r>
      <w:r w:rsidRPr="00A55B3E">
        <w:rPr>
          <w:szCs w:val="22"/>
        </w:rPr>
        <w:t>definition of “voice service” in the TRACED Act, which specifies that it is a service that uses NANP resources,</w:t>
      </w:r>
      <w:r>
        <w:rPr>
          <w:rStyle w:val="FootnoteReference"/>
          <w:szCs w:val="22"/>
        </w:rPr>
        <w:footnoteReference w:id="312"/>
      </w:r>
      <w:r w:rsidRPr="00A55B3E">
        <w:rPr>
          <w:szCs w:val="22"/>
        </w:rPr>
        <w:t xml:space="preserve"> is jurisdictional, limiting the providers to which we may apply requirements to only those that provide services using NANP resources but not limiting the requirements we may impose to only calls that use NANP resources in the caller ID field.</w:t>
      </w:r>
    </w:p>
    <w:p w:rsidR="005919ED" w:rsidRPr="00A55B3E" w:rsidP="003B69F8" w14:paraId="7E97D4E6" w14:textId="77777777">
      <w:pPr>
        <w:pStyle w:val="ParaNum"/>
        <w:widowControl/>
        <w:rPr>
          <w:bCs/>
        </w:rPr>
      </w:pPr>
      <w:r w:rsidRPr="00A55B3E">
        <w:rPr>
          <w:bCs/>
          <w:i/>
          <w:iCs/>
        </w:rPr>
        <w:t xml:space="preserve">Ancillary authority.  </w:t>
      </w:r>
      <w:r w:rsidRPr="00A55B3E">
        <w:rPr>
          <w:bCs/>
        </w:rPr>
        <w:t>We propose to rely on our ancillary authority under section 4(i) of the Act to the extent necessary to support our RMD-related proposals, particularly as they apply to voice service providers that have not been classified as common carriers.</w:t>
      </w:r>
      <w:r>
        <w:rPr>
          <w:rStyle w:val="FootnoteReference"/>
          <w:bCs/>
        </w:rPr>
        <w:footnoteReference w:id="313"/>
      </w:r>
      <w:r w:rsidRPr="00A55B3E">
        <w:rPr>
          <w:bCs/>
        </w:rPr>
        <w:t xml:space="preserve">  Although we believe our direct statutory authorities provide substantial support of the rules we propose, we have, in prior rulemakings addressing illegal calls, also relied on section 4(i) as an independent basis for adopting requirements applicable to all voice service providers.  We seek comment on this approach.  The Commission has previously relied on section 4(i) to extend KYC, KYUP, call-blocking, and mitigation related obligations to non-common-carrier providers, explaining that applying these requirements uniformly is essential to the effectiveness of our robocall mitigation framework.</w:t>
      </w:r>
      <w:r>
        <w:rPr>
          <w:rStyle w:val="FootnoteReference"/>
          <w:bCs/>
        </w:rPr>
        <w:footnoteReference w:id="314"/>
      </w:r>
      <w:r w:rsidRPr="00A55B3E">
        <w:rPr>
          <w:bCs/>
        </w:rPr>
        <w:t xml:space="preserve">  We likewise believe that the RMD-related obligations proposed here are “reasonably ancillary to the Commission’s effective performance of its .</w:t>
      </w:r>
      <w:r>
        <w:rPr>
          <w:bCs/>
        </w:rPr>
        <w:t> </w:t>
      </w:r>
      <w:r w:rsidRPr="00A55B3E">
        <w:rPr>
          <w:bCs/>
        </w:rPr>
        <w:t>.</w:t>
      </w:r>
      <w:r>
        <w:rPr>
          <w:bCs/>
        </w:rPr>
        <w:t> </w:t>
      </w:r>
      <w:r w:rsidRPr="00A55B3E">
        <w:rPr>
          <w:bCs/>
        </w:rPr>
        <w:t>. responsibilities.”</w:t>
      </w:r>
      <w:r>
        <w:rPr>
          <w:rStyle w:val="FootnoteReference"/>
          <w:bCs/>
        </w:rPr>
        <w:footnoteReference w:id="315"/>
      </w:r>
      <w:r w:rsidRPr="00A55B3E">
        <w:rPr>
          <w:bCs/>
        </w:rPr>
        <w:t xml:space="preserve">  The Commission may exercise ancillary authority when two conditions are met:  (1) the subject of regulation falls with the Commission’s general jurisdictional grant under Title I, and (2) the regulations are reasonably ancillary to the Commission’s statutorily mandated responsibilities.</w:t>
      </w:r>
      <w:r>
        <w:rPr>
          <w:rStyle w:val="FootnoteReference"/>
          <w:bCs/>
        </w:rPr>
        <w:footnoteReference w:id="316"/>
      </w:r>
      <w:r w:rsidRPr="00A55B3E">
        <w:rPr>
          <w:bCs/>
        </w:rPr>
        <w:t xml:space="preserve">  We tentatively conclude that the first prong is satisfied because voice service providers are interconnected with the public switched telephone network, and the exchange of IP-based voice traffic constitutes “communication by wire or radio” under section 2(a) of the Act.</w:t>
      </w:r>
      <w:r>
        <w:rPr>
          <w:rStyle w:val="FootnoteReference"/>
          <w:bCs/>
        </w:rPr>
        <w:footnoteReference w:id="317"/>
      </w:r>
      <w:r w:rsidRPr="00A55B3E">
        <w:rPr>
          <w:bCs/>
        </w:rPr>
        <w:t xml:space="preserve">  </w:t>
      </w:r>
    </w:p>
    <w:p w:rsidR="005919ED" w:rsidRPr="00A55B3E" w:rsidP="005919ED" w14:paraId="21CF75C4" w14:textId="77777777">
      <w:pPr>
        <w:pStyle w:val="ParaNum"/>
        <w:rPr>
          <w:bCs/>
        </w:rPr>
      </w:pPr>
      <w:r w:rsidRPr="00A55B3E">
        <w:rPr>
          <w:bCs/>
        </w:rPr>
        <w:t xml:space="preserve">We further believe that the proposed RMD requirements are reasonably ancillary to the effective performance of our statutory responsibilities under sections 201(b), 202(a), 251(e), the Truth in Caller ID Act, and the TRACED Act.  More specifically, </w:t>
      </w:r>
      <w:r w:rsidRPr="00A55B3E">
        <w:t>we believe the proposed requirements are reasonably ancillary to our exercise of authority under sections 201(b) and 202(a), as we do not believe we could ensure that voice service providers that are classified as common carriers comply with obligations to address illegal calls if the same rules do not apply to voice service providers that are not classified as common carriers, and the inability of common carriers to comply with obligations could create a gap that bad actor providers could exploit</w:t>
      </w:r>
      <w:r w:rsidRPr="00A55B3E">
        <w:rPr>
          <w:bCs/>
        </w:rPr>
        <w:t xml:space="preserve"> to undermine the effectiveness of illegal-call mitigation and impede our ability to carry out our statutory responsibilities.  Additionally, we believe the proposals are reasonably ancillary to our authority in section 251(e) and the Truth in Caller ID Act to adopt rules to prevent the unlawful spoofing of caller ID and abuse of NANP resources by all voice service providers,</w:t>
      </w:r>
      <w:r>
        <w:rPr>
          <w:rStyle w:val="FootnoteReference"/>
          <w:bCs/>
        </w:rPr>
        <w:footnoteReference w:id="318"/>
      </w:r>
      <w:r w:rsidRPr="00A55B3E">
        <w:rPr>
          <w:bCs/>
        </w:rPr>
        <w:t xml:space="preserve"> and our authority in the TRACED Act to ensure mitigation to prevent unlawful robocalls.</w:t>
      </w:r>
      <w:r>
        <w:rPr>
          <w:rStyle w:val="FootnoteReference"/>
          <w:bCs/>
        </w:rPr>
        <w:footnoteReference w:id="319"/>
      </w:r>
      <w:r w:rsidRPr="00A55B3E">
        <w:rPr>
          <w:bCs/>
        </w:rPr>
        <w:t xml:space="preserve">  We also believe our proposal to apply robocall mitigation requirements is reasonably ancillary to the authority in these provisions to prevent the transmission of illegal calls.  We seek comment on this analysis and on the extent to which section 4(i) provides additional or independent support for our proposed RMD requirements.</w:t>
      </w:r>
    </w:p>
    <w:p w:rsidR="005919ED" w:rsidRPr="00A55B3E" w:rsidP="005919ED" w14:paraId="2EE59D92" w14:textId="77777777">
      <w:pPr>
        <w:pStyle w:val="ParaNum"/>
      </w:pPr>
      <w:r w:rsidRPr="00A55B3E">
        <w:rPr>
          <w:bCs/>
          <w:i/>
          <w:iCs/>
        </w:rPr>
        <w:t>Indirect effect on foreign voice service providers.</w:t>
      </w:r>
      <w:r w:rsidRPr="00A55B3E">
        <w:rPr>
          <w:bCs/>
        </w:rPr>
        <w:t xml:space="preserve">  We propose to conclude that any effect our proposed rules may have on foreign voice service providers would be indirect and therefore consistent with the scope of the Commission’s authority.  In the </w:t>
      </w:r>
      <w:r w:rsidRPr="00A55B3E">
        <w:rPr>
          <w:bCs/>
          <w:i/>
          <w:iCs/>
        </w:rPr>
        <w:t>Second Caller ID Authentication Order</w:t>
      </w:r>
      <w:r w:rsidRPr="00A55B3E">
        <w:rPr>
          <w:bCs/>
        </w:rPr>
        <w:t>, the Commission recognized that its rules would “have an indirect effect on foreign voice service providers by incentivizing them to certify to be listed in the database,” but found such effects permissible under longstanding Commission and court precedent.</w:t>
      </w:r>
      <w:r>
        <w:rPr>
          <w:rStyle w:val="FootnoteReference"/>
          <w:bCs/>
        </w:rPr>
        <w:footnoteReference w:id="320"/>
      </w:r>
      <w:r w:rsidRPr="00A55B3E">
        <w:rPr>
          <w:bCs/>
        </w:rPr>
        <w:t xml:space="preserve">  This precedent includes the Commission’s authority under section 201 to require a domestic carrier to modify its contractual arrangements with a foreign provider concerning “foreign communication” to ensure that related charges and practices remain “just and reasonable.”</w:t>
      </w:r>
      <w:r>
        <w:rPr>
          <w:rStyle w:val="FootnoteReference"/>
          <w:bCs/>
        </w:rPr>
        <w:footnoteReference w:id="321"/>
      </w:r>
      <w:r w:rsidRPr="00A55B3E">
        <w:rPr>
          <w:bCs/>
        </w:rPr>
        <w:t xml:space="preserve">  Consistent with this approach, we tentatively conclude that the rules proposed here do not assert or entail any direct exercise of jurisdiction over foreign providers.  We seek comment on this tentative conclusion and on whether any of our proposals may extend beyond the limits of our authority over foreign communications entering the United States.  We also seek comment on whether any proposed rule would conflict with U.S. treaty obligations</w:t>
      </w:r>
      <w:r>
        <w:rPr>
          <w:bCs/>
        </w:rPr>
        <w:t xml:space="preserve"> or with</w:t>
      </w:r>
      <w:r w:rsidRPr="00A55B3E">
        <w:rPr>
          <w:bCs/>
        </w:rPr>
        <w:t xml:space="preserve"> other applicable international laws or </w:t>
      </w:r>
      <w:r w:rsidRPr="00A55B3E">
        <w:rPr>
          <w:bCs/>
        </w:rPr>
        <w:t>norms, or</w:t>
      </w:r>
      <w:r w:rsidRPr="00A55B3E">
        <w:rPr>
          <w:bCs/>
        </w:rPr>
        <w:t xml:space="preserve"> </w:t>
      </w:r>
      <w:r>
        <w:rPr>
          <w:bCs/>
        </w:rPr>
        <w:t>would</w:t>
      </w:r>
      <w:r w:rsidRPr="00A55B3E">
        <w:rPr>
          <w:bCs/>
        </w:rPr>
        <w:t xml:space="preserve"> create the risk of retaliatory measures by foreign governments.</w:t>
      </w:r>
    </w:p>
    <w:p w:rsidR="005919ED" w:rsidRPr="00A55B3E" w:rsidP="00770912" w14:paraId="39DABAD0" w14:textId="77777777">
      <w:pPr>
        <w:pStyle w:val="Heading2"/>
      </w:pPr>
      <w:bookmarkStart w:id="177" w:name="_Toc232150169"/>
      <w:bookmarkStart w:id="178" w:name="_Toc232150516"/>
      <w:bookmarkStart w:id="179" w:name="_Toc232604729"/>
      <w:bookmarkStart w:id="180" w:name="_Toc233210681"/>
      <w:bookmarkStart w:id="181" w:name="_Toc233622380"/>
      <w:bookmarkStart w:id="182" w:name="_Toc233709818"/>
      <w:bookmarkStart w:id="183" w:name="_Toc235472526"/>
      <w:bookmarkStart w:id="184" w:name="_Toc235534125"/>
      <w:bookmarkStart w:id="185" w:name="_Toc235536528"/>
      <w:bookmarkStart w:id="186" w:name="_Toc148563382"/>
      <w:bookmarkStart w:id="187" w:name="_Toc148598529"/>
      <w:r w:rsidRPr="00A55B3E">
        <w:t>Cost-Benefit Analysis</w:t>
      </w:r>
      <w:bookmarkEnd w:id="177"/>
      <w:bookmarkEnd w:id="178"/>
      <w:bookmarkEnd w:id="179"/>
      <w:bookmarkEnd w:id="180"/>
      <w:bookmarkEnd w:id="181"/>
      <w:bookmarkEnd w:id="182"/>
      <w:bookmarkEnd w:id="183"/>
      <w:bookmarkEnd w:id="184"/>
      <w:bookmarkEnd w:id="185"/>
    </w:p>
    <w:p w:rsidR="005919ED" w:rsidRPr="00A55B3E" w:rsidP="005919ED" w14:paraId="173D9010" w14:textId="77777777">
      <w:pPr>
        <w:pStyle w:val="ParaNum"/>
      </w:pPr>
      <w:r w:rsidRPr="00A55B3E">
        <w:t xml:space="preserve">Robocalls and related scams </w:t>
      </w:r>
      <w:r>
        <w:t>result in substantial harms to</w:t>
      </w:r>
      <w:r w:rsidRPr="00A55B3E">
        <w:t xml:space="preserve"> consumers,</w:t>
      </w:r>
      <w:r>
        <w:rPr>
          <w:rStyle w:val="FootnoteReference"/>
        </w:rPr>
        <w:footnoteReference w:id="322"/>
      </w:r>
      <w:r w:rsidRPr="00A55B3E">
        <w:t xml:space="preserve"> and the proposed rule revisions are intended to help reduce the volume of illegal robocalls reaching U.S. consumers.  We believe these proposals may yield substantial benefits, including improved transparency, enhanced data accuracy, and more reliable compliance information from providers.  At the same time, we recognize that the proposals may impose incremental costs on RMD filers, such as expanded information-submission requirements and strengthened accountability obligations.  We seek </w:t>
      </w:r>
      <w:r w:rsidRPr="00A55B3E">
        <w:t>comment</w:t>
      </w:r>
      <w:r w:rsidRPr="00A55B3E">
        <w:t xml:space="preserve"> on how to quantify the expected reduction in illegal robocalls and the associated benefits, including the degree to which improved data quality, enhanced screening of bad actor providers, and more effective mitigation program requirements may contribute to observable reductions in illegal call activity.</w:t>
      </w:r>
      <w:r>
        <w:t xml:space="preserve">  We also seek </w:t>
      </w:r>
      <w:r>
        <w:t>comment</w:t>
      </w:r>
      <w:r>
        <w:t xml:space="preserve"> on </w:t>
      </w:r>
      <w:r w:rsidRPr="00A55B3E">
        <w:t xml:space="preserve">appropriate methods to isolate the effects of these proposed rule changes from other recent efforts to combat </w:t>
      </w:r>
      <w:r>
        <w:t xml:space="preserve">illegal </w:t>
      </w:r>
      <w:r w:rsidRPr="00A55B3E">
        <w:t>calls</w:t>
      </w:r>
      <w:r>
        <w:t>.</w:t>
      </w:r>
    </w:p>
    <w:p w:rsidR="005919ED" w:rsidP="005919ED" w14:paraId="2FCC68C4" w14:textId="77777777">
      <w:pPr>
        <w:pStyle w:val="ParaNum"/>
      </w:pPr>
      <w:r w:rsidRPr="00A55B3E">
        <w:t xml:space="preserve">We believe our proposals to strengthen RMD filing obligations will improve predictability and administrative efficiency for providers and Commission staff alike.  Clearer obligations regarding which entities must file, what information must be submitted, and how such information should be organized may reduce confusion and enhance the quality of RMD filings.  To the extent codifications and clarifications ease providers’ ability to comply with our requirements, we seek comment on the anticipated time and cost savings.  We also seek </w:t>
      </w:r>
      <w:r w:rsidRPr="00A55B3E">
        <w:t>comment</w:t>
      </w:r>
      <w:r w:rsidRPr="00A55B3E">
        <w:t xml:space="preserve"> on the costs associated with any new or expanded filing requirements.  For instance, the proposed rules would codify the existing requirement that parents, affiliates, and subsidiary companies must submit separate RMD filings when they independently meet the definition of voice service provider, and we seek comment on how many entities will be newly aware of their obligation to file and on the associated incremental costs.  Our preliminary view is that good</w:t>
      </w:r>
      <w:r w:rsidRPr="00A55B3E">
        <w:noBreakHyphen/>
        <w:t>faith providers should already maintain much of the newly required information in the normal course of business and therefore would not require significantly more time to submit this information to the RMD.  We</w:t>
      </w:r>
      <w:r w:rsidRPr="00A55B3E">
        <w:t xml:space="preserve"> </w:t>
      </w:r>
      <w:r w:rsidRPr="00A55B3E">
        <w:t xml:space="preserve">seek </w:t>
      </w:r>
      <w:r w:rsidRPr="00A55B3E">
        <w:t>comment</w:t>
      </w:r>
      <w:r w:rsidRPr="00A55B3E">
        <w:t xml:space="preserve"> on the accuracy of these assumptions and on the incremental costs providers may incur in preparing and submitting the expanded RMD filings.</w:t>
      </w:r>
    </w:p>
    <w:p w:rsidR="005919ED" w:rsidRPr="00A55B3E" w:rsidP="003B69F8" w14:paraId="4FDBEE76" w14:textId="77777777">
      <w:pPr>
        <w:pStyle w:val="ParaNum"/>
        <w:widowControl/>
      </w:pPr>
      <w:r w:rsidRPr="00A55B3E">
        <w:t>We believe our proposals to strengthen our ability to identify, deter, and remove non-compliant or bad actor providers are likely to generate significant benefits by improving the integrity of the RMD and reducing opportunities for illegal calls to reach consumers.  Enhanced information sharing, improved traceback responsiveness, clearer removal and reinstatement procedures, and stronger safeguards against evasion may increase the efficiency of enforcement and further deter unlawful activity.  We also acknowledge that these proposals may impose new obligations on some providers, including increased responsiveness to inquiries, additional documentation obligations, and the potential for more frequent compliance reviews.  The proposed rules would also codify, clarify, or expand our processes for removing non</w:t>
      </w:r>
      <w:r w:rsidRPr="00A55B3E">
        <w:noBreakHyphen/>
        <w:t>compliant</w:t>
      </w:r>
      <w:r>
        <w:t xml:space="preserve"> and fraudulent</w:t>
      </w:r>
      <w:r w:rsidRPr="00A55B3E">
        <w:t xml:space="preserve"> filings from the RMD and the conditions under which a provider may refile in the RMD.  We seek </w:t>
      </w:r>
      <w:r w:rsidRPr="00A55B3E">
        <w:t>comment</w:t>
      </w:r>
      <w:r w:rsidRPr="00A55B3E">
        <w:t xml:space="preserve"> on the expected costs associated with these new obligations, on the benefits of any streamlined removal or reinstatement procedures, and on the burdens such processes may impose on affected filers.  We further seek comment on the expected benefits of </w:t>
      </w:r>
      <w:r>
        <w:t>strengthening providers’ traceback commitments and cooperation obligations,</w:t>
      </w:r>
      <w:r w:rsidRPr="00A55B3E">
        <w:t xml:space="preserve"> including whether faster or more automated traceback could materially improve the identification of bad actors, as well as on how increased information sharing and coordination between the Commission and the Governance Authority may affect providers.</w:t>
      </w:r>
    </w:p>
    <w:p w:rsidR="005919ED" w:rsidRPr="00A55B3E" w:rsidP="005919ED" w14:paraId="4357F4BE" w14:textId="77777777">
      <w:pPr>
        <w:pStyle w:val="Heading1"/>
        <w:keepNext w:val="0"/>
        <w:suppressAutoHyphens w:val="0"/>
      </w:pPr>
      <w:bookmarkStart w:id="188" w:name="_Toc232150170"/>
      <w:bookmarkStart w:id="189" w:name="_Toc232150517"/>
      <w:bookmarkStart w:id="190" w:name="_Toc232604730"/>
      <w:bookmarkStart w:id="191" w:name="_Toc233210682"/>
      <w:bookmarkStart w:id="192" w:name="_Toc233622381"/>
      <w:bookmarkStart w:id="193" w:name="_Toc233709819"/>
      <w:bookmarkStart w:id="194" w:name="_Toc235472527"/>
      <w:bookmarkStart w:id="195" w:name="_Toc235534126"/>
      <w:bookmarkStart w:id="196" w:name="_Toc235536529"/>
      <w:r w:rsidRPr="00A55B3E">
        <w:t>Procedural Matters</w:t>
      </w:r>
      <w:bookmarkEnd w:id="186"/>
      <w:bookmarkEnd w:id="187"/>
      <w:bookmarkEnd w:id="188"/>
      <w:bookmarkEnd w:id="189"/>
      <w:bookmarkEnd w:id="190"/>
      <w:bookmarkEnd w:id="191"/>
      <w:bookmarkEnd w:id="192"/>
      <w:bookmarkEnd w:id="193"/>
      <w:bookmarkEnd w:id="194"/>
      <w:bookmarkEnd w:id="195"/>
      <w:bookmarkEnd w:id="196"/>
      <w:r w:rsidRPr="00A55B3E">
        <w:t xml:space="preserve"> </w:t>
      </w:r>
    </w:p>
    <w:p w:rsidR="005919ED" w:rsidRPr="00473769" w:rsidP="005919ED" w14:paraId="2054E8A1" w14:textId="77777777">
      <w:pPr>
        <w:pStyle w:val="ParaNum"/>
      </w:pPr>
      <w:r w:rsidRPr="00A55B3E">
        <w:rPr>
          <w:i/>
        </w:rPr>
        <w:t>Regulatory Flexibility Act.</w:t>
      </w:r>
      <w:r w:rsidRPr="00A55B3E">
        <w:rPr>
          <w:iCs/>
        </w:rPr>
        <w:t xml:space="preserve">  The Regulatory Flexibility Act of 1980, as amended (RFA),</w:t>
      </w:r>
      <w:r>
        <w:rPr>
          <w:rStyle w:val="FootnoteReference"/>
          <w:iCs/>
        </w:rPr>
        <w:footnoteReference w:id="323"/>
      </w:r>
      <w:r w:rsidRPr="00A55B3E">
        <w:rPr>
          <w:iCs/>
        </w:rPr>
        <w:t xml:space="preserve"> requires that an agency prepare a regulatory flexibility analysis for notice-and-comment rulemaking proceedings, unless the agency certifies that “the rule will not, if promulgated, have a significant economic impact on a substantial number of small entities.”</w:t>
      </w:r>
      <w:r>
        <w:rPr>
          <w:rStyle w:val="FootnoteReference"/>
          <w:iCs/>
        </w:rPr>
        <w:footnoteReference w:id="324"/>
      </w:r>
      <w:r w:rsidRPr="00A55B3E">
        <w:rPr>
          <w:iCs/>
        </w:rPr>
        <w:t xml:space="preserve">  Accordingly, the Commission has prepared an Initial Regulatory Flexibility Analysis (IRFA) concerning potential rule and policy changes contained in this </w:t>
      </w:r>
      <w:r w:rsidRPr="00A55B3E">
        <w:rPr>
          <w:i/>
        </w:rPr>
        <w:t>Further</w:t>
      </w:r>
      <w:r w:rsidRPr="00A55B3E">
        <w:rPr>
          <w:iCs/>
        </w:rPr>
        <w:t xml:space="preserve"> </w:t>
      </w:r>
      <w:r w:rsidRPr="00A55B3E">
        <w:rPr>
          <w:i/>
        </w:rPr>
        <w:t>Notice of Proposed Rulemaking</w:t>
      </w:r>
      <w:r w:rsidRPr="00A55B3E">
        <w:rPr>
          <w:iCs/>
        </w:rPr>
        <w:t xml:space="preserve">.  The IRFA is set forth in Appendix B.  The Commission invites the </w:t>
      </w:r>
      <w:r w:rsidRPr="00A55B3E">
        <w:rPr>
          <w:iCs/>
        </w:rPr>
        <w:t>general public</w:t>
      </w:r>
      <w:r w:rsidRPr="00A55B3E">
        <w:rPr>
          <w:iCs/>
        </w:rPr>
        <w:t xml:space="preserve">, and in particular small businesses, to comment on the IRFA.  Comments must be filed by the deadlines for comments in the </w:t>
      </w:r>
      <w:r w:rsidRPr="00A55B3E">
        <w:rPr>
          <w:i/>
          <w:iCs/>
        </w:rPr>
        <w:t>Further</w:t>
      </w:r>
      <w:r w:rsidRPr="00A55B3E">
        <w:t xml:space="preserve"> </w:t>
      </w:r>
      <w:r w:rsidRPr="00A55B3E">
        <w:rPr>
          <w:i/>
        </w:rPr>
        <w:t>Notice of Proposed Rulemaking</w:t>
      </w:r>
      <w:r w:rsidRPr="00A55B3E">
        <w:rPr>
          <w:iCs/>
        </w:rPr>
        <w:t xml:space="preserve"> indicated on the first page of this document and must also have a separate and distinct heading designating them as responses to the IRFA.</w:t>
      </w:r>
    </w:p>
    <w:p w:rsidR="005919ED" w:rsidRPr="00B66597" w:rsidP="005919ED" w14:paraId="746D2687" w14:textId="77777777">
      <w:pPr>
        <w:pStyle w:val="ParaNum"/>
      </w:pPr>
      <w:r w:rsidRPr="00A55B3E">
        <w:rPr>
          <w:i/>
        </w:rPr>
        <w:t>Paperwork Reduction Act</w:t>
      </w:r>
      <w:r w:rsidRPr="00A55B3E">
        <w:rPr>
          <w:iCs/>
        </w:rPr>
        <w:t xml:space="preserve">.  This </w:t>
      </w:r>
      <w:r w:rsidRPr="00A55B3E">
        <w:rPr>
          <w:i/>
          <w:iCs/>
        </w:rPr>
        <w:t>Further</w:t>
      </w:r>
      <w:r w:rsidRPr="00A55B3E">
        <w:rPr>
          <w:iCs/>
        </w:rPr>
        <w:t xml:space="preserve"> </w:t>
      </w:r>
      <w:r w:rsidRPr="00A55B3E">
        <w:rPr>
          <w:i/>
        </w:rPr>
        <w:t>Notice of Proposed Rulemaking</w:t>
      </w:r>
      <w:r w:rsidRPr="00A55B3E">
        <w:rPr>
          <w:iCs/>
        </w:rPr>
        <w:t xml:space="preserve"> may contain proposed new or modified information collections.  The Commission, as part of its continuing effort to reduce paperwork burdens, invites the </w:t>
      </w:r>
      <w:r w:rsidRPr="00A55B3E">
        <w:rPr>
          <w:iCs/>
        </w:rPr>
        <w:t>general public</w:t>
      </w:r>
      <w:r w:rsidRPr="00A55B3E">
        <w:rPr>
          <w:iCs/>
        </w:rPr>
        <w:t xml:space="preserve"> and the Office of Management and Budget (OMB) to comment on any information collections contained in this document, as required by the Paperwork Reduction Act of 1995, 44 U.S.C. §§ 3501-3521.  In addition, pursuant to the Small Business Paperwork Relief Act of 2002, 44 U.S.C. § 3506(c)(4), we seek specific comment on how we might further reduce the information collection burden for small business concerns with fewer than 25 employees.</w:t>
      </w:r>
    </w:p>
    <w:p w:rsidR="005919ED" w:rsidRPr="00473769" w:rsidP="005919ED" w14:paraId="1A6BF22C" w14:textId="77777777">
      <w:pPr>
        <w:pStyle w:val="ParaNum"/>
      </w:pPr>
      <w:r w:rsidRPr="00A55B3E">
        <w:rPr>
          <w:i/>
        </w:rPr>
        <w:t>Providing Accountability Through Transparency Act.</w:t>
      </w:r>
      <w:r w:rsidRPr="00A55B3E">
        <w:t xml:space="preserve">  </w:t>
      </w:r>
      <w:r w:rsidRPr="00A55B3E">
        <w:rPr>
          <w:iCs/>
        </w:rPr>
        <w:t xml:space="preserve">Consistent with the Providing Accountability Through Transparency Act, Public Law 118-9, a summary of this document will be available on </w:t>
      </w:r>
      <w:hyperlink r:id="rId6" w:history="1">
        <w:r w:rsidRPr="00A55B3E">
          <w:rPr>
            <w:rStyle w:val="Hyperlink"/>
          </w:rPr>
          <w:t>https://www.fcc.gov/proposed-rulemakings</w:t>
        </w:r>
      </w:hyperlink>
      <w:r w:rsidRPr="00A55B3E">
        <w:rPr>
          <w:iCs/>
        </w:rPr>
        <w:t xml:space="preserve">. </w:t>
      </w:r>
    </w:p>
    <w:p w:rsidR="005919ED" w:rsidRPr="00473769" w:rsidP="002F3786" w14:paraId="3A362F77" w14:textId="77777777">
      <w:pPr>
        <w:pStyle w:val="ParaNum"/>
        <w:widowControl/>
      </w:pPr>
      <w:r w:rsidRPr="00A55B3E">
        <w:rPr>
          <w:i/>
        </w:rPr>
        <w:t xml:space="preserve">Ex parte presentations—permit-but-disclose.  </w:t>
      </w:r>
      <w:r w:rsidRPr="00A55B3E">
        <w:rPr>
          <w:iCs/>
        </w:rPr>
        <w:t xml:space="preserve">The proceeding this </w:t>
      </w:r>
      <w:r w:rsidRPr="00A55B3E">
        <w:rPr>
          <w:i/>
          <w:iCs/>
        </w:rPr>
        <w:t>Further</w:t>
      </w:r>
      <w:r w:rsidRPr="00A55B3E">
        <w:rPr>
          <w:iCs/>
        </w:rPr>
        <w:t xml:space="preserve"> </w:t>
      </w:r>
      <w:r w:rsidRPr="00A55B3E">
        <w:rPr>
          <w:i/>
        </w:rPr>
        <w:t>Notice of Proposed Rulemaking</w:t>
      </w:r>
      <w:r w:rsidRPr="00A55B3E">
        <w:t xml:space="preserve"> initiates shall be treated as a “permit-but-disclose” proceeding in accordance with the Commission’s </w:t>
      </w:r>
      <w:r w:rsidRPr="00A55B3E">
        <w:rPr>
          <w:i/>
          <w:iCs/>
        </w:rPr>
        <w:t xml:space="preserve">ex parte </w:t>
      </w:r>
      <w:r w:rsidRPr="00A55B3E">
        <w:t>rules.</w:t>
      </w:r>
      <w:r>
        <w:rPr>
          <w:rStyle w:val="FootnoteReference"/>
        </w:rPr>
        <w:footnoteReference w:id="325"/>
      </w:r>
      <w:r w:rsidRPr="00A55B3E">
        <w:t xml:space="preserve">  Persons making </w:t>
      </w:r>
      <w:r w:rsidRPr="00A55B3E">
        <w:rPr>
          <w:i/>
          <w:iCs/>
        </w:rPr>
        <w:t>ex parte</w:t>
      </w:r>
      <w:r w:rsidRPr="00A55B3E">
        <w:t xml:space="preserve"> presentations must file a copy of any written presentation or a memorandum summarizing any oral presentation within two business days after the presentation (unless a different deadline applicable to the Sunshine period applies).  </w:t>
      </w:r>
      <w:r w:rsidRPr="00A55B3E">
        <w:t>Persons</w:t>
      </w:r>
      <w:r w:rsidRPr="00A55B3E">
        <w:t xml:space="preserve"> making oral </w:t>
      </w:r>
      <w:r w:rsidRPr="00A55B3E">
        <w:rPr>
          <w:i/>
          <w:iCs/>
        </w:rPr>
        <w:t>ex parte</w:t>
      </w:r>
      <w:r w:rsidRPr="00A55B3E">
        <w:t xml:space="preserve"> presentations are reminded </w:t>
      </w:r>
      <w:r w:rsidRPr="00A55B3E">
        <w:t>that memoranda</w:t>
      </w:r>
      <w:r w:rsidRPr="00A55B3E">
        <w:t xml:space="preserve"> summarizing the presentation must (1) list all </w:t>
      </w:r>
      <w:r w:rsidRPr="00A55B3E">
        <w:t>persons</w:t>
      </w:r>
      <w:r w:rsidRPr="00A55B3E">
        <w:t xml:space="preserve"> attending or otherwise participating in the meeting at which the </w:t>
      </w:r>
      <w:r w:rsidRPr="00A55B3E">
        <w:rPr>
          <w:i/>
          <w:iCs/>
        </w:rPr>
        <w:t>ex parte</w:t>
      </w:r>
      <w:r w:rsidRPr="00A55B3E">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w:t>
      </w:r>
      <w:r w:rsidRPr="00A55B3E">
        <w:t>them  in</w:t>
      </w:r>
      <w:r w:rsidRPr="00A55B3E">
        <w:t xml:space="preserve"> the memorandum.  Documents shown or given to Commission staff during </w:t>
      </w:r>
      <w:r w:rsidRPr="00A55B3E">
        <w:rPr>
          <w:i/>
          <w:iCs/>
        </w:rPr>
        <w:t xml:space="preserve">ex parte </w:t>
      </w:r>
      <w:r w:rsidRPr="00A55B3E">
        <w:t xml:space="preserve">meetings are deemed to be written </w:t>
      </w:r>
      <w:r w:rsidRPr="00A55B3E">
        <w:rPr>
          <w:i/>
          <w:iCs/>
        </w:rPr>
        <w:t>ex parte</w:t>
      </w:r>
      <w:r w:rsidRPr="00A55B3E">
        <w:t xml:space="preserve"> presentations and must be filed </w:t>
      </w:r>
      <w:r w:rsidRPr="00A55B3E">
        <w:t>consistent</w:t>
      </w:r>
      <w:r w:rsidRPr="00A55B3E">
        <w:t xml:space="preserve"> with section 1.1206(b) of the Commission’s rules.  In proceedings governed by section 1.49(f) of the Commission’s rules or for which the Commission has made available a method of electronic filing, written </w:t>
      </w:r>
      <w:r w:rsidRPr="00A55B3E">
        <w:rPr>
          <w:i/>
          <w:iCs/>
        </w:rPr>
        <w:t>ex parte</w:t>
      </w:r>
      <w:r w:rsidRPr="00A55B3E">
        <w:t xml:space="preserve"> presentations and memoranda summarizing oral </w:t>
      </w:r>
      <w:r w:rsidRPr="00A55B3E">
        <w:rPr>
          <w:i/>
          <w:iCs/>
        </w:rPr>
        <w:t>ex parte</w:t>
      </w:r>
      <w:r w:rsidRPr="00A55B3E">
        <w:t xml:space="preserve"> presentations, and all attachments thereto, must, when feasible, be filed through the electronic comment filing system available for that proceeding, and must be filed in their native format (e.g., .doc, .xml, .ppt, searchable .pdf).  Participants in this proceeding should familiarize themselves with the Commission’s </w:t>
      </w:r>
      <w:r w:rsidRPr="00A55B3E">
        <w:rPr>
          <w:i/>
          <w:iCs/>
        </w:rPr>
        <w:t>ex parte</w:t>
      </w:r>
      <w:r w:rsidRPr="00A55B3E">
        <w:t xml:space="preserve"> rules.</w:t>
      </w:r>
      <w:r>
        <w:rPr>
          <w:rStyle w:val="FootnoteReference"/>
        </w:rPr>
        <w:footnoteReference w:id="326"/>
      </w:r>
      <w:r w:rsidRPr="00A55B3E">
        <w:t xml:space="preserve"> </w:t>
      </w:r>
    </w:p>
    <w:p w:rsidR="005919ED" w:rsidRPr="00473769" w:rsidP="005919ED" w14:paraId="4BC7CBE2" w14:textId="77777777">
      <w:pPr>
        <w:pStyle w:val="ParaNum"/>
      </w:pPr>
      <w:r w:rsidRPr="00A55B3E">
        <w:rPr>
          <w:i/>
        </w:rPr>
        <w:t>Comment</w:t>
      </w:r>
      <w:r w:rsidRPr="00A55B3E">
        <w:rPr>
          <w:i/>
        </w:rPr>
        <w:t xml:space="preserve"> filing procedures.</w:t>
      </w:r>
      <w:r w:rsidRPr="00A55B3E">
        <w:rPr>
          <w:iCs/>
        </w:rPr>
        <w:t xml:space="preserve">  Pursuant to sections 1.415 and 1.419 of the Commission’s rules, 47 CFR §§ 1.415, 1.419, interested parties may file comments and </w:t>
      </w:r>
      <w:r w:rsidRPr="00A55B3E">
        <w:rPr>
          <w:iCs/>
        </w:rPr>
        <w:t>reply</w:t>
      </w:r>
      <w:r w:rsidRPr="00A55B3E">
        <w:rPr>
          <w:iCs/>
        </w:rPr>
        <w:t xml:space="preserve"> comments on or before the dates indicated on the first page of this document.  Comments may be filed using the Commission’s Electronic Comment Filing Systems (ECFS).</w:t>
      </w:r>
    </w:p>
    <w:p w:rsidR="005919ED" w:rsidRPr="00A55B3E" w:rsidP="005919ED" w14:paraId="4AE58D45" w14:textId="77777777">
      <w:pPr>
        <w:pStyle w:val="ParaNum"/>
        <w:numPr>
          <w:ilvl w:val="0"/>
          <w:numId w:val="8"/>
        </w:numPr>
        <w:rPr>
          <w:i/>
        </w:rPr>
      </w:pPr>
      <w:r w:rsidRPr="00A55B3E">
        <w:rPr>
          <w:i/>
        </w:rPr>
        <w:t xml:space="preserve">Electronic Filers:  </w:t>
      </w:r>
      <w:r w:rsidRPr="00A55B3E">
        <w:rPr>
          <w:iCs/>
        </w:rPr>
        <w:t xml:space="preserve">Comments may be filed electronically using the Internet by accessing the ECFS:  </w:t>
      </w:r>
      <w:hyperlink r:id="rId7" w:history="1">
        <w:r w:rsidRPr="00A55B3E">
          <w:rPr>
            <w:rStyle w:val="Hyperlink"/>
          </w:rPr>
          <w:t>https://www.fcc.gov/ecfs</w:t>
        </w:r>
      </w:hyperlink>
      <w:r w:rsidRPr="00A55B3E">
        <w:rPr>
          <w:iCs/>
        </w:rPr>
        <w:t xml:space="preserve">. </w:t>
      </w:r>
    </w:p>
    <w:p w:rsidR="005919ED" w:rsidRPr="00A55B3E" w:rsidP="005919ED" w14:paraId="636966AF" w14:textId="77777777">
      <w:pPr>
        <w:pStyle w:val="ParaNum"/>
        <w:numPr>
          <w:ilvl w:val="0"/>
          <w:numId w:val="8"/>
        </w:numPr>
        <w:rPr>
          <w:i/>
        </w:rPr>
      </w:pPr>
      <w:r w:rsidRPr="00A55B3E">
        <w:rPr>
          <w:i/>
        </w:rPr>
        <w:t>Paper Filers</w:t>
      </w:r>
      <w:r w:rsidRPr="00A55B3E">
        <w:rPr>
          <w:iCs/>
        </w:rPr>
        <w:t>:  Parties</w:t>
      </w:r>
      <w:r w:rsidRPr="00A55B3E">
        <w:rPr>
          <w:iCs/>
        </w:rPr>
        <w:t xml:space="preserve"> who choose to file by paper must file an original and one copy of each filing.</w:t>
      </w:r>
    </w:p>
    <w:p w:rsidR="005919ED" w:rsidRPr="00473769" w:rsidP="005919ED" w14:paraId="5D952083" w14:textId="77777777">
      <w:pPr>
        <w:pStyle w:val="ParaNum"/>
        <w:numPr>
          <w:ilvl w:val="1"/>
          <w:numId w:val="8"/>
        </w:numPr>
      </w:pPr>
      <w:r w:rsidRPr="00A55B3E">
        <w:rPr>
          <w:iCs/>
        </w:rPr>
        <w:t xml:space="preserve">Filings can be sent by hand or messenger deliver, by commercial courier, or by the U.S. Postal Service.  </w:t>
      </w:r>
      <w:r w:rsidRPr="00A55B3E">
        <w:rPr>
          <w:b/>
          <w:bCs/>
          <w:iCs/>
        </w:rPr>
        <w:t xml:space="preserve">All filings must be addressed to the Secretary, Federal Communications Commission. </w:t>
      </w:r>
    </w:p>
    <w:p w:rsidR="005919ED" w:rsidRPr="00473769" w:rsidP="005919ED" w14:paraId="3D0D32BB" w14:textId="77777777">
      <w:pPr>
        <w:pStyle w:val="ParaNum"/>
        <w:numPr>
          <w:ilvl w:val="1"/>
          <w:numId w:val="8"/>
        </w:numPr>
      </w:pPr>
      <w:r w:rsidRPr="00A55B3E">
        <w:rPr>
          <w:iCs/>
        </w:rPr>
        <w:t xml:space="preserve">Hand-delivered or messenger-delivered paper filings for the Commission’s Secretary are accepted between 8:00 a.m. and 4:00 p.m. by the FCC’s mailing contractor at 9050 Junction Drive, Annapolis Junction, MD 20701.  All hand deliveries must be </w:t>
      </w:r>
      <w:r w:rsidRPr="00A55B3E">
        <w:rPr>
          <w:iCs/>
        </w:rPr>
        <w:t>held</w:t>
      </w:r>
      <w:r w:rsidRPr="00A55B3E">
        <w:rPr>
          <w:iCs/>
        </w:rPr>
        <w:t xml:space="preserve"> together with rubber bands or fasteners.  Any envelopes and boxes must be disposed of before entering the building.</w:t>
      </w:r>
    </w:p>
    <w:p w:rsidR="005919ED" w:rsidRPr="00473769" w:rsidP="005919ED" w14:paraId="3E60146A" w14:textId="77777777">
      <w:pPr>
        <w:pStyle w:val="ParaNum"/>
        <w:numPr>
          <w:ilvl w:val="1"/>
          <w:numId w:val="8"/>
        </w:numPr>
      </w:pPr>
      <w:r w:rsidRPr="00A55B3E">
        <w:rPr>
          <w:iCs/>
        </w:rPr>
        <w:t>Commercial courier deliveries (any deliveries not by the U.S. Postal Service) must be sent to 9050 Junction Drive, Annapolis Junction, MD 20701.</w:t>
      </w:r>
    </w:p>
    <w:p w:rsidR="005919ED" w:rsidRPr="00473769" w:rsidP="005919ED" w14:paraId="06FBF03E" w14:textId="77777777">
      <w:pPr>
        <w:pStyle w:val="ParaNum"/>
        <w:numPr>
          <w:ilvl w:val="1"/>
          <w:numId w:val="8"/>
        </w:numPr>
      </w:pPr>
      <w:r w:rsidRPr="00A55B3E">
        <w:rPr>
          <w:iCs/>
        </w:rPr>
        <w:t>Filings sent by U.S. Postal Service First-Class Mail, Priority Mail, and Priority Mail Express must be sent to 45 L Street, NE, Washington, DC 20554.</w:t>
      </w:r>
    </w:p>
    <w:p w:rsidR="005919ED" w:rsidRPr="00473769" w:rsidP="005919ED" w14:paraId="0A3C23D0" w14:textId="77777777">
      <w:pPr>
        <w:pStyle w:val="ParaNum"/>
        <w:numPr>
          <w:ilvl w:val="0"/>
          <w:numId w:val="8"/>
        </w:numPr>
      </w:pPr>
      <w:r w:rsidRPr="00A55B3E">
        <w:rPr>
          <w:i/>
        </w:rPr>
        <w:t xml:space="preserve">People with Disabilities:  </w:t>
      </w:r>
      <w:r w:rsidRPr="00A55B3E">
        <w:rPr>
          <w:iCs/>
        </w:rPr>
        <w:t xml:space="preserve">To request materials in accessible formats for people with disabilities (braille, large print, electronic files, audio format), send an e-mail to </w:t>
      </w:r>
      <w:hyperlink r:id="rId8" w:history="1">
        <w:r w:rsidRPr="00A55B3E">
          <w:rPr>
            <w:rStyle w:val="Hyperlink"/>
          </w:rPr>
          <w:t>fcc504@fcc.gov</w:t>
        </w:r>
      </w:hyperlink>
      <w:r w:rsidRPr="00A55B3E">
        <w:rPr>
          <w:iCs/>
        </w:rPr>
        <w:t xml:space="preserve"> or call the Consumer &amp; Governmental Affairs Bureau at 202-418-0530.</w:t>
      </w:r>
    </w:p>
    <w:p w:rsidR="005919ED" w:rsidRPr="00473769" w:rsidP="005919ED" w14:paraId="40369943" w14:textId="77777777">
      <w:pPr>
        <w:pStyle w:val="ParaNum"/>
      </w:pPr>
      <w:r w:rsidRPr="00A55B3E">
        <w:rPr>
          <w:i/>
        </w:rPr>
        <w:t>Additional information.</w:t>
      </w:r>
      <w:r w:rsidRPr="00A55B3E">
        <w:rPr>
          <w:iCs/>
        </w:rPr>
        <w:t xml:space="preserve">  For further information about the </w:t>
      </w:r>
      <w:r w:rsidRPr="00A55B3E">
        <w:rPr>
          <w:i/>
          <w:iCs/>
        </w:rPr>
        <w:t>Further</w:t>
      </w:r>
      <w:r w:rsidRPr="00A55B3E">
        <w:rPr>
          <w:iCs/>
        </w:rPr>
        <w:t xml:space="preserve"> </w:t>
      </w:r>
      <w:r w:rsidRPr="00A55B3E">
        <w:rPr>
          <w:i/>
        </w:rPr>
        <w:t>Notice of Proposed Rulemaking,</w:t>
      </w:r>
      <w:r w:rsidRPr="00A55B3E">
        <w:rPr>
          <w:iCs/>
        </w:rPr>
        <w:t xml:space="preserve"> contact Chris Laughlin, Deputy Division Chief, Competition Policy Division, Wireline Competition Bureau, at </w:t>
      </w:r>
      <w:hyperlink r:id="rId9" w:history="1">
        <w:r w:rsidRPr="00A55B3E">
          <w:rPr>
            <w:rStyle w:val="Hyperlink"/>
          </w:rPr>
          <w:t>Chris.Laughlin@fcc.gov</w:t>
        </w:r>
      </w:hyperlink>
      <w:r w:rsidRPr="00A55B3E">
        <w:rPr>
          <w:iCs/>
        </w:rPr>
        <w:t xml:space="preserve">. </w:t>
      </w:r>
    </w:p>
    <w:p w:rsidR="005919ED" w:rsidRPr="00A55B3E" w:rsidP="005919ED" w14:paraId="09A269BF" w14:textId="77777777">
      <w:pPr>
        <w:pStyle w:val="Heading1"/>
        <w:keepNext w:val="0"/>
        <w:suppressAutoHyphens w:val="0"/>
      </w:pPr>
      <w:bookmarkStart w:id="197" w:name="_Toc148563383"/>
      <w:bookmarkStart w:id="198" w:name="_Toc148598530"/>
      <w:bookmarkStart w:id="199" w:name="_Toc232150171"/>
      <w:bookmarkStart w:id="200" w:name="_Toc232150518"/>
      <w:bookmarkStart w:id="201" w:name="_Toc232604731"/>
      <w:bookmarkStart w:id="202" w:name="_Toc233210683"/>
      <w:bookmarkStart w:id="203" w:name="_Toc233622382"/>
      <w:bookmarkStart w:id="204" w:name="_Toc233709820"/>
      <w:bookmarkStart w:id="205" w:name="_Toc235472528"/>
      <w:bookmarkStart w:id="206" w:name="_Toc235534127"/>
      <w:bookmarkStart w:id="207" w:name="_Toc235536530"/>
      <w:r w:rsidRPr="00A55B3E">
        <w:t>Ordering Clauses</w:t>
      </w:r>
      <w:bookmarkEnd w:id="197"/>
      <w:bookmarkEnd w:id="198"/>
      <w:bookmarkEnd w:id="199"/>
      <w:bookmarkEnd w:id="200"/>
      <w:bookmarkEnd w:id="201"/>
      <w:bookmarkEnd w:id="202"/>
      <w:bookmarkEnd w:id="203"/>
      <w:bookmarkEnd w:id="204"/>
      <w:bookmarkEnd w:id="205"/>
      <w:bookmarkEnd w:id="206"/>
      <w:bookmarkEnd w:id="207"/>
      <w:r w:rsidRPr="00A55B3E">
        <w:t xml:space="preserve"> </w:t>
      </w:r>
    </w:p>
    <w:p w:rsidR="005919ED" w:rsidRPr="00A55B3E" w:rsidP="005919ED" w14:paraId="36BF8606" w14:textId="77777777">
      <w:pPr>
        <w:pStyle w:val="ParaNum"/>
      </w:pPr>
      <w:r w:rsidRPr="00A55B3E">
        <w:t xml:space="preserve">Accordingly, pursuant to sections 4(i), 4(j), 201, 202, 217, 227, 251(e), 303(r), 403, 501, 502, and 503 of the Communications Act of 1934, as amended, 47 U.S.C. §§ 154(i), 154(j), 201, 202, 217, 227, 251(e), 303(r), 403, 501, 502, and 503, and sections 4 and 7 of the TRACED Act, 47 U.S.C. § 227b, this </w:t>
      </w:r>
      <w:r w:rsidRPr="00A55B3E">
        <w:rPr>
          <w:i/>
          <w:iCs/>
        </w:rPr>
        <w:t>Further</w:t>
      </w:r>
      <w:r w:rsidRPr="00A55B3E">
        <w:t xml:space="preserve"> </w:t>
      </w:r>
      <w:r w:rsidRPr="00A55B3E">
        <w:rPr>
          <w:i/>
          <w:iCs/>
        </w:rPr>
        <w:t xml:space="preserve">Notice of Proposed Rulemaking </w:t>
      </w:r>
      <w:r w:rsidRPr="00A55B3E">
        <w:t>IS ADOPTED.</w:t>
      </w:r>
      <w:r>
        <w:rPr>
          <w:rStyle w:val="FootnoteReference"/>
        </w:rPr>
        <w:footnoteReference w:id="327"/>
      </w:r>
    </w:p>
    <w:p w:rsidR="005919ED" w:rsidRPr="00A55B3E" w:rsidP="00C06157" w14:paraId="6C857283" w14:textId="77777777">
      <w:pPr>
        <w:pStyle w:val="ParaNum"/>
        <w:keepNext/>
        <w:keepLines/>
      </w:pPr>
      <w:r w:rsidRPr="00A55B3E">
        <w:t xml:space="preserve">IT IS FURTHER ORDERED that the Commission’s Office of the Secretary SHALL SEND a copy of this </w:t>
      </w:r>
      <w:r w:rsidRPr="00A55B3E">
        <w:rPr>
          <w:i/>
          <w:iCs/>
        </w:rPr>
        <w:t>Further</w:t>
      </w:r>
      <w:r w:rsidRPr="00A55B3E">
        <w:t xml:space="preserve"> </w:t>
      </w:r>
      <w:r w:rsidRPr="00A55B3E">
        <w:rPr>
          <w:i/>
          <w:iCs/>
        </w:rPr>
        <w:t>Notice of Proposed Rulemaking</w:t>
      </w:r>
      <w:r w:rsidRPr="00A55B3E">
        <w:t>, including the Initial Regulatory Flexibility Analysis, to the Chief Counsel for the Small Business Administration (SBA) Office of Advocacy.</w:t>
      </w:r>
    </w:p>
    <w:p w:rsidR="005919ED" w:rsidRPr="00A55B3E" w:rsidP="00C06157" w14:paraId="5686FFBA" w14:textId="77777777">
      <w:pPr>
        <w:pStyle w:val="ParaNum"/>
        <w:keepNext/>
        <w:keepLines/>
        <w:numPr>
          <w:ilvl w:val="0"/>
          <w:numId w:val="0"/>
        </w:numPr>
      </w:pPr>
    </w:p>
    <w:p w:rsidR="005919ED" w:rsidRPr="00A55B3E" w:rsidP="00C06157" w14:paraId="140D7164" w14:textId="77777777">
      <w:pPr>
        <w:pStyle w:val="ParaNum"/>
        <w:keepNext/>
        <w:keepLines/>
        <w:numPr>
          <w:ilvl w:val="0"/>
          <w:numId w:val="0"/>
        </w:numPr>
        <w:ind w:left="2880" w:firstLine="720"/>
      </w:pPr>
      <w:r w:rsidRPr="00A55B3E">
        <w:t>FEDERAL COMMUNICATIONS COMMISSION</w:t>
      </w:r>
    </w:p>
    <w:p w:rsidR="005919ED" w:rsidRPr="00A55B3E" w:rsidP="00C06157" w14:paraId="62C3D59A" w14:textId="77777777">
      <w:pPr>
        <w:pStyle w:val="ParaNum"/>
        <w:keepNext/>
        <w:keepLines/>
        <w:numPr>
          <w:ilvl w:val="0"/>
          <w:numId w:val="0"/>
        </w:numPr>
        <w:ind w:left="3600"/>
      </w:pPr>
    </w:p>
    <w:p w:rsidR="005919ED" w:rsidP="00C06157" w14:paraId="0DE671B4" w14:textId="77777777">
      <w:pPr>
        <w:pStyle w:val="ParaNum"/>
        <w:keepNext/>
        <w:keepLines/>
        <w:numPr>
          <w:ilvl w:val="0"/>
          <w:numId w:val="0"/>
        </w:numPr>
        <w:ind w:left="3600"/>
      </w:pPr>
    </w:p>
    <w:p w:rsidR="00E3332B" w:rsidP="00C06157" w14:paraId="7D8F7CAF" w14:textId="77777777">
      <w:pPr>
        <w:pStyle w:val="ParaNum"/>
        <w:keepNext/>
        <w:keepLines/>
        <w:numPr>
          <w:ilvl w:val="0"/>
          <w:numId w:val="0"/>
        </w:numPr>
        <w:ind w:left="3600"/>
      </w:pPr>
    </w:p>
    <w:p w:rsidR="00E3332B" w:rsidRPr="00A55B3E" w:rsidP="00C06157" w14:paraId="50855286" w14:textId="77777777">
      <w:pPr>
        <w:pStyle w:val="ParaNum"/>
        <w:keepNext/>
        <w:keepLines/>
        <w:numPr>
          <w:ilvl w:val="0"/>
          <w:numId w:val="0"/>
        </w:numPr>
        <w:ind w:left="3600"/>
      </w:pPr>
    </w:p>
    <w:p w:rsidR="005919ED" w:rsidRPr="00104DE4" w:rsidP="00C06157" w14:paraId="5CA4CA6D" w14:textId="77777777">
      <w:pPr>
        <w:keepNext/>
        <w:keepLines/>
      </w:pPr>
      <w:r w:rsidRPr="00104DE4">
        <w:tab/>
      </w:r>
      <w:r w:rsidRPr="00104DE4">
        <w:tab/>
      </w:r>
      <w:r w:rsidRPr="00104DE4">
        <w:tab/>
      </w:r>
      <w:r w:rsidRPr="00104DE4">
        <w:tab/>
      </w:r>
      <w:r w:rsidRPr="00104DE4">
        <w:tab/>
        <w:t>Marlene H. Dortch</w:t>
      </w:r>
    </w:p>
    <w:p w:rsidR="004C2EE3" w:rsidP="00C06157" w14:paraId="37D91500" w14:textId="38F68EBD">
      <w:pPr>
        <w:keepNext/>
        <w:keepLines/>
      </w:pPr>
      <w:r w:rsidRPr="00104DE4">
        <w:tab/>
      </w:r>
      <w:r w:rsidRPr="00104DE4">
        <w:tab/>
      </w:r>
      <w:r w:rsidRPr="00104DE4">
        <w:tab/>
      </w:r>
      <w:r w:rsidRPr="00104DE4">
        <w:tab/>
      </w:r>
      <w:r w:rsidRPr="00104DE4">
        <w:tab/>
        <w:t>Secretary</w:t>
      </w:r>
    </w:p>
    <w:p w:rsidR="005919ED" w:rsidP="005919ED" w14:paraId="1F8C75E3" w14:textId="77777777">
      <w:pPr>
        <w:keepNext/>
        <w:sectPr w:rsidSect="0055614C">
          <w:headerReference w:type="default" r:id="rId10"/>
          <w:footerReference w:type="even" r:id="rId11"/>
          <w:footerReference w:type="default" r:id="rId12"/>
          <w:headerReference w:type="first" r:id="rId13"/>
          <w:footerReference w:type="first" r:id="rId14"/>
          <w:endnotePr>
            <w:numFmt w:val="decimal"/>
          </w:endnotePr>
          <w:pgSz w:w="12240" w:h="15840"/>
          <w:pgMar w:top="1440" w:right="1440" w:bottom="720" w:left="1440" w:header="720" w:footer="720" w:gutter="0"/>
          <w:pgNumType w:start="1"/>
          <w:cols w:space="720"/>
          <w:noEndnote/>
          <w:titlePg/>
        </w:sectPr>
      </w:pPr>
    </w:p>
    <w:p w:rsidR="005919ED" w:rsidRPr="00104DE4" w:rsidP="005919ED" w14:paraId="73E828E9" w14:textId="77777777">
      <w:pPr>
        <w:keepNext/>
        <w:suppressAutoHyphens/>
        <w:spacing w:after="120"/>
        <w:jc w:val="center"/>
        <w:outlineLvl w:val="0"/>
        <w:rPr>
          <w:b/>
          <w:caps/>
        </w:rPr>
      </w:pPr>
      <w:bookmarkStart w:id="208" w:name="_Toc148563384"/>
      <w:bookmarkStart w:id="209" w:name="_Toc148598531"/>
      <w:r w:rsidRPr="00104DE4">
        <w:rPr>
          <w:b/>
          <w:caps/>
        </w:rPr>
        <w:t>Appendix A</w:t>
      </w:r>
      <w:bookmarkEnd w:id="208"/>
      <w:bookmarkEnd w:id="209"/>
    </w:p>
    <w:p w:rsidR="005919ED" w:rsidRPr="00104DE4" w:rsidP="005919ED" w14:paraId="2C767792" w14:textId="77777777">
      <w:pPr>
        <w:jc w:val="center"/>
        <w:rPr>
          <w:b/>
          <w:bCs/>
        </w:rPr>
      </w:pPr>
      <w:r w:rsidRPr="00104DE4">
        <w:rPr>
          <w:b/>
          <w:bCs/>
        </w:rPr>
        <w:t>Proposed Rules</w:t>
      </w:r>
    </w:p>
    <w:p w:rsidR="005919ED" w:rsidRPr="00104DE4" w:rsidP="005919ED" w14:paraId="57D5D881" w14:textId="77777777">
      <w:pPr>
        <w:jc w:val="center"/>
      </w:pPr>
    </w:p>
    <w:p w:rsidR="005919ED" w:rsidRPr="00104DE4" w:rsidP="005919ED" w14:paraId="41DFBD1B" w14:textId="77777777">
      <w:pPr>
        <w:spacing w:after="120"/>
        <w:rPr>
          <w:szCs w:val="22"/>
        </w:rPr>
      </w:pPr>
      <w:r w:rsidRPr="00104DE4">
        <w:rPr>
          <w:szCs w:val="22"/>
        </w:rPr>
        <w:t>For the reasons discussed in the document, the Federal Communications Commission proposes to amend 47 CFR part</w:t>
      </w:r>
      <w:r>
        <w:rPr>
          <w:szCs w:val="22"/>
        </w:rPr>
        <w:t xml:space="preserve">s 0, 1, and </w:t>
      </w:r>
      <w:r w:rsidRPr="00104DE4">
        <w:rPr>
          <w:szCs w:val="22"/>
        </w:rPr>
        <w:t>64 as follows:</w:t>
      </w:r>
    </w:p>
    <w:p w:rsidR="005919ED" w:rsidP="005919ED" w14:paraId="3F669265" w14:textId="77777777">
      <w:pPr>
        <w:spacing w:after="120"/>
        <w:rPr>
          <w:b/>
          <w:szCs w:val="22"/>
        </w:rPr>
      </w:pPr>
      <w:r>
        <w:rPr>
          <w:b/>
          <w:szCs w:val="22"/>
        </w:rPr>
        <w:t>PART 0 – Commission Organization</w:t>
      </w:r>
    </w:p>
    <w:p w:rsidR="005919ED" w:rsidP="005919ED" w14:paraId="5D0B0182" w14:textId="77777777">
      <w:pPr>
        <w:numPr>
          <w:ilvl w:val="0"/>
          <w:numId w:val="10"/>
        </w:numPr>
        <w:spacing w:after="120"/>
      </w:pPr>
      <w:r>
        <w:t>Amend § 0.91 by adding paragraph (s) to read as follows:</w:t>
      </w:r>
    </w:p>
    <w:p w:rsidR="005919ED" w:rsidP="005919ED" w14:paraId="0A45C9BF" w14:textId="77777777">
      <w:pPr>
        <w:spacing w:after="120"/>
        <w:rPr>
          <w:b/>
          <w:szCs w:val="22"/>
        </w:rPr>
      </w:pPr>
      <w:r w:rsidRPr="00104DE4">
        <w:rPr>
          <w:b/>
          <w:szCs w:val="22"/>
        </w:rPr>
        <w:t xml:space="preserve">§ </w:t>
      </w:r>
      <w:r>
        <w:rPr>
          <w:b/>
          <w:szCs w:val="22"/>
        </w:rPr>
        <w:t>0.91 Functions of the Bureau</w:t>
      </w:r>
      <w:r w:rsidRPr="00104DE4">
        <w:rPr>
          <w:b/>
          <w:szCs w:val="22"/>
        </w:rPr>
        <w:t>.</w:t>
      </w:r>
    </w:p>
    <w:p w:rsidR="005919ED" w:rsidP="005919ED" w14:paraId="32595EFB" w14:textId="77777777">
      <w:pPr>
        <w:spacing w:after="120"/>
        <w:rPr>
          <w:b/>
          <w:szCs w:val="22"/>
        </w:rPr>
      </w:pPr>
      <w:r w:rsidRPr="00275FF5">
        <w:rPr>
          <w:b/>
          <w:szCs w:val="22"/>
        </w:rPr>
        <w:t>* * * * *</w:t>
      </w:r>
    </w:p>
    <w:p w:rsidR="005919ED" w:rsidP="005919ED" w14:paraId="299D9EAC" w14:textId="77777777">
      <w:pPr>
        <w:spacing w:after="120"/>
        <w:rPr>
          <w:bCs/>
          <w:szCs w:val="22"/>
        </w:rPr>
      </w:pPr>
      <w:r w:rsidRPr="006267FA">
        <w:rPr>
          <w:bCs/>
          <w:szCs w:val="22"/>
        </w:rPr>
        <w:t>(s) Adm</w:t>
      </w:r>
      <w:r>
        <w:rPr>
          <w:bCs/>
          <w:szCs w:val="22"/>
        </w:rPr>
        <w:t xml:space="preserve">inister the Robocall Mitigation Database established under </w:t>
      </w:r>
      <w:r w:rsidRPr="00DF7CDD">
        <w:rPr>
          <w:bCs/>
          <w:szCs w:val="22"/>
        </w:rPr>
        <w:t>§ 64.6305</w:t>
      </w:r>
      <w:r>
        <w:rPr>
          <w:bCs/>
          <w:szCs w:val="22"/>
        </w:rPr>
        <w:t xml:space="preserve"> of this chapter,</w:t>
      </w:r>
      <w:r w:rsidRPr="00F92D52">
        <w:t xml:space="preserve"> </w:t>
      </w:r>
      <w:r w:rsidRPr="00F92D52">
        <w:rPr>
          <w:bCs/>
          <w:szCs w:val="22"/>
        </w:rPr>
        <w:t>in consultation with the Office of Managing Director, the Office of Economics and Analytics, and the Enforcement Bureau</w:t>
      </w:r>
      <w:r>
        <w:rPr>
          <w:bCs/>
          <w:szCs w:val="22"/>
        </w:rPr>
        <w:t xml:space="preserve">, as appropriate, including by: </w:t>
      </w:r>
    </w:p>
    <w:p w:rsidR="005919ED" w:rsidP="005919ED" w14:paraId="1EDCFE02" w14:textId="77777777">
      <w:pPr>
        <w:tabs>
          <w:tab w:val="left" w:pos="6447"/>
        </w:tabs>
        <w:spacing w:after="120"/>
        <w:ind w:left="720"/>
        <w:rPr>
          <w:bCs/>
          <w:szCs w:val="22"/>
        </w:rPr>
      </w:pPr>
      <w:r>
        <w:rPr>
          <w:szCs w:val="22"/>
        </w:rPr>
        <w:t xml:space="preserve">(1) </w:t>
      </w:r>
      <w:r>
        <w:rPr>
          <w:bCs/>
          <w:szCs w:val="22"/>
        </w:rPr>
        <w:t>establishing the form and format of filings;</w:t>
      </w:r>
    </w:p>
    <w:p w:rsidR="005919ED" w:rsidP="005919ED" w14:paraId="1F095E2F" w14:textId="77777777">
      <w:pPr>
        <w:tabs>
          <w:tab w:val="left" w:pos="6447"/>
        </w:tabs>
        <w:spacing w:after="120"/>
        <w:ind w:left="720"/>
        <w:rPr>
          <w:bCs/>
          <w:szCs w:val="22"/>
        </w:rPr>
      </w:pPr>
      <w:r>
        <w:rPr>
          <w:szCs w:val="22"/>
        </w:rPr>
        <w:t xml:space="preserve">(2) </w:t>
      </w:r>
      <w:r>
        <w:rPr>
          <w:bCs/>
          <w:szCs w:val="22"/>
        </w:rPr>
        <w:t>making technical and operational changes to the Robocall Mitigation Database portal and submission interface;</w:t>
      </w:r>
    </w:p>
    <w:p w:rsidR="005919ED" w:rsidP="005919ED" w14:paraId="456EE12E" w14:textId="77777777">
      <w:pPr>
        <w:tabs>
          <w:tab w:val="left" w:pos="6447"/>
        </w:tabs>
        <w:spacing w:after="120"/>
        <w:ind w:left="720"/>
        <w:rPr>
          <w:bCs/>
          <w:szCs w:val="22"/>
        </w:rPr>
      </w:pPr>
      <w:r>
        <w:rPr>
          <w:bCs/>
          <w:szCs w:val="22"/>
        </w:rPr>
        <w:t>(3) developing and implementing technical data validation and screening measures;</w:t>
      </w:r>
    </w:p>
    <w:p w:rsidR="005919ED" w:rsidP="005919ED" w14:paraId="49C16CB7" w14:textId="77777777">
      <w:pPr>
        <w:tabs>
          <w:tab w:val="left" w:pos="6447"/>
        </w:tabs>
        <w:spacing w:after="120"/>
        <w:ind w:left="720"/>
        <w:rPr>
          <w:bCs/>
          <w:szCs w:val="22"/>
        </w:rPr>
      </w:pPr>
      <w:r>
        <w:rPr>
          <w:bCs/>
          <w:szCs w:val="22"/>
        </w:rPr>
        <w:t xml:space="preserve">(4) developing measures for accepting and publishing a new or updated filing, including implementing policies and procedures for placing a filing into a pending status, withholding publication of a filing, rejecting publication of a filing, or removing a filing when the filing </w:t>
      </w:r>
      <w:r w:rsidRPr="004B19FD">
        <w:rPr>
          <w:bCs/>
          <w:szCs w:val="22"/>
        </w:rPr>
        <w:t xml:space="preserve">appears </w:t>
      </w:r>
      <w:r>
        <w:rPr>
          <w:bCs/>
          <w:szCs w:val="22"/>
        </w:rPr>
        <w:t>non-compliant</w:t>
      </w:r>
      <w:r w:rsidRPr="004B19FD">
        <w:rPr>
          <w:bCs/>
          <w:szCs w:val="22"/>
        </w:rPr>
        <w:t xml:space="preserve">, appears to have been submitted in evasion of Commission rules or orders, </w:t>
      </w:r>
      <w:r>
        <w:rPr>
          <w:szCs w:val="22"/>
        </w:rPr>
        <w:t xml:space="preserve">appears to have been submitted by, on behalf of, or for the benefit of a voice service provider whose filing was previously removed from the Robocall Mitigation Database absent any consent required under </w:t>
      </w:r>
      <w:r>
        <w:rPr>
          <w:bCs/>
          <w:szCs w:val="22"/>
        </w:rPr>
        <w:t>§ 64.6305(n)</w:t>
      </w:r>
      <w:r>
        <w:rPr>
          <w:szCs w:val="22"/>
        </w:rPr>
        <w:t xml:space="preserve">, </w:t>
      </w:r>
      <w:r w:rsidRPr="004B19FD">
        <w:rPr>
          <w:bCs/>
          <w:szCs w:val="22"/>
        </w:rPr>
        <w:t xml:space="preserve">or otherwise requires further analysis before it can be accepted and published because it appears </w:t>
      </w:r>
      <w:r>
        <w:rPr>
          <w:bCs/>
          <w:szCs w:val="22"/>
        </w:rPr>
        <w:t>to present a</w:t>
      </w:r>
      <w:r w:rsidRPr="004B19FD">
        <w:rPr>
          <w:bCs/>
          <w:szCs w:val="22"/>
        </w:rPr>
        <w:t xml:space="preserve"> cause for removal</w:t>
      </w:r>
      <w:r>
        <w:rPr>
          <w:bCs/>
          <w:szCs w:val="22"/>
        </w:rPr>
        <w:t xml:space="preserve"> or other enforcement action under </w:t>
      </w:r>
      <w:r>
        <w:t>§ 64.6305(j)</w:t>
      </w:r>
      <w:r>
        <w:rPr>
          <w:bCs/>
          <w:szCs w:val="22"/>
        </w:rPr>
        <w:t>; and</w:t>
      </w:r>
    </w:p>
    <w:p w:rsidR="005919ED" w:rsidRPr="00706A0B" w:rsidP="005919ED" w14:paraId="1C747B81" w14:textId="77777777">
      <w:pPr>
        <w:tabs>
          <w:tab w:val="left" w:pos="6447"/>
        </w:tabs>
        <w:spacing w:after="120"/>
        <w:ind w:left="720"/>
      </w:pPr>
      <w:r>
        <w:rPr>
          <w:bCs/>
          <w:szCs w:val="22"/>
        </w:rPr>
        <w:t>(5) acting jointly with the Enforcement Bureau in determining whether filings are unauthorized under § 64.6305(m) and on requests for reinstatement under § 64.6305(n).</w:t>
      </w:r>
    </w:p>
    <w:p w:rsidR="005919ED" w:rsidRPr="00275FF5" w:rsidP="005919ED" w14:paraId="3BB2C13B" w14:textId="77777777">
      <w:pPr>
        <w:spacing w:after="120"/>
        <w:rPr>
          <w:b/>
          <w:szCs w:val="22"/>
        </w:rPr>
      </w:pPr>
      <w:r w:rsidRPr="00275FF5">
        <w:rPr>
          <w:b/>
          <w:szCs w:val="22"/>
        </w:rPr>
        <w:t>* * * * *</w:t>
      </w:r>
    </w:p>
    <w:p w:rsidR="005919ED" w:rsidP="005919ED" w14:paraId="53ABC535" w14:textId="77777777">
      <w:pPr>
        <w:numPr>
          <w:ilvl w:val="0"/>
          <w:numId w:val="10"/>
        </w:numPr>
        <w:spacing w:after="120"/>
      </w:pPr>
      <w:r>
        <w:t>Amend § 0.111 by revising paragraph (a)(28) to read as follows:</w:t>
      </w:r>
    </w:p>
    <w:p w:rsidR="005919ED" w:rsidP="005919ED" w14:paraId="7FB954BF" w14:textId="77777777">
      <w:pPr>
        <w:spacing w:after="120"/>
        <w:rPr>
          <w:b/>
          <w:szCs w:val="22"/>
        </w:rPr>
      </w:pPr>
      <w:r w:rsidRPr="00104DE4">
        <w:rPr>
          <w:b/>
          <w:szCs w:val="22"/>
        </w:rPr>
        <w:t xml:space="preserve">§ </w:t>
      </w:r>
      <w:r>
        <w:rPr>
          <w:b/>
          <w:szCs w:val="22"/>
        </w:rPr>
        <w:t>0.111 Functions of the Bureau</w:t>
      </w:r>
      <w:r w:rsidRPr="00104DE4">
        <w:rPr>
          <w:b/>
          <w:szCs w:val="22"/>
        </w:rPr>
        <w:t>.</w:t>
      </w:r>
    </w:p>
    <w:p w:rsidR="005919ED" w:rsidRPr="00104DE4" w:rsidP="005919ED" w14:paraId="03F52312" w14:textId="77777777">
      <w:pPr>
        <w:spacing w:after="120"/>
        <w:rPr>
          <w:b/>
          <w:szCs w:val="22"/>
        </w:rPr>
      </w:pPr>
      <w:r w:rsidRPr="00104DE4">
        <w:rPr>
          <w:szCs w:val="22"/>
        </w:rPr>
        <w:t>(</w:t>
      </w:r>
      <w:r>
        <w:rPr>
          <w:szCs w:val="22"/>
        </w:rPr>
        <w:t>a</w:t>
      </w:r>
      <w:r w:rsidRPr="00104DE4">
        <w:rPr>
          <w:szCs w:val="22"/>
        </w:rPr>
        <w:t xml:space="preserve">) </w:t>
      </w:r>
      <w:r w:rsidRPr="00275FF5">
        <w:rPr>
          <w:b/>
          <w:szCs w:val="22"/>
        </w:rPr>
        <w:t>* * * * *</w:t>
      </w:r>
    </w:p>
    <w:p w:rsidR="005919ED" w:rsidRPr="00275FF5" w:rsidP="005919ED" w14:paraId="6E4F0A6E" w14:textId="77777777">
      <w:pPr>
        <w:spacing w:after="120"/>
        <w:rPr>
          <w:b/>
          <w:szCs w:val="22"/>
        </w:rPr>
      </w:pPr>
      <w:r w:rsidRPr="00275FF5">
        <w:rPr>
          <w:b/>
          <w:szCs w:val="22"/>
        </w:rPr>
        <w:t>* * * * *</w:t>
      </w:r>
    </w:p>
    <w:p w:rsidR="005919ED" w:rsidP="005919ED" w14:paraId="69501432" w14:textId="77777777">
      <w:pPr>
        <w:spacing w:after="120"/>
        <w:rPr>
          <w:szCs w:val="22"/>
        </w:rPr>
      </w:pPr>
      <w:r w:rsidRPr="00F705AE">
        <w:rPr>
          <w:szCs w:val="22"/>
        </w:rPr>
        <w:t>(</w:t>
      </w:r>
      <w:r>
        <w:rPr>
          <w:szCs w:val="22"/>
        </w:rPr>
        <w:t xml:space="preserve">28) </w:t>
      </w:r>
      <w:r w:rsidRPr="00D622F5">
        <w:rPr>
          <w:szCs w:val="22"/>
        </w:rPr>
        <w:t>Take</w:t>
      </w:r>
      <w:r>
        <w:rPr>
          <w:szCs w:val="22"/>
        </w:rPr>
        <w:t xml:space="preserve"> enforcement action, including removal from the Robocall Mitigation Database, against any voice service provider for any of the causes under § 64.6305(j), and act jointly with the Wireline Competition Bureau </w:t>
      </w:r>
      <w:r>
        <w:rPr>
          <w:bCs/>
          <w:szCs w:val="22"/>
        </w:rPr>
        <w:t>in determining whether filings are unauthorized under § 64.6305(m) and on requests for reinstatement under § 64.6305(n)</w:t>
      </w:r>
      <w:r>
        <w:rPr>
          <w:szCs w:val="22"/>
        </w:rPr>
        <w:t>.</w:t>
      </w:r>
    </w:p>
    <w:p w:rsidR="005919ED" w:rsidP="005919ED" w14:paraId="4023B448" w14:textId="77777777">
      <w:pPr>
        <w:spacing w:after="120"/>
        <w:rPr>
          <w:b/>
          <w:szCs w:val="22"/>
        </w:rPr>
      </w:pPr>
      <w:r w:rsidRPr="00871658">
        <w:rPr>
          <w:b/>
          <w:szCs w:val="22"/>
        </w:rPr>
        <w:t>* * * * *</w:t>
      </w:r>
    </w:p>
    <w:p w:rsidR="005919ED" w:rsidP="005919ED" w14:paraId="34C7FA22" w14:textId="77777777">
      <w:pPr>
        <w:spacing w:after="120"/>
        <w:rPr>
          <w:b/>
          <w:szCs w:val="22"/>
        </w:rPr>
      </w:pPr>
      <w:r>
        <w:rPr>
          <w:b/>
          <w:szCs w:val="22"/>
        </w:rPr>
        <w:t xml:space="preserve">PART 1 </w:t>
      </w:r>
      <w:r w:rsidRPr="00104DE4">
        <w:rPr>
          <w:b/>
          <w:szCs w:val="22"/>
        </w:rPr>
        <w:t>–</w:t>
      </w:r>
      <w:r>
        <w:rPr>
          <w:b/>
          <w:szCs w:val="22"/>
        </w:rPr>
        <w:t xml:space="preserve"> Practice and Procedure</w:t>
      </w:r>
    </w:p>
    <w:p w:rsidR="005919ED" w:rsidRPr="001A3EF3" w:rsidP="005919ED" w14:paraId="76D3CB3B" w14:textId="77777777">
      <w:pPr>
        <w:numPr>
          <w:ilvl w:val="0"/>
          <w:numId w:val="10"/>
        </w:numPr>
        <w:spacing w:after="120"/>
        <w:rPr>
          <w:bCs/>
          <w:iCs/>
        </w:rPr>
      </w:pPr>
      <w:r>
        <w:t xml:space="preserve">Amend </w:t>
      </w:r>
      <w:r w:rsidRPr="00104DE4">
        <w:rPr>
          <w:szCs w:val="22"/>
        </w:rPr>
        <w:t>§</w:t>
      </w:r>
      <w:r>
        <w:rPr>
          <w:szCs w:val="22"/>
        </w:rPr>
        <w:t xml:space="preserve"> 1.80002 by revising Table 1 to paragraph (a) to read as follows:</w:t>
      </w:r>
    </w:p>
    <w:p w:rsidR="005919ED" w:rsidRPr="008C4134" w:rsidP="005919ED" w14:paraId="36289151" w14:textId="77777777">
      <w:pPr>
        <w:spacing w:after="120"/>
        <w:rPr>
          <w:b/>
          <w:szCs w:val="22"/>
        </w:rPr>
      </w:pPr>
      <w:r w:rsidRPr="008C4134">
        <w:rPr>
          <w:b/>
          <w:szCs w:val="22"/>
        </w:rPr>
        <w:t>§ 1.80002 Schedules of Covered Authorizations subject to Foreign Adversary Control rules.</w:t>
      </w:r>
    </w:p>
    <w:p w:rsidR="005919ED" w:rsidRPr="008C4134" w:rsidP="005919ED" w14:paraId="4D5BA611" w14:textId="77777777">
      <w:pPr>
        <w:spacing w:after="120"/>
        <w:rPr>
          <w:szCs w:val="22"/>
        </w:rPr>
      </w:pPr>
      <w:r w:rsidRPr="008C4134">
        <w:rPr>
          <w:szCs w:val="22"/>
        </w:rPr>
        <w:t xml:space="preserve">(a) </w:t>
      </w:r>
      <w:r w:rsidRPr="008C4134">
        <w:rPr>
          <w:i/>
          <w:iCs/>
          <w:szCs w:val="22"/>
        </w:rPr>
        <w:t>Schedule A Covered Authorizations.</w:t>
      </w:r>
    </w:p>
    <w:p w:rsidR="005919ED" w:rsidRPr="004B51BE" w:rsidP="005919ED" w14:paraId="4FFECB9E" w14:textId="77777777">
      <w:pPr>
        <w:keepNext/>
        <w:spacing w:after="120"/>
      </w:pPr>
      <w:r w:rsidRPr="000C19E9">
        <w:t>Table 1 to Paragraph (a)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35"/>
        <w:gridCol w:w="4230"/>
        <w:gridCol w:w="2785"/>
      </w:tblGrid>
      <w:tr w14:paraId="741BE332" w14:textId="77777777">
        <w:tblPrEx>
          <w:tblW w:w="0" w:type="auto"/>
          <w:tblLook w:val="04A0"/>
        </w:tblPrEx>
        <w:trPr>
          <w:cantSplit/>
          <w:tblHeader/>
        </w:trPr>
        <w:tc>
          <w:tcPr>
            <w:tcW w:w="2335" w:type="dxa"/>
            <w:shd w:val="clear" w:color="auto" w:fill="D9D9D9"/>
          </w:tcPr>
          <w:p w:rsidR="005919ED" w:rsidRPr="000C19E9" w14:paraId="7CD64662" w14:textId="77777777">
            <w:pPr>
              <w:rPr>
                <w:b/>
              </w:rPr>
            </w:pPr>
            <w:r w:rsidRPr="000C19E9">
              <w:rPr>
                <w:b/>
              </w:rPr>
              <w:t>Legal Authority Citation</w:t>
            </w:r>
          </w:p>
        </w:tc>
        <w:tc>
          <w:tcPr>
            <w:tcW w:w="4230" w:type="dxa"/>
            <w:shd w:val="clear" w:color="auto" w:fill="D9D9D9"/>
          </w:tcPr>
          <w:p w:rsidR="005919ED" w:rsidRPr="000C19E9" w14:paraId="43572393" w14:textId="77777777">
            <w:pPr>
              <w:rPr>
                <w:b/>
              </w:rPr>
            </w:pPr>
            <w:r w:rsidRPr="000C19E9">
              <w:rPr>
                <w:b/>
              </w:rPr>
              <w:t>Covered Authorization Type</w:t>
            </w:r>
          </w:p>
        </w:tc>
        <w:tc>
          <w:tcPr>
            <w:tcW w:w="2785" w:type="dxa"/>
            <w:shd w:val="clear" w:color="auto" w:fill="D9D9D9"/>
          </w:tcPr>
          <w:p w:rsidR="005919ED" w:rsidRPr="000C19E9" w14:paraId="00FC8F8E" w14:textId="77777777">
            <w:pPr>
              <w:rPr>
                <w:b/>
              </w:rPr>
            </w:pPr>
            <w:r w:rsidRPr="000C19E9">
              <w:rPr>
                <w:b/>
              </w:rPr>
              <w:t>Qualification(s)</w:t>
            </w:r>
          </w:p>
        </w:tc>
      </w:tr>
      <w:tr w14:paraId="6292792A" w14:textId="77777777">
        <w:tblPrEx>
          <w:tblW w:w="0" w:type="auto"/>
          <w:tblLook w:val="04A0"/>
        </w:tblPrEx>
        <w:trPr>
          <w:cantSplit/>
        </w:trPr>
        <w:tc>
          <w:tcPr>
            <w:tcW w:w="2335" w:type="dxa"/>
          </w:tcPr>
          <w:p w:rsidR="005919ED" w:rsidRPr="000C19E9" w14:paraId="6CE7E03C" w14:textId="77777777">
            <w:r w:rsidRPr="000C19E9">
              <w:t>47 CFR parts 22, 24, 27, 30, 90, 96, and 101</w:t>
            </w:r>
          </w:p>
        </w:tc>
        <w:tc>
          <w:tcPr>
            <w:tcW w:w="4230" w:type="dxa"/>
          </w:tcPr>
          <w:p w:rsidR="005919ED" w:rsidRPr="000C19E9" w14:paraId="169258E8" w14:textId="77777777">
            <w:r w:rsidRPr="000C19E9">
              <w:t xml:space="preserve">Broadband-capable, geographic-area wireless licenses in the following services:  </w:t>
            </w:r>
          </w:p>
          <w:p w:rsidR="005919ED" w:rsidRPr="00983859" w14:paraId="0769808B"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AWS-4 (2000-2020 MHz and 2180-2200 MHz)</w:t>
            </w:r>
          </w:p>
          <w:p w:rsidR="005919ED" w:rsidRPr="00983859" w14:paraId="75751A2D"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AWS-H Block (at 1915-1920 MHz and 1995-2000 MHz)</w:t>
            </w:r>
          </w:p>
          <w:p w:rsidR="005919ED" w:rsidRPr="00983859" w14:paraId="287A2DB4"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AWS-3 (1695-1710 MHz, 1755-1780 MHz, and 2155-2180 MHz)</w:t>
            </w:r>
          </w:p>
          <w:p w:rsidR="005919ED" w:rsidRPr="00983859" w14:paraId="723827E2"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AWS (1710-1755 MHz and 2110-2155 MHz)</w:t>
            </w:r>
          </w:p>
          <w:p w:rsidR="005919ED" w:rsidRPr="00983859" w14:paraId="6F5EEC9B"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1670-1675 MHz Band, Market Area</w:t>
            </w:r>
          </w:p>
          <w:p w:rsidR="005919ED" w:rsidRPr="00983859" w14:paraId="27A7D88B"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Broadband Radio Service</w:t>
            </w:r>
          </w:p>
          <w:p w:rsidR="005919ED" w:rsidRPr="00983859" w14:paraId="6D2B0511"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900 MHz Broadband Service</w:t>
            </w:r>
          </w:p>
          <w:p w:rsidR="005919ED" w:rsidRPr="00983859" w14:paraId="266E3C56"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Commercial Aviation Air-Ground Radiotelephone (800 MHz band)</w:t>
            </w:r>
          </w:p>
          <w:p w:rsidR="005919ED" w:rsidRPr="00983859" w14:paraId="6E0D7D17"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Cellular</w:t>
            </w:r>
          </w:p>
          <w:p w:rsidR="005919ED" w:rsidRPr="00983859" w14:paraId="1684D0FF"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PCS Broadband</w:t>
            </w:r>
          </w:p>
          <w:p w:rsidR="005919ED" w:rsidRPr="00983859" w14:paraId="00528103"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1910-1915/1990-1995 MHz Bands, Market Area</w:t>
            </w:r>
          </w:p>
          <w:p w:rsidR="005919ED" w:rsidRPr="00983859" w14:paraId="782BF04E"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Educational Broadband Service</w:t>
            </w:r>
          </w:p>
          <w:p w:rsidR="005919ED" w:rsidRPr="00983859" w14:paraId="48AEE496"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3.45 GHz Service</w:t>
            </w:r>
          </w:p>
          <w:p w:rsidR="005919ED" w:rsidRPr="00983859" w14:paraId="78842747"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3.5 GHz Band Priority Access License</w:t>
            </w:r>
          </w:p>
          <w:p w:rsidR="005919ED" w:rsidRPr="00983859" w14:paraId="00E3D85E"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3.7 GHz Service</w:t>
            </w:r>
          </w:p>
          <w:p w:rsidR="005919ED" w:rsidRPr="00983859" w14:paraId="3FF02E25"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Upper Microwave Flexible Use Service</w:t>
            </w:r>
          </w:p>
          <w:p w:rsidR="005919ED" w:rsidRPr="00983859" w14:paraId="7C270A6B"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Wireless Communications Service</w:t>
            </w:r>
          </w:p>
          <w:p w:rsidR="005919ED" w:rsidRPr="00983859" w14:paraId="00C7B365"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600 MHz Band</w:t>
            </w:r>
          </w:p>
          <w:p w:rsidR="005919ED" w:rsidRPr="00983859" w14:paraId="0839DB5F"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700 MHz Upper Band (Block C)</w:t>
            </w:r>
          </w:p>
          <w:p w:rsidR="005919ED" w:rsidRPr="00983859" w14:paraId="2EA18F66"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700 MHz Lower Band (Blocks A, B &amp; E)</w:t>
            </w:r>
          </w:p>
          <w:p w:rsidR="005919ED" w:rsidRPr="00983859" w14:paraId="070710C4" w14:textId="77777777">
            <w:pPr>
              <w:pStyle w:val="ListParagraph"/>
              <w:widowControl w:val="0"/>
              <w:numPr>
                <w:ilvl w:val="0"/>
                <w:numId w:val="21"/>
              </w:numPr>
              <w:spacing w:after="0" w:line="240" w:lineRule="auto"/>
              <w:contextualSpacing w:val="0"/>
              <w:rPr>
                <w:rFonts w:ascii="Times New Roman" w:hAnsi="Times New Roman" w:cs="Times New Roman"/>
              </w:rPr>
            </w:pPr>
            <w:r w:rsidRPr="00983859">
              <w:rPr>
                <w:rFonts w:ascii="Times New Roman" w:hAnsi="Times New Roman" w:cs="Times New Roman"/>
              </w:rPr>
              <w:t>700 MHz Lower Band (Blocks C, D)</w:t>
            </w:r>
          </w:p>
        </w:tc>
        <w:tc>
          <w:tcPr>
            <w:tcW w:w="2785" w:type="dxa"/>
          </w:tcPr>
          <w:p w:rsidR="005919ED" w:rsidRPr="000C19E9" w14:paraId="351ADCB9" w14:textId="77777777"/>
        </w:tc>
      </w:tr>
      <w:tr w14:paraId="53169C15" w14:textId="77777777">
        <w:tblPrEx>
          <w:tblW w:w="0" w:type="auto"/>
          <w:tblLook w:val="04A0"/>
        </w:tblPrEx>
        <w:trPr>
          <w:cantSplit/>
        </w:trPr>
        <w:tc>
          <w:tcPr>
            <w:tcW w:w="2335" w:type="dxa"/>
          </w:tcPr>
          <w:p w:rsidR="005919ED" w:rsidRPr="000C19E9" w14:paraId="283F1B2F" w14:textId="77777777">
            <w:r w:rsidRPr="000C19E9">
              <w:t>47 CFR parts 26, 87, 90, 95, and 96</w:t>
            </w:r>
          </w:p>
        </w:tc>
        <w:tc>
          <w:tcPr>
            <w:tcW w:w="4230" w:type="dxa"/>
          </w:tcPr>
          <w:p w:rsidR="005919ED" w:rsidRPr="000C19E9" w14:paraId="1802B0D8" w14:textId="77777777">
            <w:r w:rsidRPr="000C19E9">
              <w:t>Frequency coordinator certifications</w:t>
            </w:r>
          </w:p>
        </w:tc>
        <w:tc>
          <w:tcPr>
            <w:tcW w:w="2785" w:type="dxa"/>
          </w:tcPr>
          <w:p w:rsidR="005919ED" w:rsidRPr="000C19E9" w14:paraId="3A470EFC" w14:textId="77777777"/>
        </w:tc>
      </w:tr>
      <w:tr w14:paraId="7083F3C3" w14:textId="77777777">
        <w:tblPrEx>
          <w:tblW w:w="0" w:type="auto"/>
          <w:tblLook w:val="04A0"/>
        </w:tblPrEx>
        <w:trPr>
          <w:cantSplit/>
        </w:trPr>
        <w:tc>
          <w:tcPr>
            <w:tcW w:w="2335" w:type="dxa"/>
          </w:tcPr>
          <w:p w:rsidR="005919ED" w:rsidRPr="000C19E9" w14:paraId="256EB6DC" w14:textId="77777777">
            <w:r w:rsidRPr="000C19E9">
              <w:t>47 U.S.C. 310(b); 47 CFR part 1</w:t>
            </w:r>
          </w:p>
        </w:tc>
        <w:tc>
          <w:tcPr>
            <w:tcW w:w="4230" w:type="dxa"/>
          </w:tcPr>
          <w:p w:rsidR="005919ED" w:rsidRPr="000C19E9" w14:paraId="2369D89C" w14:textId="77777777">
            <w:r w:rsidRPr="000C19E9">
              <w:t>Section 310(b) declaratory rulings</w:t>
            </w:r>
          </w:p>
        </w:tc>
        <w:tc>
          <w:tcPr>
            <w:tcW w:w="2785" w:type="dxa"/>
          </w:tcPr>
          <w:p w:rsidR="005919ED" w:rsidRPr="000C19E9" w14:paraId="2EA7A57A" w14:textId="77777777"/>
        </w:tc>
      </w:tr>
      <w:tr w14:paraId="06835C75" w14:textId="77777777">
        <w:tblPrEx>
          <w:tblW w:w="0" w:type="auto"/>
          <w:tblLook w:val="04A0"/>
        </w:tblPrEx>
        <w:trPr>
          <w:cantSplit/>
        </w:trPr>
        <w:tc>
          <w:tcPr>
            <w:tcW w:w="2335" w:type="dxa"/>
          </w:tcPr>
          <w:p w:rsidR="005919ED" w:rsidRPr="000C19E9" w14:paraId="112B73C2" w14:textId="77777777">
            <w:r w:rsidRPr="000C19E9">
              <w:t>47 CFR part 25</w:t>
            </w:r>
          </w:p>
        </w:tc>
        <w:tc>
          <w:tcPr>
            <w:tcW w:w="4230" w:type="dxa"/>
          </w:tcPr>
          <w:p w:rsidR="005919ED" w:rsidRPr="000C19E9" w14:paraId="4B048CF4" w14:textId="77777777">
            <w:r w:rsidRPr="000C19E9">
              <w:t xml:space="preserve">Space and earth station authorizations  </w:t>
            </w:r>
          </w:p>
        </w:tc>
        <w:tc>
          <w:tcPr>
            <w:tcW w:w="2785" w:type="dxa"/>
          </w:tcPr>
          <w:p w:rsidR="005919ED" w:rsidRPr="000C19E9" w14:paraId="08A03E51" w14:textId="77777777"/>
        </w:tc>
      </w:tr>
      <w:tr w14:paraId="6515734F" w14:textId="77777777">
        <w:tblPrEx>
          <w:tblW w:w="0" w:type="auto"/>
          <w:tblLook w:val="04A0"/>
        </w:tblPrEx>
        <w:trPr>
          <w:cantSplit/>
        </w:trPr>
        <w:tc>
          <w:tcPr>
            <w:tcW w:w="2335" w:type="dxa"/>
          </w:tcPr>
          <w:p w:rsidR="005919ED" w:rsidRPr="000C19E9" w14:paraId="787E9C5D" w14:textId="77777777">
            <w:r w:rsidRPr="000C19E9">
              <w:t>47 CFR parts 73, 74, 76, and 78</w:t>
            </w:r>
          </w:p>
        </w:tc>
        <w:tc>
          <w:tcPr>
            <w:tcW w:w="4230" w:type="dxa"/>
          </w:tcPr>
          <w:p w:rsidR="005919ED" w:rsidRPr="00DA3FCB" w14:paraId="2C418DE7" w14:textId="77777777">
            <w:pPr>
              <w:pStyle w:val="ListParagraph"/>
              <w:widowControl w:val="0"/>
              <w:numPr>
                <w:ilvl w:val="0"/>
                <w:numId w:val="21"/>
              </w:numPr>
              <w:spacing w:after="0" w:line="240" w:lineRule="auto"/>
              <w:contextualSpacing w:val="0"/>
              <w:rPr>
                <w:rFonts w:ascii="Times New Roman" w:hAnsi="Times New Roman" w:cs="Times New Roman"/>
              </w:rPr>
            </w:pPr>
            <w:r w:rsidRPr="00DA3FCB">
              <w:rPr>
                <w:rFonts w:ascii="Times New Roman" w:hAnsi="Times New Roman" w:cs="Times New Roman"/>
              </w:rPr>
              <w:t>Broadcast licenses (AM, FM, LPFM, FM translator, FM Booster, Full Power TV, Class A TV, LPTV, TV translator)</w:t>
            </w:r>
          </w:p>
          <w:p w:rsidR="005919ED" w:rsidRPr="00DA3FCB" w14:paraId="69EDA2F8" w14:textId="77777777">
            <w:pPr>
              <w:pStyle w:val="ListParagraph"/>
              <w:widowControl w:val="0"/>
              <w:numPr>
                <w:ilvl w:val="0"/>
                <w:numId w:val="21"/>
              </w:numPr>
              <w:spacing w:after="0" w:line="240" w:lineRule="auto"/>
              <w:contextualSpacing w:val="0"/>
              <w:rPr>
                <w:rFonts w:ascii="Times New Roman" w:hAnsi="Times New Roman" w:cs="Times New Roman"/>
              </w:rPr>
            </w:pPr>
            <w:r w:rsidRPr="00DA3FCB">
              <w:rPr>
                <w:rFonts w:ascii="Times New Roman" w:hAnsi="Times New Roman" w:cs="Times New Roman"/>
              </w:rPr>
              <w:t>Cable television relay service station (CARS) licenses</w:t>
            </w:r>
          </w:p>
        </w:tc>
        <w:tc>
          <w:tcPr>
            <w:tcW w:w="2785" w:type="dxa"/>
          </w:tcPr>
          <w:p w:rsidR="005919ED" w:rsidRPr="000C19E9" w14:paraId="5C91EBF1" w14:textId="77777777">
            <w:r w:rsidRPr="00A25EC9">
              <w:t>The holder of which has 6 or more full-time employees or, in the case of a holder of a broadcast license, receives an affirmative response under the Commission’s foreign sponsorship identification rules from a lessee that is a foreign adversary.</w:t>
            </w:r>
          </w:p>
        </w:tc>
      </w:tr>
      <w:tr w14:paraId="1986E5C7" w14:textId="77777777">
        <w:tblPrEx>
          <w:tblW w:w="0" w:type="auto"/>
          <w:tblLook w:val="04A0"/>
        </w:tblPrEx>
        <w:trPr>
          <w:cantSplit/>
        </w:trPr>
        <w:tc>
          <w:tcPr>
            <w:tcW w:w="2335" w:type="dxa"/>
          </w:tcPr>
          <w:p w:rsidR="005919ED" w:rsidRPr="000C19E9" w14:paraId="02F59A16" w14:textId="77777777">
            <w:r w:rsidRPr="000C19E9">
              <w:t>47 CFR part 73</w:t>
            </w:r>
          </w:p>
        </w:tc>
        <w:tc>
          <w:tcPr>
            <w:tcW w:w="4230" w:type="dxa"/>
          </w:tcPr>
          <w:p w:rsidR="005919ED" w:rsidRPr="000C19E9" w14:paraId="2324DF30" w14:textId="77777777">
            <w:r w:rsidRPr="000C19E9">
              <w:t>International broadcast station licenses</w:t>
            </w:r>
          </w:p>
        </w:tc>
        <w:tc>
          <w:tcPr>
            <w:tcW w:w="2785" w:type="dxa"/>
          </w:tcPr>
          <w:p w:rsidR="005919ED" w:rsidRPr="000C19E9" w14:paraId="5892F9D3" w14:textId="77777777">
            <w:r w:rsidRPr="00756231">
              <w:t>The holder of which has 6 or more full-time employees or receives an affirmative response under the Commission’s foreign sponsorship identification rules from a lessee that is a foreign adversary.</w:t>
            </w:r>
          </w:p>
        </w:tc>
      </w:tr>
      <w:tr w14:paraId="55133D8F" w14:textId="77777777">
        <w:tblPrEx>
          <w:tblW w:w="0" w:type="auto"/>
          <w:tblLook w:val="04A0"/>
        </w:tblPrEx>
        <w:trPr>
          <w:cantSplit/>
        </w:trPr>
        <w:tc>
          <w:tcPr>
            <w:tcW w:w="2335" w:type="dxa"/>
          </w:tcPr>
          <w:p w:rsidR="005919ED" w:rsidRPr="000C19E9" w14:paraId="6729B9C4" w14:textId="77777777">
            <w:r w:rsidRPr="000C19E9">
              <w:t>47 U.S.C. 325(c); 47 CFR part 73</w:t>
            </w:r>
          </w:p>
        </w:tc>
        <w:tc>
          <w:tcPr>
            <w:tcW w:w="4230" w:type="dxa"/>
          </w:tcPr>
          <w:p w:rsidR="005919ED" w:rsidRPr="000C19E9" w14:paraId="46C87011" w14:textId="77777777">
            <w:r w:rsidRPr="000C19E9">
              <w:t>Section 325(c) authorizations</w:t>
            </w:r>
          </w:p>
        </w:tc>
        <w:tc>
          <w:tcPr>
            <w:tcW w:w="2785" w:type="dxa"/>
          </w:tcPr>
          <w:p w:rsidR="005919ED" w:rsidRPr="000C19E9" w14:paraId="12800A2E" w14:textId="77777777">
            <w:r w:rsidRPr="008A0B63">
              <w:t>The holder of which has 6 or more full-time employees or receives an affirmative response under the Commission’s foreign sponsorship identification rules from a lessee that is a foreign adversary.</w:t>
            </w:r>
          </w:p>
        </w:tc>
      </w:tr>
      <w:tr w14:paraId="59B5FB7D" w14:textId="77777777">
        <w:tblPrEx>
          <w:tblW w:w="0" w:type="auto"/>
          <w:tblLook w:val="04A0"/>
        </w:tblPrEx>
        <w:trPr>
          <w:cantSplit/>
        </w:trPr>
        <w:tc>
          <w:tcPr>
            <w:tcW w:w="2335" w:type="dxa"/>
          </w:tcPr>
          <w:p w:rsidR="005919ED" w:rsidRPr="000C19E9" w14:paraId="5E2D6F4A" w14:textId="77777777">
            <w:r w:rsidRPr="000C19E9">
              <w:t>Cable Landing License Act of 1921; Executive Order 10530 of 1954; 47 CFR part 1</w:t>
            </w:r>
          </w:p>
        </w:tc>
        <w:tc>
          <w:tcPr>
            <w:tcW w:w="4230" w:type="dxa"/>
          </w:tcPr>
          <w:p w:rsidR="005919ED" w:rsidRPr="000C19E9" w14:paraId="101349A5" w14:textId="77777777">
            <w:r w:rsidRPr="000C19E9">
              <w:t>Submarine cable landing licenses</w:t>
            </w:r>
          </w:p>
        </w:tc>
        <w:tc>
          <w:tcPr>
            <w:tcW w:w="2785" w:type="dxa"/>
          </w:tcPr>
          <w:p w:rsidR="005919ED" w:rsidRPr="000C19E9" w14:paraId="4EFCF7A9" w14:textId="77777777"/>
        </w:tc>
      </w:tr>
      <w:tr w14:paraId="7B3F4183" w14:textId="77777777">
        <w:tblPrEx>
          <w:tblW w:w="0" w:type="auto"/>
          <w:tblLook w:val="04A0"/>
        </w:tblPrEx>
        <w:trPr>
          <w:cantSplit/>
        </w:trPr>
        <w:tc>
          <w:tcPr>
            <w:tcW w:w="2335" w:type="dxa"/>
          </w:tcPr>
          <w:p w:rsidR="005919ED" w:rsidRPr="000C19E9" w14:paraId="357DD63C" w14:textId="77777777">
            <w:r w:rsidRPr="000C19E9">
              <w:rPr>
                <w:szCs w:val="22"/>
              </w:rPr>
              <w:t>47 U.S.C. 214(a); 47 CFR part 63</w:t>
            </w:r>
          </w:p>
        </w:tc>
        <w:tc>
          <w:tcPr>
            <w:tcW w:w="4230" w:type="dxa"/>
          </w:tcPr>
          <w:p w:rsidR="005919ED" w:rsidRPr="000C19E9" w14:paraId="37907DE2" w14:textId="77777777">
            <w:r w:rsidRPr="000C19E9">
              <w:rPr>
                <w:szCs w:val="22"/>
              </w:rPr>
              <w:t>Domestic section 214(a) authorizations</w:t>
            </w:r>
          </w:p>
        </w:tc>
        <w:tc>
          <w:tcPr>
            <w:tcW w:w="2785" w:type="dxa"/>
          </w:tcPr>
          <w:p w:rsidR="005919ED" w:rsidRPr="000C19E9" w14:paraId="3D3A28E2" w14:textId="77777777"/>
        </w:tc>
      </w:tr>
      <w:tr w14:paraId="39C98E18" w14:textId="77777777">
        <w:tblPrEx>
          <w:tblW w:w="0" w:type="auto"/>
          <w:tblLook w:val="04A0"/>
        </w:tblPrEx>
        <w:trPr>
          <w:cantSplit/>
        </w:trPr>
        <w:tc>
          <w:tcPr>
            <w:tcW w:w="2335" w:type="dxa"/>
          </w:tcPr>
          <w:p w:rsidR="005919ED" w:rsidRPr="000C19E9" w14:paraId="44C12F82" w14:textId="77777777">
            <w:r w:rsidRPr="000C19E9">
              <w:rPr>
                <w:szCs w:val="22"/>
              </w:rPr>
              <w:t>47 U.S.C. 214(e), 47 CFR part 54, subpart C</w:t>
            </w:r>
          </w:p>
        </w:tc>
        <w:tc>
          <w:tcPr>
            <w:tcW w:w="4230" w:type="dxa"/>
          </w:tcPr>
          <w:p w:rsidR="005919ED" w:rsidRPr="000C19E9" w14:paraId="42485DE0" w14:textId="77777777">
            <w:r w:rsidRPr="000C19E9">
              <w:rPr>
                <w:szCs w:val="22"/>
              </w:rPr>
              <w:t>Eligible telecommunications carrier designations</w:t>
            </w:r>
          </w:p>
        </w:tc>
        <w:tc>
          <w:tcPr>
            <w:tcW w:w="2785" w:type="dxa"/>
          </w:tcPr>
          <w:p w:rsidR="005919ED" w:rsidRPr="000C19E9" w14:paraId="6D46376F" w14:textId="77777777"/>
        </w:tc>
      </w:tr>
      <w:tr w14:paraId="368E3D2E" w14:textId="77777777">
        <w:tblPrEx>
          <w:tblW w:w="0" w:type="auto"/>
          <w:tblLook w:val="04A0"/>
        </w:tblPrEx>
        <w:trPr>
          <w:cantSplit/>
        </w:trPr>
        <w:tc>
          <w:tcPr>
            <w:tcW w:w="2335" w:type="dxa"/>
          </w:tcPr>
          <w:p w:rsidR="005919ED" w:rsidRPr="000C19E9" w14:paraId="045CF06F" w14:textId="77777777">
            <w:r w:rsidRPr="000C19E9">
              <w:rPr>
                <w:szCs w:val="22"/>
              </w:rPr>
              <w:t>47 U.S.C. 214; 47 CFR part 63</w:t>
            </w:r>
          </w:p>
        </w:tc>
        <w:tc>
          <w:tcPr>
            <w:tcW w:w="4230" w:type="dxa"/>
          </w:tcPr>
          <w:p w:rsidR="005919ED" w:rsidRPr="000C19E9" w14:paraId="7C809143" w14:textId="77777777">
            <w:r w:rsidRPr="000C19E9">
              <w:rPr>
                <w:szCs w:val="22"/>
              </w:rPr>
              <w:t>International section 214 authorizations</w:t>
            </w:r>
          </w:p>
        </w:tc>
        <w:tc>
          <w:tcPr>
            <w:tcW w:w="2785" w:type="dxa"/>
          </w:tcPr>
          <w:p w:rsidR="005919ED" w:rsidRPr="000C19E9" w14:paraId="6B51A75B" w14:textId="77777777"/>
        </w:tc>
      </w:tr>
      <w:tr w14:paraId="39EBA878" w14:textId="77777777">
        <w:tblPrEx>
          <w:tblW w:w="0" w:type="auto"/>
          <w:tblLook w:val="04A0"/>
        </w:tblPrEx>
        <w:trPr>
          <w:cantSplit/>
        </w:trPr>
        <w:tc>
          <w:tcPr>
            <w:tcW w:w="2335" w:type="dxa"/>
          </w:tcPr>
          <w:p w:rsidR="005919ED" w:rsidRPr="000C19E9" w14:paraId="09CDCF94" w14:textId="77777777">
            <w:r w:rsidRPr="000C19E9">
              <w:rPr>
                <w:szCs w:val="22"/>
              </w:rPr>
              <w:t>47 CFR part 52</w:t>
            </w:r>
          </w:p>
        </w:tc>
        <w:tc>
          <w:tcPr>
            <w:tcW w:w="4230" w:type="dxa"/>
          </w:tcPr>
          <w:p w:rsidR="005919ED" w:rsidRPr="000C19E9" w14:paraId="37A10748" w14:textId="77777777">
            <w:r w:rsidRPr="000C19E9">
              <w:rPr>
                <w:szCs w:val="22"/>
              </w:rPr>
              <w:t>Interconnected Voice over Internet Protocol direct access to numbering resources authorizations</w:t>
            </w:r>
          </w:p>
        </w:tc>
        <w:tc>
          <w:tcPr>
            <w:tcW w:w="2785" w:type="dxa"/>
          </w:tcPr>
          <w:p w:rsidR="005919ED" w:rsidRPr="000C19E9" w14:paraId="37A11692" w14:textId="77777777"/>
        </w:tc>
      </w:tr>
      <w:tr w14:paraId="3A308794" w14:textId="77777777">
        <w:tblPrEx>
          <w:tblW w:w="0" w:type="auto"/>
          <w:tblLook w:val="04A0"/>
        </w:tblPrEx>
        <w:trPr>
          <w:cantSplit/>
        </w:trPr>
        <w:tc>
          <w:tcPr>
            <w:tcW w:w="2335" w:type="dxa"/>
          </w:tcPr>
          <w:p w:rsidR="005919ED" w:rsidRPr="000C19E9" w14:paraId="20AADDBC" w14:textId="77777777">
            <w:r w:rsidRPr="000C19E9">
              <w:rPr>
                <w:szCs w:val="22"/>
              </w:rPr>
              <w:t>47 CFR part 2, subpart J</w:t>
            </w:r>
          </w:p>
        </w:tc>
        <w:tc>
          <w:tcPr>
            <w:tcW w:w="4230" w:type="dxa"/>
          </w:tcPr>
          <w:p w:rsidR="005919ED" w:rsidRPr="000C19E9" w14:paraId="56093C7A" w14:textId="77777777">
            <w:r w:rsidRPr="000C19E9">
              <w:rPr>
                <w:szCs w:val="22"/>
              </w:rPr>
              <w:t xml:space="preserve">Equipment certifications </w:t>
            </w:r>
          </w:p>
        </w:tc>
        <w:tc>
          <w:tcPr>
            <w:tcW w:w="2785" w:type="dxa"/>
          </w:tcPr>
          <w:p w:rsidR="005919ED" w:rsidRPr="000C19E9" w14:paraId="3B620397" w14:textId="77777777"/>
        </w:tc>
      </w:tr>
      <w:tr w14:paraId="6D0E0BF1" w14:textId="77777777">
        <w:tblPrEx>
          <w:tblW w:w="0" w:type="auto"/>
          <w:tblLook w:val="04A0"/>
        </w:tblPrEx>
        <w:trPr>
          <w:cantSplit/>
        </w:trPr>
        <w:tc>
          <w:tcPr>
            <w:tcW w:w="2335" w:type="dxa"/>
          </w:tcPr>
          <w:p w:rsidR="005919ED" w:rsidRPr="000C19E9" w14:paraId="72CE1CCB" w14:textId="77777777">
            <w:r w:rsidRPr="000C19E9">
              <w:rPr>
                <w:szCs w:val="22"/>
              </w:rPr>
              <w:t>47 CFR part 1; ITU-T Recommendation X.121</w:t>
            </w:r>
          </w:p>
        </w:tc>
        <w:tc>
          <w:tcPr>
            <w:tcW w:w="4230" w:type="dxa"/>
          </w:tcPr>
          <w:p w:rsidR="005919ED" w:rsidRPr="000C19E9" w14:paraId="68338464" w14:textId="77777777">
            <w:r w:rsidRPr="000C19E9">
              <w:rPr>
                <w:szCs w:val="22"/>
              </w:rPr>
              <w:t>Data network identification codes</w:t>
            </w:r>
          </w:p>
        </w:tc>
        <w:tc>
          <w:tcPr>
            <w:tcW w:w="2785" w:type="dxa"/>
          </w:tcPr>
          <w:p w:rsidR="005919ED" w:rsidRPr="000C19E9" w14:paraId="1B6AD8DB" w14:textId="77777777"/>
        </w:tc>
      </w:tr>
      <w:tr w14:paraId="5C7C565D" w14:textId="77777777">
        <w:tblPrEx>
          <w:tblW w:w="0" w:type="auto"/>
          <w:tblLook w:val="04A0"/>
        </w:tblPrEx>
        <w:trPr>
          <w:cantSplit/>
        </w:trPr>
        <w:tc>
          <w:tcPr>
            <w:tcW w:w="2335" w:type="dxa"/>
          </w:tcPr>
          <w:p w:rsidR="005919ED" w:rsidRPr="000C19E9" w14:paraId="4EED1A34" w14:textId="77777777">
            <w:r w:rsidRPr="000C19E9">
              <w:rPr>
                <w:szCs w:val="22"/>
              </w:rPr>
              <w:t>47 CFR part 1; ITU-T Recommendation Q.708</w:t>
            </w:r>
          </w:p>
        </w:tc>
        <w:tc>
          <w:tcPr>
            <w:tcW w:w="4230" w:type="dxa"/>
          </w:tcPr>
          <w:p w:rsidR="005919ED" w:rsidRPr="000C19E9" w14:paraId="79132E41" w14:textId="77777777">
            <w:r w:rsidRPr="000C19E9">
              <w:rPr>
                <w:szCs w:val="22"/>
              </w:rPr>
              <w:t>International signaling point codes</w:t>
            </w:r>
          </w:p>
        </w:tc>
        <w:tc>
          <w:tcPr>
            <w:tcW w:w="2785" w:type="dxa"/>
          </w:tcPr>
          <w:p w:rsidR="005919ED" w:rsidRPr="000C19E9" w14:paraId="6FE26CFF" w14:textId="77777777"/>
        </w:tc>
      </w:tr>
      <w:tr w14:paraId="4F0F3135" w14:textId="77777777">
        <w:tblPrEx>
          <w:tblW w:w="0" w:type="auto"/>
          <w:tblLook w:val="04A0"/>
        </w:tblPrEx>
        <w:trPr>
          <w:cantSplit/>
        </w:trPr>
        <w:tc>
          <w:tcPr>
            <w:tcW w:w="2335" w:type="dxa"/>
          </w:tcPr>
          <w:p w:rsidR="005919ED" w:rsidRPr="000C19E9" w14:paraId="290A24FF" w14:textId="77777777">
            <w:r w:rsidRPr="000C19E9">
              <w:rPr>
                <w:szCs w:val="22"/>
              </w:rPr>
              <w:t>47 CFR part 1; 47 CFR part 63; Constitution and Convention of the International Telecommunication Union</w:t>
            </w:r>
          </w:p>
        </w:tc>
        <w:tc>
          <w:tcPr>
            <w:tcW w:w="4230" w:type="dxa"/>
          </w:tcPr>
          <w:p w:rsidR="005919ED" w:rsidRPr="000C19E9" w14:paraId="053A241B" w14:textId="77777777">
            <w:r w:rsidRPr="000C19E9">
              <w:rPr>
                <w:szCs w:val="22"/>
              </w:rPr>
              <w:t>Recognized operating agencies</w:t>
            </w:r>
          </w:p>
        </w:tc>
        <w:tc>
          <w:tcPr>
            <w:tcW w:w="2785" w:type="dxa"/>
          </w:tcPr>
          <w:p w:rsidR="005919ED" w:rsidRPr="000C19E9" w14:paraId="2287CEA4" w14:textId="77777777"/>
        </w:tc>
      </w:tr>
      <w:tr w14:paraId="17CFB066" w14:textId="77777777">
        <w:tblPrEx>
          <w:tblW w:w="0" w:type="auto"/>
          <w:tblLook w:val="04A0"/>
        </w:tblPrEx>
        <w:trPr>
          <w:cantSplit/>
        </w:trPr>
        <w:tc>
          <w:tcPr>
            <w:tcW w:w="2335" w:type="dxa"/>
          </w:tcPr>
          <w:p w:rsidR="005919ED" w:rsidRPr="000C19E9" w14:paraId="14DFB0F9" w14:textId="77777777">
            <w:r w:rsidRPr="000C19E9">
              <w:rPr>
                <w:szCs w:val="22"/>
              </w:rPr>
              <w:t xml:space="preserve">47 U.S.C. 225; 47 CFR part 64, subpart F </w:t>
            </w:r>
          </w:p>
        </w:tc>
        <w:tc>
          <w:tcPr>
            <w:tcW w:w="4230" w:type="dxa"/>
          </w:tcPr>
          <w:p w:rsidR="005919ED" w14:paraId="6494F774" w14:textId="77777777">
            <w:pPr>
              <w:rPr>
                <w:szCs w:val="22"/>
              </w:rPr>
            </w:pPr>
            <w:r w:rsidRPr="000C19E9">
              <w:rPr>
                <w:szCs w:val="22"/>
              </w:rPr>
              <w:t>Internet-based telecommunications relay services certifications</w:t>
            </w:r>
          </w:p>
          <w:p w:rsidR="005919ED" w:rsidRPr="00CC45BA" w14:paraId="41E6036B" w14:textId="77777777"/>
          <w:p w:rsidR="005919ED" w:rsidRPr="00CC45BA" w14:paraId="301DF763" w14:textId="77777777"/>
          <w:p w:rsidR="005919ED" w:rsidRPr="00CC45BA" w14:paraId="08A870CD" w14:textId="77777777"/>
          <w:p w:rsidR="005919ED" w:rsidRPr="00CC45BA" w14:paraId="40FC2829" w14:textId="77777777"/>
          <w:p w:rsidR="005919ED" w:rsidRPr="00CC45BA" w14:paraId="249D95DF" w14:textId="77777777">
            <w:pPr>
              <w:jc w:val="center"/>
            </w:pPr>
          </w:p>
        </w:tc>
        <w:tc>
          <w:tcPr>
            <w:tcW w:w="2785" w:type="dxa"/>
          </w:tcPr>
          <w:p w:rsidR="005919ED" w:rsidRPr="000C19E9" w14:paraId="4C8B51D8" w14:textId="77777777"/>
        </w:tc>
      </w:tr>
      <w:tr w14:paraId="2AB98FCF" w14:textId="77777777">
        <w:tblPrEx>
          <w:tblW w:w="0" w:type="auto"/>
          <w:tblLook w:val="04A0"/>
        </w:tblPrEx>
        <w:trPr>
          <w:cantSplit/>
        </w:trPr>
        <w:tc>
          <w:tcPr>
            <w:tcW w:w="2335" w:type="dxa"/>
          </w:tcPr>
          <w:p w:rsidR="005919ED" w:rsidRPr="00983859" w14:paraId="15AF063C" w14:textId="77777777">
            <w:pPr>
              <w:rPr>
                <w:szCs w:val="22"/>
              </w:rPr>
            </w:pPr>
            <w:r>
              <w:rPr>
                <w:szCs w:val="22"/>
              </w:rPr>
              <w:t>47 CFR part 64, subpart HH</w:t>
            </w:r>
          </w:p>
        </w:tc>
        <w:tc>
          <w:tcPr>
            <w:tcW w:w="4230" w:type="dxa"/>
          </w:tcPr>
          <w:p w:rsidR="005919ED" w:rsidRPr="00983859" w14:paraId="768EE2B7" w14:textId="77777777">
            <w:pPr>
              <w:rPr>
                <w:szCs w:val="22"/>
              </w:rPr>
            </w:pPr>
            <w:r>
              <w:rPr>
                <w:szCs w:val="22"/>
              </w:rPr>
              <w:t>Robocall Mitigation Database filings</w:t>
            </w:r>
          </w:p>
        </w:tc>
        <w:tc>
          <w:tcPr>
            <w:tcW w:w="2785" w:type="dxa"/>
          </w:tcPr>
          <w:p w:rsidR="005919ED" w:rsidRPr="00983859" w14:paraId="629C8C27" w14:textId="77777777">
            <w:r>
              <w:t xml:space="preserve">The filer is a domestic voice service </w:t>
            </w:r>
            <w:r>
              <w:t>provider</w:t>
            </w:r>
            <w:r>
              <w:t xml:space="preserve"> and the filing has been accepted and published in the Robocall Mitigation Database pursuant to § 64.6305.</w:t>
            </w:r>
          </w:p>
        </w:tc>
      </w:tr>
    </w:tbl>
    <w:p w:rsidR="005919ED" w:rsidP="005919ED" w14:paraId="2BCEB14C" w14:textId="77777777">
      <w:pPr>
        <w:spacing w:before="120" w:after="120"/>
        <w:rPr>
          <w:b/>
          <w:szCs w:val="22"/>
        </w:rPr>
      </w:pPr>
      <w:r w:rsidRPr="00871658">
        <w:rPr>
          <w:b/>
          <w:szCs w:val="22"/>
        </w:rPr>
        <w:t>* * * * *</w:t>
      </w:r>
    </w:p>
    <w:p w:rsidR="005919ED" w:rsidRPr="00104DE4" w:rsidP="005919ED" w14:paraId="337473D2" w14:textId="77777777">
      <w:pPr>
        <w:spacing w:after="120"/>
        <w:rPr>
          <w:b/>
          <w:szCs w:val="22"/>
        </w:rPr>
      </w:pPr>
      <w:r w:rsidRPr="00104DE4">
        <w:rPr>
          <w:b/>
          <w:szCs w:val="22"/>
        </w:rPr>
        <w:t>PART 64 – Miscellaneous Rules Relating to Common Carriers</w:t>
      </w:r>
    </w:p>
    <w:p w:rsidR="005919ED" w:rsidRPr="00104DE4" w:rsidP="005919ED" w14:paraId="158C1682" w14:textId="77777777">
      <w:pPr>
        <w:numPr>
          <w:ilvl w:val="0"/>
          <w:numId w:val="10"/>
        </w:numPr>
        <w:spacing w:after="120"/>
        <w:rPr>
          <w:szCs w:val="22"/>
        </w:rPr>
      </w:pPr>
      <w:r w:rsidRPr="00104DE4">
        <w:rPr>
          <w:szCs w:val="22"/>
        </w:rPr>
        <w:t>The authority citation for part 64 continues to read as follows:</w:t>
      </w:r>
    </w:p>
    <w:p w:rsidR="005919ED" w:rsidRPr="00104DE4" w:rsidP="005919ED" w14:paraId="3A483D30" w14:textId="77777777">
      <w:pPr>
        <w:spacing w:after="120"/>
        <w:rPr>
          <w:szCs w:val="22"/>
        </w:rPr>
      </w:pPr>
      <w:r w:rsidRPr="00104DE4">
        <w:rPr>
          <w:b/>
          <w:szCs w:val="22"/>
        </w:rPr>
        <w:t>Authority:</w:t>
      </w:r>
      <w:r w:rsidRPr="00104DE4">
        <w:rPr>
          <w:szCs w:val="22"/>
        </w:rPr>
        <w:t xml:space="preserve"> 47 U.S.C. §§ 151, 152, 154, 201, 202, 217, 218, 220, 222, 225, 226, 227, 227b, 228, 251(a), 251(e), 254(k), 255, 262, 276, 403(b)(2)(B), (c), 616, 620, 716, 1401-1473, unless otherwise noted; Pub. L. 115-141, Div. P, sec. 503, 132 Stat. 348, 1091; Pub. L. 117-338, 136 Stat. 6156.</w:t>
      </w:r>
    </w:p>
    <w:p w:rsidR="005919ED" w:rsidRPr="00104DE4" w:rsidP="005919ED" w14:paraId="00602A9D" w14:textId="77777777">
      <w:pPr>
        <w:numPr>
          <w:ilvl w:val="0"/>
          <w:numId w:val="10"/>
        </w:numPr>
        <w:spacing w:after="120"/>
        <w:rPr>
          <w:szCs w:val="22"/>
        </w:rPr>
      </w:pPr>
      <w:r w:rsidRPr="00104DE4">
        <w:rPr>
          <w:szCs w:val="22"/>
        </w:rPr>
        <w:t>Amend § 64.630</w:t>
      </w:r>
      <w:r>
        <w:rPr>
          <w:szCs w:val="22"/>
        </w:rPr>
        <w:t xml:space="preserve">4 by redesignating paragraphs (c) through (f), as (d) through (g), and adding new paragraph (c) </w:t>
      </w:r>
      <w:r w:rsidRPr="00104DE4">
        <w:rPr>
          <w:szCs w:val="22"/>
        </w:rPr>
        <w:t>to read as follows:</w:t>
      </w:r>
    </w:p>
    <w:p w:rsidR="005919ED" w:rsidRPr="00104DE4" w:rsidP="005919ED" w14:paraId="044F8A27" w14:textId="77777777">
      <w:pPr>
        <w:spacing w:after="120"/>
        <w:rPr>
          <w:b/>
          <w:szCs w:val="22"/>
        </w:rPr>
      </w:pPr>
      <w:r w:rsidRPr="00104DE4">
        <w:rPr>
          <w:b/>
          <w:szCs w:val="22"/>
        </w:rPr>
        <w:t>§ 64.630</w:t>
      </w:r>
      <w:r>
        <w:rPr>
          <w:b/>
          <w:szCs w:val="22"/>
        </w:rPr>
        <w:t>4</w:t>
      </w:r>
      <w:r w:rsidRPr="00104DE4">
        <w:rPr>
          <w:b/>
          <w:szCs w:val="22"/>
        </w:rPr>
        <w:t xml:space="preserve"> </w:t>
      </w:r>
      <w:r>
        <w:rPr>
          <w:b/>
          <w:szCs w:val="22"/>
        </w:rPr>
        <w:t>Extension of implementation deadline</w:t>
      </w:r>
      <w:r w:rsidRPr="00104DE4">
        <w:rPr>
          <w:b/>
          <w:szCs w:val="22"/>
        </w:rPr>
        <w:t>.</w:t>
      </w:r>
    </w:p>
    <w:p w:rsidR="005919ED" w:rsidP="005919ED" w14:paraId="7A73A7B9" w14:textId="77777777">
      <w:pPr>
        <w:spacing w:after="120"/>
        <w:rPr>
          <w:b/>
          <w:szCs w:val="22"/>
        </w:rPr>
      </w:pPr>
      <w:r w:rsidRPr="00871658">
        <w:rPr>
          <w:b/>
          <w:szCs w:val="22"/>
        </w:rPr>
        <w:t>* * * * *</w:t>
      </w:r>
    </w:p>
    <w:p w:rsidR="005919ED" w:rsidRPr="00C9568D" w:rsidP="005919ED" w14:paraId="41F65D34" w14:textId="77777777">
      <w:pPr>
        <w:spacing w:after="120"/>
        <w:rPr>
          <w:szCs w:val="22"/>
        </w:rPr>
      </w:pPr>
      <w:r w:rsidRPr="00104DE4">
        <w:rPr>
          <w:szCs w:val="22"/>
        </w:rPr>
        <w:t>(</w:t>
      </w:r>
      <w:r>
        <w:rPr>
          <w:szCs w:val="22"/>
        </w:rPr>
        <w:t>c</w:t>
      </w:r>
      <w:r w:rsidRPr="00104DE4">
        <w:rPr>
          <w:szCs w:val="22"/>
        </w:rPr>
        <w:t xml:space="preserve">) </w:t>
      </w:r>
      <w:r>
        <w:rPr>
          <w:b/>
          <w:i/>
          <w:szCs w:val="22"/>
        </w:rPr>
        <w:t>Temporary SPC Token Extension</w:t>
      </w:r>
      <w:r w:rsidRPr="00104DE4">
        <w:rPr>
          <w:b/>
          <w:i/>
          <w:szCs w:val="22"/>
        </w:rPr>
        <w:t>.</w:t>
      </w:r>
      <w:r w:rsidRPr="00C9568D">
        <w:rPr>
          <w:szCs w:val="22"/>
        </w:rPr>
        <w:t xml:space="preserve"> </w:t>
      </w:r>
      <w:r w:rsidRPr="00C9568D">
        <w:rPr>
          <w:bCs/>
          <w:szCs w:val="22"/>
        </w:rPr>
        <w:t xml:space="preserve"> </w:t>
      </w:r>
      <w:r>
        <w:rPr>
          <w:bCs/>
          <w:szCs w:val="22"/>
        </w:rPr>
        <w:t>A voice service provider that is in the process of obtaining an SPC token is exempt from the requirements of §§ 64.6301 and 64.6302.</w:t>
      </w:r>
    </w:p>
    <w:p w:rsidR="005919ED" w:rsidRPr="00275FF5" w:rsidP="005919ED" w14:paraId="2362644A" w14:textId="77777777">
      <w:pPr>
        <w:spacing w:after="120"/>
        <w:rPr>
          <w:b/>
          <w:szCs w:val="22"/>
        </w:rPr>
      </w:pPr>
      <w:r w:rsidRPr="00275FF5">
        <w:rPr>
          <w:b/>
          <w:szCs w:val="22"/>
        </w:rPr>
        <w:t>* * * * *</w:t>
      </w:r>
    </w:p>
    <w:p w:rsidR="005919ED" w:rsidRPr="00F705AE" w:rsidP="005919ED" w14:paraId="10AE40E7" w14:textId="77777777">
      <w:pPr>
        <w:numPr>
          <w:ilvl w:val="0"/>
          <w:numId w:val="10"/>
        </w:numPr>
        <w:spacing w:after="120"/>
        <w:rPr>
          <w:szCs w:val="22"/>
        </w:rPr>
      </w:pPr>
      <w:r>
        <w:rPr>
          <w:szCs w:val="22"/>
        </w:rPr>
        <w:t xml:space="preserve">Revise </w:t>
      </w:r>
      <w:r w:rsidRPr="00104DE4">
        <w:rPr>
          <w:szCs w:val="22"/>
        </w:rPr>
        <w:t>§</w:t>
      </w:r>
      <w:r>
        <w:rPr>
          <w:szCs w:val="22"/>
        </w:rPr>
        <w:t xml:space="preserve"> 64.6305 to read as follows:</w:t>
      </w:r>
    </w:p>
    <w:p w:rsidR="005919ED" w:rsidRPr="00104DE4" w:rsidP="005919ED" w14:paraId="07FCA57A" w14:textId="77777777">
      <w:pPr>
        <w:spacing w:after="120"/>
        <w:rPr>
          <w:b/>
          <w:szCs w:val="22"/>
        </w:rPr>
      </w:pPr>
      <w:r w:rsidRPr="00104DE4">
        <w:rPr>
          <w:b/>
          <w:szCs w:val="22"/>
        </w:rPr>
        <w:t>§ 64.6305 Robocall mitigation.</w:t>
      </w:r>
    </w:p>
    <w:p w:rsidR="005919ED" w:rsidRPr="00104DE4" w:rsidP="005919ED" w14:paraId="0264FEB5" w14:textId="77777777">
      <w:pPr>
        <w:spacing w:after="120"/>
        <w:rPr>
          <w:szCs w:val="22"/>
        </w:rPr>
      </w:pPr>
      <w:r w:rsidRPr="00104DE4">
        <w:rPr>
          <w:szCs w:val="22"/>
        </w:rPr>
        <w:t xml:space="preserve">(a) </w:t>
      </w:r>
      <w:r w:rsidRPr="00104DE4">
        <w:rPr>
          <w:b/>
          <w:i/>
          <w:szCs w:val="22"/>
        </w:rPr>
        <w:t>Robocall mitigation program requirement.</w:t>
      </w:r>
      <w:r w:rsidRPr="00586365">
        <w:rPr>
          <w:szCs w:val="22"/>
        </w:rPr>
        <w:t xml:space="preserve"> </w:t>
      </w:r>
      <w:r>
        <w:rPr>
          <w:bCs/>
          <w:iCs/>
          <w:szCs w:val="22"/>
        </w:rPr>
        <w:t xml:space="preserve"> </w:t>
      </w:r>
      <w:r w:rsidRPr="00104DE4">
        <w:rPr>
          <w:szCs w:val="22"/>
        </w:rPr>
        <w:t>Each voice service provider shall implement a robocall mitigation program that include</w:t>
      </w:r>
      <w:r>
        <w:rPr>
          <w:szCs w:val="22"/>
        </w:rPr>
        <w:t>s</w:t>
      </w:r>
      <w:r w:rsidRPr="00104DE4">
        <w:rPr>
          <w:szCs w:val="22"/>
        </w:rPr>
        <w:t xml:space="preserve"> </w:t>
      </w:r>
      <w:r>
        <w:rPr>
          <w:szCs w:val="22"/>
        </w:rPr>
        <w:t>affirmative, effective measures</w:t>
      </w:r>
      <w:r w:rsidRPr="00104DE4">
        <w:rPr>
          <w:szCs w:val="22"/>
        </w:rPr>
        <w:t xml:space="preserve"> to prevent its network or services from being used to transmit illegal calls</w:t>
      </w:r>
      <w:r>
        <w:rPr>
          <w:szCs w:val="22"/>
        </w:rPr>
        <w:t>.</w:t>
      </w:r>
    </w:p>
    <w:p w:rsidR="005919ED" w:rsidP="005919ED" w14:paraId="778C20DF" w14:textId="77777777">
      <w:pPr>
        <w:tabs>
          <w:tab w:val="left" w:pos="6447"/>
        </w:tabs>
        <w:spacing w:after="120"/>
        <w:rPr>
          <w:szCs w:val="22"/>
        </w:rPr>
      </w:pPr>
      <w:r w:rsidRPr="00104DE4">
        <w:rPr>
          <w:szCs w:val="22"/>
        </w:rPr>
        <w:t xml:space="preserve">(b) </w:t>
      </w:r>
      <w:r w:rsidRPr="00104DE4">
        <w:rPr>
          <w:b/>
          <w:i/>
          <w:szCs w:val="22"/>
        </w:rPr>
        <w:t>Robocall Mitigation Database</w:t>
      </w:r>
      <w:r>
        <w:rPr>
          <w:b/>
          <w:i/>
          <w:szCs w:val="22"/>
        </w:rPr>
        <w:t xml:space="preserve"> filing</w:t>
      </w:r>
      <w:r w:rsidRPr="00104DE4">
        <w:rPr>
          <w:b/>
          <w:i/>
          <w:szCs w:val="22"/>
        </w:rPr>
        <w:t>.</w:t>
      </w:r>
    </w:p>
    <w:p w:rsidR="005919ED" w:rsidP="005919ED" w14:paraId="55D5F0EA" w14:textId="77777777">
      <w:pPr>
        <w:tabs>
          <w:tab w:val="left" w:pos="6447"/>
        </w:tabs>
        <w:spacing w:after="120"/>
        <w:ind w:left="720"/>
        <w:rPr>
          <w:szCs w:val="22"/>
        </w:rPr>
      </w:pPr>
      <w:r>
        <w:rPr>
          <w:szCs w:val="22"/>
        </w:rPr>
        <w:t>(1) Each</w:t>
      </w:r>
      <w:r w:rsidRPr="00104DE4">
        <w:rPr>
          <w:szCs w:val="22"/>
        </w:rPr>
        <w:t xml:space="preserve"> voice service provider</w:t>
      </w:r>
      <w:r>
        <w:rPr>
          <w:szCs w:val="22"/>
        </w:rPr>
        <w:t xml:space="preserve">, including each </w:t>
      </w:r>
      <w:r w:rsidRPr="00317C09">
        <w:rPr>
          <w:szCs w:val="22"/>
        </w:rPr>
        <w:t>parent, affiliate, and subsidiar</w:t>
      </w:r>
      <w:r>
        <w:rPr>
          <w:szCs w:val="22"/>
        </w:rPr>
        <w:t>y of a voice service provider</w:t>
      </w:r>
      <w:r w:rsidRPr="00317C09">
        <w:rPr>
          <w:szCs w:val="22"/>
        </w:rPr>
        <w:t xml:space="preserve"> that independently meet</w:t>
      </w:r>
      <w:r>
        <w:rPr>
          <w:szCs w:val="22"/>
        </w:rPr>
        <w:t>s</w:t>
      </w:r>
      <w:r w:rsidRPr="00317C09">
        <w:rPr>
          <w:szCs w:val="22"/>
        </w:rPr>
        <w:t xml:space="preserve"> the definition of a voice service provider</w:t>
      </w:r>
      <w:r>
        <w:rPr>
          <w:szCs w:val="22"/>
        </w:rPr>
        <w:t xml:space="preserve">, </w:t>
      </w:r>
      <w:r w:rsidRPr="00104DE4">
        <w:rPr>
          <w:szCs w:val="22"/>
        </w:rPr>
        <w:t xml:space="preserve">shall </w:t>
      </w:r>
      <w:r>
        <w:rPr>
          <w:szCs w:val="22"/>
        </w:rPr>
        <w:t xml:space="preserve">submit a filing in the Robocall Mitigation Database that includes </w:t>
      </w:r>
      <w:r w:rsidRPr="00104DE4">
        <w:rPr>
          <w:szCs w:val="22"/>
        </w:rPr>
        <w:t>in English or with a certified English translation</w:t>
      </w:r>
      <w:r>
        <w:rPr>
          <w:szCs w:val="22"/>
        </w:rPr>
        <w:t xml:space="preserve"> the information described in paragraphs (c) through (g) of this section.</w:t>
      </w:r>
    </w:p>
    <w:p w:rsidR="005919ED" w:rsidP="005919ED" w14:paraId="0B883321" w14:textId="77777777">
      <w:pPr>
        <w:tabs>
          <w:tab w:val="left" w:pos="6447"/>
        </w:tabs>
        <w:spacing w:after="120"/>
        <w:ind w:left="720"/>
        <w:rPr>
          <w:szCs w:val="22"/>
        </w:rPr>
      </w:pPr>
      <w:r>
        <w:rPr>
          <w:szCs w:val="22"/>
        </w:rPr>
        <w:t>(2) A voice service provider’s Robocall Mitigation Database filing shall b</w:t>
      </w:r>
      <w:r w:rsidRPr="00104DE4">
        <w:rPr>
          <w:szCs w:val="22"/>
        </w:rPr>
        <w:t xml:space="preserve">e signed by an officer </w:t>
      </w:r>
      <w:r>
        <w:rPr>
          <w:szCs w:val="22"/>
        </w:rPr>
        <w:t xml:space="preserve">of the voice service provider </w:t>
      </w:r>
      <w:r w:rsidRPr="00104DE4">
        <w:rPr>
          <w:szCs w:val="22"/>
        </w:rPr>
        <w:t>in conformity with § 1.16</w:t>
      </w:r>
      <w:r>
        <w:rPr>
          <w:szCs w:val="22"/>
        </w:rPr>
        <w:t xml:space="preserve"> of this chapter</w:t>
      </w:r>
      <w:r w:rsidRPr="00104DE4">
        <w:rPr>
          <w:szCs w:val="22"/>
        </w:rPr>
        <w:t>.</w:t>
      </w:r>
    </w:p>
    <w:p w:rsidR="005919ED" w:rsidP="005919ED" w14:paraId="031E1E9B" w14:textId="77777777">
      <w:pPr>
        <w:tabs>
          <w:tab w:val="left" w:pos="6447"/>
        </w:tabs>
        <w:spacing w:after="120"/>
        <w:ind w:left="720"/>
        <w:rPr>
          <w:szCs w:val="22"/>
        </w:rPr>
      </w:pPr>
      <w:r>
        <w:rPr>
          <w:szCs w:val="22"/>
        </w:rPr>
        <w:t>(3) A voice service provider’s robocall mitigation plan required under paragraph (g) of this section shall be submitted as a PDF in machine-readable format.</w:t>
      </w:r>
    </w:p>
    <w:p w:rsidR="005919ED" w:rsidRPr="0078433D" w:rsidP="005919ED" w14:paraId="3588DAD4" w14:textId="77777777">
      <w:pPr>
        <w:tabs>
          <w:tab w:val="left" w:pos="6447"/>
        </w:tabs>
        <w:spacing w:after="120"/>
        <w:ind w:left="720"/>
        <w:rPr>
          <w:szCs w:val="22"/>
        </w:rPr>
      </w:pPr>
      <w:r>
        <w:rPr>
          <w:szCs w:val="22"/>
        </w:rPr>
        <w:t xml:space="preserve">(4) A filing does not appear in the Robocall Mitigation Database for purposes of this section unless and until the filing has been accepted and published in the Robocall Mitigation Database by the Wireline Competition Bureau under the measures developed pursuant to </w:t>
      </w:r>
      <w:r w:rsidRPr="0015405A">
        <w:rPr>
          <w:szCs w:val="22"/>
        </w:rPr>
        <w:t>§ 0.91</w:t>
      </w:r>
      <w:r>
        <w:rPr>
          <w:szCs w:val="22"/>
        </w:rPr>
        <w:t>(s)(4).</w:t>
      </w:r>
    </w:p>
    <w:p w:rsidR="005919ED" w:rsidRPr="00104DE4" w:rsidP="005919ED" w14:paraId="5E3FCB89" w14:textId="77777777">
      <w:pPr>
        <w:tabs>
          <w:tab w:val="left" w:pos="6447"/>
        </w:tabs>
        <w:spacing w:after="120"/>
        <w:rPr>
          <w:szCs w:val="22"/>
        </w:rPr>
      </w:pPr>
      <w:r>
        <w:rPr>
          <w:szCs w:val="22"/>
        </w:rPr>
        <w:t xml:space="preserve">(c) </w:t>
      </w:r>
      <w:r w:rsidRPr="009E1DCE">
        <w:rPr>
          <w:b/>
          <w:bCs/>
          <w:i/>
          <w:iCs/>
          <w:szCs w:val="22"/>
        </w:rPr>
        <w:t>Certifications.</w:t>
      </w:r>
    </w:p>
    <w:p w:rsidR="005919ED" w:rsidP="005919ED" w14:paraId="5070336A" w14:textId="77777777">
      <w:pPr>
        <w:spacing w:after="120"/>
        <w:ind w:left="720"/>
        <w:rPr>
          <w:szCs w:val="22"/>
        </w:rPr>
      </w:pPr>
      <w:r w:rsidRPr="00104DE4">
        <w:rPr>
          <w:szCs w:val="22"/>
        </w:rPr>
        <w:t xml:space="preserve">(1) </w:t>
      </w:r>
      <w:r>
        <w:rPr>
          <w:szCs w:val="22"/>
        </w:rPr>
        <w:t xml:space="preserve">A voice service provider shall certify that:  </w:t>
      </w:r>
    </w:p>
    <w:p w:rsidR="005919ED" w:rsidP="005919ED" w14:paraId="7B7151E1" w14:textId="77777777">
      <w:pPr>
        <w:spacing w:after="120"/>
        <w:ind w:left="1440"/>
        <w:rPr>
          <w:szCs w:val="22"/>
        </w:rPr>
      </w:pPr>
      <w:r>
        <w:rPr>
          <w:szCs w:val="22"/>
        </w:rPr>
        <w:t>(i) A</w:t>
      </w:r>
      <w:r w:rsidRPr="00104DE4">
        <w:rPr>
          <w:szCs w:val="22"/>
        </w:rPr>
        <w:t>ll of the calls its network or services transmit are subject to a robocall mitigation program consistent with paragraph (a) of this section</w:t>
      </w:r>
      <w:r>
        <w:rPr>
          <w:szCs w:val="22"/>
        </w:rPr>
        <w:t>;</w:t>
      </w:r>
    </w:p>
    <w:p w:rsidR="005919ED" w:rsidP="005919ED" w14:paraId="455F25EA" w14:textId="77777777">
      <w:pPr>
        <w:spacing w:after="120"/>
        <w:ind w:left="1440"/>
        <w:rPr>
          <w:szCs w:val="22"/>
        </w:rPr>
      </w:pPr>
      <w:r>
        <w:rPr>
          <w:szCs w:val="22"/>
        </w:rPr>
        <w:t>(ii) I</w:t>
      </w:r>
      <w:r w:rsidRPr="00104DE4">
        <w:rPr>
          <w:szCs w:val="22"/>
        </w:rPr>
        <w:t xml:space="preserve">t </w:t>
      </w:r>
      <w:r>
        <w:rPr>
          <w:szCs w:val="22"/>
        </w:rPr>
        <w:t>is</w:t>
      </w:r>
      <w:r w:rsidRPr="00104DE4">
        <w:rPr>
          <w:szCs w:val="22"/>
        </w:rPr>
        <w:t xml:space="preserve"> not </w:t>
      </w:r>
      <w:r>
        <w:rPr>
          <w:szCs w:val="22"/>
        </w:rPr>
        <w:t>presently</w:t>
      </w:r>
      <w:r w:rsidRPr="00104DE4">
        <w:rPr>
          <w:szCs w:val="22"/>
        </w:rPr>
        <w:t xml:space="preserve"> prohibited from filing in the Robocall Mitigation Database by the Commission</w:t>
      </w:r>
      <w:r>
        <w:rPr>
          <w:szCs w:val="22"/>
        </w:rPr>
        <w:t>;</w:t>
      </w:r>
    </w:p>
    <w:p w:rsidR="005919ED" w:rsidRPr="00104DE4" w:rsidP="005919ED" w14:paraId="6E3E618A" w14:textId="77777777">
      <w:pPr>
        <w:spacing w:after="120"/>
        <w:ind w:left="1440"/>
        <w:rPr>
          <w:szCs w:val="22"/>
        </w:rPr>
      </w:pPr>
      <w:r w:rsidRPr="00104DE4">
        <w:rPr>
          <w:szCs w:val="22"/>
        </w:rPr>
        <w:t>(i</w:t>
      </w:r>
      <w:r>
        <w:rPr>
          <w:szCs w:val="22"/>
        </w:rPr>
        <w:t>ii</w:t>
      </w:r>
      <w:r w:rsidRPr="00104DE4">
        <w:rPr>
          <w:szCs w:val="22"/>
        </w:rPr>
        <w:t xml:space="preserve">) </w:t>
      </w:r>
      <w:r>
        <w:rPr>
          <w:szCs w:val="22"/>
        </w:rPr>
        <w:t>It will</w:t>
      </w:r>
      <w:r w:rsidRPr="00104DE4">
        <w:rPr>
          <w:szCs w:val="22"/>
        </w:rPr>
        <w:t xml:space="preserve"> respond fully and within 24 hours to all traceback requests from the Commission, law enforcement, and the industry traceback consortium</w:t>
      </w:r>
      <w:r>
        <w:rPr>
          <w:szCs w:val="22"/>
        </w:rPr>
        <w:t xml:space="preserve"> in accordance with § 64.1200(n)(1) of this chapter</w:t>
      </w:r>
      <w:r w:rsidRPr="00104DE4">
        <w:rPr>
          <w:szCs w:val="22"/>
        </w:rPr>
        <w:t>;</w:t>
      </w:r>
    </w:p>
    <w:p w:rsidR="005919ED" w:rsidP="005919ED" w14:paraId="6A30DBAC" w14:textId="77777777">
      <w:pPr>
        <w:spacing w:after="120"/>
        <w:ind w:left="1440"/>
        <w:rPr>
          <w:szCs w:val="22"/>
        </w:rPr>
      </w:pPr>
      <w:r w:rsidRPr="00104DE4">
        <w:rPr>
          <w:szCs w:val="22"/>
        </w:rPr>
        <w:t>(i</w:t>
      </w:r>
      <w:r>
        <w:rPr>
          <w:szCs w:val="22"/>
        </w:rPr>
        <w:t>v</w:t>
      </w:r>
      <w:r w:rsidRPr="00104DE4">
        <w:rPr>
          <w:szCs w:val="22"/>
        </w:rPr>
        <w:t xml:space="preserve">) </w:t>
      </w:r>
      <w:r>
        <w:rPr>
          <w:szCs w:val="22"/>
        </w:rPr>
        <w:t>It will</w:t>
      </w:r>
      <w:r w:rsidRPr="00104DE4">
        <w:rPr>
          <w:szCs w:val="22"/>
        </w:rPr>
        <w:t xml:space="preserve"> cooperate with </w:t>
      </w:r>
      <w:r>
        <w:rPr>
          <w:szCs w:val="22"/>
        </w:rPr>
        <w:t xml:space="preserve">the </w:t>
      </w:r>
      <w:r w:rsidRPr="00104DE4">
        <w:rPr>
          <w:szCs w:val="22"/>
        </w:rPr>
        <w:t>Commission, law enforcement, and the industry traceback consortium in investigating and stopping any person or entity from using the voice service provider’s network or services to transmit illegal calls</w:t>
      </w:r>
      <w:r>
        <w:rPr>
          <w:szCs w:val="22"/>
        </w:rPr>
        <w:t>;</w:t>
      </w:r>
    </w:p>
    <w:p w:rsidR="005919ED" w:rsidRPr="00104DE4" w:rsidP="005919ED" w14:paraId="6F684F17" w14:textId="77777777">
      <w:pPr>
        <w:spacing w:after="120"/>
        <w:ind w:left="1440"/>
        <w:rPr>
          <w:szCs w:val="22"/>
        </w:rPr>
      </w:pPr>
      <w:r>
        <w:rPr>
          <w:szCs w:val="22"/>
        </w:rPr>
        <w:t xml:space="preserve">(v) </w:t>
      </w:r>
      <w:r>
        <w:t>It has not submitted false, misleading, or inaccurate information to the Commission, the Governance Authority, the Policy Administrator, any Certification Authority, or any agent or other third party designated by the Commission or acting on behalf of the Commission pursuant to Commission rules or direction; and</w:t>
      </w:r>
    </w:p>
    <w:p w:rsidR="005919ED" w:rsidRPr="00104DE4" w:rsidP="005919ED" w14:paraId="0FAF1DFE" w14:textId="77777777">
      <w:pPr>
        <w:spacing w:after="120"/>
        <w:ind w:left="1440"/>
        <w:rPr>
          <w:szCs w:val="22"/>
        </w:rPr>
      </w:pPr>
      <w:r>
        <w:t xml:space="preserve">(vi) It </w:t>
      </w:r>
      <w:r>
        <w:t>is in compliance with</w:t>
      </w:r>
      <w:r>
        <w:t xml:space="preserve"> all applicable Commission rules pertaining to robocalls and other illegals calls, including all rules in subparts L, P, and HH of this part and in part 52 of this chapter. </w:t>
      </w:r>
    </w:p>
    <w:p w:rsidR="005919ED" w:rsidRPr="00104DE4" w:rsidP="005919ED" w14:paraId="4C1E5DD5" w14:textId="77777777">
      <w:pPr>
        <w:spacing w:after="120"/>
        <w:ind w:left="720"/>
        <w:rPr>
          <w:szCs w:val="22"/>
        </w:rPr>
      </w:pPr>
      <w:r w:rsidRPr="00104DE4">
        <w:rPr>
          <w:szCs w:val="22"/>
        </w:rPr>
        <w:t xml:space="preserve">(2) A facilities-based voice service provider shall </w:t>
      </w:r>
      <w:r w:rsidRPr="00104DE4">
        <w:rPr>
          <w:szCs w:val="22"/>
        </w:rPr>
        <w:t>certify to</w:t>
      </w:r>
      <w:r w:rsidRPr="00104DE4">
        <w:rPr>
          <w:szCs w:val="22"/>
        </w:rPr>
        <w:t xml:space="preserve"> one of the following:</w:t>
      </w:r>
    </w:p>
    <w:p w:rsidR="005919ED" w:rsidRPr="00104DE4" w:rsidP="005919ED" w14:paraId="440295F0" w14:textId="77777777">
      <w:pPr>
        <w:spacing w:after="120"/>
        <w:ind w:left="1440"/>
        <w:rPr>
          <w:szCs w:val="22"/>
        </w:rPr>
      </w:pPr>
      <w:r w:rsidRPr="00104DE4">
        <w:rPr>
          <w:szCs w:val="22"/>
        </w:rPr>
        <w:t xml:space="preserve">(i) It has fully implemented the STIR/SHAKEN authentication framework across its entire network and </w:t>
      </w:r>
      <w:r w:rsidRPr="00104DE4">
        <w:rPr>
          <w:szCs w:val="22"/>
        </w:rPr>
        <w:t>services</w:t>
      </w:r>
      <w:r w:rsidRPr="00104DE4">
        <w:rPr>
          <w:szCs w:val="22"/>
        </w:rPr>
        <w:t xml:space="preserve"> and all calls it transmits are compliant with </w:t>
      </w:r>
      <w:r>
        <w:rPr>
          <w:szCs w:val="22"/>
        </w:rPr>
        <w:t>the Commission’s caller ID authentication rules</w:t>
      </w:r>
      <w:r w:rsidRPr="00104DE4">
        <w:rPr>
          <w:szCs w:val="22"/>
        </w:rPr>
        <w:t>;</w:t>
      </w:r>
    </w:p>
    <w:p w:rsidR="005919ED" w:rsidRPr="00104DE4" w:rsidP="005919ED" w14:paraId="323EDEB2" w14:textId="77777777">
      <w:pPr>
        <w:spacing w:after="120"/>
        <w:ind w:left="1440"/>
        <w:rPr>
          <w:szCs w:val="22"/>
        </w:rPr>
      </w:pPr>
      <w:r w:rsidRPr="00104DE4">
        <w:rPr>
          <w:szCs w:val="22"/>
        </w:rPr>
        <w:t xml:space="preserve">(ii) It has implemented the STIR/SHAKEN authentication framework on a portion of its network and </w:t>
      </w:r>
      <w:r w:rsidRPr="00104DE4">
        <w:rPr>
          <w:szCs w:val="22"/>
        </w:rPr>
        <w:t>services</w:t>
      </w:r>
      <w:r w:rsidRPr="00104DE4">
        <w:rPr>
          <w:szCs w:val="22"/>
        </w:rPr>
        <w:t xml:space="preserve"> and all calls it transmits on that portion of its network are compliant with </w:t>
      </w:r>
      <w:r>
        <w:rPr>
          <w:szCs w:val="22"/>
        </w:rPr>
        <w:t>the Commission’s caller ID authentication requirements</w:t>
      </w:r>
      <w:r w:rsidRPr="00104DE4">
        <w:rPr>
          <w:szCs w:val="22"/>
        </w:rPr>
        <w:t>; or</w:t>
      </w:r>
    </w:p>
    <w:p w:rsidR="005919ED" w:rsidRPr="00104DE4" w:rsidP="005919ED" w14:paraId="30F22995" w14:textId="77777777">
      <w:pPr>
        <w:spacing w:after="120"/>
        <w:ind w:left="1440"/>
        <w:rPr>
          <w:szCs w:val="22"/>
        </w:rPr>
      </w:pPr>
      <w:r w:rsidRPr="00104DE4">
        <w:rPr>
          <w:szCs w:val="22"/>
        </w:rPr>
        <w:t>(iii) It has not implemented the STIR/SHAKEN authentication framework on any portion of its network.</w:t>
      </w:r>
    </w:p>
    <w:p w:rsidR="005919ED" w:rsidP="005919ED" w14:paraId="55320794" w14:textId="77777777">
      <w:pPr>
        <w:spacing w:after="120"/>
        <w:ind w:left="720"/>
        <w:rPr>
          <w:szCs w:val="22"/>
        </w:rPr>
      </w:pPr>
      <w:r>
        <w:rPr>
          <w:szCs w:val="22"/>
        </w:rPr>
        <w:t xml:space="preserve">(3) A facilities-based voice service provider shall not certify to full or partial implementation of the STIR/SHAKEN authentication framework pursuant to paragraphs (c)(2)(i) or (c)(2)(ii) of this section unless it has obtained an SPC token and Secure Telephone Identity certificate and signs all calls using its certificate in accordance with §§ 64.6301 and 64.6302. </w:t>
      </w:r>
    </w:p>
    <w:p w:rsidR="005919ED" w:rsidP="005919ED" w14:paraId="7B59996B" w14:textId="77777777">
      <w:pPr>
        <w:spacing w:after="120"/>
        <w:ind w:left="720"/>
        <w:rPr>
          <w:szCs w:val="22"/>
        </w:rPr>
      </w:pPr>
      <w:r w:rsidRPr="00104DE4">
        <w:rPr>
          <w:szCs w:val="22"/>
        </w:rPr>
        <w:t>(</w:t>
      </w:r>
      <w:r>
        <w:rPr>
          <w:szCs w:val="22"/>
        </w:rPr>
        <w:t>4</w:t>
      </w:r>
      <w:r w:rsidRPr="00104DE4">
        <w:rPr>
          <w:szCs w:val="22"/>
        </w:rPr>
        <w:t>) A voice service provider that serves end users directly shall certify that it</w:t>
      </w:r>
      <w:r>
        <w:rPr>
          <w:szCs w:val="22"/>
        </w:rPr>
        <w:t xml:space="preserve"> makes attestation level decisions and applies </w:t>
      </w:r>
      <w:r w:rsidRPr="00104DE4">
        <w:rPr>
          <w:szCs w:val="22"/>
        </w:rPr>
        <w:t>attestation</w:t>
      </w:r>
      <w:r>
        <w:rPr>
          <w:szCs w:val="22"/>
        </w:rPr>
        <w:t xml:space="preserve"> levels consistent with the STIR/SHAKEN authentication framework </w:t>
      </w:r>
      <w:r w:rsidRPr="00104DE4">
        <w:rPr>
          <w:szCs w:val="22"/>
        </w:rPr>
        <w:t>for</w:t>
      </w:r>
      <w:r>
        <w:rPr>
          <w:szCs w:val="22"/>
        </w:rPr>
        <w:t xml:space="preserve"> each of its end users’ </w:t>
      </w:r>
      <w:r w:rsidRPr="00104DE4">
        <w:rPr>
          <w:szCs w:val="22"/>
        </w:rPr>
        <w:t xml:space="preserve">calls it transmits on its </w:t>
      </w:r>
      <w:r>
        <w:rPr>
          <w:szCs w:val="22"/>
        </w:rPr>
        <w:t xml:space="preserve">network or </w:t>
      </w:r>
      <w:r w:rsidRPr="00104DE4">
        <w:rPr>
          <w:szCs w:val="22"/>
        </w:rPr>
        <w:t>services.</w:t>
      </w:r>
    </w:p>
    <w:p w:rsidR="005919ED" w:rsidRPr="00104DE4" w:rsidP="005919ED" w14:paraId="375FAA36" w14:textId="77777777">
      <w:pPr>
        <w:spacing w:after="120"/>
        <w:rPr>
          <w:szCs w:val="22"/>
        </w:rPr>
      </w:pPr>
      <w:r>
        <w:rPr>
          <w:szCs w:val="22"/>
        </w:rPr>
        <w:t xml:space="preserve">(d) </w:t>
      </w:r>
      <w:r w:rsidRPr="009E1DCE">
        <w:rPr>
          <w:b/>
          <w:bCs/>
          <w:i/>
          <w:iCs/>
          <w:szCs w:val="22"/>
        </w:rPr>
        <w:t>Robocall mitigation information.</w:t>
      </w:r>
    </w:p>
    <w:p w:rsidR="005919ED" w:rsidP="005919ED" w14:paraId="6C11BBB2" w14:textId="77777777">
      <w:pPr>
        <w:spacing w:after="120"/>
        <w:ind w:left="720"/>
        <w:rPr>
          <w:szCs w:val="22"/>
        </w:rPr>
      </w:pPr>
      <w:r w:rsidRPr="00104DE4">
        <w:rPr>
          <w:szCs w:val="22"/>
        </w:rPr>
        <w:t>(</w:t>
      </w:r>
      <w:r>
        <w:rPr>
          <w:szCs w:val="22"/>
        </w:rPr>
        <w:t>1</w:t>
      </w:r>
      <w:r w:rsidRPr="00104DE4">
        <w:rPr>
          <w:szCs w:val="22"/>
        </w:rPr>
        <w:t xml:space="preserve">) A voice service provider </w:t>
      </w:r>
      <w:r>
        <w:rPr>
          <w:szCs w:val="22"/>
        </w:rPr>
        <w:t xml:space="preserve">that has </w:t>
      </w:r>
      <w:r w:rsidRPr="00104DE4">
        <w:rPr>
          <w:szCs w:val="22"/>
        </w:rPr>
        <w:t xml:space="preserve">certified </w:t>
      </w:r>
      <w:r>
        <w:rPr>
          <w:szCs w:val="22"/>
        </w:rPr>
        <w:t xml:space="preserve">to partial or no </w:t>
      </w:r>
      <w:r w:rsidRPr="00104DE4">
        <w:rPr>
          <w:szCs w:val="22"/>
        </w:rPr>
        <w:t>implement</w:t>
      </w:r>
      <w:r>
        <w:rPr>
          <w:szCs w:val="22"/>
        </w:rPr>
        <w:t>ation of</w:t>
      </w:r>
      <w:r w:rsidRPr="00104DE4">
        <w:rPr>
          <w:szCs w:val="22"/>
        </w:rPr>
        <w:t xml:space="preserve"> the STIR/SHAKEN authentication framework pursuant to paragraphs (</w:t>
      </w:r>
      <w:r>
        <w:rPr>
          <w:szCs w:val="22"/>
        </w:rPr>
        <w:t>c</w:t>
      </w:r>
      <w:r w:rsidRPr="00104DE4">
        <w:rPr>
          <w:szCs w:val="22"/>
        </w:rPr>
        <w:t>)(2)(i</w:t>
      </w:r>
      <w:r>
        <w:rPr>
          <w:szCs w:val="22"/>
        </w:rPr>
        <w:t>i</w:t>
      </w:r>
      <w:r w:rsidRPr="00104DE4">
        <w:rPr>
          <w:szCs w:val="22"/>
        </w:rPr>
        <w:t>) or (</w:t>
      </w:r>
      <w:r>
        <w:rPr>
          <w:szCs w:val="22"/>
        </w:rPr>
        <w:t>c</w:t>
      </w:r>
      <w:r w:rsidRPr="00104DE4">
        <w:rPr>
          <w:szCs w:val="22"/>
        </w:rPr>
        <w:t>)(2)(ii</w:t>
      </w:r>
      <w:r>
        <w:rPr>
          <w:szCs w:val="22"/>
        </w:rPr>
        <w:t>i</w:t>
      </w:r>
      <w:r w:rsidRPr="00104DE4">
        <w:rPr>
          <w:szCs w:val="22"/>
        </w:rPr>
        <w:t>) of this section</w:t>
      </w:r>
      <w:r>
        <w:rPr>
          <w:szCs w:val="22"/>
        </w:rPr>
        <w:t xml:space="preserve"> shall</w:t>
      </w:r>
      <w:r w:rsidRPr="00104DE4">
        <w:rPr>
          <w:szCs w:val="22"/>
        </w:rPr>
        <w:t xml:space="preserve"> identif</w:t>
      </w:r>
      <w:r>
        <w:rPr>
          <w:szCs w:val="22"/>
        </w:rPr>
        <w:t>y</w:t>
      </w:r>
      <w:r w:rsidRPr="00104DE4">
        <w:rPr>
          <w:szCs w:val="22"/>
        </w:rPr>
        <w:t xml:space="preserve"> the exemption(s) or extension(s) the voice service provider received under § 64.630</w:t>
      </w:r>
      <w:r>
        <w:rPr>
          <w:szCs w:val="22"/>
        </w:rPr>
        <w:t>4</w:t>
      </w:r>
      <w:r w:rsidRPr="00104DE4">
        <w:rPr>
          <w:szCs w:val="22"/>
        </w:rPr>
        <w:t xml:space="preserve"> </w:t>
      </w:r>
      <w:r>
        <w:rPr>
          <w:szCs w:val="22"/>
        </w:rPr>
        <w:t xml:space="preserve">by citing the rule(s) permitting the </w:t>
      </w:r>
      <w:r w:rsidRPr="00104DE4">
        <w:rPr>
          <w:szCs w:val="22"/>
        </w:rPr>
        <w:t>exemption(s) or extension(s)</w:t>
      </w:r>
      <w:r>
        <w:rPr>
          <w:szCs w:val="22"/>
        </w:rPr>
        <w:t xml:space="preserve"> </w:t>
      </w:r>
      <w:r w:rsidRPr="00104DE4">
        <w:rPr>
          <w:szCs w:val="22"/>
        </w:rPr>
        <w:t>for th</w:t>
      </w:r>
      <w:r>
        <w:rPr>
          <w:szCs w:val="22"/>
        </w:rPr>
        <w:t>ose</w:t>
      </w:r>
      <w:r w:rsidRPr="00104DE4">
        <w:rPr>
          <w:szCs w:val="22"/>
        </w:rPr>
        <w:t xml:space="preserve"> portion</w:t>
      </w:r>
      <w:r>
        <w:rPr>
          <w:szCs w:val="22"/>
        </w:rPr>
        <w:t>s</w:t>
      </w:r>
      <w:r w:rsidRPr="00104DE4">
        <w:rPr>
          <w:szCs w:val="22"/>
        </w:rPr>
        <w:t xml:space="preserve"> of </w:t>
      </w:r>
      <w:r>
        <w:rPr>
          <w:szCs w:val="22"/>
        </w:rPr>
        <w:t>its</w:t>
      </w:r>
      <w:r w:rsidRPr="00104DE4">
        <w:rPr>
          <w:szCs w:val="22"/>
        </w:rPr>
        <w:t xml:space="preserve"> network and </w:t>
      </w:r>
      <w:r>
        <w:rPr>
          <w:szCs w:val="22"/>
        </w:rPr>
        <w:t xml:space="preserve">explaining in detail why the exemption(s) or extension(s) applies, including the facts specific to its network and services that are within the scope of the exemption(s) or extension(s) and any steps it has taken to confirm that it cannot implement STIR/SHAKEN, or indicate that it is a foreign </w:t>
      </w:r>
      <w:r w:rsidRPr="00104DE4">
        <w:rPr>
          <w:szCs w:val="22"/>
        </w:rPr>
        <w:t>voice service provider</w:t>
      </w:r>
      <w:r>
        <w:rPr>
          <w:szCs w:val="22"/>
        </w:rPr>
        <w:t xml:space="preserve"> not subject to a STIR/SHAKEN implementation obligation</w:t>
      </w:r>
      <w:r w:rsidRPr="00104DE4">
        <w:rPr>
          <w:szCs w:val="22"/>
        </w:rPr>
        <w:t>;</w:t>
      </w:r>
    </w:p>
    <w:p w:rsidR="005919ED" w:rsidP="005919ED" w14:paraId="7F5A92F2" w14:textId="77777777">
      <w:pPr>
        <w:spacing w:after="120"/>
        <w:ind w:left="720"/>
        <w:rPr>
          <w:szCs w:val="22"/>
        </w:rPr>
      </w:pPr>
      <w:r w:rsidRPr="00104DE4">
        <w:rPr>
          <w:szCs w:val="22"/>
        </w:rPr>
        <w:t>(</w:t>
      </w:r>
      <w:r>
        <w:rPr>
          <w:szCs w:val="22"/>
        </w:rPr>
        <w:t>2</w:t>
      </w:r>
      <w:r w:rsidRPr="00104DE4">
        <w:rPr>
          <w:szCs w:val="22"/>
        </w:rPr>
        <w:t xml:space="preserve">) A voice service provider </w:t>
      </w:r>
      <w:r>
        <w:rPr>
          <w:szCs w:val="22"/>
        </w:rPr>
        <w:t>shall s</w:t>
      </w:r>
      <w:r w:rsidRPr="00104DE4">
        <w:rPr>
          <w:szCs w:val="22"/>
        </w:rPr>
        <w:t xml:space="preserve">tate whether, at any time in the prior two years, the filing entity (and/or any entity for which the filing entity shares common ownership, management, directors, or control) has been the subject of a formal Commission, law enforcement, or regulatory agency action or investigation with accompanying findings of actual or suspected wrongdoing due to the filing entity transmitting, encouraging, assisting, or otherwise facilitating illegal calls or spoofing, or a </w:t>
      </w:r>
      <w:r>
        <w:rPr>
          <w:szCs w:val="22"/>
        </w:rPr>
        <w:t>non-compliant</w:t>
      </w:r>
      <w:r w:rsidRPr="00104DE4">
        <w:rPr>
          <w:szCs w:val="22"/>
        </w:rPr>
        <w:t xml:space="preserve"> Robocall Mitigation Database </w:t>
      </w:r>
      <w:r>
        <w:rPr>
          <w:szCs w:val="22"/>
        </w:rPr>
        <w:t>filing,</w:t>
      </w:r>
      <w:r w:rsidRPr="00104DE4">
        <w:rPr>
          <w:szCs w:val="22"/>
        </w:rPr>
        <w:t xml:space="preserve"> and, if so, </w:t>
      </w:r>
      <w:r>
        <w:rPr>
          <w:szCs w:val="22"/>
        </w:rPr>
        <w:t xml:space="preserve">shall </w:t>
      </w:r>
      <w:r w:rsidRPr="00104DE4">
        <w:rPr>
          <w:szCs w:val="22"/>
        </w:rPr>
        <w:t>descri</w:t>
      </w:r>
      <w:r>
        <w:rPr>
          <w:szCs w:val="22"/>
        </w:rPr>
        <w:t>be</w:t>
      </w:r>
      <w:r w:rsidRPr="00104DE4">
        <w:rPr>
          <w:szCs w:val="22"/>
        </w:rPr>
        <w:t xml:space="preserve"> any such action or investigation</w:t>
      </w:r>
      <w:r>
        <w:rPr>
          <w:szCs w:val="22"/>
        </w:rPr>
        <w:t>,</w:t>
      </w:r>
      <w:r w:rsidRPr="00BB15F9">
        <w:t xml:space="preserve"> </w:t>
      </w:r>
      <w:r w:rsidRPr="00BB15F9">
        <w:rPr>
          <w:szCs w:val="22"/>
        </w:rPr>
        <w:t xml:space="preserve">except to the extent and only for the period during which an action or investigation has been designated as non-public </w:t>
      </w:r>
      <w:r>
        <w:rPr>
          <w:szCs w:val="22"/>
        </w:rPr>
        <w:t xml:space="preserve">or confidential </w:t>
      </w:r>
      <w:r w:rsidRPr="00BB15F9">
        <w:rPr>
          <w:szCs w:val="22"/>
        </w:rPr>
        <w:t xml:space="preserve">by </w:t>
      </w:r>
      <w:r>
        <w:rPr>
          <w:szCs w:val="22"/>
        </w:rPr>
        <w:t>a</w:t>
      </w:r>
      <w:r w:rsidRPr="00BB15F9">
        <w:rPr>
          <w:szCs w:val="22"/>
        </w:rPr>
        <w:t xml:space="preserve"> law enforcement </w:t>
      </w:r>
      <w:r>
        <w:rPr>
          <w:szCs w:val="22"/>
        </w:rPr>
        <w:t>agency,</w:t>
      </w:r>
      <w:r w:rsidRPr="00BB15F9">
        <w:rPr>
          <w:szCs w:val="22"/>
        </w:rPr>
        <w:t xml:space="preserve"> regulatory agency</w:t>
      </w:r>
      <w:r>
        <w:rPr>
          <w:szCs w:val="22"/>
        </w:rPr>
        <w:t>, court, or other government entity that is</w:t>
      </w:r>
      <w:r w:rsidRPr="00BB15F9">
        <w:rPr>
          <w:szCs w:val="22"/>
        </w:rPr>
        <w:t xml:space="preserve"> involved</w:t>
      </w:r>
      <w:r>
        <w:rPr>
          <w:szCs w:val="22"/>
        </w:rPr>
        <w:t>, by providing:</w:t>
      </w:r>
    </w:p>
    <w:p w:rsidR="005919ED" w:rsidP="005919ED" w14:paraId="50C454B6" w14:textId="77777777">
      <w:pPr>
        <w:spacing w:after="120"/>
        <w:ind w:left="1440"/>
        <w:rPr>
          <w:szCs w:val="22"/>
        </w:rPr>
      </w:pPr>
      <w:r w:rsidRPr="006D4FD0">
        <w:rPr>
          <w:szCs w:val="22"/>
        </w:rPr>
        <w:t>(</w:t>
      </w:r>
      <w:r>
        <w:rPr>
          <w:szCs w:val="22"/>
        </w:rPr>
        <w:t>i</w:t>
      </w:r>
      <w:r w:rsidRPr="006D4FD0">
        <w:rPr>
          <w:szCs w:val="22"/>
        </w:rPr>
        <w:t xml:space="preserve">) </w:t>
      </w:r>
      <w:r>
        <w:rPr>
          <w:szCs w:val="22"/>
        </w:rPr>
        <w:t>A</w:t>
      </w:r>
      <w:r w:rsidRPr="006D4FD0">
        <w:rPr>
          <w:szCs w:val="22"/>
        </w:rPr>
        <w:t>ll law enforcement or regulatory agencies involved;</w:t>
      </w:r>
    </w:p>
    <w:p w:rsidR="005919ED" w:rsidP="005919ED" w14:paraId="16F29B44" w14:textId="77777777">
      <w:pPr>
        <w:spacing w:after="120"/>
        <w:ind w:left="1440"/>
        <w:rPr>
          <w:szCs w:val="22"/>
        </w:rPr>
      </w:pPr>
      <w:r w:rsidRPr="006D4FD0">
        <w:rPr>
          <w:szCs w:val="22"/>
        </w:rPr>
        <w:t>(</w:t>
      </w:r>
      <w:r>
        <w:rPr>
          <w:szCs w:val="22"/>
        </w:rPr>
        <w:t>ii</w:t>
      </w:r>
      <w:r w:rsidRPr="006D4FD0">
        <w:rPr>
          <w:szCs w:val="22"/>
        </w:rPr>
        <w:t xml:space="preserve">) </w:t>
      </w:r>
      <w:r>
        <w:rPr>
          <w:szCs w:val="22"/>
        </w:rPr>
        <w:t>T</w:t>
      </w:r>
      <w:r w:rsidRPr="006D4FD0">
        <w:rPr>
          <w:szCs w:val="22"/>
        </w:rPr>
        <w:t>he date any findings of actual or suspected wrongdoing were issued;</w:t>
      </w:r>
    </w:p>
    <w:p w:rsidR="005919ED" w:rsidP="005919ED" w14:paraId="743B4EAD" w14:textId="77777777">
      <w:pPr>
        <w:spacing w:after="120"/>
        <w:ind w:left="1440"/>
        <w:rPr>
          <w:szCs w:val="22"/>
        </w:rPr>
      </w:pPr>
      <w:r w:rsidRPr="006D4FD0">
        <w:rPr>
          <w:szCs w:val="22"/>
        </w:rPr>
        <w:t>(</w:t>
      </w:r>
      <w:r>
        <w:rPr>
          <w:szCs w:val="22"/>
        </w:rPr>
        <w:t>iii</w:t>
      </w:r>
      <w:r w:rsidRPr="006D4FD0">
        <w:rPr>
          <w:szCs w:val="22"/>
        </w:rPr>
        <w:t xml:space="preserve">) </w:t>
      </w:r>
      <w:r>
        <w:rPr>
          <w:szCs w:val="22"/>
        </w:rPr>
        <w:t>O</w:t>
      </w:r>
      <w:r w:rsidRPr="006D4FD0">
        <w:rPr>
          <w:szCs w:val="22"/>
        </w:rPr>
        <w:t>ne or more identifier for the action</w:t>
      </w:r>
      <w:r>
        <w:rPr>
          <w:szCs w:val="22"/>
        </w:rPr>
        <w:t xml:space="preserve"> or investigation</w:t>
      </w:r>
      <w:r w:rsidRPr="006D4FD0">
        <w:rPr>
          <w:szCs w:val="22"/>
        </w:rPr>
        <w:t xml:space="preserve">, such as a </w:t>
      </w:r>
      <w:r>
        <w:rPr>
          <w:szCs w:val="22"/>
        </w:rPr>
        <w:t xml:space="preserve">file number, case number, or </w:t>
      </w:r>
      <w:r w:rsidRPr="006D4FD0">
        <w:rPr>
          <w:szCs w:val="22"/>
        </w:rPr>
        <w:t>document number; and</w:t>
      </w:r>
    </w:p>
    <w:p w:rsidR="005919ED" w:rsidP="005919ED" w14:paraId="22462DEC" w14:textId="77777777">
      <w:pPr>
        <w:spacing w:after="120"/>
        <w:ind w:left="1440"/>
        <w:rPr>
          <w:szCs w:val="22"/>
        </w:rPr>
      </w:pPr>
      <w:r w:rsidRPr="006D4FD0">
        <w:rPr>
          <w:szCs w:val="22"/>
        </w:rPr>
        <w:t>(</w:t>
      </w:r>
      <w:r>
        <w:rPr>
          <w:szCs w:val="22"/>
        </w:rPr>
        <w:t>iv</w:t>
      </w:r>
      <w:r w:rsidRPr="006D4FD0">
        <w:rPr>
          <w:szCs w:val="22"/>
        </w:rPr>
        <w:t xml:space="preserve">) </w:t>
      </w:r>
      <w:r>
        <w:rPr>
          <w:szCs w:val="22"/>
        </w:rPr>
        <w:t xml:space="preserve">A URL to access a publicly available document that describes the findings of wrongdoing made in connection with the action or investigation, or </w:t>
      </w:r>
      <w:r w:rsidRPr="006D4FD0">
        <w:rPr>
          <w:szCs w:val="22"/>
        </w:rPr>
        <w:t xml:space="preserve">if </w:t>
      </w:r>
      <w:r>
        <w:rPr>
          <w:szCs w:val="22"/>
        </w:rPr>
        <w:t xml:space="preserve">no such document is </w:t>
      </w:r>
      <w:r w:rsidRPr="006D4FD0">
        <w:rPr>
          <w:szCs w:val="22"/>
        </w:rPr>
        <w:t xml:space="preserve">publicly available, </w:t>
      </w:r>
      <w:r>
        <w:rPr>
          <w:szCs w:val="22"/>
        </w:rPr>
        <w:t>a copy of such document, or if not memorialized in a document</w:t>
      </w:r>
      <w:r w:rsidRPr="006D4FD0">
        <w:rPr>
          <w:szCs w:val="22"/>
        </w:rPr>
        <w:t>, an accurate summary of the specific findings of wrongdoing made in connection with the action or investigation, including whether the findings constitute an actual determination of wrongdoing or a suspected determination of wrongdoing.</w:t>
      </w:r>
    </w:p>
    <w:p w:rsidR="005919ED" w:rsidP="005919ED" w14:paraId="795C7FF0" w14:textId="77777777">
      <w:pPr>
        <w:spacing w:after="120"/>
        <w:ind w:left="720"/>
        <w:rPr>
          <w:szCs w:val="22"/>
        </w:rPr>
      </w:pPr>
      <w:r>
        <w:rPr>
          <w:szCs w:val="22"/>
        </w:rPr>
        <w:t xml:space="preserve">(3) </w:t>
      </w:r>
      <w:r w:rsidRPr="00104DE4">
        <w:rPr>
          <w:szCs w:val="22"/>
        </w:rPr>
        <w:t xml:space="preserve">A voice service provider </w:t>
      </w:r>
      <w:r>
        <w:rPr>
          <w:szCs w:val="22"/>
        </w:rPr>
        <w:t>shall identify</w:t>
      </w:r>
      <w:r w:rsidRPr="00104DE4">
        <w:rPr>
          <w:szCs w:val="22"/>
        </w:rPr>
        <w:t xml:space="preserve"> </w:t>
      </w:r>
      <w:r w:rsidRPr="00104DE4">
        <w:rPr>
          <w:szCs w:val="22"/>
        </w:rPr>
        <w:t>whether</w:t>
      </w:r>
      <w:r>
        <w:rPr>
          <w:szCs w:val="22"/>
        </w:rPr>
        <w:t xml:space="preserve"> or not</w:t>
      </w:r>
      <w:r>
        <w:rPr>
          <w:szCs w:val="22"/>
        </w:rPr>
        <w:t xml:space="preserve"> it uses third parties for the following purposes, and supply the </w:t>
      </w:r>
      <w:r w:rsidRPr="001938CD">
        <w:rPr>
          <w:szCs w:val="22"/>
        </w:rPr>
        <w:t>email, phone number, and, if available, website</w:t>
      </w:r>
      <w:r>
        <w:rPr>
          <w:szCs w:val="22"/>
        </w:rPr>
        <w:t xml:space="preserve"> for such third parties.</w:t>
      </w:r>
    </w:p>
    <w:p w:rsidR="005919ED" w:rsidP="005919ED" w14:paraId="6CA505C8" w14:textId="77777777">
      <w:pPr>
        <w:spacing w:after="120"/>
        <w:ind w:left="1440"/>
        <w:rPr>
          <w:szCs w:val="22"/>
        </w:rPr>
      </w:pPr>
      <w:r w:rsidRPr="004B7110">
        <w:rPr>
          <w:szCs w:val="22"/>
        </w:rPr>
        <w:t>(</w:t>
      </w:r>
      <w:r>
        <w:rPr>
          <w:szCs w:val="22"/>
        </w:rPr>
        <w:t>i</w:t>
      </w:r>
      <w:r w:rsidRPr="004B7110">
        <w:rPr>
          <w:szCs w:val="22"/>
        </w:rPr>
        <w:t xml:space="preserve">) </w:t>
      </w:r>
      <w:r>
        <w:rPr>
          <w:szCs w:val="22"/>
        </w:rPr>
        <w:t xml:space="preserve">To </w:t>
      </w:r>
      <w:r w:rsidRPr="004B7110">
        <w:rPr>
          <w:szCs w:val="22"/>
        </w:rPr>
        <w:t>perform call analytics</w:t>
      </w:r>
      <w:r>
        <w:rPr>
          <w:szCs w:val="22"/>
        </w:rPr>
        <w:t xml:space="preserve"> in connection with its obligation to describe its call analytics system in </w:t>
      </w:r>
      <w:r>
        <w:rPr>
          <w:szCs w:val="22"/>
        </w:rPr>
        <w:t>its</w:t>
      </w:r>
      <w:r>
        <w:rPr>
          <w:szCs w:val="22"/>
        </w:rPr>
        <w:t xml:space="preserve"> robocall mitigation plan under paragraph (g)(2) of this section.</w:t>
      </w:r>
    </w:p>
    <w:p w:rsidR="005919ED" w:rsidP="005919ED" w14:paraId="11DBC391" w14:textId="77777777">
      <w:pPr>
        <w:spacing w:after="120"/>
        <w:ind w:left="1440"/>
        <w:rPr>
          <w:szCs w:val="22"/>
        </w:rPr>
      </w:pPr>
      <w:r w:rsidRPr="004B7110">
        <w:rPr>
          <w:szCs w:val="22"/>
        </w:rPr>
        <w:t>(</w:t>
      </w:r>
      <w:r>
        <w:rPr>
          <w:szCs w:val="22"/>
        </w:rPr>
        <w:t>ii)</w:t>
      </w:r>
      <w:r w:rsidRPr="004B7110">
        <w:rPr>
          <w:szCs w:val="22"/>
        </w:rPr>
        <w:t xml:space="preserve"> </w:t>
      </w:r>
      <w:r>
        <w:rPr>
          <w:szCs w:val="22"/>
        </w:rPr>
        <w:t xml:space="preserve">To </w:t>
      </w:r>
      <w:r w:rsidRPr="004B7110">
        <w:rPr>
          <w:szCs w:val="22"/>
        </w:rPr>
        <w:t>perform the technological act of signing calls to satisfy STIR/SHAKEN obligations</w:t>
      </w:r>
      <w:r>
        <w:rPr>
          <w:szCs w:val="22"/>
        </w:rPr>
        <w:t xml:space="preserve"> as permitted under </w:t>
      </w:r>
      <w:r w:rsidRPr="00104DE4">
        <w:rPr>
          <w:szCs w:val="22"/>
        </w:rPr>
        <w:t>§§ 64.</w:t>
      </w:r>
      <w:r>
        <w:rPr>
          <w:szCs w:val="22"/>
        </w:rPr>
        <w:t>6301(b) and 64.6302(f).</w:t>
      </w:r>
    </w:p>
    <w:p w:rsidR="005919ED" w:rsidP="005919ED" w14:paraId="36EA5988" w14:textId="77777777">
      <w:pPr>
        <w:spacing w:after="120"/>
        <w:ind w:left="1440"/>
        <w:rPr>
          <w:szCs w:val="22"/>
        </w:rPr>
      </w:pPr>
      <w:r w:rsidRPr="004B7110">
        <w:rPr>
          <w:szCs w:val="22"/>
        </w:rPr>
        <w:t>(</w:t>
      </w:r>
      <w:r>
        <w:rPr>
          <w:szCs w:val="22"/>
        </w:rPr>
        <w:t>iii</w:t>
      </w:r>
      <w:r w:rsidRPr="004B7110">
        <w:rPr>
          <w:szCs w:val="22"/>
        </w:rPr>
        <w:t xml:space="preserve">) </w:t>
      </w:r>
      <w:r>
        <w:rPr>
          <w:szCs w:val="22"/>
        </w:rPr>
        <w:t xml:space="preserve">To fulfill </w:t>
      </w:r>
      <w:r w:rsidRPr="00104DE4">
        <w:rPr>
          <w:szCs w:val="22"/>
        </w:rPr>
        <w:t>its obligation to know its customers and/or know its upstream providers, as applicable, pursuant to § 64.1200(n)(4)-(5)</w:t>
      </w:r>
      <w:r>
        <w:rPr>
          <w:szCs w:val="22"/>
        </w:rPr>
        <w:t xml:space="preserve">. </w:t>
      </w:r>
    </w:p>
    <w:p w:rsidR="005919ED" w:rsidP="005919ED" w14:paraId="577997A9" w14:textId="77777777">
      <w:pPr>
        <w:spacing w:after="120"/>
        <w:ind w:left="1440"/>
        <w:rPr>
          <w:szCs w:val="22"/>
        </w:rPr>
      </w:pPr>
      <w:r>
        <w:rPr>
          <w:szCs w:val="22"/>
        </w:rPr>
        <w:t>(iv) To submit Robocall Mitigation Database filings as required by paragraph (b) of this section.</w:t>
      </w:r>
    </w:p>
    <w:p w:rsidR="005919ED" w:rsidRPr="00104DE4" w:rsidP="005919ED" w14:paraId="6EBC25C1" w14:textId="77777777">
      <w:pPr>
        <w:spacing w:after="120"/>
        <w:rPr>
          <w:szCs w:val="22"/>
        </w:rPr>
      </w:pPr>
      <w:r w:rsidRPr="00104DE4">
        <w:rPr>
          <w:szCs w:val="22"/>
        </w:rPr>
        <w:t>(</w:t>
      </w:r>
      <w:r>
        <w:rPr>
          <w:szCs w:val="22"/>
        </w:rPr>
        <w:t>e</w:t>
      </w:r>
      <w:r w:rsidRPr="00104DE4">
        <w:rPr>
          <w:szCs w:val="22"/>
        </w:rPr>
        <w:t xml:space="preserve">) </w:t>
      </w:r>
      <w:r w:rsidRPr="00B02AF5">
        <w:rPr>
          <w:b/>
          <w:bCs/>
          <w:i/>
          <w:iCs/>
          <w:szCs w:val="22"/>
        </w:rPr>
        <w:t>Business identifying information.</w:t>
      </w:r>
      <w:r>
        <w:rPr>
          <w:szCs w:val="22"/>
        </w:rPr>
        <w:t xml:space="preserve">  All filings submitted in the Robocall Mitigation Database pursuant to paragraph (b) of this section shall include the following information: </w:t>
      </w:r>
    </w:p>
    <w:p w:rsidR="005919ED" w:rsidRPr="00104DE4" w:rsidP="005919ED" w14:paraId="43014484" w14:textId="77777777">
      <w:pPr>
        <w:spacing w:after="120"/>
        <w:ind w:left="720"/>
        <w:rPr>
          <w:szCs w:val="22"/>
        </w:rPr>
      </w:pPr>
      <w:r w:rsidRPr="00104DE4">
        <w:rPr>
          <w:szCs w:val="22"/>
        </w:rPr>
        <w:t>(</w:t>
      </w:r>
      <w:r>
        <w:rPr>
          <w:szCs w:val="22"/>
        </w:rPr>
        <w:t>1</w:t>
      </w:r>
      <w:r w:rsidRPr="00104DE4">
        <w:rPr>
          <w:szCs w:val="22"/>
        </w:rPr>
        <w:t>) The voice service provider’s business name(s) and primary address;</w:t>
      </w:r>
    </w:p>
    <w:p w:rsidR="005919ED" w:rsidRPr="00104DE4" w:rsidP="005919ED" w14:paraId="22AE48E8" w14:textId="77777777">
      <w:pPr>
        <w:spacing w:after="120"/>
        <w:ind w:left="720"/>
        <w:rPr>
          <w:szCs w:val="22"/>
        </w:rPr>
      </w:pPr>
      <w:r w:rsidRPr="00104DE4">
        <w:rPr>
          <w:szCs w:val="22"/>
        </w:rPr>
        <w:t>(</w:t>
      </w:r>
      <w:r>
        <w:rPr>
          <w:szCs w:val="22"/>
        </w:rPr>
        <w:t>2</w:t>
      </w:r>
      <w:r w:rsidRPr="00104DE4">
        <w:rPr>
          <w:szCs w:val="22"/>
        </w:rPr>
        <w:t>) Other business names in use by the voice service provider;</w:t>
      </w:r>
    </w:p>
    <w:p w:rsidR="005919ED" w:rsidRPr="00104DE4" w:rsidP="005919ED" w14:paraId="132FB4AA" w14:textId="77777777">
      <w:pPr>
        <w:spacing w:after="120"/>
        <w:ind w:left="720"/>
        <w:rPr>
          <w:szCs w:val="22"/>
        </w:rPr>
      </w:pPr>
      <w:r w:rsidRPr="00104DE4">
        <w:rPr>
          <w:szCs w:val="22"/>
        </w:rPr>
        <w:t>(</w:t>
      </w:r>
      <w:r>
        <w:rPr>
          <w:szCs w:val="22"/>
        </w:rPr>
        <w:t>3</w:t>
      </w:r>
      <w:r w:rsidRPr="00104DE4">
        <w:rPr>
          <w:szCs w:val="22"/>
        </w:rPr>
        <w:t>) All business names previously used by the voice service provider;</w:t>
      </w:r>
    </w:p>
    <w:p w:rsidR="005919ED" w:rsidRPr="00104DE4" w:rsidP="005919ED" w14:paraId="2832A311" w14:textId="77777777">
      <w:pPr>
        <w:spacing w:after="120"/>
        <w:ind w:left="720"/>
        <w:rPr>
          <w:szCs w:val="22"/>
        </w:rPr>
      </w:pPr>
      <w:r w:rsidRPr="00104DE4">
        <w:rPr>
          <w:szCs w:val="22"/>
        </w:rPr>
        <w:t>(</w:t>
      </w:r>
      <w:r>
        <w:rPr>
          <w:szCs w:val="22"/>
        </w:rPr>
        <w:t>4</w:t>
      </w:r>
      <w:r w:rsidRPr="00104DE4">
        <w:rPr>
          <w:szCs w:val="22"/>
        </w:rPr>
        <w:t>) The name, title, department, business address, telephone number, and email address of one person within the company responsible for addressing robocall mitigation-related issues;</w:t>
      </w:r>
    </w:p>
    <w:p w:rsidR="005919ED" w:rsidP="005919ED" w14:paraId="39A69DB1" w14:textId="77777777">
      <w:pPr>
        <w:spacing w:after="120"/>
        <w:ind w:left="720"/>
        <w:rPr>
          <w:szCs w:val="22"/>
        </w:rPr>
      </w:pPr>
      <w:r>
        <w:rPr>
          <w:szCs w:val="22"/>
        </w:rPr>
        <w:t xml:space="preserve">(5) </w:t>
      </w:r>
      <w:r>
        <w:t>T</w:t>
      </w:r>
      <w:r w:rsidRPr="004B1E1E">
        <w:t xml:space="preserve">he </w:t>
      </w:r>
      <w:r>
        <w:t>name,</w:t>
      </w:r>
      <w:r w:rsidRPr="004B1E1E">
        <w:t xml:space="preserve"> title, telephone number, email address, </w:t>
      </w:r>
      <w:r>
        <w:t xml:space="preserve">physical </w:t>
      </w:r>
      <w:r w:rsidRPr="004B1E1E">
        <w:t xml:space="preserve">address, country of residence, </w:t>
      </w:r>
      <w:r>
        <w:t xml:space="preserve">and </w:t>
      </w:r>
      <w:r w:rsidRPr="004B1E1E">
        <w:t>citizenship</w:t>
      </w:r>
      <w:r>
        <w:t xml:space="preserve"> for each human principal (which must be no less than one individual)</w:t>
      </w:r>
      <w:r>
        <w:rPr>
          <w:szCs w:val="22"/>
        </w:rPr>
        <w:t>;</w:t>
      </w:r>
    </w:p>
    <w:p w:rsidR="005919ED" w:rsidP="005919ED" w14:paraId="47FC52F6" w14:textId="77777777">
      <w:pPr>
        <w:spacing w:after="120"/>
        <w:ind w:left="720"/>
        <w:rPr>
          <w:szCs w:val="22"/>
        </w:rPr>
      </w:pPr>
      <w:r>
        <w:rPr>
          <w:szCs w:val="22"/>
        </w:rPr>
        <w:t>(6) T</w:t>
      </w:r>
      <w:r w:rsidRPr="00B06F87">
        <w:rPr>
          <w:szCs w:val="22"/>
        </w:rPr>
        <w:t xml:space="preserve">he </w:t>
      </w:r>
      <w:r>
        <w:rPr>
          <w:szCs w:val="22"/>
        </w:rPr>
        <w:t>Robocall Mitigation Database</w:t>
      </w:r>
      <w:r w:rsidRPr="00B06F87">
        <w:rPr>
          <w:szCs w:val="22"/>
        </w:rPr>
        <w:t xml:space="preserve"> number for </w:t>
      </w:r>
      <w:r>
        <w:rPr>
          <w:szCs w:val="22"/>
        </w:rPr>
        <w:t xml:space="preserve">each non-human principal, </w:t>
      </w:r>
      <w:r w:rsidRPr="00740D45">
        <w:rPr>
          <w:szCs w:val="22"/>
        </w:rPr>
        <w:t>affiliate, subsidiar</w:t>
      </w:r>
      <w:r>
        <w:rPr>
          <w:szCs w:val="22"/>
        </w:rPr>
        <w:t>y</w:t>
      </w:r>
      <w:r w:rsidRPr="00740D45">
        <w:rPr>
          <w:szCs w:val="22"/>
        </w:rPr>
        <w:t>, and parent compan</w:t>
      </w:r>
      <w:r>
        <w:rPr>
          <w:szCs w:val="22"/>
        </w:rPr>
        <w:t>y</w:t>
      </w:r>
      <w:r w:rsidRPr="00B06F87">
        <w:rPr>
          <w:szCs w:val="22"/>
        </w:rPr>
        <w:t xml:space="preserve"> that </w:t>
      </w:r>
      <w:r>
        <w:rPr>
          <w:szCs w:val="22"/>
        </w:rPr>
        <w:t>has a filing</w:t>
      </w:r>
      <w:r w:rsidRPr="00B06F87">
        <w:rPr>
          <w:szCs w:val="22"/>
        </w:rPr>
        <w:t xml:space="preserve"> in the </w:t>
      </w:r>
      <w:r>
        <w:rPr>
          <w:szCs w:val="22"/>
        </w:rPr>
        <w:t>Robocall Mitigation Database</w:t>
      </w:r>
      <w:r w:rsidRPr="00B06F87">
        <w:rPr>
          <w:szCs w:val="22"/>
        </w:rPr>
        <w:t xml:space="preserve"> or the </w:t>
      </w:r>
      <w:r>
        <w:rPr>
          <w:szCs w:val="22"/>
        </w:rPr>
        <w:t xml:space="preserve">name and business </w:t>
      </w:r>
      <w:r w:rsidRPr="00B06F87">
        <w:rPr>
          <w:szCs w:val="22"/>
        </w:rPr>
        <w:t xml:space="preserve">address for </w:t>
      </w:r>
      <w:r>
        <w:rPr>
          <w:szCs w:val="22"/>
        </w:rPr>
        <w:t xml:space="preserve">each non-human principal, </w:t>
      </w:r>
      <w:r w:rsidRPr="00740D45">
        <w:rPr>
          <w:szCs w:val="22"/>
        </w:rPr>
        <w:t>affiliate, subsidiar</w:t>
      </w:r>
      <w:r>
        <w:rPr>
          <w:szCs w:val="22"/>
        </w:rPr>
        <w:t>y</w:t>
      </w:r>
      <w:r w:rsidRPr="00740D45">
        <w:rPr>
          <w:szCs w:val="22"/>
        </w:rPr>
        <w:t>, and parent compan</w:t>
      </w:r>
      <w:r>
        <w:rPr>
          <w:szCs w:val="22"/>
        </w:rPr>
        <w:t>y</w:t>
      </w:r>
      <w:r w:rsidRPr="00B06F87">
        <w:rPr>
          <w:szCs w:val="22"/>
        </w:rPr>
        <w:t xml:space="preserve"> that </w:t>
      </w:r>
      <w:r>
        <w:rPr>
          <w:szCs w:val="22"/>
        </w:rPr>
        <w:t>does not have a filing</w:t>
      </w:r>
      <w:r w:rsidRPr="00B06F87">
        <w:rPr>
          <w:szCs w:val="22"/>
        </w:rPr>
        <w:t xml:space="preserve"> in the </w:t>
      </w:r>
      <w:r>
        <w:rPr>
          <w:szCs w:val="22"/>
        </w:rPr>
        <w:t>Robocall Mitigation Database; and</w:t>
      </w:r>
    </w:p>
    <w:p w:rsidR="005919ED" w:rsidP="005919ED" w14:paraId="36078208" w14:textId="77777777">
      <w:pPr>
        <w:spacing w:after="120"/>
        <w:ind w:left="720"/>
        <w:rPr>
          <w:szCs w:val="22"/>
        </w:rPr>
      </w:pPr>
      <w:r w:rsidRPr="00104DE4">
        <w:rPr>
          <w:szCs w:val="22"/>
        </w:rPr>
        <w:t>(</w:t>
      </w:r>
      <w:r>
        <w:rPr>
          <w:szCs w:val="22"/>
        </w:rPr>
        <w:t>7</w:t>
      </w:r>
      <w:r w:rsidRPr="00104DE4">
        <w:rPr>
          <w:szCs w:val="22"/>
        </w:rPr>
        <w:t xml:space="preserve">) </w:t>
      </w:r>
      <w:r>
        <w:rPr>
          <w:szCs w:val="22"/>
        </w:rPr>
        <w:t>The name,</w:t>
      </w:r>
      <w:r w:rsidRPr="005D0AE9">
        <w:rPr>
          <w:szCs w:val="22"/>
        </w:rPr>
        <w:t xml:space="preserve"> </w:t>
      </w:r>
      <w:r>
        <w:rPr>
          <w:szCs w:val="22"/>
        </w:rPr>
        <w:t>United States</w:t>
      </w:r>
      <w:r w:rsidRPr="005D0AE9">
        <w:rPr>
          <w:szCs w:val="22"/>
        </w:rPr>
        <w:t xml:space="preserve"> mailing address, telephone number, and e-mail address </w:t>
      </w:r>
      <w:r>
        <w:rPr>
          <w:szCs w:val="22"/>
        </w:rPr>
        <w:t xml:space="preserve">for </w:t>
      </w:r>
      <w:r w:rsidRPr="005D0AE9">
        <w:rPr>
          <w:szCs w:val="22"/>
        </w:rPr>
        <w:t>a U</w:t>
      </w:r>
      <w:r>
        <w:rPr>
          <w:szCs w:val="22"/>
        </w:rPr>
        <w:t xml:space="preserve">nited </w:t>
      </w:r>
      <w:r w:rsidRPr="005D0AE9">
        <w:rPr>
          <w:szCs w:val="22"/>
        </w:rPr>
        <w:t>S</w:t>
      </w:r>
      <w:r>
        <w:rPr>
          <w:szCs w:val="22"/>
        </w:rPr>
        <w:t>tates</w:t>
      </w:r>
      <w:r w:rsidRPr="005D0AE9">
        <w:rPr>
          <w:szCs w:val="22"/>
        </w:rPr>
        <w:t xml:space="preserve"> registered agent </w:t>
      </w:r>
      <w:r>
        <w:rPr>
          <w:szCs w:val="22"/>
        </w:rPr>
        <w:t>that is authorized to accept service on behalf of the voice service provider</w:t>
      </w:r>
      <w:r w:rsidRPr="005D0AE9">
        <w:rPr>
          <w:szCs w:val="22"/>
        </w:rPr>
        <w:t>.</w:t>
      </w:r>
    </w:p>
    <w:p w:rsidR="005919ED" w:rsidRPr="00DB2ECD" w:rsidP="005919ED" w14:paraId="59143E81" w14:textId="77777777">
      <w:pPr>
        <w:spacing w:after="120"/>
        <w:rPr>
          <w:b/>
          <w:i/>
          <w:szCs w:val="22"/>
        </w:rPr>
      </w:pPr>
      <w:r>
        <w:rPr>
          <w:szCs w:val="22"/>
        </w:rPr>
        <w:t xml:space="preserve">(f) </w:t>
      </w:r>
      <w:r>
        <w:rPr>
          <w:b/>
          <w:bCs/>
          <w:i/>
          <w:iCs/>
          <w:szCs w:val="22"/>
        </w:rPr>
        <w:t>Provider type and service information.</w:t>
      </w:r>
      <w:r>
        <w:rPr>
          <w:szCs w:val="22"/>
        </w:rPr>
        <w:t xml:space="preserve">  All filings submitted in the Robocall Mitigation Database pursuant to paragraph (b) of this section shall include the following information: </w:t>
      </w:r>
      <w:r>
        <w:rPr>
          <w:b/>
          <w:bCs/>
          <w:i/>
          <w:iCs/>
          <w:szCs w:val="22"/>
        </w:rPr>
        <w:t xml:space="preserve"> </w:t>
      </w:r>
    </w:p>
    <w:p w:rsidR="005919ED" w:rsidP="005919ED" w14:paraId="78AEAD48" w14:textId="77777777">
      <w:pPr>
        <w:spacing w:after="120"/>
        <w:ind w:left="720"/>
        <w:rPr>
          <w:szCs w:val="22"/>
        </w:rPr>
      </w:pPr>
      <w:r>
        <w:rPr>
          <w:szCs w:val="22"/>
        </w:rPr>
        <w:t xml:space="preserve">(1) </w:t>
      </w:r>
      <w:r w:rsidRPr="00104DE4">
        <w:rPr>
          <w:szCs w:val="22"/>
        </w:rPr>
        <w:t>Whether the voice service provider is a foreign voice service provider;</w:t>
      </w:r>
    </w:p>
    <w:p w:rsidR="005919ED" w:rsidRPr="00104DE4" w:rsidP="005919ED" w14:paraId="603A9BDD" w14:textId="77777777">
      <w:pPr>
        <w:spacing w:after="120"/>
        <w:ind w:left="720"/>
        <w:rPr>
          <w:szCs w:val="22"/>
        </w:rPr>
      </w:pPr>
      <w:r>
        <w:rPr>
          <w:szCs w:val="22"/>
        </w:rPr>
        <w:t xml:space="preserve">(2) </w:t>
      </w:r>
      <w:r w:rsidRPr="00104DE4">
        <w:rPr>
          <w:szCs w:val="22"/>
        </w:rPr>
        <w:t>Whether the voice service provider:</w:t>
      </w:r>
    </w:p>
    <w:p w:rsidR="005919ED" w:rsidRPr="00104DE4" w:rsidP="005919ED" w14:paraId="437A5F1A" w14:textId="77777777">
      <w:pPr>
        <w:spacing w:after="120"/>
        <w:ind w:left="1440"/>
        <w:rPr>
          <w:szCs w:val="22"/>
        </w:rPr>
      </w:pPr>
      <w:r w:rsidRPr="00104DE4">
        <w:rPr>
          <w:szCs w:val="22"/>
        </w:rPr>
        <w:t>(</w:t>
      </w:r>
      <w:r>
        <w:rPr>
          <w:szCs w:val="22"/>
        </w:rPr>
        <w:t>i</w:t>
      </w:r>
      <w:r w:rsidRPr="00104DE4">
        <w:rPr>
          <w:szCs w:val="22"/>
        </w:rPr>
        <w:t>) Is a facilities-based provider that:</w:t>
      </w:r>
    </w:p>
    <w:p w:rsidR="005919ED" w:rsidRPr="00104DE4" w:rsidP="005919ED" w14:paraId="489F3EEA" w14:textId="77777777">
      <w:pPr>
        <w:spacing w:after="120"/>
        <w:ind w:left="2160"/>
        <w:rPr>
          <w:szCs w:val="22"/>
        </w:rPr>
      </w:pPr>
      <w:r w:rsidRPr="00104DE4">
        <w:rPr>
          <w:szCs w:val="22"/>
        </w:rPr>
        <w:t>(</w:t>
      </w:r>
      <w:r w:rsidRPr="0015457F">
        <w:rPr>
          <w:szCs w:val="22"/>
        </w:rPr>
        <w:t>A</w:t>
      </w:r>
      <w:r w:rsidRPr="00104DE4">
        <w:rPr>
          <w:szCs w:val="22"/>
        </w:rPr>
        <w:t>) Is an originating or terminating voice service provider directly serving end users;</w:t>
      </w:r>
    </w:p>
    <w:p w:rsidR="005919ED" w:rsidRPr="00A94991" w:rsidP="005919ED" w14:paraId="203D6203" w14:textId="77777777">
      <w:pPr>
        <w:spacing w:after="120"/>
        <w:ind w:left="2160"/>
        <w:rPr>
          <w:szCs w:val="22"/>
        </w:rPr>
      </w:pPr>
      <w:r w:rsidRPr="00A94991">
        <w:rPr>
          <w:szCs w:val="22"/>
        </w:rPr>
        <w:t>(</w:t>
      </w:r>
      <w:r>
        <w:rPr>
          <w:szCs w:val="22"/>
        </w:rPr>
        <w:t>B</w:t>
      </w:r>
      <w:r w:rsidRPr="00A94991">
        <w:rPr>
          <w:szCs w:val="22"/>
        </w:rPr>
        <w:t xml:space="preserve">) Is an originating or terminating provider acting as a wholesale </w:t>
      </w:r>
      <w:r>
        <w:rPr>
          <w:szCs w:val="22"/>
        </w:rPr>
        <w:t xml:space="preserve">voice service </w:t>
      </w:r>
      <w:r w:rsidRPr="00A94991">
        <w:rPr>
          <w:szCs w:val="22"/>
        </w:rPr>
        <w:t xml:space="preserve">provider </w:t>
      </w:r>
      <w:r>
        <w:rPr>
          <w:szCs w:val="22"/>
        </w:rPr>
        <w:t xml:space="preserve">that is </w:t>
      </w:r>
      <w:r w:rsidRPr="00A94991">
        <w:rPr>
          <w:szCs w:val="22"/>
        </w:rPr>
        <w:t xml:space="preserve">originating or terminating calls </w:t>
      </w:r>
      <w:r w:rsidRPr="005D0AE9">
        <w:rPr>
          <w:szCs w:val="22"/>
        </w:rPr>
        <w:t>for end users it does not directly serve on behalf of an</w:t>
      </w:r>
      <w:r>
        <w:rPr>
          <w:szCs w:val="22"/>
        </w:rPr>
        <w:t xml:space="preserve">y </w:t>
      </w:r>
      <w:r w:rsidRPr="005D0AE9">
        <w:rPr>
          <w:szCs w:val="22"/>
        </w:rPr>
        <w:t xml:space="preserve">other </w:t>
      </w:r>
      <w:r>
        <w:rPr>
          <w:szCs w:val="22"/>
        </w:rPr>
        <w:t>voice service</w:t>
      </w:r>
      <w:r w:rsidRPr="005D0AE9">
        <w:rPr>
          <w:szCs w:val="22"/>
        </w:rPr>
        <w:t xml:space="preserve"> provider</w:t>
      </w:r>
      <w:r>
        <w:rPr>
          <w:szCs w:val="22"/>
        </w:rPr>
        <w:t>(s)</w:t>
      </w:r>
      <w:r w:rsidRPr="00A94991">
        <w:rPr>
          <w:szCs w:val="22"/>
        </w:rPr>
        <w:t xml:space="preserve">; </w:t>
      </w:r>
    </w:p>
    <w:p w:rsidR="005919ED" w:rsidRPr="00A94991" w:rsidP="005919ED" w14:paraId="6DE5E01C" w14:textId="77777777">
      <w:pPr>
        <w:spacing w:after="120"/>
        <w:ind w:left="2160"/>
        <w:rPr>
          <w:szCs w:val="22"/>
        </w:rPr>
      </w:pPr>
      <w:r w:rsidRPr="00A94991">
        <w:rPr>
          <w:szCs w:val="22"/>
        </w:rPr>
        <w:t>(</w:t>
      </w:r>
      <w:r>
        <w:rPr>
          <w:szCs w:val="22"/>
        </w:rPr>
        <w:t>C</w:t>
      </w:r>
      <w:r w:rsidRPr="00A94991">
        <w:rPr>
          <w:szCs w:val="22"/>
        </w:rPr>
        <w:t>) Is a gateway provider; and/or</w:t>
      </w:r>
    </w:p>
    <w:p w:rsidR="005919ED" w:rsidRPr="00A94991" w:rsidP="005919ED" w14:paraId="26D375E7" w14:textId="77777777">
      <w:pPr>
        <w:spacing w:after="120"/>
        <w:ind w:left="2160"/>
        <w:rPr>
          <w:szCs w:val="22"/>
        </w:rPr>
      </w:pPr>
      <w:r w:rsidRPr="00A94991">
        <w:rPr>
          <w:szCs w:val="22"/>
        </w:rPr>
        <w:t>(</w:t>
      </w:r>
      <w:r>
        <w:rPr>
          <w:szCs w:val="22"/>
        </w:rPr>
        <w:t>D</w:t>
      </w:r>
      <w:r w:rsidRPr="00A94991">
        <w:rPr>
          <w:szCs w:val="22"/>
        </w:rPr>
        <w:t>) Is a non-gateway intermediate provider; and/or</w:t>
      </w:r>
    </w:p>
    <w:p w:rsidR="005919ED" w:rsidRPr="00A94991" w:rsidP="005919ED" w14:paraId="195EEFC5" w14:textId="77777777">
      <w:pPr>
        <w:spacing w:after="120"/>
        <w:ind w:left="1440"/>
        <w:rPr>
          <w:szCs w:val="22"/>
        </w:rPr>
      </w:pPr>
      <w:r w:rsidRPr="00A94991">
        <w:rPr>
          <w:szCs w:val="22"/>
        </w:rPr>
        <w:t>(ii) Is a non-facilities-based provider that:</w:t>
      </w:r>
    </w:p>
    <w:p w:rsidR="005919ED" w:rsidRPr="00A94991" w:rsidP="005919ED" w14:paraId="6A210BAA" w14:textId="77777777">
      <w:pPr>
        <w:spacing w:after="120"/>
        <w:ind w:left="2160"/>
        <w:rPr>
          <w:szCs w:val="22"/>
        </w:rPr>
      </w:pPr>
      <w:r w:rsidRPr="00A94991">
        <w:rPr>
          <w:szCs w:val="22"/>
        </w:rPr>
        <w:t>(</w:t>
      </w:r>
      <w:r>
        <w:rPr>
          <w:szCs w:val="22"/>
        </w:rPr>
        <w:t>A</w:t>
      </w:r>
      <w:r w:rsidRPr="00A94991">
        <w:rPr>
          <w:szCs w:val="22"/>
        </w:rPr>
        <w:t>) Is directly serving end users; and/or</w:t>
      </w:r>
    </w:p>
    <w:p w:rsidR="005919ED" w:rsidP="005919ED" w14:paraId="10C97451" w14:textId="77777777">
      <w:pPr>
        <w:spacing w:after="120"/>
        <w:ind w:left="2160"/>
        <w:rPr>
          <w:szCs w:val="22"/>
        </w:rPr>
      </w:pPr>
      <w:r w:rsidRPr="00A94991">
        <w:rPr>
          <w:szCs w:val="22"/>
        </w:rPr>
        <w:t>(</w:t>
      </w:r>
      <w:r>
        <w:rPr>
          <w:szCs w:val="22"/>
        </w:rPr>
        <w:t>B</w:t>
      </w:r>
      <w:r w:rsidRPr="00A94991">
        <w:rPr>
          <w:szCs w:val="22"/>
        </w:rPr>
        <w:t>) Is a wholesale</w:t>
      </w:r>
      <w:r w:rsidRPr="00DC1930">
        <w:rPr>
          <w:szCs w:val="22"/>
        </w:rPr>
        <w:t xml:space="preserve"> </w:t>
      </w:r>
      <w:r>
        <w:rPr>
          <w:szCs w:val="22"/>
        </w:rPr>
        <w:t xml:space="preserve">voice service </w:t>
      </w:r>
      <w:r w:rsidRPr="00DC1930">
        <w:rPr>
          <w:szCs w:val="22"/>
        </w:rPr>
        <w:t>provider to an</w:t>
      </w:r>
      <w:r>
        <w:rPr>
          <w:szCs w:val="22"/>
        </w:rPr>
        <w:t xml:space="preserve">y </w:t>
      </w:r>
      <w:r w:rsidRPr="00DC1930">
        <w:rPr>
          <w:szCs w:val="22"/>
        </w:rPr>
        <w:t xml:space="preserve">other </w:t>
      </w:r>
      <w:r>
        <w:rPr>
          <w:szCs w:val="22"/>
        </w:rPr>
        <w:t>voice service</w:t>
      </w:r>
      <w:r w:rsidRPr="00DC1930">
        <w:rPr>
          <w:szCs w:val="22"/>
        </w:rPr>
        <w:t xml:space="preserve"> provider</w:t>
      </w:r>
      <w:r>
        <w:rPr>
          <w:szCs w:val="22"/>
        </w:rPr>
        <w:t>(s)</w:t>
      </w:r>
      <w:r w:rsidRPr="00DC1930">
        <w:rPr>
          <w:szCs w:val="22"/>
        </w:rPr>
        <w:t xml:space="preserve"> that does not directly serve end users</w:t>
      </w:r>
      <w:r>
        <w:rPr>
          <w:szCs w:val="22"/>
        </w:rPr>
        <w:t>.</w:t>
      </w:r>
    </w:p>
    <w:p w:rsidR="005919ED" w:rsidP="005919ED" w14:paraId="1B800F0F" w14:textId="77777777">
      <w:pPr>
        <w:spacing w:after="120"/>
        <w:ind w:left="720"/>
        <w:rPr>
          <w:szCs w:val="22"/>
        </w:rPr>
      </w:pPr>
      <w:r w:rsidRPr="00104DE4">
        <w:rPr>
          <w:szCs w:val="22"/>
        </w:rPr>
        <w:t>(</w:t>
      </w:r>
      <w:r>
        <w:rPr>
          <w:szCs w:val="22"/>
        </w:rPr>
        <w:t>3</w:t>
      </w:r>
      <w:r w:rsidRPr="00104DE4">
        <w:rPr>
          <w:szCs w:val="22"/>
        </w:rPr>
        <w:t>) The voice service provider’s OCN</w:t>
      </w:r>
      <w:r>
        <w:rPr>
          <w:szCs w:val="22"/>
        </w:rPr>
        <w:t xml:space="preserve"> if the voice service provider:</w:t>
      </w:r>
    </w:p>
    <w:p w:rsidR="005919ED" w:rsidP="005919ED" w14:paraId="1ACE7ECE" w14:textId="77777777">
      <w:pPr>
        <w:spacing w:after="120"/>
        <w:ind w:left="1440"/>
        <w:rPr>
          <w:szCs w:val="22"/>
        </w:rPr>
      </w:pPr>
      <w:r>
        <w:rPr>
          <w:szCs w:val="22"/>
        </w:rPr>
        <w:t xml:space="preserve">(i) has claimed the temporary SPC </w:t>
      </w:r>
      <w:r>
        <w:rPr>
          <w:szCs w:val="22"/>
        </w:rPr>
        <w:t>token</w:t>
      </w:r>
      <w:r>
        <w:rPr>
          <w:szCs w:val="22"/>
        </w:rPr>
        <w:t xml:space="preserve"> extension pursuant to § 64.6304(c);</w:t>
      </w:r>
    </w:p>
    <w:p w:rsidR="005919ED" w:rsidP="005919ED" w14:paraId="7EE35BD4" w14:textId="77777777">
      <w:pPr>
        <w:spacing w:after="120"/>
        <w:ind w:left="1440"/>
        <w:rPr>
          <w:szCs w:val="22"/>
        </w:rPr>
      </w:pPr>
      <w:r>
        <w:rPr>
          <w:szCs w:val="22"/>
        </w:rPr>
        <w:t xml:space="preserve">(ii) has </w:t>
      </w:r>
      <w:r>
        <w:rPr>
          <w:szCs w:val="22"/>
        </w:rPr>
        <w:t>certified to</w:t>
      </w:r>
      <w:r>
        <w:rPr>
          <w:szCs w:val="22"/>
        </w:rPr>
        <w:t xml:space="preserve"> full or partial STIR/SHAKEN implementation pursuant to paragraph (c)(2) of this section; or</w:t>
      </w:r>
    </w:p>
    <w:p w:rsidR="005919ED" w:rsidRPr="00104DE4" w:rsidP="005919ED" w14:paraId="7346E0A7" w14:textId="77777777">
      <w:pPr>
        <w:spacing w:after="120"/>
        <w:ind w:left="1440"/>
        <w:rPr>
          <w:szCs w:val="22"/>
        </w:rPr>
      </w:pPr>
      <w:r>
        <w:rPr>
          <w:szCs w:val="22"/>
        </w:rPr>
        <w:t xml:space="preserve">(iii) </w:t>
      </w:r>
      <w:r>
        <w:rPr>
          <w:szCs w:val="22"/>
        </w:rPr>
        <w:t>i</w:t>
      </w:r>
      <w:r w:rsidRPr="00104DE4">
        <w:rPr>
          <w:szCs w:val="22"/>
        </w:rPr>
        <w:t xml:space="preserve">f </w:t>
      </w:r>
      <w:r>
        <w:rPr>
          <w:szCs w:val="22"/>
        </w:rPr>
        <w:t xml:space="preserve">the </w:t>
      </w:r>
      <w:r>
        <w:rPr>
          <w:szCs w:val="22"/>
        </w:rPr>
        <w:t xml:space="preserve">voice service </w:t>
      </w:r>
      <w:r>
        <w:rPr>
          <w:szCs w:val="22"/>
        </w:rPr>
        <w:t>provider</w:t>
      </w:r>
      <w:r w:rsidRPr="00104DE4">
        <w:rPr>
          <w:szCs w:val="22"/>
        </w:rPr>
        <w:t xml:space="preserve"> </w:t>
      </w:r>
      <w:r>
        <w:rPr>
          <w:szCs w:val="22"/>
        </w:rPr>
        <w:t xml:space="preserve">otherwise </w:t>
      </w:r>
      <w:r w:rsidRPr="00104DE4">
        <w:rPr>
          <w:szCs w:val="22"/>
        </w:rPr>
        <w:t xml:space="preserve">has </w:t>
      </w:r>
      <w:r>
        <w:rPr>
          <w:szCs w:val="22"/>
        </w:rPr>
        <w:t>an OCN</w:t>
      </w:r>
      <w:r w:rsidRPr="00104DE4">
        <w:rPr>
          <w:szCs w:val="22"/>
        </w:rPr>
        <w:t>.</w:t>
      </w:r>
    </w:p>
    <w:p w:rsidR="005919ED" w:rsidRPr="00104DE4" w:rsidP="005919ED" w14:paraId="012564A0" w14:textId="77777777">
      <w:pPr>
        <w:spacing w:after="120"/>
        <w:ind w:left="720"/>
        <w:rPr>
          <w:szCs w:val="22"/>
        </w:rPr>
      </w:pPr>
      <w:r>
        <w:rPr>
          <w:szCs w:val="22"/>
        </w:rPr>
        <w:t>(4) A general description of the nature of its voice service, including the types of services offered and the types of customers it serves or intends to serve.</w:t>
      </w:r>
    </w:p>
    <w:p w:rsidR="005919ED" w:rsidRPr="00E73033" w:rsidP="005919ED" w14:paraId="12920EA4" w14:textId="77777777">
      <w:pPr>
        <w:spacing w:after="120"/>
        <w:rPr>
          <w:szCs w:val="22"/>
        </w:rPr>
      </w:pPr>
      <w:r>
        <w:rPr>
          <w:szCs w:val="22"/>
        </w:rPr>
        <w:t xml:space="preserve">(g) </w:t>
      </w:r>
      <w:r w:rsidRPr="00B02AF5">
        <w:rPr>
          <w:b/>
          <w:bCs/>
          <w:i/>
          <w:iCs/>
          <w:szCs w:val="22"/>
        </w:rPr>
        <w:t>Robocall mitigation plan.</w:t>
      </w:r>
      <w:r>
        <w:rPr>
          <w:szCs w:val="22"/>
        </w:rPr>
        <w:t xml:space="preserve">  </w:t>
      </w:r>
      <w:r w:rsidRPr="00104DE4">
        <w:rPr>
          <w:szCs w:val="22"/>
        </w:rPr>
        <w:t xml:space="preserve">A voice service provider </w:t>
      </w:r>
      <w:r>
        <w:rPr>
          <w:szCs w:val="22"/>
        </w:rPr>
        <w:t>shall describe in detail t</w:t>
      </w:r>
      <w:r w:rsidRPr="00104DE4">
        <w:rPr>
          <w:szCs w:val="22"/>
        </w:rPr>
        <w:t xml:space="preserve">he </w:t>
      </w:r>
      <w:r>
        <w:rPr>
          <w:szCs w:val="22"/>
        </w:rPr>
        <w:t>affirmative, effective measures</w:t>
      </w:r>
      <w:r w:rsidRPr="00104DE4">
        <w:rPr>
          <w:szCs w:val="22"/>
        </w:rPr>
        <w:t xml:space="preserve"> the voice service provider </w:t>
      </w:r>
      <w:r>
        <w:rPr>
          <w:szCs w:val="22"/>
        </w:rPr>
        <w:t xml:space="preserve">uses </w:t>
      </w:r>
      <w:r w:rsidRPr="00104DE4">
        <w:rPr>
          <w:szCs w:val="22"/>
        </w:rPr>
        <w:t>to prevent its network or services from being used to transmit illegal calls</w:t>
      </w:r>
      <w:r>
        <w:rPr>
          <w:szCs w:val="22"/>
        </w:rPr>
        <w:t>,</w:t>
      </w:r>
      <w:r w:rsidRPr="00104DE4">
        <w:rPr>
          <w:szCs w:val="22"/>
        </w:rPr>
        <w:t xml:space="preserve"> as part of its robocall mitigation program</w:t>
      </w:r>
      <w:r>
        <w:rPr>
          <w:szCs w:val="22"/>
        </w:rPr>
        <w:t xml:space="preserve"> required by paragraph (a) of this section</w:t>
      </w:r>
      <w:r w:rsidRPr="00104DE4">
        <w:rPr>
          <w:szCs w:val="22"/>
        </w:rPr>
        <w:t>, including</w:t>
      </w:r>
      <w:r>
        <w:rPr>
          <w:szCs w:val="22"/>
        </w:rPr>
        <w:t>:</w:t>
      </w:r>
    </w:p>
    <w:p w:rsidR="005919ED" w:rsidP="005919ED" w14:paraId="08486C1F" w14:textId="77777777">
      <w:pPr>
        <w:spacing w:after="120"/>
        <w:ind w:left="720"/>
        <w:rPr>
          <w:szCs w:val="22"/>
        </w:rPr>
      </w:pPr>
      <w:r w:rsidRPr="00104DE4">
        <w:rPr>
          <w:szCs w:val="22"/>
        </w:rPr>
        <w:t>(</w:t>
      </w:r>
      <w:r>
        <w:rPr>
          <w:szCs w:val="22"/>
        </w:rPr>
        <w:t>1</w:t>
      </w:r>
      <w:r w:rsidRPr="00104DE4">
        <w:rPr>
          <w:szCs w:val="22"/>
        </w:rPr>
        <w:t>) a description of how it complies with its obligation to know its customers and/or know its upstream providers, as applicable, pursuant to § 64.1200(n)(4)-(5)</w:t>
      </w:r>
      <w:r>
        <w:rPr>
          <w:szCs w:val="22"/>
        </w:rPr>
        <w:t>;</w:t>
      </w:r>
    </w:p>
    <w:p w:rsidR="005919ED" w:rsidP="005919ED" w14:paraId="5D688543" w14:textId="77777777">
      <w:pPr>
        <w:spacing w:after="120"/>
        <w:ind w:left="720"/>
      </w:pPr>
      <w:r>
        <w:rPr>
          <w:szCs w:val="22"/>
        </w:rPr>
        <w:t xml:space="preserve">(2) a </w:t>
      </w:r>
      <w:r>
        <w:t xml:space="preserve">description of </w:t>
      </w:r>
      <w:r w:rsidRPr="00104DE4">
        <w:rPr>
          <w:szCs w:val="22"/>
        </w:rPr>
        <w:t xml:space="preserve">the </w:t>
      </w:r>
      <w:r>
        <w:t xml:space="preserve">specific call </w:t>
      </w:r>
      <w:r w:rsidRPr="00104DE4">
        <w:rPr>
          <w:szCs w:val="22"/>
        </w:rPr>
        <w:t xml:space="preserve">analytics </w:t>
      </w:r>
      <w:r>
        <w:t>measures</w:t>
      </w:r>
      <w:r w:rsidRPr="00104DE4">
        <w:rPr>
          <w:szCs w:val="22"/>
        </w:rPr>
        <w:t xml:space="preserve"> it uses to identify and block illegal </w:t>
      </w:r>
      <w:r>
        <w:rPr>
          <w:szCs w:val="22"/>
        </w:rPr>
        <w:t>calls</w:t>
      </w:r>
      <w:r w:rsidRPr="00104DE4">
        <w:rPr>
          <w:szCs w:val="22"/>
        </w:rPr>
        <w:t xml:space="preserve"> </w:t>
      </w:r>
      <w:r>
        <w:rPr>
          <w:szCs w:val="22"/>
        </w:rPr>
        <w:t>and</w:t>
      </w:r>
      <w:r w:rsidRPr="00104DE4">
        <w:rPr>
          <w:szCs w:val="22"/>
        </w:rPr>
        <w:t xml:space="preserve"> </w:t>
      </w:r>
      <w:r w:rsidRPr="00104DE4">
        <w:rPr>
          <w:szCs w:val="22"/>
        </w:rPr>
        <w:t xml:space="preserve">whether </w:t>
      </w:r>
      <w:r>
        <w:t>or not</w:t>
      </w:r>
      <w:r>
        <w:t xml:space="preserve"> each measure is performed by the </w:t>
      </w:r>
      <w:r>
        <w:rPr>
          <w:szCs w:val="22"/>
        </w:rPr>
        <w:t xml:space="preserve">voice service </w:t>
      </w:r>
      <w:r>
        <w:t>provider or by a</w:t>
      </w:r>
      <w:r w:rsidRPr="00104DE4">
        <w:rPr>
          <w:szCs w:val="22"/>
        </w:rPr>
        <w:t xml:space="preserve"> third</w:t>
      </w:r>
      <w:r>
        <w:t xml:space="preserve"> </w:t>
      </w:r>
      <w:r w:rsidRPr="00104DE4">
        <w:rPr>
          <w:szCs w:val="22"/>
        </w:rPr>
        <w:t>party</w:t>
      </w:r>
      <w:r>
        <w:t>; and</w:t>
      </w:r>
    </w:p>
    <w:p w:rsidR="005919ED" w:rsidRPr="00104DE4" w:rsidP="005919ED" w14:paraId="0DCD530B" w14:textId="77777777">
      <w:pPr>
        <w:spacing w:after="120"/>
        <w:ind w:left="720"/>
        <w:rPr>
          <w:szCs w:val="22"/>
        </w:rPr>
      </w:pPr>
      <w:r>
        <w:t xml:space="preserve">(3) </w:t>
      </w:r>
      <w:r>
        <w:rPr>
          <w:szCs w:val="22"/>
        </w:rPr>
        <w:t xml:space="preserve">a </w:t>
      </w:r>
      <w:r>
        <w:t>description</w:t>
      </w:r>
      <w:r w:rsidRPr="00A30AF3">
        <w:t xml:space="preserve"> </w:t>
      </w:r>
      <w:r>
        <w:t xml:space="preserve">of </w:t>
      </w:r>
      <w:r w:rsidRPr="00A30AF3">
        <w:t xml:space="preserve">any contractual provisions with end-users or upstream providers addressing </w:t>
      </w:r>
      <w:r w:rsidRPr="00A30AF3">
        <w:t>robocall</w:t>
      </w:r>
      <w:r w:rsidRPr="00A30AF3">
        <w:t xml:space="preserve"> mitigation</w:t>
      </w:r>
      <w:r>
        <w:t>.</w:t>
      </w:r>
    </w:p>
    <w:p w:rsidR="005919ED" w:rsidRPr="00104DE4" w:rsidP="005919ED" w14:paraId="18F773D0" w14:textId="77777777">
      <w:pPr>
        <w:spacing w:after="120"/>
        <w:rPr>
          <w:szCs w:val="22"/>
        </w:rPr>
      </w:pPr>
      <w:r w:rsidRPr="00104DE4">
        <w:rPr>
          <w:szCs w:val="22"/>
        </w:rPr>
        <w:t>(</w:t>
      </w:r>
      <w:r>
        <w:rPr>
          <w:szCs w:val="22"/>
        </w:rPr>
        <w:t>h</w:t>
      </w:r>
      <w:r w:rsidRPr="00104DE4">
        <w:rPr>
          <w:szCs w:val="22"/>
        </w:rPr>
        <w:t xml:space="preserve">) </w:t>
      </w:r>
      <w:r w:rsidRPr="00F45B87">
        <w:rPr>
          <w:b/>
          <w:bCs/>
          <w:i/>
          <w:iCs/>
          <w:szCs w:val="22"/>
        </w:rPr>
        <w:t>Requirement to keep filing updated.</w:t>
      </w:r>
      <w:r>
        <w:rPr>
          <w:szCs w:val="22"/>
        </w:rPr>
        <w:t xml:space="preserve">  </w:t>
      </w:r>
      <w:r w:rsidRPr="00104DE4">
        <w:rPr>
          <w:szCs w:val="22"/>
        </w:rPr>
        <w:t>A voice service provider shall update its filing within ten (10) business days of any change to the information it must provide pursuant to paragraph (b) of this section</w:t>
      </w:r>
      <w:r>
        <w:rPr>
          <w:szCs w:val="22"/>
        </w:rPr>
        <w:t>, except that:</w:t>
      </w:r>
    </w:p>
    <w:p w:rsidR="005919ED" w:rsidRPr="00104DE4" w:rsidP="005919ED" w14:paraId="6822A97C" w14:textId="77777777">
      <w:pPr>
        <w:spacing w:after="120"/>
        <w:ind w:left="720"/>
        <w:rPr>
          <w:szCs w:val="22"/>
        </w:rPr>
      </w:pPr>
      <w:r w:rsidRPr="00ED7125">
        <w:rPr>
          <w:szCs w:val="22"/>
        </w:rPr>
        <w:t>(1)</w:t>
      </w:r>
      <w:r w:rsidRPr="00104DE4">
        <w:rPr>
          <w:szCs w:val="22"/>
        </w:rPr>
        <w:t xml:space="preserve"> A voice service provider that has been aggrieved by a Governance Authority decision to revoke that voice service provider’s SPC token need not update its filing on the basis of that revocation until the sixty (60)-day period to request Commission review pursuant to § 64.6308(b)(1) following completion of the Governance Authority’s formal review process expires or, if the aggrieved voice service provider files an appeal, until ten (10) business days after the Wireline Competition Bureau releases a final decision pursuant to § 64.6308(d)(1).</w:t>
      </w:r>
    </w:p>
    <w:p w:rsidR="005919ED" w:rsidP="005919ED" w14:paraId="14CCD95C" w14:textId="77777777">
      <w:pPr>
        <w:spacing w:after="120"/>
        <w:ind w:left="720"/>
        <w:rPr>
          <w:szCs w:val="22"/>
        </w:rPr>
      </w:pPr>
      <w:r w:rsidRPr="005A45CD">
        <w:rPr>
          <w:szCs w:val="22"/>
        </w:rPr>
        <w:t>(2</w:t>
      </w:r>
      <w:r w:rsidRPr="00104DE4">
        <w:rPr>
          <w:szCs w:val="22"/>
        </w:rPr>
        <w:t xml:space="preserve">) </w:t>
      </w:r>
      <w:r>
        <w:rPr>
          <w:szCs w:val="22"/>
        </w:rPr>
        <w:t xml:space="preserve">If </w:t>
      </w:r>
      <w:r w:rsidRPr="005A45CD">
        <w:rPr>
          <w:szCs w:val="22"/>
        </w:rPr>
        <w:t>a</w:t>
      </w:r>
      <w:r w:rsidRPr="00104DE4">
        <w:rPr>
          <w:szCs w:val="22"/>
        </w:rPr>
        <w:t xml:space="preserve"> voice service provider elects not to file a formal appeal of the Governance Authority decision </w:t>
      </w:r>
      <w:r>
        <w:rPr>
          <w:szCs w:val="22"/>
        </w:rPr>
        <w:t>to revoke that voice service provider’s SPC token, the voice service provider</w:t>
      </w:r>
      <w:r w:rsidRPr="00104DE4">
        <w:rPr>
          <w:szCs w:val="22"/>
        </w:rPr>
        <w:t xml:space="preserve"> need not update its filing on the basis of that revocation until the thirty (30) day period to file a formal appeal with the Governance Authority Board expires.</w:t>
      </w:r>
    </w:p>
    <w:p w:rsidR="005919ED" w:rsidRPr="00104DE4" w:rsidP="007C04A0" w14:paraId="11BB53B3" w14:textId="77777777">
      <w:pPr>
        <w:widowControl/>
        <w:spacing w:after="120"/>
        <w:rPr>
          <w:szCs w:val="22"/>
        </w:rPr>
      </w:pPr>
      <w:r w:rsidRPr="00104DE4">
        <w:rPr>
          <w:szCs w:val="22"/>
        </w:rPr>
        <w:t>(</w:t>
      </w:r>
      <w:r>
        <w:rPr>
          <w:szCs w:val="22"/>
        </w:rPr>
        <w:t>i</w:t>
      </w:r>
      <w:r w:rsidRPr="00104DE4">
        <w:rPr>
          <w:szCs w:val="22"/>
        </w:rPr>
        <w:t xml:space="preserve">) </w:t>
      </w:r>
      <w:r w:rsidRPr="00104DE4">
        <w:rPr>
          <w:b/>
          <w:i/>
          <w:szCs w:val="22"/>
        </w:rPr>
        <w:t xml:space="preserve">Annual </w:t>
      </w:r>
      <w:r>
        <w:rPr>
          <w:b/>
          <w:i/>
          <w:szCs w:val="22"/>
        </w:rPr>
        <w:t>r</w:t>
      </w:r>
      <w:r w:rsidRPr="00104DE4">
        <w:rPr>
          <w:b/>
          <w:i/>
          <w:szCs w:val="22"/>
        </w:rPr>
        <w:t xml:space="preserve">ecertification </w:t>
      </w:r>
      <w:r>
        <w:rPr>
          <w:b/>
          <w:i/>
          <w:szCs w:val="22"/>
        </w:rPr>
        <w:t>r</w:t>
      </w:r>
      <w:r w:rsidRPr="00104DE4">
        <w:rPr>
          <w:b/>
          <w:i/>
          <w:szCs w:val="22"/>
        </w:rPr>
        <w:t>equirement.</w:t>
      </w:r>
      <w:r w:rsidRPr="00104DE4">
        <w:rPr>
          <w:szCs w:val="22"/>
        </w:rPr>
        <w:t xml:space="preserve"> </w:t>
      </w:r>
      <w:r>
        <w:rPr>
          <w:szCs w:val="22"/>
        </w:rPr>
        <w:t xml:space="preserve"> </w:t>
      </w:r>
      <w:r w:rsidRPr="00104DE4">
        <w:rPr>
          <w:szCs w:val="22"/>
        </w:rPr>
        <w:t xml:space="preserve">In accordance with this section and § 1.16, all </w:t>
      </w:r>
      <w:r>
        <w:rPr>
          <w:szCs w:val="22"/>
        </w:rPr>
        <w:t xml:space="preserve">voice service </w:t>
      </w:r>
      <w:r w:rsidRPr="00104DE4">
        <w:rPr>
          <w:szCs w:val="22"/>
        </w:rPr>
        <w:t>providers shall certify annually, on or before March 1, that any information submitted to the Robocall Mitigation Database is true and correct.</w:t>
      </w:r>
    </w:p>
    <w:p w:rsidR="005919ED" w:rsidP="005919ED" w14:paraId="5A86B31F" w14:textId="77777777">
      <w:pPr>
        <w:spacing w:after="120"/>
      </w:pPr>
      <w:r>
        <w:t xml:space="preserve">(j) </w:t>
      </w:r>
      <w:r>
        <w:rPr>
          <w:b/>
          <w:bCs/>
          <w:i/>
          <w:iCs/>
        </w:rPr>
        <w:t>Causes</w:t>
      </w:r>
      <w:r w:rsidRPr="00054E91">
        <w:rPr>
          <w:b/>
          <w:bCs/>
          <w:i/>
          <w:iCs/>
        </w:rPr>
        <w:t xml:space="preserve"> for removal.</w:t>
      </w:r>
      <w:r>
        <w:t xml:space="preserve">  A filing may be removed from the Robocall Mitigation Database for the following reasons:</w:t>
      </w:r>
    </w:p>
    <w:p w:rsidR="005919ED" w:rsidP="005919ED" w14:paraId="7C9295D5" w14:textId="77777777">
      <w:pPr>
        <w:spacing w:after="120"/>
        <w:ind w:left="720"/>
      </w:pPr>
      <w:r>
        <w:t xml:space="preserve">(1) </w:t>
      </w:r>
      <w:r w:rsidRPr="009B0814">
        <w:rPr>
          <w:i/>
          <w:iCs/>
        </w:rPr>
        <w:t>deficient filing</w:t>
      </w:r>
      <w:r>
        <w:t xml:space="preserve"> because it contains information that is incomplete or insufficient, but not substantially or materially so; </w:t>
      </w:r>
    </w:p>
    <w:p w:rsidR="005919ED" w:rsidP="005919ED" w14:paraId="1E8B09F6" w14:textId="77777777">
      <w:pPr>
        <w:spacing w:after="120"/>
        <w:ind w:left="720"/>
      </w:pPr>
      <w:r>
        <w:t xml:space="preserve">(2) </w:t>
      </w:r>
      <w:r w:rsidRPr="009B0814">
        <w:rPr>
          <w:i/>
          <w:iCs/>
        </w:rPr>
        <w:t>facially deficient filing</w:t>
      </w:r>
      <w:r>
        <w:t xml:space="preserve"> because it lacks required information or certifications or the information it contains is invalid, non-responsive, or illegible;</w:t>
      </w:r>
    </w:p>
    <w:p w:rsidR="005919ED" w:rsidRPr="009B239E" w:rsidP="005919ED" w14:paraId="5709E653" w14:textId="77777777">
      <w:pPr>
        <w:spacing w:after="120"/>
        <w:ind w:left="720"/>
        <w:rPr>
          <w:iCs/>
        </w:rPr>
      </w:pPr>
      <w:r>
        <w:t xml:space="preserve">(3) </w:t>
      </w:r>
      <w:r w:rsidRPr="002D0DB6">
        <w:rPr>
          <w:i/>
        </w:rPr>
        <w:t>materially deficient RMD filing</w:t>
      </w:r>
      <w:r>
        <w:rPr>
          <w:i/>
        </w:rPr>
        <w:t xml:space="preserve"> </w:t>
      </w:r>
      <w:r>
        <w:rPr>
          <w:iCs/>
        </w:rPr>
        <w:t>because it contains information that is substantially and materially incomplete or insufficient, contains material internal inconsistencies, or contains information that is materially inconsistent with information the provider has reported elsewhere or with reliable external sources, including CORES, the Governance Authority, the Policy Administrator, and Certification Authority, or the North American Numbering Plan Administrator;</w:t>
      </w:r>
    </w:p>
    <w:p w:rsidR="005919ED" w:rsidP="005919ED" w14:paraId="31D5F4B1" w14:textId="77777777">
      <w:pPr>
        <w:spacing w:after="120"/>
        <w:ind w:left="720"/>
      </w:pPr>
      <w:r>
        <w:t xml:space="preserve">(4) </w:t>
      </w:r>
      <w:r w:rsidRPr="009B0814">
        <w:rPr>
          <w:i/>
          <w:iCs/>
        </w:rPr>
        <w:t>lack of candor</w:t>
      </w:r>
      <w:r>
        <w:t xml:space="preserve">, including submission of false, misleading, or inaccurate information to the Commission, the Governance Authority, the Policy Administrator, a Certification Authority, or any agent or other third party designated by the Commission or acting on behalf of the Commission pursuant to Commission rules or direction, including the North American Numbering Plan Administrator and the industry traceback consortium; </w:t>
      </w:r>
    </w:p>
    <w:p w:rsidR="005919ED" w:rsidP="005919ED" w14:paraId="7818EB69" w14:textId="77777777">
      <w:pPr>
        <w:spacing w:after="120"/>
        <w:ind w:left="720"/>
      </w:pPr>
      <w:r>
        <w:t xml:space="preserve">(5) </w:t>
      </w:r>
      <w:r w:rsidRPr="009B0814">
        <w:rPr>
          <w:i/>
          <w:iCs/>
        </w:rPr>
        <w:t>annual recertification violations</w:t>
      </w:r>
      <w:r>
        <w:t xml:space="preserve">, including failure to complete the recertification, failure to complete the recertification on time, and failure to pay the required annual recertification fee; </w:t>
      </w:r>
    </w:p>
    <w:p w:rsidR="005919ED" w:rsidP="005919ED" w14:paraId="6F0C156D" w14:textId="77777777">
      <w:pPr>
        <w:spacing w:after="120"/>
        <w:ind w:left="720"/>
      </w:pPr>
      <w:r>
        <w:t xml:space="preserve">(6) </w:t>
      </w:r>
      <w:r w:rsidRPr="009B0814">
        <w:rPr>
          <w:i/>
          <w:iCs/>
        </w:rPr>
        <w:t xml:space="preserve">accepting calls from a prohibited </w:t>
      </w:r>
      <w:r w:rsidRPr="00ED7125">
        <w:rPr>
          <w:i/>
          <w:iCs/>
          <w:szCs w:val="22"/>
        </w:rPr>
        <w:t>voice service</w:t>
      </w:r>
      <w:r>
        <w:rPr>
          <w:szCs w:val="22"/>
        </w:rPr>
        <w:t xml:space="preserve"> </w:t>
      </w:r>
      <w:r w:rsidRPr="009B0814">
        <w:rPr>
          <w:i/>
          <w:iCs/>
        </w:rPr>
        <w:t>provider</w:t>
      </w:r>
      <w:r>
        <w:t xml:space="preserve">, including a </w:t>
      </w:r>
      <w:r>
        <w:rPr>
          <w:szCs w:val="22"/>
        </w:rPr>
        <w:t>voice service</w:t>
      </w:r>
      <w:r>
        <w:t xml:space="preserve"> provider that does not have a filing that appears in the Robocall Mitigation Database, whose filing has been removed from the Robocall Mitigation Database, or that is subject to a mandatory blocking order under § 64.1200(n); </w:t>
      </w:r>
    </w:p>
    <w:p w:rsidR="005919ED" w:rsidP="005919ED" w14:paraId="3D9EE139" w14:textId="77777777">
      <w:pPr>
        <w:spacing w:after="120"/>
        <w:ind w:left="720"/>
      </w:pPr>
      <w:r>
        <w:t xml:space="preserve">(7) </w:t>
      </w:r>
      <w:r w:rsidRPr="009B0814">
        <w:rPr>
          <w:i/>
          <w:iCs/>
        </w:rPr>
        <w:t>traceback violations</w:t>
      </w:r>
      <w:r>
        <w:t>, including failure to respond to traceback requests, repeated appearance in tracebacks, or submission of incomplete or inaccurate information in traceback responses;</w:t>
      </w:r>
    </w:p>
    <w:p w:rsidR="005919ED" w:rsidP="005919ED" w14:paraId="13330D78" w14:textId="77777777">
      <w:pPr>
        <w:spacing w:after="120"/>
        <w:ind w:left="720"/>
      </w:pPr>
      <w:r>
        <w:t xml:space="preserve">(8) </w:t>
      </w:r>
      <w:r w:rsidRPr="009B0814">
        <w:rPr>
          <w:i/>
          <w:iCs/>
        </w:rPr>
        <w:t>enabling transmission of illegal calls</w:t>
      </w:r>
      <w:r>
        <w:t>, including knowingly or negligently initiating, originating, carrying, processing, or terminating illegal calls;</w:t>
      </w:r>
    </w:p>
    <w:p w:rsidR="005919ED" w:rsidP="005919ED" w14:paraId="28986C31" w14:textId="77777777">
      <w:pPr>
        <w:spacing w:after="120"/>
        <w:ind w:left="720"/>
      </w:pPr>
      <w:r>
        <w:t xml:space="preserve">(9) </w:t>
      </w:r>
      <w:r w:rsidRPr="00FF08D6">
        <w:rPr>
          <w:i/>
          <w:iCs/>
        </w:rPr>
        <w:t>inadequate robocall mitigation measures</w:t>
      </w:r>
      <w:r>
        <w:t xml:space="preserve">, including failure to implement a robocall mitigation program that complies with § 64.6305(a) or failure to comply with the robocall mitigation practices described in the </w:t>
      </w:r>
      <w:r>
        <w:rPr>
          <w:szCs w:val="22"/>
        </w:rPr>
        <w:t xml:space="preserve">voice service </w:t>
      </w:r>
      <w:r>
        <w:t>provider’s robocall mitigation plan;</w:t>
      </w:r>
    </w:p>
    <w:p w:rsidR="005919ED" w:rsidP="005919ED" w14:paraId="7A7B6518" w14:textId="77777777">
      <w:pPr>
        <w:spacing w:after="120"/>
        <w:ind w:left="720"/>
      </w:pPr>
      <w:r>
        <w:t xml:space="preserve">(10) </w:t>
      </w:r>
      <w:r w:rsidRPr="0097331A">
        <w:rPr>
          <w:i/>
          <w:iCs/>
        </w:rPr>
        <w:t>failure to cooperate with a Commission investigation</w:t>
      </w:r>
      <w:r>
        <w:t>, including failure to respond to a subpoena, letter of inquiry, cease-and-desist letter, or notice of suspected illegal traffic;</w:t>
      </w:r>
    </w:p>
    <w:p w:rsidR="005919ED" w:rsidP="005919ED" w14:paraId="6AE24CFE" w14:textId="77777777">
      <w:pPr>
        <w:spacing w:after="120"/>
        <w:ind w:left="720"/>
      </w:pPr>
      <w:r>
        <w:t xml:space="preserve">(11) </w:t>
      </w:r>
      <w:r w:rsidRPr="009B0814">
        <w:rPr>
          <w:i/>
          <w:iCs/>
        </w:rPr>
        <w:t>impersonation</w:t>
      </w:r>
      <w:r>
        <w:t>, including the unauthorized use of another person’s or entity’s identifying information in a Robocall Mitigation Database filing;</w:t>
      </w:r>
    </w:p>
    <w:p w:rsidR="005919ED" w:rsidP="005919ED" w14:paraId="06B08F1C" w14:textId="77777777">
      <w:pPr>
        <w:spacing w:after="120"/>
        <w:ind w:left="720"/>
      </w:pPr>
      <w:r>
        <w:t xml:space="preserve">(12) </w:t>
      </w:r>
      <w:r w:rsidRPr="009B0814">
        <w:rPr>
          <w:i/>
          <w:iCs/>
        </w:rPr>
        <w:t>STIR/SHAKEN implementation violations</w:t>
      </w:r>
      <w:r>
        <w:t xml:space="preserve">, including failure to implement STIR/SHAKEN in accordance with §§ 64.6301 and/or 64.6302, as applicable, improper attestations, and unauthorized authentication practices; </w:t>
      </w:r>
    </w:p>
    <w:p w:rsidR="005919ED" w:rsidP="007C04A0" w14:paraId="3E6EC8C3" w14:textId="77777777">
      <w:pPr>
        <w:widowControl/>
        <w:spacing w:after="120"/>
        <w:ind w:left="720"/>
      </w:pPr>
      <w:r>
        <w:t xml:space="preserve">(13) </w:t>
      </w:r>
      <w:r w:rsidRPr="009B0814">
        <w:rPr>
          <w:i/>
          <w:iCs/>
        </w:rPr>
        <w:t>national security and law enforcement concerns</w:t>
      </w:r>
      <w:r>
        <w:t xml:space="preserve">, including when a </w:t>
      </w:r>
      <w:r>
        <w:rPr>
          <w:szCs w:val="22"/>
        </w:rPr>
        <w:t xml:space="preserve">voice service </w:t>
      </w:r>
      <w:r>
        <w:t xml:space="preserve">provider, or the </w:t>
      </w:r>
      <w:r>
        <w:rPr>
          <w:szCs w:val="22"/>
        </w:rPr>
        <w:t>voice service</w:t>
      </w:r>
      <w:r>
        <w:t xml:space="preserve"> provider’s subsidiary or affiliate, is identified on the Covered List, is identified as having foreign adversary control through the Foreign Adversary Control System, is subject to a Commission action revoking or terminating a license or authorization on national security or law enforcement grounds, is otherwise subject to a final Commission determination that its continued participation in the United States communications ecosystem poses unacceptable risks, or is owned or controlled by, under common ownership or control with, or acting on behalf of an entity that is subject to any such determination;</w:t>
      </w:r>
    </w:p>
    <w:p w:rsidR="005919ED" w:rsidP="005919ED" w14:paraId="3B18C565" w14:textId="77777777">
      <w:pPr>
        <w:spacing w:after="120"/>
        <w:ind w:left="720"/>
      </w:pPr>
      <w:r>
        <w:t xml:space="preserve">(14) </w:t>
      </w:r>
      <w:r w:rsidRPr="009B0814">
        <w:rPr>
          <w:i/>
          <w:iCs/>
        </w:rPr>
        <w:t>final Commission enforcement actions</w:t>
      </w:r>
      <w:r>
        <w:rPr>
          <w:i/>
          <w:iCs/>
        </w:rPr>
        <w:t xml:space="preserve"> </w:t>
      </w:r>
      <w:r w:rsidRPr="00F540BD">
        <w:t>with accompanying findings of actual wrongdoing related to facilitating illegal calls or spoofing, including a final determination order under section 64.1200(n)(3), a forfeiture order involving illegal calls or spoofing (if the forfeiture is paid or ordered to be paid by a court), revocation of a Commission authorization, or a final order finding that the provider has failed to comply with</w:t>
      </w:r>
      <w:r>
        <w:t xml:space="preserve"> any rule in subparts L, P, and HH of this part and in part 52 of this chapter; and</w:t>
      </w:r>
    </w:p>
    <w:p w:rsidR="005919ED" w:rsidRPr="005655A7" w:rsidP="005919ED" w14:paraId="40598464" w14:textId="77777777">
      <w:pPr>
        <w:spacing w:after="120"/>
        <w:ind w:left="720"/>
      </w:pPr>
      <w:r w:rsidRPr="005655A7">
        <w:t>(1</w:t>
      </w:r>
      <w:r>
        <w:t>5</w:t>
      </w:r>
      <w:r w:rsidRPr="005655A7">
        <w:t xml:space="preserve">) </w:t>
      </w:r>
      <w:r w:rsidRPr="005655A7">
        <w:rPr>
          <w:i/>
          <w:iCs/>
        </w:rPr>
        <w:t xml:space="preserve">repeat violations for reinstated </w:t>
      </w:r>
      <w:r w:rsidRPr="00ED7125">
        <w:rPr>
          <w:i/>
          <w:iCs/>
          <w:szCs w:val="22"/>
        </w:rPr>
        <w:t>voice service</w:t>
      </w:r>
      <w:r>
        <w:rPr>
          <w:szCs w:val="22"/>
        </w:rPr>
        <w:t xml:space="preserve"> </w:t>
      </w:r>
      <w:r w:rsidRPr="005655A7">
        <w:rPr>
          <w:i/>
          <w:iCs/>
        </w:rPr>
        <w:t>providers</w:t>
      </w:r>
      <w:r w:rsidRPr="005655A7">
        <w:t xml:space="preserve">, including when the </w:t>
      </w:r>
      <w:r>
        <w:rPr>
          <w:szCs w:val="22"/>
        </w:rPr>
        <w:t xml:space="preserve">voice service </w:t>
      </w:r>
      <w:r w:rsidRPr="005655A7">
        <w:t>provider is removed for one bas</w:t>
      </w:r>
      <w:r>
        <w:t>i</w:t>
      </w:r>
      <w:r w:rsidRPr="005655A7">
        <w:t xml:space="preserve">s </w:t>
      </w:r>
      <w:r>
        <w:t>and, after reinstatement,</w:t>
      </w:r>
      <w:r w:rsidRPr="005655A7">
        <w:t xml:space="preserve"> commits a violation under </w:t>
      </w:r>
      <w:r>
        <w:t xml:space="preserve">the same or </w:t>
      </w:r>
      <w:r w:rsidRPr="005655A7">
        <w:t>another bas</w:t>
      </w:r>
      <w:r>
        <w:t>i</w:t>
      </w:r>
      <w:r w:rsidRPr="005655A7">
        <w:t>s.</w:t>
      </w:r>
    </w:p>
    <w:p w:rsidR="005919ED" w:rsidP="005919ED" w14:paraId="4538BBDB" w14:textId="77777777">
      <w:pPr>
        <w:spacing w:after="120"/>
      </w:pPr>
      <w:r w:rsidRPr="00FA2D24">
        <w:t>(</w:t>
      </w:r>
      <w:r>
        <w:t>k</w:t>
      </w:r>
      <w:r w:rsidRPr="00FA2D24">
        <w:t xml:space="preserve">) </w:t>
      </w:r>
      <w:r w:rsidRPr="00BC01F3">
        <w:rPr>
          <w:b/>
          <w:i/>
        </w:rPr>
        <w:t>Removal procedures.</w:t>
      </w:r>
      <w:r w:rsidRPr="00B66597">
        <w:t xml:space="preserve"> </w:t>
      </w:r>
      <w:r>
        <w:t xml:space="preserve"> A</w:t>
      </w:r>
      <w:r w:rsidRPr="006547EB">
        <w:t xml:space="preserve"> </w:t>
      </w:r>
      <w:r>
        <w:t xml:space="preserve">voice service </w:t>
      </w:r>
      <w:r w:rsidRPr="006547EB">
        <w:t xml:space="preserve">provider’s filing </w:t>
      </w:r>
      <w:r>
        <w:t xml:space="preserve">may be removed </w:t>
      </w:r>
      <w:r w:rsidRPr="006547EB">
        <w:t xml:space="preserve">from the Robocall Mitigation Database </w:t>
      </w:r>
      <w:r>
        <w:t>under the following procedures</w:t>
      </w:r>
      <w:r w:rsidRPr="006547EB">
        <w:t>:</w:t>
      </w:r>
    </w:p>
    <w:p w:rsidR="005919ED" w:rsidRPr="006547EB" w:rsidP="005919ED" w14:paraId="2C8B9DFF" w14:textId="77777777">
      <w:pPr>
        <w:spacing w:after="120"/>
        <w:ind w:left="720"/>
      </w:pPr>
      <w:r>
        <w:t xml:space="preserve">(1) </w:t>
      </w:r>
      <w:r w:rsidRPr="002868FF">
        <w:rPr>
          <w:i/>
          <w:iCs/>
        </w:rPr>
        <w:t xml:space="preserve">Three-Step </w:t>
      </w:r>
      <w:r>
        <w:rPr>
          <w:i/>
          <w:iCs/>
        </w:rPr>
        <w:t xml:space="preserve">Removal </w:t>
      </w:r>
      <w:r w:rsidRPr="002868FF">
        <w:rPr>
          <w:i/>
          <w:iCs/>
        </w:rPr>
        <w:t>Process.</w:t>
      </w:r>
      <w:r>
        <w:t xml:space="preserve">  For removals under paragraph (j)(1) of this section, or for any other cause for removal for which the Wireline Competition Bureau or Enforcement Bureau determines that the Three-Step Removal Process is appropriate:</w:t>
      </w:r>
    </w:p>
    <w:p w:rsidR="005919ED" w:rsidP="005919ED" w14:paraId="03390686" w14:textId="77777777">
      <w:pPr>
        <w:spacing w:after="120"/>
        <w:ind w:left="1440"/>
      </w:pPr>
      <w:r w:rsidRPr="00FA2D24">
        <w:t>(i)</w:t>
      </w:r>
      <w:r w:rsidRPr="006547EB">
        <w:t xml:space="preserve"> </w:t>
      </w:r>
      <w:r w:rsidRPr="007C6136">
        <w:t xml:space="preserve">the </w:t>
      </w:r>
      <w:r w:rsidRPr="006547EB">
        <w:t>Wireline Competition Bureau</w:t>
      </w:r>
      <w:r>
        <w:t xml:space="preserve"> or the Enforcement Bureau will </w:t>
      </w:r>
      <w:r w:rsidRPr="007C6136">
        <w:t>notif</w:t>
      </w:r>
      <w:r>
        <w:t>y</w:t>
      </w:r>
      <w:r w:rsidRPr="007C6136">
        <w:t xml:space="preserve"> the </w:t>
      </w:r>
      <w:r>
        <w:rPr>
          <w:szCs w:val="22"/>
        </w:rPr>
        <w:t xml:space="preserve">voice service </w:t>
      </w:r>
      <w:r w:rsidRPr="007C6136">
        <w:t xml:space="preserve">provider </w:t>
      </w:r>
      <w:r>
        <w:t>of the violation under paragraph (j) of this section</w:t>
      </w:r>
      <w:r w:rsidRPr="007C6136">
        <w:t xml:space="preserve"> and </w:t>
      </w:r>
      <w:r w:rsidRPr="00F540BD">
        <w:t xml:space="preserve">direct the </w:t>
      </w:r>
      <w:r>
        <w:rPr>
          <w:szCs w:val="22"/>
        </w:rPr>
        <w:t xml:space="preserve">voice service </w:t>
      </w:r>
      <w:r w:rsidRPr="00F540BD">
        <w:t xml:space="preserve">provider to, within 14 days, </w:t>
      </w:r>
      <w:r w:rsidRPr="00290A69">
        <w:t xml:space="preserve">cure the </w:t>
      </w:r>
      <w:r>
        <w:t>violation</w:t>
      </w:r>
      <w:r w:rsidRPr="00290A69">
        <w:t xml:space="preserve"> and notify the </w:t>
      </w:r>
      <w:r w:rsidRPr="006547EB">
        <w:t>Wireline Competition Bureau</w:t>
      </w:r>
      <w:r>
        <w:t xml:space="preserve"> or the </w:t>
      </w:r>
      <w:r w:rsidRPr="00290A69">
        <w:t xml:space="preserve">Enforcement Bureau that the </w:t>
      </w:r>
      <w:r>
        <w:t>violation</w:t>
      </w:r>
      <w:r w:rsidRPr="00290A69">
        <w:t xml:space="preserve"> has been cured</w:t>
      </w:r>
      <w:r w:rsidRPr="00F540BD">
        <w:t xml:space="preserve"> or accurately explain why the violation is not applicable</w:t>
      </w:r>
      <w:r w:rsidRPr="007C6136">
        <w:t>;</w:t>
      </w:r>
    </w:p>
    <w:p w:rsidR="005919ED" w:rsidRPr="00CC45BA" w:rsidP="005919ED" w14:paraId="3DBBEFB6" w14:textId="77777777">
      <w:pPr>
        <w:spacing w:after="120"/>
        <w:ind w:left="1440"/>
      </w:pPr>
      <w:r w:rsidRPr="007C6136">
        <w:t>(</w:t>
      </w:r>
      <w:r>
        <w:t>ii</w:t>
      </w:r>
      <w:r w:rsidRPr="007C6136">
        <w:t xml:space="preserve">) if the </w:t>
      </w:r>
      <w:r w:rsidRPr="007C2EAB">
        <w:t xml:space="preserve">voice service </w:t>
      </w:r>
      <w:r w:rsidRPr="007C6136">
        <w:t>provider fails to cure</w:t>
      </w:r>
      <w:r>
        <w:t xml:space="preserve"> the violation or accurately explain why the violation is inapplicable</w:t>
      </w:r>
      <w:r w:rsidRPr="00F540BD">
        <w:t xml:space="preserve">, the Enforcement Bureau will issue an order finding that the </w:t>
      </w:r>
      <w:r w:rsidRPr="007C2EAB">
        <w:t xml:space="preserve">voice service </w:t>
      </w:r>
      <w:r w:rsidRPr="00F540BD">
        <w:t xml:space="preserve">provider’s filing qualifies for removal under the violation identified and directing the </w:t>
      </w:r>
      <w:r w:rsidRPr="007C2EAB">
        <w:t xml:space="preserve">voice service </w:t>
      </w:r>
      <w:r w:rsidRPr="00F540BD">
        <w:t xml:space="preserve">provider to, within 14 days, </w:t>
      </w:r>
      <w:r w:rsidRPr="00290A69">
        <w:t xml:space="preserve">cure the </w:t>
      </w:r>
      <w:r>
        <w:t>violation</w:t>
      </w:r>
      <w:r w:rsidRPr="00290A69">
        <w:t xml:space="preserve"> and notify the Enforcement Bureau that the </w:t>
      </w:r>
      <w:r>
        <w:t>violation</w:t>
      </w:r>
      <w:r w:rsidRPr="00290A69">
        <w:t xml:space="preserve"> has been cured</w:t>
      </w:r>
      <w:r w:rsidRPr="00CC45BA">
        <w:t xml:space="preserve"> or explain why its filing should not be removed; and</w:t>
      </w:r>
    </w:p>
    <w:p w:rsidR="005919ED" w:rsidRPr="00290A69" w:rsidP="005919ED" w14:paraId="6DE7F953" w14:textId="77777777">
      <w:pPr>
        <w:spacing w:after="120"/>
        <w:ind w:left="1440"/>
      </w:pPr>
      <w:r w:rsidRPr="00CC45BA">
        <w:t xml:space="preserve">(iii) if the </w:t>
      </w:r>
      <w:r w:rsidRPr="007C2EAB">
        <w:t xml:space="preserve">voice service </w:t>
      </w:r>
      <w:r w:rsidRPr="00F540BD">
        <w:t>provider fails to cure or provide a sufficient explanation within the 14-day period, the Enforcement Bureau will issue an order removing the filing from the Robocall Mitigation Database.</w:t>
      </w:r>
    </w:p>
    <w:p w:rsidR="005919ED" w:rsidRPr="006547EB" w:rsidP="005919ED" w14:paraId="7754DEAF" w14:textId="77777777">
      <w:pPr>
        <w:spacing w:after="120"/>
        <w:ind w:left="720"/>
      </w:pPr>
      <w:r w:rsidRPr="00FA2D24">
        <w:t>(2)</w:t>
      </w:r>
      <w:r w:rsidRPr="008C1C47">
        <w:t xml:space="preserve"> </w:t>
      </w:r>
      <w:r w:rsidRPr="002868FF">
        <w:rPr>
          <w:i/>
          <w:iCs/>
        </w:rPr>
        <w:t>T</w:t>
      </w:r>
      <w:r>
        <w:rPr>
          <w:i/>
          <w:iCs/>
        </w:rPr>
        <w:t>wo</w:t>
      </w:r>
      <w:r w:rsidRPr="002868FF">
        <w:rPr>
          <w:i/>
          <w:iCs/>
        </w:rPr>
        <w:t xml:space="preserve">-Step </w:t>
      </w:r>
      <w:r>
        <w:rPr>
          <w:i/>
          <w:iCs/>
        </w:rPr>
        <w:t xml:space="preserve">Removal </w:t>
      </w:r>
      <w:r w:rsidRPr="002868FF">
        <w:rPr>
          <w:i/>
          <w:iCs/>
        </w:rPr>
        <w:t>Process.</w:t>
      </w:r>
      <w:r>
        <w:t xml:space="preserve">  For removals under paragraph (j)(2) through (14) of this section, unless the Wireline Competition Bureau or the Enforcement Bureau determines that the Three-Step Removal Process is appropriate:</w:t>
      </w:r>
    </w:p>
    <w:p w:rsidR="005919ED" w:rsidP="005919ED" w14:paraId="0DEFD165" w14:textId="77777777">
      <w:pPr>
        <w:spacing w:after="120"/>
        <w:ind w:left="1440"/>
      </w:pPr>
      <w:r w:rsidRPr="007F4DB6">
        <w:t>(</w:t>
      </w:r>
      <w:r>
        <w:t>i</w:t>
      </w:r>
      <w:r w:rsidRPr="007F4DB6">
        <w:t xml:space="preserve">) the Enforcement Bureau </w:t>
      </w:r>
      <w:r>
        <w:t xml:space="preserve">will </w:t>
      </w:r>
      <w:r w:rsidRPr="00F540BD">
        <w:t xml:space="preserve">issue an order finding that the </w:t>
      </w:r>
      <w:r>
        <w:rPr>
          <w:szCs w:val="22"/>
        </w:rPr>
        <w:t xml:space="preserve">voice service </w:t>
      </w:r>
      <w:r w:rsidRPr="00F540BD">
        <w:t xml:space="preserve">provider’s filing qualifies for removal due to a </w:t>
      </w:r>
      <w:r>
        <w:t>violation under paragraph (j) of this section</w:t>
      </w:r>
      <w:r w:rsidRPr="00F540BD">
        <w:t xml:space="preserve"> based on the available evidence and directing the </w:t>
      </w:r>
      <w:r>
        <w:rPr>
          <w:szCs w:val="22"/>
        </w:rPr>
        <w:t xml:space="preserve">voice service </w:t>
      </w:r>
      <w:r w:rsidRPr="00F540BD">
        <w:t xml:space="preserve">provider to, within </w:t>
      </w:r>
      <w:r>
        <w:t xml:space="preserve">5 </w:t>
      </w:r>
      <w:r w:rsidRPr="00F540BD">
        <w:t xml:space="preserve">days, </w:t>
      </w:r>
      <w:r w:rsidRPr="00290A69">
        <w:t xml:space="preserve">cure the </w:t>
      </w:r>
      <w:r>
        <w:t>violation</w:t>
      </w:r>
      <w:r w:rsidRPr="00290A69">
        <w:t xml:space="preserve"> and notify the Enforcement Bureau that the </w:t>
      </w:r>
      <w:r>
        <w:t>violation</w:t>
      </w:r>
      <w:r w:rsidRPr="00290A69">
        <w:t xml:space="preserve"> has been cured</w:t>
      </w:r>
      <w:r w:rsidRPr="00F540BD">
        <w:t xml:space="preserve"> or explain why its filing should not be removed</w:t>
      </w:r>
      <w:r w:rsidRPr="007F4DB6">
        <w:t>; and</w:t>
      </w:r>
    </w:p>
    <w:p w:rsidR="005919ED" w:rsidRPr="006547EB" w:rsidP="005919ED" w14:paraId="4440BFDF" w14:textId="77777777">
      <w:pPr>
        <w:spacing w:after="120"/>
        <w:ind w:left="1440"/>
      </w:pPr>
      <w:r w:rsidRPr="007F4DB6">
        <w:t>(</w:t>
      </w:r>
      <w:r>
        <w:t>ii</w:t>
      </w:r>
      <w:r w:rsidRPr="007F4DB6">
        <w:t xml:space="preserve">) </w:t>
      </w:r>
      <w:r w:rsidRPr="00F540BD">
        <w:t xml:space="preserve">if the </w:t>
      </w:r>
      <w:r>
        <w:rPr>
          <w:szCs w:val="22"/>
        </w:rPr>
        <w:t xml:space="preserve">voice service </w:t>
      </w:r>
      <w:r w:rsidRPr="00F540BD">
        <w:t xml:space="preserve">provider fails to cure or provide a sufficient explanation within the </w:t>
      </w:r>
      <w:r>
        <w:t>5</w:t>
      </w:r>
      <w:r w:rsidRPr="007F4DB6">
        <w:t xml:space="preserve">-day period, </w:t>
      </w:r>
      <w:r w:rsidRPr="00F540BD">
        <w:t>the Enforcement Bureau will issue an order removing the filing from the Robocall Mitigation Database</w:t>
      </w:r>
      <w:r w:rsidRPr="007F4DB6">
        <w:t>.</w:t>
      </w:r>
    </w:p>
    <w:p w:rsidR="005919ED" w:rsidP="005919ED" w14:paraId="030D9FFD" w14:textId="77777777">
      <w:pPr>
        <w:spacing w:after="120"/>
      </w:pPr>
      <w:r w:rsidRPr="00FA2D24">
        <w:t>(</w:t>
      </w:r>
      <w:r>
        <w:t>l</w:t>
      </w:r>
      <w:r w:rsidRPr="00FA2D24">
        <w:t>)</w:t>
      </w:r>
      <w:r w:rsidRPr="006547EB">
        <w:rPr>
          <w:b/>
          <w:bCs/>
        </w:rPr>
        <w:t xml:space="preserve"> </w:t>
      </w:r>
      <w:r w:rsidRPr="00BC01F3">
        <w:rPr>
          <w:b/>
          <w:i/>
        </w:rPr>
        <w:t>Customer notice.</w:t>
      </w:r>
      <w:r w:rsidRPr="006547EB">
        <w:t xml:space="preserve">  A </w:t>
      </w:r>
      <w:r>
        <w:rPr>
          <w:szCs w:val="22"/>
        </w:rPr>
        <w:t>voice service</w:t>
      </w:r>
      <w:r w:rsidRPr="006547EB">
        <w:t xml:space="preserve"> provider whose filing has </w:t>
      </w:r>
      <w:r w:rsidRPr="00100431">
        <w:t>been removed from the Robocall Mitigation Database, or that is subject to a Commission mandatory blocking order under § 64.1200(n)(3), shall provide notice to</w:t>
      </w:r>
      <w:r w:rsidRPr="006547EB">
        <w:t xml:space="preserve"> its customers in the manner and within the timeframe specified by the Commission, Wireline Competition Bureau, or Enforcement Bureau.</w:t>
      </w:r>
      <w:r w:rsidRPr="00FA2D24">
        <w:t xml:space="preserve"> </w:t>
      </w:r>
    </w:p>
    <w:p w:rsidR="005919ED" w:rsidP="005919ED" w14:paraId="3CBF5572" w14:textId="77777777">
      <w:pPr>
        <w:spacing w:after="120"/>
      </w:pPr>
      <w:r w:rsidRPr="00FA2D24">
        <w:t>(</w:t>
      </w:r>
      <w:r>
        <w:t>m</w:t>
      </w:r>
      <w:r w:rsidRPr="00FA2D24">
        <w:t xml:space="preserve">) </w:t>
      </w:r>
      <w:r w:rsidRPr="00BC01F3">
        <w:rPr>
          <w:b/>
          <w:i/>
        </w:rPr>
        <w:t>Unauthorized Filings and Evasion.</w:t>
      </w:r>
    </w:p>
    <w:p w:rsidR="005919ED" w:rsidP="005919ED" w14:paraId="133DDA86" w14:textId="77777777">
      <w:pPr>
        <w:spacing w:after="120"/>
        <w:ind w:left="720"/>
      </w:pPr>
      <w:r>
        <w:t xml:space="preserve">(1) A </w:t>
      </w:r>
      <w:r>
        <w:rPr>
          <w:szCs w:val="22"/>
        </w:rPr>
        <w:t>voice service</w:t>
      </w:r>
      <w:r>
        <w:t xml:space="preserve"> provider whose filing has been removed from the Robocall Mitigation Database may not re-file in, or otherwise have a filing accepted and published in, the Robocall Mitigation Database unless and until the Enforcement Bureau and the Wireline Competition Bureau consent to reinstatement pursuant to paragraph (n) of this section.</w:t>
      </w:r>
    </w:p>
    <w:p w:rsidR="005919ED" w:rsidRPr="006547EB" w:rsidP="005919ED" w14:paraId="46F50492" w14:textId="77777777">
      <w:pPr>
        <w:spacing w:after="120"/>
        <w:ind w:left="720"/>
      </w:pPr>
      <w:r>
        <w:t xml:space="preserve">(2) </w:t>
      </w:r>
      <w:r w:rsidRPr="008C1C47">
        <w:t>The</w:t>
      </w:r>
      <w:r w:rsidRPr="006547EB">
        <w:t xml:space="preserve"> Wireline Competition Bureau or Enforcement Bureau may</w:t>
      </w:r>
      <w:r>
        <w:t xml:space="preserve">, </w:t>
      </w:r>
      <w:r>
        <w:rPr>
          <w:szCs w:val="22"/>
        </w:rPr>
        <w:t>absent the consent required under paragraph (n) of this section,</w:t>
      </w:r>
      <w:r w:rsidRPr="006547EB">
        <w:t xml:space="preserve"> </w:t>
      </w:r>
      <w:r>
        <w:t xml:space="preserve">place into pending status, </w:t>
      </w:r>
      <w:r w:rsidRPr="006547EB">
        <w:t xml:space="preserve">reject, </w:t>
      </w:r>
      <w:r>
        <w:t>suspend</w:t>
      </w:r>
      <w:r w:rsidRPr="006547EB">
        <w:t xml:space="preserve">, </w:t>
      </w:r>
      <w:r>
        <w:t>or</w:t>
      </w:r>
      <w:r w:rsidRPr="006547EB">
        <w:t xml:space="preserve"> remove</w:t>
      </w:r>
      <w:r>
        <w:t xml:space="preserve"> </w:t>
      </w:r>
      <w:r w:rsidRPr="006547EB">
        <w:t xml:space="preserve">a filing that is made by, on behalf of, or for the benefit of a </w:t>
      </w:r>
      <w:r>
        <w:rPr>
          <w:szCs w:val="22"/>
        </w:rPr>
        <w:t xml:space="preserve">voice service </w:t>
      </w:r>
      <w:r w:rsidRPr="006547EB">
        <w:t xml:space="preserve">provider </w:t>
      </w:r>
      <w:r>
        <w:t>whose filing</w:t>
      </w:r>
      <w:r w:rsidRPr="006547EB">
        <w:t xml:space="preserve"> has been removed from the Robocall Mitigation Database</w:t>
      </w:r>
      <w:r>
        <w:t>,</w:t>
      </w:r>
      <w:r>
        <w:t xml:space="preserve"> </w:t>
      </w:r>
      <w:r>
        <w:t xml:space="preserve">that is </w:t>
      </w:r>
      <w:r w:rsidRPr="006547EB">
        <w:t>prohibited from filing in the Robocall Mitigation Database</w:t>
      </w:r>
      <w:r>
        <w:t xml:space="preserve">, or that is an alter ego, successor, affiliate, or evasion vehicle of such </w:t>
      </w:r>
      <w:r>
        <w:rPr>
          <w:szCs w:val="22"/>
        </w:rPr>
        <w:t xml:space="preserve">voice service </w:t>
      </w:r>
      <w:r>
        <w:t>provider, person, or entity</w:t>
      </w:r>
      <w:r w:rsidRPr="006547EB">
        <w:t>.</w:t>
      </w:r>
    </w:p>
    <w:p w:rsidR="005919ED" w:rsidP="005919ED" w14:paraId="40BD303A" w14:textId="77777777">
      <w:pPr>
        <w:spacing w:after="120"/>
      </w:pPr>
      <w:r w:rsidRPr="00FA2D24">
        <w:t>(</w:t>
      </w:r>
      <w:r>
        <w:t>n</w:t>
      </w:r>
      <w:r w:rsidRPr="00FA2D24">
        <w:t>)</w:t>
      </w:r>
      <w:r w:rsidRPr="006547EB">
        <w:rPr>
          <w:b/>
          <w:bCs/>
        </w:rPr>
        <w:t xml:space="preserve"> </w:t>
      </w:r>
      <w:r w:rsidRPr="00BC01F3">
        <w:rPr>
          <w:b/>
          <w:i/>
        </w:rPr>
        <w:t>Reinstatement.</w:t>
      </w:r>
      <w:r w:rsidRPr="006547EB">
        <w:t xml:space="preserve"> A </w:t>
      </w:r>
      <w:r>
        <w:t xml:space="preserve">voice service </w:t>
      </w:r>
      <w:r w:rsidRPr="006547EB">
        <w:t>provider whose filing has been removed</w:t>
      </w:r>
      <w:r>
        <w:t xml:space="preserve"> </w:t>
      </w:r>
      <w:r w:rsidRPr="006547EB">
        <w:t xml:space="preserve">from the Robocall Mitigation Database may request reinstatement from the </w:t>
      </w:r>
      <w:r>
        <w:t>Enforcement Bureau and the Wireline Competition Bureau</w:t>
      </w:r>
      <w:r w:rsidRPr="006547EB">
        <w:t>.</w:t>
      </w:r>
      <w:r>
        <w:t xml:space="preserve">  </w:t>
      </w:r>
    </w:p>
    <w:p w:rsidR="005919ED" w:rsidP="005919ED" w14:paraId="34EFFD15" w14:textId="77777777">
      <w:pPr>
        <w:spacing w:after="120"/>
        <w:ind w:left="720"/>
      </w:pPr>
      <w:r w:rsidRPr="00FA2D24">
        <w:t>(</w:t>
      </w:r>
      <w:r>
        <w:t>1</w:t>
      </w:r>
      <w:r w:rsidRPr="00FA2D24">
        <w:t>)</w:t>
      </w:r>
      <w:r w:rsidRPr="008C1C47">
        <w:t xml:space="preserve"> A</w:t>
      </w:r>
      <w:r w:rsidRPr="006547EB">
        <w:t xml:space="preserve"> request for reinstatement must </w:t>
      </w:r>
      <w:r>
        <w:t xml:space="preserve">be made in writing and must </w:t>
      </w:r>
      <w:r w:rsidRPr="006547EB">
        <w:t xml:space="preserve">demonstrate that the </w:t>
      </w:r>
      <w:r>
        <w:t xml:space="preserve">voice service </w:t>
      </w:r>
      <w:r w:rsidRPr="006547EB">
        <w:t xml:space="preserve">provider has cured all </w:t>
      </w:r>
      <w:r>
        <w:t>violations under paragraph (j) of this section</w:t>
      </w:r>
      <w:r w:rsidRPr="006547EB">
        <w:t xml:space="preserve">, paid any outstanding </w:t>
      </w:r>
      <w:r>
        <w:t>regulatory or</w:t>
      </w:r>
      <w:r w:rsidRPr="006547EB">
        <w:t xml:space="preserve"> filing fees</w:t>
      </w:r>
      <w:r>
        <w:t xml:space="preserve"> owed to the Commission and forfeitures imposed by a court, </w:t>
      </w:r>
      <w:r w:rsidRPr="006547EB">
        <w:t xml:space="preserve">updated all required Robocall Mitigation Database and CORES information, </w:t>
      </w:r>
      <w:r w:rsidRPr="00F540BD">
        <w:t>demonstrated compliance with traceback obligations, and implemented a robocall mitigation program consistent with paragraph (a)(1) of this section.</w:t>
      </w:r>
    </w:p>
    <w:p w:rsidR="005919ED" w:rsidP="005919ED" w14:paraId="75CCEA90" w14:textId="77777777">
      <w:pPr>
        <w:spacing w:after="120"/>
        <w:ind w:left="720"/>
      </w:pPr>
      <w:r w:rsidRPr="00FA2D24">
        <w:t>(</w:t>
      </w:r>
      <w:r>
        <w:t>2</w:t>
      </w:r>
      <w:r w:rsidRPr="00FA2D24">
        <w:t>)</w:t>
      </w:r>
      <w:r w:rsidRPr="006547EB">
        <w:t xml:space="preserve"> The </w:t>
      </w:r>
      <w:r>
        <w:t xml:space="preserve">Enforcement Bureau, in consultation with the </w:t>
      </w:r>
      <w:r w:rsidRPr="006547EB">
        <w:t>Wireline Competition Burea</w:t>
      </w:r>
      <w:r>
        <w:t xml:space="preserve">u, may </w:t>
      </w:r>
      <w:r w:rsidRPr="006547EB">
        <w:t xml:space="preserve">grant, deny, or condition reinstatement based on the </w:t>
      </w:r>
      <w:r>
        <w:t xml:space="preserve">voice service </w:t>
      </w:r>
      <w:r w:rsidRPr="006547EB">
        <w:t xml:space="preserve">provider’s showing, the </w:t>
      </w:r>
      <w:r>
        <w:rPr>
          <w:szCs w:val="22"/>
        </w:rPr>
        <w:t xml:space="preserve">voice service </w:t>
      </w:r>
      <w:r w:rsidRPr="006547EB">
        <w:t xml:space="preserve">provider’s </w:t>
      </w:r>
      <w:r>
        <w:t xml:space="preserve">cooperation with the Bureaus, the </w:t>
      </w:r>
      <w:r>
        <w:rPr>
          <w:szCs w:val="22"/>
        </w:rPr>
        <w:t xml:space="preserve">voice service </w:t>
      </w:r>
      <w:r>
        <w:t xml:space="preserve">provider’s </w:t>
      </w:r>
      <w:r w:rsidRPr="006547EB">
        <w:t xml:space="preserve">compliance history, and </w:t>
      </w:r>
      <w:r>
        <w:t>the</w:t>
      </w:r>
      <w:r w:rsidRPr="006547EB">
        <w:t xml:space="preserve"> risk that reinstatement would permit the </w:t>
      </w:r>
      <w:r>
        <w:rPr>
          <w:szCs w:val="22"/>
        </w:rPr>
        <w:t xml:space="preserve">voice service </w:t>
      </w:r>
      <w:r w:rsidRPr="006547EB">
        <w:t>provider’s network or services to be used to transmit illegal calls.</w:t>
      </w:r>
    </w:p>
    <w:p w:rsidR="005919ED" w:rsidRPr="00AE0BAD" w:rsidP="005919ED" w14:paraId="514F91A5" w14:textId="77777777">
      <w:pPr>
        <w:spacing w:after="120"/>
        <w:ind w:left="720"/>
      </w:pPr>
      <w:r>
        <w:t>(3) A filing submitted pursuant to a grant of reinstatement does not appear in the Robocall Mitigation Database for purposes of this section unless and until the filing has been accepted and published in accordance with paragraph (b)(4) of this section.</w:t>
      </w:r>
    </w:p>
    <w:p w:rsidR="005919ED" w:rsidRPr="00104DE4" w:rsidP="005919ED" w14:paraId="7493402E" w14:textId="77777777">
      <w:pPr>
        <w:spacing w:after="120"/>
        <w:rPr>
          <w:szCs w:val="22"/>
        </w:rPr>
      </w:pPr>
      <w:r w:rsidRPr="00104DE4">
        <w:rPr>
          <w:szCs w:val="22"/>
        </w:rPr>
        <w:t>(</w:t>
      </w:r>
      <w:r>
        <w:rPr>
          <w:szCs w:val="22"/>
        </w:rPr>
        <w:t>o</w:t>
      </w:r>
      <w:r w:rsidRPr="00104DE4">
        <w:rPr>
          <w:szCs w:val="22"/>
        </w:rPr>
        <w:t xml:space="preserve">) </w:t>
      </w:r>
      <w:r>
        <w:rPr>
          <w:b/>
          <w:i/>
          <w:szCs w:val="22"/>
        </w:rPr>
        <w:t>Voice traffic acceptance obligations.</w:t>
      </w:r>
    </w:p>
    <w:p w:rsidR="005919ED" w:rsidRPr="00104DE4" w:rsidP="005919ED" w14:paraId="50120B5D" w14:textId="77777777">
      <w:pPr>
        <w:spacing w:after="120"/>
        <w:ind w:left="720"/>
        <w:rPr>
          <w:szCs w:val="22"/>
        </w:rPr>
      </w:pPr>
      <w:r w:rsidRPr="00104DE4">
        <w:rPr>
          <w:szCs w:val="22"/>
        </w:rPr>
        <w:t xml:space="preserve">(1) </w:t>
      </w:r>
      <w:r w:rsidRPr="00104DE4">
        <w:rPr>
          <w:b/>
          <w:i/>
          <w:szCs w:val="22"/>
        </w:rPr>
        <w:t>Accepting calls from domestic voice service providers.</w:t>
      </w:r>
      <w:r w:rsidRPr="00104DE4">
        <w:rPr>
          <w:szCs w:val="22"/>
        </w:rPr>
        <w:t xml:space="preserve"> </w:t>
      </w:r>
      <w:r>
        <w:rPr>
          <w:szCs w:val="22"/>
        </w:rPr>
        <w:t>A voice service provider</w:t>
      </w:r>
      <w:r w:rsidRPr="00104DE4">
        <w:rPr>
          <w:szCs w:val="22"/>
        </w:rPr>
        <w:t xml:space="preserve"> shall </w:t>
      </w:r>
      <w:r>
        <w:rPr>
          <w:szCs w:val="22"/>
        </w:rPr>
        <w:t>not</w:t>
      </w:r>
      <w:r w:rsidRPr="00104DE4">
        <w:rPr>
          <w:szCs w:val="22"/>
        </w:rPr>
        <w:t xml:space="preserve"> accept calls directly from a domestic voice service provider </w:t>
      </w:r>
      <w:r>
        <w:rPr>
          <w:szCs w:val="22"/>
        </w:rPr>
        <w:t>unless</w:t>
      </w:r>
      <w:r w:rsidRPr="00104DE4">
        <w:rPr>
          <w:szCs w:val="22"/>
        </w:rPr>
        <w:t xml:space="preserve"> that domestic voice service provider’s filing appears in the Robocall Mitigation Database in accordance with paragraph (b)</w:t>
      </w:r>
      <w:r>
        <w:rPr>
          <w:szCs w:val="22"/>
        </w:rPr>
        <w:t>(4</w:t>
      </w:r>
      <w:r w:rsidRPr="00104DE4">
        <w:rPr>
          <w:szCs w:val="22"/>
        </w:rPr>
        <w:t xml:space="preserve">) of this section and has not been </w:t>
      </w:r>
      <w:r>
        <w:rPr>
          <w:szCs w:val="22"/>
        </w:rPr>
        <w:t xml:space="preserve">removed </w:t>
      </w:r>
      <w:r w:rsidRPr="00104DE4">
        <w:rPr>
          <w:szCs w:val="22"/>
        </w:rPr>
        <w:t xml:space="preserve">pursuant to </w:t>
      </w:r>
      <w:r>
        <w:rPr>
          <w:szCs w:val="22"/>
        </w:rPr>
        <w:t>Commission</w:t>
      </w:r>
      <w:r w:rsidRPr="00104DE4">
        <w:rPr>
          <w:szCs w:val="22"/>
        </w:rPr>
        <w:t xml:space="preserve"> action.</w:t>
      </w:r>
    </w:p>
    <w:p w:rsidR="005919ED" w:rsidRPr="00104DE4" w:rsidP="005919ED" w14:paraId="5F4AC2EE" w14:textId="77777777">
      <w:pPr>
        <w:spacing w:after="120"/>
        <w:ind w:left="720"/>
        <w:rPr>
          <w:szCs w:val="22"/>
        </w:rPr>
      </w:pPr>
      <w:r w:rsidRPr="00104DE4">
        <w:rPr>
          <w:szCs w:val="22"/>
        </w:rPr>
        <w:t xml:space="preserve">(2) </w:t>
      </w:r>
      <w:r w:rsidRPr="00104DE4">
        <w:rPr>
          <w:b/>
          <w:i/>
          <w:szCs w:val="22"/>
        </w:rPr>
        <w:t>Accepting calls from foreign voice service providers.</w:t>
      </w:r>
      <w:r w:rsidRPr="00104DE4">
        <w:rPr>
          <w:szCs w:val="22"/>
        </w:rPr>
        <w:t xml:space="preserve"> </w:t>
      </w:r>
      <w:r>
        <w:rPr>
          <w:szCs w:val="22"/>
        </w:rPr>
        <w:t>A voice service provider</w:t>
      </w:r>
      <w:r w:rsidRPr="00104DE4">
        <w:rPr>
          <w:szCs w:val="22"/>
        </w:rPr>
        <w:t xml:space="preserve"> shall </w:t>
      </w:r>
      <w:r>
        <w:rPr>
          <w:szCs w:val="22"/>
        </w:rPr>
        <w:t>not</w:t>
      </w:r>
      <w:r w:rsidRPr="00104DE4">
        <w:rPr>
          <w:szCs w:val="22"/>
        </w:rPr>
        <w:t xml:space="preserve"> accept calls directly from a foreign voice service provider </w:t>
      </w:r>
      <w:r>
        <w:rPr>
          <w:szCs w:val="22"/>
        </w:rPr>
        <w:t>unless</w:t>
      </w:r>
      <w:r w:rsidRPr="00104DE4">
        <w:rPr>
          <w:szCs w:val="22"/>
        </w:rPr>
        <w:t xml:space="preserve"> that foreign voice service provider’s filing appears in the Robocall Mitigation Database in accordance with paragraph (b)</w:t>
      </w:r>
      <w:r>
        <w:rPr>
          <w:szCs w:val="22"/>
        </w:rPr>
        <w:t>(4</w:t>
      </w:r>
      <w:r w:rsidRPr="00104DE4">
        <w:rPr>
          <w:szCs w:val="22"/>
        </w:rPr>
        <w:t xml:space="preserve">) of this section </w:t>
      </w:r>
      <w:r w:rsidRPr="00104DE4">
        <w:rPr>
          <w:szCs w:val="22"/>
        </w:rPr>
        <w:t>and</w:t>
      </w:r>
      <w:r w:rsidRPr="00104DE4">
        <w:rPr>
          <w:szCs w:val="22"/>
        </w:rPr>
        <w:t xml:space="preserve"> has not been </w:t>
      </w:r>
      <w:r>
        <w:rPr>
          <w:szCs w:val="22"/>
        </w:rPr>
        <w:t xml:space="preserve">removed </w:t>
      </w:r>
      <w:r w:rsidRPr="00104DE4">
        <w:rPr>
          <w:szCs w:val="22"/>
        </w:rPr>
        <w:t xml:space="preserve">pursuant to </w:t>
      </w:r>
      <w:r>
        <w:rPr>
          <w:szCs w:val="22"/>
        </w:rPr>
        <w:t>Commission</w:t>
      </w:r>
      <w:r w:rsidRPr="00104DE4">
        <w:rPr>
          <w:szCs w:val="22"/>
        </w:rPr>
        <w:t xml:space="preserve"> action.</w:t>
      </w:r>
    </w:p>
    <w:p w:rsidR="005919ED" w:rsidRPr="00104DE4" w:rsidP="005919ED" w14:paraId="5224FDA0" w14:textId="77777777">
      <w:pPr>
        <w:spacing w:after="120"/>
        <w:ind w:left="720"/>
        <w:rPr>
          <w:szCs w:val="22"/>
        </w:rPr>
      </w:pPr>
      <w:r w:rsidRPr="00104DE4">
        <w:rPr>
          <w:szCs w:val="22"/>
        </w:rPr>
        <w:t xml:space="preserve">(3) </w:t>
      </w:r>
      <w:r w:rsidRPr="00104DE4">
        <w:rPr>
          <w:b/>
          <w:i/>
          <w:szCs w:val="22"/>
        </w:rPr>
        <w:t>Public safety safeguards.</w:t>
      </w:r>
      <w:r w:rsidRPr="00104DE4">
        <w:rPr>
          <w:szCs w:val="22"/>
        </w:rPr>
        <w:t xml:space="preserve"> Notwithstanding paragraph</w:t>
      </w:r>
      <w:r>
        <w:rPr>
          <w:szCs w:val="22"/>
        </w:rPr>
        <w:t>s</w:t>
      </w:r>
      <w:r w:rsidRPr="00104DE4">
        <w:rPr>
          <w:szCs w:val="22"/>
        </w:rPr>
        <w:t xml:space="preserve"> (</w:t>
      </w:r>
      <w:r>
        <w:rPr>
          <w:szCs w:val="22"/>
        </w:rPr>
        <w:t>o</w:t>
      </w:r>
      <w:r w:rsidRPr="00104DE4">
        <w:rPr>
          <w:szCs w:val="22"/>
        </w:rPr>
        <w:t>)(1) and (2)</w:t>
      </w:r>
      <w:r>
        <w:rPr>
          <w:szCs w:val="22"/>
        </w:rPr>
        <w:t xml:space="preserve"> of this section</w:t>
      </w:r>
      <w:r w:rsidRPr="00104DE4">
        <w:rPr>
          <w:szCs w:val="22"/>
        </w:rPr>
        <w:t>:</w:t>
      </w:r>
    </w:p>
    <w:p w:rsidR="005919ED" w:rsidRPr="00104DE4" w:rsidP="005919ED" w14:paraId="7022C2CE" w14:textId="77777777">
      <w:pPr>
        <w:spacing w:after="120"/>
        <w:ind w:left="1440"/>
        <w:rPr>
          <w:szCs w:val="22"/>
        </w:rPr>
      </w:pPr>
      <w:r w:rsidRPr="00104DE4">
        <w:rPr>
          <w:szCs w:val="22"/>
        </w:rPr>
        <w:t xml:space="preserve">(i) A </w:t>
      </w:r>
      <w:r>
        <w:rPr>
          <w:szCs w:val="22"/>
        </w:rPr>
        <w:t>voice service</w:t>
      </w:r>
      <w:r w:rsidRPr="00104DE4">
        <w:rPr>
          <w:szCs w:val="22"/>
        </w:rPr>
        <w:t xml:space="preserve"> provider may not block a voice call under any circumstances if the call is an emergency call placed to 911; and</w:t>
      </w:r>
    </w:p>
    <w:p w:rsidR="005919ED" w:rsidP="005919ED" w14:paraId="00985752" w14:textId="77777777">
      <w:pPr>
        <w:spacing w:after="120"/>
        <w:ind w:left="1440"/>
        <w:rPr>
          <w:szCs w:val="22"/>
        </w:rPr>
      </w:pPr>
      <w:r w:rsidRPr="00104DE4">
        <w:rPr>
          <w:szCs w:val="22"/>
        </w:rPr>
        <w:t xml:space="preserve">(ii) A </w:t>
      </w:r>
      <w:r>
        <w:rPr>
          <w:szCs w:val="22"/>
        </w:rPr>
        <w:t>voice service</w:t>
      </w:r>
      <w:r w:rsidRPr="00104DE4">
        <w:rPr>
          <w:szCs w:val="22"/>
        </w:rPr>
        <w:t xml:space="preserve"> provider must make all reasonable efforts to ensure that it does not block any calls from public safety answering points and government emergency numbers.</w:t>
      </w:r>
    </w:p>
    <w:p w:rsidR="005919ED" w:rsidRPr="00104DE4" w:rsidP="005919ED" w14:paraId="2E8DD984" w14:textId="77777777">
      <w:pPr>
        <w:spacing w:after="120"/>
        <w:rPr>
          <w:b/>
          <w:i/>
          <w:szCs w:val="22"/>
        </w:rPr>
      </w:pPr>
    </w:p>
    <w:p w:rsidR="005919ED" w:rsidP="005919ED" w14:paraId="6F5A8947" w14:textId="77777777">
      <w:pPr>
        <w:spacing w:after="120"/>
        <w:rPr>
          <w:b/>
          <w:bCs/>
        </w:rPr>
        <w:sectPr w:rsidSect="005919ED">
          <w:headerReference w:type="default" r:id="rId15"/>
          <w:footerReference w:type="default" r:id="rId16"/>
          <w:headerReference w:type="first" r:id="rId17"/>
          <w:footnotePr>
            <w:numRestart w:val="eachSect"/>
          </w:footnotePr>
          <w:endnotePr>
            <w:numFmt w:val="decimal"/>
          </w:endnotePr>
          <w:pgSz w:w="12240" w:h="15840"/>
          <w:pgMar w:top="1440" w:right="1440" w:bottom="720" w:left="1440" w:header="720" w:footer="720" w:gutter="0"/>
          <w:cols w:space="720"/>
          <w:noEndnote/>
          <w:titlePg/>
        </w:sectPr>
      </w:pPr>
    </w:p>
    <w:p w:rsidR="005919ED" w:rsidRPr="00104DE4" w:rsidP="005919ED" w14:paraId="7F51543D" w14:textId="77777777">
      <w:pPr>
        <w:keepNext/>
        <w:suppressAutoHyphens/>
        <w:spacing w:after="120"/>
        <w:jc w:val="center"/>
        <w:outlineLvl w:val="0"/>
        <w:rPr>
          <w:b/>
          <w:caps/>
        </w:rPr>
      </w:pPr>
      <w:bookmarkStart w:id="210" w:name="_Toc148563385"/>
      <w:bookmarkStart w:id="211" w:name="_Toc148598532"/>
      <w:r w:rsidRPr="00104DE4">
        <w:rPr>
          <w:b/>
          <w:caps/>
        </w:rPr>
        <w:t>Appendix B</w:t>
      </w:r>
    </w:p>
    <w:bookmarkEnd w:id="210"/>
    <w:bookmarkEnd w:id="211"/>
    <w:p w:rsidR="005919ED" w:rsidRPr="00104DE4" w:rsidP="005919ED" w14:paraId="6E199FAB" w14:textId="77777777">
      <w:pPr>
        <w:jc w:val="center"/>
        <w:rPr>
          <w:b/>
          <w:bCs/>
        </w:rPr>
      </w:pPr>
      <w:r w:rsidRPr="00104DE4">
        <w:rPr>
          <w:b/>
          <w:bCs/>
        </w:rPr>
        <w:t>Initial Regulatory Flexibility Analysis</w:t>
      </w:r>
    </w:p>
    <w:p w:rsidR="005919ED" w:rsidRPr="00104DE4" w:rsidP="005919ED" w14:paraId="680F5888" w14:textId="77777777"/>
    <w:p w:rsidR="005919ED" w:rsidRPr="00104DE4" w:rsidP="005919ED" w14:paraId="2FC44B86" w14:textId="77777777">
      <w:pPr>
        <w:pStyle w:val="ParaNum"/>
        <w:numPr>
          <w:ilvl w:val="0"/>
          <w:numId w:val="28"/>
        </w:numPr>
      </w:pPr>
      <w:r w:rsidRPr="00104DE4">
        <w:t>As required by the Regulatory Flexibility Act of 1980, as amended (RFA),</w:t>
      </w:r>
      <w:r>
        <w:rPr>
          <w:rStyle w:val="FootnoteReference"/>
        </w:rPr>
        <w:footnoteReference w:id="328"/>
      </w:r>
      <w:r w:rsidRPr="00104DE4">
        <w:t xml:space="preserve"> the Federal Communications Commission (Commission) has prepared this Initial Regulatory Flexibility Analysis (IRFA) of the policies and rules proposed in the </w:t>
      </w:r>
      <w:r w:rsidRPr="00806AC4">
        <w:rPr>
          <w:i/>
          <w:iCs/>
        </w:rPr>
        <w:t>Further Notice</w:t>
      </w:r>
      <w:r w:rsidRPr="00104DE4">
        <w:t xml:space="preserve"> </w:t>
      </w:r>
      <w:r w:rsidRPr="00806AC4">
        <w:rPr>
          <w:i/>
        </w:rPr>
        <w:t>of Proposed Rulemaking</w:t>
      </w:r>
      <w:r w:rsidRPr="00104DE4">
        <w:t xml:space="preserve"> (</w:t>
      </w:r>
      <w:r w:rsidRPr="00806AC4">
        <w:rPr>
          <w:i/>
          <w:iCs/>
        </w:rPr>
        <w:t>F</w:t>
      </w:r>
      <w:r w:rsidRPr="00806AC4">
        <w:rPr>
          <w:i/>
        </w:rPr>
        <w:t>NPRM</w:t>
      </w:r>
      <w:r w:rsidRPr="00104DE4">
        <w:t xml:space="preserve">) assessing the possible significant economic impact on a substantial number of small entities.  The Commission requests written public comments on this IRFA.  Comments must be identified as responses to the IRFA and must be filed by the deadlines for comments specified on the first page of the </w:t>
      </w:r>
      <w:r w:rsidRPr="00806AC4">
        <w:rPr>
          <w:i/>
        </w:rPr>
        <w:t>FNPRM</w:t>
      </w:r>
      <w:r w:rsidRPr="00104DE4">
        <w:t xml:space="preserve">.  The Commission will send a copy of the </w:t>
      </w:r>
      <w:r w:rsidRPr="00806AC4">
        <w:rPr>
          <w:i/>
        </w:rPr>
        <w:t>FNPRM</w:t>
      </w:r>
      <w:r w:rsidRPr="00104DE4">
        <w:t>, including this IRFA, to the Chief Counsel for the Small Business Administration (SBA) Office of Advocacy.</w:t>
      </w:r>
      <w:r>
        <w:rPr>
          <w:rStyle w:val="FootnoteReference"/>
        </w:rPr>
        <w:footnoteReference w:id="329"/>
      </w:r>
      <w:r w:rsidRPr="00104DE4">
        <w:t xml:space="preserve">  In addition, the </w:t>
      </w:r>
      <w:r w:rsidRPr="00806AC4">
        <w:rPr>
          <w:i/>
          <w:iCs/>
        </w:rPr>
        <w:t>FNPRM</w:t>
      </w:r>
      <w:r w:rsidRPr="00104DE4">
        <w:t xml:space="preserve"> and IRFA </w:t>
      </w:r>
      <w:bookmarkStart w:id="212" w:name="_Hlk94175636"/>
      <w:r w:rsidRPr="00104DE4">
        <w:t>(or summaries thereof) will be published in the Federal Register.</w:t>
      </w:r>
      <w:r>
        <w:rPr>
          <w:rStyle w:val="FootnoteReference"/>
        </w:rPr>
        <w:footnoteReference w:id="330"/>
      </w:r>
    </w:p>
    <w:p w:rsidR="005919ED" w:rsidRPr="00104DE4" w:rsidP="00770912" w14:paraId="18921FA9" w14:textId="339A34D1">
      <w:pPr>
        <w:pStyle w:val="Heading2"/>
      </w:pPr>
      <w:bookmarkStart w:id="213" w:name="_Toc474532761"/>
      <w:bookmarkStart w:id="214" w:name="_Toc474534427"/>
      <w:bookmarkStart w:id="215" w:name="_Toc474752054"/>
      <w:bookmarkStart w:id="216" w:name="_Toc474947294"/>
      <w:bookmarkStart w:id="217" w:name="_Toc475028094"/>
      <w:bookmarkStart w:id="218" w:name="_Toc475537257"/>
      <w:bookmarkStart w:id="219" w:name="_Toc475899457"/>
      <w:bookmarkStart w:id="220" w:name="_Toc477805789"/>
      <w:bookmarkStart w:id="221" w:name="_Toc477954223"/>
      <w:bookmarkEnd w:id="212"/>
      <w:r w:rsidRPr="00104DE4">
        <w:t>Need for, and Objectives of, the Proposed Rules</w:t>
      </w:r>
      <w:bookmarkEnd w:id="213"/>
      <w:bookmarkEnd w:id="214"/>
      <w:bookmarkEnd w:id="215"/>
      <w:bookmarkEnd w:id="216"/>
      <w:bookmarkEnd w:id="217"/>
      <w:bookmarkEnd w:id="218"/>
      <w:bookmarkEnd w:id="219"/>
      <w:bookmarkEnd w:id="220"/>
      <w:bookmarkEnd w:id="221"/>
    </w:p>
    <w:p w:rsidR="005919ED" w:rsidP="005919ED" w14:paraId="38D550EA" w14:textId="77777777">
      <w:pPr>
        <w:pStyle w:val="ParaNum"/>
      </w:pPr>
      <w:r>
        <w:t xml:space="preserve">In the </w:t>
      </w:r>
      <w:r w:rsidRPr="003957D9">
        <w:rPr>
          <w:i/>
          <w:iCs/>
        </w:rPr>
        <w:t>FNPRM</w:t>
      </w:r>
      <w:r>
        <w:t xml:space="preserve">, the Commission proposes additional steps to strengthen the effectiveness of the Robocall Mitigation Database (RMD or Database) as a central tool in our broader efforts to combat illegal robocalls and restore trust in voice communications.  </w:t>
      </w:r>
      <w:r w:rsidRPr="00F568E4">
        <w:t>The RMD supports provider transparency, accountability, and compliance with robocall mitigation and caller ID authentication obligations, but as its importance has grown, the Commission must ensure its RMD rules and existing functionality stays ahead of bad actors’ increasingly sophisticated tactics to gain access to the U.S. voice network.</w:t>
      </w:r>
    </w:p>
    <w:p w:rsidR="005919ED" w:rsidP="005919ED" w14:paraId="6A8DF586" w14:textId="77777777">
      <w:pPr>
        <w:pStyle w:val="ParaNum"/>
      </w:pPr>
      <w:r w:rsidRPr="00F568E4">
        <w:t xml:space="preserve">The </w:t>
      </w:r>
      <w:r w:rsidRPr="00F568E4">
        <w:rPr>
          <w:i/>
          <w:iCs/>
        </w:rPr>
        <w:t>FNPRM</w:t>
      </w:r>
      <w:r w:rsidRPr="00F568E4">
        <w:t xml:space="preserve"> therefore aims to improve the reliability and usefulness of RMD filings</w:t>
      </w:r>
      <w:r>
        <w:rPr>
          <w:rStyle w:val="FootnoteReference"/>
        </w:rPr>
        <w:footnoteReference w:id="331"/>
      </w:r>
      <w:r w:rsidRPr="00F568E4">
        <w:t xml:space="preserve"> </w:t>
      </w:r>
      <w:r>
        <w:t xml:space="preserve">and </w:t>
      </w:r>
      <w:r w:rsidRPr="00F568E4">
        <w:t>establish clearer and more enforceable obligations for all providers in the call path</w:t>
      </w:r>
      <w:r>
        <w:t>.</w:t>
      </w:r>
      <w:r>
        <w:rPr>
          <w:rStyle w:val="FootnoteReference"/>
        </w:rPr>
        <w:footnoteReference w:id="332"/>
      </w:r>
      <w:r w:rsidRPr="00F568E4">
        <w:t xml:space="preserve">  </w:t>
      </w:r>
      <w:r>
        <w:t>Specifically, w</w:t>
      </w:r>
      <w:r w:rsidRPr="00F568E4">
        <w:t>e seek comment on whether additional clarity is needed regarding which entities must file in the RMD, including which entities meet the broad definition of “voice service provider.”</w:t>
      </w:r>
      <w:r>
        <w:rPr>
          <w:rStyle w:val="FootnoteReference"/>
        </w:rPr>
        <w:footnoteReference w:id="333"/>
      </w:r>
      <w:r w:rsidRPr="00F568E4">
        <w:t xml:space="preserve">  We also propose and seek comment on enhancements to the information required in RMD submissions, including certifications and commitments</w:t>
      </w:r>
      <w:r>
        <w:t xml:space="preserve"> filers must make;</w:t>
      </w:r>
      <w:r>
        <w:rPr>
          <w:rStyle w:val="FootnoteReference"/>
        </w:rPr>
        <w:footnoteReference w:id="334"/>
      </w:r>
      <w:r>
        <w:t xml:space="preserve"> information about the STIR/SHAKEN implementation exemptions prior enforcement actions, and use of third-party vendors as part of the robocall mitigation information providers must supply;</w:t>
      </w:r>
      <w:r>
        <w:rPr>
          <w:rStyle w:val="FootnoteReference"/>
        </w:rPr>
        <w:footnoteReference w:id="335"/>
      </w:r>
      <w:r>
        <w:t xml:space="preserve"> the type of business identifying information providers must submit;</w:t>
      </w:r>
      <w:r>
        <w:rPr>
          <w:rStyle w:val="FootnoteReference"/>
        </w:rPr>
        <w:footnoteReference w:id="336"/>
      </w:r>
      <w:r>
        <w:t xml:space="preserve"> provider type and other service related information;</w:t>
      </w:r>
      <w:r>
        <w:rPr>
          <w:rStyle w:val="FootnoteReference"/>
        </w:rPr>
        <w:footnoteReference w:id="337"/>
      </w:r>
      <w:r>
        <w:t xml:space="preserve"> and the level of detail for robocall mitigation plans.</w:t>
      </w:r>
      <w:r>
        <w:rPr>
          <w:rStyle w:val="FootnoteReference"/>
        </w:rPr>
        <w:footnoteReference w:id="338"/>
      </w:r>
      <w:r>
        <w:t xml:space="preserve">  These measures aim to ensure that RMD filings give the Commission and other stakeholders a more complete and accurate picture of provider operations and compliance, thereby supporting compliance review and enforcement functions.</w:t>
      </w:r>
    </w:p>
    <w:p w:rsidR="005919ED" w:rsidP="00CB397A" w14:paraId="631111AF" w14:textId="77777777">
      <w:pPr>
        <w:pStyle w:val="ParaNum"/>
        <w:widowControl/>
      </w:pPr>
      <w:r>
        <w:t xml:space="preserve">The </w:t>
      </w:r>
      <w:r w:rsidRPr="00B66597">
        <w:rPr>
          <w:i/>
        </w:rPr>
        <w:t>FNPRM</w:t>
      </w:r>
      <w:r>
        <w:t xml:space="preserve"> also seeks to</w:t>
      </w:r>
      <w:r w:rsidRPr="00F568E4">
        <w:t xml:space="preserve"> ensure that only legitimate providers with compliant filings appear in the Database.</w:t>
      </w:r>
      <w:r>
        <w:rPr>
          <w:rStyle w:val="FootnoteReference"/>
        </w:rPr>
        <w:footnoteReference w:id="339"/>
      </w:r>
      <w:r>
        <w:t xml:space="preserve">  Specifically, we propose and seek comment on measures to prevent bad actors and deficient filings from entering the Database in the first instance, including clarifying the Bureau’s authority to develop and implement technical and operational measures to screen filings, identify indicia of deficient or evasive filings, and prevent such filings from being accepted into the Database.</w:t>
      </w:r>
      <w:r>
        <w:rPr>
          <w:rStyle w:val="FootnoteReference"/>
        </w:rPr>
        <w:footnoteReference w:id="340"/>
      </w:r>
      <w:r>
        <w:t xml:space="preserve">  We also propose to codify that a filing does not “appear” in the Database for purposes of section 64.6305(g) unless and until it has been accepted and published, and that the Bureau may reject, withhold publication of, or place into pending status filings that appear deficient, evasive, unauthorized, or otherwise subject to a cause for removal, and on the appropriate process for such filings, including notice, opportunity to cure, and timing for Commission action.</w:t>
      </w:r>
      <w:r>
        <w:rPr>
          <w:rStyle w:val="FootnoteReference"/>
        </w:rPr>
        <w:footnoteReference w:id="341"/>
      </w:r>
      <w:r>
        <w:t xml:space="preserve">  We also seek comment on whether letters of credit or similar requirements could help deter bad actors from filing in the RMD.</w:t>
      </w:r>
      <w:r>
        <w:rPr>
          <w:rStyle w:val="FootnoteReference"/>
        </w:rPr>
        <w:footnoteReference w:id="342"/>
      </w:r>
      <w:r>
        <w:t xml:space="preserve">  </w:t>
      </w:r>
    </w:p>
    <w:p w:rsidR="005919ED" w:rsidP="005919ED" w14:paraId="20E05805" w14:textId="77777777">
      <w:pPr>
        <w:pStyle w:val="ParaNum"/>
      </w:pPr>
      <w:r>
        <w:t xml:space="preserve">We also propose and seek </w:t>
      </w:r>
      <w:r>
        <w:t>comment</w:t>
      </w:r>
      <w:r>
        <w:t xml:space="preserve"> on measures and tools to enhance our ability to identify and remove bad actors that are in the Database.  These include proposals to develop enhanced technical screening mechanisms and require domestic voice service providers with RMD filings to submit Foreign Adversary Control attestations and seeking comment on expediting the traceback process and improving information sharing with the STIR/SHAKEN Governance Authority.</w:t>
      </w:r>
      <w:r>
        <w:rPr>
          <w:rStyle w:val="FootnoteReference"/>
        </w:rPr>
        <w:footnoteReference w:id="343"/>
      </w:r>
      <w:r>
        <w:t xml:space="preserve">  We propose to adopt new causes for removal and</w:t>
      </w:r>
      <w:r>
        <w:t xml:space="preserve"> </w:t>
      </w:r>
      <w:r>
        <w:t xml:space="preserve">to codify three-step and two-step removal procedures to address deficiencies ranging from incomplete filings to facially deficient filings and other serious causes for removal.  We also seek </w:t>
      </w:r>
      <w:r>
        <w:t>comment</w:t>
      </w:r>
      <w:r>
        <w:t xml:space="preserve"> on whether additional streamlining, including a potential one-step removal process for egregious conduct or circumstances requiring immediate action, would be appropriate.</w:t>
      </w:r>
      <w:r>
        <w:rPr>
          <w:rStyle w:val="FootnoteReference"/>
        </w:rPr>
        <w:footnoteReference w:id="344"/>
      </w:r>
      <w:r>
        <w:t xml:space="preserve">  We seek comment codifying the scope of causes for removal.  We also seek comment on establishing a grace period for annual recertifications, on potential suspension mechanisms for providers that fail to complete an annual recertification or pay required fees or that otherwise present serious compliance concerns, and on whether and how to use filing status indicators.  Additionally, we propose to require providers that are subject to a removal order, suspension, or mandatory blocking order to provide notice to their customers.</w:t>
      </w:r>
      <w:r>
        <w:rPr>
          <w:rStyle w:val="FootnoteReference"/>
        </w:rPr>
        <w:footnoteReference w:id="345"/>
      </w:r>
      <w:r>
        <w:t xml:space="preserve">  </w:t>
      </w:r>
    </w:p>
    <w:p w:rsidR="005919ED" w:rsidP="005919ED" w14:paraId="599D6B71" w14:textId="77777777">
      <w:pPr>
        <w:pStyle w:val="ParaNum"/>
      </w:pPr>
      <w:r>
        <w:t xml:space="preserve">We further seek </w:t>
      </w:r>
      <w:r>
        <w:t>comment</w:t>
      </w:r>
      <w:r>
        <w:t xml:space="preserve"> on measures to keep removed bad actor providers out of the Database and to clarify the obligations of providers that rely on the Database.  We seek comment on criteria for determining when a filing is unauthorized or made on behalf of a removed or prohibited provider and whether similar filings should be held for review or automatically removed, as well as proposing procedures and standards for reinstatement.</w:t>
      </w:r>
      <w:r>
        <w:rPr>
          <w:rStyle w:val="FootnoteReference"/>
        </w:rPr>
        <w:footnoteReference w:id="346"/>
      </w:r>
      <w:r>
        <w:t xml:space="preserve">  We seek comment on whether to establish an RMD-specific debarment-style framework or apply participation bars to removed providers and natural persons associated with removed providers.</w:t>
      </w:r>
      <w:r>
        <w:rPr>
          <w:rStyle w:val="FootnoteReference"/>
        </w:rPr>
        <w:footnoteReference w:id="347"/>
      </w:r>
      <w:r>
        <w:t xml:space="preserve">  We also ask whether misconduct related to RMD filings should affect a provider’s ability to obtain or maintain other Commission authorizations, licenses, and certifications and how to ensure appropriate due process protections.</w:t>
      </w:r>
      <w:r>
        <w:rPr>
          <w:rStyle w:val="FootnoteReference"/>
        </w:rPr>
        <w:footnoteReference w:id="348"/>
      </w:r>
      <w:r>
        <w:t xml:space="preserve">  We seek comment on downstream provider obligations, including how often providers should check the RMD, how quickly providers must cease accepting traffic from providers whose filings do not appear or are removed from the Database, how providers can identify alter egos or affiliates of removed providers, whether and how to harmonize Database-related refusal obligations with call blocking obligations under section 64.1200(n), and whether RMD-based refusal or blocking obligations should apply to all voice traffic, including calls using non-U.S. NANP resources.</w:t>
      </w:r>
      <w:r>
        <w:rPr>
          <w:rStyle w:val="FootnoteReference"/>
        </w:rPr>
        <w:footnoteReference w:id="349"/>
      </w:r>
      <w:r>
        <w:t xml:space="preserve">  We seek comment on whether providers should be required or permitted to block text traffic from providers that are not listed in or have been removed from the Database, and on whether additional consequences should follow from Database removal, such as notice to the Governance Authority, the NANPA, other Commission bureaus or offices, or state and federal law enforcement partners.</w:t>
      </w:r>
      <w:r>
        <w:rPr>
          <w:rStyle w:val="FootnoteReference"/>
        </w:rPr>
        <w:footnoteReference w:id="350"/>
      </w:r>
      <w:r>
        <w:t xml:space="preserve">  </w:t>
      </w:r>
    </w:p>
    <w:p w:rsidR="005919ED" w:rsidRPr="00104DE4" w:rsidP="005919ED" w14:paraId="072FADAA" w14:textId="77777777">
      <w:pPr>
        <w:pStyle w:val="ParaNum"/>
      </w:pPr>
      <w:r>
        <w:t>We seek comment on administrative and operational considerations for filers and entities that rely on the accuracy of RMD filings, including on whether certain RMD information should remain non-public,</w:t>
      </w:r>
      <w:r>
        <w:rPr>
          <w:rStyle w:val="FootnoteReference"/>
        </w:rPr>
        <w:footnoteReference w:id="351"/>
      </w:r>
      <w:r>
        <w:t xml:space="preserve"> whether recertification or update intervals should be adjusted,</w:t>
      </w:r>
      <w:r>
        <w:rPr>
          <w:rStyle w:val="FootnoteReference"/>
        </w:rPr>
        <w:footnoteReference w:id="352"/>
      </w:r>
      <w:r>
        <w:t xml:space="preserve"> and whether audits should be used to verify compliance.</w:t>
      </w:r>
      <w:r>
        <w:rPr>
          <w:rStyle w:val="FootnoteReference"/>
        </w:rPr>
        <w:footnoteReference w:id="353"/>
      </w:r>
      <w:r>
        <w:t xml:space="preserve">  Finally, we request comment on what resources and system improvements may be necessary to support expanded screening and enforcement functions,</w:t>
      </w:r>
      <w:r>
        <w:rPr>
          <w:rStyle w:val="FootnoteReference"/>
        </w:rPr>
        <w:footnoteReference w:id="354"/>
      </w:r>
      <w:r>
        <w:t xml:space="preserve"> propose additional conforming and clarifying rule changes,</w:t>
      </w:r>
      <w:r>
        <w:rPr>
          <w:rStyle w:val="FootnoteReference"/>
        </w:rPr>
        <w:footnoteReference w:id="355"/>
      </w:r>
      <w:r>
        <w:t xml:space="preserve"> and seek comment on the effective date for rules adopted in this proceeding.</w:t>
      </w:r>
      <w:r>
        <w:rPr>
          <w:rStyle w:val="FootnoteReference"/>
        </w:rPr>
        <w:footnoteReference w:id="356"/>
      </w:r>
      <w:r>
        <w:t xml:space="preserve"> </w:t>
      </w:r>
    </w:p>
    <w:p w:rsidR="005919ED" w:rsidRPr="00104DE4" w:rsidP="00770912" w14:paraId="4B25FD8B" w14:textId="77777777">
      <w:pPr>
        <w:pStyle w:val="Heading2"/>
      </w:pPr>
      <w:bookmarkStart w:id="222" w:name="_Toc474532762"/>
      <w:bookmarkStart w:id="223" w:name="_Toc474534428"/>
      <w:bookmarkStart w:id="224" w:name="_Toc474752055"/>
      <w:bookmarkStart w:id="225" w:name="_Toc474947295"/>
      <w:bookmarkStart w:id="226" w:name="_Toc475028095"/>
      <w:bookmarkStart w:id="227" w:name="_Toc475537258"/>
      <w:bookmarkStart w:id="228" w:name="_Toc475899458"/>
      <w:bookmarkStart w:id="229" w:name="_Toc477805790"/>
      <w:bookmarkStart w:id="230" w:name="_Toc477954224"/>
      <w:r w:rsidRPr="00104DE4">
        <w:t>Legal Basis</w:t>
      </w:r>
      <w:bookmarkEnd w:id="222"/>
      <w:bookmarkEnd w:id="223"/>
      <w:bookmarkEnd w:id="224"/>
      <w:bookmarkEnd w:id="225"/>
      <w:bookmarkEnd w:id="226"/>
      <w:bookmarkEnd w:id="227"/>
      <w:bookmarkEnd w:id="228"/>
      <w:bookmarkEnd w:id="229"/>
      <w:bookmarkEnd w:id="230"/>
    </w:p>
    <w:p w:rsidR="005919ED" w:rsidRPr="00104DE4" w:rsidP="005919ED" w14:paraId="0B7C8C79" w14:textId="77777777">
      <w:pPr>
        <w:pStyle w:val="ParaNum"/>
      </w:pPr>
      <w:r w:rsidRPr="00104DE4">
        <w:t>The proposed action is authorized pursuant to sections 4(i), 4(j), 201, 202, 217, 227, 227b, 251(e), 303(r), 403, 501, 502, and 503 of the Communications Act of 1934, as amended, 47 U.S.C. §§ 154(i), 154(j), 201, 202, 217, 227, 227b, 251(e), 303(r), 403, 501, 502, and 503</w:t>
      </w:r>
      <w:r>
        <w:t xml:space="preserve"> </w:t>
      </w:r>
      <w:r w:rsidRPr="00227E36">
        <w:t>and section</w:t>
      </w:r>
      <w:r>
        <w:t>s</w:t>
      </w:r>
      <w:r w:rsidRPr="00227E36">
        <w:t xml:space="preserve"> 4</w:t>
      </w:r>
      <w:r>
        <w:t xml:space="preserve"> and 7</w:t>
      </w:r>
      <w:r w:rsidRPr="00227E36">
        <w:t xml:space="preserve"> of the TRACED Act, 47 U.S.C. § 227b</w:t>
      </w:r>
      <w:r w:rsidRPr="00104DE4">
        <w:t xml:space="preserve">. </w:t>
      </w:r>
    </w:p>
    <w:p w:rsidR="005919ED" w:rsidRPr="00104DE4" w:rsidP="00770912" w14:paraId="4425C2AB" w14:textId="77777777">
      <w:pPr>
        <w:pStyle w:val="Heading2"/>
      </w:pPr>
      <w:bookmarkStart w:id="231" w:name="_Toc474532763"/>
      <w:bookmarkStart w:id="232" w:name="_Toc474534429"/>
      <w:bookmarkStart w:id="233" w:name="_Toc474752056"/>
      <w:bookmarkStart w:id="234" w:name="_Toc474947296"/>
      <w:bookmarkStart w:id="235" w:name="_Toc475028096"/>
      <w:bookmarkStart w:id="236" w:name="_Toc475537259"/>
      <w:bookmarkStart w:id="237" w:name="_Toc475899459"/>
      <w:bookmarkStart w:id="238" w:name="_Toc477805791"/>
      <w:bookmarkStart w:id="239" w:name="_Toc477954225"/>
      <w:r w:rsidRPr="00104DE4">
        <w:t>Description and Estimate of the Number of Small Entities to Which the Proposed Rules Will Apply</w:t>
      </w:r>
      <w:bookmarkEnd w:id="231"/>
      <w:bookmarkEnd w:id="232"/>
      <w:bookmarkEnd w:id="233"/>
      <w:bookmarkEnd w:id="234"/>
      <w:bookmarkEnd w:id="235"/>
      <w:bookmarkEnd w:id="236"/>
      <w:bookmarkEnd w:id="237"/>
      <w:bookmarkEnd w:id="238"/>
      <w:bookmarkEnd w:id="239"/>
    </w:p>
    <w:p w:rsidR="005919ED" w:rsidRPr="00104DE4" w:rsidP="005919ED" w14:paraId="77A9E33F" w14:textId="77777777">
      <w:pPr>
        <w:pStyle w:val="ParaNum"/>
      </w:pPr>
      <w:r w:rsidRPr="00104DE4">
        <w:t>The RFA directs agencies to provide a description of and, where feasible, an estimate of the number of small entities that may be affected by the proposed rules, if adopted.</w:t>
      </w:r>
      <w:r>
        <w:rPr>
          <w:rStyle w:val="FootnoteReference"/>
        </w:rPr>
        <w:footnoteReference w:id="357"/>
      </w:r>
      <w:r w:rsidRPr="00104DE4">
        <w:t xml:space="preserve">  The RFA generally defines the term “small entity” as having the same meaning as the terms “small business,” “small organization,” and “small governmental jurisdiction.”</w:t>
      </w:r>
      <w:r>
        <w:rPr>
          <w:rStyle w:val="FootnoteReference"/>
        </w:rPr>
        <w:footnoteReference w:id="358"/>
      </w:r>
      <w:r w:rsidRPr="00104DE4">
        <w:t xml:space="preserve">  In addition, the term “small business” has the same meaning as the term “small business concern” under the Small Business Act.</w:t>
      </w:r>
      <w:r>
        <w:rPr>
          <w:rStyle w:val="FootnoteReference"/>
        </w:rPr>
        <w:footnoteReference w:id="359"/>
      </w:r>
      <w:r w:rsidRPr="00104DE4">
        <w:t xml:space="preserve">  A “small business concern” is one which: </w:t>
      </w:r>
      <w:r>
        <w:t xml:space="preserve"> </w:t>
      </w:r>
      <w:r w:rsidRPr="00104DE4">
        <w:t>(1) is independently owned and operated; (2) is not dominant in its field of operation; and (3) satisfies any additional criteria established by the SBA.</w:t>
      </w:r>
      <w:r>
        <w:rPr>
          <w:rStyle w:val="FootnoteReference"/>
        </w:rPr>
        <w:footnoteReference w:id="360"/>
      </w:r>
      <w:r w:rsidRPr="00104DE4">
        <w:t xml:space="preserve">  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rStyle w:val="FootnoteReference"/>
        </w:rPr>
        <w:footnoteReference w:id="361"/>
      </w:r>
      <w:r w:rsidRPr="00104DE4">
        <w:t xml:space="preserve">  </w:t>
      </w:r>
    </w:p>
    <w:p w:rsidR="005919ED" w:rsidRPr="00104DE4" w:rsidP="005919ED" w14:paraId="4B7FF2E1" w14:textId="77777777">
      <w:pPr>
        <w:pStyle w:val="ParaNum"/>
      </w:pPr>
      <w:r w:rsidRPr="00104DE4">
        <w:t>Our actions, over time, may affect small entities that are not easily categorized at present.  We therefore describe three broad groups of small entities that could be directly affected by our actions.</w:t>
      </w:r>
      <w:r>
        <w:rPr>
          <w:rStyle w:val="FootnoteReference"/>
        </w:rPr>
        <w:footnoteReference w:id="362"/>
      </w:r>
      <w:r w:rsidRPr="00104DE4">
        <w:t xml:space="preserve">  In general, a small business is an independent business having fewer than 500 employees.</w:t>
      </w:r>
      <w:r>
        <w:rPr>
          <w:rStyle w:val="FootnoteReference"/>
        </w:rPr>
        <w:footnoteReference w:id="363"/>
      </w:r>
      <w:r w:rsidRPr="00104DE4">
        <w:t xml:space="preserve">  These types of small businesses represent 99.9% of all businesses in the United States, which translates to 34.75 million businesses.</w:t>
      </w:r>
      <w:r>
        <w:rPr>
          <w:rStyle w:val="FootnoteReference"/>
        </w:rPr>
        <w:footnoteReference w:id="364"/>
      </w:r>
      <w:r w:rsidRPr="00104DE4">
        <w:t xml:space="preserve">  Next, “small organizations” are not-for-profit enterprises that are independently owned and operated and not dominant in their field.</w:t>
      </w:r>
      <w:r>
        <w:rPr>
          <w:rStyle w:val="FootnoteReference"/>
        </w:rPr>
        <w:footnoteReference w:id="365"/>
      </w:r>
      <w:r w:rsidRPr="00104DE4">
        <w:t xml:space="preserve">  While we do not have data regarding the number of non-profits that meet that criteria, over 99 percent of nonprofits have fewer than 500 employees.</w:t>
      </w:r>
      <w:r>
        <w:rPr>
          <w:rStyle w:val="FootnoteReference"/>
        </w:rPr>
        <w:footnoteReference w:id="366"/>
      </w:r>
      <w:r w:rsidRPr="00104DE4">
        <w:t xml:space="preserve">  Finally, “small governmental jurisdictions” are defined as cities, counties, towns, townships, villages, school districts, or special districts with populations of less than fifty thousand.</w:t>
      </w:r>
      <w:r>
        <w:rPr>
          <w:rStyle w:val="FootnoteReference"/>
        </w:rPr>
        <w:footnoteReference w:id="367"/>
      </w:r>
      <w:r w:rsidRPr="00104DE4">
        <w:t xml:space="preserve">  Based on the 2022 U.S. Census of Governments data, we estimate that at least 48,724 out of 90,835 local government jurisdictions have a population of less than 50,000.</w:t>
      </w:r>
      <w:r>
        <w:rPr>
          <w:rStyle w:val="FootnoteReference"/>
        </w:rPr>
        <w:footnoteReference w:id="368"/>
      </w:r>
      <w:r w:rsidRPr="00104DE4">
        <w:t xml:space="preserve">  </w:t>
      </w:r>
    </w:p>
    <w:p w:rsidR="005919ED" w:rsidRPr="00104DE4" w:rsidP="005919ED" w14:paraId="0695797C" w14:textId="77777777">
      <w:pPr>
        <w:pStyle w:val="ParaNum"/>
      </w:pPr>
      <w:r w:rsidRPr="00104DE4">
        <w:t xml:space="preserve">The rules proposed in the </w:t>
      </w:r>
      <w:r w:rsidRPr="00104DE4">
        <w:rPr>
          <w:i/>
          <w:iCs/>
        </w:rPr>
        <w:t>FNPRM</w:t>
      </w:r>
      <w:r w:rsidRPr="00104DE4">
        <w:rPr>
          <w:i/>
        </w:rPr>
        <w:t xml:space="preserve"> </w:t>
      </w:r>
      <w:r w:rsidRPr="00104DE4">
        <w:t>will apply to small entities in the industries identified in the chart below by their six-digit North American Industry Classification System (NAICS)</w:t>
      </w:r>
      <w:r>
        <w:rPr>
          <w:rStyle w:val="FootnoteReference"/>
        </w:rPr>
        <w:footnoteReference w:id="369"/>
      </w:r>
      <w:r w:rsidRPr="00104DE4">
        <w:t xml:space="preserve"> codes and corresponding SBA size standard.</w:t>
      </w:r>
      <w:r>
        <w:rPr>
          <w:rStyle w:val="FootnoteReference"/>
        </w:rPr>
        <w:footnoteReference w:id="370"/>
      </w:r>
      <w:r w:rsidRPr="00104DE4">
        <w:t xml:space="preserve">  </w:t>
      </w:r>
      <w:bookmarkStart w:id="240" w:name="_Hlk94177975"/>
      <w:r w:rsidRPr="00104DE4">
        <w:t>Where available, we also provide additional information regarding the number of potentially affected entities in the industries identified below.</w:t>
      </w:r>
    </w:p>
    <w:p w:rsidR="005919ED" w:rsidRPr="00F2055B" w:rsidP="005919ED" w14:paraId="2F62320F" w14:textId="77777777">
      <w:pPr>
        <w:keepNext/>
        <w:widowControl/>
        <w:spacing w:after="120"/>
        <w:rPr>
          <w:b/>
          <w:bCs/>
          <w:szCs w:val="22"/>
        </w:rPr>
      </w:pPr>
      <w:r w:rsidRPr="00F2055B">
        <w:rPr>
          <w:b/>
          <w:szCs w:val="22"/>
        </w:rPr>
        <w:t>Table 1.  2022 U.S. Census Bureau Data by NAICS Code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78"/>
        <w:gridCol w:w="1360"/>
        <w:gridCol w:w="1360"/>
        <w:gridCol w:w="1360"/>
        <w:gridCol w:w="1360"/>
        <w:gridCol w:w="1358"/>
      </w:tblGrid>
      <w:tr w14:paraId="6A9D3A29" w14:textId="77777777">
        <w:tblPrEx>
          <w:tblW w:w="5000" w:type="pct"/>
          <w:jc w:val="center"/>
          <w:tblLook w:val="0100"/>
        </w:tblPrEx>
        <w:trPr>
          <w:tblHeader/>
          <w:jc w:val="center"/>
        </w:trPr>
        <w:tc>
          <w:tcPr>
            <w:tcW w:w="1450" w:type="pct"/>
            <w:shd w:val="pct5" w:color="auto" w:fill="auto"/>
            <w:vAlign w:val="center"/>
          </w:tcPr>
          <w:p w:rsidR="005919ED" w:rsidRPr="00F2055B" w14:paraId="65274323" w14:textId="77777777">
            <w:pPr>
              <w:rPr>
                <w:b/>
                <w:bCs/>
                <w:szCs w:val="22"/>
              </w:rPr>
            </w:pPr>
            <w:r w:rsidRPr="00F2055B">
              <w:rPr>
                <w:b/>
                <w:bCs/>
                <w:szCs w:val="22"/>
              </w:rPr>
              <w:t>Regulated Industry (Footnotes specify potentially affected entities within a regulated industry where applicable)</w:t>
            </w:r>
          </w:p>
        </w:tc>
        <w:tc>
          <w:tcPr>
            <w:tcW w:w="710" w:type="pct"/>
            <w:shd w:val="pct5" w:color="auto" w:fill="auto"/>
            <w:vAlign w:val="center"/>
          </w:tcPr>
          <w:p w:rsidR="005919ED" w:rsidRPr="00664ED2" w14:paraId="2E477FD1" w14:textId="77777777">
            <w:pPr>
              <w:jc w:val="center"/>
              <w:rPr>
                <w:b/>
                <w:bCs/>
              </w:rPr>
            </w:pPr>
            <w:r w:rsidRPr="00664ED2">
              <w:rPr>
                <w:b/>
                <w:bCs/>
              </w:rPr>
              <w:t>NAICS Code</w:t>
            </w:r>
          </w:p>
        </w:tc>
        <w:tc>
          <w:tcPr>
            <w:tcW w:w="710" w:type="pct"/>
            <w:shd w:val="pct5" w:color="auto" w:fill="auto"/>
            <w:vAlign w:val="center"/>
          </w:tcPr>
          <w:p w:rsidR="005919ED" w:rsidRPr="00664ED2" w14:paraId="07FF3033" w14:textId="77777777">
            <w:pPr>
              <w:jc w:val="center"/>
              <w:rPr>
                <w:b/>
                <w:bCs/>
              </w:rPr>
            </w:pPr>
            <w:r w:rsidRPr="00664ED2">
              <w:rPr>
                <w:b/>
                <w:bCs/>
              </w:rPr>
              <w:t>SBA Size Standard</w:t>
            </w:r>
          </w:p>
        </w:tc>
        <w:tc>
          <w:tcPr>
            <w:tcW w:w="710" w:type="pct"/>
            <w:shd w:val="pct5" w:color="auto" w:fill="auto"/>
            <w:vAlign w:val="center"/>
          </w:tcPr>
          <w:p w:rsidR="005919ED" w:rsidRPr="00664ED2" w14:paraId="63E8BBA3" w14:textId="77777777">
            <w:pPr>
              <w:jc w:val="center"/>
              <w:rPr>
                <w:b/>
                <w:bCs/>
              </w:rPr>
            </w:pPr>
            <w:r w:rsidRPr="00664ED2">
              <w:rPr>
                <w:b/>
                <w:bCs/>
              </w:rPr>
              <w:t>Total Firms</w:t>
            </w:r>
            <w:r>
              <w:rPr>
                <w:b/>
                <w:bCs/>
              </w:rPr>
              <w:footnoteReference w:id="371"/>
            </w:r>
          </w:p>
        </w:tc>
        <w:tc>
          <w:tcPr>
            <w:tcW w:w="710" w:type="pct"/>
            <w:shd w:val="pct5" w:color="auto" w:fill="auto"/>
            <w:vAlign w:val="center"/>
          </w:tcPr>
          <w:p w:rsidR="005919ED" w:rsidRPr="00664ED2" w14:paraId="7273555F" w14:textId="77777777">
            <w:pPr>
              <w:jc w:val="center"/>
              <w:rPr>
                <w:b/>
                <w:bCs/>
              </w:rPr>
            </w:pPr>
            <w:r w:rsidRPr="00664ED2">
              <w:rPr>
                <w:b/>
                <w:bCs/>
              </w:rPr>
              <w:t>Total Small Firms</w:t>
            </w:r>
            <w:r>
              <w:rPr>
                <w:b/>
                <w:bCs/>
              </w:rPr>
              <w:footnoteReference w:id="372"/>
            </w:r>
          </w:p>
        </w:tc>
        <w:tc>
          <w:tcPr>
            <w:tcW w:w="709" w:type="pct"/>
            <w:shd w:val="pct5" w:color="auto" w:fill="auto"/>
            <w:vAlign w:val="center"/>
          </w:tcPr>
          <w:p w:rsidR="005919ED" w:rsidRPr="00664ED2" w14:paraId="4D9F12B3" w14:textId="77777777">
            <w:pPr>
              <w:jc w:val="center"/>
              <w:rPr>
                <w:b/>
                <w:bCs/>
              </w:rPr>
            </w:pPr>
            <w:r w:rsidRPr="00664ED2">
              <w:rPr>
                <w:b/>
                <w:bCs/>
              </w:rPr>
              <w:t>% Small Firms</w:t>
            </w:r>
          </w:p>
        </w:tc>
      </w:tr>
      <w:tr w14:paraId="6EBC521F" w14:textId="77777777">
        <w:tblPrEx>
          <w:tblW w:w="5000" w:type="pct"/>
          <w:jc w:val="center"/>
          <w:tblLook w:val="0100"/>
        </w:tblPrEx>
        <w:trPr>
          <w:jc w:val="center"/>
        </w:trPr>
        <w:tc>
          <w:tcPr>
            <w:tcW w:w="1450" w:type="pct"/>
          </w:tcPr>
          <w:p w:rsidR="005919ED" w:rsidRPr="00F2055B" w14:paraId="2CCD2EA2" w14:textId="77777777">
            <w:pPr>
              <w:rPr>
                <w:szCs w:val="22"/>
              </w:rPr>
            </w:pPr>
            <w:r w:rsidRPr="00F2055B">
              <w:rPr>
                <w:szCs w:val="22"/>
              </w:rPr>
              <w:t>Wired Telecommunications Carriers</w:t>
            </w:r>
            <w:r>
              <w:rPr>
                <w:szCs w:val="22"/>
                <w:vertAlign w:val="superscript"/>
              </w:rPr>
              <w:footnoteReference w:id="373"/>
            </w:r>
          </w:p>
        </w:tc>
        <w:tc>
          <w:tcPr>
            <w:tcW w:w="710" w:type="pct"/>
            <w:vAlign w:val="bottom"/>
          </w:tcPr>
          <w:p w:rsidR="005919ED" w:rsidRPr="00F2055B" w14:paraId="5682BA5E" w14:textId="77777777">
            <w:pPr>
              <w:rPr>
                <w:szCs w:val="22"/>
              </w:rPr>
            </w:pPr>
            <w:r w:rsidRPr="00F2055B">
              <w:rPr>
                <w:szCs w:val="22"/>
              </w:rPr>
              <w:t>517111</w:t>
            </w:r>
          </w:p>
        </w:tc>
        <w:tc>
          <w:tcPr>
            <w:tcW w:w="710" w:type="pct"/>
            <w:vAlign w:val="bottom"/>
          </w:tcPr>
          <w:p w:rsidR="005919ED" w:rsidRPr="00F2055B" w14:paraId="703486DB" w14:textId="77777777">
            <w:pPr>
              <w:rPr>
                <w:szCs w:val="22"/>
              </w:rPr>
            </w:pPr>
            <w:r w:rsidRPr="00F2055B">
              <w:rPr>
                <w:szCs w:val="22"/>
              </w:rPr>
              <w:t>1,500 employees</w:t>
            </w:r>
          </w:p>
        </w:tc>
        <w:tc>
          <w:tcPr>
            <w:tcW w:w="710" w:type="pct"/>
            <w:vAlign w:val="bottom"/>
          </w:tcPr>
          <w:p w:rsidR="005919ED" w:rsidRPr="00F2055B" w14:paraId="2A26702D" w14:textId="77777777">
            <w:pPr>
              <w:jc w:val="center"/>
              <w:rPr>
                <w:szCs w:val="22"/>
              </w:rPr>
            </w:pPr>
            <w:r w:rsidRPr="00F2055B">
              <w:rPr>
                <w:szCs w:val="22"/>
              </w:rPr>
              <w:t>3,403</w:t>
            </w:r>
          </w:p>
        </w:tc>
        <w:tc>
          <w:tcPr>
            <w:tcW w:w="710" w:type="pct"/>
            <w:vAlign w:val="bottom"/>
          </w:tcPr>
          <w:p w:rsidR="005919ED" w:rsidRPr="00F2055B" w14:paraId="1FAA487D" w14:textId="77777777">
            <w:pPr>
              <w:jc w:val="center"/>
              <w:rPr>
                <w:szCs w:val="22"/>
              </w:rPr>
            </w:pPr>
            <w:r w:rsidRPr="00F2055B">
              <w:rPr>
                <w:szCs w:val="22"/>
              </w:rPr>
              <w:t>3,027</w:t>
            </w:r>
          </w:p>
        </w:tc>
        <w:tc>
          <w:tcPr>
            <w:tcW w:w="709" w:type="pct"/>
            <w:vAlign w:val="bottom"/>
          </w:tcPr>
          <w:p w:rsidR="005919ED" w:rsidRPr="00134E16" w14:paraId="62ABAA97" w14:textId="77777777">
            <w:pPr>
              <w:jc w:val="center"/>
              <w:rPr>
                <w:color w:val="000000"/>
              </w:rPr>
            </w:pPr>
            <w:r w:rsidRPr="00134E16">
              <w:rPr>
                <w:color w:val="000000"/>
              </w:rPr>
              <w:t>88.95%</w:t>
            </w:r>
          </w:p>
        </w:tc>
      </w:tr>
      <w:tr w14:paraId="3C9F4617" w14:textId="77777777">
        <w:tblPrEx>
          <w:tblW w:w="5000" w:type="pct"/>
          <w:jc w:val="center"/>
          <w:tblLook w:val="0100"/>
        </w:tblPrEx>
        <w:trPr>
          <w:jc w:val="center"/>
        </w:trPr>
        <w:tc>
          <w:tcPr>
            <w:tcW w:w="1450" w:type="pct"/>
          </w:tcPr>
          <w:p w:rsidR="005919ED" w:rsidRPr="00F2055B" w14:paraId="49A76559" w14:textId="77777777">
            <w:pPr>
              <w:rPr>
                <w:szCs w:val="22"/>
              </w:rPr>
            </w:pPr>
            <w:r w:rsidRPr="00F2055B">
              <w:rPr>
                <w:szCs w:val="22"/>
              </w:rPr>
              <w:t>Wireless Telecommunications Carriers (except Satellite)</w:t>
            </w:r>
            <w:r>
              <w:rPr>
                <w:szCs w:val="22"/>
                <w:vertAlign w:val="superscript"/>
              </w:rPr>
              <w:footnoteReference w:id="374"/>
            </w:r>
            <w:r w:rsidRPr="00F2055B">
              <w:rPr>
                <w:szCs w:val="22"/>
              </w:rPr>
              <w:t xml:space="preserve"> </w:t>
            </w:r>
          </w:p>
        </w:tc>
        <w:tc>
          <w:tcPr>
            <w:tcW w:w="710" w:type="pct"/>
            <w:vAlign w:val="bottom"/>
          </w:tcPr>
          <w:p w:rsidR="005919ED" w:rsidRPr="00F2055B" w14:paraId="35E7EB5D" w14:textId="77777777">
            <w:pPr>
              <w:rPr>
                <w:szCs w:val="22"/>
              </w:rPr>
            </w:pPr>
            <w:r w:rsidRPr="00F2055B">
              <w:rPr>
                <w:szCs w:val="22"/>
              </w:rPr>
              <w:t>517112</w:t>
            </w:r>
          </w:p>
        </w:tc>
        <w:tc>
          <w:tcPr>
            <w:tcW w:w="710" w:type="pct"/>
            <w:vAlign w:val="bottom"/>
          </w:tcPr>
          <w:p w:rsidR="005919ED" w:rsidRPr="00F2055B" w14:paraId="1D3D1512" w14:textId="77777777">
            <w:pPr>
              <w:rPr>
                <w:szCs w:val="22"/>
              </w:rPr>
            </w:pPr>
            <w:r w:rsidRPr="00F2055B">
              <w:rPr>
                <w:szCs w:val="22"/>
              </w:rPr>
              <w:t>1,500 employees</w:t>
            </w:r>
          </w:p>
        </w:tc>
        <w:tc>
          <w:tcPr>
            <w:tcW w:w="710" w:type="pct"/>
            <w:vAlign w:val="bottom"/>
          </w:tcPr>
          <w:p w:rsidR="005919ED" w:rsidRPr="00F2055B" w14:paraId="4B5E158D" w14:textId="77777777">
            <w:pPr>
              <w:jc w:val="center"/>
              <w:rPr>
                <w:szCs w:val="22"/>
              </w:rPr>
            </w:pPr>
            <w:r w:rsidRPr="00F2055B">
              <w:rPr>
                <w:szCs w:val="22"/>
              </w:rPr>
              <w:t>1,184</w:t>
            </w:r>
          </w:p>
        </w:tc>
        <w:tc>
          <w:tcPr>
            <w:tcW w:w="710" w:type="pct"/>
            <w:vAlign w:val="bottom"/>
          </w:tcPr>
          <w:p w:rsidR="005919ED" w:rsidRPr="00F2055B" w14:paraId="736D9D08" w14:textId="77777777">
            <w:pPr>
              <w:jc w:val="center"/>
              <w:rPr>
                <w:szCs w:val="22"/>
              </w:rPr>
            </w:pPr>
            <w:r w:rsidRPr="00F2055B">
              <w:rPr>
                <w:szCs w:val="22"/>
              </w:rPr>
              <w:t>1,081</w:t>
            </w:r>
          </w:p>
        </w:tc>
        <w:tc>
          <w:tcPr>
            <w:tcW w:w="709" w:type="pct"/>
            <w:vAlign w:val="bottom"/>
          </w:tcPr>
          <w:p w:rsidR="005919ED" w:rsidRPr="00F2055B" w14:paraId="4F2E41CD" w14:textId="77777777">
            <w:pPr>
              <w:jc w:val="center"/>
              <w:rPr>
                <w:color w:val="000000"/>
                <w:szCs w:val="22"/>
              </w:rPr>
            </w:pPr>
            <w:r w:rsidRPr="00F2055B">
              <w:rPr>
                <w:color w:val="000000"/>
                <w:szCs w:val="22"/>
              </w:rPr>
              <w:t>91.30%</w:t>
            </w:r>
          </w:p>
        </w:tc>
      </w:tr>
      <w:tr w14:paraId="0D361798" w14:textId="77777777">
        <w:tblPrEx>
          <w:tblW w:w="5000" w:type="pct"/>
          <w:jc w:val="center"/>
          <w:tblLook w:val="0100"/>
        </w:tblPrEx>
        <w:trPr>
          <w:jc w:val="center"/>
        </w:trPr>
        <w:tc>
          <w:tcPr>
            <w:tcW w:w="1450" w:type="pct"/>
          </w:tcPr>
          <w:p w:rsidR="005919ED" w:rsidRPr="00F2055B" w14:paraId="4550BA6B" w14:textId="77777777">
            <w:pPr>
              <w:rPr>
                <w:szCs w:val="22"/>
              </w:rPr>
            </w:pPr>
            <w:r w:rsidRPr="00F2055B">
              <w:rPr>
                <w:szCs w:val="22"/>
              </w:rPr>
              <w:t>Telecommunications Resellers</w:t>
            </w:r>
            <w:r>
              <w:rPr>
                <w:szCs w:val="22"/>
                <w:vertAlign w:val="superscript"/>
              </w:rPr>
              <w:footnoteReference w:id="375"/>
            </w:r>
          </w:p>
        </w:tc>
        <w:tc>
          <w:tcPr>
            <w:tcW w:w="710" w:type="pct"/>
            <w:vAlign w:val="bottom"/>
          </w:tcPr>
          <w:p w:rsidR="005919ED" w:rsidRPr="00F2055B" w14:paraId="450C8173" w14:textId="77777777">
            <w:pPr>
              <w:rPr>
                <w:szCs w:val="22"/>
              </w:rPr>
            </w:pPr>
            <w:r w:rsidRPr="00F2055B">
              <w:rPr>
                <w:szCs w:val="22"/>
              </w:rPr>
              <w:t>517121</w:t>
            </w:r>
          </w:p>
        </w:tc>
        <w:tc>
          <w:tcPr>
            <w:tcW w:w="710" w:type="pct"/>
            <w:vAlign w:val="bottom"/>
          </w:tcPr>
          <w:p w:rsidR="005919ED" w:rsidRPr="00F2055B" w14:paraId="0BCEE5CF" w14:textId="77777777">
            <w:pPr>
              <w:rPr>
                <w:szCs w:val="22"/>
              </w:rPr>
            </w:pPr>
            <w:r w:rsidRPr="00F2055B">
              <w:rPr>
                <w:szCs w:val="22"/>
              </w:rPr>
              <w:t>1,500 employees</w:t>
            </w:r>
          </w:p>
        </w:tc>
        <w:tc>
          <w:tcPr>
            <w:tcW w:w="710" w:type="pct"/>
            <w:vAlign w:val="bottom"/>
          </w:tcPr>
          <w:p w:rsidR="005919ED" w:rsidRPr="00F2055B" w14:paraId="1B52DF30" w14:textId="77777777">
            <w:pPr>
              <w:jc w:val="center"/>
              <w:rPr>
                <w:szCs w:val="22"/>
              </w:rPr>
            </w:pPr>
            <w:r w:rsidRPr="00F2055B">
              <w:rPr>
                <w:szCs w:val="22"/>
              </w:rPr>
              <w:t>955</w:t>
            </w:r>
          </w:p>
        </w:tc>
        <w:tc>
          <w:tcPr>
            <w:tcW w:w="710" w:type="pct"/>
            <w:vAlign w:val="bottom"/>
          </w:tcPr>
          <w:p w:rsidR="005919ED" w:rsidRPr="00F2055B" w14:paraId="5548F5A0" w14:textId="77777777">
            <w:pPr>
              <w:jc w:val="center"/>
              <w:rPr>
                <w:szCs w:val="22"/>
              </w:rPr>
            </w:pPr>
            <w:r w:rsidRPr="00F2055B">
              <w:rPr>
                <w:szCs w:val="22"/>
              </w:rPr>
              <w:t>847</w:t>
            </w:r>
          </w:p>
        </w:tc>
        <w:tc>
          <w:tcPr>
            <w:tcW w:w="709" w:type="pct"/>
            <w:vAlign w:val="bottom"/>
          </w:tcPr>
          <w:p w:rsidR="005919ED" w:rsidRPr="00F2055B" w14:paraId="6B03D603" w14:textId="77777777">
            <w:pPr>
              <w:jc w:val="center"/>
              <w:rPr>
                <w:color w:val="000000"/>
                <w:szCs w:val="22"/>
              </w:rPr>
            </w:pPr>
            <w:r w:rsidRPr="00F2055B">
              <w:rPr>
                <w:color w:val="000000"/>
                <w:szCs w:val="22"/>
              </w:rPr>
              <w:t>88.69%</w:t>
            </w:r>
          </w:p>
        </w:tc>
      </w:tr>
      <w:tr w14:paraId="4C595BAC" w14:textId="77777777">
        <w:tblPrEx>
          <w:tblW w:w="5000" w:type="pct"/>
          <w:jc w:val="center"/>
          <w:tblLook w:val="0100"/>
        </w:tblPrEx>
        <w:trPr>
          <w:jc w:val="center"/>
        </w:trPr>
        <w:tc>
          <w:tcPr>
            <w:tcW w:w="1450" w:type="pct"/>
          </w:tcPr>
          <w:p w:rsidR="005919ED" w:rsidRPr="00F2055B" w14:paraId="6F33E846" w14:textId="77777777">
            <w:pPr>
              <w:rPr>
                <w:szCs w:val="22"/>
              </w:rPr>
            </w:pPr>
            <w:r w:rsidRPr="00F2055B">
              <w:rPr>
                <w:szCs w:val="22"/>
              </w:rPr>
              <w:t>Satellite Telecommunications</w:t>
            </w:r>
            <w:r>
              <w:rPr>
                <w:szCs w:val="22"/>
                <w:vertAlign w:val="superscript"/>
              </w:rPr>
              <w:footnoteReference w:id="376"/>
            </w:r>
          </w:p>
        </w:tc>
        <w:tc>
          <w:tcPr>
            <w:tcW w:w="710" w:type="pct"/>
            <w:vAlign w:val="bottom"/>
          </w:tcPr>
          <w:p w:rsidR="005919ED" w:rsidRPr="00F2055B" w14:paraId="3562BF44" w14:textId="77777777">
            <w:pPr>
              <w:rPr>
                <w:szCs w:val="22"/>
              </w:rPr>
            </w:pPr>
            <w:r w:rsidRPr="00F2055B">
              <w:rPr>
                <w:szCs w:val="22"/>
              </w:rPr>
              <w:t>517410</w:t>
            </w:r>
          </w:p>
        </w:tc>
        <w:tc>
          <w:tcPr>
            <w:tcW w:w="710" w:type="pct"/>
            <w:vAlign w:val="bottom"/>
          </w:tcPr>
          <w:p w:rsidR="005919ED" w:rsidRPr="00F2055B" w14:paraId="285054AB" w14:textId="77777777">
            <w:pPr>
              <w:rPr>
                <w:szCs w:val="22"/>
              </w:rPr>
            </w:pPr>
            <w:r w:rsidRPr="00F2055B">
              <w:rPr>
                <w:szCs w:val="22"/>
              </w:rPr>
              <w:t>$44 million</w:t>
            </w:r>
          </w:p>
        </w:tc>
        <w:tc>
          <w:tcPr>
            <w:tcW w:w="710" w:type="pct"/>
            <w:vAlign w:val="bottom"/>
          </w:tcPr>
          <w:p w:rsidR="005919ED" w:rsidRPr="00F2055B" w14:paraId="2CCCEA1B" w14:textId="77777777">
            <w:pPr>
              <w:jc w:val="center"/>
              <w:rPr>
                <w:szCs w:val="22"/>
              </w:rPr>
            </w:pPr>
            <w:r w:rsidRPr="00F2055B">
              <w:rPr>
                <w:szCs w:val="22"/>
              </w:rPr>
              <w:t>332</w:t>
            </w:r>
          </w:p>
        </w:tc>
        <w:tc>
          <w:tcPr>
            <w:tcW w:w="710" w:type="pct"/>
            <w:vAlign w:val="bottom"/>
          </w:tcPr>
          <w:p w:rsidR="005919ED" w:rsidRPr="00F2055B" w14:paraId="4C3DDA4F" w14:textId="77777777">
            <w:pPr>
              <w:jc w:val="center"/>
              <w:rPr>
                <w:szCs w:val="22"/>
              </w:rPr>
            </w:pPr>
            <w:r w:rsidRPr="00F2055B">
              <w:rPr>
                <w:szCs w:val="22"/>
              </w:rPr>
              <w:t>195</w:t>
            </w:r>
          </w:p>
        </w:tc>
        <w:tc>
          <w:tcPr>
            <w:tcW w:w="709" w:type="pct"/>
            <w:vAlign w:val="bottom"/>
          </w:tcPr>
          <w:p w:rsidR="005919ED" w:rsidRPr="00F2055B" w14:paraId="7BECF3FE" w14:textId="77777777">
            <w:pPr>
              <w:jc w:val="center"/>
              <w:rPr>
                <w:color w:val="000000"/>
                <w:szCs w:val="22"/>
              </w:rPr>
            </w:pPr>
            <w:r w:rsidRPr="00F2055B">
              <w:rPr>
                <w:color w:val="000000"/>
                <w:szCs w:val="22"/>
              </w:rPr>
              <w:t>58.73%</w:t>
            </w:r>
          </w:p>
        </w:tc>
      </w:tr>
      <w:tr w14:paraId="1B3C5084" w14:textId="77777777">
        <w:tblPrEx>
          <w:tblW w:w="5000" w:type="pct"/>
          <w:jc w:val="center"/>
          <w:tblLook w:val="0100"/>
        </w:tblPrEx>
        <w:trPr>
          <w:jc w:val="center"/>
        </w:trPr>
        <w:tc>
          <w:tcPr>
            <w:tcW w:w="1450" w:type="pct"/>
          </w:tcPr>
          <w:p w:rsidR="005919ED" w:rsidRPr="00F2055B" w14:paraId="1B1EADD4" w14:textId="77777777">
            <w:pPr>
              <w:rPr>
                <w:szCs w:val="22"/>
              </w:rPr>
            </w:pPr>
            <w:r w:rsidRPr="00F2055B">
              <w:rPr>
                <w:szCs w:val="22"/>
              </w:rPr>
              <w:t>All Other Telecommunications</w:t>
            </w:r>
            <w:r>
              <w:rPr>
                <w:szCs w:val="22"/>
                <w:vertAlign w:val="superscript"/>
              </w:rPr>
              <w:footnoteReference w:id="377"/>
            </w:r>
          </w:p>
        </w:tc>
        <w:tc>
          <w:tcPr>
            <w:tcW w:w="710" w:type="pct"/>
            <w:vAlign w:val="bottom"/>
          </w:tcPr>
          <w:p w:rsidR="005919ED" w:rsidRPr="00F2055B" w14:paraId="02FF576A" w14:textId="77777777">
            <w:pPr>
              <w:rPr>
                <w:szCs w:val="22"/>
              </w:rPr>
            </w:pPr>
            <w:r w:rsidRPr="00F2055B">
              <w:rPr>
                <w:szCs w:val="22"/>
              </w:rPr>
              <w:t>517810</w:t>
            </w:r>
          </w:p>
        </w:tc>
        <w:tc>
          <w:tcPr>
            <w:tcW w:w="710" w:type="pct"/>
            <w:vAlign w:val="bottom"/>
          </w:tcPr>
          <w:p w:rsidR="005919ED" w:rsidRPr="00F2055B" w14:paraId="18C9363B" w14:textId="77777777">
            <w:pPr>
              <w:rPr>
                <w:szCs w:val="22"/>
              </w:rPr>
            </w:pPr>
            <w:r w:rsidRPr="00F2055B">
              <w:rPr>
                <w:szCs w:val="22"/>
              </w:rPr>
              <w:t>$40 million</w:t>
            </w:r>
          </w:p>
        </w:tc>
        <w:tc>
          <w:tcPr>
            <w:tcW w:w="710" w:type="pct"/>
            <w:vAlign w:val="bottom"/>
          </w:tcPr>
          <w:p w:rsidR="005919ED" w:rsidRPr="00F2055B" w14:paraId="7A323C2A" w14:textId="77777777">
            <w:pPr>
              <w:jc w:val="center"/>
              <w:rPr>
                <w:szCs w:val="22"/>
              </w:rPr>
            </w:pPr>
            <w:r w:rsidRPr="00F2055B">
              <w:rPr>
                <w:szCs w:val="22"/>
              </w:rPr>
              <w:t>1,673</w:t>
            </w:r>
          </w:p>
        </w:tc>
        <w:tc>
          <w:tcPr>
            <w:tcW w:w="710" w:type="pct"/>
            <w:vAlign w:val="bottom"/>
          </w:tcPr>
          <w:p w:rsidR="005919ED" w:rsidRPr="00F2055B" w14:paraId="743B1A14" w14:textId="77777777">
            <w:pPr>
              <w:jc w:val="center"/>
              <w:rPr>
                <w:szCs w:val="22"/>
              </w:rPr>
            </w:pPr>
            <w:r w:rsidRPr="00F2055B">
              <w:rPr>
                <w:szCs w:val="22"/>
              </w:rPr>
              <w:t>1,007</w:t>
            </w:r>
          </w:p>
        </w:tc>
        <w:tc>
          <w:tcPr>
            <w:tcW w:w="709" w:type="pct"/>
            <w:vAlign w:val="bottom"/>
          </w:tcPr>
          <w:p w:rsidR="005919ED" w:rsidRPr="00F2055B" w14:paraId="1A64772A" w14:textId="77777777">
            <w:pPr>
              <w:jc w:val="center"/>
              <w:rPr>
                <w:color w:val="000000"/>
                <w:szCs w:val="22"/>
              </w:rPr>
            </w:pPr>
            <w:r w:rsidRPr="00F2055B">
              <w:rPr>
                <w:color w:val="000000"/>
                <w:szCs w:val="22"/>
              </w:rPr>
              <w:t>60.19%</w:t>
            </w:r>
          </w:p>
        </w:tc>
      </w:tr>
    </w:tbl>
    <w:p w:rsidR="005919ED" w:rsidP="005919ED" w14:paraId="73E98BA7" w14:textId="77777777"/>
    <w:p w:rsidR="005919ED" w:rsidRPr="00F2055B" w:rsidP="005919ED" w14:paraId="619F6C3E" w14:textId="77777777">
      <w:pPr>
        <w:keepNext/>
        <w:spacing w:after="120"/>
        <w:rPr>
          <w:b/>
          <w:bCs/>
          <w:szCs w:val="22"/>
        </w:rPr>
      </w:pPr>
      <w:r w:rsidRPr="00F2055B">
        <w:rPr>
          <w:b/>
          <w:bCs/>
          <w:szCs w:val="22"/>
        </w:rPr>
        <w:t xml:space="preserve">Table 2.  Telecommunications Service Provider Data  </w:t>
      </w:r>
    </w:p>
    <w:tbl>
      <w:tblPr>
        <w:tblW w:w="7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25"/>
        <w:gridCol w:w="1800"/>
        <w:gridCol w:w="990"/>
        <w:gridCol w:w="1530"/>
      </w:tblGrid>
      <w:tr w14:paraId="4EF01DD2" w14:textId="77777777">
        <w:tblPrEx>
          <w:tblW w:w="7645" w:type="dxa"/>
          <w:jc w:val="center"/>
          <w:tblLayout w:type="fixed"/>
          <w:tblLook w:val="04A0"/>
        </w:tblPrEx>
        <w:trPr>
          <w:trHeight w:val="300"/>
          <w:tblHeader/>
          <w:jc w:val="center"/>
        </w:trPr>
        <w:tc>
          <w:tcPr>
            <w:tcW w:w="3325" w:type="dxa"/>
            <w:shd w:val="pct5" w:color="auto" w:fill="auto"/>
            <w:noWrap/>
            <w:vAlign w:val="center"/>
          </w:tcPr>
          <w:p w:rsidR="005919ED" w:rsidRPr="00A95E11" w14:paraId="3C0879FD" w14:textId="77777777">
            <w:pPr>
              <w:spacing w:after="120"/>
              <w:rPr>
                <w:b/>
                <w:bCs/>
              </w:rPr>
            </w:pPr>
            <w:r w:rsidRPr="00A95E11">
              <w:rPr>
                <w:b/>
                <w:bCs/>
                <w:iCs/>
                <w:szCs w:val="22"/>
              </w:rPr>
              <w:t>2025 Universal Service Monitoring Report</w:t>
            </w:r>
            <w:r w:rsidRPr="00A95E11">
              <w:rPr>
                <w:b/>
                <w:bCs/>
              </w:rPr>
              <w:t xml:space="preserve"> </w:t>
            </w:r>
            <w:r w:rsidRPr="00A95E11">
              <w:rPr>
                <w:b/>
                <w:bCs/>
                <w:iCs/>
                <w:szCs w:val="22"/>
              </w:rPr>
              <w:t>Telecommunications Service Provider Data</w:t>
            </w:r>
            <w:r>
              <w:rPr>
                <w:rStyle w:val="FootnoteReference"/>
                <w:b/>
                <w:bCs/>
                <w:iCs/>
                <w:sz w:val="22"/>
                <w:szCs w:val="22"/>
              </w:rPr>
              <w:footnoteReference w:id="378"/>
            </w:r>
          </w:p>
          <w:p w:rsidR="005919ED" w:rsidRPr="00F2055B" w14:paraId="2C3CB53B" w14:textId="77777777">
            <w:pPr>
              <w:rPr>
                <w:b/>
                <w:bCs/>
                <w:kern w:val="0"/>
                <w:szCs w:val="22"/>
              </w:rPr>
            </w:pPr>
            <w:r w:rsidRPr="00A95E11">
              <w:rPr>
                <w:b/>
                <w:bCs/>
              </w:rPr>
              <w:t>(Data as of December 2024)</w:t>
            </w:r>
          </w:p>
        </w:tc>
        <w:tc>
          <w:tcPr>
            <w:tcW w:w="4320" w:type="dxa"/>
            <w:gridSpan w:val="3"/>
            <w:shd w:val="pct5" w:color="auto" w:fill="auto"/>
            <w:noWrap/>
            <w:vAlign w:val="center"/>
          </w:tcPr>
          <w:p w:rsidR="005919ED" w:rsidRPr="00A95E11" w14:paraId="30015580" w14:textId="77777777">
            <w:pPr>
              <w:jc w:val="center"/>
              <w:rPr>
                <w:b/>
                <w:bCs/>
              </w:rPr>
            </w:pPr>
            <w:r w:rsidRPr="00A95E11">
              <w:rPr>
                <w:b/>
                <w:bCs/>
              </w:rPr>
              <w:t>SBA Size Standard</w:t>
            </w:r>
          </w:p>
          <w:p w:rsidR="005919ED" w:rsidRPr="00A95E11" w14:paraId="3E39EAC3" w14:textId="77777777">
            <w:pPr>
              <w:jc w:val="center"/>
              <w:rPr>
                <w:b/>
                <w:bCs/>
              </w:rPr>
            </w:pPr>
            <w:r w:rsidRPr="00A95E11">
              <w:rPr>
                <w:b/>
                <w:bCs/>
              </w:rPr>
              <w:t>(1500 Employees)</w:t>
            </w:r>
          </w:p>
        </w:tc>
      </w:tr>
      <w:tr w14:paraId="6C180E6F" w14:textId="77777777">
        <w:tblPrEx>
          <w:tblW w:w="7645" w:type="dxa"/>
          <w:jc w:val="center"/>
          <w:tblLayout w:type="fixed"/>
          <w:tblLook w:val="04A0"/>
        </w:tblPrEx>
        <w:trPr>
          <w:trHeight w:val="300"/>
          <w:tblHeader/>
          <w:jc w:val="center"/>
        </w:trPr>
        <w:tc>
          <w:tcPr>
            <w:tcW w:w="3325" w:type="dxa"/>
            <w:shd w:val="clear" w:color="auto" w:fill="F2F2F2"/>
            <w:noWrap/>
            <w:vAlign w:val="center"/>
          </w:tcPr>
          <w:p w:rsidR="005919ED" w:rsidRPr="00664ED2" w14:paraId="6CB4D91A" w14:textId="77777777">
            <w:pPr>
              <w:rPr>
                <w:b/>
                <w:bCs/>
              </w:rPr>
            </w:pPr>
            <w:r w:rsidRPr="00664ED2">
              <w:rPr>
                <w:b/>
                <w:bCs/>
              </w:rPr>
              <w:t>Affected Entity</w:t>
            </w:r>
          </w:p>
        </w:tc>
        <w:tc>
          <w:tcPr>
            <w:tcW w:w="1800" w:type="dxa"/>
            <w:shd w:val="clear" w:color="auto" w:fill="F2F2F2"/>
            <w:noWrap/>
            <w:vAlign w:val="center"/>
          </w:tcPr>
          <w:p w:rsidR="005919ED" w:rsidRPr="00664ED2" w14:paraId="70F9B626" w14:textId="77777777">
            <w:pPr>
              <w:jc w:val="center"/>
              <w:rPr>
                <w:b/>
                <w:bCs/>
              </w:rPr>
            </w:pPr>
            <w:r w:rsidRPr="00664ED2">
              <w:rPr>
                <w:b/>
                <w:bCs/>
              </w:rPr>
              <w:t>Total # FCC Form 499A Filers</w:t>
            </w:r>
          </w:p>
        </w:tc>
        <w:tc>
          <w:tcPr>
            <w:tcW w:w="990" w:type="dxa"/>
            <w:shd w:val="clear" w:color="auto" w:fill="F2F2F2"/>
            <w:vAlign w:val="center"/>
          </w:tcPr>
          <w:p w:rsidR="005919ED" w:rsidRPr="00664ED2" w14:paraId="36CDCBD0" w14:textId="77777777">
            <w:pPr>
              <w:jc w:val="center"/>
              <w:rPr>
                <w:b/>
                <w:bCs/>
              </w:rPr>
            </w:pPr>
            <w:r w:rsidRPr="00664ED2">
              <w:rPr>
                <w:b/>
                <w:bCs/>
              </w:rPr>
              <w:t>Small Firms</w:t>
            </w:r>
          </w:p>
        </w:tc>
        <w:tc>
          <w:tcPr>
            <w:tcW w:w="1530" w:type="dxa"/>
            <w:shd w:val="clear" w:color="auto" w:fill="F2F2F2"/>
            <w:noWrap/>
            <w:vAlign w:val="center"/>
          </w:tcPr>
          <w:p w:rsidR="005919ED" w:rsidRPr="00664ED2" w14:paraId="1010B5B8" w14:textId="77777777">
            <w:pPr>
              <w:jc w:val="center"/>
              <w:rPr>
                <w:b/>
                <w:bCs/>
              </w:rPr>
            </w:pPr>
            <w:r w:rsidRPr="00664ED2">
              <w:rPr>
                <w:b/>
                <w:bCs/>
              </w:rPr>
              <w:t>% Small Entities</w:t>
            </w:r>
          </w:p>
        </w:tc>
      </w:tr>
      <w:tr w14:paraId="303F61FF" w14:textId="77777777">
        <w:tblPrEx>
          <w:tblW w:w="7645" w:type="dxa"/>
          <w:jc w:val="center"/>
          <w:tblLayout w:type="fixed"/>
          <w:tblLook w:val="04A0"/>
        </w:tblPrEx>
        <w:trPr>
          <w:trHeight w:val="300"/>
          <w:jc w:val="center"/>
        </w:trPr>
        <w:tc>
          <w:tcPr>
            <w:tcW w:w="3325" w:type="dxa"/>
            <w:noWrap/>
          </w:tcPr>
          <w:p w:rsidR="005919ED" w:rsidRPr="00F2055B" w14:paraId="71EEBA2C" w14:textId="77777777">
            <w:pPr>
              <w:spacing w:after="120"/>
              <w:rPr>
                <w:iCs/>
                <w:kern w:val="0"/>
                <w:szCs w:val="22"/>
              </w:rPr>
            </w:pPr>
            <w:r w:rsidRPr="00F2055B">
              <w:rPr>
                <w:iCs/>
                <w:szCs w:val="22"/>
              </w:rPr>
              <w:t>Competitive Local Exchange Carriers (CLECs)</w:t>
            </w:r>
            <w:r>
              <w:rPr>
                <w:rStyle w:val="FootnoteReference"/>
                <w:iCs/>
                <w:sz w:val="22"/>
                <w:szCs w:val="22"/>
              </w:rPr>
              <w:footnoteReference w:id="379"/>
            </w:r>
          </w:p>
        </w:tc>
        <w:tc>
          <w:tcPr>
            <w:tcW w:w="1800" w:type="dxa"/>
            <w:noWrap/>
          </w:tcPr>
          <w:p w:rsidR="005919ED" w:rsidRPr="00F2055B" w14:paraId="6E6921F1" w14:textId="77777777">
            <w:pPr>
              <w:spacing w:after="120"/>
              <w:jc w:val="center"/>
              <w:rPr>
                <w:iCs/>
                <w:kern w:val="0"/>
                <w:szCs w:val="22"/>
              </w:rPr>
            </w:pPr>
            <w:r w:rsidRPr="00F2055B">
              <w:rPr>
                <w:iCs/>
                <w:kern w:val="0"/>
                <w:szCs w:val="22"/>
              </w:rPr>
              <w:t>4,049</w:t>
            </w:r>
          </w:p>
        </w:tc>
        <w:tc>
          <w:tcPr>
            <w:tcW w:w="990" w:type="dxa"/>
          </w:tcPr>
          <w:p w:rsidR="005919ED" w:rsidRPr="00F2055B" w14:paraId="52481369" w14:textId="77777777">
            <w:pPr>
              <w:spacing w:after="120"/>
              <w:jc w:val="center"/>
              <w:rPr>
                <w:iCs/>
                <w:kern w:val="0"/>
                <w:szCs w:val="22"/>
              </w:rPr>
            </w:pPr>
            <w:r w:rsidRPr="00F2055B">
              <w:rPr>
                <w:iCs/>
                <w:kern w:val="0"/>
                <w:szCs w:val="22"/>
              </w:rPr>
              <w:t>3,853</w:t>
            </w:r>
          </w:p>
        </w:tc>
        <w:tc>
          <w:tcPr>
            <w:tcW w:w="1530" w:type="dxa"/>
            <w:noWrap/>
          </w:tcPr>
          <w:p w:rsidR="005919ED" w:rsidRPr="00F2055B" w14:paraId="321D7C89" w14:textId="77777777">
            <w:pPr>
              <w:spacing w:after="120"/>
              <w:jc w:val="center"/>
              <w:rPr>
                <w:iCs/>
                <w:kern w:val="0"/>
                <w:szCs w:val="22"/>
              </w:rPr>
            </w:pPr>
            <w:r w:rsidRPr="00F2055B">
              <w:rPr>
                <w:iCs/>
                <w:kern w:val="0"/>
                <w:szCs w:val="22"/>
              </w:rPr>
              <w:t>95.16</w:t>
            </w:r>
          </w:p>
        </w:tc>
      </w:tr>
      <w:tr w14:paraId="62B07BED" w14:textId="77777777">
        <w:tblPrEx>
          <w:tblW w:w="7645" w:type="dxa"/>
          <w:jc w:val="center"/>
          <w:tblLayout w:type="fixed"/>
          <w:tblLook w:val="04A0"/>
        </w:tblPrEx>
        <w:trPr>
          <w:trHeight w:val="255"/>
          <w:jc w:val="center"/>
        </w:trPr>
        <w:tc>
          <w:tcPr>
            <w:tcW w:w="3325" w:type="dxa"/>
            <w:noWrap/>
          </w:tcPr>
          <w:p w:rsidR="005919ED" w:rsidRPr="00F2055B" w14:paraId="0A9F3F65" w14:textId="77777777">
            <w:pPr>
              <w:spacing w:after="120"/>
              <w:rPr>
                <w:iCs/>
                <w:kern w:val="0"/>
                <w:szCs w:val="22"/>
              </w:rPr>
            </w:pPr>
            <w:r w:rsidRPr="00F2055B">
              <w:rPr>
                <w:iCs/>
                <w:szCs w:val="22"/>
              </w:rPr>
              <w:t>Incumbent Local Exchange Carriers (Incumbent LECs)</w:t>
            </w:r>
          </w:p>
        </w:tc>
        <w:tc>
          <w:tcPr>
            <w:tcW w:w="1800" w:type="dxa"/>
            <w:noWrap/>
          </w:tcPr>
          <w:p w:rsidR="005919ED" w:rsidRPr="00F2055B" w14:paraId="1A4FAB4F" w14:textId="77777777">
            <w:pPr>
              <w:spacing w:after="120"/>
              <w:jc w:val="center"/>
              <w:rPr>
                <w:iCs/>
                <w:kern w:val="0"/>
                <w:szCs w:val="22"/>
              </w:rPr>
            </w:pPr>
            <w:r w:rsidRPr="00F2055B">
              <w:rPr>
                <w:iCs/>
                <w:kern w:val="0"/>
                <w:szCs w:val="22"/>
              </w:rPr>
              <w:t>1,175</w:t>
            </w:r>
          </w:p>
        </w:tc>
        <w:tc>
          <w:tcPr>
            <w:tcW w:w="990" w:type="dxa"/>
          </w:tcPr>
          <w:p w:rsidR="005919ED" w:rsidRPr="00F2055B" w14:paraId="7D6BB037" w14:textId="77777777">
            <w:pPr>
              <w:spacing w:after="120"/>
              <w:jc w:val="center"/>
              <w:rPr>
                <w:iCs/>
                <w:kern w:val="0"/>
                <w:szCs w:val="22"/>
              </w:rPr>
            </w:pPr>
            <w:r w:rsidRPr="00F2055B">
              <w:rPr>
                <w:iCs/>
                <w:kern w:val="0"/>
                <w:szCs w:val="22"/>
              </w:rPr>
              <w:t>920</w:t>
            </w:r>
          </w:p>
        </w:tc>
        <w:tc>
          <w:tcPr>
            <w:tcW w:w="1530" w:type="dxa"/>
            <w:noWrap/>
          </w:tcPr>
          <w:p w:rsidR="005919ED" w:rsidRPr="00F2055B" w14:paraId="275428DD" w14:textId="77777777">
            <w:pPr>
              <w:spacing w:after="120"/>
              <w:jc w:val="center"/>
              <w:rPr>
                <w:iCs/>
                <w:kern w:val="0"/>
                <w:szCs w:val="22"/>
              </w:rPr>
            </w:pPr>
            <w:r w:rsidRPr="00F2055B">
              <w:rPr>
                <w:iCs/>
                <w:kern w:val="0"/>
                <w:szCs w:val="22"/>
              </w:rPr>
              <w:t>78.30</w:t>
            </w:r>
          </w:p>
        </w:tc>
      </w:tr>
      <w:tr w14:paraId="383B6FDF" w14:textId="77777777">
        <w:tblPrEx>
          <w:tblW w:w="7645" w:type="dxa"/>
          <w:jc w:val="center"/>
          <w:tblLayout w:type="fixed"/>
          <w:tblLook w:val="04A0"/>
        </w:tblPrEx>
        <w:trPr>
          <w:trHeight w:val="255"/>
          <w:jc w:val="center"/>
        </w:trPr>
        <w:tc>
          <w:tcPr>
            <w:tcW w:w="3325" w:type="dxa"/>
            <w:noWrap/>
          </w:tcPr>
          <w:p w:rsidR="005919ED" w:rsidRPr="00F2055B" w14:paraId="278F248A" w14:textId="77777777">
            <w:pPr>
              <w:spacing w:after="120"/>
              <w:rPr>
                <w:iCs/>
                <w:kern w:val="0"/>
                <w:szCs w:val="22"/>
              </w:rPr>
            </w:pPr>
            <w:r w:rsidRPr="00F2055B">
              <w:rPr>
                <w:iCs/>
                <w:szCs w:val="22"/>
              </w:rPr>
              <w:t>Interexchange Carriers (IXCs)</w:t>
            </w:r>
          </w:p>
        </w:tc>
        <w:tc>
          <w:tcPr>
            <w:tcW w:w="1800" w:type="dxa"/>
            <w:noWrap/>
          </w:tcPr>
          <w:p w:rsidR="005919ED" w:rsidRPr="00F2055B" w14:paraId="39799C1F" w14:textId="77777777">
            <w:pPr>
              <w:spacing w:after="120"/>
              <w:jc w:val="center"/>
              <w:rPr>
                <w:iCs/>
                <w:kern w:val="0"/>
                <w:szCs w:val="22"/>
              </w:rPr>
            </w:pPr>
            <w:r w:rsidRPr="00F2055B">
              <w:rPr>
                <w:iCs/>
                <w:kern w:val="0"/>
                <w:szCs w:val="22"/>
              </w:rPr>
              <w:t>112</w:t>
            </w:r>
          </w:p>
        </w:tc>
        <w:tc>
          <w:tcPr>
            <w:tcW w:w="990" w:type="dxa"/>
          </w:tcPr>
          <w:p w:rsidR="005919ED" w:rsidRPr="00F2055B" w14:paraId="096730E0" w14:textId="77777777">
            <w:pPr>
              <w:spacing w:after="120"/>
              <w:jc w:val="center"/>
              <w:rPr>
                <w:iCs/>
                <w:kern w:val="0"/>
                <w:szCs w:val="22"/>
              </w:rPr>
            </w:pPr>
            <w:r w:rsidRPr="00F2055B">
              <w:rPr>
                <w:iCs/>
                <w:kern w:val="0"/>
                <w:szCs w:val="22"/>
              </w:rPr>
              <w:t>92</w:t>
            </w:r>
          </w:p>
        </w:tc>
        <w:tc>
          <w:tcPr>
            <w:tcW w:w="1530" w:type="dxa"/>
            <w:noWrap/>
          </w:tcPr>
          <w:p w:rsidR="005919ED" w:rsidRPr="00F2055B" w14:paraId="56CAAC28" w14:textId="77777777">
            <w:pPr>
              <w:spacing w:after="120"/>
              <w:jc w:val="center"/>
              <w:rPr>
                <w:iCs/>
                <w:kern w:val="0"/>
                <w:szCs w:val="22"/>
              </w:rPr>
            </w:pPr>
            <w:r w:rsidRPr="00F2055B">
              <w:rPr>
                <w:iCs/>
                <w:kern w:val="0"/>
                <w:szCs w:val="22"/>
              </w:rPr>
              <w:t>82.14</w:t>
            </w:r>
          </w:p>
        </w:tc>
      </w:tr>
      <w:tr w14:paraId="406ABF9F" w14:textId="77777777">
        <w:tblPrEx>
          <w:tblW w:w="7645" w:type="dxa"/>
          <w:jc w:val="center"/>
          <w:tblLayout w:type="fixed"/>
          <w:tblLook w:val="04A0"/>
        </w:tblPrEx>
        <w:trPr>
          <w:trHeight w:val="80"/>
          <w:jc w:val="center"/>
        </w:trPr>
        <w:tc>
          <w:tcPr>
            <w:tcW w:w="3325" w:type="dxa"/>
            <w:noWrap/>
          </w:tcPr>
          <w:p w:rsidR="005919ED" w:rsidRPr="00F2055B" w14:paraId="5B3F82B8" w14:textId="77777777">
            <w:pPr>
              <w:spacing w:after="120"/>
              <w:rPr>
                <w:iCs/>
                <w:szCs w:val="22"/>
              </w:rPr>
            </w:pPr>
            <w:r w:rsidRPr="00F2055B">
              <w:rPr>
                <w:iCs/>
                <w:szCs w:val="22"/>
              </w:rPr>
              <w:t>Local Exchange Carriers (LECs)</w:t>
            </w:r>
            <w:r>
              <w:rPr>
                <w:rStyle w:val="FootnoteReference"/>
                <w:iCs/>
                <w:sz w:val="22"/>
                <w:szCs w:val="22"/>
              </w:rPr>
              <w:footnoteReference w:id="380"/>
            </w:r>
            <w:r w:rsidRPr="00F2055B">
              <w:rPr>
                <w:iCs/>
                <w:szCs w:val="22"/>
              </w:rPr>
              <w:t xml:space="preserve">  </w:t>
            </w:r>
          </w:p>
        </w:tc>
        <w:tc>
          <w:tcPr>
            <w:tcW w:w="1800" w:type="dxa"/>
            <w:noWrap/>
          </w:tcPr>
          <w:p w:rsidR="005919ED" w:rsidRPr="00F2055B" w14:paraId="2E86BC57" w14:textId="77777777">
            <w:pPr>
              <w:spacing w:after="120"/>
              <w:jc w:val="center"/>
              <w:rPr>
                <w:iCs/>
                <w:kern w:val="0"/>
                <w:szCs w:val="22"/>
              </w:rPr>
            </w:pPr>
            <w:r w:rsidRPr="00F2055B">
              <w:rPr>
                <w:iCs/>
                <w:kern w:val="0"/>
                <w:szCs w:val="22"/>
              </w:rPr>
              <w:t>5,224</w:t>
            </w:r>
          </w:p>
        </w:tc>
        <w:tc>
          <w:tcPr>
            <w:tcW w:w="990" w:type="dxa"/>
          </w:tcPr>
          <w:p w:rsidR="005919ED" w:rsidRPr="00F2055B" w14:paraId="01F413E0" w14:textId="77777777">
            <w:pPr>
              <w:spacing w:after="120"/>
              <w:jc w:val="center"/>
              <w:rPr>
                <w:iCs/>
                <w:kern w:val="0"/>
                <w:szCs w:val="22"/>
              </w:rPr>
            </w:pPr>
            <w:r w:rsidRPr="00F2055B">
              <w:rPr>
                <w:iCs/>
                <w:kern w:val="0"/>
                <w:szCs w:val="22"/>
              </w:rPr>
              <w:t>4,773</w:t>
            </w:r>
          </w:p>
        </w:tc>
        <w:tc>
          <w:tcPr>
            <w:tcW w:w="1530" w:type="dxa"/>
            <w:noWrap/>
          </w:tcPr>
          <w:p w:rsidR="005919ED" w:rsidRPr="00F2055B" w14:paraId="0BAB29AE" w14:textId="77777777">
            <w:pPr>
              <w:spacing w:after="120"/>
              <w:jc w:val="center"/>
              <w:rPr>
                <w:iCs/>
                <w:kern w:val="0"/>
                <w:szCs w:val="22"/>
              </w:rPr>
            </w:pPr>
            <w:r w:rsidRPr="00F2055B">
              <w:rPr>
                <w:iCs/>
                <w:kern w:val="0"/>
                <w:szCs w:val="22"/>
              </w:rPr>
              <w:t>91.37</w:t>
            </w:r>
          </w:p>
        </w:tc>
      </w:tr>
      <w:tr w14:paraId="12E53958" w14:textId="77777777">
        <w:tblPrEx>
          <w:tblW w:w="7645" w:type="dxa"/>
          <w:jc w:val="center"/>
          <w:tblLayout w:type="fixed"/>
          <w:tblLook w:val="04A0"/>
        </w:tblPrEx>
        <w:trPr>
          <w:trHeight w:val="80"/>
          <w:jc w:val="center"/>
        </w:trPr>
        <w:tc>
          <w:tcPr>
            <w:tcW w:w="3325" w:type="dxa"/>
            <w:noWrap/>
          </w:tcPr>
          <w:p w:rsidR="005919ED" w:rsidRPr="00F2055B" w14:paraId="5A460533" w14:textId="77777777">
            <w:pPr>
              <w:spacing w:after="120"/>
              <w:rPr>
                <w:iCs/>
                <w:kern w:val="0"/>
                <w:szCs w:val="22"/>
              </w:rPr>
            </w:pPr>
            <w:r w:rsidRPr="00F2055B">
              <w:rPr>
                <w:iCs/>
                <w:szCs w:val="22"/>
              </w:rPr>
              <w:t>Local Resellers</w:t>
            </w:r>
          </w:p>
        </w:tc>
        <w:tc>
          <w:tcPr>
            <w:tcW w:w="1800" w:type="dxa"/>
            <w:noWrap/>
          </w:tcPr>
          <w:p w:rsidR="005919ED" w:rsidRPr="00F2055B" w14:paraId="4B426D43" w14:textId="77777777">
            <w:pPr>
              <w:spacing w:after="120"/>
              <w:jc w:val="center"/>
              <w:rPr>
                <w:iCs/>
                <w:kern w:val="0"/>
                <w:szCs w:val="22"/>
              </w:rPr>
            </w:pPr>
            <w:r w:rsidRPr="00F2055B">
              <w:rPr>
                <w:iCs/>
                <w:kern w:val="0"/>
                <w:szCs w:val="22"/>
              </w:rPr>
              <w:t>253</w:t>
            </w:r>
          </w:p>
        </w:tc>
        <w:tc>
          <w:tcPr>
            <w:tcW w:w="990" w:type="dxa"/>
          </w:tcPr>
          <w:p w:rsidR="005919ED" w:rsidRPr="00F2055B" w14:paraId="4E668738" w14:textId="77777777">
            <w:pPr>
              <w:spacing w:after="120"/>
              <w:jc w:val="center"/>
              <w:rPr>
                <w:iCs/>
                <w:kern w:val="0"/>
                <w:szCs w:val="22"/>
              </w:rPr>
            </w:pPr>
            <w:r w:rsidRPr="00F2055B">
              <w:rPr>
                <w:iCs/>
                <w:kern w:val="0"/>
                <w:szCs w:val="22"/>
              </w:rPr>
              <w:t>242</w:t>
            </w:r>
          </w:p>
        </w:tc>
        <w:tc>
          <w:tcPr>
            <w:tcW w:w="1530" w:type="dxa"/>
            <w:noWrap/>
          </w:tcPr>
          <w:p w:rsidR="005919ED" w:rsidRPr="00F2055B" w14:paraId="4E5E4E0D" w14:textId="77777777">
            <w:pPr>
              <w:spacing w:after="120"/>
              <w:jc w:val="center"/>
              <w:rPr>
                <w:iCs/>
                <w:kern w:val="0"/>
                <w:szCs w:val="22"/>
              </w:rPr>
            </w:pPr>
            <w:r w:rsidRPr="00F2055B">
              <w:rPr>
                <w:iCs/>
                <w:kern w:val="0"/>
                <w:szCs w:val="22"/>
              </w:rPr>
              <w:t>95.65</w:t>
            </w:r>
          </w:p>
        </w:tc>
      </w:tr>
      <w:tr w14:paraId="167491C5" w14:textId="77777777">
        <w:tblPrEx>
          <w:tblW w:w="7645" w:type="dxa"/>
          <w:jc w:val="center"/>
          <w:tblLayout w:type="fixed"/>
          <w:tblLook w:val="04A0"/>
        </w:tblPrEx>
        <w:trPr>
          <w:trHeight w:val="255"/>
          <w:jc w:val="center"/>
        </w:trPr>
        <w:tc>
          <w:tcPr>
            <w:tcW w:w="3325" w:type="dxa"/>
            <w:noWrap/>
          </w:tcPr>
          <w:p w:rsidR="005919ED" w:rsidRPr="00F2055B" w14:paraId="7ED598AA" w14:textId="77777777">
            <w:pPr>
              <w:spacing w:after="120"/>
              <w:rPr>
                <w:iCs/>
                <w:szCs w:val="22"/>
              </w:rPr>
            </w:pPr>
            <w:r w:rsidRPr="00F2055B">
              <w:rPr>
                <w:iCs/>
                <w:szCs w:val="22"/>
              </w:rPr>
              <w:t>Other Toll Carriers</w:t>
            </w:r>
          </w:p>
        </w:tc>
        <w:tc>
          <w:tcPr>
            <w:tcW w:w="1800" w:type="dxa"/>
            <w:noWrap/>
          </w:tcPr>
          <w:p w:rsidR="005919ED" w:rsidRPr="00F2055B" w14:paraId="634EBEB2" w14:textId="77777777">
            <w:pPr>
              <w:spacing w:after="120"/>
              <w:jc w:val="center"/>
              <w:rPr>
                <w:iCs/>
                <w:kern w:val="0"/>
                <w:szCs w:val="22"/>
              </w:rPr>
            </w:pPr>
            <w:r w:rsidRPr="00F2055B">
              <w:rPr>
                <w:iCs/>
                <w:kern w:val="0"/>
                <w:szCs w:val="22"/>
              </w:rPr>
              <w:t>72</w:t>
            </w:r>
          </w:p>
        </w:tc>
        <w:tc>
          <w:tcPr>
            <w:tcW w:w="990" w:type="dxa"/>
          </w:tcPr>
          <w:p w:rsidR="005919ED" w:rsidRPr="00F2055B" w14:paraId="5EF6A621" w14:textId="77777777">
            <w:pPr>
              <w:spacing w:after="120"/>
              <w:jc w:val="center"/>
              <w:rPr>
                <w:iCs/>
                <w:kern w:val="0"/>
                <w:szCs w:val="22"/>
              </w:rPr>
            </w:pPr>
            <w:r w:rsidRPr="00F2055B">
              <w:rPr>
                <w:iCs/>
                <w:kern w:val="0"/>
                <w:szCs w:val="22"/>
              </w:rPr>
              <w:t>69</w:t>
            </w:r>
          </w:p>
        </w:tc>
        <w:tc>
          <w:tcPr>
            <w:tcW w:w="1530" w:type="dxa"/>
            <w:noWrap/>
          </w:tcPr>
          <w:p w:rsidR="005919ED" w:rsidRPr="00F2055B" w14:paraId="3750164E" w14:textId="77777777">
            <w:pPr>
              <w:spacing w:after="120"/>
              <w:jc w:val="center"/>
              <w:rPr>
                <w:iCs/>
                <w:kern w:val="0"/>
                <w:szCs w:val="22"/>
              </w:rPr>
            </w:pPr>
            <w:r w:rsidRPr="00F2055B">
              <w:rPr>
                <w:iCs/>
                <w:kern w:val="0"/>
                <w:szCs w:val="22"/>
              </w:rPr>
              <w:t>95.83</w:t>
            </w:r>
          </w:p>
        </w:tc>
      </w:tr>
      <w:tr w14:paraId="69F686B0" w14:textId="77777777">
        <w:tblPrEx>
          <w:tblW w:w="7645" w:type="dxa"/>
          <w:jc w:val="center"/>
          <w:tblLayout w:type="fixed"/>
          <w:tblLook w:val="04A0"/>
        </w:tblPrEx>
        <w:trPr>
          <w:trHeight w:val="255"/>
          <w:jc w:val="center"/>
        </w:trPr>
        <w:tc>
          <w:tcPr>
            <w:tcW w:w="3325" w:type="dxa"/>
            <w:noWrap/>
          </w:tcPr>
          <w:p w:rsidR="005919ED" w:rsidRPr="00F2055B" w14:paraId="1108E778" w14:textId="77777777">
            <w:pPr>
              <w:spacing w:after="120"/>
              <w:rPr>
                <w:iCs/>
                <w:szCs w:val="22"/>
              </w:rPr>
            </w:pPr>
            <w:r w:rsidRPr="00F2055B">
              <w:rPr>
                <w:iCs/>
                <w:szCs w:val="22"/>
              </w:rPr>
              <w:t>Prepaid Card Providers</w:t>
            </w:r>
          </w:p>
        </w:tc>
        <w:tc>
          <w:tcPr>
            <w:tcW w:w="1800" w:type="dxa"/>
            <w:noWrap/>
          </w:tcPr>
          <w:p w:rsidR="005919ED" w:rsidRPr="00F2055B" w14:paraId="1DA4A337" w14:textId="77777777">
            <w:pPr>
              <w:spacing w:after="120"/>
              <w:jc w:val="center"/>
              <w:rPr>
                <w:iCs/>
                <w:kern w:val="0"/>
                <w:szCs w:val="22"/>
              </w:rPr>
            </w:pPr>
            <w:r w:rsidRPr="00F2055B">
              <w:rPr>
                <w:iCs/>
                <w:kern w:val="0"/>
                <w:szCs w:val="22"/>
              </w:rPr>
              <w:t>47</w:t>
            </w:r>
          </w:p>
        </w:tc>
        <w:tc>
          <w:tcPr>
            <w:tcW w:w="990" w:type="dxa"/>
          </w:tcPr>
          <w:p w:rsidR="005919ED" w:rsidRPr="00F2055B" w14:paraId="5016266F" w14:textId="77777777">
            <w:pPr>
              <w:spacing w:after="120"/>
              <w:jc w:val="center"/>
              <w:rPr>
                <w:iCs/>
                <w:kern w:val="0"/>
                <w:szCs w:val="22"/>
              </w:rPr>
            </w:pPr>
            <w:r w:rsidRPr="00F2055B">
              <w:rPr>
                <w:iCs/>
                <w:kern w:val="0"/>
                <w:szCs w:val="22"/>
              </w:rPr>
              <w:t>45</w:t>
            </w:r>
          </w:p>
        </w:tc>
        <w:tc>
          <w:tcPr>
            <w:tcW w:w="1530" w:type="dxa"/>
            <w:noWrap/>
          </w:tcPr>
          <w:p w:rsidR="005919ED" w:rsidRPr="00F2055B" w14:paraId="7CCD45AA" w14:textId="77777777">
            <w:pPr>
              <w:spacing w:after="120"/>
              <w:jc w:val="center"/>
              <w:rPr>
                <w:iCs/>
                <w:kern w:val="0"/>
                <w:szCs w:val="22"/>
              </w:rPr>
            </w:pPr>
            <w:r w:rsidRPr="00F2055B">
              <w:rPr>
                <w:iCs/>
                <w:kern w:val="0"/>
                <w:szCs w:val="22"/>
              </w:rPr>
              <w:t>95.74</w:t>
            </w:r>
          </w:p>
        </w:tc>
      </w:tr>
      <w:tr w14:paraId="5C5AEBB0" w14:textId="77777777">
        <w:tblPrEx>
          <w:tblW w:w="7645" w:type="dxa"/>
          <w:jc w:val="center"/>
          <w:tblLayout w:type="fixed"/>
          <w:tblLook w:val="04A0"/>
        </w:tblPrEx>
        <w:trPr>
          <w:trHeight w:val="255"/>
          <w:jc w:val="center"/>
        </w:trPr>
        <w:tc>
          <w:tcPr>
            <w:tcW w:w="3325" w:type="dxa"/>
            <w:noWrap/>
          </w:tcPr>
          <w:p w:rsidR="005919ED" w:rsidRPr="00F2055B" w14:paraId="3199F890" w14:textId="77777777">
            <w:pPr>
              <w:spacing w:after="120"/>
              <w:rPr>
                <w:iCs/>
                <w:szCs w:val="22"/>
              </w:rPr>
            </w:pPr>
            <w:r>
              <w:rPr>
                <w:iCs/>
                <w:szCs w:val="22"/>
              </w:rPr>
              <w:t>Telecommunications Resellers</w:t>
            </w:r>
          </w:p>
        </w:tc>
        <w:tc>
          <w:tcPr>
            <w:tcW w:w="1800" w:type="dxa"/>
            <w:noWrap/>
          </w:tcPr>
          <w:p w:rsidR="005919ED" w:rsidRPr="00F2055B" w14:paraId="7AE171FE" w14:textId="77777777">
            <w:pPr>
              <w:spacing w:after="120"/>
              <w:jc w:val="center"/>
              <w:rPr>
                <w:iCs/>
                <w:kern w:val="0"/>
                <w:szCs w:val="22"/>
              </w:rPr>
            </w:pPr>
            <w:r>
              <w:rPr>
                <w:iCs/>
                <w:kern w:val="0"/>
                <w:szCs w:val="22"/>
              </w:rPr>
              <w:t>655</w:t>
            </w:r>
          </w:p>
        </w:tc>
        <w:tc>
          <w:tcPr>
            <w:tcW w:w="990" w:type="dxa"/>
          </w:tcPr>
          <w:p w:rsidR="005919ED" w:rsidRPr="00F2055B" w14:paraId="35DF1AA1" w14:textId="77777777">
            <w:pPr>
              <w:spacing w:after="120"/>
              <w:jc w:val="center"/>
              <w:rPr>
                <w:iCs/>
                <w:kern w:val="0"/>
                <w:szCs w:val="22"/>
              </w:rPr>
            </w:pPr>
            <w:r>
              <w:rPr>
                <w:iCs/>
                <w:kern w:val="0"/>
                <w:szCs w:val="22"/>
              </w:rPr>
              <w:t>630</w:t>
            </w:r>
          </w:p>
        </w:tc>
        <w:tc>
          <w:tcPr>
            <w:tcW w:w="1530" w:type="dxa"/>
            <w:noWrap/>
          </w:tcPr>
          <w:p w:rsidR="005919ED" w:rsidRPr="00F2055B" w14:paraId="4B0D67FB" w14:textId="77777777">
            <w:pPr>
              <w:spacing w:after="120"/>
              <w:jc w:val="center"/>
              <w:rPr>
                <w:iCs/>
                <w:kern w:val="0"/>
                <w:szCs w:val="22"/>
              </w:rPr>
            </w:pPr>
            <w:r>
              <w:rPr>
                <w:iCs/>
                <w:kern w:val="0"/>
                <w:szCs w:val="22"/>
              </w:rPr>
              <w:t>96.18</w:t>
            </w:r>
          </w:p>
        </w:tc>
      </w:tr>
      <w:tr w14:paraId="3D17537E" w14:textId="77777777">
        <w:tblPrEx>
          <w:tblW w:w="7645" w:type="dxa"/>
          <w:jc w:val="center"/>
          <w:tblLayout w:type="fixed"/>
          <w:tblLook w:val="04A0"/>
        </w:tblPrEx>
        <w:trPr>
          <w:trHeight w:val="255"/>
          <w:jc w:val="center"/>
        </w:trPr>
        <w:tc>
          <w:tcPr>
            <w:tcW w:w="3325" w:type="dxa"/>
            <w:noWrap/>
          </w:tcPr>
          <w:p w:rsidR="005919ED" w:rsidRPr="00F2055B" w14:paraId="2710A12C" w14:textId="77777777">
            <w:pPr>
              <w:spacing w:after="120"/>
              <w:rPr>
                <w:iCs/>
                <w:kern w:val="0"/>
                <w:szCs w:val="22"/>
              </w:rPr>
            </w:pPr>
            <w:r w:rsidRPr="00F2055B">
              <w:rPr>
                <w:iCs/>
                <w:szCs w:val="22"/>
              </w:rPr>
              <w:t>Toll Resellers</w:t>
            </w:r>
          </w:p>
        </w:tc>
        <w:tc>
          <w:tcPr>
            <w:tcW w:w="1800" w:type="dxa"/>
            <w:noWrap/>
          </w:tcPr>
          <w:p w:rsidR="005919ED" w:rsidRPr="00F2055B" w14:paraId="4403CD7B" w14:textId="77777777">
            <w:pPr>
              <w:spacing w:after="120"/>
              <w:jc w:val="center"/>
              <w:rPr>
                <w:iCs/>
                <w:kern w:val="0"/>
                <w:szCs w:val="22"/>
              </w:rPr>
            </w:pPr>
            <w:r w:rsidRPr="00F2055B">
              <w:rPr>
                <w:iCs/>
                <w:kern w:val="0"/>
                <w:szCs w:val="22"/>
              </w:rPr>
              <w:t>402</w:t>
            </w:r>
          </w:p>
        </w:tc>
        <w:tc>
          <w:tcPr>
            <w:tcW w:w="990" w:type="dxa"/>
          </w:tcPr>
          <w:p w:rsidR="005919ED" w:rsidRPr="00F2055B" w14:paraId="60EEBFDF" w14:textId="77777777">
            <w:pPr>
              <w:spacing w:after="120"/>
              <w:jc w:val="center"/>
              <w:rPr>
                <w:iCs/>
                <w:kern w:val="0"/>
                <w:szCs w:val="22"/>
              </w:rPr>
            </w:pPr>
            <w:r w:rsidRPr="00F2055B">
              <w:rPr>
                <w:iCs/>
                <w:kern w:val="0"/>
                <w:szCs w:val="22"/>
              </w:rPr>
              <w:t>388</w:t>
            </w:r>
          </w:p>
        </w:tc>
        <w:tc>
          <w:tcPr>
            <w:tcW w:w="1530" w:type="dxa"/>
            <w:noWrap/>
          </w:tcPr>
          <w:p w:rsidR="005919ED" w:rsidRPr="00F2055B" w14:paraId="4243C632" w14:textId="77777777">
            <w:pPr>
              <w:spacing w:after="120"/>
              <w:jc w:val="center"/>
              <w:rPr>
                <w:iCs/>
                <w:kern w:val="0"/>
                <w:szCs w:val="22"/>
              </w:rPr>
            </w:pPr>
            <w:r w:rsidRPr="00F2055B">
              <w:rPr>
                <w:iCs/>
                <w:kern w:val="0"/>
                <w:szCs w:val="22"/>
              </w:rPr>
              <w:t>96.52</w:t>
            </w:r>
          </w:p>
        </w:tc>
      </w:tr>
      <w:tr w14:paraId="40E58B17" w14:textId="77777777">
        <w:tblPrEx>
          <w:tblW w:w="7645" w:type="dxa"/>
          <w:jc w:val="center"/>
          <w:tblLayout w:type="fixed"/>
          <w:tblLook w:val="04A0"/>
        </w:tblPrEx>
        <w:trPr>
          <w:trHeight w:val="255"/>
          <w:jc w:val="center"/>
        </w:trPr>
        <w:tc>
          <w:tcPr>
            <w:tcW w:w="3325" w:type="dxa"/>
            <w:noWrap/>
          </w:tcPr>
          <w:p w:rsidR="005919ED" w:rsidRPr="00F2055B" w14:paraId="42EACEC2" w14:textId="77777777">
            <w:pPr>
              <w:spacing w:after="120"/>
              <w:rPr>
                <w:iCs/>
                <w:szCs w:val="22"/>
              </w:rPr>
            </w:pPr>
            <w:r w:rsidRPr="00F2055B">
              <w:rPr>
                <w:iCs/>
                <w:szCs w:val="22"/>
              </w:rPr>
              <w:t>Wired Telecommunications Carriers</w:t>
            </w:r>
            <w:r>
              <w:rPr>
                <w:rStyle w:val="FootnoteReference"/>
                <w:iCs/>
                <w:sz w:val="22"/>
                <w:szCs w:val="22"/>
              </w:rPr>
              <w:footnoteReference w:id="381"/>
            </w:r>
            <w:r w:rsidRPr="00F2055B">
              <w:rPr>
                <w:iCs/>
                <w:szCs w:val="22"/>
              </w:rPr>
              <w:t xml:space="preserve"> </w:t>
            </w:r>
          </w:p>
        </w:tc>
        <w:tc>
          <w:tcPr>
            <w:tcW w:w="1800" w:type="dxa"/>
            <w:noWrap/>
          </w:tcPr>
          <w:p w:rsidR="005919ED" w:rsidRPr="00F2055B" w14:paraId="450AB4FA" w14:textId="77777777">
            <w:pPr>
              <w:spacing w:after="120"/>
              <w:jc w:val="center"/>
              <w:rPr>
                <w:iCs/>
                <w:kern w:val="0"/>
                <w:szCs w:val="22"/>
              </w:rPr>
            </w:pPr>
            <w:r w:rsidRPr="00F2055B">
              <w:rPr>
                <w:iCs/>
                <w:kern w:val="0"/>
                <w:szCs w:val="22"/>
              </w:rPr>
              <w:t>4,971</w:t>
            </w:r>
          </w:p>
        </w:tc>
        <w:tc>
          <w:tcPr>
            <w:tcW w:w="990" w:type="dxa"/>
          </w:tcPr>
          <w:p w:rsidR="005919ED" w:rsidRPr="00F2055B" w14:paraId="46CDC61E" w14:textId="77777777">
            <w:pPr>
              <w:spacing w:after="120"/>
              <w:jc w:val="center"/>
              <w:rPr>
                <w:iCs/>
                <w:kern w:val="0"/>
                <w:szCs w:val="22"/>
              </w:rPr>
            </w:pPr>
            <w:r w:rsidRPr="00F2055B">
              <w:rPr>
                <w:iCs/>
                <w:kern w:val="0"/>
                <w:szCs w:val="22"/>
              </w:rPr>
              <w:t>4,531</w:t>
            </w:r>
          </w:p>
        </w:tc>
        <w:tc>
          <w:tcPr>
            <w:tcW w:w="1530" w:type="dxa"/>
            <w:noWrap/>
          </w:tcPr>
          <w:p w:rsidR="005919ED" w:rsidRPr="00F2055B" w14:paraId="5F364AEF" w14:textId="77777777">
            <w:pPr>
              <w:spacing w:after="120"/>
              <w:jc w:val="center"/>
              <w:rPr>
                <w:iCs/>
                <w:kern w:val="0"/>
                <w:szCs w:val="22"/>
              </w:rPr>
            </w:pPr>
            <w:r w:rsidRPr="00F2055B">
              <w:rPr>
                <w:iCs/>
                <w:kern w:val="0"/>
                <w:szCs w:val="22"/>
              </w:rPr>
              <w:t>91.15</w:t>
            </w:r>
          </w:p>
        </w:tc>
      </w:tr>
      <w:tr w14:paraId="5A576939" w14:textId="77777777">
        <w:tblPrEx>
          <w:tblW w:w="7645" w:type="dxa"/>
          <w:jc w:val="center"/>
          <w:tblLayout w:type="fixed"/>
          <w:tblLook w:val="04A0"/>
        </w:tblPrEx>
        <w:trPr>
          <w:trHeight w:val="255"/>
          <w:jc w:val="center"/>
        </w:trPr>
        <w:tc>
          <w:tcPr>
            <w:tcW w:w="3325" w:type="dxa"/>
            <w:noWrap/>
          </w:tcPr>
          <w:p w:rsidR="005919ED" w:rsidRPr="00F2055B" w14:paraId="4115CA25" w14:textId="77777777">
            <w:pPr>
              <w:spacing w:after="120"/>
              <w:rPr>
                <w:iCs/>
                <w:kern w:val="0"/>
                <w:szCs w:val="22"/>
              </w:rPr>
            </w:pPr>
            <w:r w:rsidRPr="00F2055B">
              <w:rPr>
                <w:iCs/>
                <w:szCs w:val="22"/>
              </w:rPr>
              <w:t>Wireless Telecommunications Carriers (except Satellite)</w:t>
            </w:r>
            <w:r>
              <w:rPr>
                <w:rStyle w:val="FootnoteReference"/>
                <w:iCs/>
                <w:sz w:val="22"/>
                <w:szCs w:val="22"/>
              </w:rPr>
              <w:footnoteReference w:id="382"/>
            </w:r>
            <w:r w:rsidRPr="00F2055B">
              <w:rPr>
                <w:iCs/>
                <w:szCs w:val="22"/>
              </w:rPr>
              <w:t xml:space="preserve"> </w:t>
            </w:r>
          </w:p>
        </w:tc>
        <w:tc>
          <w:tcPr>
            <w:tcW w:w="1800" w:type="dxa"/>
            <w:noWrap/>
          </w:tcPr>
          <w:p w:rsidR="005919ED" w:rsidRPr="00F2055B" w14:paraId="7BF8D0A5" w14:textId="77777777">
            <w:pPr>
              <w:spacing w:after="120"/>
              <w:jc w:val="center"/>
              <w:rPr>
                <w:iCs/>
                <w:kern w:val="0"/>
                <w:szCs w:val="22"/>
              </w:rPr>
            </w:pPr>
            <w:r w:rsidRPr="00F2055B">
              <w:rPr>
                <w:iCs/>
                <w:kern w:val="0"/>
                <w:szCs w:val="22"/>
              </w:rPr>
              <w:t>608</w:t>
            </w:r>
          </w:p>
        </w:tc>
        <w:tc>
          <w:tcPr>
            <w:tcW w:w="990" w:type="dxa"/>
          </w:tcPr>
          <w:p w:rsidR="005919ED" w:rsidRPr="00F2055B" w14:paraId="136936AA" w14:textId="77777777">
            <w:pPr>
              <w:spacing w:after="120"/>
              <w:jc w:val="center"/>
              <w:rPr>
                <w:iCs/>
                <w:kern w:val="0"/>
                <w:szCs w:val="22"/>
              </w:rPr>
            </w:pPr>
            <w:r w:rsidRPr="00F2055B">
              <w:rPr>
                <w:iCs/>
                <w:kern w:val="0"/>
                <w:szCs w:val="22"/>
              </w:rPr>
              <w:t>522</w:t>
            </w:r>
          </w:p>
        </w:tc>
        <w:tc>
          <w:tcPr>
            <w:tcW w:w="1530" w:type="dxa"/>
            <w:noWrap/>
          </w:tcPr>
          <w:p w:rsidR="005919ED" w:rsidRPr="00F2055B" w14:paraId="4662E0D0" w14:textId="77777777">
            <w:pPr>
              <w:spacing w:after="120"/>
              <w:jc w:val="center"/>
              <w:rPr>
                <w:iCs/>
                <w:kern w:val="0"/>
                <w:szCs w:val="22"/>
              </w:rPr>
            </w:pPr>
            <w:r w:rsidRPr="00F2055B">
              <w:rPr>
                <w:iCs/>
                <w:kern w:val="0"/>
                <w:szCs w:val="22"/>
              </w:rPr>
              <w:t>85.86</w:t>
            </w:r>
          </w:p>
        </w:tc>
      </w:tr>
      <w:tr w14:paraId="2E20AD89" w14:textId="77777777">
        <w:tblPrEx>
          <w:tblW w:w="7645" w:type="dxa"/>
          <w:jc w:val="center"/>
          <w:tblLayout w:type="fixed"/>
          <w:tblLook w:val="04A0"/>
        </w:tblPrEx>
        <w:trPr>
          <w:trHeight w:val="255"/>
          <w:jc w:val="center"/>
        </w:trPr>
        <w:tc>
          <w:tcPr>
            <w:tcW w:w="3325" w:type="dxa"/>
            <w:noWrap/>
          </w:tcPr>
          <w:p w:rsidR="005919ED" w:rsidRPr="00F2055B" w14:paraId="666C8B7E" w14:textId="77777777">
            <w:pPr>
              <w:spacing w:after="120"/>
              <w:rPr>
                <w:iCs/>
                <w:szCs w:val="22"/>
              </w:rPr>
            </w:pPr>
            <w:r>
              <w:rPr>
                <w:iCs/>
                <w:szCs w:val="22"/>
              </w:rPr>
              <w:t>Wireless Telephony</w:t>
            </w:r>
            <w:r>
              <w:rPr>
                <w:rStyle w:val="FootnoteReference"/>
                <w:iCs/>
                <w:szCs w:val="22"/>
              </w:rPr>
              <w:footnoteReference w:id="383"/>
            </w:r>
          </w:p>
        </w:tc>
        <w:tc>
          <w:tcPr>
            <w:tcW w:w="1800" w:type="dxa"/>
            <w:noWrap/>
          </w:tcPr>
          <w:p w:rsidR="005919ED" w:rsidRPr="00F2055B" w14:paraId="6D304E2B" w14:textId="77777777">
            <w:pPr>
              <w:spacing w:after="120"/>
              <w:jc w:val="center"/>
              <w:rPr>
                <w:iCs/>
                <w:kern w:val="0"/>
                <w:szCs w:val="22"/>
              </w:rPr>
            </w:pPr>
            <w:r>
              <w:rPr>
                <w:iCs/>
                <w:kern w:val="0"/>
                <w:szCs w:val="22"/>
              </w:rPr>
              <w:t>336</w:t>
            </w:r>
          </w:p>
        </w:tc>
        <w:tc>
          <w:tcPr>
            <w:tcW w:w="990" w:type="dxa"/>
          </w:tcPr>
          <w:p w:rsidR="005919ED" w:rsidRPr="00F2055B" w14:paraId="7133A8F3" w14:textId="77777777">
            <w:pPr>
              <w:spacing w:after="120"/>
              <w:jc w:val="center"/>
              <w:rPr>
                <w:iCs/>
                <w:kern w:val="0"/>
                <w:szCs w:val="22"/>
              </w:rPr>
            </w:pPr>
            <w:r>
              <w:rPr>
                <w:iCs/>
                <w:kern w:val="0"/>
                <w:szCs w:val="22"/>
              </w:rPr>
              <w:t>262</w:t>
            </w:r>
          </w:p>
        </w:tc>
        <w:tc>
          <w:tcPr>
            <w:tcW w:w="1530" w:type="dxa"/>
            <w:noWrap/>
          </w:tcPr>
          <w:p w:rsidR="005919ED" w:rsidRPr="00F2055B" w14:paraId="65E570AE" w14:textId="77777777">
            <w:pPr>
              <w:spacing w:after="120"/>
              <w:jc w:val="center"/>
              <w:rPr>
                <w:iCs/>
                <w:kern w:val="0"/>
                <w:szCs w:val="22"/>
              </w:rPr>
            </w:pPr>
            <w:r>
              <w:rPr>
                <w:iCs/>
                <w:kern w:val="0"/>
                <w:szCs w:val="22"/>
              </w:rPr>
              <w:t>77.98</w:t>
            </w:r>
          </w:p>
        </w:tc>
      </w:tr>
    </w:tbl>
    <w:p w:rsidR="005919ED" w:rsidRPr="00F2055B" w:rsidP="005919ED" w14:paraId="36AE30F2" w14:textId="77777777">
      <w:pPr>
        <w:rPr>
          <w:szCs w:val="22"/>
        </w:rPr>
      </w:pPr>
    </w:p>
    <w:p w:rsidR="005919ED" w:rsidRPr="00104DE4" w:rsidP="005919ED" w14:paraId="53987507" w14:textId="77777777">
      <w:pPr>
        <w:keepNext/>
        <w:spacing w:after="120"/>
        <w:rPr>
          <w:b/>
          <w:bCs/>
          <w:szCs w:val="22"/>
        </w:rPr>
      </w:pPr>
      <w:r w:rsidRPr="00104DE4">
        <w:rPr>
          <w:b/>
          <w:bCs/>
          <w:szCs w:val="22"/>
        </w:rPr>
        <w:t>Table 3.  Cable Entities Data</w:t>
      </w:r>
    </w:p>
    <w:tbl>
      <w:tblPr>
        <w:tblW w:w="78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0"/>
        <w:gridCol w:w="1885"/>
        <w:gridCol w:w="900"/>
        <w:gridCol w:w="990"/>
        <w:gridCol w:w="1080"/>
      </w:tblGrid>
      <w:tr w14:paraId="6DF7D0E7" w14:textId="77777777">
        <w:tblPrEx>
          <w:tblW w:w="7825" w:type="dxa"/>
          <w:jc w:val="center"/>
          <w:tblLayout w:type="fixed"/>
          <w:tblLook w:val="04A0"/>
        </w:tblPrEx>
        <w:trPr>
          <w:cantSplit/>
          <w:trHeight w:val="585"/>
          <w:tblHeader/>
          <w:jc w:val="center"/>
        </w:trPr>
        <w:tc>
          <w:tcPr>
            <w:tcW w:w="2970" w:type="dxa"/>
            <w:shd w:val="clear" w:color="auto" w:fill="F2F2F2"/>
            <w:noWrap/>
            <w:hideMark/>
          </w:tcPr>
          <w:p w:rsidR="005919ED" w:rsidRPr="00104DE4" w14:paraId="1ACE6177" w14:textId="77777777">
            <w:pPr>
              <w:jc w:val="center"/>
              <w:rPr>
                <w:b/>
                <w:bCs/>
                <w:szCs w:val="22"/>
              </w:rPr>
            </w:pPr>
            <w:r w:rsidRPr="00104DE4">
              <w:rPr>
                <w:b/>
                <w:bCs/>
                <w:szCs w:val="22"/>
              </w:rPr>
              <w:t>Cable Entities</w:t>
            </w:r>
          </w:p>
        </w:tc>
        <w:tc>
          <w:tcPr>
            <w:tcW w:w="1885" w:type="dxa"/>
            <w:shd w:val="clear" w:color="auto" w:fill="F2F2F2"/>
            <w:noWrap/>
            <w:hideMark/>
          </w:tcPr>
          <w:p w:rsidR="005919ED" w:rsidRPr="00A24D79" w14:paraId="7A7DD67D" w14:textId="77777777">
            <w:pPr>
              <w:jc w:val="center"/>
              <w:rPr>
                <w:b/>
                <w:bCs/>
              </w:rPr>
            </w:pPr>
            <w:r w:rsidRPr="00A24D79">
              <w:rPr>
                <w:b/>
                <w:bCs/>
              </w:rPr>
              <w:t>Size Standard</w:t>
            </w:r>
          </w:p>
        </w:tc>
        <w:tc>
          <w:tcPr>
            <w:tcW w:w="900" w:type="dxa"/>
            <w:shd w:val="clear" w:color="auto" w:fill="F2F2F2"/>
            <w:hideMark/>
          </w:tcPr>
          <w:p w:rsidR="005919ED" w:rsidRPr="00A24D79" w14:paraId="489A6575" w14:textId="77777777">
            <w:pPr>
              <w:jc w:val="center"/>
              <w:rPr>
                <w:b/>
                <w:bCs/>
              </w:rPr>
            </w:pPr>
            <w:r w:rsidRPr="00A24D79">
              <w:rPr>
                <w:b/>
                <w:bCs/>
              </w:rPr>
              <w:t>Total Firms</w:t>
            </w:r>
          </w:p>
        </w:tc>
        <w:tc>
          <w:tcPr>
            <w:tcW w:w="990" w:type="dxa"/>
            <w:shd w:val="clear" w:color="auto" w:fill="F2F2F2"/>
          </w:tcPr>
          <w:p w:rsidR="005919ED" w:rsidRPr="00A24D79" w14:paraId="663310A5" w14:textId="77777777">
            <w:pPr>
              <w:jc w:val="center"/>
              <w:rPr>
                <w:b/>
                <w:bCs/>
              </w:rPr>
            </w:pPr>
            <w:r w:rsidRPr="00A24D79">
              <w:rPr>
                <w:b/>
                <w:bCs/>
              </w:rPr>
              <w:t>Small Firms</w:t>
            </w:r>
          </w:p>
        </w:tc>
        <w:tc>
          <w:tcPr>
            <w:tcW w:w="1080" w:type="dxa"/>
            <w:shd w:val="clear" w:color="auto" w:fill="F2F2F2"/>
            <w:hideMark/>
          </w:tcPr>
          <w:p w:rsidR="005919ED" w:rsidRPr="00A24D79" w14:paraId="50126D4C" w14:textId="77777777">
            <w:pPr>
              <w:jc w:val="center"/>
              <w:rPr>
                <w:b/>
                <w:bCs/>
              </w:rPr>
            </w:pPr>
            <w:r w:rsidRPr="00A24D79">
              <w:rPr>
                <w:b/>
                <w:bCs/>
              </w:rPr>
              <w:t>% Small Firms in Industry</w:t>
            </w:r>
          </w:p>
        </w:tc>
      </w:tr>
      <w:tr w14:paraId="4C6A4588" w14:textId="77777777">
        <w:tblPrEx>
          <w:tblW w:w="7825" w:type="dxa"/>
          <w:jc w:val="center"/>
          <w:tblLayout w:type="fixed"/>
          <w:tblLook w:val="04A0"/>
        </w:tblPrEx>
        <w:trPr>
          <w:cantSplit/>
          <w:trHeight w:val="300"/>
          <w:jc w:val="center"/>
        </w:trPr>
        <w:tc>
          <w:tcPr>
            <w:tcW w:w="2970" w:type="dxa"/>
            <w:noWrap/>
          </w:tcPr>
          <w:p w:rsidR="005919ED" w:rsidRPr="00104DE4" w14:paraId="57161505" w14:textId="77777777">
            <w:pPr>
              <w:pStyle w:val="FootnoteText"/>
              <w:rPr>
                <w:iCs/>
                <w:sz w:val="22"/>
                <w:szCs w:val="22"/>
              </w:rPr>
            </w:pPr>
            <w:r w:rsidRPr="00104DE4">
              <w:rPr>
                <w:iCs/>
                <w:sz w:val="22"/>
                <w:szCs w:val="22"/>
              </w:rPr>
              <w:t xml:space="preserve">Cable System Operators (Telecom Act Standard) </w:t>
            </w:r>
          </w:p>
          <w:p w:rsidR="005919ED" w:rsidRPr="00104DE4" w14:paraId="05313843" w14:textId="77777777">
            <w:pPr>
              <w:pStyle w:val="FootnoteText"/>
              <w:rPr>
                <w:snapToGrid w:val="0"/>
                <w:sz w:val="22"/>
                <w:szCs w:val="22"/>
              </w:rPr>
            </w:pPr>
            <w:r w:rsidRPr="00104DE4">
              <w:rPr>
                <w:iCs/>
                <w:sz w:val="22"/>
                <w:szCs w:val="22"/>
              </w:rPr>
              <w:t>Small Cable Operator</w:t>
            </w:r>
          </w:p>
        </w:tc>
        <w:tc>
          <w:tcPr>
            <w:tcW w:w="1885" w:type="dxa"/>
            <w:noWrap/>
          </w:tcPr>
          <w:p w:rsidR="005919ED" w:rsidRPr="00104DE4" w14:paraId="4C4814D7" w14:textId="77777777">
            <w:pPr>
              <w:pStyle w:val="FootnoteText"/>
              <w:rPr>
                <w:sz w:val="22"/>
                <w:szCs w:val="22"/>
              </w:rPr>
            </w:pPr>
            <w:r w:rsidRPr="00104DE4">
              <w:rPr>
                <w:sz w:val="22"/>
                <w:szCs w:val="22"/>
              </w:rPr>
              <w:t>Serves fewer than 498,000 subscribers, either directly or through affiliates</w:t>
            </w:r>
            <w:r>
              <w:rPr>
                <w:rStyle w:val="FootnoteReference"/>
                <w:sz w:val="22"/>
                <w:szCs w:val="22"/>
              </w:rPr>
              <w:footnoteReference w:id="384"/>
            </w:r>
            <w:r w:rsidRPr="00104DE4">
              <w:rPr>
                <w:sz w:val="22"/>
                <w:szCs w:val="22"/>
              </w:rPr>
              <w:t xml:space="preserve"> </w:t>
            </w:r>
            <w:r>
              <w:rPr>
                <w:rStyle w:val="FootnoteReference"/>
                <w:sz w:val="22"/>
                <w:szCs w:val="22"/>
              </w:rPr>
              <w:footnoteReference w:id="385"/>
            </w:r>
          </w:p>
        </w:tc>
        <w:tc>
          <w:tcPr>
            <w:tcW w:w="900" w:type="dxa"/>
            <w:noWrap/>
            <w:vAlign w:val="center"/>
          </w:tcPr>
          <w:p w:rsidR="005919ED" w:rsidRPr="00104DE4" w14:paraId="04546648" w14:textId="77777777">
            <w:pPr>
              <w:pStyle w:val="FootnoteText"/>
              <w:spacing w:after="0"/>
              <w:jc w:val="center"/>
              <w:rPr>
                <w:sz w:val="22"/>
                <w:szCs w:val="22"/>
              </w:rPr>
            </w:pPr>
            <w:r w:rsidRPr="009501BF">
              <w:rPr>
                <w:iCs/>
                <w:snapToGrid w:val="0"/>
                <w:sz w:val="22"/>
                <w:szCs w:val="22"/>
              </w:rPr>
              <w:t>530</w:t>
            </w:r>
            <w:r>
              <w:rPr>
                <w:rStyle w:val="FootnoteReference"/>
                <w:sz w:val="22"/>
                <w:szCs w:val="22"/>
              </w:rPr>
              <w:footnoteReference w:id="386"/>
            </w:r>
          </w:p>
        </w:tc>
        <w:tc>
          <w:tcPr>
            <w:tcW w:w="990" w:type="dxa"/>
            <w:vAlign w:val="center"/>
          </w:tcPr>
          <w:p w:rsidR="005919ED" w:rsidRPr="00104DE4" w14:paraId="34E49A65" w14:textId="77777777">
            <w:pPr>
              <w:pStyle w:val="FootnoteText"/>
              <w:spacing w:after="0"/>
              <w:jc w:val="center"/>
              <w:rPr>
                <w:sz w:val="22"/>
                <w:szCs w:val="22"/>
              </w:rPr>
            </w:pPr>
            <w:r w:rsidRPr="009501BF">
              <w:rPr>
                <w:iCs/>
                <w:snapToGrid w:val="0"/>
                <w:sz w:val="22"/>
                <w:szCs w:val="22"/>
              </w:rPr>
              <w:t>524</w:t>
            </w:r>
            <w:r>
              <w:rPr>
                <w:rStyle w:val="FootnoteReference"/>
                <w:sz w:val="22"/>
                <w:szCs w:val="22"/>
              </w:rPr>
              <w:footnoteReference w:id="387"/>
            </w:r>
          </w:p>
        </w:tc>
        <w:tc>
          <w:tcPr>
            <w:tcW w:w="1080" w:type="dxa"/>
            <w:noWrap/>
            <w:vAlign w:val="center"/>
          </w:tcPr>
          <w:p w:rsidR="005919ED" w:rsidRPr="00104DE4" w14:paraId="4103DE0C" w14:textId="77777777">
            <w:pPr>
              <w:pStyle w:val="FootnoteText"/>
              <w:spacing w:after="0"/>
              <w:jc w:val="center"/>
              <w:rPr>
                <w:sz w:val="22"/>
                <w:szCs w:val="22"/>
              </w:rPr>
            </w:pPr>
            <w:r w:rsidRPr="00104DE4">
              <w:rPr>
                <w:sz w:val="22"/>
                <w:szCs w:val="22"/>
              </w:rPr>
              <w:t>98.87%</w:t>
            </w:r>
          </w:p>
        </w:tc>
      </w:tr>
    </w:tbl>
    <w:p w:rsidR="005919ED" w:rsidRPr="00104DE4" w:rsidP="005919ED" w14:paraId="23FA3DB6" w14:textId="77777777">
      <w:pPr>
        <w:rPr>
          <w:szCs w:val="22"/>
        </w:rPr>
      </w:pPr>
    </w:p>
    <w:p w:rsidR="005919ED" w:rsidRPr="00104DE4" w:rsidP="00770912" w14:paraId="521E37A6" w14:textId="77777777">
      <w:pPr>
        <w:pStyle w:val="Heading2"/>
      </w:pPr>
      <w:bookmarkStart w:id="241" w:name="_Toc474532764"/>
      <w:bookmarkStart w:id="242" w:name="_Toc474534430"/>
      <w:bookmarkStart w:id="243" w:name="_Toc474752057"/>
      <w:bookmarkStart w:id="244" w:name="_Toc474947297"/>
      <w:bookmarkStart w:id="245" w:name="_Toc475028097"/>
      <w:bookmarkStart w:id="246" w:name="_Toc475537260"/>
      <w:bookmarkStart w:id="247" w:name="_Toc475899460"/>
      <w:bookmarkStart w:id="248" w:name="_Toc477805792"/>
      <w:bookmarkStart w:id="249" w:name="_Toc477954226"/>
      <w:bookmarkEnd w:id="240"/>
      <w:r w:rsidRPr="00104DE4">
        <w:t xml:space="preserve">Description of Economic Impact and Projected Reporting, Recordkeeping, and Other Compliance Requirements </w:t>
      </w:r>
      <w:bookmarkStart w:id="250" w:name="_Hlk60678243"/>
      <w:r w:rsidRPr="00104DE4">
        <w:t>for Small Entities</w:t>
      </w:r>
      <w:bookmarkEnd w:id="241"/>
      <w:bookmarkEnd w:id="242"/>
      <w:bookmarkEnd w:id="243"/>
      <w:bookmarkEnd w:id="244"/>
      <w:bookmarkEnd w:id="245"/>
      <w:bookmarkEnd w:id="246"/>
      <w:bookmarkEnd w:id="247"/>
      <w:bookmarkEnd w:id="248"/>
      <w:bookmarkEnd w:id="249"/>
      <w:r w:rsidRPr="00104DE4">
        <w:t xml:space="preserve"> </w:t>
      </w:r>
      <w:bookmarkEnd w:id="250"/>
    </w:p>
    <w:p w:rsidR="005919ED" w:rsidP="005919ED" w14:paraId="6C49AE8C" w14:textId="77777777">
      <w:pPr>
        <w:pStyle w:val="ParaNum"/>
      </w:pPr>
      <w:r w:rsidRPr="00104DE4">
        <w:t xml:space="preserve">The RFA directs agencies to describe the economic impact of proposed rules on small entities, as well as projected reporting, recordkeeping, and other compliance requirements, including an estimate of the classes of small entities </w:t>
      </w:r>
      <w:r>
        <w:t>that</w:t>
      </w:r>
      <w:r w:rsidRPr="00104DE4">
        <w:t xml:space="preserve"> will be subject to the requirements and the type of professional skills necessary for preparation of the report or record.</w:t>
      </w:r>
      <w:r>
        <w:rPr>
          <w:rStyle w:val="FootnoteReference"/>
        </w:rPr>
        <w:footnoteReference w:id="388"/>
      </w:r>
      <w:r w:rsidRPr="00104DE4">
        <w:t xml:space="preserve">  </w:t>
      </w:r>
    </w:p>
    <w:p w:rsidR="005919ED" w:rsidRPr="00F540BD" w:rsidP="005919ED" w14:paraId="61BA297E" w14:textId="77777777">
      <w:pPr>
        <w:pStyle w:val="ParaNum"/>
      </w:pPr>
      <w:bookmarkStart w:id="251" w:name="_Toc474532765"/>
      <w:bookmarkStart w:id="252" w:name="_Toc474534431"/>
      <w:bookmarkStart w:id="253" w:name="_Toc474752058"/>
      <w:bookmarkStart w:id="254" w:name="_Toc474947298"/>
      <w:bookmarkStart w:id="255" w:name="_Toc475028098"/>
      <w:bookmarkStart w:id="256" w:name="_Toc475537261"/>
      <w:bookmarkStart w:id="257" w:name="_Toc475899461"/>
      <w:bookmarkStart w:id="258" w:name="_Toc477805793"/>
      <w:bookmarkStart w:id="259" w:name="_Toc477954227"/>
      <w:r>
        <w:t xml:space="preserve">In the </w:t>
      </w:r>
      <w:r>
        <w:rPr>
          <w:i/>
          <w:iCs/>
        </w:rPr>
        <w:t>FNPRM</w:t>
      </w:r>
      <w:r>
        <w:t xml:space="preserve">, the Commission proposes and seeks comment on rules that, if adopted, would affect all voice service providers seeking to obtain or maintain a filing in the RMD, including those that may be small entities.  Specifically, we seek comment on whether we need to further clarify which entities qualify as </w:t>
      </w:r>
      <w:r w:rsidRPr="00351CB2">
        <w:t>voice service provider</w:t>
      </w:r>
      <w:r>
        <w:t>s</w:t>
      </w:r>
      <w:r w:rsidRPr="00351CB2">
        <w:t xml:space="preserve"> </w:t>
      </w:r>
      <w:r>
        <w:t>and therefore must file in the RMD.</w:t>
      </w:r>
      <w:r>
        <w:rPr>
          <w:rStyle w:val="FootnoteReference"/>
        </w:rPr>
        <w:footnoteReference w:id="389"/>
      </w:r>
      <w:r>
        <w:t xml:space="preserve">  We propose and seek comment on enhancements to the information required in RMD filings, including additional certifications,</w:t>
      </w:r>
      <w:r>
        <w:rPr>
          <w:rStyle w:val="FootnoteReference"/>
        </w:rPr>
        <w:footnoteReference w:id="390"/>
      </w:r>
      <w:r>
        <w:t xml:space="preserve"> more detailed ownership and affiliate disclosures, documentation regarding third-party service arrangements, enhanced robocall mitigation plan content, and more granular information about provider operations, numbering access, and STIR/SHAKEN implementation status.</w:t>
      </w:r>
      <w:r>
        <w:rPr>
          <w:rStyle w:val="FootnoteReference"/>
        </w:rPr>
        <w:footnoteReference w:id="391"/>
      </w:r>
      <w:r>
        <w:t xml:space="preserve">  We seek comment on audit procedures and related burdens specific to small entities,</w:t>
      </w:r>
      <w:r>
        <w:rPr>
          <w:rStyle w:val="FootnoteReference"/>
        </w:rPr>
        <w:footnoteReference w:id="392"/>
      </w:r>
      <w:r>
        <w:t xml:space="preserve"> expanding filing update requirements,</w:t>
      </w:r>
      <w:r>
        <w:rPr>
          <w:rStyle w:val="FootnoteReference"/>
        </w:rPr>
        <w:footnoteReference w:id="393"/>
      </w:r>
      <w:r>
        <w:t xml:space="preserve"> potential participation bars,</w:t>
      </w:r>
      <w:r>
        <w:rPr>
          <w:rStyle w:val="FootnoteReference"/>
        </w:rPr>
        <w:footnoteReference w:id="394"/>
      </w:r>
      <w:r>
        <w:t xml:space="preserve"> and new obligations related to traceback, data verification, and call acceptance by downstream providers.</w:t>
      </w:r>
      <w:r>
        <w:rPr>
          <w:rStyle w:val="FootnoteReference"/>
        </w:rPr>
        <w:footnoteReference w:id="395"/>
      </w:r>
      <w:r>
        <w:t xml:space="preserve">  If adopted, these proposals could require small entities to devote additional resources to compliance, including the possible need to engage legal, technical, or compliance professionals, invest in new systems, or modify existing operational processes.  However, </w:t>
      </w:r>
      <w:r w:rsidRPr="00280776">
        <w:t>good</w:t>
      </w:r>
      <w:r w:rsidRPr="00280776">
        <w:noBreakHyphen/>
        <w:t xml:space="preserve">faith providers </w:t>
      </w:r>
      <w:r>
        <w:t>likely</w:t>
      </w:r>
      <w:r w:rsidRPr="00280776">
        <w:t xml:space="preserve"> already maintain much of the </w:t>
      </w:r>
      <w:r w:rsidRPr="00280776">
        <w:t>newly-</w:t>
      </w:r>
      <w:r w:rsidRPr="005524B8">
        <w:t>requir</w:t>
      </w:r>
      <w:r w:rsidRPr="00280776">
        <w:t>ed</w:t>
      </w:r>
      <w:r w:rsidRPr="00280776">
        <w:t xml:space="preserve"> information in the normal course of business, and therefore </w:t>
      </w:r>
      <w:r>
        <w:t xml:space="preserve">we do not expect that the proposed rules, if adopted, </w:t>
      </w:r>
      <w:r w:rsidRPr="00280776">
        <w:t xml:space="preserve">would </w:t>
      </w:r>
      <w:r w:rsidRPr="005524B8">
        <w:t>requir</w:t>
      </w:r>
      <w:r w:rsidRPr="00280776">
        <w:t xml:space="preserve">e </w:t>
      </w:r>
      <w:r>
        <w:t xml:space="preserve">small entities to spend </w:t>
      </w:r>
      <w:r w:rsidRPr="00280776">
        <w:t>significant</w:t>
      </w:r>
      <w:r>
        <w:t>ly</w:t>
      </w:r>
      <w:r w:rsidRPr="00280776">
        <w:t xml:space="preserve"> more time </w:t>
      </w:r>
      <w:r w:rsidRPr="005524B8">
        <w:t>submit</w:t>
      </w:r>
      <w:r>
        <w:t>ting</w:t>
      </w:r>
      <w:r w:rsidRPr="00280776">
        <w:t xml:space="preserve"> this information to the RMD</w:t>
      </w:r>
      <w:r>
        <w:t>.  Additionally, several proposals—such as simplified filing formats, clearer definitions, and consolidation of certain disclosures—may reduce burdens by increasing predictability and reducing confusion for small entities.</w:t>
      </w:r>
      <w:r>
        <w:rPr>
          <w:rStyle w:val="FootnoteReference"/>
        </w:rPr>
        <w:footnoteReference w:id="396"/>
      </w:r>
      <w:r>
        <w:t xml:space="preserve">  We anticipate that the comments we receive will assist the Commission in identifying and evaluating the extent of these potential burdens on small entities, including compliance costs such as whether small entities will have to hire professionals, and other burdens that may result from the inquiries we make in the </w:t>
      </w:r>
      <w:r>
        <w:rPr>
          <w:i/>
          <w:iCs/>
        </w:rPr>
        <w:t>FNPRM</w:t>
      </w:r>
      <w:r>
        <w:t xml:space="preserve">. </w:t>
      </w:r>
    </w:p>
    <w:p w:rsidR="005919ED" w:rsidRPr="00104DE4" w:rsidP="00770912" w14:paraId="3DD6B1B2" w14:textId="77777777">
      <w:pPr>
        <w:pStyle w:val="Heading2"/>
      </w:pPr>
      <w:r w:rsidRPr="00104DE4">
        <w:t xml:space="preserve">Discussion of Significant Alternatives Considered That Minimize the Significant Economic Impact on Small Entities </w:t>
      </w:r>
      <w:bookmarkEnd w:id="251"/>
      <w:bookmarkEnd w:id="252"/>
      <w:bookmarkEnd w:id="253"/>
      <w:bookmarkEnd w:id="254"/>
      <w:bookmarkEnd w:id="255"/>
      <w:bookmarkEnd w:id="256"/>
      <w:bookmarkEnd w:id="257"/>
      <w:bookmarkEnd w:id="258"/>
      <w:bookmarkEnd w:id="259"/>
    </w:p>
    <w:p w:rsidR="005919ED" w:rsidRPr="00104DE4" w:rsidP="005919ED" w14:paraId="706BDB38" w14:textId="77777777">
      <w:pPr>
        <w:pStyle w:val="ParaNum"/>
      </w:pPr>
      <w:r w:rsidRPr="00104DE4">
        <w:t>The RFA directs agencies to provide a description of any significant alternatives to the proposed rules that would accomplish the stated objectives of applicable statutes, and minimize any significant economic impact on small entities.</w:t>
      </w:r>
      <w:r>
        <w:rPr>
          <w:rStyle w:val="FootnoteReference"/>
        </w:rPr>
        <w:footnoteReference w:id="397"/>
      </w:r>
      <w:r w:rsidRPr="00104DE4">
        <w:t xml:space="preserve">  The discussion is required to include alternatives such as: “(1) the establishment of differing compliance or reporting requirements or timetables that take into account the resources available to small entities; (2) the clarification, consolidation, or simplification of compliance and reporting requirements under the rule for such small entities; (3) the use of performance rather than design standards; and (4) an exemption from coverage of the rule, or any part thereof, for such small entities.”</w:t>
      </w:r>
      <w:r>
        <w:rPr>
          <w:rStyle w:val="FootnoteReference"/>
        </w:rPr>
        <w:footnoteReference w:id="398"/>
      </w:r>
      <w:r w:rsidRPr="00104DE4">
        <w:t xml:space="preserve"> </w:t>
      </w:r>
    </w:p>
    <w:p w:rsidR="005919ED" w:rsidP="005919ED" w14:paraId="74C5E036" w14:textId="77777777">
      <w:pPr>
        <w:pStyle w:val="ParaNum"/>
      </w:pPr>
      <w:bookmarkStart w:id="261" w:name="_Toc474532766"/>
      <w:bookmarkStart w:id="262" w:name="_Toc474534432"/>
      <w:bookmarkStart w:id="263" w:name="_Toc474752059"/>
      <w:bookmarkStart w:id="264" w:name="_Toc474947299"/>
      <w:bookmarkStart w:id="265" w:name="_Toc475028099"/>
      <w:bookmarkStart w:id="266" w:name="_Toc475537262"/>
      <w:bookmarkStart w:id="267" w:name="_Toc475899462"/>
      <w:bookmarkStart w:id="268" w:name="_Toc477805794"/>
      <w:bookmarkStart w:id="269" w:name="_Toc477954228"/>
      <w:r>
        <w:t xml:space="preserve"> In the </w:t>
      </w:r>
      <w:r>
        <w:rPr>
          <w:i/>
          <w:iCs/>
        </w:rPr>
        <w:t>FNPRM</w:t>
      </w:r>
      <w:r>
        <w:t xml:space="preserve">, the Commission seeks to advance its objective of improving the effectiveness of the RMD while also minimizing unnecessary burdens on small entities.  We seek </w:t>
      </w:r>
      <w:r>
        <w:t>comment</w:t>
      </w:r>
      <w:r>
        <w:t xml:space="preserve"> on a range of proposals and possible alternatives that may impact small entities, including approaches specifically intended to achieve our goals to mitigate disruption to end users and consumers.  For example, we seek comment on the use of third parties to submit RMD filings to reduce administrative costs for small providers that may lack significant in-house regulatory staff.</w:t>
      </w:r>
      <w:r>
        <w:rPr>
          <w:rStyle w:val="FootnoteReference"/>
        </w:rPr>
        <w:footnoteReference w:id="399"/>
      </w:r>
      <w:r>
        <w:t xml:space="preserve">  </w:t>
      </w:r>
      <w:r w:rsidRPr="00F540BD">
        <w:t>We propose to specify the frequency with which providers must check the RMD to ensure compliance with new obligations and seek comment on whether that frequency should vary based on if the provider is a small or rural provider, and the associated costs for compliance.</w:t>
      </w:r>
      <w:r>
        <w:rPr>
          <w:rStyle w:val="FootnoteReference"/>
          <w:kern w:val="0"/>
        </w:rPr>
        <w:footnoteReference w:id="400"/>
      </w:r>
      <w:r w:rsidRPr="00F540BD">
        <w:t xml:space="preserve">  </w:t>
      </w:r>
      <w:r>
        <w:t>We also seek comment on whether any proposed enhancements to filing requirements could be tailored or streamlined for smaller providers, or whether certain information should be collected only when necessary for risk-based review.</w:t>
      </w:r>
      <w:r>
        <w:rPr>
          <w:rStyle w:val="FootnoteReference"/>
        </w:rPr>
        <w:footnoteReference w:id="401"/>
      </w:r>
      <w:r>
        <w:t xml:space="preserve">  We also carefully consider the economic impact of these and other proposals on small entities and invite comment on potential approaches that would minimize burdens while still protecting consumers and the integrity of the U.S. voice network.  </w:t>
      </w:r>
    </w:p>
    <w:p w:rsidR="005919ED" w:rsidRPr="00104DE4" w:rsidP="005919ED" w14:paraId="663774F8" w14:textId="77777777">
      <w:pPr>
        <w:pStyle w:val="ParaNum"/>
      </w:pPr>
      <w:r>
        <w:t>As we evaluate these proposals, the Commission will fully consider the economic impact on small entities, including costs and benefits identified in the record, and we expect that comments will provide additional insight into the potential compliance challenges these entities may face.  We recognize that small providers may face unique challenges in meeting enhanced robocall mitigation, authentication, reporting, and filing obligations, and therefore we seek comment on the costs that could result from the proposed requirements and on alternative approaches that would achieve similar benefits at lower costs.  The Commission’s evaluation of the comments filed in this proceeding will shape the final conclusions it reaches, the final alternatives it considers, and the actions it ultimately takes to minimize any significant economic impact that may occur on small entities from the final rules.</w:t>
      </w:r>
    </w:p>
    <w:p w:rsidR="005919ED" w:rsidRPr="00104DE4" w:rsidP="00770912" w14:paraId="788F49F2" w14:textId="77777777">
      <w:pPr>
        <w:pStyle w:val="Heading2"/>
      </w:pPr>
      <w:r w:rsidRPr="00104DE4">
        <w:t>Federal Rules that May Duplicate, Overlap, or Conflict with the Proposed Rules</w:t>
      </w:r>
      <w:bookmarkEnd w:id="261"/>
      <w:bookmarkEnd w:id="262"/>
      <w:bookmarkEnd w:id="263"/>
      <w:bookmarkEnd w:id="264"/>
      <w:bookmarkEnd w:id="265"/>
      <w:bookmarkEnd w:id="266"/>
      <w:bookmarkEnd w:id="267"/>
      <w:bookmarkEnd w:id="268"/>
      <w:bookmarkEnd w:id="269"/>
    </w:p>
    <w:p w:rsidR="00BA17E3" w:rsidP="005919ED" w14:paraId="679D3DD8" w14:textId="77777777">
      <w:pPr>
        <w:pStyle w:val="ParaNum"/>
      </w:pPr>
      <w:r w:rsidRPr="00104DE4">
        <w:t>None.</w:t>
      </w:r>
    </w:p>
    <w:p w:rsidR="008C4FBA" w:rsidP="00726DC6" w14:paraId="5964EC0B" w14:textId="77777777">
      <w:pPr>
        <w:pStyle w:val="ParaNum"/>
        <w:numPr>
          <w:ilvl w:val="0"/>
          <w:numId w:val="0"/>
        </w:numPr>
      </w:pPr>
    </w:p>
    <w:p w:rsidR="00726DC6" w:rsidP="00726DC6" w14:paraId="125CC454" w14:textId="7ACDD3FE">
      <w:pPr>
        <w:pStyle w:val="ParaNum"/>
        <w:numPr>
          <w:ilvl w:val="0"/>
          <w:numId w:val="0"/>
        </w:numPr>
        <w:sectPr w:rsidSect="005919ED">
          <w:footnotePr>
            <w:numRestart w:val="eachSect"/>
          </w:footnotePr>
          <w:endnotePr>
            <w:numFmt w:val="decimal"/>
          </w:endnotePr>
          <w:pgSz w:w="12240" w:h="15840"/>
          <w:pgMar w:top="1440" w:right="1440" w:bottom="720" w:left="1440" w:header="720" w:footer="720" w:gutter="0"/>
          <w:cols w:space="720"/>
          <w:noEndnote/>
          <w:docGrid w:linePitch="299"/>
        </w:sectPr>
      </w:pPr>
    </w:p>
    <w:p w:rsidR="00726DC6" w:rsidRPr="00726DC6" w:rsidP="00726DC6" w14:paraId="4ABE0004" w14:textId="77777777">
      <w:pPr>
        <w:jc w:val="center"/>
        <w:rPr>
          <w:b/>
          <w:bCs/>
          <w:color w:val="000000"/>
          <w:szCs w:val="22"/>
        </w:rPr>
      </w:pPr>
      <w:r w:rsidRPr="00726DC6">
        <w:rPr>
          <w:b/>
          <w:bCs/>
          <w:color w:val="000000"/>
          <w:szCs w:val="22"/>
        </w:rPr>
        <w:t>STATEMENT OF</w:t>
      </w:r>
    </w:p>
    <w:p w:rsidR="00726DC6" w:rsidRPr="00726DC6" w:rsidP="00726DC6" w14:paraId="76137A7B" w14:textId="77777777">
      <w:pPr>
        <w:jc w:val="center"/>
        <w:rPr>
          <w:b/>
          <w:bCs/>
          <w:color w:val="000000"/>
          <w:szCs w:val="22"/>
        </w:rPr>
      </w:pPr>
      <w:r w:rsidRPr="00726DC6">
        <w:rPr>
          <w:b/>
          <w:bCs/>
          <w:color w:val="000000"/>
          <w:szCs w:val="22"/>
        </w:rPr>
        <w:t>CHAIRMAN BRENDAN CARR</w:t>
      </w:r>
    </w:p>
    <w:p w:rsidR="00726DC6" w:rsidRPr="00726DC6" w:rsidP="00726DC6" w14:paraId="644EC980" w14:textId="77777777">
      <w:pPr>
        <w:jc w:val="center"/>
        <w:rPr>
          <w:b/>
          <w:bCs/>
          <w:color w:val="000000"/>
        </w:rPr>
      </w:pPr>
    </w:p>
    <w:p w:rsidR="00726DC6" w:rsidRPr="0079285F" w:rsidP="00726DC6" w14:paraId="3D95276A" w14:textId="77777777">
      <w:pPr>
        <w:ind w:left="720" w:hanging="720"/>
        <w:rPr>
          <w:szCs w:val="22"/>
        </w:rPr>
      </w:pPr>
      <w:r w:rsidRPr="0079285F">
        <w:rPr>
          <w:szCs w:val="22"/>
        </w:rPr>
        <w:t>Re</w:t>
      </w:r>
      <w:r w:rsidRPr="0079285F">
        <w:rPr>
          <w:szCs w:val="22"/>
        </w:rPr>
        <w:t xml:space="preserve">: </w:t>
      </w:r>
      <w:r>
        <w:rPr>
          <w:szCs w:val="22"/>
        </w:rPr>
        <w:tab/>
      </w:r>
      <w:r w:rsidRPr="001168C5">
        <w:rPr>
          <w:i/>
          <w:iCs/>
          <w:szCs w:val="22"/>
        </w:rPr>
        <w:t>Improving</w:t>
      </w:r>
      <w:r w:rsidRPr="001168C5">
        <w:rPr>
          <w:i/>
          <w:iCs/>
          <w:szCs w:val="22"/>
        </w:rPr>
        <w:t xml:space="preserve"> the Effectiveness of the Robocall Mitigation Database; Call Authentication Trust Anchor; Advanced Methods to Target and Eliminate Unlawful Robocalls</w:t>
      </w:r>
      <w:r w:rsidRPr="0079285F">
        <w:rPr>
          <w:szCs w:val="22"/>
        </w:rPr>
        <w:t>,</w:t>
      </w:r>
      <w:r>
        <w:rPr>
          <w:szCs w:val="22"/>
        </w:rPr>
        <w:t xml:space="preserve"> </w:t>
      </w:r>
      <w:r w:rsidRPr="001168C5">
        <w:rPr>
          <w:szCs w:val="22"/>
        </w:rPr>
        <w:t>WC Docket Nos. 24-213 and 17-97</w:t>
      </w:r>
      <w:r>
        <w:rPr>
          <w:szCs w:val="22"/>
        </w:rPr>
        <w:t>; CG</w:t>
      </w:r>
      <w:r w:rsidRPr="001168C5">
        <w:rPr>
          <w:szCs w:val="22"/>
        </w:rPr>
        <w:t xml:space="preserve"> Docket No. 17-59</w:t>
      </w:r>
      <w:r>
        <w:rPr>
          <w:szCs w:val="22"/>
        </w:rPr>
        <w:t xml:space="preserve">, </w:t>
      </w:r>
      <w:r w:rsidRPr="00326EB0">
        <w:rPr>
          <w:szCs w:val="22"/>
        </w:rPr>
        <w:t xml:space="preserve">Further Notice of Proposed Rulemaking </w:t>
      </w:r>
      <w:r w:rsidRPr="0079285F">
        <w:rPr>
          <w:szCs w:val="22"/>
        </w:rPr>
        <w:t>(Ju</w:t>
      </w:r>
      <w:r>
        <w:rPr>
          <w:szCs w:val="22"/>
        </w:rPr>
        <w:t>ly 22, 2026).</w:t>
      </w:r>
    </w:p>
    <w:p w:rsidR="00726DC6" w:rsidRPr="00726DC6" w:rsidP="00726DC6" w14:paraId="1E15E746" w14:textId="77777777">
      <w:pPr>
        <w:jc w:val="center"/>
        <w:rPr>
          <w:b/>
          <w:bCs/>
          <w:color w:val="000000"/>
          <w:szCs w:val="22"/>
        </w:rPr>
      </w:pPr>
    </w:p>
    <w:p w:rsidR="00DB71E0" w:rsidP="00DB71E0" w14:paraId="49563322" w14:textId="77777777">
      <w:pPr>
        <w:spacing w:after="120"/>
        <w:ind w:firstLine="720"/>
        <w:rPr>
          <w:color w:val="000000"/>
          <w:szCs w:val="22"/>
        </w:rPr>
      </w:pPr>
      <w:r w:rsidRPr="00726DC6">
        <w:rPr>
          <w:color w:val="000000"/>
          <w:szCs w:val="22"/>
        </w:rPr>
        <w:t>Earlier this week, I joined Secretary Bessent, Federal Reserve Board Vice Chair Bowman and FTC Chairman Ferguson for the inaugural roundtable meeting of the Payment Fraud and Scams Working Group.  The working group brought together leaders from social media and telecommunications companies to discuss ways that the federal government can continue to detect and prevent payment fraud and scams.  An important part of that conversation is how we can continue to fight illegal robocalls.</w:t>
      </w:r>
    </w:p>
    <w:p w:rsidR="00726DC6" w:rsidRPr="00726DC6" w:rsidP="00DB71E0" w14:paraId="694A25FD" w14:textId="54BE8009">
      <w:pPr>
        <w:spacing w:after="120"/>
        <w:ind w:firstLine="720"/>
        <w:rPr>
          <w:color w:val="000000"/>
          <w:szCs w:val="22"/>
        </w:rPr>
      </w:pPr>
      <w:r w:rsidRPr="00726DC6">
        <w:rPr>
          <w:color w:val="000000"/>
          <w:szCs w:val="22"/>
        </w:rPr>
        <w:t>Fighting illegal robocalls remains the FCC’s top consumer protection priority.  Since I became Chairman, we have been taking a new approach to combatting such calls by tackling the problem at every point in the call path.  That means holding every provider involved in carrying a call accountable, from origination to termination.  Ultimately, every provider touching a call must know who it is doing business with and be held accountable for the traffic it is carrying and ultimately delivering to Americans.</w:t>
      </w:r>
    </w:p>
    <w:p w:rsidR="00726DC6" w:rsidRPr="00726DC6" w:rsidP="00DB71E0" w14:paraId="0A172FC9" w14:textId="426972F3">
      <w:pPr>
        <w:spacing w:after="120"/>
        <w:ind w:firstLine="720"/>
        <w:rPr>
          <w:color w:val="000000"/>
          <w:szCs w:val="22"/>
        </w:rPr>
      </w:pPr>
      <w:r w:rsidRPr="00726DC6">
        <w:rPr>
          <w:color w:val="000000"/>
          <w:szCs w:val="22"/>
        </w:rPr>
        <w:t xml:space="preserve">We have kicked off proceedings that would do so in different ways, including through strengthening the FCC’s Know Your Customer and Know Your Upstream Provider obligations, tightening access to numbering resources, financially deterring illegal robocalls that originate abroad, and improving call authentication standards.  We have also continued to pursue aggressive enforcement action against bad actors, including against providers that have violated the rules governing the Robocall Mitigation Database or RMD.  Last summer, we removed nearly 1,400 providers because of deficiencies in their filings, cutting off their ability to pass bad traffic along U.S. networks. </w:t>
      </w:r>
    </w:p>
    <w:p w:rsidR="00726DC6" w:rsidRPr="00726DC6" w:rsidP="00DB71E0" w14:paraId="71987599" w14:textId="71DCF2BB">
      <w:pPr>
        <w:spacing w:after="120"/>
        <w:ind w:firstLine="720"/>
        <w:rPr>
          <w:color w:val="000000"/>
          <w:szCs w:val="22"/>
        </w:rPr>
      </w:pPr>
      <w:r w:rsidRPr="00726DC6">
        <w:rPr>
          <w:color w:val="000000"/>
          <w:szCs w:val="22"/>
        </w:rPr>
        <w:t xml:space="preserve">Today’s item builds on that work by strengthening the RMD in several ways.  For example, we are seeking </w:t>
      </w:r>
      <w:r w:rsidRPr="00726DC6">
        <w:rPr>
          <w:color w:val="000000"/>
          <w:szCs w:val="22"/>
        </w:rPr>
        <w:t>comment</w:t>
      </w:r>
      <w:r w:rsidRPr="00726DC6">
        <w:rPr>
          <w:color w:val="000000"/>
          <w:szCs w:val="22"/>
        </w:rPr>
        <w:t xml:space="preserve"> on raising the bar for what types of information providers need to submit to the database, including details about their mitigation practices or relevant enforcement activity.  We are also seeking </w:t>
      </w:r>
      <w:r w:rsidRPr="00726DC6">
        <w:rPr>
          <w:color w:val="000000"/>
          <w:szCs w:val="22"/>
        </w:rPr>
        <w:t>comment</w:t>
      </w:r>
      <w:r w:rsidRPr="00726DC6">
        <w:rPr>
          <w:color w:val="000000"/>
          <w:szCs w:val="22"/>
        </w:rPr>
        <w:t xml:space="preserve"> on how we can remove bad actors from the database in a more streamlined way.  Through these changes, the agency would make it harder for bad actors to hide behind layers of intermediaries and, in turn, make it easier to identify and stop unlawful traffic before it reaches consumers.</w:t>
      </w:r>
    </w:p>
    <w:p w:rsidR="002B7830" w:rsidP="00DB71E0" w14:paraId="0BB4EF09" w14:textId="77777777">
      <w:pPr>
        <w:spacing w:after="120"/>
        <w:ind w:firstLine="720"/>
        <w:rPr>
          <w:color w:val="000000"/>
          <w:szCs w:val="22"/>
        </w:rPr>
        <w:sectPr w:rsidSect="00726DC6">
          <w:headerReference w:type="default" r:id="rId18"/>
          <w:pgSz w:w="12240" w:h="15840"/>
          <w:pgMar w:top="1440" w:right="1440" w:bottom="1440" w:left="1440" w:header="720" w:footer="720" w:gutter="0"/>
          <w:cols w:space="720"/>
          <w:docGrid w:linePitch="360"/>
        </w:sectPr>
      </w:pPr>
      <w:r w:rsidRPr="00726DC6">
        <w:rPr>
          <w:color w:val="000000"/>
          <w:szCs w:val="22"/>
        </w:rPr>
        <w:t>Thank you to staff for their great work on this item, including Joseph Calascione, Cara Voth, Jodie May, Chris Laughlin, Merry Wulff, John Menges, Daniel Stepanicich, John B. Adams, Derek Yeo, and Weiren Wang.</w:t>
      </w:r>
    </w:p>
    <w:p w:rsidR="0024265C" w:rsidRPr="005577AD" w:rsidP="0024265C" w14:paraId="257F604E" w14:textId="77777777">
      <w:pPr>
        <w:jc w:val="center"/>
        <w:rPr>
          <w:b/>
          <w:bCs/>
          <w:caps/>
          <w:szCs w:val="22"/>
        </w:rPr>
      </w:pPr>
      <w:r w:rsidRPr="005577AD">
        <w:rPr>
          <w:b/>
          <w:bCs/>
          <w:caps/>
          <w:szCs w:val="22"/>
        </w:rPr>
        <w:t>Statement of</w:t>
      </w:r>
    </w:p>
    <w:p w:rsidR="0024265C" w:rsidRPr="005577AD" w:rsidP="0024265C" w14:paraId="229E6203" w14:textId="77777777">
      <w:pPr>
        <w:jc w:val="center"/>
        <w:rPr>
          <w:b/>
          <w:bCs/>
          <w:caps/>
          <w:szCs w:val="22"/>
        </w:rPr>
      </w:pPr>
      <w:r>
        <w:rPr>
          <w:b/>
          <w:bCs/>
          <w:caps/>
          <w:szCs w:val="22"/>
        </w:rPr>
        <w:t>Commissioner Olivia Trusty</w:t>
      </w:r>
    </w:p>
    <w:p w:rsidR="0024265C" w:rsidRPr="005577AD" w:rsidP="0024265C" w14:paraId="3122C01E" w14:textId="77777777">
      <w:pPr>
        <w:jc w:val="center"/>
        <w:rPr>
          <w:b/>
          <w:bCs/>
          <w:caps/>
          <w:szCs w:val="22"/>
        </w:rPr>
      </w:pPr>
    </w:p>
    <w:p w:rsidR="0024265C" w:rsidRPr="005577AD" w:rsidP="0024265C" w14:paraId="1D310D20" w14:textId="2D7D0A81">
      <w:pPr>
        <w:ind w:left="720" w:hanging="720"/>
        <w:rPr>
          <w:i/>
          <w:iCs/>
          <w:szCs w:val="22"/>
        </w:rPr>
      </w:pPr>
      <w:r w:rsidRPr="00DC3AAD">
        <w:rPr>
          <w:iCs/>
          <w:szCs w:val="22"/>
        </w:rPr>
        <w:t>Re</w:t>
      </w:r>
      <w:r w:rsidRPr="00DC3AAD">
        <w:rPr>
          <w:iCs/>
          <w:szCs w:val="22"/>
        </w:rPr>
        <w:t xml:space="preserve">: </w:t>
      </w:r>
      <w:r w:rsidRPr="00DC3AAD">
        <w:rPr>
          <w:iCs/>
          <w:szCs w:val="22"/>
        </w:rPr>
        <w:tab/>
      </w:r>
      <w:r w:rsidRPr="00DC3AAD">
        <w:rPr>
          <w:i/>
          <w:iCs/>
          <w:szCs w:val="22"/>
        </w:rPr>
        <w:t>Improving</w:t>
      </w:r>
      <w:r w:rsidRPr="00DC3AAD">
        <w:rPr>
          <w:i/>
          <w:iCs/>
          <w:szCs w:val="22"/>
        </w:rPr>
        <w:t xml:space="preserve"> the Effectiveness of the Robocall Mitigation Database, Call Authentication Trust Anchor, Advanced Methods to Target and Eliminate Unlawful Robocalls</w:t>
      </w:r>
      <w:r w:rsidRPr="00DC3AAD">
        <w:rPr>
          <w:iCs/>
          <w:szCs w:val="22"/>
        </w:rPr>
        <w:t>, WC Docket Nos. 24-213 and 17-97, CG Docket No. 17-59</w:t>
      </w:r>
      <w:r>
        <w:rPr>
          <w:iCs/>
          <w:szCs w:val="22"/>
        </w:rPr>
        <w:t>,</w:t>
      </w:r>
      <w:r w:rsidRPr="00DC3AAD">
        <w:rPr>
          <w:iCs/>
          <w:szCs w:val="22"/>
        </w:rPr>
        <w:t xml:space="preserve"> Further Notice of Proposed Rulemaking (July 22, 2026)</w:t>
      </w:r>
      <w:r w:rsidRPr="005577AD">
        <w:rPr>
          <w:iCs/>
          <w:szCs w:val="22"/>
        </w:rPr>
        <w:t>.</w:t>
      </w:r>
    </w:p>
    <w:p w:rsidR="0024265C" w:rsidRPr="005577AD" w:rsidP="0024265C" w14:paraId="7DD15060" w14:textId="77777777">
      <w:pPr>
        <w:ind w:firstLine="720"/>
        <w:rPr>
          <w:szCs w:val="22"/>
        </w:rPr>
      </w:pPr>
    </w:p>
    <w:p w:rsidR="00DB71E0" w:rsidP="00DB71E0" w14:paraId="4B7EB98E" w14:textId="77777777">
      <w:pPr>
        <w:spacing w:after="120"/>
        <w:ind w:firstLine="720"/>
        <w:rPr>
          <w:szCs w:val="22"/>
        </w:rPr>
      </w:pPr>
      <w:r w:rsidRPr="00BA30C5">
        <w:rPr>
          <w:szCs w:val="22"/>
        </w:rPr>
        <w:t xml:space="preserve">Thirty-five years ago this month, Congress introduced the Telephone Consumer Protection Act, which was later signed into law by President George H.W. Bush.  That landmark legislation established important </w:t>
      </w:r>
      <w:r w:rsidRPr="00BA30C5">
        <w:rPr>
          <w:szCs w:val="22"/>
        </w:rPr>
        <w:t>protections</w:t>
      </w:r>
      <w:r w:rsidRPr="00BA30C5">
        <w:rPr>
          <w:szCs w:val="22"/>
        </w:rPr>
        <w:t xml:space="preserve"> against unwanted and illegal calls.  But the communications landscape has changed dramatically over the past three and half decades.  As technology has evolved, so too have the tactics of scammers and other bad actors. At the Commission, we have a responsibility to modernize our tools to protect consumers from these exploits and preserve trust in our communications networks and the surrounding ecosystem.</w:t>
      </w:r>
    </w:p>
    <w:p w:rsidR="0024265C" w:rsidRPr="00BA30C5" w:rsidP="00DB71E0" w14:paraId="0408D004" w14:textId="76FFB990">
      <w:pPr>
        <w:spacing w:after="120"/>
        <w:ind w:firstLine="720"/>
        <w:rPr>
          <w:szCs w:val="22"/>
        </w:rPr>
      </w:pPr>
      <w:r w:rsidRPr="00BA30C5">
        <w:rPr>
          <w:szCs w:val="22"/>
        </w:rPr>
        <w:t xml:space="preserve">Today's Further Notice of Proposed Rulemaking builds on the Commission’s ongoing efforts to combat illegal robocalls by seeking </w:t>
      </w:r>
      <w:r w:rsidRPr="00BA30C5">
        <w:rPr>
          <w:szCs w:val="22"/>
        </w:rPr>
        <w:t>comment</w:t>
      </w:r>
      <w:r w:rsidRPr="00BA30C5">
        <w:rPr>
          <w:szCs w:val="22"/>
        </w:rPr>
        <w:t xml:space="preserve"> on ways to strengthen the Robocall Mitigation Database and improve our ability to identify, investigate, and remove non-compliant providers.  Effectively combating illegal robocalls and scam calls requires the Commission to have accurate information about providers, as well as reliable, modern tools to analyze that information and take appropriate remedial action when warranted to remove providers from the call path.</w:t>
      </w:r>
    </w:p>
    <w:p w:rsidR="0024265C" w:rsidRPr="00BA30C5" w:rsidP="0024265C" w14:paraId="6120E58B" w14:textId="77777777">
      <w:pPr>
        <w:spacing w:after="120"/>
        <w:ind w:firstLine="720"/>
        <w:rPr>
          <w:szCs w:val="22"/>
        </w:rPr>
      </w:pPr>
      <w:r w:rsidRPr="00BA30C5">
        <w:rPr>
          <w:szCs w:val="22"/>
        </w:rPr>
        <w:t>I look forward to considering the record developed in this proceeding along with other open rulemakings to identify the best set of solutions to strengthen the integrity of our communications networks while avoiding unnecessary burdens on legitimate voice service providers and consumers.</w:t>
      </w:r>
    </w:p>
    <w:p w:rsidR="0024265C" w:rsidRPr="005577AD" w:rsidP="0024265C" w14:paraId="4612F943" w14:textId="77777777">
      <w:pPr>
        <w:spacing w:after="120"/>
        <w:ind w:firstLine="720"/>
        <w:rPr>
          <w:szCs w:val="22"/>
        </w:rPr>
      </w:pPr>
      <w:r w:rsidRPr="00BA30C5">
        <w:rPr>
          <w:szCs w:val="22"/>
        </w:rPr>
        <w:t>Thank you to the Wireline Competition Bureau for their hard work on this important item</w:t>
      </w:r>
      <w:r>
        <w:rPr>
          <w:szCs w:val="22"/>
        </w:rPr>
        <w:t>.</w:t>
      </w:r>
    </w:p>
    <w:p w:rsidR="0024265C" w:rsidRPr="00A55B3E" w:rsidP="0024265C" w14:paraId="2C14D2C9" w14:textId="5868407C">
      <w:pPr>
        <w:widowControl/>
        <w:ind w:firstLine="720"/>
      </w:pPr>
    </w:p>
    <w:sectPr w:rsidSect="0024265C">
      <w:headerReference w:type="even" r:id="rId19"/>
      <w:headerReference w:type="default" r:id="rId20"/>
      <w:footerReference w:type="even" r:id="rId21"/>
      <w:footerReference w:type="default" r:id="rId22"/>
      <w:headerReference w:type="first" r:id="rId23"/>
      <w:footerReference w:type="first" r:id="rId24"/>
      <w:endnotePr>
        <w:numFmt w:val="decimal"/>
      </w:endnotePr>
      <w:pgSz w:w="12240" w:h="15840"/>
      <w:pgMar w:top="1440" w:right="1440" w:bottom="720" w:left="144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7B3366" w14:paraId="0E428E42" w14:textId="77777777">
      <w:pPr>
        <w:spacing w:line="20" w:lineRule="exact"/>
      </w:pPr>
    </w:p>
  </w:endnote>
  <w:endnote w:type="continuationSeparator" w:id="1">
    <w:p w:rsidR="007B3366" w14:paraId="1247DEAA" w14:textId="77777777">
      <w:r>
        <w:t xml:space="preserve"> </w:t>
      </w:r>
    </w:p>
  </w:endnote>
  <w:endnote w:type="continuationNotice" w:id="2">
    <w:p w:rsidR="007B3366" w14:paraId="2CE182E3"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763583E1"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7E114E9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0C282377"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44A713ED" w14:textId="77777777">
    <w:pPr>
      <w:pStyle w:val="Footer"/>
      <w:tabs>
        <w:tab w:val="clear" w:pos="864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919ED" w14:paraId="4BEBD91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4265C" w:rsidP="0055614C" w14:paraId="6A15848E" w14:textId="77777777">
    <w:pPr>
      <w:pStyle w:val="Footer"/>
      <w:framePr w:wrap="around" w:vAnchor="text" w:hAnchor="margin" w:xAlign="center" w:y="1"/>
    </w:pPr>
    <w:r>
      <w:fldChar w:fldCharType="begin"/>
    </w:r>
    <w:r>
      <w:instrText xml:space="preserve">PAGE  </w:instrText>
    </w:r>
    <w:r>
      <w:fldChar w:fldCharType="separate"/>
    </w:r>
    <w:r>
      <w:fldChar w:fldCharType="end"/>
    </w:r>
  </w:p>
  <w:p w:rsidR="0024265C" w14:paraId="568B1AAB" w14:textId="7777777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4265C" w:rsidP="0055614C" w14:paraId="3C6DCCCE" w14:textId="77777777">
    <w:pPr>
      <w:pStyle w:val="Footer"/>
      <w:framePr w:wrap="around" w:vAnchor="text" w:hAnchor="margin" w:xAlign="center" w:y="1"/>
    </w:pPr>
    <w:r>
      <w:fldChar w:fldCharType="begin"/>
    </w:r>
    <w:r>
      <w:instrText xml:space="preserve">PAGE  </w:instrText>
    </w:r>
    <w:r>
      <w:fldChar w:fldCharType="separate"/>
    </w:r>
    <w:r>
      <w:rPr>
        <w:noProof/>
      </w:rPr>
      <w:t>2</w:t>
    </w:r>
    <w:r>
      <w:fldChar w:fldCharType="end"/>
    </w:r>
  </w:p>
  <w:p w:rsidR="0024265C" w:rsidP="00920BE2" w14:paraId="5B56BCEC" w14:textId="77777777">
    <w:pPr>
      <w:suppressAutoHyphens/>
      <w:spacing w:line="227" w:lineRule="auto"/>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4265C" w14:paraId="04E30BD4"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B3366" w14:paraId="144233B5" w14:textId="77777777">
      <w:r>
        <w:separator/>
      </w:r>
    </w:p>
  </w:footnote>
  <w:footnote w:type="continuationSeparator" w:id="1">
    <w:p w:rsidR="007B3366" w:rsidP="00C721AC" w14:paraId="38776479" w14:textId="77777777">
      <w:pPr>
        <w:spacing w:before="120"/>
        <w:rPr>
          <w:sz w:val="20"/>
        </w:rPr>
      </w:pPr>
      <w:r>
        <w:rPr>
          <w:sz w:val="20"/>
        </w:rPr>
        <w:t xml:space="preserve">(Continued from previous page)  </w:t>
      </w:r>
      <w:r>
        <w:rPr>
          <w:sz w:val="20"/>
        </w:rPr>
        <w:separator/>
      </w:r>
    </w:p>
  </w:footnote>
  <w:footnote w:type="continuationNotice" w:id="2">
    <w:p w:rsidR="007B3366" w:rsidP="00C721AC" w14:paraId="2656EA3D" w14:textId="77777777">
      <w:pPr>
        <w:jc w:val="right"/>
        <w:rPr>
          <w:sz w:val="20"/>
        </w:rPr>
      </w:pPr>
      <w:r>
        <w:rPr>
          <w:sz w:val="20"/>
        </w:rPr>
        <w:t>(</w:t>
      </w:r>
      <w:r>
        <w:rPr>
          <w:sz w:val="20"/>
        </w:rPr>
        <w:t>continued</w:t>
      </w:r>
      <w:r>
        <w:rPr>
          <w:sz w:val="20"/>
        </w:rPr>
        <w:t>….)</w:t>
      </w:r>
    </w:p>
  </w:footnote>
  <w:footnote w:id="3">
    <w:p w:rsidR="005919ED" w:rsidRPr="004539A7" w:rsidP="005919ED" w14:paraId="65CECC03" w14:textId="77777777">
      <w:pPr>
        <w:pStyle w:val="FootnoteText"/>
      </w:pPr>
      <w:r w:rsidRPr="004539A7">
        <w:rPr>
          <w:rStyle w:val="FootnoteReference"/>
        </w:rPr>
        <w:footnoteRef/>
      </w:r>
      <w:r w:rsidRPr="004539A7">
        <w:t xml:space="preserve"> We use the term “voice service provider” and “provider,” interchangeably and consistent with our proposed definition in the </w:t>
      </w:r>
      <w:r w:rsidRPr="004539A7">
        <w:rPr>
          <w:i/>
          <w:iCs/>
        </w:rPr>
        <w:t>KYUP FNPRM</w:t>
      </w:r>
      <w:r w:rsidRPr="004539A7">
        <w:t xml:space="preserve">, to refer to all initiating, originating, intermediate, and terminating providers, including facilities-based providers and non-facilities-based providers (inclusive of interconnected Voice over Internet Protocol (VoIP) resellers and Mobile Virtual Network Operators (MVNOs)).  </w:t>
      </w:r>
      <w:r w:rsidRPr="004539A7">
        <w:rPr>
          <w:i/>
          <w:iCs/>
        </w:rPr>
        <w:t>Call Authentication Trust Anchor; Advanced Methods to Target and Eliminate Unlawful Robocalls</w:t>
      </w:r>
      <w:r w:rsidRPr="004539A7">
        <w:t>, WC Docket No. 17-97, CG Docket No. 17-59, Further Notice of Proposed Rulemaking, FCC 26-32, at 39, para. 78 (May 21, 2026) (</w:t>
      </w:r>
      <w:r w:rsidRPr="004539A7">
        <w:rPr>
          <w:i/>
          <w:iCs/>
        </w:rPr>
        <w:t>KYUP FNPRM</w:t>
      </w:r>
      <w:r w:rsidRPr="004539A7">
        <w:t>).</w:t>
      </w:r>
    </w:p>
  </w:footnote>
  <w:footnote w:id="4">
    <w:p w:rsidR="005919ED" w:rsidRPr="004539A7" w:rsidP="005919ED" w14:paraId="497589BF" w14:textId="77777777">
      <w:pPr>
        <w:pStyle w:val="FootnoteText"/>
      </w:pPr>
      <w:r w:rsidRPr="004539A7">
        <w:rPr>
          <w:rStyle w:val="FootnoteReference"/>
        </w:rPr>
        <w:footnoteRef/>
      </w:r>
      <w:r w:rsidRPr="004539A7">
        <w:t xml:space="preserve"> </w:t>
      </w:r>
      <w:r w:rsidRPr="004539A7">
        <w:rPr>
          <w:i/>
        </w:rPr>
        <w:t>See Call Authentication Trust Anchor</w:t>
      </w:r>
      <w:r w:rsidRPr="004539A7">
        <w:t xml:space="preserve">, WC Docket No. 17-97, Second Report and Order, 36 FCC </w:t>
      </w:r>
      <w:r w:rsidRPr="004539A7">
        <w:t>Rcd</w:t>
      </w:r>
      <w:r w:rsidRPr="004539A7">
        <w:t xml:space="preserve"> 1859, 1902-03, paras. 82-83 (2020) (</w:t>
      </w:r>
      <w:r w:rsidRPr="004539A7">
        <w:rPr>
          <w:i/>
        </w:rPr>
        <w:t>Second Caller ID Authentication Order</w:t>
      </w:r>
      <w:r w:rsidRPr="004539A7">
        <w:t xml:space="preserve">); Pallone-Thune Telephone Robocall Abuse Criminal Enforcement and Deterrence Act, Pub. L. No. 116-105, § 4, 133 Stat. 3274, 3276 (2019) (TRACED Act) (codified at 47 U.S.C. § 227b).  The RMD opened for filings on April 20, 2021.  </w:t>
      </w:r>
      <w:r w:rsidRPr="004539A7">
        <w:rPr>
          <w:i/>
          <w:iCs/>
        </w:rPr>
        <w:t>See</w:t>
      </w:r>
      <w:r w:rsidRPr="004539A7">
        <w:t xml:space="preserve"> </w:t>
      </w:r>
      <w:r w:rsidRPr="004539A7">
        <w:rPr>
          <w:i/>
          <w:iCs/>
        </w:rPr>
        <w:t>Wireline Competition Bureau Announces Opening of Robocall Mitigation Database and Provides Filing Instructions and Deadlines</w:t>
      </w:r>
      <w:r w:rsidRPr="004539A7">
        <w:t xml:space="preserve">, WC Docket No. 17-97, Public Notice, 36 FCC </w:t>
      </w:r>
      <w:r w:rsidRPr="004539A7">
        <w:t>Rcd</w:t>
      </w:r>
      <w:r w:rsidRPr="004539A7">
        <w:t xml:space="preserve"> 7394 (WCB 2021).</w:t>
      </w:r>
    </w:p>
  </w:footnote>
  <w:footnote w:id="5">
    <w:p w:rsidR="005919ED" w:rsidRPr="004539A7" w:rsidP="005919ED" w14:paraId="3D324B7D" w14:textId="77777777">
      <w:pPr>
        <w:pStyle w:val="FootnoteText"/>
      </w:pPr>
      <w:r w:rsidRPr="004539A7">
        <w:rPr>
          <w:rStyle w:val="FootnoteReference"/>
        </w:rPr>
        <w:footnoteRef/>
      </w:r>
      <w:r w:rsidRPr="004539A7">
        <w:t xml:space="preserve"> 47 U.S.C. § 227b(b)(5)(A), (B).</w:t>
      </w:r>
      <w:r w:rsidRPr="00CD616B">
        <w:t xml:space="preserve"> </w:t>
      </w:r>
    </w:p>
  </w:footnote>
  <w:footnote w:id="6">
    <w:p w:rsidR="005919ED" w:rsidRPr="004539A7" w:rsidP="005919ED" w14:paraId="4D86D1DA" w14:textId="77777777">
      <w:pPr>
        <w:pStyle w:val="FootnoteText"/>
      </w:pPr>
      <w:r w:rsidRPr="004539A7">
        <w:rPr>
          <w:rStyle w:val="FootnoteReference"/>
        </w:rPr>
        <w:footnoteRef/>
      </w:r>
      <w:r w:rsidRPr="004539A7">
        <w:t xml:space="preserve"> 47 U.S.C. § 227b(b)(5)(C)(</w:t>
      </w:r>
      <w:r w:rsidRPr="004539A7">
        <w:t>i</w:t>
      </w:r>
      <w:r w:rsidRPr="004539A7">
        <w:t>).</w:t>
      </w:r>
    </w:p>
  </w:footnote>
  <w:footnote w:id="7">
    <w:p w:rsidR="005919ED" w:rsidRPr="004539A7" w:rsidP="005919ED" w14:paraId="482D710F" w14:textId="77777777">
      <w:pPr>
        <w:pStyle w:val="FootnoteText"/>
      </w:pPr>
      <w:r w:rsidRPr="004539A7">
        <w:rPr>
          <w:rStyle w:val="FootnoteReference"/>
        </w:rPr>
        <w:footnoteRef/>
      </w:r>
      <w:r w:rsidRPr="004539A7">
        <w:t xml:space="preserve"> </w:t>
      </w:r>
      <w:r w:rsidRPr="004539A7">
        <w:rPr>
          <w:i/>
        </w:rPr>
        <w:t xml:space="preserve">Second </w:t>
      </w:r>
      <w:r w:rsidRPr="004539A7">
        <w:rPr>
          <w:i/>
          <w:iCs/>
        </w:rPr>
        <w:t xml:space="preserve">Caller ID Authentication </w:t>
      </w:r>
      <w:r w:rsidRPr="004539A7">
        <w:rPr>
          <w:i/>
        </w:rPr>
        <w:t>Order</w:t>
      </w:r>
      <w:r w:rsidRPr="004539A7">
        <w:t xml:space="preserve">, 36 FCC </w:t>
      </w:r>
      <w:r w:rsidRPr="004539A7">
        <w:t>Rcd</w:t>
      </w:r>
      <w:r w:rsidRPr="004539A7">
        <w:t xml:space="preserve"> at 1902-03, paras. 82-85 (establishing the filing requirement for voice service providers); </w:t>
      </w:r>
      <w:r w:rsidRPr="004539A7">
        <w:rPr>
          <w:i/>
          <w:iCs/>
        </w:rPr>
        <w:t>Call Authentication Trust Anchor; Implementation of TRACED Act Section 6(a)—Knowledge of Customers by Entities with Access to Numbering Resources</w:t>
      </w:r>
      <w:r w:rsidRPr="004539A7">
        <w:t>,</w:t>
      </w:r>
      <w:r w:rsidRPr="004539A7">
        <w:rPr>
          <w:i/>
          <w:iCs/>
        </w:rPr>
        <w:t xml:space="preserve"> </w:t>
      </w:r>
      <w:r w:rsidRPr="004539A7">
        <w:t xml:space="preserve">WC Docket Nos. 17-97 and 20-67, Report and Order and Further Notice of Proposed Rulemaking, 35 FCC </w:t>
      </w:r>
      <w:r w:rsidRPr="004539A7">
        <w:t>Rcd</w:t>
      </w:r>
      <w:r w:rsidRPr="004539A7">
        <w:t xml:space="preserve"> 3241, 32</w:t>
      </w:r>
      <w:r>
        <w:t>59-</w:t>
      </w:r>
      <w:r w:rsidRPr="004539A7">
        <w:t>60, para</w:t>
      </w:r>
      <w:r>
        <w:t>s</w:t>
      </w:r>
      <w:r w:rsidRPr="004539A7">
        <w:t xml:space="preserve">. </w:t>
      </w:r>
      <w:r>
        <w:t>39-40</w:t>
      </w:r>
      <w:r w:rsidRPr="004539A7">
        <w:t xml:space="preserve"> (2020) (</w:t>
      </w:r>
      <w:r w:rsidRPr="004539A7">
        <w:rPr>
          <w:i/>
          <w:iCs/>
        </w:rPr>
        <w:t>First Caller ID Authentication Order</w:t>
      </w:r>
      <w:r w:rsidRPr="004539A7">
        <w:t>) (interpreting “voice service” to only include originating and terminating providers).</w:t>
      </w:r>
    </w:p>
  </w:footnote>
  <w:footnote w:id="8">
    <w:p w:rsidR="005919ED" w:rsidRPr="004539A7" w:rsidP="005919ED" w14:paraId="125736A0" w14:textId="77777777">
      <w:pPr>
        <w:pStyle w:val="FootnoteText"/>
      </w:pPr>
      <w:r w:rsidRPr="004539A7">
        <w:rPr>
          <w:rStyle w:val="FootnoteReference"/>
        </w:rPr>
        <w:footnoteRef/>
      </w:r>
      <w:r w:rsidRPr="004539A7">
        <w:t xml:space="preserve"> </w:t>
      </w:r>
      <w:r w:rsidRPr="004539A7">
        <w:rPr>
          <w:i/>
        </w:rPr>
        <w:t>Second Caller ID Authentication Order</w:t>
      </w:r>
      <w:r w:rsidRPr="004539A7">
        <w:t xml:space="preserve">, 36 FCC </w:t>
      </w:r>
      <w:r w:rsidRPr="004539A7">
        <w:t>Rcd</w:t>
      </w:r>
      <w:r w:rsidRPr="004539A7">
        <w:t xml:space="preserve"> at 1897-902, paras. 74-82.</w:t>
      </w:r>
    </w:p>
  </w:footnote>
  <w:footnote w:id="9">
    <w:p w:rsidR="005919ED" w:rsidRPr="004539A7" w:rsidP="005919ED" w14:paraId="36D75A5D" w14:textId="77777777">
      <w:pPr>
        <w:pStyle w:val="FootnoteText"/>
      </w:pPr>
      <w:r w:rsidRPr="004539A7">
        <w:rPr>
          <w:rStyle w:val="FootnoteReference"/>
        </w:rPr>
        <w:footnoteRef/>
      </w:r>
      <w:r w:rsidRPr="004539A7">
        <w:t xml:space="preserve"> </w:t>
      </w:r>
      <w:r>
        <w:rPr>
          <w:i/>
          <w:iCs/>
        </w:rPr>
        <w:t>Id.</w:t>
      </w:r>
      <w:r w:rsidRPr="004539A7">
        <w:t xml:space="preserve"> </w:t>
      </w:r>
      <w:r w:rsidRPr="004539A7">
        <w:t>at</w:t>
      </w:r>
      <w:r w:rsidRPr="004539A7">
        <w:t xml:space="preserve"> 1903, para. 84.</w:t>
      </w:r>
    </w:p>
  </w:footnote>
  <w:footnote w:id="10">
    <w:p w:rsidR="005919ED" w:rsidRPr="004539A7" w:rsidP="005919ED" w14:paraId="7EB26B23" w14:textId="77777777">
      <w:pPr>
        <w:pStyle w:val="FootnoteText"/>
      </w:pPr>
      <w:r w:rsidRPr="004539A7">
        <w:rPr>
          <w:rStyle w:val="FootnoteReference"/>
        </w:rPr>
        <w:footnoteRef/>
      </w:r>
      <w:r w:rsidRPr="004539A7">
        <w:t xml:space="preserve"> </w:t>
      </w:r>
      <w:r>
        <w:rPr>
          <w:i/>
          <w:iCs/>
        </w:rPr>
        <w:t>Id</w:t>
      </w:r>
      <w:r w:rsidRPr="00C805E9">
        <w:rPr>
          <w:i/>
          <w:iCs/>
        </w:rPr>
        <w:t>.</w:t>
      </w:r>
      <w:r w:rsidRPr="007906C5">
        <w:t xml:space="preserve"> </w:t>
      </w:r>
      <w:r w:rsidRPr="004539A7">
        <w:t>at 1902-03, paras. 82-85.</w:t>
      </w:r>
    </w:p>
  </w:footnote>
  <w:footnote w:id="11">
    <w:p w:rsidR="005919ED" w:rsidRPr="004539A7" w:rsidP="005919ED" w14:paraId="1DC51740" w14:textId="77777777">
      <w:pPr>
        <w:pStyle w:val="FootnoteText"/>
      </w:pPr>
      <w:r w:rsidRPr="004539A7">
        <w:rPr>
          <w:rStyle w:val="FootnoteReference"/>
        </w:rPr>
        <w:footnoteRef/>
      </w:r>
      <w:r w:rsidRPr="004539A7">
        <w:t xml:space="preserve"> 47 CFR § 64.6300 (defining “voice service,” “intermediate provider,” “gateway provider,” and “non-gateway intermediate provider”).  The Commission’s existing interpretation of the “voice service” definition in 64.6300 only includes originating and terminating providers.  </w:t>
      </w:r>
      <w:r w:rsidRPr="004539A7">
        <w:rPr>
          <w:i/>
          <w:iCs/>
        </w:rPr>
        <w:t>See First Caller ID Authentication Order</w:t>
      </w:r>
      <w:r w:rsidRPr="004539A7">
        <w:t xml:space="preserve">, 35 FCC </w:t>
      </w:r>
      <w:r w:rsidRPr="004539A7">
        <w:t>Rcd</w:t>
      </w:r>
      <w:r w:rsidRPr="004539A7">
        <w:t xml:space="preserve"> at 32</w:t>
      </w:r>
      <w:r>
        <w:t>59-</w:t>
      </w:r>
      <w:r w:rsidRPr="004539A7">
        <w:t>60, para</w:t>
      </w:r>
      <w:r>
        <w:t>s</w:t>
      </w:r>
      <w:r w:rsidRPr="004539A7">
        <w:t xml:space="preserve">. </w:t>
      </w:r>
      <w:r>
        <w:t>39-</w:t>
      </w:r>
      <w:r w:rsidRPr="004539A7">
        <w:t xml:space="preserve">40; </w:t>
      </w:r>
      <w:r w:rsidRPr="004539A7">
        <w:rPr>
          <w:i/>
          <w:iCs/>
        </w:rPr>
        <w:t>Call Authentication Trust Anchor</w:t>
      </w:r>
      <w:r w:rsidRPr="004539A7">
        <w:t xml:space="preserve">, WC Docket No. 17-97, Sixth Report and Order and Further Notice of Proposed Rulemaking, </w:t>
      </w:r>
      <w:r w:rsidRPr="00745D06">
        <w:t xml:space="preserve">38 FCC </w:t>
      </w:r>
      <w:r w:rsidRPr="00745D06">
        <w:t>Rcd</w:t>
      </w:r>
      <w:r w:rsidRPr="00745D06">
        <w:t xml:space="preserve"> 2573</w:t>
      </w:r>
      <w:r>
        <w:t>, 2575, para. 4, n.11 (2023) (</w:t>
      </w:r>
      <w:r w:rsidRPr="004539A7">
        <w:rPr>
          <w:i/>
          <w:iCs/>
        </w:rPr>
        <w:t>Sixth Caller ID Authentication Order</w:t>
      </w:r>
      <w:r>
        <w:t>)</w:t>
      </w:r>
      <w:r w:rsidRPr="004539A7">
        <w:t xml:space="preserve"> (“Because the TRACED Act defines ‘voice service’ in a manner that excludes intermediate providers, our authentication and [RMD] rules use ‘voice service provider’ in this manner”); </w:t>
      </w:r>
      <w:r w:rsidRPr="004539A7">
        <w:rPr>
          <w:i/>
          <w:iCs/>
        </w:rPr>
        <w:t xml:space="preserve">see also </w:t>
      </w:r>
      <w:r w:rsidRPr="004539A7">
        <w:t xml:space="preserve">47 CFR § 64.6300(o) (defining “voice service”).  However, in the </w:t>
      </w:r>
      <w:r w:rsidRPr="004539A7">
        <w:rPr>
          <w:i/>
          <w:iCs/>
        </w:rPr>
        <w:t>KYUP FNPRM</w:t>
      </w:r>
      <w:r w:rsidRPr="004539A7">
        <w:t xml:space="preserve">, we proposed to find that the better interpretation includes all providers in the call path.  </w:t>
      </w:r>
      <w:r w:rsidRPr="004539A7">
        <w:rPr>
          <w:i/>
          <w:iCs/>
        </w:rPr>
        <w:t>See</w:t>
      </w:r>
      <w:r w:rsidRPr="004539A7">
        <w:t xml:space="preserve"> </w:t>
      </w:r>
      <w:r w:rsidRPr="004539A7">
        <w:rPr>
          <w:i/>
          <w:iCs/>
        </w:rPr>
        <w:t>KYUP FNPRM</w:t>
      </w:r>
      <w:r w:rsidRPr="004539A7">
        <w:t>, FCC 26-32, at 38-39, para. 76.  As stated above, we use the term “voice service provider” herein to refer to all providers in the call path.</w:t>
      </w:r>
    </w:p>
  </w:footnote>
  <w:footnote w:id="12">
    <w:p w:rsidR="005919ED" w:rsidRPr="004539A7" w:rsidP="005919ED" w14:paraId="2D19BDB4" w14:textId="77777777">
      <w:pPr>
        <w:pStyle w:val="FootnoteText"/>
      </w:pPr>
      <w:r w:rsidRPr="004539A7">
        <w:rPr>
          <w:rStyle w:val="FootnoteReference"/>
        </w:rPr>
        <w:footnoteRef/>
      </w:r>
      <w:r w:rsidRPr="004539A7">
        <w:t xml:space="preserve"> </w:t>
      </w:r>
      <w:r w:rsidRPr="00CC45BA">
        <w:t>We use the term “filing” to refer to the full RMD submission, even though the current rules often use “certification” for this purpose, as we propose to amend the rules herein to use the term “filing.”</w:t>
      </w:r>
    </w:p>
  </w:footnote>
  <w:footnote w:id="13">
    <w:p w:rsidR="005919ED" w:rsidRPr="004539A7" w:rsidP="005919ED" w14:paraId="4F8F78DB" w14:textId="77777777">
      <w:pPr>
        <w:pStyle w:val="FootnoteText"/>
      </w:pPr>
      <w:r w:rsidRPr="004539A7">
        <w:rPr>
          <w:rStyle w:val="FootnoteReference"/>
        </w:rPr>
        <w:footnoteRef/>
      </w:r>
      <w:r w:rsidRPr="004539A7">
        <w:t xml:space="preserve"> </w:t>
      </w:r>
      <w:r w:rsidRPr="004539A7">
        <w:rPr>
          <w:i/>
          <w:iCs/>
        </w:rPr>
        <w:t>See</w:t>
      </w:r>
      <w:r w:rsidRPr="004539A7">
        <w:rPr>
          <w:i/>
        </w:rPr>
        <w:t xml:space="preserve"> </w:t>
      </w:r>
      <w:r w:rsidRPr="004539A7">
        <w:t>47 CFR §§ 64.6305(d) (providing the RMD filing requirement for voice service providers)</w:t>
      </w:r>
      <w:r>
        <w:t>,</w:t>
      </w:r>
      <w:r w:rsidRPr="004539A7">
        <w:t xml:space="preserve"> 64.6305(e) (same for gateway providers)</w:t>
      </w:r>
      <w:r>
        <w:t>,</w:t>
      </w:r>
      <w:r w:rsidRPr="004539A7">
        <w:t xml:space="preserve"> 64.6305(f) (same for non-gateway intermediate providers); </w:t>
      </w:r>
      <w:r w:rsidRPr="004539A7">
        <w:rPr>
          <w:i/>
          <w:iCs/>
        </w:rPr>
        <w:t>see also Advanced Methods to Target and Eliminate Unlawful Robocalls; Call Authentication Trust Anchor</w:t>
      </w:r>
      <w:r w:rsidRPr="004539A7">
        <w:t xml:space="preserve">, CG Docket No. 17-59, WC Docket No. 17-97, Sixth Report and Order in CG Docket No. 17-97, Fifth Report and Order in WC Docket No. 17-97, Order on Reconsideration in WC Docket No. 17-97, Seventh Notice of Proposed Rulemaking in CG Docket No. 17-59, Fifth Further Notice of Proposed Rulemaking in WC Docket No. 17-97, 37 FCC </w:t>
      </w:r>
      <w:r w:rsidRPr="004539A7">
        <w:t>Rcd</w:t>
      </w:r>
      <w:r w:rsidRPr="004539A7">
        <w:t xml:space="preserve"> 6865,</w:t>
      </w:r>
      <w:r w:rsidRPr="004539A7">
        <w:rPr>
          <w:i/>
          <w:iCs/>
        </w:rPr>
        <w:t xml:space="preserve"> </w:t>
      </w:r>
      <w:r w:rsidRPr="004539A7">
        <w:t>6880-83, 6907-10, paras. 34-41, 102-08 (2022) (</w:t>
      </w:r>
      <w:r w:rsidRPr="004539A7">
        <w:rPr>
          <w:i/>
          <w:iCs/>
        </w:rPr>
        <w:t>Gateway Provider Order</w:t>
      </w:r>
      <w:r w:rsidRPr="004539A7">
        <w:t xml:space="preserve">) (expanding to gateway providers the requirement to submit a filing with a robocall mitigation plan in the RMD); </w:t>
      </w:r>
      <w:r>
        <w:rPr>
          <w:i/>
          <w:iCs/>
        </w:rPr>
        <w:t xml:space="preserve">Sixth Caller ID Authentication </w:t>
      </w:r>
      <w:r w:rsidRPr="00E47A08">
        <w:rPr>
          <w:i/>
        </w:rPr>
        <w:t>Order</w:t>
      </w:r>
      <w:r>
        <w:t xml:space="preserve">, </w:t>
      </w:r>
      <w:r w:rsidRPr="004539A7">
        <w:t xml:space="preserve">38 FCC </w:t>
      </w:r>
      <w:r w:rsidRPr="004539A7">
        <w:t>Rcd</w:t>
      </w:r>
      <w:r w:rsidRPr="004539A7">
        <w:t xml:space="preserve"> </w:t>
      </w:r>
      <w:r>
        <w:t>at</w:t>
      </w:r>
      <w:r w:rsidRPr="004539A7">
        <w:t xml:space="preserve"> 2580, 2588-601, paras. 14, 28-52 (expanding to all intermediate and voice service providers the requirement to submit a filing with a robocall mitigation plan in the RMD and expanding the information all filers must submit in the RMD).  The RMD filing obligation extends to all non-facilities-based providers, including Voice over Internet Protocol (VoIP) resellers and Mobile Virtual Network Operators (MVNOs).  </w:t>
      </w:r>
      <w:r w:rsidRPr="004539A7">
        <w:rPr>
          <w:i/>
        </w:rPr>
        <w:t>Mobile Virtual Network Operators (MVNOs) Must File Certifications and Robocall Mitigation Plans in the Robocall Mitigation Database</w:t>
      </w:r>
      <w:r w:rsidRPr="004539A7">
        <w:t xml:space="preserve">, Enforcement Advisory No. 2026-02, DA 26-174, at 2 (EB Feb. 20, 2026); </w:t>
      </w:r>
      <w:r w:rsidRPr="004539A7">
        <w:rPr>
          <w:i/>
        </w:rPr>
        <w:t>see also</w:t>
      </w:r>
      <w:r w:rsidRPr="004539A7">
        <w:t xml:space="preserve"> FCC,</w:t>
      </w:r>
      <w:r w:rsidRPr="004539A7">
        <w:rPr>
          <w:i/>
        </w:rPr>
        <w:t xml:space="preserve"> Robocall Mitigation Database, Frequently Asked Questions for Filers</w:t>
      </w:r>
      <w:r w:rsidRPr="004539A7">
        <w:t>, at 1</w:t>
      </w:r>
      <w:r>
        <w:t>-2</w:t>
      </w:r>
      <w:r w:rsidRPr="004539A7">
        <w:t xml:space="preserve"> </w:t>
      </w:r>
      <w:hyperlink r:id="rId1" w:history="1">
        <w:r w:rsidRPr="004539A7">
          <w:rPr>
            <w:rStyle w:val="Hyperlink"/>
          </w:rPr>
          <w:t>https://www.fcc.gov/sites/default/files/rmd-faq.pdf</w:t>
        </w:r>
      </w:hyperlink>
      <w:r w:rsidRPr="004539A7">
        <w:t xml:space="preserve"> (last updated </w:t>
      </w:r>
      <w:r>
        <w:t>July 20</w:t>
      </w:r>
      <w:r w:rsidRPr="004539A7">
        <w:t>, 2026) (</w:t>
      </w:r>
      <w:r w:rsidRPr="004539A7">
        <w:rPr>
          <w:i/>
          <w:iCs/>
        </w:rPr>
        <w:t>RMD FAQs</w:t>
      </w:r>
      <w:r w:rsidRPr="004539A7">
        <w:t>).</w:t>
      </w:r>
    </w:p>
  </w:footnote>
  <w:footnote w:id="14">
    <w:p w:rsidR="005919ED" w:rsidRPr="004539A7" w:rsidP="005919ED" w14:paraId="4E1C5AED" w14:textId="77777777">
      <w:pPr>
        <w:pStyle w:val="FootnoteText"/>
      </w:pPr>
      <w:r w:rsidRPr="004539A7">
        <w:rPr>
          <w:rStyle w:val="FootnoteReference"/>
        </w:rPr>
        <w:footnoteRef/>
      </w:r>
      <w:r w:rsidRPr="004539A7">
        <w:t xml:space="preserve"> </w:t>
      </w:r>
      <w:r w:rsidRPr="004539A7">
        <w:rPr>
          <w:i/>
          <w:iCs/>
        </w:rPr>
        <w:t xml:space="preserve">See </w:t>
      </w:r>
      <w:r w:rsidRPr="004539A7">
        <w:t>47 CFR. §§ 64.6305(d) (describing the information voice service providers must include in their filings)</w:t>
      </w:r>
      <w:r>
        <w:t>,</w:t>
      </w:r>
      <w:r w:rsidRPr="004539A7">
        <w:t xml:space="preserve"> 64.6305(e) (same for gateway providers</w:t>
      </w:r>
      <w:r>
        <w:t>)</w:t>
      </w:r>
      <w:r w:rsidRPr="004539A7">
        <w:t>, 64.6305(f) (same for non-gateway intermediate providers).</w:t>
      </w:r>
    </w:p>
  </w:footnote>
  <w:footnote w:id="15">
    <w:p w:rsidR="005919ED" w:rsidRPr="004539A7" w:rsidP="005919ED" w14:paraId="30D9091F" w14:textId="77777777">
      <w:pPr>
        <w:pStyle w:val="FootnoteText"/>
      </w:pPr>
      <w:r w:rsidRPr="004539A7">
        <w:rPr>
          <w:rStyle w:val="FootnoteReference"/>
        </w:rPr>
        <w:footnoteRef/>
      </w:r>
      <w:r w:rsidRPr="004539A7">
        <w:t xml:space="preserve"> </w:t>
      </w:r>
      <w:r w:rsidRPr="004539A7">
        <w:rPr>
          <w:i/>
          <w:iCs/>
        </w:rPr>
        <w:t>See</w:t>
      </w:r>
      <w:r w:rsidRPr="004539A7">
        <w:t xml:space="preserve"> FCC, </w:t>
      </w:r>
      <w:r w:rsidRPr="004539A7">
        <w:rPr>
          <w:i/>
          <w:iCs/>
        </w:rPr>
        <w:t>Robocall Mitigation Database</w:t>
      </w:r>
      <w:r w:rsidRPr="004539A7">
        <w:t xml:space="preserve">, </w:t>
      </w:r>
      <w:hyperlink r:id="rId2" w:history="1">
        <w:r w:rsidRPr="004539A7">
          <w:rPr>
            <w:rStyle w:val="Hyperlink"/>
          </w:rPr>
          <w:t>https://fccprod.servicenowservices.com/rmd?id=rmd_welcome</w:t>
        </w:r>
      </w:hyperlink>
      <w:r w:rsidRPr="004539A7">
        <w:t xml:space="preserve"> (last visited </w:t>
      </w:r>
      <w:r>
        <w:t>July 20</w:t>
      </w:r>
      <w:r w:rsidRPr="004539A7">
        <w:t>, 2026) (</w:t>
      </w:r>
      <w:r w:rsidRPr="004539A7">
        <w:rPr>
          <w:i/>
          <w:iCs/>
        </w:rPr>
        <w:t>Robocall Mitigation Database</w:t>
      </w:r>
      <w:r w:rsidRPr="004539A7">
        <w:t>).</w:t>
      </w:r>
    </w:p>
  </w:footnote>
  <w:footnote w:id="16">
    <w:p w:rsidR="005919ED" w:rsidRPr="004539A7" w:rsidP="005919ED" w14:paraId="113FA7A2" w14:textId="77777777">
      <w:pPr>
        <w:pStyle w:val="FootnoteText"/>
      </w:pPr>
      <w:r w:rsidRPr="004539A7">
        <w:rPr>
          <w:rStyle w:val="FootnoteReference"/>
        </w:rPr>
        <w:footnoteRef/>
      </w:r>
      <w:r w:rsidRPr="004539A7">
        <w:t xml:space="preserve"> </w:t>
      </w:r>
      <w:r w:rsidRPr="004539A7">
        <w:rPr>
          <w:i/>
          <w:iCs/>
        </w:rPr>
        <w:t>See</w:t>
      </w:r>
      <w:r w:rsidRPr="004539A7">
        <w:rPr>
          <w:i/>
        </w:rPr>
        <w:t xml:space="preserve"> </w:t>
      </w:r>
      <w:r w:rsidRPr="004539A7">
        <w:t xml:space="preserve">47 CFR §§ 64.6301 (detailing STIR/SHAKEN requirements for originating and terminating providers), 64.6302 (detailing STIR/SHAKEN requirements for intermediate providers); </w:t>
      </w:r>
      <w:r w:rsidRPr="004539A7">
        <w:rPr>
          <w:i/>
          <w:iCs/>
        </w:rPr>
        <w:t>see also</w:t>
      </w:r>
      <w:r w:rsidRPr="004539A7">
        <w:t xml:space="preserve"> </w:t>
      </w:r>
      <w:r w:rsidRPr="004539A7">
        <w:rPr>
          <w:i/>
          <w:iCs/>
        </w:rPr>
        <w:t>Gateway Provider Order</w:t>
      </w:r>
      <w:r w:rsidRPr="004539A7">
        <w:t xml:space="preserve">, 37 FCC </w:t>
      </w:r>
      <w:r w:rsidRPr="004539A7">
        <w:t>Rcd</w:t>
      </w:r>
      <w:r w:rsidRPr="004539A7">
        <w:t xml:space="preserve"> at 6880-94, 6907-10, 6916-19, paras. 34-63, 102-08, 128-35 (expanding STIR/SHAKEN authentication obligation to gateway providers);</w:t>
      </w:r>
      <w:r w:rsidRPr="00E47A08">
        <w:t xml:space="preserve"> </w:t>
      </w:r>
      <w:r w:rsidRPr="004539A7">
        <w:rPr>
          <w:i/>
          <w:iCs/>
        </w:rPr>
        <w:t>Sixth Caller ID Authentication Order</w:t>
      </w:r>
      <w:r w:rsidRPr="004539A7">
        <w:t xml:space="preserve">, 38 FCC </w:t>
      </w:r>
      <w:r w:rsidRPr="004539A7">
        <w:t>Rcd</w:t>
      </w:r>
      <w:r w:rsidRPr="004539A7">
        <w:t xml:space="preserve"> at 2</w:t>
      </w:r>
      <w:r>
        <w:t>58</w:t>
      </w:r>
      <w:r w:rsidRPr="004539A7">
        <w:t>0-6</w:t>
      </w:r>
      <w:r>
        <w:t>0</w:t>
      </w:r>
      <w:r w:rsidRPr="004539A7">
        <w:t xml:space="preserve">1, paras. 15-52 (expanding STIR/SHAKEN authentication obligations to the “first” intermediate provider in a call chain); </w:t>
      </w:r>
      <w:r w:rsidRPr="004539A7">
        <w:rPr>
          <w:i/>
          <w:iCs/>
        </w:rPr>
        <w:t>KYUP FNPRM</w:t>
      </w:r>
      <w:r w:rsidRPr="004539A7">
        <w:t>, FCC 26-32, at 60-61, paras. 119-20 (proposing to require that all intermediate providers authenticate any unauthenticated non-SIP calls they receive).</w:t>
      </w:r>
    </w:p>
  </w:footnote>
  <w:footnote w:id="17">
    <w:p w:rsidR="005919ED" w:rsidRPr="004539A7" w:rsidP="005919ED" w14:paraId="520E9C43" w14:textId="77777777">
      <w:pPr>
        <w:pStyle w:val="FootnoteText"/>
      </w:pPr>
      <w:r w:rsidRPr="004539A7">
        <w:rPr>
          <w:rStyle w:val="FootnoteReference"/>
        </w:rPr>
        <w:footnoteRef/>
      </w:r>
      <w:r w:rsidRPr="004539A7">
        <w:t xml:space="preserve"> </w:t>
      </w:r>
      <w:r w:rsidRPr="004539A7">
        <w:t>We use the term “exemption” generally to refer to both exemptions and extensions from implementing STIR/SHAKEN.</w:t>
      </w:r>
      <w:r w:rsidRPr="004539A7">
        <w:t xml:space="preserve">  </w:t>
      </w:r>
      <w:r w:rsidRPr="004539A7">
        <w:rPr>
          <w:i/>
          <w:iCs/>
        </w:rPr>
        <w:t xml:space="preserve">See </w:t>
      </w:r>
      <w:r w:rsidRPr="004539A7">
        <w:t xml:space="preserve">47 CFR § 64.6304 (listing the extensions of the STIR/SHAKEN implementation deadline and referring to them as exemptions); </w:t>
      </w:r>
      <w:r w:rsidRPr="004539A7">
        <w:rPr>
          <w:i/>
          <w:iCs/>
        </w:rPr>
        <w:t>First Caller ID Authentication Order</w:t>
      </w:r>
      <w:r w:rsidRPr="004539A7">
        <w:t xml:space="preserve">, 35 FCC </w:t>
      </w:r>
      <w:r w:rsidRPr="004539A7">
        <w:t>Rcd</w:t>
      </w:r>
      <w:r w:rsidRPr="004539A7">
        <w:t xml:space="preserve"> at 3260, para. 40 (noting the exemption from STIR/SHAKEN implementation for providers “that lack control of the network infrastructure necessary to implement STIR/SHAKEN”).</w:t>
      </w:r>
    </w:p>
  </w:footnote>
  <w:footnote w:id="18">
    <w:p w:rsidR="005919ED" w:rsidRPr="004539A7" w:rsidP="005919ED" w14:paraId="158D88D7" w14:textId="77777777">
      <w:pPr>
        <w:pStyle w:val="FootnoteText"/>
      </w:pPr>
      <w:r w:rsidRPr="004539A7">
        <w:rPr>
          <w:rStyle w:val="FootnoteReference"/>
        </w:rPr>
        <w:footnoteRef/>
      </w:r>
      <w:r w:rsidRPr="004539A7">
        <w:t xml:space="preserve"> </w:t>
      </w:r>
      <w:r w:rsidRPr="004539A7">
        <w:rPr>
          <w:i/>
        </w:rPr>
        <w:t>See Robocall Mitigation Database</w:t>
      </w:r>
      <w:r w:rsidRPr="004539A7">
        <w:t>.</w:t>
      </w:r>
    </w:p>
  </w:footnote>
  <w:footnote w:id="19">
    <w:p w:rsidR="005919ED" w:rsidRPr="004539A7" w:rsidP="005919ED" w14:paraId="71C7530E" w14:textId="77777777">
      <w:pPr>
        <w:pStyle w:val="FootnoteText"/>
      </w:pPr>
      <w:r w:rsidRPr="004539A7">
        <w:rPr>
          <w:rStyle w:val="FootnoteReference"/>
        </w:rPr>
        <w:footnoteRef/>
      </w:r>
      <w:r w:rsidRPr="004539A7">
        <w:t xml:space="preserve"> 47 CFR § 64.6305(g)</w:t>
      </w:r>
      <w:r w:rsidRPr="00CC45BA">
        <w:t>.</w:t>
      </w:r>
    </w:p>
  </w:footnote>
  <w:footnote w:id="20">
    <w:p w:rsidR="005919ED" w:rsidRPr="004539A7" w:rsidP="005919ED" w14:paraId="06CA2DB6" w14:textId="77777777">
      <w:pPr>
        <w:pStyle w:val="FootnoteText"/>
      </w:pPr>
      <w:r w:rsidRPr="004539A7">
        <w:rPr>
          <w:rStyle w:val="FootnoteReference"/>
        </w:rPr>
        <w:footnoteRef/>
      </w:r>
      <w:r w:rsidRPr="004539A7">
        <w:t xml:space="preserve"> 47 CFR </w:t>
      </w:r>
      <w:bookmarkStart w:id="24" w:name="_Hlk215039109"/>
      <w:r w:rsidRPr="004539A7">
        <w:t>§</w:t>
      </w:r>
      <w:bookmarkEnd w:id="24"/>
      <w:r w:rsidRPr="004539A7">
        <w:t xml:space="preserve"> 64.1200(n)(4).</w:t>
      </w:r>
    </w:p>
  </w:footnote>
  <w:footnote w:id="21">
    <w:p w:rsidR="005919ED" w:rsidRPr="004539A7" w:rsidP="005919ED" w14:paraId="154848B5" w14:textId="77777777">
      <w:pPr>
        <w:pStyle w:val="FootnoteText"/>
      </w:pPr>
      <w:r w:rsidRPr="004539A7">
        <w:rPr>
          <w:rStyle w:val="FootnoteReference"/>
        </w:rPr>
        <w:footnoteRef/>
      </w:r>
      <w:r w:rsidRPr="004539A7">
        <w:t xml:space="preserve"> </w:t>
      </w:r>
      <w:r w:rsidRPr="004539A7">
        <w:rPr>
          <w:i/>
          <w:iCs/>
        </w:rPr>
        <w:t>See Advanced Methods to Target and Eliminate Unlawful Robocalls et al.</w:t>
      </w:r>
      <w:r w:rsidRPr="004539A7">
        <w:t>, CG Docket Nos. 17-59 et al., Further Notice of Proposed Rulemaking, FCC 26-27, at 4-9, paras. 9-24 (May 1, 2026) (</w:t>
      </w:r>
      <w:r w:rsidRPr="004539A7">
        <w:rPr>
          <w:i/>
        </w:rPr>
        <w:t>KYC F</w:t>
      </w:r>
      <w:r w:rsidRPr="004539A7">
        <w:rPr>
          <w:i/>
          <w:iCs/>
        </w:rPr>
        <w:t>NPRM</w:t>
      </w:r>
      <w:r w:rsidRPr="004539A7">
        <w:t>).</w:t>
      </w:r>
    </w:p>
  </w:footnote>
  <w:footnote w:id="22">
    <w:p w:rsidR="005919ED" w:rsidRPr="004539A7" w:rsidP="005919ED" w14:paraId="1119F3F7" w14:textId="77777777">
      <w:pPr>
        <w:pStyle w:val="FootnoteText"/>
      </w:pPr>
      <w:r w:rsidRPr="004539A7">
        <w:rPr>
          <w:rStyle w:val="FootnoteReference"/>
        </w:rPr>
        <w:footnoteRef/>
      </w:r>
      <w:r w:rsidRPr="004539A7">
        <w:t xml:space="preserve"> 47 CFR § 64.1200(n)(5).</w:t>
      </w:r>
    </w:p>
  </w:footnote>
  <w:footnote w:id="23">
    <w:p w:rsidR="005919ED" w:rsidRPr="004539A7" w:rsidP="005919ED" w14:paraId="2BB104A7" w14:textId="77777777">
      <w:pPr>
        <w:pStyle w:val="FootnoteText"/>
      </w:pPr>
      <w:r w:rsidRPr="004539A7">
        <w:rPr>
          <w:rStyle w:val="FootnoteReference"/>
        </w:rPr>
        <w:footnoteRef/>
      </w:r>
      <w:r w:rsidRPr="004539A7">
        <w:t xml:space="preserve"> </w:t>
      </w:r>
      <w:r w:rsidRPr="004539A7">
        <w:rPr>
          <w:i/>
        </w:rPr>
        <w:t>See</w:t>
      </w:r>
      <w:r w:rsidRPr="004539A7">
        <w:t xml:space="preserve"> 47 CFR § 64.6305(d)(2)(ii), (e)(2)(ii), (f)(2)(ii).</w:t>
      </w:r>
    </w:p>
  </w:footnote>
  <w:footnote w:id="24">
    <w:p w:rsidR="005919ED" w:rsidRPr="004539A7" w:rsidP="005919ED" w14:paraId="410C3DCE" w14:textId="77777777">
      <w:pPr>
        <w:pStyle w:val="FootnoteText"/>
      </w:pPr>
      <w:r w:rsidRPr="004539A7">
        <w:rPr>
          <w:rStyle w:val="FootnoteReference"/>
        </w:rPr>
        <w:footnoteRef/>
      </w:r>
      <w:r w:rsidRPr="004539A7">
        <w:t xml:space="preserve"> </w:t>
      </w:r>
      <w:r w:rsidRPr="004539A7">
        <w:rPr>
          <w:i/>
          <w:iCs/>
        </w:rPr>
        <w:t>KYUP FNPRM</w:t>
      </w:r>
      <w:r w:rsidRPr="004539A7">
        <w:t>, FCC 26-32, at 11-18, paras. 20-28.</w:t>
      </w:r>
    </w:p>
  </w:footnote>
  <w:footnote w:id="25">
    <w:p w:rsidR="005919ED" w:rsidRPr="004539A7" w:rsidP="005919ED" w14:paraId="0DABD816" w14:textId="77777777">
      <w:pPr>
        <w:pStyle w:val="FootnoteText"/>
      </w:pPr>
      <w:r w:rsidRPr="004539A7">
        <w:rPr>
          <w:rStyle w:val="FootnoteReference"/>
        </w:rPr>
        <w:footnoteRef/>
      </w:r>
      <w:r w:rsidRPr="004539A7">
        <w:t xml:space="preserve"> </w:t>
      </w:r>
      <w:r>
        <w:rPr>
          <w:i/>
          <w:iCs/>
        </w:rPr>
        <w:t>Id.</w:t>
      </w:r>
      <w:r w:rsidRPr="004539A7">
        <w:t xml:space="preserve"> at </w:t>
      </w:r>
      <w:r>
        <w:t>11-14</w:t>
      </w:r>
      <w:r w:rsidRPr="004539A7">
        <w:t>, paras. 20-21.</w:t>
      </w:r>
    </w:p>
  </w:footnote>
  <w:footnote w:id="26">
    <w:p w:rsidR="005919ED" w:rsidRPr="004539A7" w:rsidP="005919ED" w14:paraId="148D8C14" w14:textId="77777777">
      <w:pPr>
        <w:pStyle w:val="FootnoteText"/>
      </w:pPr>
      <w:r w:rsidRPr="004539A7">
        <w:rPr>
          <w:rStyle w:val="FootnoteReference"/>
        </w:rPr>
        <w:footnoteRef/>
      </w:r>
      <w:r w:rsidRPr="004539A7">
        <w:t xml:space="preserve"> </w:t>
      </w:r>
      <w:r w:rsidRPr="004539A7">
        <w:rPr>
          <w:i/>
          <w:iCs/>
        </w:rPr>
        <w:t>KYUP FNPRM</w:t>
      </w:r>
      <w:r w:rsidRPr="004539A7">
        <w:t xml:space="preserve">, FCC 26-32, at 37-49, paras. 72-101; </w:t>
      </w:r>
      <w:r w:rsidRPr="004539A7">
        <w:rPr>
          <w:i/>
          <w:iCs/>
        </w:rPr>
        <w:t>see also id.</w:t>
      </w:r>
      <w:r w:rsidRPr="004539A7">
        <w:t xml:space="preserve"> at 37, para. 72 (“[W]e seek to define important terms that describe all aspects of the transmission of a call, from the point it is initiated by a calling party to the point it is received by the call recipient, and all voice service provider types that play a role in this transmission.”).</w:t>
      </w:r>
    </w:p>
  </w:footnote>
  <w:footnote w:id="27">
    <w:p w:rsidR="005919ED" w:rsidRPr="004539A7" w:rsidP="005919ED" w14:paraId="154384B4" w14:textId="77777777">
      <w:pPr>
        <w:pStyle w:val="FootnoteText"/>
      </w:pPr>
      <w:r w:rsidRPr="004539A7">
        <w:rPr>
          <w:rStyle w:val="FootnoteReference"/>
        </w:rPr>
        <w:footnoteRef/>
      </w:r>
      <w:r w:rsidRPr="004539A7">
        <w:t xml:space="preserve"> </w:t>
      </w:r>
      <w:r w:rsidRPr="004539A7">
        <w:rPr>
          <w:i/>
          <w:iCs/>
        </w:rPr>
        <w:t>See</w:t>
      </w:r>
      <w:r w:rsidRPr="004539A7">
        <w:t xml:space="preserve"> </w:t>
      </w:r>
      <w:r>
        <w:rPr>
          <w:i/>
          <w:iCs/>
        </w:rPr>
        <w:t>id.</w:t>
      </w:r>
      <w:r>
        <w:t xml:space="preserve"> </w:t>
      </w:r>
      <w:r w:rsidRPr="004539A7">
        <w:t>at 50-51, para. 103.</w:t>
      </w:r>
    </w:p>
  </w:footnote>
  <w:footnote w:id="28">
    <w:p w:rsidR="005919ED" w:rsidRPr="004539A7" w:rsidP="005919ED" w14:paraId="5A46B206" w14:textId="77777777">
      <w:pPr>
        <w:pStyle w:val="FootnoteText"/>
      </w:pPr>
      <w:r w:rsidRPr="004539A7">
        <w:rPr>
          <w:rStyle w:val="FootnoteReference"/>
        </w:rPr>
        <w:footnoteRef/>
      </w:r>
      <w:r w:rsidRPr="004539A7">
        <w:t xml:space="preserve"> </w:t>
      </w:r>
      <w:r w:rsidRPr="004539A7">
        <w:rPr>
          <w:i/>
          <w:iCs/>
        </w:rPr>
        <w:t xml:space="preserve">See </w:t>
      </w:r>
      <w:r w:rsidRPr="004539A7">
        <w:rPr>
          <w:i/>
          <w:iCs/>
        </w:rPr>
        <w:t>infra</w:t>
      </w:r>
      <w:r w:rsidRPr="004539A7">
        <w:t xml:space="preserve"> Appx</w:t>
      </w:r>
      <w:r w:rsidRPr="004539A7">
        <w:t>. A.</w:t>
      </w:r>
    </w:p>
  </w:footnote>
  <w:footnote w:id="29">
    <w:p w:rsidR="005919ED" w:rsidRPr="004539A7" w:rsidP="005919ED" w14:paraId="652878B4" w14:textId="77777777">
      <w:pPr>
        <w:pStyle w:val="FootnoteText"/>
      </w:pPr>
      <w:r w:rsidRPr="004539A7">
        <w:rPr>
          <w:rStyle w:val="FootnoteReference"/>
        </w:rPr>
        <w:footnoteRef/>
      </w:r>
      <w:r w:rsidRPr="004539A7">
        <w:t xml:space="preserve"> </w:t>
      </w:r>
      <w:r w:rsidRPr="004539A7">
        <w:rPr>
          <w:i/>
          <w:iCs/>
        </w:rPr>
        <w:t>KYUP FNPRM</w:t>
      </w:r>
      <w:r w:rsidRPr="004539A7">
        <w:t xml:space="preserve">, FCC 26-32, at Appx. A.  As a technical matter, the rules proposed in Appendix A, </w:t>
      </w:r>
      <w:r w:rsidRPr="004539A7">
        <w:rPr>
          <w:i/>
          <w:iCs/>
        </w:rPr>
        <w:t>infra</w:t>
      </w:r>
      <w:r w:rsidRPr="004539A7">
        <w:t xml:space="preserve">, are drafted with reference to the rules that are currently in effect and not those proposed in the </w:t>
      </w:r>
      <w:r w:rsidRPr="004539A7">
        <w:rPr>
          <w:i/>
          <w:iCs/>
        </w:rPr>
        <w:t>KYUP FNPRM</w:t>
      </w:r>
      <w:r w:rsidRPr="004539A7">
        <w:t xml:space="preserve">.  However, since some of our proposed rules here rely on the proposed changes in that </w:t>
      </w:r>
      <w:r w:rsidRPr="004539A7">
        <w:rPr>
          <w:i/>
          <w:iCs/>
        </w:rPr>
        <w:t>FNPRM</w:t>
      </w:r>
      <w:r w:rsidRPr="004539A7">
        <w:t>, we incorporate those proposals by reference and have drafted our proposed rules in Appendix A accordingly.</w:t>
      </w:r>
    </w:p>
  </w:footnote>
  <w:footnote w:id="30">
    <w:p w:rsidR="005919ED" w:rsidRPr="004539A7" w:rsidP="005919ED" w14:paraId="5CAB7A24" w14:textId="77777777">
      <w:pPr>
        <w:pStyle w:val="FootnoteText"/>
      </w:pPr>
      <w:r w:rsidRPr="004539A7">
        <w:rPr>
          <w:rStyle w:val="FootnoteReference"/>
        </w:rPr>
        <w:footnoteRef/>
      </w:r>
      <w:r w:rsidRPr="004539A7">
        <w:t xml:space="preserve"> </w:t>
      </w:r>
      <w:r w:rsidRPr="004539A7">
        <w:rPr>
          <w:i/>
          <w:iCs/>
        </w:rPr>
        <w:t>See</w:t>
      </w:r>
      <w:r w:rsidRPr="004539A7">
        <w:t xml:space="preserve"> </w:t>
      </w:r>
      <w:r>
        <w:rPr>
          <w:i/>
          <w:iCs/>
        </w:rPr>
        <w:t>id.</w:t>
      </w:r>
      <w:r w:rsidRPr="004539A7">
        <w:t xml:space="preserve"> at</w:t>
      </w:r>
      <w:r w:rsidRPr="004539A7">
        <w:rPr>
          <w:i/>
          <w:iCs/>
        </w:rPr>
        <w:t xml:space="preserve"> </w:t>
      </w:r>
      <w:r w:rsidRPr="004539A7">
        <w:t>2-3, para. 3.</w:t>
      </w:r>
    </w:p>
  </w:footnote>
  <w:footnote w:id="31">
    <w:p w:rsidR="005919ED" w:rsidRPr="004539A7" w:rsidP="005919ED" w14:paraId="39798E5F" w14:textId="77777777">
      <w:pPr>
        <w:pStyle w:val="FootnoteText"/>
      </w:pPr>
      <w:r w:rsidRPr="004539A7">
        <w:rPr>
          <w:rStyle w:val="FootnoteReference"/>
        </w:rPr>
        <w:footnoteRef/>
      </w:r>
      <w:r w:rsidRPr="004539A7">
        <w:t xml:space="preserve"> </w:t>
      </w:r>
      <w:r w:rsidRPr="004539A7">
        <w:rPr>
          <w:i/>
          <w:iCs/>
        </w:rPr>
        <w:t xml:space="preserve">See </w:t>
      </w:r>
      <w:r>
        <w:rPr>
          <w:i/>
          <w:iCs/>
        </w:rPr>
        <w:t>id.</w:t>
      </w:r>
      <w:r w:rsidRPr="004539A7">
        <w:t xml:space="preserve"> at 37, para. 72 (putting forth “a variety of proposals to amend or adopt [definitions in 64.6300] to ensure that our [caller ID authentication] rules are precise, clear, administrable, and do not enable bad actor providers to skirt their obligations”); </w:t>
      </w:r>
      <w:r w:rsidRPr="004539A7">
        <w:rPr>
          <w:i/>
          <w:iCs/>
        </w:rPr>
        <w:t>id.</w:t>
      </w:r>
      <w:r w:rsidRPr="004539A7">
        <w:t xml:space="preserve"> at 37-51, paras. 73-103 (proposing new or amended definitions for voice service and voice service provider, initiation and initiating provider, origination and originating provider, intermediate provider, gateway provider, non-gateway intermediate provider, termination and terminating provider, facilities-based provider and non-facilities-based provider, upstream and downstream, and customer and end user).</w:t>
      </w:r>
    </w:p>
  </w:footnote>
  <w:footnote w:id="32">
    <w:p w:rsidR="005919ED" w:rsidRPr="004539A7" w:rsidP="005919ED" w14:paraId="07579D72" w14:textId="77777777">
      <w:pPr>
        <w:pStyle w:val="FootnoteText"/>
      </w:pPr>
      <w:r w:rsidRPr="004539A7">
        <w:rPr>
          <w:rStyle w:val="FootnoteReference"/>
        </w:rPr>
        <w:footnoteRef/>
      </w:r>
      <w:r w:rsidRPr="004539A7">
        <w:t xml:space="preserve"> We also proposed, in the </w:t>
      </w:r>
      <w:r w:rsidRPr="004539A7">
        <w:rPr>
          <w:i/>
          <w:iCs/>
        </w:rPr>
        <w:t>KYUP FNPRM</w:t>
      </w:r>
      <w:r w:rsidRPr="004539A7">
        <w:t>, to harmonize our interpretation of “voice service</w:t>
      </w:r>
      <w:r>
        <w:t>,</w:t>
      </w:r>
      <w:r w:rsidRPr="004539A7">
        <w:t>” as used for our RMD and caller ID authentication rules</w:t>
      </w:r>
      <w:r>
        <w:t>,</w:t>
      </w:r>
      <w:r w:rsidRPr="004539A7">
        <w:t xml:space="preserve"> with our interpretation of “voice service</w:t>
      </w:r>
      <w:r>
        <w:t>,</w:t>
      </w:r>
      <w:r w:rsidRPr="004539A7">
        <w:t>” as used for our other rules for combatting illegal robocalls, and in revisiting this issue, we do not intend to separate those interpretations again, but rather to clarify the meaning of “voice service</w:t>
      </w:r>
      <w:r>
        <w:t>,</w:t>
      </w:r>
      <w:r w:rsidRPr="004539A7">
        <w:t xml:space="preserve">” as it applies to all of our rules targeting illegal calls.  </w:t>
      </w:r>
      <w:r w:rsidRPr="004539A7">
        <w:rPr>
          <w:i/>
          <w:iCs/>
        </w:rPr>
        <w:t>KYUP FNPRM</w:t>
      </w:r>
      <w:r w:rsidRPr="004539A7">
        <w:t xml:space="preserve">, FCC 26-32, at 38-39, paras. 76-77. </w:t>
      </w:r>
    </w:p>
  </w:footnote>
  <w:footnote w:id="33">
    <w:p w:rsidR="005919ED" w:rsidRPr="004539A7" w:rsidP="005919ED" w14:paraId="473FC41A" w14:textId="77777777">
      <w:pPr>
        <w:pStyle w:val="FootnoteText"/>
        <w:rPr>
          <w:i/>
          <w:iCs/>
        </w:rPr>
      </w:pPr>
      <w:r w:rsidRPr="004539A7">
        <w:rPr>
          <w:rStyle w:val="FootnoteReference"/>
        </w:rPr>
        <w:footnoteRef/>
      </w:r>
      <w:r w:rsidRPr="004539A7">
        <w:t xml:space="preserve"> </w:t>
      </w:r>
      <w:r w:rsidRPr="004539A7">
        <w:rPr>
          <w:i/>
          <w:iCs/>
        </w:rPr>
        <w:t>See First Caller ID Authentication Order</w:t>
      </w:r>
      <w:r w:rsidRPr="004539A7">
        <w:t xml:space="preserve">, 35 FCC </w:t>
      </w:r>
      <w:r w:rsidRPr="004539A7">
        <w:t>Rcd</w:t>
      </w:r>
      <w:r w:rsidRPr="004539A7">
        <w:t xml:space="preserve"> at 3259-60, paras. 37-39 (stating that for purposes of the Commission’s rules it will adopt a definition of voice service that aligns with the TRACED Act and noting that “[t]he TRACED Act employs a broad definition of ‘voice service’”).</w:t>
      </w:r>
    </w:p>
  </w:footnote>
  <w:footnote w:id="34">
    <w:p w:rsidR="005919ED" w:rsidRPr="004539A7" w:rsidP="005919ED" w14:paraId="7453014B" w14:textId="77777777">
      <w:pPr>
        <w:pStyle w:val="FootnoteText"/>
      </w:pPr>
      <w:r w:rsidRPr="004539A7">
        <w:rPr>
          <w:rStyle w:val="FootnoteReference"/>
        </w:rPr>
        <w:footnoteRef/>
      </w:r>
      <w:r w:rsidRPr="004539A7">
        <w:t xml:space="preserve"> </w:t>
      </w:r>
      <w:r w:rsidRPr="004539A7">
        <w:rPr>
          <w:i/>
          <w:iCs/>
        </w:rPr>
        <w:t>See KYUP FNPRM</w:t>
      </w:r>
      <w:r w:rsidRPr="004539A7">
        <w:t>, FCC 26-32, at 37-39, paras. 73-78.</w:t>
      </w:r>
    </w:p>
  </w:footnote>
  <w:footnote w:id="35">
    <w:p w:rsidR="005919ED" w:rsidRPr="004539A7" w:rsidP="005919ED" w14:paraId="2F659102" w14:textId="77777777">
      <w:pPr>
        <w:pStyle w:val="FootnoteText"/>
      </w:pPr>
      <w:r w:rsidRPr="004539A7">
        <w:rPr>
          <w:rStyle w:val="FootnoteReference"/>
        </w:rPr>
        <w:footnoteRef/>
      </w:r>
      <w:r w:rsidRPr="004539A7">
        <w:t xml:space="preserve"> 47 U.S.C. § 227b(a)(2); 47 CFR § 64.6300(o).</w:t>
      </w:r>
    </w:p>
  </w:footnote>
  <w:footnote w:id="36">
    <w:p w:rsidR="005919ED" w:rsidRPr="004539A7" w:rsidP="005919ED" w14:paraId="6678CFD1" w14:textId="77777777">
      <w:pPr>
        <w:pStyle w:val="FootnoteText"/>
      </w:pPr>
      <w:r w:rsidRPr="004539A7">
        <w:rPr>
          <w:rStyle w:val="FootnoteReference"/>
        </w:rPr>
        <w:footnoteRef/>
      </w:r>
      <w:r w:rsidRPr="004539A7">
        <w:t xml:space="preserve"> 47 U.S.C. § 227b(a)(2). </w:t>
      </w:r>
    </w:p>
  </w:footnote>
  <w:footnote w:id="37">
    <w:p w:rsidR="005919ED" w:rsidRPr="004539A7" w:rsidP="005919ED" w14:paraId="43C979D0" w14:textId="77777777">
      <w:pPr>
        <w:pStyle w:val="FootnoteText"/>
      </w:pPr>
      <w:r w:rsidRPr="004539A7">
        <w:rPr>
          <w:rStyle w:val="FootnoteReference"/>
        </w:rPr>
        <w:footnoteRef/>
      </w:r>
      <w:r w:rsidRPr="004539A7">
        <w:t xml:space="preserve"> </w:t>
      </w:r>
      <w:r w:rsidRPr="004539A7">
        <w:rPr>
          <w:i/>
          <w:iCs/>
        </w:rPr>
        <w:t>KYUP FNPRM</w:t>
      </w:r>
      <w:r w:rsidRPr="004539A7">
        <w:t xml:space="preserve">, FCC 26-32, at 38-39, para. 76; </w:t>
      </w:r>
      <w:r w:rsidRPr="004539A7">
        <w:rPr>
          <w:i/>
          <w:iCs/>
        </w:rPr>
        <w:t xml:space="preserve">see also </w:t>
      </w:r>
      <w:r w:rsidRPr="004539A7">
        <w:t>Consolidated Appropriations Act, 2018, Pub. L. 115-141, 132 Stat. 348, 1092 § 503(a)(2)(E) (codified at 47 U.S.C.§ 227(e)(8)(E)) (defining “voice service” as “any service that is interconnected with the public switched telephone network and that furnishes voice communications to an end user using resources from the North American Numbering Plan or any successor to the North American Numbering Plan adopted by the Commission under section 251(e)(1)” of the Communications Act of 1934, as amended; and “[</w:t>
      </w:r>
      <w:r w:rsidRPr="004539A7">
        <w:t>i</w:t>
      </w:r>
      <w:r w:rsidRPr="004539A7">
        <w:t>]</w:t>
      </w:r>
      <w:r w:rsidRPr="004539A7">
        <w:t>ncludes</w:t>
      </w:r>
      <w:r w:rsidRPr="004539A7">
        <w:t xml:space="preserve"> transmissions from a telephone facsimile machine, computer, or other device to a telephone facsimile machine”). </w:t>
      </w:r>
    </w:p>
  </w:footnote>
  <w:footnote w:id="38">
    <w:p w:rsidR="005919ED" w:rsidRPr="004539A7" w:rsidP="005919ED" w14:paraId="23530831" w14:textId="77777777">
      <w:pPr>
        <w:pStyle w:val="FootnoteText"/>
      </w:pPr>
      <w:r w:rsidRPr="004539A7">
        <w:rPr>
          <w:rStyle w:val="FootnoteReference"/>
        </w:rPr>
        <w:footnoteRef/>
      </w:r>
      <w:r w:rsidRPr="004539A7">
        <w:t xml:space="preserve"> </w:t>
      </w:r>
      <w:r w:rsidRPr="004539A7">
        <w:rPr>
          <w:i/>
          <w:iCs/>
        </w:rPr>
        <w:t>See KYUP FNPRM</w:t>
      </w:r>
      <w:r w:rsidRPr="004539A7">
        <w:t>, FCC 26-32, at 39, para. 76 (expressing our view that the TRACED Act’s definition of “voice service” does not “foreclose a reading that .</w:t>
      </w:r>
      <w:r>
        <w:t> </w:t>
      </w:r>
      <w:r w:rsidRPr="004539A7">
        <w:t>.</w:t>
      </w:r>
      <w:r>
        <w:t> </w:t>
      </w:r>
      <w:r w:rsidRPr="004539A7">
        <w:t xml:space="preserve">. voice communications may be furnished to an end user </w:t>
      </w:r>
      <w:r w:rsidRPr="004539A7">
        <w:rPr>
          <w:i/>
          <w:iCs/>
        </w:rPr>
        <w:t>indirectly</w:t>
      </w:r>
      <w:r w:rsidRPr="004539A7">
        <w:t>”) (emphasis in original).</w:t>
      </w:r>
    </w:p>
  </w:footnote>
  <w:footnote w:id="39">
    <w:p w:rsidR="005919ED" w:rsidRPr="004539A7" w:rsidP="005919ED" w14:paraId="436DFB4B" w14:textId="77777777">
      <w:pPr>
        <w:pStyle w:val="FootnoteText"/>
      </w:pPr>
      <w:r w:rsidRPr="004539A7">
        <w:rPr>
          <w:rStyle w:val="FootnoteReference"/>
        </w:rPr>
        <w:footnoteRef/>
      </w:r>
      <w:r w:rsidRPr="004539A7">
        <w:t xml:space="preserve"> </w:t>
      </w:r>
      <w:r w:rsidRPr="004539A7">
        <w:rPr>
          <w:i/>
          <w:iCs/>
        </w:rPr>
        <w:t>Service</w:t>
      </w:r>
      <w:r w:rsidRPr="004539A7">
        <w:t xml:space="preserve">, Cambridge Dictionary, </w:t>
      </w:r>
      <w:hyperlink r:id="rId3" w:history="1">
        <w:r w:rsidRPr="004539A7">
          <w:rPr>
            <w:rStyle w:val="Hyperlink"/>
          </w:rPr>
          <w:t>https://dictionary.cambridge.org/us/dictionary/english/service</w:t>
        </w:r>
      </w:hyperlink>
      <w:r w:rsidRPr="004539A7">
        <w:t xml:space="preserve"> (last visited </w:t>
      </w:r>
      <w:r>
        <w:t>July 20</w:t>
      </w:r>
      <w:r w:rsidRPr="004539A7">
        <w:t>, 2026).</w:t>
      </w:r>
    </w:p>
  </w:footnote>
  <w:footnote w:id="40">
    <w:p w:rsidR="005919ED" w:rsidP="005919ED" w14:paraId="6D4E4EA0" w14:textId="77777777">
      <w:pPr>
        <w:pStyle w:val="FootnoteText"/>
      </w:pPr>
      <w:r>
        <w:rPr>
          <w:rStyle w:val="FootnoteReference"/>
        </w:rPr>
        <w:footnoteRef/>
      </w:r>
      <w:r>
        <w:t xml:space="preserve"> </w:t>
      </w:r>
      <w:r w:rsidRPr="00A1676B">
        <w:rPr>
          <w:i/>
          <w:iCs/>
        </w:rPr>
        <w:t>Interconnected</w:t>
      </w:r>
      <w:r w:rsidRPr="00A1676B">
        <w:t xml:space="preserve">, Cambridge Dictionary, </w:t>
      </w:r>
      <w:hyperlink r:id="rId4">
        <w:r w:rsidRPr="00A1676B">
          <w:rPr>
            <w:rStyle w:val="Hyperlink"/>
          </w:rPr>
          <w:t>https://dictionary.cambridge.org/us/dictionary/english/interconnected</w:t>
        </w:r>
      </w:hyperlink>
      <w:r w:rsidRPr="00A1676B">
        <w:t xml:space="preserve"> (last visited July 20, 2026); </w:t>
      </w:r>
      <w:r w:rsidRPr="00A1676B">
        <w:rPr>
          <w:i/>
          <w:iCs/>
        </w:rPr>
        <w:t>see also Second Caller ID Authentication Order</w:t>
      </w:r>
      <w:r w:rsidRPr="00A1676B">
        <w:t xml:space="preserve">, 36 FCC </w:t>
      </w:r>
      <w:r w:rsidRPr="00A1676B">
        <w:t>Rcd</w:t>
      </w:r>
      <w:r w:rsidRPr="00A1676B">
        <w:t xml:space="preserve"> </w:t>
      </w:r>
      <w:r w:rsidRPr="00A1676B">
        <w:t>at</w:t>
      </w:r>
      <w:r w:rsidRPr="00A1676B">
        <w:t xml:space="preserve"> 1870, para. 22 (supporting a “broad reading” of the term “interconnected” in the TRACED Act’s definition of “voice service” and explaining that the Commission interpreted the term “interconnected” in the “context of our Truth in Caller ID rules . . . in a substantially similar definition to ‘voice service’ in the RAY BAUM’s Act to include any service that allows voice communications either to or from the public switched telephone network (PSTN), regardless of whether inbound and outbound communications [were] enabled within the same service”); </w:t>
      </w:r>
      <w:r w:rsidRPr="00947BBB">
        <w:t>47 U.S.C. § 153(25)</w:t>
      </w:r>
      <w:r w:rsidRPr="00A1676B">
        <w:t xml:space="preserve"> (defining “Interconnected VoIP service” as having the meaning in section 9.3 of the Commission’s rules); </w:t>
      </w:r>
      <w:r w:rsidRPr="00964F9D">
        <w:rPr>
          <w:i/>
        </w:rPr>
        <w:t>id.</w:t>
      </w:r>
      <w:r w:rsidRPr="00964F9D">
        <w:t xml:space="preserve"> </w:t>
      </w:r>
      <w:r w:rsidRPr="00964F9D">
        <w:t>§ 332(d)(2) (</w:t>
      </w:r>
      <w:r w:rsidRPr="00A1676B">
        <w:t>defining “interconnected</w:t>
      </w:r>
      <w:r w:rsidRPr="00964F9D">
        <w:t xml:space="preserve"> service” in relation to the PSTN); </w:t>
      </w:r>
      <w:r w:rsidRPr="00947BBB">
        <w:t>47 CFR § 9.3</w:t>
      </w:r>
      <w:r w:rsidRPr="00964F9D">
        <w:t xml:space="preserve"> (</w:t>
      </w:r>
      <w:r w:rsidRPr="00A1676B">
        <w:t>defining “Interconnected</w:t>
      </w:r>
      <w:r w:rsidRPr="00964F9D">
        <w:t xml:space="preserve"> VoIP service” in relation to the PSTN);</w:t>
      </w:r>
      <w:r w:rsidRPr="00947BBB">
        <w:t xml:space="preserve"> </w:t>
      </w:r>
      <w:r w:rsidRPr="005B09C3">
        <w:rPr>
          <w:i/>
        </w:rPr>
        <w:t>id.</w:t>
      </w:r>
      <w:r w:rsidRPr="00947BBB">
        <w:t xml:space="preserve"> § 20.3</w:t>
      </w:r>
      <w:r w:rsidRPr="00964F9D">
        <w:t xml:space="preserve"> (</w:t>
      </w:r>
      <w:r w:rsidRPr="00A1676B">
        <w:t>defining “Interconnected</w:t>
      </w:r>
      <w:r w:rsidRPr="00964F9D">
        <w:t xml:space="preserve"> service” in relation to the PSTN).</w:t>
      </w:r>
    </w:p>
  </w:footnote>
  <w:footnote w:id="41">
    <w:p w:rsidR="005919ED" w:rsidRPr="004539A7" w:rsidP="005919ED" w14:paraId="702B3CEB" w14:textId="77777777">
      <w:pPr>
        <w:pStyle w:val="FootnoteText"/>
      </w:pPr>
      <w:r w:rsidRPr="004539A7">
        <w:rPr>
          <w:rStyle w:val="FootnoteReference"/>
        </w:rPr>
        <w:footnoteRef/>
      </w:r>
      <w:r w:rsidRPr="004539A7">
        <w:t xml:space="preserve"> </w:t>
      </w:r>
      <w:r w:rsidRPr="004539A7">
        <w:rPr>
          <w:i/>
          <w:iCs/>
        </w:rPr>
        <w:t>Furnish</w:t>
      </w:r>
      <w:r w:rsidRPr="004539A7">
        <w:t xml:space="preserve">, Cambridge Dictionary, </w:t>
      </w:r>
      <w:hyperlink r:id="rId5" w:history="1">
        <w:r w:rsidRPr="004539A7">
          <w:rPr>
            <w:rStyle w:val="Hyperlink"/>
          </w:rPr>
          <w:t>https://dictionary.cambridge.org/us/dictionary/english/furnish</w:t>
        </w:r>
      </w:hyperlink>
      <w:r w:rsidRPr="004539A7">
        <w:t xml:space="preserve"> (last visited </w:t>
      </w:r>
      <w:r>
        <w:t>July 20</w:t>
      </w:r>
      <w:r w:rsidRPr="004539A7">
        <w:t>, 2026).</w:t>
      </w:r>
    </w:p>
  </w:footnote>
  <w:footnote w:id="42">
    <w:p w:rsidR="005919ED" w:rsidRPr="004539A7" w:rsidP="005919ED" w14:paraId="45CCF9AF" w14:textId="77777777">
      <w:pPr>
        <w:pStyle w:val="FootnoteText"/>
      </w:pPr>
      <w:r w:rsidRPr="004539A7">
        <w:rPr>
          <w:rStyle w:val="FootnoteReference"/>
        </w:rPr>
        <w:footnoteRef/>
      </w:r>
      <w:r w:rsidRPr="004539A7">
        <w:t xml:space="preserve"> </w:t>
      </w:r>
      <w:r w:rsidRPr="004539A7">
        <w:rPr>
          <w:i/>
          <w:iCs/>
        </w:rPr>
        <w:t>Enable</w:t>
      </w:r>
      <w:r w:rsidRPr="004539A7">
        <w:t xml:space="preserve">, Cambridge Dictionary, </w:t>
      </w:r>
      <w:hyperlink r:id="rId6" w:history="1">
        <w:r w:rsidRPr="004539A7">
          <w:rPr>
            <w:rStyle w:val="Hyperlink"/>
          </w:rPr>
          <w:t>https://dictionary.cambridge.org/us/dictionary/english/enable</w:t>
        </w:r>
      </w:hyperlink>
      <w:r w:rsidRPr="004539A7">
        <w:t xml:space="preserve"> (last visited </w:t>
      </w:r>
      <w:r>
        <w:t>July 20</w:t>
      </w:r>
      <w:r w:rsidRPr="004539A7">
        <w:t>, 2026).</w:t>
      </w:r>
    </w:p>
  </w:footnote>
  <w:footnote w:id="43">
    <w:p w:rsidR="005919ED" w:rsidRPr="004539A7" w:rsidP="005919ED" w14:paraId="63938138" w14:textId="77777777">
      <w:pPr>
        <w:pStyle w:val="FootnoteText"/>
      </w:pPr>
      <w:r w:rsidRPr="004539A7">
        <w:rPr>
          <w:rStyle w:val="FootnoteReference"/>
        </w:rPr>
        <w:footnoteRef/>
      </w:r>
      <w:r w:rsidRPr="004539A7">
        <w:t xml:space="preserve"> </w:t>
      </w:r>
      <w:r w:rsidRPr="004539A7">
        <w:rPr>
          <w:i/>
          <w:iCs/>
        </w:rPr>
        <w:t>KYUP FNPRM</w:t>
      </w:r>
      <w:r w:rsidRPr="004539A7">
        <w:t>, FCC 26-32, at 39, para. 78.</w:t>
      </w:r>
    </w:p>
  </w:footnote>
  <w:footnote w:id="44">
    <w:p w:rsidR="005919ED" w:rsidRPr="004539A7" w:rsidP="005919ED" w14:paraId="2CD12899" w14:textId="77777777">
      <w:pPr>
        <w:pStyle w:val="FootnoteText"/>
      </w:pPr>
      <w:r w:rsidRPr="004539A7">
        <w:rPr>
          <w:rStyle w:val="FootnoteReference"/>
        </w:rPr>
        <w:footnoteRef/>
      </w:r>
      <w:r w:rsidRPr="004539A7">
        <w:t xml:space="preserve"> </w:t>
      </w:r>
      <w:r w:rsidRPr="004539A7">
        <w:rPr>
          <w:i/>
          <w:iCs/>
        </w:rPr>
        <w:t>First Caller ID Authentication Order</w:t>
      </w:r>
      <w:r w:rsidRPr="004539A7">
        <w:t xml:space="preserve">, 35 FCC </w:t>
      </w:r>
      <w:r w:rsidRPr="004539A7">
        <w:t>Rcd</w:t>
      </w:r>
      <w:r w:rsidRPr="004539A7">
        <w:t xml:space="preserve"> at 3259-60, para. 39 (stating that the STIR/SHAKEN implementation mandate applies “to all types of ‘voice service providers—wireline, wireless, and [VoIP] providers’”).</w:t>
      </w:r>
    </w:p>
  </w:footnote>
  <w:footnote w:id="45">
    <w:p w:rsidR="005919ED" w:rsidRPr="004539A7" w:rsidP="005919ED" w14:paraId="6F0F3498" w14:textId="77777777">
      <w:pPr>
        <w:pStyle w:val="FootnoteText"/>
      </w:pPr>
      <w:r w:rsidRPr="004539A7">
        <w:rPr>
          <w:rStyle w:val="FootnoteReference"/>
        </w:rPr>
        <w:footnoteRef/>
      </w:r>
      <w:r w:rsidRPr="004539A7">
        <w:t xml:space="preserve"> 47 U.S.C. § 227b(a)(2); </w:t>
      </w:r>
      <w:r w:rsidRPr="004539A7">
        <w:rPr>
          <w:i/>
          <w:iCs/>
        </w:rPr>
        <w:t>see also</w:t>
      </w:r>
      <w:r w:rsidRPr="004539A7">
        <w:t xml:space="preserve"> </w:t>
      </w:r>
      <w:r w:rsidRPr="004539A7">
        <w:rPr>
          <w:i/>
          <w:iCs/>
        </w:rPr>
        <w:t>KYUP FNPRM</w:t>
      </w:r>
      <w:r w:rsidRPr="004539A7">
        <w:t>, FCC 26-32, at 46-</w:t>
      </w:r>
      <w:r>
        <w:t>4</w:t>
      </w:r>
      <w:r w:rsidRPr="004539A7">
        <w:t xml:space="preserve">7, para. 96 (seeking comment on whether assumptions regarding the proposed definition of “facilities-based provider” remain true for </w:t>
      </w:r>
      <w:r>
        <w:t>“</w:t>
      </w:r>
      <w:r w:rsidRPr="004539A7">
        <w:t>PBX (hosted or otherwise), dialing platforms, cloud service providers, over-the-top service providers, call centers, value-added-service providers, or TNSPs</w:t>
      </w:r>
      <w:r>
        <w:t>”</w:t>
      </w:r>
      <w:r w:rsidRPr="004539A7">
        <w:t xml:space="preserve">). </w:t>
      </w:r>
    </w:p>
  </w:footnote>
  <w:footnote w:id="46">
    <w:p w:rsidR="005919ED" w:rsidRPr="004539A7" w:rsidP="005919ED" w14:paraId="3561A235" w14:textId="77777777">
      <w:pPr>
        <w:pStyle w:val="FootnoteText"/>
      </w:pPr>
      <w:r w:rsidRPr="004539A7">
        <w:rPr>
          <w:rStyle w:val="FootnoteReference"/>
        </w:rPr>
        <w:footnoteRef/>
      </w:r>
      <w:r w:rsidRPr="004539A7">
        <w:t xml:space="preserve"> </w:t>
      </w:r>
      <w:r w:rsidRPr="004539A7">
        <w:rPr>
          <w:i/>
          <w:iCs/>
        </w:rPr>
        <w:t>See, e.g.</w:t>
      </w:r>
      <w:r w:rsidRPr="004539A7">
        <w:t>, 47 U.S.C. § 227b(a)(2)(A)-(B) (including VoIP within the definition of “voice service” notwithstanding that VoIP has not been classified as a telecommunications service or information service).</w:t>
      </w:r>
    </w:p>
  </w:footnote>
  <w:footnote w:id="47">
    <w:p w:rsidR="005919ED" w:rsidRPr="004539A7" w:rsidP="005919ED" w14:paraId="7D988FCF" w14:textId="77777777">
      <w:pPr>
        <w:pStyle w:val="FootnoteText"/>
      </w:pPr>
      <w:r w:rsidRPr="004539A7">
        <w:rPr>
          <w:rStyle w:val="FootnoteReference"/>
        </w:rPr>
        <w:footnoteRef/>
      </w:r>
      <w:r w:rsidRPr="004539A7">
        <w:t xml:space="preserve"> </w:t>
      </w:r>
      <w:r w:rsidRPr="004539A7">
        <w:rPr>
          <w:i/>
          <w:iCs/>
        </w:rPr>
        <w:t>See KYUP FNPRM</w:t>
      </w:r>
      <w:r w:rsidRPr="004539A7">
        <w:t xml:space="preserve">, FCC 26-32, at 50, para. 103 (proposing to define “end user” as the “ultimate consumer of voice service”).  </w:t>
      </w:r>
    </w:p>
  </w:footnote>
  <w:footnote w:id="48">
    <w:p w:rsidR="005919ED" w:rsidRPr="004539A7" w:rsidP="005919ED" w14:paraId="60D2001E" w14:textId="77777777">
      <w:pPr>
        <w:pStyle w:val="FootnoteText"/>
      </w:pPr>
      <w:r w:rsidRPr="004539A7">
        <w:rPr>
          <w:rStyle w:val="FootnoteReference"/>
        </w:rPr>
        <w:footnoteRef/>
      </w:r>
      <w:r w:rsidRPr="004539A7">
        <w:t xml:space="preserve"> </w:t>
      </w:r>
      <w:r w:rsidRPr="004539A7">
        <w:rPr>
          <w:i/>
          <w:iCs/>
        </w:rPr>
        <w:t xml:space="preserve">See </w:t>
      </w:r>
      <w:r w:rsidRPr="004539A7">
        <w:t>47 CFR § 64.6305(g)(2) (“Beginning April 11, 2023, intermediate providers and voice service providers shall accept calls directly from a foreign voice service provider or foreign intermediate provider that uses [NANP] resources that pertain to the United States in the caller ID field to send voice traffic to residential or business subscribers in the United States, only if that foreign provider’s filing appears in the [RMD] in accordance with paragraph (d) of this section and that filing has not been de-listed pursuant to an enforcement action.”).</w:t>
      </w:r>
    </w:p>
  </w:footnote>
  <w:footnote w:id="49">
    <w:p w:rsidR="005919ED" w:rsidRPr="004539A7" w:rsidP="005919ED" w14:paraId="735B6BEB" w14:textId="77777777">
      <w:pPr>
        <w:pStyle w:val="FootnoteText"/>
      </w:pPr>
      <w:r w:rsidRPr="004539A7">
        <w:rPr>
          <w:rStyle w:val="FootnoteReference"/>
        </w:rPr>
        <w:footnoteRef/>
      </w:r>
      <w:r w:rsidRPr="004539A7">
        <w:t xml:space="preserve"> </w:t>
      </w:r>
      <w:r w:rsidRPr="004539A7">
        <w:rPr>
          <w:i/>
          <w:iCs/>
        </w:rPr>
        <w:t>KYUP FNPRM</w:t>
      </w:r>
      <w:r w:rsidRPr="004539A7">
        <w:t>, FCC 26-32, at 40, para. 80 (proposing to define “foreign voice service provider” as a “voice service provider</w:t>
      </w:r>
      <w:r w:rsidRPr="32F6D2BA">
        <w:t xml:space="preserve"> that was created, incorporated, or organized outside of the United States, regardless of whether it has an office, operation, or facilities in the United States”); </w:t>
      </w:r>
      <w:r w:rsidRPr="7C796968">
        <w:rPr>
          <w:i/>
          <w:iCs/>
        </w:rPr>
        <w:t>id.</w:t>
      </w:r>
      <w:r w:rsidRPr="32F6D2BA">
        <w:rPr>
          <w:i/>
        </w:rPr>
        <w:t xml:space="preserve"> </w:t>
      </w:r>
      <w:r>
        <w:t>(proposing to define “domestic voice service provider” as</w:t>
      </w:r>
      <w:r w:rsidRPr="004539A7">
        <w:t xml:space="preserve"> a “voice service provider that is not a foreign voice service provider”).</w:t>
      </w:r>
    </w:p>
  </w:footnote>
  <w:footnote w:id="50">
    <w:p w:rsidR="005919ED" w:rsidRPr="004539A7" w:rsidP="005919ED" w14:paraId="1547FB3A" w14:textId="77777777">
      <w:pPr>
        <w:pStyle w:val="FootnoteText"/>
      </w:pPr>
      <w:r w:rsidRPr="004539A7">
        <w:rPr>
          <w:rStyle w:val="FootnoteReference"/>
        </w:rPr>
        <w:footnoteRef/>
      </w:r>
      <w:r w:rsidRPr="004539A7">
        <w:t xml:space="preserve"> </w:t>
      </w:r>
      <w:r>
        <w:rPr>
          <w:i/>
          <w:iCs/>
        </w:rPr>
        <w:t>Id.</w:t>
      </w:r>
      <w:r w:rsidRPr="004539A7">
        <w:t xml:space="preserve"> at 43-44, para. 90 &amp; n.206 (proposing to define “gateway provider” as a “</w:t>
      </w:r>
      <w:r w:rsidRPr="004539A7">
        <w:rPr>
          <w:szCs w:val="22"/>
        </w:rPr>
        <w:t>domestic voice service provider that is an intermediate provider that accepts voice calls directly from a foreign voice service provider before transmitting the call downstream to another domestic voice service provider”).</w:t>
      </w:r>
    </w:p>
  </w:footnote>
  <w:footnote w:id="51">
    <w:p w:rsidR="005919ED" w:rsidRPr="004539A7" w:rsidP="005919ED" w14:paraId="057DA66F" w14:textId="77777777">
      <w:pPr>
        <w:pStyle w:val="FootnoteText"/>
      </w:pPr>
      <w:r w:rsidRPr="004539A7">
        <w:rPr>
          <w:rStyle w:val="FootnoteReference"/>
        </w:rPr>
        <w:footnoteRef/>
      </w:r>
      <w:r w:rsidRPr="004539A7">
        <w:t xml:space="preserve"> For instance, we believe bad actor foreign providers are trying to avoid scrutiny by the Commission, downstream providers, and other entities in the robocall mitigation ecosystem that may arise when the providers </w:t>
      </w:r>
      <w:r w:rsidRPr="004539A7">
        <w:t>are located in</w:t>
      </w:r>
      <w:r w:rsidRPr="004539A7">
        <w:t xml:space="preserve"> a country that is known for generating a disproportionate number of illegal calls.  We also believe bad actor foreign providers are attempting to avoid their calls being viewed as foreign originated, which would invite less scrutiny when the call uses a U.S. NANP number and could allow the call to receive a different STIR/SHAKEN attestation.</w:t>
      </w:r>
    </w:p>
  </w:footnote>
  <w:footnote w:id="52">
    <w:p w:rsidR="005919ED" w:rsidRPr="004539A7" w:rsidP="005919ED" w14:paraId="406692F1" w14:textId="77777777">
      <w:pPr>
        <w:pStyle w:val="FootnoteText"/>
      </w:pPr>
      <w:r w:rsidRPr="004539A7">
        <w:rPr>
          <w:rStyle w:val="FootnoteReference"/>
        </w:rPr>
        <w:footnoteRef/>
      </w:r>
      <w:r w:rsidRPr="004539A7">
        <w:t xml:space="preserve"> </w:t>
      </w:r>
      <w:r w:rsidRPr="004539A7">
        <w:rPr>
          <w:i/>
          <w:iCs/>
        </w:rPr>
        <w:t>See Second Caller ID Authentication Order</w:t>
      </w:r>
      <w:r w:rsidRPr="004539A7">
        <w:t xml:space="preserve">, 36 FCC </w:t>
      </w:r>
      <w:r w:rsidRPr="004539A7">
        <w:t>Rcd</w:t>
      </w:r>
      <w:r w:rsidRPr="004539A7">
        <w:t xml:space="preserve"> at 1910, n.370 (“An indirect effect on foreign voice providers, however, ‘does not militate against the validity of rules that only operate directly on voice service providers within the United States’”) (quoting </w:t>
      </w:r>
      <w:r w:rsidRPr="004539A7">
        <w:rPr>
          <w:i/>
          <w:iCs/>
        </w:rPr>
        <w:t>International Settlement Rate Benchmarks</w:t>
      </w:r>
      <w:r w:rsidRPr="004539A7">
        <w:t xml:space="preserve">, IB Docket No. 96-261, Report and Order, 12 FCC </w:t>
      </w:r>
      <w:r w:rsidRPr="004539A7">
        <w:t>Rcd</w:t>
      </w:r>
      <w:r w:rsidRPr="004539A7">
        <w:t xml:space="preserve"> 19806, 19819, para. 27 (1997)); </w:t>
      </w:r>
      <w:r w:rsidRPr="004539A7">
        <w:rPr>
          <w:i/>
          <w:iCs/>
        </w:rPr>
        <w:t>Gateway Provider Order</w:t>
      </w:r>
      <w:r w:rsidRPr="004539A7">
        <w:t xml:space="preserve">, 37 FCC </w:t>
      </w:r>
      <w:r w:rsidRPr="004539A7">
        <w:t>Rcd</w:t>
      </w:r>
      <w:r w:rsidRPr="004539A7">
        <w:t xml:space="preserve"> at 6913-14, para. 120 (“We confirm our conclusion .</w:t>
      </w:r>
      <w:r>
        <w:t> </w:t>
      </w:r>
      <w:r w:rsidRPr="004539A7">
        <w:t>.</w:t>
      </w:r>
      <w:r>
        <w:t> </w:t>
      </w:r>
      <w:r w:rsidRPr="004539A7">
        <w:t>.</w:t>
      </w:r>
      <w:r w:rsidRPr="00964F9D">
        <w:t xml:space="preserve"> </w:t>
      </w:r>
      <w:r w:rsidRPr="004539A7">
        <w:t>that, to the extent any of the rules we adopt today have an effect on foreign service</w:t>
      </w:r>
      <w:r w:rsidRPr="004539A7">
        <w:rPr>
          <w:i/>
          <w:iCs/>
        </w:rPr>
        <w:t xml:space="preserve"> </w:t>
      </w:r>
      <w:r w:rsidRPr="004539A7">
        <w:t>providers, that effect is only indirect and therefore consistent with the Commission’s authority, and we</w:t>
      </w:r>
      <w:r w:rsidRPr="004539A7">
        <w:rPr>
          <w:i/>
          <w:iCs/>
        </w:rPr>
        <w:t xml:space="preserve"> </w:t>
      </w:r>
      <w:r w:rsidRPr="004539A7">
        <w:t>find that it does not conflict with any of our international treaty obligations.”).</w:t>
      </w:r>
    </w:p>
  </w:footnote>
  <w:footnote w:id="53">
    <w:p w:rsidR="005919ED" w:rsidRPr="004539A7" w:rsidP="005919ED" w14:paraId="3A1FFE3E" w14:textId="77777777">
      <w:pPr>
        <w:pStyle w:val="FootnoteText"/>
      </w:pPr>
      <w:r w:rsidRPr="004539A7">
        <w:rPr>
          <w:rStyle w:val="FootnoteReference"/>
        </w:rPr>
        <w:footnoteRef/>
      </w:r>
      <w:r w:rsidRPr="004539A7">
        <w:t xml:space="preserve"> </w:t>
      </w:r>
      <w:r w:rsidRPr="004539A7">
        <w:rPr>
          <w:i/>
          <w:iCs/>
        </w:rPr>
        <w:t>See</w:t>
      </w:r>
      <w:r w:rsidRPr="004539A7">
        <w:t xml:space="preserve"> 47 CFR § 64.6305(d)(2)(</w:t>
      </w:r>
      <w:r w:rsidRPr="004539A7">
        <w:t>i</w:t>
      </w:r>
      <w:r w:rsidRPr="004539A7">
        <w:t>), (f)(2)(</w:t>
      </w:r>
      <w:r w:rsidRPr="004539A7">
        <w:t>i</w:t>
      </w:r>
      <w:r w:rsidRPr="004539A7">
        <w:t>) (requiring voice service providers and non-gateway intermediate providers to identify the type of exemption received under section 64.6304, if the provider is not a foreign voice service provider, and the basis for the exemption).</w:t>
      </w:r>
    </w:p>
  </w:footnote>
  <w:footnote w:id="54">
    <w:p w:rsidR="005919ED" w:rsidRPr="004539A7" w:rsidP="005919ED" w14:paraId="7869706E" w14:textId="77777777">
      <w:pPr>
        <w:pStyle w:val="FootnoteText"/>
      </w:pPr>
      <w:r w:rsidRPr="004539A7">
        <w:rPr>
          <w:rStyle w:val="FootnoteReference"/>
        </w:rPr>
        <w:footnoteRef/>
      </w:r>
      <w:r w:rsidRPr="004539A7">
        <w:t xml:space="preserve"> Below, we seek comment on whether we should establish additional RMD filing requirements to ensure that providers accurately identify when they are a foreign voice service provider.  </w:t>
      </w:r>
      <w:r w:rsidRPr="004539A7">
        <w:rPr>
          <w:i/>
          <w:iCs/>
        </w:rPr>
        <w:t xml:space="preserve">See </w:t>
      </w:r>
      <w:r w:rsidRPr="004539A7">
        <w:rPr>
          <w:i/>
          <w:iCs/>
        </w:rPr>
        <w:t>infra</w:t>
      </w:r>
      <w:r w:rsidRPr="004539A7">
        <w:t xml:space="preserve"> Section </w:t>
      </w:r>
      <w:r w:rsidRPr="00CD616B">
        <w:t>III</w:t>
      </w:r>
      <w:r w:rsidRPr="00CD616B">
        <w:t>.A.2.d</w:t>
      </w:r>
      <w:r w:rsidRPr="004539A7">
        <w:t xml:space="preserve">.  </w:t>
      </w:r>
    </w:p>
  </w:footnote>
  <w:footnote w:id="55">
    <w:p w:rsidR="005919ED" w:rsidRPr="004539A7" w:rsidP="005919ED" w14:paraId="000B18FC" w14:textId="77777777">
      <w:pPr>
        <w:pStyle w:val="FootnoteText"/>
      </w:pPr>
      <w:r w:rsidRPr="004539A7">
        <w:rPr>
          <w:rStyle w:val="FootnoteReference"/>
        </w:rPr>
        <w:footnoteRef/>
      </w:r>
      <w:r w:rsidRPr="004539A7">
        <w:t xml:space="preserve"> </w:t>
      </w:r>
      <w:r w:rsidRPr="004539A7">
        <w:rPr>
          <w:i/>
          <w:iCs/>
        </w:rPr>
        <w:t>See KYUP FNPRM</w:t>
      </w:r>
      <w:r w:rsidRPr="004539A7">
        <w:t>, FCC 26-32, at 64-65, para. 127.</w:t>
      </w:r>
    </w:p>
  </w:footnote>
  <w:footnote w:id="56">
    <w:p w:rsidR="005919ED" w:rsidRPr="004539A7" w:rsidP="005919ED" w14:paraId="44CA3A1D" w14:textId="77777777">
      <w:pPr>
        <w:pStyle w:val="FootnoteText"/>
      </w:pPr>
      <w:r w:rsidRPr="004539A7">
        <w:rPr>
          <w:rStyle w:val="FootnoteReference"/>
        </w:rPr>
        <w:footnoteRef/>
      </w:r>
      <w:r w:rsidRPr="004539A7">
        <w:t xml:space="preserve"> </w:t>
      </w:r>
      <w:r w:rsidRPr="004539A7">
        <w:rPr>
          <w:i/>
          <w:iCs/>
        </w:rPr>
        <w:t xml:space="preserve">See </w:t>
      </w:r>
      <w:r w:rsidRPr="004539A7">
        <w:t xml:space="preserve">47 CFR § 64.6305(d), (e), (f) (filing requirements for voice service providers, gateway providers, and non-gateway intermediate providers); </w:t>
      </w:r>
      <w:r w:rsidRPr="004539A7">
        <w:rPr>
          <w:i/>
          <w:iCs/>
        </w:rPr>
        <w:t>KYUP FNPRM</w:t>
      </w:r>
      <w:r w:rsidRPr="004539A7">
        <w:t>, FCC 26-32, at 39, para. 78 (proposing to define “voice service provider”).  Below</w:t>
      </w:r>
      <w:r>
        <w:t>,</w:t>
      </w:r>
      <w:r w:rsidRPr="004539A7">
        <w:t xml:space="preserve"> we propose to codify definitions for parents, affiliates, and subsidiaries, as well as principals.  </w:t>
      </w:r>
      <w:r w:rsidRPr="004539A7">
        <w:rPr>
          <w:i/>
          <w:iCs/>
        </w:rPr>
        <w:t xml:space="preserve">See </w:t>
      </w:r>
      <w:r w:rsidRPr="004539A7">
        <w:rPr>
          <w:i/>
          <w:iCs/>
        </w:rPr>
        <w:t>infra</w:t>
      </w:r>
      <w:r w:rsidRPr="004539A7">
        <w:t xml:space="preserve"> Section </w:t>
      </w:r>
      <w:r w:rsidRPr="00CD616B">
        <w:t>III</w:t>
      </w:r>
      <w:r w:rsidRPr="00CD616B">
        <w:t>.A.2.c</w:t>
      </w:r>
      <w:r w:rsidRPr="004539A7">
        <w:t>.</w:t>
      </w:r>
    </w:p>
  </w:footnote>
  <w:footnote w:id="57">
    <w:p w:rsidR="005919ED" w:rsidRPr="004539A7" w:rsidP="005919ED" w14:paraId="1D2437B7" w14:textId="77777777">
      <w:pPr>
        <w:pStyle w:val="FootnoteText"/>
      </w:pPr>
      <w:r w:rsidRPr="004539A7">
        <w:rPr>
          <w:rStyle w:val="FootnoteReference"/>
        </w:rPr>
        <w:footnoteRef/>
      </w:r>
      <w:r w:rsidRPr="004539A7">
        <w:t xml:space="preserve"> An OCN is “a four-place alphanumeric code that uniquely identifies a local exchange carrier.”  47 CFR § 64.2101.  The National Exchange Carrier Association (NECA) maintains responsibility for assigning all OCNs.  </w:t>
      </w:r>
      <w:r w:rsidRPr="004539A7">
        <w:rPr>
          <w:i/>
          <w:iCs/>
        </w:rPr>
        <w:t xml:space="preserve">See </w:t>
      </w:r>
      <w:r w:rsidRPr="004539A7">
        <w:t xml:space="preserve">NECA, </w:t>
      </w:r>
      <w:r w:rsidRPr="004539A7">
        <w:rPr>
          <w:i/>
          <w:iCs/>
        </w:rPr>
        <w:t>Company Codes (OCNs)</w:t>
      </w:r>
      <w:r w:rsidRPr="004539A7">
        <w:t xml:space="preserve">, </w:t>
      </w:r>
      <w:hyperlink r:id="rId7" w:history="1">
        <w:r w:rsidRPr="004539A7">
          <w:rPr>
            <w:rStyle w:val="Hyperlink"/>
          </w:rPr>
          <w:t>https://www.neca.org/business-solutions/company-codes</w:t>
        </w:r>
      </w:hyperlink>
      <w:r w:rsidRPr="004539A7">
        <w:t xml:space="preserve"> (last visited </w:t>
      </w:r>
      <w:r>
        <w:t>July 20</w:t>
      </w:r>
      <w:r w:rsidRPr="004539A7">
        <w:t>, 2026).</w:t>
      </w:r>
    </w:p>
  </w:footnote>
  <w:footnote w:id="58">
    <w:p w:rsidR="005919ED" w:rsidRPr="004539A7" w:rsidP="005919ED" w14:paraId="117A2C0B" w14:textId="77777777">
      <w:pPr>
        <w:pStyle w:val="FootnoteText"/>
      </w:pPr>
      <w:r w:rsidRPr="004539A7">
        <w:rPr>
          <w:rStyle w:val="FootnoteReference"/>
        </w:rPr>
        <w:footnoteRef/>
      </w:r>
      <w:r w:rsidRPr="004539A7">
        <w:t xml:space="preserve"> An FCC Registration Number (FRN) “is a 10-digit unique identifying number that is assigned to entities doing business with the Commission” that is obtained through the Commission Registration System (CORES).  47 CFR § 1.8001</w:t>
      </w:r>
      <w:r>
        <w:t>(a)-(b)</w:t>
      </w:r>
      <w:r w:rsidRPr="004539A7">
        <w:t xml:space="preserve">.  CORES is the system the FCC uses to facilitate the assignment of FRNs to all persons and entities seeking to do business with the Commission.  </w:t>
      </w:r>
      <w:r>
        <w:rPr>
          <w:i/>
          <w:iCs/>
        </w:rPr>
        <w:t>See i</w:t>
      </w:r>
      <w:r w:rsidRPr="004539A7">
        <w:rPr>
          <w:i/>
          <w:iCs/>
        </w:rPr>
        <w:t>d.</w:t>
      </w:r>
      <w:r w:rsidRPr="007906C5">
        <w:t xml:space="preserve"> </w:t>
      </w:r>
      <w:r w:rsidRPr="004539A7">
        <w:rPr>
          <w:snapToGrid w:val="0"/>
          <w:kern w:val="28"/>
          <w:bdr w:val="none" w:sz="0" w:space="0" w:color="auto" w:frame="1"/>
          <w:shd w:val="clear" w:color="auto" w:fill="FFFFFF"/>
        </w:rPr>
        <w:t>§ 1.8002</w:t>
      </w:r>
      <w:r w:rsidRPr="00964F9D">
        <w:rPr>
          <w:kern w:val="28"/>
        </w:rPr>
        <w:t>(a);</w:t>
      </w:r>
      <w:r w:rsidRPr="004539A7">
        <w:rPr>
          <w:snapToGrid w:val="0"/>
          <w:kern w:val="28"/>
          <w:sz w:val="22"/>
        </w:rPr>
        <w:t xml:space="preserve"> </w:t>
      </w:r>
      <w:r w:rsidRPr="004539A7">
        <w:rPr>
          <w:i/>
          <w:iCs/>
        </w:rPr>
        <w:t>Amendments of Parts 1, 21, 61, 73, 74 and 76 of Commission’s Rules, Adoption of Mandatory FCC Registration Number</w:t>
      </w:r>
      <w:r w:rsidRPr="004539A7">
        <w:t xml:space="preserve">, MD Docket No. 00-205, </w:t>
      </w:r>
      <w:r w:rsidRPr="004539A7">
        <w:rPr>
          <w:iCs/>
        </w:rPr>
        <w:t>Report and Order</w:t>
      </w:r>
      <w:r w:rsidRPr="004539A7">
        <w:t xml:space="preserve">, 16 FCC </w:t>
      </w:r>
      <w:r w:rsidRPr="004539A7">
        <w:t>Rcd</w:t>
      </w:r>
      <w:r w:rsidRPr="004539A7">
        <w:t xml:space="preserve"> 16138 (2001).  To register for an FRN through CORES, a filer must provide “an entity’s name, entity type, contact name and title, address, valid email address, and taxpayer identifying number (TIN).”  47 CFR</w:t>
      </w:r>
      <w:r w:rsidRPr="004539A7">
        <w:rPr>
          <w:i/>
          <w:iCs/>
        </w:rPr>
        <w:t xml:space="preserve"> </w:t>
      </w:r>
      <w:r w:rsidRPr="004539A7">
        <w:t xml:space="preserve">§ 1.8002(b)(1).  Currently, each RMD filing may only be associated with a single business-type FRN, and providers must identify any other FRNs on the RMD submission form.  </w:t>
      </w:r>
      <w:r w:rsidRPr="004539A7">
        <w:rPr>
          <w:i/>
          <w:iCs/>
        </w:rPr>
        <w:t>See</w:t>
      </w:r>
      <w:r w:rsidRPr="007906C5">
        <w:t xml:space="preserve"> </w:t>
      </w:r>
      <w:r w:rsidRPr="004539A7">
        <w:t xml:space="preserve">FCC, </w:t>
      </w:r>
      <w:r w:rsidRPr="004539A7">
        <w:rPr>
          <w:i/>
          <w:iCs/>
        </w:rPr>
        <w:t>Robocall Mitigation Database Filing Instructions</w:t>
      </w:r>
      <w:r w:rsidRPr="004539A7">
        <w:t xml:space="preserve"> at </w:t>
      </w:r>
      <w:r>
        <w:t>5, 9</w:t>
      </w:r>
      <w:r w:rsidRPr="004539A7">
        <w:t xml:space="preserve">, </w:t>
      </w:r>
      <w:hyperlink r:id="rId8" w:history="1">
        <w:r w:rsidRPr="004539A7">
          <w:rPr>
            <w:rStyle w:val="Hyperlink"/>
          </w:rPr>
          <w:t>https://www.fcc.gov/sites/default/files/rmdinstructions.pdf</w:t>
        </w:r>
      </w:hyperlink>
      <w:r w:rsidRPr="004539A7">
        <w:t xml:space="preserve"> (last visited </w:t>
      </w:r>
      <w:r>
        <w:t>July 20,</w:t>
      </w:r>
      <w:r w:rsidRPr="004539A7">
        <w:t xml:space="preserve"> 2026)</w:t>
      </w:r>
      <w:r>
        <w:t xml:space="preserve"> (</w:t>
      </w:r>
      <w:r w:rsidRPr="004539A7">
        <w:rPr>
          <w:i/>
          <w:iCs/>
        </w:rPr>
        <w:t>RMD Filing Instructions</w:t>
      </w:r>
      <w:r>
        <w:t>)</w:t>
      </w:r>
      <w:r w:rsidRPr="004539A7">
        <w:t xml:space="preserve">.  The RMD submission form is automatically populated with a filer’s FRN and other identifying information obtained from CORES.  </w:t>
      </w:r>
      <w:r w:rsidRPr="004539A7">
        <w:rPr>
          <w:i/>
          <w:iCs/>
        </w:rPr>
        <w:t>See id.</w:t>
      </w:r>
      <w:r w:rsidRPr="004539A7">
        <w:t xml:space="preserve"> at </w:t>
      </w:r>
      <w:r>
        <w:t>8</w:t>
      </w:r>
      <w:r w:rsidRPr="004539A7">
        <w:t>.</w:t>
      </w:r>
    </w:p>
  </w:footnote>
  <w:footnote w:id="59">
    <w:p w:rsidR="005919ED" w:rsidRPr="004539A7" w:rsidP="005919ED" w14:paraId="16F85D31" w14:textId="77777777">
      <w:pPr>
        <w:pStyle w:val="FootnoteText"/>
      </w:pPr>
      <w:r w:rsidRPr="004539A7">
        <w:rPr>
          <w:rStyle w:val="FootnoteReference"/>
        </w:rPr>
        <w:footnoteRef/>
      </w:r>
      <w:r w:rsidRPr="004539A7">
        <w:t xml:space="preserve"> The Commission requires telecommunications carriers and certain other providers of telecommunications (including VoIP service providers) to submit a Form 4</w:t>
      </w:r>
      <w:r>
        <w:t>99</w:t>
      </w:r>
      <w:r w:rsidRPr="004539A7">
        <w:t xml:space="preserve"> and report annual service revenues on the FCC Form 499-A.  </w:t>
      </w:r>
      <w:r w:rsidRPr="004539A7">
        <w:rPr>
          <w:i/>
          <w:iCs/>
        </w:rPr>
        <w:t xml:space="preserve">See </w:t>
      </w:r>
      <w:r w:rsidRPr="004539A7">
        <w:t>47 CFR §§ 52.17(b), 52.32(b), 54.708, 54.711, 64.604(c)(5)(iii)(B)</w:t>
      </w:r>
      <w:r>
        <w:t>,</w:t>
      </w:r>
      <w:r w:rsidRPr="004539A7">
        <w:t xml:space="preserve"> 64.1195.  </w:t>
      </w:r>
      <w:r w:rsidRPr="004539A7">
        <w:rPr>
          <w:snapToGrid w:val="0"/>
          <w:kern w:val="28"/>
        </w:rPr>
        <w:t xml:space="preserve">FCC Form 499 Filer IDs are assigned by the Universal Service Administrative Company (USAC) after a registration process.  </w:t>
      </w:r>
      <w:r w:rsidRPr="004539A7">
        <w:rPr>
          <w:i/>
          <w:iCs/>
          <w:snapToGrid w:val="0"/>
          <w:kern w:val="28"/>
        </w:rPr>
        <w:t xml:space="preserve">See </w:t>
      </w:r>
      <w:r w:rsidRPr="004539A7">
        <w:rPr>
          <w:snapToGrid w:val="0"/>
          <w:kern w:val="28"/>
        </w:rPr>
        <w:t xml:space="preserve">USAC, </w:t>
      </w:r>
      <w:r w:rsidRPr="004539A7">
        <w:rPr>
          <w:snapToGrid w:val="0"/>
          <w:kern w:val="28"/>
        </w:rPr>
        <w:t>Register</w:t>
      </w:r>
      <w:r w:rsidRPr="004539A7">
        <w:rPr>
          <w:snapToGrid w:val="0"/>
          <w:kern w:val="28"/>
        </w:rPr>
        <w:t xml:space="preserve"> for a 499 ID, </w:t>
      </w:r>
      <w:hyperlink r:id="rId9" w:history="1">
        <w:r w:rsidRPr="004539A7">
          <w:rPr>
            <w:rStyle w:val="Hyperlink"/>
          </w:rPr>
          <w:t>https://www.usac.org/service-providers/contributing-to-the-usf/register-for-a-499-id/</w:t>
        </w:r>
      </w:hyperlink>
      <w:r w:rsidRPr="004539A7">
        <w:t xml:space="preserve"> (last visited </w:t>
      </w:r>
      <w:r>
        <w:t>July 20</w:t>
      </w:r>
      <w:r w:rsidRPr="004539A7">
        <w:t xml:space="preserve">, 2026). </w:t>
      </w:r>
    </w:p>
  </w:footnote>
  <w:footnote w:id="60">
    <w:p w:rsidR="005919ED" w:rsidRPr="004539A7" w:rsidP="005919ED" w14:paraId="511BE74F" w14:textId="77777777">
      <w:pPr>
        <w:pStyle w:val="FootnoteText"/>
      </w:pPr>
      <w:r w:rsidRPr="004539A7">
        <w:rPr>
          <w:rStyle w:val="FootnoteReference"/>
        </w:rPr>
        <w:footnoteRef/>
      </w:r>
      <w:r w:rsidRPr="004539A7">
        <w:t xml:space="preserve"> </w:t>
      </w:r>
      <w:r w:rsidRPr="004539A7">
        <w:rPr>
          <w:i/>
          <w:iCs/>
        </w:rPr>
        <w:t>See Robocall Mitigation Database</w:t>
      </w:r>
      <w:r w:rsidRPr="004539A7">
        <w:t xml:space="preserve"> (last visited </w:t>
      </w:r>
      <w:r>
        <w:t>July 20, 2026</w:t>
      </w:r>
      <w:r w:rsidRPr="004539A7">
        <w:t>).</w:t>
      </w:r>
    </w:p>
  </w:footnote>
  <w:footnote w:id="61">
    <w:p w:rsidR="005919ED" w:rsidRPr="004539A7" w:rsidP="005919ED" w14:paraId="3685989E" w14:textId="77777777">
      <w:pPr>
        <w:pStyle w:val="FootnoteText"/>
      </w:pPr>
      <w:r w:rsidRPr="004539A7">
        <w:rPr>
          <w:rStyle w:val="FootnoteReference"/>
        </w:rPr>
        <w:footnoteRef/>
      </w:r>
      <w:r w:rsidRPr="004539A7">
        <w:t xml:space="preserve"> </w:t>
      </w:r>
      <w:r w:rsidRPr="004539A7">
        <w:t>iconectiv</w:t>
      </w:r>
      <w:r w:rsidRPr="004539A7">
        <w:t xml:space="preserve">, </w:t>
      </w:r>
      <w:r w:rsidRPr="004539A7">
        <w:rPr>
          <w:i/>
          <w:iCs/>
        </w:rPr>
        <w:t>Authorized Providers</w:t>
      </w:r>
      <w:r w:rsidRPr="004539A7">
        <w:t xml:space="preserve">, </w:t>
      </w:r>
      <w:hyperlink r:id="rId10" w:history="1">
        <w:r w:rsidRPr="004539A7">
          <w:rPr>
            <w:rStyle w:val="Hyperlink"/>
          </w:rPr>
          <w:t>https://authenticate.iconectiv.com/authorized-service-providers-authenticate</w:t>
        </w:r>
      </w:hyperlink>
      <w:r w:rsidRPr="004539A7">
        <w:t xml:space="preserve"> (last visited </w:t>
      </w:r>
      <w:r>
        <w:t>July 20, 2026</w:t>
      </w:r>
      <w:r w:rsidRPr="004539A7">
        <w:t>)</w:t>
      </w:r>
      <w:r>
        <w:t xml:space="preserve"> (</w:t>
      </w:r>
      <w:r w:rsidRPr="004539A7">
        <w:rPr>
          <w:i/>
          <w:iCs/>
        </w:rPr>
        <w:t>iconectiv</w:t>
      </w:r>
      <w:r w:rsidRPr="004539A7">
        <w:rPr>
          <w:i/>
          <w:iCs/>
        </w:rPr>
        <w:t xml:space="preserve"> Authorized Providers List</w:t>
      </w:r>
      <w:r>
        <w:t>)</w:t>
      </w:r>
      <w:r w:rsidRPr="004539A7">
        <w:t xml:space="preserve">; </w:t>
      </w:r>
      <w:r w:rsidRPr="004539A7">
        <w:rPr>
          <w:i/>
          <w:iCs/>
        </w:rPr>
        <w:t>see also KYUP FNPRM</w:t>
      </w:r>
      <w:r w:rsidRPr="004539A7">
        <w:t>, FCC 26-32, at 5-6, para. 6 (explaining the STIR/SHAKEN governance system).  We use the term “Governance Authority” to include the Policy Administrator and Certification Authorities, unless otherwise specified, even though each entity may perform specific functions.</w:t>
      </w:r>
    </w:p>
  </w:footnote>
  <w:footnote w:id="62">
    <w:p w:rsidR="005919ED" w:rsidRPr="004539A7" w:rsidP="005919ED" w14:paraId="3E3CB3D9" w14:textId="77777777">
      <w:pPr>
        <w:pStyle w:val="FootnoteText"/>
      </w:pPr>
      <w:r w:rsidRPr="004539A7">
        <w:rPr>
          <w:rStyle w:val="FootnoteReference"/>
        </w:rPr>
        <w:footnoteRef/>
      </w:r>
      <w:r w:rsidRPr="004539A7">
        <w:t xml:space="preserve"> 47 CFR § 64.6305(d)(3)(ii), (e)(3)(ii), (f)(3)(ii); </w:t>
      </w:r>
      <w:r w:rsidRPr="004539A7">
        <w:rPr>
          <w:i/>
          <w:iCs/>
        </w:rPr>
        <w:t>id.</w:t>
      </w:r>
      <w:r w:rsidRPr="00964F9D">
        <w:t xml:space="preserve"> </w:t>
      </w:r>
      <w:r w:rsidRPr="004539A7">
        <w:t xml:space="preserve">§ 1.16; </w:t>
      </w:r>
      <w:r w:rsidRPr="004539A7">
        <w:rPr>
          <w:i/>
          <w:iCs/>
        </w:rPr>
        <w:t>see also Sixth Caller ID Authentication Order</w:t>
      </w:r>
      <w:r w:rsidRPr="004539A7">
        <w:t xml:space="preserve">, 38 FCC </w:t>
      </w:r>
      <w:r w:rsidRPr="004539A7">
        <w:t>Rcd</w:t>
      </w:r>
      <w:r w:rsidRPr="004539A7">
        <w:t xml:space="preserve"> at 2595, para. 42.</w:t>
      </w:r>
    </w:p>
  </w:footnote>
  <w:footnote w:id="63">
    <w:p w:rsidR="005919ED" w:rsidRPr="004539A7" w:rsidP="005919ED" w14:paraId="39CC6C7D" w14:textId="77777777">
      <w:pPr>
        <w:pStyle w:val="FootnoteText"/>
      </w:pPr>
      <w:r w:rsidRPr="004539A7">
        <w:rPr>
          <w:rStyle w:val="FootnoteReference"/>
        </w:rPr>
        <w:footnoteRef/>
      </w:r>
      <w:r w:rsidRPr="004539A7">
        <w:t xml:space="preserve"> Certifications are required for each role the provider plays in the call path and include certifications:  that all calls it originates, carries, or processes on its network are subject to a robocall mitigation program that complies with Commission rules; that any prior filing has not been removed by Commission action and it has not been prohibited from filing in the RMD; and that identify whether it has fully, partially, or not implemented the STIR/SHAKEN caller ID authentication framework on the IP portions of its network.  47 CFR § 64.6305(d)(1)(</w:t>
      </w:r>
      <w:r w:rsidRPr="004539A7">
        <w:t>i</w:t>
      </w:r>
      <w:r w:rsidRPr="004539A7">
        <w:t>)-(</w:t>
      </w:r>
      <w:r w:rsidRPr="004539A7">
        <w:t>iii), (e)(1)(</w:t>
      </w:r>
      <w:r w:rsidRPr="004539A7">
        <w:t>i</w:t>
      </w:r>
      <w:r w:rsidRPr="004539A7">
        <w:t>)-(</w:t>
      </w:r>
      <w:r w:rsidRPr="004539A7">
        <w:t>iii), (f)(1)(</w:t>
      </w:r>
      <w:r w:rsidRPr="004539A7">
        <w:t>i</w:t>
      </w:r>
      <w:r w:rsidRPr="004539A7">
        <w:t>)-(</w:t>
      </w:r>
      <w:r w:rsidRPr="004539A7">
        <w:t xml:space="preserve">iii); </w:t>
      </w:r>
      <w:r w:rsidRPr="004539A7">
        <w:rPr>
          <w:i/>
          <w:iCs/>
        </w:rPr>
        <w:t>RMD Filing Instructions</w:t>
      </w:r>
      <w:r w:rsidRPr="004539A7">
        <w:t xml:space="preserve"> at 14-</w:t>
      </w:r>
      <w:r>
        <w:t>20</w:t>
      </w:r>
      <w:r w:rsidRPr="004539A7">
        <w:t xml:space="preserve">.  A provider’s robocall mitigation program must include reasonable steps to avoid originating, carrying, or processing illegal robocall traffic and a commitment to respond within 24 hours to all traceback requests from the Commission, law enforcement, and the industry traceback consortium, and to cooperate with such entities in investigating and stopping any illegal </w:t>
      </w:r>
      <w:r w:rsidRPr="004539A7">
        <w:t>robocallers</w:t>
      </w:r>
      <w:r w:rsidRPr="004539A7">
        <w:t xml:space="preserve"> that use its service to originate, carry, or process calls.  47 CFR § 64.6305(a)(2), (b)(2), (c)(2).  Additionally, providers must include a statement of their commitment to respond to traceback requests and cooperate with investigating and stopping illegal robocalls in their RMD filings.  </w:t>
      </w:r>
      <w:r w:rsidRPr="004539A7">
        <w:rPr>
          <w:i/>
          <w:iCs/>
        </w:rPr>
        <w:t xml:space="preserve">Id. </w:t>
      </w:r>
      <w:r w:rsidRPr="004539A7">
        <w:t>§ 64.6305(d)(2)(iii), (e)(2)(iii), (f)(2)(iii).</w:t>
      </w:r>
    </w:p>
  </w:footnote>
  <w:footnote w:id="64">
    <w:p w:rsidR="005919ED" w:rsidRPr="004539A7" w:rsidP="005919ED" w14:paraId="726ADD63" w14:textId="77777777">
      <w:pPr>
        <w:pStyle w:val="FootnoteText"/>
      </w:pPr>
      <w:r w:rsidRPr="004539A7">
        <w:rPr>
          <w:rStyle w:val="FootnoteReference"/>
        </w:rPr>
        <w:footnoteRef/>
      </w:r>
      <w:r w:rsidRPr="004539A7">
        <w:t xml:space="preserve"> Robocall mitigation information includes information regarding any recent enforcement actions concerning illegal robocalls or a non-compliant RMD filing.  </w:t>
      </w:r>
      <w:r w:rsidRPr="004539A7">
        <w:rPr>
          <w:i/>
          <w:iCs/>
        </w:rPr>
        <w:t xml:space="preserve">See </w:t>
      </w:r>
      <w:r w:rsidRPr="004539A7">
        <w:t xml:space="preserve">47 CFR § 64.6305(d)(2)(iv), (e)(2)(iv), (f)(2)(iv).  Additionally, if the provider certifies to partial or no STIR/SHAKEN implementation, it must identify an applicable extension or exemption and provide a detailed explanation of why the claimed extension or exemption applies to the filer.  </w:t>
      </w:r>
      <w:r w:rsidRPr="004539A7">
        <w:rPr>
          <w:i/>
          <w:iCs/>
        </w:rPr>
        <w:t>See</w:t>
      </w:r>
      <w:r w:rsidRPr="004539A7">
        <w:t xml:space="preserve"> </w:t>
      </w:r>
      <w:r w:rsidRPr="004539A7">
        <w:rPr>
          <w:i/>
          <w:iCs/>
        </w:rPr>
        <w:t>id.</w:t>
      </w:r>
      <w:r w:rsidRPr="004539A7">
        <w:t xml:space="preserve"> § 64.6305(d)(2)(</w:t>
      </w:r>
      <w:r w:rsidRPr="004539A7">
        <w:t>i</w:t>
      </w:r>
      <w:r w:rsidRPr="004539A7">
        <w:t>), (e)(2)(</w:t>
      </w:r>
      <w:r w:rsidRPr="004539A7">
        <w:t>i</w:t>
      </w:r>
      <w:r w:rsidRPr="004539A7">
        <w:t>), (f)(2)(</w:t>
      </w:r>
      <w:r w:rsidRPr="004539A7">
        <w:t>i</w:t>
      </w:r>
      <w:r w:rsidRPr="004539A7">
        <w:t xml:space="preserve">); </w:t>
      </w:r>
      <w:r w:rsidRPr="004539A7">
        <w:rPr>
          <w:i/>
          <w:iCs/>
        </w:rPr>
        <w:t xml:space="preserve">RMD Filing Instructions </w:t>
      </w:r>
      <w:r w:rsidRPr="004539A7">
        <w:t>at 14-</w:t>
      </w:r>
      <w:r>
        <w:t>20</w:t>
      </w:r>
      <w:r w:rsidRPr="004539A7">
        <w:t>.</w:t>
      </w:r>
    </w:p>
  </w:footnote>
  <w:footnote w:id="65">
    <w:p w:rsidR="005919ED" w:rsidRPr="004539A7" w:rsidP="005919ED" w14:paraId="08BC00FA" w14:textId="77777777">
      <w:pPr>
        <w:pStyle w:val="FootnoteText"/>
        <w:rPr>
          <w:iCs/>
        </w:rPr>
      </w:pPr>
      <w:r w:rsidRPr="004539A7">
        <w:rPr>
          <w:rStyle w:val="FootnoteReference"/>
        </w:rPr>
        <w:footnoteRef/>
      </w:r>
      <w:r w:rsidRPr="004539A7">
        <w:t xml:space="preserve"> Business identifying information </w:t>
      </w:r>
      <w:r w:rsidRPr="004539A7">
        <w:t>includes:</w:t>
      </w:r>
      <w:r w:rsidRPr="004539A7">
        <w:t xml:space="preserve">  business name and business address; any other business name(s) currently in use by the provider; all business names previously used by the provider; the name title, department, business address, telephone number, and email address of one person within the company responsible for addressing robocall mitigation-related issues; and information regarding principals, affiliates, subsidiaries, and parent companies.  47 CFR § 64.6305(d)(4)(</w:t>
      </w:r>
      <w:r w:rsidRPr="004539A7">
        <w:t>i</w:t>
      </w:r>
      <w:r w:rsidRPr="004539A7">
        <w:t xml:space="preserve">)-(iii), (v); </w:t>
      </w:r>
      <w:r w:rsidRPr="004539A7">
        <w:rPr>
          <w:i/>
          <w:iCs/>
        </w:rPr>
        <w:t>id.</w:t>
      </w:r>
      <w:r w:rsidRPr="00781854">
        <w:rPr>
          <w:i/>
          <w:iCs/>
        </w:rPr>
        <w:t xml:space="preserve"> </w:t>
      </w:r>
      <w:r w:rsidRPr="004539A7">
        <w:t>§ 64.6305(e)(4)(</w:t>
      </w:r>
      <w:r w:rsidRPr="004539A7">
        <w:t>i</w:t>
      </w:r>
      <w:r w:rsidRPr="004539A7">
        <w:t xml:space="preserve">)-(iii), (v); </w:t>
      </w:r>
      <w:r w:rsidRPr="004539A7">
        <w:rPr>
          <w:i/>
          <w:iCs/>
        </w:rPr>
        <w:t>id.</w:t>
      </w:r>
      <w:r w:rsidRPr="00781854">
        <w:rPr>
          <w:i/>
          <w:iCs/>
        </w:rPr>
        <w:t xml:space="preserve"> </w:t>
      </w:r>
      <w:r w:rsidRPr="004539A7">
        <w:t>§ 64.6305(f)(4)(</w:t>
      </w:r>
      <w:r w:rsidRPr="004539A7">
        <w:t>i</w:t>
      </w:r>
      <w:r w:rsidRPr="004539A7">
        <w:t>)-(</w:t>
      </w:r>
      <w:r w:rsidRPr="004539A7">
        <w:t xml:space="preserve">iii), (v); </w:t>
      </w:r>
      <w:r w:rsidRPr="004539A7">
        <w:rPr>
          <w:i/>
          <w:iCs/>
        </w:rPr>
        <w:t>Sixth Caller ID Authentication Order</w:t>
      </w:r>
      <w:r w:rsidRPr="004539A7">
        <w:t xml:space="preserve">, 38 FCC </w:t>
      </w:r>
      <w:r w:rsidRPr="004539A7">
        <w:t>Rcd</w:t>
      </w:r>
      <w:r w:rsidRPr="004539A7">
        <w:t xml:space="preserve"> at 2596-99, paras. 43-48; </w:t>
      </w:r>
      <w:r w:rsidRPr="004539A7">
        <w:rPr>
          <w:i/>
          <w:iCs/>
        </w:rPr>
        <w:t>see also</w:t>
      </w:r>
      <w:r w:rsidRPr="004539A7">
        <w:t xml:space="preserve"> </w:t>
      </w:r>
      <w:r w:rsidRPr="004539A7">
        <w:rPr>
          <w:i/>
        </w:rPr>
        <w:t xml:space="preserve">RMD Filing Instructions </w:t>
      </w:r>
      <w:r w:rsidRPr="004539A7">
        <w:rPr>
          <w:iCs/>
        </w:rPr>
        <w:t xml:space="preserve">at </w:t>
      </w:r>
      <w:r>
        <w:rPr>
          <w:iCs/>
        </w:rPr>
        <w:t>8</w:t>
      </w:r>
      <w:r w:rsidRPr="004539A7">
        <w:rPr>
          <w:iCs/>
        </w:rPr>
        <w:t>-1</w:t>
      </w:r>
      <w:r>
        <w:rPr>
          <w:iCs/>
        </w:rPr>
        <w:t>0</w:t>
      </w:r>
      <w:r w:rsidRPr="004539A7">
        <w:rPr>
          <w:iCs/>
        </w:rPr>
        <w:t>.  P</w:t>
      </w:r>
      <w:r w:rsidRPr="7FD53A2F">
        <w:t xml:space="preserve">roviders must disclose information regarding their principals, affiliates, subsidiaries, and parent companies with “sufficient detail to facilitate the Commission’s ability to determine whether the provider has been prohibited from filing in the [RMD].”  </w:t>
      </w:r>
      <w:r w:rsidRPr="004539A7">
        <w:rPr>
          <w:i/>
          <w:iCs/>
        </w:rPr>
        <w:t>Sixth Caller ID Authentication Order</w:t>
      </w:r>
      <w:r w:rsidRPr="004539A7">
        <w:t xml:space="preserve">, 38 FCC </w:t>
      </w:r>
      <w:r w:rsidRPr="004539A7">
        <w:t>Rcd</w:t>
      </w:r>
      <w:r w:rsidRPr="004539A7">
        <w:t xml:space="preserve"> at 2597, para. 46; </w:t>
      </w:r>
      <w:r w:rsidRPr="004539A7">
        <w:rPr>
          <w:i/>
          <w:iCs/>
        </w:rPr>
        <w:t>see also RMD FAQs</w:t>
      </w:r>
      <w:r w:rsidRPr="004539A7">
        <w:t xml:space="preserve"> at 3 (“[E]very RMD filer must identify at least one principal, who must be an individual, on the RMD submission form to provide the Commission with sufficient detail regarding the filer’s ownership and management.”); </w:t>
      </w:r>
      <w:r w:rsidRPr="004539A7">
        <w:rPr>
          <w:i/>
        </w:rPr>
        <w:t xml:space="preserve">RMD Filing Instructions </w:t>
      </w:r>
      <w:r w:rsidRPr="004539A7">
        <w:rPr>
          <w:iCs/>
        </w:rPr>
        <w:t xml:space="preserve">at </w:t>
      </w:r>
      <w:r>
        <w:rPr>
          <w:iCs/>
        </w:rPr>
        <w:t>9</w:t>
      </w:r>
      <w:r w:rsidRPr="004539A7">
        <w:rPr>
          <w:iCs/>
        </w:rPr>
        <w:t>.</w:t>
      </w:r>
    </w:p>
  </w:footnote>
  <w:footnote w:id="66">
    <w:p w:rsidR="005919ED" w:rsidRPr="004539A7" w:rsidP="005919ED" w14:paraId="2F7E1A6A" w14:textId="77777777">
      <w:pPr>
        <w:pStyle w:val="FootnoteText"/>
      </w:pPr>
      <w:r w:rsidRPr="004539A7">
        <w:rPr>
          <w:rStyle w:val="FootnoteReference"/>
        </w:rPr>
        <w:footnoteRef/>
      </w:r>
      <w:r w:rsidRPr="004539A7">
        <w:t xml:space="preserve"> Provider type and service information includes:  the provider’s role(s) in the call path; whether the provider is a foreign voice service provider; and the provider’s OCN, if it has one.  47 CFR. § 64.6305(d)(4)(iv), (vi)-(vii); </w:t>
      </w:r>
      <w:r w:rsidRPr="004539A7">
        <w:rPr>
          <w:i/>
        </w:rPr>
        <w:t xml:space="preserve">id. </w:t>
      </w:r>
      <w:r w:rsidRPr="004539A7">
        <w:t xml:space="preserve">§ 64.6305(e)(4)(iv), (vi)-(vii); </w:t>
      </w:r>
      <w:r w:rsidRPr="004539A7">
        <w:rPr>
          <w:i/>
        </w:rPr>
        <w:t xml:space="preserve">id. </w:t>
      </w:r>
      <w:r w:rsidRPr="004539A7">
        <w:t xml:space="preserve">§ 64.6305(f)(4)(iv), (vi)-(vii); </w:t>
      </w:r>
      <w:r w:rsidRPr="004539A7">
        <w:rPr>
          <w:i/>
          <w:iCs/>
        </w:rPr>
        <w:t xml:space="preserve">see also RMD Filing Instructions </w:t>
      </w:r>
      <w:r w:rsidRPr="004539A7">
        <w:t xml:space="preserve">at </w:t>
      </w:r>
      <w:r>
        <w:t>8, 10, 13-14</w:t>
      </w:r>
      <w:r w:rsidRPr="004539A7">
        <w:t>.</w:t>
      </w:r>
    </w:p>
  </w:footnote>
  <w:footnote w:id="67">
    <w:p w:rsidR="005919ED" w:rsidRPr="004539A7" w:rsidP="005919ED" w14:paraId="13C812B4" w14:textId="77777777">
      <w:pPr>
        <w:pStyle w:val="FootnoteText"/>
      </w:pPr>
      <w:r w:rsidRPr="004539A7">
        <w:rPr>
          <w:rStyle w:val="FootnoteReference"/>
        </w:rPr>
        <w:footnoteRef/>
      </w:r>
      <w:r w:rsidRPr="004539A7">
        <w:t xml:space="preserve"> The robocall mitigation plan must describe the specific reasonable steps the provider has taken to avoid originating, carrying, or processing illegal robocalls as part of its robocall mitigation program based on the role(s) it serves in the call chain, including:  (1) a description of the affirmative, effective measures it is taking to prevent new and renewing customers from originating illegal robocalls, including a description of how it complies with its obligation to know its customers (if it is an originating provider); (2) a description of the procedures it uses to know its upstream providers; and (3) a description of any call analytic system(s) that it utilizes, including those operated by a third-party vendor.  47 CFR § 64.6305(d)(2)(ii), (e)(2)(ii), (f)(2)(ii); </w:t>
      </w:r>
      <w:r w:rsidRPr="004539A7">
        <w:rPr>
          <w:i/>
        </w:rPr>
        <w:t>see also</w:t>
      </w:r>
      <w:r w:rsidRPr="004539A7">
        <w:t xml:space="preserve"> </w:t>
      </w:r>
      <w:r w:rsidRPr="004539A7">
        <w:rPr>
          <w:i/>
          <w:iCs/>
        </w:rPr>
        <w:t xml:space="preserve">RMD Filing Instructions </w:t>
      </w:r>
      <w:r w:rsidRPr="004539A7">
        <w:t>at 20</w:t>
      </w:r>
      <w:r>
        <w:t>-21</w:t>
      </w:r>
      <w:r w:rsidRPr="004539A7">
        <w:rPr>
          <w:i/>
          <w:iCs/>
        </w:rPr>
        <w:t>.</w:t>
      </w:r>
    </w:p>
  </w:footnote>
  <w:footnote w:id="68">
    <w:p w:rsidR="005919ED" w:rsidRPr="004539A7" w:rsidP="005919ED" w14:paraId="7D822DB9" w14:textId="77777777">
      <w:pPr>
        <w:pStyle w:val="FootnoteText"/>
      </w:pPr>
      <w:r w:rsidRPr="004539A7">
        <w:rPr>
          <w:rStyle w:val="FootnoteReference"/>
        </w:rPr>
        <w:footnoteRef/>
      </w:r>
      <w:r w:rsidRPr="004539A7">
        <w:t xml:space="preserve"> </w:t>
      </w:r>
      <w:r w:rsidRPr="004539A7">
        <w:rPr>
          <w:i/>
        </w:rPr>
        <w:t>KYUP FNPRM</w:t>
      </w:r>
      <w:r w:rsidRPr="004539A7">
        <w:t>, FCC 26-32, at Appx. A § 64.6305.</w:t>
      </w:r>
    </w:p>
  </w:footnote>
  <w:footnote w:id="69">
    <w:p w:rsidR="005919ED" w:rsidRPr="00AE507A" w:rsidP="005919ED" w14:paraId="0621041A" w14:textId="77777777">
      <w:pPr>
        <w:pStyle w:val="FootnoteText"/>
      </w:pPr>
      <w:r>
        <w:rPr>
          <w:rStyle w:val="FootnoteReference"/>
        </w:rPr>
        <w:footnoteRef/>
      </w:r>
      <w:r>
        <w:t xml:space="preserve"> </w:t>
      </w:r>
      <w:r>
        <w:rPr>
          <w:i/>
          <w:iCs/>
        </w:rPr>
        <w:t>Id.</w:t>
      </w:r>
      <w:r>
        <w:t xml:space="preserve"> at 27-36, paras. 54-70.</w:t>
      </w:r>
    </w:p>
  </w:footnote>
  <w:footnote w:id="70">
    <w:p w:rsidR="005919ED" w:rsidRPr="004539A7" w:rsidP="005919ED" w14:paraId="3BA71085" w14:textId="77777777">
      <w:pPr>
        <w:pStyle w:val="FootnoteText"/>
      </w:pPr>
      <w:r w:rsidRPr="004539A7">
        <w:rPr>
          <w:rStyle w:val="FootnoteReference"/>
        </w:rPr>
        <w:footnoteRef/>
      </w:r>
      <w:r w:rsidRPr="004539A7">
        <w:t xml:space="preserve"> </w:t>
      </w:r>
      <w:r>
        <w:rPr>
          <w:i/>
          <w:iCs/>
        </w:rPr>
        <w:t>Id.</w:t>
      </w:r>
      <w:r w:rsidRPr="007906C5">
        <w:t xml:space="preserve"> </w:t>
      </w:r>
      <w:r w:rsidRPr="004539A7">
        <w:t>at 55, para. 110.</w:t>
      </w:r>
    </w:p>
  </w:footnote>
  <w:footnote w:id="71">
    <w:p w:rsidR="005919ED" w:rsidRPr="004539A7" w:rsidP="005919ED" w14:paraId="13318534" w14:textId="77777777">
      <w:pPr>
        <w:pStyle w:val="FootnoteText"/>
      </w:pPr>
      <w:r w:rsidRPr="004539A7">
        <w:rPr>
          <w:rStyle w:val="FootnoteReference"/>
        </w:rPr>
        <w:footnoteRef/>
      </w:r>
      <w:r w:rsidRPr="004539A7">
        <w:t xml:space="preserve"> </w:t>
      </w:r>
      <w:r>
        <w:rPr>
          <w:i/>
          <w:iCs/>
        </w:rPr>
        <w:t>Id.</w:t>
      </w:r>
      <w:r w:rsidRPr="004539A7">
        <w:t xml:space="preserve"> at 68, para. 135 (explaining that, in proposing to streamline the caller ID authentication rules, the Commission intended “to leave unaltered any obligations presently applicable to voice service providers,” with certain limited changes that are not relevant to the discussion here); </w:t>
      </w:r>
      <w:r w:rsidRPr="004539A7">
        <w:rPr>
          <w:i/>
          <w:iCs/>
        </w:rPr>
        <w:t xml:space="preserve">id. </w:t>
      </w:r>
      <w:r w:rsidRPr="004539A7">
        <w:t>at Appx. A.</w:t>
      </w:r>
      <w:r>
        <w:t xml:space="preserve"> </w:t>
      </w:r>
      <w:r w:rsidRPr="004539A7">
        <w:t xml:space="preserve">§ 64.6305(b)(3) (“A voice service provider that serves end users directly shall certify that it is compliant with the attestation requirements in § 64.6301(b) for all calls it transmits on its services.”).  </w:t>
      </w:r>
    </w:p>
  </w:footnote>
  <w:footnote w:id="72">
    <w:p w:rsidR="005919ED" w:rsidRPr="004539A7" w:rsidP="005919ED" w14:paraId="6DCFC8EC" w14:textId="77777777">
      <w:pPr>
        <w:pStyle w:val="FootnoteText"/>
      </w:pPr>
      <w:r w:rsidRPr="004539A7">
        <w:rPr>
          <w:rStyle w:val="FootnoteReference"/>
        </w:rPr>
        <w:footnoteRef/>
      </w:r>
      <w:r w:rsidRPr="004539A7">
        <w:t xml:space="preserve"> The Enforcement Bureau recently issued a Show Cause Order to Mexico IP Phone, LLC on why it should not be removed from the RMD related to its submission of false information to the NANPA.  </w:t>
      </w:r>
      <w:r w:rsidRPr="004539A7">
        <w:rPr>
          <w:i/>
        </w:rPr>
        <w:t>Mexico IP Phone, LLC</w:t>
      </w:r>
      <w:r w:rsidRPr="004539A7">
        <w:t>, EB-TCD-26-00040954, Order to Show Cause, DA 26-574, at 7</w:t>
      </w:r>
      <w:r>
        <w:t>-8, paras.15-18</w:t>
      </w:r>
      <w:r w:rsidRPr="004539A7">
        <w:t xml:space="preserve"> (EB June 11, 2026) (</w:t>
      </w:r>
      <w:r w:rsidRPr="004539A7">
        <w:rPr>
          <w:i/>
        </w:rPr>
        <w:t>Mexico IP Show Cause Order</w:t>
      </w:r>
      <w:r w:rsidRPr="004539A7">
        <w:t>).  Although there is a valid basis for removal under existing rules, we believe this proposal will provide a more direct basis for actions like these.</w:t>
      </w:r>
    </w:p>
  </w:footnote>
  <w:footnote w:id="73">
    <w:p w:rsidR="005919ED" w:rsidRPr="004539A7" w:rsidP="005919ED" w14:paraId="575BE5F1" w14:textId="77777777">
      <w:pPr>
        <w:pStyle w:val="FootnoteText"/>
      </w:pPr>
      <w:r w:rsidRPr="004539A7">
        <w:rPr>
          <w:rStyle w:val="FootnoteReference"/>
        </w:rPr>
        <w:footnoteRef/>
      </w:r>
      <w:r w:rsidRPr="004539A7">
        <w:t xml:space="preserve"> </w:t>
      </w:r>
      <w:r w:rsidRPr="004539A7">
        <w:rPr>
          <w:i/>
          <w:iCs/>
        </w:rPr>
        <w:t>See Combatting Illegal Robocalls Through FCC Numbering Policies et al.</w:t>
      </w:r>
      <w:r w:rsidRPr="004539A7">
        <w:t>, WC Docket No. 26-49 et al., Notice of Proposed Rulemaking, FCC 26-17, at 5, para. 8 (Mar. 27, 2026) (</w:t>
      </w:r>
      <w:r w:rsidRPr="004539A7">
        <w:rPr>
          <w:i/>
          <w:iCs/>
        </w:rPr>
        <w:t>Robocall Numbering Policies NPRM</w:t>
      </w:r>
      <w:r w:rsidRPr="004539A7">
        <w:t xml:space="preserve">) (noting that the Commission “delegates numbering administration duties to the NANPA, which is a neutral company that operates under a competitively bid contract with the Commission”); </w:t>
      </w:r>
      <w:r w:rsidRPr="004539A7">
        <w:rPr>
          <w:i/>
          <w:iCs/>
        </w:rPr>
        <w:t>Implementing Section 13(d) of the Pallone-Thune Telephone Robocall Abuse Criminal Enforcement and Deterrence Act (TRACED Act)</w:t>
      </w:r>
      <w:r w:rsidRPr="004539A7">
        <w:t xml:space="preserve">, EB Docket No. 20-22, Report and Order, 38 FCC </w:t>
      </w:r>
      <w:r w:rsidRPr="004539A7">
        <w:t>Rcd</w:t>
      </w:r>
      <w:r w:rsidRPr="004539A7">
        <w:t xml:space="preserve"> 7561 (EB 2023) (selecting the Industry Traceback Group (ITG) as the registered consortium for private-led traceback efforts).</w:t>
      </w:r>
    </w:p>
  </w:footnote>
  <w:footnote w:id="74">
    <w:p w:rsidR="005919ED" w:rsidRPr="004539A7" w:rsidP="005919ED" w14:paraId="7B913114" w14:textId="77777777">
      <w:pPr>
        <w:pStyle w:val="FootnoteText"/>
      </w:pPr>
      <w:r w:rsidRPr="004539A7">
        <w:rPr>
          <w:rStyle w:val="FootnoteReference"/>
        </w:rPr>
        <w:footnoteRef/>
      </w:r>
      <w:r w:rsidRPr="004539A7">
        <w:t xml:space="preserve"> Subpart L currently includes 47 CFR §§ 64-1200-64.1204, Subpart P currently includes 47 CFR §§ 64.1600-64.1606, Subpart HH currently includes 47 CFR §§ 64.</w:t>
      </w:r>
      <w:r w:rsidRPr="004539A7">
        <w:t>6300</w:t>
      </w:r>
      <w:r w:rsidRPr="004539A7">
        <w:t>-64.6308, and Part 52 currently includes 47 CFR §§ 52.1-52.203.</w:t>
      </w:r>
    </w:p>
  </w:footnote>
  <w:footnote w:id="75">
    <w:p w:rsidR="005919ED" w:rsidRPr="004539A7" w:rsidP="005919ED" w14:paraId="0C14C700" w14:textId="77777777">
      <w:pPr>
        <w:pStyle w:val="FootnoteText"/>
      </w:pPr>
      <w:r w:rsidRPr="004539A7">
        <w:rPr>
          <w:rStyle w:val="FootnoteReference"/>
        </w:rPr>
        <w:footnoteRef/>
      </w:r>
      <w:r w:rsidRPr="004539A7">
        <w:t xml:space="preserve"> We seek comment below on the causes for removing providers from the RMD.  </w:t>
      </w:r>
      <w:r w:rsidRPr="004539A7">
        <w:rPr>
          <w:i/>
          <w:iCs/>
        </w:rPr>
        <w:t xml:space="preserve">See </w:t>
      </w:r>
      <w:r w:rsidRPr="004539A7">
        <w:rPr>
          <w:i/>
          <w:iCs/>
        </w:rPr>
        <w:t xml:space="preserve">infra </w:t>
      </w:r>
      <w:r w:rsidRPr="004539A7">
        <w:t xml:space="preserve">Section </w:t>
      </w:r>
      <w:r w:rsidRPr="00CD616B">
        <w:t>III</w:t>
      </w:r>
      <w:r w:rsidRPr="00CD616B">
        <w:t>.B.3</w:t>
      </w:r>
      <w:r w:rsidRPr="004539A7">
        <w:t>.</w:t>
      </w:r>
    </w:p>
  </w:footnote>
  <w:footnote w:id="76">
    <w:p w:rsidR="005919ED" w:rsidRPr="004539A7" w:rsidP="005919ED" w14:paraId="142312DC" w14:textId="77777777">
      <w:pPr>
        <w:pStyle w:val="FootnoteText"/>
      </w:pPr>
      <w:r w:rsidRPr="004539A7">
        <w:rPr>
          <w:rStyle w:val="FootnoteReference"/>
        </w:rPr>
        <w:footnoteRef/>
      </w:r>
      <w:r w:rsidRPr="004539A7">
        <w:t xml:space="preserve"> 47 CFR § 64.6305(a)(2), (b)(2), (c)(2); </w:t>
      </w:r>
      <w:r w:rsidRPr="004539A7">
        <w:rPr>
          <w:i/>
          <w:iCs/>
        </w:rPr>
        <w:t>see also</w:t>
      </w:r>
      <w:r w:rsidRPr="00DD62A1">
        <w:rPr>
          <w:i/>
        </w:rPr>
        <w:t xml:space="preserve"> </w:t>
      </w:r>
      <w:r w:rsidRPr="004539A7">
        <w:t xml:space="preserve">§ 64.1200(n)(1) (requiring all providers to fully respond to traceback requests from the Commission, civil law enforcement, criminal law enforcement, or the industry traceback consortium within 24 hours of receipt of the request). </w:t>
      </w:r>
    </w:p>
  </w:footnote>
  <w:footnote w:id="77">
    <w:p w:rsidR="005919ED" w:rsidRPr="004539A7" w:rsidP="005919ED" w14:paraId="20973CD1" w14:textId="77777777">
      <w:pPr>
        <w:pStyle w:val="FootnoteText"/>
      </w:pPr>
      <w:r w:rsidRPr="004539A7">
        <w:rPr>
          <w:rStyle w:val="FootnoteReference"/>
        </w:rPr>
        <w:footnoteRef/>
      </w:r>
      <w:r w:rsidRPr="004539A7">
        <w:t xml:space="preserve"> 47 CFR § 64.6305(d)(2)(iii), (e)(2)(iii), (f)(2)(iii).</w:t>
      </w:r>
    </w:p>
  </w:footnote>
  <w:footnote w:id="78">
    <w:p w:rsidR="005919ED" w:rsidRPr="004539A7" w:rsidP="005919ED" w14:paraId="6504EEEC" w14:textId="77777777">
      <w:pPr>
        <w:pStyle w:val="FootnoteText"/>
      </w:pPr>
      <w:r w:rsidRPr="004539A7">
        <w:rPr>
          <w:rStyle w:val="FootnoteReference"/>
        </w:rPr>
        <w:footnoteRef/>
      </w:r>
      <w:r w:rsidRPr="004539A7">
        <w:t xml:space="preserve"> ITG, Policies and Procedures at 6 (Aug. 2025), </w:t>
      </w:r>
      <w:hyperlink r:id="rId11">
        <w:r w:rsidRPr="63ED858C">
          <w:rPr>
            <w:rStyle w:val="Hyperlink"/>
          </w:rPr>
          <w:t>https://tracebacks.org/wp-content/uploads/2025/09/ITG_Policies-Procedures_Aug_2025.pdf</w:t>
        </w:r>
      </w:hyperlink>
      <w:r w:rsidRPr="004539A7">
        <w:t xml:space="preserve"> (“The ITG relies on its Secure Traceback Platform (STP) to automate traceback efforts, with providers responding via the STP manually or automatically through the ITG’s API specification</w:t>
      </w:r>
      <w:r>
        <w:t>.</w:t>
      </w:r>
      <w:r w:rsidRPr="004539A7">
        <w:t xml:space="preserve">”); </w:t>
      </w:r>
      <w:r w:rsidRPr="004539A7">
        <w:t>USTelecom</w:t>
      </w:r>
      <w:r w:rsidRPr="004539A7">
        <w:t xml:space="preserve"> Comments, </w:t>
      </w:r>
      <w:r>
        <w:t>EB</w:t>
      </w:r>
      <w:r w:rsidRPr="004539A7">
        <w:t xml:space="preserve"> Docket No. </w:t>
      </w:r>
      <w:r>
        <w:t>20-22</w:t>
      </w:r>
      <w:r w:rsidRPr="004539A7">
        <w:t>, at 12 (rec. June 8, 2023) (“The ITG deployed an API for automated traceback response and also for incident reporting in 2021</w:t>
      </w:r>
      <w:r>
        <w:t>.</w:t>
      </w:r>
      <w:r w:rsidRPr="004539A7">
        <w:t xml:space="preserve">”). </w:t>
      </w:r>
    </w:p>
  </w:footnote>
  <w:footnote w:id="79">
    <w:p w:rsidR="005919ED" w:rsidRPr="004539A7" w:rsidP="005919ED" w14:paraId="094EBB24" w14:textId="77777777">
      <w:pPr>
        <w:pStyle w:val="FootnoteText"/>
      </w:pPr>
      <w:r w:rsidRPr="004539A7">
        <w:rPr>
          <w:rStyle w:val="FootnoteReference"/>
        </w:rPr>
        <w:footnoteRef/>
      </w:r>
      <w:r w:rsidRPr="004539A7">
        <w:t xml:space="preserve"> </w:t>
      </w:r>
      <w:r w:rsidRPr="004539A7">
        <w:t xml:space="preserve">Federal Trade Commission, </w:t>
      </w:r>
      <w:r w:rsidRPr="00966B79">
        <w:t>Biennial Report to Congress Under the Do Not Call Registry Fee Extension Act of 2007</w:t>
      </w:r>
      <w:r w:rsidRPr="004539A7">
        <w:t xml:space="preserve"> at 3 (2025), </w:t>
      </w:r>
      <w:hyperlink r:id="rId12">
        <w:r w:rsidRPr="5FB4E103">
          <w:rPr>
            <w:rStyle w:val="Hyperlink"/>
          </w:rPr>
          <w:t>https://www.ftc.gov/system/files/ftc_gov/pdf/P034305-2025-DNC-Report-to-Congress.pdf</w:t>
        </w:r>
      </w:hyperlink>
      <w:r w:rsidRPr="004539A7">
        <w:t xml:space="preserve"> (noting that “[a]</w:t>
      </w:r>
      <w:r w:rsidRPr="004539A7">
        <w:t>dvancements</w:t>
      </w:r>
      <w:r w:rsidRPr="004539A7">
        <w:t xml:space="preserve"> in technology have numerous benefits for consumers but have also made it easier for bad actors to place illegal calls” and that “automated dialing technology . . . allow[s] violators to make many illegal calls without significant expense”).</w:t>
      </w:r>
    </w:p>
  </w:footnote>
  <w:footnote w:id="80">
    <w:p w:rsidR="005919ED" w:rsidRPr="004539A7" w:rsidP="005919ED" w14:paraId="2C6DFAAB" w14:textId="77777777">
      <w:pPr>
        <w:pStyle w:val="FootnoteText"/>
      </w:pPr>
      <w:r w:rsidRPr="004539A7">
        <w:rPr>
          <w:rStyle w:val="FootnoteReference"/>
        </w:rPr>
        <w:footnoteRef/>
      </w:r>
      <w:r w:rsidRPr="004539A7">
        <w:t xml:space="preserve"> 47 CFR § 64.1200(n)(1); </w:t>
      </w:r>
      <w:r w:rsidRPr="004539A7">
        <w:rPr>
          <w:i/>
          <w:iCs/>
        </w:rPr>
        <w:t>see also Advanced Methods to Target and Eliminate Unlawful Robocalls; Call Authentication Trust Anchor</w:t>
      </w:r>
      <w:r w:rsidRPr="004539A7">
        <w:t xml:space="preserve">, CG Docket No. 17-59, WC Docket No. 17-97, Seventh Report and Order in CG Docket 17-59 and WC Docket 17-97, Eighth Further Notice of Proposed Rulemaking in CG Docket 17-59, and Third Notice of Inquiry in CG Docket 17-59, 38 FCC </w:t>
      </w:r>
      <w:r w:rsidRPr="004539A7">
        <w:t>Rcd</w:t>
      </w:r>
      <w:r w:rsidRPr="004539A7">
        <w:t xml:space="preserve"> 5404, 5412, para. 21 (2023)</w:t>
      </w:r>
      <w:r w:rsidRPr="004539A7">
        <w:rPr>
          <w:i/>
          <w:iCs/>
        </w:rPr>
        <w:t xml:space="preserve"> </w:t>
      </w:r>
      <w:r w:rsidRPr="004539A7">
        <w:t>(</w:t>
      </w:r>
      <w:r w:rsidRPr="004539A7">
        <w:rPr>
          <w:i/>
          <w:iCs/>
        </w:rPr>
        <w:t>Seventh Call Blocking Order</w:t>
      </w:r>
      <w:r w:rsidRPr="004539A7">
        <w:t>).</w:t>
      </w:r>
    </w:p>
  </w:footnote>
  <w:footnote w:id="81">
    <w:p w:rsidR="005919ED" w:rsidRPr="004539A7" w:rsidP="005919ED" w14:paraId="12363A81" w14:textId="77777777">
      <w:pPr>
        <w:pStyle w:val="FootnoteText"/>
      </w:pPr>
      <w:r w:rsidRPr="004539A7">
        <w:rPr>
          <w:rStyle w:val="FootnoteReference"/>
        </w:rPr>
        <w:footnoteRef/>
      </w:r>
      <w:r w:rsidRPr="004539A7">
        <w:t xml:space="preserve"> </w:t>
      </w:r>
      <w:r w:rsidRPr="004539A7">
        <w:rPr>
          <w:i/>
          <w:iCs/>
        </w:rPr>
        <w:t xml:space="preserve">See </w:t>
      </w:r>
      <w:r w:rsidRPr="004539A7">
        <w:t>47 CFR § 64.6305(d)(2)(</w:t>
      </w:r>
      <w:r w:rsidRPr="004539A7">
        <w:t>i</w:t>
      </w:r>
      <w:r w:rsidRPr="004539A7">
        <w:t>) (explaining that voice service providers must identify the type of extension it has received and the basis for the extension)</w:t>
      </w:r>
      <w:r>
        <w:t xml:space="preserve">, </w:t>
      </w:r>
      <w:r w:rsidRPr="004539A7">
        <w:t>(e)(2)(</w:t>
      </w:r>
      <w:r w:rsidRPr="004539A7">
        <w:t>i</w:t>
      </w:r>
      <w:r w:rsidRPr="004539A7">
        <w:t>) (same for gateway providers)</w:t>
      </w:r>
      <w:r>
        <w:t xml:space="preserve">, </w:t>
      </w:r>
      <w:r w:rsidRPr="004539A7">
        <w:t>(f)(2)(</w:t>
      </w:r>
      <w:r w:rsidRPr="004539A7">
        <w:t>i</w:t>
      </w:r>
      <w:r w:rsidRPr="004539A7">
        <w:t>) (same for non-gateway intermediate providers).</w:t>
      </w:r>
    </w:p>
  </w:footnote>
  <w:footnote w:id="82">
    <w:p w:rsidR="005919ED" w:rsidRPr="004539A7" w:rsidP="005919ED" w14:paraId="456F2C2C" w14:textId="77777777">
      <w:pPr>
        <w:pStyle w:val="FootnoteText"/>
      </w:pPr>
      <w:r w:rsidRPr="004539A7">
        <w:rPr>
          <w:rStyle w:val="FootnoteReference"/>
        </w:rPr>
        <w:footnoteRef/>
      </w:r>
      <w:r w:rsidRPr="004539A7">
        <w:t xml:space="preserve"> </w:t>
      </w:r>
      <w:r w:rsidRPr="004539A7">
        <w:rPr>
          <w:i/>
          <w:iCs/>
        </w:rPr>
        <w:t>KYUP FNPRM</w:t>
      </w:r>
      <w:r w:rsidRPr="004539A7">
        <w:t>, FCC 26-32,</w:t>
      </w:r>
      <w:r w:rsidRPr="004539A7">
        <w:rPr>
          <w:i/>
          <w:iCs/>
        </w:rPr>
        <w:t xml:space="preserve"> </w:t>
      </w:r>
      <w:r w:rsidRPr="004539A7">
        <w:t xml:space="preserve">at 68, para. 135.  </w:t>
      </w:r>
    </w:p>
  </w:footnote>
  <w:footnote w:id="83">
    <w:p w:rsidR="005919ED" w:rsidRPr="004539A7" w:rsidP="005919ED" w14:paraId="54FE6E7F" w14:textId="77777777">
      <w:pPr>
        <w:pStyle w:val="FootnoteText"/>
      </w:pPr>
      <w:r w:rsidRPr="004539A7">
        <w:rPr>
          <w:rStyle w:val="FootnoteReference"/>
        </w:rPr>
        <w:footnoteRef/>
      </w:r>
      <w:r w:rsidRPr="004539A7">
        <w:t xml:space="preserve"> 47 CFR § 64.6305(d)(1)(</w:t>
      </w:r>
      <w:r w:rsidRPr="004539A7">
        <w:t>i</w:t>
      </w:r>
      <w:r w:rsidRPr="004539A7">
        <w:t>)-(</w:t>
      </w:r>
      <w:r w:rsidRPr="004539A7">
        <w:t>iii), (e)(1)(</w:t>
      </w:r>
      <w:r w:rsidRPr="004539A7">
        <w:t>i</w:t>
      </w:r>
      <w:r w:rsidRPr="004539A7">
        <w:t>)-(</w:t>
      </w:r>
      <w:r w:rsidRPr="004539A7">
        <w:t>iii), (f)(1)(</w:t>
      </w:r>
      <w:r w:rsidRPr="004539A7">
        <w:t>i</w:t>
      </w:r>
      <w:r w:rsidRPr="004539A7">
        <w:t>)-(iii) (requiring voice service providers, gateway providers, and non-gateway intermediate providers, respectively, to certify to whether they have fully, partially, or not implemented the STIR/SHAKEN authentication framework on their networks).</w:t>
      </w:r>
    </w:p>
  </w:footnote>
  <w:footnote w:id="84">
    <w:p w:rsidR="005919ED" w:rsidRPr="004539A7" w:rsidP="005919ED" w14:paraId="3FE1E829" w14:textId="77777777">
      <w:pPr>
        <w:pStyle w:val="FootnoteText"/>
      </w:pPr>
      <w:r w:rsidRPr="004539A7">
        <w:rPr>
          <w:rStyle w:val="FootnoteReference"/>
        </w:rPr>
        <w:footnoteRef/>
      </w:r>
      <w:r w:rsidRPr="004539A7">
        <w:t xml:space="preserve"> </w:t>
      </w:r>
      <w:r w:rsidRPr="004539A7">
        <w:rPr>
          <w:i/>
          <w:iCs/>
        </w:rPr>
        <w:t xml:space="preserve">See </w:t>
      </w:r>
      <w:r w:rsidRPr="004539A7">
        <w:t>47 CFR § 64.6305(d)(2)(</w:t>
      </w:r>
      <w:r w:rsidRPr="004539A7">
        <w:t>i</w:t>
      </w:r>
      <w:r w:rsidRPr="004539A7">
        <w:t>)</w:t>
      </w:r>
      <w:r>
        <w:t xml:space="preserve">, </w:t>
      </w:r>
      <w:r w:rsidRPr="004539A7">
        <w:t>(e)(2)(</w:t>
      </w:r>
      <w:r w:rsidRPr="004539A7">
        <w:t>i</w:t>
      </w:r>
      <w:r w:rsidRPr="004539A7">
        <w:t>)</w:t>
      </w:r>
      <w:r>
        <w:t>,</w:t>
      </w:r>
      <w:r w:rsidRPr="004539A7">
        <w:t xml:space="preserve"> (f)(2)(</w:t>
      </w:r>
      <w:r w:rsidRPr="004539A7">
        <w:t>i</w:t>
      </w:r>
      <w:r w:rsidRPr="004539A7">
        <w:t xml:space="preserve">); </w:t>
      </w:r>
      <w:r w:rsidRPr="004539A7">
        <w:rPr>
          <w:i/>
          <w:iCs/>
        </w:rPr>
        <w:t>see also Sixth Caller ID Authentication Order</w:t>
      </w:r>
      <w:r w:rsidRPr="004539A7">
        <w:t xml:space="preserve">, 38 FCC </w:t>
      </w:r>
      <w:r w:rsidRPr="004539A7">
        <w:t>Rcd</w:t>
      </w:r>
      <w:r w:rsidRPr="004539A7">
        <w:t xml:space="preserve"> at 2596-97, para. 45 (footnote omitted).</w:t>
      </w:r>
    </w:p>
  </w:footnote>
  <w:footnote w:id="85">
    <w:p w:rsidR="005919ED" w:rsidRPr="00CD616B" w:rsidP="005919ED" w14:paraId="5894478E" w14:textId="77777777">
      <w:pPr>
        <w:pStyle w:val="FootnoteText"/>
      </w:pPr>
      <w:r w:rsidRPr="004539A7">
        <w:rPr>
          <w:rStyle w:val="FootnoteReference"/>
        </w:rPr>
        <w:footnoteRef/>
      </w:r>
      <w:r w:rsidRPr="004539A7">
        <w:t xml:space="preserve"> 47 U.S.C. § 227b(b)(5)(B); </w:t>
      </w:r>
      <w:r w:rsidRPr="004539A7">
        <w:rPr>
          <w:i/>
          <w:iCs/>
        </w:rPr>
        <w:t>see also</w:t>
      </w:r>
      <w:r w:rsidRPr="004539A7">
        <w:t xml:space="preserve"> 47 CFR § 64.6304(d).</w:t>
      </w:r>
    </w:p>
  </w:footnote>
  <w:footnote w:id="86">
    <w:p w:rsidR="005919ED" w:rsidRPr="00CD616B" w:rsidP="005919ED" w14:paraId="4B8A0A8C" w14:textId="77777777">
      <w:pPr>
        <w:pStyle w:val="FootnoteText"/>
      </w:pPr>
      <w:r w:rsidRPr="004539A7">
        <w:rPr>
          <w:rStyle w:val="FootnoteReference"/>
        </w:rPr>
        <w:footnoteRef/>
      </w:r>
      <w:r w:rsidRPr="004539A7">
        <w:t xml:space="preserve"> 47 CFR § 64.6304(b); </w:t>
      </w:r>
      <w:r>
        <w:rPr>
          <w:i/>
          <w:iCs/>
        </w:rPr>
        <w:t>see also</w:t>
      </w:r>
      <w:r w:rsidRPr="00E235F6">
        <w:rPr>
          <w:i/>
        </w:rPr>
        <w:t xml:space="preserve"> </w:t>
      </w:r>
      <w:r w:rsidRPr="004539A7">
        <w:rPr>
          <w:i/>
        </w:rPr>
        <w:t>Second Caller ID Authentication Order</w:t>
      </w:r>
      <w:r w:rsidRPr="004539A7">
        <w:t xml:space="preserve">, 36 FCC </w:t>
      </w:r>
      <w:r w:rsidRPr="004539A7">
        <w:t>Rcd</w:t>
      </w:r>
      <w:r w:rsidRPr="004539A7">
        <w:t xml:space="preserve"> at 1882-83, paras. 49-50; </w:t>
      </w:r>
      <w:r w:rsidRPr="004539A7">
        <w:rPr>
          <w:i/>
        </w:rPr>
        <w:t>Gateway Provider Order</w:t>
      </w:r>
      <w:r w:rsidRPr="004539A7">
        <w:t xml:space="preserve">, 37 FCC </w:t>
      </w:r>
      <w:r w:rsidRPr="004539A7">
        <w:t>Rcd</w:t>
      </w:r>
      <w:r w:rsidRPr="004539A7">
        <w:t xml:space="preserve"> at 6893, para. 61.</w:t>
      </w:r>
    </w:p>
  </w:footnote>
  <w:footnote w:id="87">
    <w:p w:rsidR="005919ED" w:rsidRPr="004539A7" w:rsidP="005919ED" w14:paraId="09C36F49" w14:textId="77777777">
      <w:pPr>
        <w:pStyle w:val="FootnoteText"/>
      </w:pPr>
      <w:r w:rsidRPr="004539A7">
        <w:rPr>
          <w:rStyle w:val="FootnoteReference"/>
        </w:rPr>
        <w:footnoteRef/>
      </w:r>
      <w:r w:rsidRPr="004539A7">
        <w:t xml:space="preserve"> </w:t>
      </w:r>
      <w:r w:rsidRPr="004539A7">
        <w:rPr>
          <w:i/>
          <w:iCs/>
        </w:rPr>
        <w:t>KYUP FNPRM</w:t>
      </w:r>
      <w:r w:rsidRPr="004539A7">
        <w:t>, FCC 26-32, at 52-54, paras. 106-107.</w:t>
      </w:r>
    </w:p>
  </w:footnote>
  <w:footnote w:id="88">
    <w:p w:rsidR="005919ED" w:rsidRPr="00CD616B" w:rsidP="005919ED" w14:paraId="2990EF81" w14:textId="77777777">
      <w:pPr>
        <w:pStyle w:val="FootnoteText"/>
      </w:pPr>
      <w:r w:rsidRPr="004539A7">
        <w:rPr>
          <w:rStyle w:val="FootnoteReference"/>
        </w:rPr>
        <w:footnoteRef/>
      </w:r>
      <w:r w:rsidRPr="004539A7">
        <w:t xml:space="preserve"> 47 CFR § 64.6304(a)(1)(iii); </w:t>
      </w:r>
      <w:r>
        <w:rPr>
          <w:i/>
          <w:iCs/>
        </w:rPr>
        <w:t xml:space="preserve">see also </w:t>
      </w:r>
      <w:r w:rsidRPr="004539A7">
        <w:rPr>
          <w:i/>
        </w:rPr>
        <w:t>Sixth Caller ID Authentication Order</w:t>
      </w:r>
      <w:r w:rsidRPr="004539A7">
        <w:t xml:space="preserve">, 38 FCC </w:t>
      </w:r>
      <w:r w:rsidRPr="004539A7">
        <w:t>Rcd</w:t>
      </w:r>
      <w:r w:rsidRPr="004539A7">
        <w:t xml:space="preserve"> at 2614-15, paras. 79-82.</w:t>
      </w:r>
    </w:p>
  </w:footnote>
  <w:footnote w:id="89">
    <w:p w:rsidR="005919ED" w:rsidRPr="004539A7" w:rsidP="005919ED" w14:paraId="3840F33E" w14:textId="77777777">
      <w:pPr>
        <w:pStyle w:val="FootnoteText"/>
      </w:pPr>
      <w:r w:rsidRPr="004539A7">
        <w:rPr>
          <w:rStyle w:val="FootnoteReference"/>
        </w:rPr>
        <w:footnoteRef/>
      </w:r>
      <w:r w:rsidRPr="004539A7">
        <w:rPr>
          <w:i/>
          <w:iCs/>
        </w:rPr>
        <w:t xml:space="preserve"> KYUP FNPRM</w:t>
      </w:r>
      <w:r w:rsidRPr="004539A7">
        <w:t>, FCC 26-32, at 54, para. 108.</w:t>
      </w:r>
    </w:p>
  </w:footnote>
  <w:footnote w:id="90">
    <w:p w:rsidR="005919ED" w:rsidRPr="004539A7" w:rsidP="005919ED" w14:paraId="2EC06106" w14:textId="77777777">
      <w:pPr>
        <w:pStyle w:val="FootnoteText"/>
        <w:rPr>
          <w:i/>
        </w:rPr>
      </w:pPr>
      <w:r w:rsidRPr="004539A7">
        <w:rPr>
          <w:rStyle w:val="FootnoteReference"/>
          <w:rFonts w:eastAsia="Yu Gothic Light"/>
        </w:rPr>
        <w:footnoteRef/>
      </w:r>
      <w:r w:rsidRPr="004539A7">
        <w:t xml:space="preserve"> </w:t>
      </w:r>
      <w:r w:rsidRPr="004539A7">
        <w:rPr>
          <w:i/>
        </w:rPr>
        <w:t>First Caller ID Authentication Order</w:t>
      </w:r>
      <w:r w:rsidRPr="004539A7">
        <w:t xml:space="preserve">, 35 FCC </w:t>
      </w:r>
      <w:r w:rsidRPr="004539A7">
        <w:t>Rcd</w:t>
      </w:r>
      <w:r w:rsidRPr="004539A7">
        <w:t xml:space="preserve"> at 3260, para. 40 (“Finally, we clarify that the rules we adopt today do not apply to providers that lack control of the network infrastructure necessary to implement STIR/SHAKEN.”); </w:t>
      </w:r>
      <w:r w:rsidRPr="004539A7">
        <w:rPr>
          <w:i/>
        </w:rPr>
        <w:t>see also</w:t>
      </w:r>
      <w:r w:rsidRPr="004539A7">
        <w:t xml:space="preserve"> 47 CFR § 64.6305(d)(2)(</w:t>
      </w:r>
      <w:r w:rsidRPr="004539A7">
        <w:t>i</w:t>
      </w:r>
      <w:r w:rsidRPr="004539A7">
        <w:t>), (e)(2)(</w:t>
      </w:r>
      <w:r w:rsidRPr="004539A7">
        <w:t>i</w:t>
      </w:r>
      <w:r w:rsidRPr="004539A7">
        <w:t>), (f)(2)(</w:t>
      </w:r>
      <w:r w:rsidRPr="004539A7">
        <w:t>i</w:t>
      </w:r>
      <w:r w:rsidRPr="004539A7">
        <w:t xml:space="preserve">). </w:t>
      </w:r>
    </w:p>
  </w:footnote>
  <w:footnote w:id="91">
    <w:p w:rsidR="005919ED" w:rsidRPr="004539A7" w:rsidP="005919ED" w14:paraId="2556F24E" w14:textId="77777777">
      <w:pPr>
        <w:pStyle w:val="FootnoteText"/>
      </w:pPr>
      <w:r w:rsidRPr="004539A7">
        <w:rPr>
          <w:rStyle w:val="FootnoteReference"/>
        </w:rPr>
        <w:footnoteRef/>
      </w:r>
      <w:r w:rsidRPr="004539A7">
        <w:t xml:space="preserve"> </w:t>
      </w:r>
      <w:r w:rsidRPr="004539A7">
        <w:rPr>
          <w:i/>
          <w:iCs/>
        </w:rPr>
        <w:t>KYUP FNPRM</w:t>
      </w:r>
      <w:r w:rsidRPr="004539A7">
        <w:t>, FCC 26-32, at 47-49, paras. 98-101.</w:t>
      </w:r>
    </w:p>
  </w:footnote>
  <w:footnote w:id="92">
    <w:p w:rsidR="005919ED" w:rsidRPr="004539A7" w:rsidP="005919ED" w14:paraId="139A6CFC" w14:textId="77777777">
      <w:pPr>
        <w:pStyle w:val="FootnoteText"/>
      </w:pPr>
      <w:r w:rsidRPr="004539A7">
        <w:rPr>
          <w:rStyle w:val="FootnoteReference"/>
        </w:rPr>
        <w:footnoteRef/>
      </w:r>
      <w:r w:rsidRPr="004539A7">
        <w:t xml:space="preserve"> </w:t>
      </w:r>
      <w:r w:rsidRPr="004539A7">
        <w:rPr>
          <w:i/>
          <w:iCs/>
        </w:rPr>
        <w:t>See Sixth Caller ID Authentication Order</w:t>
      </w:r>
      <w:r w:rsidRPr="004539A7">
        <w:t xml:space="preserve">, 38 FCC </w:t>
      </w:r>
      <w:r w:rsidRPr="004539A7">
        <w:t>Rcd</w:t>
      </w:r>
      <w:r w:rsidRPr="004539A7">
        <w:t xml:space="preserve"> at 2596-97, para. 45 &amp; n.170 (noting that a voice service provider must state the rule that exempts it from compliance by, for example, explaining that it lacks the necessary facilities to implement STIR/SHAKEN or it cannot obtain an SPC token); </w:t>
      </w:r>
      <w:r w:rsidRPr="004539A7">
        <w:rPr>
          <w:i/>
          <w:iCs/>
        </w:rPr>
        <w:t>id</w:t>
      </w:r>
      <w:r w:rsidRPr="00E235F6">
        <w:rPr>
          <w:i/>
        </w:rPr>
        <w:t>.</w:t>
      </w:r>
      <w:r w:rsidRPr="004539A7">
        <w:t xml:space="preserve"> at 2597, para. 45 &amp; n.171 (noting that to explain why the exemption applies a provider must, for example, explain that it is a pure reseller with some facilities, but that they are not sufficient to implement STIR/SHAKEN, or the steps it has taken to “diligently pursue” obtaining a token).</w:t>
      </w:r>
    </w:p>
  </w:footnote>
  <w:footnote w:id="93">
    <w:p w:rsidR="005919ED" w:rsidRPr="004539A7" w:rsidP="005919ED" w14:paraId="2653C070" w14:textId="77777777">
      <w:pPr>
        <w:pStyle w:val="FootnoteText"/>
      </w:pPr>
      <w:r w:rsidRPr="004539A7">
        <w:rPr>
          <w:rStyle w:val="FootnoteReference"/>
        </w:rPr>
        <w:footnoteRef/>
      </w:r>
      <w:r w:rsidRPr="004539A7">
        <w:t xml:space="preserve"> The categorical STIR/SHAKEN implementation exemption for non-facilities-based and facilities-based small voice service providers expired on June 30, 2022, and June 30, 2023, respectively.  </w:t>
      </w:r>
      <w:r w:rsidRPr="004539A7">
        <w:rPr>
          <w:i/>
          <w:iCs/>
        </w:rPr>
        <w:t>See Second Caller ID Authentication Order</w:t>
      </w:r>
      <w:r w:rsidRPr="004539A7">
        <w:t xml:space="preserve">, 36 FCC </w:t>
      </w:r>
      <w:r w:rsidRPr="004539A7">
        <w:t>Rcd</w:t>
      </w:r>
      <w:r w:rsidRPr="004539A7">
        <w:t xml:space="preserve"> at 1877-83, paras. 39-51 (granting an exemption for small voice service providers until June 30, 2023); </w:t>
      </w:r>
      <w:r w:rsidRPr="004539A7">
        <w:rPr>
          <w:i/>
          <w:iCs/>
        </w:rPr>
        <w:t>Call Authentication Trust Anchor</w:t>
      </w:r>
      <w:r w:rsidRPr="004539A7">
        <w:t xml:space="preserve">, WC Docket No. 17-97, Fourth Report and Order, 36 FCC </w:t>
      </w:r>
      <w:r w:rsidRPr="004539A7">
        <w:t>Rcd</w:t>
      </w:r>
      <w:r w:rsidRPr="004539A7">
        <w:t xml:space="preserve"> 17840, 17844, para. 9 (2021) (maintaining the two-year exemption for facilities-based small voice service </w:t>
      </w:r>
      <w:r w:rsidRPr="004539A7">
        <w:t>providers, but</w:t>
      </w:r>
      <w:r w:rsidRPr="004539A7">
        <w:t xml:space="preserve"> shortening the exemption for non-facilities-based small voice service providers by one year); </w:t>
      </w:r>
      <w:r w:rsidRPr="004539A7">
        <w:rPr>
          <w:i/>
          <w:iCs/>
        </w:rPr>
        <w:t xml:space="preserve">see also </w:t>
      </w:r>
      <w:r w:rsidRPr="004539A7">
        <w:t xml:space="preserve">47 CFR § 64.6304(a)(1).  While a prior version of the Governance Authority’s token access policy required providers to “[h]ave direct access to telephone numbers from the [NANPA] . . . and National Pooling Administrator,” the Governance Authority updated its policy and removed this requirement in November 2020.  </w:t>
      </w:r>
      <w:r w:rsidRPr="004539A7">
        <w:rPr>
          <w:i/>
          <w:iCs/>
        </w:rPr>
        <w:t xml:space="preserve">See </w:t>
      </w:r>
      <w:r w:rsidRPr="004539A7">
        <w:t xml:space="preserve">STI-Governance Authority, </w:t>
      </w:r>
      <w:r w:rsidRPr="00966B79">
        <w:t>Policy Decision Binder, Version 1.0</w:t>
      </w:r>
      <w:r w:rsidRPr="004539A7">
        <w:t>,</w:t>
      </w:r>
      <w:r w:rsidRPr="00966B79">
        <w:t xml:space="preserve"> Policy Decision 001</w:t>
      </w:r>
      <w:r w:rsidRPr="004539A7">
        <w:t xml:space="preserve">:  SPC Token Access Policy Version 1.0, at 5 (Nov. 18, 2020), </w:t>
      </w:r>
      <w:hyperlink r:id="rId13">
        <w:r w:rsidRPr="29C5C763">
          <w:rPr>
            <w:rStyle w:val="Hyperlink"/>
          </w:rPr>
          <w:t>https://sti-ga.atis.org/wp-content/uploads/2021/04/210323-STIGA-Board-Policy-Decision-Binder-final.pdf</w:t>
        </w:r>
      </w:hyperlink>
      <w:r w:rsidRPr="004539A7">
        <w:t>.</w:t>
      </w:r>
    </w:p>
  </w:footnote>
  <w:footnote w:id="94">
    <w:p w:rsidR="005919ED" w:rsidRPr="004539A7" w:rsidP="005919ED" w14:paraId="760A47B3" w14:textId="77777777">
      <w:pPr>
        <w:pStyle w:val="FootnoteText"/>
      </w:pPr>
      <w:r w:rsidRPr="004539A7">
        <w:rPr>
          <w:rStyle w:val="FootnoteReference"/>
        </w:rPr>
        <w:footnoteRef/>
      </w:r>
      <w:r w:rsidRPr="004539A7">
        <w:t xml:space="preserve"> We could change the format of the RMD submission form in several ways to enable providers to submit this information, including by implementing a new field on the form or by adding a drop-down list of currently valid exemptions.</w:t>
      </w:r>
    </w:p>
  </w:footnote>
  <w:footnote w:id="95">
    <w:p w:rsidR="005919ED" w:rsidRPr="004539A7" w:rsidP="005919ED" w14:paraId="036D9504" w14:textId="77777777">
      <w:pPr>
        <w:pStyle w:val="FootnoteText"/>
      </w:pPr>
      <w:r w:rsidRPr="004539A7">
        <w:rPr>
          <w:rStyle w:val="FootnoteReference"/>
        </w:rPr>
        <w:footnoteRef/>
      </w:r>
      <w:r w:rsidRPr="004539A7">
        <w:t xml:space="preserve"> </w:t>
      </w:r>
      <w:r w:rsidRPr="004539A7">
        <w:rPr>
          <w:i/>
          <w:iCs/>
        </w:rPr>
        <w:t>Sixth Caller ID Authentication Order</w:t>
      </w:r>
      <w:r w:rsidRPr="004539A7">
        <w:t xml:space="preserve">, 38 FCC </w:t>
      </w:r>
      <w:r w:rsidRPr="004539A7">
        <w:t>Rcd</w:t>
      </w:r>
      <w:r w:rsidRPr="004539A7">
        <w:t xml:space="preserve"> at 2596-97, para. 45 (footnote omitted); </w:t>
      </w:r>
      <w:r w:rsidRPr="004539A7">
        <w:rPr>
          <w:i/>
          <w:iCs/>
        </w:rPr>
        <w:t>see also</w:t>
      </w:r>
      <w:r w:rsidRPr="004539A7">
        <w:t xml:space="preserve"> </w:t>
      </w:r>
      <w:r w:rsidRPr="5A06116C">
        <w:rPr>
          <w:i/>
          <w:iCs/>
        </w:rPr>
        <w:t>id</w:t>
      </w:r>
      <w:r w:rsidRPr="00E235F6">
        <w:rPr>
          <w:i/>
        </w:rPr>
        <w:t>.</w:t>
      </w:r>
      <w:r w:rsidRPr="004539A7">
        <w:t xml:space="preserve"> at 2597, para. 45 &amp; n.170 (noting that a voice service provider must state the rule that exempts it from compliance, by, for example, explaining that it lacks the necessary facilities to implement STIR/SHAKEN or it cannot obtain an SPC token); </w:t>
      </w:r>
      <w:r w:rsidRPr="5A06116C">
        <w:rPr>
          <w:i/>
          <w:iCs/>
        </w:rPr>
        <w:t>id</w:t>
      </w:r>
      <w:r>
        <w:t>.</w:t>
      </w:r>
      <w:r w:rsidRPr="004539A7">
        <w:t xml:space="preserve"> at 2597, para. 45 &amp; n.171 (noting that to explain why the exemption applies, a provider must, for example, explain that it is a pure reseller with some facilities, but those facilities are not sufficient to implement STIR/SHAKEN, or if the provider is not able to obtain a token, explain the steps it has taken to “diligently pursue” doing so); 47 CFR § 64.6305(d)(2)(</w:t>
      </w:r>
      <w:r w:rsidRPr="004539A7">
        <w:t>i</w:t>
      </w:r>
      <w:r w:rsidRPr="004539A7">
        <w:t>) (explaining that voice service providers must identify the type of extension it has and the basis for the extension); 47 CFR § 64.6305(e)(2)(</w:t>
      </w:r>
      <w:r w:rsidRPr="004539A7">
        <w:t>i</w:t>
      </w:r>
      <w:r w:rsidRPr="004539A7">
        <w:t>) (same for gateway providers); 47 CFR § 64.6305(f)(2)(</w:t>
      </w:r>
      <w:r w:rsidRPr="004539A7">
        <w:t>i</w:t>
      </w:r>
      <w:r w:rsidRPr="004539A7">
        <w:t>) (same for non-gateway intermediate providers).</w:t>
      </w:r>
    </w:p>
  </w:footnote>
  <w:footnote w:id="96">
    <w:p w:rsidR="005919ED" w:rsidRPr="004539A7" w:rsidP="005919ED" w14:paraId="1DFA7F04" w14:textId="77777777">
      <w:pPr>
        <w:pStyle w:val="FootnoteText"/>
      </w:pPr>
      <w:r w:rsidRPr="004539A7">
        <w:rPr>
          <w:rStyle w:val="FootnoteReference"/>
        </w:rPr>
        <w:footnoteRef/>
      </w:r>
      <w:r w:rsidRPr="004539A7">
        <w:t xml:space="preserve"> </w:t>
      </w:r>
      <w:r w:rsidRPr="004539A7">
        <w:rPr>
          <w:i/>
          <w:iCs/>
        </w:rPr>
        <w:t>See</w:t>
      </w:r>
      <w:r w:rsidRPr="004539A7">
        <w:t xml:space="preserve"> 47 CFR § 64.6305(d)(1), (e)(1), (f)(1).</w:t>
      </w:r>
    </w:p>
  </w:footnote>
  <w:footnote w:id="97">
    <w:p w:rsidR="005919ED" w:rsidRPr="004539A7" w:rsidP="005919ED" w14:paraId="2DE777A6" w14:textId="77777777">
      <w:pPr>
        <w:pStyle w:val="FootnoteText"/>
      </w:pPr>
      <w:r w:rsidRPr="004539A7">
        <w:rPr>
          <w:rStyle w:val="FootnoteReference"/>
        </w:rPr>
        <w:footnoteRef/>
      </w:r>
      <w:r w:rsidRPr="004539A7">
        <w:t xml:space="preserve"> </w:t>
      </w:r>
      <w:r w:rsidRPr="004539A7">
        <w:rPr>
          <w:i/>
          <w:iCs/>
        </w:rPr>
        <w:t xml:space="preserve">See </w:t>
      </w:r>
      <w:r w:rsidRPr="004539A7">
        <w:t>47 CFR § 64.6301(a)(1) (requiring voice service providers to obtain an SPC token); 47 CFR § 64.6302(a) (same for intermediate providers).</w:t>
      </w:r>
    </w:p>
  </w:footnote>
  <w:footnote w:id="98">
    <w:p w:rsidR="005919ED" w:rsidRPr="004539A7" w:rsidP="005919ED" w14:paraId="23E5E1D0" w14:textId="77777777">
      <w:pPr>
        <w:pStyle w:val="FootnoteText"/>
      </w:pPr>
      <w:r w:rsidRPr="004539A7">
        <w:rPr>
          <w:rStyle w:val="FootnoteReference"/>
        </w:rPr>
        <w:footnoteRef/>
      </w:r>
      <w:r w:rsidRPr="004539A7">
        <w:t xml:space="preserve"> </w:t>
      </w:r>
      <w:r w:rsidRPr="004539A7">
        <w:rPr>
          <w:i/>
          <w:iCs/>
        </w:rPr>
        <w:t>See</w:t>
      </w:r>
      <w:r w:rsidRPr="004539A7">
        <w:rPr>
          <w:i/>
        </w:rPr>
        <w:t xml:space="preserve"> </w:t>
      </w:r>
      <w:r w:rsidRPr="004539A7">
        <w:rPr>
          <w:i/>
          <w:iCs/>
        </w:rPr>
        <w:t>Call Authentication Trust Anchor</w:t>
      </w:r>
      <w:r w:rsidRPr="004539A7">
        <w:t xml:space="preserve">, WC Docket No. 17-97, Eighth Report and Order, 39 FCC </w:t>
      </w:r>
      <w:r w:rsidRPr="004539A7">
        <w:t>Rcd</w:t>
      </w:r>
      <w:r w:rsidRPr="004539A7">
        <w:t xml:space="preserve"> 12894,</w:t>
      </w:r>
      <w:r w:rsidRPr="004539A7">
        <w:rPr>
          <w:i/>
        </w:rPr>
        <w:t xml:space="preserve"> </w:t>
      </w:r>
      <w:r w:rsidRPr="004539A7">
        <w:t>12916, para. 30 (2024) (</w:t>
      </w:r>
      <w:r w:rsidRPr="004539A7">
        <w:rPr>
          <w:i/>
          <w:iCs/>
        </w:rPr>
        <w:t>Eighth Caller ID Authentication Order</w:t>
      </w:r>
      <w:r w:rsidRPr="004539A7">
        <w:t xml:space="preserve">) (prohibiting “any provider with a STIR/SHAKEN implementation obligation from certifying to complete or partial implementation in the </w:t>
      </w:r>
      <w:r w:rsidRPr="004539A7">
        <w:rPr>
          <w:szCs w:val="22"/>
        </w:rPr>
        <w:t>[RMD] unless they have obtained an SPC token and digital certificate and sign calls with their certificate, either by themselves or when working with a third party to perform the technological act of signing calls”</w:t>
      </w:r>
      <w:r w:rsidRPr="004539A7">
        <w:t xml:space="preserve">); </w:t>
      </w:r>
      <w:r w:rsidRPr="004539A7">
        <w:rPr>
          <w:i/>
          <w:iCs/>
        </w:rPr>
        <w:t xml:space="preserve">see also infra </w:t>
      </w:r>
      <w:r w:rsidRPr="004539A7">
        <w:t xml:space="preserve">Section </w:t>
      </w:r>
      <w:r w:rsidRPr="00CD616B">
        <w:t>III.C.1</w:t>
      </w:r>
      <w:r w:rsidRPr="004539A7">
        <w:t xml:space="preserve"> (proposing to codify this requirement).</w:t>
      </w:r>
    </w:p>
  </w:footnote>
  <w:footnote w:id="99">
    <w:p w:rsidR="005919ED" w:rsidRPr="004539A7" w:rsidP="005919ED" w14:paraId="4514BF7B" w14:textId="77777777">
      <w:pPr>
        <w:pStyle w:val="FootnoteText"/>
      </w:pPr>
      <w:r w:rsidRPr="004539A7">
        <w:rPr>
          <w:rStyle w:val="FootnoteReference"/>
        </w:rPr>
        <w:footnoteRef/>
      </w:r>
      <w:r w:rsidRPr="004539A7">
        <w:t xml:space="preserve"> The Governance Authority’s current SPC Token Access Policy requires providers to:  (1) have a current Form 499-A on file with the Commission, (2) have been assigned an Operating Company Number (OCN), or Resp Org ID and (3) have certified with the Commission that they have implemented STIR/SHAKEN or comply with the Commission’s robocall mitigation program requirements and are listed in the RMD.  STI-Governance Authority, </w:t>
      </w:r>
      <w:r w:rsidRPr="00966B79">
        <w:t>Policy Decision Binder, Version 9.1, Policy Decision 001</w:t>
      </w:r>
      <w:r w:rsidRPr="004539A7">
        <w:t xml:space="preserve">:  SPC Token Access Policy Version 1.2, at 6 (Jan. 13, 2026) (Governance Authority Policies), </w:t>
      </w:r>
      <w:hyperlink r:id="rId14">
        <w:r w:rsidRPr="274CC7CA">
          <w:rPr>
            <w:rStyle w:val="Hyperlink"/>
          </w:rPr>
          <w:t>https://cdn.atis.org/sti-ga.atis.org/2026/01/14175322/260113-STIGA-Board-Policy-Decision-Binder-v9-1-1.pdf</w:t>
        </w:r>
      </w:hyperlink>
      <w:r w:rsidRPr="004539A7">
        <w:t>.</w:t>
      </w:r>
    </w:p>
  </w:footnote>
  <w:footnote w:id="100">
    <w:p w:rsidR="005919ED" w:rsidRPr="004539A7" w:rsidP="005919ED" w14:paraId="4802A022" w14:textId="77777777">
      <w:pPr>
        <w:pStyle w:val="FootnoteText"/>
      </w:pPr>
      <w:r w:rsidRPr="004539A7">
        <w:rPr>
          <w:rStyle w:val="FootnoteReference"/>
        </w:rPr>
        <w:footnoteRef/>
      </w:r>
      <w:r w:rsidRPr="004539A7">
        <w:t xml:space="preserve"> 47 CFR § 64.6305(d)(4)(vii), (e)(4)(vii), (f)(4)(vii).  </w:t>
      </w:r>
    </w:p>
  </w:footnote>
  <w:footnote w:id="101">
    <w:p w:rsidR="005919ED" w:rsidRPr="004539A7" w:rsidP="005919ED" w14:paraId="27C61903" w14:textId="77777777">
      <w:pPr>
        <w:pStyle w:val="FootnoteText"/>
      </w:pPr>
      <w:r w:rsidRPr="004539A7">
        <w:rPr>
          <w:rStyle w:val="FootnoteReference"/>
        </w:rPr>
        <w:footnoteRef/>
      </w:r>
      <w:r w:rsidRPr="004539A7">
        <w:t xml:space="preserve"> Governance Authority Policies at 6.</w:t>
      </w:r>
    </w:p>
  </w:footnote>
  <w:footnote w:id="102">
    <w:p w:rsidR="005919ED" w:rsidRPr="004539A7" w:rsidP="005919ED" w14:paraId="75BA47B3" w14:textId="77777777">
      <w:pPr>
        <w:pStyle w:val="FootnoteText"/>
      </w:pPr>
      <w:r w:rsidRPr="004539A7">
        <w:rPr>
          <w:rStyle w:val="FootnoteReference"/>
        </w:rPr>
        <w:footnoteRef/>
      </w:r>
      <w:r w:rsidRPr="004539A7">
        <w:t xml:space="preserve"> </w:t>
      </w:r>
      <w:r w:rsidRPr="004539A7">
        <w:rPr>
          <w:i/>
          <w:iCs/>
        </w:rPr>
        <w:t xml:space="preserve">See </w:t>
      </w:r>
      <w:r w:rsidRPr="004539A7">
        <w:rPr>
          <w:i/>
          <w:iCs/>
        </w:rPr>
        <w:t>infra</w:t>
      </w:r>
      <w:r w:rsidRPr="004539A7">
        <w:t xml:space="preserve"> Section </w:t>
      </w:r>
      <w:r w:rsidRPr="00CD616B">
        <w:t>III</w:t>
      </w:r>
      <w:r w:rsidRPr="00CD616B">
        <w:t>.B.3</w:t>
      </w:r>
      <w:r w:rsidRPr="004539A7">
        <w:t xml:space="preserve"> (proposing and seeking comment more broadly on the tools we use to remove bad actor and non-compliant providers’ filings from the RMD). </w:t>
      </w:r>
    </w:p>
  </w:footnote>
  <w:footnote w:id="103">
    <w:p w:rsidR="005919ED" w:rsidRPr="004539A7" w:rsidP="005919ED" w14:paraId="065DA667" w14:textId="77777777">
      <w:pPr>
        <w:pStyle w:val="FootnoteText"/>
      </w:pPr>
      <w:r w:rsidRPr="004539A7">
        <w:rPr>
          <w:rStyle w:val="FootnoteReference"/>
        </w:rPr>
        <w:footnoteRef/>
      </w:r>
      <w:r w:rsidRPr="004539A7">
        <w:t xml:space="preserve"> Under our existing rules, providers have an ongoing obligation to update their RMD filings within 10 business days of “any change </w:t>
      </w:r>
      <w:r>
        <w:t xml:space="preserve">to </w:t>
      </w:r>
      <w:r w:rsidRPr="004539A7">
        <w:t>the information” submitted.  47 CFR § 64.6305(d)(5), (e)(5), (f)(5).</w:t>
      </w:r>
    </w:p>
  </w:footnote>
  <w:footnote w:id="104">
    <w:p w:rsidR="005919ED" w:rsidRPr="004539A7" w:rsidP="005919ED" w14:paraId="51C56102" w14:textId="77777777">
      <w:pPr>
        <w:pStyle w:val="FootnoteText"/>
      </w:pPr>
      <w:r w:rsidRPr="004539A7">
        <w:rPr>
          <w:rStyle w:val="FootnoteReference"/>
        </w:rPr>
        <w:footnoteRef/>
      </w:r>
      <w:r w:rsidRPr="004539A7">
        <w:t xml:space="preserve"> </w:t>
      </w:r>
      <w:r w:rsidRPr="004539A7">
        <w:rPr>
          <w:i/>
          <w:iCs/>
        </w:rPr>
        <w:t>See</w:t>
      </w:r>
      <w:r w:rsidRPr="004539A7">
        <w:t xml:space="preserve"> 47 CFR § 64.6305(d)(1), (e)(1), (f)(1).</w:t>
      </w:r>
    </w:p>
  </w:footnote>
  <w:footnote w:id="105">
    <w:p w:rsidR="005919ED" w:rsidRPr="004539A7" w:rsidP="005919ED" w14:paraId="1C276E48" w14:textId="77777777">
      <w:pPr>
        <w:pStyle w:val="FootnoteText"/>
      </w:pPr>
      <w:r w:rsidRPr="004539A7">
        <w:rPr>
          <w:rStyle w:val="FootnoteReference"/>
        </w:rPr>
        <w:footnoteRef/>
      </w:r>
      <w:r w:rsidRPr="004539A7">
        <w:t xml:space="preserve"> </w:t>
      </w:r>
      <w:r w:rsidRPr="004539A7">
        <w:rPr>
          <w:i/>
          <w:iCs/>
        </w:rPr>
        <w:t>See</w:t>
      </w:r>
      <w:r w:rsidRPr="004539A7">
        <w:t xml:space="preserve"> 47 CFR § 64.6305(d)(2)(iv), (e)(2)(iv), (f)(2)(iv).</w:t>
      </w:r>
    </w:p>
  </w:footnote>
  <w:footnote w:id="106">
    <w:p w:rsidR="005919ED" w:rsidRPr="004539A7" w:rsidP="005919ED" w14:paraId="2FBE90DB" w14:textId="77777777">
      <w:pPr>
        <w:pStyle w:val="FootnoteText"/>
      </w:pPr>
      <w:r w:rsidRPr="004539A7">
        <w:rPr>
          <w:rStyle w:val="FootnoteReference"/>
        </w:rPr>
        <w:footnoteRef/>
      </w:r>
      <w:r w:rsidRPr="004539A7">
        <w:t xml:space="preserve"> </w:t>
      </w:r>
      <w:r>
        <w:rPr>
          <w:i/>
          <w:iCs/>
        </w:rPr>
        <w:t>Compare</w:t>
      </w:r>
      <w:r>
        <w:rPr>
          <w:i/>
        </w:rPr>
        <w:t xml:space="preserve"> </w:t>
      </w:r>
      <w:r w:rsidRPr="004539A7">
        <w:t>47 CFR § 64.6305(d)(</w:t>
      </w:r>
      <w:r>
        <w:t xml:space="preserve">1), (e)(1), (f)(1) </w:t>
      </w:r>
      <w:r>
        <w:rPr>
          <w:i/>
          <w:iCs/>
        </w:rPr>
        <w:t>with</w:t>
      </w:r>
      <w:r w:rsidRPr="00E235F6">
        <w:rPr>
          <w:i/>
        </w:rPr>
        <w:t xml:space="preserve"> </w:t>
      </w:r>
      <w:r>
        <w:t>47 CFR § 64.6305</w:t>
      </w:r>
      <w:r w:rsidRPr="004539A7">
        <w:t>(d)(2)(iv), (e)(2)(iv), (f)(2)(iv).</w:t>
      </w:r>
    </w:p>
  </w:footnote>
  <w:footnote w:id="107">
    <w:p w:rsidR="005919ED" w:rsidRPr="007906C5" w:rsidP="005919ED" w14:paraId="3CC7ED16" w14:textId="77777777">
      <w:pPr>
        <w:pStyle w:val="FootnoteText"/>
      </w:pPr>
      <w:r w:rsidRPr="004539A7">
        <w:rPr>
          <w:rStyle w:val="FootnoteReference"/>
        </w:rPr>
        <w:footnoteRef/>
      </w:r>
      <w:r w:rsidRPr="004539A7">
        <w:t xml:space="preserve"> </w:t>
      </w:r>
      <w:r w:rsidRPr="004539A7">
        <w:rPr>
          <w:i/>
          <w:iCs/>
        </w:rPr>
        <w:t>See</w:t>
      </w:r>
      <w:r w:rsidRPr="004539A7">
        <w:t xml:space="preserve"> 47 CFR § 64.6305(d)(2)(iv), (e)(2)(iv), (f)(2)(iv).</w:t>
      </w:r>
    </w:p>
  </w:footnote>
  <w:footnote w:id="108">
    <w:p w:rsidR="005919ED" w:rsidRPr="004539A7" w:rsidP="005919ED" w14:paraId="5CDF426D" w14:textId="77777777">
      <w:pPr>
        <w:pStyle w:val="FootnoteText"/>
      </w:pPr>
      <w:r w:rsidRPr="004539A7">
        <w:rPr>
          <w:rStyle w:val="FootnoteReference"/>
        </w:rPr>
        <w:footnoteRef/>
      </w:r>
      <w:r w:rsidRPr="004539A7">
        <w:t xml:space="preserve"> 47 CFR § 64.6305(d)(2)(iv), (e)(2)(iv), (f)(2)(iv); </w:t>
      </w:r>
      <w:r w:rsidRPr="004539A7">
        <w:rPr>
          <w:i/>
          <w:iCs/>
        </w:rPr>
        <w:t>see also</w:t>
      </w:r>
      <w:r w:rsidRPr="004539A7">
        <w:t xml:space="preserve"> </w:t>
      </w:r>
      <w:r w:rsidRPr="004539A7">
        <w:rPr>
          <w:i/>
          <w:iCs/>
        </w:rPr>
        <w:t>Sixth Caller ID Authentication Order</w:t>
      </w:r>
      <w:r w:rsidRPr="004539A7">
        <w:t xml:space="preserve">, 38 FCC </w:t>
      </w:r>
      <w:r w:rsidRPr="004539A7">
        <w:t>Rcd</w:t>
      </w:r>
      <w:r w:rsidRPr="004539A7">
        <w:t xml:space="preserve"> at 2597-99, para. 47 (explaining that such actions and investigations include, but are not limited to “notices of apparent liability, forfeiture orders, state or federal civil lawsuits or criminal indictments, and cease-and-desist notices”); </w:t>
      </w:r>
      <w:r w:rsidRPr="004539A7">
        <w:rPr>
          <w:i/>
          <w:iCs/>
        </w:rPr>
        <w:t>RMD FAQs</w:t>
      </w:r>
      <w:r w:rsidRPr="004539A7">
        <w:t xml:space="preserve"> at 3</w:t>
      </w:r>
      <w:r>
        <w:t>-4</w:t>
      </w:r>
      <w:r w:rsidRPr="004539A7">
        <w:rPr>
          <w:i/>
          <w:iCs/>
        </w:rPr>
        <w:t xml:space="preserve"> </w:t>
      </w:r>
      <w:r w:rsidRPr="004539A7">
        <w:t>(explaining that providers should disclose “FCC Enforcement Bureau Orders removing a provider’s filing or the filing of a principal or affiliate of the provider from the RMD” and that “these actions should be disclosed in the provider’s filing as well as in the filings of the provider’s principals or affiliates, to the extent any such principals or affiliates are independently required to file in the RMD”).</w:t>
      </w:r>
    </w:p>
  </w:footnote>
  <w:footnote w:id="109">
    <w:p w:rsidR="005919ED" w:rsidRPr="004539A7" w:rsidP="005919ED" w14:paraId="7C043CD7" w14:textId="77777777">
      <w:pPr>
        <w:pStyle w:val="FootnoteText"/>
      </w:pPr>
      <w:r w:rsidRPr="004539A7">
        <w:rPr>
          <w:rStyle w:val="FootnoteReference"/>
        </w:rPr>
        <w:footnoteRef/>
      </w:r>
      <w:r w:rsidRPr="004539A7">
        <w:t xml:space="preserve"> 47 CFR § 64.6305(d)(2)(iv), (e)(2)(iv), (f)(2)(iv).</w:t>
      </w:r>
    </w:p>
  </w:footnote>
  <w:footnote w:id="110">
    <w:p w:rsidR="005919ED" w:rsidRPr="004539A7" w:rsidP="005919ED" w14:paraId="499EFDDD" w14:textId="77777777">
      <w:pPr>
        <w:pStyle w:val="FootnoteText"/>
      </w:pPr>
      <w:r w:rsidRPr="004539A7">
        <w:rPr>
          <w:rStyle w:val="FootnoteReference"/>
        </w:rPr>
        <w:footnoteRef/>
      </w:r>
      <w:r w:rsidRPr="004539A7">
        <w:t xml:space="preserve"> 47 CFR § 64.6305(d)(2)(iv), (e)(2)(iv), (f)(2)(iv).</w:t>
      </w:r>
    </w:p>
  </w:footnote>
  <w:footnote w:id="111">
    <w:p w:rsidR="005919ED" w:rsidRPr="004539A7" w:rsidP="005919ED" w14:paraId="737DE791" w14:textId="77777777">
      <w:pPr>
        <w:pStyle w:val="FootnoteText"/>
      </w:pPr>
      <w:r w:rsidRPr="004539A7">
        <w:rPr>
          <w:rStyle w:val="FootnoteReference"/>
        </w:rPr>
        <w:footnoteRef/>
      </w:r>
      <w:r w:rsidRPr="004539A7">
        <w:t xml:space="preserve"> While our rules require providers to state whether “the filing entity (and/or any entity for which the filing entity shares common ownership, management, directors, or control) have been the subject of formal . . . action or investigation,” our rules do not specifically require a description of the actions or investigations involving those entities.  </w:t>
      </w:r>
      <w:r w:rsidRPr="004539A7">
        <w:rPr>
          <w:i/>
          <w:iCs/>
        </w:rPr>
        <w:t xml:space="preserve">See </w:t>
      </w:r>
      <w:r w:rsidRPr="004539A7">
        <w:t>47 CFR § 64.6305(d)(2)(iv), (e)(2)(iv), (f)(2)(iv).</w:t>
      </w:r>
    </w:p>
  </w:footnote>
  <w:footnote w:id="112">
    <w:p w:rsidR="005919ED" w:rsidRPr="004539A7" w:rsidP="005919ED" w14:paraId="40298F2D" w14:textId="77777777">
      <w:pPr>
        <w:pStyle w:val="FootnoteText"/>
      </w:pPr>
      <w:r w:rsidRPr="004539A7">
        <w:rPr>
          <w:rStyle w:val="FootnoteReference"/>
        </w:rPr>
        <w:footnoteRef/>
      </w:r>
      <w:r w:rsidRPr="004539A7">
        <w:t xml:space="preserve"> Providers are already required to state whether they use third-party vendors for call analytics and to name such vendors in </w:t>
      </w:r>
      <w:r w:rsidRPr="004539A7">
        <w:t>their</w:t>
      </w:r>
      <w:r w:rsidRPr="004539A7">
        <w:t xml:space="preserve"> robocall mitigation plans, but we believe this requirement has caused confusion regarding providers’ obligation to disclose when they do not use a third-party vendor.  </w:t>
      </w:r>
      <w:r w:rsidRPr="004539A7">
        <w:rPr>
          <w:i/>
          <w:iCs/>
        </w:rPr>
        <w:t xml:space="preserve">See </w:t>
      </w:r>
      <w:r w:rsidRPr="004539A7">
        <w:t xml:space="preserve">47 CFR § 64.6305(d)(2)(ii), (e)(2)(ii), (f)(2)(ii); </w:t>
      </w:r>
      <w:r w:rsidRPr="004539A7">
        <w:rPr>
          <w:i/>
          <w:iCs/>
        </w:rPr>
        <w:t>Sixth Caller ID Authentication Order</w:t>
      </w:r>
      <w:r w:rsidRPr="004539A7">
        <w:t xml:space="preserve">, 38 FCC </w:t>
      </w:r>
      <w:r w:rsidRPr="004539A7">
        <w:t>Rcd</w:t>
      </w:r>
      <w:r w:rsidRPr="004539A7">
        <w:t xml:space="preserve"> at 2594, para. 40 &amp; n.156.  We believe our proposal will clarify that providers must disclose if they do not use third parties and that moving these requirements to the RMD submission form with the other third-party disclosures will simplify and streamline the requirement.  We discuss providers’ separate obligation to describe their call analytics practices below.  </w:t>
      </w:r>
      <w:r w:rsidRPr="004539A7">
        <w:rPr>
          <w:i/>
          <w:iCs/>
        </w:rPr>
        <w:t xml:space="preserve">See </w:t>
      </w:r>
      <w:r w:rsidRPr="004539A7">
        <w:rPr>
          <w:i/>
          <w:iCs/>
        </w:rPr>
        <w:t xml:space="preserve">infra </w:t>
      </w:r>
      <w:r w:rsidRPr="004539A7">
        <w:t xml:space="preserve">Section </w:t>
      </w:r>
      <w:r w:rsidRPr="00CD616B">
        <w:t>III</w:t>
      </w:r>
      <w:r w:rsidRPr="00CD616B">
        <w:t>.A.2.e</w:t>
      </w:r>
      <w:r w:rsidRPr="004539A7">
        <w:t xml:space="preserve">. </w:t>
      </w:r>
    </w:p>
  </w:footnote>
  <w:footnote w:id="113">
    <w:p w:rsidR="005919ED" w:rsidRPr="004539A7" w:rsidP="005919ED" w14:paraId="15668199" w14:textId="77777777">
      <w:pPr>
        <w:pStyle w:val="FootnoteText"/>
      </w:pPr>
      <w:r w:rsidRPr="004539A7">
        <w:rPr>
          <w:rStyle w:val="FootnoteReference"/>
        </w:rPr>
        <w:footnoteRef/>
      </w:r>
      <w:r w:rsidRPr="004539A7">
        <w:t xml:space="preserve"> </w:t>
      </w:r>
      <w:r w:rsidRPr="722CFDE8">
        <w:rPr>
          <w:kern w:val="1"/>
        </w:rPr>
        <w:t xml:space="preserve">The Commission currently </w:t>
      </w:r>
      <w:r w:rsidRPr="00E235F6">
        <w:t xml:space="preserve">permits voice service providers with STIR/SHAKEN implementation obligations to engage third parties to perform the technological act of signing calls, subject to certain conditions.  </w:t>
      </w:r>
      <w:r w:rsidRPr="004539A7">
        <w:rPr>
          <w:i/>
          <w:iCs/>
        </w:rPr>
        <w:t xml:space="preserve">See </w:t>
      </w:r>
      <w:r w:rsidRPr="004539A7">
        <w:t>47 CFR §§ 64.6301(b); 64.6</w:t>
      </w:r>
      <w:r>
        <w:t>3</w:t>
      </w:r>
      <w:r w:rsidRPr="004539A7">
        <w:t xml:space="preserve">02(f); </w:t>
      </w:r>
      <w:r w:rsidRPr="004539A7">
        <w:rPr>
          <w:i/>
          <w:iCs/>
        </w:rPr>
        <w:t>Eighth Caller ID Authentication Order</w:t>
      </w:r>
      <w:r w:rsidRPr="004539A7">
        <w:t xml:space="preserve">, 39 FCC </w:t>
      </w:r>
      <w:r w:rsidRPr="004539A7">
        <w:t>Rcd</w:t>
      </w:r>
      <w:r w:rsidRPr="004539A7">
        <w:t xml:space="preserve"> at 12909, para. 20.</w:t>
      </w:r>
      <w:r w:rsidRPr="722CFDE8">
        <w:rPr>
          <w:kern w:val="1"/>
        </w:rPr>
        <w:t xml:space="preserve">  In the </w:t>
      </w:r>
      <w:r w:rsidRPr="722CFDE8">
        <w:rPr>
          <w:i/>
          <w:kern w:val="1"/>
        </w:rPr>
        <w:t>Eighth Caller ID Authentication Order</w:t>
      </w:r>
      <w:r w:rsidRPr="722CFDE8">
        <w:rPr>
          <w:kern w:val="1"/>
        </w:rPr>
        <w:t xml:space="preserve">, the Commission declined to require providers to </w:t>
      </w:r>
      <w:r w:rsidRPr="00E235F6">
        <w:t xml:space="preserve">identify the third-party authentication solutions they used in their RMD submissions, finding that such an obligation would increase administrative burdens for providers and offer minimal benefits.  </w:t>
      </w:r>
      <w:r w:rsidRPr="722CFDE8">
        <w:rPr>
          <w:i/>
          <w:kern w:val="1"/>
        </w:rPr>
        <w:t>See</w:t>
      </w:r>
      <w:r w:rsidRPr="004539A7">
        <w:rPr>
          <w:kern w:val="1"/>
          <w:szCs w:val="22"/>
        </w:rPr>
        <w:t xml:space="preserve"> </w:t>
      </w:r>
      <w:r w:rsidRPr="722CFDE8">
        <w:rPr>
          <w:i/>
        </w:rPr>
        <w:t>Eighth Caller ID Authentication Order</w:t>
      </w:r>
      <w:r>
        <w:t xml:space="preserve">, 39 FCC </w:t>
      </w:r>
      <w:r>
        <w:t>Rcd</w:t>
      </w:r>
      <w:r>
        <w:t xml:space="preserve"> at 12918, para. 32.</w:t>
      </w:r>
      <w:r w:rsidRPr="722CFDE8">
        <w:rPr>
          <w:kern w:val="1"/>
        </w:rPr>
        <w:t xml:space="preserve">  As the Commission explained, however, we would continue to </w:t>
      </w:r>
      <w:r w:rsidRPr="00E235F6">
        <w:t xml:space="preserve">monitor providers’ </w:t>
      </w:r>
      <w:r w:rsidRPr="722CFDE8">
        <w:t>compliance</w:t>
      </w:r>
      <w:r w:rsidRPr="722CFDE8">
        <w:rPr>
          <w:kern w:val="1"/>
        </w:rPr>
        <w:t xml:space="preserve"> with the adopted third-party caller ID authentication requirements to “determine whether additional information would assist our compliance reviews and enforcement activities in the future.”  </w:t>
      </w:r>
      <w:r w:rsidRPr="00E235F6">
        <w:rPr>
          <w:i/>
        </w:rPr>
        <w:t>Id.</w:t>
      </w:r>
      <w:r w:rsidRPr="00E235F6">
        <w:t xml:space="preserve"> </w:t>
      </w:r>
      <w:r w:rsidRPr="004539A7">
        <w:t>at 12918, para. 32.</w:t>
      </w:r>
      <w:r w:rsidRPr="00E235F6">
        <w:t xml:space="preserve">  With greater experience, we now believe that the benefits associated with such a requirement outweigh the costs of ensuring compliance with STIR/SHAKEN implementation obligations.  We seek comment on that belief.</w:t>
      </w:r>
    </w:p>
  </w:footnote>
  <w:footnote w:id="114">
    <w:p w:rsidR="005919ED" w:rsidRPr="004539A7" w:rsidP="005919ED" w14:paraId="188692AA" w14:textId="77777777">
      <w:pPr>
        <w:pStyle w:val="FootnoteText"/>
      </w:pPr>
      <w:r w:rsidRPr="004539A7">
        <w:rPr>
          <w:rStyle w:val="FootnoteReference"/>
        </w:rPr>
        <w:footnoteRef/>
      </w:r>
      <w:r w:rsidRPr="004539A7">
        <w:t xml:space="preserve"> </w:t>
      </w:r>
      <w:r w:rsidRPr="004539A7">
        <w:rPr>
          <w:i/>
          <w:iCs/>
        </w:rPr>
        <w:t xml:space="preserve">See </w:t>
      </w:r>
      <w:r w:rsidRPr="004539A7">
        <w:t>47 CFR § 64.1200(n)(</w:t>
      </w:r>
      <w:r w:rsidRPr="004539A7">
        <w:t>4)-(</w:t>
      </w:r>
      <w:r w:rsidRPr="004539A7">
        <w:t xml:space="preserve">n)(5); </w:t>
      </w:r>
      <w:r w:rsidRPr="004539A7">
        <w:rPr>
          <w:i/>
          <w:iCs/>
        </w:rPr>
        <w:t>KYC FNPRM</w:t>
      </w:r>
      <w:r w:rsidRPr="004539A7">
        <w:t xml:space="preserve">, FCC 26-27, at 8, para. 22 (seeking comment on third-party tools originating providers could use for customer identify verification); </w:t>
      </w:r>
      <w:r w:rsidRPr="004539A7">
        <w:rPr>
          <w:i/>
          <w:iCs/>
        </w:rPr>
        <w:t>KYUP FNPRM</w:t>
      </w:r>
      <w:r w:rsidRPr="004539A7">
        <w:t>, FCC 26-32,</w:t>
      </w:r>
      <w:r w:rsidRPr="004539A7">
        <w:rPr>
          <w:i/>
          <w:iCs/>
        </w:rPr>
        <w:t xml:space="preserve"> </w:t>
      </w:r>
      <w:r w:rsidRPr="004539A7">
        <w:t xml:space="preserve">at 19, para. 32 (proposing to allow voice service providers to use third-party services to conduct some or </w:t>
      </w:r>
      <w:r w:rsidRPr="004539A7">
        <w:t>all of</w:t>
      </w:r>
      <w:r w:rsidRPr="004539A7">
        <w:t xml:space="preserve"> their KYUP obligations).  We discuss providers’ separate obligation to describe their KYC and KYUP practices below.  </w:t>
      </w:r>
      <w:r w:rsidRPr="004539A7">
        <w:rPr>
          <w:i/>
          <w:iCs/>
        </w:rPr>
        <w:t xml:space="preserve">See </w:t>
      </w:r>
      <w:r w:rsidRPr="004539A7">
        <w:rPr>
          <w:i/>
          <w:iCs/>
        </w:rPr>
        <w:t xml:space="preserve">infra </w:t>
      </w:r>
      <w:r w:rsidRPr="004539A7">
        <w:t xml:space="preserve">Section </w:t>
      </w:r>
      <w:r w:rsidRPr="00CD616B">
        <w:t>III</w:t>
      </w:r>
      <w:r w:rsidRPr="00CD616B">
        <w:t>.A.2.e</w:t>
      </w:r>
      <w:r w:rsidRPr="004539A7">
        <w:t>.</w:t>
      </w:r>
    </w:p>
  </w:footnote>
  <w:footnote w:id="115">
    <w:p w:rsidR="005919ED" w:rsidRPr="004539A7" w:rsidP="005919ED" w14:paraId="7DB5538E" w14:textId="77777777">
      <w:pPr>
        <w:pStyle w:val="FootnoteText"/>
      </w:pPr>
      <w:r w:rsidRPr="004539A7">
        <w:rPr>
          <w:rStyle w:val="FootnoteReference"/>
        </w:rPr>
        <w:footnoteRef/>
      </w:r>
      <w:r w:rsidRPr="004539A7">
        <w:t xml:space="preserve"> Above, we seek comment on</w:t>
      </w:r>
      <w:r>
        <w:t xml:space="preserve"> </w:t>
      </w:r>
      <w:r w:rsidRPr="004539A7">
        <w:t>providers</w:t>
      </w:r>
      <w:r>
        <w:t>’</w:t>
      </w:r>
      <w:r w:rsidRPr="004539A7">
        <w:t xml:space="preserve"> use of third parties for submitting their RMD filings and whether we should establish and requirements or prohibitions on use of third parties for this purpose.  </w:t>
      </w:r>
      <w:r w:rsidRPr="004539A7">
        <w:rPr>
          <w:i/>
          <w:iCs/>
        </w:rPr>
        <w:t xml:space="preserve">See </w:t>
      </w:r>
      <w:r w:rsidRPr="004539A7">
        <w:rPr>
          <w:i/>
          <w:iCs/>
        </w:rPr>
        <w:t xml:space="preserve">supra </w:t>
      </w:r>
      <w:r w:rsidRPr="004539A7">
        <w:t xml:space="preserve">Section </w:t>
      </w:r>
      <w:r w:rsidRPr="00CD616B">
        <w:t>III</w:t>
      </w:r>
      <w:r w:rsidRPr="00CD616B">
        <w:t>.A.1.</w:t>
      </w:r>
    </w:p>
  </w:footnote>
  <w:footnote w:id="116">
    <w:p w:rsidR="005919ED" w:rsidRPr="004539A7" w:rsidP="005919ED" w14:paraId="30535996" w14:textId="77777777">
      <w:pPr>
        <w:pStyle w:val="FootnoteText"/>
      </w:pPr>
      <w:r w:rsidRPr="004539A7">
        <w:rPr>
          <w:rStyle w:val="FootnoteReference"/>
        </w:rPr>
        <w:footnoteRef/>
      </w:r>
      <w:r w:rsidRPr="004539A7">
        <w:t xml:space="preserve"> We propose below that this third-party information would not be listed in the public database and would instead only be viewable by Commission staff.  </w:t>
      </w:r>
      <w:r w:rsidRPr="004539A7">
        <w:rPr>
          <w:i/>
          <w:iCs/>
        </w:rPr>
        <w:t xml:space="preserve">See </w:t>
      </w:r>
      <w:r w:rsidRPr="004539A7">
        <w:rPr>
          <w:i/>
          <w:iCs/>
        </w:rPr>
        <w:t xml:space="preserve">infra </w:t>
      </w:r>
      <w:r w:rsidRPr="004539A7">
        <w:t xml:space="preserve">Section </w:t>
      </w:r>
      <w:r w:rsidRPr="00CD616B">
        <w:t>III</w:t>
      </w:r>
      <w:r w:rsidRPr="00CD616B">
        <w:t>.A.3.b</w:t>
      </w:r>
      <w:r w:rsidRPr="004539A7">
        <w:t>.</w:t>
      </w:r>
    </w:p>
  </w:footnote>
  <w:footnote w:id="117">
    <w:p w:rsidR="005919ED" w:rsidRPr="004539A7" w:rsidP="005919ED" w14:paraId="08A091A8" w14:textId="77777777">
      <w:pPr>
        <w:pStyle w:val="FootnoteText"/>
      </w:pPr>
      <w:r w:rsidRPr="004539A7">
        <w:rPr>
          <w:rStyle w:val="FootnoteReference"/>
        </w:rPr>
        <w:footnoteRef/>
      </w:r>
      <w:r w:rsidRPr="004539A7">
        <w:t xml:space="preserve"> </w:t>
      </w:r>
      <w:r w:rsidRPr="004539A7">
        <w:rPr>
          <w:i/>
          <w:iCs/>
        </w:rPr>
        <w:t>See Advanced Methods to Target and Eliminate Unlawful Robocalls et al.</w:t>
      </w:r>
      <w:r w:rsidRPr="004539A7">
        <w:t xml:space="preserve">, CG Docket No. 17-59 et al., Ninth Further Notice of Proposed Rulemaking in CG Docket No. 17-59; Seventh Further Notice of Proposed Rulemaking in WC Docket No. 17-97; Further Notice of Proposed Rulemaking in CG Docket No. 02-278; Public Notice in CG Docket No. 25-307, 40 FCC </w:t>
      </w:r>
      <w:r w:rsidRPr="004539A7">
        <w:t>Rcd</w:t>
      </w:r>
      <w:r w:rsidRPr="004539A7">
        <w:t xml:space="preserve"> 8640 (2025) (</w:t>
      </w:r>
      <w:r w:rsidRPr="004539A7">
        <w:rPr>
          <w:i/>
          <w:iCs/>
        </w:rPr>
        <w:t>Call Branding FNPRM</w:t>
      </w:r>
      <w:r w:rsidRPr="004539A7">
        <w:t xml:space="preserve">) (proposing to require that voice service providers transmit verified caller identity information to consumers’ handsets whenever calls are signed with an A-level attestation and to employ reasonable measures to verify the accuracy of information transmitted). </w:t>
      </w:r>
    </w:p>
  </w:footnote>
  <w:footnote w:id="118">
    <w:p w:rsidR="005919ED" w:rsidRPr="004539A7" w:rsidP="005919ED" w14:paraId="13009C6C" w14:textId="77777777">
      <w:pPr>
        <w:pStyle w:val="FootnoteText"/>
      </w:pPr>
      <w:r w:rsidRPr="004539A7">
        <w:rPr>
          <w:rStyle w:val="FootnoteReference"/>
        </w:rPr>
        <w:footnoteRef/>
      </w:r>
      <w:r w:rsidRPr="004539A7">
        <w:t xml:space="preserve"> </w:t>
      </w:r>
      <w:r w:rsidRPr="004539A7">
        <w:rPr>
          <w:i/>
          <w:iCs/>
        </w:rPr>
        <w:t>See Sixth Caller ID Authentication Order</w:t>
      </w:r>
      <w:r w:rsidRPr="004539A7">
        <w:t xml:space="preserve">, 38 FCC </w:t>
      </w:r>
      <w:r w:rsidRPr="004539A7">
        <w:t>Rcd</w:t>
      </w:r>
      <w:r w:rsidRPr="004539A7">
        <w:t xml:space="preserve"> at 2597, para. 46.  </w:t>
      </w:r>
    </w:p>
  </w:footnote>
  <w:footnote w:id="119">
    <w:p w:rsidR="005919ED" w:rsidRPr="004539A7" w:rsidP="005919ED" w14:paraId="197D8C2A" w14:textId="77777777">
      <w:pPr>
        <w:pStyle w:val="FootnoteText"/>
      </w:pPr>
      <w:r w:rsidRPr="004539A7">
        <w:rPr>
          <w:rStyle w:val="FootnoteReference"/>
        </w:rPr>
        <w:footnoteRef/>
      </w:r>
      <w:r w:rsidRPr="004539A7">
        <w:t xml:space="preserve"> </w:t>
      </w:r>
      <w:r w:rsidRPr="004539A7">
        <w:rPr>
          <w:i/>
          <w:iCs/>
        </w:rPr>
        <w:t>See, e.g.</w:t>
      </w:r>
      <w:r w:rsidRPr="004539A7">
        <w:t>,</w:t>
      </w:r>
      <w:r w:rsidRPr="004539A7">
        <w:rPr>
          <w:i/>
          <w:iCs/>
        </w:rPr>
        <w:t xml:space="preserve"> </w:t>
      </w:r>
      <w:r w:rsidRPr="004539A7">
        <w:t xml:space="preserve">47 U.S.C. § 153(2) (defining “affiliate” as “a person that (directly or indirectly) owns or controls, is owned or controlled by, or is under common ownership or control with, another person” and “own” as “to own an equity interest (or the equivalent thereof) of more than 10 percent”); 47 CFR § 2.903(e) (defining “affiliate” </w:t>
      </w:r>
      <w:r w:rsidRPr="004539A7">
        <w:t>and  “</w:t>
      </w:r>
      <w:r w:rsidRPr="004539A7">
        <w:t xml:space="preserve">own”); </w:t>
      </w:r>
      <w:r w:rsidRPr="004539A7">
        <w:rPr>
          <w:i/>
          <w:iCs/>
        </w:rPr>
        <w:t xml:space="preserve">id. </w:t>
      </w:r>
      <w:r w:rsidRPr="004539A7">
        <w:t xml:space="preserve">§ 52.12 (defining “affiliate”); </w:t>
      </w:r>
      <w:r w:rsidRPr="004539A7">
        <w:rPr>
          <w:i/>
          <w:iCs/>
        </w:rPr>
        <w:t>id.</w:t>
      </w:r>
      <w:r w:rsidRPr="004539A7">
        <w:t xml:space="preserve"> § 2.903(e)</w:t>
      </w:r>
      <w:r w:rsidRPr="004539A7">
        <w:rPr>
          <w:i/>
          <w:iCs/>
        </w:rPr>
        <w:t xml:space="preserve"> </w:t>
      </w:r>
      <w:r w:rsidRPr="004539A7">
        <w:t>(defining “subsidiary” as “any entity in which another entity directly or indirectly</w:t>
      </w:r>
      <w:r w:rsidRPr="004539A7">
        <w:t>:  (</w:t>
      </w:r>
      <w:r w:rsidRPr="004539A7">
        <w:t>i</w:t>
      </w:r>
      <w:r w:rsidRPr="004539A7">
        <w:t>) [h]olds de facto control; or (ii) [o]</w:t>
      </w:r>
      <w:r w:rsidRPr="004539A7">
        <w:t>wns</w:t>
      </w:r>
      <w:r w:rsidRPr="004539A7">
        <w:t xml:space="preserve"> or controls more than 50 percent of the outstanding voting stock”); </w:t>
      </w:r>
      <w:r w:rsidRPr="004539A7">
        <w:rPr>
          <w:i/>
          <w:iCs/>
        </w:rPr>
        <w:t>id.</w:t>
      </w:r>
      <w:r w:rsidRPr="004539A7">
        <w:t xml:space="preserve"> § 52.15 (defining “parent company” as “the highest related legal entity located within the state for which the reporting carrier is reporting data”); </w:t>
      </w:r>
      <w:r w:rsidRPr="004539A7">
        <w:rPr>
          <w:i/>
          <w:iCs/>
        </w:rPr>
        <w:t xml:space="preserve">see also </w:t>
      </w:r>
      <w:r w:rsidRPr="004539A7">
        <w:t xml:space="preserve">Subpart T of Part 1 of the Commission’s rules, 47 CFR §§ 1.5000-15004 (discussing business ownership and relationship information in the context of foreign ownership); </w:t>
      </w:r>
      <w:r w:rsidRPr="004539A7">
        <w:rPr>
          <w:i/>
          <w:iCs/>
        </w:rPr>
        <w:t>Sixth Caller ID Authentication Order</w:t>
      </w:r>
      <w:r w:rsidRPr="004539A7">
        <w:t xml:space="preserve">, 38 FCC </w:t>
      </w:r>
      <w:r w:rsidRPr="004539A7">
        <w:t>Rcd</w:t>
      </w:r>
      <w:r w:rsidRPr="004539A7">
        <w:t xml:space="preserve"> at 2609, para. 71 n.256 (defining “principal” as any individual who exercises “influence, management, or supervisory responsibility for the entity,” </w:t>
      </w:r>
      <w:r w:rsidRPr="004539A7">
        <w:t>whether or not</w:t>
      </w:r>
      <w:r w:rsidRPr="004539A7">
        <w:t xml:space="preserve"> they have ownership or control of the entity).</w:t>
      </w:r>
    </w:p>
  </w:footnote>
  <w:footnote w:id="120">
    <w:p w:rsidR="005919ED" w:rsidRPr="004539A7" w:rsidP="005919ED" w14:paraId="0076F231" w14:textId="77777777">
      <w:pPr>
        <w:pStyle w:val="FootnoteText"/>
      </w:pPr>
      <w:r w:rsidRPr="004539A7">
        <w:rPr>
          <w:rStyle w:val="FootnoteReference"/>
        </w:rPr>
        <w:footnoteRef/>
      </w:r>
      <w:r w:rsidRPr="004539A7">
        <w:t xml:space="preserve"> Below we seek comment on whether to change the frequency with which providers must update their RMD filings.  </w:t>
      </w:r>
      <w:r w:rsidRPr="004539A7">
        <w:rPr>
          <w:i/>
          <w:iCs/>
        </w:rPr>
        <w:t xml:space="preserve">See </w:t>
      </w:r>
      <w:r w:rsidRPr="004539A7">
        <w:rPr>
          <w:i/>
          <w:iCs/>
        </w:rPr>
        <w:t>infra</w:t>
      </w:r>
      <w:r w:rsidRPr="004539A7">
        <w:t xml:space="preserve"> Section </w:t>
      </w:r>
      <w:r w:rsidRPr="00CD616B">
        <w:t>III</w:t>
      </w:r>
      <w:r w:rsidRPr="00CD616B">
        <w:t>.A.3.c</w:t>
      </w:r>
      <w:r w:rsidRPr="004539A7">
        <w:t>.</w:t>
      </w:r>
    </w:p>
  </w:footnote>
  <w:footnote w:id="121">
    <w:p w:rsidR="005919ED" w:rsidRPr="004539A7" w:rsidP="005919ED" w14:paraId="6E35E77D" w14:textId="77777777">
      <w:pPr>
        <w:pStyle w:val="FootnoteText"/>
        <w:rPr>
          <w:i/>
          <w:iCs/>
        </w:rPr>
      </w:pPr>
      <w:r w:rsidRPr="004539A7">
        <w:rPr>
          <w:rStyle w:val="FootnoteReference"/>
        </w:rPr>
        <w:footnoteRef/>
      </w:r>
      <w:r w:rsidRPr="004539A7">
        <w:t xml:space="preserve"> </w:t>
      </w:r>
      <w:r w:rsidRPr="004539A7">
        <w:rPr>
          <w:i/>
          <w:iCs/>
        </w:rPr>
        <w:t>See Sixth Caller ID Authentication Order</w:t>
      </w:r>
      <w:r w:rsidRPr="004539A7">
        <w:t xml:space="preserve">, 38 FCC </w:t>
      </w:r>
      <w:r w:rsidRPr="004539A7">
        <w:t>Rcd</w:t>
      </w:r>
      <w:r w:rsidRPr="004539A7">
        <w:t xml:space="preserve"> at 2609, para. 71 n.256 (“We expect that owners, directors, officers, and principals, whether or not they have control of the entity, have influence, management, or supervisory responsibility for the entity subject to revocation.”) (internal citation omitted).</w:t>
      </w:r>
    </w:p>
  </w:footnote>
  <w:footnote w:id="122">
    <w:p w:rsidR="005919ED" w:rsidRPr="004539A7" w:rsidP="005919ED" w14:paraId="24FE8E44" w14:textId="77777777">
      <w:pPr>
        <w:pStyle w:val="FootnoteText"/>
      </w:pPr>
      <w:r w:rsidRPr="004539A7">
        <w:rPr>
          <w:rStyle w:val="FootnoteReference"/>
        </w:rPr>
        <w:footnoteRef/>
      </w:r>
      <w:r w:rsidRPr="004539A7">
        <w:t xml:space="preserve"> We use the term “business address” to refer to a physical address that is a bona fide place of business and is not a virtual address, shared office location without a dedicated suite or floor. P.O. Box, mail forwarding service, hosted service location, or address shared by multiple unrelated or purportedly unrelated businesses.</w:t>
      </w:r>
    </w:p>
  </w:footnote>
  <w:footnote w:id="123">
    <w:p w:rsidR="005919ED" w:rsidRPr="004539A7" w:rsidP="005919ED" w14:paraId="54A47C47" w14:textId="77777777">
      <w:pPr>
        <w:pStyle w:val="FootnoteText"/>
      </w:pPr>
      <w:r w:rsidRPr="004539A7">
        <w:rPr>
          <w:rStyle w:val="FootnoteReference"/>
        </w:rPr>
        <w:footnoteRef/>
      </w:r>
      <w:r w:rsidRPr="004539A7">
        <w:t xml:space="preserve"> </w:t>
      </w:r>
      <w:r w:rsidRPr="004539A7">
        <w:rPr>
          <w:i/>
          <w:iCs/>
        </w:rPr>
        <w:t>See</w:t>
      </w:r>
      <w:r w:rsidRPr="004539A7">
        <w:rPr>
          <w:i/>
        </w:rPr>
        <w:t xml:space="preserve"> </w:t>
      </w:r>
      <w:r w:rsidRPr="004539A7">
        <w:t>47 CFR § 64.6305(d)(4)(v), (e)(4)(v), (f)(4)(v) (requiring providers to submit contact information of “one person within the company responsible for addressing robocall mitigation-related issues</w:t>
      </w:r>
      <w:r>
        <w:t>”)</w:t>
      </w:r>
      <w:r w:rsidRPr="004539A7">
        <w:t xml:space="preserve">; </w:t>
      </w:r>
      <w:r w:rsidRPr="004539A7">
        <w:rPr>
          <w:i/>
          <w:iCs/>
        </w:rPr>
        <w:t>Sixth Caller ID Authentication Order</w:t>
      </w:r>
      <w:r w:rsidRPr="004539A7">
        <w:t xml:space="preserve">, 38 FCC </w:t>
      </w:r>
      <w:r w:rsidRPr="004539A7">
        <w:t>Rcd</w:t>
      </w:r>
      <w:r w:rsidRPr="004539A7">
        <w:t xml:space="preserve"> at 2595, para. 42.</w:t>
      </w:r>
    </w:p>
  </w:footnote>
  <w:footnote w:id="124">
    <w:p w:rsidR="005919ED" w:rsidRPr="004539A7" w:rsidP="005919ED" w14:paraId="454084C3" w14:textId="77777777">
      <w:pPr>
        <w:pStyle w:val="FootnoteText"/>
      </w:pPr>
      <w:r w:rsidRPr="004539A7">
        <w:rPr>
          <w:rStyle w:val="FootnoteReference"/>
        </w:rPr>
        <w:footnoteRef/>
      </w:r>
      <w:r w:rsidRPr="004539A7">
        <w:t xml:space="preserve"> Common carriers, as well as VoIP providers, must “designate in writing an agent in the District of Columbia” upon whom all notices, process, orders, and decisions made by the Commission may be served on behalf of that carrier in any proceeding pending before the Commission, while carriers that hold international section 214 authorizations must designate a U.S. citizen or U.S. lawful permanent resident as their agent for service of process.  </w:t>
      </w:r>
      <w:r w:rsidRPr="004539A7">
        <w:rPr>
          <w:i/>
          <w:iCs/>
        </w:rPr>
        <w:t>See</w:t>
      </w:r>
      <w:r w:rsidRPr="004539A7">
        <w:t xml:space="preserve"> 47 U.S.C. § 413; 47 CFR § 1.47(h) (interconnected VoIP providers); </w:t>
      </w:r>
      <w:r w:rsidRPr="004539A7">
        <w:rPr>
          <w:i/>
          <w:iCs/>
        </w:rPr>
        <w:t>Contributions to the Telecommunications Relay Services Fund</w:t>
      </w:r>
      <w:r w:rsidRPr="004539A7">
        <w:t xml:space="preserve">, CG Docket No. 11-47, Report and Order, 26 FCC </w:t>
      </w:r>
      <w:r w:rsidRPr="004539A7">
        <w:t>Rcd</w:t>
      </w:r>
      <w:r w:rsidRPr="004539A7">
        <w:t xml:space="preserve"> 145</w:t>
      </w:r>
      <w:r>
        <w:t>3</w:t>
      </w:r>
      <w:r w:rsidRPr="004539A7">
        <w:t xml:space="preserve">2, 14542, para. 21 (2011) (non-interconnected VoIP providers); </w:t>
      </w:r>
      <w:r w:rsidRPr="004539A7">
        <w:rPr>
          <w:i/>
        </w:rPr>
        <w:t>Process Reform for Executive Branch Review of Certain FCC Applications and Petitions Involving Foreign Ownership</w:t>
      </w:r>
      <w:r w:rsidRPr="004539A7">
        <w:t xml:space="preserve">, IB Docket No. 16-155, Report and Order, 35 FCC </w:t>
      </w:r>
      <w:r w:rsidRPr="004539A7">
        <w:t>Rcd</w:t>
      </w:r>
      <w:r w:rsidRPr="004539A7">
        <w:t xml:space="preserve"> 10927, 1095</w:t>
      </w:r>
      <w:r>
        <w:t>2</w:t>
      </w:r>
      <w:r w:rsidRPr="004539A7">
        <w:t>-5</w:t>
      </w:r>
      <w:r>
        <w:t>3</w:t>
      </w:r>
      <w:r w:rsidRPr="004539A7">
        <w:t>, paras. 68-69 (2020).</w:t>
      </w:r>
    </w:p>
  </w:footnote>
  <w:footnote w:id="125">
    <w:p w:rsidR="005919ED" w:rsidRPr="004539A7" w:rsidP="005919ED" w14:paraId="573205EE" w14:textId="77777777">
      <w:pPr>
        <w:pStyle w:val="FootnoteText"/>
      </w:pPr>
      <w:r w:rsidRPr="004539A7">
        <w:rPr>
          <w:rStyle w:val="FootnoteReference"/>
        </w:rPr>
        <w:footnoteRef/>
      </w:r>
      <w:r w:rsidRPr="004539A7">
        <w:t xml:space="preserve"> </w:t>
      </w:r>
      <w:r w:rsidRPr="004539A7">
        <w:rPr>
          <w:i/>
          <w:iCs/>
        </w:rPr>
        <w:t xml:space="preserve">See </w:t>
      </w:r>
      <w:r w:rsidRPr="004539A7">
        <w:t>47 CFR § 64.6305(d)(4)(vi) (“Whether the voice service provider is:  (A) A voice service provider with a STIR/SHAKEN implementation obligation directly serving end users; (B) A voice service provider with a STIR/SHAKEN implementation obligation acting as a wholesale provider originating calls on behalf of another provider or providers; or (C) A voice service provider without a STIR/SHAKEN implementation obligation .</w:t>
      </w:r>
      <w:r>
        <w:t> </w:t>
      </w:r>
      <w:r w:rsidRPr="004539A7">
        <w:t>.</w:t>
      </w:r>
      <w:r>
        <w:t> </w:t>
      </w:r>
      <w:r w:rsidRPr="004539A7">
        <w:t>. .”); (e)(4)(vi) (“Whether the gateway provider is:  (A) A gateway provider with a STIR/SHAKEN implementation obligation; or (B) A gateway provider without a STIR/SHAKEN implementation obligation .</w:t>
      </w:r>
      <w:r>
        <w:t> </w:t>
      </w:r>
      <w:r w:rsidRPr="004539A7">
        <w:t>.</w:t>
      </w:r>
      <w:r>
        <w:t> </w:t>
      </w:r>
      <w:r w:rsidRPr="004539A7">
        <w:t>. .”); (f)(4)(vi) (“Whether the non-gateway intermediate provider is: (A) A non-gateway intermediate provider with a STIR/SHAKEN implementation obligation; or (B) A non-gateway intermediate provider without a STIR/SHAKEN implementation obligation .</w:t>
      </w:r>
      <w:r>
        <w:t> </w:t>
      </w:r>
      <w:r w:rsidRPr="004539A7">
        <w:t>.</w:t>
      </w:r>
      <w:r>
        <w:t> </w:t>
      </w:r>
      <w:r w:rsidRPr="004539A7">
        <w:t>. .”).</w:t>
      </w:r>
    </w:p>
  </w:footnote>
  <w:footnote w:id="126">
    <w:p w:rsidR="005919ED" w:rsidRPr="004539A7" w:rsidP="005919ED" w14:paraId="351A542D" w14:textId="77777777">
      <w:pPr>
        <w:pStyle w:val="FootnoteText"/>
      </w:pPr>
      <w:r w:rsidRPr="004539A7">
        <w:rPr>
          <w:rStyle w:val="FootnoteReference"/>
        </w:rPr>
        <w:footnoteRef/>
      </w:r>
      <w:r w:rsidRPr="004539A7">
        <w:t xml:space="preserve"> </w:t>
      </w:r>
      <w:r w:rsidRPr="004539A7">
        <w:rPr>
          <w:i/>
        </w:rPr>
        <w:t>KYUP FNPRM</w:t>
      </w:r>
      <w:r w:rsidRPr="004539A7">
        <w:t>, FCC 26-32, at 39, 43-47, paras. 78, 89-97.</w:t>
      </w:r>
    </w:p>
  </w:footnote>
  <w:footnote w:id="127">
    <w:p w:rsidR="005919ED" w:rsidRPr="004539A7" w:rsidP="005919ED" w14:paraId="4E1C1E95" w14:textId="77777777">
      <w:pPr>
        <w:pStyle w:val="FootnoteText"/>
      </w:pPr>
      <w:r w:rsidRPr="004539A7">
        <w:rPr>
          <w:rStyle w:val="FootnoteReference"/>
        </w:rPr>
        <w:footnoteRef/>
      </w:r>
      <w:r w:rsidRPr="004539A7">
        <w:t xml:space="preserve"> </w:t>
      </w:r>
      <w:r>
        <w:rPr>
          <w:i/>
          <w:iCs/>
        </w:rPr>
        <w:t>Id.</w:t>
      </w:r>
      <w:r w:rsidRPr="00E235F6">
        <w:t xml:space="preserve"> </w:t>
      </w:r>
      <w:r w:rsidRPr="004539A7">
        <w:t>at Appx. A § 64.6305(b)(6)(vi), (vii).</w:t>
      </w:r>
    </w:p>
  </w:footnote>
  <w:footnote w:id="128">
    <w:p w:rsidR="005919ED" w:rsidRPr="004539A7" w:rsidP="005919ED" w14:paraId="27CE2AF9" w14:textId="77777777">
      <w:pPr>
        <w:pStyle w:val="FootnoteText"/>
      </w:pPr>
      <w:r w:rsidRPr="004539A7">
        <w:rPr>
          <w:rStyle w:val="FootnoteReference"/>
        </w:rPr>
        <w:footnoteRef/>
      </w:r>
      <w:r w:rsidRPr="004539A7">
        <w:t xml:space="preserve"> </w:t>
      </w:r>
      <w:r>
        <w:rPr>
          <w:i/>
          <w:iCs/>
        </w:rPr>
        <w:t>Id.</w:t>
      </w:r>
      <w:r w:rsidRPr="00E235F6">
        <w:t xml:space="preserve"> </w:t>
      </w:r>
      <w:r w:rsidRPr="004539A7">
        <w:t>at Appx. A § 64.6305(b)(6)(vii)(A), (B).</w:t>
      </w:r>
    </w:p>
  </w:footnote>
  <w:footnote w:id="129">
    <w:p w:rsidR="005919ED" w:rsidRPr="004539A7" w:rsidP="005919ED" w14:paraId="2B535B10" w14:textId="77777777">
      <w:pPr>
        <w:pStyle w:val="FootnoteText"/>
      </w:pPr>
      <w:r w:rsidRPr="004539A7">
        <w:rPr>
          <w:rStyle w:val="FootnoteReference"/>
        </w:rPr>
        <w:footnoteRef/>
      </w:r>
      <w:r w:rsidRPr="004539A7">
        <w:t xml:space="preserve"> </w:t>
      </w:r>
      <w:r w:rsidRPr="004539A7">
        <w:rPr>
          <w:i/>
          <w:iCs/>
        </w:rPr>
        <w:t>KYUP FNPRM</w:t>
      </w:r>
      <w:r w:rsidRPr="004539A7">
        <w:t>, FCC 26-32, at Appx. A</w:t>
      </w:r>
      <w:r>
        <w:t xml:space="preserve">; </w:t>
      </w:r>
      <w:r w:rsidRPr="004539A7">
        <w:t xml:space="preserve">§ 64.6305(b)(6)(vii)(A)(1)-(4).  Note, however, that in the </w:t>
      </w:r>
      <w:r w:rsidRPr="004539A7">
        <w:rPr>
          <w:i/>
        </w:rPr>
        <w:t>KYUP FNPRM</w:t>
      </w:r>
      <w:r w:rsidRPr="004539A7">
        <w:t xml:space="preserve">, we sought comment on whether intermediate providers are considered facilities-based providers.  </w:t>
      </w:r>
      <w:r>
        <w:rPr>
          <w:i/>
          <w:iCs/>
        </w:rPr>
        <w:t>Id.</w:t>
      </w:r>
      <w:r w:rsidRPr="00E235F6">
        <w:t xml:space="preserve"> </w:t>
      </w:r>
      <w:r w:rsidRPr="004539A7">
        <w:t xml:space="preserve">at 43, 45-46, paras. 89, 93-96.  If we determine they are not, we expect we would remove the intermediate provider subcategories (i.e., “(iii) a gateway provider” and “(iv) a non-gateway intermediate provider”) from this “facilities-based provider” provision and create a separate provision that requires providers to indicate if they are one of the subcategories of intermediate provider. </w:t>
      </w:r>
    </w:p>
  </w:footnote>
  <w:footnote w:id="130">
    <w:p w:rsidR="005919ED" w:rsidRPr="004539A7" w:rsidP="005919ED" w14:paraId="37D94F07" w14:textId="77777777">
      <w:pPr>
        <w:pStyle w:val="FootnoteText"/>
        <w:rPr>
          <w:i/>
        </w:rPr>
      </w:pPr>
      <w:r w:rsidRPr="004539A7">
        <w:rPr>
          <w:rStyle w:val="FootnoteReference"/>
        </w:rPr>
        <w:footnoteRef/>
      </w:r>
      <w:r w:rsidRPr="004539A7">
        <w:t xml:space="preserve"> </w:t>
      </w:r>
      <w:r w:rsidRPr="004539A7">
        <w:rPr>
          <w:i/>
          <w:iCs/>
        </w:rPr>
        <w:t>See Second Caller ID Authentication Order</w:t>
      </w:r>
      <w:r w:rsidRPr="004539A7">
        <w:t xml:space="preserve">, 36 FCC </w:t>
      </w:r>
      <w:r w:rsidRPr="004539A7">
        <w:t>Rcd</w:t>
      </w:r>
      <w:r w:rsidRPr="004539A7">
        <w:t xml:space="preserve"> </w:t>
      </w:r>
      <w:r w:rsidRPr="004539A7">
        <w:t>at</w:t>
      </w:r>
      <w:r w:rsidRPr="004539A7">
        <w:t xml:space="preserve"> 1930, para. 151 (noting that “[a] single entity therefore may act as a voice service provider for some calls on its network and an intermediate provider for others”); </w:t>
      </w:r>
      <w:r w:rsidRPr="004539A7">
        <w:rPr>
          <w:i/>
          <w:iCs/>
        </w:rPr>
        <w:t>see also</w:t>
      </w:r>
      <w:r w:rsidRPr="004539A7">
        <w:rPr>
          <w:i/>
        </w:rPr>
        <w:t xml:space="preserve"> </w:t>
      </w:r>
      <w:r w:rsidRPr="004539A7">
        <w:rPr>
          <w:i/>
          <w:iCs/>
        </w:rPr>
        <w:t>KYUP FNPRM</w:t>
      </w:r>
      <w:r w:rsidRPr="004539A7">
        <w:t>, FCC 26-32,</w:t>
      </w:r>
      <w:r w:rsidRPr="004539A7">
        <w:rPr>
          <w:i/>
          <w:iCs/>
        </w:rPr>
        <w:t xml:space="preserve"> </w:t>
      </w:r>
      <w:r w:rsidRPr="004539A7">
        <w:t>at 37, para. 72.</w:t>
      </w:r>
    </w:p>
  </w:footnote>
  <w:footnote w:id="131">
    <w:p w:rsidR="005919ED" w:rsidRPr="004539A7" w:rsidP="005919ED" w14:paraId="26B98DB2" w14:textId="77777777">
      <w:pPr>
        <w:pStyle w:val="FootnoteText"/>
      </w:pPr>
      <w:r w:rsidRPr="004539A7">
        <w:rPr>
          <w:rStyle w:val="FootnoteReference"/>
        </w:rPr>
        <w:footnoteRef/>
      </w:r>
      <w:r w:rsidRPr="004539A7">
        <w:t xml:space="preserve"> 47 CFR § 64.6305(d)(4)(vi), (e)(4)(vi), (f)(4)(vi); </w:t>
      </w:r>
      <w:r w:rsidRPr="004539A7">
        <w:rPr>
          <w:i/>
        </w:rPr>
        <w:t>see also KYUP FNPRM</w:t>
      </w:r>
      <w:r w:rsidRPr="004539A7">
        <w:t xml:space="preserve">, FCC 26-32, at 68, para. 135 (proposing to streamline the current rule to require voice service providers to state </w:t>
      </w:r>
      <w:r w:rsidRPr="004539A7">
        <w:t>whether or not</w:t>
      </w:r>
      <w:r w:rsidRPr="004539A7">
        <w:t xml:space="preserve"> they have a STIR/SHAKEN authentication framework implementation obligation); </w:t>
      </w:r>
      <w:r w:rsidRPr="004539A7">
        <w:rPr>
          <w:i/>
          <w:iCs/>
        </w:rPr>
        <w:t>id.</w:t>
      </w:r>
      <w:r w:rsidRPr="00E235F6">
        <w:t xml:space="preserve"> </w:t>
      </w:r>
      <w:r w:rsidRPr="004539A7">
        <w:t>at Appx. A § 64.6305(b)(6)(vi).</w:t>
      </w:r>
    </w:p>
  </w:footnote>
  <w:footnote w:id="132">
    <w:p w:rsidR="005919ED" w:rsidRPr="004539A7" w:rsidP="005919ED" w14:paraId="377DAA73" w14:textId="77777777">
      <w:pPr>
        <w:pStyle w:val="FootnoteText"/>
      </w:pPr>
      <w:r w:rsidRPr="004539A7">
        <w:rPr>
          <w:rStyle w:val="FootnoteReference"/>
        </w:rPr>
        <w:footnoteRef/>
      </w:r>
      <w:r w:rsidRPr="004539A7">
        <w:t xml:space="preserve"> 47 CFR § 64.6305(d)(1), (e)(1), (f)(1); </w:t>
      </w:r>
      <w:r w:rsidRPr="004539A7">
        <w:rPr>
          <w:i/>
          <w:iCs/>
        </w:rPr>
        <w:t xml:space="preserve">see also </w:t>
      </w:r>
      <w:r w:rsidRPr="004539A7">
        <w:rPr>
          <w:i/>
          <w:iCs/>
        </w:rPr>
        <w:t xml:space="preserve">infra </w:t>
      </w:r>
      <w:r w:rsidRPr="004539A7">
        <w:t>Appx</w:t>
      </w:r>
      <w:r w:rsidRPr="004539A7">
        <w:t>. A.</w:t>
      </w:r>
    </w:p>
  </w:footnote>
  <w:footnote w:id="133">
    <w:p w:rsidR="005919ED" w:rsidRPr="004539A7" w:rsidP="005919ED" w14:paraId="6B00CDE0" w14:textId="77777777">
      <w:pPr>
        <w:pStyle w:val="FootnoteText"/>
      </w:pPr>
      <w:r w:rsidRPr="004539A7">
        <w:rPr>
          <w:rStyle w:val="FootnoteReference"/>
        </w:rPr>
        <w:footnoteRef/>
      </w:r>
      <w:r w:rsidRPr="004539A7">
        <w:t xml:space="preserve"> </w:t>
      </w:r>
      <w:r w:rsidRPr="004539A7">
        <w:rPr>
          <w:i/>
          <w:iCs/>
        </w:rPr>
        <w:t>See KYUP FNPRM</w:t>
      </w:r>
      <w:r w:rsidRPr="004539A7">
        <w:t xml:space="preserve">, FCC 26-32, at 40, para. 81 (proposing to define “initiation” as “the action performed by a voice service customer in commencing a </w:t>
      </w:r>
      <w:r w:rsidRPr="004539A7">
        <w:t>call, and</w:t>
      </w:r>
      <w:r w:rsidRPr="004539A7">
        <w:t xml:space="preserve"> does not include origination” and to define “initiating provider” as “a voice service provider that performs initiation for its end users’ calls”). </w:t>
      </w:r>
    </w:p>
  </w:footnote>
  <w:footnote w:id="134">
    <w:p w:rsidR="005919ED" w:rsidP="005919ED" w14:paraId="18E6EAE3" w14:textId="77777777">
      <w:pPr>
        <w:pStyle w:val="FootnoteText"/>
      </w:pPr>
      <w:r>
        <w:rPr>
          <w:rStyle w:val="FootnoteReference"/>
        </w:rPr>
        <w:footnoteRef/>
      </w:r>
      <w:r>
        <w:t xml:space="preserve"> </w:t>
      </w:r>
      <w:r w:rsidRPr="00745554">
        <w:rPr>
          <w:i/>
          <w:iCs/>
        </w:rPr>
        <w:t>See</w:t>
      </w:r>
      <w:r>
        <w:t xml:space="preserve"> </w:t>
      </w:r>
      <w:r w:rsidRPr="004539A7">
        <w:t>47 CFR § 64.</w:t>
      </w:r>
      <w:r>
        <w:t>1200(n)(5).</w:t>
      </w:r>
    </w:p>
  </w:footnote>
  <w:footnote w:id="135">
    <w:p w:rsidR="005919ED" w:rsidRPr="004539A7" w:rsidP="005919ED" w14:paraId="6DCDB824" w14:textId="77777777">
      <w:pPr>
        <w:pStyle w:val="FootnoteText"/>
      </w:pPr>
      <w:r w:rsidRPr="004539A7">
        <w:rPr>
          <w:rStyle w:val="FootnoteReference"/>
        </w:rPr>
        <w:footnoteRef/>
      </w:r>
      <w:r w:rsidRPr="004539A7">
        <w:t xml:space="preserve"> </w:t>
      </w:r>
      <w:r w:rsidRPr="004539A7">
        <w:rPr>
          <w:i/>
          <w:iCs/>
        </w:rPr>
        <w:t>See KYUP FNPRM</w:t>
      </w:r>
      <w:r w:rsidRPr="004539A7">
        <w:t xml:space="preserve">, FCC 26-32, at 50, para. 103 (proposing to define “end user” to mean “the ultimate consumer of voice service”).  </w:t>
      </w:r>
    </w:p>
  </w:footnote>
  <w:footnote w:id="136">
    <w:p w:rsidR="005919ED" w:rsidRPr="004539A7" w:rsidP="005919ED" w14:paraId="081E2755" w14:textId="77777777">
      <w:pPr>
        <w:pStyle w:val="FootnoteText"/>
      </w:pPr>
      <w:r w:rsidRPr="004539A7">
        <w:rPr>
          <w:rStyle w:val="FootnoteReference"/>
        </w:rPr>
        <w:footnoteRef/>
      </w:r>
      <w:r w:rsidRPr="004539A7">
        <w:t xml:space="preserve"> 47 CFR § 64.6305(d)(4)(iv), (e)(4)(iv), (f)(4)(iv).</w:t>
      </w:r>
    </w:p>
  </w:footnote>
  <w:footnote w:id="137">
    <w:p w:rsidR="005919ED" w:rsidRPr="004539A7" w:rsidP="005919ED" w14:paraId="07D78AE0" w14:textId="77777777">
      <w:pPr>
        <w:pStyle w:val="FootnoteText"/>
      </w:pPr>
      <w:r w:rsidRPr="004539A7">
        <w:rPr>
          <w:rStyle w:val="FootnoteReference"/>
        </w:rPr>
        <w:footnoteRef/>
      </w:r>
      <w:r w:rsidRPr="004539A7">
        <w:t xml:space="preserve"> </w:t>
      </w:r>
      <w:r w:rsidRPr="004539A7">
        <w:rPr>
          <w:i/>
          <w:iCs/>
        </w:rPr>
        <w:t xml:space="preserve">See </w:t>
      </w:r>
      <w:r w:rsidRPr="004539A7">
        <w:rPr>
          <w:i/>
          <w:iCs/>
        </w:rPr>
        <w:t xml:space="preserve">supra </w:t>
      </w:r>
      <w:r w:rsidRPr="00CD616B">
        <w:t>Section III</w:t>
      </w:r>
      <w:r w:rsidRPr="00CD616B">
        <w:t>.A.1</w:t>
      </w:r>
      <w:r w:rsidRPr="004539A7">
        <w:t xml:space="preserve"> (describing bad actor foreign providers establishing makeshift and nominal offices, operations, or facilities in the United States to avoid scrutiny).</w:t>
      </w:r>
    </w:p>
  </w:footnote>
  <w:footnote w:id="138">
    <w:p w:rsidR="005919ED" w:rsidRPr="004539A7" w:rsidP="005919ED" w14:paraId="72F7602E" w14:textId="77777777">
      <w:pPr>
        <w:pStyle w:val="FootnoteText"/>
      </w:pPr>
      <w:r w:rsidRPr="004539A7">
        <w:rPr>
          <w:rStyle w:val="FootnoteReference"/>
        </w:rPr>
        <w:footnoteRef/>
      </w:r>
      <w:r w:rsidRPr="004539A7">
        <w:t xml:space="preserve"> </w:t>
      </w:r>
      <w:r w:rsidRPr="004539A7">
        <w:rPr>
          <w:i/>
          <w:iCs/>
        </w:rPr>
        <w:t>KYUP FNPRM</w:t>
      </w:r>
      <w:r w:rsidRPr="004539A7">
        <w:t>, FCC 26-32, at 40, para. 80 (proposing to define “foreign voice service provider” as a “voice service provider</w:t>
      </w:r>
      <w:r w:rsidRPr="1C361E60">
        <w:t xml:space="preserve"> that was created, incorporated, or organized outside of the United States, regardless of whether it has an office, operation, or facilities in the United States”); </w:t>
      </w:r>
      <w:r w:rsidRPr="6796F0F3">
        <w:rPr>
          <w:i/>
          <w:iCs/>
        </w:rPr>
        <w:t>id.</w:t>
      </w:r>
      <w:r w:rsidRPr="00E235F6">
        <w:t xml:space="preserve"> </w:t>
      </w:r>
      <w:r>
        <w:t>(proposing to define “domestic voice service provider” as</w:t>
      </w:r>
      <w:r w:rsidRPr="004539A7">
        <w:t xml:space="preserve"> a “voice service provider that is not a foreign voice service provider”).</w:t>
      </w:r>
    </w:p>
  </w:footnote>
  <w:footnote w:id="139">
    <w:p w:rsidR="005919ED" w:rsidRPr="004539A7" w:rsidP="005919ED" w14:paraId="1731B661" w14:textId="77777777">
      <w:pPr>
        <w:pStyle w:val="FootnoteText"/>
      </w:pPr>
      <w:r w:rsidRPr="004539A7">
        <w:rPr>
          <w:rStyle w:val="FootnoteReference"/>
        </w:rPr>
        <w:footnoteRef/>
      </w:r>
      <w:r w:rsidRPr="004539A7">
        <w:t xml:space="preserve"> </w:t>
      </w:r>
      <w:r w:rsidRPr="004539A7">
        <w:rPr>
          <w:i/>
          <w:iCs/>
        </w:rPr>
        <w:t>Robocall Numbering Policies NPRM</w:t>
      </w:r>
      <w:r w:rsidRPr="004539A7">
        <w:t xml:space="preserve">, FCC 26-17, at 2, para. 3.  </w:t>
      </w:r>
    </w:p>
  </w:footnote>
  <w:footnote w:id="140">
    <w:p w:rsidR="005919ED" w:rsidRPr="004539A7" w:rsidP="005919ED" w14:paraId="692E6FD7" w14:textId="77777777">
      <w:pPr>
        <w:pStyle w:val="FootnoteText"/>
      </w:pPr>
      <w:r w:rsidRPr="004539A7">
        <w:rPr>
          <w:rStyle w:val="FootnoteReference"/>
        </w:rPr>
        <w:footnoteRef/>
      </w:r>
      <w:r w:rsidRPr="004539A7">
        <w:t xml:space="preserve"> </w:t>
      </w:r>
      <w:r>
        <w:rPr>
          <w:i/>
          <w:iCs/>
        </w:rPr>
        <w:t>Id.</w:t>
      </w:r>
      <w:r w:rsidRPr="004539A7">
        <w:t xml:space="preserve"> at 12-13, para. 26 (explaining that the Commission’s numbering rules require telecommunications carriers, “which includes interconnected VoIP providers for the purpose of Part 52” of the rules, to “submit numbering resource utilization and forecast data to the NANPA twice per year” and that “[f]or each block of numbers obtained, the reporting provider must submit utilization data in five mutually exclusive categories:  </w:t>
      </w:r>
      <w:r w:rsidRPr="00E235F6">
        <w:rPr>
          <w:i/>
        </w:rPr>
        <w:t>administrative</w:t>
      </w:r>
      <w:r w:rsidRPr="004539A7">
        <w:t xml:space="preserve">, </w:t>
      </w:r>
      <w:r w:rsidRPr="00E235F6">
        <w:rPr>
          <w:i/>
        </w:rPr>
        <w:t>aging</w:t>
      </w:r>
      <w:r w:rsidRPr="004539A7">
        <w:t xml:space="preserve">, </w:t>
      </w:r>
      <w:r w:rsidRPr="00E235F6">
        <w:rPr>
          <w:i/>
        </w:rPr>
        <w:t>assigned</w:t>
      </w:r>
      <w:r w:rsidRPr="004539A7">
        <w:t xml:space="preserve">, </w:t>
      </w:r>
      <w:r w:rsidRPr="00E235F6">
        <w:rPr>
          <w:i/>
        </w:rPr>
        <w:t>intermediate</w:t>
      </w:r>
      <w:r w:rsidRPr="004539A7">
        <w:t xml:space="preserve">, and </w:t>
      </w:r>
      <w:r w:rsidRPr="00E235F6">
        <w:rPr>
          <w:i/>
        </w:rPr>
        <w:t>reserved</w:t>
      </w:r>
      <w:r w:rsidRPr="004539A7">
        <w:t>”).</w:t>
      </w:r>
    </w:p>
  </w:footnote>
  <w:footnote w:id="141">
    <w:p w:rsidR="005919ED" w:rsidRPr="004539A7" w:rsidP="005919ED" w14:paraId="35858BAF" w14:textId="77777777">
      <w:pPr>
        <w:pStyle w:val="FootnoteText"/>
      </w:pPr>
      <w:r w:rsidRPr="004539A7">
        <w:rPr>
          <w:rStyle w:val="FootnoteReference"/>
        </w:rPr>
        <w:footnoteRef/>
      </w:r>
      <w:r w:rsidRPr="004539A7">
        <w:t xml:space="preserve"> </w:t>
      </w:r>
      <w:r w:rsidRPr="001A7171">
        <w:rPr>
          <w:i/>
        </w:rPr>
        <w:t>Id</w:t>
      </w:r>
      <w:r>
        <w:rPr>
          <w:i/>
          <w:iCs/>
        </w:rPr>
        <w:t>.</w:t>
      </w:r>
      <w:r w:rsidRPr="004539A7">
        <w:t xml:space="preserve"> at 15-16, paras. 32-34 (proposing to create three “intermediate number” subcategories for reporting numbering resource utilization and forecast data and to require that providers “clearly describe the status of the numbers from the perspectives of both the provider of record (the provider that directly holds the numbering resources in the NANPA system) and the provider reselling those telephone number</w:t>
      </w:r>
      <w:r>
        <w:t>s</w:t>
      </w:r>
      <w:r w:rsidRPr="004539A7">
        <w:t xml:space="preserve"> (categorizing its number resources as if it had received them directly)”); </w:t>
      </w:r>
      <w:r w:rsidRPr="004539A7">
        <w:rPr>
          <w:i/>
          <w:iCs/>
        </w:rPr>
        <w:t>id.</w:t>
      </w:r>
      <w:r w:rsidRPr="00E235F6">
        <w:t xml:space="preserve"> </w:t>
      </w:r>
      <w:r w:rsidRPr="004539A7">
        <w:t>at 16, para. 35 (seeking comment on creating a “method by which information could be clearly provided when multiple resellers receive numbers in a particular block, such as a means by which individual ranges of numbers within a block could be indicated”).</w:t>
      </w:r>
    </w:p>
  </w:footnote>
  <w:footnote w:id="142">
    <w:p w:rsidR="005919ED" w:rsidRPr="004539A7" w:rsidP="005919ED" w14:paraId="5F4C86B9" w14:textId="77777777">
      <w:pPr>
        <w:pStyle w:val="FootnoteText"/>
      </w:pPr>
      <w:r w:rsidRPr="004539A7">
        <w:rPr>
          <w:rStyle w:val="FootnoteReference"/>
        </w:rPr>
        <w:footnoteRef/>
      </w:r>
      <w:r w:rsidRPr="004539A7">
        <w:t xml:space="preserve"> </w:t>
      </w:r>
      <w:r w:rsidRPr="004539A7">
        <w:rPr>
          <w:i/>
          <w:iCs/>
        </w:rPr>
        <w:t>See, e.g.</w:t>
      </w:r>
      <w:r w:rsidRPr="004539A7">
        <w:t>,</w:t>
      </w:r>
      <w:r w:rsidRPr="00E235F6">
        <w:t xml:space="preserve"> </w:t>
      </w:r>
      <w:r w:rsidRPr="004539A7">
        <w:rPr>
          <w:i/>
          <w:iCs/>
        </w:rPr>
        <w:t>Numbering Resource Optimization</w:t>
      </w:r>
      <w:r w:rsidRPr="004539A7">
        <w:t xml:space="preserve">, CC Docket No. 99-200, Report and Order and Further Notice of Proposed Rule Making, 15 FCC </w:t>
      </w:r>
      <w:r w:rsidRPr="004539A7">
        <w:t>Rcd</w:t>
      </w:r>
      <w:r w:rsidRPr="004539A7">
        <w:t xml:space="preserve"> 7574, 7607, para. 78 (2000) (recognizing that “disaggregated, carrier-specific forecast and utilization data should be treated as confidential and should be exempt from public disclosure under 5 U.S.C. § 552(b)(4)”); </w:t>
      </w:r>
      <w:r w:rsidRPr="004539A7">
        <w:rPr>
          <w:i/>
          <w:iCs/>
        </w:rPr>
        <w:t>Numbering Resource Optimization et al.</w:t>
      </w:r>
      <w:r w:rsidRPr="004539A7">
        <w:t xml:space="preserve">, CC Docket No. 99-200 et al., Third Report and Order and Second Order on Reconsideration in CC Docket No. 96-98 and CC Docket No. 99-200, 17 FCC </w:t>
      </w:r>
      <w:r w:rsidRPr="004539A7">
        <w:t>Rcd</w:t>
      </w:r>
      <w:r w:rsidRPr="004539A7">
        <w:t xml:space="preserve"> 252, 309-10, paras. 134, 137 (2001) (granting state commissions “password-protected access to the NANPA database for data pertaining to NPAs located within their state,” maintaining “the confidentiality of carrier-specific data,” and restricting access to rate center and area code data); </w:t>
      </w:r>
      <w:r w:rsidRPr="004539A7">
        <w:rPr>
          <w:i/>
          <w:iCs/>
        </w:rPr>
        <w:t>see also Robocall Numbering Policies NPRM</w:t>
      </w:r>
      <w:r w:rsidRPr="004539A7">
        <w:t>, FCC 26-17, at 24, para. 61 (seeking comment on revising confidentiality protections).</w:t>
      </w:r>
    </w:p>
  </w:footnote>
  <w:footnote w:id="143">
    <w:p w:rsidR="005919ED" w:rsidRPr="004539A7" w:rsidP="005919ED" w14:paraId="15D9525B" w14:textId="77777777">
      <w:pPr>
        <w:pStyle w:val="FootnoteText"/>
      </w:pPr>
      <w:r w:rsidRPr="004539A7">
        <w:rPr>
          <w:rStyle w:val="FootnoteReference"/>
        </w:rPr>
        <w:footnoteRef/>
      </w:r>
      <w:r w:rsidRPr="004539A7">
        <w:t xml:space="preserve"> Below we seek comment on which information submitted in the RMD should be viewable in the publicly facing Database and which should only be viewable by Commission staff.  </w:t>
      </w:r>
      <w:r w:rsidRPr="004539A7">
        <w:rPr>
          <w:i/>
          <w:iCs/>
        </w:rPr>
        <w:t xml:space="preserve">See </w:t>
      </w:r>
      <w:r w:rsidRPr="004539A7">
        <w:rPr>
          <w:i/>
          <w:iCs/>
        </w:rPr>
        <w:t>infra</w:t>
      </w:r>
      <w:r w:rsidRPr="004539A7">
        <w:t xml:space="preserve"> Section </w:t>
      </w:r>
      <w:r w:rsidRPr="00CD616B">
        <w:t>III</w:t>
      </w:r>
      <w:r w:rsidRPr="00CD616B">
        <w:t>.A.3.</w:t>
      </w:r>
      <w:r w:rsidRPr="004539A7">
        <w:t>b.</w:t>
      </w:r>
    </w:p>
  </w:footnote>
  <w:footnote w:id="144">
    <w:p w:rsidR="005919ED" w:rsidRPr="004539A7" w:rsidP="005919ED" w14:paraId="4D393D28" w14:textId="77777777">
      <w:pPr>
        <w:pStyle w:val="FootnoteText"/>
      </w:pPr>
      <w:r w:rsidRPr="004539A7">
        <w:rPr>
          <w:rStyle w:val="FootnoteReference"/>
        </w:rPr>
        <w:footnoteRef/>
      </w:r>
      <w:r w:rsidRPr="004539A7">
        <w:t xml:space="preserve"> </w:t>
      </w:r>
      <w:r w:rsidRPr="004539A7">
        <w:rPr>
          <w:i/>
          <w:iCs/>
        </w:rPr>
        <w:t>KYUP FNPRM</w:t>
      </w:r>
      <w:r w:rsidRPr="004539A7">
        <w:t>, FCC 26-32,</w:t>
      </w:r>
      <w:r w:rsidRPr="004539A7">
        <w:rPr>
          <w:i/>
          <w:iCs/>
        </w:rPr>
        <w:t xml:space="preserve"> </w:t>
      </w:r>
      <w:r w:rsidRPr="004539A7">
        <w:t>at 11-12, para. 20.</w:t>
      </w:r>
    </w:p>
  </w:footnote>
  <w:footnote w:id="145">
    <w:p w:rsidR="005919ED" w:rsidRPr="004539A7" w:rsidP="005919ED" w14:paraId="27EC080A" w14:textId="77777777">
      <w:pPr>
        <w:pStyle w:val="FootnoteText"/>
      </w:pPr>
      <w:r w:rsidRPr="004539A7">
        <w:rPr>
          <w:rStyle w:val="FootnoteReference"/>
        </w:rPr>
        <w:footnoteRef/>
      </w:r>
      <w:r w:rsidRPr="004539A7">
        <w:t xml:space="preserve"> We exclude the “financial information” type, as we do not believe there is need to require providers to submit such information in the RMD.</w:t>
      </w:r>
    </w:p>
  </w:footnote>
  <w:footnote w:id="146">
    <w:p w:rsidR="005919ED" w:rsidRPr="004539A7" w:rsidP="005919ED" w14:paraId="24FD3FAD" w14:textId="77777777">
      <w:pPr>
        <w:pStyle w:val="FootnoteText"/>
      </w:pPr>
      <w:r w:rsidRPr="004539A7">
        <w:rPr>
          <w:rStyle w:val="FootnoteReference"/>
        </w:rPr>
        <w:footnoteRef/>
      </w:r>
      <w:r w:rsidRPr="004539A7">
        <w:t xml:space="preserve"> Providers are currently required to submit business name(s).  47 CFR § 64.6305(d)(4)(</w:t>
      </w:r>
      <w:r w:rsidRPr="004539A7">
        <w:t>i</w:t>
      </w:r>
      <w:r w:rsidRPr="004539A7">
        <w:t>), (e)(4)(</w:t>
      </w:r>
      <w:r w:rsidRPr="004539A7">
        <w:t>i</w:t>
      </w:r>
      <w:r w:rsidRPr="004539A7">
        <w:t>), (f)(4)(</w:t>
      </w:r>
      <w:r w:rsidRPr="004539A7">
        <w:t>i</w:t>
      </w:r>
      <w:r w:rsidRPr="004539A7">
        <w:t xml:space="preserve">).  </w:t>
      </w:r>
    </w:p>
  </w:footnote>
  <w:footnote w:id="147">
    <w:p w:rsidR="005919ED" w:rsidRPr="004539A7" w:rsidP="005919ED" w14:paraId="228093BC" w14:textId="77777777">
      <w:pPr>
        <w:pStyle w:val="FootnoteText"/>
      </w:pPr>
      <w:r w:rsidRPr="004539A7">
        <w:rPr>
          <w:rStyle w:val="FootnoteReference"/>
        </w:rPr>
        <w:footnoteRef/>
      </w:r>
      <w:r w:rsidRPr="004539A7">
        <w:t xml:space="preserve"> Providers are currently required to submit other business names </w:t>
      </w:r>
      <w:r w:rsidRPr="004539A7">
        <w:rPr>
          <w:i/>
          <w:iCs/>
        </w:rPr>
        <w:t>in use</w:t>
      </w:r>
      <w:r w:rsidRPr="004539A7">
        <w:t xml:space="preserve"> by the provider.  </w:t>
      </w:r>
      <w:r w:rsidRPr="007906C5">
        <w:rPr>
          <w:i/>
          <w:iCs/>
        </w:rPr>
        <w:t>See</w:t>
      </w:r>
      <w:r>
        <w:t xml:space="preserve"> </w:t>
      </w:r>
      <w:r w:rsidRPr="004539A7">
        <w:t>47 CFR § 64.6305(d)(4)(ii), (e)(4)(ii), (f)(4)(ii).</w:t>
      </w:r>
    </w:p>
  </w:footnote>
  <w:footnote w:id="148">
    <w:p w:rsidR="005919ED" w:rsidRPr="004539A7" w:rsidP="005919ED" w14:paraId="39B05C81" w14:textId="77777777">
      <w:pPr>
        <w:pStyle w:val="FootnoteText"/>
      </w:pPr>
      <w:r w:rsidRPr="004539A7">
        <w:rPr>
          <w:rStyle w:val="FootnoteReference"/>
        </w:rPr>
        <w:footnoteRef/>
      </w:r>
      <w:r w:rsidRPr="004539A7">
        <w:t xml:space="preserve"> Providers are currently required to submit their primary address.  </w:t>
      </w:r>
      <w:r w:rsidRPr="2C9101D6">
        <w:rPr>
          <w:i/>
          <w:iCs/>
        </w:rPr>
        <w:t>See</w:t>
      </w:r>
      <w:r w:rsidRPr="00E235F6">
        <w:rPr>
          <w:i/>
        </w:rPr>
        <w:t xml:space="preserve"> </w:t>
      </w:r>
      <w:r w:rsidRPr="004539A7">
        <w:t>47 CFR § 64.6305(d)(4)(</w:t>
      </w:r>
      <w:r w:rsidRPr="004539A7">
        <w:t>i</w:t>
      </w:r>
      <w:r w:rsidRPr="004539A7">
        <w:t>), (e)(4)(</w:t>
      </w:r>
      <w:r w:rsidRPr="004539A7">
        <w:t>i</w:t>
      </w:r>
      <w:r w:rsidRPr="004539A7">
        <w:t>), (f)(4)(</w:t>
      </w:r>
      <w:r w:rsidRPr="004539A7">
        <w:t>i</w:t>
      </w:r>
      <w:r w:rsidRPr="004539A7">
        <w:t xml:space="preserve">).  Additionally, this description differs slightly from the </w:t>
      </w:r>
      <w:r w:rsidRPr="004539A7">
        <w:rPr>
          <w:i/>
          <w:iCs/>
        </w:rPr>
        <w:t>KYUP FNPRM</w:t>
      </w:r>
      <w:r w:rsidRPr="004539A7">
        <w:t xml:space="preserve">, which proposed that providers obtain a physical address that is “a </w:t>
      </w:r>
      <w:r w:rsidRPr="004539A7">
        <w:rPr>
          <w:i/>
          <w:iCs/>
        </w:rPr>
        <w:t>real</w:t>
      </w:r>
      <w:r w:rsidRPr="004539A7">
        <w:t xml:space="preserve"> place of business” from upstream providers, rather than “a </w:t>
      </w:r>
      <w:r w:rsidRPr="004539A7">
        <w:rPr>
          <w:i/>
          <w:iCs/>
        </w:rPr>
        <w:t>bona fide</w:t>
      </w:r>
      <w:r w:rsidRPr="004539A7">
        <w:t xml:space="preserve"> place of business,” but the change is for clarity and is not intended to be substantive.  </w:t>
      </w:r>
      <w:r w:rsidRPr="004539A7">
        <w:rPr>
          <w:i/>
          <w:iCs/>
        </w:rPr>
        <w:t>See KYUP FNPRM</w:t>
      </w:r>
      <w:r w:rsidRPr="004539A7">
        <w:t>, FCC 26-32, at 11, para. 20</w:t>
      </w:r>
      <w:r>
        <w:t xml:space="preserve"> (emphasis added)</w:t>
      </w:r>
      <w:r w:rsidRPr="004539A7">
        <w:t xml:space="preserve">.  </w:t>
      </w:r>
    </w:p>
  </w:footnote>
  <w:footnote w:id="149">
    <w:p w:rsidR="005919ED" w:rsidRPr="004539A7" w:rsidP="005919ED" w14:paraId="3DD98619" w14:textId="77777777">
      <w:pPr>
        <w:pStyle w:val="FootnoteText"/>
      </w:pPr>
      <w:r w:rsidRPr="004539A7">
        <w:rPr>
          <w:rStyle w:val="FootnoteReference"/>
        </w:rPr>
        <w:footnoteRef/>
      </w:r>
      <w:r w:rsidRPr="004539A7">
        <w:t xml:space="preserve"> Providers are currently required to submit the name, title, department, business address, telephone number, and email address of one person within the company responsible for addressing robocall mitigation-related issues.  47 CFR § 64.6305(d)(4)(v), (e)(4)(v), (f)(4)(v).</w:t>
      </w:r>
    </w:p>
  </w:footnote>
  <w:footnote w:id="150">
    <w:p w:rsidR="005919ED" w:rsidRPr="004539A7" w:rsidP="005919ED" w14:paraId="5CFA40A0" w14:textId="77777777">
      <w:pPr>
        <w:pStyle w:val="FootnoteText"/>
      </w:pPr>
      <w:r w:rsidRPr="004539A7">
        <w:rPr>
          <w:rStyle w:val="FootnoteReference"/>
        </w:rPr>
        <w:footnoteRef/>
      </w:r>
      <w:r w:rsidRPr="004539A7">
        <w:t xml:space="preserve"> Above, we propose to codify the requirement that providers identify principals, which may include owners and company leadership, and to require that providers submit additional information about each principal.  </w:t>
      </w:r>
      <w:r w:rsidRPr="004539A7">
        <w:rPr>
          <w:i/>
        </w:rPr>
        <w:t xml:space="preserve">See </w:t>
      </w:r>
      <w:r w:rsidRPr="004539A7">
        <w:rPr>
          <w:i/>
        </w:rPr>
        <w:t xml:space="preserve">supra </w:t>
      </w:r>
      <w:r w:rsidRPr="004539A7">
        <w:t xml:space="preserve">Section </w:t>
      </w:r>
      <w:r w:rsidRPr="00CD616B">
        <w:t>III</w:t>
      </w:r>
      <w:r w:rsidRPr="00CD616B">
        <w:t>.A.2.c</w:t>
      </w:r>
      <w:r w:rsidRPr="004539A7">
        <w:t>.</w:t>
      </w:r>
    </w:p>
  </w:footnote>
  <w:footnote w:id="151">
    <w:p w:rsidR="005919ED" w:rsidRPr="004539A7" w:rsidP="005919ED" w14:paraId="078E2846" w14:textId="77777777">
      <w:pPr>
        <w:pStyle w:val="FootnoteText"/>
      </w:pPr>
      <w:r w:rsidRPr="004539A7">
        <w:rPr>
          <w:rStyle w:val="FootnoteReference"/>
        </w:rPr>
        <w:footnoteRef/>
      </w:r>
      <w:r w:rsidRPr="004539A7">
        <w:t xml:space="preserve"> Above, we propose to codify the requirement that providers identify parents, affiliates, and subsidiaries, and that providers submit additional information about each one.  </w:t>
      </w:r>
      <w:r w:rsidRPr="004539A7">
        <w:rPr>
          <w:i/>
        </w:rPr>
        <w:t xml:space="preserve">See </w:t>
      </w:r>
      <w:r w:rsidRPr="004539A7">
        <w:rPr>
          <w:i/>
        </w:rPr>
        <w:t xml:space="preserve">supra </w:t>
      </w:r>
      <w:r w:rsidRPr="004539A7">
        <w:t xml:space="preserve">Section </w:t>
      </w:r>
      <w:r w:rsidRPr="00CD616B">
        <w:t>III</w:t>
      </w:r>
      <w:r w:rsidRPr="00CD616B">
        <w:t>.A.2.c</w:t>
      </w:r>
      <w:r w:rsidRPr="004539A7">
        <w:t>.</w:t>
      </w:r>
    </w:p>
  </w:footnote>
  <w:footnote w:id="152">
    <w:p w:rsidR="005919ED" w:rsidRPr="004539A7" w:rsidP="005919ED" w14:paraId="73ABB95A" w14:textId="77777777">
      <w:pPr>
        <w:pStyle w:val="FootnoteText"/>
      </w:pPr>
      <w:r w:rsidRPr="004539A7">
        <w:rPr>
          <w:rStyle w:val="FootnoteReference"/>
        </w:rPr>
        <w:footnoteRef/>
      </w:r>
      <w:r w:rsidRPr="004539A7">
        <w:t xml:space="preserve"> Above, we propose to require that providers describe the nature of their services.  </w:t>
      </w:r>
      <w:r w:rsidRPr="004539A7">
        <w:rPr>
          <w:i/>
          <w:iCs/>
        </w:rPr>
        <w:t xml:space="preserve">See </w:t>
      </w:r>
      <w:r w:rsidRPr="004539A7">
        <w:rPr>
          <w:i/>
          <w:iCs/>
        </w:rPr>
        <w:t>supra</w:t>
      </w:r>
      <w:r w:rsidRPr="004539A7">
        <w:t xml:space="preserve"> Section </w:t>
      </w:r>
      <w:r w:rsidRPr="00CD616B">
        <w:t>III</w:t>
      </w:r>
      <w:r w:rsidRPr="00CD616B">
        <w:t>.A.2.d</w:t>
      </w:r>
      <w:r w:rsidRPr="004539A7">
        <w:t>.</w:t>
      </w:r>
    </w:p>
  </w:footnote>
  <w:footnote w:id="153">
    <w:p w:rsidR="005919ED" w:rsidRPr="004539A7" w:rsidP="005919ED" w14:paraId="1DF2AD2E" w14:textId="77777777">
      <w:pPr>
        <w:pStyle w:val="FootnoteText"/>
      </w:pPr>
      <w:r w:rsidRPr="004539A7">
        <w:rPr>
          <w:rStyle w:val="FootnoteReference"/>
        </w:rPr>
        <w:footnoteRef/>
      </w:r>
      <w:r w:rsidRPr="004539A7">
        <w:t xml:space="preserve"> </w:t>
      </w:r>
      <w:r w:rsidRPr="004539A7">
        <w:rPr>
          <w:i/>
          <w:iCs/>
        </w:rPr>
        <w:t>See KYUP FNPRM</w:t>
      </w:r>
      <w:r w:rsidRPr="004539A7">
        <w:t>, FCC 26-32, at 17, para. 25 (proposing to require that providers “implement measures to refuse or discontinue service:  when the results do not form an objectively reasonable basis for concluding that the upstream provider is a valid and authentic entity; when the results form an objectively reasonable basis for concluding that an upstream provider is likely to use or is using the network or services of the provider with the KYUP obligation to transmit illegal calls or enable the transmission of illegal calls; when the upstream provider does not have a filing in the RMD, transmits calls in IP but does not have an SPC token, appears on the Foreign Adversary Control System or Covered List, has had a Commission license revoked, or has been the subject of any other Commission enforcement actions that deny its ability to provision voice service; and when the provider finds, receives, or is made aware that an upstream provider does not have mechanisms in place to ensure its customers, upstream providers, clients, employees, and contractors comply with federal and state laws and regulations concerning unlawful calls, including any KYC and KYUP requirements established by the Commission”).</w:t>
      </w:r>
    </w:p>
  </w:footnote>
  <w:footnote w:id="154">
    <w:p w:rsidR="005919ED" w:rsidRPr="004539A7" w:rsidP="005919ED" w14:paraId="01EA7E61" w14:textId="77777777">
      <w:pPr>
        <w:pStyle w:val="FootnoteText"/>
      </w:pPr>
      <w:r w:rsidRPr="004539A7">
        <w:rPr>
          <w:rStyle w:val="FootnoteReference"/>
        </w:rPr>
        <w:footnoteRef/>
      </w:r>
      <w:r w:rsidRPr="004539A7">
        <w:t xml:space="preserve"> This description differs from the </w:t>
      </w:r>
      <w:r w:rsidRPr="004539A7">
        <w:rPr>
          <w:i/>
          <w:iCs/>
        </w:rPr>
        <w:t>KYUP FNPRM</w:t>
      </w:r>
      <w:r w:rsidRPr="004539A7">
        <w:t xml:space="preserve">, which proposed that providers obtain information as to whether another voice service provider has refused or discontinued service to the upstream provider generally.  </w:t>
      </w:r>
      <w:r w:rsidRPr="004539A7">
        <w:rPr>
          <w:i/>
          <w:iCs/>
        </w:rPr>
        <w:t xml:space="preserve">See </w:t>
      </w:r>
      <w:r>
        <w:rPr>
          <w:i/>
          <w:iCs/>
        </w:rPr>
        <w:t>id.</w:t>
      </w:r>
      <w:r w:rsidRPr="007906C5">
        <w:t xml:space="preserve"> </w:t>
      </w:r>
      <w:r w:rsidRPr="004539A7">
        <w:t>at 1</w:t>
      </w:r>
      <w:r>
        <w:t>2</w:t>
      </w:r>
      <w:r w:rsidRPr="004539A7">
        <w:t xml:space="preserve">, para. 20.  At least in the context of the RMD, we believe this information should be limited to the refusal and discontinuance reasons set out in the </w:t>
      </w:r>
      <w:r w:rsidRPr="004539A7">
        <w:rPr>
          <w:i/>
        </w:rPr>
        <w:t>KYUP FNPRM</w:t>
      </w:r>
      <w:r w:rsidRPr="004539A7">
        <w:t>.</w:t>
      </w:r>
    </w:p>
  </w:footnote>
  <w:footnote w:id="155">
    <w:p w:rsidR="005919ED" w:rsidRPr="004539A7" w:rsidP="005919ED" w14:paraId="1BFEF95A" w14:textId="77777777">
      <w:pPr>
        <w:pStyle w:val="FootnoteText"/>
      </w:pPr>
      <w:r w:rsidRPr="004539A7">
        <w:rPr>
          <w:rStyle w:val="FootnoteReference"/>
        </w:rPr>
        <w:footnoteRef/>
      </w:r>
      <w:r w:rsidRPr="004539A7">
        <w:t xml:space="preserve"> </w:t>
      </w:r>
      <w:r w:rsidRPr="004539A7">
        <w:rPr>
          <w:i/>
          <w:iCs/>
        </w:rPr>
        <w:t xml:space="preserve">See </w:t>
      </w:r>
      <w:r>
        <w:rPr>
          <w:i/>
          <w:iCs/>
        </w:rPr>
        <w:t>id.</w:t>
      </w:r>
      <w:r w:rsidRPr="007906C5">
        <w:t xml:space="preserve"> </w:t>
      </w:r>
      <w:r w:rsidRPr="004539A7">
        <w:t>at 11-12, para. 20 (proposing to require that voice service providers collect ownership and affiliate information directly from their upstream providers).</w:t>
      </w:r>
    </w:p>
  </w:footnote>
  <w:footnote w:id="156">
    <w:p w:rsidR="005919ED" w:rsidRPr="004539A7" w:rsidP="005919ED" w14:paraId="1FB0A853" w14:textId="77777777">
      <w:pPr>
        <w:pStyle w:val="FootnoteText"/>
      </w:pPr>
      <w:r w:rsidRPr="004539A7">
        <w:rPr>
          <w:rStyle w:val="FootnoteReference"/>
        </w:rPr>
        <w:footnoteRef/>
      </w:r>
      <w:r w:rsidRPr="004539A7">
        <w:t xml:space="preserve"> </w:t>
      </w:r>
      <w:r w:rsidRPr="004539A7">
        <w:rPr>
          <w:i/>
          <w:iCs/>
        </w:rPr>
        <w:t>See</w:t>
      </w:r>
      <w:r w:rsidRPr="004539A7">
        <w:rPr>
          <w:i/>
        </w:rPr>
        <w:t xml:space="preserve"> </w:t>
      </w:r>
      <w:r w:rsidRPr="004539A7">
        <w:t xml:space="preserve">47 CFR § 64.6305(a), (b), (c). </w:t>
      </w:r>
    </w:p>
  </w:footnote>
  <w:footnote w:id="157">
    <w:p w:rsidR="005919ED" w:rsidRPr="004539A7" w:rsidP="005919ED" w14:paraId="57362C3A" w14:textId="77777777">
      <w:pPr>
        <w:pStyle w:val="FootnoteText"/>
      </w:pPr>
      <w:r w:rsidRPr="004539A7">
        <w:rPr>
          <w:rStyle w:val="FootnoteReference"/>
        </w:rPr>
        <w:footnoteRef/>
      </w:r>
      <w:r w:rsidRPr="004539A7">
        <w:t xml:space="preserve"> </w:t>
      </w:r>
      <w:r w:rsidRPr="004539A7">
        <w:rPr>
          <w:i/>
          <w:iCs/>
        </w:rPr>
        <w:t>See KYUP FNPRM</w:t>
      </w:r>
      <w:r w:rsidRPr="004539A7">
        <w:t xml:space="preserve">, FCC 26-32, at 68, para. 135 (proposing to streamline the current rule and partially modify the obligation for gateway providers to require that their programs apply to all calls they carry and process); </w:t>
      </w:r>
      <w:r w:rsidRPr="004539A7">
        <w:rPr>
          <w:i/>
          <w:iCs/>
        </w:rPr>
        <w:t>id.</w:t>
      </w:r>
      <w:r w:rsidRPr="002F7B3E">
        <w:t xml:space="preserve"> </w:t>
      </w:r>
      <w:r w:rsidRPr="004539A7">
        <w:t>at Appx. A § 64.6305(a)(1).</w:t>
      </w:r>
    </w:p>
  </w:footnote>
  <w:footnote w:id="158">
    <w:p w:rsidR="005919ED" w:rsidRPr="004539A7" w:rsidP="005919ED" w14:paraId="544B9020" w14:textId="77777777">
      <w:pPr>
        <w:pStyle w:val="FootnoteText"/>
      </w:pPr>
      <w:r w:rsidRPr="004539A7">
        <w:rPr>
          <w:rStyle w:val="FootnoteReference"/>
        </w:rPr>
        <w:footnoteRef/>
      </w:r>
      <w:r w:rsidRPr="004539A7">
        <w:t xml:space="preserve"> </w:t>
      </w:r>
      <w:r w:rsidRPr="004539A7">
        <w:rPr>
          <w:i/>
          <w:iCs/>
        </w:rPr>
        <w:t>See Gateway Provider Order</w:t>
      </w:r>
      <w:r w:rsidRPr="004539A7">
        <w:t xml:space="preserve">, 37 FCC </w:t>
      </w:r>
      <w:r w:rsidRPr="004539A7">
        <w:t>Rcd</w:t>
      </w:r>
      <w:r w:rsidRPr="004539A7">
        <w:t xml:space="preserve"> at 6909, para. 106; </w:t>
      </w:r>
      <w:r w:rsidRPr="004539A7">
        <w:rPr>
          <w:i/>
          <w:iCs/>
        </w:rPr>
        <w:t>Sixth Caller ID Authentication Order</w:t>
      </w:r>
      <w:r w:rsidRPr="004539A7">
        <w:t xml:space="preserve">, 38 FCC </w:t>
      </w:r>
      <w:r w:rsidRPr="004539A7">
        <w:t>Rcd</w:t>
      </w:r>
      <w:r w:rsidRPr="004539A7">
        <w:t xml:space="preserve"> at 2591, para. 32. </w:t>
      </w:r>
    </w:p>
  </w:footnote>
  <w:footnote w:id="159">
    <w:p w:rsidR="005919ED" w:rsidRPr="004539A7" w:rsidP="005919ED" w14:paraId="71E4FA68" w14:textId="77777777">
      <w:pPr>
        <w:pStyle w:val="FootnoteText"/>
      </w:pPr>
      <w:r w:rsidRPr="004539A7">
        <w:rPr>
          <w:rStyle w:val="FootnoteReference"/>
        </w:rPr>
        <w:footnoteRef/>
      </w:r>
      <w:r w:rsidRPr="004539A7">
        <w:t xml:space="preserve"> 47 CFR § 64.1200(n)(4) (requiring voice service providers to “[t]</w:t>
      </w:r>
      <w:r w:rsidRPr="004539A7">
        <w:t>ake</w:t>
      </w:r>
      <w:r w:rsidRPr="004539A7">
        <w:t xml:space="preserve"> </w:t>
      </w:r>
      <w:r w:rsidRPr="004539A7">
        <w:rPr>
          <w:i/>
          <w:iCs/>
        </w:rPr>
        <w:t>affirmative, effective</w:t>
      </w:r>
      <w:r w:rsidRPr="004539A7">
        <w:t xml:space="preserve"> measures to prevent new and renewing customers from using its network to originate illegal calls, including knowing its customers and exercising due diligence in ensuring that its services are not used to originate illegal traffic”) (emphasis added).  </w:t>
      </w:r>
    </w:p>
  </w:footnote>
  <w:footnote w:id="160">
    <w:p w:rsidR="005919ED" w:rsidRPr="004539A7" w:rsidP="005919ED" w14:paraId="78675F5D" w14:textId="77777777">
      <w:pPr>
        <w:pStyle w:val="FootnoteText"/>
      </w:pPr>
      <w:r w:rsidRPr="004539A7">
        <w:rPr>
          <w:rStyle w:val="FootnoteReference"/>
        </w:rPr>
        <w:footnoteRef/>
      </w:r>
      <w:r w:rsidRPr="004539A7">
        <w:t xml:space="preserve"> </w:t>
      </w:r>
      <w:r w:rsidRPr="004539A7">
        <w:rPr>
          <w:i/>
          <w:iCs/>
        </w:rPr>
        <w:t>See KYUP FNPRM</w:t>
      </w:r>
      <w:r w:rsidRPr="004539A7">
        <w:t>, FCC 26-32, at 11, para. 19 (proposing “to require that each voice service provider take affirmative, effective measures to prevent an upstream provider from using its network or services to transmit illegal calls, including knowing its upstream provider”).</w:t>
      </w:r>
    </w:p>
  </w:footnote>
  <w:footnote w:id="161">
    <w:p w:rsidR="005919ED" w:rsidRPr="004539A7" w:rsidP="005919ED" w14:paraId="30C26F18" w14:textId="77777777">
      <w:pPr>
        <w:pStyle w:val="FootnoteText"/>
      </w:pPr>
      <w:r w:rsidRPr="004539A7">
        <w:rPr>
          <w:rStyle w:val="FootnoteReference"/>
        </w:rPr>
        <w:footnoteRef/>
      </w:r>
      <w:r w:rsidRPr="004539A7">
        <w:t xml:space="preserve"> </w:t>
      </w:r>
      <w:r w:rsidRPr="004539A7">
        <w:rPr>
          <w:i/>
          <w:iCs/>
        </w:rPr>
        <w:t>See Second Caller ID Authentication Order</w:t>
      </w:r>
      <w:r w:rsidRPr="004539A7">
        <w:t xml:space="preserve">, 36 FCC </w:t>
      </w:r>
      <w:r w:rsidRPr="004539A7">
        <w:t>Rcd</w:t>
      </w:r>
      <w:r w:rsidRPr="004539A7">
        <w:t xml:space="preserve"> </w:t>
      </w:r>
      <w:r w:rsidRPr="004539A7">
        <w:t>at</w:t>
      </w:r>
      <w:r w:rsidRPr="004539A7">
        <w:t xml:space="preserve"> 1899, para. 76 (citing TRACED Act § 4(b)(5)(C) and stating that the TRACED Act directed the Commission to require any voice service provider subject to an extension to implement a robocall mitigation program); </w:t>
      </w:r>
      <w:r w:rsidRPr="571F214D">
        <w:rPr>
          <w:i/>
          <w:iCs/>
        </w:rPr>
        <w:t>id.</w:t>
      </w:r>
      <w:r w:rsidRPr="002F7B3E">
        <w:t xml:space="preserve"> </w:t>
      </w:r>
      <w:r w:rsidRPr="004539A7">
        <w:t>at</w:t>
      </w:r>
      <w:r w:rsidRPr="004539A7">
        <w:t xml:space="preserve"> 1902, para. 83 (directing the Wireline Competition Bureau to establish the RMD).</w:t>
      </w:r>
    </w:p>
  </w:footnote>
  <w:footnote w:id="162">
    <w:p w:rsidR="005919ED" w:rsidRPr="006F3686" w:rsidP="005919ED" w14:paraId="2E2CAC62" w14:textId="77777777">
      <w:pPr>
        <w:pStyle w:val="FootnoteText"/>
      </w:pPr>
      <w:r w:rsidRPr="006F3686">
        <w:rPr>
          <w:rStyle w:val="FootnoteReference"/>
        </w:rPr>
        <w:footnoteRef/>
      </w:r>
      <w:r w:rsidRPr="006F3686">
        <w:t xml:space="preserve"> </w:t>
      </w:r>
      <w:r w:rsidRPr="006F3686">
        <w:rPr>
          <w:i/>
          <w:iCs/>
        </w:rPr>
        <w:t>See</w:t>
      </w:r>
      <w:r w:rsidRPr="006F3686">
        <w:t xml:space="preserve"> FCC, </w:t>
      </w:r>
      <w:r w:rsidRPr="006F3686">
        <w:rPr>
          <w:i/>
          <w:iCs/>
        </w:rPr>
        <w:t>Stop Unwanted Robocalls and Texts</w:t>
      </w:r>
      <w:r w:rsidRPr="006F3686">
        <w:t xml:space="preserve">, </w:t>
      </w:r>
      <w:hyperlink r:id="rId15" w:history="1">
        <w:r w:rsidRPr="006F3686">
          <w:rPr>
            <w:rStyle w:val="Hyperlink"/>
          </w:rPr>
          <w:t>https://www.fcc.gov/consumers/guides/stop-unwanted-robocalls-and-texts</w:t>
        </w:r>
      </w:hyperlink>
      <w:r>
        <w:t xml:space="preserve"> </w:t>
      </w:r>
      <w:r w:rsidRPr="006F3686">
        <w:t xml:space="preserve">(last updated Feb. 27, 2026) (“Robocalls are phone calls made using an </w:t>
      </w:r>
      <w:r w:rsidRPr="006F3686">
        <w:t>autodialer</w:t>
      </w:r>
      <w:r w:rsidRPr="006F3686">
        <w:t xml:space="preserve"> or a prerecorded or artificial voice message.”); TRACED Act § 13(f)(3), 133 Stat. at 328</w:t>
      </w:r>
      <w:r>
        <w:t>8</w:t>
      </w:r>
      <w:r w:rsidRPr="006F3686">
        <w:t xml:space="preserve"> (defining “suspected unlawful robocall” traffic for the purposes of the industry traceback consortium as “a call that the Commission or a voice service provider reasonably believes was made in violation of subsection (b) or (e) of section 227 of the Communications Act of 1934”); </w:t>
      </w:r>
      <w:r w:rsidRPr="006F3686">
        <w:rPr>
          <w:i/>
          <w:iCs/>
        </w:rPr>
        <w:t xml:space="preserve">see also </w:t>
      </w:r>
      <w:r w:rsidRPr="006F3686">
        <w:t>47 U.S.C. §§ 227(b) (Restrictions on use of automated telephone equipment); 227(e) (Prohibition on provision of misleading or inaccurate caller identification information).  For example, a recent survey indicates that once a scammer has made initial contact with a victim</w:t>
      </w:r>
      <w:r>
        <w:t>—</w:t>
      </w:r>
      <w:r w:rsidRPr="006F3686">
        <w:t>which can occur through various channels</w:t>
      </w:r>
      <w:r>
        <w:t>—</w:t>
      </w:r>
      <w:r w:rsidRPr="006F3686">
        <w:t xml:space="preserve">further communication frequently involves phone calls that might or might not meet the legal definition of a “robocall.”  Letter from Ken Westbrook, Founder and CEO, Stop Scams Alliance </w:t>
      </w:r>
      <w:r w:rsidRPr="007906C5">
        <w:t>et al.</w:t>
      </w:r>
      <w:r w:rsidRPr="006F3686">
        <w:t>, to Marlene H. Dortch, Secretary, FCC, CG Docket Nos. 17-59, 02-278, 25-307, WC Docket No. 17-97, Attach. at 12</w:t>
      </w:r>
      <w:r>
        <w:t>-</w:t>
      </w:r>
      <w:r w:rsidRPr="006F3686">
        <w:t>15 (filed June 30, 2026)</w:t>
      </w:r>
      <w:r>
        <w:t xml:space="preserve"> (</w:t>
      </w:r>
      <w:r w:rsidRPr="00B136CE">
        <w:rPr>
          <w:i/>
          <w:iCs/>
        </w:rPr>
        <w:t xml:space="preserve">Stop Scams Alliance Ex </w:t>
      </w:r>
      <w:r w:rsidRPr="00B136CE">
        <w:rPr>
          <w:i/>
          <w:iCs/>
        </w:rPr>
        <w:t>Parte</w:t>
      </w:r>
      <w:r>
        <w:t>)</w:t>
      </w:r>
      <w:r w:rsidRPr="006F3686">
        <w:t>.</w:t>
      </w:r>
    </w:p>
  </w:footnote>
  <w:footnote w:id="163">
    <w:p w:rsidR="005919ED" w:rsidRPr="004539A7" w:rsidP="005919ED" w14:paraId="02DDFC14" w14:textId="77777777">
      <w:pPr>
        <w:pStyle w:val="FootnoteText"/>
      </w:pPr>
      <w:r w:rsidRPr="004539A7">
        <w:rPr>
          <w:rStyle w:val="FootnoteReference"/>
        </w:rPr>
        <w:footnoteRef/>
      </w:r>
      <w:r w:rsidRPr="004539A7">
        <w:t xml:space="preserve"> </w:t>
      </w:r>
      <w:r w:rsidRPr="004539A7">
        <w:rPr>
          <w:i/>
          <w:iCs/>
        </w:rPr>
        <w:t xml:space="preserve">See </w:t>
      </w:r>
      <w:r w:rsidRPr="00CC45BA">
        <w:t>47 CFR § 64.1200(n)(4).</w:t>
      </w:r>
    </w:p>
  </w:footnote>
  <w:footnote w:id="164">
    <w:p w:rsidR="005919ED" w:rsidRPr="004539A7" w:rsidP="005919ED" w14:paraId="191C41E4" w14:textId="77777777">
      <w:pPr>
        <w:pStyle w:val="FootnoteText"/>
      </w:pPr>
      <w:r w:rsidRPr="004539A7">
        <w:rPr>
          <w:rStyle w:val="FootnoteReference"/>
        </w:rPr>
        <w:footnoteRef/>
      </w:r>
      <w:r w:rsidRPr="004539A7">
        <w:t xml:space="preserve"> </w:t>
      </w:r>
      <w:r w:rsidRPr="004539A7">
        <w:rPr>
          <w:i/>
          <w:iCs/>
        </w:rPr>
        <w:t xml:space="preserve">See </w:t>
      </w:r>
      <w:r w:rsidRPr="00CC45BA">
        <w:t>47 CFR § 64.1200(n)(5).</w:t>
      </w:r>
    </w:p>
  </w:footnote>
  <w:footnote w:id="165">
    <w:p w:rsidR="005919ED" w:rsidRPr="004539A7" w:rsidP="005919ED" w14:paraId="6C188B43" w14:textId="77777777">
      <w:pPr>
        <w:pStyle w:val="FootnoteText"/>
      </w:pPr>
      <w:r w:rsidRPr="004539A7">
        <w:rPr>
          <w:rStyle w:val="FootnoteReference"/>
        </w:rPr>
        <w:footnoteRef/>
      </w:r>
      <w:r w:rsidRPr="004539A7">
        <w:t xml:space="preserve"> </w:t>
      </w:r>
      <w:r w:rsidRPr="004539A7">
        <w:rPr>
          <w:i/>
          <w:iCs/>
        </w:rPr>
        <w:t xml:space="preserve">See </w:t>
      </w:r>
      <w:r w:rsidRPr="00CC45BA">
        <w:t>47 CFR § 64.1200(k)(4), (11), 64.1200(n)(2).</w:t>
      </w:r>
    </w:p>
  </w:footnote>
  <w:footnote w:id="166">
    <w:p w:rsidR="005919ED" w:rsidRPr="004539A7" w:rsidP="005919ED" w14:paraId="04A38C78" w14:textId="77777777">
      <w:pPr>
        <w:pStyle w:val="FootnoteText"/>
      </w:pPr>
      <w:r w:rsidRPr="004539A7">
        <w:rPr>
          <w:rStyle w:val="FootnoteReference"/>
        </w:rPr>
        <w:footnoteRef/>
      </w:r>
      <w:r w:rsidRPr="004539A7">
        <w:t xml:space="preserve"> </w:t>
      </w:r>
      <w:r w:rsidRPr="004539A7">
        <w:rPr>
          <w:szCs w:val="22"/>
        </w:rPr>
        <w:t xml:space="preserve">Below, we propose to extend this change throughout section 64.6305.  </w:t>
      </w:r>
      <w:r w:rsidRPr="004539A7">
        <w:rPr>
          <w:i/>
          <w:iCs/>
        </w:rPr>
        <w:t xml:space="preserve">See </w:t>
      </w:r>
      <w:r w:rsidRPr="004539A7">
        <w:rPr>
          <w:i/>
          <w:iCs/>
        </w:rPr>
        <w:t>infra</w:t>
      </w:r>
      <w:r w:rsidRPr="004539A7">
        <w:t xml:space="preserve"> Section </w:t>
      </w:r>
      <w:r w:rsidRPr="00CD616B">
        <w:t>III</w:t>
      </w:r>
      <w:r w:rsidRPr="00CD616B">
        <w:t>.C.1</w:t>
      </w:r>
      <w:r w:rsidRPr="004539A7">
        <w:t>.</w:t>
      </w:r>
    </w:p>
  </w:footnote>
  <w:footnote w:id="167">
    <w:p w:rsidR="005919ED" w:rsidRPr="004539A7" w:rsidP="005919ED" w14:paraId="11508647" w14:textId="77777777">
      <w:pPr>
        <w:pStyle w:val="FootnoteText"/>
      </w:pPr>
      <w:r w:rsidRPr="004539A7">
        <w:rPr>
          <w:rStyle w:val="FootnoteReference"/>
        </w:rPr>
        <w:footnoteRef/>
      </w:r>
      <w:r w:rsidRPr="004539A7">
        <w:t xml:space="preserve"> </w:t>
      </w:r>
      <w:r w:rsidRPr="004539A7">
        <w:rPr>
          <w:i/>
          <w:iCs/>
        </w:rPr>
        <w:t xml:space="preserve">See </w:t>
      </w:r>
      <w:r w:rsidRPr="004539A7">
        <w:t xml:space="preserve">47 CFR § 64.6305(d)(2)(ii), (e)(2)(ii), (f)(2)(ii); </w:t>
      </w:r>
      <w:r w:rsidRPr="004539A7">
        <w:rPr>
          <w:i/>
          <w:iCs/>
        </w:rPr>
        <w:t>Sixth Caller ID Authentication Order</w:t>
      </w:r>
      <w:r w:rsidRPr="004539A7">
        <w:t xml:space="preserve">, 38 FCC </w:t>
      </w:r>
      <w:r w:rsidRPr="004539A7">
        <w:t>Rcd</w:t>
      </w:r>
      <w:r w:rsidRPr="004539A7">
        <w:t xml:space="preserve"> at 2594, para. 40; </w:t>
      </w:r>
      <w:r w:rsidRPr="004539A7">
        <w:rPr>
          <w:i/>
          <w:iCs/>
        </w:rPr>
        <w:t>Seventh Call Blocking Order</w:t>
      </w:r>
      <w:r w:rsidRPr="004539A7">
        <w:t xml:space="preserve">, 38 FCC </w:t>
      </w:r>
      <w:r w:rsidRPr="004539A7">
        <w:t>Rcd</w:t>
      </w:r>
      <w:r w:rsidRPr="004539A7">
        <w:t xml:space="preserve"> at 5421-22, para. 51.  </w:t>
      </w:r>
    </w:p>
  </w:footnote>
  <w:footnote w:id="168">
    <w:p w:rsidR="005919ED" w:rsidRPr="004539A7" w:rsidP="005919ED" w14:paraId="593C0B7D" w14:textId="77777777">
      <w:pPr>
        <w:pStyle w:val="FootnoteText"/>
      </w:pPr>
      <w:r w:rsidRPr="004539A7">
        <w:rPr>
          <w:rStyle w:val="FootnoteReference"/>
        </w:rPr>
        <w:footnoteRef/>
      </w:r>
      <w:r w:rsidRPr="004539A7">
        <w:t xml:space="preserve"> </w:t>
      </w:r>
      <w:r w:rsidRPr="004539A7">
        <w:rPr>
          <w:i/>
          <w:iCs/>
        </w:rPr>
        <w:t xml:space="preserve">See </w:t>
      </w:r>
      <w:r w:rsidRPr="004539A7">
        <w:t xml:space="preserve">47 CFR § 64.6305(d)(2)(ii), (e)(2)(ii), (f)(2)(ii); </w:t>
      </w:r>
      <w:r w:rsidRPr="004539A7">
        <w:rPr>
          <w:i/>
          <w:iCs/>
        </w:rPr>
        <w:t>Sixth Caller ID Authentication Order</w:t>
      </w:r>
      <w:r w:rsidRPr="004539A7">
        <w:t xml:space="preserve">, 38 FCC </w:t>
      </w:r>
      <w:r w:rsidRPr="004539A7">
        <w:t>Rcd</w:t>
      </w:r>
      <w:r w:rsidRPr="004539A7">
        <w:t xml:space="preserve"> at 2594, para. 40; </w:t>
      </w:r>
      <w:r w:rsidRPr="004539A7">
        <w:rPr>
          <w:i/>
          <w:iCs/>
        </w:rPr>
        <w:t>Seventh</w:t>
      </w:r>
      <w:r w:rsidRPr="004539A7">
        <w:rPr>
          <w:i/>
        </w:rPr>
        <w:t xml:space="preserve"> Call Blocking Order</w:t>
      </w:r>
      <w:r w:rsidRPr="004539A7">
        <w:t xml:space="preserve">, 38 FCC </w:t>
      </w:r>
      <w:r w:rsidRPr="004539A7">
        <w:t>Rcd</w:t>
      </w:r>
      <w:r w:rsidRPr="004539A7">
        <w:t xml:space="preserve"> at 5421-22, para. 51.  Voice service providers must describe how they are complying with their existing obligation to “[t]take affirmative, effective measures to prevent new and renewing customers from using its network to originate illegal calls, including knowing its customers and exercising due diligence in ensuring that its services are not used to originate illegal traffic.”  47 CFR § 64.6305(d)(2)(ii); </w:t>
      </w:r>
      <w:r w:rsidRPr="004539A7">
        <w:rPr>
          <w:i/>
          <w:iCs/>
        </w:rPr>
        <w:t>see also id</w:t>
      </w:r>
      <w:r w:rsidRPr="004539A7">
        <w:t xml:space="preserve">. § 64.1200(n)(4).  Voice service providers and non-gateway intermediate providers must describe any KYUP procedures in place, and gateway providers must provide a description of how they comply with their KYUP obligations.  </w:t>
      </w:r>
      <w:r w:rsidRPr="004539A7">
        <w:rPr>
          <w:i/>
          <w:iCs/>
        </w:rPr>
        <w:t>Id.</w:t>
      </w:r>
      <w:r w:rsidRPr="002F7B3E">
        <w:t xml:space="preserve"> </w:t>
      </w:r>
      <w:r w:rsidRPr="004539A7">
        <w:t>§ 64.6305(d)(2)(ii), (e)(2)(ii), (f)(2)(ii).</w:t>
      </w:r>
    </w:p>
  </w:footnote>
  <w:footnote w:id="169">
    <w:p w:rsidR="005919ED" w:rsidRPr="004539A7" w:rsidP="005919ED" w14:paraId="6F918F00" w14:textId="77777777">
      <w:pPr>
        <w:pStyle w:val="FootnoteText"/>
        <w:rPr>
          <w:i/>
          <w:iCs/>
        </w:rPr>
      </w:pPr>
      <w:r w:rsidRPr="004539A7">
        <w:rPr>
          <w:rStyle w:val="FootnoteReference"/>
        </w:rPr>
        <w:footnoteRef/>
      </w:r>
      <w:r w:rsidRPr="004539A7">
        <w:t xml:space="preserve"> </w:t>
      </w:r>
      <w:r w:rsidRPr="004539A7">
        <w:rPr>
          <w:i/>
          <w:iCs/>
        </w:rPr>
        <w:t>See KYC FNPRM</w:t>
      </w:r>
      <w:r>
        <w:t>, FCC 26-27,</w:t>
      </w:r>
      <w:r w:rsidRPr="004539A7">
        <w:rPr>
          <w:i/>
          <w:iCs/>
        </w:rPr>
        <w:t xml:space="preserve"> </w:t>
      </w:r>
      <w:r w:rsidRPr="004539A7">
        <w:t xml:space="preserve">at </w:t>
      </w:r>
      <w:r>
        <w:t>5</w:t>
      </w:r>
      <w:r w:rsidRPr="004539A7">
        <w:t>-</w:t>
      </w:r>
      <w:r>
        <w:t>9</w:t>
      </w:r>
      <w:r w:rsidRPr="004539A7">
        <w:t xml:space="preserve">, paras. 11-24 (seeking comment on requiring originating providers to obtain customer identification information, and to take specific measures to verify, re-verify, and retain collected customer identification information). </w:t>
      </w:r>
    </w:p>
  </w:footnote>
  <w:footnote w:id="170">
    <w:p w:rsidR="005919ED" w:rsidRPr="004539A7" w:rsidP="005919ED" w14:paraId="3E27F5FA" w14:textId="77777777">
      <w:pPr>
        <w:pStyle w:val="FootnoteText"/>
      </w:pPr>
      <w:r w:rsidRPr="004539A7">
        <w:rPr>
          <w:rStyle w:val="FootnoteReference"/>
        </w:rPr>
        <w:footnoteRef/>
      </w:r>
      <w:r w:rsidRPr="004539A7">
        <w:t xml:space="preserve"> </w:t>
      </w:r>
      <w:r w:rsidRPr="004539A7">
        <w:rPr>
          <w:i/>
          <w:iCs/>
        </w:rPr>
        <w:t>KYUP FNPRM</w:t>
      </w:r>
      <w:r w:rsidRPr="004539A7">
        <w:t>, FCC 26-32,</w:t>
      </w:r>
      <w:r w:rsidRPr="004539A7">
        <w:rPr>
          <w:i/>
          <w:iCs/>
        </w:rPr>
        <w:t xml:space="preserve"> </w:t>
      </w:r>
      <w:r w:rsidRPr="004539A7">
        <w:t>at 9</w:t>
      </w:r>
      <w:r w:rsidRPr="004539A7">
        <w:t>-</w:t>
      </w:r>
      <w:r w:rsidRPr="004539A7">
        <w:t>1</w:t>
      </w:r>
      <w:r>
        <w:t>1</w:t>
      </w:r>
      <w:r w:rsidRPr="004539A7">
        <w:t>, paras. 15-18.</w:t>
      </w:r>
    </w:p>
  </w:footnote>
  <w:footnote w:id="171">
    <w:p w:rsidR="005919ED" w:rsidRPr="004539A7" w:rsidP="005919ED" w14:paraId="1E143EC8" w14:textId="42216868">
      <w:pPr>
        <w:pStyle w:val="FootnoteText"/>
      </w:pPr>
      <w:r w:rsidRPr="004539A7">
        <w:rPr>
          <w:rStyle w:val="FootnoteReference"/>
        </w:rPr>
        <w:footnoteRef/>
      </w:r>
      <w:r w:rsidRPr="004539A7">
        <w:t xml:space="preserve"> Above</w:t>
      </w:r>
      <w:r w:rsidR="00CD4E16">
        <w:t>,</w:t>
      </w:r>
      <w:r w:rsidRPr="004539A7">
        <w:t xml:space="preserve"> we propose to require that providers disclose the third parties they use for call analytics on the RMD submission form.  </w:t>
      </w:r>
      <w:r w:rsidRPr="004539A7">
        <w:rPr>
          <w:i/>
          <w:iCs/>
        </w:rPr>
        <w:t xml:space="preserve">See </w:t>
      </w:r>
      <w:r w:rsidRPr="004539A7">
        <w:rPr>
          <w:i/>
          <w:iCs/>
        </w:rPr>
        <w:t xml:space="preserve">supra </w:t>
      </w:r>
      <w:r w:rsidRPr="004539A7">
        <w:t xml:space="preserve">Section </w:t>
      </w:r>
      <w:r w:rsidRPr="00CD616B">
        <w:t>III</w:t>
      </w:r>
      <w:r w:rsidRPr="00CD616B">
        <w:t>.A.2.d</w:t>
      </w:r>
      <w:r w:rsidRPr="004539A7">
        <w:t>.</w:t>
      </w:r>
    </w:p>
  </w:footnote>
  <w:footnote w:id="172">
    <w:p w:rsidR="005919ED" w:rsidRPr="004539A7" w:rsidP="005919ED" w14:paraId="09B932A9" w14:textId="77777777">
      <w:pPr>
        <w:pStyle w:val="FootnoteText"/>
      </w:pPr>
      <w:r w:rsidRPr="004539A7">
        <w:rPr>
          <w:rStyle w:val="FootnoteReference"/>
        </w:rPr>
        <w:footnoteRef/>
      </w:r>
      <w:r w:rsidRPr="004539A7">
        <w:t xml:space="preserve"> </w:t>
      </w:r>
      <w:r w:rsidRPr="004539A7">
        <w:rPr>
          <w:i/>
          <w:iCs/>
        </w:rPr>
        <w:t>Sixth Caller ID Authentication Order</w:t>
      </w:r>
      <w:r w:rsidRPr="004539A7">
        <w:t xml:space="preserve">, 38 FCC </w:t>
      </w:r>
      <w:r w:rsidRPr="004539A7">
        <w:t>Rcd</w:t>
      </w:r>
      <w:r w:rsidRPr="004539A7">
        <w:t xml:space="preserve"> at 2594, para. 40.</w:t>
      </w:r>
    </w:p>
  </w:footnote>
  <w:footnote w:id="173">
    <w:p w:rsidR="005919ED" w:rsidRPr="004539A7" w:rsidP="005919ED" w14:paraId="20D9331F" w14:textId="77777777">
      <w:pPr>
        <w:pStyle w:val="FootnoteText"/>
      </w:pPr>
      <w:r w:rsidRPr="004539A7">
        <w:rPr>
          <w:rStyle w:val="FootnoteReference"/>
        </w:rPr>
        <w:footnoteRef/>
      </w:r>
      <w:r w:rsidRPr="004539A7">
        <w:t xml:space="preserve"> The Commission previously declined to adopt such a requirement. </w:t>
      </w:r>
      <w:r w:rsidRPr="002F7B3E">
        <w:t xml:space="preserve"> </w:t>
      </w:r>
      <w:r>
        <w:rPr>
          <w:i/>
          <w:iCs/>
        </w:rPr>
        <w:t>Id.</w:t>
      </w:r>
      <w:r w:rsidRPr="002F7B3E">
        <w:rPr>
          <w:i/>
        </w:rPr>
        <w:t xml:space="preserve"> </w:t>
      </w:r>
      <w:r w:rsidRPr="004539A7">
        <w:t>at 2594, para. 40 n.</w:t>
      </w:r>
      <w:r>
        <w:t>154</w:t>
      </w:r>
      <w:r w:rsidRPr="004539A7">
        <w:t>.</w:t>
      </w:r>
    </w:p>
  </w:footnote>
  <w:footnote w:id="174">
    <w:p w:rsidR="005919ED" w:rsidRPr="004539A7" w:rsidP="005919ED" w14:paraId="478AE8CE" w14:textId="77777777">
      <w:pPr>
        <w:pStyle w:val="FootnoteText"/>
      </w:pPr>
      <w:r w:rsidRPr="004539A7">
        <w:rPr>
          <w:rStyle w:val="FootnoteReference"/>
        </w:rPr>
        <w:footnoteRef/>
      </w:r>
      <w:r w:rsidRPr="004539A7">
        <w:t xml:space="preserve"> </w:t>
      </w:r>
      <w:r w:rsidRPr="004539A7">
        <w:rPr>
          <w:i/>
          <w:iCs/>
        </w:rPr>
        <w:t>See</w:t>
      </w:r>
      <w:r w:rsidRPr="004539A7">
        <w:t xml:space="preserve"> </w:t>
      </w:r>
      <w:r>
        <w:rPr>
          <w:i/>
          <w:iCs/>
        </w:rPr>
        <w:t>id.</w:t>
      </w:r>
      <w:r w:rsidRPr="002F7B3E">
        <w:rPr>
          <w:i/>
        </w:rPr>
        <w:t xml:space="preserve"> </w:t>
      </w:r>
      <w:r w:rsidRPr="004539A7">
        <w:t>at 2590, para. 31.</w:t>
      </w:r>
    </w:p>
  </w:footnote>
  <w:footnote w:id="175">
    <w:p w:rsidR="005919ED" w:rsidRPr="004539A7" w:rsidP="005919ED" w14:paraId="3711F7AF" w14:textId="77777777">
      <w:pPr>
        <w:pStyle w:val="FootnoteText"/>
      </w:pPr>
      <w:r w:rsidRPr="004539A7">
        <w:rPr>
          <w:rStyle w:val="FootnoteReference"/>
        </w:rPr>
        <w:footnoteRef/>
      </w:r>
      <w:r w:rsidRPr="004539A7">
        <w:t xml:space="preserve"> </w:t>
      </w:r>
      <w:r w:rsidRPr="004539A7">
        <w:rPr>
          <w:i/>
          <w:iCs/>
        </w:rPr>
        <w:t>Sixth Caller ID Authentication Report and Order</w:t>
      </w:r>
      <w:r w:rsidRPr="004539A7">
        <w:t xml:space="preserve">, 38 FCC </w:t>
      </w:r>
      <w:r w:rsidRPr="004539A7">
        <w:t>Rcd</w:t>
      </w:r>
      <w:r w:rsidRPr="004539A7">
        <w:t xml:space="preserve"> at 2590, para. 31 n.118 (internal quotations omitted); </w:t>
      </w:r>
      <w:r w:rsidRPr="004539A7">
        <w:rPr>
          <w:i/>
          <w:iCs/>
        </w:rPr>
        <w:t>see also id.</w:t>
      </w:r>
      <w:r w:rsidRPr="002F7B3E">
        <w:t xml:space="preserve"> </w:t>
      </w:r>
      <w:r w:rsidRPr="004539A7">
        <w:t>n.117 (noting that “what constitutes a ‘reasonable step’ may depend upon the specific circumstances and the provider’s role in the call path”);</w:t>
      </w:r>
      <w:r w:rsidRPr="002F7B3E">
        <w:t xml:space="preserve"> </w:t>
      </w:r>
      <w:r w:rsidRPr="004539A7">
        <w:rPr>
          <w:i/>
          <w:iCs/>
        </w:rPr>
        <w:t>Second Caller ID Authentication Order</w:t>
      </w:r>
      <w:r w:rsidRPr="004539A7">
        <w:t xml:space="preserve">, 36 FCC </w:t>
      </w:r>
      <w:r w:rsidRPr="004539A7">
        <w:t>Rcd</w:t>
      </w:r>
      <w:r w:rsidRPr="004539A7">
        <w:t xml:space="preserve"> </w:t>
      </w:r>
      <w:r w:rsidRPr="004539A7">
        <w:t>at</w:t>
      </w:r>
      <w:r w:rsidRPr="004539A7">
        <w:t xml:space="preserve"> 1899, para. 76 (finding that such an approach “gives voice service providers ‘the flexibility to react to traffic trends they view on their own networks and react accordingly’”).</w:t>
      </w:r>
    </w:p>
  </w:footnote>
  <w:footnote w:id="176">
    <w:p w:rsidR="005919ED" w:rsidRPr="004539A7" w:rsidP="005919ED" w14:paraId="4757CE0A" w14:textId="77777777">
      <w:pPr>
        <w:pStyle w:val="FootnoteText"/>
      </w:pPr>
      <w:r w:rsidRPr="004539A7">
        <w:rPr>
          <w:rStyle w:val="FootnoteReference"/>
        </w:rPr>
        <w:footnoteRef/>
      </w:r>
      <w:r w:rsidRPr="004539A7">
        <w:t xml:space="preserve"> The Commission previously declined to impose heightened mitigation obligations solely for VoIP providers, acknowledging that there was evidence that such providers were “disproportionately involved in the facilitation of illegal robocalls,” but opting to apply obligations to “providers regardless of the technology used.”  </w:t>
      </w:r>
      <w:r w:rsidRPr="004539A7">
        <w:rPr>
          <w:i/>
          <w:iCs/>
        </w:rPr>
        <w:t>Sixth Caller ID Authentication Order</w:t>
      </w:r>
      <w:r w:rsidRPr="004539A7">
        <w:t xml:space="preserve">, 38 FCC </w:t>
      </w:r>
      <w:r w:rsidRPr="004539A7">
        <w:t>Rcd</w:t>
      </w:r>
      <w:r w:rsidRPr="004539A7">
        <w:t xml:space="preserve"> at 2591-92, para. 34.</w:t>
      </w:r>
    </w:p>
  </w:footnote>
  <w:footnote w:id="177">
    <w:p w:rsidR="005919ED" w:rsidRPr="004539A7" w:rsidP="005919ED" w14:paraId="0E882AD4" w14:textId="77777777">
      <w:pPr>
        <w:pStyle w:val="FootnoteText"/>
      </w:pPr>
      <w:r w:rsidRPr="004539A7">
        <w:rPr>
          <w:rStyle w:val="FootnoteReference"/>
        </w:rPr>
        <w:footnoteRef/>
      </w:r>
      <w:r w:rsidRPr="004539A7">
        <w:t xml:space="preserve"> </w:t>
      </w:r>
      <w:r w:rsidRPr="004539A7">
        <w:rPr>
          <w:i/>
          <w:iCs/>
        </w:rPr>
        <w:t xml:space="preserve">See </w:t>
      </w:r>
      <w:r w:rsidRPr="004539A7">
        <w:rPr>
          <w:i/>
          <w:iCs/>
        </w:rPr>
        <w:t>infra</w:t>
      </w:r>
      <w:r w:rsidRPr="004539A7">
        <w:t xml:space="preserve"> </w:t>
      </w:r>
      <w:r w:rsidRPr="00CD616B">
        <w:t>Appx</w:t>
      </w:r>
      <w:r w:rsidRPr="00CD616B">
        <w:t>. A</w:t>
      </w:r>
      <w:r w:rsidRPr="004539A7">
        <w:t>.</w:t>
      </w:r>
    </w:p>
  </w:footnote>
  <w:footnote w:id="178">
    <w:p w:rsidR="005919ED" w:rsidRPr="006553A2" w:rsidP="005919ED" w14:paraId="18DFCEA6" w14:textId="77777777">
      <w:pPr>
        <w:pStyle w:val="FootnoteText"/>
      </w:pPr>
      <w:r>
        <w:rPr>
          <w:rStyle w:val="FootnoteReference"/>
        </w:rPr>
        <w:footnoteRef/>
      </w:r>
      <w:r>
        <w:t xml:space="preserve"> We acknowledge that the </w:t>
      </w:r>
      <w:r w:rsidRPr="00F41B11">
        <w:rPr>
          <w:i/>
          <w:iCs/>
        </w:rPr>
        <w:t>2026</w:t>
      </w:r>
      <w:r>
        <w:t xml:space="preserve"> </w:t>
      </w:r>
      <w:r w:rsidRPr="00C57ADD">
        <w:rPr>
          <w:i/>
          <w:iCs/>
        </w:rPr>
        <w:t>Broadband Label Order</w:t>
      </w:r>
      <w:r>
        <w:t xml:space="preserve"> is repealing a machine-readability requirement, but we do not believe our proposal to establish a machine-readability requirement here </w:t>
      </w:r>
      <w:r>
        <w:t>is in conflict with</w:t>
      </w:r>
      <w:r>
        <w:t xml:space="preserve"> the proposal there.  </w:t>
      </w:r>
      <w:r w:rsidRPr="000C4D31">
        <w:rPr>
          <w:i/>
          <w:iCs/>
        </w:rPr>
        <w:t>See Empowering Broadband Consumers Through Transparency; Delete, Delete, Delete</w:t>
      </w:r>
      <w:r>
        <w:t xml:space="preserve">, CG Docket No. 22-2; GN Docket No. 25-133, Report and Order, FCC 26-48, at 12-14, paras. 30-33 (adopted July 22, 2026).  The </w:t>
      </w:r>
      <w:r>
        <w:rPr>
          <w:i/>
          <w:iCs/>
        </w:rPr>
        <w:t xml:space="preserve">2026 </w:t>
      </w:r>
      <w:r w:rsidRPr="003F4F93">
        <w:rPr>
          <w:i/>
          <w:iCs/>
        </w:rPr>
        <w:t>Broadband Label Order</w:t>
      </w:r>
      <w:r>
        <w:t xml:space="preserve"> is repealing a requirement that providers make the contents of labels available in a </w:t>
      </w:r>
      <w:r w:rsidRPr="00C66775">
        <w:rPr>
          <w:i/>
          <w:iCs/>
        </w:rPr>
        <w:t>separate</w:t>
      </w:r>
      <w:r>
        <w:t xml:space="preserve"> machine-readable spreadsheet file format hosted at a dedicated URL, which is distinct from the label that consumers view in their browser that is inherently readable.  </w:t>
      </w:r>
      <w:r>
        <w:rPr>
          <w:i/>
          <w:iCs/>
        </w:rPr>
        <w:t>See id.</w:t>
      </w:r>
      <w:r>
        <w:t xml:space="preserve"> at 12, para. 29 n. 73.  We do not propose here to create a new requirement that providers submit information in robocall mitigation plans in a separate machine-readable format, merely that they ensure the PDFs they are already required to submit remain machine readable.</w:t>
      </w:r>
    </w:p>
  </w:footnote>
  <w:footnote w:id="179">
    <w:p w:rsidR="005919ED" w:rsidRPr="004539A7" w:rsidP="005919ED" w14:paraId="5D0782A8" w14:textId="77777777">
      <w:pPr>
        <w:pStyle w:val="FootnoteText"/>
      </w:pPr>
      <w:r w:rsidRPr="004539A7">
        <w:rPr>
          <w:rStyle w:val="FootnoteReference"/>
        </w:rPr>
        <w:footnoteRef/>
      </w:r>
      <w:r w:rsidRPr="004539A7">
        <w:t xml:space="preserve"> </w:t>
      </w:r>
      <w:r w:rsidRPr="004539A7">
        <w:rPr>
          <w:i/>
          <w:iCs/>
        </w:rPr>
        <w:t>See KYUP FNPRM</w:t>
      </w:r>
      <w:r w:rsidRPr="004539A7">
        <w:t>, FCC 26-32, at 7, para. 11.</w:t>
      </w:r>
    </w:p>
  </w:footnote>
  <w:footnote w:id="180">
    <w:p w:rsidR="005919ED" w:rsidRPr="004539A7" w:rsidP="005919ED" w14:paraId="042C4465" w14:textId="77777777">
      <w:pPr>
        <w:pStyle w:val="FootnoteText"/>
      </w:pPr>
      <w:r w:rsidRPr="004539A7">
        <w:rPr>
          <w:rStyle w:val="FootnoteReference"/>
        </w:rPr>
        <w:footnoteRef/>
      </w:r>
      <w:r w:rsidRPr="004539A7">
        <w:t xml:space="preserve"> </w:t>
      </w:r>
      <w:r w:rsidRPr="004539A7">
        <w:rPr>
          <w:i/>
        </w:rPr>
        <w:t xml:space="preserve">See </w:t>
      </w:r>
      <w:r w:rsidRPr="004539A7">
        <w:t xml:space="preserve">47 CFR § 0.459; </w:t>
      </w:r>
      <w:r w:rsidRPr="00CC45BA">
        <w:rPr>
          <w:i/>
          <w:color w:val="000000"/>
        </w:rPr>
        <w:t>Wireline Competition</w:t>
      </w:r>
      <w:r w:rsidRPr="00CC45BA">
        <w:rPr>
          <w:color w:val="000000"/>
        </w:rPr>
        <w:t xml:space="preserve"> </w:t>
      </w:r>
      <w:r w:rsidRPr="00CC45BA">
        <w:rPr>
          <w:i/>
          <w:color w:val="000000"/>
        </w:rPr>
        <w:t>Bureau Adopts Protective Order for Robocall Mitigation Program Descriptions</w:t>
      </w:r>
      <w:r w:rsidRPr="00CC45BA">
        <w:rPr>
          <w:color w:val="000000"/>
        </w:rPr>
        <w:t>, WC Docket No. 17-97, Public Notice, Attach. (</w:t>
      </w:r>
      <w:r w:rsidRPr="002F7B3E">
        <w:rPr>
          <w:i/>
          <w:color w:val="000000"/>
        </w:rPr>
        <w:t>Protective Order</w:t>
      </w:r>
      <w:r w:rsidRPr="00CC45BA">
        <w:rPr>
          <w:color w:val="000000"/>
        </w:rPr>
        <w:t xml:space="preserve">), 36 FCC </w:t>
      </w:r>
      <w:r w:rsidRPr="00CC45BA">
        <w:rPr>
          <w:color w:val="000000"/>
        </w:rPr>
        <w:t>Rcd</w:t>
      </w:r>
      <w:r w:rsidRPr="00CC45BA">
        <w:rPr>
          <w:color w:val="000000"/>
        </w:rPr>
        <w:t xml:space="preserve"> 14562, 14566, para. 2 (WCB 2021) (</w:t>
      </w:r>
      <w:r w:rsidRPr="00CC45BA">
        <w:rPr>
          <w:i/>
          <w:color w:val="000000"/>
        </w:rPr>
        <w:t>Protective Order</w:t>
      </w:r>
      <w:r w:rsidRPr="00CC45BA">
        <w:rPr>
          <w:color w:val="000000"/>
        </w:rPr>
        <w:t xml:space="preserve">); </w:t>
      </w:r>
      <w:r w:rsidRPr="00CC45BA">
        <w:rPr>
          <w:i/>
          <w:color w:val="000000"/>
        </w:rPr>
        <w:t>see also Second Caller ID Authentication Order</w:t>
      </w:r>
      <w:r w:rsidRPr="00CC45BA">
        <w:rPr>
          <w:color w:val="000000"/>
        </w:rPr>
        <w:t xml:space="preserve">, 36 FCC </w:t>
      </w:r>
      <w:r w:rsidRPr="00CC45BA">
        <w:rPr>
          <w:color w:val="000000"/>
        </w:rPr>
        <w:t>Rcd</w:t>
      </w:r>
      <w:r w:rsidRPr="00CC45BA">
        <w:rPr>
          <w:color w:val="000000"/>
        </w:rPr>
        <w:t xml:space="preserve"> </w:t>
      </w:r>
      <w:r w:rsidRPr="00CC45BA">
        <w:rPr>
          <w:color w:val="000000"/>
        </w:rPr>
        <w:t>at</w:t>
      </w:r>
      <w:r w:rsidRPr="00CC45BA">
        <w:rPr>
          <w:color w:val="000000"/>
        </w:rPr>
        <w:t xml:space="preserve"> 1903, para. 83 (directing the Wireline Competition Bureau “to issue guidance and a protective order regarding the treatment of any confidential and highly confidential information included in certifications”).  Nonetheless, the Commission may make public information that is otherwise confidential when, after balancing the various factors involved, it concludes that it is in the public interest to do so.  47 CFR § 0.457(d)(2); </w:t>
      </w:r>
      <w:r w:rsidRPr="00CC45BA">
        <w:rPr>
          <w:i/>
          <w:iCs/>
          <w:color w:val="000000"/>
        </w:rPr>
        <w:t>see</w:t>
      </w:r>
      <w:r w:rsidRPr="00CC45BA">
        <w:rPr>
          <w:color w:val="000000"/>
        </w:rPr>
        <w:t xml:space="preserve"> </w:t>
      </w:r>
      <w:r w:rsidRPr="00CC45BA">
        <w:rPr>
          <w:i/>
          <w:iCs/>
          <w:color w:val="000000"/>
        </w:rPr>
        <w:t>American Broadband &amp; Telecommunications Co.</w:t>
      </w:r>
      <w:r w:rsidRPr="00CC45BA">
        <w:rPr>
          <w:color w:val="000000"/>
        </w:rPr>
        <w:t xml:space="preserve">, Notice of Apparent Liability for Forfeiture and Order, 33 FCC </w:t>
      </w:r>
      <w:r w:rsidRPr="00CC45BA">
        <w:rPr>
          <w:color w:val="000000"/>
        </w:rPr>
        <w:t>Rcd</w:t>
      </w:r>
      <w:r w:rsidRPr="00CC45BA">
        <w:rPr>
          <w:color w:val="000000"/>
        </w:rPr>
        <w:t xml:space="preserve"> 10308, 10366, para. 184 (2018), </w:t>
      </w:r>
      <w:r w:rsidRPr="00CC45BA">
        <w:rPr>
          <w:i/>
          <w:iCs/>
          <w:color w:val="000000"/>
        </w:rPr>
        <w:t>recon. denied</w:t>
      </w:r>
      <w:r w:rsidRPr="00CC45BA">
        <w:rPr>
          <w:color w:val="000000"/>
        </w:rPr>
        <w:t xml:space="preserve">, 35 FCC </w:t>
      </w:r>
      <w:r w:rsidRPr="00CC45BA">
        <w:rPr>
          <w:color w:val="000000"/>
        </w:rPr>
        <w:t>Rcd</w:t>
      </w:r>
      <w:r w:rsidRPr="00CC45BA">
        <w:rPr>
          <w:color w:val="000000"/>
        </w:rPr>
        <w:t xml:space="preserve"> 3762, 3764-66, paras. 7-14 (2020).</w:t>
      </w:r>
    </w:p>
  </w:footnote>
  <w:footnote w:id="181">
    <w:p w:rsidR="005919ED" w:rsidRPr="004539A7" w:rsidP="005919ED" w14:paraId="3148969B" w14:textId="77777777">
      <w:pPr>
        <w:pStyle w:val="FootnoteText"/>
      </w:pPr>
      <w:r w:rsidRPr="004539A7">
        <w:rPr>
          <w:rStyle w:val="FootnoteReference"/>
        </w:rPr>
        <w:footnoteRef/>
      </w:r>
      <w:r w:rsidRPr="002F7B3E">
        <w:t xml:space="preserve"> </w:t>
      </w:r>
      <w:r w:rsidRPr="00CC45BA">
        <w:rPr>
          <w:i/>
          <w:iCs/>
          <w:snapToGrid w:val="0"/>
          <w:color w:val="000000"/>
          <w:kern w:val="28"/>
        </w:rPr>
        <w:t>Protective Order</w:t>
      </w:r>
      <w:r w:rsidRPr="00CC45BA">
        <w:rPr>
          <w:color w:val="000000"/>
        </w:rPr>
        <w:t xml:space="preserve">, 36 FCC </w:t>
      </w:r>
      <w:r w:rsidRPr="00CC45BA">
        <w:rPr>
          <w:color w:val="000000"/>
        </w:rPr>
        <w:t>Rcd</w:t>
      </w:r>
      <w:r w:rsidRPr="00CC45BA">
        <w:rPr>
          <w:color w:val="000000"/>
        </w:rPr>
        <w:t xml:space="preserve"> 14562.</w:t>
      </w:r>
    </w:p>
  </w:footnote>
  <w:footnote w:id="182">
    <w:p w:rsidR="005919ED" w:rsidRPr="004539A7" w:rsidP="005919ED" w14:paraId="48C68FD3" w14:textId="77777777">
      <w:pPr>
        <w:pStyle w:val="FootnoteText"/>
      </w:pPr>
      <w:r w:rsidRPr="004539A7">
        <w:rPr>
          <w:rStyle w:val="FootnoteReference"/>
        </w:rPr>
        <w:footnoteRef/>
      </w:r>
      <w:r w:rsidRPr="004539A7">
        <w:t xml:space="preserve"> We also propose, above, that providers need not disclose information about prior actions or investigations that have been designated as non-public </w:t>
      </w:r>
      <w:r>
        <w:t xml:space="preserve">or confidential </w:t>
      </w:r>
      <w:r w:rsidRPr="004539A7">
        <w:t xml:space="preserve">by </w:t>
      </w:r>
      <w:r>
        <w:t>a</w:t>
      </w:r>
      <w:r w:rsidRPr="004539A7">
        <w:t xml:space="preserve"> law enforcement</w:t>
      </w:r>
      <w:r>
        <w:t xml:space="preserve"> agency,</w:t>
      </w:r>
      <w:r w:rsidRPr="004539A7">
        <w:t xml:space="preserve"> regulatory agency</w:t>
      </w:r>
      <w:r>
        <w:t>, court, or other governmental entity</w:t>
      </w:r>
      <w:r w:rsidRPr="004539A7">
        <w:t xml:space="preserve"> involved in the action or investigation.  </w:t>
      </w:r>
      <w:r w:rsidRPr="004539A7">
        <w:rPr>
          <w:i/>
          <w:iCs/>
        </w:rPr>
        <w:t xml:space="preserve">See </w:t>
      </w:r>
      <w:r w:rsidRPr="004539A7">
        <w:rPr>
          <w:i/>
          <w:iCs/>
        </w:rPr>
        <w:t>supra</w:t>
      </w:r>
      <w:r w:rsidRPr="004539A7">
        <w:t xml:space="preserve"> Section </w:t>
      </w:r>
      <w:r w:rsidRPr="00CD616B">
        <w:t>III</w:t>
      </w:r>
      <w:r w:rsidRPr="00CD616B">
        <w:t>.A.2.b</w:t>
      </w:r>
      <w:r w:rsidRPr="004539A7">
        <w:t>.</w:t>
      </w:r>
    </w:p>
  </w:footnote>
  <w:footnote w:id="183">
    <w:p w:rsidR="005919ED" w:rsidRPr="004539A7" w:rsidP="005919ED" w14:paraId="0488717D" w14:textId="77777777">
      <w:pPr>
        <w:pStyle w:val="FootnoteText"/>
      </w:pPr>
      <w:r w:rsidRPr="004539A7">
        <w:rPr>
          <w:rStyle w:val="FootnoteReference"/>
        </w:rPr>
        <w:footnoteRef/>
      </w:r>
      <w:r w:rsidRPr="004539A7">
        <w:t xml:space="preserve"> 47 CFR § 64.6305(d)(5), (e)(5), (f)(5); </w:t>
      </w:r>
      <w:r w:rsidRPr="004539A7">
        <w:rPr>
          <w:i/>
        </w:rPr>
        <w:t>see also Sixth Caller ID Authentication Order</w:t>
      </w:r>
      <w:r w:rsidRPr="004539A7">
        <w:t xml:space="preserve">, 38 FCC </w:t>
      </w:r>
      <w:r w:rsidRPr="004539A7">
        <w:t>Rcd</w:t>
      </w:r>
      <w:r w:rsidRPr="004539A7">
        <w:t xml:space="preserve"> at 2595-96, para. 42.  Entities and individuals registered in CORES must also update information submitted in CORES to obtain an FRN within 10 business days of any change to that information, which includes information in the RMD that is automatically populated from CORES.  47 CFR § 1.8002(b)(2); </w:t>
      </w:r>
      <w:r w:rsidRPr="004539A7">
        <w:rPr>
          <w:i/>
          <w:iCs/>
        </w:rPr>
        <w:t>see also</w:t>
      </w:r>
      <w:r w:rsidRPr="004539A7">
        <w:t xml:space="preserve"> </w:t>
      </w:r>
      <w:r w:rsidRPr="004539A7">
        <w:rPr>
          <w:i/>
          <w:iCs/>
        </w:rPr>
        <w:t>Improving the Effectiveness of the Robocall Mitigation Database; Amendment of Part 1 of the Commission’s Rules, Concerning Practice and Procedure, Amendment of CORES Registration System</w:t>
      </w:r>
      <w:r w:rsidRPr="004539A7">
        <w:t xml:space="preserve">, WC Docket No. 24-213, MD Docket No. 10-234, Report and Order, 40 FCC </w:t>
      </w:r>
      <w:r w:rsidRPr="004539A7">
        <w:t>Rcd</w:t>
      </w:r>
      <w:r w:rsidRPr="004539A7">
        <w:t xml:space="preserve"> 599, 604, para. 13 (2025) (</w:t>
      </w:r>
      <w:r w:rsidRPr="004539A7">
        <w:rPr>
          <w:i/>
          <w:iCs/>
        </w:rPr>
        <w:t>RMD Order</w:t>
      </w:r>
      <w:r w:rsidRPr="004539A7">
        <w:t>).</w:t>
      </w:r>
    </w:p>
  </w:footnote>
  <w:footnote w:id="184">
    <w:p w:rsidR="005919ED" w:rsidRPr="004539A7" w:rsidP="005919ED" w14:paraId="0176881A" w14:textId="77777777">
      <w:pPr>
        <w:pStyle w:val="FootnoteText"/>
        <w:rPr>
          <w:i/>
          <w:iCs/>
        </w:rPr>
      </w:pPr>
      <w:r w:rsidRPr="004539A7">
        <w:rPr>
          <w:rStyle w:val="FootnoteReference"/>
        </w:rPr>
        <w:footnoteRef/>
      </w:r>
      <w:r w:rsidRPr="004539A7">
        <w:t xml:space="preserve"> 47 CFR § 64.6305(h); </w:t>
      </w:r>
      <w:r w:rsidRPr="004539A7">
        <w:rPr>
          <w:i/>
          <w:iCs/>
        </w:rPr>
        <w:t>see also RMD Order</w:t>
      </w:r>
      <w:r w:rsidRPr="004539A7">
        <w:t xml:space="preserve">, 40 FCC </w:t>
      </w:r>
      <w:r w:rsidRPr="004539A7">
        <w:t>Rcd</w:t>
      </w:r>
      <w:r w:rsidRPr="004539A7">
        <w:t xml:space="preserve"> at 615-16, para. 37. </w:t>
      </w:r>
    </w:p>
  </w:footnote>
  <w:footnote w:id="185">
    <w:p w:rsidR="005919ED" w:rsidRPr="004539A7" w:rsidP="005919ED" w14:paraId="3B50100F" w14:textId="77777777">
      <w:pPr>
        <w:pStyle w:val="FootnoteText"/>
      </w:pPr>
      <w:r w:rsidRPr="004539A7">
        <w:rPr>
          <w:rStyle w:val="FootnoteReference"/>
        </w:rPr>
        <w:footnoteRef/>
      </w:r>
      <w:r w:rsidRPr="004539A7">
        <w:t xml:space="preserve"> Below, we seek comment on whether a provider’s RMD filing should be automatically suspended if the provider fails to complete an annual recertification on or before March 1.  </w:t>
      </w:r>
      <w:r w:rsidRPr="004539A7">
        <w:rPr>
          <w:i/>
          <w:iCs/>
        </w:rPr>
        <w:t xml:space="preserve">See </w:t>
      </w:r>
      <w:r w:rsidRPr="004539A7">
        <w:rPr>
          <w:i/>
          <w:iCs/>
        </w:rPr>
        <w:t xml:space="preserve">infra </w:t>
      </w:r>
      <w:r w:rsidRPr="004539A7">
        <w:t xml:space="preserve">Section </w:t>
      </w:r>
      <w:r w:rsidRPr="00CD616B">
        <w:t>III</w:t>
      </w:r>
      <w:r w:rsidRPr="00CD616B">
        <w:t>.B.3</w:t>
      </w:r>
      <w:r w:rsidRPr="004539A7">
        <w:t>.</w:t>
      </w:r>
    </w:p>
  </w:footnote>
  <w:footnote w:id="186">
    <w:p w:rsidR="005919ED" w:rsidRPr="004539A7" w:rsidP="005919ED" w14:paraId="0984D54A" w14:textId="77777777">
      <w:pPr>
        <w:pStyle w:val="FootnoteText"/>
      </w:pPr>
      <w:r w:rsidRPr="004539A7">
        <w:rPr>
          <w:rStyle w:val="FootnoteReference"/>
        </w:rPr>
        <w:footnoteRef/>
      </w:r>
      <w:r w:rsidRPr="004539A7">
        <w:t xml:space="preserve"> </w:t>
      </w:r>
      <w:r w:rsidRPr="004539A7">
        <w:rPr>
          <w:i/>
          <w:iCs/>
        </w:rPr>
        <w:t>See</w:t>
      </w:r>
      <w:r w:rsidRPr="004539A7">
        <w:t xml:space="preserve"> </w:t>
      </w:r>
      <w:r w:rsidRPr="004539A7">
        <w:rPr>
          <w:i/>
          <w:iCs/>
        </w:rPr>
        <w:t>RMD Order</w:t>
      </w:r>
      <w:r w:rsidRPr="004539A7">
        <w:t xml:space="preserve">, 40 FCC </w:t>
      </w:r>
      <w:r w:rsidRPr="004539A7">
        <w:t>Rcd</w:t>
      </w:r>
      <w:r w:rsidRPr="004539A7">
        <w:t xml:space="preserve"> at 610, 612, 619, paras. 26, 31, 43 (delegating to the Bureau the authority to specify the form and format of submissions and to make any changes to the RMD portal and submission interface in connection with the adopted reporting mechanism and as necessary to provide additional guidance to filers, and to implement any technical data validation solution that it determines is likely to produce benefits that outweigh the costs); </w:t>
      </w:r>
      <w:r w:rsidRPr="00CC45BA">
        <w:rPr>
          <w:i/>
          <w:iCs/>
        </w:rPr>
        <w:t>Sixth Caller ID Authentication Order</w:t>
      </w:r>
      <w:r w:rsidRPr="00CC45BA">
        <w:t xml:space="preserve">, 38 FCC </w:t>
      </w:r>
      <w:r w:rsidRPr="00CC45BA">
        <w:t>Rcd</w:t>
      </w:r>
      <w:r w:rsidRPr="00CC45BA">
        <w:t xml:space="preserve"> at 2600-01, para. 52 (delegating to the Bureau the authority to specify the form and format of non-gateway intermediate provider submissions and to make necessary changes to the submission interface, </w:t>
      </w:r>
      <w:r w:rsidRPr="004539A7">
        <w:t>including as necessary to indicate whether a non-gateway intermediate provider has made an affirmative filing</w:t>
      </w:r>
      <w:r w:rsidRPr="00CC45BA">
        <w:t xml:space="preserve">); </w:t>
      </w:r>
      <w:r w:rsidRPr="004539A7">
        <w:rPr>
          <w:i/>
          <w:iCs/>
        </w:rPr>
        <w:t>Gateway Provider Order</w:t>
      </w:r>
      <w:r w:rsidRPr="004539A7">
        <w:t xml:space="preserve">, 37 FCC </w:t>
      </w:r>
      <w:r w:rsidRPr="004539A7">
        <w:t>Rcd</w:t>
      </w:r>
      <w:r w:rsidRPr="004539A7">
        <w:t xml:space="preserve"> at 6882, 6884</w:t>
      </w:r>
      <w:r>
        <w:t>-</w:t>
      </w:r>
      <w:r w:rsidRPr="004539A7">
        <w:t>85, 694</w:t>
      </w:r>
      <w:r>
        <w:t>2</w:t>
      </w:r>
      <w:r w:rsidRPr="004539A7">
        <w:t>, paras. 39, 45, 47-48, 20</w:t>
      </w:r>
      <w:r>
        <w:t>4</w:t>
      </w:r>
      <w:r w:rsidRPr="004539A7">
        <w:t xml:space="preserve"> (delegating to the Bureau the authority to specify the form and format of gateway provider submissions and to make necessary changes to the RMD and </w:t>
      </w:r>
      <w:r w:rsidRPr="004539A7">
        <w:t>portal, and</w:t>
      </w:r>
      <w:r w:rsidRPr="004539A7">
        <w:t xml:space="preserve"> </w:t>
      </w:r>
      <w:r>
        <w:t>proposing to delegate authority</w:t>
      </w:r>
      <w:r w:rsidRPr="004539A7">
        <w:t xml:space="preserve"> to make decisions regarding the certifications and data of intermediate providers previously imported into the RMD); </w:t>
      </w:r>
      <w:r w:rsidRPr="004539A7">
        <w:rPr>
          <w:i/>
          <w:iCs/>
        </w:rPr>
        <w:t>Second Caller ID Authentication Order</w:t>
      </w:r>
      <w:r w:rsidRPr="004539A7">
        <w:t xml:space="preserve">, 36 FCC </w:t>
      </w:r>
      <w:r w:rsidRPr="004539A7">
        <w:t>Rcd</w:t>
      </w:r>
      <w:r w:rsidRPr="004539A7">
        <w:t xml:space="preserve"> at 1902-03, para. 83 (directing the Bureau to establish the RMD and portal, to provide appropriate filing instructions and training materials, and to release a Public Notice when voice service providers may begin submitting filings).</w:t>
      </w:r>
    </w:p>
  </w:footnote>
  <w:footnote w:id="187">
    <w:p w:rsidR="005919ED" w:rsidRPr="004539A7" w:rsidP="005919ED" w14:paraId="47F71B8C" w14:textId="77777777">
      <w:pPr>
        <w:pStyle w:val="FootnoteText"/>
      </w:pPr>
      <w:r w:rsidRPr="004539A7">
        <w:rPr>
          <w:rStyle w:val="FootnoteReference"/>
        </w:rPr>
        <w:footnoteRef/>
      </w:r>
      <w:r w:rsidRPr="004539A7">
        <w:t xml:space="preserve"> 47 CFR § 0.91.  The Bureau also has general authority to carry out the functions of the Commission under the Communications Act of 1934, as amended (Act), which includes the STIR/SHAKEN and robocall mitigation requirements mandated under Section 227b of the Act.  </w:t>
      </w:r>
      <w:r w:rsidRPr="004539A7">
        <w:rPr>
          <w:i/>
        </w:rPr>
        <w:t>See</w:t>
      </w:r>
      <w:r w:rsidRPr="004539A7">
        <w:t xml:space="preserve"> 47 U.S.C. § 227b.</w:t>
      </w:r>
    </w:p>
  </w:footnote>
  <w:footnote w:id="188">
    <w:p w:rsidR="005919ED" w:rsidRPr="004539A7" w:rsidP="005919ED" w14:paraId="6DE8B561" w14:textId="77777777">
      <w:pPr>
        <w:pStyle w:val="FootnoteText"/>
      </w:pPr>
      <w:r w:rsidRPr="004539A7">
        <w:rPr>
          <w:rStyle w:val="FootnoteReference"/>
        </w:rPr>
        <w:footnoteRef/>
      </w:r>
      <w:r w:rsidRPr="004539A7">
        <w:t xml:space="preserve"> For example, such tools could include expedited processes to identify filings that list the same address, telephone number, email address, principal, affiliate, subsidiary, parent company, OCN, or third-party filing consultant as a provider whose filing was previously removed from the Database; filings that certify to STIR/SHAKEN implementation but do not appear consistent with information available from the Policy Administrator;</w:t>
      </w:r>
      <w:r w:rsidRPr="00CC45BA">
        <w:rPr>
          <w:snapToGrid w:val="0"/>
          <w:sz w:val="22"/>
        </w:rPr>
        <w:t xml:space="preserve"> </w:t>
      </w:r>
      <w:r w:rsidRPr="004539A7">
        <w:t xml:space="preserve">or filings that include robocall mitigation plans that are identical or substantially similar to plans filed by unrelated providers.  </w:t>
      </w:r>
      <w:r w:rsidRPr="004539A7">
        <w:rPr>
          <w:i/>
          <w:iCs/>
        </w:rPr>
        <w:t>See RMD Order</w:t>
      </w:r>
      <w:r w:rsidRPr="004539A7">
        <w:t xml:space="preserve">, 40 FCC </w:t>
      </w:r>
      <w:r w:rsidRPr="004539A7">
        <w:t>Rcd</w:t>
      </w:r>
      <w:r w:rsidRPr="004539A7">
        <w:t xml:space="preserve"> at 618-19, para. 43.  To aid in the effort, we note that the Policy Administrator maintains a publicly available list of providers authorized to participate in STIR/SHAKEN, which a validation tool could reference to verify a provider’s registration status.  </w:t>
      </w:r>
      <w:r w:rsidRPr="004539A7">
        <w:rPr>
          <w:i/>
          <w:iCs/>
        </w:rPr>
        <w:t>See</w:t>
      </w:r>
      <w:r w:rsidRPr="004539A7">
        <w:t xml:space="preserve"> </w:t>
      </w:r>
      <w:r w:rsidRPr="004539A7">
        <w:rPr>
          <w:i/>
          <w:iCs/>
        </w:rPr>
        <w:t>iconectiv</w:t>
      </w:r>
      <w:r w:rsidRPr="004539A7">
        <w:rPr>
          <w:i/>
          <w:iCs/>
        </w:rPr>
        <w:t xml:space="preserve"> Authorized Providers List</w:t>
      </w:r>
      <w:r w:rsidRPr="004539A7">
        <w:t>.</w:t>
      </w:r>
    </w:p>
  </w:footnote>
  <w:footnote w:id="189">
    <w:p w:rsidR="005919ED" w:rsidRPr="004539A7" w:rsidP="005919ED" w14:paraId="13833D2E" w14:textId="77777777">
      <w:pPr>
        <w:pStyle w:val="FootnoteText"/>
      </w:pPr>
      <w:r w:rsidRPr="004539A7">
        <w:rPr>
          <w:rStyle w:val="FootnoteReference"/>
        </w:rPr>
        <w:footnoteRef/>
      </w:r>
      <w:r w:rsidRPr="004539A7">
        <w:t xml:space="preserve"> </w:t>
      </w:r>
      <w:r w:rsidRPr="004539A7">
        <w:rPr>
          <w:i/>
          <w:iCs/>
        </w:rPr>
        <w:t xml:space="preserve">See </w:t>
      </w:r>
      <w:r w:rsidRPr="004539A7">
        <w:rPr>
          <w:i/>
          <w:iCs/>
        </w:rPr>
        <w:t>infra</w:t>
      </w:r>
      <w:r w:rsidRPr="004539A7">
        <w:t xml:space="preserve"> Section </w:t>
      </w:r>
      <w:r w:rsidRPr="00CD616B">
        <w:t>III</w:t>
      </w:r>
      <w:r w:rsidRPr="00CD616B">
        <w:t>.B.3</w:t>
      </w:r>
      <w:r w:rsidRPr="004539A7">
        <w:t xml:space="preserve"> (</w:t>
      </w:r>
      <w:r w:rsidRPr="004539A7">
        <w:rPr>
          <w:i/>
          <w:iCs/>
        </w:rPr>
        <w:t>Tools for Removal of Bad Actor Providers from the RMD</w:t>
      </w:r>
      <w:r w:rsidRPr="004539A7">
        <w:t>).</w:t>
      </w:r>
    </w:p>
  </w:footnote>
  <w:footnote w:id="190">
    <w:p w:rsidR="005919ED" w:rsidRPr="004539A7" w:rsidP="005919ED" w14:paraId="2CCED9C4" w14:textId="77777777">
      <w:pPr>
        <w:pStyle w:val="FootnoteText"/>
      </w:pPr>
      <w:r w:rsidRPr="004539A7">
        <w:rPr>
          <w:rStyle w:val="FootnoteReference"/>
        </w:rPr>
        <w:footnoteRef/>
      </w:r>
      <w:r w:rsidRPr="004539A7">
        <w:t xml:space="preserve"> </w:t>
      </w:r>
      <w:r w:rsidRPr="004539A7">
        <w:rPr>
          <w:i/>
          <w:iCs/>
        </w:rPr>
        <w:t xml:space="preserve">See </w:t>
      </w:r>
      <w:r w:rsidRPr="004539A7">
        <w:rPr>
          <w:i/>
          <w:iCs/>
        </w:rPr>
        <w:t>infra</w:t>
      </w:r>
      <w:r w:rsidRPr="004539A7">
        <w:t xml:space="preserve"> Section </w:t>
      </w:r>
      <w:r w:rsidRPr="00CD616B">
        <w:t>III</w:t>
      </w:r>
      <w:r w:rsidRPr="00CD616B">
        <w:t>.B.4</w:t>
      </w:r>
      <w:r w:rsidRPr="004539A7">
        <w:t xml:space="preserve"> (</w:t>
      </w:r>
      <w:r w:rsidRPr="004539A7">
        <w:rPr>
          <w:i/>
          <w:iCs/>
        </w:rPr>
        <w:t>Keeping</w:t>
      </w:r>
      <w:r>
        <w:rPr>
          <w:i/>
          <w:iCs/>
        </w:rPr>
        <w:t xml:space="preserve"> Removed</w:t>
      </w:r>
      <w:r w:rsidRPr="004539A7">
        <w:rPr>
          <w:i/>
          <w:iCs/>
        </w:rPr>
        <w:t xml:space="preserve"> Bad Actor Providers Out</w:t>
      </w:r>
      <w:r w:rsidRPr="004539A7">
        <w:t>).</w:t>
      </w:r>
    </w:p>
  </w:footnote>
  <w:footnote w:id="191">
    <w:p w:rsidR="005919ED" w:rsidRPr="004539A7" w:rsidP="005919ED" w14:paraId="1684F5B1" w14:textId="77777777">
      <w:pPr>
        <w:pStyle w:val="FootnoteText"/>
      </w:pPr>
      <w:r w:rsidRPr="004539A7">
        <w:rPr>
          <w:rStyle w:val="FootnoteReference"/>
        </w:rPr>
        <w:footnoteRef/>
      </w:r>
      <w:r w:rsidRPr="004539A7">
        <w:t xml:space="preserve"> </w:t>
      </w:r>
      <w:r w:rsidRPr="004539A7">
        <w:rPr>
          <w:i/>
          <w:iCs/>
        </w:rPr>
        <w:t>See</w:t>
      </w:r>
      <w:r w:rsidRPr="004539A7">
        <w:rPr>
          <w:i/>
        </w:rPr>
        <w:t>, e.g.</w:t>
      </w:r>
      <w:r w:rsidRPr="00582D2A">
        <w:t>,</w:t>
      </w:r>
      <w:r w:rsidRPr="004539A7">
        <w:rPr>
          <w:i/>
        </w:rPr>
        <w:t xml:space="preserve"> Rural Digital Opportunity </w:t>
      </w:r>
      <w:r w:rsidRPr="004539A7">
        <w:rPr>
          <w:i/>
          <w:iCs/>
        </w:rPr>
        <w:t>Fund, Connect America Fund</w:t>
      </w:r>
      <w:r w:rsidRPr="004539A7">
        <w:t>, WC Docket No</w:t>
      </w:r>
      <w:r>
        <w:t>s</w:t>
      </w:r>
      <w:r w:rsidRPr="004539A7">
        <w:t xml:space="preserve">. 19-126 and 10-90, Report and Order, 35 FCC </w:t>
      </w:r>
      <w:r w:rsidRPr="004539A7">
        <w:t>Rcd</w:t>
      </w:r>
      <w:r w:rsidRPr="004539A7">
        <w:t xml:space="preserve"> 686, 729, paras. 96-97 (2020). </w:t>
      </w:r>
    </w:p>
  </w:footnote>
  <w:footnote w:id="192">
    <w:p w:rsidR="005919ED" w:rsidRPr="00582D2A" w:rsidP="005919ED" w14:paraId="05D257B4" w14:textId="77777777">
      <w:pPr>
        <w:pStyle w:val="FootnoteText"/>
        <w:rPr>
          <w:rFonts w:eastAsia="Aptos"/>
        </w:rPr>
      </w:pPr>
      <w:r w:rsidRPr="007906C5">
        <w:rPr>
          <w:rStyle w:val="FootnoteReference"/>
        </w:rPr>
        <w:footnoteRef/>
      </w:r>
      <w:r w:rsidRPr="007906C5">
        <w:rPr>
          <w:rStyle w:val="FootnoteReference"/>
          <w:vertAlign w:val="baseline"/>
        </w:rPr>
        <w:t xml:space="preserve"> </w:t>
      </w:r>
      <w:r w:rsidRPr="007906C5">
        <w:rPr>
          <w:i/>
        </w:rPr>
        <w:t>See Connect America Fund</w:t>
      </w:r>
      <w:r>
        <w:rPr>
          <w:i/>
          <w:iCs/>
        </w:rPr>
        <w:t xml:space="preserve"> et al.</w:t>
      </w:r>
      <w:r w:rsidRPr="004539A7">
        <w:t xml:space="preserve">, </w:t>
      </w:r>
      <w:r>
        <w:t>WC Docket No. 10-90 et al.,</w:t>
      </w:r>
      <w:r w:rsidRPr="007906C5">
        <w:t xml:space="preserve"> Report and Order and Order, </w:t>
      </w:r>
      <w:r>
        <w:t>39</w:t>
      </w:r>
      <w:r w:rsidRPr="004539A7">
        <w:t xml:space="preserve"> </w:t>
      </w:r>
      <w:r w:rsidRPr="007906C5">
        <w:t xml:space="preserve">FCC </w:t>
      </w:r>
      <w:r>
        <w:t>Rcd</w:t>
      </w:r>
      <w:r>
        <w:t xml:space="preserve"> 14001</w:t>
      </w:r>
      <w:r w:rsidRPr="007906C5">
        <w:t xml:space="preserve"> (2024).</w:t>
      </w:r>
    </w:p>
  </w:footnote>
  <w:footnote w:id="193">
    <w:p w:rsidR="005919ED" w:rsidRPr="004539A7" w:rsidP="005919ED" w14:paraId="717B440B" w14:textId="77777777">
      <w:pPr>
        <w:pStyle w:val="FootnoteText"/>
      </w:pPr>
      <w:r w:rsidRPr="004539A7">
        <w:rPr>
          <w:rStyle w:val="FootnoteReference"/>
        </w:rPr>
        <w:footnoteRef/>
      </w:r>
      <w:r w:rsidRPr="004539A7">
        <w:t xml:space="preserve"> </w:t>
      </w:r>
      <w:r w:rsidRPr="004539A7">
        <w:rPr>
          <w:i/>
          <w:iCs/>
        </w:rPr>
        <w:t xml:space="preserve">See </w:t>
      </w:r>
      <w:r w:rsidRPr="004539A7">
        <w:t xml:space="preserve">Swift, </w:t>
      </w:r>
      <w:r w:rsidRPr="004539A7">
        <w:rPr>
          <w:i/>
          <w:iCs/>
        </w:rPr>
        <w:t>Compliance</w:t>
      </w:r>
      <w:r w:rsidRPr="004539A7">
        <w:t xml:space="preserve">, </w:t>
      </w:r>
      <w:hyperlink r:id="rId16" w:history="1">
        <w:r w:rsidRPr="004539A7">
          <w:rPr>
            <w:rStyle w:val="Hyperlink"/>
          </w:rPr>
          <w:t>https://www.swift.com/about-us/legal/compliance-0/swift-and-sanctions</w:t>
        </w:r>
      </w:hyperlink>
      <w:r w:rsidRPr="004539A7">
        <w:t xml:space="preserve"> (last visited </w:t>
      </w:r>
      <w:r>
        <w:t>July 20</w:t>
      </w:r>
      <w:r w:rsidRPr="004539A7">
        <w:t xml:space="preserve">, 2026). </w:t>
      </w:r>
    </w:p>
  </w:footnote>
  <w:footnote w:id="194">
    <w:p w:rsidR="005919ED" w:rsidRPr="004539A7" w:rsidP="005919ED" w14:paraId="20EE47EB" w14:textId="77777777">
      <w:pPr>
        <w:pStyle w:val="FootnoteText"/>
      </w:pPr>
      <w:r w:rsidRPr="004539A7">
        <w:rPr>
          <w:rStyle w:val="FootnoteReference"/>
        </w:rPr>
        <w:footnoteRef/>
      </w:r>
      <w:r w:rsidRPr="004539A7">
        <w:t xml:space="preserve"> The Commission has required financial assurances in the satellite context, including surety bonds backed by statutory licensing and administrative authority, and has considered but declined to substitute letters of credit where bankruptcy risk could undermine the Commission’s ability to draw on the financial assurance.  </w:t>
      </w:r>
      <w:r w:rsidRPr="004539A7">
        <w:rPr>
          <w:i/>
          <w:iCs/>
        </w:rPr>
        <w:t>See, e.g.</w:t>
      </w:r>
      <w:r w:rsidRPr="00582D2A">
        <w:t xml:space="preserve">, </w:t>
      </w:r>
      <w:r w:rsidRPr="004539A7">
        <w:rPr>
          <w:i/>
        </w:rPr>
        <w:t>Amendment of the Commission’s Space Station Licensing Rules and Policies</w:t>
      </w:r>
      <w:r w:rsidRPr="004539A7">
        <w:t xml:space="preserve">, IB Docket No. 02-34, First Report and Order and Further Notice of Proposed Rulemaking, 18 FCC </w:t>
      </w:r>
      <w:r w:rsidRPr="004539A7">
        <w:t>Rcd</w:t>
      </w:r>
      <w:r w:rsidRPr="004539A7">
        <w:t xml:space="preserve"> 10760, 10824-26, paras. 164-70 (2003) (adopting satellite performance bond requirement to deter speculative applications and encourage licensees to meet construction and launch milestones); </w:t>
      </w:r>
      <w:r w:rsidRPr="004539A7">
        <w:rPr>
          <w:i/>
          <w:iCs/>
        </w:rPr>
        <w:t>Amendment of the Commission’s Space Station Licensing Rules and Policies</w:t>
      </w:r>
      <w:r w:rsidRPr="004539A7">
        <w:t xml:space="preserve">, IB Docket No. 02-34, First Order on Reconsideration and Fifth Report and Order, 19 FCC </w:t>
      </w:r>
      <w:r w:rsidRPr="004539A7">
        <w:t>Rcd</w:t>
      </w:r>
      <w:r w:rsidRPr="004539A7">
        <w:t xml:space="preserve"> 12637, 12642-46, paras. 12-19 (2004) (rejecting arguments that the bond requirement was an unlawful penalty and relying on sections 4(</w:t>
      </w:r>
      <w:r w:rsidRPr="004539A7">
        <w:t>i</w:t>
      </w:r>
      <w:r w:rsidRPr="004539A7">
        <w:t xml:space="preserve">), 303(l)(1), 303(r), and (308)(b) of the Act, among other authority); </w:t>
      </w:r>
      <w:r w:rsidRPr="004539A7">
        <w:rPr>
          <w:i/>
          <w:iCs/>
        </w:rPr>
        <w:t>Comprehensive Review of Licensing and Operating Rules for Satellite Services</w:t>
      </w:r>
      <w:r w:rsidRPr="004539A7">
        <w:t xml:space="preserve">, IB Docket No. 12-267, Second Report and Order, 30 FCC </w:t>
      </w:r>
      <w:r w:rsidRPr="004539A7">
        <w:t>Rcd</w:t>
      </w:r>
      <w:r w:rsidRPr="004539A7">
        <w:t xml:space="preserve"> 14713, 14722-27, paras. 21-34 (2015) (adopting a $500,000 bond requirement grounded in the Commission’s licensing and ancillary </w:t>
      </w:r>
      <w:r w:rsidRPr="004539A7">
        <w:t>authority, and</w:t>
      </w:r>
      <w:r w:rsidRPr="004539A7">
        <w:t xml:space="preserve"> declining to allow a letter of credit in lieu of a bond, explaining that doing so could introduce bankruptcy risk).  </w:t>
      </w:r>
      <w:r w:rsidRPr="00CC45BA">
        <w:t xml:space="preserve">The Commission also sought comment in a recent </w:t>
      </w:r>
      <w:r w:rsidRPr="00CC45BA">
        <w:rPr>
          <w:i/>
          <w:iCs/>
        </w:rPr>
        <w:t>FNPRM</w:t>
      </w:r>
      <w:r w:rsidRPr="00CC45BA">
        <w:t xml:space="preserve"> on bond- or fee-based approaches, potentially related to the RMD, to deter bad actors and take the profit out of unlawful calls originating from outside of the United States.  </w:t>
      </w:r>
      <w:r w:rsidRPr="00CC45BA">
        <w:rPr>
          <w:i/>
          <w:iCs/>
        </w:rPr>
        <w:t>See</w:t>
      </w:r>
      <w:r w:rsidRPr="00CC45BA">
        <w:t xml:space="preserve"> </w:t>
      </w:r>
      <w:r w:rsidRPr="004539A7">
        <w:rPr>
          <w:i/>
          <w:iCs/>
        </w:rPr>
        <w:t>Improving Customer Service and Protecting Consumers Through Onshoring</w:t>
      </w:r>
      <w:r w:rsidRPr="004539A7">
        <w:t xml:space="preserve">, CG Docket No. 26-52; </w:t>
      </w:r>
      <w:r w:rsidRPr="004539A7">
        <w:rPr>
          <w:i/>
          <w:iCs/>
        </w:rPr>
        <w:t>Advanced Methods to Target and Eliminate Unlawful Robocalls</w:t>
      </w:r>
      <w:r w:rsidRPr="004539A7">
        <w:t xml:space="preserve">, CG Docket 17-59; </w:t>
      </w:r>
      <w:r w:rsidRPr="004539A7">
        <w:rPr>
          <w:i/>
          <w:iCs/>
        </w:rPr>
        <w:t>Telephone Consumer Protection Act</w:t>
      </w:r>
      <w:r w:rsidRPr="004539A7">
        <w:t xml:space="preserve">, CG Docket No. 02-278; </w:t>
      </w:r>
      <w:r w:rsidRPr="004539A7">
        <w:rPr>
          <w:i/>
          <w:iCs/>
        </w:rPr>
        <w:t>Empowering Broadband Consumers Through Transparency</w:t>
      </w:r>
      <w:r w:rsidRPr="004539A7">
        <w:t xml:space="preserve">, CG Docket No. 22-2, Notice of Proposed Rulemaking in CG Docket No. 26-52; Tenth Further Notice of Proposed Rulemaking in CG Docket No. 17-59; Further Notice of Proposed Rulemaking in CG Docket No. 02-278; and Third Further Notice of Proposed Rulemaking in CG Docket No. 22-2, </w:t>
      </w:r>
      <w:hyperlink r:id="rId17" w:history="1">
        <w:r w:rsidRPr="004539A7">
          <w:rPr>
            <w:rStyle w:val="Hyperlink"/>
            <w:color w:val="auto"/>
            <w:u w:val="none"/>
          </w:rPr>
          <w:t>FCC 26-16, at 18-20, 29, paras. 68-75, 102 (Mar. 27, 2026)</w:t>
        </w:r>
      </w:hyperlink>
      <w:r w:rsidRPr="004539A7">
        <w:t xml:space="preserve"> (</w:t>
      </w:r>
      <w:r w:rsidRPr="004539A7">
        <w:rPr>
          <w:i/>
          <w:iCs/>
        </w:rPr>
        <w:t>Call Center Onshoring NPRM</w:t>
      </w:r>
      <w:r w:rsidRPr="004539A7">
        <w:t xml:space="preserve">); </w:t>
      </w:r>
      <w:r w:rsidRPr="004539A7">
        <w:rPr>
          <w:i/>
          <w:iCs/>
        </w:rPr>
        <w:t>see also</w:t>
      </w:r>
      <w:r w:rsidRPr="004539A7">
        <w:t xml:space="preserve"> Comments of National Consumer Law Center et al., CG Docket No. 26-52 et al., at 2 (filed May 26, 2026) (“Requiring a surety bond, certificate of deposit, or irrevocable letter of credit that can be drawn on to pay a forfeiture or judgment arising from transmission of an illegal call will ensure that RMD filers are more than hollow shell companies.”).</w:t>
      </w:r>
    </w:p>
  </w:footnote>
  <w:footnote w:id="195">
    <w:p w:rsidR="005919ED" w:rsidRPr="004539A7" w:rsidP="005919ED" w14:paraId="7049C7D4" w14:textId="77777777">
      <w:pPr>
        <w:pStyle w:val="FootnoteText"/>
      </w:pPr>
      <w:r w:rsidRPr="004539A7">
        <w:rPr>
          <w:rStyle w:val="FootnoteReference"/>
        </w:rPr>
        <w:footnoteRef/>
      </w:r>
      <w:r w:rsidRPr="004539A7">
        <w:t xml:space="preserve"> </w:t>
      </w:r>
      <w:r w:rsidRPr="004539A7">
        <w:rPr>
          <w:i/>
          <w:iCs/>
        </w:rPr>
        <w:t>See KYUP FNPRM</w:t>
      </w:r>
      <w:r w:rsidRPr="004539A7">
        <w:t>, FCC 26-32, at 8-22, paras. 14-41.</w:t>
      </w:r>
    </w:p>
  </w:footnote>
  <w:footnote w:id="196">
    <w:p w:rsidR="005919ED" w:rsidRPr="004539A7" w:rsidP="005919ED" w14:paraId="5983F877" w14:textId="77777777">
      <w:pPr>
        <w:pStyle w:val="FootnoteText"/>
      </w:pPr>
      <w:r w:rsidRPr="004539A7">
        <w:rPr>
          <w:rStyle w:val="FootnoteReference"/>
        </w:rPr>
        <w:footnoteRef/>
      </w:r>
      <w:r w:rsidRPr="004539A7">
        <w:t xml:space="preserve"> </w:t>
      </w:r>
      <w:r w:rsidRPr="004539A7">
        <w:rPr>
          <w:i/>
          <w:iCs/>
        </w:rPr>
        <w:t xml:space="preserve">See </w:t>
      </w:r>
      <w:r w:rsidRPr="004539A7">
        <w:rPr>
          <w:i/>
          <w:iCs/>
        </w:rPr>
        <w:t>infra</w:t>
      </w:r>
      <w:r w:rsidRPr="004539A7">
        <w:t xml:space="preserve"> Section </w:t>
      </w:r>
      <w:r w:rsidRPr="00CD616B">
        <w:t>III</w:t>
      </w:r>
      <w:r w:rsidRPr="00CD616B">
        <w:t>.B.3</w:t>
      </w:r>
      <w:r w:rsidRPr="004539A7">
        <w:t xml:space="preserve"> (describing deficient RMD filings</w:t>
      </w:r>
      <w:r w:rsidRPr="004539A7">
        <w:rPr>
          <w:i/>
          <w:iCs/>
        </w:rPr>
        <w:t xml:space="preserve"> </w:t>
      </w:r>
      <w:r w:rsidRPr="004539A7">
        <w:t>as those containing information that is incomplete or insufficient, but not substantially and materially so).</w:t>
      </w:r>
    </w:p>
  </w:footnote>
  <w:footnote w:id="197">
    <w:p w:rsidR="005919ED" w:rsidRPr="004539A7" w:rsidP="005919ED" w14:paraId="36DFCF2A" w14:textId="77777777">
      <w:pPr>
        <w:pStyle w:val="FootnoteText"/>
      </w:pPr>
      <w:r w:rsidRPr="004539A7">
        <w:rPr>
          <w:rStyle w:val="FootnoteReference"/>
        </w:rPr>
        <w:footnoteRef/>
      </w:r>
      <w:r w:rsidRPr="004539A7">
        <w:t xml:space="preserve"> </w:t>
      </w:r>
      <w:r w:rsidRPr="004539A7">
        <w:rPr>
          <w:i/>
          <w:iCs/>
        </w:rPr>
        <w:t xml:space="preserve">See </w:t>
      </w:r>
      <w:r w:rsidRPr="004539A7">
        <w:rPr>
          <w:i/>
          <w:iCs/>
        </w:rPr>
        <w:t>infra</w:t>
      </w:r>
      <w:r w:rsidRPr="004539A7">
        <w:t xml:space="preserve"> Section </w:t>
      </w:r>
      <w:r w:rsidRPr="00CD616B">
        <w:t>III</w:t>
      </w:r>
      <w:r w:rsidRPr="00CD616B">
        <w:t>.B.3</w:t>
      </w:r>
      <w:r w:rsidRPr="004539A7">
        <w:t xml:space="preserve"> (describing facially deficient RMD filings as those lacking required information or certifications or containing information that is invalid, non-responsive, or illegible).</w:t>
      </w:r>
    </w:p>
  </w:footnote>
  <w:footnote w:id="198">
    <w:p w:rsidR="005919ED" w:rsidRPr="004539A7" w:rsidP="005919ED" w14:paraId="431B413E" w14:textId="77777777">
      <w:pPr>
        <w:pStyle w:val="FootnoteText"/>
      </w:pPr>
      <w:r w:rsidRPr="004539A7">
        <w:rPr>
          <w:rStyle w:val="FootnoteReference"/>
        </w:rPr>
        <w:footnoteRef/>
      </w:r>
      <w:r w:rsidRPr="004539A7">
        <w:t xml:space="preserve"> </w:t>
      </w:r>
      <w:r w:rsidRPr="004539A7">
        <w:rPr>
          <w:i/>
          <w:iCs/>
        </w:rPr>
        <w:t xml:space="preserve">See </w:t>
      </w:r>
      <w:r w:rsidRPr="004539A7">
        <w:rPr>
          <w:i/>
          <w:iCs/>
        </w:rPr>
        <w:t>infra</w:t>
      </w:r>
      <w:r w:rsidRPr="004539A7">
        <w:t xml:space="preserve"> Section </w:t>
      </w:r>
      <w:r w:rsidRPr="00CD616B">
        <w:t>III</w:t>
      </w:r>
      <w:r w:rsidRPr="00CD616B">
        <w:t>.B.3</w:t>
      </w:r>
      <w:r w:rsidRPr="004539A7">
        <w:t xml:space="preserve"> (describing materially deficient filings as those containing information that is substantially and materially incomplete or insufficient, containing </w:t>
      </w:r>
      <w:r w:rsidRPr="00CC45BA">
        <w:t>material internal inconsistencies, or</w:t>
      </w:r>
      <w:r w:rsidRPr="004539A7">
        <w:t xml:space="preserve"> containing </w:t>
      </w:r>
      <w:r w:rsidRPr="00CC45BA">
        <w:t>information that is materially inconsistent with information the provider has reported elsewhere or with reliable external sources</w:t>
      </w:r>
      <w:r w:rsidRPr="004539A7">
        <w:t>).</w:t>
      </w:r>
    </w:p>
  </w:footnote>
  <w:footnote w:id="199">
    <w:p w:rsidR="005919ED" w:rsidRPr="004539A7" w:rsidP="005919ED" w14:paraId="07A2D034" w14:textId="77777777">
      <w:pPr>
        <w:pStyle w:val="FootnoteText"/>
      </w:pPr>
      <w:r w:rsidRPr="004539A7">
        <w:rPr>
          <w:rStyle w:val="FootnoteReference"/>
        </w:rPr>
        <w:footnoteRef/>
      </w:r>
      <w:r w:rsidRPr="004539A7">
        <w:t xml:space="preserve"> </w:t>
      </w:r>
      <w:r w:rsidRPr="004539A7">
        <w:rPr>
          <w:i/>
          <w:iCs/>
        </w:rPr>
        <w:t>See infra</w:t>
      </w:r>
      <w:r w:rsidRPr="004539A7">
        <w:t xml:space="preserve"> Section </w:t>
      </w:r>
      <w:r w:rsidRPr="00CD616B">
        <w:t>III.B.3</w:t>
      </w:r>
      <w:r w:rsidRPr="004539A7">
        <w:t xml:space="preserve"> (describing lack of candor as the submission of false, misleading, or inaccurate information to the Commission, the Governance Authority, or any agent or third party designated by the Commission or acting pursuant to Commission rules or direction, including the NANPA and the industry traceback consortium).</w:t>
      </w:r>
    </w:p>
  </w:footnote>
  <w:footnote w:id="200">
    <w:p w:rsidR="005919ED" w:rsidRPr="004539A7" w:rsidP="005919ED" w14:paraId="0C1A04DB" w14:textId="77777777">
      <w:pPr>
        <w:pStyle w:val="FootnoteText"/>
      </w:pPr>
      <w:r w:rsidRPr="004539A7">
        <w:rPr>
          <w:rStyle w:val="FootnoteReference"/>
        </w:rPr>
        <w:footnoteRef/>
      </w:r>
      <w:r w:rsidRPr="004539A7">
        <w:t xml:space="preserve"> These are filings that are not associated with an existing provider and that bad actors may be submitting to the Database so that providers whose filings have been removed from the Database can quickly restart the transmission of illegal calls under the business name associated with the dummy filing.  </w:t>
      </w:r>
      <w:r w:rsidRPr="004539A7">
        <w:rPr>
          <w:i/>
          <w:iCs/>
        </w:rPr>
        <w:t>See KYUP FNPRM</w:t>
      </w:r>
      <w:r w:rsidRPr="004539A7">
        <w:t>, FCC 26-32, at 13, para. 21, n.55 (noting that “</w:t>
      </w:r>
      <w:r>
        <w:t>[</w:t>
      </w:r>
      <w:r w:rsidRPr="004539A7">
        <w:t>w</w:t>
      </w:r>
      <w:r>
        <w:t>]</w:t>
      </w:r>
      <w:r w:rsidRPr="004539A7">
        <w:t>e are exploring whether some entities are establishing dummy filings in the RMD that bad actors can use to quickly start transmitting unlawful traffic, and which may contain false or unverifiable information and are not properly updated”).</w:t>
      </w:r>
    </w:p>
  </w:footnote>
  <w:footnote w:id="201">
    <w:p w:rsidR="005919ED" w:rsidRPr="004539A7" w:rsidP="005919ED" w14:paraId="5D38EE3E" w14:textId="77777777">
      <w:pPr>
        <w:pStyle w:val="FootnoteText"/>
      </w:pPr>
      <w:r w:rsidRPr="004539A7">
        <w:rPr>
          <w:rStyle w:val="FootnoteReference"/>
        </w:rPr>
        <w:footnoteRef/>
      </w:r>
      <w:r w:rsidRPr="004539A7">
        <w:t xml:space="preserve"> Such filings may include those that contain independent bases for removal, as described in Section III.</w:t>
      </w:r>
      <w:r w:rsidRPr="00CD616B">
        <w:t>B.3</w:t>
      </w:r>
      <w:r w:rsidRPr="004539A7">
        <w:t xml:space="preserve">, </w:t>
      </w:r>
      <w:r w:rsidRPr="004539A7">
        <w:rPr>
          <w:i/>
          <w:iCs/>
        </w:rPr>
        <w:t>infra</w:t>
      </w:r>
      <w:r w:rsidRPr="004539A7">
        <w:t>, or that contain information that suggests the filing is being used as a vehicle to evade the Commission’s caller ID authentication, robocall mitigation, traceback, or other rules aimed at combatting illegal calls.</w:t>
      </w:r>
    </w:p>
  </w:footnote>
  <w:footnote w:id="202">
    <w:p w:rsidR="005919ED" w:rsidRPr="006F3686" w:rsidP="005919ED" w14:paraId="6C18B290" w14:textId="77777777">
      <w:pPr>
        <w:pStyle w:val="FootnoteText"/>
      </w:pPr>
      <w:r w:rsidRPr="006F3686">
        <w:rPr>
          <w:rStyle w:val="FootnoteReference"/>
        </w:rPr>
        <w:footnoteRef/>
      </w:r>
      <w:r w:rsidRPr="006F3686">
        <w:t xml:space="preserve"> </w:t>
      </w:r>
      <w:r w:rsidRPr="006F3686">
        <w:rPr>
          <w:i/>
          <w:iCs/>
        </w:rPr>
        <w:t>See, e.g.</w:t>
      </w:r>
      <w:r w:rsidRPr="006F3686">
        <w:t xml:space="preserve">, OMB, </w:t>
      </w:r>
      <w:r w:rsidRPr="006F3686">
        <w:rPr>
          <w:i/>
          <w:iCs/>
        </w:rPr>
        <w:t>Accelerating Federal Use of AI through Innovation, Governance, and Public Trust</w:t>
      </w:r>
      <w:r w:rsidRPr="006F3686">
        <w:t>, M-25-21 (Apr. 3, 2025)</w:t>
      </w:r>
      <w:r>
        <w:t>,</w:t>
      </w:r>
      <w:r w:rsidRPr="006F3686">
        <w:t xml:space="preserve"> </w:t>
      </w:r>
      <w:hyperlink r:id="rId18" w:history="1">
        <w:r w:rsidRPr="006F3686">
          <w:rPr>
            <w:rStyle w:val="Hyperlink"/>
          </w:rPr>
          <w:t>https://www.whitehouse.gov/wp-content/uploads/2025/02/M-25-21-Accelerating-Federal-Use-of-AI-through-Innovation-Governance-and-Public-Trust.pdf</w:t>
        </w:r>
      </w:hyperlink>
      <w:r w:rsidRPr="006F3686">
        <w:t xml:space="preserve">. </w:t>
      </w:r>
    </w:p>
  </w:footnote>
  <w:footnote w:id="203">
    <w:p w:rsidR="005919ED" w:rsidRPr="004539A7" w:rsidP="005919ED" w14:paraId="0A8729B0" w14:textId="77777777">
      <w:pPr>
        <w:pStyle w:val="FootnoteText"/>
      </w:pPr>
      <w:r w:rsidRPr="004539A7">
        <w:rPr>
          <w:rStyle w:val="FootnoteReference"/>
        </w:rPr>
        <w:footnoteRef/>
      </w:r>
      <w:r w:rsidRPr="004539A7">
        <w:t xml:space="preserve"> </w:t>
      </w:r>
      <w:r w:rsidRPr="004539A7">
        <w:rPr>
          <w:i/>
          <w:iCs/>
        </w:rPr>
        <w:t>RMD Order</w:t>
      </w:r>
      <w:r w:rsidRPr="004539A7">
        <w:t xml:space="preserve">, 40 FCC </w:t>
      </w:r>
      <w:r w:rsidRPr="004539A7">
        <w:t>Rcd</w:t>
      </w:r>
      <w:r w:rsidRPr="004539A7">
        <w:t xml:space="preserve"> at 619, para. 43.</w:t>
      </w:r>
    </w:p>
  </w:footnote>
  <w:footnote w:id="204">
    <w:p w:rsidR="005919ED" w:rsidRPr="006F3686" w:rsidP="005919ED" w14:paraId="7E5703A6" w14:textId="77777777">
      <w:pPr>
        <w:pStyle w:val="FootnoteText"/>
      </w:pPr>
      <w:r w:rsidRPr="006F3686">
        <w:rPr>
          <w:rStyle w:val="FootnoteReference"/>
        </w:rPr>
        <w:footnoteRef/>
      </w:r>
      <w:r w:rsidRPr="006F3686">
        <w:t xml:space="preserve"> </w:t>
      </w:r>
      <w:r w:rsidRPr="006F3686">
        <w:rPr>
          <w:i/>
          <w:iCs/>
        </w:rPr>
        <w:t>See, e.g.</w:t>
      </w:r>
      <w:r w:rsidRPr="006F3686">
        <w:t xml:space="preserve">, </w:t>
      </w:r>
      <w:r w:rsidRPr="006F3686">
        <w:rPr>
          <w:i/>
          <w:iCs/>
        </w:rPr>
        <w:t>Artificial Intelligence: Generative AI Use and Management at Federal Agencies</w:t>
      </w:r>
      <w:r w:rsidRPr="006F3686">
        <w:t>, GAO-25-107653, (July 29, 2025) (discussing agency use of AI)</w:t>
      </w:r>
      <w:r>
        <w:t>,</w:t>
      </w:r>
      <w:r w:rsidRPr="006F3686">
        <w:t xml:space="preserve"> </w:t>
      </w:r>
      <w:hyperlink r:id="rId19" w:history="1">
        <w:r w:rsidRPr="006F3686">
          <w:rPr>
            <w:rStyle w:val="Hyperlink"/>
          </w:rPr>
          <w:t>https://www.gao.gov/products/gao-25-107653</w:t>
        </w:r>
      </w:hyperlink>
      <w:r w:rsidRPr="006F3686">
        <w:t>.</w:t>
      </w:r>
    </w:p>
  </w:footnote>
  <w:footnote w:id="205">
    <w:p w:rsidR="005919ED" w:rsidP="005919ED" w14:paraId="6B33F8C7" w14:textId="77777777">
      <w:pPr>
        <w:pStyle w:val="FootnoteText"/>
      </w:pPr>
      <w:r>
        <w:rPr>
          <w:rStyle w:val="FootnoteReference"/>
        </w:rPr>
        <w:footnoteRef/>
      </w:r>
      <w:r>
        <w:t xml:space="preserve"> </w:t>
      </w:r>
      <w:r w:rsidRPr="006F3686">
        <w:t xml:space="preserve">Letter from </w:t>
      </w:r>
      <w:r>
        <w:t xml:space="preserve">Keith Buell, General Counsel and Head of Global Public Policy, </w:t>
      </w:r>
      <w:r>
        <w:t>Numeracle</w:t>
      </w:r>
      <w:r w:rsidRPr="006F3686">
        <w:t>, to Marlene H. Dortch, Secretary, FCC, CG Docket No. 17-59</w:t>
      </w:r>
      <w:r>
        <w:t>;</w:t>
      </w:r>
      <w:r w:rsidRPr="006F3686">
        <w:t xml:space="preserve"> WC Docket No</w:t>
      </w:r>
      <w:r>
        <w:t>s</w:t>
      </w:r>
      <w:r w:rsidRPr="006F3686">
        <w:t>. 17-97</w:t>
      </w:r>
      <w:r>
        <w:t xml:space="preserve"> and 17-97, at 3 (filed July 16, 2026) (describing a </w:t>
      </w:r>
      <w:r w:rsidRPr="00835EBA">
        <w:t xml:space="preserve">data visualization </w:t>
      </w:r>
      <w:r>
        <w:t>presentation “</w:t>
      </w:r>
      <w:r w:rsidRPr="00835EBA">
        <w:t>to illustrate links, commonalities, and vulnerabilities visible</w:t>
      </w:r>
      <w:r>
        <w:t xml:space="preserve">” using current RMD filings, </w:t>
      </w:r>
      <w:r w:rsidRPr="00835EBA">
        <w:t>show</w:t>
      </w:r>
      <w:r>
        <w:t>ing</w:t>
      </w:r>
      <w:r w:rsidRPr="00835EBA">
        <w:t xml:space="preserve"> </w:t>
      </w:r>
      <w:r>
        <w:t>“</w:t>
      </w:r>
      <w:r w:rsidRPr="00835EBA">
        <w:t>how AI can help analyze and compare plans to extract data not visible from a superficial analysis</w:t>
      </w:r>
      <w:r>
        <w:t xml:space="preserve">); </w:t>
      </w:r>
      <w:r w:rsidRPr="007F1EDD">
        <w:rPr>
          <w:i/>
          <w:iCs/>
        </w:rPr>
        <w:t>id.</w:t>
      </w:r>
      <w:r>
        <w:t xml:space="preserve"> (“</w:t>
      </w:r>
      <w:r w:rsidRPr="00736D0B">
        <w:t xml:space="preserve">The overall utility of the RMD to regulators and enforcement agencies would increase dramatically with the ability to cross-reference data among RMD filings; traceback data from the Industry Traceback Group; honeypot data from sources such as </w:t>
      </w:r>
      <w:r w:rsidRPr="00736D0B">
        <w:t>YouMail</w:t>
      </w:r>
      <w:r w:rsidRPr="00736D0B">
        <w:t xml:space="preserve"> and RRAPTOR; and analytics data from Hiya, TNS, and First Orion. These tools used collectively would be far greater than the sum of their individual parts in our collective efforts to combat fraud and protect American consumers.</w:t>
      </w:r>
      <w:r>
        <w:t>”).</w:t>
      </w:r>
    </w:p>
  </w:footnote>
  <w:footnote w:id="206">
    <w:p w:rsidR="005919ED" w:rsidRPr="004539A7" w:rsidP="005919ED" w14:paraId="43DBE5B3" w14:textId="77777777">
      <w:pPr>
        <w:pStyle w:val="FootnoteText"/>
      </w:pPr>
      <w:r w:rsidRPr="004539A7">
        <w:rPr>
          <w:rStyle w:val="FootnoteReference"/>
        </w:rPr>
        <w:footnoteRef/>
      </w:r>
      <w:r w:rsidRPr="004539A7">
        <w:t xml:space="preserve"> </w:t>
      </w:r>
      <w:r w:rsidRPr="004539A7">
        <w:rPr>
          <w:i/>
          <w:iCs/>
        </w:rPr>
        <w:t>See generally Eighth Caller ID Authentication Order</w:t>
      </w:r>
      <w:r w:rsidRPr="004539A7">
        <w:t xml:space="preserve">, 39 FCC </w:t>
      </w:r>
      <w:r w:rsidRPr="004539A7">
        <w:t>Rcd</w:t>
      </w:r>
      <w:r w:rsidRPr="004539A7">
        <w:t xml:space="preserve"> 12894.</w:t>
      </w:r>
    </w:p>
  </w:footnote>
  <w:footnote w:id="207">
    <w:p w:rsidR="005919ED" w:rsidRPr="004539A7" w:rsidP="005919ED" w14:paraId="6607E429" w14:textId="77777777">
      <w:pPr>
        <w:pStyle w:val="FootnoteText"/>
      </w:pPr>
      <w:r w:rsidRPr="004539A7">
        <w:rPr>
          <w:rStyle w:val="FootnoteReference"/>
        </w:rPr>
        <w:footnoteRef/>
      </w:r>
      <w:r w:rsidRPr="004539A7">
        <w:t xml:space="preserve"> </w:t>
      </w:r>
      <w:r w:rsidRPr="004539A7">
        <w:rPr>
          <w:i/>
          <w:iCs/>
        </w:rPr>
        <w:t>See KYUP FNPRM</w:t>
      </w:r>
      <w:r w:rsidRPr="004539A7">
        <w:t>, FCC 26-32, at 22-27, paras. 42-53.</w:t>
      </w:r>
    </w:p>
  </w:footnote>
  <w:footnote w:id="208">
    <w:p w:rsidR="005919ED" w:rsidRPr="004539A7" w:rsidP="005919ED" w14:paraId="57C8D475" w14:textId="77777777">
      <w:pPr>
        <w:pStyle w:val="FootnoteText"/>
      </w:pPr>
      <w:r w:rsidRPr="004539A7">
        <w:rPr>
          <w:rStyle w:val="FootnoteReference"/>
        </w:rPr>
        <w:footnoteRef/>
      </w:r>
      <w:r w:rsidRPr="004539A7">
        <w:t xml:space="preserve"> </w:t>
      </w:r>
      <w:r w:rsidRPr="004539A7">
        <w:rPr>
          <w:i/>
          <w:iCs/>
        </w:rPr>
        <w:t xml:space="preserve">See </w:t>
      </w:r>
      <w:r w:rsidRPr="004539A7">
        <w:rPr>
          <w:i/>
          <w:iCs/>
        </w:rPr>
        <w:t>iconectiv</w:t>
      </w:r>
      <w:r w:rsidRPr="004539A7">
        <w:rPr>
          <w:i/>
          <w:iCs/>
        </w:rPr>
        <w:t xml:space="preserve"> Authorized Providers List</w:t>
      </w:r>
      <w:r w:rsidRPr="004539A7">
        <w:t>.</w:t>
      </w:r>
    </w:p>
  </w:footnote>
  <w:footnote w:id="209">
    <w:p w:rsidR="005919ED" w:rsidRPr="004539A7" w:rsidP="005919ED" w14:paraId="4E8B64FE" w14:textId="77777777">
      <w:pPr>
        <w:pStyle w:val="FootnoteText"/>
      </w:pPr>
      <w:r w:rsidRPr="004539A7">
        <w:rPr>
          <w:rStyle w:val="FootnoteReference"/>
        </w:rPr>
        <w:footnoteRef/>
      </w:r>
      <w:r w:rsidRPr="004539A7">
        <w:t xml:space="preserve"> </w:t>
      </w:r>
      <w:r w:rsidRPr="004539A7">
        <w:rPr>
          <w:i/>
          <w:iCs/>
        </w:rPr>
        <w:t>See</w:t>
      </w:r>
      <w:r w:rsidRPr="004539A7">
        <w:t xml:space="preserve"> </w:t>
      </w:r>
      <w:r>
        <w:rPr>
          <w:i/>
          <w:iCs/>
        </w:rPr>
        <w:t>Protecting Our Communications Networks by Promoting Transparency Regarding Foreign Adversary Control</w:t>
      </w:r>
      <w:r>
        <w:t>, GN Docket No. 25-166,</w:t>
      </w:r>
      <w:r w:rsidRPr="00727BDD">
        <w:t xml:space="preserve"> Report and Order</w:t>
      </w:r>
      <w:r>
        <w:t xml:space="preserve">, </w:t>
      </w:r>
      <w:r w:rsidRPr="004539A7">
        <w:t xml:space="preserve">FCC 26-2, at 63, Appx. A </w:t>
      </w:r>
      <w:r>
        <w:t xml:space="preserve">(Jan. 30, 2026) </w:t>
      </w:r>
      <w:r w:rsidRPr="004539A7">
        <w:t xml:space="preserve">(amending Part 1 of the Commission’s rules to add section 1.80002(a) </w:t>
      </w:r>
      <w:r w:rsidRPr="004539A7">
        <w:t>tbl</w:t>
      </w:r>
      <w:r w:rsidRPr="004539A7">
        <w:t>. 1 (Schedule A Covered Authorizations))</w:t>
      </w:r>
      <w:r>
        <w:t xml:space="preserve"> (</w:t>
      </w:r>
      <w:r w:rsidRPr="004539A7">
        <w:rPr>
          <w:i/>
          <w:iCs/>
        </w:rPr>
        <w:t>Foreign Adversary Control Report and Order</w:t>
      </w:r>
      <w:r>
        <w:t>)</w:t>
      </w:r>
      <w:r w:rsidRPr="004539A7">
        <w:t xml:space="preserve">.  This amendment will become effective 60 days after publication in the Federal Register.  </w:t>
      </w:r>
      <w:r w:rsidRPr="004539A7">
        <w:rPr>
          <w:i/>
          <w:iCs/>
        </w:rPr>
        <w:t>Id.</w:t>
      </w:r>
      <w:r w:rsidRPr="004539A7">
        <w:t xml:space="preserve"> at 60, para. 111.</w:t>
      </w:r>
    </w:p>
  </w:footnote>
  <w:footnote w:id="210">
    <w:p w:rsidR="005919ED" w:rsidRPr="004539A7" w:rsidP="005919ED" w14:paraId="54AE51F8" w14:textId="77777777">
      <w:pPr>
        <w:pStyle w:val="FootnoteText"/>
      </w:pPr>
      <w:r w:rsidRPr="004539A7">
        <w:rPr>
          <w:rStyle w:val="FootnoteReference"/>
        </w:rPr>
        <w:footnoteRef/>
      </w:r>
      <w:r w:rsidRPr="004539A7">
        <w:t xml:space="preserve"> </w:t>
      </w:r>
      <w:r>
        <w:rPr>
          <w:i/>
          <w:iCs/>
        </w:rPr>
        <w:t>Id.</w:t>
      </w:r>
      <w:r w:rsidRPr="004539A7">
        <w:t xml:space="preserve"> at 2</w:t>
      </w:r>
      <w:r>
        <w:t>, 30-31, 34-35, paras. 3, 47, 52.</w:t>
      </w:r>
    </w:p>
  </w:footnote>
  <w:footnote w:id="211">
    <w:p w:rsidR="005919ED" w:rsidRPr="004539A7" w:rsidP="005919ED" w14:paraId="3E8B6DF0" w14:textId="77777777">
      <w:pPr>
        <w:pStyle w:val="FootnoteText"/>
      </w:pPr>
      <w:r w:rsidRPr="004539A7">
        <w:rPr>
          <w:rStyle w:val="FootnoteReference"/>
        </w:rPr>
        <w:footnoteRef/>
      </w:r>
      <w:r w:rsidRPr="004539A7">
        <w:t xml:space="preserve"> For example, an interconnected VoIP provider that does not have a direct access to numbering resources authorization is not by that fact alone prohibited from originating, carrying, or terminating voice calls in the United States.  </w:t>
      </w:r>
      <w:r w:rsidRPr="004539A7">
        <w:rPr>
          <w:i/>
          <w:iCs/>
        </w:rPr>
        <w:t>See Robocall Numbering Policies NPRM</w:t>
      </w:r>
      <w:r w:rsidRPr="004539A7">
        <w:t xml:space="preserve">, FCC 26-17, at 2, para. 2 (explaining that while “interconnected VoIP service providers may receive numbering resources directly from [NANPA], the distribution of numbers is broader because, in some instances, it involves multiple levels of resellers that indirectly access numbering resources,” which “partly enables the robocall ecosystem”); </w:t>
      </w:r>
      <w:r w:rsidRPr="004539A7">
        <w:rPr>
          <w:i/>
          <w:iCs/>
        </w:rPr>
        <w:t>id.</w:t>
      </w:r>
      <w:r w:rsidRPr="00727BDD">
        <w:t xml:space="preserve"> </w:t>
      </w:r>
      <w:r w:rsidRPr="004539A7">
        <w:t xml:space="preserve">at 6, para. </w:t>
      </w:r>
      <w:r>
        <w:t>10</w:t>
      </w:r>
      <w:r w:rsidRPr="004539A7">
        <w:t xml:space="preserve"> (noting that prior to 2015, interconnected VoIP providers “had to obtain numbering resources indirectly through telecommunications carrier partners .</w:t>
      </w:r>
      <w:r>
        <w:t> </w:t>
      </w:r>
      <w:r w:rsidRPr="004539A7">
        <w:t>.</w:t>
      </w:r>
      <w:r>
        <w:t> </w:t>
      </w:r>
      <w:r w:rsidRPr="004539A7">
        <w:t xml:space="preserve">. rather than </w:t>
      </w:r>
      <w:r>
        <w:t xml:space="preserve">directly from the </w:t>
      </w:r>
      <w:r w:rsidRPr="004539A7">
        <w:t>NANPA”).</w:t>
      </w:r>
      <w:r w:rsidRPr="004539A7">
        <w:rPr>
          <w:i/>
          <w:iCs/>
        </w:rPr>
        <w:t xml:space="preserve"> </w:t>
      </w:r>
      <w:r w:rsidRPr="004539A7">
        <w:t xml:space="preserve"> As the Commission has noted with respect to VoIP providers in particular, “VoIP providers that do not also provide telecommunications service likely do not hold any other Commission licenses or authorizations that would require them to make the same foreign adversary attestation and disclosures [required of] other communications providers operating in the United States.”  </w:t>
      </w:r>
      <w:r w:rsidRPr="004539A7">
        <w:rPr>
          <w:i/>
          <w:iCs/>
        </w:rPr>
        <w:t>Foreign Adversary Control Report and Order</w:t>
      </w:r>
      <w:r w:rsidRPr="004539A7">
        <w:t>, FCC 26-2,</w:t>
      </w:r>
      <w:r w:rsidRPr="004539A7">
        <w:rPr>
          <w:i/>
          <w:iCs/>
        </w:rPr>
        <w:t xml:space="preserve"> </w:t>
      </w:r>
      <w:r w:rsidRPr="004539A7">
        <w:t xml:space="preserve">at </w:t>
      </w:r>
      <w:r>
        <w:t>34-</w:t>
      </w:r>
      <w:r w:rsidRPr="004539A7">
        <w:t>35, para. 52.</w:t>
      </w:r>
    </w:p>
  </w:footnote>
  <w:footnote w:id="212">
    <w:p w:rsidR="005919ED" w:rsidRPr="004539A7" w:rsidP="005919ED" w14:paraId="060557AC" w14:textId="77777777">
      <w:pPr>
        <w:pStyle w:val="FootnoteText"/>
      </w:pPr>
      <w:r w:rsidRPr="004539A7">
        <w:rPr>
          <w:rStyle w:val="FootnoteReference"/>
        </w:rPr>
        <w:footnoteRef/>
      </w:r>
      <w:r w:rsidRPr="004539A7">
        <w:t xml:space="preserve"> </w:t>
      </w:r>
      <w:r w:rsidRPr="004539A7">
        <w:rPr>
          <w:i/>
          <w:iCs/>
        </w:rPr>
        <w:t>See, e.g.</w:t>
      </w:r>
      <w:r w:rsidRPr="004539A7">
        <w:t xml:space="preserve">, </w:t>
      </w:r>
      <w:r w:rsidRPr="004539A7">
        <w:rPr>
          <w:i/>
          <w:iCs/>
        </w:rPr>
        <w:t>Second Caller ID Authentication Order</w:t>
      </w:r>
      <w:r w:rsidRPr="004539A7">
        <w:t xml:space="preserve">, 36 FCC </w:t>
      </w:r>
      <w:r w:rsidRPr="004539A7">
        <w:t>Rcd</w:t>
      </w:r>
      <w:r w:rsidRPr="004539A7">
        <w:t xml:space="preserve"> </w:t>
      </w:r>
      <w:r w:rsidRPr="004539A7">
        <w:t>at</w:t>
      </w:r>
      <w:r w:rsidRPr="004539A7">
        <w:t xml:space="preserve"> 1906, para. 91.</w:t>
      </w:r>
    </w:p>
  </w:footnote>
  <w:footnote w:id="213">
    <w:p w:rsidR="005919ED" w:rsidRPr="004539A7" w:rsidP="005919ED" w14:paraId="16011FE7" w14:textId="77777777">
      <w:pPr>
        <w:pStyle w:val="FootnoteText"/>
      </w:pPr>
      <w:r w:rsidRPr="004539A7">
        <w:rPr>
          <w:rStyle w:val="FootnoteReference"/>
        </w:rPr>
        <w:footnoteRef/>
      </w:r>
      <w:r w:rsidRPr="004539A7">
        <w:t xml:space="preserve"> 47 CFR § 1.80003(a).</w:t>
      </w:r>
    </w:p>
  </w:footnote>
  <w:footnote w:id="214">
    <w:p w:rsidR="005919ED" w:rsidRPr="004539A7" w:rsidP="005919ED" w14:paraId="4431A028" w14:textId="77777777">
      <w:pPr>
        <w:pStyle w:val="FootnoteText"/>
      </w:pPr>
      <w:r w:rsidRPr="004539A7">
        <w:rPr>
          <w:rStyle w:val="FootnoteReference"/>
        </w:rPr>
        <w:footnoteRef/>
      </w:r>
      <w:r w:rsidRPr="004539A7">
        <w:t xml:space="preserve"> </w:t>
      </w:r>
      <w:r w:rsidRPr="004539A7">
        <w:rPr>
          <w:i/>
          <w:iCs/>
        </w:rPr>
        <w:t xml:space="preserve">See </w:t>
      </w:r>
      <w:r w:rsidRPr="004539A7">
        <w:t>47 CFR § 1.80003(j)-(l).</w:t>
      </w:r>
    </w:p>
  </w:footnote>
  <w:footnote w:id="215">
    <w:p w:rsidR="005919ED" w:rsidRPr="004539A7" w:rsidP="005919ED" w14:paraId="3EDA040F" w14:textId="77777777">
      <w:pPr>
        <w:pStyle w:val="FootnoteText"/>
      </w:pPr>
      <w:r w:rsidRPr="004539A7">
        <w:rPr>
          <w:rStyle w:val="FootnoteReference"/>
        </w:rPr>
        <w:footnoteRef/>
      </w:r>
      <w:r w:rsidRPr="004539A7">
        <w:t xml:space="preserve"> </w:t>
      </w:r>
      <w:r w:rsidRPr="004539A7">
        <w:rPr>
          <w:i/>
          <w:iCs/>
        </w:rPr>
        <w:t>See</w:t>
      </w:r>
      <w:r w:rsidRPr="004539A7">
        <w:t xml:space="preserve"> 47 CFR § 0.111(a)(28)(</w:t>
      </w:r>
      <w:r w:rsidRPr="004539A7">
        <w:t>i</w:t>
      </w:r>
      <w:r w:rsidRPr="004539A7">
        <w:t>).</w:t>
      </w:r>
    </w:p>
  </w:footnote>
  <w:footnote w:id="216">
    <w:p w:rsidR="005919ED" w:rsidRPr="004539A7" w:rsidP="005919ED" w14:paraId="4CDA9202" w14:textId="77777777">
      <w:pPr>
        <w:pStyle w:val="FootnoteText"/>
      </w:pPr>
      <w:r w:rsidRPr="004539A7">
        <w:rPr>
          <w:rStyle w:val="FootnoteReference"/>
        </w:rPr>
        <w:footnoteRef/>
      </w:r>
      <w:r w:rsidRPr="004539A7">
        <w:t xml:space="preserve"> </w:t>
      </w:r>
      <w:r w:rsidRPr="004539A7">
        <w:rPr>
          <w:i/>
        </w:rPr>
        <w:t>See Second Caller ID Authentication Order</w:t>
      </w:r>
      <w:r w:rsidRPr="004539A7">
        <w:t xml:space="preserve">, 36 FCC </w:t>
      </w:r>
      <w:r w:rsidRPr="004539A7">
        <w:t>Rcd</w:t>
      </w:r>
      <w:r w:rsidRPr="004539A7">
        <w:t xml:space="preserve"> </w:t>
      </w:r>
      <w:r w:rsidRPr="004539A7">
        <w:t>at</w:t>
      </w:r>
      <w:r w:rsidRPr="004539A7">
        <w:t xml:space="preserve"> 1903, para. 83; </w:t>
      </w:r>
      <w:r w:rsidRPr="004539A7">
        <w:rPr>
          <w:i/>
        </w:rPr>
        <w:t>Gateway Provider Order</w:t>
      </w:r>
      <w:r>
        <w:rPr>
          <w:iCs/>
        </w:rPr>
        <w:t>,</w:t>
      </w:r>
      <w:r w:rsidRPr="004539A7">
        <w:t xml:space="preserve"> 37 FCC </w:t>
      </w:r>
      <w:r w:rsidRPr="004539A7">
        <w:t>Rcd</w:t>
      </w:r>
      <w:r w:rsidRPr="004539A7">
        <w:t xml:space="preserve"> at 6882, para. 40; </w:t>
      </w:r>
      <w:r w:rsidRPr="004539A7">
        <w:rPr>
          <w:i/>
        </w:rPr>
        <w:t>Sixth Caller ID Authentication Order</w:t>
      </w:r>
      <w:r w:rsidRPr="004539A7">
        <w:t xml:space="preserve">, 38 FCC </w:t>
      </w:r>
      <w:r w:rsidRPr="004539A7">
        <w:t>Rcd</w:t>
      </w:r>
      <w:r w:rsidRPr="004539A7">
        <w:t xml:space="preserve"> at 2603, para. 57; 47 CFR § 0.111(a)(28).  Among others, the Commission has adopted a $10,000 base forfeiture for submitting false or inaccurate information to the Database and a $1,000 base forfeiture for failing to update Database information within 10 business </w:t>
      </w:r>
      <w:r w:rsidRPr="004539A7">
        <w:t>days, and</w:t>
      </w:r>
      <w:r w:rsidRPr="004539A7">
        <w:t xml:space="preserve"> found that these violations continue until cured.  </w:t>
      </w:r>
      <w:r w:rsidRPr="004539A7">
        <w:rPr>
          <w:i/>
          <w:iCs/>
        </w:rPr>
        <w:t>RMD Order</w:t>
      </w:r>
      <w:r w:rsidRPr="004539A7">
        <w:t xml:space="preserve">, 40 FCC </w:t>
      </w:r>
      <w:r w:rsidRPr="004539A7">
        <w:t>Rcd</w:t>
      </w:r>
      <w:r w:rsidRPr="004539A7">
        <w:t xml:space="preserve"> at 605-09, paras. 14-23; </w:t>
      </w:r>
      <w:r w:rsidRPr="004539A7">
        <w:rPr>
          <w:i/>
        </w:rPr>
        <w:t>see also</w:t>
      </w:r>
      <w:r w:rsidRPr="004539A7">
        <w:t xml:space="preserve"> 47 CFR § 1.80(b)(11) </w:t>
      </w:r>
      <w:r w:rsidRPr="004539A7">
        <w:t>tbl</w:t>
      </w:r>
      <w:r w:rsidRPr="004539A7">
        <w:t>. 1.</w:t>
      </w:r>
    </w:p>
  </w:footnote>
  <w:footnote w:id="217">
    <w:p w:rsidR="005919ED" w:rsidRPr="004539A7" w:rsidP="005919ED" w14:paraId="78203967" w14:textId="77777777">
      <w:pPr>
        <w:pStyle w:val="FootnoteText"/>
      </w:pPr>
      <w:r w:rsidRPr="004539A7">
        <w:rPr>
          <w:rStyle w:val="FootnoteReference"/>
        </w:rPr>
        <w:footnoteRef/>
      </w:r>
      <w:r w:rsidRPr="004539A7">
        <w:t xml:space="preserve"> 47 CFR § 64.6305(g).</w:t>
      </w:r>
    </w:p>
  </w:footnote>
  <w:footnote w:id="218">
    <w:p w:rsidR="005919ED" w:rsidRPr="004539A7" w:rsidP="005919ED" w14:paraId="07472D17" w14:textId="77777777">
      <w:pPr>
        <w:pStyle w:val="FootnoteText"/>
        <w:rPr>
          <w:i/>
          <w:iCs/>
        </w:rPr>
      </w:pPr>
      <w:r w:rsidRPr="004539A7">
        <w:rPr>
          <w:rStyle w:val="FootnoteReference"/>
        </w:rPr>
        <w:footnoteRef/>
      </w:r>
      <w:r w:rsidRPr="004539A7">
        <w:t xml:space="preserve"> </w:t>
      </w:r>
      <w:r w:rsidRPr="004539A7">
        <w:rPr>
          <w:i/>
          <w:iCs/>
        </w:rPr>
        <w:t>See Global UC Inc</w:t>
      </w:r>
      <w:r w:rsidRPr="004539A7">
        <w:t xml:space="preserve">, EB-TCD-22-00034406, Removal Order, 37 FCC </w:t>
      </w:r>
      <w:r w:rsidRPr="004539A7">
        <w:t>Rcd</w:t>
      </w:r>
      <w:r w:rsidRPr="004539A7">
        <w:t xml:space="preserve"> 13376, 13379, para. 8 (EB 2022) (</w:t>
      </w:r>
      <w:r w:rsidRPr="004539A7">
        <w:rPr>
          <w:i/>
          <w:iCs/>
        </w:rPr>
        <w:t>Global UC Removal Order</w:t>
      </w:r>
      <w:r w:rsidRPr="004539A7">
        <w:t xml:space="preserve">).  In certain limited circumstances, the Bureaus may consent to provisionally reinstate removed providers and require them to bring their filings into compliance or face removal again.  </w:t>
      </w:r>
      <w:r w:rsidRPr="004539A7">
        <w:rPr>
          <w:i/>
          <w:iCs/>
        </w:rPr>
        <w:t>See Robocall Mitigation Database Filers</w:t>
      </w:r>
      <w:r w:rsidRPr="004539A7">
        <w:t>, EB-TCD-25-00038590, Order, DA 26-282, paras. 7, 10 (EB Mar. 24, 2026) (</w:t>
      </w:r>
      <w:r w:rsidRPr="004539A7">
        <w:rPr>
          <w:i/>
          <w:iCs/>
        </w:rPr>
        <w:t>Provisional Reinstatement Order</w:t>
      </w:r>
      <w:r w:rsidRPr="004539A7">
        <w:t>).</w:t>
      </w:r>
    </w:p>
  </w:footnote>
  <w:footnote w:id="219">
    <w:p w:rsidR="005919ED" w:rsidRPr="004539A7" w:rsidP="005919ED" w14:paraId="50998AD2" w14:textId="77777777">
      <w:pPr>
        <w:pStyle w:val="FootnoteText"/>
      </w:pPr>
      <w:r w:rsidRPr="004539A7">
        <w:rPr>
          <w:rStyle w:val="FootnoteReference"/>
        </w:rPr>
        <w:footnoteRef/>
      </w:r>
      <w:r w:rsidRPr="004539A7">
        <w:t xml:space="preserve"> The Commission has removed over 1,400 deficient filings since January 2025.  </w:t>
      </w:r>
      <w:r w:rsidRPr="004539A7">
        <w:rPr>
          <w:i/>
          <w:iCs/>
        </w:rPr>
        <w:t>See, e.g.</w:t>
      </w:r>
      <w:r w:rsidRPr="004539A7">
        <w:t xml:space="preserve">, </w:t>
      </w:r>
      <w:r w:rsidRPr="004539A7">
        <w:rPr>
          <w:i/>
          <w:iCs/>
        </w:rPr>
        <w:t xml:space="preserve">SK </w:t>
      </w:r>
      <w:r w:rsidRPr="004539A7">
        <w:rPr>
          <w:i/>
          <w:iCs/>
        </w:rPr>
        <w:t>Teleco</w:t>
      </w:r>
      <w:r w:rsidRPr="004539A7">
        <w:rPr>
          <w:i/>
          <w:iCs/>
        </w:rPr>
        <w:t xml:space="preserve"> LLC</w:t>
      </w:r>
      <w:r w:rsidRPr="004539A7">
        <w:t>, EB-TCD-24-00037169, EB Docket No. 22-174, Final Determination Order and Removal Order, DA 26-583, at paras. 14-15 (EB June 12, 2026)</w:t>
      </w:r>
      <w:r w:rsidRPr="004539A7">
        <w:rPr>
          <w:i/>
        </w:rPr>
        <w:t xml:space="preserve"> </w:t>
      </w:r>
      <w:r w:rsidRPr="004539A7">
        <w:t xml:space="preserve">(ordering removal from the RMD after “SK </w:t>
      </w:r>
      <w:r w:rsidRPr="004539A7">
        <w:t>Teleco</w:t>
      </w:r>
      <w:r w:rsidRPr="004539A7">
        <w:t xml:space="preserve"> did not sufficiently respond to the Notice and did not file any response to the Initial Determination Order”) (</w:t>
      </w:r>
      <w:r w:rsidRPr="004539A7">
        <w:rPr>
          <w:i/>
          <w:iCs/>
        </w:rPr>
        <w:t xml:space="preserve">SK </w:t>
      </w:r>
      <w:r w:rsidRPr="004539A7">
        <w:rPr>
          <w:i/>
          <w:iCs/>
        </w:rPr>
        <w:t>Teleco</w:t>
      </w:r>
      <w:r w:rsidRPr="004539A7">
        <w:rPr>
          <w:i/>
          <w:iCs/>
        </w:rPr>
        <w:t xml:space="preserve"> Order</w:t>
      </w:r>
      <w:r w:rsidRPr="004539A7">
        <w:t xml:space="preserve">); </w:t>
      </w:r>
      <w:r w:rsidRPr="004539A7">
        <w:rPr>
          <w:i/>
          <w:iCs/>
        </w:rPr>
        <w:t>Robocall Mitigation Database Filers</w:t>
      </w:r>
      <w:r w:rsidRPr="004539A7">
        <w:t>, EB-TCD-</w:t>
      </w:r>
      <w:r>
        <w:t>25-</w:t>
      </w:r>
      <w:r w:rsidRPr="004539A7">
        <w:t xml:space="preserve">00038590, Order, 40 </w:t>
      </w:r>
      <w:r w:rsidRPr="004539A7">
        <w:t>Rcd</w:t>
      </w:r>
      <w:r w:rsidRPr="004539A7">
        <w:t xml:space="preserve"> 6009 (EB 2025) (removing 1,203 additional non-compliant voice service providers from the Database)</w:t>
      </w:r>
      <w:r>
        <w:t xml:space="preserve"> (</w:t>
      </w:r>
      <w:r>
        <w:rPr>
          <w:i/>
          <w:iCs/>
        </w:rPr>
        <w:t>Aug. 25, 2025 Removal Order</w:t>
      </w:r>
      <w:r w:rsidRPr="004539A7">
        <w:t xml:space="preserve">); </w:t>
      </w:r>
      <w:r w:rsidRPr="004539A7">
        <w:rPr>
          <w:i/>
          <w:iCs/>
        </w:rPr>
        <w:t>Robocall Mitigation Database Filers</w:t>
      </w:r>
      <w:r w:rsidRPr="004539A7">
        <w:t xml:space="preserve">, EB-TCD-24-00036891, Order, 40 FCC </w:t>
      </w:r>
      <w:r w:rsidRPr="004539A7">
        <w:t>Rcd</w:t>
      </w:r>
      <w:r w:rsidRPr="004539A7">
        <w:t xml:space="preserve"> 5835 (EB 2025) (removing 185 non-compliant voice service providers from the Database) (</w:t>
      </w:r>
      <w:r>
        <w:rPr>
          <w:i/>
          <w:iCs/>
        </w:rPr>
        <w:t>Aug.</w:t>
      </w:r>
      <w:r w:rsidRPr="004539A7">
        <w:rPr>
          <w:i/>
          <w:iCs/>
        </w:rPr>
        <w:t xml:space="preserve"> 6</w:t>
      </w:r>
      <w:r>
        <w:rPr>
          <w:i/>
          <w:iCs/>
        </w:rPr>
        <w:t>, 2025</w:t>
      </w:r>
      <w:r w:rsidRPr="004539A7">
        <w:rPr>
          <w:i/>
          <w:iCs/>
        </w:rPr>
        <w:t xml:space="preserve"> Removal Order</w:t>
      </w:r>
      <w:r w:rsidRPr="004539A7">
        <w:t>);</w:t>
      </w:r>
      <w:r w:rsidRPr="004539A7">
        <w:rPr>
          <w:i/>
          <w:iCs/>
        </w:rPr>
        <w:t xml:space="preserve"> BPO VOIP</w:t>
      </w:r>
      <w:r w:rsidRPr="004539A7">
        <w:t xml:space="preserve"> et al, EB-TCD-25-00039435, Order, 40 </w:t>
      </w:r>
      <w:r w:rsidRPr="004539A7">
        <w:t>Rcd</w:t>
      </w:r>
      <w:r w:rsidRPr="004539A7">
        <w:t xml:space="preserve"> 7810 (EB 2025) (removing 12 companies from the Database)</w:t>
      </w:r>
      <w:r>
        <w:t xml:space="preserve"> (</w:t>
      </w:r>
      <w:r>
        <w:rPr>
          <w:i/>
          <w:iCs/>
        </w:rPr>
        <w:t>BPO VOIP Removal Order</w:t>
      </w:r>
      <w:r>
        <w:t>)</w:t>
      </w:r>
      <w:r w:rsidRPr="004539A7">
        <w:t xml:space="preserve">; </w:t>
      </w:r>
      <w:r w:rsidRPr="004539A7">
        <w:rPr>
          <w:i/>
          <w:iCs/>
        </w:rPr>
        <w:t xml:space="preserve">Ananya traders </w:t>
      </w:r>
      <w:r w:rsidRPr="004539A7">
        <w:rPr>
          <w:i/>
          <w:iCs/>
        </w:rPr>
        <w:t>llc</w:t>
      </w:r>
      <w:r w:rsidRPr="004539A7">
        <w:t xml:space="preserve">, EB-TCD-25-00039315, Order, 40 FCC </w:t>
      </w:r>
      <w:r w:rsidRPr="004539A7">
        <w:t>Rcd</w:t>
      </w:r>
      <w:r w:rsidRPr="004539A7">
        <w:t xml:space="preserve"> 7806, 7808, para. 7 (EB 2025) (finding “[d]</w:t>
      </w:r>
      <w:r w:rsidRPr="004539A7">
        <w:t>espite</w:t>
      </w:r>
      <w:r w:rsidRPr="004539A7">
        <w:t xml:space="preserve"> a notification from the Commission informing the Company that its RMD certification was noncompliant, and an order from the Bureau to cure the deficiencies or explain why the Company should not be removed, the Company failed to respond or cure the deficiencies”</w:t>
      </w:r>
      <w:r>
        <w:t>)</w:t>
      </w:r>
      <w:r w:rsidRPr="004539A7">
        <w:t xml:space="preserve"> (footnote omitted) (</w:t>
      </w:r>
      <w:r w:rsidRPr="004539A7">
        <w:rPr>
          <w:i/>
          <w:iCs/>
        </w:rPr>
        <w:t>Ananya Traders Removal Order</w:t>
      </w:r>
      <w:r w:rsidRPr="004539A7">
        <w:t xml:space="preserve">); </w:t>
      </w:r>
      <w:r w:rsidRPr="004539A7">
        <w:rPr>
          <w:i/>
          <w:iCs/>
        </w:rPr>
        <w:t>Belthrough</w:t>
      </w:r>
      <w:r w:rsidRPr="004539A7">
        <w:rPr>
          <w:i/>
          <w:iCs/>
        </w:rPr>
        <w:t xml:space="preserve"> LLC</w:t>
      </w:r>
      <w:r w:rsidRPr="004539A7">
        <w:t>, EB-TCD-00037445</w:t>
      </w:r>
      <w:r>
        <w:t>,</w:t>
      </w:r>
      <w:r w:rsidRPr="004539A7">
        <w:t xml:space="preserve"> EB Docket No. 22-174, Final Determination Order and Removal Order, DA 26-237, at 7, para. 15 (EB Mar. 12, 2026)</w:t>
      </w:r>
      <w:r>
        <w:t xml:space="preserve"> </w:t>
      </w:r>
      <w:r w:rsidRPr="004539A7">
        <w:t>(ordering removal from the RMD after “</w:t>
      </w:r>
      <w:r w:rsidRPr="004539A7">
        <w:t>Belthrough</w:t>
      </w:r>
      <w:r w:rsidRPr="004539A7">
        <w:t xml:space="preserve"> did not respond to the Notice or the Initial Determination Order in any way”</w:t>
      </w:r>
      <w:r>
        <w:t>)</w:t>
      </w:r>
      <w:r w:rsidRPr="004539A7">
        <w:t xml:space="preserve"> (</w:t>
      </w:r>
      <w:r w:rsidRPr="004539A7">
        <w:rPr>
          <w:i/>
          <w:iCs/>
        </w:rPr>
        <w:t>Belthrough</w:t>
      </w:r>
      <w:r w:rsidRPr="004539A7">
        <w:rPr>
          <w:i/>
          <w:iCs/>
        </w:rPr>
        <w:t xml:space="preserve"> Removal Order</w:t>
      </w:r>
      <w:r w:rsidRPr="004539A7">
        <w:t xml:space="preserve">); </w:t>
      </w:r>
      <w:r w:rsidRPr="004539A7">
        <w:rPr>
          <w:i/>
          <w:iCs/>
        </w:rPr>
        <w:t xml:space="preserve">chase tech </w:t>
      </w:r>
      <w:r w:rsidRPr="004539A7">
        <w:rPr>
          <w:i/>
          <w:iCs/>
        </w:rPr>
        <w:t>llc</w:t>
      </w:r>
      <w:r w:rsidRPr="004539A7">
        <w:t xml:space="preserve">, EB-TCD-24-00037629, 40 FCC </w:t>
      </w:r>
      <w:r w:rsidRPr="004539A7">
        <w:t>Rcd</w:t>
      </w:r>
      <w:r w:rsidRPr="004539A7">
        <w:t xml:space="preserve"> 7204, 7296, para. 7 (</w:t>
      </w:r>
      <w:r>
        <w:t xml:space="preserve">EB </w:t>
      </w:r>
      <w:r w:rsidRPr="004539A7">
        <w:t>2025) (finding the Company’s RMD filing to be facially deficient because it contained extensive PII of an individual who is unaffiliated with the Company) (</w:t>
      </w:r>
      <w:r w:rsidRPr="004539A7">
        <w:rPr>
          <w:i/>
          <w:iCs/>
        </w:rPr>
        <w:t>Chase Tech Removal Order</w:t>
      </w:r>
      <w:r w:rsidRPr="004539A7">
        <w:t>).</w:t>
      </w:r>
    </w:p>
  </w:footnote>
  <w:footnote w:id="220">
    <w:p w:rsidR="005919ED" w:rsidRPr="004539A7" w:rsidP="005919ED" w14:paraId="2D6F6E5C" w14:textId="77777777">
      <w:pPr>
        <w:pStyle w:val="FootnoteText"/>
      </w:pPr>
      <w:r w:rsidRPr="004539A7">
        <w:rPr>
          <w:rStyle w:val="FootnoteReference"/>
        </w:rPr>
        <w:footnoteRef/>
      </w:r>
      <w:r w:rsidRPr="004539A7">
        <w:t xml:space="preserve"> </w:t>
      </w:r>
      <w:r w:rsidRPr="004539A7">
        <w:rPr>
          <w:i/>
          <w:iCs/>
        </w:rPr>
        <w:t>See, e.g.</w:t>
      </w:r>
      <w:r w:rsidRPr="004539A7">
        <w:t>, Letter from Patrick Webre, Chief, FCC Enforcement Bureau, to Christopher Anderson, Senior Manager, Aspireistic Inc. at 6-7 (June 11, 2026) (on file at EB-TCD-26-00040720) (providing notice that provider’s RMD filing is deficient due to, among other things, failing to identify in its mitigation plan whether it uses any third-party analytics vendor(s), and if so, the name(s) of such vendor(s), as required by section 64.6305(d)(2)(ii) and (e)(2)(ii)) (</w:t>
      </w:r>
      <w:r w:rsidRPr="004539A7">
        <w:rPr>
          <w:i/>
          <w:iCs/>
        </w:rPr>
        <w:t>Aspireistic Letter</w:t>
      </w:r>
      <w:r w:rsidRPr="004539A7">
        <w:t xml:space="preserve">); Letter from Patrick Webre, Chief, FCC Enforcement Bureau, to Henry A. Sickler, Vice President, </w:t>
      </w:r>
      <w:r w:rsidRPr="004539A7">
        <w:t>Callsto</w:t>
      </w:r>
      <w:r w:rsidRPr="004539A7">
        <w:t>, LLC at 6-7 (June 11, 2026) (on file at EB-TCD-26-00040720) (same) (</w:t>
      </w:r>
      <w:r w:rsidRPr="004539A7">
        <w:rPr>
          <w:i/>
          <w:iCs/>
        </w:rPr>
        <w:t>Callsto</w:t>
      </w:r>
      <w:r w:rsidRPr="004539A7">
        <w:rPr>
          <w:i/>
          <w:iCs/>
        </w:rPr>
        <w:t xml:space="preserve"> Letter</w:t>
      </w:r>
      <w:r w:rsidRPr="004539A7">
        <w:t>).</w:t>
      </w:r>
    </w:p>
  </w:footnote>
  <w:footnote w:id="221">
    <w:p w:rsidR="005919ED" w:rsidRPr="004539A7" w:rsidP="005919ED" w14:paraId="26E9919F" w14:textId="77777777">
      <w:pPr>
        <w:pStyle w:val="FootnoteText"/>
      </w:pPr>
      <w:r w:rsidRPr="004539A7">
        <w:rPr>
          <w:rStyle w:val="FootnoteReference"/>
        </w:rPr>
        <w:footnoteRef/>
      </w:r>
      <w:r w:rsidRPr="004539A7">
        <w:t xml:space="preserve"> The </w:t>
      </w:r>
      <w:r w:rsidRPr="00CC45BA">
        <w:t xml:space="preserve">Commission’s rules already specify that filings may be removed when they are deficient after notice and an opportunity to cure, </w:t>
      </w:r>
      <w:r w:rsidRPr="00CC45BA">
        <w:rPr>
          <w:i/>
          <w:iCs/>
        </w:rPr>
        <w:t>see</w:t>
      </w:r>
      <w:r w:rsidRPr="00CC45BA">
        <w:t xml:space="preserve"> </w:t>
      </w:r>
      <w:r w:rsidRPr="004539A7">
        <w:t xml:space="preserve">47 CFR § 0.111(a)(28), but we intend to recodify this basis in the same section as the other removal </w:t>
      </w:r>
      <w:r w:rsidRPr="004539A7">
        <w:t>causes</w:t>
      </w:r>
      <w:r w:rsidRPr="004539A7">
        <w:t xml:space="preserve"> we establish, </w:t>
      </w:r>
      <w:r w:rsidRPr="004539A7">
        <w:rPr>
          <w:i/>
          <w:iCs/>
        </w:rPr>
        <w:t xml:space="preserve">see </w:t>
      </w:r>
      <w:r w:rsidRPr="004539A7">
        <w:rPr>
          <w:i/>
          <w:iCs/>
        </w:rPr>
        <w:t>infra</w:t>
      </w:r>
      <w:r w:rsidRPr="004539A7">
        <w:t xml:space="preserve"> Appx</w:t>
      </w:r>
      <w:r w:rsidRPr="004539A7">
        <w:t>. A, and to address notice and cure requirements independently, as discussed below.  Additionally, t</w:t>
      </w:r>
      <w:r w:rsidRPr="00CC45BA">
        <w:t xml:space="preserve">he Commission has explained that a filing may be deficient when, for example, it describes a mitigation program that is unreasonable, or if the Commission determines that the provider knowingly or negligently carries or processes illegal robocalls in contravention of its RMD filing, </w:t>
      </w:r>
      <w:r w:rsidRPr="00CC45BA">
        <w:rPr>
          <w:i/>
          <w:iCs/>
        </w:rPr>
        <w:t xml:space="preserve">see </w:t>
      </w:r>
      <w:r w:rsidRPr="004539A7">
        <w:rPr>
          <w:i/>
          <w:iCs/>
        </w:rPr>
        <w:t>Sixth Caller ID Authentication Order</w:t>
      </w:r>
      <w:r w:rsidRPr="004539A7">
        <w:t xml:space="preserve">, 38 FCC </w:t>
      </w:r>
      <w:r w:rsidRPr="004539A7">
        <w:t>Rcd</w:t>
      </w:r>
      <w:r w:rsidRPr="004539A7">
        <w:t xml:space="preserve"> at 2603, para. 57, but we believe this revised deficiency cause, along with the facial deficiency removal cause, will capture the full scope of potential deficiencies.</w:t>
      </w:r>
    </w:p>
  </w:footnote>
  <w:footnote w:id="222">
    <w:p w:rsidR="005919ED" w:rsidRPr="004539A7" w:rsidP="005919ED" w14:paraId="69843E33" w14:textId="77777777">
      <w:pPr>
        <w:pStyle w:val="FootnoteText"/>
      </w:pPr>
      <w:r w:rsidRPr="004539A7">
        <w:rPr>
          <w:rStyle w:val="FootnoteReference"/>
        </w:rPr>
        <w:footnoteRef/>
      </w:r>
      <w:r w:rsidRPr="004539A7">
        <w:t xml:space="preserve"> </w:t>
      </w:r>
      <w:r w:rsidRPr="00CC45BA">
        <w:t xml:space="preserve">The Commission has previously described facially deficient filings as those where “the provider has failed to submit even the most basic information required </w:t>
      </w:r>
      <w:r w:rsidRPr="00CC45BA">
        <w:t>.</w:t>
      </w:r>
      <w:r>
        <w:t> </w:t>
      </w:r>
      <w:r w:rsidRPr="00CC45BA">
        <w:t>.</w:t>
      </w:r>
      <w:r>
        <w:t> </w:t>
      </w:r>
      <w:r w:rsidRPr="00CC45BA">
        <w:t>. .</w:t>
      </w:r>
      <w:r w:rsidRPr="00CC45BA">
        <w:t xml:space="preserve">”  </w:t>
      </w:r>
      <w:r w:rsidRPr="004539A7">
        <w:rPr>
          <w:i/>
          <w:iCs/>
        </w:rPr>
        <w:t>Sixth Caller ID Authentication Order</w:t>
      </w:r>
      <w:r w:rsidRPr="004539A7">
        <w:t xml:space="preserve">, 38 FCC </w:t>
      </w:r>
      <w:r w:rsidRPr="004539A7">
        <w:t>Rcd</w:t>
      </w:r>
      <w:r w:rsidRPr="004539A7">
        <w:t xml:space="preserve"> at 2604, para. 61.  It has specifically</w:t>
      </w:r>
      <w:r w:rsidRPr="00CC45BA">
        <w:t xml:space="preserve"> stated that a filing is facially deficient where the provider submits a robocall mitigation plan that fails to provide any information about the specific reasonable steps the provider is taking to mitigate illegal robocalls, as required.  </w:t>
      </w:r>
      <w:r>
        <w:rPr>
          <w:i/>
          <w:iCs/>
        </w:rPr>
        <w:t>Id.</w:t>
      </w:r>
      <w:r w:rsidRPr="004539A7">
        <w:t xml:space="preserve">  It also provided a non-exhaustive list of examples for why a filing would be facially deficient, including instances where the provider only submits:  (1) a request for confidentiality with no underlying substantive filing; (2) only non-responsive data or documents (e.g., a screenshot from the Commission’s website of a provider’s FCC Registration Number data or other document that does not describe robocall mitigation efforts); (3) information that merely states how STIR/SHAKEN generally works, with no specific information about the provider’s own robocall mitigation efforts; or (4) a certification that is not in English and lacks a certified English translation.  </w:t>
      </w:r>
      <w:r w:rsidRPr="004539A7">
        <w:rPr>
          <w:i/>
          <w:iCs/>
        </w:rPr>
        <w:t>Id.</w:t>
      </w:r>
      <w:r w:rsidRPr="004539A7">
        <w:t xml:space="preserve">  The Commission has also removed filings that lack a robocall mitigation plan or other required information.  </w:t>
      </w:r>
      <w:r w:rsidRPr="004539A7">
        <w:rPr>
          <w:i/>
          <w:iCs/>
        </w:rPr>
        <w:t>See, e.g.</w:t>
      </w:r>
      <w:r w:rsidRPr="00727BDD">
        <w:t>,</w:t>
      </w:r>
      <w:r w:rsidRPr="00D57814">
        <w:t xml:space="preserve"> </w:t>
      </w:r>
      <w:r>
        <w:rPr>
          <w:i/>
          <w:iCs/>
        </w:rPr>
        <w:t xml:space="preserve">Aug. </w:t>
      </w:r>
      <w:r w:rsidRPr="00727BDD">
        <w:rPr>
          <w:i/>
        </w:rPr>
        <w:t>25</w:t>
      </w:r>
      <w:r>
        <w:rPr>
          <w:i/>
          <w:iCs/>
        </w:rPr>
        <w:t>, 2025 Removal</w:t>
      </w:r>
      <w:r w:rsidRPr="00727BDD">
        <w:rPr>
          <w:i/>
        </w:rPr>
        <w:t xml:space="preserve"> Order</w:t>
      </w:r>
      <w:r w:rsidRPr="004539A7">
        <w:t>,</w:t>
      </w:r>
      <w:r w:rsidRPr="00727BDD">
        <w:rPr>
          <w:i/>
        </w:rPr>
        <w:t xml:space="preserve"> </w:t>
      </w:r>
      <w:r w:rsidRPr="004539A7">
        <w:t xml:space="preserve">40 FCC </w:t>
      </w:r>
      <w:r w:rsidRPr="004539A7">
        <w:t>Rcd</w:t>
      </w:r>
      <w:r w:rsidRPr="004539A7">
        <w:t xml:space="preserve"> 6009 (removing 1,203 filings from the RMD for lacking required information); </w:t>
      </w:r>
      <w:r>
        <w:rPr>
          <w:i/>
          <w:iCs/>
        </w:rPr>
        <w:t>Aug.</w:t>
      </w:r>
      <w:r w:rsidRPr="004539A7">
        <w:rPr>
          <w:i/>
          <w:iCs/>
        </w:rPr>
        <w:t xml:space="preserve"> 6</w:t>
      </w:r>
      <w:r>
        <w:rPr>
          <w:i/>
          <w:iCs/>
        </w:rPr>
        <w:t>, 2025</w:t>
      </w:r>
      <w:r w:rsidRPr="004539A7">
        <w:rPr>
          <w:i/>
          <w:iCs/>
        </w:rPr>
        <w:t xml:space="preserve"> Removal</w:t>
      </w:r>
      <w:r w:rsidRPr="004539A7">
        <w:rPr>
          <w:i/>
        </w:rPr>
        <w:t xml:space="preserve"> Order</w:t>
      </w:r>
      <w:r w:rsidRPr="004539A7">
        <w:t xml:space="preserve">, 40 FCC </w:t>
      </w:r>
      <w:r w:rsidRPr="004539A7">
        <w:t>Rcd</w:t>
      </w:r>
      <w:r w:rsidRPr="004539A7">
        <w:t xml:space="preserve"> 5835 (removing 185 filings for lacking required information); </w:t>
      </w:r>
      <w:r w:rsidRPr="004539A7">
        <w:rPr>
          <w:i/>
          <w:iCs/>
        </w:rPr>
        <w:t>Ananya Traders Removal</w:t>
      </w:r>
      <w:r w:rsidRPr="004539A7">
        <w:rPr>
          <w:i/>
        </w:rPr>
        <w:t xml:space="preserve"> Order</w:t>
      </w:r>
      <w:r w:rsidRPr="004539A7">
        <w:t xml:space="preserve">, 40 FCC </w:t>
      </w:r>
      <w:r w:rsidRPr="004539A7">
        <w:t>Rcd</w:t>
      </w:r>
      <w:r w:rsidRPr="004539A7">
        <w:t xml:space="preserve"> 7806 (removing the provider’s filing from the RMD for lacking required information, including a robocall mitigation plan); </w:t>
      </w:r>
      <w:r w:rsidRPr="004539A7">
        <w:rPr>
          <w:i/>
          <w:iCs/>
        </w:rPr>
        <w:t>Global UC Removal Order</w:t>
      </w:r>
      <w:r w:rsidRPr="004539A7">
        <w:t xml:space="preserve">, 37 FCC </w:t>
      </w:r>
      <w:r w:rsidRPr="004539A7">
        <w:t>Rcd</w:t>
      </w:r>
      <w:r w:rsidRPr="004539A7">
        <w:t xml:space="preserve"> at 13376 (removing </w:t>
      </w:r>
      <w:r>
        <w:t xml:space="preserve">the </w:t>
      </w:r>
      <w:r w:rsidRPr="004539A7">
        <w:t xml:space="preserve">provider’s filing for including background technical information in lieu of a mitigation plan); </w:t>
      </w:r>
      <w:r w:rsidRPr="004539A7">
        <w:rPr>
          <w:i/>
          <w:iCs/>
        </w:rPr>
        <w:t xml:space="preserve">TELECLUB </w:t>
      </w:r>
      <w:r w:rsidRPr="004539A7">
        <w:rPr>
          <w:i/>
          <w:iCs/>
        </w:rPr>
        <w:t>fka</w:t>
      </w:r>
      <w:r w:rsidRPr="004539A7">
        <w:rPr>
          <w:i/>
          <w:iCs/>
        </w:rPr>
        <w:t xml:space="preserve"> 2054235 Alberta Ltd.</w:t>
      </w:r>
      <w:r w:rsidRPr="004539A7">
        <w:t xml:space="preserve">, EB-TCD-23-00034926, Removal Order, 39 FCC </w:t>
      </w:r>
      <w:r w:rsidRPr="004539A7">
        <w:t>Rcd</w:t>
      </w:r>
      <w:r w:rsidRPr="004539A7">
        <w:t xml:space="preserve"> 1325 (EB 2024) (removing </w:t>
      </w:r>
      <w:r>
        <w:t xml:space="preserve">the </w:t>
      </w:r>
      <w:r w:rsidRPr="004539A7">
        <w:t xml:space="preserve">provider’s filing for failing to include any description of the provider’s reasonable mitigation steps); </w:t>
      </w:r>
      <w:r w:rsidRPr="004539A7">
        <w:rPr>
          <w:i/>
          <w:iCs/>
        </w:rPr>
        <w:t>BPO Innovate</w:t>
      </w:r>
      <w:r w:rsidRPr="004539A7">
        <w:t xml:space="preserve">, Order, 39 FCC </w:t>
      </w:r>
      <w:r w:rsidRPr="004539A7">
        <w:t>Rcd</w:t>
      </w:r>
      <w:r w:rsidRPr="004539A7">
        <w:t xml:space="preserve"> 2953, 2955</w:t>
      </w:r>
      <w:r>
        <w:t>-</w:t>
      </w:r>
      <w:r w:rsidRPr="004539A7">
        <w:t>56, paras. 10 &amp; n.25, 13-14 (EB 2024) (removing the provider’s filing for, among other things, including an unrelated tax document in lieu of a mitigation plan) (</w:t>
      </w:r>
      <w:r w:rsidRPr="004539A7">
        <w:rPr>
          <w:i/>
        </w:rPr>
        <w:t>BPO Innovate Removal Order</w:t>
      </w:r>
      <w:r w:rsidRPr="004539A7">
        <w:t xml:space="preserve">); </w:t>
      </w:r>
      <w:r w:rsidRPr="004539A7">
        <w:rPr>
          <w:i/>
          <w:iCs/>
        </w:rPr>
        <w:t>Viettel Business Solutions Co. et al.</w:t>
      </w:r>
      <w:r w:rsidRPr="004539A7">
        <w:t xml:space="preserve">, EB-TCD-23-00034918 et al., Removal Order, 39 FCC </w:t>
      </w:r>
      <w:r w:rsidRPr="004539A7">
        <w:t>Rcd</w:t>
      </w:r>
      <w:r w:rsidRPr="004539A7">
        <w:t xml:space="preserve"> 1319 (EB 2024) (removing 12 filings for including unrelated documents in lieu of mitigation plans).</w:t>
      </w:r>
    </w:p>
  </w:footnote>
  <w:footnote w:id="223">
    <w:p w:rsidR="005919ED" w:rsidRPr="004539A7" w:rsidP="005919ED" w14:paraId="115328A3" w14:textId="77777777">
      <w:pPr>
        <w:pStyle w:val="FootnoteText"/>
      </w:pPr>
      <w:r w:rsidRPr="004539A7">
        <w:rPr>
          <w:rStyle w:val="FootnoteReference"/>
        </w:rPr>
        <w:footnoteRef/>
      </w:r>
      <w:r w:rsidRPr="004539A7">
        <w:t xml:space="preserve"> </w:t>
      </w:r>
      <w:r w:rsidRPr="004539A7">
        <w:rPr>
          <w:i/>
        </w:rPr>
        <w:t>See</w:t>
      </w:r>
      <w:r w:rsidRPr="004539A7">
        <w:rPr>
          <w:i/>
          <w:iCs/>
        </w:rPr>
        <w:t>, e.g.</w:t>
      </w:r>
      <w:r w:rsidRPr="004539A7">
        <w:t xml:space="preserve">, </w:t>
      </w:r>
      <w:r w:rsidRPr="004539A7">
        <w:rPr>
          <w:i/>
          <w:iCs/>
        </w:rPr>
        <w:t>Aspireistic Letter</w:t>
      </w:r>
      <w:r w:rsidRPr="004539A7">
        <w:t xml:space="preserve"> at 6-7 (providing notice that provider’s RMD filing is deficient due to, among other things, internally inconsistent information and certifications); </w:t>
      </w:r>
      <w:r w:rsidRPr="004539A7">
        <w:rPr>
          <w:i/>
          <w:iCs/>
        </w:rPr>
        <w:t>Callsto</w:t>
      </w:r>
      <w:r w:rsidRPr="004539A7">
        <w:rPr>
          <w:i/>
          <w:iCs/>
        </w:rPr>
        <w:t xml:space="preserve"> Letter</w:t>
      </w:r>
      <w:r w:rsidRPr="004539A7">
        <w:t xml:space="preserve"> at 6-7 (same); Letter from Patrick Webre, Chief, FCC Enforcement Bureau, to </w:t>
      </w:r>
      <w:r>
        <w:t xml:space="preserve">Richard Anderson, Chief Executive Officer, </w:t>
      </w:r>
      <w:r w:rsidRPr="004539A7">
        <w:t>Digital Solutions Inc. (Apr. 2, 2026) (on file at EB-TCD-25-00038998) (same).</w:t>
      </w:r>
    </w:p>
  </w:footnote>
  <w:footnote w:id="224">
    <w:p w:rsidR="005919ED" w:rsidRPr="004539A7" w:rsidP="005919ED" w14:paraId="3E4A9D3A" w14:textId="77777777">
      <w:pPr>
        <w:pStyle w:val="FootnoteText"/>
      </w:pPr>
      <w:r w:rsidRPr="004539A7">
        <w:rPr>
          <w:rStyle w:val="FootnoteReference"/>
        </w:rPr>
        <w:footnoteRef/>
      </w:r>
      <w:r w:rsidRPr="004539A7">
        <w:t xml:space="preserve"> </w:t>
      </w:r>
      <w:r w:rsidRPr="004539A7">
        <w:rPr>
          <w:i/>
          <w:iCs/>
        </w:rPr>
        <w:t>See, e.g.</w:t>
      </w:r>
      <w:r w:rsidRPr="004539A7">
        <w:t>,</w:t>
      </w:r>
      <w:r w:rsidRPr="004539A7">
        <w:rPr>
          <w:i/>
        </w:rPr>
        <w:t xml:space="preserve"> Provisional Reinstatement Order</w:t>
      </w:r>
      <w:r w:rsidRPr="004539A7">
        <w:rPr>
          <w:iCs/>
        </w:rPr>
        <w:t>, DA 26-282</w:t>
      </w:r>
      <w:r>
        <w:rPr>
          <w:iCs/>
        </w:rPr>
        <w:t>,</w:t>
      </w:r>
      <w:r w:rsidRPr="004539A7">
        <w:t xml:space="preserve"> </w:t>
      </w:r>
      <w:r w:rsidRPr="004539A7">
        <w:rPr>
          <w:iCs/>
        </w:rPr>
        <w:t>at para. 9</w:t>
      </w:r>
      <w:r w:rsidRPr="004539A7">
        <w:rPr>
          <w:i/>
        </w:rPr>
        <w:t xml:space="preserve"> </w:t>
      </w:r>
      <w:r w:rsidRPr="004539A7">
        <w:t xml:space="preserve">(ordering 35 provisionally reinstated providers to cure deficiencies in their RMD filings or face removal). </w:t>
      </w:r>
    </w:p>
  </w:footnote>
  <w:footnote w:id="225">
    <w:p w:rsidR="005919ED" w:rsidRPr="004539A7" w:rsidP="005919ED" w14:paraId="4F7E93C2" w14:textId="77777777">
      <w:pPr>
        <w:pStyle w:val="FootnoteText"/>
      </w:pPr>
      <w:r w:rsidRPr="004539A7">
        <w:rPr>
          <w:rStyle w:val="FootnoteReference"/>
        </w:rPr>
        <w:footnoteRef/>
      </w:r>
      <w:r w:rsidRPr="004539A7">
        <w:t xml:space="preserve"> </w:t>
      </w:r>
      <w:r w:rsidRPr="004539A7">
        <w:rPr>
          <w:i/>
          <w:iCs/>
        </w:rPr>
        <w:t xml:space="preserve">See </w:t>
      </w:r>
      <w:r w:rsidRPr="004539A7">
        <w:t xml:space="preserve">47 CFR §§ 1.17(a), 1.80(b)(11) </w:t>
      </w:r>
      <w:r w:rsidRPr="004539A7">
        <w:t>tbl</w:t>
      </w:r>
      <w:r w:rsidRPr="004539A7">
        <w:t xml:space="preserve">. 1; </w:t>
      </w:r>
      <w:r w:rsidRPr="004539A7">
        <w:rPr>
          <w:i/>
          <w:iCs/>
        </w:rPr>
        <w:t>Mexico IP Show Cause Order</w:t>
      </w:r>
      <w:r w:rsidRPr="004539A7">
        <w:t xml:space="preserve">, DA 26-574 (ordering provider to show cause why its filing should not be removed from the RMD for, among other things, submitting a falsified Notice of Interconnected VoIP Authorization to the NANPA as part of its application for direct access to numbering resources). </w:t>
      </w:r>
    </w:p>
  </w:footnote>
  <w:footnote w:id="226">
    <w:p w:rsidR="005919ED" w:rsidRPr="004539A7" w:rsidP="005919ED" w14:paraId="45F76393" w14:textId="77777777">
      <w:pPr>
        <w:pStyle w:val="FootnoteText"/>
      </w:pPr>
      <w:r w:rsidRPr="004539A7">
        <w:rPr>
          <w:rStyle w:val="FootnoteReference"/>
        </w:rPr>
        <w:footnoteRef/>
      </w:r>
      <w:r w:rsidRPr="004539A7">
        <w:t xml:space="preserve"> </w:t>
      </w:r>
      <w:r w:rsidRPr="004539A7">
        <w:rPr>
          <w:i/>
          <w:iCs/>
        </w:rPr>
        <w:t xml:space="preserve">See </w:t>
      </w:r>
      <w:r w:rsidRPr="004539A7">
        <w:t xml:space="preserve">47 CFR § 64.6305(h); </w:t>
      </w:r>
      <w:r w:rsidRPr="004539A7">
        <w:rPr>
          <w:i/>
          <w:iCs/>
        </w:rPr>
        <w:t>RMD Order</w:t>
      </w:r>
      <w:r w:rsidRPr="004539A7">
        <w:t xml:space="preserve">, 40 FCC </w:t>
      </w:r>
      <w:r w:rsidRPr="004539A7">
        <w:t>Rcd</w:t>
      </w:r>
      <w:r w:rsidRPr="004539A7">
        <w:t xml:space="preserve"> at 615-16, paras. 37-38 (adopting an annual recertification requirement for RMD filers with an associated filing fee and explaining that </w:t>
      </w:r>
      <w:r w:rsidRPr="00CC45BA">
        <w:t>that failure to fulfill the annual recertification requirement may subject a filer to forfeiture or removal from the Database</w:t>
      </w:r>
      <w:r w:rsidRPr="004539A7">
        <w:t>).</w:t>
      </w:r>
    </w:p>
  </w:footnote>
  <w:footnote w:id="227">
    <w:p w:rsidR="005919ED" w:rsidRPr="006F3686" w:rsidP="005919ED" w14:paraId="3EB3E009" w14:textId="77777777">
      <w:pPr>
        <w:pStyle w:val="FootnoteText"/>
      </w:pPr>
      <w:r w:rsidRPr="006F3686">
        <w:rPr>
          <w:rStyle w:val="FootnoteReference"/>
        </w:rPr>
        <w:footnoteRef/>
      </w:r>
      <w:r w:rsidRPr="006F3686">
        <w:t xml:space="preserve"> The Commission’s rules already specify that filings may be removed for this reason, </w:t>
      </w:r>
      <w:r w:rsidRPr="006F3686">
        <w:rPr>
          <w:i/>
          <w:iCs/>
        </w:rPr>
        <w:t>see</w:t>
      </w:r>
      <w:r w:rsidRPr="006F3686">
        <w:t xml:space="preserve"> 47 CFR § 0.111(a)(28), but we intend to recodify this cause in the same section as the other removal </w:t>
      </w:r>
      <w:r w:rsidRPr="006F3686">
        <w:t>causes</w:t>
      </w:r>
      <w:r w:rsidRPr="006F3686">
        <w:t xml:space="preserve"> we establish, </w:t>
      </w:r>
      <w:r w:rsidRPr="006F3686">
        <w:rPr>
          <w:i/>
          <w:iCs/>
        </w:rPr>
        <w:t xml:space="preserve">see </w:t>
      </w:r>
      <w:r w:rsidRPr="006F3686">
        <w:rPr>
          <w:i/>
          <w:iCs/>
        </w:rPr>
        <w:t>infra</w:t>
      </w:r>
      <w:r w:rsidRPr="006F3686">
        <w:t xml:space="preserve"> Appx</w:t>
      </w:r>
      <w:r w:rsidRPr="006F3686">
        <w:t xml:space="preserve">. A.  </w:t>
      </w:r>
      <w:r w:rsidRPr="006F3686">
        <w:rPr>
          <w:i/>
        </w:rPr>
        <w:t xml:space="preserve">See </w:t>
      </w:r>
      <w:r w:rsidRPr="006F3686">
        <w:rPr>
          <w:i/>
          <w:iCs/>
        </w:rPr>
        <w:t>also</w:t>
      </w:r>
      <w:r w:rsidRPr="006F3686">
        <w:rPr>
          <w:i/>
        </w:rPr>
        <w:t xml:space="preserve"> </w:t>
      </w:r>
      <w:r w:rsidRPr="006F3686">
        <w:rPr>
          <w:i/>
        </w:rPr>
        <w:t>Voxbeam</w:t>
      </w:r>
      <w:r w:rsidRPr="006F3686">
        <w:rPr>
          <w:i/>
        </w:rPr>
        <w:t xml:space="preserve"> Telecommunications, Inc.</w:t>
      </w:r>
      <w:r w:rsidRPr="006F3686">
        <w:t>, EB-TCD-25-00038659, Notice of Apparent Liability for Forfeiture, FCC 26-22 (EB Apr. 2, 2026) (proposing forfeiture for transmitting traffic from a foreign provider not listed in the RMD) (</w:t>
      </w:r>
      <w:r w:rsidRPr="006F3686">
        <w:rPr>
          <w:i/>
        </w:rPr>
        <w:t>Voxbeam</w:t>
      </w:r>
      <w:r w:rsidRPr="006F3686">
        <w:rPr>
          <w:i/>
        </w:rPr>
        <w:t xml:space="preserve"> NAL</w:t>
      </w:r>
      <w:r w:rsidRPr="006F3686">
        <w:t>).</w:t>
      </w:r>
    </w:p>
  </w:footnote>
  <w:footnote w:id="228">
    <w:p w:rsidR="005919ED" w:rsidRPr="004539A7" w:rsidP="005919ED" w14:paraId="15A686C0" w14:textId="77777777">
      <w:pPr>
        <w:pStyle w:val="FootnoteText"/>
      </w:pPr>
      <w:r w:rsidRPr="004539A7">
        <w:rPr>
          <w:rStyle w:val="FootnoteReference"/>
        </w:rPr>
        <w:footnoteRef/>
      </w:r>
      <w:r w:rsidRPr="004539A7">
        <w:t xml:space="preserve"> </w:t>
      </w:r>
      <w:r w:rsidRPr="004539A7">
        <w:rPr>
          <w:i/>
          <w:iCs/>
        </w:rPr>
        <w:t>See, e.g.</w:t>
      </w:r>
      <w:r w:rsidRPr="004539A7">
        <w:t>,</w:t>
      </w:r>
      <w:r w:rsidRPr="004539A7">
        <w:rPr>
          <w:i/>
          <w:iCs/>
        </w:rPr>
        <w:t xml:space="preserve"> SK </w:t>
      </w:r>
      <w:r w:rsidRPr="004539A7">
        <w:rPr>
          <w:i/>
          <w:iCs/>
        </w:rPr>
        <w:t>Teleco</w:t>
      </w:r>
      <w:r w:rsidRPr="004539A7">
        <w:rPr>
          <w:i/>
          <w:iCs/>
        </w:rPr>
        <w:t xml:space="preserve"> Order</w:t>
      </w:r>
      <w:r w:rsidRPr="004539A7">
        <w:t>, DA 26-583, at paras. 14-15</w:t>
      </w:r>
      <w:r w:rsidRPr="004539A7">
        <w:rPr>
          <w:i/>
        </w:rPr>
        <w:t xml:space="preserve"> </w:t>
      </w:r>
      <w:r w:rsidRPr="004539A7">
        <w:t xml:space="preserve">(removing provider’s filing from the RMD for failing to respond to an Initial Determination Order finding that, among other things, the provider had not sufficiently responded to 16 tracebacks); </w:t>
      </w:r>
      <w:r w:rsidRPr="004539A7">
        <w:rPr>
          <w:i/>
          <w:iCs/>
        </w:rPr>
        <w:t>BPO VOIP Removal</w:t>
      </w:r>
      <w:r w:rsidRPr="004539A7">
        <w:rPr>
          <w:i/>
        </w:rPr>
        <w:t xml:space="preserve"> Order</w:t>
      </w:r>
      <w:r w:rsidRPr="004539A7">
        <w:t xml:space="preserve">, 40 FCC </w:t>
      </w:r>
      <w:r w:rsidRPr="004539A7">
        <w:t>Rcd</w:t>
      </w:r>
      <w:r w:rsidRPr="004539A7">
        <w:t xml:space="preserve"> 7810 (removing 12 filings for providers’ failures to respond to one or more traceback requests in contravention of their certifications); </w:t>
      </w:r>
      <w:r w:rsidRPr="004539A7">
        <w:rPr>
          <w:i/>
          <w:iCs/>
        </w:rPr>
        <w:t>BPO Innovate Removal</w:t>
      </w:r>
      <w:r w:rsidRPr="004539A7">
        <w:rPr>
          <w:i/>
        </w:rPr>
        <w:t xml:space="preserve"> Order</w:t>
      </w:r>
      <w:r w:rsidRPr="004539A7">
        <w:t xml:space="preserve">, 39 FCC </w:t>
      </w:r>
      <w:r w:rsidRPr="004539A7">
        <w:t>Rcd</w:t>
      </w:r>
      <w:r w:rsidRPr="004539A7">
        <w:t xml:space="preserve"> at 2955</w:t>
      </w:r>
      <w:r>
        <w:t>-</w:t>
      </w:r>
      <w:r w:rsidRPr="004539A7">
        <w:t>56, paras. 9, 13-14 (removing the provider’s filing for, among other things, failure to respond to numerous traceback requests).</w:t>
      </w:r>
    </w:p>
  </w:footnote>
  <w:footnote w:id="229">
    <w:p w:rsidR="005919ED" w:rsidRPr="004539A7" w:rsidP="005919ED" w14:paraId="308C202F" w14:textId="77777777">
      <w:pPr>
        <w:pStyle w:val="FootnoteText"/>
      </w:pPr>
      <w:r w:rsidRPr="004539A7">
        <w:rPr>
          <w:rStyle w:val="FootnoteReference"/>
        </w:rPr>
        <w:footnoteRef/>
      </w:r>
      <w:r w:rsidRPr="004539A7">
        <w:t xml:space="preserve"> The Commission has previously directed that providers must comply with the practices described in their robocall mitigation plans and that such plans will be deemed deficient if the provider knowingly or through negligence originates, carries, or processes unlawful robocall campaigns.  </w:t>
      </w:r>
      <w:r w:rsidRPr="004539A7">
        <w:rPr>
          <w:i/>
          <w:iCs/>
        </w:rPr>
        <w:t>See</w:t>
      </w:r>
      <w:r w:rsidRPr="004539A7">
        <w:t xml:space="preserve"> </w:t>
      </w:r>
      <w:r w:rsidRPr="004539A7">
        <w:rPr>
          <w:i/>
          <w:iCs/>
        </w:rPr>
        <w:t>Sixth Caller ID Authentication Order</w:t>
      </w:r>
      <w:r w:rsidRPr="004539A7">
        <w:t xml:space="preserve">, 38 FCC </w:t>
      </w:r>
      <w:r w:rsidRPr="004539A7">
        <w:t>Rcd</w:t>
      </w:r>
      <w:r w:rsidRPr="004539A7">
        <w:t xml:space="preserve"> at 2590, para. 31; </w:t>
      </w:r>
      <w:r w:rsidRPr="004539A7">
        <w:rPr>
          <w:i/>
          <w:iCs/>
        </w:rPr>
        <w:t>Second</w:t>
      </w:r>
      <w:r w:rsidRPr="004539A7">
        <w:t xml:space="preserve"> </w:t>
      </w:r>
      <w:r w:rsidRPr="004539A7">
        <w:rPr>
          <w:i/>
          <w:iCs/>
        </w:rPr>
        <w:t>Caller ID Authentication Order</w:t>
      </w:r>
      <w:r w:rsidRPr="004539A7">
        <w:t xml:space="preserve">, 36 FCC </w:t>
      </w:r>
      <w:r w:rsidRPr="004539A7">
        <w:t>Rcd</w:t>
      </w:r>
      <w:r w:rsidRPr="004539A7">
        <w:t xml:space="preserve"> at 1900-02, paras. 78-81; </w:t>
      </w:r>
      <w:r w:rsidRPr="004539A7">
        <w:rPr>
          <w:i/>
          <w:iCs/>
        </w:rPr>
        <w:t>see also</w:t>
      </w:r>
      <w:r w:rsidRPr="004539A7">
        <w:t xml:space="preserve"> Letter from Patrick Webre, Chief, FCC Enforcement Bureau, to Douglas E. Fechter, Chief Financial Officer, BCM One Cloud Communications LLC dba </w:t>
      </w:r>
      <w:r w:rsidRPr="004539A7">
        <w:t>Flowroute</w:t>
      </w:r>
      <w:r w:rsidRPr="004539A7">
        <w:t xml:space="preserve"> (May 16, 2025) (on file at EB-TCD-24-00036745) (providing notice that provider’s RMD filing is deficient due to provider’s origination of illegal traffic in contravention of its certification); Letter from </w:t>
      </w:r>
      <w:r w:rsidRPr="004539A7">
        <w:t>Loyan</w:t>
      </w:r>
      <w:r w:rsidRPr="004539A7">
        <w:t xml:space="preserve"> A. Egal, Chief, FCC Enforcement Bureau, to Muhammed Rizwan, Chief Executive Officer, </w:t>
      </w:r>
      <w:r w:rsidRPr="004539A7">
        <w:t>CallWin</w:t>
      </w:r>
      <w:r w:rsidRPr="004539A7">
        <w:t xml:space="preserve"> LLC (Dec. 20, 2023) (on file at EB-TCD-20-00031678) (same).  </w:t>
      </w:r>
    </w:p>
  </w:footnote>
  <w:footnote w:id="230">
    <w:p w:rsidR="005919ED" w:rsidRPr="004539A7" w:rsidP="005919ED" w14:paraId="0ABB79E7" w14:textId="77777777">
      <w:pPr>
        <w:pStyle w:val="FootnoteText"/>
      </w:pPr>
      <w:r w:rsidRPr="004539A7">
        <w:rPr>
          <w:rStyle w:val="FootnoteReference"/>
        </w:rPr>
        <w:footnoteRef/>
      </w:r>
      <w:r w:rsidRPr="004539A7">
        <w:t xml:space="preserve"> </w:t>
      </w:r>
      <w:r w:rsidRPr="004539A7">
        <w:rPr>
          <w:i/>
          <w:iCs/>
        </w:rPr>
        <w:t>See, e.g.</w:t>
      </w:r>
      <w:r w:rsidRPr="004539A7">
        <w:t>,</w:t>
      </w:r>
      <w:r w:rsidRPr="004539A7">
        <w:rPr>
          <w:i/>
          <w:iCs/>
        </w:rPr>
        <w:t xml:space="preserve"> SK </w:t>
      </w:r>
      <w:r w:rsidRPr="004539A7">
        <w:rPr>
          <w:i/>
          <w:iCs/>
        </w:rPr>
        <w:t>Teleco</w:t>
      </w:r>
      <w:r w:rsidRPr="004539A7">
        <w:rPr>
          <w:i/>
          <w:iCs/>
        </w:rPr>
        <w:t xml:space="preserve"> Order</w:t>
      </w:r>
      <w:r w:rsidRPr="004539A7">
        <w:t>, DA 26-583, at paras. 14-15</w:t>
      </w:r>
      <w:r w:rsidRPr="004539A7">
        <w:rPr>
          <w:i/>
        </w:rPr>
        <w:t xml:space="preserve"> </w:t>
      </w:r>
      <w:r w:rsidRPr="004539A7">
        <w:t xml:space="preserve">(removing provider’s filing from the RMD for failing to respond to an Initial Determination Order); </w:t>
      </w:r>
      <w:r w:rsidRPr="004539A7">
        <w:rPr>
          <w:i/>
          <w:iCs/>
        </w:rPr>
        <w:t>Belthrough</w:t>
      </w:r>
      <w:r w:rsidRPr="004539A7">
        <w:rPr>
          <w:i/>
          <w:iCs/>
        </w:rPr>
        <w:t xml:space="preserve"> Removal Order</w:t>
      </w:r>
      <w:r>
        <w:t>, DA-26-237,</w:t>
      </w:r>
      <w:r w:rsidRPr="004539A7">
        <w:t xml:space="preserve"> at 7-8, paras. 16-18 (removing filing for provider’s failure to respond to a Commission notice of suspected illegal traffic in contravention of its certification).</w:t>
      </w:r>
    </w:p>
  </w:footnote>
  <w:footnote w:id="231">
    <w:p w:rsidR="005919ED" w:rsidRPr="004539A7" w:rsidP="005919ED" w14:paraId="554049B1" w14:textId="77777777">
      <w:pPr>
        <w:pStyle w:val="FootnoteText"/>
      </w:pPr>
      <w:r w:rsidRPr="004539A7">
        <w:rPr>
          <w:rStyle w:val="FootnoteReference"/>
        </w:rPr>
        <w:footnoteRef/>
      </w:r>
      <w:r w:rsidRPr="004539A7">
        <w:t xml:space="preserve"> </w:t>
      </w:r>
      <w:r w:rsidRPr="004539A7">
        <w:rPr>
          <w:i/>
          <w:iCs/>
        </w:rPr>
        <w:t>See, e.g.</w:t>
      </w:r>
      <w:r w:rsidRPr="004539A7">
        <w:t xml:space="preserve">, </w:t>
      </w:r>
      <w:r w:rsidRPr="004539A7">
        <w:rPr>
          <w:i/>
          <w:iCs/>
        </w:rPr>
        <w:t>Chase Tech Removal</w:t>
      </w:r>
      <w:r w:rsidRPr="004539A7">
        <w:rPr>
          <w:i/>
        </w:rPr>
        <w:t xml:space="preserve"> Order</w:t>
      </w:r>
      <w:r w:rsidRPr="004539A7">
        <w:t xml:space="preserve">, 40 FCC </w:t>
      </w:r>
      <w:r w:rsidRPr="004539A7">
        <w:t>Rcd</w:t>
      </w:r>
      <w:r w:rsidRPr="004539A7">
        <w:t xml:space="preserve"> at 7204, 7206-07, paras. 1, 5-8 (removing provider’s filing for including false personally identifiable information of an unaffiliated individual).</w:t>
      </w:r>
    </w:p>
  </w:footnote>
  <w:footnote w:id="232">
    <w:p w:rsidR="005919ED" w:rsidRPr="004539A7" w:rsidP="005919ED" w14:paraId="1E57DCAD" w14:textId="77777777">
      <w:pPr>
        <w:pStyle w:val="FootnoteText"/>
      </w:pPr>
      <w:r w:rsidRPr="004539A7">
        <w:rPr>
          <w:rStyle w:val="FootnoteReference"/>
        </w:rPr>
        <w:footnoteRef/>
      </w:r>
      <w:r w:rsidRPr="004539A7">
        <w:t xml:space="preserve"> </w:t>
      </w:r>
      <w:r w:rsidRPr="004539A7">
        <w:rPr>
          <w:i/>
          <w:iCs/>
        </w:rPr>
        <w:t>KYUP FNPRM</w:t>
      </w:r>
      <w:r w:rsidRPr="004539A7">
        <w:t xml:space="preserve">, FCC 26-32, at 66-67, para. 131 (proposing to adopt “a $2,500 per call base forfeiture for calls resulting from a failure to follow KYUP requirements” and “to codify a base forfeiture amount of $1,000 per call for violations of the proposed rules concerning improper attestations and unauthenticated calls,” as well as “a $2,500 base forfeiture amount, on a continuing violation basis, for providers who have failed to implement STIR/SHAKEN and are not subject to any exemption”); </w:t>
      </w:r>
      <w:r w:rsidRPr="004539A7">
        <w:rPr>
          <w:i/>
          <w:iCs/>
        </w:rPr>
        <w:t xml:space="preserve">see also generally </w:t>
      </w:r>
      <w:r w:rsidRPr="004539A7">
        <w:t>Governance Authority Policies.</w:t>
      </w:r>
    </w:p>
  </w:footnote>
  <w:footnote w:id="233">
    <w:p w:rsidR="005919ED" w:rsidRPr="004539A7" w:rsidP="005919ED" w14:paraId="2BB9965E" w14:textId="77777777">
      <w:pPr>
        <w:pStyle w:val="FootnoteText"/>
      </w:pPr>
      <w:r w:rsidRPr="004539A7">
        <w:rPr>
          <w:rStyle w:val="FootnoteReference"/>
        </w:rPr>
        <w:footnoteRef/>
      </w:r>
      <w:r w:rsidRPr="004539A7">
        <w:t xml:space="preserve"> </w:t>
      </w:r>
      <w:r w:rsidRPr="004539A7">
        <w:rPr>
          <w:i/>
          <w:iCs/>
        </w:rPr>
        <w:t>See</w:t>
      </w:r>
      <w:r w:rsidRPr="004539A7">
        <w:t xml:space="preserve"> FCC, </w:t>
      </w:r>
      <w:r w:rsidRPr="004539A7">
        <w:rPr>
          <w:i/>
        </w:rPr>
        <w:t>List of Equipment and Services Covered by Section 2 of The Secure Networks Act</w:t>
      </w:r>
      <w:r w:rsidRPr="004539A7">
        <w:t xml:space="preserve">, </w:t>
      </w:r>
      <w:hyperlink r:id="rId20" w:history="1">
        <w:r w:rsidRPr="004539A7">
          <w:rPr>
            <w:rStyle w:val="Hyperlink"/>
          </w:rPr>
          <w:t>https://www.fcc.gov/supplychain/coveredlist</w:t>
        </w:r>
      </w:hyperlink>
      <w:r w:rsidRPr="004539A7">
        <w:t xml:space="preserve"> (last visited </w:t>
      </w:r>
      <w:r>
        <w:t>July 20</w:t>
      </w:r>
      <w:r w:rsidRPr="004539A7">
        <w:t xml:space="preserve">, 2026); </w:t>
      </w:r>
      <w:r w:rsidRPr="004539A7">
        <w:rPr>
          <w:i/>
          <w:iCs/>
        </w:rPr>
        <w:t>see also</w:t>
      </w:r>
      <w:r w:rsidRPr="004539A7">
        <w:t xml:space="preserve"> </w:t>
      </w:r>
      <w:r w:rsidRPr="004539A7">
        <w:rPr>
          <w:i/>
          <w:iCs/>
        </w:rPr>
        <w:t>China Mobile Hong Kong Co. Ltd.</w:t>
      </w:r>
      <w:r w:rsidRPr="004539A7">
        <w:t xml:space="preserve">, </w:t>
      </w:r>
      <w:r>
        <w:t xml:space="preserve">EB-TCD-25-00039513, </w:t>
      </w:r>
      <w:r w:rsidRPr="004539A7">
        <w:t>Order,</w:t>
      </w:r>
      <w:r>
        <w:t xml:space="preserve"> 40 FCC </w:t>
      </w:r>
      <w:r>
        <w:t>Rcd</w:t>
      </w:r>
      <w:r>
        <w:t xml:space="preserve"> 9711</w:t>
      </w:r>
      <w:r w:rsidRPr="004539A7">
        <w:t xml:space="preserve"> (EB Dec. 8, 2025) (directing foreign provider on the Covered List to, among other things, explain why inclusion of its filing in the RMD is not contrary to the public interest or face removal); </w:t>
      </w:r>
      <w:r w:rsidRPr="004539A7">
        <w:rPr>
          <w:i/>
          <w:iCs/>
        </w:rPr>
        <w:t>China Telecom Global Ltd.</w:t>
      </w:r>
      <w:r w:rsidRPr="004539A7">
        <w:t xml:space="preserve">, </w:t>
      </w:r>
      <w:r>
        <w:t xml:space="preserve">EB-TCD-00039418, </w:t>
      </w:r>
      <w:r w:rsidRPr="004539A7">
        <w:t xml:space="preserve">Order, </w:t>
      </w:r>
      <w:r>
        <w:t xml:space="preserve">40 FCC </w:t>
      </w:r>
      <w:r>
        <w:t>Rcd</w:t>
      </w:r>
      <w:r>
        <w:t xml:space="preserve"> 9725 </w:t>
      </w:r>
      <w:r w:rsidRPr="004539A7">
        <w:t xml:space="preserve">(EB Dec. 8, 2025) (same); </w:t>
      </w:r>
      <w:r w:rsidRPr="004539A7">
        <w:rPr>
          <w:i/>
          <w:iCs/>
        </w:rPr>
        <w:t>China Unicom (Hong Kong) Operations Ltd.</w:t>
      </w:r>
      <w:r w:rsidRPr="004539A7">
        <w:t xml:space="preserve">, </w:t>
      </w:r>
      <w:r>
        <w:t xml:space="preserve">EB-TCD-25-00039520, </w:t>
      </w:r>
      <w:r w:rsidRPr="004539A7">
        <w:t xml:space="preserve">Order, </w:t>
      </w:r>
      <w:r>
        <w:t xml:space="preserve">40 FCC </w:t>
      </w:r>
      <w:r>
        <w:t>Rcd</w:t>
      </w:r>
      <w:r>
        <w:t xml:space="preserve"> 9718 </w:t>
      </w:r>
      <w:r w:rsidRPr="004539A7">
        <w:t>(EB Dec. 8, 2025) (same).</w:t>
      </w:r>
    </w:p>
  </w:footnote>
  <w:footnote w:id="234">
    <w:p w:rsidR="005919ED" w:rsidRPr="004539A7" w:rsidP="005919ED" w14:paraId="09CA4C80" w14:textId="77777777">
      <w:pPr>
        <w:pStyle w:val="FootnoteText"/>
      </w:pPr>
      <w:r w:rsidRPr="004539A7">
        <w:rPr>
          <w:rStyle w:val="FootnoteReference"/>
        </w:rPr>
        <w:footnoteRef/>
      </w:r>
      <w:r w:rsidRPr="004539A7">
        <w:t xml:space="preserve"> </w:t>
      </w:r>
      <w:r w:rsidRPr="004539A7">
        <w:rPr>
          <w:i/>
          <w:iCs/>
        </w:rPr>
        <w:t>See</w:t>
      </w:r>
      <w:r w:rsidRPr="004539A7">
        <w:t xml:space="preserve"> </w:t>
      </w:r>
      <w:r w:rsidRPr="004539A7">
        <w:rPr>
          <w:i/>
          <w:iCs/>
        </w:rPr>
        <w:t>Foreign Adversary Control</w:t>
      </w:r>
      <w:r w:rsidRPr="008B7B02">
        <w:rPr>
          <w:i/>
        </w:rPr>
        <w:t xml:space="preserve"> Report and Order</w:t>
      </w:r>
      <w:r w:rsidRPr="004539A7">
        <w:t>, FCC 26-2, at 48, para. 75 (establishing the Foreign Adversary Control System for covered entities to submit required attestations and disclosures regarding foreign adversary control).</w:t>
      </w:r>
    </w:p>
  </w:footnote>
  <w:footnote w:id="235">
    <w:p w:rsidR="005919ED" w:rsidRPr="004539A7" w:rsidP="005919ED" w14:paraId="30E56E64" w14:textId="77777777">
      <w:pPr>
        <w:pStyle w:val="FootnoteText"/>
      </w:pPr>
      <w:r w:rsidRPr="004539A7">
        <w:rPr>
          <w:rStyle w:val="FootnoteReference"/>
        </w:rPr>
        <w:footnoteRef/>
      </w:r>
      <w:r w:rsidRPr="004539A7">
        <w:t xml:space="preserve"> In the </w:t>
      </w:r>
      <w:r w:rsidRPr="004539A7">
        <w:rPr>
          <w:i/>
          <w:iCs/>
        </w:rPr>
        <w:t>Sixth Caller ID Authentication Order</w:t>
      </w:r>
      <w:r w:rsidRPr="004539A7">
        <w:t xml:space="preserve">, the Commission declined to adopt one commenter’s proposed standard for assessing forfeiture and removal liability for transmitting illegal traffic based on whether the provider “knew or should have known” that a call was illegal, concluding that such a standard was not realistic and could lead to significant market disruptions.  </w:t>
      </w:r>
      <w:r w:rsidRPr="004539A7">
        <w:rPr>
          <w:i/>
          <w:iCs/>
        </w:rPr>
        <w:t>Sixth Caller ID Authentication Order</w:t>
      </w:r>
      <w:r w:rsidRPr="004539A7">
        <w:t xml:space="preserve">, 38 FCC </w:t>
      </w:r>
      <w:r w:rsidRPr="004539A7">
        <w:t>Rcd</w:t>
      </w:r>
      <w:r w:rsidRPr="004539A7">
        <w:t xml:space="preserve"> at 2612, para. 75.  We seek comment now on whether we should revisit this determination </w:t>
      </w:r>
      <w:r w:rsidRPr="004539A7">
        <w:t>in light of</w:t>
      </w:r>
      <w:r w:rsidRPr="004539A7">
        <w:t xml:space="preserve"> the Commission’s efforts in this proceeding to strengthen the foundation of our enforcement efforts and restore trust in the voice ecosystem.</w:t>
      </w:r>
    </w:p>
  </w:footnote>
  <w:footnote w:id="236">
    <w:p w:rsidR="005919ED" w:rsidRPr="004539A7" w:rsidP="005919ED" w14:paraId="6CC8CC64" w14:textId="77777777">
      <w:pPr>
        <w:pStyle w:val="FootnoteText"/>
      </w:pPr>
      <w:r w:rsidRPr="004539A7">
        <w:rPr>
          <w:rStyle w:val="FootnoteReference"/>
        </w:rPr>
        <w:footnoteRef/>
      </w:r>
      <w:r w:rsidRPr="004539A7">
        <w:t xml:space="preserve"> </w:t>
      </w:r>
      <w:r w:rsidRPr="004539A7">
        <w:rPr>
          <w:i/>
          <w:iCs/>
        </w:rPr>
        <w:t>See</w:t>
      </w:r>
      <w:r w:rsidRPr="004539A7">
        <w:t xml:space="preserve"> 47 CFR § 0.111(a)(28).</w:t>
      </w:r>
    </w:p>
  </w:footnote>
  <w:footnote w:id="237">
    <w:p w:rsidR="005919ED" w:rsidRPr="004539A7" w:rsidP="005919ED" w14:paraId="6E55FEE7" w14:textId="77777777">
      <w:pPr>
        <w:pStyle w:val="FootnoteText"/>
      </w:pPr>
      <w:r w:rsidRPr="004539A7">
        <w:rPr>
          <w:rStyle w:val="FootnoteReference"/>
        </w:rPr>
        <w:footnoteRef/>
      </w:r>
      <w:r w:rsidRPr="004539A7">
        <w:t xml:space="preserve"> </w:t>
      </w:r>
      <w:r w:rsidRPr="004539A7">
        <w:rPr>
          <w:i/>
          <w:iCs/>
        </w:rPr>
        <w:t>Sixth Caller ID Authentication Order</w:t>
      </w:r>
      <w:r w:rsidRPr="004539A7">
        <w:t xml:space="preserve">, 38 FCC </w:t>
      </w:r>
      <w:r w:rsidRPr="004539A7">
        <w:t>Rcd</w:t>
      </w:r>
      <w:r w:rsidRPr="004539A7">
        <w:t xml:space="preserve"> at 2604, para. 60.</w:t>
      </w:r>
    </w:p>
  </w:footnote>
  <w:footnote w:id="238">
    <w:p w:rsidR="005919ED" w:rsidRPr="004539A7" w:rsidP="005919ED" w14:paraId="7420D761" w14:textId="77777777">
      <w:pPr>
        <w:pStyle w:val="FootnoteText"/>
      </w:pPr>
      <w:r w:rsidRPr="004539A7">
        <w:rPr>
          <w:rStyle w:val="FootnoteReference"/>
        </w:rPr>
        <w:footnoteRef/>
      </w:r>
      <w:r w:rsidRPr="004539A7">
        <w:t xml:space="preserve"> </w:t>
      </w:r>
      <w:r>
        <w:rPr>
          <w:i/>
          <w:iCs/>
        </w:rPr>
        <w:t>Id.</w:t>
      </w:r>
      <w:r w:rsidRPr="004539A7">
        <w:t xml:space="preserve"> at 2604, para. 61.</w:t>
      </w:r>
    </w:p>
  </w:footnote>
  <w:footnote w:id="239">
    <w:p w:rsidR="005919ED" w:rsidRPr="004539A7" w:rsidP="005919ED" w14:paraId="2AF3A0FF" w14:textId="77777777">
      <w:pPr>
        <w:pStyle w:val="FootnoteText"/>
      </w:pPr>
      <w:r w:rsidRPr="004539A7">
        <w:rPr>
          <w:rStyle w:val="FootnoteReference"/>
        </w:rPr>
        <w:footnoteRef/>
      </w:r>
      <w:r>
        <w:t xml:space="preserve"> </w:t>
      </w:r>
      <w:r>
        <w:rPr>
          <w:i/>
          <w:iCs/>
        </w:rPr>
        <w:t>Id.</w:t>
      </w:r>
      <w:r w:rsidRPr="007906C5">
        <w:t xml:space="preserve"> </w:t>
      </w:r>
      <w:r w:rsidRPr="004539A7">
        <w:t xml:space="preserve">at </w:t>
      </w:r>
      <w:r>
        <w:t>2604-</w:t>
      </w:r>
      <w:r w:rsidRPr="004539A7">
        <w:t xml:space="preserve">05, para. 62.  The Enforcement Bureau recently used this expedited procedure to remove a voice service provider for failure to cooperate with a Commission investigation because the failure to cooperate demonstrated that its filing (which included a commitment to cooperate with Commission investigations) was deficient and the deficiency was willful.  </w:t>
      </w:r>
      <w:r w:rsidRPr="004539A7">
        <w:rPr>
          <w:i/>
          <w:iCs/>
        </w:rPr>
        <w:t xml:space="preserve">See </w:t>
      </w:r>
      <w:r w:rsidRPr="004539A7">
        <w:rPr>
          <w:i/>
          <w:iCs/>
        </w:rPr>
        <w:t>Belthrough</w:t>
      </w:r>
      <w:r w:rsidRPr="004539A7">
        <w:rPr>
          <w:i/>
          <w:iCs/>
        </w:rPr>
        <w:t xml:space="preserve"> </w:t>
      </w:r>
      <w:r w:rsidRPr="009A246B">
        <w:rPr>
          <w:i/>
        </w:rPr>
        <w:t>Removal Order</w:t>
      </w:r>
      <w:r w:rsidRPr="004539A7">
        <w:t>, DA 26-237, at 7-8, para. 17.</w:t>
      </w:r>
    </w:p>
  </w:footnote>
  <w:footnote w:id="240">
    <w:p w:rsidR="005919ED" w:rsidP="005919ED" w14:paraId="5F741ABF" w14:textId="77777777">
      <w:pPr>
        <w:pStyle w:val="FootnoteText"/>
      </w:pPr>
      <w:r>
        <w:rPr>
          <w:rStyle w:val="FootnoteReference"/>
        </w:rPr>
        <w:footnoteRef/>
      </w:r>
      <w:r>
        <w:t xml:space="preserve"> </w:t>
      </w:r>
      <w:r w:rsidRPr="007662BA">
        <w:rPr>
          <w:i/>
          <w:iCs/>
        </w:rPr>
        <w:t>See,</w:t>
      </w:r>
      <w:r>
        <w:t xml:space="preserve"> </w:t>
      </w:r>
      <w:r w:rsidRPr="007662BA">
        <w:rPr>
          <w:i/>
          <w:iCs/>
        </w:rPr>
        <w:t>e.g.</w:t>
      </w:r>
      <w:r>
        <w:t xml:space="preserve">, </w:t>
      </w:r>
      <w:r w:rsidRPr="00782EF1">
        <w:rPr>
          <w:i/>
          <w:iCs/>
        </w:rPr>
        <w:t>Wireline Competition Bureau Announces OMB Approval and Effective Dates for Robocall Mitigation Database (RMD) Rules, Provides Guidance for Filing in the RMD, Reminds RMD Filers of their March 1, 2026, Annual Recertification Requirement, and Establishes a Reporting Mechanism for RMD Deficiencies,</w:t>
      </w:r>
      <w:r w:rsidRPr="00782EF1">
        <w:t xml:space="preserve"> </w:t>
      </w:r>
      <w:r w:rsidRPr="005E6A0A">
        <w:t>WC Docket No. 24-213, MD Docket No. 10-234</w:t>
      </w:r>
      <w:r>
        <w:t xml:space="preserve">, </w:t>
      </w:r>
      <w:r w:rsidRPr="00782EF1">
        <w:t>Public Notice, DA</w:t>
      </w:r>
      <w:r>
        <w:t xml:space="preserve"> </w:t>
      </w:r>
      <w:r w:rsidRPr="00782EF1">
        <w:t>26-72 (</w:t>
      </w:r>
      <w:r>
        <w:t xml:space="preserve">WCB </w:t>
      </w:r>
      <w:r w:rsidRPr="00782EF1">
        <w:t>Jan. 22, 2026)</w:t>
      </w:r>
      <w:r>
        <w:t xml:space="preserve"> </w:t>
      </w:r>
      <w:r w:rsidRPr="004539A7">
        <w:t>(</w:t>
      </w:r>
      <w:r w:rsidRPr="004539A7">
        <w:rPr>
          <w:i/>
          <w:iCs/>
        </w:rPr>
        <w:t>RMD Effective Date Notice</w:t>
      </w:r>
      <w:r w:rsidRPr="004539A7">
        <w:t>)</w:t>
      </w:r>
      <w:r w:rsidRPr="00782EF1">
        <w:t>.</w:t>
      </w:r>
    </w:p>
  </w:footnote>
  <w:footnote w:id="241">
    <w:p w:rsidR="005919ED" w:rsidRPr="004539A7" w:rsidP="005919ED" w14:paraId="0432EF80" w14:textId="77777777">
      <w:pPr>
        <w:pStyle w:val="FootnoteText"/>
      </w:pPr>
      <w:r w:rsidRPr="004539A7">
        <w:rPr>
          <w:rStyle w:val="FootnoteReference"/>
        </w:rPr>
        <w:footnoteRef/>
      </w:r>
      <w:r w:rsidRPr="004539A7">
        <w:t xml:space="preserve"> </w:t>
      </w:r>
      <w:r w:rsidRPr="004539A7">
        <w:rPr>
          <w:i/>
          <w:iCs/>
        </w:rPr>
        <w:t>RMD Order</w:t>
      </w:r>
      <w:r w:rsidRPr="004539A7">
        <w:t xml:space="preserve">, 40 FCC </w:t>
      </w:r>
      <w:r w:rsidRPr="004539A7">
        <w:t>Rcd</w:t>
      </w:r>
      <w:r w:rsidRPr="004539A7">
        <w:t xml:space="preserve"> at 615-16, para. 37 (“In connection with the foregoing change, we require that providers recertify annually in the </w:t>
      </w:r>
      <w:r>
        <w:t>[RMD]</w:t>
      </w:r>
      <w:r w:rsidRPr="004539A7">
        <w:t xml:space="preserve">, at the time they submit their annual filing fee.”); </w:t>
      </w:r>
      <w:r w:rsidRPr="004539A7">
        <w:rPr>
          <w:i/>
          <w:iCs/>
        </w:rPr>
        <w:t>id.</w:t>
      </w:r>
      <w:r w:rsidRPr="004539A7">
        <w:t xml:space="preserve"> at 616, para. 38, Appx. A (47 CFR § 64.6305(h)</w:t>
      </w:r>
      <w:r>
        <w:t>)</w:t>
      </w:r>
      <w:r w:rsidRPr="004539A7">
        <w:t>.</w:t>
      </w:r>
    </w:p>
  </w:footnote>
  <w:footnote w:id="242">
    <w:p w:rsidR="005919ED" w:rsidRPr="004539A7" w:rsidP="005919ED" w14:paraId="311ABA5F" w14:textId="77777777">
      <w:pPr>
        <w:pStyle w:val="FootnoteText"/>
      </w:pPr>
      <w:r w:rsidRPr="004539A7">
        <w:rPr>
          <w:rStyle w:val="FootnoteReference"/>
        </w:rPr>
        <w:footnoteRef/>
      </w:r>
      <w:r w:rsidRPr="004539A7">
        <w:t xml:space="preserve"> The Commission will publish a notice in the Federal Register announcing when it has completed these steps and when the application fee requirement will become effective.  </w:t>
      </w:r>
      <w:r w:rsidRPr="004539A7">
        <w:rPr>
          <w:i/>
          <w:iCs/>
        </w:rPr>
        <w:t xml:space="preserve">See </w:t>
      </w:r>
      <w:r>
        <w:rPr>
          <w:i/>
          <w:iCs/>
        </w:rPr>
        <w:t>RMD Effective Date Notice</w:t>
      </w:r>
      <w:r>
        <w:t xml:space="preserve">, </w:t>
      </w:r>
      <w:r w:rsidRPr="004539A7">
        <w:t xml:space="preserve">DA 26-72, at 3. </w:t>
      </w:r>
    </w:p>
  </w:footnote>
  <w:footnote w:id="243">
    <w:p w:rsidR="005919ED" w:rsidP="005919ED" w14:paraId="696CA32E" w14:textId="77777777">
      <w:pPr>
        <w:pStyle w:val="FootnoteText"/>
      </w:pPr>
      <w:r>
        <w:rPr>
          <w:rStyle w:val="FootnoteReference"/>
        </w:rPr>
        <w:footnoteRef/>
      </w:r>
      <w:r>
        <w:t xml:space="preserve"> To the extent applicable, appropriate procedures will be adopted for exemptions to our fee requirements.  </w:t>
      </w:r>
      <w:r w:rsidRPr="009A246B">
        <w:rPr>
          <w:i/>
        </w:rPr>
        <w:t>See</w:t>
      </w:r>
      <w:r>
        <w:t xml:space="preserve"> 47 CFR § 1.1116.  </w:t>
      </w:r>
    </w:p>
  </w:footnote>
  <w:footnote w:id="244">
    <w:p w:rsidR="005919ED" w:rsidRPr="004539A7" w:rsidP="005919ED" w14:paraId="07BCFF4B" w14:textId="77777777">
      <w:pPr>
        <w:pStyle w:val="FootnoteText"/>
      </w:pPr>
      <w:r w:rsidRPr="004539A7">
        <w:rPr>
          <w:rStyle w:val="FootnoteReference"/>
        </w:rPr>
        <w:footnoteRef/>
      </w:r>
      <w:r w:rsidRPr="004539A7">
        <w:t xml:space="preserve"> </w:t>
      </w:r>
      <w:r w:rsidRPr="004539A7">
        <w:rPr>
          <w:i/>
          <w:iCs/>
        </w:rPr>
        <w:t>See</w:t>
      </w:r>
      <w:r w:rsidRPr="004539A7">
        <w:t xml:space="preserve"> Subpart G of Part 1 of the Commission’s rules, 47 CFR §§ 1.1110</w:t>
      </w:r>
      <w:r>
        <w:t>-</w:t>
      </w:r>
      <w:r w:rsidRPr="004539A7">
        <w:t xml:space="preserve">1.1121 (discussing procedures for the payment, collection, and processing of application fees). </w:t>
      </w:r>
      <w:r>
        <w:t xml:space="preserve"> </w:t>
      </w:r>
      <w:r w:rsidRPr="005F620D">
        <w:t xml:space="preserve">The RMD recertification fee </w:t>
      </w:r>
      <w:r>
        <w:t>will</w:t>
      </w:r>
      <w:r w:rsidRPr="005F620D">
        <w:t xml:space="preserve"> be listed in </w:t>
      </w:r>
      <w:r>
        <w:t>s</w:t>
      </w:r>
      <w:r w:rsidRPr="005F620D">
        <w:t>ection 1.1105,</w:t>
      </w:r>
      <w:r>
        <w:t xml:space="preserve"> </w:t>
      </w:r>
      <w:r w:rsidRPr="004539A7">
        <w:t>47 CFR §</w:t>
      </w:r>
      <w:r>
        <w:t xml:space="preserve"> </w:t>
      </w:r>
      <w:r w:rsidRPr="005F620D">
        <w:t>1.1105</w:t>
      </w:r>
      <w:r>
        <w:t>,</w:t>
      </w:r>
      <w:r w:rsidRPr="005F620D">
        <w:t xml:space="preserve"> </w:t>
      </w:r>
      <w:r w:rsidRPr="005F620D">
        <w:rPr>
          <w:i/>
          <w:iCs/>
        </w:rPr>
        <w:t>Schedule of charges for applications and other filings for the wireline competition services</w:t>
      </w:r>
      <w:r>
        <w:t>.</w:t>
      </w:r>
    </w:p>
  </w:footnote>
  <w:footnote w:id="245">
    <w:p w:rsidR="005919ED" w:rsidRPr="004539A7" w:rsidP="005919ED" w14:paraId="789AA314" w14:textId="77777777">
      <w:pPr>
        <w:pStyle w:val="FootnoteText"/>
      </w:pPr>
      <w:r w:rsidRPr="004539A7">
        <w:rPr>
          <w:rStyle w:val="FootnoteReference"/>
        </w:rPr>
        <w:footnoteRef/>
      </w:r>
      <w:r w:rsidRPr="004539A7">
        <w:t xml:space="preserve"> Section 159a(c)(1) requires the Commission to impose a late payment penalty of 25 percent of unpaid fees to be assessed on the first day following the deadline for payment of the fees.  47 U.S.C. § 159a(c)(1).  Section 159a(c)(2) requires the Commission to assess interest at the rate set forth in 31 U.S.C. § 3717 on all unpaid fees, including the 25 percent penalty, until the debt is paid in full.  47 U.S.C. § 159a(c)(2).</w:t>
      </w:r>
    </w:p>
  </w:footnote>
  <w:footnote w:id="246">
    <w:p w:rsidR="005919ED" w:rsidRPr="004539A7" w:rsidP="005919ED" w14:paraId="5F6F375E" w14:textId="77777777">
      <w:pPr>
        <w:pStyle w:val="FootnoteText"/>
      </w:pPr>
      <w:r w:rsidRPr="004539A7">
        <w:rPr>
          <w:rStyle w:val="FootnoteReference"/>
        </w:rPr>
        <w:footnoteRef/>
      </w:r>
      <w:r w:rsidRPr="004539A7">
        <w:t xml:space="preserve"> We note that, under our existing rules, downstream providers must continue to accept 911 and emergency calls from a provider subject to a removal order.  </w:t>
      </w:r>
      <w:r w:rsidRPr="004539A7">
        <w:rPr>
          <w:i/>
          <w:iCs/>
        </w:rPr>
        <w:t>See</w:t>
      </w:r>
      <w:r w:rsidRPr="004539A7">
        <w:t xml:space="preserve"> 47 CFR § 64.6305(g)(5).</w:t>
      </w:r>
    </w:p>
  </w:footnote>
  <w:footnote w:id="247">
    <w:p w:rsidR="005919ED" w:rsidRPr="004539A7" w:rsidP="005919ED" w14:paraId="48ABE9CA" w14:textId="77777777">
      <w:pPr>
        <w:pStyle w:val="FootnoteText"/>
      </w:pPr>
      <w:r w:rsidRPr="004539A7">
        <w:rPr>
          <w:rStyle w:val="FootnoteReference"/>
        </w:rPr>
        <w:footnoteRef/>
      </w:r>
      <w:r w:rsidRPr="004539A7">
        <w:t xml:space="preserve"> Below, we propose to specify how quickly providers must stop accepting calls from removed providers.  </w:t>
      </w:r>
      <w:r w:rsidRPr="004539A7">
        <w:rPr>
          <w:i/>
          <w:iCs/>
        </w:rPr>
        <w:t xml:space="preserve">See </w:t>
      </w:r>
      <w:r w:rsidRPr="004539A7">
        <w:rPr>
          <w:i/>
          <w:iCs/>
        </w:rPr>
        <w:t>infra</w:t>
      </w:r>
      <w:r w:rsidRPr="004539A7">
        <w:t xml:space="preserve"> Section </w:t>
      </w:r>
      <w:r w:rsidRPr="00CD616B">
        <w:t>III</w:t>
      </w:r>
      <w:r w:rsidRPr="00CD616B">
        <w:t>.B.4</w:t>
      </w:r>
      <w:r w:rsidRPr="004539A7">
        <w:t>.</w:t>
      </w:r>
    </w:p>
  </w:footnote>
  <w:footnote w:id="248">
    <w:p w:rsidR="005919ED" w:rsidRPr="004539A7" w:rsidP="005919ED" w14:paraId="0634BFA8" w14:textId="77777777">
      <w:pPr>
        <w:pStyle w:val="FootnoteText"/>
      </w:pPr>
      <w:r w:rsidRPr="004539A7">
        <w:rPr>
          <w:rStyle w:val="FootnoteReference"/>
        </w:rPr>
        <w:footnoteRef/>
      </w:r>
      <w:r w:rsidRPr="004539A7">
        <w:t xml:space="preserve"> </w:t>
      </w:r>
      <w:r w:rsidRPr="004539A7">
        <w:rPr>
          <w:i/>
          <w:iCs/>
        </w:rPr>
        <w:t>See</w:t>
      </w:r>
      <w:r w:rsidRPr="004539A7">
        <w:t xml:space="preserve"> 47 U.S.C. § 214(a); 47 CFR §§ 63.60</w:t>
      </w:r>
      <w:r>
        <w:t>-63.71</w:t>
      </w:r>
      <w:r w:rsidRPr="004539A7">
        <w:t>.  Section 214(a) of the Act provides that a carrier may not discontinue, reduce, or impair a telecommunications service without Commission authorization.  Unless otherwise noted, we use the term “discontinue” or “discontinuance” as a shorthand for the statutory language “discontinue, reduce, or impair.”</w:t>
      </w:r>
    </w:p>
  </w:footnote>
  <w:footnote w:id="249">
    <w:p w:rsidR="005919ED" w:rsidRPr="004539A7" w:rsidP="005919ED" w14:paraId="30A93845" w14:textId="77777777">
      <w:pPr>
        <w:pStyle w:val="FootnoteText"/>
      </w:pPr>
      <w:r w:rsidRPr="004539A7">
        <w:rPr>
          <w:rStyle w:val="FootnoteReference"/>
        </w:rPr>
        <w:footnoteRef/>
      </w:r>
      <w:r w:rsidRPr="004539A7">
        <w:t xml:space="preserve"> </w:t>
      </w:r>
      <w:r w:rsidRPr="004539A7">
        <w:rPr>
          <w:i/>
          <w:iCs/>
        </w:rPr>
        <w:t>See</w:t>
      </w:r>
      <w:r w:rsidRPr="004539A7">
        <w:t xml:space="preserve"> 47 CFR § 63.71(a) (setting forth customer notice requirements, including timing and contents).</w:t>
      </w:r>
    </w:p>
  </w:footnote>
  <w:footnote w:id="250">
    <w:p w:rsidR="005919ED" w:rsidRPr="004539A7" w:rsidP="005919ED" w14:paraId="66E0774C" w14:textId="77777777">
      <w:pPr>
        <w:pStyle w:val="FootnoteText"/>
      </w:pPr>
      <w:r w:rsidRPr="004539A7">
        <w:rPr>
          <w:rStyle w:val="FootnoteReference"/>
        </w:rPr>
        <w:footnoteRef/>
      </w:r>
      <w:r w:rsidRPr="004539A7">
        <w:t xml:space="preserve"> </w:t>
      </w:r>
      <w:r w:rsidRPr="00CC45BA">
        <w:t>47 U.S.C. § 222; 47 CFR §§ 64.2001-64.2011.</w:t>
      </w:r>
    </w:p>
  </w:footnote>
  <w:footnote w:id="251">
    <w:p w:rsidR="005919ED" w:rsidRPr="004539A7" w:rsidP="005919ED" w14:paraId="4C4D7C58" w14:textId="77777777">
      <w:pPr>
        <w:pStyle w:val="FootnoteText"/>
      </w:pPr>
      <w:r w:rsidRPr="004539A7">
        <w:rPr>
          <w:rStyle w:val="FootnoteReference"/>
        </w:rPr>
        <w:footnoteRef/>
      </w:r>
      <w:r w:rsidRPr="004539A7">
        <w:t xml:space="preserve"> </w:t>
      </w:r>
      <w:r w:rsidRPr="004539A7">
        <w:rPr>
          <w:i/>
          <w:iCs/>
        </w:rPr>
        <w:t>See, e.g.</w:t>
      </w:r>
      <w:r w:rsidRPr="004539A7">
        <w:t>,</w:t>
      </w:r>
      <w:r w:rsidRPr="009A246B">
        <w:t xml:space="preserve"> </w:t>
      </w:r>
      <w:r w:rsidRPr="004539A7">
        <w:rPr>
          <w:i/>
          <w:iCs/>
        </w:rPr>
        <w:t>One Owl Telecom</w:t>
      </w:r>
      <w:r w:rsidRPr="004539A7">
        <w:t xml:space="preserve">, EB-TCD-23-00035574, EB Docket No. 22-174, Initial Determination Order, 38 FCC </w:t>
      </w:r>
      <w:r w:rsidRPr="004539A7">
        <w:t>Rcd</w:t>
      </w:r>
      <w:r w:rsidRPr="004539A7">
        <w:t xml:space="preserve"> 8454, 8457, para. 7 (EB 2023) (describing how One Owl Telecom was directly linked to two previous recipients of cease-and-desist letters, and while these providers operated under different corporate names, they shared the same personnel, IP addresses, and customer bases while continuing to route illegal traffic)</w:t>
      </w:r>
      <w:r>
        <w:t xml:space="preserve">; </w:t>
      </w:r>
      <w:r>
        <w:rPr>
          <w:i/>
          <w:iCs/>
        </w:rPr>
        <w:t xml:space="preserve">see also </w:t>
      </w:r>
      <w:r>
        <w:t>Letter from Jonathan Thessin, Vice President and Senior Counsel, American Bankers Association,, to Brendan Carr, Chairman, FCC, WC Docket Nos. 17-97 and 24-213; CG Docket No. 17-59, at 2 (filed July 15, 2026) (stating, “[</w:t>
      </w:r>
      <w:r>
        <w:t>i</w:t>
      </w:r>
      <w:r>
        <w:t>]t is critical that providers file robust plans describing how they will prevent criminal callers from accessing the provider’s network, and that the Commission hold providers accountable for following their plans and prevent bad actors from reentering the RMD under a new corporate identity”).</w:t>
      </w:r>
      <w:r w:rsidRPr="004539A7">
        <w:t xml:space="preserve">  </w:t>
      </w:r>
    </w:p>
  </w:footnote>
  <w:footnote w:id="252">
    <w:p w:rsidR="005919ED" w:rsidRPr="004539A7" w:rsidP="005919ED" w14:paraId="53A81EB9" w14:textId="77777777">
      <w:pPr>
        <w:pStyle w:val="FootnoteText"/>
      </w:pPr>
      <w:r w:rsidRPr="004539A7">
        <w:rPr>
          <w:rStyle w:val="FootnoteReference"/>
        </w:rPr>
        <w:footnoteRef/>
      </w:r>
      <w:r w:rsidRPr="004539A7">
        <w:t xml:space="preserve"> A given FRN may only be associated with a single RMD filing.  </w:t>
      </w:r>
      <w:r w:rsidRPr="004539A7">
        <w:rPr>
          <w:i/>
          <w:iCs/>
        </w:rPr>
        <w:t>See</w:t>
      </w:r>
      <w:r w:rsidRPr="004539A7">
        <w:t xml:space="preserve"> </w:t>
      </w:r>
      <w:r w:rsidRPr="004539A7">
        <w:rPr>
          <w:i/>
          <w:iCs/>
        </w:rPr>
        <w:t>RMD Filing Instructions</w:t>
      </w:r>
      <w:r>
        <w:t xml:space="preserve"> at 7</w:t>
      </w:r>
      <w:r w:rsidRPr="004539A7">
        <w:t xml:space="preserve">.  However, filers are required to list any additional FRNs in their filing, which may overlap with FRNs associated with other RMD filings, including removed filings.  </w:t>
      </w:r>
    </w:p>
  </w:footnote>
  <w:footnote w:id="253">
    <w:p w:rsidR="005919ED" w:rsidRPr="004539A7" w:rsidP="005919ED" w14:paraId="73AF887A" w14:textId="77777777">
      <w:pPr>
        <w:pStyle w:val="FootnoteText"/>
      </w:pPr>
      <w:r w:rsidRPr="004539A7">
        <w:rPr>
          <w:rStyle w:val="FootnoteReference"/>
        </w:rPr>
        <w:footnoteRef/>
      </w:r>
      <w:r w:rsidRPr="004539A7">
        <w:t xml:space="preserve"> </w:t>
      </w:r>
      <w:r w:rsidRPr="004539A7">
        <w:rPr>
          <w:i/>
          <w:iCs/>
        </w:rPr>
        <w:t xml:space="preserve">See Global UC Removal </w:t>
      </w:r>
      <w:r w:rsidRPr="004539A7">
        <w:rPr>
          <w:i/>
        </w:rPr>
        <w:t>Order</w:t>
      </w:r>
      <w:r w:rsidRPr="004539A7">
        <w:t xml:space="preserve">, 37 FCC </w:t>
      </w:r>
      <w:r w:rsidRPr="004539A7">
        <w:t>Rcd</w:t>
      </w:r>
      <w:r w:rsidRPr="004539A7">
        <w:t xml:space="preserve"> at 13376, para. 1 (directing that the removed filer “shall not re-file a Robocall Mitigation Database certification without the prior approval of the Wireline Competition Bureau and the Enforcement Bureau”); </w:t>
      </w:r>
      <w:r w:rsidRPr="004539A7">
        <w:rPr>
          <w:i/>
          <w:iCs/>
        </w:rPr>
        <w:t>see also Sixth Caller ID Authentication Order</w:t>
      </w:r>
      <w:r w:rsidRPr="004539A7">
        <w:t xml:space="preserve">, 38 FCC </w:t>
      </w:r>
      <w:r w:rsidRPr="004539A7">
        <w:t>Rcd</w:t>
      </w:r>
      <w:r w:rsidRPr="004539A7">
        <w:t xml:space="preserve"> at 2597, para. 46 &amp; n.173.</w:t>
      </w:r>
    </w:p>
  </w:footnote>
  <w:footnote w:id="254">
    <w:p w:rsidR="005919ED" w:rsidRPr="004539A7" w:rsidP="005919ED" w14:paraId="3013B864" w14:textId="77777777">
      <w:pPr>
        <w:pStyle w:val="FootnoteText"/>
      </w:pPr>
      <w:r w:rsidRPr="004539A7">
        <w:rPr>
          <w:rStyle w:val="FootnoteReference"/>
        </w:rPr>
        <w:footnoteRef/>
      </w:r>
      <w:r w:rsidRPr="004539A7">
        <w:t xml:space="preserve"> </w:t>
      </w:r>
      <w:r w:rsidRPr="004539A7">
        <w:rPr>
          <w:i/>
          <w:iCs/>
        </w:rPr>
        <w:t xml:space="preserve">See </w:t>
      </w:r>
      <w:r w:rsidRPr="004539A7">
        <w:rPr>
          <w:i/>
          <w:iCs/>
        </w:rPr>
        <w:t>supra</w:t>
      </w:r>
      <w:r w:rsidRPr="004539A7">
        <w:t xml:space="preserve"> Section </w:t>
      </w:r>
      <w:r w:rsidRPr="00CD616B">
        <w:t>III</w:t>
      </w:r>
      <w:r w:rsidRPr="00CD616B">
        <w:t>.B.1</w:t>
      </w:r>
      <w:r w:rsidRPr="004539A7">
        <w:t xml:space="preserve"> (</w:t>
      </w:r>
      <w:r w:rsidRPr="004539A7">
        <w:rPr>
          <w:i/>
          <w:iCs/>
        </w:rPr>
        <w:t>Preventing Bad Actor Providers from Getting Into the RMD</w:t>
      </w:r>
      <w:r w:rsidRPr="004539A7">
        <w:t>).</w:t>
      </w:r>
      <w:r w:rsidRPr="004539A7">
        <w:rPr>
          <w:i/>
          <w:iCs/>
        </w:rPr>
        <w:t xml:space="preserve"> </w:t>
      </w:r>
      <w:r w:rsidRPr="004539A7">
        <w:t xml:space="preserve"> </w:t>
      </w:r>
    </w:p>
  </w:footnote>
  <w:footnote w:id="255">
    <w:p w:rsidR="005919ED" w:rsidRPr="004539A7" w:rsidP="005919ED" w14:paraId="7F95A8C5" w14:textId="77777777">
      <w:pPr>
        <w:pStyle w:val="FootnoteText"/>
      </w:pPr>
      <w:r w:rsidRPr="004539A7">
        <w:rPr>
          <w:rStyle w:val="FootnoteReference"/>
        </w:rPr>
        <w:footnoteRef/>
      </w:r>
      <w:r w:rsidRPr="004539A7">
        <w:t xml:space="preserve"> </w:t>
      </w:r>
      <w:r w:rsidRPr="004539A7">
        <w:rPr>
          <w:i/>
          <w:iCs/>
        </w:rPr>
        <w:t>See United Internet Services</w:t>
      </w:r>
      <w:r w:rsidRPr="009A246B">
        <w:rPr>
          <w:i/>
        </w:rPr>
        <w:t xml:space="preserve">, </w:t>
      </w:r>
      <w:r>
        <w:rPr>
          <w:i/>
          <w:iCs/>
        </w:rPr>
        <w:t>LLC</w:t>
      </w:r>
      <w:r w:rsidRPr="004539A7">
        <w:t xml:space="preserve">, </w:t>
      </w:r>
      <w:r>
        <w:t xml:space="preserve">EB-TCD-25-00038590, </w:t>
      </w:r>
      <w:r w:rsidRPr="004539A7">
        <w:t xml:space="preserve">Order and Consent Decree, 40 FCC </w:t>
      </w:r>
      <w:r w:rsidRPr="004539A7">
        <w:t>Rcd</w:t>
      </w:r>
      <w:r w:rsidRPr="004539A7">
        <w:t xml:space="preserve"> 9163 (EB 2025).</w:t>
      </w:r>
    </w:p>
  </w:footnote>
  <w:footnote w:id="256">
    <w:p w:rsidR="005919ED" w:rsidRPr="004539A7" w:rsidP="005919ED" w14:paraId="2B78829B" w14:textId="77777777">
      <w:pPr>
        <w:pStyle w:val="FootnoteText"/>
      </w:pPr>
      <w:r w:rsidRPr="004539A7">
        <w:rPr>
          <w:rStyle w:val="FootnoteReference"/>
        </w:rPr>
        <w:footnoteRef/>
      </w:r>
      <w:r w:rsidRPr="004539A7">
        <w:t xml:space="preserve"> </w:t>
      </w:r>
      <w:r w:rsidRPr="004539A7">
        <w:rPr>
          <w:i/>
          <w:iCs/>
        </w:rPr>
        <w:t>Modernizing Suspension and Debarment Rules</w:t>
      </w:r>
      <w:r w:rsidRPr="004539A7">
        <w:t>,</w:t>
      </w:r>
      <w:r w:rsidRPr="004539A7">
        <w:rPr>
          <w:i/>
          <w:iCs/>
        </w:rPr>
        <w:t xml:space="preserve"> </w:t>
      </w:r>
      <w:r w:rsidRPr="004539A7">
        <w:t>GN Docket No. 19-309, Report and Order, Direct Final Rule, and Further Notice of Proposed Rulemaking, FCC 26-18, at</w:t>
      </w:r>
      <w:r w:rsidRPr="004539A7">
        <w:rPr>
          <w:i/>
          <w:iCs/>
        </w:rPr>
        <w:t xml:space="preserve"> </w:t>
      </w:r>
      <w:r w:rsidRPr="004539A7">
        <w:t>39-40, paras. 87-90 (Mar. 27, 2026) (</w:t>
      </w:r>
      <w:r w:rsidRPr="004539A7">
        <w:rPr>
          <w:i/>
        </w:rPr>
        <w:t>Suspension and Debarment Order</w:t>
      </w:r>
      <w:r w:rsidRPr="004539A7">
        <w:t>).</w:t>
      </w:r>
    </w:p>
  </w:footnote>
  <w:footnote w:id="257">
    <w:p w:rsidR="005919ED" w:rsidRPr="004539A7" w:rsidP="005919ED" w14:paraId="493743A8" w14:textId="77777777">
      <w:pPr>
        <w:pStyle w:val="FootnoteText"/>
      </w:pPr>
      <w:r w:rsidRPr="004539A7">
        <w:rPr>
          <w:rStyle w:val="FootnoteReference"/>
        </w:rPr>
        <w:footnoteRef/>
      </w:r>
      <w:r w:rsidRPr="004539A7">
        <w:t xml:space="preserve"> </w:t>
      </w:r>
      <w:r>
        <w:rPr>
          <w:i/>
          <w:iCs/>
        </w:rPr>
        <w:t>Id.</w:t>
      </w:r>
      <w:r>
        <w:t xml:space="preserve"> </w:t>
      </w:r>
      <w:r w:rsidRPr="004539A7">
        <w:t>at 39-40, 42</w:t>
      </w:r>
      <w:r>
        <w:t>-</w:t>
      </w:r>
      <w:r w:rsidRPr="004539A7">
        <w:t>43, paras. 89, 97-98, 100.</w:t>
      </w:r>
    </w:p>
  </w:footnote>
  <w:footnote w:id="258">
    <w:p w:rsidR="005919ED" w:rsidRPr="004539A7" w:rsidP="005919ED" w14:paraId="682B6B94" w14:textId="77777777">
      <w:pPr>
        <w:pStyle w:val="FootnoteText"/>
        <w:rPr>
          <w:u w:val="single"/>
        </w:rPr>
      </w:pPr>
      <w:r w:rsidRPr="004539A7">
        <w:rPr>
          <w:rStyle w:val="FootnoteReference"/>
        </w:rPr>
        <w:footnoteRef/>
      </w:r>
      <w:r w:rsidRPr="004539A7">
        <w:t xml:space="preserve"> Evidentiary hearings may be conducted by the Administrative Law Judge, by one or more commissioners, or by the Commission, which may appoint a case manager.  The Administrative Law Judge may be tasked with finding facts only or with rendering an Initial Decision on the merits, which may be appealed to the Commission.  When the Commission hears the </w:t>
      </w:r>
      <w:r w:rsidRPr="004539A7">
        <w:t>matter</w:t>
      </w:r>
      <w:r w:rsidRPr="004539A7">
        <w:t xml:space="preserve"> itself utilizing a case manager, the case manager oversees the daily progress of the case, but the Commission renders the decision on the merits.  47 CFR §§ 1.241-1.243, 1.267, 1.302; </w:t>
      </w:r>
      <w:r w:rsidRPr="00CC45BA">
        <w:rPr>
          <w:rFonts w:eastAsia="Aptos"/>
          <w:i/>
          <w:iCs/>
          <w:kern w:val="2"/>
        </w:rPr>
        <w:t>Procedural Streamlining of Administrative Hearings</w:t>
      </w:r>
      <w:r w:rsidRPr="009A246B">
        <w:rPr>
          <w:rFonts w:eastAsia="Aptos"/>
          <w:kern w:val="2"/>
        </w:rPr>
        <w:t>,</w:t>
      </w:r>
      <w:r w:rsidRPr="00CC45BA">
        <w:rPr>
          <w:rFonts w:eastAsia="Aptos"/>
          <w:kern w:val="2"/>
        </w:rPr>
        <w:t xml:space="preserve"> EB Docket No. 19-214, Report and Order, 35 FCC </w:t>
      </w:r>
      <w:r w:rsidRPr="00CC45BA">
        <w:rPr>
          <w:rFonts w:eastAsia="Aptos"/>
          <w:kern w:val="2"/>
        </w:rPr>
        <w:t>Rcd</w:t>
      </w:r>
      <w:r w:rsidRPr="00CC45BA">
        <w:rPr>
          <w:rFonts w:eastAsia="Aptos"/>
          <w:kern w:val="2"/>
        </w:rPr>
        <w:t xml:space="preserve"> 10729 (2020).  Evidentiary hearings allow for discovery, including production of documents, taking of depositions and live testimony, subpoenaing of witnesses and documents, and requiring personal appearances by natural persons associated with the provider and by other witnesses.  47 CFR §§ 1.246, 1.311-1.340.  </w:t>
      </w:r>
      <w:r w:rsidRPr="004539A7">
        <w:t>Section 309(e) of the Act, 47 U.S.C. § 309(e), provides a model.  It requires that when a broadcast application presents a substantial and material question of fact, or when the Commission (or the Media Bureau on delegated authority) is unable to determine upon the record before it whether the application should be granted, that application is to be designated for an evidentiary hearing.  47 U.S.C. § 309(e)</w:t>
      </w:r>
      <w:r>
        <w:t>;</w:t>
      </w:r>
      <w:r w:rsidRPr="004539A7">
        <w:t xml:space="preserve"> 47 CFR §§ 0.61, 0.283.</w:t>
      </w:r>
    </w:p>
  </w:footnote>
  <w:footnote w:id="259">
    <w:p w:rsidR="005919ED" w:rsidRPr="004539A7" w:rsidP="005919ED" w14:paraId="64CB0E04" w14:textId="77777777">
      <w:pPr>
        <w:pStyle w:val="FootnoteText"/>
      </w:pPr>
      <w:r w:rsidRPr="004539A7">
        <w:rPr>
          <w:rStyle w:val="FootnoteReference"/>
        </w:rPr>
        <w:footnoteRef/>
      </w:r>
      <w:r w:rsidRPr="004539A7">
        <w:t xml:space="preserve"> The Commission previously has utilized the Administrative Law Judge in the appeals process.  To facilitate the upper C-band transition, the Commission established a procedure by which a satellite operator could seek Media Bureau review of the cost clearinghouse’s determination of the operator’s reimbursable costs.  The operator then could seek </w:t>
      </w:r>
      <w:r w:rsidRPr="004539A7">
        <w:rPr>
          <w:i/>
          <w:iCs/>
        </w:rPr>
        <w:t>de novo</w:t>
      </w:r>
      <w:r w:rsidRPr="004539A7">
        <w:t xml:space="preserve"> review of the Media Bureau’s order.  The </w:t>
      </w:r>
      <w:r w:rsidRPr="004539A7">
        <w:rPr>
          <w:i/>
          <w:iCs/>
        </w:rPr>
        <w:t>de novo</w:t>
      </w:r>
      <w:r w:rsidRPr="004539A7">
        <w:t xml:space="preserve"> review was </w:t>
      </w:r>
      <w:r w:rsidRPr="004539A7">
        <w:t>effected</w:t>
      </w:r>
      <w:r w:rsidRPr="004539A7">
        <w:t xml:space="preserve"> through an evidentiary hearing before the Administrative Law Judge.  47 CFR § 27.1421(c)(2)-(3); </w:t>
      </w:r>
      <w:r w:rsidRPr="004539A7">
        <w:rPr>
          <w:i/>
          <w:iCs/>
        </w:rPr>
        <w:t>Expanding Flexible Use of the 3.7 to 4.2 GHz Band</w:t>
      </w:r>
      <w:r w:rsidRPr="004539A7">
        <w:t xml:space="preserve">, Report and Order and Order of Proposed Modification, 35 FCC </w:t>
      </w:r>
      <w:r w:rsidRPr="004539A7">
        <w:t>Rcd</w:t>
      </w:r>
      <w:r w:rsidRPr="004539A7">
        <w:t xml:space="preserve"> 2343, 2449-50, para. 269 (2020) (</w:t>
      </w:r>
      <w:r w:rsidRPr="004539A7">
        <w:rPr>
          <w:i/>
          <w:iCs/>
        </w:rPr>
        <w:t>3.5 GHz Report and Order</w:t>
      </w:r>
      <w:r w:rsidRPr="004539A7">
        <w:t xml:space="preserve">).  This option for </w:t>
      </w:r>
      <w:r w:rsidRPr="004539A7">
        <w:rPr>
          <w:i/>
          <w:iCs/>
        </w:rPr>
        <w:t>de novo</w:t>
      </w:r>
      <w:r w:rsidRPr="004539A7">
        <w:t xml:space="preserve"> review, however, did not alter the pre-existing option for the Media Bureau to designate the matter for hearing before the Administrative Law Judge rather than decide the matter based upon the record available to it.  </w:t>
      </w:r>
      <w:r w:rsidRPr="004539A7">
        <w:rPr>
          <w:i/>
          <w:iCs/>
        </w:rPr>
        <w:t>3.5 GHz Report and Order</w:t>
      </w:r>
      <w:r w:rsidRPr="004539A7">
        <w:t xml:space="preserve">, 35 FCC </w:t>
      </w:r>
      <w:r w:rsidRPr="004539A7">
        <w:t>Rcd</w:t>
      </w:r>
      <w:r w:rsidRPr="004539A7">
        <w:t xml:space="preserve"> at 2449-50, para. 269.  The decision of the Administrative Law Judge, whether made after designation for hearing by the Media Bureau or after the operator sought </w:t>
      </w:r>
      <w:r w:rsidRPr="004539A7">
        <w:rPr>
          <w:i/>
          <w:iCs/>
        </w:rPr>
        <w:t>de novo</w:t>
      </w:r>
      <w:r w:rsidRPr="004539A7">
        <w:t xml:space="preserve"> review, then could be appealed to the Commission.  47 CFR § 1.302; </w:t>
      </w:r>
      <w:r w:rsidRPr="004539A7">
        <w:rPr>
          <w:i/>
          <w:iCs/>
        </w:rPr>
        <w:t>see</w:t>
      </w:r>
      <w:r w:rsidRPr="004539A7">
        <w:t xml:space="preserve"> </w:t>
      </w:r>
      <w:r>
        <w:rPr>
          <w:i/>
          <w:iCs/>
        </w:rPr>
        <w:t xml:space="preserve">also </w:t>
      </w:r>
      <w:r w:rsidRPr="004539A7">
        <w:rPr>
          <w:i/>
          <w:iCs/>
        </w:rPr>
        <w:t>Mongoose Works, Ltd.</w:t>
      </w:r>
      <w:r w:rsidRPr="004539A7">
        <w:t xml:space="preserve">, </w:t>
      </w:r>
      <w:r>
        <w:t xml:space="preserve">WT Docket No. 21-333, Memorandum Opinion and Order, </w:t>
      </w:r>
      <w:r w:rsidRPr="004539A7">
        <w:t xml:space="preserve">40 FCC </w:t>
      </w:r>
      <w:r w:rsidRPr="004539A7">
        <w:t>Rcd</w:t>
      </w:r>
      <w:r w:rsidRPr="004539A7">
        <w:t xml:space="preserve"> 731 (2025).</w:t>
      </w:r>
    </w:p>
  </w:footnote>
  <w:footnote w:id="260">
    <w:p w:rsidR="005919ED" w:rsidRPr="006F3686" w:rsidP="005919ED" w14:paraId="5CE595F4" w14:textId="77777777">
      <w:pPr>
        <w:pStyle w:val="FootnoteText"/>
      </w:pPr>
      <w:r w:rsidRPr="006F3686">
        <w:rPr>
          <w:rStyle w:val="FootnoteReference"/>
        </w:rPr>
        <w:footnoteRef/>
      </w:r>
      <w:r w:rsidRPr="006F3686">
        <w:t xml:space="preserve"> 47 CFR § 1.24.</w:t>
      </w:r>
    </w:p>
  </w:footnote>
  <w:footnote w:id="261">
    <w:p w:rsidR="005919ED" w:rsidRPr="004539A7" w:rsidP="005919ED" w14:paraId="6EB69E0F" w14:textId="77777777">
      <w:pPr>
        <w:pStyle w:val="FootnoteText"/>
      </w:pPr>
      <w:r w:rsidRPr="004539A7">
        <w:rPr>
          <w:rStyle w:val="FootnoteReference"/>
        </w:rPr>
        <w:footnoteRef/>
      </w:r>
      <w:r w:rsidRPr="004539A7">
        <w:t xml:space="preserve"> 47 U.S.C. § 214.</w:t>
      </w:r>
    </w:p>
  </w:footnote>
  <w:footnote w:id="262">
    <w:p w:rsidR="005919ED" w:rsidRPr="004539A7" w:rsidP="005919ED" w14:paraId="6EDA9F48" w14:textId="77777777">
      <w:pPr>
        <w:pStyle w:val="FootnoteText"/>
      </w:pPr>
      <w:r w:rsidRPr="004539A7">
        <w:rPr>
          <w:rStyle w:val="FootnoteReference"/>
        </w:rPr>
        <w:footnoteRef/>
      </w:r>
      <w:r w:rsidRPr="004539A7">
        <w:t xml:space="preserve"> </w:t>
      </w:r>
      <w:r w:rsidRPr="004539A7">
        <w:rPr>
          <w:i/>
          <w:iCs/>
        </w:rPr>
        <w:t>See Numbering Policies for Modern Communications et al.</w:t>
      </w:r>
      <w:r w:rsidRPr="004539A7">
        <w:t xml:space="preserve">, WC Docket No. 13-97 et al., Report and Order, 30 FCC </w:t>
      </w:r>
      <w:r w:rsidRPr="004539A7">
        <w:t>Rcd</w:t>
      </w:r>
      <w:r w:rsidRPr="004539A7">
        <w:t xml:space="preserve"> 6839, 6878, para. 78 (2015), </w:t>
      </w:r>
      <w:r w:rsidRPr="004539A7">
        <w:rPr>
          <w:i/>
          <w:iCs/>
        </w:rPr>
        <w:t>appeal dismissed</w:t>
      </w:r>
      <w:r w:rsidRPr="004539A7">
        <w:t xml:space="preserve">, </w:t>
      </w:r>
      <w:r w:rsidRPr="004539A7">
        <w:rPr>
          <w:i/>
          <w:iCs/>
        </w:rPr>
        <w:t>NARUC v. FCC</w:t>
      </w:r>
      <w:r w:rsidRPr="004539A7">
        <w:t>, 851 F.3d 1324 (D.C. Cir. 2017).</w:t>
      </w:r>
    </w:p>
  </w:footnote>
  <w:footnote w:id="263">
    <w:p w:rsidR="005919ED" w:rsidRPr="004539A7" w:rsidP="005919ED" w14:paraId="541D747B" w14:textId="77777777">
      <w:pPr>
        <w:pStyle w:val="FootnoteText"/>
      </w:pPr>
      <w:r w:rsidRPr="004539A7">
        <w:rPr>
          <w:rStyle w:val="FootnoteReference"/>
        </w:rPr>
        <w:footnoteRef/>
      </w:r>
      <w:r w:rsidRPr="004539A7">
        <w:t xml:space="preserve"> 47 U.S.C. § 251(e).</w:t>
      </w:r>
    </w:p>
  </w:footnote>
  <w:footnote w:id="264">
    <w:p w:rsidR="005919ED" w:rsidRPr="004539A7" w:rsidP="005919ED" w14:paraId="090A7F1C" w14:textId="77777777">
      <w:pPr>
        <w:pStyle w:val="FootnoteText"/>
      </w:pPr>
      <w:r w:rsidRPr="004539A7">
        <w:rPr>
          <w:rStyle w:val="FootnoteReference"/>
        </w:rPr>
        <w:footnoteRef/>
      </w:r>
      <w:r w:rsidRPr="004539A7">
        <w:t xml:space="preserve"> </w:t>
      </w:r>
      <w:r w:rsidRPr="004539A7">
        <w:rPr>
          <w:i/>
          <w:iCs/>
        </w:rPr>
        <w:t>See</w:t>
      </w:r>
      <w:r w:rsidRPr="004539A7">
        <w:t xml:space="preserve"> FCC, </w:t>
      </w:r>
      <w:r w:rsidRPr="004539A7">
        <w:rPr>
          <w:i/>
          <w:iCs/>
        </w:rPr>
        <w:t>Licensing</w:t>
      </w:r>
      <w:r w:rsidRPr="004539A7">
        <w:t xml:space="preserve">, </w:t>
      </w:r>
      <w:hyperlink r:id="rId21" w:history="1">
        <w:r w:rsidRPr="004539A7">
          <w:rPr>
            <w:rStyle w:val="Hyperlink"/>
          </w:rPr>
          <w:t>https://www.fcc.gov/licensing-databases/licensing</w:t>
        </w:r>
      </w:hyperlink>
      <w:r w:rsidRPr="004539A7">
        <w:t xml:space="preserve"> (last updated Apr</w:t>
      </w:r>
      <w:r>
        <w:t>.</w:t>
      </w:r>
      <w:r w:rsidRPr="004539A7">
        <w:t xml:space="preserve"> 11, 2023) (explaining the Commission’s spectrum licensing regime).</w:t>
      </w:r>
    </w:p>
  </w:footnote>
  <w:footnote w:id="265">
    <w:p w:rsidR="005919ED" w:rsidRPr="004539A7" w:rsidP="005919ED" w14:paraId="72BB0247" w14:textId="77777777">
      <w:pPr>
        <w:pStyle w:val="FootnoteText"/>
      </w:pPr>
      <w:r w:rsidRPr="004539A7">
        <w:rPr>
          <w:rStyle w:val="FootnoteReference"/>
        </w:rPr>
        <w:footnoteRef/>
      </w:r>
      <w:r w:rsidRPr="004539A7">
        <w:t xml:space="preserve"> </w:t>
      </w:r>
      <w:r w:rsidRPr="004539A7">
        <w:rPr>
          <w:i/>
        </w:rPr>
        <w:t>Sixth Caller ID Authentication Order</w:t>
      </w:r>
      <w:r w:rsidRPr="004539A7">
        <w:t xml:space="preserve">, 38 FCC </w:t>
      </w:r>
      <w:r w:rsidRPr="004539A7">
        <w:t>Rcd</w:t>
      </w:r>
      <w:r w:rsidRPr="004539A7">
        <w:t xml:space="preserve"> at 2606-11, paras. 65-73.</w:t>
      </w:r>
    </w:p>
  </w:footnote>
  <w:footnote w:id="266">
    <w:p w:rsidR="005919ED" w:rsidRPr="004539A7" w:rsidP="005919ED" w14:paraId="0B5344F9" w14:textId="77777777">
      <w:pPr>
        <w:pStyle w:val="FootnoteText"/>
      </w:pPr>
      <w:r w:rsidRPr="004539A7">
        <w:rPr>
          <w:rStyle w:val="FootnoteReference"/>
        </w:rPr>
        <w:footnoteRef/>
      </w:r>
      <w:r w:rsidRPr="004539A7">
        <w:t xml:space="preserve"> </w:t>
      </w:r>
      <w:r>
        <w:rPr>
          <w:i/>
          <w:iCs/>
        </w:rPr>
        <w:t>Id.</w:t>
      </w:r>
      <w:r w:rsidRPr="004539A7">
        <w:t xml:space="preserve"> at 2610, para. 72.</w:t>
      </w:r>
    </w:p>
  </w:footnote>
  <w:footnote w:id="267">
    <w:p w:rsidR="005919ED" w:rsidRPr="004539A7" w:rsidP="005919ED" w14:paraId="1489BC95" w14:textId="77777777">
      <w:pPr>
        <w:pStyle w:val="FootnoteText"/>
      </w:pPr>
      <w:r w:rsidRPr="004539A7">
        <w:rPr>
          <w:rStyle w:val="FootnoteReference"/>
        </w:rPr>
        <w:footnoteRef/>
      </w:r>
      <w:r w:rsidRPr="004539A7">
        <w:t xml:space="preserve"> </w:t>
      </w:r>
      <w:r w:rsidRPr="00CC45BA">
        <w:t xml:space="preserve">We note that, in the </w:t>
      </w:r>
      <w:r w:rsidRPr="00CC45BA">
        <w:rPr>
          <w:i/>
          <w:iCs/>
        </w:rPr>
        <w:t>Robocall Numbering Policies NPRM</w:t>
      </w:r>
      <w:r w:rsidRPr="00CC45BA">
        <w:t xml:space="preserve">, we sought comment on whether providers’ access to numbering resources should be affected when there </w:t>
      </w:r>
      <w:r w:rsidRPr="00CC45BA">
        <w:t>is</w:t>
      </w:r>
      <w:r w:rsidRPr="00CC45BA">
        <w:t xml:space="preserve"> indicia of fraud or misuse of numbering resources, such as a high number of tracebacks over a defined period or receipt of a “Notification of Suspected Illegal Traffic.”  </w:t>
      </w:r>
      <w:r w:rsidRPr="00CC45BA">
        <w:rPr>
          <w:i/>
          <w:iCs/>
        </w:rPr>
        <w:t>Robocall Numbering Policies NPRM</w:t>
      </w:r>
      <w:r w:rsidRPr="00CC45BA">
        <w:t xml:space="preserve">, FCC 26-17, at 26, para. 66. </w:t>
      </w:r>
    </w:p>
  </w:footnote>
  <w:footnote w:id="268">
    <w:p w:rsidR="005919ED" w:rsidRPr="004539A7" w:rsidP="005919ED" w14:paraId="0314557B" w14:textId="77777777">
      <w:pPr>
        <w:pStyle w:val="FootnoteText"/>
        <w:rPr>
          <w:i/>
          <w:iCs/>
        </w:rPr>
      </w:pPr>
      <w:r w:rsidRPr="004539A7">
        <w:rPr>
          <w:rStyle w:val="FootnoteReference"/>
        </w:rPr>
        <w:footnoteRef/>
      </w:r>
      <w:r w:rsidRPr="004539A7">
        <w:t xml:space="preserve"> We note that there might already be procedural requirements governing revocation of certain types of Commission authorizations.  For example, Section 312(c) of the Act requires an evidentiary hearing before a broadcast license may be revoked.  47 U.S.C. § 312(c).  Potential bases for revoking a broadcast license may arise in relation to the RMD </w:t>
      </w:r>
      <w:r w:rsidRPr="004539A7">
        <w:t>as a result of</w:t>
      </w:r>
      <w:r w:rsidRPr="004539A7">
        <w:t xml:space="preserve">, for instance, violations of the RMD rules, false or misleading statements in an RMD submission, or abusing the RMD process.  </w:t>
      </w:r>
      <w:r w:rsidRPr="004539A7">
        <w:rPr>
          <w:i/>
          <w:iCs/>
        </w:rPr>
        <w:t>See</w:t>
      </w:r>
      <w:r w:rsidRPr="004539A7">
        <w:t xml:space="preserve"> 47 U.S.C. § 312(c); </w:t>
      </w:r>
      <w:r w:rsidRPr="004539A7">
        <w:rPr>
          <w:i/>
          <w:iCs/>
        </w:rPr>
        <w:t>Policy Regarding Character Qualifications in Broadcast Licensing</w:t>
      </w:r>
      <w:r w:rsidRPr="004539A7">
        <w:t xml:space="preserve">, Report, Order and Policy Statement, 102 F.C.C.2d 1179, 1208-11 (1986) (1986 Character Policy Statement), recon. dismissed/denied, 1 FCC </w:t>
      </w:r>
      <w:r w:rsidRPr="004539A7">
        <w:t>Rcd</w:t>
      </w:r>
      <w:r w:rsidRPr="004539A7">
        <w:t xml:space="preserve"> 421 (1986); </w:t>
      </w:r>
      <w:r w:rsidRPr="004539A7">
        <w:rPr>
          <w:i/>
        </w:rPr>
        <w:t>see also</w:t>
      </w:r>
      <w:r w:rsidRPr="004539A7">
        <w:rPr>
          <w:i/>
          <w:iCs/>
        </w:rPr>
        <w:t xml:space="preserve"> Policy Regarding Character Qualifications in Broadcast Licensing</w:t>
      </w:r>
      <w:r w:rsidRPr="004539A7">
        <w:t xml:space="preserve">, Policy Statement and Order, 5 FCC </w:t>
      </w:r>
      <w:r w:rsidRPr="004539A7">
        <w:t>Rcd</w:t>
      </w:r>
      <w:r w:rsidRPr="004539A7">
        <w:t xml:space="preserve"> 3252 (1990) (1990 Character Policy Statement), recon. granted in part, 6 FCC </w:t>
      </w:r>
      <w:r w:rsidRPr="004539A7">
        <w:t>Rcd</w:t>
      </w:r>
      <w:r w:rsidRPr="004539A7">
        <w:t xml:space="preserve"> 3448 (1991), further recon. granted in part, 7 FCC </w:t>
      </w:r>
      <w:r w:rsidRPr="004539A7">
        <w:t>Rcd</w:t>
      </w:r>
      <w:r w:rsidRPr="004539A7">
        <w:t xml:space="preserve"> 6564 (1992).  Section 73.4280 of the Commission’s rules incorporates these character policy statements by reference and thereby makes them part of the Commission’s rules.  47 CFR § 73.4280.</w:t>
      </w:r>
    </w:p>
  </w:footnote>
  <w:footnote w:id="269">
    <w:p w:rsidR="005919ED" w:rsidRPr="004539A7" w:rsidP="005919ED" w14:paraId="3E200FBF" w14:textId="77777777">
      <w:pPr>
        <w:pStyle w:val="FootnoteText"/>
      </w:pPr>
      <w:r w:rsidRPr="004539A7">
        <w:rPr>
          <w:rStyle w:val="FootnoteReference"/>
        </w:rPr>
        <w:footnoteRef/>
      </w:r>
      <w:r w:rsidRPr="004539A7">
        <w:t xml:space="preserve"> </w:t>
      </w:r>
      <w:r w:rsidRPr="005C0C1B">
        <w:rPr>
          <w:i/>
          <w:iCs/>
        </w:rPr>
        <w:t>See</w:t>
      </w:r>
      <w:r w:rsidRPr="004539A7">
        <w:t xml:space="preserve"> 47 CFR § 64.6305(g).  Notwithstanding this requirement, “(</w:t>
      </w:r>
      <w:r w:rsidRPr="004539A7">
        <w:t>i</w:t>
      </w:r>
      <w:r w:rsidRPr="004539A7">
        <w:t>) [a] provider may not block a voice call under any circumstances if the call is an emergency call placed to 911; and (ii) [a] provider must make all reasonable efforts to ensure that it does not block any calls from public safety answering points and government emergency numbers.</w:t>
      </w:r>
      <w:r>
        <w:t>”</w:t>
      </w:r>
      <w:r w:rsidRPr="004539A7">
        <w:t xml:space="preserve">  </w:t>
      </w:r>
      <w:r w:rsidRPr="00B66597">
        <w:rPr>
          <w:i/>
        </w:rPr>
        <w:t>Id.</w:t>
      </w:r>
      <w:r w:rsidRPr="004539A7">
        <w:t xml:space="preserve"> § 64.6305(g)(5).</w:t>
      </w:r>
    </w:p>
  </w:footnote>
  <w:footnote w:id="270">
    <w:p w:rsidR="005919ED" w:rsidRPr="004539A7" w:rsidP="005919ED" w14:paraId="6F08F7D7" w14:textId="77777777">
      <w:pPr>
        <w:pStyle w:val="FootnoteText"/>
      </w:pPr>
      <w:r w:rsidRPr="004539A7">
        <w:rPr>
          <w:rStyle w:val="FootnoteReference"/>
        </w:rPr>
        <w:footnoteRef/>
      </w:r>
      <w:r w:rsidRPr="004539A7">
        <w:t xml:space="preserve"> </w:t>
      </w:r>
      <w:r w:rsidRPr="004539A7">
        <w:rPr>
          <w:i/>
          <w:iCs/>
        </w:rPr>
        <w:t xml:space="preserve">See </w:t>
      </w:r>
      <w:r w:rsidRPr="004539A7">
        <w:rPr>
          <w:i/>
          <w:iCs/>
        </w:rPr>
        <w:t>supra</w:t>
      </w:r>
      <w:r w:rsidRPr="004539A7">
        <w:t xml:space="preserve"> Section </w:t>
      </w:r>
      <w:r w:rsidRPr="00CD616B">
        <w:t>III</w:t>
      </w:r>
      <w:r w:rsidRPr="00CD616B">
        <w:t>.A.2.b</w:t>
      </w:r>
      <w:r w:rsidRPr="004539A7">
        <w:t xml:space="preserve"> (</w:t>
      </w:r>
      <w:r w:rsidRPr="004539A7">
        <w:rPr>
          <w:i/>
          <w:iCs/>
        </w:rPr>
        <w:t>Robocall Mitigation Information</w:t>
      </w:r>
      <w:r w:rsidRPr="004539A7">
        <w:t xml:space="preserve">). </w:t>
      </w:r>
    </w:p>
  </w:footnote>
  <w:footnote w:id="271">
    <w:p w:rsidR="005919ED" w:rsidRPr="00C813BD" w:rsidP="005919ED" w14:paraId="4618E1B3" w14:textId="77777777">
      <w:pPr>
        <w:pStyle w:val="FootnoteText"/>
      </w:pPr>
      <w:r>
        <w:rPr>
          <w:rStyle w:val="FootnoteReference"/>
        </w:rPr>
        <w:footnoteRef/>
      </w:r>
      <w:r>
        <w:t xml:space="preserve"> </w:t>
      </w:r>
      <w:r>
        <w:rPr>
          <w:i/>
          <w:iCs/>
        </w:rPr>
        <w:t>KYUP FNPRM</w:t>
      </w:r>
      <w:r>
        <w:t>, FCC 26-32, at 13, para. 21 &amp; n.56 (proposing “to require that voice service providers perform due diligence of upstream providers’ compliance with Commission rules related to the provision of service by confirming the upstream provider has a filing in the RMD and reviewing the filing (including the robocall mitigation plan) to generally assess whether it is complete and compliant”).</w:t>
      </w:r>
    </w:p>
  </w:footnote>
  <w:footnote w:id="272">
    <w:p w:rsidR="005919ED" w:rsidRPr="004539A7" w:rsidP="005919ED" w14:paraId="43976DC3" w14:textId="77777777">
      <w:pPr>
        <w:pStyle w:val="FootnoteText"/>
      </w:pPr>
      <w:r w:rsidRPr="004539A7">
        <w:rPr>
          <w:rStyle w:val="FootnoteReference"/>
        </w:rPr>
        <w:footnoteRef/>
      </w:r>
      <w:r w:rsidRPr="004539A7">
        <w:t xml:space="preserve"> </w:t>
      </w:r>
      <w:r w:rsidRPr="004539A7">
        <w:rPr>
          <w:i/>
          <w:iCs/>
        </w:rPr>
        <w:t>Sixth Caller ID Authentication Order</w:t>
      </w:r>
      <w:r w:rsidRPr="004539A7">
        <w:t xml:space="preserve">, 38 FCC </w:t>
      </w:r>
      <w:r w:rsidRPr="004539A7">
        <w:t>Rcd</w:t>
      </w:r>
      <w:r w:rsidRPr="004539A7">
        <w:t xml:space="preserve"> at 2603, para. 58.</w:t>
      </w:r>
    </w:p>
  </w:footnote>
  <w:footnote w:id="273">
    <w:p w:rsidR="005919ED" w:rsidRPr="004539A7" w:rsidP="005919ED" w14:paraId="235AB499" w14:textId="77777777">
      <w:pPr>
        <w:pStyle w:val="FootnoteText"/>
      </w:pPr>
      <w:r w:rsidRPr="004539A7">
        <w:rPr>
          <w:rStyle w:val="FootnoteReference"/>
        </w:rPr>
        <w:footnoteRef/>
      </w:r>
      <w:r w:rsidRPr="004539A7">
        <w:t xml:space="preserve"> </w:t>
      </w:r>
      <w:r w:rsidRPr="004539A7">
        <w:rPr>
          <w:i/>
          <w:iCs/>
        </w:rPr>
        <w:t xml:space="preserve">See </w:t>
      </w:r>
      <w:r>
        <w:rPr>
          <w:i/>
          <w:iCs/>
        </w:rPr>
        <w:t>Aug.</w:t>
      </w:r>
      <w:r w:rsidRPr="004539A7">
        <w:rPr>
          <w:i/>
          <w:iCs/>
        </w:rPr>
        <w:t xml:space="preserve"> 25</w:t>
      </w:r>
      <w:r>
        <w:rPr>
          <w:i/>
          <w:iCs/>
        </w:rPr>
        <w:t xml:space="preserve">, </w:t>
      </w:r>
      <w:r>
        <w:rPr>
          <w:i/>
          <w:iCs/>
        </w:rPr>
        <w:t>2025</w:t>
      </w:r>
      <w:r w:rsidRPr="004539A7">
        <w:rPr>
          <w:i/>
          <w:iCs/>
        </w:rPr>
        <w:t xml:space="preserve"> Removal </w:t>
      </w:r>
      <w:r w:rsidRPr="004539A7">
        <w:rPr>
          <w:i/>
        </w:rPr>
        <w:t>Order</w:t>
      </w:r>
      <w:r w:rsidRPr="004539A7">
        <w:t xml:space="preserve">, 40 FCC </w:t>
      </w:r>
      <w:r w:rsidRPr="004539A7">
        <w:t>Rcd</w:t>
      </w:r>
      <w:r w:rsidRPr="004539A7">
        <w:t xml:space="preserve"> 6009; </w:t>
      </w:r>
      <w:r>
        <w:rPr>
          <w:i/>
        </w:rPr>
        <w:t>Aug.</w:t>
      </w:r>
      <w:r w:rsidRPr="004539A7">
        <w:rPr>
          <w:i/>
        </w:rPr>
        <w:t xml:space="preserve"> 6</w:t>
      </w:r>
      <w:r>
        <w:rPr>
          <w:i/>
        </w:rPr>
        <w:t xml:space="preserve">, </w:t>
      </w:r>
      <w:r>
        <w:rPr>
          <w:i/>
        </w:rPr>
        <w:t>2025</w:t>
      </w:r>
      <w:r w:rsidRPr="004539A7">
        <w:rPr>
          <w:i/>
        </w:rPr>
        <w:t xml:space="preserve"> Removal Order</w:t>
      </w:r>
      <w:r w:rsidRPr="004539A7">
        <w:t xml:space="preserve">, 40 FCC </w:t>
      </w:r>
      <w:r w:rsidRPr="004539A7">
        <w:t>Rcd</w:t>
      </w:r>
      <w:r w:rsidRPr="004539A7">
        <w:t xml:space="preserve"> 5835.</w:t>
      </w:r>
    </w:p>
  </w:footnote>
  <w:footnote w:id="274">
    <w:p w:rsidR="005919ED" w:rsidRPr="004539A7" w:rsidP="005919ED" w14:paraId="69CF147E" w14:textId="77777777">
      <w:pPr>
        <w:pStyle w:val="FootnoteText"/>
      </w:pPr>
      <w:r w:rsidRPr="004539A7">
        <w:rPr>
          <w:rStyle w:val="FootnoteReference"/>
        </w:rPr>
        <w:footnoteRef/>
      </w:r>
      <w:r w:rsidRPr="004539A7">
        <w:t xml:space="preserve"> 47 </w:t>
      </w:r>
      <w:r w:rsidRPr="00CC45BA">
        <w:t>CFR § 64.1200(n)(2)(</w:t>
      </w:r>
      <w:r w:rsidRPr="00CC45BA">
        <w:t>i</w:t>
      </w:r>
      <w:r w:rsidRPr="00CC45BA">
        <w:t>).</w:t>
      </w:r>
    </w:p>
  </w:footnote>
  <w:footnote w:id="275">
    <w:p w:rsidR="005919ED" w:rsidRPr="004539A7" w:rsidP="005919ED" w14:paraId="4852077B" w14:textId="77777777">
      <w:pPr>
        <w:pStyle w:val="FootnoteText"/>
      </w:pPr>
      <w:r w:rsidRPr="004539A7">
        <w:rPr>
          <w:rStyle w:val="FootnoteReference"/>
        </w:rPr>
        <w:footnoteRef/>
      </w:r>
      <w:r w:rsidRPr="004539A7">
        <w:t xml:space="preserve"> 47 </w:t>
      </w:r>
      <w:r w:rsidRPr="00CC45BA">
        <w:t>CFR § 64.1200(n)(2)(ii)-(iii).</w:t>
      </w:r>
    </w:p>
  </w:footnote>
  <w:footnote w:id="276">
    <w:p w:rsidR="005919ED" w:rsidRPr="004539A7" w:rsidP="005919ED" w14:paraId="0DF5CE22" w14:textId="77777777">
      <w:pPr>
        <w:pStyle w:val="FootnoteText"/>
      </w:pPr>
      <w:r w:rsidRPr="004539A7">
        <w:rPr>
          <w:rStyle w:val="FootnoteReference"/>
        </w:rPr>
        <w:footnoteRef/>
      </w:r>
      <w:r w:rsidRPr="004539A7">
        <w:t xml:space="preserve"> 47 </w:t>
      </w:r>
      <w:r w:rsidRPr="00CC45BA">
        <w:t>CFR § 64.1200(n)(3).</w:t>
      </w:r>
    </w:p>
  </w:footnote>
  <w:footnote w:id="277">
    <w:p w:rsidR="005919ED" w:rsidRPr="004539A7" w:rsidP="005919ED" w14:paraId="29F196AA" w14:textId="77777777">
      <w:pPr>
        <w:pStyle w:val="FootnoteText"/>
      </w:pPr>
      <w:r w:rsidRPr="004539A7">
        <w:rPr>
          <w:rStyle w:val="FootnoteReference"/>
        </w:rPr>
        <w:footnoteRef/>
      </w:r>
      <w:r w:rsidRPr="004539A7">
        <w:t xml:space="preserve"> </w:t>
      </w:r>
      <w:r w:rsidRPr="004539A7">
        <w:rPr>
          <w:i/>
          <w:iCs/>
        </w:rPr>
        <w:t>See KYUP FNPRM</w:t>
      </w:r>
      <w:r w:rsidRPr="004539A7">
        <w:t>, FCC 26-32, at 8-22, paras. 14-41.</w:t>
      </w:r>
    </w:p>
  </w:footnote>
  <w:footnote w:id="278">
    <w:p w:rsidR="005919ED" w:rsidRPr="004539A7" w:rsidP="005919ED" w14:paraId="342DC6F5" w14:textId="277B80E9">
      <w:pPr>
        <w:pStyle w:val="FootnoteText"/>
      </w:pPr>
      <w:r w:rsidRPr="004539A7">
        <w:rPr>
          <w:rStyle w:val="FootnoteReference"/>
        </w:rPr>
        <w:footnoteRef/>
      </w:r>
      <w:r w:rsidRPr="004539A7">
        <w:t xml:space="preserve"> </w:t>
      </w:r>
      <w:r w:rsidRPr="004539A7">
        <w:rPr>
          <w:szCs w:val="22"/>
        </w:rPr>
        <w:t xml:space="preserve">Similarly, while our existing rules place a general requirement on originating, terminating, and non-gateway providers to adopt a robocall mitigation program, gateway providers must only adopt a program to address robocalls using U.S. NANP resources in the caller ID field. </w:t>
      </w:r>
      <w:r w:rsidRPr="004539A7">
        <w:t xml:space="preserve"> 47 CFR § 64.6305(b)(1) (requiring gateway providers to “implement an appropriate robocall mitigation program with respect to calls that use </w:t>
      </w:r>
      <w:r>
        <w:t>[NANP]</w:t>
      </w:r>
      <w:r w:rsidRPr="004539A7">
        <w:t xml:space="preserve"> resources that pertain to the United States in the caller ID field”); </w:t>
      </w:r>
      <w:r w:rsidRPr="004539A7">
        <w:rPr>
          <w:i/>
          <w:iCs/>
        </w:rPr>
        <w:t>see also Gateway Provider Order</w:t>
      </w:r>
      <w:r w:rsidRPr="004539A7">
        <w:t xml:space="preserve">, 38 FCC </w:t>
      </w:r>
      <w:r w:rsidRPr="004539A7">
        <w:t>Rcd</w:t>
      </w:r>
      <w:r w:rsidRPr="004539A7">
        <w:t xml:space="preserve"> at 6879, para. 32 (limiting the scope of the requirements adopted for gateway providers “to those calls that are carrying a U.S. number in the caller ID field” and specifying that a “U.S. number” means “NANP resources that pertain to the United States”).  </w:t>
      </w:r>
      <w:r w:rsidRPr="004539A7">
        <w:rPr>
          <w:szCs w:val="22"/>
        </w:rPr>
        <w:t xml:space="preserve">In the </w:t>
      </w:r>
      <w:r w:rsidRPr="004539A7">
        <w:rPr>
          <w:i/>
          <w:iCs/>
          <w:szCs w:val="22"/>
        </w:rPr>
        <w:t xml:space="preserve">KYUP </w:t>
      </w:r>
      <w:r w:rsidRPr="004539A7">
        <w:rPr>
          <w:i/>
          <w:szCs w:val="22"/>
        </w:rPr>
        <w:t>FNPRM</w:t>
      </w:r>
      <w:r w:rsidRPr="004539A7">
        <w:rPr>
          <w:szCs w:val="22"/>
        </w:rPr>
        <w:t xml:space="preserve">, we proposed to </w:t>
      </w:r>
      <w:r w:rsidRPr="004539A7" w:rsidR="009C5FCC">
        <w:rPr>
          <w:szCs w:val="22"/>
        </w:rPr>
        <w:t>modify</w:t>
      </w:r>
      <w:r w:rsidRPr="004539A7">
        <w:rPr>
          <w:szCs w:val="22"/>
        </w:rPr>
        <w:t xml:space="preserve"> the robocall mitigation program obligation for gateway providers to require that their programs apply to all calls they carry and </w:t>
      </w:r>
      <w:r w:rsidRPr="004539A7">
        <w:rPr>
          <w:szCs w:val="22"/>
        </w:rPr>
        <w:t>process, and</w:t>
      </w:r>
      <w:r w:rsidRPr="004539A7">
        <w:rPr>
          <w:szCs w:val="22"/>
        </w:rPr>
        <w:t xml:space="preserve"> not just calls using U.S. NANP resources in the caller ID filed.  </w:t>
      </w:r>
      <w:r w:rsidRPr="004539A7">
        <w:rPr>
          <w:i/>
          <w:iCs/>
        </w:rPr>
        <w:t>KYUP FNPRM</w:t>
      </w:r>
      <w:r w:rsidRPr="004539A7">
        <w:t>, FCC 26-32,</w:t>
      </w:r>
      <w:r w:rsidRPr="004539A7">
        <w:rPr>
          <w:i/>
          <w:iCs/>
        </w:rPr>
        <w:t xml:space="preserve"> </w:t>
      </w:r>
      <w:r w:rsidRPr="004539A7">
        <w:t>at 68, para. 135.</w:t>
      </w:r>
    </w:p>
  </w:footnote>
  <w:footnote w:id="279">
    <w:p w:rsidR="005919ED" w:rsidRPr="004539A7" w:rsidP="005919ED" w14:paraId="5B367E9E" w14:textId="77777777">
      <w:pPr>
        <w:pStyle w:val="FootnoteText"/>
      </w:pPr>
      <w:r w:rsidRPr="004539A7">
        <w:rPr>
          <w:rStyle w:val="FootnoteReference"/>
        </w:rPr>
        <w:footnoteRef/>
      </w:r>
      <w:r w:rsidRPr="004539A7">
        <w:t xml:space="preserve"> </w:t>
      </w:r>
      <w:r w:rsidRPr="004539A7">
        <w:rPr>
          <w:i/>
          <w:iCs/>
        </w:rPr>
        <w:t>See</w:t>
      </w:r>
      <w:r w:rsidRPr="004539A7">
        <w:t xml:space="preserve"> 47 CFR § 64.6305(g)(2).</w:t>
      </w:r>
    </w:p>
  </w:footnote>
  <w:footnote w:id="280">
    <w:p w:rsidR="005919ED" w:rsidRPr="004539A7" w:rsidP="005919ED" w14:paraId="54A45687" w14:textId="77777777">
      <w:pPr>
        <w:pStyle w:val="FootnoteText"/>
      </w:pPr>
      <w:r w:rsidRPr="004539A7">
        <w:rPr>
          <w:rStyle w:val="FootnoteReference"/>
        </w:rPr>
        <w:footnoteRef/>
      </w:r>
      <w:r w:rsidRPr="004539A7">
        <w:t xml:space="preserve"> This would not change providers’ obligation to not block emergency voice calls placed to 911 and to “make all reasonable efforts to ensure that it does not block any calls from public safety answering points and government emergency numbers.”  47 CFR § 64.6305(g)(5).</w:t>
      </w:r>
    </w:p>
  </w:footnote>
  <w:footnote w:id="281">
    <w:p w:rsidR="005919ED" w:rsidRPr="004539A7" w:rsidP="005919ED" w14:paraId="3F985ECC" w14:textId="77777777">
      <w:pPr>
        <w:pStyle w:val="FootnoteText"/>
      </w:pPr>
      <w:r w:rsidRPr="004539A7">
        <w:rPr>
          <w:rStyle w:val="FootnoteReference"/>
        </w:rPr>
        <w:footnoteRef/>
      </w:r>
      <w:r w:rsidRPr="004539A7">
        <w:t xml:space="preserve"> In the </w:t>
      </w:r>
      <w:r w:rsidRPr="004539A7">
        <w:rPr>
          <w:i/>
          <w:iCs/>
        </w:rPr>
        <w:t>Gateway Order</w:t>
      </w:r>
      <w:r w:rsidRPr="004539A7">
        <w:t>, the Commission stated that “[f]</w:t>
      </w:r>
      <w:r w:rsidRPr="004539A7">
        <w:t>oreign</w:t>
      </w:r>
      <w:r w:rsidRPr="004539A7">
        <w:t xml:space="preserve">-originated robocalls are successful to the extent that end users believe they are calls from U.S. customers or businesses, and we therefore conclude it is appropriate to focus our efforts on such calls.”  </w:t>
      </w:r>
      <w:r w:rsidRPr="004539A7">
        <w:rPr>
          <w:i/>
          <w:iCs/>
        </w:rPr>
        <w:t>Gateway Provider Order</w:t>
      </w:r>
      <w:r w:rsidRPr="004539A7">
        <w:t xml:space="preserve">, 38 FCC </w:t>
      </w:r>
      <w:r w:rsidRPr="004539A7">
        <w:t>Rcd</w:t>
      </w:r>
      <w:r w:rsidRPr="004539A7">
        <w:t xml:space="preserve"> at 6879, para. 32.  However, as we and providers increase efforts to combat illegal calls that use U.S. NANP resources, we are concerned that bad actors may increase the volume of illegal calls using non-U.S. NANP resources and seek to close that loophole here.  </w:t>
      </w:r>
      <w:r w:rsidRPr="004539A7">
        <w:rPr>
          <w:i/>
          <w:iCs/>
        </w:rPr>
        <w:t>See, e.g.</w:t>
      </w:r>
      <w:r w:rsidRPr="004539A7">
        <w:t xml:space="preserve">, FTC, </w:t>
      </w:r>
      <w:r w:rsidRPr="004539A7">
        <w:rPr>
          <w:i/>
          <w:iCs/>
        </w:rPr>
        <w:t xml:space="preserve">“One-ring” cell phone scam can ding your wallet </w:t>
      </w:r>
      <w:r w:rsidRPr="004539A7">
        <w:t xml:space="preserve">(Nov. 16, 2023), </w:t>
      </w:r>
      <w:hyperlink r:id="rId22" w:history="1">
        <w:r w:rsidRPr="004539A7">
          <w:rPr>
            <w:rStyle w:val="Hyperlink"/>
          </w:rPr>
          <w:t>https://consumer.ftc.gov/consumer-alerts/2014/02/one-ring-cell-phone-scam-can-ding-your-wallet</w:t>
        </w:r>
      </w:hyperlink>
      <w:r w:rsidRPr="004539A7">
        <w:t xml:space="preserve"> (describing spoofing scam using non-U.S. NANP numbers from Caribbean nations).  </w:t>
      </w:r>
    </w:p>
  </w:footnote>
  <w:footnote w:id="282">
    <w:p w:rsidR="005919ED" w:rsidRPr="004539A7" w:rsidP="005919ED" w14:paraId="53798536" w14:textId="77777777">
      <w:pPr>
        <w:pStyle w:val="FootnoteText"/>
      </w:pPr>
      <w:r w:rsidRPr="004539A7">
        <w:rPr>
          <w:rStyle w:val="FootnoteReference"/>
        </w:rPr>
        <w:footnoteRef/>
      </w:r>
      <w:r w:rsidRPr="004539A7">
        <w:t xml:space="preserve"> </w:t>
      </w:r>
      <w:r w:rsidRPr="004539A7">
        <w:rPr>
          <w:i/>
        </w:rPr>
        <w:t>KYC FNPRM</w:t>
      </w:r>
      <w:r>
        <w:rPr>
          <w:iCs/>
        </w:rPr>
        <w:t>, FCC 26-27,</w:t>
      </w:r>
      <w:r w:rsidRPr="004539A7">
        <w:rPr>
          <w:i/>
        </w:rPr>
        <w:t xml:space="preserve"> </w:t>
      </w:r>
      <w:r w:rsidRPr="004539A7">
        <w:t>at 9, para. 27.</w:t>
      </w:r>
    </w:p>
  </w:footnote>
  <w:footnote w:id="283">
    <w:p w:rsidR="005919ED" w:rsidRPr="004539A7" w:rsidP="005919ED" w14:paraId="77F83EEE" w14:textId="77777777">
      <w:pPr>
        <w:pStyle w:val="FootnoteText"/>
      </w:pPr>
      <w:r w:rsidRPr="004539A7">
        <w:rPr>
          <w:rStyle w:val="FootnoteReference"/>
        </w:rPr>
        <w:footnoteRef/>
      </w:r>
      <w:r w:rsidRPr="004539A7">
        <w:t xml:space="preserve"> </w:t>
      </w:r>
      <w:r w:rsidRPr="004539A7">
        <w:rPr>
          <w:i/>
        </w:rPr>
        <w:t>KYUP FNPRM</w:t>
      </w:r>
      <w:r w:rsidRPr="004539A7">
        <w:t>, FCC 26-32,</w:t>
      </w:r>
      <w:r w:rsidRPr="004539A7">
        <w:rPr>
          <w:i/>
        </w:rPr>
        <w:t xml:space="preserve"> </w:t>
      </w:r>
      <w:r w:rsidRPr="004539A7">
        <w:t>at 20, para. 35.</w:t>
      </w:r>
    </w:p>
  </w:footnote>
  <w:footnote w:id="284">
    <w:p w:rsidR="005919ED" w:rsidRPr="004539A7" w:rsidP="005919ED" w14:paraId="09933A42" w14:textId="77777777">
      <w:pPr>
        <w:pStyle w:val="FootnoteText"/>
      </w:pPr>
      <w:r w:rsidRPr="004539A7">
        <w:rPr>
          <w:rStyle w:val="FootnoteReference"/>
        </w:rPr>
        <w:footnoteRef/>
      </w:r>
      <w:r w:rsidRPr="004539A7">
        <w:t xml:space="preserve"> </w:t>
      </w:r>
      <w:r w:rsidRPr="004539A7">
        <w:rPr>
          <w:i/>
          <w:iCs/>
        </w:rPr>
        <w:t>See</w:t>
      </w:r>
      <w:r w:rsidRPr="004539A7">
        <w:t xml:space="preserve"> 47 CFR § 52.15(k).</w:t>
      </w:r>
    </w:p>
  </w:footnote>
  <w:footnote w:id="285">
    <w:p w:rsidR="005919ED" w:rsidRPr="004539A7" w:rsidP="005919ED" w14:paraId="702EAAF3" w14:textId="77777777">
      <w:pPr>
        <w:pStyle w:val="FootnoteText"/>
      </w:pPr>
      <w:r w:rsidRPr="004539A7">
        <w:rPr>
          <w:rStyle w:val="FootnoteReference"/>
        </w:rPr>
        <w:footnoteRef/>
      </w:r>
      <w:r w:rsidRPr="004539A7">
        <w:t xml:space="preserve"> </w:t>
      </w:r>
      <w:r w:rsidRPr="004539A7">
        <w:rPr>
          <w:i/>
        </w:rPr>
        <w:t>See Robocall Mitigation Database</w:t>
      </w:r>
      <w:r w:rsidRPr="004539A7">
        <w:t>.</w:t>
      </w:r>
    </w:p>
  </w:footnote>
  <w:footnote w:id="286">
    <w:p w:rsidR="005919ED" w:rsidRPr="004539A7" w:rsidP="005919ED" w14:paraId="4961163A" w14:textId="77777777">
      <w:pPr>
        <w:pStyle w:val="FootnoteText"/>
      </w:pPr>
      <w:r w:rsidRPr="004539A7">
        <w:rPr>
          <w:rStyle w:val="FootnoteReference"/>
        </w:rPr>
        <w:footnoteRef/>
      </w:r>
      <w:r w:rsidRPr="004539A7">
        <w:t xml:space="preserve"> </w:t>
      </w:r>
      <w:r w:rsidRPr="004539A7">
        <w:rPr>
          <w:i/>
        </w:rPr>
        <w:t>See</w:t>
      </w:r>
      <w:r w:rsidRPr="004539A7">
        <w:t xml:space="preserve"> 47 CFR § 64.6305(d)(5), (e)(5), (f)(5).</w:t>
      </w:r>
    </w:p>
  </w:footnote>
  <w:footnote w:id="287">
    <w:p w:rsidR="005919ED" w:rsidRPr="004539A7" w:rsidP="005919ED" w14:paraId="2C9E82EB" w14:textId="77777777">
      <w:pPr>
        <w:pStyle w:val="FootnoteText"/>
      </w:pPr>
      <w:r w:rsidRPr="004539A7">
        <w:rPr>
          <w:rStyle w:val="FootnoteReference"/>
        </w:rPr>
        <w:footnoteRef/>
      </w:r>
      <w:r w:rsidRPr="004539A7">
        <w:t xml:space="preserve"> </w:t>
      </w:r>
      <w:r w:rsidRPr="004539A7">
        <w:rPr>
          <w:i/>
          <w:iCs/>
        </w:rPr>
        <w:t>See</w:t>
      </w:r>
      <w:r w:rsidRPr="004539A7">
        <w:t xml:space="preserve"> 47 CFR § 64.6305(h).</w:t>
      </w:r>
    </w:p>
  </w:footnote>
  <w:footnote w:id="288">
    <w:p w:rsidR="005919ED" w:rsidRPr="004539A7" w:rsidP="005919ED" w14:paraId="58112EA9" w14:textId="77777777">
      <w:pPr>
        <w:pStyle w:val="FootnoteText"/>
      </w:pPr>
      <w:r w:rsidRPr="004539A7">
        <w:rPr>
          <w:rStyle w:val="FootnoteReference"/>
        </w:rPr>
        <w:footnoteRef/>
      </w:r>
      <w:r w:rsidRPr="004539A7">
        <w:t xml:space="preserve"> </w:t>
      </w:r>
      <w:r>
        <w:rPr>
          <w:i/>
          <w:iCs/>
        </w:rPr>
        <w:t>Improving the Effectiveness of the Robocall Mitigation Database; Amendment of Part 1 of the Commission’s Rules, Concerning Practice and Procedure, Amendment of CORES Registration System</w:t>
      </w:r>
      <w:r>
        <w:t>, WC Docket No. 24-213, MD Docket No. 10-234, Notice of Proposed Rulemaking, 39 FCC 9238, 9254, para. 29 (2024).</w:t>
      </w:r>
      <w:r w:rsidRPr="004539A7">
        <w:t xml:space="preserve"> </w:t>
      </w:r>
    </w:p>
  </w:footnote>
  <w:footnote w:id="289">
    <w:p w:rsidR="005919ED" w:rsidRPr="004539A7" w:rsidP="005919ED" w14:paraId="2637F990" w14:textId="77777777">
      <w:pPr>
        <w:pStyle w:val="FootnoteText"/>
      </w:pPr>
      <w:r w:rsidRPr="004539A7">
        <w:rPr>
          <w:rStyle w:val="FootnoteReference"/>
        </w:rPr>
        <w:footnoteRef/>
      </w:r>
      <w:r w:rsidRPr="004539A7">
        <w:t xml:space="preserve"> </w:t>
      </w:r>
      <w:r w:rsidRPr="004539A7">
        <w:rPr>
          <w:i/>
          <w:iCs/>
        </w:rPr>
        <w:t>RMD Order</w:t>
      </w:r>
      <w:r w:rsidRPr="004539A7">
        <w:t xml:space="preserve">, 40 FCC </w:t>
      </w:r>
      <w:r w:rsidRPr="004539A7">
        <w:t>Rcd</w:t>
      </w:r>
      <w:r w:rsidRPr="004539A7">
        <w:t xml:space="preserve"> at 612-16, paras. 32-38; </w:t>
      </w:r>
      <w:r w:rsidRPr="004539A7">
        <w:rPr>
          <w:i/>
        </w:rPr>
        <w:t>see also</w:t>
      </w:r>
      <w:r w:rsidRPr="004539A7">
        <w:rPr>
          <w:i/>
          <w:iCs/>
        </w:rPr>
        <w:t xml:space="preserve"> </w:t>
      </w:r>
      <w:r w:rsidRPr="004539A7">
        <w:t xml:space="preserve">47 CFR §§ 1.1105, 1.1910, 64.6305(h).  As noted in the </w:t>
      </w:r>
      <w:r w:rsidRPr="004539A7">
        <w:rPr>
          <w:i/>
          <w:iCs/>
        </w:rPr>
        <w:t>RMD Order</w:t>
      </w:r>
      <w:r w:rsidRPr="004539A7">
        <w:t xml:space="preserve">, filing fees assessed pursuant to our section 8 authority are deposited in the general fund of the U.S. Treasury and are not available for use by the agency absent an appropriation made by law.  </w:t>
      </w:r>
      <w:r w:rsidRPr="004539A7">
        <w:rPr>
          <w:i/>
          <w:iCs/>
        </w:rPr>
        <w:t>Id.</w:t>
      </w:r>
      <w:r w:rsidRPr="004539A7">
        <w:t xml:space="preserve"> at 613 n.98 (citing 47 U.S.C. § 158(e)); U.S. Const. Art. I, § 9, cl</w:t>
      </w:r>
      <w:r>
        <w:t>.</w:t>
      </w:r>
      <w:r w:rsidRPr="004539A7">
        <w:t xml:space="preserve"> 7 (“No Money shall be drawn from the Treasury, but in consequence of appropriations made by law </w:t>
      </w:r>
      <w:r w:rsidRPr="004539A7">
        <w:t>.</w:t>
      </w:r>
      <w:r>
        <w:t> </w:t>
      </w:r>
      <w:r w:rsidRPr="004539A7">
        <w:t>.</w:t>
      </w:r>
      <w:r>
        <w:t> </w:t>
      </w:r>
      <w:r w:rsidRPr="004539A7">
        <w:t>. .</w:t>
      </w:r>
      <w:r w:rsidRPr="004539A7">
        <w:t xml:space="preserve">”).  We note that the requirement to </w:t>
      </w:r>
      <w:r w:rsidRPr="004539A7">
        <w:t>submit an application</w:t>
      </w:r>
      <w:r w:rsidRPr="004539A7">
        <w:t xml:space="preserve"> fee as required by the amendment to 47 CFR § 1.1105 adopted in the </w:t>
      </w:r>
      <w:r w:rsidRPr="004539A7">
        <w:rPr>
          <w:i/>
          <w:iCs/>
        </w:rPr>
        <w:t>RMD Order</w:t>
      </w:r>
      <w:r w:rsidRPr="004539A7">
        <w:t xml:space="preserve"> is not yet effective.  The Commission stated in the </w:t>
      </w:r>
      <w:r w:rsidRPr="004539A7">
        <w:rPr>
          <w:i/>
          <w:iCs/>
        </w:rPr>
        <w:t>RMD Order</w:t>
      </w:r>
      <w:r w:rsidRPr="004539A7">
        <w:t xml:space="preserve"> that the rules it adopted would become effective 30 days after publication in the Federal Register, except for section 1.1105, “which requires notice to Congress pursuant to section 9A(b)(2) of the Communications Act, 47 U.S.C. § 159A(b)(2), and also requires certain updates to the FCC’s information technology systems and internal procedures </w:t>
      </w:r>
      <w:r w:rsidRPr="004539A7">
        <w:t>.</w:t>
      </w:r>
      <w:r>
        <w:t> </w:t>
      </w:r>
      <w:r w:rsidRPr="004539A7">
        <w:t>.</w:t>
      </w:r>
      <w:r>
        <w:t> </w:t>
      </w:r>
      <w:r w:rsidRPr="004539A7">
        <w:t>. .</w:t>
      </w:r>
      <w:r w:rsidRPr="004539A7">
        <w:t xml:space="preserve">”  </w:t>
      </w:r>
      <w:r w:rsidRPr="004539A7">
        <w:rPr>
          <w:i/>
          <w:iCs/>
        </w:rPr>
        <w:t>RMD Order</w:t>
      </w:r>
      <w:r w:rsidRPr="004539A7">
        <w:t xml:space="preserve">, 40 FCC </w:t>
      </w:r>
      <w:r w:rsidRPr="004539A7">
        <w:t>Rcd</w:t>
      </w:r>
      <w:r w:rsidRPr="004539A7">
        <w:t xml:space="preserve"> at 624, para. 58.  The Commission will publish a notice in the Federal Register announcing when it has completed these steps and when the application fee requirement will become effective.  </w:t>
      </w:r>
      <w:r w:rsidRPr="004539A7">
        <w:rPr>
          <w:i/>
          <w:iCs/>
        </w:rPr>
        <w:t>See id</w:t>
      </w:r>
      <w:r w:rsidRPr="00B66597">
        <w:rPr>
          <w:i/>
        </w:rPr>
        <w:t>.</w:t>
      </w:r>
      <w:r w:rsidRPr="004539A7">
        <w:t xml:space="preserve">; </w:t>
      </w:r>
      <w:r>
        <w:rPr>
          <w:i/>
          <w:iCs/>
        </w:rPr>
        <w:t>RMD Effective Date Notice</w:t>
      </w:r>
      <w:r>
        <w:t xml:space="preserve">, </w:t>
      </w:r>
      <w:r w:rsidRPr="004539A7">
        <w:t>DA 26-72, at 3.</w:t>
      </w:r>
    </w:p>
  </w:footnote>
  <w:footnote w:id="290">
    <w:p w:rsidR="005919ED" w:rsidRPr="004539A7" w:rsidP="005919ED" w14:paraId="4C6DDFEE" w14:textId="77777777">
      <w:pPr>
        <w:pStyle w:val="FootnoteText"/>
      </w:pPr>
      <w:r w:rsidRPr="004539A7">
        <w:rPr>
          <w:rStyle w:val="FootnoteReference"/>
        </w:rPr>
        <w:footnoteRef/>
      </w:r>
      <w:r w:rsidRPr="004539A7">
        <w:t xml:space="preserve"> </w:t>
      </w:r>
      <w:r w:rsidRPr="004539A7">
        <w:rPr>
          <w:i/>
          <w:iCs/>
        </w:rPr>
        <w:t>RMD Effective Date Notice</w:t>
      </w:r>
      <w:r w:rsidRPr="004539A7">
        <w:t xml:space="preserve"> at 1-2; </w:t>
      </w:r>
      <w:r w:rsidRPr="004539A7">
        <w:rPr>
          <w:i/>
          <w:iCs/>
        </w:rPr>
        <w:t>see also RMD FAQs</w:t>
      </w:r>
      <w:r w:rsidRPr="004539A7">
        <w:t>.</w:t>
      </w:r>
    </w:p>
  </w:footnote>
  <w:footnote w:id="291">
    <w:p w:rsidR="005919ED" w:rsidRPr="004539A7" w:rsidP="005919ED" w14:paraId="2E348667" w14:textId="77777777">
      <w:pPr>
        <w:pStyle w:val="FootnoteText"/>
      </w:pPr>
      <w:r w:rsidRPr="004539A7">
        <w:rPr>
          <w:rStyle w:val="FootnoteReference"/>
        </w:rPr>
        <w:footnoteRef/>
      </w:r>
      <w:r w:rsidRPr="004539A7">
        <w:t xml:space="preserve"> </w:t>
      </w:r>
      <w:r w:rsidRPr="004539A7">
        <w:rPr>
          <w:i/>
          <w:iCs/>
        </w:rPr>
        <w:t>See, e.g.</w:t>
      </w:r>
      <w:r w:rsidRPr="004539A7">
        <w:t xml:space="preserve">, </w:t>
      </w:r>
      <w:r w:rsidRPr="004539A7">
        <w:rPr>
          <w:i/>
          <w:iCs/>
        </w:rPr>
        <w:t>RMD Order</w:t>
      </w:r>
      <w:r w:rsidRPr="004539A7">
        <w:t xml:space="preserve">, 40 FCC </w:t>
      </w:r>
      <w:r w:rsidRPr="004539A7">
        <w:t>Rcd</w:t>
      </w:r>
      <w:r w:rsidRPr="004539A7">
        <w:t xml:space="preserve"> at 610, para. 26</w:t>
      </w:r>
      <w:r>
        <w:t>,</w:t>
      </w:r>
      <w:r w:rsidRPr="004539A7">
        <w:t xml:space="preserve"> n.78 (noting previous delegations of authority to the Bureau to implement various changes to the Database).</w:t>
      </w:r>
    </w:p>
  </w:footnote>
  <w:footnote w:id="292">
    <w:p w:rsidR="005919ED" w:rsidRPr="004539A7" w:rsidP="005919ED" w14:paraId="3014E833" w14:textId="77777777">
      <w:pPr>
        <w:pStyle w:val="FootnoteText"/>
      </w:pPr>
      <w:r w:rsidRPr="004539A7">
        <w:rPr>
          <w:rStyle w:val="FootnoteReference"/>
        </w:rPr>
        <w:footnoteRef/>
      </w:r>
      <w:r w:rsidRPr="004539A7">
        <w:t xml:space="preserve"> </w:t>
      </w:r>
      <w:r w:rsidRPr="004539A7">
        <w:rPr>
          <w:i/>
          <w:iCs/>
        </w:rPr>
        <w:t>See Robocall Mitigation Database</w:t>
      </w:r>
      <w:r w:rsidRPr="004539A7">
        <w:t xml:space="preserve"> (“When viewing the [RMD], if you believe there are errors with the content or function of the Database, or if you require special assistance with submitting a filing, please email FCC staff at </w:t>
      </w:r>
      <w:hyperlink r:id="rId23" w:tgtFrame="_blank" w:history="1">
        <w:r w:rsidRPr="004539A7">
          <w:rPr>
            <w:rStyle w:val="Hyperlink"/>
          </w:rPr>
          <w:t>RobocallMitigationDatabase@FCC.gov</w:t>
        </w:r>
      </w:hyperlink>
      <w:r w:rsidRPr="004539A7">
        <w:t>.”). </w:t>
      </w:r>
    </w:p>
  </w:footnote>
  <w:footnote w:id="293">
    <w:p w:rsidR="005919ED" w:rsidRPr="004539A7" w:rsidP="005919ED" w14:paraId="2D1CAAA5" w14:textId="77777777">
      <w:pPr>
        <w:pStyle w:val="FootnoteText"/>
      </w:pPr>
      <w:r w:rsidRPr="004539A7">
        <w:rPr>
          <w:rStyle w:val="FootnoteReference"/>
        </w:rPr>
        <w:footnoteRef/>
      </w:r>
      <w:r w:rsidRPr="004539A7">
        <w:t xml:space="preserve"> </w:t>
      </w:r>
      <w:r w:rsidRPr="004539A7">
        <w:rPr>
          <w:i/>
          <w:iCs/>
        </w:rPr>
        <w:t>See, e.g.</w:t>
      </w:r>
      <w:r w:rsidRPr="004539A7">
        <w:t>, Email from Robocall Mitigation Database Team (Mar. 29, 2024) (on file in EB-TCD-24-00036891).</w:t>
      </w:r>
    </w:p>
  </w:footnote>
  <w:footnote w:id="294">
    <w:p w:rsidR="005919ED" w:rsidRPr="004539A7" w:rsidP="005919ED" w14:paraId="3FCB45AC" w14:textId="77777777">
      <w:pPr>
        <w:pStyle w:val="FootnoteText"/>
      </w:pPr>
      <w:r w:rsidRPr="004539A7">
        <w:rPr>
          <w:rStyle w:val="FootnoteReference"/>
        </w:rPr>
        <w:footnoteRef/>
      </w:r>
      <w:r w:rsidRPr="004539A7">
        <w:t xml:space="preserve"> </w:t>
      </w:r>
      <w:r w:rsidRPr="004539A7">
        <w:rPr>
          <w:i/>
          <w:iCs/>
        </w:rPr>
        <w:t xml:space="preserve">See RMD Effective Date Notice </w:t>
      </w:r>
      <w:r w:rsidRPr="004539A7">
        <w:t>at 2 (announcing availability of RMD reporting mechanism);</w:t>
      </w:r>
      <w:r w:rsidRPr="004539A7">
        <w:rPr>
          <w:i/>
          <w:iCs/>
        </w:rPr>
        <w:t xml:space="preserve"> Robocall Mitigation Database</w:t>
      </w:r>
      <w:r w:rsidRPr="004539A7">
        <w:t xml:space="preserve"> (“If you wish to notify the Commission of a deficient, suspicious, or fraudulent RMD filing, please email </w:t>
      </w:r>
      <w:hyperlink r:id="rId24" w:history="1">
        <w:r w:rsidRPr="004539A7">
          <w:rPr>
            <w:rStyle w:val="Hyperlink"/>
          </w:rPr>
          <w:t>RMD-Reporting@fcc.gov</w:t>
        </w:r>
      </w:hyperlink>
      <w:r w:rsidRPr="004539A7">
        <w:t xml:space="preserve"> and include the RMD number or FRN associated with the filing and a brief description of the deficiency or issue.”).</w:t>
      </w:r>
    </w:p>
  </w:footnote>
  <w:footnote w:id="295">
    <w:p w:rsidR="005919ED" w:rsidRPr="004539A7" w:rsidP="005919ED" w14:paraId="743CA721" w14:textId="77777777">
      <w:pPr>
        <w:pStyle w:val="FootnoteText"/>
      </w:pPr>
      <w:r w:rsidRPr="004539A7">
        <w:rPr>
          <w:rStyle w:val="FootnoteReference"/>
        </w:rPr>
        <w:footnoteRef/>
      </w:r>
      <w:r w:rsidRPr="004539A7">
        <w:t xml:space="preserve"> To the extent we determine that changes in procedures proposed herein result in increases or decreases in the cost of processing such that the application fee schedule may require an amendment pursuant to section 8(c) of the Communications Act, 47 U.S.C. § 158(c), the Commission will initiate a rulemaking to seek comment on any proposed amendment(s) to the application fee schedule.</w:t>
      </w:r>
      <w:r>
        <w:t xml:space="preserve"> </w:t>
      </w:r>
      <w:r w:rsidRPr="004539A7">
        <w:t xml:space="preserve"> </w:t>
      </w:r>
      <w:r w:rsidRPr="004539A7">
        <w:rPr>
          <w:i/>
        </w:rPr>
        <w:t>Amendment of the Schedule of Application Fees Set Forth in Sections 1.1102 through 1.1109 of the Commission’s Rules</w:t>
      </w:r>
      <w:r w:rsidRPr="004539A7">
        <w:t xml:space="preserve">, MD Docket No. 20-270, Order, 37 FCC </w:t>
      </w:r>
      <w:r w:rsidRPr="004539A7">
        <w:t>Rcd</w:t>
      </w:r>
      <w:r w:rsidRPr="004539A7">
        <w:t xml:space="preserve"> 14994, 14994, para. 1 n.2 (2022).</w:t>
      </w:r>
    </w:p>
  </w:footnote>
  <w:footnote w:id="296">
    <w:p w:rsidR="005919ED" w:rsidRPr="004539A7" w:rsidP="005919ED" w14:paraId="55E4A069" w14:textId="77777777">
      <w:pPr>
        <w:pStyle w:val="FootnoteText"/>
      </w:pPr>
      <w:r w:rsidRPr="004539A7">
        <w:rPr>
          <w:rStyle w:val="FootnoteReference"/>
        </w:rPr>
        <w:footnoteRef/>
      </w:r>
      <w:r w:rsidRPr="004539A7">
        <w:t xml:space="preserve"> </w:t>
      </w:r>
      <w:r>
        <w:rPr>
          <w:i/>
          <w:iCs/>
        </w:rPr>
        <w:t>Call Center Onshoring NPRM</w:t>
      </w:r>
      <w:r>
        <w:t xml:space="preserve">, </w:t>
      </w:r>
      <w:hyperlink r:id="rId17" w:history="1">
        <w:r w:rsidRPr="004539A7">
          <w:rPr>
            <w:rStyle w:val="Hyperlink"/>
            <w:color w:val="auto"/>
            <w:u w:val="none"/>
          </w:rPr>
          <w:t>FCC 26-16, at 18-20, 29, paras. 68-75, 102</w:t>
        </w:r>
        <w:r>
          <w:rPr>
            <w:rStyle w:val="Hyperlink"/>
            <w:color w:val="auto"/>
            <w:u w:val="none"/>
          </w:rPr>
          <w:t>.</w:t>
        </w:r>
        <w:r w:rsidRPr="004539A7">
          <w:rPr>
            <w:rStyle w:val="Hyperlink"/>
            <w:color w:val="auto"/>
            <w:u w:val="none"/>
          </w:rPr>
          <w:t xml:space="preserve"> </w:t>
        </w:r>
      </w:hyperlink>
    </w:p>
  </w:footnote>
  <w:footnote w:id="297">
    <w:p w:rsidR="005919ED" w:rsidRPr="004539A7" w:rsidP="005919ED" w14:paraId="3EEACD10" w14:textId="77777777">
      <w:pPr>
        <w:pStyle w:val="FootnoteText"/>
      </w:pPr>
      <w:r w:rsidRPr="004539A7">
        <w:rPr>
          <w:rStyle w:val="FootnoteReference"/>
        </w:rPr>
        <w:footnoteRef/>
      </w:r>
      <w:r w:rsidRPr="004539A7">
        <w:t xml:space="preserve"> </w:t>
      </w:r>
      <w:r w:rsidRPr="004539A7">
        <w:rPr>
          <w:i/>
          <w:iCs/>
        </w:rPr>
        <w:t>See</w:t>
      </w:r>
      <w:r w:rsidRPr="004539A7">
        <w:t xml:space="preserve"> 47 CFR </w:t>
      </w:r>
      <w:r w:rsidRPr="00CC45BA">
        <w:t xml:space="preserve">§ </w:t>
      </w:r>
      <w:r w:rsidRPr="004539A7">
        <w:t xml:space="preserve">54.701 (appointing the Universal Service Administrative Company (USAC) as the Administrator of the federal universal service support mechanisms); </w:t>
      </w:r>
      <w:r>
        <w:rPr>
          <w:i/>
          <w:iCs/>
        </w:rPr>
        <w:t>id</w:t>
      </w:r>
      <w:r w:rsidRPr="00B66597">
        <w:rPr>
          <w:i/>
        </w:rPr>
        <w:t>.</w:t>
      </w:r>
      <w:r>
        <w:t xml:space="preserve"> </w:t>
      </w:r>
      <w:r w:rsidRPr="004539A7">
        <w:t>§ 54.702(c)-(d) (prohibiting the Administrator from making policy, interpreting unclear provisions of the statute or the Commission’s rules, or interpreting the intent of Congress, and only permitting it to advocate positions before the Commission and its staff on administrative matters).</w:t>
      </w:r>
    </w:p>
  </w:footnote>
  <w:footnote w:id="298">
    <w:p w:rsidR="005919ED" w:rsidRPr="004539A7" w:rsidP="005919ED" w14:paraId="50C9AE63" w14:textId="77777777">
      <w:pPr>
        <w:pStyle w:val="FootnoteText"/>
      </w:pPr>
      <w:r w:rsidRPr="004539A7">
        <w:rPr>
          <w:rStyle w:val="FootnoteReference"/>
        </w:rPr>
        <w:footnoteRef/>
      </w:r>
      <w:r w:rsidRPr="004539A7">
        <w:t xml:space="preserve"> </w:t>
      </w:r>
      <w:r w:rsidRPr="004539A7">
        <w:rPr>
          <w:i/>
          <w:iCs/>
        </w:rPr>
        <w:t>See KYUP FNPRM</w:t>
      </w:r>
      <w:r w:rsidRPr="004539A7">
        <w:t>, FCC 26-32, at 67-68, paras. 134-36.</w:t>
      </w:r>
    </w:p>
  </w:footnote>
  <w:footnote w:id="299">
    <w:p w:rsidR="005919ED" w:rsidRPr="004539A7" w:rsidP="005919ED" w14:paraId="6433E20E" w14:textId="77777777">
      <w:pPr>
        <w:pStyle w:val="FootnoteText"/>
      </w:pPr>
      <w:r w:rsidRPr="004539A7">
        <w:rPr>
          <w:rStyle w:val="FootnoteReference"/>
        </w:rPr>
        <w:footnoteRef/>
      </w:r>
      <w:r w:rsidRPr="004539A7">
        <w:t xml:space="preserve"> </w:t>
      </w:r>
      <w:r w:rsidRPr="004539A7">
        <w:rPr>
          <w:i/>
          <w:iCs/>
        </w:rPr>
        <w:t xml:space="preserve">See </w:t>
      </w:r>
      <w:r w:rsidRPr="004539A7">
        <w:rPr>
          <w:i/>
          <w:iCs/>
        </w:rPr>
        <w:t>supra</w:t>
      </w:r>
      <w:r w:rsidRPr="004539A7">
        <w:t xml:space="preserve"> Section </w:t>
      </w:r>
      <w:r w:rsidRPr="00CD616B">
        <w:t>III</w:t>
      </w:r>
      <w:r w:rsidRPr="00CD616B">
        <w:t>.A.2.e</w:t>
      </w:r>
      <w:r w:rsidRPr="004539A7">
        <w:t xml:space="preserve"> (</w:t>
      </w:r>
      <w:r w:rsidRPr="004539A7">
        <w:rPr>
          <w:i/>
          <w:iCs/>
        </w:rPr>
        <w:t>Robocall Mitigation Plan</w:t>
      </w:r>
      <w:r w:rsidRPr="004539A7">
        <w:t>).</w:t>
      </w:r>
    </w:p>
  </w:footnote>
  <w:footnote w:id="300">
    <w:p w:rsidR="005919ED" w:rsidRPr="004539A7" w:rsidP="005919ED" w14:paraId="357427FA" w14:textId="77777777">
      <w:pPr>
        <w:pStyle w:val="FootnoteText"/>
      </w:pPr>
      <w:r w:rsidRPr="004539A7">
        <w:rPr>
          <w:rStyle w:val="FootnoteReference"/>
        </w:rPr>
        <w:footnoteRef/>
      </w:r>
      <w:r w:rsidRPr="004539A7">
        <w:t xml:space="preserve"> </w:t>
      </w:r>
      <w:r w:rsidRPr="004539A7">
        <w:rPr>
          <w:i/>
          <w:iCs/>
        </w:rPr>
        <w:t>See</w:t>
      </w:r>
      <w:r w:rsidRPr="004539A7">
        <w:t xml:space="preserve"> 47 CFR </w:t>
      </w:r>
      <w:r w:rsidRPr="00CC45BA">
        <w:t>§§ 64.1200(k)(4), (11), 64.1200(n)(2)</w:t>
      </w:r>
      <w:r w:rsidRPr="004539A7">
        <w:t xml:space="preserve">; </w:t>
      </w:r>
      <w:r w:rsidRPr="004539A7">
        <w:rPr>
          <w:i/>
          <w:iCs/>
        </w:rPr>
        <w:t>KYUP FNPRM</w:t>
      </w:r>
      <w:r w:rsidRPr="004539A7">
        <w:t xml:space="preserve">, FCC 26-32, at 11, para. 19 (“The proposed revised language focuses on the illegality of calls rather than traffic (consistent with how our rules typically apply) </w:t>
      </w:r>
      <w:r w:rsidRPr="004539A7">
        <w:t>.</w:t>
      </w:r>
      <w:r>
        <w:t> </w:t>
      </w:r>
      <w:r w:rsidRPr="004539A7">
        <w:t>.</w:t>
      </w:r>
      <w:r>
        <w:t> </w:t>
      </w:r>
      <w:r w:rsidRPr="004539A7">
        <w:t>. .</w:t>
      </w:r>
      <w:r w:rsidRPr="004539A7">
        <w:t>”).</w:t>
      </w:r>
    </w:p>
  </w:footnote>
  <w:footnote w:id="301">
    <w:p w:rsidR="005919ED" w:rsidRPr="004539A7" w:rsidP="005919ED" w14:paraId="442E6315" w14:textId="77777777">
      <w:pPr>
        <w:pStyle w:val="FootnoteText"/>
      </w:pPr>
      <w:r w:rsidRPr="004539A7">
        <w:rPr>
          <w:rStyle w:val="FootnoteReference"/>
        </w:rPr>
        <w:footnoteRef/>
      </w:r>
      <w:r w:rsidRPr="004539A7">
        <w:t xml:space="preserve"> The Commission established this prohibition in the </w:t>
      </w:r>
      <w:r w:rsidRPr="004539A7">
        <w:rPr>
          <w:i/>
          <w:iCs/>
        </w:rPr>
        <w:t>Eighth Caller ID Authentication Order</w:t>
      </w:r>
      <w:r w:rsidRPr="004539A7">
        <w:t xml:space="preserve">, but it did not codify the requirement in section 64.6305.  </w:t>
      </w:r>
      <w:r w:rsidRPr="004539A7">
        <w:rPr>
          <w:i/>
          <w:iCs/>
        </w:rPr>
        <w:t>See Eighth Caller ID Authentication Order</w:t>
      </w:r>
      <w:r w:rsidRPr="004539A7">
        <w:t xml:space="preserve">, 39 FCC </w:t>
      </w:r>
      <w:r w:rsidRPr="004539A7">
        <w:t>Rcd</w:t>
      </w:r>
      <w:r w:rsidRPr="004539A7">
        <w:t xml:space="preserve"> at 12916-17, para. 30.  </w:t>
      </w:r>
    </w:p>
  </w:footnote>
  <w:footnote w:id="302">
    <w:p w:rsidR="005919ED" w:rsidRPr="004539A7" w:rsidP="005919ED" w14:paraId="429BFE7C" w14:textId="77777777">
      <w:pPr>
        <w:pStyle w:val="FootnoteText"/>
      </w:pPr>
      <w:r w:rsidRPr="004539A7">
        <w:rPr>
          <w:rStyle w:val="FootnoteReference"/>
        </w:rPr>
        <w:footnoteRef/>
      </w:r>
      <w:r w:rsidRPr="004539A7">
        <w:t xml:space="preserve"> </w:t>
      </w:r>
      <w:r w:rsidRPr="004539A7">
        <w:rPr>
          <w:i/>
        </w:rPr>
        <w:t>See</w:t>
      </w:r>
      <w:r w:rsidRPr="004539A7">
        <w:t xml:space="preserve"> </w:t>
      </w:r>
      <w:r w:rsidRPr="004539A7">
        <w:rPr>
          <w:i/>
          <w:iCs/>
        </w:rPr>
        <w:t>Advanced Methods to Target and Eliminate Unlawful Robocalls</w:t>
      </w:r>
      <w:r w:rsidRPr="004539A7">
        <w:t xml:space="preserve">, CG Docket No. 17-59, Fourth Report and Order, 35 FCC </w:t>
      </w:r>
      <w:r w:rsidRPr="004539A7">
        <w:t>Rcd</w:t>
      </w:r>
      <w:r w:rsidRPr="004539A7">
        <w:t xml:space="preserve"> 15221, 15233-34, paras. 37-38; (2020) (</w:t>
      </w:r>
      <w:r w:rsidRPr="004539A7">
        <w:rPr>
          <w:i/>
          <w:iCs/>
        </w:rPr>
        <w:t>Fourth Call Blocking Order</w:t>
      </w:r>
      <w:r w:rsidRPr="004539A7">
        <w:t xml:space="preserve">); </w:t>
      </w:r>
      <w:r w:rsidRPr="004539A7">
        <w:rPr>
          <w:i/>
          <w:iCs/>
        </w:rPr>
        <w:t>Gateway Provider Order</w:t>
      </w:r>
      <w:r w:rsidRPr="004539A7">
        <w:t xml:space="preserve">, 37 FCC </w:t>
      </w:r>
      <w:r w:rsidRPr="004539A7">
        <w:t>Rcd</w:t>
      </w:r>
      <w:r w:rsidRPr="004539A7">
        <w:t xml:space="preserve"> at 6911-13, paras. 112-19; </w:t>
      </w:r>
      <w:r w:rsidRPr="004539A7">
        <w:rPr>
          <w:i/>
          <w:iCs/>
        </w:rPr>
        <w:t>Sixth Caller ID Authentication Order</w:t>
      </w:r>
      <w:r w:rsidRPr="004539A7">
        <w:t xml:space="preserve">, 38 FCC </w:t>
      </w:r>
      <w:r w:rsidRPr="004539A7">
        <w:t>Rcd</w:t>
      </w:r>
      <w:r w:rsidRPr="004539A7">
        <w:t xml:space="preserve"> at 2617-19, paras. 90-95; </w:t>
      </w:r>
      <w:r w:rsidRPr="00B66597">
        <w:rPr>
          <w:i/>
        </w:rPr>
        <w:t>RMD Order</w:t>
      </w:r>
      <w:r w:rsidRPr="004539A7">
        <w:t xml:space="preserve">, 40 FCC </w:t>
      </w:r>
      <w:r w:rsidRPr="004539A7">
        <w:t>Rcd</w:t>
      </w:r>
      <w:r w:rsidRPr="004539A7">
        <w:t xml:space="preserve"> at 622-23, paras. 51-52.</w:t>
      </w:r>
    </w:p>
  </w:footnote>
  <w:footnote w:id="303">
    <w:p w:rsidR="005919ED" w:rsidRPr="004539A7" w:rsidP="005919ED" w14:paraId="757EBD6D" w14:textId="77777777">
      <w:pPr>
        <w:pStyle w:val="FootnoteText"/>
      </w:pPr>
      <w:r w:rsidRPr="004539A7">
        <w:rPr>
          <w:rStyle w:val="FootnoteReference"/>
        </w:rPr>
        <w:footnoteRef/>
      </w:r>
      <w:r w:rsidRPr="004539A7">
        <w:t xml:space="preserve"> 47 U.S.C. §§ 201(b), 202(a); </w:t>
      </w:r>
      <w:r w:rsidRPr="004539A7">
        <w:rPr>
          <w:i/>
          <w:iCs/>
        </w:rPr>
        <w:t>Fourth Call Blocking Order</w:t>
      </w:r>
      <w:r w:rsidRPr="004539A7">
        <w:t xml:space="preserve">, 35 FCC </w:t>
      </w:r>
      <w:r w:rsidRPr="004539A7">
        <w:t>Rcd</w:t>
      </w:r>
      <w:r w:rsidRPr="004539A7">
        <w:t xml:space="preserve"> at 15233-34, para. 37.  </w:t>
      </w:r>
    </w:p>
  </w:footnote>
  <w:footnote w:id="304">
    <w:p w:rsidR="005919ED" w:rsidRPr="004539A7" w:rsidP="005919ED" w14:paraId="1A35EB65" w14:textId="77777777">
      <w:pPr>
        <w:pStyle w:val="FootnoteText"/>
      </w:pPr>
      <w:r w:rsidRPr="004539A7">
        <w:rPr>
          <w:rStyle w:val="FootnoteReference"/>
        </w:rPr>
        <w:footnoteRef/>
      </w:r>
      <w:r w:rsidRPr="004539A7">
        <w:t xml:space="preserve"> 47 U.S.C. § 251(e)(1).</w:t>
      </w:r>
    </w:p>
  </w:footnote>
  <w:footnote w:id="305">
    <w:p w:rsidR="005919ED" w:rsidRPr="004539A7" w:rsidP="005919ED" w14:paraId="219451A4" w14:textId="77777777">
      <w:pPr>
        <w:pStyle w:val="FootnoteText"/>
      </w:pPr>
      <w:r w:rsidRPr="004539A7">
        <w:rPr>
          <w:rStyle w:val="FootnoteReference"/>
        </w:rPr>
        <w:footnoteRef/>
      </w:r>
      <w:r w:rsidRPr="004539A7">
        <w:t xml:space="preserve"> </w:t>
      </w:r>
      <w:r w:rsidRPr="004539A7">
        <w:rPr>
          <w:i/>
          <w:iCs/>
        </w:rPr>
        <w:t>Advanced Methods to Target and Eliminate Unlawful Robocalls</w:t>
      </w:r>
      <w:r w:rsidRPr="004539A7">
        <w:t xml:space="preserve">, CG Docket No. 17-59, Report and Order and Further Notice of Proposed Rulemaking, 32 FCC </w:t>
      </w:r>
      <w:r w:rsidRPr="004539A7">
        <w:t>Rcd</w:t>
      </w:r>
      <w:r w:rsidRPr="004539A7">
        <w:t xml:space="preserve"> 9706, 9727, para. 62 (2017). </w:t>
      </w:r>
    </w:p>
  </w:footnote>
  <w:footnote w:id="306">
    <w:p w:rsidR="005919ED" w:rsidRPr="004539A7" w:rsidP="005919ED" w14:paraId="520CD326" w14:textId="77777777">
      <w:pPr>
        <w:pStyle w:val="FootnoteText"/>
      </w:pPr>
      <w:r w:rsidRPr="004539A7">
        <w:rPr>
          <w:rStyle w:val="FootnoteReference"/>
        </w:rPr>
        <w:footnoteRef/>
      </w:r>
      <w:r w:rsidRPr="004539A7">
        <w:t xml:space="preserve"> </w:t>
      </w:r>
      <w:r w:rsidRPr="004539A7">
        <w:rPr>
          <w:i/>
          <w:iCs/>
        </w:rPr>
        <w:t>Fourth Call Blocking Order</w:t>
      </w:r>
      <w:r w:rsidRPr="004539A7">
        <w:t xml:space="preserve">, 35 FCC </w:t>
      </w:r>
      <w:r w:rsidRPr="004539A7">
        <w:t>Rcd</w:t>
      </w:r>
      <w:r w:rsidRPr="004539A7">
        <w:t xml:space="preserve"> at 15234, para. 37; </w:t>
      </w:r>
      <w:r w:rsidRPr="004539A7">
        <w:rPr>
          <w:i/>
          <w:iCs/>
        </w:rPr>
        <w:t>see also</w:t>
      </w:r>
      <w:r w:rsidRPr="004539A7">
        <w:t xml:space="preserve"> Truth in Caller ID Act of 2009, Pub. L. No. 111-331, 124 Stat. 3572 (2010) (Truth in Caller ID Act). </w:t>
      </w:r>
    </w:p>
  </w:footnote>
  <w:footnote w:id="307">
    <w:p w:rsidR="005919ED" w:rsidRPr="004539A7" w:rsidP="005919ED" w14:paraId="510D3916" w14:textId="77777777">
      <w:pPr>
        <w:pStyle w:val="FootnoteText"/>
      </w:pPr>
      <w:r w:rsidRPr="004539A7">
        <w:rPr>
          <w:rStyle w:val="FootnoteReference"/>
        </w:rPr>
        <w:footnoteRef/>
      </w:r>
      <w:r w:rsidRPr="004539A7">
        <w:t xml:space="preserve"> </w:t>
      </w:r>
      <w:r w:rsidRPr="004539A7">
        <w:rPr>
          <w:i/>
          <w:iCs/>
        </w:rPr>
        <w:t>See Second Caller ID Authentication Order</w:t>
      </w:r>
      <w:r w:rsidRPr="004539A7">
        <w:t xml:space="preserve">, 36 FCC </w:t>
      </w:r>
      <w:r w:rsidRPr="004539A7">
        <w:t>Rcd</w:t>
      </w:r>
      <w:r w:rsidRPr="004539A7">
        <w:t xml:space="preserve"> </w:t>
      </w:r>
      <w:r w:rsidRPr="004539A7">
        <w:t>at</w:t>
      </w:r>
      <w:r w:rsidRPr="004539A7">
        <w:t xml:space="preserve"> 1910, para. 99 (“[S]</w:t>
      </w:r>
      <w:r w:rsidRPr="004539A7">
        <w:t>ection</w:t>
      </w:r>
      <w:r w:rsidRPr="004539A7">
        <w:t xml:space="preserve"> 251(e) gives us authority to prohibit intermediate providers and voice service providers from accepting traffic from both domestic and foreign voice service providers that do not appear in [the RMD]”); </w:t>
      </w:r>
      <w:r w:rsidRPr="004539A7">
        <w:rPr>
          <w:i/>
          <w:iCs/>
        </w:rPr>
        <w:t>Gateway Provider Order</w:t>
      </w:r>
      <w:r>
        <w:t xml:space="preserve">, 37 FCC </w:t>
      </w:r>
      <w:r>
        <w:t>Rcd</w:t>
      </w:r>
      <w:r w:rsidRPr="004539A7">
        <w:rPr>
          <w:i/>
          <w:iCs/>
        </w:rPr>
        <w:t xml:space="preserve"> </w:t>
      </w:r>
      <w:r w:rsidRPr="004539A7">
        <w:t>at 6912, para. 115 (“[S]</w:t>
      </w:r>
      <w:r w:rsidRPr="004539A7">
        <w:rPr>
          <w:snapToGrid w:val="0"/>
          <w:kern w:val="28"/>
        </w:rPr>
        <w:t>ection</w:t>
      </w:r>
      <w:r w:rsidRPr="004539A7">
        <w:rPr>
          <w:snapToGrid w:val="0"/>
          <w:kern w:val="28"/>
        </w:rPr>
        <w:t xml:space="preserve"> 251(e) and the Truth in Caller ID Act authorize us to prohibit</w:t>
      </w:r>
      <w:r w:rsidRPr="004539A7">
        <w:t xml:space="preserve"> </w:t>
      </w:r>
      <w:r w:rsidRPr="004539A7">
        <w:rPr>
          <w:snapToGrid w:val="0"/>
          <w:kern w:val="28"/>
        </w:rPr>
        <w:t>intermediate providers and voice service providers from accepting traffic from gateway providers that do</w:t>
      </w:r>
      <w:r w:rsidRPr="004539A7">
        <w:t xml:space="preserve"> not appear in [the RMD].”); </w:t>
      </w:r>
      <w:r w:rsidRPr="004539A7">
        <w:rPr>
          <w:i/>
          <w:iCs/>
        </w:rPr>
        <w:t>Sixth Caller ID Authentication Order</w:t>
      </w:r>
      <w:r w:rsidRPr="004539A7">
        <w:t xml:space="preserve">, 38 FCC </w:t>
      </w:r>
      <w:r w:rsidRPr="004539A7">
        <w:t>Rcd</w:t>
      </w:r>
      <w:r w:rsidRPr="004539A7">
        <w:t xml:space="preserve"> at 2617, para. 92 (“We conclude that s</w:t>
      </w:r>
      <w:r w:rsidRPr="004539A7">
        <w:rPr>
          <w:snapToGrid w:val="0"/>
          <w:kern w:val="28"/>
        </w:rPr>
        <w:t xml:space="preserve">ection 251(e) </w:t>
      </w:r>
      <w:r>
        <w:rPr>
          <w:snapToGrid w:val="0"/>
          <w:kern w:val="28"/>
        </w:rPr>
        <w:t>of the Act</w:t>
      </w:r>
      <w:r w:rsidRPr="004539A7">
        <w:rPr>
          <w:snapToGrid w:val="0"/>
          <w:kern w:val="28"/>
        </w:rPr>
        <w:t xml:space="preserve"> and the Truth in Caller ID Act authorize us to </w:t>
      </w:r>
      <w:r w:rsidRPr="004539A7">
        <w:t>prohibit domestic intermediate providers and voice service providers from accepting traffic from non-gateway intermediate providers that have not filed in [the RMD]”).</w:t>
      </w:r>
    </w:p>
  </w:footnote>
  <w:footnote w:id="308">
    <w:p w:rsidR="005919ED" w:rsidRPr="004539A7" w:rsidP="005919ED" w14:paraId="0353EA7F" w14:textId="77777777">
      <w:pPr>
        <w:pStyle w:val="FootnoteText"/>
      </w:pPr>
      <w:r w:rsidRPr="004539A7">
        <w:rPr>
          <w:rStyle w:val="FootnoteReference"/>
        </w:rPr>
        <w:footnoteRef/>
      </w:r>
      <w:r w:rsidRPr="004539A7">
        <w:t xml:space="preserve"> 47 U.S.C. § 227b(b)(5)(C) (codification of TRACED Act § 4(b)(5)(C)); </w:t>
      </w:r>
      <w:r w:rsidRPr="004539A7">
        <w:rPr>
          <w:i/>
          <w:iCs/>
        </w:rPr>
        <w:t>Second Caller ID Authentication Order</w:t>
      </w:r>
      <w:r w:rsidRPr="004539A7">
        <w:t xml:space="preserve">, 36 FCC </w:t>
      </w:r>
      <w:r w:rsidRPr="004539A7">
        <w:t>Rcd</w:t>
      </w:r>
      <w:r w:rsidRPr="004539A7">
        <w:t xml:space="preserve"> at 1909-10, para. 97 (citing TRACED Act § 4(b)(5)(C) for the proposition that “[t]he TRACED Act expressly directs us to . . . require any voice service provider subject to [an extension] to implement a robocall mitigation program”).  The TRACED Act’s authentication framework provisions also grant us authority over non-IP networks, including to require robocall mitigation programs.  </w:t>
      </w:r>
      <w:r w:rsidRPr="004539A7">
        <w:rPr>
          <w:i/>
          <w:iCs/>
        </w:rPr>
        <w:t xml:space="preserve">See </w:t>
      </w:r>
      <w:r w:rsidRPr="004539A7">
        <w:t xml:space="preserve">47 U.S.C. § 227b(b)(1)(B), (b)(2)(B), (b)(5)(B), (b)(5)(C), (b)(5)(E)-(F).  </w:t>
      </w:r>
    </w:p>
  </w:footnote>
  <w:footnote w:id="309">
    <w:p w:rsidR="005919ED" w:rsidRPr="004539A7" w:rsidP="005919ED" w14:paraId="4557B406" w14:textId="77777777">
      <w:pPr>
        <w:pStyle w:val="FootnoteText"/>
      </w:pPr>
      <w:r w:rsidRPr="004539A7">
        <w:rPr>
          <w:rStyle w:val="FootnoteReference"/>
        </w:rPr>
        <w:footnoteRef/>
      </w:r>
      <w:r w:rsidRPr="004539A7">
        <w:t xml:space="preserve"> </w:t>
      </w:r>
      <w:r w:rsidRPr="004539A7">
        <w:rPr>
          <w:i/>
          <w:iCs/>
        </w:rPr>
        <w:t>See</w:t>
      </w:r>
      <w:r w:rsidRPr="00B66597">
        <w:t xml:space="preserve"> </w:t>
      </w:r>
      <w:r w:rsidRPr="004539A7">
        <w:t xml:space="preserve">TRACED Act § 7, 133 Stat. at 3282. </w:t>
      </w:r>
    </w:p>
  </w:footnote>
  <w:footnote w:id="310">
    <w:p w:rsidR="005919ED" w:rsidRPr="004539A7" w:rsidP="005919ED" w14:paraId="50A21243" w14:textId="77777777">
      <w:pPr>
        <w:pStyle w:val="FootnoteText"/>
      </w:pPr>
      <w:r w:rsidRPr="004539A7">
        <w:rPr>
          <w:rStyle w:val="FootnoteReference"/>
        </w:rPr>
        <w:footnoteRef/>
      </w:r>
      <w:r w:rsidRPr="004539A7">
        <w:t xml:space="preserve"> 47 U.S.C. § 227(e)(1).</w:t>
      </w:r>
    </w:p>
  </w:footnote>
  <w:footnote w:id="311">
    <w:p w:rsidR="005919ED" w:rsidRPr="004539A7" w:rsidP="005919ED" w14:paraId="74A37B23" w14:textId="77777777">
      <w:pPr>
        <w:pStyle w:val="FootnoteText"/>
      </w:pPr>
      <w:r w:rsidRPr="004539A7">
        <w:rPr>
          <w:rStyle w:val="FootnoteReference"/>
        </w:rPr>
        <w:footnoteRef/>
      </w:r>
      <w:r w:rsidRPr="004539A7">
        <w:t xml:space="preserve"> 47 U.S.C. § 227b.</w:t>
      </w:r>
    </w:p>
  </w:footnote>
  <w:footnote w:id="312">
    <w:p w:rsidR="005919ED" w:rsidRPr="004539A7" w:rsidP="005919ED" w14:paraId="3EB7F603" w14:textId="77777777">
      <w:pPr>
        <w:pStyle w:val="FootnoteText"/>
      </w:pPr>
      <w:r w:rsidRPr="004539A7">
        <w:rPr>
          <w:rStyle w:val="FootnoteReference"/>
        </w:rPr>
        <w:footnoteRef/>
      </w:r>
      <w:r w:rsidRPr="004539A7">
        <w:t xml:space="preserve"> 47 U.S.C. § 227b(a)(2) (defining the term “voice service” to mean “any service that is interconnected with the public switched telephone network that furnishes voice communications to an end user using resources from the </w:t>
      </w:r>
      <w:r>
        <w:t>[NANP]</w:t>
      </w:r>
      <w:r w:rsidRPr="004539A7">
        <w:t xml:space="preserve"> or any successor to the </w:t>
      </w:r>
      <w:r>
        <w:t xml:space="preserve">[NANP] </w:t>
      </w:r>
      <w:r w:rsidRPr="004539A7">
        <w:t>adopted by the Commission”).</w:t>
      </w:r>
    </w:p>
  </w:footnote>
  <w:footnote w:id="313">
    <w:p w:rsidR="005919ED" w:rsidRPr="004539A7" w:rsidP="005919ED" w14:paraId="32659427" w14:textId="77777777">
      <w:pPr>
        <w:pStyle w:val="FootnoteText"/>
      </w:pPr>
      <w:r w:rsidRPr="004539A7">
        <w:rPr>
          <w:rStyle w:val="FootnoteReference"/>
        </w:rPr>
        <w:footnoteRef/>
      </w:r>
      <w:r w:rsidRPr="004539A7">
        <w:t xml:space="preserve"> 47 U.S.C. § 154(</w:t>
      </w:r>
      <w:r w:rsidRPr="004539A7">
        <w:t>i</w:t>
      </w:r>
      <w:r w:rsidRPr="004539A7">
        <w:t xml:space="preserve">). </w:t>
      </w:r>
    </w:p>
  </w:footnote>
  <w:footnote w:id="314">
    <w:p w:rsidR="005919ED" w:rsidRPr="004539A7" w:rsidP="005919ED" w14:paraId="7DF16572" w14:textId="77777777">
      <w:pPr>
        <w:pStyle w:val="FootnoteText"/>
      </w:pPr>
      <w:r w:rsidRPr="004539A7">
        <w:rPr>
          <w:rStyle w:val="FootnoteReference"/>
        </w:rPr>
        <w:footnoteRef/>
      </w:r>
      <w:r w:rsidRPr="004539A7">
        <w:t xml:space="preserve"> </w:t>
      </w:r>
      <w:r w:rsidRPr="004539A7">
        <w:rPr>
          <w:i/>
          <w:iCs/>
        </w:rPr>
        <w:t>See Fourth Call Blocking Order</w:t>
      </w:r>
      <w:r w:rsidRPr="004539A7">
        <w:t xml:space="preserve">, 35 FCC </w:t>
      </w:r>
      <w:r w:rsidRPr="004539A7">
        <w:t>Rcd</w:t>
      </w:r>
      <w:r w:rsidRPr="004539A7">
        <w:t xml:space="preserve"> at 15233-34, para. 37; </w:t>
      </w:r>
      <w:r w:rsidRPr="004539A7">
        <w:rPr>
          <w:i/>
        </w:rPr>
        <w:t>Gateway</w:t>
      </w:r>
      <w:r w:rsidRPr="004539A7">
        <w:rPr>
          <w:i/>
          <w:iCs/>
        </w:rPr>
        <w:t xml:space="preserve"> Provider Order</w:t>
      </w:r>
      <w:r w:rsidRPr="004539A7">
        <w:t xml:space="preserve">, 37 FCC </w:t>
      </w:r>
      <w:r w:rsidRPr="004539A7">
        <w:t>Rcd</w:t>
      </w:r>
      <w:r w:rsidRPr="004539A7">
        <w:rPr>
          <w:i/>
          <w:iCs/>
        </w:rPr>
        <w:t xml:space="preserve"> </w:t>
      </w:r>
      <w:r w:rsidRPr="004539A7">
        <w:t xml:space="preserve">at 6913, paras. 118-19; </w:t>
      </w:r>
      <w:r w:rsidRPr="004539A7">
        <w:rPr>
          <w:i/>
          <w:iCs/>
        </w:rPr>
        <w:t>Sixth Caller ID Authentication Order</w:t>
      </w:r>
      <w:r w:rsidRPr="00B66597">
        <w:t xml:space="preserve">, </w:t>
      </w:r>
      <w:r w:rsidRPr="004539A7">
        <w:t xml:space="preserve">38 FCC </w:t>
      </w:r>
      <w:r w:rsidRPr="004539A7">
        <w:t>Rcd</w:t>
      </w:r>
      <w:r w:rsidRPr="004539A7">
        <w:t xml:space="preserve"> at 2618-19, paras. 94-95.</w:t>
      </w:r>
    </w:p>
  </w:footnote>
  <w:footnote w:id="315">
    <w:p w:rsidR="005919ED" w:rsidRPr="004539A7" w:rsidP="005919ED" w14:paraId="30CDB8FB" w14:textId="77777777">
      <w:pPr>
        <w:pStyle w:val="FootnoteText"/>
      </w:pPr>
      <w:r w:rsidRPr="004539A7">
        <w:rPr>
          <w:rStyle w:val="FootnoteReference"/>
        </w:rPr>
        <w:footnoteRef/>
      </w:r>
      <w:r w:rsidRPr="004539A7">
        <w:t xml:space="preserve"> </w:t>
      </w:r>
      <w:r w:rsidRPr="004539A7">
        <w:rPr>
          <w:i/>
          <w:iCs/>
        </w:rPr>
        <w:t>United States v. Southwestern Cable Co.</w:t>
      </w:r>
      <w:r w:rsidRPr="004539A7">
        <w:t xml:space="preserve">, 392 U.S. 157, 178 (1968); </w:t>
      </w:r>
      <w:r w:rsidRPr="004539A7">
        <w:rPr>
          <w:i/>
          <w:iCs/>
        </w:rPr>
        <w:t>see also</w:t>
      </w:r>
      <w:r w:rsidRPr="004539A7">
        <w:t xml:space="preserve">, </w:t>
      </w:r>
      <w:r w:rsidRPr="004539A7">
        <w:rPr>
          <w:i/>
          <w:iCs/>
        </w:rPr>
        <w:t>e.g.</w:t>
      </w:r>
      <w:r w:rsidRPr="004539A7">
        <w:t xml:space="preserve">, </w:t>
      </w:r>
      <w:r w:rsidRPr="004539A7">
        <w:rPr>
          <w:i/>
          <w:iCs/>
        </w:rPr>
        <w:t>Rural Call Completion</w:t>
      </w:r>
      <w:r w:rsidRPr="004539A7">
        <w:t xml:space="preserve">, WC Docket No. 13-39, Report and Order and Further Notice of Proposed Rulemaking, 28 FCC </w:t>
      </w:r>
      <w:r w:rsidRPr="004539A7">
        <w:t>Rcd</w:t>
      </w:r>
      <w:r w:rsidRPr="004539A7">
        <w:t xml:space="preserve"> 16154. 16562, para. 35 (2013) (“Ancillary authority may be employed, at the Commission’s discretion, when the Act covers the regulated subject and the assertion of jurisdiction is reasonably ancillary to the effective performance of the Commission’s various responsibilities.” (internal citations omitted)). </w:t>
      </w:r>
    </w:p>
  </w:footnote>
  <w:footnote w:id="316">
    <w:p w:rsidR="005919ED" w:rsidRPr="004539A7" w:rsidP="005919ED" w14:paraId="5F3E44AE" w14:textId="77777777">
      <w:pPr>
        <w:pStyle w:val="FootnoteText"/>
      </w:pPr>
      <w:r w:rsidRPr="004539A7">
        <w:rPr>
          <w:rStyle w:val="FootnoteReference"/>
        </w:rPr>
        <w:footnoteRef/>
      </w:r>
      <w:r w:rsidRPr="004539A7">
        <w:t xml:space="preserve"> </w:t>
      </w:r>
      <w:r w:rsidRPr="004539A7">
        <w:rPr>
          <w:i/>
          <w:iCs/>
        </w:rPr>
        <w:t>See, e.g.</w:t>
      </w:r>
      <w:r w:rsidRPr="004539A7">
        <w:t>,</w:t>
      </w:r>
      <w:r w:rsidRPr="004539A7">
        <w:rPr>
          <w:i/>
          <w:iCs/>
        </w:rPr>
        <w:t xml:space="preserve"> Comcast Corp. v. FCC</w:t>
      </w:r>
      <w:r w:rsidRPr="004539A7">
        <w:t xml:space="preserve">, 600 F.3d 642, 646 (D.C. Cir. 2010); </w:t>
      </w:r>
      <w:r w:rsidRPr="004539A7">
        <w:rPr>
          <w:i/>
          <w:iCs/>
        </w:rPr>
        <w:t xml:space="preserve">American Library </w:t>
      </w:r>
      <w:r w:rsidRPr="004539A7">
        <w:rPr>
          <w:i/>
          <w:iCs/>
        </w:rPr>
        <w:t>Ass’n</w:t>
      </w:r>
      <w:r w:rsidRPr="004539A7">
        <w:rPr>
          <w:i/>
          <w:iCs/>
        </w:rPr>
        <w:t xml:space="preserve"> v. FCC</w:t>
      </w:r>
      <w:r w:rsidRPr="004539A7">
        <w:t>,</w:t>
      </w:r>
      <w:r w:rsidRPr="004539A7">
        <w:rPr>
          <w:i/>
          <w:iCs/>
        </w:rPr>
        <w:t xml:space="preserve"> </w:t>
      </w:r>
      <w:r w:rsidRPr="004539A7">
        <w:t xml:space="preserve">406 F.3d 689 (D.C. Cir. 2005). </w:t>
      </w:r>
    </w:p>
  </w:footnote>
  <w:footnote w:id="317">
    <w:p w:rsidR="005919ED" w:rsidRPr="004539A7" w:rsidP="005919ED" w14:paraId="72DDBCB2" w14:textId="77777777">
      <w:pPr>
        <w:pStyle w:val="FootnoteText"/>
      </w:pPr>
      <w:r w:rsidRPr="004539A7">
        <w:rPr>
          <w:rStyle w:val="FootnoteReference"/>
        </w:rPr>
        <w:footnoteRef/>
      </w:r>
      <w:r w:rsidRPr="004539A7">
        <w:t xml:space="preserve"> 47 U.S.C. § 152(a). </w:t>
      </w:r>
    </w:p>
  </w:footnote>
  <w:footnote w:id="318">
    <w:p w:rsidR="005919ED" w:rsidRPr="004539A7" w:rsidP="005919ED" w14:paraId="3F9CF1AC" w14:textId="77777777">
      <w:pPr>
        <w:pStyle w:val="FootnoteText"/>
      </w:pPr>
      <w:r w:rsidRPr="004539A7">
        <w:rPr>
          <w:rStyle w:val="FootnoteReference"/>
        </w:rPr>
        <w:footnoteRef/>
      </w:r>
      <w:r w:rsidRPr="004539A7">
        <w:t xml:space="preserve"> </w:t>
      </w:r>
      <w:r w:rsidRPr="004539A7">
        <w:rPr>
          <w:i/>
          <w:iCs/>
        </w:rPr>
        <w:t>Fourth Call Blocking Order</w:t>
      </w:r>
      <w:r w:rsidRPr="004539A7">
        <w:t xml:space="preserve">, 35 FCC </w:t>
      </w:r>
      <w:r w:rsidRPr="004539A7">
        <w:t>Rcd</w:t>
      </w:r>
      <w:r w:rsidRPr="004539A7">
        <w:t xml:space="preserve"> at 15233-34, para. 37.</w:t>
      </w:r>
    </w:p>
  </w:footnote>
  <w:footnote w:id="319">
    <w:p w:rsidR="005919ED" w:rsidRPr="004539A7" w:rsidP="005919ED" w14:paraId="02F03AD1" w14:textId="77777777">
      <w:pPr>
        <w:pStyle w:val="FootnoteText"/>
      </w:pPr>
      <w:r w:rsidRPr="004539A7">
        <w:rPr>
          <w:rStyle w:val="FootnoteReference"/>
        </w:rPr>
        <w:footnoteRef/>
      </w:r>
      <w:r w:rsidRPr="004539A7">
        <w:t xml:space="preserve"> 47 U.S.C. § 227b(b)(5)(C); </w:t>
      </w:r>
      <w:r w:rsidRPr="004539A7">
        <w:rPr>
          <w:bCs/>
          <w:i/>
          <w:iCs/>
        </w:rPr>
        <w:t>Second Caller ID Authentication Order</w:t>
      </w:r>
      <w:r w:rsidRPr="004539A7">
        <w:rPr>
          <w:bCs/>
        </w:rPr>
        <w:t xml:space="preserve">, 36 FCC </w:t>
      </w:r>
      <w:r w:rsidRPr="004539A7">
        <w:rPr>
          <w:bCs/>
        </w:rPr>
        <w:t>Rcd</w:t>
      </w:r>
      <w:r w:rsidRPr="004539A7">
        <w:rPr>
          <w:bCs/>
        </w:rPr>
        <w:t xml:space="preserve"> at 1909-10, para. 97 (citing TRACED Act § 4(b)(5)(C) for the proposition that “[t]he TRACED Act expressly directs us to .</w:t>
      </w:r>
      <w:r>
        <w:rPr>
          <w:bCs/>
        </w:rPr>
        <w:t> </w:t>
      </w:r>
      <w:r w:rsidRPr="004539A7">
        <w:rPr>
          <w:bCs/>
        </w:rPr>
        <w:t>.</w:t>
      </w:r>
      <w:r>
        <w:rPr>
          <w:bCs/>
        </w:rPr>
        <w:t> </w:t>
      </w:r>
      <w:r w:rsidRPr="004539A7">
        <w:rPr>
          <w:bCs/>
        </w:rPr>
        <w:t>. require any voice service provider subject to [an extension] to implement a robocall mitigation program”).</w:t>
      </w:r>
    </w:p>
  </w:footnote>
  <w:footnote w:id="320">
    <w:p w:rsidR="005919ED" w:rsidRPr="004539A7" w:rsidP="005919ED" w14:paraId="550D038B" w14:textId="77777777">
      <w:pPr>
        <w:pStyle w:val="FootnoteText"/>
      </w:pPr>
      <w:r w:rsidRPr="004539A7">
        <w:rPr>
          <w:rStyle w:val="FootnoteReference"/>
        </w:rPr>
        <w:footnoteRef/>
      </w:r>
      <w:r w:rsidRPr="004539A7">
        <w:t xml:space="preserve"> </w:t>
      </w:r>
      <w:r w:rsidRPr="004539A7">
        <w:rPr>
          <w:i/>
          <w:iCs/>
        </w:rPr>
        <w:t>Second Caller ID Authentication Order</w:t>
      </w:r>
      <w:r w:rsidRPr="004539A7">
        <w:t xml:space="preserve">, 36 FCC </w:t>
      </w:r>
      <w:r w:rsidRPr="004539A7">
        <w:t>Rcd</w:t>
      </w:r>
      <w:r w:rsidRPr="004539A7">
        <w:t xml:space="preserve"> at 1910, n.370 (“An indirect effect on foreign voice providers, however, ‘does not militate against the validity of rules that only operate directly on voice service providers within the United States’”) (quoting </w:t>
      </w:r>
      <w:r w:rsidRPr="004539A7">
        <w:rPr>
          <w:i/>
          <w:iCs/>
        </w:rPr>
        <w:t>International Settlement Rate Benchmarks</w:t>
      </w:r>
      <w:r w:rsidRPr="004539A7">
        <w:t xml:space="preserve">, IB Docket No. 96-261, Report and Order, 12 FCC </w:t>
      </w:r>
      <w:r w:rsidRPr="004539A7">
        <w:t>Rcd</w:t>
      </w:r>
      <w:r w:rsidRPr="004539A7">
        <w:t xml:space="preserve"> 19806, 19819, para. 27 (1997)</w:t>
      </w:r>
      <w:r>
        <w:t>;</w:t>
      </w:r>
      <w:r w:rsidRPr="004539A7">
        <w:t xml:space="preserve"> </w:t>
      </w:r>
      <w:r w:rsidRPr="004539A7">
        <w:rPr>
          <w:i/>
          <w:iCs/>
        </w:rPr>
        <w:t>see also Cable &amp; Wireless P.L.C. v. FCC</w:t>
      </w:r>
      <w:r w:rsidRPr="004539A7">
        <w:t>,</w:t>
      </w:r>
      <w:r w:rsidRPr="004539A7">
        <w:rPr>
          <w:i/>
          <w:iCs/>
        </w:rPr>
        <w:t xml:space="preserve"> </w:t>
      </w:r>
      <w:r w:rsidRPr="004539A7">
        <w:t>166 F.3d 1224, 1230 (D.C. Cir. 1999) (finding that “the Commission does not exceed its authority simply because a regulatory actional has extraterritorial consequences”)</w:t>
      </w:r>
      <w:r>
        <w:t>)</w:t>
      </w:r>
      <w:r w:rsidRPr="004539A7">
        <w:t xml:space="preserve">; </w:t>
      </w:r>
      <w:r w:rsidRPr="004539A7">
        <w:rPr>
          <w:i/>
          <w:iCs/>
        </w:rPr>
        <w:t xml:space="preserve">see also </w:t>
      </w:r>
      <w:r>
        <w:rPr>
          <w:color w:val="000000"/>
        </w:rPr>
        <w:t xml:space="preserve">47 CFR § </w:t>
      </w:r>
      <w:r w:rsidRPr="004539A7">
        <w:t xml:space="preserve">63.14(a) (prohibiting carriers “from agreeing to accept special concessions directly or indirectly from any foreign carrier with respect to any U.S. international route where the foreign carrier possesses sufficient market power on the foreign end of the route to affect competition adversely in the U.S. market”); </w:t>
      </w:r>
      <w:r w:rsidRPr="004539A7">
        <w:rPr>
          <w:i/>
          <w:iCs/>
        </w:rPr>
        <w:t>Petition of AT&amp;T for Settlements Stop Payment Order on the U.S.-Tonga Route</w:t>
      </w:r>
      <w:r w:rsidRPr="004539A7">
        <w:t xml:space="preserve">, IB Docket No. 09-10, Memorandum Opinion and Order, 29 FCC </w:t>
      </w:r>
      <w:r w:rsidRPr="004539A7">
        <w:t>Rcd</w:t>
      </w:r>
      <w:r w:rsidRPr="004539A7">
        <w:t xml:space="preserve"> 4186, 4196, para. 24 (2014) (concluding that “Commission review and interpretation of contracts </w:t>
      </w:r>
      <w:r w:rsidRPr="004539A7">
        <w:t>entered into</w:t>
      </w:r>
      <w:r w:rsidRPr="004539A7">
        <w:t xml:space="preserve"> by U.S. carriers for delivery of traffic to foreign destinations may, as here, be necessary and relevant to the Commission’s policy goals of protecting U.S. ratepayers from the effects of anticompetitive actions </w:t>
      </w:r>
      <w:r w:rsidRPr="004539A7">
        <w:t>.</w:t>
      </w:r>
      <w:r>
        <w:t> </w:t>
      </w:r>
      <w:r w:rsidRPr="004539A7">
        <w:t>.</w:t>
      </w:r>
      <w:r>
        <w:t> </w:t>
      </w:r>
      <w:r w:rsidRPr="004539A7">
        <w:t>. .</w:t>
      </w:r>
      <w:r w:rsidRPr="004539A7">
        <w:t xml:space="preserve">  Thus, the existence of extraterritorial consequences stemming from the Bureau’s review of this case does not render the Bureau’s actions impermissible”). </w:t>
      </w:r>
    </w:p>
  </w:footnote>
  <w:footnote w:id="321">
    <w:p w:rsidR="005919ED" w:rsidRPr="004539A7" w:rsidP="005919ED" w14:paraId="6F4DDE5C" w14:textId="77777777">
      <w:pPr>
        <w:pStyle w:val="FootnoteText"/>
      </w:pPr>
      <w:r w:rsidRPr="004539A7">
        <w:rPr>
          <w:rStyle w:val="FootnoteReference"/>
        </w:rPr>
        <w:footnoteRef/>
      </w:r>
      <w:r w:rsidRPr="004539A7">
        <w:t xml:space="preserve"> 47 U.S.C. § 201(a), (b); </w:t>
      </w:r>
      <w:r w:rsidRPr="004539A7">
        <w:rPr>
          <w:i/>
          <w:iCs/>
        </w:rPr>
        <w:t>see</w:t>
      </w:r>
      <w:r w:rsidRPr="004539A7">
        <w:t xml:space="preserve"> </w:t>
      </w:r>
      <w:r w:rsidRPr="004539A7">
        <w:rPr>
          <w:i/>
          <w:iCs/>
        </w:rPr>
        <w:t>Petition of AT&amp;T Inc. for Settlements Stop Payment Order on the U.S.-Tonga Route</w:t>
      </w:r>
      <w:r w:rsidRPr="004539A7">
        <w:t xml:space="preserve">, IB Docket No. 09-10, Order and Request for Further Comment, 24 FCC </w:t>
      </w:r>
      <w:r w:rsidRPr="004539A7">
        <w:t>Rcd</w:t>
      </w:r>
      <w:r w:rsidRPr="004539A7">
        <w:t xml:space="preserve"> 8006, 8014-15, para. 24 (IB 2009) (“The Act also gives the Commission authority to prescribe just and reasonable charges when it finds that a charge or practice associated with a U.S. carrier providing foreign communications is unlawful.”).</w:t>
      </w:r>
    </w:p>
  </w:footnote>
  <w:footnote w:id="322">
    <w:p w:rsidR="005919ED" w:rsidRPr="00B136CE" w:rsidP="005919ED" w14:paraId="195871BA" w14:textId="77777777">
      <w:pPr>
        <w:pStyle w:val="FootnoteText"/>
      </w:pPr>
      <w:r>
        <w:rPr>
          <w:rStyle w:val="FootnoteReference"/>
        </w:rPr>
        <w:footnoteRef/>
      </w:r>
      <w:r>
        <w:t xml:space="preserve"> </w:t>
      </w:r>
      <w:r w:rsidRPr="00B136CE">
        <w:rPr>
          <w:i/>
          <w:iCs/>
        </w:rPr>
        <w:t xml:space="preserve">Stop Scams Alliance Ex </w:t>
      </w:r>
      <w:r w:rsidRPr="00B136CE">
        <w:rPr>
          <w:i/>
          <w:iCs/>
        </w:rPr>
        <w:t>Parte</w:t>
      </w:r>
      <w:r>
        <w:t>, Attach. at 3 (reporting that “[s]ix percent of Americans report being personally scammed in 2025, with those scams costing U.S. adults an estimated $68 billion”).</w:t>
      </w:r>
    </w:p>
  </w:footnote>
  <w:footnote w:id="323">
    <w:p w:rsidR="005919ED" w:rsidRPr="004539A7" w:rsidP="005919ED" w14:paraId="710F9B3F" w14:textId="77777777">
      <w:pPr>
        <w:pStyle w:val="FootnoteText"/>
      </w:pPr>
      <w:r w:rsidRPr="004539A7">
        <w:rPr>
          <w:rStyle w:val="FootnoteReference"/>
        </w:rPr>
        <w:footnoteRef/>
      </w:r>
      <w:r w:rsidRPr="004539A7">
        <w:t xml:space="preserve"> 5 U.S.C. §§ 601 </w:t>
      </w:r>
      <w:r w:rsidRPr="004539A7">
        <w:rPr>
          <w:i/>
          <w:iCs/>
        </w:rPr>
        <w:t>et seq.</w:t>
      </w:r>
      <w:r w:rsidRPr="004539A7">
        <w:t xml:space="preserve">, as amended by the Small Business Regulatory Enforcement and Fairness Act (SBREFA), Pub. L. No. 104-121, 110 Stat. 847 (1996). </w:t>
      </w:r>
    </w:p>
  </w:footnote>
  <w:footnote w:id="324">
    <w:p w:rsidR="005919ED" w:rsidRPr="004539A7" w:rsidP="005919ED" w14:paraId="7EC3C64E" w14:textId="77777777">
      <w:pPr>
        <w:pStyle w:val="FootnoteText"/>
      </w:pPr>
      <w:r w:rsidRPr="004539A7">
        <w:rPr>
          <w:rStyle w:val="FootnoteReference"/>
        </w:rPr>
        <w:footnoteRef/>
      </w:r>
      <w:r w:rsidRPr="004539A7">
        <w:t xml:space="preserve"> </w:t>
      </w:r>
      <w:r>
        <w:rPr>
          <w:iCs/>
        </w:rPr>
        <w:t>5 U.</w:t>
      </w:r>
      <w:r>
        <w:t>S.C</w:t>
      </w:r>
      <w:r w:rsidRPr="004539A7">
        <w:rPr>
          <w:i/>
        </w:rPr>
        <w:t>.</w:t>
      </w:r>
      <w:r w:rsidRPr="004539A7">
        <w:t xml:space="preserve"> § 605(b). </w:t>
      </w:r>
    </w:p>
  </w:footnote>
  <w:footnote w:id="325">
    <w:p w:rsidR="005919ED" w:rsidRPr="004539A7" w:rsidP="005919ED" w14:paraId="379B9972" w14:textId="77777777">
      <w:pPr>
        <w:pStyle w:val="FootnoteText"/>
      </w:pPr>
      <w:r w:rsidRPr="004539A7">
        <w:rPr>
          <w:rStyle w:val="FootnoteReference"/>
        </w:rPr>
        <w:footnoteRef/>
      </w:r>
      <w:r w:rsidRPr="004539A7">
        <w:t xml:space="preserve"> 47 CFR §§ 1.1200 </w:t>
      </w:r>
      <w:r w:rsidRPr="004539A7">
        <w:rPr>
          <w:i/>
        </w:rPr>
        <w:t>et seq</w:t>
      </w:r>
      <w:r w:rsidRPr="004539A7">
        <w:t>.</w:t>
      </w:r>
    </w:p>
  </w:footnote>
  <w:footnote w:id="326">
    <w:p w:rsidR="005919ED" w:rsidRPr="004539A7" w:rsidP="005919ED" w14:paraId="675A6EAC" w14:textId="77777777">
      <w:pPr>
        <w:pStyle w:val="FootnoteText"/>
      </w:pPr>
      <w:r w:rsidRPr="004539A7">
        <w:rPr>
          <w:rStyle w:val="FootnoteReference"/>
        </w:rPr>
        <w:footnoteRef/>
      </w:r>
      <w:r w:rsidRPr="004539A7">
        <w:t xml:space="preserve"> </w:t>
      </w:r>
      <w:r>
        <w:t>47 CFR</w:t>
      </w:r>
      <w:r w:rsidRPr="004539A7">
        <w:t xml:space="preserve"> §§ 1.1200-1216.</w:t>
      </w:r>
    </w:p>
  </w:footnote>
  <w:footnote w:id="327">
    <w:p w:rsidR="005919ED" w:rsidRPr="004539A7" w:rsidP="005919ED" w14:paraId="1354A889" w14:textId="77777777">
      <w:pPr>
        <w:pStyle w:val="FootnoteText"/>
      </w:pPr>
      <w:r w:rsidRPr="004539A7">
        <w:rPr>
          <w:rStyle w:val="FootnoteReference"/>
        </w:rPr>
        <w:footnoteRef/>
      </w:r>
      <w:r w:rsidRPr="004539A7">
        <w:t xml:space="preserve"> Pursuant to Executive Order 14215, 90 Fed. Reg. 10447 (Feb. 24, 2025), this regulatory action has been determined to be not significant under Executive Order 12866, 58 Fed. Reg. 51735 (Oct. 4, 1993). </w:t>
      </w:r>
    </w:p>
  </w:footnote>
  <w:footnote w:id="328">
    <w:p w:rsidR="005919ED" w:rsidRPr="004539A7" w:rsidP="005919ED" w14:paraId="35E724E3" w14:textId="77777777">
      <w:pPr>
        <w:pStyle w:val="FootnoteText"/>
      </w:pPr>
      <w:r w:rsidRPr="004539A7">
        <w:rPr>
          <w:rStyle w:val="FootnoteReference"/>
        </w:rPr>
        <w:footnoteRef/>
      </w:r>
      <w:r w:rsidRPr="004539A7">
        <w:rPr>
          <w:i/>
          <w:szCs w:val="22"/>
        </w:rPr>
        <w:t xml:space="preserve"> </w:t>
      </w:r>
      <w:r w:rsidRPr="004539A7">
        <w:rPr>
          <w:szCs w:val="22"/>
        </w:rPr>
        <w:t xml:space="preserve">5 U.S.C. §§ 601 </w:t>
      </w:r>
      <w:r w:rsidRPr="004539A7">
        <w:rPr>
          <w:i/>
          <w:szCs w:val="22"/>
        </w:rPr>
        <w:t>et seq</w:t>
      </w:r>
      <w:r w:rsidRPr="004539A7">
        <w:rPr>
          <w:szCs w:val="22"/>
        </w:rPr>
        <w:t>., as amended by the Small Business Regulatory Enforcement and Fairness Act (SBREFA), Pub. L. No. 104-121, 110 Stat. 847 (1996)</w:t>
      </w:r>
      <w:r w:rsidRPr="004539A7">
        <w:t>.</w:t>
      </w:r>
    </w:p>
  </w:footnote>
  <w:footnote w:id="329">
    <w:p w:rsidR="005919ED" w:rsidRPr="004539A7" w:rsidP="005919ED" w14:paraId="7F7EF752" w14:textId="77777777">
      <w:pPr>
        <w:pStyle w:val="FootnoteText"/>
      </w:pPr>
      <w:r w:rsidRPr="004539A7">
        <w:rPr>
          <w:rStyle w:val="FootnoteReference"/>
        </w:rPr>
        <w:footnoteRef/>
      </w:r>
      <w:r w:rsidRPr="004539A7">
        <w:t xml:space="preserve"> </w:t>
      </w:r>
      <w:r>
        <w:t>5 U.S.C</w:t>
      </w:r>
      <w:r w:rsidRPr="004539A7">
        <w:rPr>
          <w:i/>
          <w:iCs/>
        </w:rPr>
        <w:t>.</w:t>
      </w:r>
      <w:r w:rsidRPr="004539A7">
        <w:t>§ 603(a).</w:t>
      </w:r>
    </w:p>
  </w:footnote>
  <w:footnote w:id="330">
    <w:p w:rsidR="005919ED" w:rsidRPr="004539A7" w:rsidP="005919ED" w14:paraId="44E30358" w14:textId="77777777">
      <w:pPr>
        <w:pStyle w:val="FootnoteText"/>
      </w:pPr>
      <w:r w:rsidRPr="004539A7">
        <w:rPr>
          <w:rStyle w:val="FootnoteReference"/>
        </w:rPr>
        <w:footnoteRef/>
      </w:r>
      <w:r w:rsidRPr="004539A7">
        <w:t xml:space="preserve"> </w:t>
      </w:r>
      <w:r>
        <w:rPr>
          <w:iCs/>
        </w:rPr>
        <w:t xml:space="preserve">5 U.S.C. </w:t>
      </w:r>
      <w:r w:rsidRPr="004539A7">
        <w:t>§ 603(a).</w:t>
      </w:r>
    </w:p>
  </w:footnote>
  <w:footnote w:id="331">
    <w:p w:rsidR="005919ED" w:rsidRPr="004539A7" w:rsidP="005919ED" w14:paraId="540418DD"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B66597">
        <w:rPr>
          <w:i/>
        </w:rPr>
        <w:t xml:space="preserve"> </w:t>
      </w:r>
      <w:r w:rsidRPr="004539A7">
        <w:t>Section III</w:t>
      </w:r>
      <w:r w:rsidRPr="004539A7">
        <w:t>.A.</w:t>
      </w:r>
    </w:p>
  </w:footnote>
  <w:footnote w:id="332">
    <w:p w:rsidR="005919ED" w:rsidRPr="004539A7" w:rsidP="005919ED" w14:paraId="3C3AC495"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.B.</w:t>
      </w:r>
    </w:p>
  </w:footnote>
  <w:footnote w:id="333">
    <w:p w:rsidR="005919ED" w:rsidRPr="004539A7" w:rsidP="005919ED" w14:paraId="359449FE" w14:textId="77777777">
      <w:pPr>
        <w:pStyle w:val="FootnoteText"/>
      </w:pPr>
      <w:r w:rsidRPr="004539A7">
        <w:rPr>
          <w:rStyle w:val="FootnoteReference"/>
        </w:rPr>
        <w:footnoteRef/>
      </w:r>
      <w:r w:rsidRPr="004539A7">
        <w:t xml:space="preserve"> </w:t>
      </w:r>
      <w:r w:rsidRPr="004539A7">
        <w:rPr>
          <w:i/>
          <w:iCs/>
        </w:rPr>
        <w:t xml:space="preserve">See </w:t>
      </w:r>
      <w:r>
        <w:rPr>
          <w:i/>
          <w:iCs/>
        </w:rPr>
        <w:t xml:space="preserve">supra </w:t>
      </w:r>
      <w:r w:rsidRPr="004539A7">
        <w:t xml:space="preserve"> Section</w:t>
      </w:r>
      <w:r w:rsidRPr="004539A7">
        <w:rPr>
          <w:i/>
          <w:iCs/>
        </w:rPr>
        <w:t xml:space="preserve"> </w:t>
      </w:r>
      <w:r w:rsidRPr="004539A7">
        <w:t>III.A.1.</w:t>
      </w:r>
    </w:p>
  </w:footnote>
  <w:footnote w:id="334">
    <w:p w:rsidR="005919ED" w:rsidRPr="004539A7" w:rsidP="005919ED" w14:paraId="14E76227" w14:textId="77777777">
      <w:pPr>
        <w:pStyle w:val="FootnoteText"/>
      </w:pPr>
      <w:r w:rsidRPr="004539A7">
        <w:rPr>
          <w:rStyle w:val="FootnoteReference"/>
        </w:rPr>
        <w:footnoteRef/>
      </w:r>
      <w:r w:rsidRPr="004539A7">
        <w:t xml:space="preserve"> </w:t>
      </w:r>
      <w:r w:rsidRPr="004539A7">
        <w:rPr>
          <w:i/>
          <w:iCs/>
        </w:rPr>
        <w:t xml:space="preserve">See </w:t>
      </w:r>
      <w:r>
        <w:rPr>
          <w:i/>
          <w:iCs/>
        </w:rPr>
        <w:t xml:space="preserve">supra </w:t>
      </w:r>
      <w:r w:rsidRPr="004539A7">
        <w:rPr>
          <w:i/>
          <w:iCs/>
        </w:rPr>
        <w:t xml:space="preserve"> </w:t>
      </w:r>
      <w:r w:rsidRPr="004539A7">
        <w:t>Section</w:t>
      </w:r>
      <w:r w:rsidRPr="004539A7">
        <w:t xml:space="preserve"> III.A.2.a.</w:t>
      </w:r>
    </w:p>
  </w:footnote>
  <w:footnote w:id="335">
    <w:p w:rsidR="005919ED" w:rsidRPr="004539A7" w:rsidP="005919ED" w14:paraId="0BAD3395"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.A.2.b.</w:t>
      </w:r>
    </w:p>
  </w:footnote>
  <w:footnote w:id="336">
    <w:p w:rsidR="005919ED" w:rsidRPr="004539A7" w:rsidP="005919ED" w14:paraId="0EA0A490"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.A.2.c.</w:t>
      </w:r>
    </w:p>
  </w:footnote>
  <w:footnote w:id="337">
    <w:p w:rsidR="005919ED" w:rsidRPr="004539A7" w:rsidP="005919ED" w14:paraId="43D5DC17"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.A.2.d.</w:t>
      </w:r>
    </w:p>
  </w:footnote>
  <w:footnote w:id="338">
    <w:p w:rsidR="005919ED" w:rsidRPr="004539A7" w:rsidP="005919ED" w14:paraId="7E692589"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rPr>
          <w:i/>
          <w:iCs/>
        </w:rPr>
        <w:t xml:space="preserve"> </w:t>
      </w:r>
      <w:r w:rsidRPr="004539A7">
        <w:t>Section</w:t>
      </w:r>
      <w:r w:rsidRPr="004539A7">
        <w:rPr>
          <w:i/>
          <w:iCs/>
        </w:rPr>
        <w:t xml:space="preserve"> </w:t>
      </w:r>
      <w:r w:rsidRPr="004539A7">
        <w:t>III</w:t>
      </w:r>
      <w:r w:rsidRPr="004539A7">
        <w:t>.A.2.e.</w:t>
      </w:r>
    </w:p>
  </w:footnote>
  <w:footnote w:id="339">
    <w:p w:rsidR="005919ED" w:rsidRPr="00F26484" w:rsidP="005919ED" w14:paraId="22D1E80A" w14:textId="77777777">
      <w:pPr>
        <w:pStyle w:val="FootnoteText"/>
      </w:pPr>
      <w:r w:rsidRPr="004539A7">
        <w:rPr>
          <w:rStyle w:val="FootnoteReference"/>
        </w:rPr>
        <w:footnoteRef/>
      </w:r>
      <w:r w:rsidRPr="004539A7">
        <w:t xml:space="preserve"> </w:t>
      </w:r>
      <w:r>
        <w:rPr>
          <w:i/>
          <w:iCs/>
        </w:rPr>
        <w:t xml:space="preserve">See </w:t>
      </w:r>
      <w:r>
        <w:rPr>
          <w:i/>
          <w:iCs/>
        </w:rPr>
        <w:t xml:space="preserve">supra </w:t>
      </w:r>
      <w:r>
        <w:t>Section III</w:t>
      </w:r>
      <w:r>
        <w:t>.B.</w:t>
      </w:r>
    </w:p>
  </w:footnote>
  <w:footnote w:id="340">
    <w:p w:rsidR="005919ED" w:rsidRPr="004539A7" w:rsidP="005919ED" w14:paraId="69BF976E"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rPr>
          <w:i/>
          <w:iCs/>
        </w:rPr>
        <w:t xml:space="preserve"> </w:t>
      </w:r>
      <w:r w:rsidRPr="004539A7">
        <w:t>Section III</w:t>
      </w:r>
      <w:r w:rsidRPr="004539A7">
        <w:t>.B.1.</w:t>
      </w:r>
    </w:p>
  </w:footnote>
  <w:footnote w:id="341">
    <w:p w:rsidR="005919ED" w:rsidRPr="004539A7" w:rsidP="005919ED" w14:paraId="762141F5" w14:textId="77777777">
      <w:pPr>
        <w:pStyle w:val="FootnoteText"/>
      </w:pPr>
      <w:r w:rsidRPr="004539A7">
        <w:rPr>
          <w:rStyle w:val="FootnoteReference"/>
        </w:rPr>
        <w:footnoteRef/>
      </w:r>
      <w:r w:rsidRPr="004539A7">
        <w:t xml:space="preserve"> </w:t>
      </w:r>
      <w:r>
        <w:rPr>
          <w:i/>
          <w:iCs/>
        </w:rPr>
        <w:t>Id</w:t>
      </w:r>
      <w:r w:rsidRPr="004539A7">
        <w:t>.</w:t>
      </w:r>
    </w:p>
  </w:footnote>
  <w:footnote w:id="342">
    <w:p w:rsidR="005919ED" w:rsidRPr="004539A7" w:rsidP="005919ED" w14:paraId="74EC3C87" w14:textId="77777777">
      <w:pPr>
        <w:pStyle w:val="FootnoteText"/>
      </w:pPr>
      <w:r w:rsidRPr="004539A7">
        <w:rPr>
          <w:rStyle w:val="FootnoteReference"/>
        </w:rPr>
        <w:footnoteRef/>
      </w:r>
      <w:r w:rsidRPr="004539A7">
        <w:t xml:space="preserve"> </w:t>
      </w:r>
      <w:r>
        <w:rPr>
          <w:i/>
          <w:iCs/>
        </w:rPr>
        <w:t>Id</w:t>
      </w:r>
      <w:r w:rsidRPr="004539A7">
        <w:t>.</w:t>
      </w:r>
    </w:p>
  </w:footnote>
  <w:footnote w:id="343">
    <w:p w:rsidR="005919ED" w:rsidRPr="004539A7" w:rsidP="005919ED" w14:paraId="25DAEFDF"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rPr>
          <w:i/>
          <w:iCs/>
        </w:rPr>
        <w:t xml:space="preserve"> </w:t>
      </w:r>
      <w:r w:rsidRPr="004539A7">
        <w:t>Section III</w:t>
      </w:r>
      <w:r w:rsidRPr="004539A7">
        <w:t>.B.2.</w:t>
      </w:r>
    </w:p>
  </w:footnote>
  <w:footnote w:id="344">
    <w:p w:rsidR="005919ED" w:rsidRPr="004539A7" w:rsidP="005919ED" w14:paraId="5B30F5FB"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rPr>
          <w:i/>
          <w:iCs/>
        </w:rPr>
        <w:t xml:space="preserve"> </w:t>
      </w:r>
      <w:r w:rsidRPr="004539A7">
        <w:t>Section III</w:t>
      </w:r>
      <w:r w:rsidRPr="004539A7">
        <w:t>.B.3.</w:t>
      </w:r>
    </w:p>
  </w:footnote>
  <w:footnote w:id="345">
    <w:p w:rsidR="005919ED" w:rsidRPr="004539A7" w:rsidP="005919ED" w14:paraId="00599254" w14:textId="77777777">
      <w:pPr>
        <w:pStyle w:val="FootnoteText"/>
      </w:pPr>
      <w:r w:rsidRPr="004539A7">
        <w:rPr>
          <w:rStyle w:val="FootnoteReference"/>
        </w:rPr>
        <w:footnoteRef/>
      </w:r>
      <w:r w:rsidRPr="004539A7">
        <w:t xml:space="preserve"> </w:t>
      </w:r>
      <w:r>
        <w:rPr>
          <w:i/>
          <w:iCs/>
        </w:rPr>
        <w:t>Id.</w:t>
      </w:r>
    </w:p>
  </w:footnote>
  <w:footnote w:id="346">
    <w:p w:rsidR="005919ED" w:rsidRPr="004539A7" w:rsidP="005919ED" w14:paraId="074F4276"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.B.4.</w:t>
      </w:r>
    </w:p>
  </w:footnote>
  <w:footnote w:id="347">
    <w:p w:rsidR="005919ED" w:rsidRPr="004539A7" w:rsidP="005919ED" w14:paraId="06B56736" w14:textId="77777777">
      <w:pPr>
        <w:pStyle w:val="FootnoteText"/>
      </w:pPr>
      <w:r w:rsidRPr="004539A7">
        <w:rPr>
          <w:rStyle w:val="FootnoteReference"/>
        </w:rPr>
        <w:footnoteRef/>
      </w:r>
      <w:r w:rsidRPr="004539A7">
        <w:t xml:space="preserve"> </w:t>
      </w:r>
      <w:r>
        <w:rPr>
          <w:i/>
          <w:iCs/>
        </w:rPr>
        <w:t>Id</w:t>
      </w:r>
      <w:r w:rsidRPr="004539A7">
        <w:t>.</w:t>
      </w:r>
    </w:p>
  </w:footnote>
  <w:footnote w:id="348">
    <w:p w:rsidR="005919ED" w:rsidRPr="004539A7" w:rsidP="005919ED" w14:paraId="78454943" w14:textId="77777777">
      <w:pPr>
        <w:pStyle w:val="FootnoteText"/>
      </w:pPr>
      <w:r w:rsidRPr="004539A7">
        <w:rPr>
          <w:rStyle w:val="FootnoteReference"/>
        </w:rPr>
        <w:footnoteRef/>
      </w:r>
      <w:r w:rsidRPr="004539A7">
        <w:t xml:space="preserve"> </w:t>
      </w:r>
      <w:r>
        <w:rPr>
          <w:i/>
          <w:iCs/>
        </w:rPr>
        <w:t>Id</w:t>
      </w:r>
      <w:r w:rsidRPr="004539A7">
        <w:t>.</w:t>
      </w:r>
    </w:p>
  </w:footnote>
  <w:footnote w:id="349">
    <w:p w:rsidR="005919ED" w:rsidRPr="004539A7" w:rsidP="005919ED" w14:paraId="15188B4D" w14:textId="77777777">
      <w:pPr>
        <w:pStyle w:val="FootnoteText"/>
      </w:pPr>
      <w:r w:rsidRPr="004539A7">
        <w:rPr>
          <w:rStyle w:val="FootnoteReference"/>
        </w:rPr>
        <w:footnoteRef/>
      </w:r>
      <w:r w:rsidRPr="004539A7">
        <w:t xml:space="preserve"> </w:t>
      </w:r>
      <w:r>
        <w:rPr>
          <w:i/>
          <w:iCs/>
        </w:rPr>
        <w:t>Id</w:t>
      </w:r>
      <w:r w:rsidRPr="004539A7">
        <w:t>.</w:t>
      </w:r>
    </w:p>
  </w:footnote>
  <w:footnote w:id="350">
    <w:p w:rsidR="005919ED" w:rsidRPr="004539A7" w:rsidP="005919ED" w14:paraId="69A4D493" w14:textId="77777777">
      <w:pPr>
        <w:pStyle w:val="FootnoteText"/>
      </w:pPr>
      <w:r w:rsidRPr="004539A7">
        <w:rPr>
          <w:rStyle w:val="FootnoteReference"/>
        </w:rPr>
        <w:footnoteRef/>
      </w:r>
      <w:r w:rsidRPr="004539A7">
        <w:t xml:space="preserve"> </w:t>
      </w:r>
      <w:r>
        <w:rPr>
          <w:i/>
          <w:iCs/>
        </w:rPr>
        <w:t>Id</w:t>
      </w:r>
      <w:r w:rsidRPr="004539A7">
        <w:t>.</w:t>
      </w:r>
    </w:p>
  </w:footnote>
  <w:footnote w:id="351">
    <w:p w:rsidR="005919ED" w:rsidRPr="004539A7" w:rsidP="005919ED" w14:paraId="737BEFCE"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.A.3.b.</w:t>
      </w:r>
    </w:p>
  </w:footnote>
  <w:footnote w:id="352">
    <w:p w:rsidR="005919ED" w:rsidRPr="004539A7" w:rsidP="005919ED" w14:paraId="74AB9AF5"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.A.2.d.</w:t>
      </w:r>
    </w:p>
  </w:footnote>
  <w:footnote w:id="353">
    <w:p w:rsidR="005919ED" w:rsidRPr="004539A7" w:rsidP="005919ED" w14:paraId="7664A335"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.B.5.</w:t>
      </w:r>
    </w:p>
  </w:footnote>
  <w:footnote w:id="354">
    <w:p w:rsidR="005919ED" w:rsidRPr="004539A7" w:rsidP="005919ED" w14:paraId="0DD6325A"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.B.6.</w:t>
      </w:r>
    </w:p>
  </w:footnote>
  <w:footnote w:id="355">
    <w:p w:rsidR="005919ED" w:rsidRPr="004539A7" w:rsidP="005919ED" w14:paraId="6D56512D"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.C.1.</w:t>
      </w:r>
    </w:p>
  </w:footnote>
  <w:footnote w:id="356">
    <w:p w:rsidR="005919ED" w:rsidRPr="004539A7" w:rsidP="005919ED" w14:paraId="23752B2D"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.C.2.</w:t>
      </w:r>
    </w:p>
  </w:footnote>
  <w:footnote w:id="357">
    <w:p w:rsidR="005919ED" w:rsidRPr="004539A7" w:rsidP="005919ED" w14:paraId="610632B0" w14:textId="77777777">
      <w:pPr>
        <w:pStyle w:val="FootnoteText"/>
      </w:pPr>
      <w:r w:rsidRPr="00CC45BA">
        <w:rPr>
          <w:rStyle w:val="FootnoteReference"/>
        </w:rPr>
        <w:footnoteRef/>
      </w:r>
      <w:r w:rsidRPr="004539A7">
        <w:t xml:space="preserve"> 5 U.S.C. § 603(b)(3).  </w:t>
      </w:r>
    </w:p>
  </w:footnote>
  <w:footnote w:id="358">
    <w:p w:rsidR="005919ED" w:rsidRPr="004539A7" w:rsidP="005919ED" w14:paraId="45D385DE" w14:textId="77777777">
      <w:pPr>
        <w:pStyle w:val="FootnoteText"/>
      </w:pPr>
      <w:r w:rsidRPr="00CC45BA">
        <w:rPr>
          <w:rStyle w:val="FootnoteReference"/>
        </w:rPr>
        <w:footnoteRef/>
      </w:r>
      <w:r w:rsidRPr="004539A7">
        <w:t xml:space="preserve"> </w:t>
      </w:r>
      <w:r>
        <w:rPr>
          <w:iCs/>
        </w:rPr>
        <w:t>5 U.S.C</w:t>
      </w:r>
      <w:r w:rsidRPr="004539A7">
        <w:t xml:space="preserve">. § 601(6).  </w:t>
      </w:r>
    </w:p>
  </w:footnote>
  <w:footnote w:id="359">
    <w:p w:rsidR="005919ED" w:rsidRPr="004539A7" w:rsidP="005919ED" w14:paraId="5EC3801F" w14:textId="77777777">
      <w:pPr>
        <w:pStyle w:val="FootnoteText"/>
      </w:pPr>
      <w:r w:rsidRPr="004539A7">
        <w:rPr>
          <w:rStyle w:val="FootnoteReference"/>
        </w:rPr>
        <w:footnoteRef/>
      </w:r>
      <w:r w:rsidRPr="004539A7">
        <w:t xml:space="preserve"> </w:t>
      </w:r>
      <w:r>
        <w:t>5 U.S.C</w:t>
      </w:r>
      <w:r w:rsidRPr="004539A7">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360">
    <w:p w:rsidR="005919ED" w:rsidRPr="004539A7" w:rsidP="005919ED" w14:paraId="0D170360" w14:textId="77777777">
      <w:pPr>
        <w:pStyle w:val="FootnoteText"/>
      </w:pPr>
      <w:r w:rsidRPr="004539A7">
        <w:rPr>
          <w:rStyle w:val="FootnoteReference"/>
        </w:rPr>
        <w:footnoteRef/>
      </w:r>
      <w:r w:rsidRPr="004539A7">
        <w:t xml:space="preserve"> 15 U.S.C. § 632.</w:t>
      </w:r>
    </w:p>
  </w:footnote>
  <w:footnote w:id="361">
    <w:p w:rsidR="005919ED" w:rsidRPr="004539A7" w:rsidP="005919ED" w14:paraId="46E932BF" w14:textId="77777777">
      <w:pPr>
        <w:pStyle w:val="FootnoteText"/>
      </w:pPr>
      <w:r w:rsidRPr="00CC45BA">
        <w:rPr>
          <w:rStyle w:val="FootnoteReference"/>
        </w:rPr>
        <w:footnoteRef/>
      </w:r>
      <w:r w:rsidRPr="004539A7">
        <w:t xml:space="preserve"> 13 CFR § 121.903.</w:t>
      </w:r>
    </w:p>
  </w:footnote>
  <w:footnote w:id="362">
    <w:p w:rsidR="005919ED" w:rsidRPr="004539A7" w:rsidP="005919ED" w14:paraId="7B4C9E0D" w14:textId="77777777">
      <w:pPr>
        <w:pStyle w:val="FootnoteText"/>
      </w:pPr>
      <w:r w:rsidRPr="004539A7">
        <w:rPr>
          <w:rStyle w:val="FootnoteReference"/>
          <w:rFonts w:eastAsia="Calibri"/>
        </w:rPr>
        <w:footnoteRef/>
      </w:r>
      <w:r w:rsidRPr="004539A7">
        <w:t xml:space="preserve"> 5 U.S.C. § 601(3)-(6).</w:t>
      </w:r>
    </w:p>
  </w:footnote>
  <w:footnote w:id="363">
    <w:p w:rsidR="005919ED" w:rsidRPr="004539A7" w:rsidP="005919ED" w14:paraId="455862AA" w14:textId="77777777">
      <w:pPr>
        <w:pStyle w:val="FootnoteText"/>
      </w:pPr>
      <w:r w:rsidRPr="004539A7">
        <w:rPr>
          <w:rStyle w:val="FootnoteReference"/>
          <w:rFonts w:eastAsia="Calibri"/>
        </w:rPr>
        <w:footnoteRef/>
      </w:r>
      <w:r w:rsidRPr="004539A7">
        <w:t xml:space="preserve"> </w:t>
      </w:r>
      <w:r w:rsidRPr="004539A7">
        <w:rPr>
          <w:i/>
          <w:iCs/>
        </w:rPr>
        <w:t>See</w:t>
      </w:r>
      <w:r w:rsidRPr="004539A7">
        <w:t xml:space="preserve"> SBA, Office of Advocacy, </w:t>
      </w:r>
      <w:r w:rsidRPr="004539A7">
        <w:rPr>
          <w:i/>
          <w:iCs/>
        </w:rPr>
        <w:t xml:space="preserve">Frequently Asked Questions About Small Business </w:t>
      </w:r>
      <w:r w:rsidRPr="004539A7">
        <w:t xml:space="preserve">(July 23, 2024), </w:t>
      </w:r>
      <w:hyperlink r:id="rId25" w:history="1">
        <w:r w:rsidRPr="004539A7">
          <w:rPr>
            <w:rStyle w:val="Hyperlink"/>
          </w:rPr>
          <w:t>https://advocacy.sba.gov/wp-content/uploads/2024/12/Frequently-Asked-Questions-About-Small-Business_2024-508.pdf</w:t>
        </w:r>
      </w:hyperlink>
      <w:r w:rsidRPr="004539A7">
        <w:t>.</w:t>
      </w:r>
    </w:p>
  </w:footnote>
  <w:footnote w:id="364">
    <w:p w:rsidR="005919ED" w:rsidRPr="004539A7" w:rsidP="005919ED" w14:paraId="6ACDFD08" w14:textId="77777777">
      <w:pPr>
        <w:pStyle w:val="FootnoteText"/>
      </w:pPr>
      <w:r w:rsidRPr="00CC45BA">
        <w:rPr>
          <w:rStyle w:val="FootnoteReference"/>
        </w:rPr>
        <w:footnoteRef/>
      </w:r>
      <w:r w:rsidRPr="004539A7">
        <w:t xml:space="preserve"> </w:t>
      </w:r>
      <w:r w:rsidRPr="004539A7">
        <w:rPr>
          <w:i/>
          <w:iCs/>
        </w:rPr>
        <w:t>Id</w:t>
      </w:r>
      <w:r w:rsidRPr="004539A7">
        <w:t>.</w:t>
      </w:r>
    </w:p>
  </w:footnote>
  <w:footnote w:id="365">
    <w:p w:rsidR="005919ED" w:rsidRPr="004539A7" w:rsidP="005919ED" w14:paraId="7B70FD9C" w14:textId="77777777">
      <w:pPr>
        <w:pStyle w:val="FootnoteText"/>
      </w:pPr>
      <w:r w:rsidRPr="004539A7">
        <w:rPr>
          <w:rStyle w:val="FootnoteReference"/>
          <w:rFonts w:eastAsia="Calibri"/>
        </w:rPr>
        <w:footnoteRef/>
      </w:r>
      <w:r w:rsidRPr="004539A7">
        <w:t xml:space="preserve"> </w:t>
      </w:r>
      <w:r w:rsidRPr="004539A7">
        <w:rPr>
          <w:spacing w:val="-2"/>
        </w:rPr>
        <w:t>5 U.S.C.</w:t>
      </w:r>
      <w:r w:rsidRPr="004539A7">
        <w:t xml:space="preserve"> § 601(4).</w:t>
      </w:r>
    </w:p>
  </w:footnote>
  <w:footnote w:id="366">
    <w:p w:rsidR="005919ED" w:rsidRPr="004539A7" w:rsidP="005919ED" w14:paraId="38BE447B" w14:textId="77777777">
      <w:pPr>
        <w:pStyle w:val="FootnoteText"/>
      </w:pPr>
      <w:r w:rsidRPr="00CC45BA">
        <w:rPr>
          <w:rStyle w:val="FootnoteReference"/>
        </w:rPr>
        <w:footnoteRef/>
      </w:r>
      <w:r w:rsidRPr="004539A7">
        <w:t xml:space="preserve"> </w:t>
      </w:r>
      <w:r w:rsidRPr="004539A7">
        <w:rPr>
          <w:i/>
          <w:iCs/>
        </w:rPr>
        <w:t xml:space="preserve">See </w:t>
      </w:r>
      <w:r w:rsidRPr="004539A7">
        <w:t xml:space="preserve">SBA, Office of Advocacy, </w:t>
      </w:r>
      <w:r w:rsidRPr="004539A7">
        <w:rPr>
          <w:i/>
          <w:iCs/>
        </w:rPr>
        <w:t>Small Business Facts, Spotlight on Nonprofits</w:t>
      </w:r>
      <w:r w:rsidRPr="004539A7">
        <w:t xml:space="preserve"> (July 2019), </w:t>
      </w:r>
      <w:hyperlink r:id="rId26" w:history="1">
        <w:r w:rsidRPr="004539A7">
          <w:rPr>
            <w:rStyle w:val="Hyperlink"/>
          </w:rPr>
          <w:t>https://advocacy.sba.gov/2019/07/25/small-business-facts-spotlight-on-nonprofits/</w:t>
        </w:r>
      </w:hyperlink>
      <w:r w:rsidRPr="004539A7">
        <w:t xml:space="preserve">.  </w:t>
      </w:r>
    </w:p>
  </w:footnote>
  <w:footnote w:id="367">
    <w:p w:rsidR="005919ED" w:rsidRPr="004539A7" w:rsidP="005919ED" w14:paraId="7655F16E" w14:textId="77777777">
      <w:pPr>
        <w:pStyle w:val="FootnoteText"/>
      </w:pPr>
      <w:r w:rsidRPr="004539A7">
        <w:rPr>
          <w:rStyle w:val="FootnoteReference"/>
          <w:rFonts w:eastAsia="Calibri"/>
          <w:spacing w:val="-2"/>
        </w:rPr>
        <w:footnoteRef/>
      </w:r>
      <w:r w:rsidRPr="004539A7">
        <w:t xml:space="preserve"> 5 U.S.C. § 601(5).</w:t>
      </w:r>
    </w:p>
  </w:footnote>
  <w:footnote w:id="368">
    <w:p w:rsidR="005919ED" w:rsidRPr="004539A7" w:rsidP="005919ED" w14:paraId="5A1C057E" w14:textId="77777777">
      <w:pPr>
        <w:pStyle w:val="FootnoteText"/>
      </w:pPr>
      <w:r w:rsidRPr="00CC45BA">
        <w:rPr>
          <w:rStyle w:val="FootnoteReference"/>
        </w:rPr>
        <w:footnoteRef/>
      </w:r>
      <w:r w:rsidRPr="004539A7">
        <w:t xml:space="preserve"> </w:t>
      </w:r>
      <w:r w:rsidRPr="004539A7">
        <w:rPr>
          <w:i/>
        </w:rPr>
        <w:t>See</w:t>
      </w:r>
      <w:r w:rsidRPr="004539A7">
        <w:t xml:space="preserve"> U.S. Census Bureau, 2022 Census of Governments –Organization, </w:t>
      </w:r>
      <w:hyperlink r:id="rId27" w:history="1">
        <w:r w:rsidRPr="004539A7">
          <w:rPr>
            <w:rStyle w:val="Hyperlink"/>
          </w:rPr>
          <w:t>https://www.census.gov/data/tables/2022/econ/gus/2022-governments.html</w:t>
        </w:r>
      </w:hyperlink>
      <w:r w:rsidRPr="004539A7">
        <w:t xml:space="preserve">, tables 1-11.  </w:t>
      </w:r>
    </w:p>
  </w:footnote>
  <w:footnote w:id="369">
    <w:p w:rsidR="005919ED" w:rsidRPr="004539A7" w:rsidP="005919ED" w14:paraId="000B886C" w14:textId="77777777">
      <w:pPr>
        <w:pStyle w:val="FootnoteText"/>
      </w:pPr>
      <w:r w:rsidRPr="00CC45BA">
        <w:rPr>
          <w:rStyle w:val="FootnoteReference"/>
        </w:rPr>
        <w:footnoteRef/>
      </w:r>
      <w:r w:rsidRPr="004539A7">
        <w:t xml:space="preserve"> The North American Industry Classification System (NAICS) is the standard used by Federal statistical agencies in classifying business establishments for the purpose of collecting, analyzing, and publishing statistical data related to the U.S. business economy.  </w:t>
      </w:r>
      <w:r w:rsidRPr="004539A7">
        <w:rPr>
          <w:i/>
          <w:iCs/>
        </w:rPr>
        <w:t xml:space="preserve">See </w:t>
      </w:r>
      <w:hyperlink r:id="rId28" w:history="1">
        <w:r w:rsidRPr="004539A7">
          <w:rPr>
            <w:rStyle w:val="Hyperlink"/>
          </w:rPr>
          <w:t>www.census.gov/NAICS</w:t>
        </w:r>
      </w:hyperlink>
      <w:r w:rsidRPr="004539A7">
        <w:t xml:space="preserve"> for further details regarding the NAICS codes identified in this chart.</w:t>
      </w:r>
    </w:p>
  </w:footnote>
  <w:footnote w:id="370">
    <w:p w:rsidR="005919ED" w:rsidRPr="004539A7" w:rsidP="005919ED" w14:paraId="557D3BF3" w14:textId="77777777">
      <w:pPr>
        <w:pStyle w:val="FootnoteText"/>
      </w:pPr>
      <w:r w:rsidRPr="00CC45BA">
        <w:rPr>
          <w:rStyle w:val="FootnoteReference"/>
        </w:rPr>
        <w:footnoteRef/>
      </w:r>
      <w:r w:rsidRPr="004539A7">
        <w:t xml:space="preserve"> The size standards in this chart are set forth in 13 CFR § 121.201, by six digit North American Industrial Classification System (NAICS) code.</w:t>
      </w:r>
    </w:p>
  </w:footnote>
  <w:footnote w:id="371">
    <w:p w:rsidR="005919ED" w:rsidRPr="004539A7" w:rsidP="005919ED" w14:paraId="4071B345" w14:textId="77777777">
      <w:pPr>
        <w:pStyle w:val="FootnoteText"/>
        <w:spacing w:before="120"/>
      </w:pPr>
      <w:r w:rsidRPr="00CC45BA">
        <w:rPr>
          <w:rStyle w:val="FootnoteReference"/>
        </w:rPr>
        <w:footnoteRef/>
      </w:r>
      <w:r w:rsidRPr="004539A7">
        <w:t xml:space="preserve"> </w:t>
      </w:r>
      <w:r w:rsidRPr="004539A7">
        <w:rPr>
          <w:i/>
          <w:iCs/>
        </w:rPr>
        <w:t>U.S. Census Bureau</w:t>
      </w:r>
      <w:r w:rsidRPr="004539A7">
        <w:t>, "</w:t>
      </w:r>
      <w:r w:rsidRPr="004539A7">
        <w:rPr>
          <w:i/>
          <w:iCs/>
        </w:rPr>
        <w:t>Selected Sectors: Employment Size of Firms for the U.S.: 2022</w:t>
      </w:r>
      <w:r w:rsidRPr="004539A7">
        <w:t xml:space="preserve">." Economic Census, ECN Core Statistics Economic Census: Establishment and Firm Size Statistics for the U.S., Table EC2200SIZEEMPFIRM, 2025, </w:t>
      </w:r>
      <w:r w:rsidRPr="004539A7">
        <w:rPr>
          <w:i/>
          <w:iCs/>
        </w:rPr>
        <w:t>and</w:t>
      </w:r>
      <w:r w:rsidRPr="004539A7">
        <w:t xml:space="preserve"> “</w:t>
      </w:r>
      <w:r w:rsidRPr="004539A7">
        <w:rPr>
          <w:i/>
          <w:iCs/>
        </w:rPr>
        <w:t>Selected Sectors: Sales, Value of Shipments, or Revenue Size of Firms for the U.S.: 2022</w:t>
      </w:r>
      <w:r w:rsidRPr="004539A7">
        <w:t>." Economic Census, ECN Core Statistics Economic Census: Establishment and Firm Size Statistics for the U.S., Table EC2200SIZEREVFIRM, 2025.</w:t>
      </w:r>
    </w:p>
  </w:footnote>
  <w:footnote w:id="372">
    <w:p w:rsidR="005919ED" w:rsidRPr="004539A7" w:rsidP="005919ED" w14:paraId="64F724F2" w14:textId="77777777">
      <w:pPr>
        <w:pStyle w:val="FootnoteText"/>
        <w:spacing w:before="120"/>
      </w:pPr>
      <w:r w:rsidRPr="00CC45BA">
        <w:rPr>
          <w:rStyle w:val="FootnoteReference"/>
        </w:rPr>
        <w:footnoteRef/>
      </w:r>
      <w:r w:rsidRPr="004539A7">
        <w:t xml:space="preserve"> </w:t>
      </w:r>
      <w:r w:rsidRPr="004539A7">
        <w:rPr>
          <w:i/>
          <w:iCs/>
        </w:rPr>
        <w:t xml:space="preserve">Id. </w:t>
      </w:r>
    </w:p>
  </w:footnote>
  <w:footnote w:id="373">
    <w:p w:rsidR="005919ED" w:rsidRPr="004539A7" w:rsidP="005919ED" w14:paraId="785151AB" w14:textId="77777777">
      <w:pPr>
        <w:pStyle w:val="FootnoteText"/>
        <w:spacing w:before="120"/>
      </w:pPr>
      <w:r w:rsidRPr="004539A7">
        <w:rPr>
          <w:rStyle w:val="FootnoteReference"/>
        </w:rPr>
        <w:footnoteRef/>
      </w:r>
      <w:r w:rsidRPr="004539A7">
        <w:t xml:space="preserve"> Affected Entities in this industry include Carrier </w:t>
      </w:r>
      <w:r w:rsidRPr="004539A7">
        <w:t>RespOrgs</w:t>
      </w:r>
      <w:r w:rsidRPr="004539A7">
        <w:t xml:space="preserve">, Competitive Access Providers, Cable System Operators (Telecom Act Standard), Competitive Local Exchange Carriers (CLECs), Competitive Local Service Providers, Direct Broadcast Satellite (DBS), Facilities-Based Carriers (International Telecom Carriers), Incumbent Local Exchange Carriers (Incumbent LECs), Interexchange Carriers (IXCs), Local Exchange Carriers (LECs), Operator Service Providers (OSPs). </w:t>
      </w:r>
    </w:p>
  </w:footnote>
  <w:footnote w:id="374">
    <w:p w:rsidR="005919ED" w:rsidRPr="004539A7" w:rsidP="005919ED" w14:paraId="62B713B1" w14:textId="77777777">
      <w:pPr>
        <w:pStyle w:val="FootnoteText"/>
        <w:spacing w:before="120"/>
      </w:pPr>
      <w:r w:rsidRPr="004539A7">
        <w:rPr>
          <w:rStyle w:val="FootnoteReference"/>
        </w:rPr>
        <w:footnoteRef/>
      </w:r>
      <w:r w:rsidRPr="004539A7">
        <w:t xml:space="preserve"> Affected Entities in this industry include Wireless Carriers and Service Providers, Wireless Communications Services, Wireless Telephony. </w:t>
      </w:r>
    </w:p>
  </w:footnote>
  <w:footnote w:id="375">
    <w:p w:rsidR="005919ED" w:rsidRPr="004539A7" w:rsidP="005919ED" w14:paraId="247B4FD5" w14:textId="77777777">
      <w:pPr>
        <w:pStyle w:val="FootnoteText"/>
        <w:spacing w:before="120"/>
      </w:pPr>
      <w:r w:rsidRPr="004539A7">
        <w:rPr>
          <w:rStyle w:val="FootnoteReference"/>
        </w:rPr>
        <w:footnoteRef/>
      </w:r>
      <w:r w:rsidRPr="004539A7">
        <w:t xml:space="preserve"> Affected Entities in this industry include Carrier </w:t>
      </w:r>
      <w:r w:rsidRPr="004539A7">
        <w:t>RespOrgs</w:t>
      </w:r>
      <w:r w:rsidRPr="004539A7">
        <w:t xml:space="preserve">, IMTS Resale Carriers, Local Resellers, Prepaid Calling Card Providers, Toll Resellers, and Wireless Resellers. </w:t>
      </w:r>
    </w:p>
  </w:footnote>
  <w:footnote w:id="376">
    <w:p w:rsidR="005919ED" w:rsidRPr="004539A7" w:rsidP="005919ED" w14:paraId="29B272C0" w14:textId="77777777">
      <w:pPr>
        <w:pStyle w:val="FootnoteText"/>
        <w:spacing w:before="120"/>
      </w:pPr>
      <w:r w:rsidRPr="004539A7">
        <w:rPr>
          <w:rStyle w:val="FootnoteReference"/>
        </w:rPr>
        <w:footnoteRef/>
      </w:r>
      <w:r w:rsidRPr="004539A7">
        <w:t xml:space="preserve"> Affected Entities in this industry include Fixed Satellite Small Transmit/Receive Earth Stations, Fixed Satellite Very Small Aperture Terminal (VSAT) Systems, Mobile Satellite Earth Stations. </w:t>
      </w:r>
    </w:p>
  </w:footnote>
  <w:footnote w:id="377">
    <w:p w:rsidR="005919ED" w:rsidRPr="004539A7" w:rsidP="005919ED" w14:paraId="3DE8F775" w14:textId="77777777">
      <w:pPr>
        <w:pStyle w:val="FootnoteText"/>
        <w:spacing w:before="120"/>
      </w:pPr>
      <w:r w:rsidRPr="004539A7">
        <w:rPr>
          <w:rStyle w:val="FootnoteReference"/>
        </w:rPr>
        <w:footnoteRef/>
      </w:r>
      <w:r w:rsidRPr="004539A7">
        <w:t xml:space="preserve"> Affected Entities in this industry include Non-Carrier </w:t>
      </w:r>
      <w:r w:rsidRPr="004539A7">
        <w:t>RespOrgs</w:t>
      </w:r>
      <w:r w:rsidRPr="004539A7">
        <w:t xml:space="preserve"> and Telecommunications Relay Service (TRS) Providers. </w:t>
      </w:r>
    </w:p>
  </w:footnote>
  <w:footnote w:id="378">
    <w:p w:rsidR="005919ED" w:rsidRPr="004539A7" w:rsidP="005919ED" w14:paraId="2D6A16D3" w14:textId="77777777">
      <w:pPr>
        <w:pStyle w:val="FootnoteText"/>
      </w:pPr>
      <w:r w:rsidRPr="00CC45BA">
        <w:rPr>
          <w:rStyle w:val="FootnoteReference"/>
        </w:rPr>
        <w:footnoteRef/>
      </w:r>
      <w:r w:rsidRPr="004539A7">
        <w:t xml:space="preserve"> </w:t>
      </w:r>
      <w:r w:rsidRPr="004539A7">
        <w:rPr>
          <w:iCs/>
        </w:rPr>
        <w:t>Federal-State Joint Board on Universal Service, 2025 Universal Service Monitoring Report at 25, Table 1.12 (2026),</w:t>
      </w:r>
      <w:r w:rsidRPr="004539A7">
        <w:t xml:space="preserve"> </w:t>
      </w:r>
      <w:hyperlink r:id="rId29" w:history="1">
        <w:r w:rsidRPr="004539A7">
          <w:rPr>
            <w:rStyle w:val="Hyperlink"/>
          </w:rPr>
          <w:t>https://docs.fcc.gov/public/attachments/DOC-418505A1.pdf</w:t>
        </w:r>
      </w:hyperlink>
      <w:r w:rsidRPr="004539A7">
        <w:t>.</w:t>
      </w:r>
    </w:p>
  </w:footnote>
  <w:footnote w:id="379">
    <w:p w:rsidR="005919ED" w:rsidRPr="004539A7" w:rsidP="005919ED" w14:paraId="59FA75E4" w14:textId="77777777">
      <w:pPr>
        <w:pStyle w:val="FootnoteText"/>
      </w:pPr>
      <w:r w:rsidRPr="00CC45BA">
        <w:rPr>
          <w:rStyle w:val="FootnoteReference"/>
        </w:rPr>
        <w:footnoteRef/>
      </w:r>
      <w:r w:rsidRPr="004539A7">
        <w:t xml:space="preserve"> Affected Entities in this industry include all reporting local competitive service providers.</w:t>
      </w:r>
    </w:p>
  </w:footnote>
  <w:footnote w:id="380">
    <w:p w:rsidR="005919ED" w:rsidRPr="004539A7" w:rsidP="005919ED" w14:paraId="7889927A" w14:textId="77777777">
      <w:pPr>
        <w:pStyle w:val="FootnoteText"/>
      </w:pPr>
      <w:r w:rsidRPr="00CC45BA">
        <w:rPr>
          <w:rStyle w:val="FootnoteReference"/>
        </w:rPr>
        <w:footnoteRef/>
      </w:r>
      <w:r w:rsidRPr="004539A7">
        <w:t xml:space="preserve"> Affected Entities in this industry include all reporting fixed local service providers (CLECs &amp; ILECs).</w:t>
      </w:r>
    </w:p>
  </w:footnote>
  <w:footnote w:id="381">
    <w:p w:rsidR="005919ED" w:rsidRPr="004539A7" w:rsidP="005919ED" w14:paraId="50C54CAD" w14:textId="77777777">
      <w:pPr>
        <w:pStyle w:val="FootnoteText"/>
        <w:rPr>
          <w:b/>
          <w:bCs/>
        </w:rPr>
      </w:pPr>
      <w:r w:rsidRPr="00CC45BA">
        <w:rPr>
          <w:rStyle w:val="FootnoteReference"/>
        </w:rPr>
        <w:footnoteRef/>
      </w:r>
      <w:r w:rsidRPr="004539A7">
        <w:t xml:space="preserve"> Local Resellers fall into another U.S. Census Bureau industry (Telecommunications Resellers) and therefore data for these providers is not included in this industry.  </w:t>
      </w:r>
    </w:p>
  </w:footnote>
  <w:footnote w:id="382">
    <w:p w:rsidR="005919ED" w:rsidRPr="004539A7" w:rsidP="005919ED" w14:paraId="3C1B7A84" w14:textId="77777777">
      <w:pPr>
        <w:pStyle w:val="FootnoteText"/>
      </w:pPr>
      <w:r w:rsidRPr="00CC45BA">
        <w:rPr>
          <w:rStyle w:val="FootnoteReference"/>
        </w:rPr>
        <w:footnoteRef/>
      </w:r>
      <w:r w:rsidRPr="004539A7">
        <w:t xml:space="preserve"> Affected Entities in this industry include all reporting wireless carriers and service providers.</w:t>
      </w:r>
    </w:p>
  </w:footnote>
  <w:footnote w:id="383">
    <w:p w:rsidR="005919ED" w:rsidRPr="004539A7" w:rsidP="005919ED" w14:paraId="0537E27D" w14:textId="77777777">
      <w:pPr>
        <w:pStyle w:val="FootnoteText"/>
      </w:pPr>
      <w:r w:rsidRPr="004539A7">
        <w:rPr>
          <w:rStyle w:val="FootnoteReference"/>
        </w:rPr>
        <w:footnoteRef/>
      </w:r>
      <w:r w:rsidRPr="004539A7">
        <w:t xml:space="preserve"> Affected Entities in this industry include Cellular/PCS/SMR - Specialized Mobile Radio Licensees and SMR (Dispatch).</w:t>
      </w:r>
    </w:p>
  </w:footnote>
  <w:footnote w:id="384">
    <w:p w:rsidR="005919ED" w:rsidRPr="004539A7" w:rsidP="005919ED" w14:paraId="4BF8824B" w14:textId="77777777">
      <w:pPr>
        <w:pStyle w:val="FootnoteText"/>
      </w:pPr>
      <w:r w:rsidRPr="004539A7">
        <w:rPr>
          <w:rStyle w:val="FootnoteReference"/>
        </w:rPr>
        <w:footnoteRef/>
      </w:r>
      <w:r w:rsidRPr="004539A7">
        <w:t xml:space="preserve"> Pursuant to 47 U.S.C. § 543(m)(2) of the </w:t>
      </w:r>
      <w:r w:rsidRPr="004539A7">
        <w:rPr>
          <w:szCs w:val="22"/>
        </w:rPr>
        <w:t>Communications Act of 1934, as amended, the size standard for a “small cable operator,” is a cable operator that, directly or through an affiliate, serves in the aggregate fewer than 1% of all U.S. subscribers and has no affiliation with entities with gross annual aggregate revenues exceed $250,000,000.</w:t>
      </w:r>
    </w:p>
  </w:footnote>
  <w:footnote w:id="385">
    <w:p w:rsidR="005919ED" w:rsidRPr="004539A7" w:rsidP="005919ED" w14:paraId="17AB4985" w14:textId="77777777">
      <w:pPr>
        <w:pStyle w:val="FootnoteText"/>
      </w:pPr>
      <w:r w:rsidRPr="004539A7">
        <w:rPr>
          <w:rStyle w:val="FootnoteReference"/>
        </w:rPr>
        <w:footnoteRef/>
      </w:r>
      <w:r w:rsidRPr="004539A7">
        <w:t xml:space="preserve"> </w:t>
      </w:r>
      <w:r w:rsidRPr="004539A7">
        <w:rPr>
          <w:i/>
          <w:iCs/>
        </w:rPr>
        <w:t>FCC Announces Updated Subscriber Threshold for the Definition of Small Cable Operator</w:t>
      </w:r>
      <w:r w:rsidRPr="004539A7">
        <w:t>, Public Notice, DA 23-906 (MB 2023) (</w:t>
      </w:r>
      <w:r w:rsidRPr="004539A7">
        <w:rPr>
          <w:i/>
        </w:rPr>
        <w:t>2023 Subscriber Threshold PN</w:t>
      </w:r>
      <w:r w:rsidRPr="004539A7">
        <w:t xml:space="preserve">).  In the Public Notice, the Commission determined that there were approximately 49.8 million cable subscribers in the United States at that time using the most reliable source publicly available. This threshold will remain in effect until the Commission issues a superseding Public Notice.  </w:t>
      </w:r>
      <w:r w:rsidRPr="004539A7">
        <w:rPr>
          <w:i/>
          <w:iCs/>
        </w:rPr>
        <w:t>See</w:t>
      </w:r>
      <w:r w:rsidRPr="004539A7">
        <w:t xml:space="preserve"> </w:t>
      </w:r>
      <w:r w:rsidRPr="004539A7">
        <w:rPr>
          <w:color w:val="000000"/>
        </w:rPr>
        <w:t>47 CFR § 76.901(e)(1).</w:t>
      </w:r>
    </w:p>
  </w:footnote>
  <w:footnote w:id="386">
    <w:p w:rsidR="005919ED" w:rsidRPr="004539A7" w:rsidP="005919ED" w14:paraId="213037BA" w14:textId="77777777">
      <w:pPr>
        <w:pStyle w:val="FootnoteText"/>
      </w:pPr>
      <w:r w:rsidRPr="004539A7">
        <w:rPr>
          <w:rStyle w:val="FootnoteReference"/>
        </w:rPr>
        <w:footnoteRef/>
      </w:r>
      <w:r w:rsidRPr="004539A7">
        <w:t xml:space="preserve"> Based on Commission staff review of S&amp;P Global Market Intelligence</w:t>
      </w:r>
      <w:r w:rsidRPr="004539A7">
        <w:rPr>
          <w:color w:val="000000"/>
        </w:rPr>
        <w:t xml:space="preserve">, S&amp;P Capital IQ Pro, U.S., </w:t>
      </w:r>
      <w:r w:rsidRPr="004539A7">
        <w:rPr>
          <w:i/>
          <w:iCs/>
          <w:color w:val="000000"/>
        </w:rPr>
        <w:t>Broadband &amp; Video Subscribers by Geography</w:t>
      </w:r>
      <w:r w:rsidRPr="004539A7">
        <w:rPr>
          <w:color w:val="000000"/>
        </w:rPr>
        <w:t xml:space="preserve"> </w:t>
      </w:r>
      <w:r w:rsidRPr="004539A7">
        <w:rPr>
          <w:i/>
          <w:iCs/>
          <w:color w:val="000000"/>
        </w:rPr>
        <w:t>Q3-2025(June 2025)</w:t>
      </w:r>
      <w:r w:rsidRPr="004539A7">
        <w:rPr>
          <w:color w:val="000000"/>
        </w:rPr>
        <w:t xml:space="preserve"> data. (last visited Sept. 15, 2025).</w:t>
      </w:r>
    </w:p>
  </w:footnote>
  <w:footnote w:id="387">
    <w:p w:rsidR="005919ED" w:rsidRPr="004539A7" w:rsidP="005919ED" w14:paraId="51D6AE31" w14:textId="77777777">
      <w:pPr>
        <w:pStyle w:val="FootnoteText"/>
        <w:rPr>
          <w:i/>
          <w:iCs/>
        </w:rPr>
      </w:pPr>
      <w:r w:rsidRPr="004539A7">
        <w:rPr>
          <w:rStyle w:val="FootnoteReference"/>
        </w:rPr>
        <w:footnoteRef/>
      </w:r>
      <w:r w:rsidRPr="004539A7">
        <w:t xml:space="preserve"> </w:t>
      </w:r>
      <w:r w:rsidRPr="004539A7">
        <w:rPr>
          <w:i/>
          <w:iCs/>
        </w:rPr>
        <w:t>Id.</w:t>
      </w:r>
    </w:p>
  </w:footnote>
  <w:footnote w:id="388">
    <w:p w:rsidR="005919ED" w:rsidRPr="004539A7" w:rsidP="005919ED" w14:paraId="33E55C8D" w14:textId="77777777">
      <w:pPr>
        <w:pStyle w:val="FootnoteText"/>
      </w:pPr>
      <w:r w:rsidRPr="004539A7">
        <w:rPr>
          <w:rStyle w:val="FootnoteReference"/>
        </w:rPr>
        <w:footnoteRef/>
      </w:r>
      <w:r w:rsidRPr="004539A7">
        <w:t xml:space="preserve"> </w:t>
      </w:r>
      <w:r w:rsidRPr="004539A7">
        <w:rPr>
          <w:iCs/>
        </w:rPr>
        <w:t>5 U.S.C.</w:t>
      </w:r>
      <w:r w:rsidRPr="004539A7">
        <w:rPr>
          <w:i/>
        </w:rPr>
        <w:t xml:space="preserve"> </w:t>
      </w:r>
      <w:r w:rsidRPr="004539A7">
        <w:t xml:space="preserve">§ 603(b)(4). </w:t>
      </w:r>
    </w:p>
  </w:footnote>
  <w:footnote w:id="389">
    <w:p w:rsidR="005919ED" w:rsidRPr="004539A7" w:rsidP="005919ED" w14:paraId="011C6365"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rPr>
          <w:i/>
          <w:iCs/>
        </w:rPr>
        <w:t xml:space="preserve"> </w:t>
      </w:r>
      <w:r w:rsidRPr="004539A7">
        <w:t>Section III</w:t>
      </w:r>
      <w:r w:rsidRPr="004539A7">
        <w:t>.A.1.</w:t>
      </w:r>
    </w:p>
  </w:footnote>
  <w:footnote w:id="390">
    <w:p w:rsidR="005919ED" w:rsidRPr="004539A7" w:rsidP="005919ED" w14:paraId="391DC8D2"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.A.2.a.</w:t>
      </w:r>
    </w:p>
  </w:footnote>
  <w:footnote w:id="391">
    <w:p w:rsidR="005919ED" w:rsidRPr="004539A7" w:rsidP="005919ED" w14:paraId="46AE03CB"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rPr>
          <w:i/>
          <w:iCs/>
        </w:rPr>
        <w:t xml:space="preserve"> </w:t>
      </w:r>
      <w:r w:rsidRPr="004539A7">
        <w:t>Section III</w:t>
      </w:r>
      <w:r w:rsidRPr="004539A7">
        <w:t>.A.2.a-b.</w:t>
      </w:r>
    </w:p>
  </w:footnote>
  <w:footnote w:id="392">
    <w:p w:rsidR="005919ED" w:rsidRPr="004539A7" w:rsidP="005919ED" w14:paraId="1CD47072"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.B.5.</w:t>
      </w:r>
    </w:p>
  </w:footnote>
  <w:footnote w:id="393">
    <w:p w:rsidR="005919ED" w:rsidRPr="004539A7" w:rsidP="005919ED" w14:paraId="1CEA75E5"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rPr>
          <w:i/>
          <w:iCs/>
        </w:rPr>
        <w:t xml:space="preserve"> </w:t>
      </w:r>
      <w:r w:rsidRPr="004539A7">
        <w:t>Section III</w:t>
      </w:r>
      <w:r w:rsidRPr="004539A7">
        <w:t>.A.2.d.</w:t>
      </w:r>
    </w:p>
  </w:footnote>
  <w:footnote w:id="394">
    <w:p w:rsidR="005919ED" w:rsidRPr="004539A7" w:rsidP="005919ED" w14:paraId="69B999AC"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.B.4.</w:t>
      </w:r>
    </w:p>
  </w:footnote>
  <w:footnote w:id="395">
    <w:p w:rsidR="005919ED" w:rsidRPr="004539A7" w:rsidP="005919ED" w14:paraId="10494044"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.B.2.</w:t>
      </w:r>
    </w:p>
  </w:footnote>
  <w:footnote w:id="396">
    <w:p w:rsidR="005919ED" w:rsidRPr="004539A7" w:rsidP="005919ED" w14:paraId="65332FF1"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.A.2.</w:t>
      </w:r>
    </w:p>
  </w:footnote>
  <w:footnote w:id="397">
    <w:p w:rsidR="005919ED" w:rsidRPr="004539A7" w:rsidP="005919ED" w14:paraId="77C31613" w14:textId="77777777">
      <w:pPr>
        <w:pStyle w:val="FootnoteText"/>
      </w:pPr>
      <w:r w:rsidRPr="004539A7">
        <w:rPr>
          <w:rStyle w:val="FootnoteReference"/>
        </w:rPr>
        <w:footnoteRef/>
      </w:r>
      <w:r w:rsidRPr="004539A7">
        <w:t xml:space="preserve"> </w:t>
      </w:r>
      <w:bookmarkStart w:id="260" w:name="_Hlk206507688"/>
      <w:r w:rsidRPr="004539A7">
        <w:rPr>
          <w:iCs/>
        </w:rPr>
        <w:t>5 U.S.C</w:t>
      </w:r>
      <w:r w:rsidRPr="004539A7">
        <w:rPr>
          <w:i/>
        </w:rPr>
        <w:t xml:space="preserve">. </w:t>
      </w:r>
      <w:r w:rsidRPr="004539A7">
        <w:t>§ 603(c).</w:t>
      </w:r>
      <w:bookmarkEnd w:id="260"/>
    </w:p>
  </w:footnote>
  <w:footnote w:id="398">
    <w:p w:rsidR="005919ED" w:rsidRPr="004539A7" w:rsidP="005919ED" w14:paraId="1232DBD4" w14:textId="77777777">
      <w:pPr>
        <w:pStyle w:val="FootnoteText"/>
      </w:pPr>
      <w:r w:rsidRPr="004539A7">
        <w:rPr>
          <w:rStyle w:val="FootnoteReference"/>
        </w:rPr>
        <w:footnoteRef/>
      </w:r>
      <w:r w:rsidRPr="004539A7">
        <w:t xml:space="preserve"> </w:t>
      </w:r>
      <w:r>
        <w:t>5 U.S.C</w:t>
      </w:r>
      <w:r w:rsidRPr="00B66597">
        <w:t>.</w:t>
      </w:r>
      <w:r w:rsidRPr="004539A7">
        <w:t xml:space="preserve"> § 603(c)(1)-(4).</w:t>
      </w:r>
    </w:p>
  </w:footnote>
  <w:footnote w:id="399">
    <w:p w:rsidR="005919ED" w:rsidRPr="004539A7" w:rsidP="005919ED" w14:paraId="4428107C"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.A.1.</w:t>
      </w:r>
    </w:p>
  </w:footnote>
  <w:footnote w:id="400">
    <w:p w:rsidR="005919ED" w:rsidRPr="004539A7" w:rsidP="005919ED" w14:paraId="500D2EED"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.B.4.</w:t>
      </w:r>
    </w:p>
  </w:footnote>
  <w:footnote w:id="401">
    <w:p w:rsidR="005919ED" w:rsidRPr="008B66DB" w:rsidP="005919ED" w14:paraId="24CE17AF" w14:textId="77777777">
      <w:pPr>
        <w:pStyle w:val="FootnoteText"/>
      </w:pPr>
      <w:r w:rsidRPr="004539A7">
        <w:rPr>
          <w:rStyle w:val="FootnoteReference"/>
        </w:rPr>
        <w:footnoteRef/>
      </w:r>
      <w:r w:rsidRPr="004539A7">
        <w:t xml:space="preserve"> </w:t>
      </w:r>
      <w:r w:rsidRPr="004539A7">
        <w:rPr>
          <w:i/>
          <w:iCs/>
        </w:rPr>
        <w:t xml:space="preserve">See </w:t>
      </w:r>
      <w:r>
        <w:rPr>
          <w:i/>
          <w:iCs/>
        </w:rPr>
        <w:t>supra</w:t>
      </w:r>
      <w:r w:rsidRPr="004539A7">
        <w:t xml:space="preserve"> Section III</w:t>
      </w:r>
      <w:r w:rsidRPr="004539A7">
        <w:t>.A.2.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02D1EDE" w14:textId="417970F3">
    <w:pPr>
      <w:pStyle w:val="Header"/>
      <w:rPr>
        <w:b w:val="0"/>
      </w:rPr>
    </w:pPr>
    <w:r>
      <w:tab/>
      <w:t>Federal Communications Commission</w:t>
    </w:r>
    <w:r>
      <w:tab/>
    </w:r>
    <w:r w:rsidR="005919ED">
      <w:t>FCC 26-49</w:t>
    </w:r>
  </w:p>
  <w:p w:rsidR="00D25FB5" w14:paraId="5E05D043"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20137B3A"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36FE2091" w14:textId="66DE4F28">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5919ED">
      <w:rPr>
        <w:spacing w:val="-2"/>
      </w:rPr>
      <w:t>FCC 26-49</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919ED" w14:paraId="116F6965" w14:textId="33E92B32">
    <w:pPr>
      <w:pStyle w:val="Header"/>
      <w:rPr>
        <w:spacing w:val="-2"/>
      </w:rPr>
    </w:pPr>
    <w:r>
      <w:rPr>
        <w:noProof/>
      </w:rPr>
      <w:pict>
        <v:rect id="Rectangle 649" o:spid="_x0000_s2051" style="width:468pt;height:0.95pt;margin-top:12.65pt;margin-left:0.6pt;mso-position-horizontal-relative:margin;position:absolute;visibility:visible;z-index:-251656192" o:allowincell="f" fillcolor="black" stroked="f">
          <o:lock v:ext="edit" aspectratio="t" verticies="t" text="t" shapetype="t"/>
          <w10:wrap anchorx="margin"/>
        </v:rect>
      </w:pict>
    </w:r>
    <w:r>
      <w:rPr>
        <w:noProof/>
      </w:rPr>
      <w:pict>
        <v:rect id="Rectangle 648" o:spid="_x0000_s2052" style="width:468pt;height:0.95pt;margin-top:12.65pt;margin-left:0.6pt;mso-position-horizontal-relative:margin;position:absolute;visibility:visible;z-index:-251654144" o:allowincell="f" fillcolor="black" stroked="f">
          <o:lock v:ext="edit" aspectratio="t" verticies="t" text="t" shapetype="t"/>
          <w10:wrap anchorx="margin"/>
        </v:rect>
      </w:pict>
    </w:r>
    <w:r>
      <w:rPr>
        <w:noProof/>
      </w:rPr>
      <w:pict>
        <v:rect id="Rectangle 647" o:spid="_x0000_s2053" style="width:468pt;height:0.95pt;margin-top:12.65pt;margin-left:0.6pt;mso-position-horizontal-relative:margin;position:absolute;visibility:visible;z-index:-251653120" o:allowincell="f" fillcolor="black" stroked="f">
          <o:lock v:ext="edit" aspectratio="t" verticies="t" text="t" shapetype="t"/>
          <w10:wrap anchorx="margin"/>
        </v:rect>
      </w:pict>
    </w:r>
    <w:r>
      <w:rPr>
        <w:noProof/>
      </w:rPr>
      <w:pict>
        <v:rect id="Rectangle 646" o:spid="_x0000_s2054" style="width:468pt;height:0.95pt;margin-top:12.65pt;margin-left:0.6pt;mso-position-horizontal-relative:margin;position:absolute;visibility:visible;z-index:-251652096" o:allowincell="f" fillcolor="black" stroked="f">
          <o:lock v:ext="edit" aspectratio="t" verticies="t" text="t" shapetype="t"/>
          <w10:wrap anchorx="margin"/>
        </v:rect>
      </w:pict>
    </w:r>
    <w:r>
      <w:rPr>
        <w:noProof/>
      </w:rPr>
      <w:pict>
        <v:rect id="Rectangle 645" o:spid="_x0000_s2055" style="width:468pt;height:0.95pt;margin-top:12.65pt;margin-left:0.6pt;mso-position-horizontal-relative:margin;position:absolute;visibility:visible;z-index:-251651072" o:allowincell="f" fillcolor="black" stroked="f">
          <o:lock v:ext="edit" aspectratio="t" verticies="t" text="t" shapetype="t"/>
          <w10:wrap anchorx="margin"/>
        </v:rect>
      </w:pict>
    </w:r>
    <w:r>
      <w:rPr>
        <w:noProof/>
      </w:rPr>
      <w:pict>
        <v:rect id="Rectangle 644" o:spid="_x0000_s2056" style="width:468pt;height:0.95pt;margin-top:12.65pt;margin-left:0.6pt;mso-position-horizontal-relative:margin;position:absolute;visibility:visible;z-index:-251650048" o:allowincell="f" fillcolor="black" stroked="f">
          <o:lock v:ext="edit" aspectratio="t" verticies="t" text="t" shapetype="t"/>
          <w10:wrap anchorx="margin"/>
        </v:rect>
      </w:pict>
    </w:r>
    <w:r>
      <w:rPr>
        <w:noProof/>
      </w:rPr>
      <w:pict>
        <v:rect id="Rectangle 643" o:spid="_x0000_s2057" style="width:468pt;height:0.95pt;margin-top:12.65pt;margin-left:0.6pt;mso-position-horizontal-relative:margin;position:absolute;visibility:visible;z-index:-251649024" o:allowincell="f" fillcolor="black" stroked="f">
          <o:lock v:ext="edit" aspectratio="t" verticies="t" text="t" shapetype="t"/>
          <w10:wrap anchorx="margin"/>
        </v:rect>
      </w:pict>
    </w:r>
    <w:r>
      <w:rPr>
        <w:noProof/>
      </w:rPr>
      <w:pict>
        <v:rect id="Rectangle 642" o:spid="_x0000_s2058" style="width:468pt;height:0.95pt;margin-top:12.65pt;margin-left:0.6pt;mso-position-horizontal-relative:margin;position:absolute;visibility:visible;z-index:-251648000" o:allowincell="f" fillcolor="black" stroked="f">
          <o:lock v:ext="edit" aspectratio="t" verticies="t" text="t" shapetype="t"/>
          <w10:wrap anchorx="margin"/>
        </v:rect>
      </w:pict>
    </w:r>
    <w:r>
      <w:rPr>
        <w:noProof/>
      </w:rPr>
      <w:pict>
        <v:rect id="Rectangle 641" o:spid="_x0000_s2059" style="width:468pt;height:0.95pt;margin-top:12.65pt;margin-left:0.6pt;mso-position-horizontal-relative:margin;position:absolute;visibility:visible;z-index:-251646976" o:allowincell="f" fillcolor="black" stroked="f">
          <o:lock v:ext="edit" aspectratio="t" verticies="t" text="t" shapetype="t"/>
          <w10:wrap anchorx="margin"/>
        </v:rect>
      </w:pict>
    </w:r>
    <w:r>
      <w:rPr>
        <w:noProof/>
      </w:rPr>
      <w:pict>
        <v:rect id="Rectangle 640" o:spid="_x0000_s2060" style="width:468pt;height:0.95pt;margin-top:12.65pt;margin-left:0.6pt;mso-position-horizontal-relative:margin;position:absolute;visibility:visible;z-index:-251645952" o:allowincell="f" fillcolor="black" stroked="f">
          <o:lock v:ext="edit" aspectratio="t" verticies="t" text="t" shapetype="t"/>
          <w10:wrap anchorx="margin"/>
        </v:rect>
      </w:pict>
    </w:r>
    <w:r>
      <w:rPr>
        <w:noProof/>
      </w:rPr>
      <w:pict>
        <v:rect id="Rectangle 639" o:spid="_x0000_s2061" style="width:468pt;height:0.95pt;margin-top:12.65pt;margin-left:0.6pt;mso-position-horizontal-relative:margin;position:absolute;visibility:visible;z-index:-251644928" o:allowincell="f" fillcolor="black" stroked="f">
          <o:lock v:ext="edit" aspectratio="t" verticies="t" text="t" shapetype="t"/>
          <w10:wrap anchorx="margin"/>
        </v:rect>
      </w:pict>
    </w:r>
    <w:r>
      <w:rPr>
        <w:noProof/>
      </w:rPr>
      <w:pict>
        <v:rect id="Rectangle 638" o:spid="_x0000_s2062" style="width:468pt;height:0.95pt;margin-top:12.65pt;margin-left:0.6pt;mso-position-horizontal-relative:margin;position:absolute;visibility:visible;z-index:-251643904" o:allowincell="f" fillcolor="black" stroked="f">
          <o:lock v:ext="edit" aspectratio="t" verticies="t" text="t" shapetype="t"/>
          <w10:wrap anchorx="margin"/>
        </v:rect>
      </w:pict>
    </w:r>
    <w:r>
      <w:rPr>
        <w:noProof/>
      </w:rPr>
      <w:pict>
        <v:rect id="Rectangle 637" o:spid="_x0000_s2063" style="width:468pt;height:0.95pt;margin-top:12.65pt;margin-left:0.6pt;mso-position-horizontal-relative:margin;position:absolute;visibility:visible;z-index:-251642880" o:allowincell="f" fillcolor="black" stroked="f">
          <o:lock v:ext="edit" aspectratio="t" verticies="t" text="t" shapetype="t"/>
          <w10:wrap anchorx="margin"/>
        </v:rect>
      </w:pict>
    </w:r>
    <w:r>
      <w:rPr>
        <w:noProof/>
      </w:rPr>
      <w:pict>
        <v:rect id="Rectangle 636" o:spid="_x0000_s2064" style="width:468pt;height:0.95pt;margin-top:12.65pt;margin-left:0.6pt;mso-position-horizontal-relative:margin;position:absolute;visibility:visible;z-index:-251641856" o:allowincell="f" fillcolor="black" stroked="f">
          <o:lock v:ext="edit" aspectratio="t" verticies="t" text="t" shapetype="t"/>
          <w10:wrap anchorx="margin"/>
        </v:rect>
      </w:pict>
    </w:r>
    <w:r>
      <w:rPr>
        <w:noProof/>
      </w:rPr>
      <w:pict>
        <v:rect id="Rectangle 635" o:spid="_x0000_s2065" style="width:468pt;height:0.95pt;margin-top:12.65pt;margin-left:0.6pt;mso-position-horizontal-relative:margin;position:absolute;visibility:visible;z-index:-251640832" o:allowincell="f" fillcolor="black" stroked="f">
          <o:lock v:ext="edit" aspectratio="t" verticies="t" text="t" shapetype="t"/>
          <w10:wrap anchorx="margin"/>
        </v:rect>
      </w:pict>
    </w:r>
    <w:r>
      <w:rPr>
        <w:noProof/>
      </w:rPr>
      <w:pict>
        <v:rect id="Rectangle 634" o:spid="_x0000_s2066" style="width:468pt;height:0.95pt;margin-top:12.65pt;margin-left:0.6pt;mso-position-horizontal-relative:margin;position:absolute;visibility:visible;z-index:-251639808" o:allowincell="f" fillcolor="black" stroked="f">
          <o:lock v:ext="edit" aspectratio="t" verticies="t" text="t" shapetype="t"/>
          <w10:wrap anchorx="margin"/>
        </v:rect>
      </w:pict>
    </w:r>
    <w:r>
      <w:rPr>
        <w:noProof/>
      </w:rPr>
      <w:pict>
        <v:rect id="Rectangle 633" o:spid="_x0000_s2067" style="width:468pt;height:0.95pt;margin-top:12.65pt;margin-left:0.6pt;mso-position-horizontal-relative:margin;position:absolute;visibility:visible;z-index:-251638784" o:allowincell="f" fillcolor="black" stroked="f">
          <o:lock v:ext="edit" aspectratio="t" verticies="t" text="t" shapetype="t"/>
          <w10:wrap anchorx="margin"/>
        </v:rect>
      </w:pict>
    </w:r>
    <w:r>
      <w:rPr>
        <w:noProof/>
      </w:rPr>
      <w:pict>
        <v:rect id="Rectangle 632" o:spid="_x0000_s2068" style="width:468pt;height:0.95pt;margin-top:12.65pt;margin-left:0.6pt;mso-position-horizontal-relative:margin;position:absolute;visibility:visible;z-index:-251637760" o:allowincell="f" fillcolor="black" stroked="f">
          <o:lock v:ext="edit" aspectratio="t" verticies="t" text="t" shapetype="t"/>
          <w10:wrap anchorx="margin"/>
        </v:rect>
      </w:pict>
    </w:r>
    <w:r>
      <w:rPr>
        <w:noProof/>
      </w:rPr>
      <w:pict>
        <v:rect id="Rectangle 631" o:spid="_x0000_s2069" style="width:468pt;height:0.95pt;margin-top:12.65pt;margin-left:0.6pt;mso-position-horizontal-relative:margin;position:absolute;visibility:visible;z-index:-251636736" o:allowincell="f" fillcolor="black" stroked="f">
          <o:lock v:ext="edit" aspectratio="t" verticies="t" text="t" shapetype="t"/>
          <w10:wrap anchorx="margin"/>
        </v:rect>
      </w:pict>
    </w:r>
    <w:r>
      <w:rPr>
        <w:noProof/>
      </w:rPr>
      <w:pict>
        <v:rect id="Rectangle 630" o:spid="_x0000_s2070" style="width:468pt;height:0.95pt;margin-top:12.65pt;margin-left:0.6pt;mso-position-horizontal-relative:margin;position:absolute;visibility:visible;z-index:-251635712" o:allowincell="f" fillcolor="black" stroked="f">
          <o:lock v:ext="edit" aspectratio="t" verticies="t" text="t" shapetype="t"/>
          <w10:wrap anchorx="margin"/>
        </v:rect>
      </w:pict>
    </w:r>
    <w:r>
      <w:rPr>
        <w:noProof/>
      </w:rPr>
      <w:pict>
        <v:rect id="Rectangle 629" o:spid="_x0000_s2071" style="width:468pt;height:0.95pt;margin-top:12.65pt;margin-left:0.6pt;mso-position-horizontal-relative:margin;position:absolute;visibility:visible;z-index:-251634688" o:allowincell="f" fillcolor="black" stroked="f">
          <o:lock v:ext="edit" aspectratio="t" verticies="t" text="t" shapetype="t"/>
          <w10:wrap anchorx="margin"/>
        </v:rect>
      </w:pict>
    </w:r>
    <w:r>
      <w:rPr>
        <w:noProof/>
      </w:rPr>
      <w:pict>
        <v:rect id="Rectangle 628" o:spid="_x0000_s2072" style="width:468pt;height:0.95pt;margin-top:12.65pt;margin-left:0.6pt;mso-position-horizontal-relative:margin;position:absolute;visibility:visible;z-index:-251633664" o:allowincell="f" fillcolor="black" stroked="f">
          <o:lock v:ext="edit" aspectratio="t" verticies="t" text="t" shapetype="t"/>
          <w10:wrap anchorx="margin"/>
        </v:rect>
      </w:pict>
    </w:r>
    <w:r>
      <w:rPr>
        <w:noProof/>
      </w:rPr>
      <w:pict>
        <v:rect id="Rectangle 627" o:spid="_x0000_s2073" style="width:468pt;height:0.95pt;margin-top:12.65pt;margin-left:0.6pt;mso-position-horizontal-relative:margin;position:absolute;visibility:visible;z-index:-251632640" o:allowincell="f" fillcolor="black" stroked="f">
          <o:lock v:ext="edit" aspectratio="t" verticies="t" text="t" shapetype="t"/>
          <w10:wrap anchorx="margin"/>
        </v:rect>
      </w:pict>
    </w:r>
    <w:r>
      <w:rPr>
        <w:noProof/>
      </w:rPr>
      <w:pict>
        <v:rect id="Rectangle 626" o:spid="_x0000_s2074" style="width:468pt;height:0.95pt;margin-top:12.65pt;margin-left:0.6pt;mso-position-horizontal-relative:margin;position:absolute;visibility:visible;z-index:-251631616" o:allowincell="f" fillcolor="black" stroked="f">
          <o:lock v:ext="edit" aspectratio="t" verticies="t" text="t" shapetype="t"/>
          <w10:wrap anchorx="margin"/>
        </v:rect>
      </w:pict>
    </w:r>
    <w:r>
      <w:rPr>
        <w:noProof/>
      </w:rPr>
      <w:pict>
        <v:rect id="Rectangle 625" o:spid="_x0000_s2075" style="width:468pt;height:0.95pt;margin-top:12.65pt;margin-left:0.6pt;mso-position-horizontal-relative:margin;position:absolute;visibility:visible;z-index:-251630592" o:allowincell="f" fillcolor="black" stroked="f">
          <o:lock v:ext="edit" aspectratio="t" verticies="t" text="t" shapetype="t"/>
          <w10:wrap anchorx="margin"/>
        </v:rect>
      </w:pict>
    </w:r>
    <w:r>
      <w:rPr>
        <w:noProof/>
      </w:rPr>
      <w:pict>
        <v:rect id="Rectangle 624" o:spid="_x0000_s2076" style="width:468pt;height:0.95pt;margin-top:12.65pt;margin-left:0.6pt;mso-position-horizontal-relative:margin;position:absolute;visibility:visible;z-index:-251629568" o:allowincell="f" fillcolor="black" stroked="f">
          <o:lock v:ext="edit" aspectratio="t" verticies="t" text="t" shapetype="t"/>
          <w10:wrap anchorx="margin"/>
        </v:rect>
      </w:pict>
    </w:r>
    <w:r>
      <w:rPr>
        <w:noProof/>
      </w:rPr>
      <w:pict>
        <v:rect id="Rectangle 623" o:spid="_x0000_s2077" style="width:468pt;height:0.95pt;margin-top:12.65pt;margin-left:0.6pt;mso-position-horizontal-relative:margin;position:absolute;visibility:visible;z-index:-251628544" o:allowincell="f" fillcolor="black" stroked="f">
          <o:lock v:ext="edit" aspectratio="t" verticies="t" text="t" shapetype="t"/>
          <w10:wrap anchorx="margin"/>
        </v:rect>
      </w:pict>
    </w:r>
    <w:r>
      <w:rPr>
        <w:noProof/>
      </w:rPr>
      <w:pict>
        <v:rect id="Rectangle 622" o:spid="_x0000_s2078" style="width:468pt;height:0.95pt;margin-top:12.65pt;margin-left:0.6pt;mso-position-horizontal-relative:margin;position:absolute;visibility:visible;z-index:-251627520" o:allowincell="f" fillcolor="black" stroked="f">
          <o:lock v:ext="edit" aspectratio="t" verticies="t" text="t" shapetype="t"/>
          <w10:wrap anchorx="margin"/>
        </v:rect>
      </w:pict>
    </w:r>
    <w:r>
      <w:rPr>
        <w:noProof/>
      </w:rPr>
      <w:pict>
        <v:rect id="Rectangle 621" o:spid="_x0000_s2079" style="width:468pt;height:0.95pt;margin-top:12.65pt;margin-left:0.6pt;mso-position-horizontal-relative:margin;position:absolute;visibility:visible;z-index:-251626496" o:allowincell="f" fillcolor="black" stroked="f">
          <o:lock v:ext="edit" aspectratio="t" verticies="t" text="t" shapetype="t"/>
          <w10:wrap anchorx="margin"/>
        </v:rect>
      </w:pict>
    </w:r>
    <w:r>
      <w:rPr>
        <w:noProof/>
      </w:rPr>
      <w:pict>
        <v:rect id="Rectangle 620" o:spid="_x0000_s2080" style="width:468pt;height:0.95pt;margin-top:12.65pt;margin-left:0.6pt;mso-position-horizontal-relative:margin;position:absolute;visibility:visible;z-index:-251625472" o:allowincell="f" fillcolor="black" stroked="f">
          <o:lock v:ext="edit" aspectratio="t" verticies="t" text="t" shapetype="t"/>
          <w10:wrap anchorx="margin"/>
        </v:rect>
      </w:pict>
    </w:r>
    <w:r>
      <w:rPr>
        <w:noProof/>
      </w:rPr>
      <w:pict>
        <v:rect id="Rectangle 619" o:spid="_x0000_s2081" style="width:468pt;height:0.95pt;margin-top:12.65pt;margin-left:0.6pt;mso-position-horizontal-relative:margin;position:absolute;visibility:visible;z-index:-251624448" o:allowincell="f" fillcolor="black" stroked="f">
          <o:lock v:ext="edit" aspectratio="t" verticies="t" text="t" shapetype="t"/>
          <w10:wrap anchorx="margin"/>
        </v:rect>
      </w:pict>
    </w:r>
    <w:r>
      <w:rPr>
        <w:noProof/>
      </w:rPr>
      <w:pict>
        <v:rect id="Rectangle 618" o:spid="_x0000_s2082" style="width:468pt;height:0.95pt;margin-top:12.65pt;margin-left:0.6pt;mso-position-horizontal-relative:margin;position:absolute;visibility:visible;z-index:-251623424" o:allowincell="f" fillcolor="black" stroked="f">
          <o:lock v:ext="edit" aspectratio="t" verticies="t" text="t" shapetype="t"/>
          <w10:wrap anchorx="margin"/>
        </v:rect>
      </w:pict>
    </w:r>
    <w:r>
      <w:rPr>
        <w:noProof/>
      </w:rPr>
      <w:pict>
        <v:rect id="Rectangle 617" o:spid="_x0000_s2083" style="width:468pt;height:0.95pt;margin-top:12.65pt;margin-left:0.6pt;mso-position-horizontal-relative:margin;position:absolute;visibility:visible;z-index:-251622400" o:allowincell="f" fillcolor="black" stroked="f">
          <o:lock v:ext="edit" aspectratio="t" verticies="t" text="t" shapetype="t"/>
          <w10:wrap anchorx="margin"/>
        </v:rect>
      </w:pict>
    </w:r>
    <w:r>
      <w:rPr>
        <w:noProof/>
      </w:rPr>
      <w:pict>
        <v:rect id="Rectangle 616" o:spid="_x0000_s2084" style="width:468pt;height:0.95pt;margin-top:12.65pt;margin-left:0.6pt;mso-position-horizontal-relative:margin;position:absolute;visibility:visible;z-index:-251621376" o:allowincell="f" fillcolor="black" stroked="f">
          <o:lock v:ext="edit" aspectratio="t" verticies="t" text="t" shapetype="t"/>
          <w10:wrap anchorx="margin"/>
        </v:rect>
      </w:pict>
    </w:r>
    <w:r>
      <w:rPr>
        <w:noProof/>
      </w:rPr>
      <w:pict>
        <v:rect id="Rectangle 615" o:spid="_x0000_s2085" style="width:468pt;height:0.95pt;margin-top:12.65pt;margin-left:0.6pt;mso-position-horizontal-relative:margin;position:absolute;visibility:visible;z-index:-251620352" o:allowincell="f" fillcolor="black" stroked="f">
          <o:lock v:ext="edit" aspectratio="t" verticies="t" text="t" shapetype="t"/>
          <w10:wrap anchorx="margin"/>
        </v:rect>
      </w:pict>
    </w:r>
    <w:r>
      <w:rPr>
        <w:noProof/>
      </w:rPr>
      <w:pict>
        <v:rect id="Rectangle 614" o:spid="_x0000_s2086" style="width:468pt;height:0.95pt;margin-top:12.65pt;margin-left:0.6pt;mso-position-horizontal-relative:margin;position:absolute;visibility:visible;z-index:-251619328" o:allowincell="f" fillcolor="black" stroked="f">
          <o:lock v:ext="edit" aspectratio="t" verticies="t" text="t" shapetype="t"/>
          <w10:wrap anchorx="margin"/>
        </v:rect>
      </w:pict>
    </w:r>
    <w:r>
      <w:rPr>
        <w:noProof/>
      </w:rPr>
      <w:pict>
        <v:rect id="Rectangle 613" o:spid="_x0000_s2087" style="width:468pt;height:0.95pt;margin-top:12.65pt;margin-left:0.6pt;mso-position-horizontal-relative:margin;position:absolute;visibility:visible;z-index:-251618304" o:allowincell="f" fillcolor="black" stroked="f">
          <o:lock v:ext="edit" aspectratio="t" verticies="t" text="t" shapetype="t"/>
          <w10:wrap anchorx="margin"/>
        </v:rect>
      </w:pict>
    </w:r>
    <w:r>
      <w:rPr>
        <w:noProof/>
      </w:rPr>
      <w:pict>
        <v:rect id="Rectangle 612" o:spid="_x0000_s2088" style="width:468pt;height:0.95pt;margin-top:12.65pt;margin-left:0.6pt;mso-position-horizontal-relative:margin;position:absolute;visibility:visible;z-index:-251617280" o:allowincell="f" fillcolor="black" stroked="f">
          <o:lock v:ext="edit" aspectratio="t" verticies="t" text="t" shapetype="t"/>
          <w10:wrap anchorx="margin"/>
        </v:rect>
      </w:pict>
    </w:r>
    <w:r>
      <w:rPr>
        <w:noProof/>
      </w:rPr>
      <w:pict>
        <v:rect id="Rectangle 611" o:spid="_x0000_s2089" style="width:468pt;height:0.95pt;margin-top:12.65pt;margin-left:0.6pt;mso-position-horizontal-relative:margin;position:absolute;visibility:visible;z-index:-251616256" o:allowincell="f" fillcolor="black" stroked="f">
          <o:lock v:ext="edit" aspectratio="t" verticies="t" text="t" shapetype="t"/>
          <w10:wrap anchorx="margin"/>
        </v:rect>
      </w:pict>
    </w:r>
    <w:r>
      <w:rPr>
        <w:noProof/>
      </w:rPr>
      <w:pict>
        <v:rect id="Rectangle 610" o:spid="_x0000_s2090" style="width:468pt;height:0.95pt;margin-top:12.65pt;margin-left:0.6pt;mso-position-horizontal-relative:margin;position:absolute;visibility:visible;z-index:-251615232" o:allowincell="f" fillcolor="black" stroked="f">
          <o:lock v:ext="edit" aspectratio="t" verticies="t" text="t" shapetype="t"/>
          <w10:wrap anchorx="margin"/>
        </v:rect>
      </w:pict>
    </w:r>
    <w:r>
      <w:rPr>
        <w:noProof/>
      </w:rPr>
      <w:pict>
        <v:rect id="Rectangle 609" o:spid="_x0000_s2091" style="width:468pt;height:0.95pt;margin-top:12.65pt;margin-left:0.6pt;mso-position-horizontal-relative:margin;position:absolute;visibility:visible;z-index:-251614208" o:allowincell="f" fillcolor="black" stroked="f">
          <o:lock v:ext="edit" aspectratio="t" verticies="t" text="t" shapetype="t"/>
          <w10:wrap anchorx="margin"/>
        </v:rect>
      </w:pict>
    </w:r>
    <w:r>
      <w:rPr>
        <w:noProof/>
      </w:rPr>
      <w:pict>
        <v:rect id="Rectangle 608" o:spid="_x0000_s2092" style="width:468pt;height:0.95pt;margin-top:12.65pt;margin-left:0.6pt;mso-position-horizontal-relative:margin;position:absolute;visibility:visible;z-index:-251613184" o:allowincell="f" fillcolor="black" stroked="f">
          <o:lock v:ext="edit" aspectratio="t" verticies="t" text="t" shapetype="t"/>
          <w10:wrap anchorx="margin"/>
        </v:rect>
      </w:pict>
    </w:r>
    <w:r>
      <w:rPr>
        <w:noProof/>
      </w:rPr>
      <w:pict>
        <v:rect id="Rectangle 607" o:spid="_x0000_s2093" style="width:468pt;height:0.95pt;margin-top:12.65pt;margin-left:0.6pt;mso-position-horizontal-relative:margin;position:absolute;visibility:visible;z-index:-251612160" o:allowincell="f" fillcolor="black" stroked="f">
          <o:lock v:ext="edit" aspectratio="t" verticies="t" text="t" shapetype="t"/>
          <w10:wrap anchorx="margin"/>
        </v:rect>
      </w:pict>
    </w:r>
    <w:r>
      <w:rPr>
        <w:noProof/>
      </w:rPr>
      <w:pict>
        <v:rect id="Rectangle 606" o:spid="_x0000_s2094" style="width:468pt;height:0.95pt;margin-top:12.65pt;margin-left:0.6pt;mso-position-horizontal-relative:margin;position:absolute;visibility:visible;z-index:-251611136" o:allowincell="f" fillcolor="black" stroked="f">
          <o:lock v:ext="edit" aspectratio="t" verticies="t" text="t" shapetype="t"/>
          <w10:wrap anchorx="margin"/>
        </v:rect>
      </w:pict>
    </w:r>
    <w:r>
      <w:rPr>
        <w:noProof/>
      </w:rPr>
      <w:pict>
        <v:rect id="Rectangle 605" o:spid="_x0000_s2095" style="width:468pt;height:0.95pt;margin-top:12.65pt;margin-left:0.6pt;mso-position-horizontal-relative:margin;position:absolute;visibility:visible;z-index:-251610112" o:allowincell="f" fillcolor="black" stroked="f">
          <o:lock v:ext="edit" aspectratio="t" verticies="t" text="t" shapetype="t"/>
          <w10:wrap anchorx="margin"/>
        </v:rect>
      </w:pict>
    </w:r>
    <w:r>
      <w:rPr>
        <w:noProof/>
      </w:rPr>
      <w:pict>
        <v:rect id="Rectangle 604" o:spid="_x0000_s2096" style="width:468pt;height:0.95pt;margin-top:12.65pt;margin-left:0.6pt;mso-position-horizontal-relative:margin;position:absolute;visibility:visible;z-index:-251609088" o:allowincell="f" fillcolor="black" stroked="f">
          <o:lock v:ext="edit" aspectratio="t" verticies="t" text="t" shapetype="t"/>
          <w10:wrap anchorx="margin"/>
        </v:rect>
      </w:pict>
    </w:r>
    <w:r>
      <w:rPr>
        <w:noProof/>
      </w:rPr>
      <w:pict>
        <v:rect id="Rectangle 603" o:spid="_x0000_s2097" style="width:468pt;height:0.95pt;margin-top:12.65pt;margin-left:0.6pt;mso-position-horizontal-relative:margin;position:absolute;visibility:visible;z-index:-251608064" o:allowincell="f" fillcolor="black" stroked="f">
          <o:lock v:ext="edit" aspectratio="t" verticies="t" text="t" shapetype="t"/>
          <w10:wrap anchorx="margin"/>
        </v:rect>
      </w:pict>
    </w:r>
    <w:r>
      <w:rPr>
        <w:noProof/>
      </w:rPr>
      <w:pict>
        <v:rect id="Rectangle 602" o:spid="_x0000_s2098" style="width:468pt;height:0.95pt;margin-top:12.65pt;margin-left:0.6pt;mso-position-horizontal-relative:margin;position:absolute;visibility:visible;z-index:-251607040" o:allowincell="f" fillcolor="black" stroked="f">
          <o:lock v:ext="edit" aspectratio="t" verticies="t" text="t" shapetype="t"/>
          <w10:wrap anchorx="margin"/>
        </v:rect>
      </w:pict>
    </w:r>
    <w:r>
      <w:rPr>
        <w:noProof/>
      </w:rPr>
      <w:pict>
        <v:rect id="Rectangle 601" o:spid="_x0000_s2099" style="width:468pt;height:0.95pt;margin-top:12.65pt;margin-left:0.6pt;mso-position-horizontal-relative:margin;position:absolute;visibility:visible;z-index:-251606016" o:allowincell="f" fillcolor="black" stroked="f">
          <o:lock v:ext="edit" aspectratio="t" verticies="t" text="t" shapetype="t"/>
          <w10:wrap anchorx="margin"/>
        </v:rect>
      </w:pict>
    </w:r>
    <w:r>
      <w:rPr>
        <w:noProof/>
      </w:rPr>
      <w:pict>
        <v:rect id="Rectangle 600" o:spid="_x0000_s2100" style="width:468pt;height:0.95pt;margin-top:12.65pt;margin-left:0.6pt;mso-position-horizontal-relative:margin;position:absolute;visibility:visible;z-index:-251604992" o:allowincell="f" fillcolor="black" stroked="f">
          <o:lock v:ext="edit" aspectratio="t" verticies="t" text="t" shapetype="t"/>
          <w10:wrap anchorx="margin"/>
        </v:rect>
      </w:pict>
    </w:r>
    <w:r>
      <w:rPr>
        <w:noProof/>
      </w:rPr>
      <w:pict>
        <v:rect id="Rectangle 599" o:spid="_x0000_s2101" style="width:468pt;height:0.95pt;margin-top:12.65pt;margin-left:0.6pt;mso-position-horizontal-relative:margin;position:absolute;visibility:visible;z-index:-251603968" o:allowincell="f" fillcolor="black" stroked="f">
          <o:lock v:ext="edit" aspectratio="t" verticies="t" text="t" shapetype="t"/>
          <w10:wrap anchorx="margin"/>
        </v:rect>
      </w:pict>
    </w:r>
    <w:r>
      <w:rPr>
        <w:noProof/>
      </w:rPr>
      <w:pict>
        <v:rect id="Rectangle 598" o:spid="_x0000_s2102" style="width:468pt;height:0.95pt;margin-top:12.65pt;margin-left:0.6pt;mso-position-horizontal-relative:margin;position:absolute;visibility:visible;z-index:-251602944" o:allowincell="f" fillcolor="black" stroked="f">
          <o:lock v:ext="edit" aspectratio="t" verticies="t" text="t" shapetype="t"/>
          <w10:wrap anchorx="margin"/>
        </v:rect>
      </w:pict>
    </w:r>
    <w:r>
      <w:rPr>
        <w:noProof/>
      </w:rPr>
      <w:pict>
        <v:rect id="Rectangle 597" o:spid="_x0000_s2103" style="width:468pt;height:0.95pt;margin-top:12.65pt;margin-left:0.6pt;mso-position-horizontal-relative:margin;position:absolute;visibility:visible;z-index:-251601920" o:allowincell="f" fillcolor="black" stroked="f">
          <o:lock v:ext="edit" aspectratio="t" verticies="t" text="t" shapetype="t"/>
          <w10:wrap anchorx="margin"/>
        </v:rect>
      </w:pict>
    </w:r>
    <w:r>
      <w:rPr>
        <w:noProof/>
      </w:rPr>
      <w:pict>
        <v:rect id="Rectangle 596" o:spid="_x0000_s2104" style="width:468pt;height:0.95pt;margin-top:12.65pt;margin-left:0.6pt;mso-position-horizontal-relative:margin;position:absolute;visibility:visible;z-index:-251600896" o:allowincell="f" fillcolor="black" stroked="f">
          <o:lock v:ext="edit" aspectratio="t" verticies="t" text="t" shapetype="t"/>
          <w10:wrap anchorx="margin"/>
        </v:rect>
      </w:pict>
    </w:r>
    <w:r>
      <w:rPr>
        <w:noProof/>
      </w:rPr>
      <w:pict>
        <v:rect id="Rectangle 595" o:spid="_x0000_s2105" style="width:468pt;height:0.95pt;margin-top:12.65pt;margin-left:0.6pt;mso-position-horizontal-relative:margin;position:absolute;visibility:visible;z-index:-251599872" o:allowincell="f" fillcolor="black" stroked="f">
          <o:lock v:ext="edit" aspectratio="t" verticies="t" text="t" shapetype="t"/>
          <w10:wrap anchorx="margin"/>
        </v:rect>
      </w:pict>
    </w:r>
    <w:r>
      <w:rPr>
        <w:noProof/>
      </w:rPr>
      <w:pict>
        <v:rect id="Rectangle 594" o:spid="_x0000_s2106" style="width:468pt;height:0.95pt;margin-top:12.65pt;margin-left:0.6pt;mso-position-horizontal-relative:margin;position:absolute;visibility:visible;z-index:-251598848" o:allowincell="f" fillcolor="black" stroked="f">
          <o:lock v:ext="edit" aspectratio="t" verticies="t" text="t" shapetype="t"/>
          <w10:wrap anchorx="margin"/>
        </v:rect>
      </w:pict>
    </w:r>
    <w:r>
      <w:rPr>
        <w:noProof/>
      </w:rPr>
      <w:pict>
        <v:rect id="Rectangle 593" o:spid="_x0000_s2107" style="width:468pt;height:0.95pt;margin-top:12.65pt;margin-left:0.6pt;mso-position-horizontal-relative:margin;position:absolute;visibility:visible;z-index:-251597824" o:allowincell="f" fillcolor="black" stroked="f">
          <o:lock v:ext="edit" aspectratio="t" verticies="t" text="t" shapetype="t"/>
          <w10:wrap anchorx="margin"/>
        </v:rect>
      </w:pict>
    </w:r>
    <w:r>
      <w:rPr>
        <w:noProof/>
      </w:rPr>
      <w:pict>
        <v:rect id="Rectangle 592" o:spid="_x0000_s2108" style="width:468pt;height:0.95pt;margin-top:12.65pt;margin-left:0.6pt;mso-position-horizontal-relative:margin;position:absolute;visibility:visible;z-index:-251596800" o:allowincell="f" fillcolor="black" stroked="f">
          <o:lock v:ext="edit" aspectratio="t" verticies="t" text="t" shapetype="t"/>
          <w10:wrap anchorx="margin"/>
        </v:rect>
      </w:pict>
    </w:r>
    <w:r>
      <w:rPr>
        <w:noProof/>
      </w:rPr>
      <w:pict>
        <v:rect id="Rectangle 591" o:spid="_x0000_s2109" style="width:468pt;height:0.95pt;margin-top:12.65pt;margin-left:0.6pt;mso-position-horizontal-relative:margin;position:absolute;visibility:visible;z-index:-251595776" o:allowincell="f" fillcolor="black" stroked="f">
          <o:lock v:ext="edit" aspectratio="t" verticies="t" text="t" shapetype="t"/>
          <w10:wrap anchorx="margin"/>
        </v:rect>
      </w:pict>
    </w:r>
    <w:r>
      <w:rPr>
        <w:noProof/>
      </w:rPr>
      <w:pict>
        <v:rect id="Rectangle 590" o:spid="_x0000_s2110" style="width:468pt;height:0.95pt;margin-top:12.65pt;margin-left:0.6pt;mso-position-horizontal-relative:margin;position:absolute;visibility:visible;z-index:-251594752" o:allowincell="f" fillcolor="black" stroked="f">
          <o:lock v:ext="edit" aspectratio="t" verticies="t" text="t" shapetype="t"/>
          <w10:wrap anchorx="margin"/>
        </v:rect>
      </w:pict>
    </w:r>
    <w:r>
      <w:rPr>
        <w:noProof/>
      </w:rPr>
      <w:pict>
        <v:rect id="Rectangle 589" o:spid="_x0000_s2111" style="width:468pt;height:0.95pt;margin-top:12.65pt;margin-left:0.6pt;mso-position-horizontal-relative:margin;position:absolute;visibility:visible;z-index:-251593728" o:allowincell="f" fillcolor="black" stroked="f">
          <o:lock v:ext="edit" aspectratio="t" verticies="t" text="t" shapetype="t"/>
          <w10:wrap anchorx="margin"/>
        </v:rect>
      </w:pict>
    </w:r>
    <w:r>
      <w:rPr>
        <w:noProof/>
      </w:rPr>
      <w:pict>
        <v:rect id="Rectangle 588" o:spid="_x0000_s2112" style="width:468pt;height:0.95pt;margin-top:12.65pt;margin-left:0.6pt;mso-position-horizontal-relative:margin;position:absolute;visibility:visible;z-index:-251592704" o:allowincell="f" fillcolor="black" stroked="f">
          <o:lock v:ext="edit" aspectratio="t" verticies="t" text="t" shapetype="t"/>
          <w10:wrap anchorx="margin"/>
        </v:rect>
      </w:pict>
    </w:r>
    <w:r>
      <w:rPr>
        <w:noProof/>
      </w:rPr>
      <w:pict>
        <v:rect id="Rectangle 587" o:spid="_x0000_s2113" style="width:468pt;height:0.95pt;margin-top:12.65pt;margin-left:0.6pt;mso-position-horizontal-relative:margin;position:absolute;visibility:visible;z-index:-251591680" o:allowincell="f" fillcolor="black" stroked="f">
          <o:lock v:ext="edit" aspectratio="t" verticies="t" text="t" shapetype="t"/>
          <w10:wrap anchorx="margin"/>
        </v:rect>
      </w:pict>
    </w:r>
    <w:r>
      <w:rPr>
        <w:noProof/>
      </w:rPr>
      <w:pict>
        <v:rect id="Rectangle 586" o:spid="_x0000_s2114" style="width:468pt;height:0.95pt;margin-top:12.65pt;margin-left:0.6pt;mso-position-horizontal-relative:margin;position:absolute;visibility:visible;z-index:-251590656" o:allowincell="f" fillcolor="black" stroked="f">
          <o:lock v:ext="edit" aspectratio="t" verticies="t" text="t" shapetype="t"/>
          <w10:wrap anchorx="margin"/>
        </v:rect>
      </w:pict>
    </w:r>
    <w:r>
      <w:rPr>
        <w:noProof/>
      </w:rPr>
      <w:pict>
        <v:rect id="Rectangle 585" o:spid="_x0000_s2115" style="width:468pt;height:0.95pt;margin-top:12.65pt;margin-left:0.6pt;mso-position-horizontal-relative:margin;position:absolute;visibility:visible;z-index:-251589632" o:allowincell="f" fillcolor="black" stroked="f">
          <o:lock v:ext="edit" aspectratio="t" verticies="t" text="t" shapetype="t"/>
          <w10:wrap anchorx="margin"/>
        </v:rect>
      </w:pict>
    </w:r>
    <w:r>
      <w:rPr>
        <w:noProof/>
      </w:rPr>
      <w:pict>
        <v:rect id="Rectangle 584" o:spid="_x0000_s2116" style="width:468pt;height:0.95pt;margin-top:12.65pt;margin-left:0.6pt;mso-position-horizontal-relative:margin;position:absolute;visibility:visible;z-index:-251588608" o:allowincell="f" fillcolor="black" stroked="f">
          <o:lock v:ext="edit" aspectratio="t" verticies="t" text="t" shapetype="t"/>
          <w10:wrap anchorx="margin"/>
        </v:rect>
      </w:pict>
    </w:r>
    <w:r>
      <w:rPr>
        <w:noProof/>
      </w:rPr>
      <w:pict>
        <v:rect id="Rectangle 583" o:spid="_x0000_s2117" style="width:468pt;height:0.95pt;margin-top:12.65pt;margin-left:0.6pt;mso-position-horizontal-relative:margin;position:absolute;visibility:visible;z-index:-251587584" o:allowincell="f" fillcolor="black" stroked="f">
          <o:lock v:ext="edit" aspectratio="t" verticies="t" text="t" shapetype="t"/>
          <w10:wrap anchorx="margin"/>
        </v:rect>
      </w:pict>
    </w:r>
    <w:r>
      <w:rPr>
        <w:noProof/>
      </w:rPr>
      <w:pict>
        <v:rect id="Rectangle 582" o:spid="_x0000_s2118" style="width:468pt;height:0.95pt;margin-top:12.65pt;margin-left:0.6pt;mso-position-horizontal-relative:margin;position:absolute;visibility:visible;z-index:-251586560" o:allowincell="f" fillcolor="black" stroked="f">
          <o:lock v:ext="edit" aspectratio="t" verticies="t" text="t" shapetype="t"/>
          <w10:wrap anchorx="margin"/>
        </v:rect>
      </w:pict>
    </w:r>
    <w:r>
      <w:rPr>
        <w:noProof/>
      </w:rPr>
      <w:pict>
        <v:rect id="Rectangle 581" o:spid="_x0000_s2119" style="width:468pt;height:0.95pt;margin-top:12.65pt;margin-left:0.6pt;mso-position-horizontal-relative:margin;position:absolute;visibility:visible;z-index:-251585536" o:allowincell="f" fillcolor="black" stroked="f">
          <o:lock v:ext="edit" aspectratio="t" verticies="t" text="t" shapetype="t"/>
          <w10:wrap anchorx="margin"/>
        </v:rect>
      </w:pict>
    </w:r>
    <w:r>
      <w:rPr>
        <w:noProof/>
      </w:rPr>
      <w:pict>
        <v:rect id="Rectangle 580" o:spid="_x0000_s2120" style="width:468pt;height:0.95pt;margin-top:12.65pt;margin-left:0.6pt;mso-position-horizontal-relative:margin;position:absolute;visibility:visible;z-index:-251584512" o:allowincell="f" fillcolor="black" stroked="f">
          <o:lock v:ext="edit" aspectratio="t" verticies="t" text="t" shapetype="t"/>
          <w10:wrap anchorx="margin"/>
        </v:rect>
      </w:pict>
    </w:r>
    <w:r>
      <w:rPr>
        <w:noProof/>
      </w:rPr>
      <w:pict>
        <v:rect id="Rectangle 579" o:spid="_x0000_s2121" style="width:468pt;height:0.95pt;margin-top:12.65pt;margin-left:0.6pt;mso-position-horizontal-relative:margin;position:absolute;visibility:visible;z-index:-251583488" o:allowincell="f" fillcolor="black" stroked="f">
          <o:lock v:ext="edit" aspectratio="t" verticies="t" text="t" shapetype="t"/>
          <w10:wrap anchorx="margin"/>
        </v:rect>
      </w:pict>
    </w:r>
    <w:r>
      <w:rPr>
        <w:noProof/>
      </w:rPr>
      <w:pict>
        <v:rect id="Rectangle 578" o:spid="_x0000_s2122" style="width:468pt;height:0.95pt;margin-top:12.65pt;margin-left:0.6pt;mso-position-horizontal-relative:margin;position:absolute;visibility:visible;z-index:-251582464" o:allowincell="f" fillcolor="black" stroked="f">
          <o:lock v:ext="edit" aspectratio="t" verticies="t" text="t" shapetype="t"/>
          <w10:wrap anchorx="margin"/>
        </v:rect>
      </w:pict>
    </w:r>
    <w:r>
      <w:rPr>
        <w:noProof/>
      </w:rPr>
      <w:pict>
        <v:rect id="Rectangle 577" o:spid="_x0000_s2123" style="width:468pt;height:0.95pt;margin-top:12.65pt;margin-left:0.6pt;mso-position-horizontal-relative:margin;position:absolute;visibility:visible;z-index:-251581440" o:allowincell="f" fillcolor="black" stroked="f">
          <o:lock v:ext="edit" aspectratio="t" verticies="t" text="t" shapetype="t"/>
          <w10:wrap anchorx="margin"/>
        </v:rect>
      </w:pict>
    </w:r>
    <w:r>
      <w:rPr>
        <w:noProof/>
      </w:rPr>
      <w:pict>
        <v:rect id="Rectangle 576" o:spid="_x0000_s2124" style="width:468pt;height:0.95pt;margin-top:12.65pt;margin-left:0.6pt;mso-position-horizontal-relative:margin;position:absolute;visibility:visible;z-index:-251580416" o:allowincell="f" fillcolor="black" stroked="f">
          <o:lock v:ext="edit" aspectratio="t" verticies="t" text="t" shapetype="t"/>
          <w10:wrap anchorx="margin"/>
        </v:rect>
      </w:pict>
    </w:r>
    <w:r>
      <w:rPr>
        <w:noProof/>
      </w:rPr>
      <w:pict>
        <v:rect id="Rectangle 575" o:spid="_x0000_s2125" style="width:468pt;height:0.95pt;margin-top:12.65pt;margin-left:0.6pt;mso-position-horizontal-relative:margin;position:absolute;visibility:visible;z-index:-251579392" o:allowincell="f" fillcolor="black" stroked="f">
          <o:lock v:ext="edit" aspectratio="t" verticies="t" text="t" shapetype="t"/>
          <w10:wrap anchorx="margin"/>
        </v:rect>
      </w:pict>
    </w:r>
    <w:r>
      <w:rPr>
        <w:noProof/>
      </w:rPr>
      <w:pict>
        <v:rect id="Rectangle 574" o:spid="_x0000_s2126" style="width:468pt;height:0.95pt;margin-top:12.65pt;margin-left:0.6pt;mso-position-horizontal-relative:margin;position:absolute;visibility:visible;z-index:-251578368" o:allowincell="f" fillcolor="black" stroked="f">
          <o:lock v:ext="edit" aspectratio="t" verticies="t" text="t" shapetype="t"/>
          <w10:wrap anchorx="margin"/>
        </v:rect>
      </w:pict>
    </w:r>
    <w:r>
      <w:rPr>
        <w:noProof/>
      </w:rPr>
      <w:pict>
        <v:rect id="Rectangle 573" o:spid="_x0000_s2127" style="width:468pt;height:0.95pt;margin-top:12.65pt;margin-left:0.6pt;mso-position-horizontal-relative:margin;position:absolute;visibility:visible;z-index:-251577344" o:allowincell="f" fillcolor="black" stroked="f">
          <o:lock v:ext="edit" aspectratio="t" verticies="t" text="t" shapetype="t"/>
          <w10:wrap anchorx="margin"/>
        </v:rect>
      </w:pict>
    </w:r>
    <w:r>
      <w:rPr>
        <w:noProof/>
      </w:rPr>
      <w:pict>
        <v:rect id="Rectangle 572" o:spid="_x0000_s2128" style="width:468pt;height:0.95pt;margin-top:12.65pt;margin-left:0.6pt;mso-position-horizontal-relative:margin;position:absolute;visibility:visible;z-index:-251576320" o:allowincell="f" fillcolor="black" stroked="f">
          <o:lock v:ext="edit" aspectratio="t" verticies="t" text="t" shapetype="t"/>
          <w10:wrap anchorx="margin"/>
        </v:rect>
      </w:pict>
    </w:r>
    <w:r>
      <w:rPr>
        <w:noProof/>
      </w:rPr>
      <w:pict>
        <v:rect id="Rectangle 571" o:spid="_x0000_s2129" style="width:468pt;height:0.95pt;margin-top:12.65pt;margin-left:0.6pt;mso-position-horizontal-relative:margin;position:absolute;visibility:visible;z-index:-251575296" o:allowincell="f" fillcolor="black" stroked="f">
          <o:lock v:ext="edit" aspectratio="t" verticies="t" text="t" shapetype="t"/>
          <w10:wrap anchorx="margin"/>
        </v:rect>
      </w:pict>
    </w:r>
    <w:r>
      <w:rPr>
        <w:noProof/>
      </w:rPr>
      <w:pict>
        <v:rect id="Rectangle 570" o:spid="_x0000_s2130" style="width:468pt;height:0.95pt;margin-top:12.65pt;margin-left:0.6pt;mso-position-horizontal-relative:margin;position:absolute;visibility:visible;z-index:-251574272" o:allowincell="f" fillcolor="black" stroked="f">
          <o:lock v:ext="edit" aspectratio="t" verticies="t" text="t" shapetype="t"/>
          <w10:wrap anchorx="margin"/>
        </v:rect>
      </w:pict>
    </w:r>
    <w:r>
      <w:rPr>
        <w:noProof/>
      </w:rPr>
      <w:pict>
        <v:rect id="Rectangle 569" o:spid="_x0000_s2131" style="width:468pt;height:0.95pt;margin-top:12.65pt;margin-left:0.6pt;mso-position-horizontal-relative:margin;position:absolute;visibility:visible;z-index:-251573248" o:allowincell="f" fillcolor="black" stroked="f">
          <o:lock v:ext="edit" aspectratio="t" verticies="t" text="t" shapetype="t"/>
          <w10:wrap anchorx="margin"/>
        </v:rect>
      </w:pict>
    </w:r>
    <w:r>
      <w:rPr>
        <w:noProof/>
      </w:rPr>
      <w:pict>
        <v:rect id="Rectangle 568" o:spid="_x0000_s2132" style="width:468pt;height:0.95pt;margin-top:12.65pt;margin-left:0.6pt;mso-position-horizontal-relative:margin;position:absolute;visibility:visible;z-index:-251572224" o:allowincell="f" fillcolor="black" stroked="f">
          <o:lock v:ext="edit" aspectratio="t" verticies="t" text="t" shapetype="t"/>
          <w10:wrap anchorx="margin"/>
        </v:rect>
      </w:pict>
    </w:r>
    <w:r>
      <w:rPr>
        <w:noProof/>
      </w:rPr>
      <w:pict>
        <v:rect id="Rectangle 567" o:spid="_x0000_s2133" style="width:468pt;height:0.95pt;margin-top:12.65pt;margin-left:0.6pt;mso-position-horizontal-relative:margin;position:absolute;visibility:visible;z-index:-251571200" o:allowincell="f" fillcolor="black" stroked="f">
          <o:lock v:ext="edit" aspectratio="t" verticies="t" text="t" shapetype="t"/>
          <w10:wrap anchorx="margin"/>
        </v:rect>
      </w:pict>
    </w:r>
    <w:r>
      <w:rPr>
        <w:noProof/>
      </w:rPr>
      <w:pict>
        <v:rect id="Rectangle 566" o:spid="_x0000_s2134" style="width:468pt;height:0.95pt;margin-top:12.65pt;margin-left:0.6pt;mso-position-horizontal-relative:margin;position:absolute;visibility:visible;z-index:-251570176" o:allowincell="f" fillcolor="black" stroked="f">
          <o:lock v:ext="edit" aspectratio="t" verticies="t" text="t" shapetype="t"/>
          <w10:wrap anchorx="margin"/>
        </v:rect>
      </w:pict>
    </w:r>
    <w:r>
      <w:rPr>
        <w:noProof/>
      </w:rPr>
      <w:pict>
        <v:rect id="Rectangle 565" o:spid="_x0000_s2135" style="width:468pt;height:0.95pt;margin-top:12.65pt;margin-left:0.6pt;mso-position-horizontal-relative:margin;position:absolute;visibility:visible;z-index:-251569152" o:allowincell="f" fillcolor="black" stroked="f">
          <o:lock v:ext="edit" aspectratio="t" verticies="t" text="t" shapetype="t"/>
          <w10:wrap anchorx="margin"/>
        </v:rect>
      </w:pict>
    </w:r>
    <w:r>
      <w:rPr>
        <w:noProof/>
      </w:rPr>
      <w:pict>
        <v:rect id="Rectangle 564" o:spid="_x0000_s2136" style="width:468pt;height:0.95pt;margin-top:12.65pt;margin-left:0.6pt;mso-position-horizontal-relative:margin;position:absolute;visibility:visible;z-index:-251568128" o:allowincell="f" fillcolor="black" stroked="f">
          <o:lock v:ext="edit" aspectratio="t" verticies="t" text="t" shapetype="t"/>
          <w10:wrap anchorx="margin"/>
        </v:rect>
      </w:pict>
    </w:r>
    <w:r>
      <w:rPr>
        <w:noProof/>
      </w:rPr>
      <w:pict>
        <v:rect id="Rectangle 563" o:spid="_x0000_s2137" style="width:468pt;height:0.95pt;margin-top:12.65pt;margin-left:0.6pt;mso-position-horizontal-relative:margin;position:absolute;visibility:visible;z-index:-251567104" o:allowincell="f" fillcolor="black" stroked="f">
          <o:lock v:ext="edit" aspectratio="t" verticies="t" text="t" shapetype="t"/>
          <w10:wrap anchorx="margin"/>
        </v:rect>
      </w:pict>
    </w:r>
    <w:r>
      <w:rPr>
        <w:noProof/>
      </w:rPr>
      <w:pict>
        <v:rect id="Rectangle 562" o:spid="_x0000_s2138" style="width:468pt;height:0.95pt;margin-top:12.65pt;margin-left:0.6pt;mso-position-horizontal-relative:margin;position:absolute;visibility:visible;z-index:-251566080" o:allowincell="f" fillcolor="black" stroked="f">
          <o:lock v:ext="edit" aspectratio="t" verticies="t" text="t" shapetype="t"/>
          <w10:wrap anchorx="margin"/>
        </v:rect>
      </w:pict>
    </w:r>
    <w:r>
      <w:rPr>
        <w:noProof/>
      </w:rPr>
      <w:pict>
        <v:rect id="Rectangle 561" o:spid="_x0000_s2139" style="width:468pt;height:0.95pt;margin-top:12.65pt;margin-left:0.6pt;mso-position-horizontal-relative:margin;position:absolute;visibility:visible;z-index:-251565056" o:allowincell="f" fillcolor="black" stroked="f">
          <o:lock v:ext="edit" aspectratio="t" verticies="t" text="t" shapetype="t"/>
          <w10:wrap anchorx="margin"/>
        </v:rect>
      </w:pict>
    </w:r>
    <w:r>
      <w:rPr>
        <w:noProof/>
      </w:rPr>
      <w:pict>
        <v:rect id="Rectangle 560" o:spid="_x0000_s2140" style="width:468pt;height:0.95pt;margin-top:12.65pt;margin-left:0.6pt;mso-position-horizontal-relative:margin;position:absolute;visibility:visible;z-index:-251564032" o:allowincell="f" fillcolor="black" stroked="f">
          <o:lock v:ext="edit" aspectratio="t" verticies="t" text="t" shapetype="t"/>
          <w10:wrap anchorx="margin"/>
        </v:rect>
      </w:pict>
    </w:r>
    <w:r>
      <w:rPr>
        <w:noProof/>
      </w:rPr>
      <w:pict>
        <v:rect id="Rectangle 559" o:spid="_x0000_s2141" style="width:468pt;height:0.95pt;margin-top:12.65pt;margin-left:0.6pt;mso-position-horizontal-relative:margin;position:absolute;visibility:visible;z-index:-251563008" o:allowincell="f" fillcolor="black" stroked="f">
          <o:lock v:ext="edit" aspectratio="t" verticies="t" text="t" shapetype="t"/>
          <w10:wrap anchorx="margin"/>
        </v:rect>
      </w:pict>
    </w:r>
    <w:r>
      <w:rPr>
        <w:noProof/>
      </w:rPr>
      <w:pict>
        <v:rect id="Rectangle 558" o:spid="_x0000_s2142" style="width:468pt;height:0.95pt;margin-top:12.65pt;margin-left:0.6pt;mso-position-horizontal-relative:margin;position:absolute;visibility:visible;z-index:-251561984" o:allowincell="f" fillcolor="black" stroked="f">
          <o:lock v:ext="edit" aspectratio="t" verticies="t" text="t" shapetype="t"/>
          <w10:wrap anchorx="margin"/>
        </v:rect>
      </w:pict>
    </w:r>
    <w:r>
      <w:rPr>
        <w:noProof/>
      </w:rPr>
      <w:pict>
        <v:rect id="Rectangle 557" o:spid="_x0000_s2143" style="width:468pt;height:0.95pt;margin-top:12.65pt;margin-left:0.6pt;mso-position-horizontal-relative:margin;position:absolute;visibility:visible;z-index:-251560960" o:allowincell="f" fillcolor="black" stroked="f">
          <o:lock v:ext="edit" aspectratio="t" verticies="t" text="t" shapetype="t"/>
          <w10:wrap anchorx="margin"/>
        </v:rect>
      </w:pict>
    </w:r>
    <w:r>
      <w:rPr>
        <w:noProof/>
      </w:rPr>
      <w:pict>
        <v:rect id="Rectangle 556" o:spid="_x0000_s2144" style="width:468pt;height:0.95pt;margin-top:12.65pt;margin-left:0.6pt;mso-position-horizontal-relative:margin;position:absolute;visibility:visible;z-index:-251559936" o:allowincell="f" fillcolor="black" stroked="f">
          <o:lock v:ext="edit" aspectratio="t" verticies="t" text="t" shapetype="t"/>
          <w10:wrap anchorx="margin"/>
        </v:rect>
      </w:pict>
    </w:r>
    <w:r>
      <w:rPr>
        <w:noProof/>
      </w:rPr>
      <w:pict>
        <v:rect id="Rectangle 555" o:spid="_x0000_s2145" style="width:468pt;height:0.95pt;margin-top:12.65pt;margin-left:0.6pt;mso-position-horizontal-relative:margin;position:absolute;visibility:visible;z-index:-251558912" o:allowincell="f" fillcolor="black" stroked="f">
          <o:lock v:ext="edit" aspectratio="t" verticies="t" text="t" shapetype="t"/>
          <w10:wrap anchorx="margin"/>
        </v:rect>
      </w:pict>
    </w:r>
    <w:r>
      <w:rPr>
        <w:noProof/>
      </w:rPr>
      <w:pict>
        <v:rect id="Rectangle 554" o:spid="_x0000_s2146" style="width:468pt;height:0.95pt;margin-top:12.65pt;margin-left:0.6pt;mso-position-horizontal-relative:margin;position:absolute;visibility:visible;z-index:-251557888" o:allowincell="f" fillcolor="black" stroked="f">
          <o:lock v:ext="edit" aspectratio="t" verticies="t" text="t" shapetype="t"/>
          <w10:wrap anchorx="margin"/>
        </v:rect>
      </w:pict>
    </w:r>
    <w:r>
      <w:rPr>
        <w:noProof/>
      </w:rPr>
      <w:pict>
        <v:rect id="Rectangle 553" o:spid="_x0000_s2147" style="width:468pt;height:0.95pt;margin-top:12.65pt;margin-left:0.6pt;mso-position-horizontal-relative:margin;position:absolute;visibility:visible;z-index:-251556864" o:allowincell="f" fillcolor="black" stroked="f">
          <o:lock v:ext="edit" aspectratio="t" verticies="t" text="t" shapetype="t"/>
          <w10:wrap anchorx="margin"/>
        </v:rect>
      </w:pict>
    </w:r>
    <w:r>
      <w:rPr>
        <w:noProof/>
      </w:rPr>
      <w:pict>
        <v:rect id="Rectangle 552" o:spid="_x0000_s2148" style="width:468pt;height:0.95pt;margin-top:12.65pt;margin-left:0.6pt;mso-position-horizontal-relative:margin;position:absolute;visibility:visible;z-index:-251555840" o:allowincell="f" fillcolor="black" stroked="f">
          <o:lock v:ext="edit" aspectratio="t" verticies="t" text="t" shapetype="t"/>
          <w10:wrap anchorx="margin"/>
        </v:rect>
      </w:pict>
    </w:r>
    <w:r>
      <w:rPr>
        <w:noProof/>
      </w:rPr>
      <w:pict>
        <v:rect id="Rectangle 551" o:spid="_x0000_s2149" style="width:468pt;height:0.95pt;margin-top:12.65pt;margin-left:0.6pt;mso-position-horizontal-relative:margin;position:absolute;visibility:visible;z-index:-251554816" o:allowincell="f" fillcolor="black" stroked="f">
          <o:lock v:ext="edit" aspectratio="t" verticies="t" text="t" shapetype="t"/>
          <w10:wrap anchorx="margin"/>
        </v:rect>
      </w:pict>
    </w:r>
    <w:r>
      <w:rPr>
        <w:noProof/>
      </w:rPr>
      <w:pict>
        <v:rect id="Rectangle 550" o:spid="_x0000_s2150" style="width:468pt;height:0.95pt;margin-top:12.65pt;margin-left:0.6pt;mso-position-horizontal-relative:margin;position:absolute;visibility:visible;z-index:-251553792" o:allowincell="f" fillcolor="black" stroked="f">
          <o:lock v:ext="edit" aspectratio="t" verticies="t" text="t" shapetype="t"/>
          <w10:wrap anchorx="margin"/>
        </v:rect>
      </w:pict>
    </w:r>
    <w:r>
      <w:rPr>
        <w:noProof/>
      </w:rPr>
      <w:pict>
        <v:rect id="Rectangle 549" o:spid="_x0000_s2151" style="width:468pt;height:0.95pt;margin-top:12.65pt;margin-left:0.6pt;mso-position-horizontal-relative:margin;position:absolute;visibility:visible;z-index:-251552768" o:allowincell="f" fillcolor="black" stroked="f">
          <o:lock v:ext="edit" aspectratio="t" verticies="t" text="t" shapetype="t"/>
          <w10:wrap anchorx="margin"/>
        </v:rect>
      </w:pict>
    </w:r>
    <w:r>
      <w:rPr>
        <w:noProof/>
      </w:rPr>
      <w:pict>
        <v:rect id="Rectangle 548" o:spid="_x0000_s2152" style="width:468pt;height:0.95pt;margin-top:12.65pt;margin-left:0.6pt;mso-position-horizontal-relative:margin;position:absolute;visibility:visible;z-index:-251551744" o:allowincell="f" fillcolor="black" stroked="f">
          <o:lock v:ext="edit" aspectratio="t" verticies="t" text="t" shapetype="t"/>
          <w10:wrap anchorx="margin"/>
        </v:rect>
      </w:pict>
    </w:r>
    <w:r>
      <w:rPr>
        <w:noProof/>
      </w:rPr>
      <w:pict>
        <v:rect id="Rectangle 547" o:spid="_x0000_s2153" style="width:468pt;height:0.95pt;margin-top:12.65pt;margin-left:0.6pt;mso-position-horizontal-relative:margin;position:absolute;visibility:visible;z-index:-251550720" o:allowincell="f" fillcolor="black" stroked="f">
          <o:lock v:ext="edit" aspectratio="t" verticies="t" text="t" shapetype="t"/>
          <w10:wrap anchorx="margin"/>
        </v:rect>
      </w:pict>
    </w:r>
    <w:r>
      <w:rPr>
        <w:noProof/>
      </w:rPr>
      <w:pict>
        <v:rect id="Rectangle 546" o:spid="_x0000_s2154" style="width:468pt;height:0.95pt;margin-top:12.65pt;margin-left:0.6pt;mso-position-horizontal-relative:margin;position:absolute;visibility:visible;z-index:-251549696" o:allowincell="f" fillcolor="black" stroked="f">
          <o:lock v:ext="edit" aspectratio="t" verticies="t" text="t" shapetype="t"/>
          <w10:wrap anchorx="margin"/>
        </v:rect>
      </w:pict>
    </w:r>
    <w:r>
      <w:rPr>
        <w:noProof/>
      </w:rPr>
      <w:pict>
        <v:rect id="Rectangle 545" o:spid="_x0000_s2155" style="width:468pt;height:0.95pt;margin-top:12.65pt;margin-left:0.6pt;mso-position-horizontal-relative:margin;position:absolute;visibility:visible;z-index:-251548672" o:allowincell="f" fillcolor="black" stroked="f">
          <o:lock v:ext="edit" aspectratio="t" verticies="t" text="t" shapetype="t"/>
          <w10:wrap anchorx="margin"/>
        </v:rect>
      </w:pict>
    </w:r>
    <w:r>
      <w:rPr>
        <w:noProof/>
      </w:rPr>
      <w:pict>
        <v:rect id="Rectangle 544" o:spid="_x0000_s2156" style="width:468pt;height:0.95pt;margin-top:12.65pt;margin-left:0.6pt;mso-position-horizontal-relative:margin;position:absolute;visibility:visible;z-index:-251547648" o:allowincell="f" fillcolor="black" stroked="f">
          <o:lock v:ext="edit" aspectratio="t" verticies="t" text="t" shapetype="t"/>
          <w10:wrap anchorx="margin"/>
        </v:rect>
      </w:pict>
    </w:r>
    <w:r>
      <w:rPr>
        <w:noProof/>
      </w:rPr>
      <w:pict>
        <v:rect id="Rectangle 543" o:spid="_x0000_s2157" style="width:468pt;height:0.95pt;margin-top:12.65pt;margin-left:0.6pt;mso-position-horizontal-relative:margin;position:absolute;visibility:visible;z-index:-251546624" o:allowincell="f" fillcolor="black" stroked="f">
          <o:lock v:ext="edit" aspectratio="t" verticies="t" text="t" shapetype="t"/>
          <w10:wrap anchorx="margin"/>
        </v:rect>
      </w:pict>
    </w:r>
    <w:r>
      <w:rPr>
        <w:noProof/>
      </w:rPr>
      <w:pict>
        <v:rect id="Rectangle 542" o:spid="_x0000_s2158" style="width:468pt;height:0.95pt;margin-top:12.65pt;margin-left:0.6pt;mso-position-horizontal-relative:margin;position:absolute;visibility:visible;z-index:-251545600" o:allowincell="f" fillcolor="black" stroked="f">
          <o:lock v:ext="edit" aspectratio="t" verticies="t" text="t" shapetype="t"/>
          <w10:wrap anchorx="margin"/>
        </v:rect>
      </w:pict>
    </w:r>
    <w:r>
      <w:rPr>
        <w:noProof/>
      </w:rPr>
      <w:pict>
        <v:rect id="Rectangle 541" o:spid="_x0000_s2159" style="width:468pt;height:0.95pt;margin-top:12.65pt;margin-left:0.6pt;mso-position-horizontal-relative:margin;position:absolute;visibility:visible;z-index:-251544576" o:allowincell="f" fillcolor="black" stroked="f">
          <o:lock v:ext="edit" aspectratio="t" verticies="t" text="t" shapetype="t"/>
          <w10:wrap anchorx="margin"/>
        </v:rect>
      </w:pict>
    </w:r>
    <w:r>
      <w:rPr>
        <w:noProof/>
      </w:rPr>
      <w:pict>
        <v:rect id="Rectangle 540" o:spid="_x0000_s2160" style="width:468pt;height:0.95pt;margin-top:12.65pt;margin-left:0.6pt;mso-position-horizontal-relative:margin;position:absolute;visibility:visible;z-index:-251543552" o:allowincell="f" fillcolor="black" stroked="f">
          <o:lock v:ext="edit" aspectratio="t" verticies="t" text="t" shapetype="t"/>
          <w10:wrap anchorx="margin"/>
        </v:rect>
      </w:pict>
    </w:r>
    <w:r>
      <w:rPr>
        <w:noProof/>
      </w:rPr>
      <w:pict>
        <v:rect id="Rectangle 539" o:spid="_x0000_s2161" style="width:468pt;height:0.95pt;margin-top:12.65pt;margin-left:0.6pt;mso-position-horizontal-relative:margin;position:absolute;visibility:visible;z-index:-251542528" o:allowincell="f" fillcolor="black" stroked="f">
          <o:lock v:ext="edit" aspectratio="t" verticies="t" text="t" shapetype="t"/>
          <w10:wrap anchorx="margin"/>
        </v:rect>
      </w:pict>
    </w:r>
    <w:r>
      <w:rPr>
        <w:noProof/>
      </w:rPr>
      <w:pict>
        <v:rect id="Rectangle 538" o:spid="_x0000_s2162" style="width:468pt;height:0.95pt;margin-top:12.65pt;margin-left:0.6pt;mso-position-horizontal-relative:margin;position:absolute;visibility:visible;z-index:-251541504" o:allowincell="f" fillcolor="black" stroked="f">
          <o:lock v:ext="edit" aspectratio="t" verticies="t" text="t" shapetype="t"/>
          <w10:wrap anchorx="margin"/>
        </v:rect>
      </w:pict>
    </w:r>
    <w:r>
      <w:rPr>
        <w:noProof/>
      </w:rPr>
      <w:pict>
        <v:rect id="Rectangle 537" o:spid="_x0000_s2163" style="width:468pt;height:0.95pt;margin-top:12.65pt;margin-left:0.6pt;mso-position-horizontal-relative:margin;position:absolute;visibility:visible;z-index:-251540480" o:allowincell="f" fillcolor="black" stroked="f">
          <o:lock v:ext="edit" aspectratio="t" verticies="t" text="t" shapetype="t"/>
          <w10:wrap anchorx="margin"/>
        </v:rect>
      </w:pict>
    </w:r>
    <w:r>
      <w:rPr>
        <w:noProof/>
      </w:rPr>
      <w:pict>
        <v:rect id="Rectangle 536" o:spid="_x0000_s2164" style="width:468pt;height:0.95pt;margin-top:12.65pt;margin-left:0.6pt;mso-position-horizontal-relative:margin;position:absolute;visibility:visible;z-index:-251539456" o:allowincell="f" fillcolor="black" stroked="f">
          <o:lock v:ext="edit" aspectratio="t" verticies="t" text="t" shapetype="t"/>
          <w10:wrap anchorx="margin"/>
        </v:rect>
      </w:pict>
    </w:r>
    <w:r>
      <w:rPr>
        <w:noProof/>
      </w:rPr>
      <w:pict>
        <v:rect id="Rectangle 535" o:spid="_x0000_s2165" style="width:468pt;height:0.95pt;margin-top:12.65pt;margin-left:0.6pt;mso-position-horizontal-relative:margin;position:absolute;visibility:visible;z-index:-251538432" o:allowincell="f" fillcolor="black" stroked="f">
          <o:lock v:ext="edit" aspectratio="t" verticies="t" text="t" shapetype="t"/>
          <w10:wrap anchorx="margin"/>
        </v:rect>
      </w:pict>
    </w:r>
    <w:r>
      <w:rPr>
        <w:noProof/>
      </w:rPr>
      <w:pict>
        <v:rect id="Rectangle 534" o:spid="_x0000_s2166" style="width:468pt;height:0.95pt;margin-top:12.65pt;margin-left:0.6pt;mso-position-horizontal-relative:margin;position:absolute;visibility:visible;z-index:-251537408" o:allowincell="f" fillcolor="black" stroked="f">
          <o:lock v:ext="edit" aspectratio="t" verticies="t" text="t" shapetype="t"/>
          <w10:wrap anchorx="margin"/>
        </v:rect>
      </w:pict>
    </w:r>
    <w:r>
      <w:rPr>
        <w:noProof/>
      </w:rPr>
      <w:pict>
        <v:rect id="Rectangle 533" o:spid="_x0000_s2167" style="width:468pt;height:0.95pt;margin-top:12.65pt;margin-left:0.6pt;mso-position-horizontal-relative:margin;position:absolute;visibility:visible;z-index:-251536384" o:allowincell="f" fillcolor="black" stroked="f">
          <o:lock v:ext="edit" aspectratio="t" verticies="t" text="t" shapetype="t"/>
          <w10:wrap anchorx="margin"/>
        </v:rect>
      </w:pict>
    </w:r>
    <w:r>
      <w:rPr>
        <w:noProof/>
      </w:rPr>
      <w:pict>
        <v:rect id="Rectangle 532" o:spid="_x0000_s2168" style="width:468pt;height:0.95pt;margin-top:12.65pt;margin-left:0.6pt;mso-position-horizontal-relative:margin;position:absolute;visibility:visible;z-index:-251535360" o:allowincell="f" fillcolor="black" stroked="f">
          <o:lock v:ext="edit" aspectratio="t" verticies="t" text="t" shapetype="t"/>
          <w10:wrap anchorx="margin"/>
        </v:rect>
      </w:pict>
    </w:r>
    <w:r>
      <w:rPr>
        <w:noProof/>
      </w:rPr>
      <w:pict>
        <v:rect id="Rectangle 531" o:spid="_x0000_s2169" style="width:468pt;height:0.95pt;margin-top:12.65pt;margin-left:0.6pt;mso-position-horizontal-relative:margin;position:absolute;visibility:visible;z-index:-251534336" o:allowincell="f" fillcolor="black" stroked="f">
          <o:lock v:ext="edit" aspectratio="t" verticies="t" text="t" shapetype="t"/>
          <w10:wrap anchorx="margin"/>
        </v:rect>
      </w:pict>
    </w:r>
    <w:r>
      <w:rPr>
        <w:noProof/>
      </w:rPr>
      <w:pict>
        <v:rect id="Rectangle 530" o:spid="_x0000_s2170" style="width:468pt;height:0.95pt;margin-top:12.65pt;margin-left:0.6pt;mso-position-horizontal-relative:margin;position:absolute;visibility:visible;z-index:-251533312" o:allowincell="f" fillcolor="black" stroked="f">
          <o:lock v:ext="edit" aspectratio="t" verticies="t" text="t" shapetype="t"/>
          <w10:wrap anchorx="margin"/>
        </v:rect>
      </w:pict>
    </w:r>
    <w:r>
      <w:rPr>
        <w:noProof/>
      </w:rPr>
      <w:pict>
        <v:rect id="Rectangle 529" o:spid="_x0000_s2171" style="width:468pt;height:0.95pt;margin-top:12.65pt;margin-left:0.6pt;mso-position-horizontal-relative:margin;position:absolute;visibility:visible;z-index:-251532288" o:allowincell="f" fillcolor="black" stroked="f">
          <o:lock v:ext="edit" aspectratio="t" verticies="t" text="t" shapetype="t"/>
          <w10:wrap anchorx="margin"/>
        </v:rect>
      </w:pict>
    </w:r>
    <w:r>
      <w:rPr>
        <w:noProof/>
      </w:rPr>
      <w:pict>
        <v:rect id="Rectangle 528" o:spid="_x0000_s2172" style="width:468pt;height:0.95pt;margin-top:12.65pt;margin-left:0.6pt;mso-position-horizontal-relative:margin;position:absolute;visibility:visible;z-index:-251531264" o:allowincell="f" fillcolor="black" stroked="f">
          <o:lock v:ext="edit" aspectratio="t" verticies="t" text="t" shapetype="t"/>
          <w10:wrap anchorx="margin"/>
        </v:rect>
      </w:pict>
    </w:r>
    <w:r>
      <w:rPr>
        <w:noProof/>
      </w:rPr>
      <w:pict>
        <v:rect id="Rectangle 527" o:spid="_x0000_s2173" style="width:468pt;height:0.95pt;margin-top:12.65pt;margin-left:0.6pt;mso-position-horizontal-relative:margin;position:absolute;visibility:visible;z-index:-251530240" o:allowincell="f" fillcolor="black" stroked="f">
          <o:lock v:ext="edit" aspectratio="t" verticies="t" text="t" shapetype="t"/>
          <w10:wrap anchorx="margin"/>
        </v:rect>
      </w:pict>
    </w:r>
    <w:r>
      <w:rPr>
        <w:noProof/>
      </w:rPr>
      <w:pict>
        <v:rect id="Rectangle 526" o:spid="_x0000_s2174" style="width:468pt;height:0.95pt;margin-top:12.65pt;margin-left:0.6pt;mso-position-horizontal-relative:margin;position:absolute;visibility:visible;z-index:-251529216" o:allowincell="f" fillcolor="black" stroked="f">
          <o:lock v:ext="edit" aspectratio="t" verticies="t" text="t" shapetype="t"/>
          <w10:wrap anchorx="margin"/>
        </v:rect>
      </w:pict>
    </w:r>
    <w:r>
      <w:rPr>
        <w:noProof/>
      </w:rPr>
      <w:pict>
        <v:rect id="Rectangle 525" o:spid="_x0000_s2175" style="width:468pt;height:0.95pt;margin-top:12.65pt;margin-left:0.6pt;mso-position-horizontal-relative:margin;position:absolute;visibility:visible;z-index:-251528192" o:allowincell="f" fillcolor="black" stroked="f">
          <o:lock v:ext="edit" aspectratio="t" verticies="t" text="t" shapetype="t"/>
          <w10:wrap anchorx="margin"/>
        </v:rect>
      </w:pict>
    </w:r>
    <w:r>
      <w:rPr>
        <w:noProof/>
      </w:rPr>
      <w:pict>
        <v:rect id="Rectangle 524" o:spid="_x0000_s2176" style="width:468pt;height:0.95pt;margin-top:12.65pt;margin-left:0.6pt;mso-position-horizontal-relative:margin;position:absolute;visibility:visible;z-index:-251527168" o:allowincell="f" fillcolor="black" stroked="f">
          <o:lock v:ext="edit" aspectratio="t" verticies="t" text="t" shapetype="t"/>
          <w10:wrap anchorx="margin"/>
        </v:rect>
      </w:pict>
    </w:r>
    <w:r>
      <w:rPr>
        <w:noProof/>
      </w:rPr>
      <w:pict>
        <v:rect id="Rectangle 523" o:spid="_x0000_s2177" style="width:468pt;height:0.95pt;margin-top:12.65pt;margin-left:0.6pt;mso-position-horizontal-relative:margin;position:absolute;visibility:visible;z-index:-251526144" o:allowincell="f" fillcolor="black" stroked="f">
          <o:lock v:ext="edit" aspectratio="t" verticies="t" text="t" shapetype="t"/>
          <w10:wrap anchorx="margin"/>
        </v:rect>
      </w:pict>
    </w:r>
    <w:r>
      <w:rPr>
        <w:noProof/>
      </w:rPr>
      <w:pict>
        <v:rect id="Rectangle 522" o:spid="_x0000_s2178" style="width:468pt;height:0.95pt;margin-top:12.65pt;margin-left:0.6pt;mso-position-horizontal-relative:margin;position:absolute;visibility:visible;z-index:-251525120" o:allowincell="f" fillcolor="black" stroked="f">
          <o:lock v:ext="edit" aspectratio="t" verticies="t" text="t" shapetype="t"/>
          <w10:wrap anchorx="margin"/>
        </v:rect>
      </w:pict>
    </w:r>
    <w:r>
      <w:rPr>
        <w:noProof/>
      </w:rPr>
      <w:pict>
        <v:rect id="Rectangle 521" o:spid="_x0000_s2179" style="width:468pt;height:0.95pt;margin-top:12.65pt;margin-left:0.6pt;mso-position-horizontal-relative:margin;position:absolute;visibility:visible;z-index:-251524096" o:allowincell="f" fillcolor="black" stroked="f">
          <o:lock v:ext="edit" aspectratio="t" verticies="t" text="t" shapetype="t"/>
          <w10:wrap anchorx="margin"/>
        </v:rect>
      </w:pict>
    </w:r>
    <w:r>
      <w:rPr>
        <w:noProof/>
      </w:rPr>
      <w:pict>
        <v:rect id="Rectangle 520" o:spid="_x0000_s2180" style="width:468pt;height:0.95pt;margin-top:12.65pt;margin-left:0.6pt;mso-position-horizontal-relative:margin;position:absolute;visibility:visible;z-index:-251523072" o:allowincell="f" fillcolor="black" stroked="f">
          <o:lock v:ext="edit" aspectratio="t" verticies="t" text="t" shapetype="t"/>
          <w10:wrap anchorx="margin"/>
        </v:rect>
      </w:pict>
    </w:r>
    <w:r>
      <w:rPr>
        <w:noProof/>
      </w:rPr>
      <w:pict>
        <v:rect id="Rectangle 519" o:spid="_x0000_s2181" style="width:468pt;height:0.95pt;margin-top:12.65pt;margin-left:0.6pt;mso-position-horizontal-relative:margin;position:absolute;visibility:visible;z-index:-251522048" o:allowincell="f" fillcolor="black" stroked="f">
          <o:lock v:ext="edit" aspectratio="t" verticies="t" text="t" shapetype="t"/>
          <w10:wrap anchorx="margin"/>
        </v:rect>
      </w:pict>
    </w:r>
    <w:r>
      <w:rPr>
        <w:noProof/>
      </w:rPr>
      <w:pict>
        <v:rect id="Rectangle 518" o:spid="_x0000_s2182" style="width:468pt;height:0.95pt;margin-top:12.65pt;margin-left:0.6pt;mso-position-horizontal-relative:margin;position:absolute;visibility:visible;z-index:-251521024" o:allowincell="f" fillcolor="black" stroked="f">
          <o:lock v:ext="edit" aspectratio="t" verticies="t" text="t" shapetype="t"/>
          <w10:wrap anchorx="margin"/>
        </v:rect>
      </w:pict>
    </w:r>
    <w:r>
      <w:rPr>
        <w:noProof/>
      </w:rPr>
      <w:pict>
        <v:rect id="Rectangle 517" o:spid="_x0000_s2183" style="width:468pt;height:0.95pt;margin-top:12.65pt;margin-left:0.6pt;mso-position-horizontal-relative:margin;position:absolute;visibility:visible;z-index:-251520000" o:allowincell="f" fillcolor="black" stroked="f">
          <o:lock v:ext="edit" aspectratio="t" verticies="t" text="t" shapetype="t"/>
          <w10:wrap anchorx="margin"/>
        </v:rect>
      </w:pict>
    </w:r>
    <w:r>
      <w:rPr>
        <w:noProof/>
      </w:rPr>
      <w:pict>
        <v:rect id="Rectangle 516" o:spid="_x0000_s2184" style="width:468pt;height:0.95pt;margin-top:12.65pt;margin-left:0.6pt;mso-position-horizontal-relative:margin;position:absolute;visibility:visible;z-index:-251518976" o:allowincell="f" fillcolor="black" stroked="f">
          <o:lock v:ext="edit" aspectratio="t" verticies="t" text="t" shapetype="t"/>
          <w10:wrap anchorx="margin"/>
        </v:rect>
      </w:pict>
    </w:r>
    <w:r>
      <w:rPr>
        <w:noProof/>
      </w:rPr>
      <w:pict>
        <v:rect id="Rectangle 515" o:spid="_x0000_s2185" style="width:468pt;height:0.95pt;margin-top:12.65pt;margin-left:0.6pt;mso-position-horizontal-relative:margin;position:absolute;visibility:visible;z-index:-251517952" o:allowincell="f" fillcolor="black" stroked="f">
          <o:lock v:ext="edit" aspectratio="t" verticies="t" text="t" shapetype="t"/>
          <w10:wrap anchorx="margin"/>
        </v:rect>
      </w:pict>
    </w:r>
    <w:r>
      <w:rPr>
        <w:noProof/>
      </w:rPr>
      <w:pict>
        <v:rect id="Rectangle 514" o:spid="_x0000_s2186" style="width:468pt;height:0.95pt;margin-top:12.65pt;margin-left:0.6pt;mso-position-horizontal-relative:margin;position:absolute;visibility:visible;z-index:-251516928" o:allowincell="f" fillcolor="black" stroked="f">
          <o:lock v:ext="edit" aspectratio="t" verticies="t" text="t" shapetype="t"/>
          <w10:wrap anchorx="margin"/>
        </v:rect>
      </w:pict>
    </w:r>
    <w:r>
      <w:rPr>
        <w:noProof/>
      </w:rPr>
      <w:pict>
        <v:rect id="Rectangle 513" o:spid="_x0000_s2187" style="width:468pt;height:0.95pt;margin-top:12.65pt;margin-left:0.6pt;mso-position-horizontal-relative:margin;position:absolute;visibility:visible;z-index:-251515904" o:allowincell="f" fillcolor="black" stroked="f">
          <o:lock v:ext="edit" aspectratio="t" verticies="t" text="t" shapetype="t"/>
          <w10:wrap anchorx="margin"/>
        </v:rect>
      </w:pict>
    </w:r>
    <w:r>
      <w:rPr>
        <w:noProof/>
      </w:rPr>
      <w:pict>
        <v:rect id="Rectangle 512" o:spid="_x0000_s2188" style="width:468pt;height:0.95pt;margin-top:12.65pt;margin-left:0.6pt;mso-position-horizontal-relative:margin;position:absolute;visibility:visible;z-index:-251514880" o:allowincell="f" fillcolor="black" stroked="f">
          <o:lock v:ext="edit" aspectratio="t" verticies="t" text="t" shapetype="t"/>
          <w10:wrap anchorx="margin"/>
        </v:rect>
      </w:pict>
    </w:r>
    <w:r>
      <w:rPr>
        <w:noProof/>
      </w:rPr>
      <w:pict>
        <v:rect id="Rectangle 511" o:spid="_x0000_s2189" style="width:468pt;height:0.95pt;margin-top:12.65pt;margin-left:0.6pt;mso-position-horizontal-relative:margin;position:absolute;visibility:visible;z-index:-251513856" o:allowincell="f" fillcolor="black" stroked="f">
          <o:lock v:ext="edit" aspectratio="t" verticies="t" text="t" shapetype="t"/>
          <w10:wrap anchorx="margin"/>
        </v:rect>
      </w:pict>
    </w:r>
    <w:r>
      <w:rPr>
        <w:noProof/>
      </w:rPr>
      <w:pict>
        <v:rect id="Rectangle 510" o:spid="_x0000_s2190" style="width:468pt;height:0.95pt;margin-top:12.65pt;margin-left:0.6pt;mso-position-horizontal-relative:margin;position:absolute;visibility:visible;z-index:-251512832" o:allowincell="f" fillcolor="black" stroked="f">
          <o:lock v:ext="edit" aspectratio="t" verticies="t" text="t" shapetype="t"/>
          <w10:wrap anchorx="margin"/>
        </v:rect>
      </w:pict>
    </w:r>
    <w:r>
      <w:rPr>
        <w:noProof/>
      </w:rPr>
      <w:pict>
        <v:rect id="Rectangle 509" o:spid="_x0000_s2191" style="width:468pt;height:0.95pt;margin-top:12.65pt;margin-left:0.6pt;mso-position-horizontal-relative:margin;position:absolute;visibility:visible;z-index:-251511808" o:allowincell="f" fillcolor="black" stroked="f">
          <o:lock v:ext="edit" aspectratio="t" verticies="t" text="t" shapetype="t"/>
          <w10:wrap anchorx="margin"/>
        </v:rect>
      </w:pict>
    </w:r>
    <w:r>
      <w:rPr>
        <w:noProof/>
      </w:rPr>
      <w:pict>
        <v:rect id="Rectangle 508" o:spid="_x0000_s2192" style="width:468pt;height:0.95pt;margin-top:12.65pt;margin-left:0.6pt;mso-position-horizontal-relative:margin;position:absolute;visibility:visible;z-index:-251510784" o:allowincell="f" fillcolor="black" stroked="f">
          <o:lock v:ext="edit" aspectratio="t" verticies="t" text="t" shapetype="t"/>
          <w10:wrap anchorx="margin"/>
        </v:rect>
      </w:pict>
    </w:r>
    <w:r>
      <w:rPr>
        <w:noProof/>
      </w:rPr>
      <w:pict>
        <v:rect id="Rectangle 507" o:spid="_x0000_s2193" style="width:468pt;height:0.95pt;margin-top:12.65pt;margin-left:0.6pt;mso-position-horizontal-relative:margin;position:absolute;visibility:visible;z-index:-251509760" o:allowincell="f" fillcolor="black" stroked="f">
          <o:lock v:ext="edit" aspectratio="t" verticies="t" text="t" shapetype="t"/>
          <w10:wrap anchorx="margin"/>
        </v:rect>
      </w:pict>
    </w:r>
    <w:r>
      <w:rPr>
        <w:noProof/>
      </w:rPr>
      <w:pict>
        <v:rect id="Rectangle 506" o:spid="_x0000_s2194" style="width:468pt;height:0.95pt;margin-top:12.65pt;margin-left:0.6pt;mso-position-horizontal-relative:margin;position:absolute;visibility:visible;z-index:-251508736" o:allowincell="f" fillcolor="black" stroked="f">
          <o:lock v:ext="edit" aspectratio="t" verticies="t" text="t" shapetype="t"/>
          <w10:wrap anchorx="margin"/>
        </v:rect>
      </w:pict>
    </w:r>
    <w:r>
      <w:rPr>
        <w:noProof/>
      </w:rPr>
      <w:pict>
        <v:rect id="Rectangle 505" o:spid="_x0000_s2195" style="width:468pt;height:0.95pt;margin-top:12.65pt;margin-left:0.6pt;mso-position-horizontal-relative:margin;position:absolute;visibility:visible;z-index:-251507712" o:allowincell="f" fillcolor="black" stroked="f">
          <o:lock v:ext="edit" aspectratio="t" verticies="t" text="t" shapetype="t"/>
          <w10:wrap anchorx="margin"/>
        </v:rect>
      </w:pict>
    </w:r>
    <w:r>
      <w:rPr>
        <w:noProof/>
      </w:rPr>
      <w:pict>
        <v:rect id="Rectangle 504" o:spid="_x0000_s2196" style="width:468pt;height:0.95pt;margin-top:12.65pt;margin-left:0.6pt;mso-position-horizontal-relative:margin;position:absolute;visibility:visible;z-index:-251506688" o:allowincell="f" fillcolor="black" stroked="f">
          <o:lock v:ext="edit" aspectratio="t" verticies="t" text="t" shapetype="t"/>
          <w10:wrap anchorx="margin"/>
        </v:rect>
      </w:pict>
    </w:r>
    <w:r>
      <w:rPr>
        <w:noProof/>
      </w:rPr>
      <w:pict>
        <v:rect id="Rectangle 503" o:spid="_x0000_s2197" style="width:468pt;height:0.95pt;margin-top:12.65pt;margin-left:0.6pt;mso-position-horizontal-relative:margin;position:absolute;visibility:visible;z-index:-251505664" o:allowincell="f" fillcolor="black" stroked="f">
          <o:lock v:ext="edit" aspectratio="t" verticies="t" text="t" shapetype="t"/>
          <w10:wrap anchorx="margin"/>
        </v:rect>
      </w:pict>
    </w:r>
    <w:r>
      <w:rPr>
        <w:noProof/>
      </w:rPr>
      <w:pict>
        <v:rect id="Rectangle 502" o:spid="_x0000_s2198" style="width:468pt;height:0.95pt;margin-top:12.65pt;margin-left:0.6pt;mso-position-horizontal-relative:margin;position:absolute;visibility:visible;z-index:-251504640" o:allowincell="f" fillcolor="black" stroked="f">
          <o:lock v:ext="edit" aspectratio="t" verticies="t" text="t" shapetype="t"/>
          <w10:wrap anchorx="margin"/>
        </v:rect>
      </w:pict>
    </w:r>
    <w:r>
      <w:rPr>
        <w:noProof/>
      </w:rPr>
      <w:pict>
        <v:rect id="Rectangle 501" o:spid="_x0000_s2199" style="width:468pt;height:0.95pt;margin-top:12.65pt;margin-left:0.6pt;mso-position-horizontal-relative:margin;position:absolute;visibility:visible;z-index:-251503616" o:allowincell="f" fillcolor="black" stroked="f">
          <o:lock v:ext="edit" aspectratio="t" verticies="t" text="t" shapetype="t"/>
          <w10:wrap anchorx="margin"/>
        </v:rect>
      </w:pict>
    </w:r>
    <w:r>
      <w:rPr>
        <w:noProof/>
      </w:rPr>
      <w:pict>
        <v:rect id="Rectangle 500" o:spid="_x0000_s2200" style="width:468pt;height:0.95pt;margin-top:12.65pt;margin-left:0.6pt;mso-position-horizontal-relative:margin;position:absolute;visibility:visible;z-index:-251502592" o:allowincell="f" fillcolor="black" stroked="f">
          <o:lock v:ext="edit" aspectratio="t" verticies="t" text="t" shapetype="t"/>
          <w10:wrap anchorx="margin"/>
        </v:rect>
      </w:pict>
    </w:r>
    <w:r>
      <w:rPr>
        <w:noProof/>
      </w:rPr>
      <w:pict>
        <v:rect id="Rectangle 499" o:spid="_x0000_s2201" style="width:468pt;height:0.95pt;margin-top:12.65pt;margin-left:0.6pt;mso-position-horizontal-relative:margin;position:absolute;visibility:visible;z-index:-251501568" o:allowincell="f" fillcolor="black" stroked="f">
          <o:lock v:ext="edit" aspectratio="t" verticies="t" text="t" shapetype="t"/>
          <w10:wrap anchorx="margin"/>
        </v:rect>
      </w:pict>
    </w:r>
    <w:r>
      <w:rPr>
        <w:noProof/>
      </w:rPr>
      <w:pict>
        <v:rect id="Rectangle 498" o:spid="_x0000_s2202" style="width:468pt;height:0.95pt;margin-top:12.65pt;margin-left:0.6pt;mso-position-horizontal-relative:margin;position:absolute;visibility:visible;z-index:-251500544" o:allowincell="f" fillcolor="black" stroked="f">
          <o:lock v:ext="edit" aspectratio="t" verticies="t" text="t" shapetype="t"/>
          <w10:wrap anchorx="margin"/>
        </v:rect>
      </w:pict>
    </w:r>
    <w:r>
      <w:rPr>
        <w:noProof/>
      </w:rPr>
      <w:pict>
        <v:rect id="Rectangle 497" o:spid="_x0000_s2203" style="width:468pt;height:0.95pt;margin-top:12.65pt;margin-left:0.6pt;mso-position-horizontal-relative:margin;position:absolute;visibility:visible;z-index:-251499520" o:allowincell="f" fillcolor="black" stroked="f">
          <o:lock v:ext="edit" aspectratio="t" verticies="t" text="t" shapetype="t"/>
          <w10:wrap anchorx="margin"/>
        </v:rect>
      </w:pict>
    </w:r>
    <w:r>
      <w:rPr>
        <w:noProof/>
      </w:rPr>
      <w:pict>
        <v:rect id="Rectangle 496" o:spid="_x0000_s2204" style="width:468pt;height:0.95pt;margin-top:12.65pt;margin-left:0.6pt;mso-position-horizontal-relative:margin;position:absolute;visibility:visible;z-index:-251498496" o:allowincell="f" fillcolor="black" stroked="f">
          <o:lock v:ext="edit" aspectratio="t" verticies="t" text="t" shapetype="t"/>
          <w10:wrap anchorx="margin"/>
        </v:rect>
      </w:pict>
    </w:r>
    <w:r>
      <w:rPr>
        <w:noProof/>
      </w:rPr>
      <w:pict>
        <v:rect id="Rectangle 495" o:spid="_x0000_s2205" style="width:468pt;height:0.95pt;margin-top:12.65pt;margin-left:0.6pt;mso-position-horizontal-relative:margin;position:absolute;visibility:visible;z-index:-251497472" o:allowincell="f" fillcolor="black" stroked="f">
          <o:lock v:ext="edit" aspectratio="t" verticies="t" text="t" shapetype="t"/>
          <w10:wrap anchorx="margin"/>
        </v:rect>
      </w:pict>
    </w:r>
    <w:r>
      <w:rPr>
        <w:noProof/>
      </w:rPr>
      <w:pict>
        <v:rect id="Rectangle 494" o:spid="_x0000_s2206" style="width:468pt;height:0.95pt;margin-top:12.65pt;margin-left:0.6pt;mso-position-horizontal-relative:margin;position:absolute;visibility:visible;z-index:-251496448" o:allowincell="f" fillcolor="black" stroked="f">
          <o:lock v:ext="edit" aspectratio="t" verticies="t" text="t" shapetype="t"/>
          <w10:wrap anchorx="margin"/>
        </v:rect>
      </w:pict>
    </w:r>
    <w:r>
      <w:rPr>
        <w:noProof/>
      </w:rPr>
      <w:pict>
        <v:rect id="Rectangle 493" o:spid="_x0000_s2207" style="width:468pt;height:0.95pt;margin-top:12.65pt;margin-left:0.6pt;mso-position-horizontal-relative:margin;position:absolute;visibility:visible;z-index:-251495424" o:allowincell="f" fillcolor="black" stroked="f">
          <o:lock v:ext="edit" aspectratio="t" verticies="t" text="t" shapetype="t"/>
          <w10:wrap anchorx="margin"/>
        </v:rect>
      </w:pict>
    </w:r>
    <w:r>
      <w:rPr>
        <w:noProof/>
      </w:rPr>
      <w:pict>
        <v:rect id="Rectangle 492" o:spid="_x0000_s2208" style="width:468pt;height:0.95pt;margin-top:12.65pt;margin-left:0.6pt;mso-position-horizontal-relative:margin;position:absolute;visibility:visible;z-index:-251494400" o:allowincell="f" fillcolor="black" stroked="f">
          <o:lock v:ext="edit" aspectratio="t" verticies="t" text="t" shapetype="t"/>
          <w10:wrap anchorx="margin"/>
        </v:rect>
      </w:pict>
    </w:r>
    <w:r>
      <w:rPr>
        <w:noProof/>
      </w:rPr>
      <w:pict>
        <v:rect id="Rectangle 491" o:spid="_x0000_s2209" style="width:468pt;height:0.95pt;margin-top:12.65pt;margin-left:0.6pt;mso-position-horizontal-relative:margin;position:absolute;visibility:visible;z-index:-251493376" o:allowincell="f" fillcolor="black" stroked="f">
          <o:lock v:ext="edit" aspectratio="t" verticies="t" text="t" shapetype="t"/>
          <w10:wrap anchorx="margin"/>
        </v:rect>
      </w:pict>
    </w:r>
    <w:r>
      <w:rPr>
        <w:noProof/>
      </w:rPr>
      <w:pict>
        <v:rect id="Rectangle 490" o:spid="_x0000_s2210" style="width:468pt;height:0.95pt;margin-top:12.65pt;margin-left:0.6pt;mso-position-horizontal-relative:margin;position:absolute;visibility:visible;z-index:-251492352" o:allowincell="f" fillcolor="black" stroked="f">
          <o:lock v:ext="edit" aspectratio="t" verticies="t" text="t" shapetype="t"/>
          <w10:wrap anchorx="margin"/>
        </v:rect>
      </w:pict>
    </w:r>
    <w:r>
      <w:rPr>
        <w:noProof/>
      </w:rPr>
      <w:pict>
        <v:rect id="Rectangle 489" o:spid="_x0000_s2211" style="width:468pt;height:0.95pt;margin-top:12.65pt;margin-left:0.6pt;mso-position-horizontal-relative:margin;position:absolute;visibility:visible;z-index:-251491328" o:allowincell="f" fillcolor="black" stroked="f">
          <o:lock v:ext="edit" aspectratio="t" verticies="t" text="t" shapetype="t"/>
          <w10:wrap anchorx="margin"/>
        </v:rect>
      </w:pict>
    </w:r>
    <w:r>
      <w:rPr>
        <w:noProof/>
      </w:rPr>
      <w:pict>
        <v:rect id="Rectangle 488" o:spid="_x0000_s2212" style="width:468pt;height:0.95pt;margin-top:12.65pt;margin-left:0.6pt;mso-position-horizontal-relative:margin;position:absolute;visibility:visible;z-index:-251490304" o:allowincell="f" fillcolor="black" stroked="f">
          <o:lock v:ext="edit" aspectratio="t" verticies="t" text="t" shapetype="t"/>
          <w10:wrap anchorx="margin"/>
        </v:rect>
      </w:pict>
    </w:r>
    <w:r>
      <w:rPr>
        <w:noProof/>
      </w:rPr>
      <w:pict>
        <v:rect id="Rectangle 487" o:spid="_x0000_s2213" style="width:468pt;height:0.95pt;margin-top:12.65pt;margin-left:0.6pt;mso-position-horizontal-relative:margin;position:absolute;visibility:visible;z-index:-251489280" o:allowincell="f" fillcolor="black" stroked="f">
          <o:lock v:ext="edit" aspectratio="t" verticies="t" text="t" shapetype="t"/>
          <w10:wrap anchorx="margin"/>
        </v:rect>
      </w:pict>
    </w:r>
    <w:r>
      <w:rPr>
        <w:noProof/>
      </w:rPr>
      <w:pict>
        <v:rect id="Rectangle 486" o:spid="_x0000_s2214" style="width:468pt;height:0.95pt;margin-top:12.65pt;margin-left:0.6pt;mso-position-horizontal-relative:margin;position:absolute;visibility:visible;z-index:-251488256" o:allowincell="f" fillcolor="black" stroked="f">
          <o:lock v:ext="edit" aspectratio="t" verticies="t" text="t" shapetype="t"/>
          <w10:wrap anchorx="margin"/>
        </v:rect>
      </w:pict>
    </w:r>
    <w:r>
      <w:rPr>
        <w:noProof/>
      </w:rPr>
      <w:pict>
        <v:rect id="Rectangle 485" o:spid="_x0000_s2215" style="width:468pt;height:0.95pt;margin-top:12.65pt;margin-left:0.6pt;mso-position-horizontal-relative:margin;position:absolute;visibility:visible;z-index:-251487232" o:allowincell="f" fillcolor="black" stroked="f">
          <o:lock v:ext="edit" aspectratio="t" verticies="t" text="t" shapetype="t"/>
          <w10:wrap anchorx="margin"/>
        </v:rect>
      </w:pict>
    </w:r>
    <w:r>
      <w:rPr>
        <w:noProof/>
      </w:rPr>
      <w:pict>
        <v:rect id="Rectangle 484" o:spid="_x0000_s2216" style="width:468pt;height:0.95pt;margin-top:12.65pt;margin-left:0.6pt;mso-position-horizontal-relative:margin;position:absolute;visibility:visible;z-index:-251486208" o:allowincell="f" fillcolor="black" stroked="f">
          <o:lock v:ext="edit" aspectratio="t" verticies="t" text="t" shapetype="t"/>
          <w10:wrap anchorx="margin"/>
        </v:rect>
      </w:pict>
    </w:r>
    <w:r>
      <w:rPr>
        <w:noProof/>
      </w:rPr>
      <w:pict>
        <v:rect id="Rectangle 483" o:spid="_x0000_s2217" style="width:468pt;height:0.95pt;margin-top:12.65pt;margin-left:0.6pt;mso-position-horizontal-relative:margin;position:absolute;visibility:visible;z-index:-251485184" o:allowincell="f" fillcolor="black" stroked="f">
          <o:lock v:ext="edit" aspectratio="t" verticies="t" text="t" shapetype="t"/>
          <w10:wrap anchorx="margin"/>
        </v:rect>
      </w:pict>
    </w:r>
    <w:r>
      <w:rPr>
        <w:noProof/>
      </w:rPr>
      <w:pict>
        <v:rect id="Rectangle 482" o:spid="_x0000_s2218" style="width:468pt;height:0.95pt;margin-top:12.65pt;margin-left:0.6pt;mso-position-horizontal-relative:margin;position:absolute;visibility:visible;z-index:-251484160" o:allowincell="f" fillcolor="black" stroked="f">
          <o:lock v:ext="edit" aspectratio="t" verticies="t" text="t" shapetype="t"/>
          <w10:wrap anchorx="margin"/>
        </v:rect>
      </w:pict>
    </w:r>
    <w:r>
      <w:rPr>
        <w:noProof/>
      </w:rPr>
      <w:pict>
        <v:rect id="Rectangle 481" o:spid="_x0000_s2219" style="width:468pt;height:0.95pt;margin-top:12.65pt;margin-left:0.6pt;mso-position-horizontal-relative:margin;position:absolute;visibility:visible;z-index:-251483136" o:allowincell="f" fillcolor="black" stroked="f">
          <o:lock v:ext="edit" aspectratio="t" verticies="t" text="t" shapetype="t"/>
          <w10:wrap anchorx="margin"/>
        </v:rect>
      </w:pict>
    </w:r>
    <w:r>
      <w:rPr>
        <w:noProof/>
      </w:rPr>
      <w:pict>
        <v:rect id="Rectangle 480" o:spid="_x0000_s2220" style="width:468pt;height:0.95pt;margin-top:12.65pt;margin-left:0.6pt;mso-position-horizontal-relative:margin;position:absolute;visibility:visible;z-index:-251482112" o:allowincell="f" fillcolor="black" stroked="f">
          <o:lock v:ext="edit" aspectratio="t" verticies="t" text="t" shapetype="t"/>
          <w10:wrap anchorx="margin"/>
        </v:rect>
      </w:pict>
    </w:r>
    <w:r>
      <w:rPr>
        <w:noProof/>
      </w:rPr>
      <w:pict>
        <v:rect id="Rectangle 479" o:spid="_x0000_s2221" style="width:468pt;height:0.95pt;margin-top:12.65pt;margin-left:0.6pt;mso-position-horizontal-relative:margin;position:absolute;visibility:visible;z-index:-251481088" o:allowincell="f" fillcolor="black" stroked="f">
          <o:lock v:ext="edit" aspectratio="t" verticies="t" text="t" shapetype="t"/>
          <w10:wrap anchorx="margin"/>
        </v:rect>
      </w:pict>
    </w:r>
    <w:r>
      <w:rPr>
        <w:noProof/>
      </w:rPr>
      <w:pict>
        <v:rect id="Rectangle 478" o:spid="_x0000_s2222" style="width:468pt;height:0.95pt;margin-top:12.65pt;margin-left:0.6pt;mso-position-horizontal-relative:margin;position:absolute;visibility:visible;z-index:-251480064" o:allowincell="f" fillcolor="black" stroked="f">
          <o:lock v:ext="edit" aspectratio="t" verticies="t" text="t" shapetype="t"/>
          <w10:wrap anchorx="margin"/>
        </v:rect>
      </w:pict>
    </w:r>
    <w:r>
      <w:rPr>
        <w:noProof/>
      </w:rPr>
      <w:pict>
        <v:rect id="Rectangle 477" o:spid="_x0000_s2223" style="width:468pt;height:0.95pt;margin-top:12.65pt;margin-left:0.6pt;mso-position-horizontal-relative:margin;position:absolute;visibility:visible;z-index:-251479040" o:allowincell="f" fillcolor="black" stroked="f">
          <o:lock v:ext="edit" aspectratio="t" verticies="t" text="t" shapetype="t"/>
          <w10:wrap anchorx="margin"/>
        </v:rect>
      </w:pict>
    </w:r>
    <w:r>
      <w:rPr>
        <w:noProof/>
      </w:rPr>
      <w:pict>
        <v:rect id="Rectangle 476" o:spid="_x0000_s2224" style="width:468pt;height:0.95pt;margin-top:12.65pt;margin-left:0.6pt;mso-position-horizontal-relative:margin;position:absolute;visibility:visible;z-index:-251478016" o:allowincell="f" fillcolor="black" stroked="f">
          <o:lock v:ext="edit" aspectratio="t" verticies="t" text="t" shapetype="t"/>
          <w10:wrap anchorx="margin"/>
        </v:rect>
      </w:pict>
    </w:r>
    <w:r>
      <w:rPr>
        <w:noProof/>
      </w:rPr>
      <w:pict>
        <v:rect id="Rectangle 475" o:spid="_x0000_s2225" style="width:468pt;height:0.95pt;margin-top:12.65pt;margin-left:0.6pt;mso-position-horizontal-relative:margin;position:absolute;visibility:visible;z-index:-251476992" o:allowincell="f" fillcolor="black" stroked="f">
          <o:lock v:ext="edit" aspectratio="t" verticies="t" text="t" shapetype="t"/>
          <w10:wrap anchorx="margin"/>
        </v:rect>
      </w:pict>
    </w:r>
    <w:r>
      <w:rPr>
        <w:noProof/>
      </w:rPr>
      <w:pict>
        <v:rect id="Rectangle 474" o:spid="_x0000_s2226" style="width:468pt;height:0.95pt;margin-top:12.65pt;margin-left:0.6pt;mso-position-horizontal-relative:margin;position:absolute;visibility:visible;z-index:-251475968" o:allowincell="f" fillcolor="black" stroked="f">
          <o:lock v:ext="edit" aspectratio="t" verticies="t" text="t" shapetype="t"/>
          <w10:wrap anchorx="margin"/>
        </v:rect>
      </w:pict>
    </w:r>
    <w:r>
      <w:rPr>
        <w:noProof/>
      </w:rPr>
      <w:pict>
        <v:rect id="Rectangle 473" o:spid="_x0000_s2227" style="width:468pt;height:0.95pt;margin-top:12.65pt;margin-left:0.6pt;mso-position-horizontal-relative:margin;position:absolute;visibility:visible;z-index:-251474944" o:allowincell="f" fillcolor="black" stroked="f">
          <o:lock v:ext="edit" aspectratio="t" verticies="t" text="t" shapetype="t"/>
          <w10:wrap anchorx="margin"/>
        </v:rect>
      </w:pict>
    </w:r>
    <w:r>
      <w:rPr>
        <w:noProof/>
      </w:rPr>
      <w:pict>
        <v:rect id="Rectangle 472" o:spid="_x0000_s2228" style="width:468pt;height:0.95pt;margin-top:12.65pt;margin-left:0.6pt;mso-position-horizontal-relative:margin;position:absolute;visibility:visible;z-index:-251473920" o:allowincell="f" fillcolor="black" stroked="f">
          <o:lock v:ext="edit" aspectratio="t" verticies="t" text="t" shapetype="t"/>
          <w10:wrap anchorx="margin"/>
        </v:rect>
      </w:pict>
    </w:r>
    <w:r>
      <w:rPr>
        <w:noProof/>
      </w:rPr>
      <w:pict>
        <v:rect id="Rectangle 471" o:spid="_x0000_s2229" style="width:468pt;height:0.95pt;margin-top:12.65pt;margin-left:0.6pt;mso-position-horizontal-relative:margin;position:absolute;visibility:visible;z-index:-251472896" o:allowincell="f" fillcolor="black" stroked="f">
          <o:lock v:ext="edit" aspectratio="t" verticies="t" text="t" shapetype="t"/>
          <w10:wrap anchorx="margin"/>
        </v:rect>
      </w:pict>
    </w:r>
    <w:r>
      <w:rPr>
        <w:noProof/>
      </w:rPr>
      <w:pict>
        <v:rect id="Rectangle 470" o:spid="_x0000_s2230" style="width:468pt;height:0.95pt;margin-top:12.65pt;margin-left:0.6pt;mso-position-horizontal-relative:margin;position:absolute;visibility:visible;z-index:-251471872" o:allowincell="f" fillcolor="black" stroked="f">
          <o:lock v:ext="edit" aspectratio="t" verticies="t" text="t" shapetype="t"/>
          <w10:wrap anchorx="margin"/>
        </v:rect>
      </w:pict>
    </w:r>
    <w:r>
      <w:rPr>
        <w:noProof/>
      </w:rPr>
      <w:pict>
        <v:rect id="Rectangle 469" o:spid="_x0000_s2231" style="width:468pt;height:0.95pt;margin-top:12.65pt;margin-left:0.6pt;mso-position-horizontal-relative:margin;position:absolute;visibility:visible;z-index:-251470848" o:allowincell="f" fillcolor="black" stroked="f">
          <o:lock v:ext="edit" aspectratio="t" verticies="t" text="t" shapetype="t"/>
          <w10:wrap anchorx="margin"/>
        </v:rect>
      </w:pict>
    </w:r>
    <w:r>
      <w:rPr>
        <w:noProof/>
      </w:rPr>
      <w:pict>
        <v:rect id="Rectangle 468" o:spid="_x0000_s2232" style="width:468pt;height:0.95pt;margin-top:12.65pt;margin-left:0.6pt;mso-position-horizontal-relative:margin;position:absolute;visibility:visible;z-index:-251469824" o:allowincell="f" fillcolor="black" stroked="f">
          <o:lock v:ext="edit" aspectratio="t" verticies="t" text="t" shapetype="t"/>
          <w10:wrap anchorx="margin"/>
        </v:rect>
      </w:pict>
    </w:r>
    <w:r>
      <w:rPr>
        <w:noProof/>
      </w:rPr>
      <w:pict>
        <v:rect id="Rectangle 467" o:spid="_x0000_s2233" style="width:468pt;height:0.95pt;margin-top:12.65pt;margin-left:0.6pt;mso-position-horizontal-relative:margin;position:absolute;visibility:visible;z-index:-251468800" o:allowincell="f" fillcolor="black" stroked="f">
          <o:lock v:ext="edit" aspectratio="t" verticies="t" text="t" shapetype="t"/>
          <w10:wrap anchorx="margin"/>
        </v:rect>
      </w:pict>
    </w:r>
    <w:r>
      <w:rPr>
        <w:noProof/>
      </w:rPr>
      <w:pict>
        <v:rect id="Rectangle 466" o:spid="_x0000_s2234" style="width:468pt;height:0.95pt;margin-top:12.65pt;margin-left:0.6pt;mso-position-horizontal-relative:margin;position:absolute;visibility:visible;z-index:-251467776" o:allowincell="f" fillcolor="black" stroked="f">
          <o:lock v:ext="edit" aspectratio="t" verticies="t" text="t" shapetype="t"/>
          <w10:wrap anchorx="margin"/>
        </v:rect>
      </w:pict>
    </w:r>
    <w:r>
      <w:rPr>
        <w:noProof/>
      </w:rPr>
      <w:pict>
        <v:rect id="Rectangle 465" o:spid="_x0000_s2235" style="width:468pt;height:0.95pt;margin-top:12.65pt;margin-left:0.6pt;mso-position-horizontal-relative:margin;position:absolute;visibility:visible;z-index:-251466752" o:allowincell="f" fillcolor="black" stroked="f">
          <o:lock v:ext="edit" aspectratio="t" verticies="t" text="t" shapetype="t"/>
          <w10:wrap anchorx="margin"/>
        </v:rect>
      </w:pict>
    </w:r>
    <w:r>
      <w:rPr>
        <w:noProof/>
      </w:rPr>
      <w:pict>
        <v:rect id="Rectangle 464" o:spid="_x0000_s2236" style="width:468pt;height:0.95pt;margin-top:12.65pt;margin-left:0.6pt;mso-position-horizontal-relative:margin;position:absolute;visibility:visible;z-index:-251465728" o:allowincell="f" fillcolor="black" stroked="f">
          <o:lock v:ext="edit" aspectratio="t" verticies="t" text="t" shapetype="t"/>
          <w10:wrap anchorx="margin"/>
        </v:rect>
      </w:pict>
    </w:r>
    <w:r>
      <w:rPr>
        <w:noProof/>
      </w:rPr>
      <w:pict>
        <v:rect id="Rectangle 463" o:spid="_x0000_s2237" style="width:468pt;height:0.95pt;margin-top:12.65pt;margin-left:0.6pt;mso-position-horizontal-relative:margin;position:absolute;visibility:visible;z-index:-251464704" o:allowincell="f" fillcolor="black" stroked="f">
          <o:lock v:ext="edit" aspectratio="t" verticies="t" text="t" shapetype="t"/>
          <w10:wrap anchorx="margin"/>
        </v:rect>
      </w:pict>
    </w:r>
    <w:r>
      <w:rPr>
        <w:noProof/>
      </w:rPr>
      <w:pict>
        <v:rect id="Rectangle 462" o:spid="_x0000_s2238" style="width:468pt;height:0.95pt;margin-top:12.65pt;margin-left:0.6pt;mso-position-horizontal-relative:margin;position:absolute;visibility:visible;z-index:-251463680" o:allowincell="f" fillcolor="black" stroked="f">
          <o:lock v:ext="edit" aspectratio="t" verticies="t" text="t" shapetype="t"/>
          <w10:wrap anchorx="margin"/>
        </v:rect>
      </w:pict>
    </w:r>
    <w:r>
      <w:rPr>
        <w:noProof/>
      </w:rPr>
      <w:pict>
        <v:rect id="Rectangle 461" o:spid="_x0000_s2239" style="width:468pt;height:0.95pt;margin-top:12.65pt;margin-left:0.6pt;mso-position-horizontal-relative:margin;position:absolute;visibility:visible;z-index:-251462656" o:allowincell="f" fillcolor="black" stroked="f">
          <o:lock v:ext="edit" aspectratio="t" verticies="t" text="t" shapetype="t"/>
          <w10:wrap anchorx="margin"/>
        </v:rect>
      </w:pict>
    </w:r>
    <w:r>
      <w:rPr>
        <w:noProof/>
      </w:rPr>
      <w:pict>
        <v:rect id="Rectangle 460" o:spid="_x0000_s2240" style="width:468pt;height:0.95pt;margin-top:12.65pt;margin-left:0.6pt;mso-position-horizontal-relative:margin;position:absolute;visibility:visible;z-index:-251461632" o:allowincell="f" fillcolor="black" stroked="f">
          <o:lock v:ext="edit" aspectratio="t" verticies="t" text="t" shapetype="t"/>
          <w10:wrap anchorx="margin"/>
        </v:rect>
      </w:pict>
    </w:r>
    <w:r>
      <w:rPr>
        <w:noProof/>
      </w:rPr>
      <w:pict>
        <v:rect id="Rectangle 459" o:spid="_x0000_s2241" style="width:468pt;height:0.95pt;margin-top:12.65pt;margin-left:0.6pt;mso-position-horizontal-relative:margin;position:absolute;visibility:visible;z-index:-251460608" o:allowincell="f" fillcolor="black" stroked="f">
          <o:lock v:ext="edit" aspectratio="t" verticies="t" text="t" shapetype="t"/>
          <w10:wrap anchorx="margin"/>
        </v:rect>
      </w:pict>
    </w:r>
    <w:r>
      <w:rPr>
        <w:noProof/>
      </w:rPr>
      <w:pict>
        <v:rect id="Rectangle 458" o:spid="_x0000_s2242" style="width:468pt;height:0.95pt;margin-top:12.65pt;margin-left:0.6pt;mso-position-horizontal-relative:margin;position:absolute;visibility:visible;z-index:-251459584" o:allowincell="f" fillcolor="black" stroked="f">
          <o:lock v:ext="edit" aspectratio="t" verticies="t" text="t" shapetype="t"/>
          <w10:wrap anchorx="margin"/>
        </v:rect>
      </w:pict>
    </w:r>
    <w:r>
      <w:rPr>
        <w:noProof/>
      </w:rPr>
      <w:pict>
        <v:rect id="Rectangle 457" o:spid="_x0000_s2243" style="width:468pt;height:0.95pt;margin-top:12.65pt;margin-left:0.6pt;mso-position-horizontal-relative:margin;position:absolute;visibility:visible;z-index:-251458560" o:allowincell="f" fillcolor="black" stroked="f">
          <o:lock v:ext="edit" aspectratio="t" verticies="t" text="t" shapetype="t"/>
          <w10:wrap anchorx="margin"/>
        </v:rect>
      </w:pict>
    </w:r>
    <w:r>
      <w:rPr>
        <w:noProof/>
      </w:rPr>
      <w:pict>
        <v:rect id="Rectangle 456" o:spid="_x0000_s2244" style="width:468pt;height:0.95pt;margin-top:12.65pt;margin-left:0.6pt;mso-position-horizontal-relative:margin;position:absolute;visibility:visible;z-index:-251457536" o:allowincell="f" fillcolor="black" stroked="f">
          <o:lock v:ext="edit" aspectratio="t" verticies="t" text="t" shapetype="t"/>
          <w10:wrap anchorx="margin"/>
        </v:rect>
      </w:pict>
    </w:r>
    <w:r>
      <w:rPr>
        <w:noProof/>
      </w:rPr>
      <w:pict>
        <v:rect id="Rectangle 455" o:spid="_x0000_s2245" style="width:468pt;height:0.95pt;margin-top:12.65pt;margin-left:0.6pt;mso-position-horizontal-relative:margin;position:absolute;visibility:visible;z-index:-251456512" o:allowincell="f" fillcolor="black" stroked="f">
          <o:lock v:ext="edit" aspectratio="t" verticies="t" text="t" shapetype="t"/>
          <w10:wrap anchorx="margin"/>
        </v:rect>
      </w:pict>
    </w:r>
    <w:r>
      <w:rPr>
        <w:noProof/>
      </w:rPr>
      <w:pict>
        <v:rect id="Rectangle 454" o:spid="_x0000_s2246" style="width:468pt;height:0.95pt;margin-top:12.65pt;margin-left:0.6pt;mso-position-horizontal-relative:margin;position:absolute;visibility:visible;z-index:-251455488" o:allowincell="f" fillcolor="black" stroked="f">
          <o:lock v:ext="edit" aspectratio="t" verticies="t" text="t" shapetype="t"/>
          <w10:wrap anchorx="margin"/>
        </v:rect>
      </w:pict>
    </w:r>
    <w:r>
      <w:rPr>
        <w:noProof/>
      </w:rPr>
      <w:pict>
        <v:rect id="Rectangle 453" o:spid="_x0000_s2247" style="width:468pt;height:0.95pt;margin-top:12.65pt;margin-left:0.6pt;mso-position-horizontal-relative:margin;position:absolute;visibility:visible;z-index:-251454464" o:allowincell="f" fillcolor="black" stroked="f">
          <o:lock v:ext="edit" aspectratio="t" verticies="t" text="t" shapetype="t"/>
          <w10:wrap anchorx="margin"/>
        </v:rect>
      </w:pict>
    </w:r>
    <w:r>
      <w:rPr>
        <w:noProof/>
      </w:rPr>
      <w:pict>
        <v:rect id="Rectangle 452" o:spid="_x0000_s2248" style="width:468pt;height:0.95pt;margin-top:12.65pt;margin-left:0.6pt;mso-position-horizontal-relative:margin;position:absolute;visibility:visible;z-index:-251453440" o:allowincell="f" fillcolor="black" stroked="f">
          <o:lock v:ext="edit" aspectratio="t" verticies="t" text="t" shapetype="t"/>
          <w10:wrap anchorx="margin"/>
        </v:rect>
      </w:pict>
    </w:r>
    <w:r>
      <w:rPr>
        <w:noProof/>
      </w:rPr>
      <w:pict>
        <v:rect id="Rectangle 451" o:spid="_x0000_s2249" style="width:468pt;height:0.95pt;margin-top:12.65pt;margin-left:0.6pt;mso-position-horizontal-relative:margin;position:absolute;visibility:visible;z-index:-251452416" o:allowincell="f" fillcolor="black" stroked="f">
          <o:lock v:ext="edit" aspectratio="t" verticies="t" text="t" shapetype="t"/>
          <w10:wrap anchorx="margin"/>
        </v:rect>
      </w:pict>
    </w:r>
    <w:r>
      <w:rPr>
        <w:noProof/>
      </w:rPr>
      <w:pict>
        <v:rect id="Rectangle 450" o:spid="_x0000_s2250" style="width:468pt;height:0.95pt;margin-top:12.65pt;margin-left:0.6pt;mso-position-horizontal-relative:margin;position:absolute;visibility:visible;z-index:-251451392" o:allowincell="f" fillcolor="black" stroked="f">
          <o:lock v:ext="edit" aspectratio="t" verticies="t" text="t" shapetype="t"/>
          <w10:wrap anchorx="margin"/>
        </v:rect>
      </w:pict>
    </w:r>
    <w:r>
      <w:rPr>
        <w:noProof/>
      </w:rPr>
      <w:pict>
        <v:rect id="Rectangle 449" o:spid="_x0000_s2251" style="width:468pt;height:0.95pt;margin-top:12.65pt;margin-left:0.6pt;mso-position-horizontal-relative:margin;position:absolute;visibility:visible;z-index:-251450368" o:allowincell="f" fillcolor="black" stroked="f">
          <o:lock v:ext="edit" aspectratio="t" verticies="t" text="t" shapetype="t"/>
          <w10:wrap anchorx="margin"/>
        </v:rect>
      </w:pict>
    </w:r>
    <w:r>
      <w:rPr>
        <w:noProof/>
      </w:rPr>
      <w:pict>
        <v:rect id="Rectangle 448" o:spid="_x0000_s2252" style="width:468pt;height:0.95pt;margin-top:12.65pt;margin-left:0.6pt;mso-position-horizontal-relative:margin;position:absolute;visibility:visible;z-index:-251449344" o:allowincell="f" fillcolor="black" stroked="f">
          <o:lock v:ext="edit" aspectratio="t" verticies="t" text="t" shapetype="t"/>
          <w10:wrap anchorx="margin"/>
        </v:rect>
      </w:pict>
    </w:r>
    <w:r>
      <w:rPr>
        <w:noProof/>
      </w:rPr>
      <w:pict>
        <v:rect id="Rectangle 447" o:spid="_x0000_s2253" style="width:468pt;height:0.95pt;margin-top:12.65pt;margin-left:0.6pt;mso-position-horizontal-relative:margin;position:absolute;visibility:visible;z-index:-251448320" o:allowincell="f" fillcolor="black" stroked="f">
          <o:lock v:ext="edit" aspectratio="t" verticies="t" text="t" shapetype="t"/>
          <w10:wrap anchorx="margin"/>
        </v:rect>
      </w:pict>
    </w:r>
    <w:r>
      <w:rPr>
        <w:noProof/>
      </w:rPr>
      <w:pict>
        <v:rect id="Rectangle 446" o:spid="_x0000_s2254" style="width:468pt;height:0.95pt;margin-top:12.65pt;margin-left:0.6pt;mso-position-horizontal-relative:margin;position:absolute;visibility:visible;z-index:-251447296" o:allowincell="f" fillcolor="black" stroked="f">
          <o:lock v:ext="edit" aspectratio="t" verticies="t" text="t" shapetype="t"/>
          <w10:wrap anchorx="margin"/>
        </v:rect>
      </w:pict>
    </w:r>
    <w:r>
      <w:rPr>
        <w:noProof/>
      </w:rPr>
      <w:pict>
        <v:rect id="Rectangle 445" o:spid="_x0000_s2255" style="width:468pt;height:0.95pt;margin-top:12.65pt;margin-left:0.6pt;mso-position-horizontal-relative:margin;position:absolute;visibility:visible;z-index:-251446272" o:allowincell="f" fillcolor="black" stroked="f">
          <o:lock v:ext="edit" aspectratio="t" verticies="t" text="t" shapetype="t"/>
          <w10:wrap anchorx="margin"/>
        </v:rect>
      </w:pict>
    </w:r>
    <w:r>
      <w:rPr>
        <w:noProof/>
      </w:rPr>
      <w:pict>
        <v:rect id="Rectangle 444" o:spid="_x0000_s2256" style="width:468pt;height:0.95pt;margin-top:12.65pt;margin-left:0.6pt;mso-position-horizontal-relative:margin;position:absolute;visibility:visible;z-index:-251445248" o:allowincell="f" fillcolor="black" stroked="f">
          <o:lock v:ext="edit" aspectratio="t" verticies="t" text="t" shapetype="t"/>
          <w10:wrap anchorx="margin"/>
        </v:rect>
      </w:pict>
    </w:r>
    <w:r>
      <w:rPr>
        <w:noProof/>
      </w:rPr>
      <w:pict>
        <v:rect id="Rectangle 443" o:spid="_x0000_s2257" style="width:468pt;height:0.95pt;margin-top:12.65pt;margin-left:0.6pt;mso-position-horizontal-relative:margin;position:absolute;visibility:visible;z-index:-251444224" o:allowincell="f" fillcolor="black" stroked="f">
          <o:lock v:ext="edit" aspectratio="t" verticies="t" text="t" shapetype="t"/>
          <w10:wrap anchorx="margin"/>
        </v:rect>
      </w:pict>
    </w:r>
    <w:r>
      <w:rPr>
        <w:noProof/>
      </w:rPr>
      <w:pict>
        <v:rect id="Rectangle 442" o:spid="_x0000_s2258" style="width:468pt;height:0.95pt;margin-top:12.65pt;margin-left:0.6pt;mso-position-horizontal-relative:margin;position:absolute;visibility:visible;z-index:-251443200" o:allowincell="f" fillcolor="black" stroked="f">
          <o:lock v:ext="edit" aspectratio="t" verticies="t" text="t" shapetype="t"/>
          <w10:wrap anchorx="margin"/>
        </v:rect>
      </w:pict>
    </w:r>
    <w:r>
      <w:rPr>
        <w:noProof/>
      </w:rPr>
      <w:pict>
        <v:rect id="Rectangle 441" o:spid="_x0000_s2259" style="width:468pt;height:0.95pt;margin-top:12.65pt;margin-left:0.6pt;mso-position-horizontal-relative:margin;position:absolute;visibility:visible;z-index:-251442176" o:allowincell="f" fillcolor="black" stroked="f">
          <o:lock v:ext="edit" aspectratio="t" verticies="t" text="t" shapetype="t"/>
          <w10:wrap anchorx="margin"/>
        </v:rect>
      </w:pict>
    </w:r>
    <w:r>
      <w:rPr>
        <w:noProof/>
      </w:rPr>
      <w:pict>
        <v:rect id="Rectangle 440" o:spid="_x0000_s2260" style="width:468pt;height:0.95pt;margin-top:12.65pt;margin-left:0.6pt;mso-position-horizontal-relative:margin;position:absolute;visibility:visible;z-index:-251441152" o:allowincell="f" fillcolor="black" stroked="f">
          <o:lock v:ext="edit" aspectratio="t" verticies="t" text="t" shapetype="t"/>
          <w10:wrap anchorx="margin"/>
        </v:rect>
      </w:pict>
    </w:r>
    <w:r>
      <w:rPr>
        <w:noProof/>
      </w:rPr>
      <w:pict>
        <v:rect id="Rectangle 439" o:spid="_x0000_s2261" style="width:468pt;height:0.95pt;margin-top:12.65pt;margin-left:0.6pt;mso-position-horizontal-relative:margin;position:absolute;visibility:visible;z-index:-251440128" o:allowincell="f" fillcolor="black" stroked="f">
          <o:lock v:ext="edit" aspectratio="t" verticies="t" text="t" shapetype="t"/>
          <w10:wrap anchorx="margin"/>
        </v:rect>
      </w:pict>
    </w:r>
    <w:r>
      <w:rPr>
        <w:noProof/>
      </w:rPr>
      <w:pict>
        <v:rect id="Rectangle 438" o:spid="_x0000_s2262" style="width:468pt;height:0.95pt;margin-top:12.65pt;margin-left:0.6pt;mso-position-horizontal-relative:margin;position:absolute;visibility:visible;z-index:-251439104" o:allowincell="f" fillcolor="black" stroked="f">
          <o:lock v:ext="edit" aspectratio="t" verticies="t" text="t" shapetype="t"/>
          <w10:wrap anchorx="margin"/>
        </v:rect>
      </w:pict>
    </w:r>
    <w:r>
      <w:rPr>
        <w:noProof/>
      </w:rPr>
      <w:pict>
        <v:rect id="Rectangle 437" o:spid="_x0000_s2263" style="width:468pt;height:0.95pt;margin-top:12.65pt;margin-left:0.6pt;mso-position-horizontal-relative:margin;position:absolute;visibility:visible;z-index:-251438080" o:allowincell="f" fillcolor="black" stroked="f">
          <o:lock v:ext="edit" aspectratio="t" verticies="t" text="t" shapetype="t"/>
          <w10:wrap anchorx="margin"/>
        </v:rect>
      </w:pict>
    </w:r>
    <w:r>
      <w:rPr>
        <w:noProof/>
      </w:rPr>
      <w:pict>
        <v:rect id="Rectangle 436" o:spid="_x0000_s2264" style="width:468pt;height:0.95pt;margin-top:12.65pt;margin-left:0.6pt;mso-position-horizontal-relative:margin;position:absolute;visibility:visible;z-index:-251437056" o:allowincell="f" fillcolor="black" stroked="f">
          <o:lock v:ext="edit" aspectratio="t" verticies="t" text="t" shapetype="t"/>
          <w10:wrap anchorx="margin"/>
        </v:rect>
      </w:pict>
    </w:r>
    <w:r>
      <w:rPr>
        <w:noProof/>
      </w:rPr>
      <w:pict>
        <v:rect id="Rectangle 435" o:spid="_x0000_s2265" style="width:468pt;height:0.95pt;margin-top:12.65pt;margin-left:0.6pt;mso-position-horizontal-relative:margin;position:absolute;visibility:visible;z-index:-251436032" o:allowincell="f" fillcolor="black" stroked="f">
          <o:lock v:ext="edit" aspectratio="t" verticies="t" text="t" shapetype="t"/>
          <w10:wrap anchorx="margin"/>
        </v:rect>
      </w:pict>
    </w:r>
    <w:r>
      <w:rPr>
        <w:noProof/>
      </w:rPr>
      <w:pict>
        <v:rect id="Rectangle 434" o:spid="_x0000_s2266" style="width:468pt;height:0.95pt;margin-top:12.65pt;margin-left:0.6pt;mso-position-horizontal-relative:margin;position:absolute;visibility:visible;z-index:-251435008" o:allowincell="f" fillcolor="black" stroked="f">
          <o:lock v:ext="edit" aspectratio="t" verticies="t" text="t" shapetype="t"/>
          <w10:wrap anchorx="margin"/>
        </v:rect>
      </w:pict>
    </w:r>
    <w:r>
      <w:rPr>
        <w:noProof/>
      </w:rPr>
      <w:pict>
        <v:rect id="Rectangle 433" o:spid="_x0000_s2267" style="width:468pt;height:0.95pt;margin-top:12.65pt;margin-left:0.6pt;mso-position-horizontal-relative:margin;position:absolute;visibility:visible;z-index:-251433984" o:allowincell="f" fillcolor="black" stroked="f">
          <o:lock v:ext="edit" aspectratio="t" verticies="t" text="t" shapetype="t"/>
          <w10:wrap anchorx="margin"/>
        </v:rect>
      </w:pict>
    </w:r>
    <w:r>
      <w:rPr>
        <w:noProof/>
      </w:rPr>
      <w:pict>
        <v:rect id="Rectangle 432" o:spid="_x0000_s2268" style="width:468pt;height:0.95pt;margin-top:12.65pt;margin-left:0.6pt;mso-position-horizontal-relative:margin;position:absolute;visibility:visible;z-index:-251432960" o:allowincell="f" fillcolor="black" stroked="f">
          <o:lock v:ext="edit" aspectratio="t" verticies="t" text="t" shapetype="t"/>
          <w10:wrap anchorx="margin"/>
        </v:rect>
      </w:pict>
    </w:r>
    <w:r>
      <w:rPr>
        <w:noProof/>
      </w:rPr>
      <w:pict>
        <v:rect id="Rectangle 431" o:spid="_x0000_s2269" style="width:468pt;height:0.95pt;margin-top:12.65pt;margin-left:0.6pt;mso-position-horizontal-relative:margin;position:absolute;visibility:visible;z-index:-251431936" o:allowincell="f" fillcolor="black" stroked="f">
          <o:lock v:ext="edit" aspectratio="t" verticies="t" text="t" shapetype="t"/>
          <w10:wrap anchorx="margin"/>
        </v:rect>
      </w:pict>
    </w:r>
    <w:r>
      <w:rPr>
        <w:noProof/>
      </w:rPr>
      <w:pict>
        <v:rect id="Rectangle 430" o:spid="_x0000_s2270" style="width:468pt;height:0.95pt;margin-top:12.65pt;margin-left:0.6pt;mso-position-horizontal-relative:margin;position:absolute;visibility:visible;z-index:-251430912" o:allowincell="f" fillcolor="black" stroked="f">
          <o:lock v:ext="edit" aspectratio="t" verticies="t" text="t" shapetype="t"/>
          <w10:wrap anchorx="margin"/>
        </v:rect>
      </w:pict>
    </w:r>
    <w:r>
      <w:rPr>
        <w:noProof/>
      </w:rPr>
      <w:pict>
        <v:rect id="Rectangle 429" o:spid="_x0000_s2271" style="width:468pt;height:0.95pt;margin-top:12.65pt;margin-left:0.6pt;mso-position-horizontal-relative:margin;position:absolute;visibility:visible;z-index:-251429888" o:allowincell="f" fillcolor="black" stroked="f">
          <o:lock v:ext="edit" aspectratio="t" verticies="t" text="t" shapetype="t"/>
          <w10:wrap anchorx="margin"/>
        </v:rect>
      </w:pict>
    </w:r>
    <w:r>
      <w:rPr>
        <w:noProof/>
      </w:rPr>
      <w:pict>
        <v:rect id="Rectangle 428" o:spid="_x0000_s2272" style="width:468pt;height:0.95pt;margin-top:12.65pt;margin-left:0.6pt;mso-position-horizontal-relative:margin;position:absolute;visibility:visible;z-index:-251428864" o:allowincell="f" fillcolor="black" stroked="f">
          <o:lock v:ext="edit" aspectratio="t" verticies="t" text="t" shapetype="t"/>
          <w10:wrap anchorx="margin"/>
        </v:rect>
      </w:pict>
    </w:r>
    <w:r>
      <w:rPr>
        <w:noProof/>
      </w:rPr>
      <w:pict>
        <v:rect id="Rectangle 427" o:spid="_x0000_s2273" style="width:468pt;height:0.95pt;margin-top:12.65pt;margin-left:0.6pt;mso-position-horizontal-relative:margin;position:absolute;visibility:visible;z-index:-251427840" o:allowincell="f" fillcolor="black" stroked="f">
          <o:lock v:ext="edit" aspectratio="t" verticies="t" text="t" shapetype="t"/>
          <w10:wrap anchorx="margin"/>
        </v:rect>
      </w:pict>
    </w:r>
    <w:r>
      <w:rPr>
        <w:noProof/>
      </w:rPr>
      <w:pict>
        <v:rect id="Rectangle 426" o:spid="_x0000_s2274" style="width:468pt;height:0.95pt;margin-top:12.65pt;margin-left:0.6pt;mso-position-horizontal-relative:margin;position:absolute;visibility:visible;z-index:-251426816" o:allowincell="f" fillcolor="black" stroked="f">
          <o:lock v:ext="edit" aspectratio="t" verticies="t" text="t" shapetype="t"/>
          <w10:wrap anchorx="margin"/>
        </v:rect>
      </w:pict>
    </w:r>
    <w:r>
      <w:rPr>
        <w:noProof/>
      </w:rPr>
      <w:pict>
        <v:rect id="Rectangle 425" o:spid="_x0000_s2275" style="width:468pt;height:0.95pt;margin-top:12.65pt;margin-left:0.6pt;mso-position-horizontal-relative:margin;position:absolute;visibility:visible;z-index:-251425792" o:allowincell="f" fillcolor="black" stroked="f">
          <o:lock v:ext="edit" aspectratio="t" verticies="t" text="t" shapetype="t"/>
          <w10:wrap anchorx="margin"/>
        </v:rect>
      </w:pict>
    </w:r>
    <w:r>
      <w:rPr>
        <w:noProof/>
      </w:rPr>
      <w:pict>
        <v:rect id="Rectangle 424" o:spid="_x0000_s2276" style="width:468pt;height:0.95pt;margin-top:12.65pt;margin-left:0.6pt;mso-position-horizontal-relative:margin;position:absolute;visibility:visible;z-index:-251424768" o:allowincell="f" fillcolor="black" stroked="f">
          <o:lock v:ext="edit" aspectratio="t" verticies="t" text="t" shapetype="t"/>
          <w10:wrap anchorx="margin"/>
        </v:rect>
      </w:pict>
    </w:r>
    <w:r>
      <w:rPr>
        <w:noProof/>
      </w:rPr>
      <w:pict>
        <v:rect id="Rectangle 423" o:spid="_x0000_s2277" style="width:468pt;height:0.95pt;margin-top:12.65pt;margin-left:0.6pt;mso-position-horizontal-relative:margin;position:absolute;visibility:visible;z-index:-251423744" o:allowincell="f" fillcolor="black" stroked="f">
          <o:lock v:ext="edit" aspectratio="t" verticies="t" text="t" shapetype="t"/>
          <w10:wrap anchorx="margin"/>
        </v:rect>
      </w:pict>
    </w:r>
    <w:r>
      <w:rPr>
        <w:noProof/>
      </w:rPr>
      <w:pict>
        <v:rect id="Rectangle 422" o:spid="_x0000_s2278" style="width:468pt;height:0.95pt;margin-top:12.65pt;margin-left:0.6pt;mso-position-horizontal-relative:margin;position:absolute;visibility:visible;z-index:-251422720" o:allowincell="f" fillcolor="black" stroked="f">
          <o:lock v:ext="edit" aspectratio="t" verticies="t" text="t" shapetype="t"/>
          <w10:wrap anchorx="margin"/>
        </v:rect>
      </w:pict>
    </w:r>
    <w:r>
      <w:rPr>
        <w:noProof/>
      </w:rPr>
      <w:pict>
        <v:rect id="Rectangle 421" o:spid="_x0000_s2279" style="width:468pt;height:0.95pt;margin-top:12.65pt;margin-left:0.6pt;mso-position-horizontal-relative:margin;position:absolute;visibility:visible;z-index:-251421696" o:allowincell="f" fillcolor="black" stroked="f">
          <o:lock v:ext="edit" aspectratio="t" verticies="t" text="t" shapetype="t"/>
          <w10:wrap anchorx="margin"/>
        </v:rect>
      </w:pict>
    </w:r>
    <w:r>
      <w:rPr>
        <w:noProof/>
      </w:rPr>
      <w:pict>
        <v:rect id="Rectangle 420" o:spid="_x0000_s2280" style="width:468pt;height:0.95pt;margin-top:12.65pt;margin-left:0.6pt;mso-position-horizontal-relative:margin;position:absolute;visibility:visible;z-index:-251420672" o:allowincell="f" fillcolor="black" stroked="f">
          <o:lock v:ext="edit" aspectratio="t" verticies="t" text="t" shapetype="t"/>
          <w10:wrap anchorx="margin"/>
        </v:rect>
      </w:pict>
    </w:r>
    <w:r>
      <w:rPr>
        <w:noProof/>
      </w:rPr>
      <w:pict>
        <v:rect id="Rectangle 419" o:spid="_x0000_s2281" style="width:468pt;height:0.95pt;margin-top:12.65pt;margin-left:0.6pt;mso-position-horizontal-relative:margin;position:absolute;visibility:visible;z-index:-251419648" o:allowincell="f" fillcolor="black" stroked="f">
          <o:lock v:ext="edit" aspectratio="t" verticies="t" text="t" shapetype="t"/>
          <w10:wrap anchorx="margin"/>
        </v:rect>
      </w:pict>
    </w:r>
    <w:r>
      <w:rPr>
        <w:noProof/>
      </w:rPr>
      <w:pict>
        <v:rect id="Rectangle 418" o:spid="_x0000_s2282" style="width:468pt;height:0.95pt;margin-top:12.65pt;margin-left:0.6pt;mso-position-horizontal-relative:margin;position:absolute;visibility:visible;z-index:-251418624" o:allowincell="f" fillcolor="black" stroked="f">
          <o:lock v:ext="edit" aspectratio="t" verticies="t" text="t" shapetype="t"/>
          <w10:wrap anchorx="margin"/>
        </v:rect>
      </w:pict>
    </w:r>
    <w:r>
      <w:rPr>
        <w:noProof/>
      </w:rPr>
      <w:pict>
        <v:rect id="Rectangle 417" o:spid="_x0000_s2283" style="width:468pt;height:0.95pt;margin-top:12.65pt;margin-left:0.6pt;mso-position-horizontal-relative:margin;position:absolute;visibility:visible;z-index:-251417600" o:allowincell="f" fillcolor="black" stroked="f">
          <o:lock v:ext="edit" aspectratio="t" verticies="t" text="t" shapetype="t"/>
          <w10:wrap anchorx="margin"/>
        </v:rect>
      </w:pict>
    </w:r>
    <w:r>
      <w:rPr>
        <w:noProof/>
      </w:rPr>
      <w:pict>
        <v:rect id="Rectangle 416" o:spid="_x0000_s2284" style="width:468pt;height:0.95pt;margin-top:12.65pt;margin-left:0.6pt;mso-position-horizontal-relative:margin;position:absolute;visibility:visible;z-index:-251416576" o:allowincell="f" fillcolor="black" stroked="f">
          <o:lock v:ext="edit" aspectratio="t" verticies="t" text="t" shapetype="t"/>
          <w10:wrap anchorx="margin"/>
        </v:rect>
      </w:pict>
    </w:r>
    <w:r>
      <w:rPr>
        <w:noProof/>
      </w:rPr>
      <w:pict>
        <v:rect id="Rectangle 415" o:spid="_x0000_s2285" style="width:468pt;height:0.95pt;margin-top:12.65pt;margin-left:0.6pt;mso-position-horizontal-relative:margin;position:absolute;visibility:visible;z-index:-251415552" o:allowincell="f" fillcolor="black" stroked="f">
          <o:lock v:ext="edit" aspectratio="t" verticies="t" text="t" shapetype="t"/>
          <w10:wrap anchorx="margin"/>
        </v:rect>
      </w:pict>
    </w:r>
    <w:r>
      <w:rPr>
        <w:noProof/>
      </w:rPr>
      <w:pict>
        <v:rect id="Rectangle 414" o:spid="_x0000_s2286" style="width:468pt;height:0.95pt;margin-top:12.65pt;margin-left:0.6pt;mso-position-horizontal-relative:margin;position:absolute;visibility:visible;z-index:-251414528" o:allowincell="f" fillcolor="black" stroked="f">
          <o:lock v:ext="edit" aspectratio="t" verticies="t" text="t" shapetype="t"/>
          <w10:wrap anchorx="margin"/>
        </v:rect>
      </w:pict>
    </w:r>
    <w:r>
      <w:rPr>
        <w:noProof/>
      </w:rPr>
      <w:pict>
        <v:rect id="Rectangle 413" o:spid="_x0000_s2287" style="width:468pt;height:0.95pt;margin-top:12.65pt;margin-left:0.6pt;mso-position-horizontal-relative:margin;position:absolute;visibility:visible;z-index:-251413504" o:allowincell="f" fillcolor="black" stroked="f">
          <o:lock v:ext="edit" aspectratio="t" verticies="t" text="t" shapetype="t"/>
          <w10:wrap anchorx="margin"/>
        </v:rect>
      </w:pict>
    </w:r>
    <w:r>
      <w:rPr>
        <w:noProof/>
      </w:rPr>
      <w:pict>
        <v:rect id="Rectangle 412" o:spid="_x0000_s2288" style="width:468pt;height:0.95pt;margin-top:12.65pt;margin-left:0.6pt;mso-position-horizontal-relative:margin;position:absolute;visibility:visible;z-index:-251412480" o:allowincell="f" fillcolor="black" stroked="f">
          <o:lock v:ext="edit" aspectratio="t" verticies="t" text="t" shapetype="t"/>
          <w10:wrap anchorx="margin"/>
        </v:rect>
      </w:pict>
    </w:r>
    <w:r>
      <w:rPr>
        <w:noProof/>
      </w:rPr>
      <w:pict>
        <v:rect id="Rectangle 411" o:spid="_x0000_s2289" style="width:468pt;height:0.95pt;margin-top:12.65pt;margin-left:0.6pt;mso-position-horizontal-relative:margin;position:absolute;visibility:visible;z-index:-251411456" o:allowincell="f" fillcolor="black" stroked="f">
          <o:lock v:ext="edit" aspectratio="t" verticies="t" text="t" shapetype="t"/>
          <w10:wrap anchorx="margin"/>
        </v:rect>
      </w:pict>
    </w:r>
    <w:r>
      <w:rPr>
        <w:noProof/>
      </w:rPr>
      <w:pict>
        <v:rect id="Rectangle 410" o:spid="_x0000_s2290" style="width:468pt;height:0.95pt;margin-top:12.65pt;margin-left:0.6pt;mso-position-horizontal-relative:margin;position:absolute;visibility:visible;z-index:-251410432" o:allowincell="f" fillcolor="black" stroked="f">
          <o:lock v:ext="edit" aspectratio="t" verticies="t" text="t" shapetype="t"/>
          <w10:wrap anchorx="margin"/>
        </v:rect>
      </w:pict>
    </w:r>
    <w:r>
      <w:rPr>
        <w:noProof/>
      </w:rPr>
      <w:pict>
        <v:rect id="Rectangle 409" o:spid="_x0000_s2291" style="width:468pt;height:0.95pt;margin-top:12.65pt;margin-left:0.6pt;mso-position-horizontal-relative:margin;position:absolute;visibility:visible;z-index:-251409408" o:allowincell="f" fillcolor="black" stroked="f">
          <o:lock v:ext="edit" aspectratio="t" verticies="t" text="t" shapetype="t"/>
          <w10:wrap anchorx="margin"/>
        </v:rect>
      </w:pict>
    </w:r>
    <w:r>
      <w:rPr>
        <w:noProof/>
      </w:rPr>
      <w:pict>
        <v:rect id="Rectangle 408" o:spid="_x0000_s2292" style="width:468pt;height:0.95pt;margin-top:12.65pt;margin-left:0.6pt;mso-position-horizontal-relative:margin;position:absolute;visibility:visible;z-index:-251408384" o:allowincell="f" fillcolor="black" stroked="f">
          <o:lock v:ext="edit" aspectratio="t" verticies="t" text="t" shapetype="t"/>
          <w10:wrap anchorx="margin"/>
        </v:rect>
      </w:pict>
    </w:r>
    <w:r>
      <w:rPr>
        <w:noProof/>
      </w:rPr>
      <w:pict>
        <v:rect id="Rectangle 407" o:spid="_x0000_s2293" style="width:468pt;height:0.95pt;margin-top:12.65pt;margin-left:0.6pt;mso-position-horizontal-relative:margin;position:absolute;visibility:visible;z-index:-251407360" o:allowincell="f" fillcolor="black" stroked="f">
          <o:lock v:ext="edit" aspectratio="t" verticies="t" text="t" shapetype="t"/>
          <w10:wrap anchorx="margin"/>
        </v:rect>
      </w:pict>
    </w:r>
    <w:r>
      <w:rPr>
        <w:noProof/>
      </w:rPr>
      <w:pict>
        <v:rect id="Rectangle 406" o:spid="_x0000_s2294" style="width:468pt;height:0.95pt;margin-top:12.65pt;margin-left:0.6pt;mso-position-horizontal-relative:margin;position:absolute;visibility:visible;z-index:-251406336" o:allowincell="f" fillcolor="black" stroked="f">
          <o:lock v:ext="edit" aspectratio="t" verticies="t" text="t" shapetype="t"/>
          <w10:wrap anchorx="margin"/>
        </v:rect>
      </w:pict>
    </w:r>
    <w:r>
      <w:rPr>
        <w:noProof/>
      </w:rPr>
      <w:pict>
        <v:rect id="Rectangle 405" o:spid="_x0000_s2295" style="width:468pt;height:0.95pt;margin-top:12.65pt;margin-left:0.6pt;mso-position-horizontal-relative:margin;position:absolute;visibility:visible;z-index:-251405312" o:allowincell="f" fillcolor="black" stroked="f">
          <o:lock v:ext="edit" aspectratio="t" verticies="t" text="t" shapetype="t"/>
          <w10:wrap anchorx="margin"/>
        </v:rect>
      </w:pict>
    </w:r>
    <w:r>
      <w:rPr>
        <w:noProof/>
      </w:rPr>
      <w:pict>
        <v:rect id="Rectangle 404" o:spid="_x0000_s2296" style="width:468pt;height:0.95pt;margin-top:12.65pt;margin-left:0.6pt;mso-position-horizontal-relative:margin;position:absolute;visibility:visible;z-index:-251404288" o:allowincell="f" fillcolor="black" stroked="f">
          <o:lock v:ext="edit" aspectratio="t" verticies="t" text="t" shapetype="t"/>
          <w10:wrap anchorx="margin"/>
        </v:rect>
      </w:pict>
    </w:r>
    <w:r>
      <w:rPr>
        <w:noProof/>
      </w:rPr>
      <w:pict>
        <v:rect id="Rectangle 403" o:spid="_x0000_s2297" style="width:468pt;height:0.95pt;margin-top:12.65pt;margin-left:0.6pt;mso-position-horizontal-relative:margin;position:absolute;visibility:visible;z-index:-251403264" o:allowincell="f" fillcolor="black" stroked="f">
          <o:lock v:ext="edit" aspectratio="t" verticies="t" text="t" shapetype="t"/>
          <w10:wrap anchorx="margin"/>
        </v:rect>
      </w:pict>
    </w:r>
    <w:r>
      <w:rPr>
        <w:noProof/>
      </w:rPr>
      <w:pict>
        <v:rect id="Rectangle 402" o:spid="_x0000_s2298" style="width:468pt;height:0.95pt;margin-top:12.65pt;margin-left:0.6pt;mso-position-horizontal-relative:margin;position:absolute;visibility:visible;z-index:-251402240" o:allowincell="f" fillcolor="black" stroked="f">
          <o:lock v:ext="edit" aspectratio="t" verticies="t" text="t" shapetype="t"/>
          <w10:wrap anchorx="margin"/>
        </v:rect>
      </w:pict>
    </w:r>
    <w:r>
      <w:rPr>
        <w:noProof/>
      </w:rPr>
      <w:pict>
        <v:rect id="Rectangle 401" o:spid="_x0000_s2299" style="width:468pt;height:0.95pt;margin-top:12.65pt;margin-left:0.6pt;mso-position-horizontal-relative:margin;position:absolute;visibility:visible;z-index:-251401216" o:allowincell="f" fillcolor="black" stroked="f">
          <o:lock v:ext="edit" aspectratio="t" verticies="t" text="t" shapetype="t"/>
          <w10:wrap anchorx="margin"/>
        </v:rect>
      </w:pict>
    </w:r>
    <w:r>
      <w:rPr>
        <w:noProof/>
      </w:rPr>
      <w:pict>
        <v:rect id="Rectangle 400" o:spid="_x0000_s2300" style="width:468pt;height:0.95pt;margin-top:12.65pt;margin-left:0.6pt;mso-position-horizontal-relative:margin;position:absolute;visibility:visible;z-index:-251400192" o:allowincell="f" fillcolor="black" stroked="f">
          <o:lock v:ext="edit" aspectratio="t" verticies="t" text="t" shapetype="t"/>
          <w10:wrap anchorx="margin"/>
        </v:rect>
      </w:pict>
    </w:r>
    <w:r>
      <w:rPr>
        <w:noProof/>
      </w:rPr>
      <w:pict>
        <v:rect id="Rectangle 399" o:spid="_x0000_s2301" style="width:468pt;height:0.95pt;margin-top:12.65pt;margin-left:0.6pt;mso-position-horizontal-relative:margin;position:absolute;visibility:visible;z-index:-251399168" o:allowincell="f" fillcolor="black" stroked="f">
          <o:lock v:ext="edit" aspectratio="t" verticies="t" text="t" shapetype="t"/>
          <w10:wrap anchorx="margin"/>
        </v:rect>
      </w:pict>
    </w:r>
    <w:r>
      <w:rPr>
        <w:noProof/>
      </w:rPr>
      <w:pict>
        <v:rect id="Rectangle 398" o:spid="_x0000_s2302" style="width:468pt;height:0.95pt;margin-top:12.65pt;margin-left:0.6pt;mso-position-horizontal-relative:margin;position:absolute;visibility:visible;z-index:-251398144" o:allowincell="f" fillcolor="black" stroked="f">
          <o:lock v:ext="edit" aspectratio="t" verticies="t" text="t" shapetype="t"/>
          <w10:wrap anchorx="margin"/>
        </v:rect>
      </w:pict>
    </w:r>
    <w:r>
      <w:rPr>
        <w:noProof/>
      </w:rPr>
      <w:pict>
        <v:rect id="Rectangle 397" o:spid="_x0000_s2303" style="width:468pt;height:0.95pt;margin-top:12.65pt;margin-left:0.6pt;mso-position-horizontal-relative:margin;position:absolute;visibility:visible;z-index:-251397120" o:allowincell="f" fillcolor="black" stroked="f">
          <o:lock v:ext="edit" aspectratio="t" verticies="t" text="t" shapetype="t"/>
          <w10:wrap anchorx="margin"/>
        </v:rect>
      </w:pict>
    </w:r>
    <w:r>
      <w:rPr>
        <w:noProof/>
      </w:rPr>
      <w:pict>
        <v:rect id="Rectangle 396" o:spid="_x0000_s2304" style="width:468pt;height:0.95pt;margin-top:12.65pt;margin-left:0.6pt;mso-position-horizontal-relative:margin;position:absolute;visibility:visible;z-index:-251396096" o:allowincell="f" fillcolor="black" stroked="f">
          <o:lock v:ext="edit" aspectratio="t" verticies="t" text="t" shapetype="t"/>
          <w10:wrap anchorx="margin"/>
        </v:rect>
      </w:pict>
    </w:r>
    <w:r>
      <w:rPr>
        <w:noProof/>
      </w:rPr>
      <w:pict>
        <v:rect id="Rectangle 395" o:spid="_x0000_s2305" style="width:468pt;height:0.95pt;margin-top:12.65pt;margin-left:0.6pt;mso-position-horizontal-relative:margin;position:absolute;visibility:visible;z-index:-251395072" o:allowincell="f" fillcolor="black" stroked="f">
          <o:lock v:ext="edit" aspectratio="t" verticies="t" text="t" shapetype="t"/>
          <w10:wrap anchorx="margin"/>
        </v:rect>
      </w:pict>
    </w:r>
    <w:r>
      <w:rPr>
        <w:noProof/>
      </w:rPr>
      <w:pict>
        <v:rect id="Rectangle 394" o:spid="_x0000_s2306" style="width:468pt;height:0.95pt;margin-top:12.65pt;margin-left:0.6pt;mso-position-horizontal-relative:margin;position:absolute;visibility:visible;z-index:-251394048" o:allowincell="f" fillcolor="black" stroked="f">
          <o:lock v:ext="edit" aspectratio="t" verticies="t" text="t" shapetype="t"/>
          <w10:wrap anchorx="margin"/>
        </v:rect>
      </w:pict>
    </w:r>
    <w:r>
      <w:rPr>
        <w:noProof/>
      </w:rPr>
      <w:pict>
        <v:rect id="Rectangle 393" o:spid="_x0000_s2307" style="width:468pt;height:0.95pt;margin-top:12.65pt;margin-left:0.6pt;mso-position-horizontal-relative:margin;position:absolute;visibility:visible;z-index:-251393024" o:allowincell="f" fillcolor="black" stroked="f">
          <o:lock v:ext="edit" aspectratio="t" verticies="t" text="t" shapetype="t"/>
          <w10:wrap anchorx="margin"/>
        </v:rect>
      </w:pict>
    </w:r>
    <w:r>
      <w:rPr>
        <w:noProof/>
      </w:rPr>
      <w:pict>
        <v:rect id="Rectangle 392" o:spid="_x0000_s2308" style="width:468pt;height:0.95pt;margin-top:12.65pt;margin-left:0.6pt;mso-position-horizontal-relative:margin;position:absolute;visibility:visible;z-index:-251392000" o:allowincell="f" fillcolor="black" stroked="f">
          <o:lock v:ext="edit" aspectratio="t" verticies="t" text="t" shapetype="t"/>
          <w10:wrap anchorx="margin"/>
        </v:rect>
      </w:pict>
    </w:r>
    <w:r>
      <w:rPr>
        <w:noProof/>
      </w:rPr>
      <w:pict>
        <v:rect id="Rectangle 391" o:spid="_x0000_s2309" style="width:468pt;height:0.95pt;margin-top:12.65pt;margin-left:0.6pt;mso-position-horizontal-relative:margin;position:absolute;visibility:visible;z-index:-251390976" o:allowincell="f" fillcolor="black" stroked="f">
          <o:lock v:ext="edit" aspectratio="t" verticies="t" text="t" shapetype="t"/>
          <w10:wrap anchorx="margin"/>
        </v:rect>
      </w:pict>
    </w:r>
    <w:r>
      <w:rPr>
        <w:noProof/>
      </w:rPr>
      <w:pict>
        <v:rect id="Rectangle 390" o:spid="_x0000_s2310" style="width:468pt;height:0.95pt;margin-top:12.65pt;margin-left:0.6pt;mso-position-horizontal-relative:margin;position:absolute;visibility:visible;z-index:-251389952" o:allowincell="f" fillcolor="black" stroked="f">
          <o:lock v:ext="edit" aspectratio="t" verticies="t" text="t" shapetype="t"/>
          <w10:wrap anchorx="margin"/>
        </v:rect>
      </w:pict>
    </w:r>
    <w:r>
      <w:rPr>
        <w:noProof/>
      </w:rPr>
      <w:pict>
        <v:rect id="Rectangle 389" o:spid="_x0000_s2311" style="width:468pt;height:0.95pt;margin-top:12.65pt;margin-left:0.6pt;mso-position-horizontal-relative:margin;position:absolute;visibility:visible;z-index:-251388928" o:allowincell="f" fillcolor="black" stroked="f">
          <o:lock v:ext="edit" aspectratio="t" verticies="t" text="t" shapetype="t"/>
          <w10:wrap anchorx="margin"/>
        </v:rect>
      </w:pict>
    </w:r>
    <w:r>
      <w:rPr>
        <w:noProof/>
      </w:rPr>
      <w:pict>
        <v:rect id="Rectangle 388" o:spid="_x0000_s2312" style="width:468pt;height:0.95pt;margin-top:12.65pt;margin-left:0.6pt;mso-position-horizontal-relative:margin;position:absolute;visibility:visible;z-index:-251387904" o:allowincell="f" fillcolor="black" stroked="f">
          <o:lock v:ext="edit" aspectratio="t" verticies="t" text="t" shapetype="t"/>
          <w10:wrap anchorx="margin"/>
        </v:rect>
      </w:pict>
    </w:r>
    <w:r>
      <w:rPr>
        <w:noProof/>
      </w:rPr>
      <w:pict>
        <v:rect id="Rectangle 387" o:spid="_x0000_s2313" style="width:468pt;height:0.95pt;margin-top:12.65pt;margin-left:0.6pt;mso-position-horizontal-relative:margin;position:absolute;visibility:visible;z-index:-251386880" o:allowincell="f" fillcolor="black" stroked="f">
          <o:lock v:ext="edit" aspectratio="t" verticies="t" text="t" shapetype="t"/>
          <w10:wrap anchorx="margin"/>
        </v:rect>
      </w:pict>
    </w:r>
    <w:r>
      <w:rPr>
        <w:noProof/>
      </w:rPr>
      <w:pict>
        <v:rect id="Rectangle 386" o:spid="_x0000_s2314" style="width:468pt;height:0.95pt;margin-top:12.65pt;margin-left:0.6pt;mso-position-horizontal-relative:margin;position:absolute;visibility:visible;z-index:-251385856" o:allowincell="f" fillcolor="black" stroked="f">
          <o:lock v:ext="edit" aspectratio="t" verticies="t" text="t" shapetype="t"/>
          <w10:wrap anchorx="margin"/>
        </v:rect>
      </w:pict>
    </w:r>
    <w:r>
      <w:rPr>
        <w:noProof/>
      </w:rPr>
      <w:pict>
        <v:rect id="Rectangle 385" o:spid="_x0000_s2315" style="width:468pt;height:0.95pt;margin-top:12.65pt;margin-left:0.6pt;mso-position-horizontal-relative:margin;position:absolute;visibility:visible;z-index:-251384832" o:allowincell="f" fillcolor="black" stroked="f">
          <o:lock v:ext="edit" aspectratio="t" verticies="t" text="t" shapetype="t"/>
          <w10:wrap anchorx="margin"/>
        </v:rect>
      </w:pict>
    </w:r>
    <w:r>
      <w:rPr>
        <w:noProof/>
      </w:rPr>
      <w:pict>
        <v:rect id="Rectangle 384" o:spid="_x0000_s2316" style="width:468pt;height:0.95pt;margin-top:12.65pt;margin-left:0.6pt;mso-position-horizontal-relative:margin;position:absolute;visibility:visible;z-index:-251383808" o:allowincell="f" fillcolor="black" stroked="f">
          <o:lock v:ext="edit" aspectratio="t" verticies="t" text="t" shapetype="t"/>
          <w10:wrap anchorx="margin"/>
        </v:rect>
      </w:pict>
    </w:r>
    <w:r>
      <w:rPr>
        <w:noProof/>
      </w:rPr>
      <w:pict>
        <v:rect id="Rectangle 383" o:spid="_x0000_s2317" style="width:468pt;height:0.95pt;margin-top:12.65pt;margin-left:0.6pt;mso-position-horizontal-relative:margin;position:absolute;visibility:visible;z-index:-251382784" o:allowincell="f" fillcolor="black" stroked="f">
          <o:lock v:ext="edit" aspectratio="t" verticies="t" text="t" shapetype="t"/>
          <w10:wrap anchorx="margin"/>
        </v:rect>
      </w:pict>
    </w:r>
    <w:r>
      <w:rPr>
        <w:noProof/>
      </w:rPr>
      <w:pict>
        <v:rect id="Rectangle 382" o:spid="_x0000_s2318" style="width:468pt;height:0.95pt;margin-top:12.65pt;margin-left:0.6pt;mso-position-horizontal-relative:margin;position:absolute;visibility:visible;z-index:-251381760" o:allowincell="f" fillcolor="black" stroked="f">
          <o:lock v:ext="edit" aspectratio="t" verticies="t" text="t" shapetype="t"/>
          <w10:wrap anchorx="margin"/>
        </v:rect>
      </w:pict>
    </w:r>
    <w:r>
      <w:rPr>
        <w:noProof/>
      </w:rPr>
      <w:pict>
        <v:rect id="Rectangle 381" o:spid="_x0000_s2319" style="width:468pt;height:0.95pt;margin-top:12.65pt;margin-left:0.6pt;mso-position-horizontal-relative:margin;position:absolute;visibility:visible;z-index:-251380736" o:allowincell="f" fillcolor="black" stroked="f">
          <o:lock v:ext="edit" aspectratio="t" verticies="t" text="t" shapetype="t"/>
          <w10:wrap anchorx="margin"/>
        </v:rect>
      </w:pict>
    </w:r>
    <w:r>
      <w:rPr>
        <w:noProof/>
      </w:rPr>
      <w:pict>
        <v:rect id="Rectangle 380" o:spid="_x0000_s2320" style="width:468pt;height:0.95pt;margin-top:12.65pt;margin-left:0.6pt;mso-position-horizontal-relative:margin;position:absolute;visibility:visible;z-index:-251379712" o:allowincell="f" fillcolor="black" stroked="f">
          <o:lock v:ext="edit" aspectratio="t" verticies="t" text="t" shapetype="t"/>
          <w10:wrap anchorx="margin"/>
        </v:rect>
      </w:pict>
    </w:r>
    <w:r>
      <w:rPr>
        <w:noProof/>
      </w:rPr>
      <w:pict>
        <v:rect id="Rectangle 379" o:spid="_x0000_s2321" style="width:468pt;height:0.95pt;margin-top:12.65pt;margin-left:0.6pt;mso-position-horizontal-relative:margin;position:absolute;visibility:visible;z-index:-251378688" o:allowincell="f" fillcolor="black" stroked="f">
          <o:lock v:ext="edit" aspectratio="t" verticies="t" text="t" shapetype="t"/>
          <w10:wrap anchorx="margin"/>
        </v:rect>
      </w:pict>
    </w:r>
    <w:r>
      <w:rPr>
        <w:noProof/>
      </w:rPr>
      <w:pict>
        <v:rect id="Rectangle 378" o:spid="_x0000_s2322" style="width:468pt;height:0.95pt;margin-top:12.65pt;margin-left:0.6pt;mso-position-horizontal-relative:margin;position:absolute;visibility:visible;z-index:-251377664" o:allowincell="f" fillcolor="black" stroked="f">
          <o:lock v:ext="edit" aspectratio="t" verticies="t" text="t" shapetype="t"/>
          <w10:wrap anchorx="margin"/>
        </v:rect>
      </w:pict>
    </w:r>
    <w:r>
      <w:rPr>
        <w:noProof/>
      </w:rPr>
      <w:pict>
        <v:rect id="Rectangle 377" o:spid="_x0000_s2323" style="width:468pt;height:0.95pt;margin-top:12.65pt;margin-left:0.6pt;mso-position-horizontal-relative:margin;position:absolute;visibility:visible;z-index:-251376640" o:allowincell="f" fillcolor="black" stroked="f">
          <o:lock v:ext="edit" aspectratio="t" verticies="t" text="t" shapetype="t"/>
          <w10:wrap anchorx="margin"/>
        </v:rect>
      </w:pict>
    </w:r>
    <w:r>
      <w:rPr>
        <w:noProof/>
      </w:rPr>
      <w:pict>
        <v:rect id="Rectangle 376" o:spid="_x0000_s2324" style="width:468pt;height:0.95pt;margin-top:12.65pt;margin-left:0.6pt;mso-position-horizontal-relative:margin;position:absolute;visibility:visible;z-index:-251375616" o:allowincell="f" fillcolor="black" stroked="f">
          <o:lock v:ext="edit" aspectratio="t" verticies="t" text="t" shapetype="t"/>
          <w10:wrap anchorx="margin"/>
        </v:rect>
      </w:pict>
    </w:r>
    <w:r>
      <w:rPr>
        <w:noProof/>
      </w:rPr>
      <w:pict>
        <v:rect id="Rectangle 375" o:spid="_x0000_s2325" style="width:468pt;height:0.95pt;margin-top:12.65pt;margin-left:0.6pt;mso-position-horizontal-relative:margin;position:absolute;visibility:visible;z-index:-251374592" o:allowincell="f" fillcolor="black" stroked="f">
          <o:lock v:ext="edit" aspectratio="t" verticies="t" text="t" shapetype="t"/>
          <w10:wrap anchorx="margin"/>
        </v:rect>
      </w:pict>
    </w:r>
    <w:r>
      <w:rPr>
        <w:noProof/>
      </w:rPr>
      <w:pict>
        <v:rect id="Rectangle 374" o:spid="_x0000_s2326" style="width:468pt;height:0.95pt;margin-top:12.65pt;margin-left:0.6pt;mso-position-horizontal-relative:margin;position:absolute;visibility:visible;z-index:-251373568" o:allowincell="f" fillcolor="black" stroked="f">
          <o:lock v:ext="edit" aspectratio="t" verticies="t" text="t" shapetype="t"/>
          <w10:wrap anchorx="margin"/>
        </v:rect>
      </w:pict>
    </w:r>
    <w:r>
      <w:rPr>
        <w:noProof/>
      </w:rPr>
      <w:pict>
        <v:rect id="Rectangle 373" o:spid="_x0000_s2327" style="width:468pt;height:0.95pt;margin-top:12.65pt;margin-left:0.6pt;mso-position-horizontal-relative:margin;position:absolute;visibility:visible;z-index:-251372544" o:allowincell="f" fillcolor="black" stroked="f">
          <o:lock v:ext="edit" aspectratio="t" verticies="t" text="t" shapetype="t"/>
          <w10:wrap anchorx="margin"/>
        </v:rect>
      </w:pict>
    </w:r>
    <w:r>
      <w:rPr>
        <w:noProof/>
      </w:rPr>
      <w:pict>
        <v:rect id="Rectangle 372" o:spid="_x0000_s2328" style="width:468pt;height:0.95pt;margin-top:12.65pt;margin-left:0.6pt;mso-position-horizontal-relative:margin;position:absolute;visibility:visible;z-index:-251371520" o:allowincell="f" fillcolor="black" stroked="f">
          <o:lock v:ext="edit" aspectratio="t" verticies="t" text="t" shapetype="t"/>
          <w10:wrap anchorx="margin"/>
        </v:rect>
      </w:pict>
    </w:r>
    <w:r>
      <w:rPr>
        <w:noProof/>
      </w:rPr>
      <w:pict>
        <v:rect id="Rectangle 371" o:spid="_x0000_s2329" style="width:468pt;height:0.95pt;margin-top:12.65pt;margin-left:0.6pt;mso-position-horizontal-relative:margin;position:absolute;visibility:visible;z-index:-251370496" o:allowincell="f" fillcolor="black" stroked="f">
          <o:lock v:ext="edit" aspectratio="t" verticies="t" text="t" shapetype="t"/>
          <w10:wrap anchorx="margin"/>
        </v:rect>
      </w:pict>
    </w:r>
    <w:r>
      <w:rPr>
        <w:noProof/>
      </w:rPr>
      <w:pict>
        <v:rect id="Rectangle 370" o:spid="_x0000_s2330" style="width:468pt;height:0.95pt;margin-top:12.65pt;margin-left:0.6pt;mso-position-horizontal-relative:margin;position:absolute;visibility:visible;z-index:-251369472" o:allowincell="f" fillcolor="black" stroked="f">
          <o:lock v:ext="edit" aspectratio="t" verticies="t" text="t" shapetype="t"/>
          <w10:wrap anchorx="margin"/>
        </v:rect>
      </w:pict>
    </w:r>
    <w:r>
      <w:rPr>
        <w:noProof/>
      </w:rPr>
      <w:pict>
        <v:rect id="Rectangle 369" o:spid="_x0000_s2331" style="width:468pt;height:0.95pt;margin-top:12.65pt;margin-left:0.6pt;mso-position-horizontal-relative:margin;position:absolute;visibility:visible;z-index:-251368448" o:allowincell="f" fillcolor="black" stroked="f">
          <o:lock v:ext="edit" aspectratio="t" verticies="t" text="t" shapetype="t"/>
          <w10:wrap anchorx="margin"/>
        </v:rect>
      </w:pict>
    </w:r>
    <w:r>
      <w:rPr>
        <w:noProof/>
      </w:rPr>
      <w:pict>
        <v:rect id="Rectangle 368" o:spid="_x0000_s2332" style="width:468pt;height:0.95pt;margin-top:12.65pt;margin-left:0.6pt;mso-position-horizontal-relative:margin;position:absolute;visibility:visible;z-index:-251367424" o:allowincell="f" fillcolor="black" stroked="f">
          <o:lock v:ext="edit" aspectratio="t" verticies="t" text="t" shapetype="t"/>
          <w10:wrap anchorx="margin"/>
        </v:rect>
      </w:pict>
    </w:r>
    <w:r>
      <w:rPr>
        <w:noProof/>
      </w:rPr>
      <w:pict>
        <v:rect id="Rectangle 367" o:spid="_x0000_s2333" style="width:468pt;height:0.95pt;margin-top:12.65pt;margin-left:0.6pt;mso-position-horizontal-relative:margin;position:absolute;visibility:visible;z-index:-251366400" o:allowincell="f" fillcolor="black" stroked="f">
          <o:lock v:ext="edit" aspectratio="t" verticies="t" text="t" shapetype="t"/>
          <w10:wrap anchorx="margin"/>
        </v:rect>
      </w:pict>
    </w:r>
    <w:r>
      <w:rPr>
        <w:noProof/>
      </w:rPr>
      <w:pict>
        <v:rect id="Rectangle 366" o:spid="_x0000_s2334" style="width:468pt;height:0.95pt;margin-top:12.65pt;margin-left:0.6pt;mso-position-horizontal-relative:margin;position:absolute;visibility:visible;z-index:-251365376" o:allowincell="f" fillcolor="black" stroked="f">
          <o:lock v:ext="edit" aspectratio="t" verticies="t" text="t" shapetype="t"/>
          <w10:wrap anchorx="margin"/>
        </v:rect>
      </w:pict>
    </w:r>
    <w:r>
      <w:rPr>
        <w:noProof/>
      </w:rPr>
      <w:pict>
        <v:rect id="Rectangle 365" o:spid="_x0000_s2335" style="width:468pt;height:0.95pt;margin-top:12.65pt;margin-left:0.6pt;mso-position-horizontal-relative:margin;position:absolute;visibility:visible;z-index:-251364352" o:allowincell="f" fillcolor="black" stroked="f">
          <o:lock v:ext="edit" aspectratio="t" verticies="t" text="t" shapetype="t"/>
          <w10:wrap anchorx="margin"/>
        </v:rect>
      </w:pict>
    </w:r>
    <w:r>
      <w:rPr>
        <w:noProof/>
      </w:rPr>
      <w:pict>
        <v:rect id="Rectangle 364" o:spid="_x0000_s2336" style="width:468pt;height:0.95pt;margin-top:12.65pt;margin-left:0.6pt;mso-position-horizontal-relative:margin;position:absolute;visibility:visible;z-index:-251363328" o:allowincell="f" fillcolor="black" stroked="f">
          <o:lock v:ext="edit" aspectratio="t" verticies="t" text="t" shapetype="t"/>
          <w10:wrap anchorx="margin"/>
        </v:rect>
      </w:pict>
    </w:r>
    <w:r>
      <w:rPr>
        <w:noProof/>
      </w:rPr>
      <w:pict>
        <v:rect id="Rectangle 363" o:spid="_x0000_s2337" style="width:468pt;height:0.95pt;margin-top:12.65pt;margin-left:0.6pt;mso-position-horizontal-relative:margin;position:absolute;visibility:visible;z-index:-251362304" o:allowincell="f" fillcolor="black" stroked="f">
          <o:lock v:ext="edit" aspectratio="t" verticies="t" text="t" shapetype="t"/>
          <w10:wrap anchorx="margin"/>
        </v:rect>
      </w:pict>
    </w:r>
    <w:r>
      <w:rPr>
        <w:noProof/>
      </w:rPr>
      <w:pict>
        <v:rect id="Rectangle 362" o:spid="_x0000_s2338" style="width:468pt;height:0.95pt;margin-top:12.65pt;margin-left:0.6pt;mso-position-horizontal-relative:margin;position:absolute;visibility:visible;z-index:-251361280" o:allowincell="f" fillcolor="black" stroked="f">
          <o:lock v:ext="edit" aspectratio="t" verticies="t" text="t" shapetype="t"/>
          <w10:wrap anchorx="margin"/>
        </v:rect>
      </w:pict>
    </w:r>
    <w:r>
      <w:rPr>
        <w:noProof/>
      </w:rPr>
      <w:pict>
        <v:rect id="Rectangle 361" o:spid="_x0000_s2339" style="width:468pt;height:0.95pt;margin-top:12.65pt;margin-left:0.6pt;mso-position-horizontal-relative:margin;position:absolute;visibility:visible;z-index:-251360256" o:allowincell="f" fillcolor="black" stroked="f">
          <o:lock v:ext="edit" aspectratio="t" verticies="t" text="t" shapetype="t"/>
          <w10:wrap anchorx="margin"/>
        </v:rect>
      </w:pict>
    </w:r>
    <w:r>
      <w:rPr>
        <w:noProof/>
      </w:rPr>
      <w:pict>
        <v:rect id="Rectangle 360" o:spid="_x0000_s2340" style="width:468pt;height:0.95pt;margin-top:12.65pt;margin-left:0.6pt;mso-position-horizontal-relative:margin;position:absolute;visibility:visible;z-index:-251359232" o:allowincell="f" fillcolor="black" stroked="f">
          <o:lock v:ext="edit" aspectratio="t" verticies="t" text="t" shapetype="t"/>
          <w10:wrap anchorx="margin"/>
        </v:rect>
      </w:pict>
    </w:r>
    <w:r>
      <w:rPr>
        <w:noProof/>
      </w:rPr>
      <w:pict>
        <v:rect id="Rectangle 359" o:spid="_x0000_s2341" style="width:468pt;height:0.95pt;margin-top:12.65pt;margin-left:0.6pt;mso-position-horizontal-relative:margin;position:absolute;visibility:visible;z-index:-251358208" o:allowincell="f" fillcolor="black" stroked="f">
          <o:lock v:ext="edit" aspectratio="t" verticies="t" text="t" shapetype="t"/>
          <w10:wrap anchorx="margin"/>
        </v:rect>
      </w:pict>
    </w:r>
    <w:r>
      <w:rPr>
        <w:noProof/>
      </w:rPr>
      <w:pict>
        <v:rect id="Rectangle 358" o:spid="_x0000_s2342" style="width:468pt;height:0.95pt;margin-top:12.65pt;margin-left:0.6pt;mso-position-horizontal-relative:margin;position:absolute;visibility:visible;z-index:-251357184" o:allowincell="f" fillcolor="black" stroked="f">
          <o:lock v:ext="edit" aspectratio="t" verticies="t" text="t" shapetype="t"/>
          <w10:wrap anchorx="margin"/>
        </v:rect>
      </w:pict>
    </w:r>
    <w:r>
      <w:rPr>
        <w:noProof/>
      </w:rPr>
      <w:pict>
        <v:rect id="Rectangle 357" o:spid="_x0000_s2343" style="width:468pt;height:0.95pt;margin-top:12.65pt;margin-left:0.6pt;mso-position-horizontal-relative:margin;position:absolute;visibility:visible;z-index:-251356160" o:allowincell="f" fillcolor="black" stroked="f">
          <o:lock v:ext="edit" aspectratio="t" verticies="t" text="t" shapetype="t"/>
          <w10:wrap anchorx="margin"/>
        </v:rect>
      </w:pict>
    </w:r>
    <w:r>
      <w:rPr>
        <w:noProof/>
      </w:rPr>
      <w:pict>
        <v:rect id="Rectangle 356" o:spid="_x0000_s2344" style="width:468pt;height:0.95pt;margin-top:12.65pt;margin-left:0.6pt;mso-position-horizontal-relative:margin;position:absolute;visibility:visible;z-index:-251355136" o:allowincell="f" fillcolor="black" stroked="f">
          <o:lock v:ext="edit" aspectratio="t" verticies="t" text="t" shapetype="t"/>
          <w10:wrap anchorx="margin"/>
        </v:rect>
      </w:pict>
    </w:r>
    <w:r>
      <w:rPr>
        <w:noProof/>
      </w:rPr>
      <w:pict>
        <v:rect id="Rectangle 355" o:spid="_x0000_s2345" style="width:468pt;height:0.95pt;margin-top:12.65pt;margin-left:0.6pt;mso-position-horizontal-relative:margin;position:absolute;visibility:visible;z-index:-251354112" o:allowincell="f" fillcolor="black" stroked="f">
          <o:lock v:ext="edit" aspectratio="t" verticies="t" text="t" shapetype="t"/>
          <w10:wrap anchorx="margin"/>
        </v:rect>
      </w:pict>
    </w:r>
    <w:r>
      <w:rPr>
        <w:noProof/>
      </w:rPr>
      <w:pict>
        <v:rect id="Rectangle 354" o:spid="_x0000_s2346" style="width:468pt;height:0.95pt;margin-top:12.65pt;margin-left:0.6pt;mso-position-horizontal-relative:margin;position:absolute;visibility:visible;z-index:-251353088" o:allowincell="f" fillcolor="black" stroked="f">
          <o:lock v:ext="edit" aspectratio="t" verticies="t" text="t" shapetype="t"/>
          <w10:wrap anchorx="margin"/>
        </v:rect>
      </w:pict>
    </w:r>
    <w:r>
      <w:rPr>
        <w:noProof/>
      </w:rPr>
      <w:pict>
        <v:rect id="Rectangle 353" o:spid="_x0000_s2347" style="width:468pt;height:0.95pt;margin-top:12.65pt;margin-left:0.6pt;mso-position-horizontal-relative:margin;position:absolute;visibility:visible;z-index:-251352064" o:allowincell="f" fillcolor="black" stroked="f">
          <o:lock v:ext="edit" aspectratio="t" verticies="t" text="t" shapetype="t"/>
          <w10:wrap anchorx="margin"/>
        </v:rect>
      </w:pict>
    </w:r>
    <w:r>
      <w:rPr>
        <w:noProof/>
      </w:rPr>
      <w:pict>
        <v:rect id="Rectangle 352" o:spid="_x0000_s2348" style="width:468pt;height:0.95pt;margin-top:12.65pt;margin-left:0.6pt;mso-position-horizontal-relative:margin;position:absolute;visibility:visible;z-index:-251351040" o:allowincell="f" fillcolor="black" stroked="f">
          <o:lock v:ext="edit" aspectratio="t" verticies="t" text="t" shapetype="t"/>
          <w10:wrap anchorx="margin"/>
        </v:rect>
      </w:pict>
    </w:r>
    <w:r>
      <w:rPr>
        <w:noProof/>
      </w:rPr>
      <w:pict>
        <v:rect id="Rectangle 351" o:spid="_x0000_s2349" style="width:468pt;height:0.95pt;margin-top:12.65pt;margin-left:0.6pt;mso-position-horizontal-relative:margin;position:absolute;visibility:visible;z-index:-251350016" o:allowincell="f" fillcolor="black" stroked="f">
          <o:lock v:ext="edit" aspectratio="t" verticies="t" text="t" shapetype="t"/>
          <w10:wrap anchorx="margin"/>
        </v:rect>
      </w:pict>
    </w:r>
    <w:r>
      <w:rPr>
        <w:noProof/>
      </w:rPr>
      <w:pict>
        <v:rect id="Rectangle 350" o:spid="_x0000_s2350" style="width:468pt;height:0.95pt;margin-top:12.65pt;margin-left:0.6pt;mso-position-horizontal-relative:margin;position:absolute;visibility:visible;z-index:-251348992" o:allowincell="f" fillcolor="black" stroked="f">
          <o:lock v:ext="edit" aspectratio="t" verticies="t" text="t" shapetype="t"/>
          <w10:wrap anchorx="margin"/>
        </v:rect>
      </w:pict>
    </w:r>
    <w:r>
      <w:rPr>
        <w:noProof/>
      </w:rPr>
      <w:pict>
        <v:rect id="Rectangle 349" o:spid="_x0000_s2351" style="width:468pt;height:0.95pt;margin-top:12.65pt;margin-left:0.6pt;mso-position-horizontal-relative:margin;position:absolute;visibility:visible;z-index:-251347968" o:allowincell="f" fillcolor="black" stroked="f">
          <o:lock v:ext="edit" aspectratio="t" verticies="t" text="t" shapetype="t"/>
          <w10:wrap anchorx="margin"/>
        </v:rect>
      </w:pict>
    </w:r>
    <w:r>
      <w:rPr>
        <w:noProof/>
      </w:rPr>
      <w:pict>
        <v:rect id="Rectangle 348" o:spid="_x0000_s2352" style="width:468pt;height:0.95pt;margin-top:12.65pt;margin-left:0.6pt;mso-position-horizontal-relative:margin;position:absolute;visibility:visible;z-index:-251346944" o:allowincell="f" fillcolor="black" stroked="f">
          <o:lock v:ext="edit" aspectratio="t" verticies="t" text="t" shapetype="t"/>
          <w10:wrap anchorx="margin"/>
        </v:rect>
      </w:pict>
    </w:r>
    <w:r>
      <w:rPr>
        <w:noProof/>
      </w:rPr>
      <w:pict>
        <v:rect id="Rectangle 347" o:spid="_x0000_s2353" style="width:468pt;height:0.95pt;margin-top:12.65pt;margin-left:0.6pt;mso-position-horizontal-relative:margin;position:absolute;visibility:visible;z-index:-251345920" o:allowincell="f" fillcolor="black" stroked="f">
          <o:lock v:ext="edit" aspectratio="t" verticies="t" text="t" shapetype="t"/>
          <w10:wrap anchorx="margin"/>
        </v:rect>
      </w:pict>
    </w:r>
    <w:r>
      <w:rPr>
        <w:noProof/>
      </w:rPr>
      <w:pict>
        <v:rect id="Rectangle 346" o:spid="_x0000_s2354" style="width:468pt;height:0.95pt;margin-top:12.65pt;margin-left:0.6pt;mso-position-horizontal-relative:margin;position:absolute;visibility:visible;z-index:-251344896" o:allowincell="f" fillcolor="black" stroked="f">
          <o:lock v:ext="edit" aspectratio="t" verticies="t" text="t" shapetype="t"/>
          <w10:wrap anchorx="margin"/>
        </v:rect>
      </w:pict>
    </w:r>
    <w:r>
      <w:rPr>
        <w:noProof/>
      </w:rPr>
      <w:pict>
        <v:rect id="Rectangle 345" o:spid="_x0000_s2355" style="width:468pt;height:0.95pt;margin-top:12.65pt;margin-left:0.6pt;mso-position-horizontal-relative:margin;position:absolute;visibility:visible;z-index:-251343872" o:allowincell="f" fillcolor="black" stroked="f">
          <o:lock v:ext="edit" aspectratio="t" verticies="t" text="t" shapetype="t"/>
          <w10:wrap anchorx="margin"/>
        </v:rect>
      </w:pict>
    </w:r>
    <w:r>
      <w:rPr>
        <w:noProof/>
      </w:rPr>
      <w:pict>
        <v:rect id="Rectangle 344" o:spid="_x0000_s2356" style="width:468pt;height:0.95pt;margin-top:12.65pt;margin-left:0.6pt;mso-position-horizontal-relative:margin;position:absolute;visibility:visible;z-index:-251342848" o:allowincell="f" fillcolor="black" stroked="f">
          <o:lock v:ext="edit" aspectratio="t" verticies="t" text="t" shapetype="t"/>
          <w10:wrap anchorx="margin"/>
        </v:rect>
      </w:pict>
    </w:r>
    <w:r>
      <w:rPr>
        <w:noProof/>
      </w:rPr>
      <w:pict>
        <v:rect id="Rectangle 343" o:spid="_x0000_s2357" style="width:468pt;height:0.95pt;margin-top:12.65pt;margin-left:0.6pt;mso-position-horizontal-relative:margin;position:absolute;visibility:visible;z-index:-251341824" o:allowincell="f" fillcolor="black" stroked="f">
          <o:lock v:ext="edit" aspectratio="t" verticies="t" text="t" shapetype="t"/>
          <w10:wrap anchorx="margin"/>
        </v:rect>
      </w:pict>
    </w:r>
    <w:r>
      <w:rPr>
        <w:noProof/>
      </w:rPr>
      <w:pict>
        <v:rect id="Rectangle 342" o:spid="_x0000_s2358" style="width:468pt;height:0.95pt;margin-top:12.65pt;margin-left:0.6pt;mso-position-horizontal-relative:margin;position:absolute;visibility:visible;z-index:-251340800" o:allowincell="f" fillcolor="black" stroked="f">
          <o:lock v:ext="edit" aspectratio="t" verticies="t" text="t" shapetype="t"/>
          <w10:wrap anchorx="margin"/>
        </v:rect>
      </w:pict>
    </w:r>
    <w:r>
      <w:rPr>
        <w:noProof/>
      </w:rPr>
      <w:pict>
        <v:rect id="Rectangle 341" o:spid="_x0000_s2359" style="width:468pt;height:0.95pt;margin-top:12.65pt;margin-left:0.6pt;mso-position-horizontal-relative:margin;position:absolute;visibility:visible;z-index:-251339776" o:allowincell="f" fillcolor="black" stroked="f">
          <o:lock v:ext="edit" aspectratio="t" verticies="t" text="t" shapetype="t"/>
          <w10:wrap anchorx="margin"/>
        </v:rect>
      </w:pict>
    </w:r>
    <w:r>
      <w:rPr>
        <w:noProof/>
      </w:rPr>
      <w:pict>
        <v:rect id="Rectangle 340" o:spid="_x0000_s2360" style="width:468pt;height:0.95pt;margin-top:12.65pt;margin-left:0.6pt;mso-position-horizontal-relative:margin;position:absolute;visibility:visible;z-index:-251338752" o:allowincell="f" fillcolor="black" stroked="f">
          <o:lock v:ext="edit" aspectratio="t" verticies="t" text="t" shapetype="t"/>
          <w10:wrap anchorx="margin"/>
        </v:rect>
      </w:pict>
    </w:r>
    <w:r>
      <w:rPr>
        <w:noProof/>
      </w:rPr>
      <w:pict>
        <v:rect id="Rectangle 339" o:spid="_x0000_s2361" style="width:468pt;height:0.95pt;margin-top:12.65pt;margin-left:0.6pt;mso-position-horizontal-relative:margin;position:absolute;visibility:visible;z-index:-251337728" o:allowincell="f" fillcolor="black" stroked="f">
          <o:lock v:ext="edit" aspectratio="t" verticies="t" text="t" shapetype="t"/>
          <w10:wrap anchorx="margin"/>
        </v:rect>
      </w:pict>
    </w:r>
    <w:r>
      <w:rPr>
        <w:noProof/>
      </w:rPr>
      <w:pict>
        <v:rect id="Rectangle 338" o:spid="_x0000_s2362" style="width:468pt;height:0.95pt;margin-top:12.65pt;margin-left:0.6pt;mso-position-horizontal-relative:margin;position:absolute;visibility:visible;z-index:-251336704" o:allowincell="f" fillcolor="black" stroked="f">
          <o:lock v:ext="edit" aspectratio="t" verticies="t" text="t" shapetype="t"/>
          <w10:wrap anchorx="margin"/>
        </v:rect>
      </w:pict>
    </w:r>
    <w:r>
      <w:rPr>
        <w:noProof/>
      </w:rPr>
      <w:pict>
        <v:rect id="Rectangle 337" o:spid="_x0000_s2363" style="width:468pt;height:0.95pt;margin-top:12.65pt;margin-left:0.6pt;mso-position-horizontal-relative:margin;position:absolute;visibility:visible;z-index:-251335680" o:allowincell="f" fillcolor="black" stroked="f">
          <o:lock v:ext="edit" aspectratio="t" verticies="t" text="t" shapetype="t"/>
          <w10:wrap anchorx="margin"/>
        </v:rect>
      </w:pict>
    </w:r>
    <w:r>
      <w:rPr>
        <w:noProof/>
      </w:rPr>
      <w:pict>
        <v:rect id="Rectangle 336" o:spid="_x0000_s2364" style="width:468pt;height:0.95pt;margin-top:12.65pt;margin-left:0.6pt;mso-position-horizontal-relative:margin;position:absolute;visibility:visible;z-index:-251334656" o:allowincell="f" fillcolor="black" stroked="f">
          <o:lock v:ext="edit" aspectratio="t" verticies="t" text="t" shapetype="t"/>
          <w10:wrap anchorx="margin"/>
        </v:rect>
      </w:pict>
    </w:r>
    <w:r>
      <w:rPr>
        <w:noProof/>
      </w:rPr>
      <w:pict>
        <v:rect id="Rectangle 335" o:spid="_x0000_s2365" style="width:468pt;height:0.95pt;margin-top:12.65pt;margin-left:0.6pt;mso-position-horizontal-relative:margin;position:absolute;visibility:visible;z-index:-251333632" o:allowincell="f" fillcolor="black" stroked="f">
          <o:lock v:ext="edit" aspectratio="t" verticies="t" text="t" shapetype="t"/>
          <w10:wrap anchorx="margin"/>
        </v:rect>
      </w:pict>
    </w:r>
    <w:r>
      <w:rPr>
        <w:noProof/>
      </w:rPr>
      <w:pict>
        <v:rect id="Rectangle 334" o:spid="_x0000_s2366" style="width:468pt;height:0.95pt;margin-top:12.65pt;margin-left:0.6pt;mso-position-horizontal-relative:margin;position:absolute;visibility:visible;z-index:-251332608" o:allowincell="f" fillcolor="black" stroked="f">
          <o:lock v:ext="edit" aspectratio="t" verticies="t" text="t" shapetype="t"/>
          <w10:wrap anchorx="margin"/>
        </v:rect>
      </w:pict>
    </w:r>
    <w:r>
      <w:rPr>
        <w:noProof/>
      </w:rPr>
      <w:pict>
        <v:rect id="Rectangle 333" o:spid="_x0000_s2367" style="width:468pt;height:0.95pt;margin-top:12.65pt;margin-left:0.6pt;mso-position-horizontal-relative:margin;position:absolute;visibility:visible;z-index:-251331584" o:allowincell="f" fillcolor="black" stroked="f">
          <o:lock v:ext="edit" aspectratio="t" verticies="t" text="t" shapetype="t"/>
          <w10:wrap anchorx="margin"/>
        </v:rect>
      </w:pict>
    </w:r>
    <w:r>
      <w:rPr>
        <w:noProof/>
      </w:rPr>
      <w:pict>
        <v:rect id="Rectangle 332" o:spid="_x0000_s2368" style="width:468pt;height:0.95pt;margin-top:12.65pt;margin-left:0.6pt;mso-position-horizontal-relative:margin;position:absolute;visibility:visible;z-index:-251330560" o:allowincell="f" fillcolor="black" stroked="f">
          <o:lock v:ext="edit" aspectratio="t" verticies="t" text="t" shapetype="t"/>
          <w10:wrap anchorx="margin"/>
        </v:rect>
      </w:pict>
    </w:r>
    <w:r>
      <w:rPr>
        <w:noProof/>
      </w:rPr>
      <w:pict>
        <v:rect id="Rectangle 331" o:spid="_x0000_s2369" style="width:468pt;height:0.95pt;margin-top:12.65pt;margin-left:0.6pt;mso-position-horizontal-relative:margin;position:absolute;visibility:visible;z-index:-251329536" o:allowincell="f" fillcolor="black" stroked="f">
          <o:lock v:ext="edit" aspectratio="t" verticies="t" text="t" shapetype="t"/>
          <w10:wrap anchorx="margin"/>
        </v:rect>
      </w:pict>
    </w:r>
    <w:r>
      <w:rPr>
        <w:noProof/>
      </w:rPr>
      <w:pict>
        <v:rect id="Rectangle 330" o:spid="_x0000_s2370" style="width:468pt;height:0.95pt;margin-top:12.65pt;margin-left:0.6pt;mso-position-horizontal-relative:margin;position:absolute;visibility:visible;z-index:-251328512" o:allowincell="f" fillcolor="black" stroked="f">
          <o:lock v:ext="edit" aspectratio="t" verticies="t" text="t" shapetype="t"/>
          <w10:wrap anchorx="margin"/>
        </v:rect>
      </w:pict>
    </w:r>
    <w:r>
      <w:rPr>
        <w:noProof/>
      </w:rPr>
      <w:pict>
        <v:rect id="Rectangle 329" o:spid="_x0000_s2371" style="width:468pt;height:0.95pt;margin-top:12.65pt;margin-left:0.6pt;mso-position-horizontal-relative:margin;position:absolute;visibility:visible;z-index:-251327488" o:allowincell="f" fillcolor="black" stroked="f">
          <o:lock v:ext="edit" aspectratio="t" verticies="t" text="t" shapetype="t"/>
          <w10:wrap anchorx="margin"/>
        </v:rect>
      </w:pict>
    </w:r>
    <w:r>
      <w:rPr>
        <w:noProof/>
      </w:rPr>
      <w:pict>
        <v:rect id="Rectangle 328" o:spid="_x0000_s2372" style="width:468pt;height:0.95pt;margin-top:12.65pt;margin-left:0.6pt;mso-position-horizontal-relative:margin;position:absolute;visibility:visible;z-index:-251326464" o:allowincell="f" fillcolor="black" stroked="f">
          <o:lock v:ext="edit" aspectratio="t" verticies="t" text="t" shapetype="t"/>
          <w10:wrap anchorx="margin"/>
        </v:rect>
      </w:pict>
    </w:r>
    <w:r>
      <w:rPr>
        <w:noProof/>
      </w:rPr>
      <w:pict>
        <v:rect id="Rectangle 327" o:spid="_x0000_s2373" style="width:468pt;height:0.95pt;margin-top:12.65pt;margin-left:0.6pt;mso-position-horizontal-relative:margin;position:absolute;visibility:visible;z-index:-251325440" o:allowincell="f" fillcolor="black" stroked="f">
          <o:lock v:ext="edit" aspectratio="t" verticies="t" text="t" shapetype="t"/>
          <w10:wrap anchorx="margin"/>
        </v:rect>
      </w:pict>
    </w:r>
    <w:r>
      <w:rPr>
        <w:noProof/>
      </w:rPr>
      <w:pict>
        <v:rect id="Rectangle 326" o:spid="_x0000_s2374" style="width:468pt;height:0.95pt;margin-top:12.65pt;margin-left:0.6pt;mso-position-horizontal-relative:margin;position:absolute;visibility:visible;z-index:-251324416" o:allowincell="f" fillcolor="black" stroked="f">
          <o:lock v:ext="edit" aspectratio="t" verticies="t" text="t" shapetype="t"/>
          <w10:wrap anchorx="margin"/>
        </v:rect>
      </w:pict>
    </w:r>
    <w:r>
      <w:rPr>
        <w:noProof/>
      </w:rPr>
      <w:pict>
        <v:rect id="Rectangle 325" o:spid="_x0000_s2375" style="width:468pt;height:0.95pt;margin-top:12.65pt;margin-left:0.6pt;mso-position-horizontal-relative:margin;position:absolute;visibility:visible;z-index:-251323392" o:allowincell="f" fillcolor="black" stroked="f">
          <o:lock v:ext="edit" aspectratio="t" verticies="t" text="t" shapetype="t"/>
          <w10:wrap anchorx="margin"/>
        </v:rect>
      </w:pict>
    </w:r>
    <w:r>
      <w:rPr>
        <w:noProof/>
      </w:rPr>
      <w:pict>
        <v:rect id="Rectangle 324" o:spid="_x0000_s2376" style="width:468pt;height:0.95pt;margin-top:12.65pt;margin-left:0.6pt;mso-position-horizontal-relative:margin;position:absolute;visibility:visible;z-index:-251322368" o:allowincell="f" fillcolor="black" stroked="f">
          <o:lock v:ext="edit" aspectratio="t" verticies="t" text="t" shapetype="t"/>
          <w10:wrap anchorx="margin"/>
        </v:rect>
      </w:pict>
    </w:r>
    <w:r>
      <w:rPr>
        <w:noProof/>
      </w:rPr>
      <w:pict>
        <v:rect id="Rectangle 323" o:spid="_x0000_s2377" style="width:468pt;height:0.95pt;margin-top:12.65pt;margin-left:0.6pt;mso-position-horizontal-relative:margin;position:absolute;visibility:visible;z-index:-251321344" o:allowincell="f" fillcolor="black" stroked="f">
          <o:lock v:ext="edit" aspectratio="t" verticies="t" text="t" shapetype="t"/>
          <w10:wrap anchorx="margin"/>
        </v:rect>
      </w:pict>
    </w:r>
    <w:r>
      <w:rPr>
        <w:noProof/>
      </w:rPr>
      <w:pict>
        <v:rect id="Rectangle 322" o:spid="_x0000_s2378" style="width:468pt;height:0.95pt;margin-top:12.65pt;margin-left:0.6pt;mso-position-horizontal-relative:margin;position:absolute;visibility:visible;z-index:-251320320" o:allowincell="f" fillcolor="black" stroked="f">
          <o:lock v:ext="edit" aspectratio="t" verticies="t" text="t" shapetype="t"/>
          <w10:wrap anchorx="margin"/>
        </v:rect>
      </w:pict>
    </w:r>
    <w:r>
      <w:rPr>
        <w:noProof/>
      </w:rPr>
      <w:pict>
        <v:rect id="Rectangle 321" o:spid="_x0000_s2379" style="width:468pt;height:0.95pt;margin-top:12.65pt;margin-left:0.6pt;mso-position-horizontal-relative:margin;position:absolute;visibility:visible;z-index:-251319296" o:allowincell="f" fillcolor="black" stroked="f">
          <o:lock v:ext="edit" aspectratio="t" verticies="t" text="t" shapetype="t"/>
          <w10:wrap anchorx="margin"/>
        </v:rect>
      </w:pict>
    </w:r>
    <w:r>
      <w:rPr>
        <w:noProof/>
      </w:rPr>
      <w:pict>
        <v:rect id="Rectangle 320" o:spid="_x0000_s2380" style="width:468pt;height:0.95pt;margin-top:12.65pt;margin-left:0.6pt;mso-position-horizontal-relative:margin;position:absolute;visibility:visible;z-index:-251318272" o:allowincell="f" fillcolor="black" stroked="f">
          <o:lock v:ext="edit" aspectratio="t" verticies="t" text="t" shapetype="t"/>
          <w10:wrap anchorx="margin"/>
        </v:rect>
      </w:pict>
    </w:r>
    <w:r>
      <w:rPr>
        <w:noProof/>
      </w:rPr>
      <w:pict>
        <v:rect id="Rectangle 319" o:spid="_x0000_s2381" style="width:468pt;height:0.95pt;margin-top:12.65pt;margin-left:0.6pt;mso-position-horizontal-relative:margin;position:absolute;visibility:visible;z-index:-251317248" o:allowincell="f" fillcolor="black" stroked="f">
          <o:lock v:ext="edit" aspectratio="t" verticies="t" text="t" shapetype="t"/>
          <w10:wrap anchorx="margin"/>
        </v:rect>
      </w:pict>
    </w:r>
    <w:r>
      <w:rPr>
        <w:noProof/>
      </w:rPr>
      <w:pict>
        <v:rect id="Rectangle 318" o:spid="_x0000_s2382" style="width:468pt;height:0.95pt;margin-top:12.65pt;margin-left:0.6pt;mso-position-horizontal-relative:margin;position:absolute;visibility:visible;z-index:-251316224" o:allowincell="f" fillcolor="black" stroked="f">
          <o:lock v:ext="edit" aspectratio="t" verticies="t" text="t" shapetype="t"/>
          <w10:wrap anchorx="margin"/>
        </v:rect>
      </w:pict>
    </w:r>
    <w:r>
      <w:rPr>
        <w:noProof/>
      </w:rPr>
      <w:pict>
        <v:rect id="Rectangle 317" o:spid="_x0000_s2383" style="width:468pt;height:0.95pt;margin-top:12.65pt;margin-left:0.6pt;mso-position-horizontal-relative:margin;position:absolute;visibility:visible;z-index:-251315200" o:allowincell="f" fillcolor="black" stroked="f">
          <o:lock v:ext="edit" aspectratio="t" verticies="t" text="t" shapetype="t"/>
          <w10:wrap anchorx="margin"/>
        </v:rect>
      </w:pict>
    </w:r>
    <w:r>
      <w:rPr>
        <w:noProof/>
      </w:rPr>
      <w:pict>
        <v:rect id="Rectangle 316" o:spid="_x0000_s2384" style="width:468pt;height:0.95pt;margin-top:12.65pt;margin-left:0.6pt;mso-position-horizontal-relative:margin;position:absolute;visibility:visible;z-index:-251314176" o:allowincell="f" fillcolor="black" stroked="f">
          <o:lock v:ext="edit" aspectratio="t" verticies="t" text="t" shapetype="t"/>
          <w10:wrap anchorx="margin"/>
        </v:rect>
      </w:pict>
    </w:r>
    <w:r>
      <w:rPr>
        <w:noProof/>
      </w:rPr>
      <w:pict>
        <v:rect id="Rectangle 315" o:spid="_x0000_s2385" style="width:468pt;height:0.95pt;margin-top:12.65pt;margin-left:0.6pt;mso-position-horizontal-relative:margin;position:absolute;visibility:visible;z-index:-251313152" o:allowincell="f" fillcolor="black" stroked="f">
          <o:lock v:ext="edit" aspectratio="t" verticies="t" text="t" shapetype="t"/>
          <w10:wrap anchorx="margin"/>
        </v:rect>
      </w:pict>
    </w:r>
    <w:r>
      <w:rPr>
        <w:noProof/>
      </w:rPr>
      <w:pict>
        <v:rect id="Rectangle 314" o:spid="_x0000_s2386" style="width:468pt;height:0.95pt;margin-top:12.65pt;margin-left:0.6pt;mso-position-horizontal-relative:margin;position:absolute;visibility:visible;z-index:-251312128" o:allowincell="f" fillcolor="black" stroked="f">
          <o:lock v:ext="edit" aspectratio="t" verticies="t" text="t" shapetype="t"/>
          <w10:wrap anchorx="margin"/>
        </v:rect>
      </w:pict>
    </w:r>
    <w:r>
      <w:rPr>
        <w:noProof/>
      </w:rPr>
      <w:pict>
        <v:rect id="Rectangle 313" o:spid="_x0000_s2387" style="width:468pt;height:0.95pt;margin-top:12.65pt;margin-left:0.6pt;mso-position-horizontal-relative:margin;position:absolute;visibility:visible;z-index:-251311104" o:allowincell="f" fillcolor="black" stroked="f">
          <o:lock v:ext="edit" aspectratio="t" verticies="t" text="t" shapetype="t"/>
          <w10:wrap anchorx="margin"/>
        </v:rect>
      </w:pict>
    </w:r>
    <w:r>
      <w:rPr>
        <w:noProof/>
      </w:rPr>
      <w:pict>
        <v:rect id="Rectangle 312" o:spid="_x0000_s2388" style="width:468pt;height:0.95pt;margin-top:12.65pt;margin-left:0.6pt;mso-position-horizontal-relative:margin;position:absolute;visibility:visible;z-index:-251310080" o:allowincell="f" fillcolor="black" stroked="f">
          <o:lock v:ext="edit" aspectratio="t" verticies="t" text="t" shapetype="t"/>
          <w10:wrap anchorx="margin"/>
        </v:rect>
      </w:pict>
    </w:r>
    <w:r>
      <w:rPr>
        <w:noProof/>
      </w:rPr>
      <w:pict>
        <v:rect id="Rectangle 311" o:spid="_x0000_s2389" style="width:468pt;height:0.95pt;margin-top:12.65pt;margin-left:0.6pt;mso-position-horizontal-relative:margin;position:absolute;visibility:visible;z-index:-251309056" o:allowincell="f" fillcolor="black" stroked="f">
          <o:lock v:ext="edit" aspectratio="t" verticies="t" text="t" shapetype="t"/>
          <w10:wrap anchorx="margin"/>
        </v:rect>
      </w:pict>
    </w:r>
    <w:r>
      <w:rPr>
        <w:noProof/>
      </w:rPr>
      <w:pict>
        <v:rect id="Rectangle 310" o:spid="_x0000_s2390" style="width:468pt;height:0.95pt;margin-top:12.65pt;margin-left:0.6pt;mso-position-horizontal-relative:margin;position:absolute;visibility:visible;z-index:-251308032" o:allowincell="f" fillcolor="black" stroked="f">
          <o:lock v:ext="edit" aspectratio="t" verticies="t" text="t" shapetype="t"/>
          <w10:wrap anchorx="margin"/>
        </v:rect>
      </w:pict>
    </w:r>
    <w:r>
      <w:rPr>
        <w:noProof/>
      </w:rPr>
      <w:pict>
        <v:rect id="Rectangle 309" o:spid="_x0000_s2391" style="width:468pt;height:0.95pt;margin-top:12.65pt;margin-left:0.6pt;mso-position-horizontal-relative:margin;position:absolute;visibility:visible;z-index:-251307008" o:allowincell="f" fillcolor="black" stroked="f">
          <o:lock v:ext="edit" aspectratio="t" verticies="t" text="t" shapetype="t"/>
          <w10:wrap anchorx="margin"/>
        </v:rect>
      </w:pict>
    </w:r>
    <w:r>
      <w:rPr>
        <w:noProof/>
      </w:rPr>
      <w:pict>
        <v:rect id="Rectangle 308" o:spid="_x0000_s2392" style="width:468pt;height:0.95pt;margin-top:12.65pt;margin-left:0.6pt;mso-position-horizontal-relative:margin;position:absolute;visibility:visible;z-index:-251305984" o:allowincell="f" fillcolor="black" stroked="f">
          <o:lock v:ext="edit" aspectratio="t" verticies="t" text="t" shapetype="t"/>
          <w10:wrap anchorx="margin"/>
        </v:rect>
      </w:pict>
    </w:r>
    <w:r>
      <w:rPr>
        <w:noProof/>
      </w:rPr>
      <w:pict>
        <v:rect id="Rectangle 307" o:spid="_x0000_s2393" style="width:468pt;height:0.95pt;margin-top:12.65pt;margin-left:0.6pt;mso-position-horizontal-relative:margin;position:absolute;visibility:visible;z-index:-251304960" o:allowincell="f" fillcolor="black" stroked="f">
          <o:lock v:ext="edit" aspectratio="t" verticies="t" text="t" shapetype="t"/>
          <w10:wrap anchorx="margin"/>
        </v:rect>
      </w:pict>
    </w:r>
    <w:r>
      <w:rPr>
        <w:noProof/>
      </w:rPr>
      <w:pict>
        <v:rect id="Rectangle 306" o:spid="_x0000_s2394" style="width:468pt;height:0.95pt;margin-top:12.65pt;margin-left:0.6pt;mso-position-horizontal-relative:margin;position:absolute;visibility:visible;z-index:-251303936" o:allowincell="f" fillcolor="black" stroked="f">
          <o:lock v:ext="edit" aspectratio="t" verticies="t" text="t" shapetype="t"/>
          <w10:wrap anchorx="margin"/>
        </v:rect>
      </w:pict>
    </w:r>
    <w:r>
      <w:rPr>
        <w:noProof/>
      </w:rPr>
      <w:pict>
        <v:rect id="Rectangle 305" o:spid="_x0000_s2395" style="width:468pt;height:0.95pt;margin-top:12.65pt;margin-left:0.6pt;mso-position-horizontal-relative:margin;position:absolute;visibility:visible;z-index:-251302912" o:allowincell="f" fillcolor="black" stroked="f">
          <o:lock v:ext="edit" aspectratio="t" verticies="t" text="t" shapetype="t"/>
          <w10:wrap anchorx="margin"/>
        </v:rect>
      </w:pict>
    </w:r>
    <w:r>
      <w:rPr>
        <w:noProof/>
      </w:rPr>
      <w:pict>
        <v:rect id="Rectangle 304" o:spid="_x0000_s2396" style="width:468pt;height:0.95pt;margin-top:12.65pt;margin-left:0.6pt;mso-position-horizontal-relative:margin;position:absolute;visibility:visible;z-index:-251301888" o:allowincell="f" fillcolor="black" stroked="f">
          <o:lock v:ext="edit" aspectratio="t" verticies="t" text="t" shapetype="t"/>
          <w10:wrap anchorx="margin"/>
        </v:rect>
      </w:pict>
    </w:r>
    <w:r>
      <w:rPr>
        <w:noProof/>
      </w:rPr>
      <w:pict>
        <v:rect id="Rectangle 303" o:spid="_x0000_s2397" style="width:468pt;height:0.95pt;margin-top:12.65pt;margin-left:0.6pt;mso-position-horizontal-relative:margin;position:absolute;visibility:visible;z-index:-251300864" o:allowincell="f" fillcolor="black" stroked="f">
          <o:lock v:ext="edit" aspectratio="t" verticies="t" text="t" shapetype="t"/>
          <w10:wrap anchorx="margin"/>
        </v:rect>
      </w:pict>
    </w:r>
    <w:r>
      <w:rPr>
        <w:noProof/>
      </w:rPr>
      <w:pict>
        <v:rect id="Rectangle 302" o:spid="_x0000_s2398" style="width:468pt;height:0.95pt;margin-top:12.65pt;margin-left:0.6pt;mso-position-horizontal-relative:margin;position:absolute;visibility:visible;z-index:-251299840" o:allowincell="f" fillcolor="black" stroked="f">
          <o:lock v:ext="edit" aspectratio="t" verticies="t" text="t" shapetype="t"/>
          <w10:wrap anchorx="margin"/>
        </v:rect>
      </w:pict>
    </w:r>
    <w:r>
      <w:rPr>
        <w:noProof/>
      </w:rPr>
      <w:pict>
        <v:rect id="Rectangle 301" o:spid="_x0000_s2399" style="width:468pt;height:0.95pt;margin-top:12.65pt;margin-left:0.6pt;mso-position-horizontal-relative:margin;position:absolute;visibility:visible;z-index:-251298816" o:allowincell="f" fillcolor="black" stroked="f">
          <o:lock v:ext="edit" aspectratio="t" verticies="t" text="t" shapetype="t"/>
          <w10:wrap anchorx="margin"/>
        </v:rect>
      </w:pict>
    </w:r>
    <w:r>
      <w:rPr>
        <w:noProof/>
      </w:rPr>
      <w:pict>
        <v:rect id="Rectangle 300" o:spid="_x0000_s2400" style="width:468pt;height:0.95pt;margin-top:12.65pt;margin-left:0.6pt;mso-position-horizontal-relative:margin;position:absolute;visibility:visible;z-index:-251297792" o:allowincell="f" fillcolor="black" stroked="f">
          <o:lock v:ext="edit" aspectratio="t" verticies="t" text="t" shapetype="t"/>
          <w10:wrap anchorx="margin"/>
        </v:rect>
      </w:pict>
    </w:r>
    <w:r>
      <w:rPr>
        <w:noProof/>
      </w:rPr>
      <w:pict>
        <v:rect id="Rectangle 299" o:spid="_x0000_s2401" style="width:468pt;height:0.95pt;margin-top:12.65pt;margin-left:0.6pt;mso-position-horizontal-relative:margin;position:absolute;visibility:visible;z-index:-251296768" o:allowincell="f" fillcolor="black" stroked="f">
          <o:lock v:ext="edit" aspectratio="t" verticies="t" text="t" shapetype="t"/>
          <w10:wrap anchorx="margin"/>
        </v:rect>
      </w:pict>
    </w:r>
    <w:r>
      <w:rPr>
        <w:noProof/>
      </w:rPr>
      <w:pict>
        <v:rect id="Rectangle 298" o:spid="_x0000_s2402" style="width:468pt;height:0.95pt;margin-top:12.65pt;margin-left:0.6pt;mso-position-horizontal-relative:margin;position:absolute;visibility:visible;z-index:-251295744" o:allowincell="f" fillcolor="black" stroked="f">
          <o:lock v:ext="edit" aspectratio="t" verticies="t" text="t" shapetype="t"/>
          <w10:wrap anchorx="margin"/>
        </v:rect>
      </w:pict>
    </w:r>
    <w:r>
      <w:rPr>
        <w:noProof/>
      </w:rPr>
      <w:pict>
        <v:rect id="Rectangle 297" o:spid="_x0000_s2403" style="width:468pt;height:0.95pt;margin-top:12.65pt;margin-left:0.6pt;mso-position-horizontal-relative:margin;position:absolute;visibility:visible;z-index:-251294720" o:allowincell="f" fillcolor="black" stroked="f">
          <o:lock v:ext="edit" aspectratio="t" verticies="t" text="t" shapetype="t"/>
          <w10:wrap anchorx="margin"/>
        </v:rect>
      </w:pict>
    </w:r>
    <w:r>
      <w:rPr>
        <w:noProof/>
      </w:rPr>
      <w:pict>
        <v:rect id="Rectangle 296" o:spid="_x0000_s2404" style="width:468pt;height:0.95pt;margin-top:12.65pt;margin-left:0.6pt;mso-position-horizontal-relative:margin;position:absolute;visibility:visible;z-index:-251293696" o:allowincell="f" fillcolor="black" stroked="f">
          <o:lock v:ext="edit" aspectratio="t" verticies="t" text="t" shapetype="t"/>
          <w10:wrap anchorx="margin"/>
        </v:rect>
      </w:pict>
    </w:r>
    <w:r>
      <w:rPr>
        <w:noProof/>
      </w:rPr>
      <w:pict>
        <v:rect id="Rectangle 295" o:spid="_x0000_s2405" style="width:468pt;height:0.95pt;margin-top:12.65pt;margin-left:0.6pt;mso-position-horizontal-relative:margin;position:absolute;visibility:visible;z-index:-251292672" o:allowincell="f" fillcolor="black" stroked="f">
          <o:lock v:ext="edit" aspectratio="t" verticies="t" text="t" shapetype="t"/>
          <w10:wrap anchorx="margin"/>
        </v:rect>
      </w:pict>
    </w:r>
    <w:r>
      <w:rPr>
        <w:noProof/>
      </w:rPr>
      <w:pict>
        <v:rect id="Rectangle 294" o:spid="_x0000_s2406" style="width:468pt;height:0.95pt;margin-top:12.65pt;margin-left:0.6pt;mso-position-horizontal-relative:margin;position:absolute;visibility:visible;z-index:-251291648" o:allowincell="f" fillcolor="black" stroked="f">
          <o:lock v:ext="edit" aspectratio="t" verticies="t" text="t" shapetype="t"/>
          <w10:wrap anchorx="margin"/>
        </v:rect>
      </w:pict>
    </w:r>
    <w:r>
      <w:rPr>
        <w:noProof/>
      </w:rPr>
      <w:pict>
        <v:rect id="Rectangle 293" o:spid="_x0000_s2407" style="width:468pt;height:0.95pt;margin-top:12.65pt;margin-left:0.6pt;mso-position-horizontal-relative:margin;position:absolute;visibility:visible;z-index:-251290624" o:allowincell="f" fillcolor="black" stroked="f">
          <o:lock v:ext="edit" aspectratio="t" verticies="t" text="t" shapetype="t"/>
          <w10:wrap anchorx="margin"/>
        </v:rect>
      </w:pict>
    </w:r>
    <w:r>
      <w:rPr>
        <w:noProof/>
      </w:rPr>
      <w:pict>
        <v:rect id="Rectangle 292" o:spid="_x0000_s2408" style="width:468pt;height:0.95pt;margin-top:12.65pt;margin-left:0.6pt;mso-position-horizontal-relative:margin;position:absolute;visibility:visible;z-index:-251289600" o:allowincell="f" fillcolor="black" stroked="f">
          <o:lock v:ext="edit" aspectratio="t" verticies="t" text="t" shapetype="t"/>
          <w10:wrap anchorx="margin"/>
        </v:rect>
      </w:pict>
    </w:r>
    <w:r>
      <w:rPr>
        <w:noProof/>
      </w:rPr>
      <w:pict>
        <v:rect id="Rectangle 291" o:spid="_x0000_s2409" style="width:468pt;height:0.95pt;margin-top:12.65pt;margin-left:0.6pt;mso-position-horizontal-relative:margin;position:absolute;visibility:visible;z-index:-251288576" o:allowincell="f" fillcolor="black" stroked="f">
          <o:lock v:ext="edit" aspectratio="t" verticies="t" text="t" shapetype="t"/>
          <w10:wrap anchorx="margin"/>
        </v:rect>
      </w:pict>
    </w:r>
    <w:r>
      <w:rPr>
        <w:noProof/>
      </w:rPr>
      <w:pict>
        <v:rect id="Rectangle 290" o:spid="_x0000_s2410" style="width:468pt;height:0.95pt;margin-top:12.65pt;margin-left:0.6pt;mso-position-horizontal-relative:margin;position:absolute;visibility:visible;z-index:-251287552" o:allowincell="f" fillcolor="black" stroked="f">
          <o:lock v:ext="edit" aspectratio="t" verticies="t" text="t" shapetype="t"/>
          <w10:wrap anchorx="margin"/>
        </v:rect>
      </w:pict>
    </w:r>
    <w:r>
      <w:rPr>
        <w:noProof/>
      </w:rPr>
      <w:pict>
        <v:rect id="Rectangle 289" o:spid="_x0000_s2411" style="width:468pt;height:0.95pt;margin-top:12.65pt;margin-left:0.6pt;mso-position-horizontal-relative:margin;position:absolute;visibility:visible;z-index:-251286528" o:allowincell="f" fillcolor="black" stroked="f">
          <o:lock v:ext="edit" aspectratio="t" verticies="t" text="t" shapetype="t"/>
          <w10:wrap anchorx="margin"/>
        </v:rect>
      </w:pict>
    </w:r>
    <w:r>
      <w:rPr>
        <w:noProof/>
      </w:rPr>
      <w:pict>
        <v:rect id="Rectangle 288" o:spid="_x0000_s2412" style="width:468pt;height:0.95pt;margin-top:12.65pt;margin-left:0.6pt;mso-position-horizontal-relative:margin;position:absolute;visibility:visible;z-index:-251285504" o:allowincell="f" fillcolor="black" stroked="f">
          <o:lock v:ext="edit" aspectratio="t" verticies="t" text="t" shapetype="t"/>
          <w10:wrap anchorx="margin"/>
        </v:rect>
      </w:pict>
    </w:r>
    <w:r>
      <w:rPr>
        <w:noProof/>
      </w:rPr>
      <w:pict>
        <v:rect id="Rectangle 287" o:spid="_x0000_s2413" style="width:468pt;height:0.95pt;margin-top:12.65pt;margin-left:0.6pt;mso-position-horizontal-relative:margin;position:absolute;visibility:visible;z-index:-251284480" o:allowincell="f" fillcolor="black" stroked="f">
          <o:lock v:ext="edit" aspectratio="t" verticies="t" text="t" shapetype="t"/>
          <w10:wrap anchorx="margin"/>
        </v:rect>
      </w:pict>
    </w:r>
    <w:r>
      <w:rPr>
        <w:noProof/>
      </w:rPr>
      <w:pict>
        <v:rect id="Rectangle 286" o:spid="_x0000_s2414" style="width:468pt;height:0.95pt;margin-top:12.65pt;margin-left:0.6pt;mso-position-horizontal-relative:margin;position:absolute;visibility:visible;z-index:-251283456" o:allowincell="f" fillcolor="black" stroked="f">
          <o:lock v:ext="edit" aspectratio="t" verticies="t" text="t" shapetype="t"/>
          <w10:wrap anchorx="margin"/>
        </v:rect>
      </w:pict>
    </w:r>
    <w:r>
      <w:rPr>
        <w:noProof/>
      </w:rPr>
      <w:pict>
        <v:rect id="Rectangle 285" o:spid="_x0000_s2415" style="width:468pt;height:0.95pt;margin-top:12.65pt;margin-left:0.6pt;mso-position-horizontal-relative:margin;position:absolute;visibility:visible;z-index:-251282432" o:allowincell="f" fillcolor="black" stroked="f">
          <o:lock v:ext="edit" aspectratio="t" verticies="t" text="t" shapetype="t"/>
          <w10:wrap anchorx="margin"/>
        </v:rect>
      </w:pict>
    </w:r>
    <w:r>
      <w:rPr>
        <w:noProof/>
      </w:rPr>
      <w:pict>
        <v:rect id="Rectangle 284" o:spid="_x0000_s2416" style="width:468pt;height:0.95pt;margin-top:12.65pt;margin-left:0.6pt;mso-position-horizontal-relative:margin;position:absolute;visibility:visible;z-index:-251281408" o:allowincell="f" fillcolor="black" stroked="f">
          <o:lock v:ext="edit" aspectratio="t" verticies="t" text="t" shapetype="t"/>
          <w10:wrap anchorx="margin"/>
        </v:rect>
      </w:pict>
    </w:r>
    <w:r>
      <w:rPr>
        <w:noProof/>
      </w:rPr>
      <w:pict>
        <v:rect id="Rectangle 283" o:spid="_x0000_s2417" style="width:468pt;height:0.95pt;margin-top:12.65pt;margin-left:0.6pt;mso-position-horizontal-relative:margin;position:absolute;visibility:visible;z-index:-251280384" o:allowincell="f" fillcolor="black" stroked="f">
          <o:lock v:ext="edit" aspectratio="t" verticies="t" text="t" shapetype="t"/>
          <w10:wrap anchorx="margin"/>
        </v:rect>
      </w:pict>
    </w:r>
    <w:r>
      <w:rPr>
        <w:noProof/>
      </w:rPr>
      <w:pict>
        <v:rect id="Rectangle 282" o:spid="_x0000_s2418" style="width:468pt;height:0.95pt;margin-top:12.65pt;margin-left:0.6pt;mso-position-horizontal-relative:margin;position:absolute;visibility:visible;z-index:-251279360" o:allowincell="f" fillcolor="black" stroked="f">
          <o:lock v:ext="edit" aspectratio="t" verticies="t" text="t" shapetype="t"/>
          <w10:wrap anchorx="margin"/>
        </v:rect>
      </w:pict>
    </w:r>
    <w:r>
      <w:rPr>
        <w:noProof/>
      </w:rPr>
      <w:pict>
        <v:rect id="Rectangle 281" o:spid="_x0000_s2419" style="width:468pt;height:0.95pt;margin-top:12.65pt;margin-left:0.6pt;mso-position-horizontal-relative:margin;position:absolute;visibility:visible;z-index:-251278336" o:allowincell="f" fillcolor="black" stroked="f">
          <o:lock v:ext="edit" aspectratio="t" verticies="t" text="t" shapetype="t"/>
          <w10:wrap anchorx="margin"/>
        </v:rect>
      </w:pict>
    </w:r>
    <w:r>
      <w:rPr>
        <w:noProof/>
      </w:rPr>
      <w:pict>
        <v:rect id="Rectangle 280" o:spid="_x0000_s2420" style="width:468pt;height:0.95pt;margin-top:12.65pt;margin-left:0.6pt;mso-position-horizontal-relative:margin;position:absolute;visibility:visible;z-index:-251277312" o:allowincell="f" fillcolor="black" stroked="f">
          <o:lock v:ext="edit" aspectratio="t" verticies="t" text="t" shapetype="t"/>
          <w10:wrap anchorx="margin"/>
        </v:rect>
      </w:pict>
    </w:r>
    <w:r>
      <w:rPr>
        <w:noProof/>
      </w:rPr>
      <w:pict>
        <v:rect id="Rectangle 279" o:spid="_x0000_s2421" style="width:468pt;height:0.95pt;margin-top:12.65pt;margin-left:0.6pt;mso-position-horizontal-relative:margin;position:absolute;visibility:visible;z-index:-251276288" o:allowincell="f" fillcolor="black" stroked="f">
          <o:lock v:ext="edit" aspectratio="t" verticies="t" text="t" shapetype="t"/>
          <w10:wrap anchorx="margin"/>
        </v:rect>
      </w:pict>
    </w:r>
    <w:r>
      <w:rPr>
        <w:noProof/>
      </w:rPr>
      <w:pict>
        <v:rect id="Rectangle 278" o:spid="_x0000_s2422" style="width:468pt;height:0.95pt;margin-top:12.65pt;margin-left:0.6pt;mso-position-horizontal-relative:margin;position:absolute;visibility:visible;z-index:-251275264" o:allowincell="f" fillcolor="black" stroked="f">
          <o:lock v:ext="edit" aspectratio="t" verticies="t" text="t" shapetype="t"/>
          <w10:wrap anchorx="margin"/>
        </v:rect>
      </w:pict>
    </w:r>
    <w:r>
      <w:rPr>
        <w:noProof/>
      </w:rPr>
      <w:pict>
        <v:rect id="Rectangle 277" o:spid="_x0000_s2423" style="width:468pt;height:0.95pt;margin-top:12.65pt;margin-left:0.6pt;mso-position-horizontal-relative:margin;position:absolute;visibility:visible;z-index:-251274240" o:allowincell="f" fillcolor="black" stroked="f">
          <o:lock v:ext="edit" aspectratio="t" verticies="t" text="t" shapetype="t"/>
          <w10:wrap anchorx="margin"/>
        </v:rect>
      </w:pict>
    </w:r>
    <w:r>
      <w:rPr>
        <w:noProof/>
      </w:rPr>
      <w:pict>
        <v:rect id="Rectangle 276" o:spid="_x0000_s2424" style="width:468pt;height:0.95pt;margin-top:12.65pt;margin-left:0.6pt;mso-position-horizontal-relative:margin;position:absolute;visibility:visible;z-index:-251273216" o:allowincell="f" fillcolor="black" stroked="f">
          <o:lock v:ext="edit" aspectratio="t" verticies="t" text="t" shapetype="t"/>
          <w10:wrap anchorx="margin"/>
        </v:rect>
      </w:pict>
    </w:r>
    <w:r>
      <w:rPr>
        <w:noProof/>
      </w:rPr>
      <w:pict>
        <v:rect id="Rectangle 275" o:spid="_x0000_s2425" style="width:468pt;height:0.95pt;margin-top:12.65pt;margin-left:0.6pt;mso-position-horizontal-relative:margin;position:absolute;visibility:visible;z-index:-251272192" o:allowincell="f" fillcolor="black" stroked="f">
          <o:lock v:ext="edit" aspectratio="t" verticies="t" text="t" shapetype="t"/>
          <w10:wrap anchorx="margin"/>
        </v:rect>
      </w:pict>
    </w:r>
    <w:r>
      <w:rPr>
        <w:noProof/>
      </w:rPr>
      <w:pict>
        <v:rect id="Rectangle 274" o:spid="_x0000_s2426" style="width:468pt;height:0.95pt;margin-top:12.65pt;margin-left:0.6pt;mso-position-horizontal-relative:margin;position:absolute;visibility:visible;z-index:-251271168" o:allowincell="f" fillcolor="black" stroked="f">
          <o:lock v:ext="edit" aspectratio="t" verticies="t" text="t" shapetype="t"/>
          <w10:wrap anchorx="margin"/>
        </v:rect>
      </w:pict>
    </w:r>
    <w:r>
      <w:rPr>
        <w:noProof/>
      </w:rPr>
      <w:pict>
        <v:rect id="Rectangle 273" o:spid="_x0000_s2427" style="width:468pt;height:0.95pt;margin-top:12.65pt;margin-left:0.6pt;mso-position-horizontal-relative:margin;position:absolute;visibility:visible;z-index:-251270144" o:allowincell="f" fillcolor="black" stroked="f">
          <o:lock v:ext="edit" aspectratio="t" verticies="t" text="t" shapetype="t"/>
          <w10:wrap anchorx="margin"/>
        </v:rect>
      </w:pict>
    </w:r>
    <w:r>
      <w:rPr>
        <w:noProof/>
      </w:rPr>
      <w:pict>
        <v:rect id="Rectangle 272" o:spid="_x0000_s2428" style="width:468pt;height:0.95pt;margin-top:12.65pt;margin-left:0.6pt;mso-position-horizontal-relative:margin;position:absolute;visibility:visible;z-index:-251269120" o:allowincell="f" fillcolor="black" stroked="f">
          <o:lock v:ext="edit" aspectratio="t" verticies="t" text="t" shapetype="t"/>
          <w10:wrap anchorx="margin"/>
        </v:rect>
      </w:pict>
    </w:r>
    <w:r>
      <w:rPr>
        <w:noProof/>
      </w:rPr>
      <w:pict>
        <v:rect id="Rectangle 271" o:spid="_x0000_s2429" style="width:468pt;height:0.95pt;margin-top:12.65pt;margin-left:0.6pt;mso-position-horizontal-relative:margin;position:absolute;visibility:visible;z-index:-251268096" o:allowincell="f" fillcolor="black" stroked="f">
          <o:lock v:ext="edit" aspectratio="t" verticies="t" text="t" shapetype="t"/>
          <w10:wrap anchorx="margin"/>
        </v:rect>
      </w:pict>
    </w:r>
    <w:r>
      <w:rPr>
        <w:noProof/>
      </w:rPr>
      <w:pict>
        <v:rect id="Rectangle 270" o:spid="_x0000_s2430" style="width:468pt;height:0.95pt;margin-top:12.65pt;margin-left:0.6pt;mso-position-horizontal-relative:margin;position:absolute;visibility:visible;z-index:-251267072" o:allowincell="f" fillcolor="black" stroked="f">
          <o:lock v:ext="edit" aspectratio="t" verticies="t" text="t" shapetype="t"/>
          <w10:wrap anchorx="margin"/>
        </v:rect>
      </w:pict>
    </w:r>
    <w:r>
      <w:rPr>
        <w:noProof/>
      </w:rPr>
      <w:pict>
        <v:rect id="Rectangle 269" o:spid="_x0000_s2431" style="width:468pt;height:0.95pt;margin-top:12.65pt;margin-left:0.6pt;mso-position-horizontal-relative:margin;position:absolute;visibility:visible;z-index:-251266048" o:allowincell="f" fillcolor="black" stroked="f">
          <o:lock v:ext="edit" aspectratio="t" verticies="t" text="t" shapetype="t"/>
          <w10:wrap anchorx="margin"/>
        </v:rect>
      </w:pict>
    </w:r>
    <w:r>
      <w:rPr>
        <w:noProof/>
      </w:rPr>
      <w:pict>
        <v:rect id="Rectangle 268" o:spid="_x0000_s2432" style="width:468pt;height:0.95pt;margin-top:12.65pt;margin-left:0.6pt;mso-position-horizontal-relative:margin;position:absolute;visibility:visible;z-index:-251265024" o:allowincell="f" fillcolor="black" stroked="f">
          <o:lock v:ext="edit" aspectratio="t" verticies="t" text="t" shapetype="t"/>
          <w10:wrap anchorx="margin"/>
        </v:rect>
      </w:pict>
    </w:r>
    <w:r>
      <w:rPr>
        <w:noProof/>
      </w:rPr>
      <w:pict>
        <v:rect id="Rectangle 267" o:spid="_x0000_s2433" style="width:468pt;height:0.95pt;margin-top:12.65pt;margin-left:0.6pt;mso-position-horizontal-relative:margin;position:absolute;visibility:visible;z-index:-251264000" o:allowincell="f" fillcolor="black" stroked="f">
          <o:lock v:ext="edit" aspectratio="t" verticies="t" text="t" shapetype="t"/>
          <w10:wrap anchorx="margin"/>
        </v:rect>
      </w:pict>
    </w:r>
    <w:r>
      <w:rPr>
        <w:noProof/>
      </w:rPr>
      <w:pict>
        <v:rect id="Rectangle 266" o:spid="_x0000_s2434" style="width:468pt;height:0.95pt;margin-top:12.65pt;margin-left:0.6pt;mso-position-horizontal-relative:margin;position:absolute;visibility:visible;z-index:-251262976" o:allowincell="f" fillcolor="black" stroked="f">
          <o:lock v:ext="edit" aspectratio="t" verticies="t" text="t" shapetype="t"/>
          <w10:wrap anchorx="margin"/>
        </v:rect>
      </w:pict>
    </w:r>
    <w:r>
      <w:rPr>
        <w:noProof/>
      </w:rPr>
      <w:pict>
        <v:rect id="Rectangle 265" o:spid="_x0000_s2435" style="width:468pt;height:0.95pt;margin-top:12.65pt;margin-left:0.6pt;mso-position-horizontal-relative:margin;position:absolute;visibility:visible;z-index:-251261952" o:allowincell="f" fillcolor="black" stroked="f">
          <o:lock v:ext="edit" aspectratio="t" verticies="t" text="t" shapetype="t"/>
          <w10:wrap anchorx="margin"/>
        </v:rect>
      </w:pict>
    </w:r>
    <w:r>
      <w:rPr>
        <w:noProof/>
      </w:rPr>
      <w:pict>
        <v:rect id="Rectangle 264" o:spid="_x0000_s2436" style="width:468pt;height:0.95pt;margin-top:12.65pt;margin-left:0.6pt;mso-position-horizontal-relative:margin;position:absolute;visibility:visible;z-index:-251260928" o:allowincell="f" fillcolor="black" stroked="f">
          <o:lock v:ext="edit" aspectratio="t" verticies="t" text="t" shapetype="t"/>
          <w10:wrap anchorx="margin"/>
        </v:rect>
      </w:pict>
    </w:r>
    <w:r>
      <w:rPr>
        <w:noProof/>
      </w:rPr>
      <w:pict>
        <v:rect id="Rectangle 263" o:spid="_x0000_s2437" style="width:468pt;height:0.95pt;margin-top:12.65pt;margin-left:0.6pt;mso-position-horizontal-relative:margin;position:absolute;visibility:visible;z-index:-251259904" o:allowincell="f" fillcolor="black" stroked="f">
          <o:lock v:ext="edit" aspectratio="t" verticies="t" text="t" shapetype="t"/>
          <w10:wrap anchorx="margin"/>
        </v:rect>
      </w:pict>
    </w:r>
    <w:r>
      <w:rPr>
        <w:noProof/>
      </w:rPr>
      <w:pict>
        <v:rect id="Rectangle 262" o:spid="_x0000_s2438" style="width:468pt;height:0.95pt;margin-top:12.65pt;margin-left:0.6pt;mso-position-horizontal-relative:margin;position:absolute;visibility:visible;z-index:-251258880" o:allowincell="f" fillcolor="black" stroked="f">
          <o:lock v:ext="edit" aspectratio="t" verticies="t" text="t" shapetype="t"/>
          <w10:wrap anchorx="margin"/>
        </v:rect>
      </w:pict>
    </w:r>
    <w:r>
      <w:rPr>
        <w:noProof/>
      </w:rPr>
      <w:pict>
        <v:rect id="Rectangle 261" o:spid="_x0000_s2439" style="width:468pt;height:0.95pt;margin-top:12.65pt;margin-left:0.6pt;mso-position-horizontal-relative:margin;position:absolute;visibility:visible;z-index:-251257856" o:allowincell="f" fillcolor="black" stroked="f">
          <o:lock v:ext="edit" aspectratio="t" verticies="t" text="t" shapetype="t"/>
          <w10:wrap anchorx="margin"/>
        </v:rect>
      </w:pict>
    </w:r>
    <w:r>
      <w:rPr>
        <w:noProof/>
      </w:rPr>
      <w:pict>
        <v:rect id="Rectangle 260" o:spid="_x0000_s2440" style="width:468pt;height:0.95pt;margin-top:12.65pt;margin-left:0.6pt;mso-position-horizontal-relative:margin;position:absolute;visibility:visible;z-index:-251256832" o:allowincell="f" fillcolor="black" stroked="f">
          <o:lock v:ext="edit" aspectratio="t" verticies="t" text="t" shapetype="t"/>
          <w10:wrap anchorx="margin"/>
        </v:rect>
      </w:pict>
    </w:r>
    <w:r>
      <w:rPr>
        <w:noProof/>
      </w:rPr>
      <w:pict>
        <v:rect id="Rectangle 259" o:spid="_x0000_s2441" style="width:468pt;height:0.95pt;margin-top:12.65pt;margin-left:0.6pt;mso-position-horizontal-relative:margin;position:absolute;visibility:visible;z-index:-251255808" o:allowincell="f" fillcolor="black" stroked="f">
          <o:lock v:ext="edit" aspectratio="t" verticies="t" text="t" shapetype="t"/>
          <w10:wrap anchorx="margin"/>
        </v:rect>
      </w:pict>
    </w:r>
    <w:r>
      <w:rPr>
        <w:noProof/>
      </w:rPr>
      <w:pict>
        <v:rect id="Rectangle 258" o:spid="_x0000_s2442" style="width:468pt;height:0.95pt;margin-top:12.65pt;margin-left:0.6pt;mso-position-horizontal-relative:margin;position:absolute;visibility:visible;z-index:-251254784" o:allowincell="f" fillcolor="black" stroked="f">
          <o:lock v:ext="edit" aspectratio="t" verticies="t" text="t" shapetype="t"/>
          <w10:wrap anchorx="margin"/>
        </v:rect>
      </w:pict>
    </w:r>
    <w:r>
      <w:rPr>
        <w:noProof/>
      </w:rPr>
      <w:pict>
        <v:rect id="Rectangle 257" o:spid="_x0000_s2443" style="width:468pt;height:0.95pt;margin-top:12.65pt;margin-left:0.6pt;mso-position-horizontal-relative:margin;position:absolute;visibility:visible;z-index:-251253760" o:allowincell="f" fillcolor="black" stroked="f">
          <o:lock v:ext="edit" aspectratio="t" verticies="t" text="t" shapetype="t"/>
          <w10:wrap anchorx="margin"/>
        </v:rect>
      </w:pict>
    </w:r>
    <w:r>
      <w:rPr>
        <w:noProof/>
      </w:rPr>
      <w:pict>
        <v:rect id="Rectangle 256" o:spid="_x0000_s2444" style="width:468pt;height:0.95pt;margin-top:12.65pt;margin-left:0.6pt;mso-position-horizontal-relative:margin;position:absolute;visibility:visible;z-index:-251252736" o:allowincell="f" fillcolor="black" stroked="f">
          <o:lock v:ext="edit" aspectratio="t" verticies="t" text="t" shapetype="t"/>
          <w10:wrap anchorx="margin"/>
        </v:rect>
      </w:pict>
    </w:r>
    <w:r>
      <w:rPr>
        <w:noProof/>
      </w:rPr>
      <w:pict>
        <v:rect id="Rectangle 255" o:spid="_x0000_s2445" style="width:468pt;height:0.95pt;margin-top:12.65pt;margin-left:0.6pt;mso-position-horizontal-relative:margin;position:absolute;visibility:visible;z-index:-251251712" o:allowincell="f" fillcolor="black" stroked="f">
          <o:lock v:ext="edit" aspectratio="t" verticies="t" text="t" shapetype="t"/>
          <w10:wrap anchorx="margin"/>
        </v:rect>
      </w:pict>
    </w:r>
    <w:r>
      <w:rPr>
        <w:noProof/>
      </w:rPr>
      <w:pict>
        <v:rect id="Rectangle 254" o:spid="_x0000_s2446" style="width:468pt;height:0.95pt;margin-top:12.65pt;margin-left:0.6pt;mso-position-horizontal-relative:margin;position:absolute;visibility:visible;z-index:-251250688" o:allowincell="f" fillcolor="black" stroked="f">
          <o:lock v:ext="edit" aspectratio="t" verticies="t" text="t" shapetype="t"/>
          <w10:wrap anchorx="margin"/>
        </v:rect>
      </w:pict>
    </w:r>
    <w:r>
      <w:rPr>
        <w:noProof/>
      </w:rPr>
      <w:pict>
        <v:rect id="Rectangle 253" o:spid="_x0000_s2447" style="width:468pt;height:0.95pt;margin-top:12.65pt;margin-left:0.6pt;mso-position-horizontal-relative:margin;position:absolute;visibility:visible;z-index:-251249664" o:allowincell="f" fillcolor="black" stroked="f">
          <o:lock v:ext="edit" aspectratio="t" verticies="t" text="t" shapetype="t"/>
          <w10:wrap anchorx="margin"/>
        </v:rect>
      </w:pict>
    </w:r>
    <w:r>
      <w:rPr>
        <w:noProof/>
      </w:rPr>
      <w:pict>
        <v:rect id="Rectangle 252" o:spid="_x0000_s2448" style="width:468pt;height:0.95pt;margin-top:12.65pt;margin-left:0.6pt;mso-position-horizontal-relative:margin;position:absolute;visibility:visible;z-index:-251248640" o:allowincell="f" fillcolor="black" stroked="f">
          <o:lock v:ext="edit" aspectratio="t" verticies="t" text="t" shapetype="t"/>
          <w10:wrap anchorx="margin"/>
        </v:rect>
      </w:pict>
    </w:r>
    <w:r>
      <w:rPr>
        <w:noProof/>
      </w:rPr>
      <w:pict>
        <v:rect id="Rectangle 251" o:spid="_x0000_s2449" style="width:468pt;height:0.95pt;margin-top:12.65pt;margin-left:0.6pt;mso-position-horizontal-relative:margin;position:absolute;visibility:visible;z-index:-251247616" o:allowincell="f" fillcolor="black" stroked="f">
          <o:lock v:ext="edit" aspectratio="t" verticies="t" text="t" shapetype="t"/>
          <w10:wrap anchorx="margin"/>
        </v:rect>
      </w:pict>
    </w:r>
    <w:r>
      <w:rPr>
        <w:noProof/>
      </w:rPr>
      <w:pict>
        <v:rect id="Rectangle 250" o:spid="_x0000_s2450" style="width:468pt;height:0.95pt;margin-top:12.65pt;margin-left:0.6pt;mso-position-horizontal-relative:margin;position:absolute;visibility:visible;z-index:-251246592" o:allowincell="f" fillcolor="black" stroked="f">
          <o:lock v:ext="edit" aspectratio="t" verticies="t" text="t" shapetype="t"/>
          <w10:wrap anchorx="margin"/>
        </v:rect>
      </w:pict>
    </w:r>
    <w:r>
      <w:rPr>
        <w:noProof/>
      </w:rPr>
      <w:pict>
        <v:rect id="Rectangle 249" o:spid="_x0000_s2451" style="width:468pt;height:0.95pt;margin-top:12.65pt;margin-left:0.6pt;mso-position-horizontal-relative:margin;position:absolute;visibility:visible;z-index:-251245568" o:allowincell="f" fillcolor="black" stroked="f">
          <o:lock v:ext="edit" aspectratio="t" verticies="t" text="t" shapetype="t"/>
          <w10:wrap anchorx="margin"/>
        </v:rect>
      </w:pict>
    </w:r>
    <w:r>
      <w:rPr>
        <w:noProof/>
      </w:rPr>
      <w:pict>
        <v:rect id="Rectangle 248" o:spid="_x0000_s2452" style="width:468pt;height:0.95pt;margin-top:12.65pt;margin-left:0.6pt;mso-position-horizontal-relative:margin;position:absolute;visibility:visible;z-index:-251244544" o:allowincell="f" fillcolor="black" stroked="f">
          <o:lock v:ext="edit" aspectratio="t" verticies="t" text="t" shapetype="t"/>
          <w10:wrap anchorx="margin"/>
        </v:rect>
      </w:pict>
    </w:r>
    <w:r>
      <w:rPr>
        <w:noProof/>
      </w:rPr>
      <w:pict>
        <v:rect id="Rectangle 247" o:spid="_x0000_s2453" style="width:468pt;height:0.95pt;margin-top:12.65pt;margin-left:0.6pt;mso-position-horizontal-relative:margin;position:absolute;visibility:visible;z-index:-251243520" o:allowincell="f" fillcolor="black" stroked="f">
          <o:lock v:ext="edit" aspectratio="t" verticies="t" text="t" shapetype="t"/>
          <w10:wrap anchorx="margin"/>
        </v:rect>
      </w:pict>
    </w:r>
    <w:r>
      <w:rPr>
        <w:noProof/>
      </w:rPr>
      <w:pict>
        <v:rect id="Rectangle 246" o:spid="_x0000_s2454" style="width:468pt;height:0.95pt;margin-top:12.65pt;margin-left:0.6pt;mso-position-horizontal-relative:margin;position:absolute;visibility:visible;z-index:-251242496" o:allowincell="f" fillcolor="black" stroked="f">
          <o:lock v:ext="edit" aspectratio="t" verticies="t" text="t" shapetype="t"/>
          <w10:wrap anchorx="margin"/>
        </v:rect>
      </w:pict>
    </w:r>
    <w:r>
      <w:rPr>
        <w:noProof/>
      </w:rPr>
      <w:pict>
        <v:rect id="Rectangle 245" o:spid="_x0000_s2455" style="width:468pt;height:0.95pt;margin-top:12.65pt;margin-left:0.6pt;mso-position-horizontal-relative:margin;position:absolute;visibility:visible;z-index:-251241472" o:allowincell="f" fillcolor="black" stroked="f">
          <o:lock v:ext="edit" aspectratio="t" verticies="t" text="t" shapetype="t"/>
          <w10:wrap anchorx="margin"/>
        </v:rect>
      </w:pict>
    </w:r>
    <w:r>
      <w:rPr>
        <w:noProof/>
      </w:rPr>
      <w:pict>
        <v:rect id="Rectangle 244" o:spid="_x0000_s2456" style="width:468pt;height:0.95pt;margin-top:12.65pt;margin-left:0.6pt;mso-position-horizontal-relative:margin;position:absolute;visibility:visible;z-index:-251240448" o:allowincell="f" fillcolor="black" stroked="f">
          <o:lock v:ext="edit" aspectratio="t" verticies="t" text="t" shapetype="t"/>
          <w10:wrap anchorx="margin"/>
        </v:rect>
      </w:pict>
    </w:r>
    <w:r>
      <w:rPr>
        <w:noProof/>
      </w:rPr>
      <w:pict>
        <v:rect id="Rectangle 243" o:spid="_x0000_s2457" style="width:468pt;height:0.95pt;margin-top:12.65pt;margin-left:0.6pt;mso-position-horizontal-relative:margin;position:absolute;visibility:visible;z-index:-251239424" o:allowincell="f" fillcolor="black" stroked="f">
          <o:lock v:ext="edit" aspectratio="t" verticies="t" text="t" shapetype="t"/>
          <w10:wrap anchorx="margin"/>
        </v:rect>
      </w:pict>
    </w:r>
    <w:r>
      <w:rPr>
        <w:noProof/>
      </w:rPr>
      <w:pict>
        <v:rect id="Rectangle 242" o:spid="_x0000_s2458" style="width:468pt;height:0.95pt;margin-top:12.65pt;margin-left:0.6pt;mso-position-horizontal-relative:margin;position:absolute;visibility:visible;z-index:-251238400" o:allowincell="f" fillcolor="black" stroked="f">
          <o:lock v:ext="edit" aspectratio="t" verticies="t" text="t" shapetype="t"/>
          <w10:wrap anchorx="margin"/>
        </v:rect>
      </w:pict>
    </w:r>
    <w:r>
      <w:rPr>
        <w:noProof/>
      </w:rPr>
      <w:pict>
        <v:rect id="Rectangle 241" o:spid="_x0000_s2459" style="width:468pt;height:0.95pt;margin-top:12.65pt;margin-left:0.6pt;mso-position-horizontal-relative:margin;position:absolute;visibility:visible;z-index:-251237376" o:allowincell="f" fillcolor="black" stroked="f">
          <o:lock v:ext="edit" aspectratio="t" verticies="t" text="t" shapetype="t"/>
          <w10:wrap anchorx="margin"/>
        </v:rect>
      </w:pict>
    </w:r>
    <w:r>
      <w:rPr>
        <w:noProof/>
      </w:rPr>
      <w:pict>
        <v:rect id="Rectangle 240" o:spid="_x0000_s2460" style="width:468pt;height:0.95pt;margin-top:12.65pt;margin-left:0.6pt;mso-position-horizontal-relative:margin;position:absolute;visibility:visible;z-index:-251236352" o:allowincell="f" fillcolor="black" stroked="f">
          <o:lock v:ext="edit" aspectratio="t" verticies="t" text="t" shapetype="t"/>
          <w10:wrap anchorx="margin"/>
        </v:rect>
      </w:pict>
    </w:r>
    <w:r>
      <w:rPr>
        <w:noProof/>
      </w:rPr>
      <w:pict>
        <v:rect id="Rectangle 239" o:spid="_x0000_s2461" style="width:468pt;height:0.95pt;margin-top:12.65pt;margin-left:0.6pt;mso-position-horizontal-relative:margin;position:absolute;visibility:visible;z-index:-251235328" o:allowincell="f" fillcolor="black" stroked="f">
          <o:lock v:ext="edit" aspectratio="t" verticies="t" text="t" shapetype="t"/>
          <w10:wrap anchorx="margin"/>
        </v:rect>
      </w:pict>
    </w:r>
    <w:r>
      <w:rPr>
        <w:noProof/>
      </w:rPr>
      <w:pict>
        <v:rect id="Rectangle 238" o:spid="_x0000_s2462" style="width:468pt;height:0.95pt;margin-top:12.65pt;margin-left:0.6pt;mso-position-horizontal-relative:margin;position:absolute;visibility:visible;z-index:-251234304" o:allowincell="f" fillcolor="black" stroked="f">
          <o:lock v:ext="edit" aspectratio="t" verticies="t" text="t" shapetype="t"/>
          <w10:wrap anchorx="margin"/>
        </v:rect>
      </w:pict>
    </w:r>
    <w:r>
      <w:rPr>
        <w:noProof/>
      </w:rPr>
      <w:pict>
        <v:rect id="Rectangle 237" o:spid="_x0000_s2463" style="width:468pt;height:0.95pt;margin-top:12.65pt;margin-left:0.6pt;mso-position-horizontal-relative:margin;position:absolute;visibility:visible;z-index:-251233280" o:allowincell="f" fillcolor="black" stroked="f">
          <o:lock v:ext="edit" aspectratio="t" verticies="t" text="t" shapetype="t"/>
          <w10:wrap anchorx="margin"/>
        </v:rect>
      </w:pict>
    </w:r>
    <w:r>
      <w:rPr>
        <w:noProof/>
      </w:rPr>
      <w:pict>
        <v:rect id="Rectangle 236" o:spid="_x0000_s2464" style="width:468pt;height:0.95pt;margin-top:12.65pt;margin-left:0.6pt;mso-position-horizontal-relative:margin;position:absolute;visibility:visible;z-index:-251232256" o:allowincell="f" fillcolor="black" stroked="f">
          <o:lock v:ext="edit" aspectratio="t" verticies="t" text="t" shapetype="t"/>
          <w10:wrap anchorx="margin"/>
        </v:rect>
      </w:pict>
    </w:r>
    <w:r>
      <w:rPr>
        <w:noProof/>
      </w:rPr>
      <w:pict>
        <v:rect id="Rectangle 235" o:spid="_x0000_s2465" style="width:468pt;height:0.95pt;margin-top:12.65pt;margin-left:0.6pt;mso-position-horizontal-relative:margin;position:absolute;visibility:visible;z-index:-251231232" o:allowincell="f" fillcolor="black" stroked="f">
          <o:lock v:ext="edit" aspectratio="t" verticies="t" text="t" shapetype="t"/>
          <w10:wrap anchorx="margin"/>
        </v:rect>
      </w:pict>
    </w:r>
    <w:r>
      <w:rPr>
        <w:noProof/>
      </w:rPr>
      <w:pict>
        <v:rect id="Rectangle 234" o:spid="_x0000_s2466" style="width:468pt;height:0.95pt;margin-top:12.65pt;margin-left:0.6pt;mso-position-horizontal-relative:margin;position:absolute;visibility:visible;z-index:-251230208" o:allowincell="f" fillcolor="black" stroked="f">
          <o:lock v:ext="edit" aspectratio="t" verticies="t" text="t" shapetype="t"/>
          <w10:wrap anchorx="margin"/>
        </v:rect>
      </w:pict>
    </w:r>
    <w:r>
      <w:rPr>
        <w:noProof/>
      </w:rPr>
      <w:pict>
        <v:rect id="Rectangle 233" o:spid="_x0000_s2467" style="width:468pt;height:0.95pt;margin-top:12.65pt;margin-left:0.6pt;mso-position-horizontal-relative:margin;position:absolute;visibility:visible;z-index:-251229184" o:allowincell="f" fillcolor="black" stroked="f">
          <o:lock v:ext="edit" aspectratio="t" verticies="t" text="t" shapetype="t"/>
          <w10:wrap anchorx="margin"/>
        </v:rect>
      </w:pict>
    </w:r>
    <w:r>
      <w:rPr>
        <w:noProof/>
      </w:rPr>
      <w:pict>
        <v:rect id="Rectangle 232" o:spid="_x0000_s2468" style="width:468pt;height:0.95pt;margin-top:12.65pt;margin-left:0.6pt;mso-position-horizontal-relative:margin;position:absolute;visibility:visible;z-index:-251228160" o:allowincell="f" fillcolor="black" stroked="f">
          <o:lock v:ext="edit" aspectratio="t" verticies="t" text="t" shapetype="t"/>
          <w10:wrap anchorx="margin"/>
        </v:rect>
      </w:pict>
    </w:r>
    <w:r>
      <w:rPr>
        <w:noProof/>
      </w:rPr>
      <w:pict>
        <v:rect id="Rectangle 231" o:spid="_x0000_s2469" style="width:468pt;height:0.95pt;margin-top:12.65pt;margin-left:0.6pt;mso-position-horizontal-relative:margin;position:absolute;visibility:visible;z-index:-251227136" o:allowincell="f" fillcolor="black" stroked="f">
          <o:lock v:ext="edit" aspectratio="t" verticies="t" text="t" shapetype="t"/>
          <w10:wrap anchorx="margin"/>
        </v:rect>
      </w:pict>
    </w:r>
    <w:r>
      <w:rPr>
        <w:noProof/>
      </w:rPr>
      <w:pict>
        <v:rect id="Rectangle 230" o:spid="_x0000_s2470" style="width:468pt;height:0.95pt;margin-top:12.65pt;margin-left:0.6pt;mso-position-horizontal-relative:margin;position:absolute;visibility:visible;z-index:-251226112" o:allowincell="f" fillcolor="black" stroked="f">
          <o:lock v:ext="edit" aspectratio="t" verticies="t" text="t" shapetype="t"/>
          <w10:wrap anchorx="margin"/>
        </v:rect>
      </w:pict>
    </w:r>
    <w:r>
      <w:rPr>
        <w:noProof/>
      </w:rPr>
      <w:pict>
        <v:rect id="Rectangle 229" o:spid="_x0000_s2471" style="width:468pt;height:0.95pt;margin-top:12.65pt;margin-left:0.6pt;mso-position-horizontal-relative:margin;position:absolute;visibility:visible;z-index:-251225088" o:allowincell="f" fillcolor="black" stroked="f">
          <o:lock v:ext="edit" aspectratio="t" verticies="t" text="t" shapetype="t"/>
          <w10:wrap anchorx="margin"/>
        </v:rect>
      </w:pict>
    </w:r>
    <w:r>
      <w:rPr>
        <w:noProof/>
      </w:rPr>
      <w:pict>
        <v:rect id="Rectangle 228" o:spid="_x0000_s2472" style="width:468pt;height:0.95pt;margin-top:12.65pt;margin-left:0.6pt;mso-position-horizontal-relative:margin;position:absolute;visibility:visible;z-index:-251224064" o:allowincell="f" fillcolor="black" stroked="f">
          <o:lock v:ext="edit" aspectratio="t" verticies="t" text="t" shapetype="t"/>
          <w10:wrap anchorx="margin"/>
        </v:rect>
      </w:pict>
    </w:r>
    <w:r>
      <w:rPr>
        <w:noProof/>
      </w:rPr>
      <w:pict>
        <v:rect id="Rectangle 227" o:spid="_x0000_s2473" style="width:468pt;height:0.95pt;margin-top:12.65pt;margin-left:0.6pt;mso-position-horizontal-relative:margin;position:absolute;visibility:visible;z-index:-251223040" o:allowincell="f" fillcolor="black" stroked="f">
          <o:lock v:ext="edit" aspectratio="t" verticies="t" text="t" shapetype="t"/>
          <w10:wrap anchorx="margin"/>
        </v:rect>
      </w:pict>
    </w:r>
    <w:r>
      <w:rPr>
        <w:noProof/>
      </w:rPr>
      <w:pict>
        <v:rect id="Rectangle 226" o:spid="_x0000_s2474" style="width:468pt;height:0.95pt;margin-top:12.65pt;margin-left:0.6pt;mso-position-horizontal-relative:margin;position:absolute;visibility:visible;z-index:-251222016" o:allowincell="f" fillcolor="black" stroked="f">
          <o:lock v:ext="edit" aspectratio="t" verticies="t" text="t" shapetype="t"/>
          <w10:wrap anchorx="margin"/>
        </v:rect>
      </w:pict>
    </w:r>
    <w:r>
      <w:rPr>
        <w:noProof/>
      </w:rPr>
      <w:pict>
        <v:rect id="Rectangle 225" o:spid="_x0000_s2475" style="width:468pt;height:0.95pt;margin-top:12.65pt;margin-left:0.6pt;mso-position-horizontal-relative:margin;position:absolute;visibility:visible;z-index:-251220992" o:allowincell="f" fillcolor="black" stroked="f">
          <o:lock v:ext="edit" aspectratio="t" verticies="t" text="t" shapetype="t"/>
          <w10:wrap anchorx="margin"/>
        </v:rect>
      </w:pict>
    </w:r>
    <w:r>
      <w:rPr>
        <w:noProof/>
      </w:rPr>
      <w:pict>
        <v:rect id="Rectangle 224" o:spid="_x0000_s2476" style="width:468pt;height:0.95pt;margin-top:12.65pt;margin-left:0.6pt;mso-position-horizontal-relative:margin;position:absolute;visibility:visible;z-index:-251219968" o:allowincell="f" fillcolor="black" stroked="f">
          <o:lock v:ext="edit" aspectratio="t" verticies="t" text="t" shapetype="t"/>
          <w10:wrap anchorx="margin"/>
        </v:rect>
      </w:pict>
    </w:r>
    <w:r>
      <w:rPr>
        <w:noProof/>
      </w:rPr>
      <w:pict>
        <v:rect id="Rectangle 223" o:spid="_x0000_s2477" style="width:468pt;height:0.95pt;margin-top:12.65pt;margin-left:0.6pt;mso-position-horizontal-relative:margin;position:absolute;visibility:visible;z-index:-251218944" o:allowincell="f" fillcolor="black" stroked="f">
          <o:lock v:ext="edit" aspectratio="t" verticies="t" text="t" shapetype="t"/>
          <w10:wrap anchorx="margin"/>
        </v:rect>
      </w:pict>
    </w:r>
    <w:r>
      <w:rPr>
        <w:noProof/>
      </w:rPr>
      <w:pict>
        <v:rect id="Rectangle 222" o:spid="_x0000_s2478" style="width:468pt;height:0.95pt;margin-top:12.65pt;margin-left:0.6pt;mso-position-horizontal-relative:margin;position:absolute;visibility:visible;z-index:-251217920" o:allowincell="f" fillcolor="black" stroked="f">
          <o:lock v:ext="edit" aspectratio="t" verticies="t" text="t" shapetype="t"/>
          <w10:wrap anchorx="margin"/>
        </v:rect>
      </w:pict>
    </w:r>
    <w:r>
      <w:rPr>
        <w:noProof/>
      </w:rPr>
      <w:pict>
        <v:rect id="Rectangle 221" o:spid="_x0000_s2479" style="width:468pt;height:0.95pt;margin-top:12.65pt;margin-left:0.6pt;mso-position-horizontal-relative:margin;position:absolute;visibility:visible;z-index:-251216896" o:allowincell="f" fillcolor="black" stroked="f">
          <o:lock v:ext="edit" aspectratio="t" verticies="t" text="t" shapetype="t"/>
          <w10:wrap anchorx="margin"/>
        </v:rect>
      </w:pict>
    </w:r>
    <w:r>
      <w:rPr>
        <w:noProof/>
      </w:rPr>
      <w:pict>
        <v:rect id="Rectangle 220" o:spid="_x0000_s2480" style="width:468pt;height:0.95pt;margin-top:12.65pt;margin-left:0.6pt;mso-position-horizontal-relative:margin;position:absolute;visibility:visible;z-index:-251215872" o:allowincell="f" fillcolor="black" stroked="f">
          <o:lock v:ext="edit" aspectratio="t" verticies="t" text="t" shapetype="t"/>
          <w10:wrap anchorx="margin"/>
        </v:rect>
      </w:pict>
    </w:r>
    <w:r>
      <w:rPr>
        <w:noProof/>
      </w:rPr>
      <w:pict>
        <v:rect id="Rectangle 219" o:spid="_x0000_s2481" style="width:468pt;height:0.95pt;margin-top:12.65pt;margin-left:0.6pt;mso-position-horizontal-relative:margin;position:absolute;visibility:visible;z-index:-251214848" o:allowincell="f" fillcolor="black" stroked="f">
          <o:lock v:ext="edit" aspectratio="t" verticies="t" text="t" shapetype="t"/>
          <w10:wrap anchorx="margin"/>
        </v:rect>
      </w:pict>
    </w:r>
    <w:r>
      <w:rPr>
        <w:noProof/>
      </w:rPr>
      <w:pict>
        <v:rect id="Rectangle 218" o:spid="_x0000_s2482" style="width:468pt;height:0.95pt;margin-top:12.65pt;margin-left:0.6pt;mso-position-horizontal-relative:margin;position:absolute;visibility:visible;z-index:-251213824" o:allowincell="f" fillcolor="black" stroked="f">
          <o:lock v:ext="edit" aspectratio="t" verticies="t" text="t" shapetype="t"/>
          <w10:wrap anchorx="margin"/>
        </v:rect>
      </w:pict>
    </w:r>
    <w:r>
      <w:rPr>
        <w:noProof/>
      </w:rPr>
      <w:pict>
        <v:rect id="Rectangle 217" o:spid="_x0000_s2483" style="width:468pt;height:0.95pt;margin-top:12.65pt;margin-left:0.6pt;mso-position-horizontal-relative:margin;position:absolute;visibility:visible;z-index:-251212800" o:allowincell="f" fillcolor="black" stroked="f">
          <o:lock v:ext="edit" aspectratio="t" verticies="t" text="t" shapetype="t"/>
          <w10:wrap anchorx="margin"/>
        </v:rect>
      </w:pict>
    </w:r>
    <w:r>
      <w:rPr>
        <w:noProof/>
      </w:rPr>
      <w:pict>
        <v:rect id="Rectangle 216" o:spid="_x0000_s2484" style="width:468pt;height:0.95pt;margin-top:12.65pt;margin-left:0.6pt;mso-position-horizontal-relative:margin;position:absolute;visibility:visible;z-index:-251211776" o:allowincell="f" fillcolor="black" stroked="f">
          <o:lock v:ext="edit" aspectratio="t" verticies="t" text="t" shapetype="t"/>
          <w10:wrap anchorx="margin"/>
        </v:rect>
      </w:pict>
    </w:r>
    <w:r>
      <w:rPr>
        <w:noProof/>
      </w:rPr>
      <w:pict>
        <v:rect id="Rectangle 215" o:spid="_x0000_s2485" style="width:468pt;height:0.95pt;margin-top:12.65pt;margin-left:0.6pt;mso-position-horizontal-relative:margin;position:absolute;visibility:visible;z-index:-251210752" o:allowincell="f" fillcolor="black" stroked="f">
          <o:lock v:ext="edit" aspectratio="t" verticies="t" text="t" shapetype="t"/>
          <w10:wrap anchorx="margin"/>
        </v:rect>
      </w:pict>
    </w:r>
    <w:r>
      <w:rPr>
        <w:noProof/>
      </w:rPr>
      <w:pict>
        <v:rect id="Rectangle 214" o:spid="_x0000_s2486" style="width:468pt;height:0.95pt;margin-top:12.65pt;margin-left:0.6pt;mso-position-horizontal-relative:margin;position:absolute;visibility:visible;z-index:-251209728" o:allowincell="f" fillcolor="black" stroked="f">
          <o:lock v:ext="edit" aspectratio="t" verticies="t" text="t" shapetype="t"/>
          <w10:wrap anchorx="margin"/>
        </v:rect>
      </w:pict>
    </w:r>
    <w:r>
      <w:rPr>
        <w:noProof/>
      </w:rPr>
      <w:pict>
        <v:rect id="Rectangle 213" o:spid="_x0000_s2487" style="width:468pt;height:0.95pt;margin-top:12.65pt;margin-left:0.6pt;mso-position-horizontal-relative:margin;position:absolute;visibility:visible;z-index:-251208704" o:allowincell="f" fillcolor="black" stroked="f">
          <o:lock v:ext="edit" aspectratio="t" verticies="t" text="t" shapetype="t"/>
          <w10:wrap anchorx="margin"/>
        </v:rect>
      </w:pict>
    </w:r>
    <w:r>
      <w:rPr>
        <w:noProof/>
      </w:rPr>
      <w:pict>
        <v:rect id="Rectangle 212" o:spid="_x0000_s2488" style="width:468pt;height:0.95pt;margin-top:12.65pt;margin-left:0.6pt;mso-position-horizontal-relative:margin;position:absolute;visibility:visible;z-index:-251207680" o:allowincell="f" fillcolor="black" stroked="f">
          <o:lock v:ext="edit" aspectratio="t" verticies="t" text="t" shapetype="t"/>
          <w10:wrap anchorx="margin"/>
        </v:rect>
      </w:pict>
    </w:r>
    <w:r>
      <w:rPr>
        <w:noProof/>
      </w:rPr>
      <w:pict>
        <v:rect id="Rectangle 211" o:spid="_x0000_s2489" style="width:468pt;height:0.95pt;margin-top:12.65pt;margin-left:0.6pt;mso-position-horizontal-relative:margin;position:absolute;visibility:visible;z-index:-251206656" o:allowincell="f" fillcolor="black" stroked="f">
          <o:lock v:ext="edit" aspectratio="t" verticies="t" text="t" shapetype="t"/>
          <w10:wrap anchorx="margin"/>
        </v:rect>
      </w:pict>
    </w:r>
    <w:r>
      <w:rPr>
        <w:noProof/>
      </w:rPr>
      <w:pict>
        <v:rect id="Rectangle 210" o:spid="_x0000_s2490" style="width:468pt;height:0.95pt;margin-top:12.65pt;margin-left:0.6pt;mso-position-horizontal-relative:margin;position:absolute;visibility:visible;z-index:-251205632" o:allowincell="f" fillcolor="black" stroked="f">
          <o:lock v:ext="edit" aspectratio="t" verticies="t" text="t" shapetype="t"/>
          <w10:wrap anchorx="margin"/>
        </v:rect>
      </w:pict>
    </w:r>
    <w:r>
      <w:rPr>
        <w:noProof/>
      </w:rPr>
      <w:pict>
        <v:rect id="Rectangle 209" o:spid="_x0000_s2491" style="width:468pt;height:0.95pt;margin-top:12.65pt;margin-left:0.6pt;mso-position-horizontal-relative:margin;position:absolute;visibility:visible;z-index:-251204608" o:allowincell="f" fillcolor="black" stroked="f">
          <o:lock v:ext="edit" aspectratio="t" verticies="t" text="t" shapetype="t"/>
          <w10:wrap anchorx="margin"/>
        </v:rect>
      </w:pict>
    </w:r>
    <w:r>
      <w:rPr>
        <w:noProof/>
      </w:rPr>
      <w:pict>
        <v:rect id="Rectangle 208" o:spid="_x0000_s2492" style="width:468pt;height:0.95pt;margin-top:12.65pt;margin-left:0.6pt;mso-position-horizontal-relative:margin;position:absolute;visibility:visible;z-index:-251203584" o:allowincell="f" fillcolor="black" stroked="f">
          <o:lock v:ext="edit" aspectratio="t" verticies="t" text="t" shapetype="t"/>
          <w10:wrap anchorx="margin"/>
        </v:rect>
      </w:pict>
    </w:r>
    <w:r>
      <w:rPr>
        <w:noProof/>
      </w:rPr>
      <w:pict>
        <v:rect id="Rectangle 207" o:spid="_x0000_s2493" style="width:468pt;height:0.95pt;margin-top:12.65pt;margin-left:0.6pt;mso-position-horizontal-relative:margin;position:absolute;visibility:visible;z-index:-251202560" o:allowincell="f" fillcolor="black" stroked="f">
          <o:lock v:ext="edit" aspectratio="t" verticies="t" text="t" shapetype="t"/>
          <w10:wrap anchorx="margin"/>
        </v:rect>
      </w:pict>
    </w:r>
    <w:r>
      <w:rPr>
        <w:noProof/>
      </w:rPr>
      <w:pict>
        <v:rect id="Rectangle 206" o:spid="_x0000_s2494" style="width:468pt;height:0.95pt;margin-top:12.65pt;margin-left:0.6pt;mso-position-horizontal-relative:margin;position:absolute;visibility:visible;z-index:-251201536" o:allowincell="f" fillcolor="black" stroked="f">
          <o:lock v:ext="edit" aspectratio="t" verticies="t" text="t" shapetype="t"/>
          <w10:wrap anchorx="margin"/>
        </v:rect>
      </w:pict>
    </w:r>
    <w:r>
      <w:rPr>
        <w:noProof/>
      </w:rPr>
      <w:pict>
        <v:rect id="Rectangle 205" o:spid="_x0000_s2495" style="width:468pt;height:0.95pt;margin-top:12.65pt;margin-left:0.6pt;mso-position-horizontal-relative:margin;position:absolute;visibility:visible;z-index:-251200512" o:allowincell="f" fillcolor="black" stroked="f">
          <o:lock v:ext="edit" aspectratio="t" verticies="t" text="t" shapetype="t"/>
          <w10:wrap anchorx="margin"/>
        </v:rect>
      </w:pict>
    </w:r>
    <w:r>
      <w:rPr>
        <w:noProof/>
      </w:rPr>
      <w:pict>
        <v:rect id="Rectangle 204" o:spid="_x0000_s2496" style="width:468pt;height:0.95pt;margin-top:12.65pt;margin-left:0.6pt;mso-position-horizontal-relative:margin;position:absolute;visibility:visible;z-index:-251199488" o:allowincell="f" fillcolor="black" stroked="f">
          <o:lock v:ext="edit" aspectratio="t" verticies="t" text="t" shapetype="t"/>
          <w10:wrap anchorx="margin"/>
        </v:rect>
      </w:pict>
    </w:r>
    <w:r>
      <w:rPr>
        <w:noProof/>
      </w:rPr>
      <w:pict>
        <v:rect id="Rectangle 203" o:spid="_x0000_s2497" style="width:468pt;height:0.95pt;margin-top:12.65pt;margin-left:0.6pt;mso-position-horizontal-relative:margin;position:absolute;visibility:visible;z-index:-251198464" o:allowincell="f" fillcolor="black" stroked="f">
          <o:lock v:ext="edit" aspectratio="t" verticies="t" text="t" shapetype="t"/>
          <w10:wrap anchorx="margin"/>
        </v:rect>
      </w:pict>
    </w:r>
    <w:r>
      <w:rPr>
        <w:noProof/>
      </w:rPr>
      <w:pict>
        <v:rect id="Rectangle 202" o:spid="_x0000_s2498" style="width:468pt;height:0.95pt;margin-top:12.65pt;margin-left:0.6pt;mso-position-horizontal-relative:margin;position:absolute;visibility:visible;z-index:-251197440" o:allowincell="f" fillcolor="black" stroked="f">
          <o:lock v:ext="edit" aspectratio="t" verticies="t" text="t" shapetype="t"/>
          <w10:wrap anchorx="margin"/>
        </v:rect>
      </w:pict>
    </w:r>
    <w:r>
      <w:rPr>
        <w:noProof/>
      </w:rPr>
      <w:pict>
        <v:rect id="Rectangle 201" o:spid="_x0000_s2499" style="width:468pt;height:0.95pt;margin-top:12.65pt;margin-left:0.6pt;mso-position-horizontal-relative:margin;position:absolute;visibility:visible;z-index:-251196416" o:allowincell="f" fillcolor="black" stroked="f">
          <o:lock v:ext="edit" aspectratio="t" verticies="t" text="t" shapetype="t"/>
          <w10:wrap anchorx="margin"/>
        </v:rect>
      </w:pict>
    </w:r>
    <w:r>
      <w:rPr>
        <w:noProof/>
      </w:rPr>
      <w:pict>
        <v:rect id="Rectangle 200" o:spid="_x0000_s2500" style="width:468pt;height:0.95pt;margin-top:12.65pt;margin-left:0.6pt;mso-position-horizontal-relative:margin;position:absolute;visibility:visible;z-index:-251195392" o:allowincell="f" fillcolor="black" stroked="f">
          <o:lock v:ext="edit" aspectratio="t" verticies="t" text="t" shapetype="t"/>
          <w10:wrap anchorx="margin"/>
        </v:rect>
      </w:pict>
    </w:r>
    <w:r>
      <w:rPr>
        <w:noProof/>
      </w:rPr>
      <w:pict>
        <v:rect id="Rectangle 199" o:spid="_x0000_s2501" style="width:468pt;height:0.95pt;margin-top:12.65pt;margin-left:0.6pt;mso-position-horizontal-relative:margin;position:absolute;visibility:visible;z-index:-251194368" o:allowincell="f" fillcolor="black" stroked="f">
          <o:lock v:ext="edit" aspectratio="t" verticies="t" text="t" shapetype="t"/>
          <w10:wrap anchorx="margin"/>
        </v:rect>
      </w:pict>
    </w:r>
    <w:r>
      <w:rPr>
        <w:noProof/>
      </w:rPr>
      <w:pict>
        <v:rect id="Rectangle 198" o:spid="_x0000_s2502" style="width:468pt;height:0.95pt;margin-top:12.65pt;margin-left:0.6pt;mso-position-horizontal-relative:margin;position:absolute;visibility:visible;z-index:-251193344" o:allowincell="f" fillcolor="black" stroked="f">
          <o:lock v:ext="edit" aspectratio="t" verticies="t" text="t" shapetype="t"/>
          <w10:wrap anchorx="margin"/>
        </v:rect>
      </w:pict>
    </w:r>
    <w:r>
      <w:rPr>
        <w:noProof/>
      </w:rPr>
      <w:pict>
        <v:rect id="Rectangle 197" o:spid="_x0000_s2503" style="width:468pt;height:0.95pt;margin-top:12.65pt;margin-left:0.6pt;mso-position-horizontal-relative:margin;position:absolute;visibility:visible;z-index:-251192320" o:allowincell="f" fillcolor="black" stroked="f">
          <o:lock v:ext="edit" aspectratio="t" verticies="t" text="t" shapetype="t"/>
          <w10:wrap anchorx="margin"/>
        </v:rect>
      </w:pict>
    </w:r>
    <w:r>
      <w:rPr>
        <w:noProof/>
      </w:rPr>
      <w:pict>
        <v:rect id="Rectangle 196" o:spid="_x0000_s2504" style="width:468pt;height:0.95pt;margin-top:12.65pt;margin-left:0.6pt;mso-position-horizontal-relative:margin;position:absolute;visibility:visible;z-index:-251191296" o:allowincell="f" fillcolor="black" stroked="f">
          <o:lock v:ext="edit" aspectratio="t" verticies="t" text="t" shapetype="t"/>
          <w10:wrap anchorx="margin"/>
        </v:rect>
      </w:pict>
    </w:r>
    <w:r>
      <w:rPr>
        <w:noProof/>
      </w:rPr>
      <w:pict>
        <v:rect id="Rectangle 195" o:spid="_x0000_s2505" style="width:468pt;height:0.95pt;margin-top:12.65pt;margin-left:0.6pt;mso-position-horizontal-relative:margin;position:absolute;visibility:visible;z-index:-251190272" o:allowincell="f" fillcolor="black" stroked="f">
          <o:lock v:ext="edit" aspectratio="t" verticies="t" text="t" shapetype="t"/>
          <w10:wrap anchorx="margin"/>
        </v:rect>
      </w:pict>
    </w:r>
    <w:r>
      <w:rPr>
        <w:noProof/>
      </w:rPr>
      <w:pict>
        <v:rect id="Rectangle 194" o:spid="_x0000_s2506" style="width:468pt;height:0.95pt;margin-top:12.65pt;margin-left:0.6pt;mso-position-horizontal-relative:margin;position:absolute;visibility:visible;z-index:-251189248" o:allowincell="f" fillcolor="black" stroked="f">
          <o:lock v:ext="edit" aspectratio="t" verticies="t" text="t" shapetype="t"/>
          <w10:wrap anchorx="margin"/>
        </v:rect>
      </w:pict>
    </w:r>
    <w:r>
      <w:rPr>
        <w:noProof/>
      </w:rPr>
      <w:pict>
        <v:rect id="Rectangle 193" o:spid="_x0000_s2507" style="width:468pt;height:0.95pt;margin-top:12.65pt;margin-left:0.6pt;mso-position-horizontal-relative:margin;position:absolute;visibility:visible;z-index:-251188224" o:allowincell="f" fillcolor="black" stroked="f">
          <o:lock v:ext="edit" aspectratio="t" verticies="t" text="t" shapetype="t"/>
          <w10:wrap anchorx="margin"/>
        </v:rect>
      </w:pict>
    </w:r>
    <w:r>
      <w:rPr>
        <w:noProof/>
      </w:rPr>
      <w:pict>
        <v:rect id="Rectangle 192" o:spid="_x0000_s2508" style="width:468pt;height:0.95pt;margin-top:12.65pt;margin-left:0.6pt;mso-position-horizontal-relative:margin;position:absolute;visibility:visible;z-index:-251187200" o:allowincell="f" fillcolor="black" stroked="f">
          <o:lock v:ext="edit" aspectratio="t" verticies="t" text="t" shapetype="t"/>
          <w10:wrap anchorx="margin"/>
        </v:rect>
      </w:pict>
    </w:r>
    <w:r>
      <w:rPr>
        <w:noProof/>
      </w:rPr>
      <w:pict>
        <v:rect id="Rectangle 191" o:spid="_x0000_s2509" style="width:468pt;height:0.95pt;margin-top:12.65pt;margin-left:0.6pt;mso-position-horizontal-relative:margin;position:absolute;visibility:visible;z-index:-251186176" o:allowincell="f" fillcolor="black" stroked="f">
          <o:lock v:ext="edit" aspectratio="t" verticies="t" text="t" shapetype="t"/>
          <w10:wrap anchorx="margin"/>
        </v:rect>
      </w:pict>
    </w:r>
    <w:r>
      <w:rPr>
        <w:noProof/>
      </w:rPr>
      <w:pict>
        <v:rect id="Rectangle 190" o:spid="_x0000_s2510" style="width:468pt;height:0.95pt;margin-top:12.65pt;margin-left:0.6pt;mso-position-horizontal-relative:margin;position:absolute;visibility:visible;z-index:-251185152" o:allowincell="f" fillcolor="black" stroked="f">
          <o:lock v:ext="edit" aspectratio="t" verticies="t" text="t" shapetype="t"/>
          <w10:wrap anchorx="margin"/>
        </v:rect>
      </w:pict>
    </w:r>
    <w:r>
      <w:rPr>
        <w:noProof/>
      </w:rPr>
      <w:pict>
        <v:rect id="Rectangle 189" o:spid="_x0000_s2511" style="width:468pt;height:0.95pt;margin-top:12.65pt;margin-left:0.6pt;mso-position-horizontal-relative:margin;position:absolute;visibility:visible;z-index:-251184128" o:allowincell="f" fillcolor="black" stroked="f">
          <o:lock v:ext="edit" aspectratio="t" verticies="t" text="t" shapetype="t"/>
          <w10:wrap anchorx="margin"/>
        </v:rect>
      </w:pict>
    </w:r>
    <w:r>
      <w:rPr>
        <w:noProof/>
      </w:rPr>
      <w:pict>
        <v:rect id="Rectangle 188" o:spid="_x0000_s2512" style="width:468pt;height:0.95pt;margin-top:12.65pt;margin-left:0.6pt;mso-position-horizontal-relative:margin;position:absolute;visibility:visible;z-index:-251183104" o:allowincell="f" fillcolor="black" stroked="f">
          <o:lock v:ext="edit" aspectratio="t" verticies="t" text="t" shapetype="t"/>
          <w10:wrap anchorx="margin"/>
        </v:rect>
      </w:pict>
    </w:r>
    <w:r>
      <w:rPr>
        <w:noProof/>
      </w:rPr>
      <w:pict>
        <v:rect id="Rectangle 187" o:spid="_x0000_s2513" style="width:468pt;height:0.95pt;margin-top:12.65pt;margin-left:0.6pt;mso-position-horizontal-relative:margin;position:absolute;visibility:visible;z-index:-251182080" o:allowincell="f" fillcolor="black" stroked="f">
          <o:lock v:ext="edit" aspectratio="t" verticies="t" text="t" shapetype="t"/>
          <w10:wrap anchorx="margin"/>
        </v:rect>
      </w:pict>
    </w:r>
    <w:r>
      <w:rPr>
        <w:noProof/>
      </w:rPr>
      <w:pict>
        <v:rect id="Rectangle 186" o:spid="_x0000_s2514" style="width:468pt;height:0.95pt;margin-top:12.65pt;margin-left:0.6pt;mso-position-horizontal-relative:margin;position:absolute;visibility:visible;z-index:-251181056" o:allowincell="f" fillcolor="black" stroked="f">
          <o:lock v:ext="edit" aspectratio="t" verticies="t" text="t" shapetype="t"/>
          <w10:wrap anchorx="margin"/>
        </v:rect>
      </w:pict>
    </w:r>
    <w:r>
      <w:rPr>
        <w:noProof/>
      </w:rPr>
      <w:pict>
        <v:rect id="Rectangle 185" o:spid="_x0000_s2515" style="width:468pt;height:0.95pt;margin-top:12.65pt;margin-left:0.6pt;mso-position-horizontal-relative:margin;position:absolute;visibility:visible;z-index:-251180032" o:allowincell="f" fillcolor="black" stroked="f">
          <o:lock v:ext="edit" aspectratio="t" verticies="t" text="t" shapetype="t"/>
          <w10:wrap anchorx="margin"/>
        </v:rect>
      </w:pict>
    </w:r>
    <w:r>
      <w:rPr>
        <w:noProof/>
      </w:rPr>
      <w:pict>
        <v:rect id="Rectangle 184" o:spid="_x0000_s2516" style="width:468pt;height:0.95pt;margin-top:12.65pt;margin-left:0.6pt;mso-position-horizontal-relative:margin;position:absolute;visibility:visible;z-index:-251179008" o:allowincell="f" fillcolor="black" stroked="f">
          <o:lock v:ext="edit" aspectratio="t" verticies="t" text="t" shapetype="t"/>
          <w10:wrap anchorx="margin"/>
        </v:rect>
      </w:pict>
    </w:r>
    <w:r>
      <w:rPr>
        <w:noProof/>
      </w:rPr>
      <w:pict>
        <v:rect id="Rectangle 183" o:spid="_x0000_s2517" style="width:468pt;height:0.95pt;margin-top:12.65pt;margin-left:0.6pt;mso-position-horizontal-relative:margin;position:absolute;visibility:visible;z-index:-251177984" o:allowincell="f" fillcolor="black" stroked="f">
          <o:lock v:ext="edit" aspectratio="t" verticies="t" text="t" shapetype="t"/>
          <w10:wrap anchorx="margin"/>
        </v:rect>
      </w:pict>
    </w:r>
    <w:r>
      <w:rPr>
        <w:noProof/>
      </w:rPr>
      <w:pict>
        <v:rect id="Rectangle 182" o:spid="_x0000_s2518" style="width:468pt;height:0.95pt;margin-top:12.65pt;margin-left:0.6pt;mso-position-horizontal-relative:margin;position:absolute;visibility:visible;z-index:-251176960" o:allowincell="f" fillcolor="black" stroked="f">
          <o:lock v:ext="edit" aspectratio="t" verticies="t" text="t" shapetype="t"/>
          <w10:wrap anchorx="margin"/>
        </v:rect>
      </w:pict>
    </w:r>
    <w:r>
      <w:rPr>
        <w:noProof/>
      </w:rPr>
      <w:pict>
        <v:rect id="Rectangle 181" o:spid="_x0000_s2519" style="width:468pt;height:0.95pt;margin-top:12.65pt;margin-left:0.6pt;mso-position-horizontal-relative:margin;position:absolute;visibility:visible;z-index:-251175936" o:allowincell="f" fillcolor="black" stroked="f">
          <o:lock v:ext="edit" aspectratio="t" verticies="t" text="t" shapetype="t"/>
          <w10:wrap anchorx="margin"/>
        </v:rect>
      </w:pict>
    </w:r>
    <w:r>
      <w:rPr>
        <w:noProof/>
      </w:rPr>
      <w:pict>
        <v:rect id="Rectangle 180" o:spid="_x0000_s2520" style="width:468pt;height:0.95pt;margin-top:12.65pt;margin-left:0.6pt;mso-position-horizontal-relative:margin;position:absolute;visibility:visible;z-index:-251174912" o:allowincell="f" fillcolor="black" stroked="f">
          <o:lock v:ext="edit" aspectratio="t" verticies="t" text="t" shapetype="t"/>
          <w10:wrap anchorx="margin"/>
        </v:rect>
      </w:pict>
    </w:r>
    <w:r>
      <w:rPr>
        <w:noProof/>
      </w:rPr>
      <w:pict>
        <v:rect id="Rectangle 179" o:spid="_x0000_s2521" style="width:468pt;height:0.95pt;margin-top:12.65pt;margin-left:0.6pt;mso-position-horizontal-relative:margin;position:absolute;visibility:visible;z-index:-251173888" o:allowincell="f" fillcolor="black" stroked="f">
          <o:lock v:ext="edit" aspectratio="t" verticies="t" text="t" shapetype="t"/>
          <w10:wrap anchorx="margin"/>
        </v:rect>
      </w:pict>
    </w:r>
    <w:r>
      <w:rPr>
        <w:noProof/>
      </w:rPr>
      <w:pict>
        <v:rect id="Rectangle 178" o:spid="_x0000_s2522" style="width:468pt;height:0.95pt;margin-top:12.65pt;margin-left:0.6pt;mso-position-horizontal-relative:margin;position:absolute;visibility:visible;z-index:-251172864" o:allowincell="f" fillcolor="black" stroked="f">
          <o:lock v:ext="edit" aspectratio="t" verticies="t" text="t" shapetype="t"/>
          <w10:wrap anchorx="margin"/>
        </v:rect>
      </w:pict>
    </w:r>
    <w:r>
      <w:rPr>
        <w:noProof/>
      </w:rPr>
      <w:pict>
        <v:rect id="Rectangle 177" o:spid="_x0000_s2523" style="width:468pt;height:0.95pt;margin-top:12.65pt;margin-left:0.6pt;mso-position-horizontal-relative:margin;position:absolute;visibility:visible;z-index:-251171840" o:allowincell="f" fillcolor="black" stroked="f">
          <o:lock v:ext="edit" aspectratio="t" verticies="t" text="t" shapetype="t"/>
          <w10:wrap anchorx="margin"/>
        </v:rect>
      </w:pict>
    </w:r>
    <w:r>
      <w:rPr>
        <w:noProof/>
      </w:rPr>
      <w:pict>
        <v:rect id="Rectangle 176" o:spid="_x0000_s2524" style="width:468pt;height:0.95pt;margin-top:12.65pt;margin-left:0.6pt;mso-position-horizontal-relative:margin;position:absolute;visibility:visible;z-index:-251170816" o:allowincell="f" fillcolor="black" stroked="f">
          <o:lock v:ext="edit" aspectratio="t" verticies="t" text="t" shapetype="t"/>
          <w10:wrap anchorx="margin"/>
        </v:rect>
      </w:pict>
    </w:r>
    <w:r>
      <w:rPr>
        <w:noProof/>
      </w:rPr>
      <w:pict>
        <v:rect id="Rectangle 175" o:spid="_x0000_s2525" style="width:468pt;height:0.95pt;margin-top:12.65pt;margin-left:0.6pt;mso-position-horizontal-relative:margin;position:absolute;visibility:visible;z-index:-251169792" o:allowincell="f" fillcolor="black" stroked="f">
          <o:lock v:ext="edit" aspectratio="t" verticies="t" text="t" shapetype="t"/>
          <w10:wrap anchorx="margin"/>
        </v:rect>
      </w:pict>
    </w:r>
    <w:r>
      <w:rPr>
        <w:noProof/>
      </w:rPr>
      <w:pict>
        <v:rect id="Rectangle 174" o:spid="_x0000_s2526" style="width:468pt;height:0.95pt;margin-top:12.65pt;margin-left:0.6pt;mso-position-horizontal-relative:margin;position:absolute;visibility:visible;z-index:-251168768" o:allowincell="f" fillcolor="black" stroked="f">
          <o:lock v:ext="edit" aspectratio="t" verticies="t" text="t" shapetype="t"/>
          <w10:wrap anchorx="margin"/>
        </v:rect>
      </w:pict>
    </w:r>
    <w:r>
      <w:rPr>
        <w:noProof/>
      </w:rPr>
      <w:pict>
        <v:rect id="Rectangle 173" o:spid="_x0000_s2527" style="width:468pt;height:0.95pt;margin-top:12.65pt;margin-left:0.6pt;mso-position-horizontal-relative:margin;position:absolute;visibility:visible;z-index:-251167744" o:allowincell="f" fillcolor="black" stroked="f">
          <o:lock v:ext="edit" aspectratio="t" verticies="t" text="t" shapetype="t"/>
          <w10:wrap anchorx="margin"/>
        </v:rect>
      </w:pict>
    </w:r>
    <w:r>
      <w:rPr>
        <w:noProof/>
      </w:rPr>
      <w:pict>
        <v:rect id="Rectangle 172" o:spid="_x0000_s2528" style="width:468pt;height:0.95pt;margin-top:12.65pt;margin-left:0.6pt;mso-position-horizontal-relative:margin;position:absolute;visibility:visible;z-index:-251166720" o:allowincell="f" fillcolor="black" stroked="f">
          <o:lock v:ext="edit" aspectratio="t" verticies="t" text="t" shapetype="t"/>
          <w10:wrap anchorx="margin"/>
        </v:rect>
      </w:pict>
    </w:r>
    <w:r>
      <w:rPr>
        <w:noProof/>
      </w:rPr>
      <w:pict>
        <v:rect id="Rectangle 171" o:spid="_x0000_s2529" style="width:468pt;height:0.95pt;margin-top:12.65pt;margin-left:0.6pt;mso-position-horizontal-relative:margin;position:absolute;visibility:visible;z-index:-251165696" o:allowincell="f" fillcolor="black" stroked="f">
          <o:lock v:ext="edit" aspectratio="t" verticies="t" text="t" shapetype="t"/>
          <w10:wrap anchorx="margin"/>
        </v:rect>
      </w:pict>
    </w:r>
    <w:r>
      <w:rPr>
        <w:noProof/>
      </w:rPr>
      <w:pict>
        <v:rect id="Rectangle 170" o:spid="_x0000_s2530" style="width:468pt;height:0.95pt;margin-top:12.65pt;margin-left:0.6pt;mso-position-horizontal-relative:margin;position:absolute;visibility:visible;z-index:-251164672" o:allowincell="f" fillcolor="black" stroked="f">
          <o:lock v:ext="edit" aspectratio="t" verticies="t" text="t" shapetype="t"/>
          <w10:wrap anchorx="margin"/>
        </v:rect>
      </w:pict>
    </w:r>
    <w:r>
      <w:rPr>
        <w:noProof/>
      </w:rPr>
      <w:pict>
        <v:rect id="Rectangle 169" o:spid="_x0000_s2531" style="width:468pt;height:0.95pt;margin-top:12.65pt;margin-left:0.6pt;mso-position-horizontal-relative:margin;position:absolute;visibility:visible;z-index:-251163648" o:allowincell="f" fillcolor="black" stroked="f">
          <o:lock v:ext="edit" aspectratio="t" verticies="t" text="t" shapetype="t"/>
          <w10:wrap anchorx="margin"/>
        </v:rect>
      </w:pict>
    </w:r>
    <w:r>
      <w:rPr>
        <w:noProof/>
      </w:rPr>
      <w:pict>
        <v:rect id="Rectangle 168" o:spid="_x0000_s2532" style="width:468pt;height:0.95pt;margin-top:12.65pt;margin-left:0.6pt;mso-position-horizontal-relative:margin;position:absolute;visibility:visible;z-index:-251162624" o:allowincell="f" fillcolor="black" stroked="f">
          <o:lock v:ext="edit" aspectratio="t" verticies="t" text="t" shapetype="t"/>
          <w10:wrap anchorx="margin"/>
        </v:rect>
      </w:pict>
    </w:r>
    <w:r>
      <w:rPr>
        <w:noProof/>
      </w:rPr>
      <w:pict>
        <v:rect id="Rectangle 167" o:spid="_x0000_s2533" style="width:468pt;height:0.95pt;margin-top:12.65pt;margin-left:0.6pt;mso-position-horizontal-relative:margin;position:absolute;visibility:visible;z-index:-251161600" o:allowincell="f" fillcolor="black" stroked="f">
          <o:lock v:ext="edit" aspectratio="t" verticies="t" text="t" shapetype="t"/>
          <w10:wrap anchorx="margin"/>
        </v:rect>
      </w:pict>
    </w:r>
    <w:r>
      <w:rPr>
        <w:noProof/>
      </w:rPr>
      <w:pict>
        <v:rect id="Rectangle 166" o:spid="_x0000_s2534" style="width:468pt;height:0.95pt;margin-top:12.65pt;margin-left:0.6pt;mso-position-horizontal-relative:margin;position:absolute;visibility:visible;z-index:-251160576" o:allowincell="f" fillcolor="black" stroked="f">
          <o:lock v:ext="edit" aspectratio="t" verticies="t" text="t" shapetype="t"/>
          <w10:wrap anchorx="margin"/>
        </v:rect>
      </w:pict>
    </w:r>
    <w:r>
      <w:rPr>
        <w:noProof/>
      </w:rPr>
      <w:pict>
        <v:rect id="Rectangle 165" o:spid="_x0000_s2535" style="width:468pt;height:0.95pt;margin-top:12.65pt;margin-left:0.6pt;mso-position-horizontal-relative:margin;position:absolute;visibility:visible;z-index:-251159552" o:allowincell="f" fillcolor="black" stroked="f">
          <o:lock v:ext="edit" aspectratio="t" verticies="t" text="t" shapetype="t"/>
          <w10:wrap anchorx="margin"/>
        </v:rect>
      </w:pict>
    </w:r>
    <w:r>
      <w:rPr>
        <w:noProof/>
      </w:rPr>
      <w:pict>
        <v:rect id="Rectangle 164" o:spid="_x0000_s2536" style="width:468pt;height:0.95pt;margin-top:12.65pt;margin-left:0.6pt;mso-position-horizontal-relative:margin;position:absolute;visibility:visible;z-index:-251158528" o:allowincell="f" fillcolor="black" stroked="f">
          <o:lock v:ext="edit" aspectratio="t" verticies="t" text="t" shapetype="t"/>
          <w10:wrap anchorx="margin"/>
        </v:rect>
      </w:pict>
    </w:r>
    <w:r>
      <w:rPr>
        <w:noProof/>
      </w:rPr>
      <w:pict>
        <v:rect id="Rectangle 163" o:spid="_x0000_s2537" style="width:468pt;height:0.95pt;margin-top:12.65pt;margin-left:0.6pt;mso-position-horizontal-relative:margin;position:absolute;visibility:visible;z-index:-251157504" o:allowincell="f" fillcolor="black" stroked="f">
          <o:lock v:ext="edit" aspectratio="t" verticies="t" text="t" shapetype="t"/>
          <w10:wrap anchorx="margin"/>
        </v:rect>
      </w:pict>
    </w:r>
    <w:r>
      <w:rPr>
        <w:noProof/>
      </w:rPr>
      <w:pict>
        <v:rect id="Rectangle 162" o:spid="_x0000_s2538" style="width:468pt;height:0.95pt;margin-top:12.65pt;margin-left:0.6pt;mso-position-horizontal-relative:margin;position:absolute;visibility:visible;z-index:-251156480" o:allowincell="f" fillcolor="black" stroked="f">
          <o:lock v:ext="edit" aspectratio="t" verticies="t" text="t" shapetype="t"/>
          <w10:wrap anchorx="margin"/>
        </v:rect>
      </w:pict>
    </w:r>
    <w:r>
      <w:rPr>
        <w:noProof/>
      </w:rPr>
      <w:pict>
        <v:rect id="Rectangle 161" o:spid="_x0000_s2539" style="width:468pt;height:0.95pt;margin-top:12.65pt;margin-left:0.6pt;mso-position-horizontal-relative:margin;position:absolute;visibility:visible;z-index:-251155456" o:allowincell="f" fillcolor="black" stroked="f">
          <o:lock v:ext="edit" aspectratio="t" verticies="t" text="t" shapetype="t"/>
          <w10:wrap anchorx="margin"/>
        </v:rect>
      </w:pict>
    </w:r>
    <w:r>
      <w:rPr>
        <w:noProof/>
      </w:rPr>
      <w:pict>
        <v:rect id="Rectangle 160" o:spid="_x0000_s2540" style="width:468pt;height:0.95pt;margin-top:12.65pt;margin-left:0.6pt;mso-position-horizontal-relative:margin;position:absolute;visibility:visible;z-index:-251154432" o:allowincell="f" fillcolor="black" stroked="f">
          <o:lock v:ext="edit" aspectratio="t" verticies="t" text="t" shapetype="t"/>
          <w10:wrap anchorx="margin"/>
        </v:rect>
      </w:pict>
    </w:r>
    <w:r>
      <w:rPr>
        <w:noProof/>
      </w:rPr>
      <w:pict>
        <v:rect id="Rectangle 159" o:spid="_x0000_s2541" style="width:468pt;height:0.95pt;margin-top:12.65pt;margin-left:0.6pt;mso-position-horizontal-relative:margin;position:absolute;visibility:visible;z-index:-251153408" o:allowincell="f" fillcolor="black" stroked="f">
          <o:lock v:ext="edit" aspectratio="t" verticies="t" text="t" shapetype="t"/>
          <w10:wrap anchorx="margin"/>
        </v:rect>
      </w:pict>
    </w:r>
    <w:r>
      <w:rPr>
        <w:noProof/>
      </w:rPr>
      <w:pict>
        <v:rect id="Rectangle 158" o:spid="_x0000_s2542" style="width:468pt;height:0.95pt;margin-top:12.65pt;margin-left:0.6pt;mso-position-horizontal-relative:margin;position:absolute;visibility:visible;z-index:-251152384" o:allowincell="f" fillcolor="black" stroked="f">
          <o:lock v:ext="edit" aspectratio="t" verticies="t" text="t" shapetype="t"/>
          <w10:wrap anchorx="margin"/>
        </v:rect>
      </w:pict>
    </w:r>
    <w:r>
      <w:rPr>
        <w:noProof/>
      </w:rPr>
      <w:pict>
        <v:rect id="Rectangle 157" o:spid="_x0000_s2543" style="width:468pt;height:0.95pt;margin-top:12.65pt;margin-left:0.6pt;mso-position-horizontal-relative:margin;position:absolute;visibility:visible;z-index:-251151360" o:allowincell="f" fillcolor="black" stroked="f">
          <o:lock v:ext="edit" aspectratio="t" verticies="t" text="t" shapetype="t"/>
          <w10:wrap anchorx="margin"/>
        </v:rect>
      </w:pict>
    </w:r>
    <w:r>
      <w:rPr>
        <w:noProof/>
      </w:rPr>
      <w:pict>
        <v:rect id="Rectangle 156" o:spid="_x0000_s2544" style="width:468pt;height:0.95pt;margin-top:12.65pt;margin-left:0.6pt;mso-position-horizontal-relative:margin;position:absolute;visibility:visible;z-index:-251150336" o:allowincell="f" fillcolor="black" stroked="f">
          <o:lock v:ext="edit" aspectratio="t" verticies="t" text="t" shapetype="t"/>
          <w10:wrap anchorx="margin"/>
        </v:rect>
      </w:pict>
    </w:r>
    <w:r>
      <w:rPr>
        <w:noProof/>
      </w:rPr>
      <w:pict>
        <v:rect id="Rectangle 155" o:spid="_x0000_s2545" style="width:468pt;height:0.95pt;margin-top:12.65pt;margin-left:0.6pt;mso-position-horizontal-relative:margin;position:absolute;visibility:visible;z-index:-251149312" o:allowincell="f" fillcolor="black" stroked="f">
          <o:lock v:ext="edit" aspectratio="t" verticies="t" text="t" shapetype="t"/>
          <w10:wrap anchorx="margin"/>
        </v:rect>
      </w:pict>
    </w:r>
    <w:r>
      <w:rPr>
        <w:noProof/>
      </w:rPr>
      <w:pict>
        <v:rect id="Rectangle 154" o:spid="_x0000_s2546" style="width:468pt;height:0.95pt;margin-top:12.65pt;margin-left:0.6pt;mso-position-horizontal-relative:margin;position:absolute;visibility:visible;z-index:-251148288" o:allowincell="f" fillcolor="black" stroked="f">
          <o:lock v:ext="edit" aspectratio="t" verticies="t" text="t" shapetype="t"/>
          <w10:wrap anchorx="margin"/>
        </v:rect>
      </w:pict>
    </w:r>
    <w:r>
      <w:rPr>
        <w:noProof/>
      </w:rPr>
      <w:pict>
        <v:rect id="Rectangle 153" o:spid="_x0000_s2547" style="width:468pt;height:0.95pt;margin-top:12.65pt;margin-left:0.6pt;mso-position-horizontal-relative:margin;position:absolute;visibility:visible;z-index:-251147264" o:allowincell="f" fillcolor="black" stroked="f">
          <o:lock v:ext="edit" aspectratio="t" verticies="t" text="t" shapetype="t"/>
          <w10:wrap anchorx="margin"/>
        </v:rect>
      </w:pict>
    </w:r>
    <w:r>
      <w:rPr>
        <w:noProof/>
      </w:rPr>
      <w:pict>
        <v:rect id="Rectangle 152" o:spid="_x0000_s2548" style="width:468pt;height:0.95pt;margin-top:12.65pt;margin-left:0.6pt;mso-position-horizontal-relative:margin;position:absolute;visibility:visible;z-index:-251146240" o:allowincell="f" fillcolor="black" stroked="f">
          <o:lock v:ext="edit" aspectratio="t" verticies="t" text="t" shapetype="t"/>
          <w10:wrap anchorx="margin"/>
        </v:rect>
      </w:pict>
    </w:r>
    <w:r>
      <w:rPr>
        <w:noProof/>
      </w:rPr>
      <w:pict>
        <v:rect id="Rectangle 151" o:spid="_x0000_s2549" style="width:468pt;height:0.95pt;margin-top:12.65pt;margin-left:0.6pt;mso-position-horizontal-relative:margin;position:absolute;visibility:visible;z-index:-251145216" o:allowincell="f" fillcolor="black" stroked="f">
          <o:lock v:ext="edit" aspectratio="t" verticies="t" text="t" shapetype="t"/>
          <w10:wrap anchorx="margin"/>
        </v:rect>
      </w:pict>
    </w:r>
    <w:r>
      <w:rPr>
        <w:noProof/>
      </w:rPr>
      <w:pict>
        <v:rect id="Rectangle 150" o:spid="_x0000_s2550" style="width:468pt;height:0.95pt;margin-top:12.65pt;margin-left:0.6pt;mso-position-horizontal-relative:margin;position:absolute;visibility:visible;z-index:-251144192" o:allowincell="f" fillcolor="black" stroked="f">
          <o:lock v:ext="edit" aspectratio="t" verticies="t" text="t" shapetype="t"/>
          <w10:wrap anchorx="margin"/>
        </v:rect>
      </w:pict>
    </w:r>
    <w:r>
      <w:rPr>
        <w:noProof/>
      </w:rPr>
      <w:pict>
        <v:rect id="Rectangle 149" o:spid="_x0000_s2551" style="width:468pt;height:0.95pt;margin-top:12.65pt;margin-left:0.6pt;mso-position-horizontal-relative:margin;position:absolute;visibility:visible;z-index:-251143168" o:allowincell="f" fillcolor="black" stroked="f">
          <o:lock v:ext="edit" aspectratio="t" verticies="t" text="t" shapetype="t"/>
          <w10:wrap anchorx="margin"/>
        </v:rect>
      </w:pict>
    </w:r>
    <w:r>
      <w:rPr>
        <w:noProof/>
      </w:rPr>
      <w:pict>
        <v:rect id="Rectangle 148" o:spid="_x0000_s2552" style="width:468pt;height:0.95pt;margin-top:12.65pt;margin-left:0.6pt;mso-position-horizontal-relative:margin;position:absolute;visibility:visible;z-index:-251142144" o:allowincell="f" fillcolor="black" stroked="f">
          <o:lock v:ext="edit" aspectratio="t" verticies="t" text="t" shapetype="t"/>
          <w10:wrap anchorx="margin"/>
        </v:rect>
      </w:pict>
    </w:r>
    <w:r>
      <w:rPr>
        <w:noProof/>
      </w:rPr>
      <w:pict>
        <v:rect id="Rectangle 147" o:spid="_x0000_s2553" style="width:468pt;height:0.95pt;margin-top:12.65pt;margin-left:0.6pt;mso-position-horizontal-relative:margin;position:absolute;visibility:visible;z-index:-251141120" o:allowincell="f" fillcolor="black" stroked="f">
          <o:lock v:ext="edit" aspectratio="t" verticies="t" text="t" shapetype="t"/>
          <w10:wrap anchorx="margin"/>
        </v:rect>
      </w:pict>
    </w:r>
    <w:r>
      <w:rPr>
        <w:noProof/>
      </w:rPr>
      <w:pict>
        <v:rect id="Rectangle 146" o:spid="_x0000_s2554" style="width:468pt;height:0.95pt;margin-top:12.65pt;margin-left:0.6pt;mso-position-horizontal-relative:margin;position:absolute;visibility:visible;z-index:-251140096" o:allowincell="f" fillcolor="black" stroked="f">
          <o:lock v:ext="edit" aspectratio="t" verticies="t" text="t" shapetype="t"/>
          <w10:wrap anchorx="margin"/>
        </v:rect>
      </w:pict>
    </w:r>
    <w:r>
      <w:rPr>
        <w:noProof/>
      </w:rPr>
      <w:pict>
        <v:rect id="Rectangle 145" o:spid="_x0000_s2555" style="width:468pt;height:0.95pt;margin-top:12.65pt;margin-left:0.6pt;mso-position-horizontal-relative:margin;position:absolute;visibility:visible;z-index:-251139072" o:allowincell="f" fillcolor="black" stroked="f">
          <o:lock v:ext="edit" aspectratio="t" verticies="t" text="t" shapetype="t"/>
          <w10:wrap anchorx="margin"/>
        </v:rect>
      </w:pict>
    </w:r>
    <w:r>
      <w:rPr>
        <w:noProof/>
      </w:rPr>
      <w:pict>
        <v:rect id="Rectangle 144" o:spid="_x0000_s2556" style="width:468pt;height:0.95pt;margin-top:12.65pt;margin-left:0.6pt;mso-position-horizontal-relative:margin;position:absolute;visibility:visible;z-index:-251138048" o:allowincell="f" fillcolor="black" stroked="f">
          <o:lock v:ext="edit" aspectratio="t" verticies="t" text="t" shapetype="t"/>
          <w10:wrap anchorx="margin"/>
        </v:rect>
      </w:pict>
    </w:r>
    <w:r>
      <w:rPr>
        <w:noProof/>
      </w:rPr>
      <w:pict>
        <v:rect id="Rectangle 143" o:spid="_x0000_s2557" style="width:468pt;height:0.95pt;margin-top:12.65pt;margin-left:0.6pt;mso-position-horizontal-relative:margin;position:absolute;visibility:visible;z-index:-251137024" o:allowincell="f" fillcolor="black" stroked="f">
          <o:lock v:ext="edit" aspectratio="t" verticies="t" text="t" shapetype="t"/>
          <w10:wrap anchorx="margin"/>
        </v:rect>
      </w:pict>
    </w:r>
    <w:r>
      <w:rPr>
        <w:noProof/>
      </w:rPr>
      <w:pict>
        <v:rect id="Rectangle 142" o:spid="_x0000_s2558" style="width:468pt;height:0.95pt;margin-top:12.65pt;margin-left:0.6pt;mso-position-horizontal-relative:margin;position:absolute;visibility:visible;z-index:-251136000" o:allowincell="f" fillcolor="black" stroked="f">
          <o:lock v:ext="edit" aspectratio="t" verticies="t" text="t" shapetype="t"/>
          <w10:wrap anchorx="margin"/>
        </v:rect>
      </w:pict>
    </w:r>
    <w:r>
      <w:rPr>
        <w:noProof/>
      </w:rPr>
      <w:pict>
        <v:rect id="Rectangle 141" o:spid="_x0000_s2559" style="width:468pt;height:0.95pt;margin-top:12.65pt;margin-left:0.6pt;mso-position-horizontal-relative:margin;position:absolute;visibility:visible;z-index:-251134976" o:allowincell="f" fillcolor="black" stroked="f">
          <o:lock v:ext="edit" aspectratio="t" verticies="t" text="t" shapetype="t"/>
          <w10:wrap anchorx="margin"/>
        </v:rect>
      </w:pict>
    </w:r>
    <w:r>
      <w:rPr>
        <w:noProof/>
      </w:rPr>
      <w:pict>
        <v:rect id="Rectangle 140" o:spid="_x0000_s2560" style="width:468pt;height:0.95pt;margin-top:12.65pt;margin-left:0.6pt;mso-position-horizontal-relative:margin;position:absolute;visibility:visible;z-index:-251133952" o:allowincell="f" fillcolor="black" stroked="f">
          <o:lock v:ext="edit" aspectratio="t" verticies="t" text="t" shapetype="t"/>
          <w10:wrap anchorx="margin"/>
        </v:rect>
      </w:pict>
    </w:r>
    <w:r>
      <w:rPr>
        <w:noProof/>
      </w:rPr>
      <w:pict>
        <v:rect id="Rectangle 139" o:spid="_x0000_s2561" style="width:468pt;height:0.95pt;margin-top:12.65pt;margin-left:0.6pt;mso-position-horizontal-relative:margin;position:absolute;visibility:visible;z-index:-251132928" o:allowincell="f" fillcolor="black" stroked="f">
          <o:lock v:ext="edit" aspectratio="t" verticies="t" text="t" shapetype="t"/>
          <w10:wrap anchorx="margin"/>
        </v:rect>
      </w:pict>
    </w:r>
    <w:r>
      <w:rPr>
        <w:noProof/>
      </w:rPr>
      <w:pict>
        <v:rect id="Rectangle 138" o:spid="_x0000_s2562" style="width:468pt;height:0.95pt;margin-top:12.65pt;margin-left:0.6pt;mso-position-horizontal-relative:margin;position:absolute;visibility:visible;z-index:-251131904" o:allowincell="f" fillcolor="black" stroked="f">
          <o:lock v:ext="edit" aspectratio="t" verticies="t" text="t" shapetype="t"/>
          <w10:wrap anchorx="margin"/>
        </v:rect>
      </w:pict>
    </w:r>
    <w:r>
      <w:rPr>
        <w:noProof/>
      </w:rPr>
      <w:pict>
        <v:rect id="Rectangle 137" o:spid="_x0000_s2563" style="width:468pt;height:0.95pt;margin-top:12.65pt;margin-left:0.6pt;mso-position-horizontal-relative:margin;position:absolute;visibility:visible;z-index:-251130880" o:allowincell="f" fillcolor="black" stroked="f">
          <o:lock v:ext="edit" aspectratio="t" verticies="t" text="t" shapetype="t"/>
          <w10:wrap anchorx="margin"/>
        </v:rect>
      </w:pict>
    </w:r>
    <w:r>
      <w:rPr>
        <w:noProof/>
      </w:rPr>
      <w:pict>
        <v:rect id="Rectangle 136" o:spid="_x0000_s2564" style="width:468pt;height:0.95pt;margin-top:12.65pt;margin-left:0.6pt;mso-position-horizontal-relative:margin;position:absolute;visibility:visible;z-index:-251129856" o:allowincell="f" fillcolor="black" stroked="f">
          <o:lock v:ext="edit" aspectratio="t" verticies="t" text="t" shapetype="t"/>
          <w10:wrap anchorx="margin"/>
        </v:rect>
      </w:pict>
    </w:r>
    <w:r>
      <w:rPr>
        <w:noProof/>
      </w:rPr>
      <w:pict>
        <v:rect id="Rectangle 135" o:spid="_x0000_s2565" style="width:468pt;height:0.95pt;margin-top:12.65pt;margin-left:0.6pt;mso-position-horizontal-relative:margin;position:absolute;visibility:visible;z-index:-251128832" o:allowincell="f" fillcolor="black" stroked="f">
          <o:lock v:ext="edit" aspectratio="t" verticies="t" text="t" shapetype="t"/>
          <w10:wrap anchorx="margin"/>
        </v:rect>
      </w:pict>
    </w:r>
    <w:r>
      <w:rPr>
        <w:noProof/>
      </w:rPr>
      <w:pict>
        <v:rect id="Rectangle 134" o:spid="_x0000_s2566" style="width:468pt;height:0.95pt;margin-top:12.65pt;margin-left:0.6pt;mso-position-horizontal-relative:margin;position:absolute;visibility:visible;z-index:-251127808" o:allowincell="f" fillcolor="black" stroked="f">
          <o:lock v:ext="edit" aspectratio="t" verticies="t" text="t" shapetype="t"/>
          <w10:wrap anchorx="margin"/>
        </v:rect>
      </w:pict>
    </w:r>
    <w:r>
      <w:rPr>
        <w:noProof/>
      </w:rPr>
      <w:pict>
        <v:rect id="Rectangle 133" o:spid="_x0000_s2567" style="width:468pt;height:0.95pt;margin-top:12.65pt;margin-left:0.6pt;mso-position-horizontal-relative:margin;position:absolute;visibility:visible;z-index:-251126784" o:allowincell="f" fillcolor="black" stroked="f">
          <o:lock v:ext="edit" aspectratio="t" verticies="t" text="t" shapetype="t"/>
          <w10:wrap anchorx="margin"/>
        </v:rect>
      </w:pict>
    </w:r>
    <w:r>
      <w:rPr>
        <w:noProof/>
      </w:rPr>
      <w:pict>
        <v:rect id="Rectangle 132" o:spid="_x0000_s2568" style="width:468pt;height:0.95pt;margin-top:12.65pt;margin-left:0.6pt;mso-position-horizontal-relative:margin;position:absolute;visibility:visible;z-index:-251125760" o:allowincell="f" fillcolor="black" stroked="f">
          <o:lock v:ext="edit" aspectratio="t" verticies="t" text="t" shapetype="t"/>
          <w10:wrap anchorx="margin"/>
        </v:rect>
      </w:pict>
    </w:r>
    <w:r>
      <w:rPr>
        <w:noProof/>
      </w:rPr>
      <w:pict>
        <v:rect id="Rectangle 131" o:spid="_x0000_s2569" style="width:468pt;height:0.95pt;margin-top:12.65pt;margin-left:0.6pt;mso-position-horizontal-relative:margin;position:absolute;visibility:visible;z-index:-251124736" o:allowincell="f" fillcolor="black" stroked="f">
          <o:lock v:ext="edit" aspectratio="t" verticies="t" text="t" shapetype="t"/>
          <w10:wrap anchorx="margin"/>
        </v:rect>
      </w:pict>
    </w:r>
    <w:r>
      <w:rPr>
        <w:noProof/>
      </w:rPr>
      <w:pict>
        <v:rect id="Rectangle 130" o:spid="_x0000_s2570" style="width:468pt;height:0.95pt;margin-top:12.65pt;margin-left:0.6pt;mso-position-horizontal-relative:margin;position:absolute;visibility:visible;z-index:-251123712" o:allowincell="f" fillcolor="black" stroked="f">
          <o:lock v:ext="edit" aspectratio="t" verticies="t" text="t" shapetype="t"/>
          <w10:wrap anchorx="margin"/>
        </v:rect>
      </w:pict>
    </w:r>
    <w:r>
      <w:rPr>
        <w:noProof/>
      </w:rPr>
      <w:pict>
        <v:rect id="Rectangle 129" o:spid="_x0000_s2571" style="width:468pt;height:0.95pt;margin-top:12.65pt;margin-left:0.6pt;mso-position-horizontal-relative:margin;position:absolute;visibility:visible;z-index:-251122688" o:allowincell="f" fillcolor="black" stroked="f">
          <o:lock v:ext="edit" aspectratio="t" verticies="t" text="t" shapetype="t"/>
          <w10:wrap anchorx="margin"/>
        </v:rect>
      </w:pict>
    </w:r>
    <w:r>
      <w:rPr>
        <w:noProof/>
      </w:rPr>
      <w:pict>
        <v:rect id="Rectangle 128" o:spid="_x0000_s2572" style="width:468pt;height:0.95pt;margin-top:12.65pt;margin-left:0.6pt;mso-position-horizontal-relative:margin;position:absolute;visibility:visible;z-index:-251121664" o:allowincell="f" fillcolor="black" stroked="f">
          <o:lock v:ext="edit" aspectratio="t" verticies="t" text="t" shapetype="t"/>
          <w10:wrap anchorx="margin"/>
        </v:rect>
      </w:pict>
    </w:r>
    <w:r>
      <w:rPr>
        <w:noProof/>
      </w:rPr>
      <w:pict>
        <v:rect id="Rectangle 127" o:spid="_x0000_s2573" style="width:468pt;height:0.95pt;margin-top:12.65pt;margin-left:0.6pt;mso-position-horizontal-relative:margin;position:absolute;visibility:visible;z-index:-251120640" o:allowincell="f" fillcolor="black" stroked="f">
          <o:lock v:ext="edit" aspectratio="t" verticies="t" text="t" shapetype="t"/>
          <w10:wrap anchorx="margin"/>
        </v:rect>
      </w:pict>
    </w:r>
    <w:r>
      <w:rPr>
        <w:noProof/>
      </w:rPr>
      <w:pict>
        <v:rect id="Rectangle 126" o:spid="_x0000_s2574" style="width:468pt;height:0.95pt;margin-top:12.65pt;margin-left:0.6pt;mso-position-horizontal-relative:margin;position:absolute;visibility:visible;z-index:-251119616" o:allowincell="f" fillcolor="black" stroked="f">
          <o:lock v:ext="edit" aspectratio="t" verticies="t" text="t" shapetype="t"/>
          <w10:wrap anchorx="margin"/>
        </v:rect>
      </w:pict>
    </w:r>
    <w:r>
      <w:rPr>
        <w:noProof/>
      </w:rPr>
      <w:pict>
        <v:rect id="Rectangle 125" o:spid="_x0000_s2575" style="width:468pt;height:0.95pt;margin-top:12.65pt;margin-left:0.6pt;mso-position-horizontal-relative:margin;position:absolute;visibility:visible;z-index:-251118592" o:allowincell="f" fillcolor="black" stroked="f">
          <o:lock v:ext="edit" aspectratio="t" verticies="t" text="t" shapetype="t"/>
          <w10:wrap anchorx="margin"/>
        </v:rect>
      </w:pict>
    </w:r>
    <w:r>
      <w:rPr>
        <w:noProof/>
      </w:rPr>
      <w:pict>
        <v:rect id="Rectangle 124" o:spid="_x0000_s2576" style="width:468pt;height:0.95pt;margin-top:12.65pt;margin-left:0.6pt;mso-position-horizontal-relative:margin;position:absolute;visibility:visible;z-index:-251117568" o:allowincell="f" fillcolor="black" stroked="f">
          <o:lock v:ext="edit" aspectratio="t" verticies="t" text="t" shapetype="t"/>
          <w10:wrap anchorx="margin"/>
        </v:rect>
      </w:pict>
    </w:r>
    <w:r>
      <w:rPr>
        <w:noProof/>
      </w:rPr>
      <w:pict>
        <v:rect id="Rectangle 123" o:spid="_x0000_s2577" style="width:468pt;height:0.95pt;margin-top:12.65pt;margin-left:0.6pt;mso-position-horizontal-relative:margin;position:absolute;visibility:visible;z-index:-251116544" o:allowincell="f" fillcolor="black" stroked="f">
          <o:lock v:ext="edit" aspectratio="t" verticies="t" text="t" shapetype="t"/>
          <w10:wrap anchorx="margin"/>
        </v:rect>
      </w:pict>
    </w:r>
    <w:r>
      <w:rPr>
        <w:noProof/>
      </w:rPr>
      <w:pict>
        <v:rect id="Rectangle 122" o:spid="_x0000_s2578" style="width:468pt;height:0.95pt;margin-top:12.65pt;margin-left:0.6pt;mso-position-horizontal-relative:margin;position:absolute;visibility:visible;z-index:-251115520" o:allowincell="f" fillcolor="black" stroked="f">
          <o:lock v:ext="edit" aspectratio="t" verticies="t" text="t" shapetype="t"/>
          <w10:wrap anchorx="margin"/>
        </v:rect>
      </w:pict>
    </w:r>
    <w:r>
      <w:rPr>
        <w:noProof/>
      </w:rPr>
      <w:pict>
        <v:rect id="Rectangle 121" o:spid="_x0000_s2579" style="width:468pt;height:0.95pt;margin-top:12.65pt;margin-left:0.6pt;mso-position-horizontal-relative:margin;position:absolute;visibility:visible;z-index:-251114496" o:allowincell="f" fillcolor="black" stroked="f">
          <o:lock v:ext="edit" aspectratio="t" verticies="t" text="t" shapetype="t"/>
          <w10:wrap anchorx="margin"/>
        </v:rect>
      </w:pict>
    </w:r>
    <w:r>
      <w:rPr>
        <w:noProof/>
      </w:rPr>
      <w:pict>
        <v:rect id="Rectangle 120" o:spid="_x0000_s2580" style="width:468pt;height:0.95pt;margin-top:12.65pt;margin-left:0.6pt;mso-position-horizontal-relative:margin;position:absolute;visibility:visible;z-index:-251113472" o:allowincell="f" fillcolor="black" stroked="f">
          <o:lock v:ext="edit" aspectratio="t" verticies="t" text="t" shapetype="t"/>
          <w10:wrap anchorx="margin"/>
        </v:rect>
      </w:pict>
    </w:r>
    <w:r>
      <w:rPr>
        <w:noProof/>
      </w:rPr>
      <w:pict>
        <v:rect id="Rectangle 119" o:spid="_x0000_s2581" style="width:468pt;height:0.95pt;margin-top:12.65pt;margin-left:0.6pt;mso-position-horizontal-relative:margin;position:absolute;visibility:visible;z-index:-251112448" o:allowincell="f" fillcolor="black" stroked="f">
          <o:lock v:ext="edit" aspectratio="t" verticies="t" text="t" shapetype="t"/>
          <w10:wrap anchorx="margin"/>
        </v:rect>
      </w:pict>
    </w:r>
    <w:r>
      <w:rPr>
        <w:noProof/>
      </w:rPr>
      <w:pict>
        <v:rect id="Rectangle 118" o:spid="_x0000_s2582" style="width:468pt;height:0.95pt;margin-top:12.65pt;margin-left:0.6pt;mso-position-horizontal-relative:margin;position:absolute;visibility:visible;z-index:-251111424" o:allowincell="f" fillcolor="black" stroked="f">
          <o:lock v:ext="edit" aspectratio="t" verticies="t" text="t" shapetype="t"/>
          <w10:wrap anchorx="margin"/>
        </v:rect>
      </w:pict>
    </w:r>
    <w:r>
      <w:rPr>
        <w:noProof/>
      </w:rPr>
      <w:pict>
        <v:rect id="Rectangle 117" o:spid="_x0000_s2583" style="width:468pt;height:0.95pt;margin-top:12.65pt;margin-left:0.6pt;mso-position-horizontal-relative:margin;position:absolute;visibility:visible;z-index:-251110400" o:allowincell="f" fillcolor="black" stroked="f">
          <o:lock v:ext="edit" aspectratio="t" verticies="t" text="t" shapetype="t"/>
          <w10:wrap anchorx="margin"/>
        </v:rect>
      </w:pict>
    </w:r>
    <w:r>
      <w:rPr>
        <w:noProof/>
      </w:rPr>
      <w:pict>
        <v:rect id="Rectangle 116" o:spid="_x0000_s2584" style="width:468pt;height:0.95pt;margin-top:12.65pt;margin-left:0.6pt;mso-position-horizontal-relative:margin;position:absolute;visibility:visible;z-index:-251109376" o:allowincell="f" fillcolor="black" stroked="f">
          <o:lock v:ext="edit" aspectratio="t" verticies="t" text="t" shapetype="t"/>
          <w10:wrap anchorx="margin"/>
        </v:rect>
      </w:pict>
    </w:r>
    <w:r>
      <w:rPr>
        <w:noProof/>
      </w:rPr>
      <w:pict>
        <v:rect id="Rectangle 115" o:spid="_x0000_s2585" style="width:468pt;height:0.95pt;margin-top:12.65pt;margin-left:0.6pt;mso-position-horizontal-relative:margin;position:absolute;visibility:visible;z-index:-251108352" o:allowincell="f" fillcolor="black" stroked="f">
          <o:lock v:ext="edit" aspectratio="t" verticies="t" text="t" shapetype="t"/>
          <w10:wrap anchorx="margin"/>
        </v:rect>
      </w:pict>
    </w:r>
    <w:r>
      <w:rPr>
        <w:noProof/>
      </w:rPr>
      <w:pict>
        <v:rect id="Rectangle 114" o:spid="_x0000_s2586" style="width:468pt;height:0.95pt;margin-top:12.65pt;margin-left:0.6pt;mso-position-horizontal-relative:margin;position:absolute;visibility:visible;z-index:-251107328" o:allowincell="f" fillcolor="black" stroked="f">
          <o:lock v:ext="edit" aspectratio="t" verticies="t" text="t" shapetype="t"/>
          <w10:wrap anchorx="margin"/>
        </v:rect>
      </w:pict>
    </w:r>
    <w:r>
      <w:rPr>
        <w:noProof/>
      </w:rPr>
      <w:pict>
        <v:rect id="Rectangle 113" o:spid="_x0000_s2587" style="width:468pt;height:0.95pt;margin-top:12.65pt;margin-left:0.6pt;mso-position-horizontal-relative:margin;position:absolute;visibility:visible;z-index:-251106304" o:allowincell="f" fillcolor="black" stroked="f">
          <o:lock v:ext="edit" aspectratio="t" verticies="t" text="t" shapetype="t"/>
          <w10:wrap anchorx="margin"/>
        </v:rect>
      </w:pict>
    </w:r>
    <w:r>
      <w:rPr>
        <w:noProof/>
      </w:rPr>
      <w:pict>
        <v:rect id="Rectangle 112" o:spid="_x0000_s2588" style="width:468pt;height:0.95pt;margin-top:12.65pt;margin-left:0.6pt;mso-position-horizontal-relative:margin;position:absolute;visibility:visible;z-index:-251105280" o:allowincell="f" fillcolor="black" stroked="f">
          <o:lock v:ext="edit" aspectratio="t" verticies="t" text="t" shapetype="t"/>
          <w10:wrap anchorx="margin"/>
        </v:rect>
      </w:pict>
    </w:r>
    <w:r>
      <w:rPr>
        <w:noProof/>
      </w:rPr>
      <w:pict>
        <v:rect id="Rectangle 111" o:spid="_x0000_s2589" style="width:468pt;height:0.95pt;margin-top:12.65pt;margin-left:0.6pt;mso-position-horizontal-relative:margin;position:absolute;visibility:visible;z-index:-251104256" o:allowincell="f" fillcolor="black" stroked="f">
          <o:lock v:ext="edit" aspectratio="t" verticies="t" text="t" shapetype="t"/>
          <w10:wrap anchorx="margin"/>
        </v:rect>
      </w:pict>
    </w:r>
    <w:r>
      <w:rPr>
        <w:noProof/>
      </w:rPr>
      <w:pict>
        <v:rect id="Rectangle 110" o:spid="_x0000_s2590" style="width:468pt;height:0.95pt;margin-top:12.65pt;margin-left:0.6pt;mso-position-horizontal-relative:margin;position:absolute;visibility:visible;z-index:-251103232" o:allowincell="f" fillcolor="black" stroked="f">
          <o:lock v:ext="edit" aspectratio="t" verticies="t" text="t" shapetype="t"/>
          <w10:wrap anchorx="margin"/>
        </v:rect>
      </w:pict>
    </w:r>
    <w:r>
      <w:rPr>
        <w:noProof/>
      </w:rPr>
      <w:pict>
        <v:rect id="Rectangle 109" o:spid="_x0000_s2591" style="width:468pt;height:0.95pt;margin-top:12.65pt;margin-left:0.6pt;mso-position-horizontal-relative:margin;position:absolute;visibility:visible;z-index:-251102208" o:allowincell="f" fillcolor="black" stroked="f">
          <o:lock v:ext="edit" aspectratio="t" verticies="t" text="t" shapetype="t"/>
          <w10:wrap anchorx="margin"/>
        </v:rect>
      </w:pict>
    </w:r>
    <w:r>
      <w:rPr>
        <w:noProof/>
      </w:rPr>
      <w:pict>
        <v:rect id="Rectangle 108" o:spid="_x0000_s2592" style="width:468pt;height:0.95pt;margin-top:12.65pt;margin-left:0.6pt;mso-position-horizontal-relative:margin;position:absolute;visibility:visible;z-index:-251101184" o:allowincell="f" fillcolor="black" stroked="f">
          <o:lock v:ext="edit" aspectratio="t" verticies="t" text="t" shapetype="t"/>
          <w10:wrap anchorx="margin"/>
        </v:rect>
      </w:pict>
    </w:r>
    <w:r>
      <w:rPr>
        <w:noProof/>
      </w:rPr>
      <w:pict>
        <v:rect id="Rectangle 107" o:spid="_x0000_s2593" style="width:468pt;height:0.95pt;margin-top:12.65pt;margin-left:0.6pt;mso-position-horizontal-relative:margin;position:absolute;visibility:visible;z-index:-251100160" o:allowincell="f" fillcolor="black" stroked="f">
          <o:lock v:ext="edit" aspectratio="t" verticies="t" text="t" shapetype="t"/>
          <w10:wrap anchorx="margin"/>
        </v:rect>
      </w:pict>
    </w:r>
    <w:r>
      <w:rPr>
        <w:noProof/>
      </w:rPr>
      <w:pict>
        <v:rect id="Rectangle 106" o:spid="_x0000_s2594" style="width:468pt;height:0.95pt;margin-top:12.65pt;margin-left:0.6pt;mso-position-horizontal-relative:margin;position:absolute;visibility:visible;z-index:-251099136" o:allowincell="f" fillcolor="black" stroked="f">
          <o:lock v:ext="edit" aspectratio="t" verticies="t" text="t" shapetype="t"/>
          <w10:wrap anchorx="margin"/>
        </v:rect>
      </w:pict>
    </w:r>
    <w:r>
      <w:rPr>
        <w:noProof/>
      </w:rPr>
      <w:pict>
        <v:rect id="Rectangle 105" o:spid="_x0000_s2595" style="width:468pt;height:0.95pt;margin-top:12.65pt;margin-left:0.6pt;mso-position-horizontal-relative:margin;position:absolute;visibility:visible;z-index:-251098112" o:allowincell="f" fillcolor="black" stroked="f">
          <o:lock v:ext="edit" aspectratio="t" verticies="t" text="t" shapetype="t"/>
          <w10:wrap anchorx="margin"/>
        </v:rect>
      </w:pict>
    </w:r>
    <w:r>
      <w:rPr>
        <w:noProof/>
      </w:rPr>
      <w:pict>
        <v:rect id="Rectangle 104" o:spid="_x0000_s2596" style="width:468pt;height:0.95pt;margin-top:12.65pt;margin-left:0.6pt;mso-position-horizontal-relative:margin;position:absolute;visibility:visible;z-index:-251097088" o:allowincell="f" fillcolor="black" stroked="f">
          <o:lock v:ext="edit" aspectratio="t" verticies="t" text="t" shapetype="t"/>
          <w10:wrap anchorx="margin"/>
        </v:rect>
      </w:pict>
    </w:r>
    <w:r>
      <w:rPr>
        <w:noProof/>
      </w:rPr>
      <w:pict>
        <v:rect id="Rectangle 103" o:spid="_x0000_s2597" style="width:468pt;height:0.95pt;margin-top:12.65pt;margin-left:0.6pt;mso-position-horizontal-relative:margin;position:absolute;visibility:visible;z-index:-251096064" o:allowincell="f" fillcolor="black" stroked="f">
          <o:lock v:ext="edit" aspectratio="t" verticies="t" text="t" shapetype="t"/>
          <w10:wrap anchorx="margin"/>
        </v:rect>
      </w:pict>
    </w:r>
    <w:r>
      <w:rPr>
        <w:noProof/>
      </w:rPr>
      <w:pict>
        <v:rect id="Rectangle 102" o:spid="_x0000_s2598" style="width:468pt;height:0.95pt;margin-top:12.65pt;margin-left:0.6pt;mso-position-horizontal-relative:margin;position:absolute;visibility:visible;z-index:-251095040" o:allowincell="f" fillcolor="black" stroked="f">
          <o:lock v:ext="edit" aspectratio="t" verticies="t" text="t" shapetype="t"/>
          <w10:wrap anchorx="margin"/>
        </v:rect>
      </w:pict>
    </w:r>
    <w:r>
      <w:rPr>
        <w:noProof/>
      </w:rPr>
      <w:pict>
        <v:rect id="Rectangle 101" o:spid="_x0000_s2599" style="width:468pt;height:0.95pt;margin-top:12.65pt;margin-left:0.6pt;mso-position-horizontal-relative:margin;position:absolute;visibility:visible;z-index:-251094016" o:allowincell="f" fillcolor="black" stroked="f">
          <o:lock v:ext="edit" aspectratio="t" verticies="t" text="t" shapetype="t"/>
          <w10:wrap anchorx="margin"/>
        </v:rect>
      </w:pict>
    </w:r>
    <w:r>
      <w:rPr>
        <w:noProof/>
      </w:rPr>
      <w:pict>
        <v:rect id="Rectangle 100" o:spid="_x0000_s2600" style="width:468pt;height:0.95pt;margin-top:12.65pt;margin-left:0.6pt;mso-position-horizontal-relative:margin;position:absolute;visibility:visible;z-index:-251092992" o:allowincell="f" fillcolor="black" stroked="f">
          <o:lock v:ext="edit" aspectratio="t" verticies="t" text="t" shapetype="t"/>
          <w10:wrap anchorx="margin"/>
        </v:rect>
      </w:pict>
    </w:r>
    <w:r>
      <w:rPr>
        <w:noProof/>
      </w:rPr>
      <w:pict>
        <v:rect id="Rectangle 99" o:spid="_x0000_s2601" style="width:468pt;height:0.95pt;margin-top:12.65pt;margin-left:0.6pt;mso-position-horizontal-relative:margin;position:absolute;visibility:visible;z-index:-251091968" o:allowincell="f" fillcolor="black" stroked="f">
          <o:lock v:ext="edit" aspectratio="t" verticies="t" text="t" shapetype="t"/>
          <w10:wrap anchorx="margin"/>
        </v:rect>
      </w:pict>
    </w:r>
    <w:r>
      <w:rPr>
        <w:noProof/>
      </w:rPr>
      <w:pict>
        <v:rect id="Rectangle 98" o:spid="_x0000_s2602" style="width:468pt;height:0.95pt;margin-top:12.65pt;margin-left:0.6pt;mso-position-horizontal-relative:margin;position:absolute;visibility:visible;z-index:-251090944" o:allowincell="f" fillcolor="black" stroked="f">
          <o:lock v:ext="edit" aspectratio="t" verticies="t" text="t" shapetype="t"/>
          <w10:wrap anchorx="margin"/>
        </v:rect>
      </w:pict>
    </w:r>
    <w:r>
      <w:rPr>
        <w:noProof/>
      </w:rPr>
      <w:pict>
        <v:rect id="Rectangle 97" o:spid="_x0000_s2603" style="width:468pt;height:0.95pt;margin-top:12.65pt;margin-left:0.6pt;mso-position-horizontal-relative:margin;position:absolute;visibility:visible;z-index:-251089920" o:allowincell="f" fillcolor="black" stroked="f">
          <o:lock v:ext="edit" aspectratio="t" verticies="t" text="t" shapetype="t"/>
          <w10:wrap anchorx="margin"/>
        </v:rect>
      </w:pict>
    </w:r>
    <w:r>
      <w:rPr>
        <w:noProof/>
      </w:rPr>
      <w:pict>
        <v:rect id="Rectangle 96" o:spid="_x0000_s2604" style="width:468pt;height:0.95pt;margin-top:12.65pt;margin-left:0.6pt;mso-position-horizontal-relative:margin;position:absolute;visibility:visible;z-index:-251088896" o:allowincell="f" fillcolor="black" stroked="f">
          <o:lock v:ext="edit" aspectratio="t" verticies="t" text="t" shapetype="t"/>
          <w10:wrap anchorx="margin"/>
        </v:rect>
      </w:pict>
    </w:r>
    <w:r>
      <w:rPr>
        <w:noProof/>
      </w:rPr>
      <w:pict>
        <v:rect id="Rectangle 95" o:spid="_x0000_s2605" style="width:468pt;height:0.95pt;margin-top:12.65pt;margin-left:0.6pt;mso-position-horizontal-relative:margin;position:absolute;visibility:visible;z-index:-251087872" o:allowincell="f" fillcolor="black" stroked="f">
          <o:lock v:ext="edit" aspectratio="t" verticies="t" text="t" shapetype="t"/>
          <w10:wrap anchorx="margin"/>
        </v:rect>
      </w:pict>
    </w:r>
    <w:r>
      <w:rPr>
        <w:noProof/>
      </w:rPr>
      <w:pict>
        <v:rect id="Rectangle 94" o:spid="_x0000_s2606" style="width:468pt;height:0.95pt;margin-top:12.65pt;margin-left:0.6pt;mso-position-horizontal-relative:margin;position:absolute;visibility:visible;z-index:-251086848" o:allowincell="f" fillcolor="black" stroked="f">
          <o:lock v:ext="edit" aspectratio="t" verticies="t" text="t" shapetype="t"/>
          <w10:wrap anchorx="margin"/>
        </v:rect>
      </w:pict>
    </w:r>
    <w:r>
      <w:rPr>
        <w:noProof/>
      </w:rPr>
      <w:pict>
        <v:rect id="Rectangle 93" o:spid="_x0000_s2607" style="width:468pt;height:0.95pt;margin-top:12.65pt;margin-left:0.6pt;mso-position-horizontal-relative:margin;position:absolute;visibility:visible;z-index:-251085824" o:allowincell="f" fillcolor="black" stroked="f">
          <o:lock v:ext="edit" aspectratio="t" verticies="t" text="t" shapetype="t"/>
          <w10:wrap anchorx="margin"/>
        </v:rect>
      </w:pict>
    </w:r>
    <w:r>
      <w:rPr>
        <w:noProof/>
      </w:rPr>
      <w:pict>
        <v:rect id="Rectangle 92" o:spid="_x0000_s2608" style="width:468pt;height:0.95pt;margin-top:12.65pt;margin-left:0.6pt;mso-position-horizontal-relative:margin;position:absolute;visibility:visible;z-index:-251084800" o:allowincell="f" fillcolor="black" stroked="f">
          <o:lock v:ext="edit" aspectratio="t" verticies="t" text="t" shapetype="t"/>
          <w10:wrap anchorx="margin"/>
        </v:rect>
      </w:pict>
    </w:r>
    <w:r>
      <w:rPr>
        <w:noProof/>
      </w:rPr>
      <w:pict>
        <v:rect id="Rectangle 91" o:spid="_x0000_s2609" style="width:468pt;height:0.95pt;margin-top:12.65pt;margin-left:0.6pt;mso-position-horizontal-relative:margin;position:absolute;visibility:visible;z-index:-251083776" o:allowincell="f" fillcolor="black" stroked="f">
          <o:lock v:ext="edit" aspectratio="t" verticies="t" text="t" shapetype="t"/>
          <w10:wrap anchorx="margin"/>
        </v:rect>
      </w:pict>
    </w:r>
    <w:r>
      <w:rPr>
        <w:noProof/>
      </w:rPr>
      <w:pict>
        <v:rect id="Rectangle 90" o:spid="_x0000_s2610" style="width:468pt;height:0.95pt;margin-top:12.65pt;margin-left:0.6pt;mso-position-horizontal-relative:margin;position:absolute;visibility:visible;z-index:-251082752" o:allowincell="f" fillcolor="black" stroked="f">
          <o:lock v:ext="edit" aspectratio="t" verticies="t" text="t" shapetype="t"/>
          <w10:wrap anchorx="margin"/>
        </v:rect>
      </w:pict>
    </w:r>
    <w:r>
      <w:rPr>
        <w:noProof/>
      </w:rPr>
      <w:pict>
        <v:rect id="Rectangle 89" o:spid="_x0000_s2611" style="width:468pt;height:0.95pt;margin-top:12.65pt;margin-left:0.6pt;mso-position-horizontal-relative:margin;position:absolute;visibility:visible;z-index:-251081728" o:allowincell="f" fillcolor="black" stroked="f">
          <o:lock v:ext="edit" aspectratio="t" verticies="t" text="t" shapetype="t"/>
          <w10:wrap anchorx="margin"/>
        </v:rect>
      </w:pict>
    </w:r>
    <w:r>
      <w:rPr>
        <w:noProof/>
      </w:rPr>
      <w:pict>
        <v:rect id="Rectangle 88" o:spid="_x0000_s2612" style="width:468pt;height:0.95pt;margin-top:12.65pt;margin-left:0.6pt;mso-position-horizontal-relative:margin;position:absolute;visibility:visible;z-index:-251080704" o:allowincell="f" fillcolor="black" stroked="f">
          <o:lock v:ext="edit" aspectratio="t" verticies="t" text="t" shapetype="t"/>
          <w10:wrap anchorx="margin"/>
        </v:rect>
      </w:pict>
    </w:r>
    <w:r>
      <w:rPr>
        <w:noProof/>
      </w:rPr>
      <w:pict>
        <v:rect id="Rectangle 87" o:spid="_x0000_s2613" style="width:468pt;height:0.95pt;margin-top:12.65pt;margin-left:0.6pt;mso-position-horizontal-relative:margin;position:absolute;visibility:visible;z-index:-251079680" o:allowincell="f" fillcolor="black" stroked="f">
          <o:lock v:ext="edit" aspectratio="t" verticies="t" text="t" shapetype="t"/>
          <w10:wrap anchorx="margin"/>
        </v:rect>
      </w:pict>
    </w:r>
    <w:r>
      <w:rPr>
        <w:noProof/>
      </w:rPr>
      <w:pict>
        <v:rect id="Rectangle 86" o:spid="_x0000_s2614" style="width:468pt;height:0.95pt;margin-top:12.65pt;margin-left:0.6pt;mso-position-horizontal-relative:margin;position:absolute;visibility:visible;z-index:-251078656" o:allowincell="f" fillcolor="black" stroked="f">
          <o:lock v:ext="edit" aspectratio="t" verticies="t" text="t" shapetype="t"/>
          <w10:wrap anchorx="margin"/>
        </v:rect>
      </w:pict>
    </w:r>
    <w:r>
      <w:rPr>
        <w:noProof/>
      </w:rPr>
      <w:pict>
        <v:rect id="Rectangle 85" o:spid="_x0000_s2615" style="width:468pt;height:0.95pt;margin-top:12.65pt;margin-left:0.6pt;mso-position-horizontal-relative:margin;position:absolute;visibility:visible;z-index:-251077632" o:allowincell="f" fillcolor="black" stroked="f">
          <o:lock v:ext="edit" aspectratio="t" verticies="t" text="t" shapetype="t"/>
          <w10:wrap anchorx="margin"/>
        </v:rect>
      </w:pict>
    </w:r>
    <w:r>
      <w:rPr>
        <w:noProof/>
      </w:rPr>
      <w:pict>
        <v:rect id="Rectangle 84" o:spid="_x0000_s2616" style="width:468pt;height:0.95pt;margin-top:12.65pt;margin-left:0.6pt;mso-position-horizontal-relative:margin;position:absolute;visibility:visible;z-index:-251076608" o:allowincell="f" fillcolor="black" stroked="f">
          <o:lock v:ext="edit" aspectratio="t" verticies="t" text="t" shapetype="t"/>
          <w10:wrap anchorx="margin"/>
        </v:rect>
      </w:pict>
    </w:r>
    <w:r>
      <w:rPr>
        <w:noProof/>
      </w:rPr>
      <w:pict>
        <v:rect id="Rectangle 83" o:spid="_x0000_s2617" style="width:468pt;height:0.95pt;margin-top:12.65pt;margin-left:0.6pt;mso-position-horizontal-relative:margin;position:absolute;visibility:visible;z-index:-251075584" o:allowincell="f" fillcolor="black" stroked="f">
          <o:lock v:ext="edit" aspectratio="t" verticies="t" text="t" shapetype="t"/>
          <w10:wrap anchorx="margin"/>
        </v:rect>
      </w:pict>
    </w:r>
    <w:r>
      <w:rPr>
        <w:noProof/>
      </w:rPr>
      <w:pict>
        <v:rect id="Rectangle 82" o:spid="_x0000_s2618" style="width:468pt;height:0.95pt;margin-top:12.65pt;margin-left:0.6pt;mso-position-horizontal-relative:margin;position:absolute;visibility:visible;z-index:-251074560" o:allowincell="f" fillcolor="black" stroked="f">
          <o:lock v:ext="edit" aspectratio="t" verticies="t" text="t" shapetype="t"/>
          <w10:wrap anchorx="margin"/>
        </v:rect>
      </w:pict>
    </w:r>
    <w:r>
      <w:rPr>
        <w:noProof/>
      </w:rPr>
      <w:pict>
        <v:rect id="Rectangle 81" o:spid="_x0000_s2619" style="width:468pt;height:0.95pt;margin-top:12.65pt;margin-left:0.6pt;mso-position-horizontal-relative:margin;position:absolute;visibility:visible;z-index:-251073536" o:allowincell="f" fillcolor="black" stroked="f">
          <o:lock v:ext="edit" aspectratio="t" verticies="t" text="t" shapetype="t"/>
          <w10:wrap anchorx="margin"/>
        </v:rect>
      </w:pict>
    </w:r>
    <w:r>
      <w:rPr>
        <w:noProof/>
      </w:rPr>
      <w:pict>
        <v:rect id="Rectangle 80" o:spid="_x0000_s2620" style="width:468pt;height:0.95pt;margin-top:12.65pt;margin-left:0.6pt;mso-position-horizontal-relative:margin;position:absolute;visibility:visible;z-index:-251072512" o:allowincell="f" fillcolor="black" stroked="f">
          <o:lock v:ext="edit" aspectratio="t" verticies="t" text="t" shapetype="t"/>
          <w10:wrap anchorx="margin"/>
        </v:rect>
      </w:pict>
    </w:r>
    <w:r>
      <w:rPr>
        <w:noProof/>
      </w:rPr>
      <w:pict>
        <v:rect id="Rectangle 79" o:spid="_x0000_s2621" style="width:468pt;height:0.95pt;margin-top:12.65pt;margin-left:0.6pt;mso-position-horizontal-relative:margin;position:absolute;visibility:visible;z-index:-251071488" o:allowincell="f" fillcolor="black" stroked="f">
          <o:lock v:ext="edit" aspectratio="t" verticies="t" text="t" shapetype="t"/>
          <w10:wrap anchorx="margin"/>
        </v:rect>
      </w:pict>
    </w:r>
    <w:r>
      <w:rPr>
        <w:noProof/>
      </w:rPr>
      <w:pict>
        <v:rect id="Rectangle 78" o:spid="_x0000_s2622" style="width:468pt;height:0.95pt;margin-top:12.65pt;margin-left:0.6pt;mso-position-horizontal-relative:margin;position:absolute;visibility:visible;z-index:-251070464" o:allowincell="f" fillcolor="black" stroked="f">
          <o:lock v:ext="edit" aspectratio="t" verticies="t" text="t" shapetype="t"/>
          <w10:wrap anchorx="margin"/>
        </v:rect>
      </w:pict>
    </w:r>
    <w:r>
      <w:rPr>
        <w:noProof/>
      </w:rPr>
      <w:pict>
        <v:rect id="Rectangle 77" o:spid="_x0000_s2623" style="width:468pt;height:0.95pt;margin-top:12.65pt;margin-left:0.6pt;mso-position-horizontal-relative:margin;position:absolute;visibility:visible;z-index:-251069440" o:allowincell="f" fillcolor="black" stroked="f">
          <o:lock v:ext="edit" aspectratio="t" verticies="t" text="t" shapetype="t"/>
          <w10:wrap anchorx="margin"/>
        </v:rect>
      </w:pict>
    </w:r>
    <w:r>
      <w:rPr>
        <w:noProof/>
      </w:rPr>
      <w:pict>
        <v:rect id="Rectangle 76" o:spid="_x0000_s2624" style="width:468pt;height:0.95pt;margin-top:12.65pt;margin-left:0.6pt;mso-position-horizontal-relative:margin;position:absolute;visibility:visible;z-index:-251068416" o:allowincell="f" fillcolor="black" stroked="f">
          <o:lock v:ext="edit" aspectratio="t" verticies="t" text="t" shapetype="t"/>
          <w10:wrap anchorx="margin"/>
        </v:rect>
      </w:pict>
    </w:r>
    <w:r>
      <w:rPr>
        <w:noProof/>
      </w:rPr>
      <w:pict>
        <v:rect id="Rectangle 75" o:spid="_x0000_s2625" style="width:468pt;height:0.95pt;margin-top:12.65pt;margin-left:0.6pt;mso-position-horizontal-relative:margin;position:absolute;visibility:visible;z-index:-251067392" o:allowincell="f" fillcolor="black" stroked="f">
          <o:lock v:ext="edit" aspectratio="t" verticies="t" text="t" shapetype="t"/>
          <w10:wrap anchorx="margin"/>
        </v:rect>
      </w:pict>
    </w:r>
    <w:r>
      <w:rPr>
        <w:noProof/>
      </w:rPr>
      <w:pict>
        <v:rect id="Rectangle 74" o:spid="_x0000_s2626" style="width:468pt;height:0.95pt;margin-top:12.65pt;margin-left:0.6pt;mso-position-horizontal-relative:margin;position:absolute;visibility:visible;z-index:-251066368" o:allowincell="f" fillcolor="black" stroked="f">
          <o:lock v:ext="edit" aspectratio="t" verticies="t" text="t" shapetype="t"/>
          <w10:wrap anchorx="margin"/>
        </v:rect>
      </w:pict>
    </w:r>
    <w:r>
      <w:rPr>
        <w:noProof/>
      </w:rPr>
      <w:pict>
        <v:rect id="Rectangle 73" o:spid="_x0000_s2627" style="width:468pt;height:0.95pt;margin-top:12.65pt;margin-left:0.6pt;mso-position-horizontal-relative:margin;position:absolute;visibility:visible;z-index:-251065344" o:allowincell="f" fillcolor="black" stroked="f">
          <o:lock v:ext="edit" aspectratio="t" verticies="t" text="t" shapetype="t"/>
          <w10:wrap anchorx="margin"/>
        </v:rect>
      </w:pict>
    </w:r>
    <w:r>
      <w:rPr>
        <w:noProof/>
      </w:rPr>
      <w:pict>
        <v:rect id="Rectangle 72" o:spid="_x0000_s2628" style="width:468pt;height:0.95pt;margin-top:12.65pt;margin-left:0.6pt;mso-position-horizontal-relative:margin;position:absolute;visibility:visible;z-index:-251064320" o:allowincell="f" fillcolor="black" stroked="f">
          <o:lock v:ext="edit" aspectratio="t" verticies="t" text="t" shapetype="t"/>
          <w10:wrap anchorx="margin"/>
        </v:rect>
      </w:pict>
    </w:r>
    <w:r>
      <w:rPr>
        <w:noProof/>
      </w:rPr>
      <w:pict>
        <v:rect id="Rectangle 71" o:spid="_x0000_s2629" style="width:468pt;height:0.95pt;margin-top:12.65pt;margin-left:0.6pt;mso-position-horizontal-relative:margin;position:absolute;visibility:visible;z-index:-251063296" o:allowincell="f" fillcolor="black" stroked="f">
          <o:lock v:ext="edit" aspectratio="t" verticies="t" text="t" shapetype="t"/>
          <w10:wrap anchorx="margin"/>
        </v:rect>
      </w:pict>
    </w:r>
    <w:r>
      <w:rPr>
        <w:noProof/>
      </w:rPr>
      <w:pict>
        <v:rect id="Rectangle 70" o:spid="_x0000_s2630" style="width:468pt;height:0.95pt;margin-top:12.65pt;margin-left:0.6pt;mso-position-horizontal-relative:margin;position:absolute;visibility:visible;z-index:-251062272" o:allowincell="f" fillcolor="black" stroked="f">
          <o:lock v:ext="edit" aspectratio="t" verticies="t" text="t" shapetype="t"/>
          <w10:wrap anchorx="margin"/>
        </v:rect>
      </w:pict>
    </w:r>
    <w:r>
      <w:rPr>
        <w:noProof/>
      </w:rPr>
      <w:pict>
        <v:rect id="Rectangle 69" o:spid="_x0000_s2631" style="width:468pt;height:0.95pt;margin-top:12.65pt;margin-left:0.6pt;mso-position-horizontal-relative:margin;position:absolute;visibility:visible;z-index:-251061248" o:allowincell="f" fillcolor="black" stroked="f">
          <o:lock v:ext="edit" aspectratio="t" verticies="t" text="t" shapetype="t"/>
          <w10:wrap anchorx="margin"/>
        </v:rect>
      </w:pict>
    </w:r>
    <w:r>
      <w:rPr>
        <w:noProof/>
      </w:rPr>
      <w:pict>
        <v:rect id="Rectangle 68" o:spid="_x0000_s2632" style="width:468pt;height:0.95pt;margin-top:12.65pt;margin-left:0.6pt;mso-position-horizontal-relative:margin;position:absolute;visibility:visible;z-index:-251060224" o:allowincell="f" fillcolor="black" stroked="f">
          <o:lock v:ext="edit" aspectratio="t" verticies="t" text="t" shapetype="t"/>
          <w10:wrap anchorx="margin"/>
        </v:rect>
      </w:pict>
    </w:r>
    <w:r>
      <w:rPr>
        <w:noProof/>
      </w:rPr>
      <w:pict>
        <v:rect id="Rectangle 67" o:spid="_x0000_s2633" style="width:468pt;height:0.95pt;margin-top:12.65pt;margin-left:0.6pt;mso-position-horizontal-relative:margin;position:absolute;visibility:visible;z-index:-251059200" o:allowincell="f" fillcolor="black" stroked="f">
          <o:lock v:ext="edit" aspectratio="t" verticies="t" text="t" shapetype="t"/>
          <w10:wrap anchorx="margin"/>
        </v:rect>
      </w:pict>
    </w:r>
    <w:r>
      <w:rPr>
        <w:noProof/>
      </w:rPr>
      <w:pict>
        <v:rect id="Rectangle 66" o:spid="_x0000_s2634" style="width:468pt;height:0.95pt;margin-top:12.65pt;margin-left:0.6pt;mso-position-horizontal-relative:margin;position:absolute;visibility:visible;z-index:-251058176" o:allowincell="f" fillcolor="black" stroked="f">
          <o:lock v:ext="edit" aspectratio="t" verticies="t" text="t" shapetype="t"/>
          <w10:wrap anchorx="margin"/>
        </v:rect>
      </w:pict>
    </w:r>
    <w:r>
      <w:rPr>
        <w:noProof/>
      </w:rPr>
      <w:pict>
        <v:rect id="Rectangle 65" o:spid="_x0000_s2635" style="width:468pt;height:0.95pt;margin-top:12.65pt;margin-left:0.6pt;mso-position-horizontal-relative:margin;position:absolute;visibility:visible;z-index:-251057152" o:allowincell="f" fillcolor="black" stroked="f">
          <o:lock v:ext="edit" aspectratio="t" verticies="t" text="t" shapetype="t"/>
          <w10:wrap anchorx="margin"/>
        </v:rect>
      </w:pict>
    </w:r>
    <w:r>
      <w:rPr>
        <w:noProof/>
      </w:rPr>
      <w:pict>
        <v:rect id="Rectangle 64" o:spid="_x0000_s2636" style="width:468pt;height:0.95pt;margin-top:12.65pt;margin-left:0.6pt;mso-position-horizontal-relative:margin;position:absolute;visibility:visible;z-index:-251056128" o:allowincell="f" fillcolor="black" stroked="f">
          <o:lock v:ext="edit" aspectratio="t" verticies="t" text="t" shapetype="t"/>
          <w10:wrap anchorx="margin"/>
        </v:rect>
      </w:pict>
    </w:r>
    <w:r>
      <w:rPr>
        <w:noProof/>
      </w:rPr>
      <w:pict>
        <v:rect id="Rectangle 63" o:spid="_x0000_s2637" style="width:468pt;height:0.95pt;margin-top:12.65pt;margin-left:0.6pt;mso-position-horizontal-relative:margin;position:absolute;visibility:visible;z-index:-251055104" o:allowincell="f" fillcolor="black" stroked="f">
          <o:lock v:ext="edit" aspectratio="t" verticies="t" text="t" shapetype="t"/>
          <w10:wrap anchorx="margin"/>
        </v:rect>
      </w:pict>
    </w:r>
    <w:r>
      <w:rPr>
        <w:noProof/>
      </w:rPr>
      <w:pict>
        <v:rect id="Rectangle 62" o:spid="_x0000_s2638" style="width:468pt;height:0.95pt;margin-top:12.65pt;margin-left:0.6pt;mso-position-horizontal-relative:margin;position:absolute;visibility:visible;z-index:-251054080" o:allowincell="f" fillcolor="black" stroked="f">
          <o:lock v:ext="edit" aspectratio="t" verticies="t" text="t" shapetype="t"/>
          <w10:wrap anchorx="margin"/>
        </v:rect>
      </w:pict>
    </w:r>
    <w:r>
      <w:rPr>
        <w:noProof/>
      </w:rPr>
      <w:pict>
        <v:rect id="Rectangle 61" o:spid="_x0000_s2639" style="width:468pt;height:0.95pt;margin-top:12.65pt;margin-left:0.6pt;mso-position-horizontal-relative:margin;position:absolute;visibility:visible;z-index:-251053056" o:allowincell="f" fillcolor="black" stroked="f">
          <o:lock v:ext="edit" aspectratio="t" verticies="t" text="t" shapetype="t"/>
          <w10:wrap anchorx="margin"/>
        </v:rect>
      </w:pict>
    </w:r>
    <w:r>
      <w:rPr>
        <w:noProof/>
      </w:rPr>
      <w:pict>
        <v:rect id="Rectangle 60" o:spid="_x0000_s2640" style="width:468pt;height:0.95pt;margin-top:12.65pt;margin-left:0.6pt;mso-position-horizontal-relative:margin;position:absolute;visibility:visible;z-index:-251052032" o:allowincell="f" fillcolor="black" stroked="f">
          <o:lock v:ext="edit" aspectratio="t" verticies="t" text="t" shapetype="t"/>
          <w10:wrap anchorx="margin"/>
        </v:rect>
      </w:pict>
    </w:r>
    <w:r>
      <w:rPr>
        <w:noProof/>
      </w:rPr>
      <w:pict>
        <v:rect id="Rectangle 59" o:spid="_x0000_s2641" style="width:468pt;height:0.95pt;margin-top:12.65pt;margin-left:0.6pt;mso-position-horizontal-relative:margin;position:absolute;visibility:visible;z-index:-251051008" o:allowincell="f" fillcolor="black" stroked="f">
          <o:lock v:ext="edit" aspectratio="t" verticies="t" text="t" shapetype="t"/>
          <w10:wrap anchorx="margin"/>
        </v:rect>
      </w:pict>
    </w:r>
    <w:r>
      <w:rPr>
        <w:noProof/>
      </w:rPr>
      <w:pict>
        <v:rect id="Rectangle 58" o:spid="_x0000_s2642" style="width:468pt;height:0.95pt;margin-top:12.65pt;margin-left:0.6pt;mso-position-horizontal-relative:margin;position:absolute;visibility:visible;z-index:-251049984" o:allowincell="f" fillcolor="black" stroked="f">
          <o:lock v:ext="edit" aspectratio="t" verticies="t" text="t" shapetype="t"/>
          <w10:wrap anchorx="margin"/>
        </v:rect>
      </w:pict>
    </w:r>
    <w:r>
      <w:rPr>
        <w:noProof/>
      </w:rPr>
      <w:pict>
        <v:rect id="Rectangle 57" o:spid="_x0000_s2643" style="width:468pt;height:0.95pt;margin-top:12.65pt;margin-left:0.6pt;mso-position-horizontal-relative:margin;position:absolute;visibility:visible;z-index:-251048960" o:allowincell="f" fillcolor="black" stroked="f">
          <o:lock v:ext="edit" aspectratio="t" verticies="t" text="t" shapetype="t"/>
          <w10:wrap anchorx="margin"/>
        </v:rect>
      </w:pict>
    </w:r>
    <w:r>
      <w:rPr>
        <w:noProof/>
      </w:rPr>
      <w:pict>
        <v:rect id="Rectangle 56" o:spid="_x0000_s2644" style="width:468pt;height:0.95pt;margin-top:12.65pt;margin-left:0.6pt;mso-position-horizontal-relative:margin;position:absolute;visibility:visible;z-index:-251047936" o:allowincell="f" fillcolor="black" stroked="f">
          <o:lock v:ext="edit" aspectratio="t" verticies="t" text="t" shapetype="t"/>
          <w10:wrap anchorx="margin"/>
        </v:rect>
      </w:pict>
    </w:r>
    <w:r>
      <w:rPr>
        <w:noProof/>
      </w:rPr>
      <w:pict>
        <v:rect id="Rectangle 55" o:spid="_x0000_s2645" style="width:468pt;height:0.95pt;margin-top:12.65pt;margin-left:0.6pt;mso-position-horizontal-relative:margin;position:absolute;visibility:visible;z-index:-251046912" o:allowincell="f" fillcolor="black" stroked="f">
          <o:lock v:ext="edit" aspectratio="t" verticies="t" text="t" shapetype="t"/>
          <w10:wrap anchorx="margin"/>
        </v:rect>
      </w:pict>
    </w:r>
    <w:r>
      <w:rPr>
        <w:noProof/>
      </w:rPr>
      <w:pict>
        <v:rect id="Rectangle 54" o:spid="_x0000_s2646" style="width:468pt;height:0.95pt;margin-top:12.65pt;margin-left:0.6pt;mso-position-horizontal-relative:margin;position:absolute;visibility:visible;z-index:-251045888" o:allowincell="f" fillcolor="black" stroked="f">
          <o:lock v:ext="edit" aspectratio="t" verticies="t" text="t" shapetype="t"/>
          <w10:wrap anchorx="margin"/>
        </v:rect>
      </w:pict>
    </w:r>
    <w:r>
      <w:rPr>
        <w:noProof/>
      </w:rPr>
      <w:pict>
        <v:rect id="Rectangle 53" o:spid="_x0000_s2647" style="width:468pt;height:0.95pt;margin-top:12.65pt;margin-left:0.6pt;mso-position-horizontal-relative:margin;position:absolute;visibility:visible;z-index:-251044864" o:allowincell="f" fillcolor="black" stroked="f">
          <o:lock v:ext="edit" aspectratio="t" verticies="t" text="t" shapetype="t"/>
          <w10:wrap anchorx="margin"/>
        </v:rect>
      </w:pict>
    </w:r>
    <w:r>
      <w:rPr>
        <w:noProof/>
      </w:rPr>
      <w:pict>
        <v:rect id="Rectangle 52" o:spid="_x0000_s2648" style="width:468pt;height:0.95pt;margin-top:12.65pt;margin-left:0.6pt;mso-position-horizontal-relative:margin;position:absolute;visibility:visible;z-index:-251043840" o:allowincell="f" fillcolor="black" stroked="f">
          <o:lock v:ext="edit" aspectratio="t" verticies="t" text="t" shapetype="t"/>
          <w10:wrap anchorx="margin"/>
        </v:rect>
      </w:pict>
    </w:r>
    <w:r>
      <w:rPr>
        <w:noProof/>
      </w:rPr>
      <w:pict>
        <v:rect id="Rectangle 51" o:spid="_x0000_s2649" style="width:468pt;height:0.95pt;margin-top:12.65pt;margin-left:0.6pt;mso-position-horizontal-relative:margin;position:absolute;visibility:visible;z-index:-251042816" o:allowincell="f" fillcolor="black" stroked="f">
          <o:lock v:ext="edit" aspectratio="t" verticies="t" text="t" shapetype="t"/>
          <w10:wrap anchorx="margin"/>
        </v:rect>
      </w:pict>
    </w:r>
    <w:r>
      <w:rPr>
        <w:noProof/>
      </w:rPr>
      <w:pict>
        <v:rect id="Rectangle 50" o:spid="_x0000_s2650" style="width:468pt;height:0.95pt;margin-top:12.65pt;margin-left:0.6pt;mso-position-horizontal-relative:margin;position:absolute;visibility:visible;z-index:-251041792" o:allowincell="f" fillcolor="black" stroked="f">
          <o:lock v:ext="edit" aspectratio="t" verticies="t" text="t" shapetype="t"/>
          <w10:wrap anchorx="margin"/>
        </v:rect>
      </w:pict>
    </w:r>
    <w:r>
      <w:rPr>
        <w:noProof/>
      </w:rPr>
      <w:pict>
        <v:rect id="Rectangle 49" o:spid="_x0000_s2651" style="width:468pt;height:0.95pt;margin-top:12.65pt;margin-left:0.6pt;mso-position-horizontal-relative:margin;position:absolute;visibility:visible;z-index:-251040768" o:allowincell="f" fillcolor="black" stroked="f">
          <o:lock v:ext="edit" aspectratio="t" verticies="t" text="t" shapetype="t"/>
          <w10:wrap anchorx="margin"/>
        </v:rect>
      </w:pict>
    </w:r>
    <w:r>
      <w:rPr>
        <w:noProof/>
      </w:rPr>
      <w:pict>
        <v:rect id="Rectangle 48" o:spid="_x0000_s2652" style="width:468pt;height:0.95pt;margin-top:12.65pt;margin-left:0.6pt;mso-position-horizontal-relative:margin;position:absolute;visibility:visible;z-index:-251039744" o:allowincell="f" fillcolor="black" stroked="f">
          <o:lock v:ext="edit" aspectratio="t" verticies="t" text="t" shapetype="t"/>
          <w10:wrap anchorx="margin"/>
        </v:rect>
      </w:pict>
    </w:r>
    <w:r>
      <w:rPr>
        <w:noProof/>
      </w:rPr>
      <w:pict>
        <v:rect id="Rectangle 47" o:spid="_x0000_s2653" style="width:468pt;height:0.95pt;margin-top:12.65pt;margin-left:0.6pt;mso-position-horizontal-relative:margin;position:absolute;visibility:visible;z-index:-251038720" o:allowincell="f" fillcolor="black" stroked="f">
          <o:lock v:ext="edit" aspectratio="t" verticies="t" text="t" shapetype="t"/>
          <w10:wrap anchorx="margin"/>
        </v:rect>
      </w:pict>
    </w:r>
    <w:r>
      <w:rPr>
        <w:noProof/>
      </w:rPr>
      <w:pict>
        <v:rect id="Rectangle 46" o:spid="_x0000_s2654" style="width:468pt;height:0.95pt;margin-top:12.65pt;margin-left:0.6pt;mso-position-horizontal-relative:margin;position:absolute;visibility:visible;z-index:-251037696" o:allowincell="f" fillcolor="black" stroked="f">
          <o:lock v:ext="edit" aspectratio="t" verticies="t" text="t" shapetype="t"/>
          <w10:wrap anchorx="margin"/>
        </v:rect>
      </w:pict>
    </w:r>
    <w:r>
      <w:rPr>
        <w:noProof/>
      </w:rPr>
      <w:pict>
        <v:rect id="Rectangle 45" o:spid="_x0000_s2655" style="width:468pt;height:0.95pt;margin-top:12.65pt;margin-left:0.6pt;mso-position-horizontal-relative:margin;position:absolute;visibility:visible;z-index:-251036672" o:allowincell="f" fillcolor="black" stroked="f">
          <o:lock v:ext="edit" aspectratio="t" verticies="t" text="t" shapetype="t"/>
          <w10:wrap anchorx="margin"/>
        </v:rect>
      </w:pict>
    </w:r>
    <w:r>
      <w:rPr>
        <w:noProof/>
      </w:rPr>
      <w:pict>
        <v:rect id="Rectangle 44" o:spid="_x0000_s2656" style="width:468pt;height:0.95pt;margin-top:12.65pt;margin-left:0.6pt;mso-position-horizontal-relative:margin;position:absolute;visibility:visible;z-index:-251035648" o:allowincell="f" fillcolor="black" stroked="f">
          <o:lock v:ext="edit" aspectratio="t" verticies="t" text="t" shapetype="t"/>
          <w10:wrap anchorx="margin"/>
        </v:rect>
      </w:pict>
    </w:r>
    <w:r>
      <w:rPr>
        <w:noProof/>
      </w:rPr>
      <w:pict>
        <v:rect id="Rectangle 43" o:spid="_x0000_s2657" style="width:468pt;height:0.95pt;margin-top:12.65pt;margin-left:0.6pt;mso-position-horizontal-relative:margin;position:absolute;visibility:visible;z-index:-251034624" o:allowincell="f" fillcolor="black" stroked="f">
          <o:lock v:ext="edit" aspectratio="t" verticies="t" text="t" shapetype="t"/>
          <w10:wrap anchorx="margin"/>
        </v:rect>
      </w:pict>
    </w:r>
    <w:r>
      <w:rPr>
        <w:noProof/>
      </w:rPr>
      <w:pict>
        <v:rect id="Rectangle 42" o:spid="_x0000_s2658" style="width:468pt;height:0.95pt;margin-top:12.65pt;margin-left:0.6pt;mso-position-horizontal-relative:margin;position:absolute;visibility:visible;z-index:-251033600" o:allowincell="f" fillcolor="black" stroked="f">
          <o:lock v:ext="edit" aspectratio="t" verticies="t" text="t" shapetype="t"/>
          <w10:wrap anchorx="margin"/>
        </v:rect>
      </w:pict>
    </w:r>
    <w:r>
      <w:rPr>
        <w:noProof/>
      </w:rPr>
      <w:pict>
        <v:rect id="Rectangle 41" o:spid="_x0000_s2659" style="width:468pt;height:0.95pt;margin-top:12.65pt;margin-left:0.6pt;mso-position-horizontal-relative:margin;position:absolute;visibility:visible;z-index:-251032576" o:allowincell="f" fillcolor="black" stroked="f">
          <o:lock v:ext="edit" aspectratio="t" verticies="t" text="t" shapetype="t"/>
          <w10:wrap anchorx="margin"/>
        </v:rect>
      </w:pict>
    </w:r>
    <w:r>
      <w:rPr>
        <w:noProof/>
      </w:rPr>
      <w:pict>
        <v:rect id="Rectangle 40" o:spid="_x0000_s2660" style="width:468pt;height:0.95pt;margin-top:12.65pt;margin-left:0.6pt;mso-position-horizontal-relative:margin;position:absolute;visibility:visible;z-index:-251031552" o:allowincell="f" fillcolor="black" stroked="f">
          <o:lock v:ext="edit" aspectratio="t" verticies="t" text="t" shapetype="t"/>
          <w10:wrap anchorx="margin"/>
        </v:rect>
      </w:pict>
    </w:r>
    <w:r>
      <w:rPr>
        <w:noProof/>
      </w:rPr>
      <w:pict>
        <v:rect id="Rectangle 39" o:spid="_x0000_s2661" style="width:468pt;height:0.95pt;margin-top:12.65pt;margin-left:0.6pt;mso-position-horizontal-relative:margin;position:absolute;visibility:visible;z-index:-251030528" o:allowincell="f" fillcolor="black" stroked="f">
          <o:lock v:ext="edit" aspectratio="t" verticies="t" text="t" shapetype="t"/>
          <w10:wrap anchorx="margin"/>
        </v:rect>
      </w:pict>
    </w:r>
    <w:r>
      <w:rPr>
        <w:noProof/>
      </w:rPr>
      <w:pict>
        <v:rect id="Rectangle 38" o:spid="_x0000_s2662" style="width:468pt;height:0.95pt;margin-top:12.65pt;margin-left:0.6pt;mso-position-horizontal-relative:margin;position:absolute;visibility:visible;z-index:-251029504" o:allowincell="f" fillcolor="black" stroked="f">
          <o:lock v:ext="edit" aspectratio="t" verticies="t" text="t" shapetype="t"/>
          <w10:wrap anchorx="margin"/>
        </v:rect>
      </w:pict>
    </w:r>
    <w:r>
      <w:rPr>
        <w:noProof/>
      </w:rPr>
      <w:pict>
        <v:rect id="Rectangle 37" o:spid="_x0000_s2663" style="width:468pt;height:0.95pt;margin-top:12.65pt;margin-left:0.6pt;mso-position-horizontal-relative:margin;position:absolute;visibility:visible;z-index:-251028480" o:allowincell="f" fillcolor="black" stroked="f">
          <o:lock v:ext="edit" aspectratio="t" verticies="t" text="t" shapetype="t"/>
          <w10:wrap anchorx="margin"/>
        </v:rect>
      </w:pict>
    </w:r>
    <w:r>
      <w:rPr>
        <w:noProof/>
      </w:rPr>
      <w:pict>
        <v:rect id="Rectangle 36" o:spid="_x0000_s2664" style="width:468pt;height:0.95pt;margin-top:12.65pt;margin-left:0.6pt;mso-position-horizontal-relative:margin;position:absolute;visibility:visible;z-index:-251027456" o:allowincell="f" fillcolor="black" stroked="f">
          <o:lock v:ext="edit" aspectratio="t" verticies="t" text="t" shapetype="t"/>
          <w10:wrap anchorx="margin"/>
        </v:rect>
      </w:pict>
    </w:r>
    <w:r>
      <w:rPr>
        <w:noProof/>
      </w:rPr>
      <w:pict>
        <v:rect id="Rectangle 35" o:spid="_x0000_s2665" style="width:468pt;height:0.95pt;margin-top:12.65pt;margin-left:0.6pt;mso-position-horizontal-relative:margin;position:absolute;visibility:visible;z-index:-251026432" o:allowincell="f" fillcolor="black" stroked="f">
          <o:lock v:ext="edit" aspectratio="t" verticies="t" text="t" shapetype="t"/>
          <w10:wrap anchorx="margin"/>
        </v:rect>
      </w:pict>
    </w:r>
    <w:r>
      <w:rPr>
        <w:noProof/>
      </w:rPr>
      <w:pict>
        <v:rect id="Rectangle 34" o:spid="_x0000_s2666" style="width:468pt;height:0.95pt;margin-top:12.65pt;margin-left:0.6pt;mso-position-horizontal-relative:margin;position:absolute;visibility:visible;z-index:-251025408" o:allowincell="f" fillcolor="black" stroked="f">
          <o:lock v:ext="edit" aspectratio="t" verticies="t" text="t" shapetype="t"/>
          <w10:wrap anchorx="margin"/>
        </v:rect>
      </w:pict>
    </w:r>
    <w:r>
      <w:rPr>
        <w:noProof/>
      </w:rPr>
      <w:pict>
        <v:rect id="Rectangle 33" o:spid="_x0000_s2667" style="width:468pt;height:0.95pt;margin-top:12.65pt;margin-left:0.6pt;mso-position-horizontal-relative:margin;position:absolute;visibility:visible;z-index:-251024384" o:allowincell="f" fillcolor="black" stroked="f">
          <o:lock v:ext="edit" aspectratio="t" verticies="t" text="t" shapetype="t"/>
          <w10:wrap anchorx="margin"/>
        </v:rect>
      </w:pict>
    </w:r>
    <w:r>
      <w:rPr>
        <w:noProof/>
      </w:rPr>
      <w:pict>
        <v:rect id="Rectangle 32" o:spid="_x0000_s2668" style="width:468pt;height:0.95pt;margin-top:12.65pt;margin-left:0.6pt;mso-position-horizontal-relative:margin;position:absolute;visibility:visible;z-index:-251023360" o:allowincell="f" fillcolor="black" stroked="f">
          <o:lock v:ext="edit" aspectratio="t" verticies="t" text="t" shapetype="t"/>
          <w10:wrap anchorx="margin"/>
        </v:rect>
      </w:pict>
    </w:r>
    <w:r>
      <w:rPr>
        <w:noProof/>
      </w:rPr>
      <w:pict>
        <v:rect id="Rectangle 31" o:spid="_x0000_s2669" style="width:468pt;height:0.95pt;margin-top:12.65pt;margin-left:0.6pt;mso-position-horizontal-relative:margin;position:absolute;visibility:visible;z-index:-251022336" o:allowincell="f" fillcolor="black" stroked="f">
          <o:lock v:ext="edit" aspectratio="t" verticies="t" text="t" shapetype="t"/>
          <w10:wrap anchorx="margin"/>
        </v:rect>
      </w:pict>
    </w:r>
    <w:r>
      <w:rPr>
        <w:noProof/>
      </w:rPr>
      <w:pict>
        <v:rect id="Rectangle 30" o:spid="_x0000_s2670" style="width:468pt;height:0.95pt;margin-top:12.65pt;margin-left:0.6pt;mso-position-horizontal-relative:margin;position:absolute;visibility:visible;z-index:-251021312" o:allowincell="f" fillcolor="black" stroked="f">
          <o:lock v:ext="edit" aspectratio="t" verticies="t" text="t" shapetype="t"/>
          <w10:wrap anchorx="margin"/>
        </v:rect>
      </w:pict>
    </w:r>
    <w:r>
      <w:rPr>
        <w:noProof/>
      </w:rPr>
      <w:pict>
        <v:rect id="Rectangle 29" o:spid="_x0000_s2671" style="width:468pt;height:0.95pt;margin-top:12.65pt;margin-left:0.6pt;mso-position-horizontal-relative:margin;position:absolute;visibility:visible;z-index:-251020288" o:allowincell="f" fillcolor="black" stroked="f">
          <o:lock v:ext="edit" aspectratio="t" verticies="t" text="t" shapetype="t"/>
          <w10:wrap anchorx="margin"/>
        </v:rect>
      </w:pict>
    </w:r>
    <w:r>
      <w:rPr>
        <w:noProof/>
      </w:rPr>
      <w:pict>
        <v:rect id="Rectangle 28" o:spid="_x0000_s2672" style="width:468pt;height:0.95pt;margin-top:12.65pt;margin-left:0.6pt;mso-position-horizontal-relative:margin;position:absolute;visibility:visible;z-index:-251019264" o:allowincell="f" fillcolor="black" stroked="f">
          <o:lock v:ext="edit" aspectratio="t" verticies="t" text="t" shapetype="t"/>
          <w10:wrap anchorx="margin"/>
        </v:rect>
      </w:pict>
    </w:r>
    <w:r>
      <w:rPr>
        <w:noProof/>
      </w:rPr>
      <w:pict>
        <v:rect id="Rectangle 27" o:spid="_x0000_s2673" style="width:468pt;height:0.95pt;margin-top:12.65pt;margin-left:0.6pt;mso-position-horizontal-relative:margin;position:absolute;visibility:visible;z-index:-251018240" o:allowincell="f" fillcolor="black" stroked="f">
          <o:lock v:ext="edit" aspectratio="t" verticies="t" text="t" shapetype="t"/>
          <w10:wrap anchorx="margin"/>
        </v:rect>
      </w:pict>
    </w:r>
    <w:r>
      <w:rPr>
        <w:noProof/>
      </w:rPr>
      <w:pict>
        <v:rect id="Rectangle 26" o:spid="_x0000_s2674" style="width:468pt;height:0.95pt;margin-top:12.65pt;margin-left:0.6pt;mso-position-horizontal-relative:margin;position:absolute;visibility:visible;z-index:-251017216" o:allowincell="f" fillcolor="black" stroked="f">
          <o:lock v:ext="edit" aspectratio="t" verticies="t" text="t" shapetype="t"/>
          <w10:wrap anchorx="margin"/>
        </v:rect>
      </w:pict>
    </w:r>
    <w:r>
      <w:rPr>
        <w:noProof/>
      </w:rPr>
      <w:pict>
        <v:rect id="Rectangle 25" o:spid="_x0000_s2675" style="width:468pt;height:0.95pt;margin-top:12.65pt;margin-left:0.6pt;mso-position-horizontal-relative:margin;position:absolute;visibility:visible;z-index:-251016192" o:allowincell="f" fillcolor="black" stroked="f">
          <o:lock v:ext="edit" aspectratio="t" verticies="t" text="t" shapetype="t"/>
          <w10:wrap anchorx="margin"/>
        </v:rect>
      </w:pict>
    </w:r>
    <w:r>
      <w:rPr>
        <w:noProof/>
      </w:rPr>
      <w:pict>
        <v:rect id="Rectangle 24" o:spid="_x0000_s2676" style="width:468pt;height:0.95pt;margin-top:12.65pt;margin-left:0.6pt;mso-position-horizontal-relative:margin;position:absolute;visibility:visible;z-index:-251015168" o:allowincell="f" fillcolor="black" stroked="f">
          <o:lock v:ext="edit" aspectratio="t" verticies="t" text="t" shapetype="t"/>
          <w10:wrap anchorx="margin"/>
        </v:rect>
      </w:pict>
    </w:r>
    <w:r>
      <w:rPr>
        <w:noProof/>
      </w:rPr>
      <w:pict>
        <v:rect id="Rectangle 23" o:spid="_x0000_s2677" style="width:468pt;height:0.95pt;margin-top:12.65pt;margin-left:0.6pt;mso-position-horizontal-relative:margin;position:absolute;visibility:visible;z-index:-251014144" o:allowincell="f" fillcolor="black" stroked="f">
          <o:lock v:ext="edit" aspectratio="t" verticies="t" text="t" shapetype="t"/>
          <w10:wrap anchorx="margin"/>
        </v:rect>
      </w:pict>
    </w:r>
    <w:r>
      <w:rPr>
        <w:noProof/>
      </w:rPr>
      <w:pict>
        <v:rect id="Rectangle 22" o:spid="_x0000_s2678" style="width:468pt;height:0.95pt;margin-top:12.65pt;margin-left:0.6pt;mso-position-horizontal-relative:margin;position:absolute;visibility:visible;z-index:-251013120" o:allowincell="f" fillcolor="black" stroked="f">
          <o:lock v:ext="edit" aspectratio="t" verticies="t" text="t" shapetype="t"/>
          <w10:wrap anchorx="margin"/>
        </v:rect>
      </w:pict>
    </w:r>
    <w:r>
      <w:rPr>
        <w:noProof/>
      </w:rPr>
      <w:pict>
        <v:rect id="Rectangle 21" o:spid="_x0000_s2679" style="width:468pt;height:0.95pt;margin-top:12.65pt;margin-left:0.6pt;mso-position-horizontal-relative:margin;position:absolute;visibility:visible;z-index:-251012096" o:allowincell="f" fillcolor="black" stroked="f">
          <o:lock v:ext="edit" aspectratio="t" verticies="t" text="t" shapetype="t"/>
          <w10:wrap anchorx="margin"/>
        </v:rect>
      </w:pict>
    </w:r>
    <w:r>
      <w:rPr>
        <w:noProof/>
      </w:rPr>
      <w:pict>
        <v:rect id="Rectangle 20" o:spid="_x0000_s2680" style="width:468pt;height:0.95pt;margin-top:12.65pt;margin-left:0.6pt;mso-position-horizontal-relative:margin;position:absolute;visibility:visible;z-index:-251011072" o:allowincell="f" fillcolor="black" stroked="f">
          <o:lock v:ext="edit" aspectratio="t" verticies="t" text="t" shapetype="t"/>
          <w10:wrap anchorx="margin"/>
        </v:rect>
      </w:pict>
    </w:r>
    <w:r>
      <w:rPr>
        <w:noProof/>
      </w:rPr>
      <w:pict>
        <v:rect id="Rectangle 19" o:spid="_x0000_s2681" style="width:468pt;height:0.95pt;margin-top:12.65pt;margin-left:0.6pt;mso-position-horizontal-relative:margin;position:absolute;visibility:visible;z-index:-251010048" o:allowincell="f" fillcolor="black" stroked="f">
          <o:lock v:ext="edit" aspectratio="t" verticies="t" text="t" shapetype="t"/>
          <w10:wrap anchorx="margin"/>
        </v:rect>
      </w:pict>
    </w:r>
    <w:r>
      <w:rPr>
        <w:noProof/>
      </w:rPr>
      <w:pict>
        <v:rect id="Rectangle 18" o:spid="_x0000_s2682" style="width:468pt;height:0.95pt;margin-top:12.65pt;margin-left:0.6pt;mso-position-horizontal-relative:margin;position:absolute;visibility:visible;z-index:-251009024" o:allowincell="f" fillcolor="black" stroked="f">
          <o:lock v:ext="edit" aspectratio="t" verticies="t" text="t" shapetype="t"/>
          <w10:wrap anchorx="margin"/>
        </v:rect>
      </w:pict>
    </w:r>
    <w:r>
      <w:rPr>
        <w:noProof/>
      </w:rPr>
      <w:pict>
        <v:rect id="Rectangle 17" o:spid="_x0000_s2683" style="width:468pt;height:0.95pt;margin-top:12.65pt;margin-left:0.6pt;mso-position-horizontal-relative:margin;position:absolute;visibility:visible;z-index:-251008000" o:allowincell="f" fillcolor="black" stroked="f">
          <o:lock v:ext="edit" aspectratio="t" verticies="t" text="t" shapetype="t"/>
          <w10:wrap anchorx="margin"/>
        </v:rect>
      </w:pict>
    </w:r>
    <w:r>
      <w:rPr>
        <w:noProof/>
      </w:rPr>
      <w:pict>
        <v:rect id="Rectangle 16" o:spid="_x0000_s2684" style="width:468pt;height:0.95pt;margin-top:12.65pt;margin-left:0.6pt;mso-position-horizontal-relative:margin;position:absolute;visibility:visible;z-index:-251006976" o:allowincell="f" fillcolor="black" stroked="f">
          <o:lock v:ext="edit" aspectratio="t" verticies="t" text="t" shapetype="t"/>
          <w10:wrap anchorx="margin"/>
        </v:rect>
      </w:pict>
    </w:r>
    <w:r>
      <w:rPr>
        <w:noProof/>
      </w:rPr>
      <w:pict>
        <v:rect id="Rectangle 15" o:spid="_x0000_s2685" style="width:468pt;height:0.95pt;margin-top:12.65pt;margin-left:0.6pt;mso-position-horizontal-relative:margin;position:absolute;visibility:visible;z-index:-251005952" o:allowincell="f" fillcolor="black" stroked="f">
          <o:lock v:ext="edit" aspectratio="t" verticies="t" text="t" shapetype="t"/>
          <w10:wrap anchorx="margin"/>
        </v:rect>
      </w:pict>
    </w:r>
    <w:r>
      <w:rPr>
        <w:noProof/>
      </w:rPr>
      <w:pict>
        <v:rect id="Rectangle 14" o:spid="_x0000_s2686" style="width:468pt;height:0.95pt;margin-top:12.65pt;margin-left:0.6pt;mso-position-horizontal-relative:margin;position:absolute;visibility:visible;z-index:-251004928" o:allowincell="f" fillcolor="black" stroked="f">
          <o:lock v:ext="edit" aspectratio="t" verticies="t" text="t" shapetype="t"/>
          <w10:wrap anchorx="margin"/>
        </v:rect>
      </w:pict>
    </w:r>
    <w:r>
      <w:rPr>
        <w:noProof/>
      </w:rPr>
      <w:pict>
        <v:rect id="Rectangle 13" o:spid="_x0000_s2687" style="width:468pt;height:0.95pt;margin-top:12.65pt;margin-left:0.6pt;mso-position-horizontal-relative:margin;position:absolute;visibility:visible;z-index:-251003904" o:allowincell="f" fillcolor="black" stroked="f">
          <o:lock v:ext="edit" aspectratio="t" verticies="t" text="t" shapetype="t"/>
          <w10:wrap anchorx="margin"/>
        </v:rect>
      </w:pict>
    </w:r>
    <w:r>
      <w:rPr>
        <w:noProof/>
      </w:rPr>
      <w:pict>
        <v:rect id="Rectangle 12" o:spid="_x0000_s2688" style="width:468pt;height:0.95pt;margin-top:12.65pt;margin-left:0.6pt;mso-position-horizontal-relative:margin;position:absolute;visibility:visible;z-index:-251002880" o:allowincell="f" fillcolor="black" stroked="f">
          <o:lock v:ext="edit" aspectratio="t" verticies="t" text="t" shapetype="t"/>
          <w10:wrap anchorx="margin"/>
        </v:rect>
      </w:pict>
    </w:r>
    <w:r>
      <w:rPr>
        <w:noProof/>
      </w:rPr>
      <w:pict>
        <v:rect id="Rectangle 11" o:spid="_x0000_s2689" style="width:468pt;height:0.95pt;margin-top:12.65pt;margin-left:0.6pt;mso-position-horizontal-relative:margin;position:absolute;visibility:visible;z-index:-251001856" o:allowincell="f" fillcolor="black" stroked="f">
          <o:lock v:ext="edit" aspectratio="t" verticies="t" text="t" shapetype="t"/>
          <w10:wrap anchorx="margin"/>
        </v:rect>
      </w:pict>
    </w:r>
    <w:r>
      <w:rPr>
        <w:noProof/>
      </w:rPr>
      <w:pict>
        <v:rect id="Rectangle 10" o:spid="_x0000_s2690" style="width:468pt;height:0.95pt;margin-top:12.65pt;margin-left:0.6pt;mso-position-horizontal-relative:margin;position:absolute;visibility:visible;z-index:-251000832" o:allowincell="f" fillcolor="black" stroked="f">
          <o:lock v:ext="edit" aspectratio="t" verticies="t" text="t" shapetype="t"/>
          <w10:wrap anchorx="margin"/>
        </v:rect>
      </w:pict>
    </w:r>
    <w:r>
      <w:rPr>
        <w:noProof/>
      </w:rPr>
      <w:pict>
        <v:rect id="Rectangle 9" o:spid="_x0000_s2691" style="width:468pt;height:0.95pt;margin-top:12.65pt;margin-left:0.6pt;mso-position-horizontal-relative:margin;position:absolute;visibility:visible;z-index:-250999808" o:allowincell="f" fillcolor="black" stroked="f">
          <o:lock v:ext="edit" aspectratio="t" verticies="t" text="t" shapetype="t"/>
          <w10:wrap anchorx="margin"/>
        </v:rect>
      </w:pict>
    </w:r>
    <w:r>
      <w:rPr>
        <w:noProof/>
      </w:rPr>
      <w:pict>
        <v:rect id="Rectangle 8" o:spid="_x0000_s2692" style="width:468pt;height:0.95pt;margin-top:12.65pt;margin-left:0.6pt;mso-position-horizontal-relative:margin;position:absolute;visibility:visible;z-index:-250998784" o:allowincell="f" fillcolor="black" stroked="f">
          <o:lock v:ext="edit" aspectratio="t" verticies="t" text="t" shapetype="t"/>
          <w10:wrap anchorx="margin"/>
        </v:rect>
      </w:pict>
    </w:r>
    <w:r>
      <w:rPr>
        <w:noProof/>
      </w:rPr>
      <w:pict>
        <v:rect id="Rectangle 7" o:spid="_x0000_s2693" style="width:468pt;height:0.95pt;margin-top:12.65pt;margin-left:0.6pt;mso-position-horizontal-relative:margin;position:absolute;visibility:visible;z-index:-250997760" o:allowincell="f" fillcolor="black" stroked="f">
          <o:lock v:ext="edit" aspectratio="t" verticies="t" text="t" shapetype="t"/>
          <w10:wrap anchorx="margin"/>
        </v:rect>
      </w:pict>
    </w:r>
    <w:r>
      <w:rPr>
        <w:noProof/>
      </w:rPr>
      <w:pict>
        <v:rect id="Rectangle 6" o:spid="_x0000_s2694" style="width:468pt;height:0.95pt;margin-top:12.65pt;margin-left:0.6pt;mso-position-horizontal-relative:margin;position:absolute;visibility:visible;z-index:-250996736" o:allowincell="f" fillcolor="black" stroked="f">
          <o:lock v:ext="edit" aspectratio="t" verticies="t" text="t" shapetype="t"/>
          <w10:wrap anchorx="margin"/>
        </v:rect>
      </w:pict>
    </w:r>
    <w:r>
      <w:rPr>
        <w:noProof/>
      </w:rPr>
      <w:pict>
        <v:rect id="Rectangle 5" o:spid="_x0000_s2695" style="width:468pt;height:0.95pt;margin-top:12.65pt;margin-left:0.6pt;mso-position-horizontal-relative:margin;position:absolute;visibility:visible;z-index:-250995712" o:allowincell="f" fillcolor="black" stroked="f">
          <o:lock v:ext="edit" aspectratio="t" verticies="t" text="t" shapetype="t"/>
          <w10:wrap anchorx="margin"/>
        </v:rect>
      </w:pict>
    </w:r>
    <w:r>
      <w:rPr>
        <w:noProof/>
      </w:rPr>
      <w:pict>
        <v:rect id="Rectangle 4" o:spid="_x0000_s2696" style="width:468pt;height:0.95pt;margin-top:12.65pt;margin-left:0.6pt;mso-position-horizontal-relative:margin;position:absolute;visibility:visible;z-index:-250994688" o:allowincell="f" fillcolor="black" stroked="f">
          <o:lock v:ext="edit" aspectratio="t" verticies="t" text="t" shapetype="t"/>
          <w10:wrap anchorx="margin"/>
        </v:rect>
      </w:pict>
    </w:r>
    <w:r>
      <w:rPr>
        <w:noProof/>
      </w:rPr>
      <w:pict>
        <v:rect id="_x0000_s2697" style="width:468pt;height:0.95pt;margin-top:12.65pt;margin-left:0.6pt;mso-position-horizontal-relative:margin;position:absolute;visibility:visible;z-index:-250993664" o:allowincell="f" fillcolor="black" stroked="f">
          <o:lock v:ext="edit" aspectratio="t" verticies="t" text="t" shapetype="t"/>
          <w10:wrap anchorx="margin"/>
        </v:rect>
      </w:pict>
    </w:r>
    <w:r>
      <w:rPr>
        <w:noProof/>
      </w:rPr>
      <w:pict>
        <v:rect id="Rectangle 2" o:spid="_x0000_s2698" style="width:468pt;height:0.95pt;margin-top:12.65pt;margin-left:0.6pt;mso-position-horizontal-relative:margin;position:absolute;visibility:visible;z-index:-250992640" o:allowincell="f" fillcolor="black" stroked="f">
          <o:lock v:ext="edit" aspectratio="t" verticies="t" text="t" shapetype="t"/>
          <w10:wrap anchorx="margin"/>
        </v:rect>
      </w:pict>
    </w:r>
    <w:r>
      <w:tab/>
      <w:t>Federal Communications Commission</w:t>
    </w:r>
    <w:r>
      <w:tab/>
    </w:r>
    <w:r w:rsidR="00563E3B">
      <w:t>FCC 26-49</w:t>
    </w:r>
  </w:p>
  <w:p w:rsidR="005919ED" w14:paraId="7A2B12D7" w14:textId="7777777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919ED" w:rsidRPr="005F66BD" w14:paraId="6C0C37BF" w14:textId="26390A2B">
    <w:pPr>
      <w:pStyle w:val="Header"/>
      <w:rPr>
        <w:b w:val="0"/>
      </w:rPr>
    </w:pPr>
    <w:r>
      <w:rPr>
        <w:noProof/>
      </w:rPr>
      <w:pict>
        <v:rect id="_x0000_s2699" style="width:468pt;height:0.95pt;margin-top:12.65pt;margin-left:0.6pt;mso-position-horizontal-relative:margin;position:absolute;visibility:visible;z-index:-251655168" o:allowincell="f" fillcolor="black" stroked="f">
          <w10:wrap anchorx="margin"/>
        </v:rect>
      </w:pict>
    </w:r>
    <w:r>
      <w:tab/>
      <w:t>Federal Communications Commission</w:t>
    </w:r>
    <w:r>
      <w:tab/>
      <w:t>FCC 26-49</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26DC6" w:rsidRPr="000E4178" w14:paraId="52DD5069" w14:textId="7259C8AE">
    <w:pPr>
      <w:tabs>
        <w:tab w:val="center" w:pos="4680"/>
        <w:tab w:val="right" w:pos="9360"/>
      </w:tabs>
    </w:pPr>
    <w:r>
      <w:rPr>
        <w:noProof/>
      </w:rPr>
      <w:pict>
        <v:rect id="_x0000_s2700" style="width:468pt;height:0.95pt;margin-top:12.65pt;margin-left:0.6pt;mso-position-horizontal-relative:margin;position:absolute;visibility:visible;z-index:-250991616" o:allowincell="f" fillcolor="black" stroked="f" strokeweight="0.05pt">
          <w10:wrap anchorx="margin"/>
        </v:rect>
      </w:pict>
    </w:r>
    <w:r w:rsidRPr="000E4178">
      <w:rPr>
        <w:b/>
      </w:rPr>
      <w:tab/>
      <w:t>Federal Communications Commission</w:t>
    </w:r>
    <w:r w:rsidRPr="000E4178">
      <w:rPr>
        <w:b/>
      </w:rPr>
      <w:tab/>
    </w:r>
    <w:r>
      <w:rPr>
        <w:b/>
        <w:spacing w:val="-2"/>
      </w:rPr>
      <w:t>FCC 26-49</w:t>
    </w:r>
  </w:p>
  <w:p w:rsidR="00726DC6" w14:paraId="0F629CC6" w14:textId="77777777">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4265C" w14:paraId="08BB5396" w14:textId="77777777">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4265C" w:rsidP="00810B6F" w14:paraId="5097C0DB" w14:textId="14C0DE86">
    <w:pPr>
      <w:pStyle w:val="Header"/>
      <w:rPr>
        <w:b w:val="0"/>
      </w:rPr>
    </w:pPr>
    <w:r>
      <w:tab/>
      <w:t>Federal Communications Commission</w:t>
    </w:r>
    <w:r>
      <w:tab/>
    </w:r>
    <w:r w:rsidR="002A4B81">
      <w:t>FCC 26-49</w:t>
    </w:r>
  </w:p>
  <w:p w:rsidR="0024265C" w14:paraId="68CE5F8F" w14:textId="77777777">
    <w:pPr>
      <w:tabs>
        <w:tab w:val="left" w:pos="-720"/>
      </w:tabs>
      <w:suppressAutoHyphens/>
      <w:spacing w:line="19" w:lineRule="exact"/>
      <w:rPr>
        <w:spacing w:val="-2"/>
      </w:rPr>
    </w:pPr>
    <w:r>
      <w:rPr>
        <w:noProof/>
      </w:rPr>
      <w:pict>
        <v:rect id="_x0000_s2701" style="width:468pt;height:0.95pt;margin-top:0;margin-left:0;mso-position-horizontal-relative:margin;position:absolute;visibility:visible;z-index:-250990592" o:allowincell="f" fillcolor="black" stroked="f" strokeweight="0.05pt">
          <w10:wrap anchorx="margin"/>
        </v:rect>
      </w:pict>
    </w:r>
  </w:p>
  <w:p w:rsidR="0024265C" w14:paraId="5034CE29" w14:textId="77777777">
    <w:pPr>
      <w:spacing w:after="389" w:line="100" w:lineRule="exact"/>
      <w:rPr>
        <w:sz w:val="1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4265C" w:rsidP="00810B6F" w14:paraId="461E3AB4" w14:textId="77777777">
    <w:pPr>
      <w:pStyle w:val="Header"/>
      <w:rPr>
        <w:b w:val="0"/>
      </w:rPr>
    </w:pPr>
    <w:r>
      <w:rPr>
        <w:noProof/>
      </w:rPr>
      <w:pict>
        <v:rect id="_x0000_s2702" style="width:468pt;height:0.95pt;margin-top:12.65pt;margin-left:0.6pt;mso-position-horizontal-relative:margin;position:absolute;visibility:visible;z-index:-250989568" o:allowincell="f" fillcolor="black" stroked="f" strokeweight="0.05pt">
          <w10:wrap anchorx="margin"/>
        </v:rect>
      </w:pict>
    </w:r>
    <w:r>
      <w:tab/>
      <w:t>Federal Communications Commission</w:t>
    </w:r>
    <w:r>
      <w:tab/>
      <w:t>FCC 26-49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9"/>
    <w:multiLevelType w:val="singleLevel"/>
    <w:tmpl w:val="4E903F74"/>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0C95642B"/>
    <w:multiLevelType w:val="hybridMultilevel"/>
    <w:tmpl w:val="3A7AC5C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102A3C06"/>
    <w:multiLevelType w:val="hybridMultilevel"/>
    <w:tmpl w:val="F70C325E"/>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4">
    <w:nsid w:val="14B22EA1"/>
    <w:multiLevelType w:val="hybridMultilevel"/>
    <w:tmpl w:val="479C80DA"/>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5">
    <w:nsid w:val="1D9E5C14"/>
    <w:multiLevelType w:val="hybridMultilevel"/>
    <w:tmpl w:val="253A94D0"/>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6">
    <w:nsid w:val="1E5A2493"/>
    <w:multiLevelType w:val="hybridMultilevel"/>
    <w:tmpl w:val="A70CE8A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1F607090"/>
    <w:multiLevelType w:val="hybridMultilevel"/>
    <w:tmpl w:val="1F02D3F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2072001C"/>
    <w:multiLevelType w:val="hybridMultilevel"/>
    <w:tmpl w:val="4BC67DE8"/>
    <w:lvl w:ilvl="0">
      <w:start w:val="1"/>
      <w:numFmt w:val="decimal"/>
      <w:lvlText w:val="%1."/>
      <w:lvlJc w:val="left"/>
      <w:pPr>
        <w:ind w:left="720" w:hanging="360"/>
      </w:pPr>
      <w:rPr>
        <w:b w:val="0"/>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10">
    <w:nsid w:val="248246F3"/>
    <w:multiLevelType w:val="singleLevel"/>
    <w:tmpl w:val="B1F45678"/>
    <w:lvl w:ilvl="0">
      <w:start w:val="1"/>
      <w:numFmt w:val="decimal"/>
      <w:lvlText w:val="%1."/>
      <w:lvlJc w:val="left"/>
      <w:pPr>
        <w:tabs>
          <w:tab w:val="num" w:pos="1080"/>
        </w:tabs>
        <w:ind w:left="0" w:firstLine="720"/>
      </w:pPr>
    </w:lvl>
  </w:abstractNum>
  <w:abstractNum w:abstractNumId="11">
    <w:nsid w:val="27E06CBB"/>
    <w:multiLevelType w:val="multilevel"/>
    <w:tmpl w:val="FEB64190"/>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12">
    <w:nsid w:val="2B6C0659"/>
    <w:multiLevelType w:val="hybridMultilevel"/>
    <w:tmpl w:val="84D8FC1C"/>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3">
    <w:nsid w:val="32C90CA8"/>
    <w:multiLevelType w:val="hybridMultilevel"/>
    <w:tmpl w:val="60C012F6"/>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4">
    <w:nsid w:val="483425F7"/>
    <w:multiLevelType w:val="hybridMultilevel"/>
    <w:tmpl w:val="8004BE8C"/>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6">
    <w:nsid w:val="572E4074"/>
    <w:multiLevelType w:val="hybridMultilevel"/>
    <w:tmpl w:val="AC4671A2"/>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17">
    <w:nsid w:val="58016F2D"/>
    <w:multiLevelType w:val="hybridMultilevel"/>
    <w:tmpl w:val="E42293F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8">
    <w:nsid w:val="5E121FD9"/>
    <w:multiLevelType w:val="hybridMultilevel"/>
    <w:tmpl w:val="1694899A"/>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19">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20">
    <w:nsid w:val="6C694DB3"/>
    <w:multiLevelType w:val="hybridMultilevel"/>
    <w:tmpl w:val="29169406"/>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21">
    <w:nsid w:val="7FBF17BF"/>
    <w:multiLevelType w:val="hybridMultilevel"/>
    <w:tmpl w:val="4B8CCBB6"/>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num w:numId="1" w16cid:durableId="372076511">
    <w:abstractNumId w:val="9"/>
  </w:num>
  <w:num w:numId="2" w16cid:durableId="438137361">
    <w:abstractNumId w:val="19"/>
  </w:num>
  <w:num w:numId="3" w16cid:durableId="1368136801">
    <w:abstractNumId w:val="11"/>
  </w:num>
  <w:num w:numId="4" w16cid:durableId="1574586697">
    <w:abstractNumId w:val="15"/>
  </w:num>
  <w:num w:numId="5" w16cid:durableId="902758865">
    <w:abstractNumId w:val="10"/>
  </w:num>
  <w:num w:numId="6" w16cid:durableId="1633173298">
    <w:abstractNumId w:val="1"/>
  </w:num>
  <w:num w:numId="7" w16cid:durableId="1486554612">
    <w:abstractNumId w:val="0"/>
  </w:num>
  <w:num w:numId="8" w16cid:durableId="935594294">
    <w:abstractNumId w:val="6"/>
  </w:num>
  <w:num w:numId="9" w16cid:durableId="2125228293">
    <w:abstractNumId w:val="19"/>
    <w:lvlOverride w:ilvl="0">
      <w:startOverride w:val="1"/>
    </w:lvlOverride>
  </w:num>
  <w:num w:numId="10" w16cid:durableId="1390882506">
    <w:abstractNumId w:val="8"/>
  </w:num>
  <w:num w:numId="11" w16cid:durableId="1815760115">
    <w:abstractNumId w:val="19"/>
    <w:lvlOverride w:ilvl="0">
      <w:startOverride w:val="1"/>
    </w:lvlOverride>
  </w:num>
  <w:num w:numId="12" w16cid:durableId="933712638">
    <w:abstractNumId w:val="7"/>
  </w:num>
  <w:num w:numId="13" w16cid:durableId="587689551">
    <w:abstractNumId w:val="2"/>
  </w:num>
  <w:num w:numId="14" w16cid:durableId="901256303">
    <w:abstractNumId w:val="5"/>
  </w:num>
  <w:num w:numId="15" w16cid:durableId="1838887583">
    <w:abstractNumId w:val="12"/>
  </w:num>
  <w:num w:numId="16" w16cid:durableId="164705784">
    <w:abstractNumId w:val="19"/>
    <w:lvlOverride w:ilvl="0">
      <w:startOverride w:val="1"/>
    </w:lvlOverride>
  </w:num>
  <w:num w:numId="17" w16cid:durableId="1526021980">
    <w:abstractNumId w:val="21"/>
  </w:num>
  <w:num w:numId="18" w16cid:durableId="1610042512">
    <w:abstractNumId w:val="20"/>
  </w:num>
  <w:num w:numId="19" w16cid:durableId="1030258606">
    <w:abstractNumId w:val="4"/>
  </w:num>
  <w:num w:numId="20" w16cid:durableId="1112091012">
    <w:abstractNumId w:val="19"/>
    <w:lvlOverride w:ilvl="0">
      <w:startOverride w:val="1"/>
    </w:lvlOverride>
  </w:num>
  <w:num w:numId="21" w16cid:durableId="1112282645">
    <w:abstractNumId w:val="17"/>
  </w:num>
  <w:num w:numId="22" w16cid:durableId="1354646085">
    <w:abstractNumId w:val="14"/>
  </w:num>
  <w:num w:numId="23" w16cid:durableId="801505495">
    <w:abstractNumId w:val="13"/>
  </w:num>
  <w:num w:numId="24" w16cid:durableId="427315304">
    <w:abstractNumId w:val="19"/>
    <w:lvlOverride w:ilvl="0">
      <w:startOverride w:val="1"/>
    </w:lvlOverride>
  </w:num>
  <w:num w:numId="25" w16cid:durableId="1447501529">
    <w:abstractNumId w:val="16"/>
  </w:num>
  <w:num w:numId="26" w16cid:durableId="1140225064">
    <w:abstractNumId w:val="3"/>
  </w:num>
  <w:num w:numId="27" w16cid:durableId="176820418">
    <w:abstractNumId w:val="18"/>
  </w:num>
  <w:num w:numId="28" w16cid:durableId="1325820270">
    <w:abstractNumId w:val="1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19ED"/>
    <w:rsid w:val="00036039"/>
    <w:rsid w:val="0003672A"/>
    <w:rsid w:val="00037F90"/>
    <w:rsid w:val="00040BA5"/>
    <w:rsid w:val="00054E91"/>
    <w:rsid w:val="00057ECD"/>
    <w:rsid w:val="000875BF"/>
    <w:rsid w:val="00096D8C"/>
    <w:rsid w:val="000B5000"/>
    <w:rsid w:val="000C0B65"/>
    <w:rsid w:val="000C19E9"/>
    <w:rsid w:val="000C4D31"/>
    <w:rsid w:val="000D236D"/>
    <w:rsid w:val="000E05FE"/>
    <w:rsid w:val="000E3D42"/>
    <w:rsid w:val="000E4178"/>
    <w:rsid w:val="00100431"/>
    <w:rsid w:val="00104DE4"/>
    <w:rsid w:val="001052EE"/>
    <w:rsid w:val="00110705"/>
    <w:rsid w:val="001168C5"/>
    <w:rsid w:val="00122BD5"/>
    <w:rsid w:val="00133F79"/>
    <w:rsid w:val="00134E16"/>
    <w:rsid w:val="00135441"/>
    <w:rsid w:val="0015405A"/>
    <w:rsid w:val="0015457F"/>
    <w:rsid w:val="00172FC6"/>
    <w:rsid w:val="00174104"/>
    <w:rsid w:val="00176B9C"/>
    <w:rsid w:val="00180717"/>
    <w:rsid w:val="001902CD"/>
    <w:rsid w:val="001938CD"/>
    <w:rsid w:val="00194A66"/>
    <w:rsid w:val="001A3EF3"/>
    <w:rsid w:val="001A7171"/>
    <w:rsid w:val="001B3514"/>
    <w:rsid w:val="001B41E9"/>
    <w:rsid w:val="001C5D70"/>
    <w:rsid w:val="001D25FD"/>
    <w:rsid w:val="001D6BCF"/>
    <w:rsid w:val="001E01CA"/>
    <w:rsid w:val="00204C49"/>
    <w:rsid w:val="00227E36"/>
    <w:rsid w:val="0023354F"/>
    <w:rsid w:val="0024265C"/>
    <w:rsid w:val="0027194F"/>
    <w:rsid w:val="00275CF5"/>
    <w:rsid w:val="00275FF5"/>
    <w:rsid w:val="00280776"/>
    <w:rsid w:val="0028301F"/>
    <w:rsid w:val="00285017"/>
    <w:rsid w:val="002868FF"/>
    <w:rsid w:val="00290A69"/>
    <w:rsid w:val="002A2D2E"/>
    <w:rsid w:val="002A4B81"/>
    <w:rsid w:val="002B2016"/>
    <w:rsid w:val="002B7830"/>
    <w:rsid w:val="002C00E8"/>
    <w:rsid w:val="002D0DB6"/>
    <w:rsid w:val="002D2B6E"/>
    <w:rsid w:val="002D501D"/>
    <w:rsid w:val="002F3786"/>
    <w:rsid w:val="002F7B3E"/>
    <w:rsid w:val="00317C09"/>
    <w:rsid w:val="00326EB0"/>
    <w:rsid w:val="00343749"/>
    <w:rsid w:val="00351CB2"/>
    <w:rsid w:val="00353D14"/>
    <w:rsid w:val="003660ED"/>
    <w:rsid w:val="00375370"/>
    <w:rsid w:val="0038771A"/>
    <w:rsid w:val="003957D9"/>
    <w:rsid w:val="003A4309"/>
    <w:rsid w:val="003A63EB"/>
    <w:rsid w:val="003B0550"/>
    <w:rsid w:val="003B694F"/>
    <w:rsid w:val="003B6971"/>
    <w:rsid w:val="003B69F8"/>
    <w:rsid w:val="003F171C"/>
    <w:rsid w:val="003F4F93"/>
    <w:rsid w:val="00412FC5"/>
    <w:rsid w:val="00422276"/>
    <w:rsid w:val="0042259A"/>
    <w:rsid w:val="004242F1"/>
    <w:rsid w:val="00427BA0"/>
    <w:rsid w:val="00445A00"/>
    <w:rsid w:val="00451B0F"/>
    <w:rsid w:val="004539A7"/>
    <w:rsid w:val="00467A99"/>
    <w:rsid w:val="00473769"/>
    <w:rsid w:val="00480499"/>
    <w:rsid w:val="004B19FD"/>
    <w:rsid w:val="004B1E1E"/>
    <w:rsid w:val="004B51BE"/>
    <w:rsid w:val="004B7110"/>
    <w:rsid w:val="004C2EE3"/>
    <w:rsid w:val="004C3B1C"/>
    <w:rsid w:val="004E4A22"/>
    <w:rsid w:val="004F0B24"/>
    <w:rsid w:val="004F6E3D"/>
    <w:rsid w:val="00510ABC"/>
    <w:rsid w:val="00511968"/>
    <w:rsid w:val="0051505B"/>
    <w:rsid w:val="00537A65"/>
    <w:rsid w:val="005524B8"/>
    <w:rsid w:val="0055614C"/>
    <w:rsid w:val="005577AD"/>
    <w:rsid w:val="00561D56"/>
    <w:rsid w:val="00563E3B"/>
    <w:rsid w:val="005655A7"/>
    <w:rsid w:val="00566D06"/>
    <w:rsid w:val="0057419B"/>
    <w:rsid w:val="00576F9E"/>
    <w:rsid w:val="0058276C"/>
    <w:rsid w:val="00582D2A"/>
    <w:rsid w:val="00586365"/>
    <w:rsid w:val="005919ED"/>
    <w:rsid w:val="005A45CD"/>
    <w:rsid w:val="005B09C3"/>
    <w:rsid w:val="005C0C1B"/>
    <w:rsid w:val="005D0AE9"/>
    <w:rsid w:val="005E14C2"/>
    <w:rsid w:val="005E6A0A"/>
    <w:rsid w:val="005F620D"/>
    <w:rsid w:val="005F66BD"/>
    <w:rsid w:val="00607560"/>
    <w:rsid w:val="00607BA5"/>
    <w:rsid w:val="0061180A"/>
    <w:rsid w:val="006267FA"/>
    <w:rsid w:val="00626EB6"/>
    <w:rsid w:val="006547EB"/>
    <w:rsid w:val="006553A2"/>
    <w:rsid w:val="00655D03"/>
    <w:rsid w:val="00664ED2"/>
    <w:rsid w:val="00683388"/>
    <w:rsid w:val="00683F84"/>
    <w:rsid w:val="00695909"/>
    <w:rsid w:val="006A50CE"/>
    <w:rsid w:val="006A6A81"/>
    <w:rsid w:val="006D4FD0"/>
    <w:rsid w:val="006E0228"/>
    <w:rsid w:val="006E28F2"/>
    <w:rsid w:val="006E42E3"/>
    <w:rsid w:val="006F0B87"/>
    <w:rsid w:val="006F3686"/>
    <w:rsid w:val="006F7393"/>
    <w:rsid w:val="0070224F"/>
    <w:rsid w:val="00706A0B"/>
    <w:rsid w:val="007115F7"/>
    <w:rsid w:val="00726DC6"/>
    <w:rsid w:val="00727BDD"/>
    <w:rsid w:val="00736D0B"/>
    <w:rsid w:val="00740D45"/>
    <w:rsid w:val="00745554"/>
    <w:rsid w:val="00745D06"/>
    <w:rsid w:val="00756231"/>
    <w:rsid w:val="007662BA"/>
    <w:rsid w:val="00770912"/>
    <w:rsid w:val="00773691"/>
    <w:rsid w:val="007765C6"/>
    <w:rsid w:val="0077759E"/>
    <w:rsid w:val="00781629"/>
    <w:rsid w:val="00781854"/>
    <w:rsid w:val="00782EF1"/>
    <w:rsid w:val="0078433D"/>
    <w:rsid w:val="00785689"/>
    <w:rsid w:val="007906C5"/>
    <w:rsid w:val="0079285F"/>
    <w:rsid w:val="0079754B"/>
    <w:rsid w:val="007A086A"/>
    <w:rsid w:val="007A1E6D"/>
    <w:rsid w:val="007B0EB2"/>
    <w:rsid w:val="007B1973"/>
    <w:rsid w:val="007B3366"/>
    <w:rsid w:val="007C04A0"/>
    <w:rsid w:val="007C2EAB"/>
    <w:rsid w:val="007C6136"/>
    <w:rsid w:val="007E63C8"/>
    <w:rsid w:val="007F14A1"/>
    <w:rsid w:val="007F1EDD"/>
    <w:rsid w:val="007F4DB6"/>
    <w:rsid w:val="00800E4A"/>
    <w:rsid w:val="00806769"/>
    <w:rsid w:val="00806AC4"/>
    <w:rsid w:val="00810B6F"/>
    <w:rsid w:val="00822CE0"/>
    <w:rsid w:val="00835EBA"/>
    <w:rsid w:val="00841AB1"/>
    <w:rsid w:val="00871658"/>
    <w:rsid w:val="008A0B63"/>
    <w:rsid w:val="008B66DB"/>
    <w:rsid w:val="008B7B02"/>
    <w:rsid w:val="008C1C47"/>
    <w:rsid w:val="008C4134"/>
    <w:rsid w:val="008C4FBA"/>
    <w:rsid w:val="008C68F1"/>
    <w:rsid w:val="008D6A82"/>
    <w:rsid w:val="008E1118"/>
    <w:rsid w:val="008E43EE"/>
    <w:rsid w:val="008E7B3D"/>
    <w:rsid w:val="008F059A"/>
    <w:rsid w:val="008F0E58"/>
    <w:rsid w:val="00920BE2"/>
    <w:rsid w:val="00921803"/>
    <w:rsid w:val="00922E68"/>
    <w:rsid w:val="00926503"/>
    <w:rsid w:val="0093147B"/>
    <w:rsid w:val="00932AE2"/>
    <w:rsid w:val="00947BBB"/>
    <w:rsid w:val="009501BF"/>
    <w:rsid w:val="00964F9D"/>
    <w:rsid w:val="00966B79"/>
    <w:rsid w:val="0096782F"/>
    <w:rsid w:val="009726D8"/>
    <w:rsid w:val="0097331A"/>
    <w:rsid w:val="00980224"/>
    <w:rsid w:val="00983859"/>
    <w:rsid w:val="00983D86"/>
    <w:rsid w:val="009A246B"/>
    <w:rsid w:val="009B0814"/>
    <w:rsid w:val="009B239E"/>
    <w:rsid w:val="009C5FCC"/>
    <w:rsid w:val="009C73AC"/>
    <w:rsid w:val="009D7308"/>
    <w:rsid w:val="009E1DCE"/>
    <w:rsid w:val="009F76DB"/>
    <w:rsid w:val="00A00D60"/>
    <w:rsid w:val="00A114CB"/>
    <w:rsid w:val="00A1676B"/>
    <w:rsid w:val="00A24D79"/>
    <w:rsid w:val="00A25EC9"/>
    <w:rsid w:val="00A30AF3"/>
    <w:rsid w:val="00A32C3B"/>
    <w:rsid w:val="00A45F4F"/>
    <w:rsid w:val="00A55B3E"/>
    <w:rsid w:val="00A600A9"/>
    <w:rsid w:val="00A71DA1"/>
    <w:rsid w:val="00A74970"/>
    <w:rsid w:val="00A84E28"/>
    <w:rsid w:val="00A94991"/>
    <w:rsid w:val="00A9566D"/>
    <w:rsid w:val="00A95E11"/>
    <w:rsid w:val="00AA55B7"/>
    <w:rsid w:val="00AA5B9E"/>
    <w:rsid w:val="00AB2407"/>
    <w:rsid w:val="00AB53DF"/>
    <w:rsid w:val="00AC2940"/>
    <w:rsid w:val="00AD5A81"/>
    <w:rsid w:val="00AE0BAD"/>
    <w:rsid w:val="00AE507A"/>
    <w:rsid w:val="00AE79A3"/>
    <w:rsid w:val="00B02AF5"/>
    <w:rsid w:val="00B038AA"/>
    <w:rsid w:val="00B06F87"/>
    <w:rsid w:val="00B07E5C"/>
    <w:rsid w:val="00B136CE"/>
    <w:rsid w:val="00B17C3E"/>
    <w:rsid w:val="00B3137E"/>
    <w:rsid w:val="00B55C13"/>
    <w:rsid w:val="00B66597"/>
    <w:rsid w:val="00B7354C"/>
    <w:rsid w:val="00B811F7"/>
    <w:rsid w:val="00B90156"/>
    <w:rsid w:val="00BA172F"/>
    <w:rsid w:val="00BA17E3"/>
    <w:rsid w:val="00BA30C5"/>
    <w:rsid w:val="00BA5DC6"/>
    <w:rsid w:val="00BA6196"/>
    <w:rsid w:val="00BB15F9"/>
    <w:rsid w:val="00BB4569"/>
    <w:rsid w:val="00BC01F3"/>
    <w:rsid w:val="00BC6D8C"/>
    <w:rsid w:val="00C06157"/>
    <w:rsid w:val="00C1668B"/>
    <w:rsid w:val="00C34006"/>
    <w:rsid w:val="00C36B4C"/>
    <w:rsid w:val="00C426B1"/>
    <w:rsid w:val="00C57ADD"/>
    <w:rsid w:val="00C66160"/>
    <w:rsid w:val="00C66775"/>
    <w:rsid w:val="00C721AC"/>
    <w:rsid w:val="00C805E9"/>
    <w:rsid w:val="00C813BD"/>
    <w:rsid w:val="00C83AFE"/>
    <w:rsid w:val="00C83F5A"/>
    <w:rsid w:val="00C90D6A"/>
    <w:rsid w:val="00C9568D"/>
    <w:rsid w:val="00C9717F"/>
    <w:rsid w:val="00CA247E"/>
    <w:rsid w:val="00CA6D21"/>
    <w:rsid w:val="00CB397A"/>
    <w:rsid w:val="00CB3FC6"/>
    <w:rsid w:val="00CC45BA"/>
    <w:rsid w:val="00CC72B6"/>
    <w:rsid w:val="00CD4E16"/>
    <w:rsid w:val="00CD616B"/>
    <w:rsid w:val="00CF0D04"/>
    <w:rsid w:val="00D0218D"/>
    <w:rsid w:val="00D05458"/>
    <w:rsid w:val="00D25FB5"/>
    <w:rsid w:val="00D31317"/>
    <w:rsid w:val="00D44223"/>
    <w:rsid w:val="00D47CFF"/>
    <w:rsid w:val="00D57814"/>
    <w:rsid w:val="00D622F5"/>
    <w:rsid w:val="00D95577"/>
    <w:rsid w:val="00DA2529"/>
    <w:rsid w:val="00DA3FCB"/>
    <w:rsid w:val="00DB130A"/>
    <w:rsid w:val="00DB2EBB"/>
    <w:rsid w:val="00DB2ECD"/>
    <w:rsid w:val="00DB71E0"/>
    <w:rsid w:val="00DC10A1"/>
    <w:rsid w:val="00DC1930"/>
    <w:rsid w:val="00DC3AAD"/>
    <w:rsid w:val="00DC4E02"/>
    <w:rsid w:val="00DC655F"/>
    <w:rsid w:val="00DD0B59"/>
    <w:rsid w:val="00DD62A1"/>
    <w:rsid w:val="00DD7EBD"/>
    <w:rsid w:val="00DF62B6"/>
    <w:rsid w:val="00DF7CDD"/>
    <w:rsid w:val="00E07225"/>
    <w:rsid w:val="00E114C3"/>
    <w:rsid w:val="00E2000F"/>
    <w:rsid w:val="00E235F6"/>
    <w:rsid w:val="00E3332B"/>
    <w:rsid w:val="00E4174F"/>
    <w:rsid w:val="00E466FB"/>
    <w:rsid w:val="00E47A08"/>
    <w:rsid w:val="00E5409F"/>
    <w:rsid w:val="00E616FF"/>
    <w:rsid w:val="00E73033"/>
    <w:rsid w:val="00E92D34"/>
    <w:rsid w:val="00ED63AC"/>
    <w:rsid w:val="00ED7125"/>
    <w:rsid w:val="00EE262D"/>
    <w:rsid w:val="00EE6488"/>
    <w:rsid w:val="00EF664F"/>
    <w:rsid w:val="00F021FA"/>
    <w:rsid w:val="00F2055B"/>
    <w:rsid w:val="00F26484"/>
    <w:rsid w:val="00F41B11"/>
    <w:rsid w:val="00F45B87"/>
    <w:rsid w:val="00F540BD"/>
    <w:rsid w:val="00F567A5"/>
    <w:rsid w:val="00F568E4"/>
    <w:rsid w:val="00F62E97"/>
    <w:rsid w:val="00F64209"/>
    <w:rsid w:val="00F66131"/>
    <w:rsid w:val="00F705AE"/>
    <w:rsid w:val="00F92D52"/>
    <w:rsid w:val="00F93BF5"/>
    <w:rsid w:val="00FA2D24"/>
    <w:rsid w:val="00FB30A7"/>
    <w:rsid w:val="00FC01FD"/>
    <w:rsid w:val="00FC7978"/>
    <w:rsid w:val="00FF08D6"/>
    <w:rsid w:val="03153136"/>
    <w:rsid w:val="040FAEB4"/>
    <w:rsid w:val="134F8478"/>
    <w:rsid w:val="1C361E60"/>
    <w:rsid w:val="274CC7CA"/>
    <w:rsid w:val="29C5C763"/>
    <w:rsid w:val="2C9101D6"/>
    <w:rsid w:val="32F6D2BA"/>
    <w:rsid w:val="4338F191"/>
    <w:rsid w:val="51AA47CB"/>
    <w:rsid w:val="571F214D"/>
    <w:rsid w:val="5A06116C"/>
    <w:rsid w:val="5FB4E103"/>
    <w:rsid w:val="63ED858C"/>
    <w:rsid w:val="6796F0F3"/>
    <w:rsid w:val="722CFDE8"/>
    <w:rsid w:val="7C796968"/>
    <w:rsid w:val="7FD53A2F"/>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404E177"/>
  <w15:chartTrackingRefBased/>
  <w15:docId w15:val="{323F380A-42C4-4915-AC26-4825A7F12C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70912"/>
    <w:pPr>
      <w:widowControl/>
      <w:numPr>
        <w:ilvl w:val="1"/>
        <w:numId w:val="3"/>
      </w:numPr>
      <w:spacing w:after="120"/>
      <w:outlineLvl w:val="1"/>
    </w:pPr>
    <w:rPr>
      <w:b/>
    </w:rPr>
  </w:style>
  <w:style w:type="paragraph" w:styleId="Heading3">
    <w:name w:val="heading 3"/>
    <w:basedOn w:val="Normal"/>
    <w:next w:val="ParaNum"/>
    <w:link w:val="Heading3Char"/>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aliases w:val="Heading 5 Char2,Heading 5 Char1 Char1,Heading 5 Char Char Char1,Heading 5 Char1 Char Char Char,Heading 5 Char Char Char Char Char,Heading 5 Char Char1 Char,Heading 5 Char Char2,Heading 5 Char1 Char Char1,Heading 5 Char Char Char Char1"/>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aliases w:val="h6,Heading 6 Char2,Heading 6 Char1 Char,Heading 6 Char Char Char,Heading 6 Char Char1,Heading 6 Char1,Heading 6 Char Char"/>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outlineLvl w:val="7"/>
    </w:pPr>
    <w:rPr>
      <w:b/>
    </w:rPr>
  </w:style>
  <w:style w:type="paragraph" w:styleId="Heading9">
    <w:name w:val="heading 9"/>
    <w:aliases w:val="Topic,table,t,9,Heading 9.table,Titre 9"/>
    <w:basedOn w:val="Normal"/>
    <w:next w:val="ParaNum"/>
    <w:qFormat/>
    <w:rsid w:val="001E01CA"/>
    <w:pPr>
      <w:numPr>
        <w:ilvl w:val="8"/>
        <w:numId w:val="3"/>
      </w:numPr>
      <w:tabs>
        <w:tab w:val="clear" w:pos="6120"/>
        <w:tab w:val="left" w:pos="6480"/>
      </w:tabs>
      <w:spacing w:after="1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rsid w:val="000E3D4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rsid w:val="00A32C3B"/>
    <w:rPr>
      <w:rFonts w:ascii="Times New Roman" w:hAnsi="Times New Roman"/>
      <w:dstrike w:val="0"/>
      <w:color w:val="auto"/>
      <w:sz w:val="20"/>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uiPriority w:val="39"/>
    <w:pPr>
      <w:tabs>
        <w:tab w:val="left" w:pos="720"/>
        <w:tab w:val="right" w:leader="dot" w:pos="9360"/>
      </w:tabs>
      <w:suppressAutoHyphens/>
      <w:ind w:left="720" w:right="720" w:hanging="360"/>
    </w:pPr>
    <w:rPr>
      <w:noProof/>
    </w:rPr>
  </w:style>
  <w:style w:type="paragraph" w:styleId="TOC3">
    <w:name w:val="toc 3"/>
    <w:basedOn w:val="Normal"/>
    <w:next w:val="Normal"/>
    <w:uiPriority w:val="39"/>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
    <w:name w:val="Footnote Text Char"/>
    <w:link w:val="FootnoteText"/>
    <w:rsid w:val="005919ED"/>
  </w:style>
  <w:style w:type="paragraph" w:styleId="ListBullet">
    <w:name w:val="List Bullet"/>
    <w:basedOn w:val="Normal"/>
    <w:rsid w:val="005919ED"/>
    <w:pPr>
      <w:numPr>
        <w:numId w:val="7"/>
      </w:numPr>
      <w:tabs>
        <w:tab w:val="clear" w:pos="360"/>
      </w:tabs>
      <w:spacing w:after="120"/>
      <w:ind w:left="0" w:firstLine="0"/>
    </w:pPr>
  </w:style>
  <w:style w:type="character" w:styleId="UnresolvedMention">
    <w:name w:val="Unresolved Mention"/>
    <w:uiPriority w:val="99"/>
    <w:unhideWhenUsed/>
    <w:rsid w:val="005919ED"/>
    <w:rPr>
      <w:color w:val="605E5C"/>
      <w:shd w:val="clear" w:color="auto" w:fill="E1DFDD"/>
    </w:rPr>
  </w:style>
  <w:style w:type="character" w:customStyle="1" w:styleId="ParaNumChar">
    <w:name w:val="ParaNum Char"/>
    <w:link w:val="ParaNum"/>
    <w:locked/>
    <w:rsid w:val="005919ED"/>
    <w:rPr>
      <w:snapToGrid w:val="0"/>
      <w:kern w:val="28"/>
      <w:sz w:val="22"/>
    </w:rPr>
  </w:style>
  <w:style w:type="paragraph" w:styleId="ListParagraph">
    <w:name w:val="List Paragraph"/>
    <w:basedOn w:val="Normal"/>
    <w:link w:val="ListParagraphChar"/>
    <w:uiPriority w:val="34"/>
    <w:qFormat/>
    <w:rsid w:val="005919ED"/>
    <w:pPr>
      <w:widowControl/>
      <w:spacing w:after="160" w:line="259" w:lineRule="auto"/>
      <w:ind w:left="720"/>
      <w:contextualSpacing/>
    </w:pPr>
    <w:rPr>
      <w:rFonts w:ascii="Calibri" w:eastAsia="Calibri" w:hAnsi="Calibri" w:cs="Arial"/>
      <w:kern w:val="2"/>
      <w:szCs w:val="22"/>
    </w:rPr>
  </w:style>
  <w:style w:type="paragraph" w:styleId="Revision">
    <w:name w:val="Revision"/>
    <w:hidden/>
    <w:uiPriority w:val="99"/>
    <w:semiHidden/>
    <w:rsid w:val="005919ED"/>
    <w:rPr>
      <w:snapToGrid w:val="0"/>
      <w:kern w:val="28"/>
      <w:sz w:val="22"/>
    </w:rPr>
  </w:style>
  <w:style w:type="character" w:customStyle="1" w:styleId="contentpasted0">
    <w:name w:val="contentpasted0"/>
    <w:basedOn w:val="DefaultParagraphFont"/>
    <w:rsid w:val="005919ED"/>
  </w:style>
  <w:style w:type="character" w:styleId="CommentReference">
    <w:name w:val="annotation reference"/>
    <w:rsid w:val="005919ED"/>
    <w:rPr>
      <w:sz w:val="16"/>
      <w:szCs w:val="16"/>
    </w:rPr>
  </w:style>
  <w:style w:type="paragraph" w:styleId="CommentText">
    <w:name w:val="annotation text"/>
    <w:basedOn w:val="Normal"/>
    <w:link w:val="CommentTextChar"/>
    <w:rsid w:val="005919ED"/>
    <w:rPr>
      <w:sz w:val="20"/>
    </w:rPr>
  </w:style>
  <w:style w:type="character" w:customStyle="1" w:styleId="CommentTextChar">
    <w:name w:val="Comment Text Char"/>
    <w:link w:val="CommentText"/>
    <w:rsid w:val="005919ED"/>
    <w:rPr>
      <w:snapToGrid w:val="0"/>
      <w:kern w:val="28"/>
    </w:rPr>
  </w:style>
  <w:style w:type="paragraph" w:styleId="CommentSubject">
    <w:name w:val="annotation subject"/>
    <w:basedOn w:val="CommentText"/>
    <w:next w:val="CommentText"/>
    <w:link w:val="CommentSubjectChar"/>
    <w:rsid w:val="005919ED"/>
    <w:rPr>
      <w:b/>
      <w:bCs/>
    </w:rPr>
  </w:style>
  <w:style w:type="character" w:customStyle="1" w:styleId="CommentSubjectChar">
    <w:name w:val="Comment Subject Char"/>
    <w:link w:val="CommentSubject"/>
    <w:rsid w:val="005919ED"/>
    <w:rPr>
      <w:b/>
      <w:bCs/>
      <w:snapToGrid w:val="0"/>
      <w:kern w:val="28"/>
    </w:rPr>
  </w:style>
  <w:style w:type="character" w:customStyle="1" w:styleId="boolean-control">
    <w:name w:val="boolean-control"/>
    <w:basedOn w:val="DefaultParagraphFont"/>
    <w:rsid w:val="005919ED"/>
  </w:style>
  <w:style w:type="character" w:customStyle="1" w:styleId="HeaderChar">
    <w:name w:val="Header Char"/>
    <w:link w:val="Header"/>
    <w:rsid w:val="005919ED"/>
    <w:rPr>
      <w:b/>
      <w:snapToGrid w:val="0"/>
      <w:kern w:val="28"/>
      <w:sz w:val="22"/>
    </w:rPr>
  </w:style>
  <w:style w:type="character" w:styleId="FollowedHyperlink">
    <w:name w:val="FollowedHyperlink"/>
    <w:rsid w:val="005919ED"/>
    <w:rPr>
      <w:color w:val="954F72"/>
      <w:u w:val="single"/>
    </w:rPr>
  </w:style>
  <w:style w:type="character" w:customStyle="1" w:styleId="Heading3Char">
    <w:name w:val="Heading 3 Char"/>
    <w:link w:val="Heading3"/>
    <w:rsid w:val="005919ED"/>
    <w:rPr>
      <w:b/>
      <w:snapToGrid w:val="0"/>
      <w:kern w:val="28"/>
      <w:sz w:val="22"/>
    </w:rPr>
  </w:style>
  <w:style w:type="character" w:customStyle="1" w:styleId="Heading1Char">
    <w:name w:val="Heading 1 Char"/>
    <w:link w:val="Heading1"/>
    <w:rsid w:val="005919ED"/>
    <w:rPr>
      <w:rFonts w:ascii="Times New Roman Bold" w:hAnsi="Times New Roman Bold"/>
      <w:b/>
      <w:caps/>
      <w:snapToGrid w:val="0"/>
      <w:kern w:val="28"/>
      <w:sz w:val="22"/>
    </w:rPr>
  </w:style>
  <w:style w:type="character" w:customStyle="1" w:styleId="ListParagraphChar">
    <w:name w:val="List Paragraph Char"/>
    <w:link w:val="ListParagraph"/>
    <w:uiPriority w:val="34"/>
    <w:rsid w:val="005919ED"/>
    <w:rPr>
      <w:rFonts w:ascii="Calibri" w:eastAsia="Calibri" w:hAnsi="Calibri" w:cs="Arial"/>
      <w:snapToGrid w:val="0"/>
      <w:kern w:val="2"/>
      <w:sz w:val="22"/>
      <w:szCs w:val="22"/>
    </w:rPr>
  </w:style>
  <w:style w:type="character" w:customStyle="1" w:styleId="ParaNumChar2">
    <w:name w:val="ParaNum Char2"/>
    <w:rsid w:val="005919ED"/>
    <w:rPr>
      <w:snapToGrid w:val="0"/>
      <w:kern w:val="28"/>
      <w:sz w:val="22"/>
    </w:rPr>
  </w:style>
  <w:style w:type="character" w:styleId="Mention">
    <w:name w:val="Mention"/>
    <w:uiPriority w:val="99"/>
    <w:unhideWhenUsed/>
    <w:rsid w:val="005919ED"/>
    <w:rPr>
      <w:color w:val="2B579A"/>
      <w:shd w:val="clear" w:color="auto" w:fill="E1DFDD"/>
    </w:rPr>
  </w:style>
  <w:style w:type="paragraph" w:customStyle="1" w:styleId="StyleBlockTextJustifiedLeft075Right075">
    <w:name w:val="Style Block Text + Justified Left:  0.75&quot; Right:  0.75&quot;"/>
    <w:basedOn w:val="BlockText"/>
    <w:rsid w:val="005919ED"/>
    <w:pPr>
      <w:spacing w:after="120"/>
      <w:ind w:left="1080" w:right="1080"/>
      <w:jc w:val="both"/>
    </w:pPr>
  </w:style>
  <w:style w:type="paragraph" w:customStyle="1" w:styleId="Heading">
    <w:name w:val="Heading"/>
    <w:basedOn w:val="Heading1"/>
    <w:rsid w:val="00CB397A"/>
    <w:pPr>
      <w:ind w:left="1440" w:firstLine="0"/>
    </w:pPr>
    <w:rPr>
      <w:b w:val="0"/>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2.xml" /><Relationship Id="rId14" Type="http://schemas.openxmlformats.org/officeDocument/2006/relationships/footer" Target="footer3.xml" /><Relationship Id="rId15" Type="http://schemas.openxmlformats.org/officeDocument/2006/relationships/header" Target="header3.xml" /><Relationship Id="rId16" Type="http://schemas.openxmlformats.org/officeDocument/2006/relationships/footer" Target="footer4.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endnotes" Target="endnotes.xml" /><Relationship Id="rId20" Type="http://schemas.openxmlformats.org/officeDocument/2006/relationships/header" Target="header7.xml" /><Relationship Id="rId21" Type="http://schemas.openxmlformats.org/officeDocument/2006/relationships/footer" Target="footer5.xml" /><Relationship Id="rId22" Type="http://schemas.openxmlformats.org/officeDocument/2006/relationships/footer" Target="footer6.xml" /><Relationship Id="rId23" Type="http://schemas.openxmlformats.org/officeDocument/2006/relationships/header" Target="header8.xml" /><Relationship Id="rId24" Type="http://schemas.openxmlformats.org/officeDocument/2006/relationships/footer" Target="footer7.xml" /><Relationship Id="rId25" Type="http://schemas.openxmlformats.org/officeDocument/2006/relationships/theme" Target="theme/theme1.xml" /><Relationship Id="rId26" Type="http://schemas.openxmlformats.org/officeDocument/2006/relationships/numbering" Target="numbering.xml" /><Relationship Id="rId27"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proposed-rulemakings" TargetMode="External" /><Relationship Id="rId7" Type="http://schemas.openxmlformats.org/officeDocument/2006/relationships/hyperlink" Target="https://www.fcc.gov/ecfs" TargetMode="External" /><Relationship Id="rId8" Type="http://schemas.openxmlformats.org/officeDocument/2006/relationships/hyperlink" Target="mailto:fcc504@fcc.gov" TargetMode="External" /><Relationship Id="rId9" Type="http://schemas.openxmlformats.org/officeDocument/2006/relationships/hyperlink" Target="mailto:Chris.Laughlin@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ites/default/files/rmd-faq.pdf" TargetMode="External" /><Relationship Id="rId10" Type="http://schemas.openxmlformats.org/officeDocument/2006/relationships/hyperlink" Target="https://authenticate.iconectiv.com/authorized-service-providers-authenticate" TargetMode="External" /><Relationship Id="rId11" Type="http://schemas.openxmlformats.org/officeDocument/2006/relationships/hyperlink" Target="https://tracebacks.org/wp-content/uploads/2025/09/ITG_Policies-Procedures_Aug_2025.pdf" TargetMode="External" /><Relationship Id="rId12" Type="http://schemas.openxmlformats.org/officeDocument/2006/relationships/hyperlink" Target="https://www.ftc.gov/system/files/ftc_gov/pdf/P034305-2025-DNC-Report-to-Congress.pdf" TargetMode="External" /><Relationship Id="rId13" Type="http://schemas.openxmlformats.org/officeDocument/2006/relationships/hyperlink" Target="https://sti-ga.atis.org/wp-content/uploads/2021/04/210323-STIGA-Board-Policy-Decision-Binder-final.pdf" TargetMode="External" /><Relationship Id="rId14" Type="http://schemas.openxmlformats.org/officeDocument/2006/relationships/hyperlink" Target="https://cdn.atis.org/sti-ga.atis.org/2026/01/14175322/260113-STIGA-Board-Policy-Decision-Binder-v9-1-1.pdf" TargetMode="External" /><Relationship Id="rId15" Type="http://schemas.openxmlformats.org/officeDocument/2006/relationships/hyperlink" Target="https://www.fcc.gov/consumers/guides/stop-unwanted-robocalls-and-texts" TargetMode="External" /><Relationship Id="rId16" Type="http://schemas.openxmlformats.org/officeDocument/2006/relationships/hyperlink" Target="https://www.swift.com/about-us/legal/compliance-0/swift-and-sanctions" TargetMode="External" /><Relationship Id="rId17" Type="http://schemas.openxmlformats.org/officeDocument/2006/relationships/hyperlink" Target="https://1.next.westlaw.com/Link/Document/FullText?findType=Y&amp;serNum=2059709592&amp;pubNum=0001016&amp;originatingDoc=Ib8cefcbb481d11f1bea7bfd587dc16ea&amp;refType=CA&amp;originationContext=document&amp;transitionType=DocumentItem&amp;ppcid=232ca42ec65e4c52a2bafb4f0a77389a&amp;contextData=(sc.Search)" TargetMode="External" /><Relationship Id="rId18" Type="http://schemas.openxmlformats.org/officeDocument/2006/relationships/hyperlink" Target="https://www.whitehouse.gov/wp-content/uploads/2025/02/M-25-21-Accelerating-Federal-Use-of-AI-through-Innovation-Governance-and-Public-Trust.pdf" TargetMode="External" /><Relationship Id="rId19" Type="http://schemas.openxmlformats.org/officeDocument/2006/relationships/hyperlink" Target="https://www.gao.gov/products/gao-25-107653" TargetMode="External" /><Relationship Id="rId2" Type="http://schemas.openxmlformats.org/officeDocument/2006/relationships/hyperlink" Target="https://fccprod.servicenowservices.com/rmd?id=rmd_welcome" TargetMode="External" /><Relationship Id="rId20" Type="http://schemas.openxmlformats.org/officeDocument/2006/relationships/hyperlink" Target="https://www.fcc.gov/supplychain/coveredlist" TargetMode="External" /><Relationship Id="rId21" Type="http://schemas.openxmlformats.org/officeDocument/2006/relationships/hyperlink" Target="https://www.fcc.gov/licensing-databases/licensing" TargetMode="External" /><Relationship Id="rId22" Type="http://schemas.openxmlformats.org/officeDocument/2006/relationships/hyperlink" Target="https://consumer.ftc.gov/consumer-alerts/2014/02/one-ring-cell-phone-scam-can-ding-your-wallet" TargetMode="External" /><Relationship Id="rId23" Type="http://schemas.openxmlformats.org/officeDocument/2006/relationships/hyperlink" Target="mailto:RobocallMitigationDatabase@FCC.gov?subject=Robocall%20Mitigation%20Database" TargetMode="External" /><Relationship Id="rId24" Type="http://schemas.openxmlformats.org/officeDocument/2006/relationships/hyperlink" Target="mailto:RMD-Reporting@fcc.gov" TargetMode="External" /><Relationship Id="rId25" Type="http://schemas.openxmlformats.org/officeDocument/2006/relationships/hyperlink" Target="https://advocacy.sba.gov/wp-content/uploads/2024/12/Frequently-Asked-Questions-About-Small-Business_2024-508.pdf" TargetMode="External" /><Relationship Id="rId26" Type="http://schemas.openxmlformats.org/officeDocument/2006/relationships/hyperlink" Target="https://advocacy.sba.gov/2019/07/25/small-business-facts-spotlight-on-nonprofits/" TargetMode="External" /><Relationship Id="rId27" Type="http://schemas.openxmlformats.org/officeDocument/2006/relationships/hyperlink" Target="https://www.census.gov/data/tables/2022/econ/gus/2022-governments.html" TargetMode="External" /><Relationship Id="rId28" Type="http://schemas.openxmlformats.org/officeDocument/2006/relationships/hyperlink" Target="http://www.census.gov/NAICS" TargetMode="External" /><Relationship Id="rId29" Type="http://schemas.openxmlformats.org/officeDocument/2006/relationships/hyperlink" Target="https://docs.fcc.gov/public/attachments/DOC-418505A1.pdf" TargetMode="External" /><Relationship Id="rId3" Type="http://schemas.openxmlformats.org/officeDocument/2006/relationships/hyperlink" Target="https://dictionary.cambridge.org/us/dictionary/english/service" TargetMode="External" /><Relationship Id="rId4" Type="http://schemas.openxmlformats.org/officeDocument/2006/relationships/hyperlink" Target="https://dictionary.cambridge.org/us/dictionary/english/interconnected" TargetMode="External" /><Relationship Id="rId5" Type="http://schemas.openxmlformats.org/officeDocument/2006/relationships/hyperlink" Target="https://dictionary.cambridge.org/us/dictionary/english/furnish" TargetMode="External" /><Relationship Id="rId6" Type="http://schemas.openxmlformats.org/officeDocument/2006/relationships/hyperlink" Target="https://dictionary.cambridge.org/us/dictionary/english/enable" TargetMode="External" /><Relationship Id="rId7" Type="http://schemas.openxmlformats.org/officeDocument/2006/relationships/hyperlink" Target="https://www.neca.org/business-solutions/company-codes" TargetMode="External" /><Relationship Id="rId8" Type="http://schemas.openxmlformats.org/officeDocument/2006/relationships/hyperlink" Target="https://www.fcc.gov/sites/default/files/rmdinstructions.pdf" TargetMode="External" /><Relationship Id="rId9" Type="http://schemas.openxmlformats.org/officeDocument/2006/relationships/hyperlink" Target="https://www.usac.org/service-providers/contributing-to-the-usf/register-for-a-499-id/"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